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FEC99" w14:textId="77777777" w:rsidR="002510A5" w:rsidRPr="009759B0" w:rsidRDefault="002510A5" w:rsidP="009759B0">
      <w:pPr>
        <w:widowControl w:val="0"/>
        <w:jc w:val="center"/>
        <w:rPr>
          <w:b/>
          <w:bCs/>
          <w:iCs/>
          <w:sz w:val="22"/>
          <w:szCs w:val="22"/>
          <w:u w:val="single"/>
        </w:rPr>
      </w:pPr>
      <w:r w:rsidRPr="009759B0">
        <w:rPr>
          <w:b/>
          <w:bCs/>
          <w:iCs/>
          <w:sz w:val="22"/>
          <w:szCs w:val="22"/>
          <w:u w:val="single"/>
        </w:rPr>
        <w:t>SAŽETAK KARAKTERISTIKA LIJEKA</w:t>
      </w:r>
    </w:p>
    <w:p w14:paraId="39D8FA60" w14:textId="77777777" w:rsidR="003C17AB" w:rsidRPr="009759B0" w:rsidRDefault="003C17AB" w:rsidP="009759B0">
      <w:pPr>
        <w:widowControl w:val="0"/>
        <w:rPr>
          <w:sz w:val="22"/>
          <w:szCs w:val="22"/>
        </w:rPr>
      </w:pPr>
    </w:p>
    <w:p w14:paraId="5409F730" w14:textId="77777777" w:rsidR="00C37FD7" w:rsidRPr="009759B0" w:rsidRDefault="00C37FD7" w:rsidP="009759B0">
      <w:pPr>
        <w:widowControl w:val="0"/>
        <w:tabs>
          <w:tab w:val="left" w:pos="540"/>
          <w:tab w:val="left" w:pos="569"/>
        </w:tabs>
        <w:rPr>
          <w:bCs/>
          <w:sz w:val="22"/>
          <w:szCs w:val="22"/>
        </w:rPr>
      </w:pPr>
    </w:p>
    <w:p w14:paraId="1D5CBCC3" w14:textId="77777777" w:rsidR="00411B4B" w:rsidRPr="00C65707" w:rsidRDefault="00411B4B" w:rsidP="00CE5678">
      <w:pPr>
        <w:widowControl w:val="0"/>
        <w:tabs>
          <w:tab w:val="left" w:pos="540"/>
          <w:tab w:val="left" w:pos="569"/>
        </w:tabs>
        <w:jc w:val="both"/>
        <w:rPr>
          <w:b/>
          <w:bCs/>
          <w:sz w:val="22"/>
          <w:szCs w:val="22"/>
        </w:rPr>
      </w:pPr>
      <w:r w:rsidRPr="00C65707">
        <w:rPr>
          <w:b/>
          <w:bCs/>
          <w:sz w:val="22"/>
          <w:szCs w:val="22"/>
        </w:rPr>
        <w:t>1.</w:t>
      </w:r>
      <w:r w:rsidR="00F5167F" w:rsidRPr="00C65707">
        <w:rPr>
          <w:b/>
          <w:bCs/>
          <w:sz w:val="22"/>
          <w:szCs w:val="22"/>
        </w:rPr>
        <w:tab/>
      </w:r>
      <w:r w:rsidR="002846DB" w:rsidRPr="00C65707">
        <w:rPr>
          <w:b/>
          <w:bCs/>
          <w:sz w:val="22"/>
          <w:szCs w:val="22"/>
        </w:rPr>
        <w:t xml:space="preserve">NAZIV </w:t>
      </w:r>
      <w:r w:rsidRPr="00C65707">
        <w:rPr>
          <w:b/>
          <w:bCs/>
          <w:sz w:val="22"/>
          <w:szCs w:val="22"/>
        </w:rPr>
        <w:t>LIJEKA</w:t>
      </w:r>
    </w:p>
    <w:p w14:paraId="09C253E5" w14:textId="77777777" w:rsidR="00EC2532" w:rsidRPr="002B3647" w:rsidRDefault="00EC2532" w:rsidP="00CE5678">
      <w:pPr>
        <w:widowControl w:val="0"/>
        <w:jc w:val="both"/>
        <w:rPr>
          <w:sz w:val="22"/>
          <w:szCs w:val="22"/>
        </w:rPr>
      </w:pPr>
    </w:p>
    <w:p w14:paraId="018DC93D" w14:textId="74A1A8C5" w:rsidR="000D425A" w:rsidRPr="00CE5678" w:rsidRDefault="00EA5F6E" w:rsidP="00CE5678">
      <w:pPr>
        <w:pStyle w:val="Header"/>
        <w:widowControl w:val="0"/>
        <w:tabs>
          <w:tab w:val="left" w:pos="284"/>
        </w:tabs>
        <w:spacing w:line="276" w:lineRule="auto"/>
        <w:jc w:val="both"/>
        <w:rPr>
          <w:sz w:val="22"/>
          <w:szCs w:val="22"/>
        </w:rPr>
      </w:pPr>
      <w:r w:rsidRPr="00C65707">
        <w:rPr>
          <w:iCs/>
          <w:sz w:val="22"/>
          <w:szCs w:val="22"/>
        </w:rPr>
        <w:t xml:space="preserve">RoActemra 162 mg/0,9 </w:t>
      </w:r>
      <w:r w:rsidR="003F20A4" w:rsidRPr="00C65707">
        <w:rPr>
          <w:iCs/>
          <w:sz w:val="22"/>
          <w:szCs w:val="22"/>
        </w:rPr>
        <w:t>ml</w:t>
      </w:r>
      <w:r w:rsidRPr="00C65707">
        <w:rPr>
          <w:iCs/>
          <w:sz w:val="22"/>
          <w:szCs w:val="22"/>
        </w:rPr>
        <w:t xml:space="preserve"> rastvor za injekciju u napunjenom injekcionom špricu.</w:t>
      </w:r>
    </w:p>
    <w:p w14:paraId="376DE7E0" w14:textId="3117B495" w:rsidR="00EA5F6E" w:rsidRPr="00C65707" w:rsidRDefault="006D20A5" w:rsidP="00C65707">
      <w:pPr>
        <w:pStyle w:val="Header"/>
        <w:widowControl w:val="0"/>
        <w:tabs>
          <w:tab w:val="left" w:pos="284"/>
        </w:tabs>
        <w:jc w:val="both"/>
        <w:rPr>
          <w:sz w:val="22"/>
          <w:szCs w:val="22"/>
        </w:rPr>
      </w:pPr>
      <w:r w:rsidRPr="00C65707">
        <w:rPr>
          <w:sz w:val="22"/>
          <w:szCs w:val="22"/>
        </w:rPr>
        <w:t>INN:</w:t>
      </w:r>
      <w:r w:rsidR="00EA5F6E" w:rsidRPr="00C65707">
        <w:rPr>
          <w:sz w:val="22"/>
          <w:szCs w:val="22"/>
        </w:rPr>
        <w:t xml:space="preserve"> tocilizumab</w:t>
      </w:r>
    </w:p>
    <w:p w14:paraId="0E65577E" w14:textId="552339DE" w:rsidR="00530BD7" w:rsidRPr="00C65707" w:rsidRDefault="00530BD7" w:rsidP="00CE5678">
      <w:pPr>
        <w:widowControl w:val="0"/>
        <w:jc w:val="both"/>
        <w:rPr>
          <w:bCs/>
          <w:sz w:val="22"/>
          <w:szCs w:val="22"/>
        </w:rPr>
      </w:pPr>
    </w:p>
    <w:p w14:paraId="436FDA3B" w14:textId="77777777" w:rsidR="009759B0" w:rsidRPr="002B3647" w:rsidRDefault="009759B0" w:rsidP="00CE5678">
      <w:pPr>
        <w:widowControl w:val="0"/>
        <w:jc w:val="both"/>
        <w:rPr>
          <w:bCs/>
          <w:sz w:val="22"/>
          <w:szCs w:val="22"/>
        </w:rPr>
      </w:pPr>
    </w:p>
    <w:p w14:paraId="60DA36EB" w14:textId="77777777" w:rsidR="00411B4B" w:rsidRPr="00C65707" w:rsidRDefault="00411B4B" w:rsidP="00CE5678">
      <w:pPr>
        <w:widowControl w:val="0"/>
        <w:tabs>
          <w:tab w:val="left" w:pos="540"/>
          <w:tab w:val="left" w:pos="569"/>
        </w:tabs>
        <w:jc w:val="both"/>
        <w:rPr>
          <w:b/>
          <w:bCs/>
          <w:sz w:val="22"/>
          <w:szCs w:val="22"/>
        </w:rPr>
      </w:pPr>
      <w:r w:rsidRPr="00C65707">
        <w:rPr>
          <w:b/>
          <w:bCs/>
          <w:sz w:val="22"/>
          <w:szCs w:val="22"/>
        </w:rPr>
        <w:t xml:space="preserve">2. </w:t>
      </w:r>
      <w:r w:rsidR="00F5167F" w:rsidRPr="00C65707">
        <w:rPr>
          <w:b/>
          <w:bCs/>
          <w:sz w:val="22"/>
          <w:szCs w:val="22"/>
        </w:rPr>
        <w:tab/>
      </w:r>
      <w:r w:rsidRPr="00C65707">
        <w:rPr>
          <w:b/>
          <w:bCs/>
          <w:sz w:val="22"/>
          <w:szCs w:val="22"/>
        </w:rPr>
        <w:t>KVALITATIVNI I KVANTITATIVNI SASTAV</w:t>
      </w:r>
    </w:p>
    <w:p w14:paraId="2E79AD6A" w14:textId="77777777" w:rsidR="005A0B2E" w:rsidRPr="00C65707" w:rsidRDefault="005A0B2E" w:rsidP="00CE5678">
      <w:pPr>
        <w:widowControl w:val="0"/>
        <w:jc w:val="both"/>
        <w:rPr>
          <w:sz w:val="22"/>
          <w:szCs w:val="22"/>
        </w:rPr>
      </w:pPr>
    </w:p>
    <w:p w14:paraId="0CFE7F65" w14:textId="78D48719" w:rsidR="00EA5F6E" w:rsidRPr="00C65707" w:rsidRDefault="00EA5F6E" w:rsidP="00C65707">
      <w:pPr>
        <w:widowControl w:val="0"/>
        <w:jc w:val="both"/>
        <w:rPr>
          <w:iCs/>
          <w:sz w:val="22"/>
          <w:szCs w:val="22"/>
        </w:rPr>
      </w:pPr>
      <w:r w:rsidRPr="00C65707">
        <w:rPr>
          <w:iCs/>
          <w:sz w:val="22"/>
          <w:szCs w:val="22"/>
        </w:rPr>
        <w:t>Jedan napunjeni injekcioni špric sadrži 162 mg tocilizumaba u 0,9 m</w:t>
      </w:r>
      <w:r w:rsidR="009759B0" w:rsidRPr="00C65707">
        <w:rPr>
          <w:iCs/>
          <w:sz w:val="22"/>
          <w:szCs w:val="22"/>
        </w:rPr>
        <w:t>l</w:t>
      </w:r>
      <w:r w:rsidRPr="00C65707">
        <w:rPr>
          <w:iCs/>
          <w:sz w:val="22"/>
          <w:szCs w:val="22"/>
        </w:rPr>
        <w:t>.</w:t>
      </w:r>
    </w:p>
    <w:p w14:paraId="1A6A0EE6" w14:textId="77777777" w:rsidR="00EA5F6E" w:rsidRPr="00C65707" w:rsidRDefault="00EA5F6E" w:rsidP="002B3647">
      <w:pPr>
        <w:pStyle w:val="Header"/>
        <w:widowControl w:val="0"/>
        <w:tabs>
          <w:tab w:val="left" w:pos="284"/>
        </w:tabs>
        <w:jc w:val="both"/>
        <w:rPr>
          <w:iCs/>
          <w:sz w:val="22"/>
          <w:szCs w:val="22"/>
        </w:rPr>
      </w:pPr>
    </w:p>
    <w:p w14:paraId="71CA52C9" w14:textId="65FB8D65" w:rsidR="00EA5F6E" w:rsidRPr="00C65707" w:rsidRDefault="00EA5F6E" w:rsidP="00583993">
      <w:pPr>
        <w:pStyle w:val="Header"/>
        <w:widowControl w:val="0"/>
        <w:tabs>
          <w:tab w:val="left" w:pos="284"/>
        </w:tabs>
        <w:rPr>
          <w:iCs/>
          <w:sz w:val="22"/>
          <w:szCs w:val="22"/>
        </w:rPr>
      </w:pPr>
      <w:r w:rsidRPr="00C65707">
        <w:rPr>
          <w:iCs/>
          <w:sz w:val="22"/>
          <w:szCs w:val="22"/>
        </w:rPr>
        <w:t>Tocilizumab je rekombinantno humanizovano, antihumano monoklonsko antitijelo imunoglobulina G1 (IgG1) podklase.</w:t>
      </w:r>
      <w:r w:rsidR="008E438B" w:rsidRPr="00C65707">
        <w:rPr>
          <w:iCs/>
          <w:sz w:val="22"/>
          <w:szCs w:val="22"/>
        </w:rPr>
        <w:br/>
      </w:r>
      <w:r w:rsidR="008E438B" w:rsidRPr="00C65707">
        <w:rPr>
          <w:iCs/>
          <w:sz w:val="22"/>
          <w:szCs w:val="22"/>
        </w:rPr>
        <w:br/>
      </w:r>
      <w:r w:rsidR="008E438B" w:rsidRPr="00C65707">
        <w:rPr>
          <w:iCs/>
          <w:sz w:val="22"/>
          <w:szCs w:val="22"/>
          <w:u w:val="single"/>
        </w:rPr>
        <w:t>Pomoćna supstanca sa poznatim efektom</w:t>
      </w:r>
      <w:r w:rsidR="008E438B" w:rsidRPr="00C65707">
        <w:rPr>
          <w:iCs/>
          <w:sz w:val="22"/>
          <w:szCs w:val="22"/>
          <w:u w:val="single"/>
        </w:rPr>
        <w:br/>
      </w:r>
      <w:r w:rsidR="008E438B" w:rsidRPr="00C65707">
        <w:rPr>
          <w:iCs/>
          <w:sz w:val="22"/>
          <w:szCs w:val="22"/>
        </w:rPr>
        <w:t>Jedan injekcioni špric od 162 mg/0,9 ml sadrži 0,18 mg (0,2 mg/ml) polisorbata 80.</w:t>
      </w:r>
    </w:p>
    <w:p w14:paraId="79D6E2ED" w14:textId="77777777" w:rsidR="00EA5F6E" w:rsidRPr="00C65707" w:rsidRDefault="00EA5F6E" w:rsidP="00C65707">
      <w:pPr>
        <w:pStyle w:val="Header"/>
        <w:widowControl w:val="0"/>
        <w:tabs>
          <w:tab w:val="left" w:pos="284"/>
        </w:tabs>
        <w:jc w:val="both"/>
        <w:rPr>
          <w:iCs/>
          <w:sz w:val="22"/>
          <w:szCs w:val="22"/>
        </w:rPr>
      </w:pPr>
    </w:p>
    <w:p w14:paraId="43CC8C51" w14:textId="1B6210A5" w:rsidR="00EA5F6E" w:rsidRPr="00C65707" w:rsidRDefault="00EA5F6E" w:rsidP="002B3647">
      <w:pPr>
        <w:pStyle w:val="Header"/>
        <w:widowControl w:val="0"/>
        <w:tabs>
          <w:tab w:val="left" w:pos="284"/>
        </w:tabs>
        <w:jc w:val="both"/>
        <w:rPr>
          <w:iCs/>
          <w:sz w:val="22"/>
          <w:szCs w:val="22"/>
        </w:rPr>
      </w:pPr>
      <w:r w:rsidRPr="00C65707">
        <w:rPr>
          <w:iCs/>
          <w:sz w:val="22"/>
          <w:szCs w:val="22"/>
        </w:rPr>
        <w:t xml:space="preserve">Za kompletnu listu pomoćnih supstanci vidjeti </w:t>
      </w:r>
      <w:r w:rsidR="00633F4E" w:rsidRPr="00C65707">
        <w:rPr>
          <w:iCs/>
          <w:sz w:val="22"/>
          <w:szCs w:val="22"/>
        </w:rPr>
        <w:t xml:space="preserve">dio </w:t>
      </w:r>
      <w:r w:rsidRPr="00C65707">
        <w:rPr>
          <w:iCs/>
          <w:sz w:val="22"/>
          <w:szCs w:val="22"/>
        </w:rPr>
        <w:t>6.1.</w:t>
      </w:r>
    </w:p>
    <w:p w14:paraId="192FE0C3" w14:textId="5917806D" w:rsidR="00C37FD7" w:rsidRPr="00C65707" w:rsidRDefault="00C37FD7" w:rsidP="00CE5678">
      <w:pPr>
        <w:widowControl w:val="0"/>
        <w:jc w:val="both"/>
        <w:rPr>
          <w:sz w:val="22"/>
          <w:szCs w:val="22"/>
        </w:rPr>
      </w:pPr>
    </w:p>
    <w:p w14:paraId="75A6B354" w14:textId="77777777" w:rsidR="009759B0" w:rsidRPr="00C65707" w:rsidRDefault="009759B0" w:rsidP="00CE5678">
      <w:pPr>
        <w:widowControl w:val="0"/>
        <w:jc w:val="both"/>
        <w:rPr>
          <w:sz w:val="22"/>
          <w:szCs w:val="22"/>
        </w:rPr>
      </w:pPr>
    </w:p>
    <w:p w14:paraId="5CCE4A71" w14:textId="77777777" w:rsidR="00411B4B" w:rsidRPr="00C65707" w:rsidRDefault="00411B4B" w:rsidP="00CE5678">
      <w:pPr>
        <w:widowControl w:val="0"/>
        <w:tabs>
          <w:tab w:val="left" w:pos="540"/>
          <w:tab w:val="left" w:pos="569"/>
        </w:tabs>
        <w:jc w:val="both"/>
        <w:rPr>
          <w:b/>
          <w:bCs/>
          <w:sz w:val="22"/>
          <w:szCs w:val="22"/>
        </w:rPr>
      </w:pPr>
      <w:r w:rsidRPr="00C65707">
        <w:rPr>
          <w:b/>
          <w:bCs/>
          <w:sz w:val="22"/>
          <w:szCs w:val="22"/>
        </w:rPr>
        <w:t xml:space="preserve">3. </w:t>
      </w:r>
      <w:r w:rsidR="00F5167F" w:rsidRPr="00C65707">
        <w:rPr>
          <w:b/>
          <w:bCs/>
          <w:sz w:val="22"/>
          <w:szCs w:val="22"/>
        </w:rPr>
        <w:tab/>
      </w:r>
      <w:r w:rsidRPr="00C65707">
        <w:rPr>
          <w:b/>
          <w:bCs/>
          <w:sz w:val="22"/>
          <w:szCs w:val="22"/>
        </w:rPr>
        <w:t>FARMACEUTSKI OBLIK</w:t>
      </w:r>
      <w:r w:rsidR="009F2D23" w:rsidRPr="00C65707">
        <w:rPr>
          <w:b/>
          <w:bCs/>
          <w:sz w:val="22"/>
          <w:szCs w:val="22"/>
        </w:rPr>
        <w:t xml:space="preserve"> </w:t>
      </w:r>
    </w:p>
    <w:p w14:paraId="710AB454" w14:textId="77777777" w:rsidR="00EA5F6E" w:rsidRPr="00C65707" w:rsidRDefault="00EA5F6E" w:rsidP="00CE5678">
      <w:pPr>
        <w:widowControl w:val="0"/>
        <w:tabs>
          <w:tab w:val="left" w:pos="540"/>
          <w:tab w:val="left" w:pos="569"/>
        </w:tabs>
        <w:jc w:val="both"/>
        <w:rPr>
          <w:b/>
          <w:bCs/>
          <w:sz w:val="22"/>
          <w:szCs w:val="22"/>
        </w:rPr>
      </w:pPr>
    </w:p>
    <w:p w14:paraId="42B4EE34" w14:textId="44D61259" w:rsidR="00EA5F6E" w:rsidRPr="00C65707" w:rsidRDefault="00EA5F6E" w:rsidP="00C65707">
      <w:pPr>
        <w:pStyle w:val="Header"/>
        <w:widowControl w:val="0"/>
        <w:tabs>
          <w:tab w:val="left" w:pos="284"/>
        </w:tabs>
        <w:jc w:val="both"/>
        <w:rPr>
          <w:iCs/>
          <w:sz w:val="22"/>
          <w:szCs w:val="22"/>
        </w:rPr>
      </w:pPr>
      <w:r w:rsidRPr="00C65707">
        <w:rPr>
          <w:iCs/>
          <w:sz w:val="22"/>
          <w:szCs w:val="22"/>
        </w:rPr>
        <w:t>Rastvor za injekciju</w:t>
      </w:r>
      <w:r w:rsidR="008E438B" w:rsidRPr="00C65707">
        <w:rPr>
          <w:iCs/>
          <w:sz w:val="22"/>
          <w:szCs w:val="22"/>
        </w:rPr>
        <w:t xml:space="preserve"> (injekcija)</w:t>
      </w:r>
      <w:r w:rsidRPr="00C65707">
        <w:rPr>
          <w:iCs/>
          <w:sz w:val="22"/>
          <w:szCs w:val="22"/>
        </w:rPr>
        <w:t>.</w:t>
      </w:r>
    </w:p>
    <w:p w14:paraId="00D16770" w14:textId="3D58F3EA" w:rsidR="005A5186" w:rsidRPr="00C65707" w:rsidRDefault="00EA5F6E" w:rsidP="00CE5678">
      <w:pPr>
        <w:widowControl w:val="0"/>
        <w:jc w:val="both"/>
        <w:rPr>
          <w:sz w:val="22"/>
          <w:szCs w:val="22"/>
        </w:rPr>
      </w:pPr>
      <w:r w:rsidRPr="00C65707">
        <w:rPr>
          <w:sz w:val="22"/>
          <w:szCs w:val="22"/>
        </w:rPr>
        <w:t>Bezbojan do blijedo žuti rastvor</w:t>
      </w:r>
      <w:r w:rsidR="005A5186" w:rsidRPr="00C65707">
        <w:rPr>
          <w:sz w:val="22"/>
          <w:szCs w:val="22"/>
        </w:rPr>
        <w:t>, koja ima pH vrijednosti 5,5 – 6,5 i osmolalnost 200 – 372 mOsm/kg.</w:t>
      </w:r>
    </w:p>
    <w:p w14:paraId="32232C1D" w14:textId="0C4FBBE7" w:rsidR="00411B4B" w:rsidRPr="00C65707" w:rsidRDefault="00411B4B" w:rsidP="00C65707">
      <w:pPr>
        <w:pStyle w:val="Header"/>
        <w:widowControl w:val="0"/>
        <w:tabs>
          <w:tab w:val="left" w:pos="284"/>
        </w:tabs>
        <w:jc w:val="both"/>
        <w:rPr>
          <w:sz w:val="22"/>
          <w:szCs w:val="22"/>
        </w:rPr>
      </w:pPr>
    </w:p>
    <w:p w14:paraId="0A602B9B" w14:textId="77777777" w:rsidR="00EC2532" w:rsidRPr="00C65707" w:rsidRDefault="00EC2532" w:rsidP="00CE5678">
      <w:pPr>
        <w:widowControl w:val="0"/>
        <w:jc w:val="both"/>
        <w:rPr>
          <w:bCs/>
          <w:sz w:val="22"/>
          <w:szCs w:val="22"/>
        </w:rPr>
      </w:pPr>
    </w:p>
    <w:p w14:paraId="26758F55" w14:textId="77777777" w:rsidR="00411B4B" w:rsidRPr="00C65707" w:rsidRDefault="00411B4B" w:rsidP="00CE5678">
      <w:pPr>
        <w:widowControl w:val="0"/>
        <w:tabs>
          <w:tab w:val="left" w:pos="540"/>
          <w:tab w:val="left" w:pos="569"/>
        </w:tabs>
        <w:jc w:val="both"/>
        <w:rPr>
          <w:b/>
          <w:bCs/>
          <w:sz w:val="22"/>
          <w:szCs w:val="22"/>
        </w:rPr>
      </w:pPr>
      <w:r w:rsidRPr="00C65707">
        <w:rPr>
          <w:b/>
          <w:bCs/>
          <w:sz w:val="22"/>
          <w:szCs w:val="22"/>
        </w:rPr>
        <w:t xml:space="preserve">4. </w:t>
      </w:r>
      <w:r w:rsidR="00480FB1" w:rsidRPr="00C65707">
        <w:rPr>
          <w:b/>
          <w:bCs/>
          <w:sz w:val="22"/>
          <w:szCs w:val="22"/>
        </w:rPr>
        <w:tab/>
      </w:r>
      <w:r w:rsidRPr="00C65707">
        <w:rPr>
          <w:b/>
          <w:bCs/>
          <w:sz w:val="22"/>
          <w:szCs w:val="22"/>
        </w:rPr>
        <w:t>KLINIČKI PODACI</w:t>
      </w:r>
    </w:p>
    <w:p w14:paraId="0708884C" w14:textId="77777777" w:rsidR="00CD6F02" w:rsidRPr="00C65707" w:rsidRDefault="00CD6F02" w:rsidP="00CE5678">
      <w:pPr>
        <w:widowControl w:val="0"/>
        <w:tabs>
          <w:tab w:val="left" w:pos="540"/>
          <w:tab w:val="left" w:pos="569"/>
        </w:tabs>
        <w:jc w:val="both"/>
        <w:rPr>
          <w:bCs/>
          <w:sz w:val="22"/>
          <w:szCs w:val="22"/>
        </w:rPr>
      </w:pPr>
    </w:p>
    <w:p w14:paraId="6D618BF8" w14:textId="0AC472E2" w:rsidR="00411B4B" w:rsidRPr="00C65707" w:rsidRDefault="00411B4B" w:rsidP="00C348D0">
      <w:pPr>
        <w:widowControl w:val="0"/>
        <w:tabs>
          <w:tab w:val="left" w:pos="540"/>
          <w:tab w:val="left" w:pos="569"/>
        </w:tabs>
        <w:rPr>
          <w:b/>
          <w:bCs/>
          <w:sz w:val="22"/>
          <w:szCs w:val="22"/>
        </w:rPr>
      </w:pPr>
      <w:r w:rsidRPr="00C65707">
        <w:rPr>
          <w:b/>
          <w:bCs/>
          <w:sz w:val="22"/>
          <w:szCs w:val="22"/>
        </w:rPr>
        <w:t xml:space="preserve">4.1. </w:t>
      </w:r>
      <w:r w:rsidR="00480FB1" w:rsidRPr="00C65707">
        <w:rPr>
          <w:b/>
          <w:bCs/>
          <w:sz w:val="22"/>
          <w:szCs w:val="22"/>
        </w:rPr>
        <w:tab/>
      </w:r>
      <w:r w:rsidRPr="00C65707">
        <w:rPr>
          <w:b/>
          <w:bCs/>
          <w:sz w:val="22"/>
          <w:szCs w:val="22"/>
        </w:rPr>
        <w:t>Terapijske indikacije</w:t>
      </w:r>
      <w:r w:rsidR="008E438B" w:rsidRPr="00C65707">
        <w:rPr>
          <w:b/>
          <w:bCs/>
          <w:sz w:val="22"/>
          <w:szCs w:val="22"/>
        </w:rPr>
        <w:br/>
      </w:r>
    </w:p>
    <w:p w14:paraId="5243AA6B" w14:textId="4F7D35C8" w:rsidR="00EF6E89" w:rsidRPr="00C65707" w:rsidRDefault="008E438B" w:rsidP="00CE5678">
      <w:pPr>
        <w:widowControl w:val="0"/>
        <w:jc w:val="both"/>
        <w:rPr>
          <w:sz w:val="22"/>
          <w:szCs w:val="22"/>
          <w:u w:val="single"/>
        </w:rPr>
      </w:pPr>
      <w:r w:rsidRPr="00C65707">
        <w:rPr>
          <w:sz w:val="22"/>
          <w:szCs w:val="22"/>
          <w:u w:val="single"/>
        </w:rPr>
        <w:t>Reumatoidni artritis (RA)</w:t>
      </w:r>
    </w:p>
    <w:p w14:paraId="08EDB87F" w14:textId="638AA9AF" w:rsidR="00EF6E89" w:rsidRPr="00C65707" w:rsidRDefault="00EF6E89" w:rsidP="00C65707">
      <w:pPr>
        <w:pStyle w:val="Header"/>
        <w:widowControl w:val="0"/>
        <w:tabs>
          <w:tab w:val="left" w:pos="284"/>
        </w:tabs>
        <w:jc w:val="both"/>
        <w:rPr>
          <w:sz w:val="22"/>
          <w:szCs w:val="22"/>
        </w:rPr>
      </w:pPr>
      <w:r w:rsidRPr="00C65707">
        <w:rPr>
          <w:sz w:val="22"/>
          <w:szCs w:val="22"/>
        </w:rPr>
        <w:t>RoActemra, u kombinaciji sa metotreksatom (MTX</w:t>
      </w:r>
      <w:r w:rsidR="008E438B" w:rsidRPr="00C65707">
        <w:rPr>
          <w:sz w:val="22"/>
          <w:szCs w:val="22"/>
        </w:rPr>
        <w:t>-om</w:t>
      </w:r>
      <w:r w:rsidRPr="00C65707">
        <w:rPr>
          <w:sz w:val="22"/>
          <w:szCs w:val="22"/>
        </w:rPr>
        <w:t>) indikovana je za</w:t>
      </w:r>
      <w:r w:rsidR="008E438B" w:rsidRPr="00C65707">
        <w:rPr>
          <w:sz w:val="22"/>
          <w:szCs w:val="22"/>
        </w:rPr>
        <w:t>:</w:t>
      </w:r>
    </w:p>
    <w:p w14:paraId="22CB89A6" w14:textId="77777777" w:rsidR="00EF6E89" w:rsidRPr="00C65707" w:rsidRDefault="00EF6E89" w:rsidP="002B3647">
      <w:pPr>
        <w:pStyle w:val="Header"/>
        <w:widowControl w:val="0"/>
        <w:numPr>
          <w:ilvl w:val="0"/>
          <w:numId w:val="13"/>
        </w:numPr>
        <w:tabs>
          <w:tab w:val="left" w:pos="284"/>
        </w:tabs>
        <w:jc w:val="both"/>
        <w:rPr>
          <w:sz w:val="22"/>
          <w:szCs w:val="22"/>
        </w:rPr>
      </w:pPr>
      <w:r w:rsidRPr="00C65707">
        <w:rPr>
          <w:sz w:val="22"/>
          <w:szCs w:val="22"/>
        </w:rPr>
        <w:t>liječenje teškog oblika aktivnog i progresivnog reumatoidnog artritisa (RA) kod odraslih pacijenata koji prethodno nijesu liječeni MTX om.</w:t>
      </w:r>
    </w:p>
    <w:p w14:paraId="756C70E8" w14:textId="6D98DCB5" w:rsidR="00EF6E89" w:rsidRDefault="00EF6E89" w:rsidP="00CE5678">
      <w:pPr>
        <w:pStyle w:val="Header"/>
        <w:widowControl w:val="0"/>
        <w:numPr>
          <w:ilvl w:val="0"/>
          <w:numId w:val="13"/>
        </w:numPr>
        <w:tabs>
          <w:tab w:val="left" w:pos="284"/>
        </w:tabs>
        <w:jc w:val="both"/>
        <w:rPr>
          <w:sz w:val="22"/>
          <w:szCs w:val="22"/>
        </w:rPr>
      </w:pPr>
      <w:r w:rsidRPr="00C65707">
        <w:rPr>
          <w:sz w:val="22"/>
          <w:szCs w:val="22"/>
        </w:rPr>
        <w:t xml:space="preserve">liječenje </w:t>
      </w:r>
      <w:r w:rsidR="00045FBA" w:rsidRPr="00C65707">
        <w:rPr>
          <w:sz w:val="22"/>
          <w:szCs w:val="22"/>
        </w:rPr>
        <w:t>umjerenog do teškog aktivnog RA</w:t>
      </w:r>
      <w:r w:rsidRPr="00C65707">
        <w:rPr>
          <w:sz w:val="22"/>
          <w:szCs w:val="22"/>
        </w:rPr>
        <w:t xml:space="preserve"> kod odraslih pacijenata koji su ili neadekvatno reagovali ili nijesu podnosili prethodnu terapiju jednim ili većim brojem anti-reumatskih ljekova koji modifikuju bolest (DMARDs) ili antagonistima faktora nekroze tumora (TNF). </w:t>
      </w:r>
    </w:p>
    <w:p w14:paraId="6E86A00C" w14:textId="77777777" w:rsidR="00CE5678" w:rsidRPr="00C65707" w:rsidRDefault="00CE5678" w:rsidP="00CE5678">
      <w:pPr>
        <w:pStyle w:val="Header"/>
        <w:widowControl w:val="0"/>
        <w:tabs>
          <w:tab w:val="left" w:pos="284"/>
        </w:tabs>
        <w:ind w:left="720"/>
        <w:jc w:val="both"/>
        <w:rPr>
          <w:sz w:val="22"/>
          <w:szCs w:val="22"/>
        </w:rPr>
      </w:pPr>
    </w:p>
    <w:p w14:paraId="3C0BF85F" w14:textId="59CC0DE1" w:rsidR="008E438B" w:rsidRDefault="008E438B" w:rsidP="00CE5678">
      <w:pPr>
        <w:widowControl w:val="0"/>
        <w:jc w:val="both"/>
        <w:rPr>
          <w:sz w:val="22"/>
          <w:szCs w:val="22"/>
        </w:rPr>
      </w:pPr>
      <w:r w:rsidRPr="00C65707">
        <w:rPr>
          <w:sz w:val="22"/>
          <w:szCs w:val="22"/>
        </w:rPr>
        <w:t>U slučaju nepodnošljivosti MTX</w:t>
      </w:r>
      <w:r w:rsidRPr="00C65707">
        <w:rPr>
          <w:sz w:val="22"/>
          <w:szCs w:val="22"/>
        </w:rPr>
        <w:noBreakHyphen/>
        <w:t>a ili kada trajno liječenje MTX</w:t>
      </w:r>
      <w:r w:rsidRPr="00C65707">
        <w:rPr>
          <w:sz w:val="22"/>
          <w:szCs w:val="22"/>
        </w:rPr>
        <w:noBreakHyphen/>
        <w:t>om nije prim</w:t>
      </w:r>
      <w:r w:rsidR="000A085D" w:rsidRPr="00C65707">
        <w:rPr>
          <w:sz w:val="22"/>
          <w:szCs w:val="22"/>
        </w:rPr>
        <w:t>j</w:t>
      </w:r>
      <w:r w:rsidRPr="00C65707">
        <w:rPr>
          <w:sz w:val="22"/>
          <w:szCs w:val="22"/>
        </w:rPr>
        <w:t>enljivo, RoActemra se može primijeniti u obliku monoterapije.</w:t>
      </w:r>
    </w:p>
    <w:p w14:paraId="2DEE9E71" w14:textId="77777777" w:rsidR="00CE5678" w:rsidRPr="00C65707" w:rsidRDefault="00CE5678" w:rsidP="00CE5678">
      <w:pPr>
        <w:widowControl w:val="0"/>
        <w:jc w:val="both"/>
        <w:rPr>
          <w:sz w:val="22"/>
          <w:szCs w:val="22"/>
        </w:rPr>
      </w:pPr>
    </w:p>
    <w:p w14:paraId="2D4B0382" w14:textId="6F3A295B" w:rsidR="008E438B" w:rsidRDefault="00EF6E89" w:rsidP="00CE5678">
      <w:pPr>
        <w:widowControl w:val="0"/>
        <w:jc w:val="both"/>
        <w:rPr>
          <w:rFonts w:eastAsia="SimSun"/>
          <w:sz w:val="22"/>
          <w:szCs w:val="22"/>
          <w:lang w:eastAsia="zh-CN" w:bidi="th-TH"/>
        </w:rPr>
      </w:pPr>
      <w:r w:rsidRPr="00C65707">
        <w:rPr>
          <w:sz w:val="22"/>
          <w:szCs w:val="22"/>
        </w:rPr>
        <w:t xml:space="preserve">Na osnovu radioloških snimaka zglobova pokazano je da </w:t>
      </w:r>
      <w:r w:rsidRPr="00C65707">
        <w:rPr>
          <w:rFonts w:eastAsia="SimSun"/>
          <w:sz w:val="22"/>
          <w:szCs w:val="22"/>
          <w:lang w:eastAsia="zh-CN" w:bidi="th-TH"/>
        </w:rPr>
        <w:t>RoActemra u kombinaciji sa metotreksatom usporava progresiju oštećenja zglobova i poboljšava fizičku funkciju.</w:t>
      </w:r>
    </w:p>
    <w:p w14:paraId="25516D83" w14:textId="77777777" w:rsidR="00C65707" w:rsidRPr="00CE5678" w:rsidRDefault="00C65707" w:rsidP="00CE5678">
      <w:pPr>
        <w:widowControl w:val="0"/>
        <w:jc w:val="both"/>
        <w:rPr>
          <w:rFonts w:eastAsia="SimSun"/>
          <w:sz w:val="22"/>
          <w:szCs w:val="22"/>
          <w:u w:val="single"/>
          <w:lang w:eastAsia="zh-CN" w:bidi="th-TH"/>
        </w:rPr>
      </w:pPr>
    </w:p>
    <w:p w14:paraId="236035C7" w14:textId="77777777" w:rsidR="00C65707" w:rsidRDefault="008E438B" w:rsidP="00C65707">
      <w:pPr>
        <w:widowControl w:val="0"/>
        <w:jc w:val="both"/>
        <w:rPr>
          <w:rFonts w:eastAsia="SimSun"/>
          <w:sz w:val="22"/>
          <w:szCs w:val="22"/>
          <w:u w:val="single"/>
          <w:lang w:eastAsia="zh-CN" w:bidi="th-TH"/>
        </w:rPr>
      </w:pPr>
      <w:r w:rsidRPr="00C65707">
        <w:rPr>
          <w:rFonts w:eastAsia="SimSun"/>
          <w:sz w:val="22"/>
          <w:szCs w:val="22"/>
          <w:u w:val="single"/>
          <w:lang w:eastAsia="zh-CN" w:bidi="th-TH"/>
        </w:rPr>
        <w:t>Sistemski juvenilni idiopatski artritis (sJIA)</w:t>
      </w:r>
    </w:p>
    <w:p w14:paraId="623A5FAD" w14:textId="5B2E8990" w:rsidR="009759B0" w:rsidRPr="00C65707" w:rsidRDefault="00AE71C3" w:rsidP="00C65707">
      <w:pPr>
        <w:widowControl w:val="0"/>
        <w:jc w:val="both"/>
        <w:rPr>
          <w:rFonts w:eastAsia="SimSun"/>
          <w:sz w:val="22"/>
          <w:szCs w:val="22"/>
          <w:lang w:eastAsia="zh-CN" w:bidi="th-TH"/>
        </w:rPr>
      </w:pPr>
      <w:r w:rsidRPr="00C65707">
        <w:rPr>
          <w:rFonts w:eastAsia="SimSun"/>
          <w:sz w:val="22"/>
          <w:szCs w:val="22"/>
          <w:lang w:eastAsia="zh-CN" w:bidi="th-TH"/>
        </w:rPr>
        <w:t>L</w:t>
      </w:r>
      <w:r w:rsidR="00B239C4" w:rsidRPr="00C65707">
        <w:rPr>
          <w:rFonts w:eastAsia="SimSun"/>
          <w:sz w:val="22"/>
          <w:szCs w:val="22"/>
          <w:lang w:eastAsia="zh-CN" w:bidi="th-TH"/>
        </w:rPr>
        <w:t>ij</w:t>
      </w:r>
      <w:r w:rsidRPr="00C65707">
        <w:rPr>
          <w:rFonts w:eastAsia="SimSun"/>
          <w:sz w:val="22"/>
          <w:szCs w:val="22"/>
          <w:lang w:eastAsia="zh-CN" w:bidi="th-TH"/>
        </w:rPr>
        <w:t xml:space="preserve">ek </w:t>
      </w:r>
      <w:r w:rsidR="00B239C4" w:rsidRPr="00C65707">
        <w:rPr>
          <w:rFonts w:eastAsia="SimSun"/>
          <w:sz w:val="22"/>
          <w:szCs w:val="22"/>
          <w:lang w:eastAsia="zh-CN" w:bidi="th-TH"/>
        </w:rPr>
        <w:t>Ro</w:t>
      </w:r>
      <w:r w:rsidRPr="00C65707">
        <w:rPr>
          <w:rFonts w:eastAsia="SimSun"/>
          <w:sz w:val="22"/>
          <w:szCs w:val="22"/>
          <w:lang w:eastAsia="zh-CN" w:bidi="th-TH"/>
        </w:rPr>
        <w:t>Actemra je indikovan za l</w:t>
      </w:r>
      <w:r w:rsidR="00B239C4" w:rsidRPr="00C65707">
        <w:rPr>
          <w:rFonts w:eastAsia="SimSun"/>
          <w:sz w:val="22"/>
          <w:szCs w:val="22"/>
          <w:lang w:eastAsia="zh-CN" w:bidi="th-TH"/>
        </w:rPr>
        <w:t>ij</w:t>
      </w:r>
      <w:r w:rsidRPr="00C65707">
        <w:rPr>
          <w:rFonts w:eastAsia="SimSun"/>
          <w:sz w:val="22"/>
          <w:szCs w:val="22"/>
          <w:lang w:eastAsia="zh-CN" w:bidi="th-TH"/>
        </w:rPr>
        <w:t>ečenje aktivnog sistemskog juvenilnog idiopatskog artritisa (</w:t>
      </w:r>
      <w:r w:rsidRPr="00C65707">
        <w:rPr>
          <w:rFonts w:eastAsia="SimSun"/>
          <w:i/>
          <w:iCs/>
          <w:sz w:val="22"/>
          <w:szCs w:val="22"/>
          <w:lang w:eastAsia="zh-CN" w:bidi="th-TH"/>
        </w:rPr>
        <w:t>engl. systemic juvenile idiopathic arthritis, sJIA</w:t>
      </w:r>
      <w:r w:rsidRPr="002B3647">
        <w:rPr>
          <w:rFonts w:eastAsia="SimSun"/>
          <w:sz w:val="22"/>
          <w:szCs w:val="22"/>
          <w:lang w:eastAsia="zh-CN" w:bidi="th-TH"/>
        </w:rPr>
        <w:t xml:space="preserve">) kod pacijenata uzrasta 1 godine i starijih, koji </w:t>
      </w:r>
      <w:r w:rsidR="000A085D" w:rsidRPr="002B3647">
        <w:rPr>
          <w:rFonts w:eastAsia="SimSun"/>
          <w:sz w:val="22"/>
          <w:szCs w:val="22"/>
          <w:lang w:eastAsia="zh-CN" w:bidi="th-TH"/>
        </w:rPr>
        <w:t xml:space="preserve">nijesu </w:t>
      </w:r>
      <w:r w:rsidRPr="00C65707">
        <w:rPr>
          <w:rFonts w:eastAsia="SimSun"/>
          <w:sz w:val="22"/>
          <w:szCs w:val="22"/>
          <w:lang w:eastAsia="zh-CN" w:bidi="th-TH"/>
        </w:rPr>
        <w:t>adekvatno odgovorili na prethodnu terapiju nesteroidnim antiinflamatornim l</w:t>
      </w:r>
      <w:r w:rsidR="00B5021A" w:rsidRPr="00C65707">
        <w:rPr>
          <w:rFonts w:eastAsia="SimSun"/>
          <w:sz w:val="22"/>
          <w:szCs w:val="22"/>
          <w:lang w:eastAsia="zh-CN" w:bidi="th-TH"/>
        </w:rPr>
        <w:t>j</w:t>
      </w:r>
      <w:r w:rsidRPr="00C65707">
        <w:rPr>
          <w:rFonts w:eastAsia="SimSun"/>
          <w:sz w:val="22"/>
          <w:szCs w:val="22"/>
          <w:lang w:eastAsia="zh-CN" w:bidi="th-TH"/>
        </w:rPr>
        <w:t>ekovima (NSAIL) i sistemskim kortikosteroidima. L</w:t>
      </w:r>
      <w:r w:rsidR="00B239C4" w:rsidRPr="00C65707">
        <w:rPr>
          <w:rFonts w:eastAsia="SimSun"/>
          <w:sz w:val="22"/>
          <w:szCs w:val="22"/>
          <w:lang w:eastAsia="zh-CN" w:bidi="th-TH"/>
        </w:rPr>
        <w:t>ij</w:t>
      </w:r>
      <w:r w:rsidRPr="00C65707">
        <w:rPr>
          <w:rFonts w:eastAsia="SimSun"/>
          <w:sz w:val="22"/>
          <w:szCs w:val="22"/>
          <w:lang w:eastAsia="zh-CN" w:bidi="th-TH"/>
        </w:rPr>
        <w:t xml:space="preserve">ek </w:t>
      </w:r>
      <w:r w:rsidR="00B239C4" w:rsidRPr="00C65707">
        <w:rPr>
          <w:rFonts w:eastAsia="SimSun"/>
          <w:sz w:val="22"/>
          <w:szCs w:val="22"/>
          <w:lang w:eastAsia="zh-CN" w:bidi="th-TH"/>
        </w:rPr>
        <w:t>Ro</w:t>
      </w:r>
      <w:r w:rsidRPr="00C65707">
        <w:rPr>
          <w:rFonts w:eastAsia="SimSun"/>
          <w:sz w:val="22"/>
          <w:szCs w:val="22"/>
          <w:lang w:eastAsia="zh-CN" w:bidi="th-TH"/>
        </w:rPr>
        <w:t>Actemra se može prim</w:t>
      </w:r>
      <w:r w:rsidR="006031B6" w:rsidRPr="00C65707">
        <w:rPr>
          <w:rFonts w:eastAsia="SimSun"/>
          <w:sz w:val="22"/>
          <w:szCs w:val="22"/>
          <w:lang w:eastAsia="zh-CN" w:bidi="th-TH"/>
        </w:rPr>
        <w:t>ij</w:t>
      </w:r>
      <w:r w:rsidRPr="00C65707">
        <w:rPr>
          <w:rFonts w:eastAsia="SimSun"/>
          <w:sz w:val="22"/>
          <w:szCs w:val="22"/>
          <w:lang w:eastAsia="zh-CN" w:bidi="th-TH"/>
        </w:rPr>
        <w:t xml:space="preserve">eniti kao monoterapija (u slučaju intolerancije na MTX ili neadekvatnog odogovora na terapiju </w:t>
      </w:r>
      <w:r w:rsidR="008E438B" w:rsidRPr="00C65707">
        <w:rPr>
          <w:rFonts w:eastAsia="SimSun"/>
          <w:sz w:val="22"/>
          <w:szCs w:val="22"/>
          <w:lang w:eastAsia="zh-CN" w:bidi="th-TH"/>
        </w:rPr>
        <w:t>MTX-om</w:t>
      </w:r>
      <w:r w:rsidRPr="00C65707">
        <w:rPr>
          <w:rFonts w:eastAsia="SimSun"/>
          <w:sz w:val="22"/>
          <w:szCs w:val="22"/>
          <w:lang w:eastAsia="zh-CN" w:bidi="th-TH"/>
        </w:rPr>
        <w:t>) ili u kombinaciji sa MTX</w:t>
      </w:r>
      <w:r w:rsidR="008E438B" w:rsidRPr="00C65707">
        <w:rPr>
          <w:rFonts w:eastAsia="SimSun"/>
          <w:sz w:val="22"/>
          <w:szCs w:val="22"/>
          <w:lang w:eastAsia="zh-CN" w:bidi="th-TH"/>
        </w:rPr>
        <w:t>-om</w:t>
      </w:r>
      <w:r w:rsidRPr="00C65707">
        <w:rPr>
          <w:rFonts w:eastAsia="SimSun"/>
          <w:sz w:val="22"/>
          <w:szCs w:val="22"/>
          <w:lang w:eastAsia="zh-CN" w:bidi="th-TH"/>
        </w:rPr>
        <w:t>.</w:t>
      </w:r>
    </w:p>
    <w:p w14:paraId="3A6F7F13" w14:textId="1C580E78" w:rsidR="00C65707" w:rsidRDefault="008E438B" w:rsidP="00C65707">
      <w:pPr>
        <w:widowControl w:val="0"/>
        <w:jc w:val="both"/>
        <w:rPr>
          <w:rFonts w:eastAsia="SimSun"/>
          <w:sz w:val="22"/>
          <w:szCs w:val="22"/>
          <w:lang w:eastAsia="zh-CN" w:bidi="th-TH"/>
        </w:rPr>
      </w:pPr>
      <w:r w:rsidRPr="00C65707">
        <w:rPr>
          <w:rFonts w:eastAsia="SimSun"/>
          <w:sz w:val="22"/>
          <w:szCs w:val="22"/>
          <w:lang w:eastAsia="zh-CN" w:bidi="th-TH"/>
        </w:rPr>
        <w:br/>
      </w:r>
      <w:r w:rsidRPr="005B21F5">
        <w:rPr>
          <w:rFonts w:eastAsia="SimSun"/>
          <w:sz w:val="22"/>
          <w:szCs w:val="22"/>
          <w:u w:val="single"/>
          <w:lang w:eastAsia="zh-CN" w:bidi="th-TH"/>
        </w:rPr>
        <w:t>Juvenilni idiopatski poliartritis (pJIA)</w:t>
      </w:r>
      <w:r w:rsidR="00EF6E89" w:rsidRPr="00C65707">
        <w:rPr>
          <w:rFonts w:eastAsia="SimSun"/>
          <w:sz w:val="22"/>
          <w:szCs w:val="22"/>
          <w:lang w:eastAsia="zh-CN" w:bidi="th-TH"/>
        </w:rPr>
        <w:t xml:space="preserve"> </w:t>
      </w:r>
    </w:p>
    <w:p w14:paraId="2F3718F2" w14:textId="4373C359" w:rsidR="00EF6E89" w:rsidRPr="00C65707" w:rsidRDefault="00EF6E89" w:rsidP="00C65707">
      <w:pPr>
        <w:widowControl w:val="0"/>
        <w:jc w:val="both"/>
        <w:rPr>
          <w:rFonts w:eastAsia="SimSun"/>
          <w:sz w:val="22"/>
          <w:szCs w:val="22"/>
          <w:lang w:eastAsia="zh-CN" w:bidi="th-TH"/>
        </w:rPr>
      </w:pPr>
      <w:r w:rsidRPr="00C65707">
        <w:rPr>
          <w:rFonts w:eastAsia="SimSun"/>
          <w:sz w:val="22"/>
          <w:szCs w:val="22"/>
          <w:lang w:eastAsia="zh-CN" w:bidi="th-TH"/>
        </w:rPr>
        <w:t>RoActemra u kombinaciji sa MTX</w:t>
      </w:r>
      <w:r w:rsidR="00563FBF" w:rsidRPr="00C65707">
        <w:rPr>
          <w:rFonts w:eastAsia="SimSun"/>
          <w:sz w:val="22"/>
          <w:szCs w:val="22"/>
          <w:lang w:eastAsia="zh-CN" w:bidi="th-TH"/>
        </w:rPr>
        <w:t>-om</w:t>
      </w:r>
      <w:r w:rsidRPr="00C65707">
        <w:rPr>
          <w:rFonts w:eastAsia="SimSun"/>
          <w:sz w:val="22"/>
          <w:szCs w:val="22"/>
          <w:lang w:eastAsia="zh-CN" w:bidi="th-TH"/>
        </w:rPr>
        <w:t xml:space="preserve"> je indikovan za lij</w:t>
      </w:r>
      <w:r w:rsidR="00045FBA" w:rsidRPr="00C65707">
        <w:rPr>
          <w:rFonts w:eastAsia="SimSun"/>
          <w:sz w:val="22"/>
          <w:szCs w:val="22"/>
          <w:lang w:eastAsia="zh-CN" w:bidi="th-TH"/>
        </w:rPr>
        <w:t xml:space="preserve">ečenje poliartikularnog </w:t>
      </w:r>
      <w:r w:rsidRPr="00C65707">
        <w:rPr>
          <w:rFonts w:eastAsia="SimSun"/>
          <w:sz w:val="22"/>
          <w:szCs w:val="22"/>
          <w:lang w:eastAsia="zh-CN" w:bidi="th-TH"/>
        </w:rPr>
        <w:t>juvenilnog idiopatskog artritisa (pJIA; pozitivnog ili negativnog na reumatoidni faktor i produženi oligoartritis) kod pacijenata uzrasta 2 godine i starijih, koji ni</w:t>
      </w:r>
      <w:r w:rsidR="000A085D" w:rsidRPr="00C65707">
        <w:rPr>
          <w:rFonts w:eastAsia="SimSun"/>
          <w:sz w:val="22"/>
          <w:szCs w:val="22"/>
          <w:lang w:eastAsia="zh-CN" w:bidi="th-TH"/>
        </w:rPr>
        <w:t>je</w:t>
      </w:r>
      <w:r w:rsidRPr="00C65707">
        <w:rPr>
          <w:rFonts w:eastAsia="SimSun"/>
          <w:sz w:val="22"/>
          <w:szCs w:val="22"/>
          <w:lang w:eastAsia="zh-CN" w:bidi="th-TH"/>
        </w:rPr>
        <w:t>su adekvatno odgovorili na prethodnu terapiju MTX</w:t>
      </w:r>
      <w:r w:rsidR="00563FBF" w:rsidRPr="00C65707">
        <w:rPr>
          <w:rFonts w:eastAsia="SimSun"/>
          <w:sz w:val="22"/>
          <w:szCs w:val="22"/>
          <w:lang w:eastAsia="zh-CN" w:bidi="th-TH"/>
        </w:rPr>
        <w:t>-om</w:t>
      </w:r>
      <w:r w:rsidRPr="00C65707">
        <w:rPr>
          <w:rFonts w:eastAsia="SimSun"/>
          <w:sz w:val="22"/>
          <w:szCs w:val="22"/>
          <w:lang w:eastAsia="zh-CN" w:bidi="th-TH"/>
        </w:rPr>
        <w:t>.</w:t>
      </w:r>
      <w:r w:rsidR="00C65707">
        <w:rPr>
          <w:rFonts w:eastAsia="SimSun"/>
          <w:sz w:val="22"/>
          <w:szCs w:val="22"/>
          <w:lang w:eastAsia="zh-CN" w:bidi="th-TH"/>
        </w:rPr>
        <w:t xml:space="preserve"> </w:t>
      </w:r>
      <w:r w:rsidRPr="00C65707">
        <w:rPr>
          <w:rFonts w:eastAsia="SimSun"/>
          <w:sz w:val="22"/>
          <w:szCs w:val="22"/>
          <w:lang w:eastAsia="zh-CN" w:bidi="th-TH"/>
        </w:rPr>
        <w:t>Lijek RoActemra se može primijeniti kao monoterapija u slučaju nepodnošljivosti MTX</w:t>
      </w:r>
      <w:r w:rsidR="00563FBF" w:rsidRPr="002B3647">
        <w:rPr>
          <w:rFonts w:eastAsia="SimSun"/>
          <w:sz w:val="22"/>
          <w:szCs w:val="22"/>
          <w:lang w:eastAsia="zh-CN" w:bidi="th-TH"/>
        </w:rPr>
        <w:t>-a</w:t>
      </w:r>
      <w:r w:rsidRPr="002B3647">
        <w:rPr>
          <w:rFonts w:eastAsia="SimSun"/>
          <w:sz w:val="22"/>
          <w:szCs w:val="22"/>
          <w:lang w:eastAsia="zh-CN" w:bidi="th-TH"/>
        </w:rPr>
        <w:t xml:space="preserve"> ili u slučajevima </w:t>
      </w:r>
      <w:r w:rsidRPr="002B3647">
        <w:rPr>
          <w:rFonts w:eastAsia="SimSun"/>
          <w:sz w:val="22"/>
          <w:szCs w:val="22"/>
          <w:lang w:eastAsia="zh-CN" w:bidi="th-TH"/>
        </w:rPr>
        <w:lastRenderedPageBreak/>
        <w:t>kada nastavak liječenja MTX</w:t>
      </w:r>
      <w:r w:rsidR="00563FBF" w:rsidRPr="00C65707">
        <w:rPr>
          <w:rFonts w:eastAsia="SimSun"/>
          <w:sz w:val="22"/>
          <w:szCs w:val="22"/>
          <w:lang w:eastAsia="zh-CN" w:bidi="th-TH"/>
        </w:rPr>
        <w:t>-om</w:t>
      </w:r>
      <w:r w:rsidRPr="00C65707">
        <w:rPr>
          <w:rFonts w:eastAsia="SimSun"/>
          <w:sz w:val="22"/>
          <w:szCs w:val="22"/>
          <w:lang w:eastAsia="zh-CN" w:bidi="th-TH"/>
        </w:rPr>
        <w:t xml:space="preserve"> nije indikovan.</w:t>
      </w:r>
    </w:p>
    <w:p w14:paraId="6FC4B562" w14:textId="4F283F4C" w:rsidR="00EF6E89" w:rsidRPr="00CE5678" w:rsidRDefault="00563FBF" w:rsidP="00C65707">
      <w:pPr>
        <w:pStyle w:val="Header"/>
        <w:widowControl w:val="0"/>
        <w:tabs>
          <w:tab w:val="left" w:pos="284"/>
        </w:tabs>
        <w:jc w:val="both"/>
        <w:rPr>
          <w:sz w:val="22"/>
          <w:szCs w:val="22"/>
          <w:u w:val="single"/>
        </w:rPr>
      </w:pPr>
      <w:r w:rsidRPr="00C65707">
        <w:rPr>
          <w:sz w:val="22"/>
          <w:szCs w:val="22"/>
        </w:rPr>
        <w:br/>
      </w:r>
      <w:r w:rsidRPr="00CE5678">
        <w:rPr>
          <w:sz w:val="22"/>
          <w:szCs w:val="22"/>
          <w:u w:val="single"/>
        </w:rPr>
        <w:t xml:space="preserve">Arteritis </w:t>
      </w:r>
      <w:r w:rsidR="00791687" w:rsidRPr="00CE5678">
        <w:rPr>
          <w:sz w:val="22"/>
          <w:szCs w:val="22"/>
          <w:u w:val="single"/>
        </w:rPr>
        <w:t>džinovskih</w:t>
      </w:r>
      <w:r w:rsidRPr="00CE5678">
        <w:rPr>
          <w:sz w:val="22"/>
          <w:szCs w:val="22"/>
          <w:u w:val="single"/>
        </w:rPr>
        <w:t xml:space="preserve"> ćelija</w:t>
      </w:r>
      <w:r w:rsidR="00791687" w:rsidRPr="00CE5678">
        <w:rPr>
          <w:sz w:val="22"/>
          <w:szCs w:val="22"/>
          <w:u w:val="single"/>
        </w:rPr>
        <w:t xml:space="preserve"> </w:t>
      </w:r>
      <w:r w:rsidR="00C65707" w:rsidRPr="00CE5678">
        <w:rPr>
          <w:sz w:val="22"/>
          <w:szCs w:val="22"/>
          <w:u w:val="single"/>
        </w:rPr>
        <w:t>(GCA)</w:t>
      </w:r>
    </w:p>
    <w:p w14:paraId="686F56A7" w14:textId="792FD374" w:rsidR="00EF6E89" w:rsidRPr="002B3647" w:rsidRDefault="00EF6E89" w:rsidP="002B3647">
      <w:pPr>
        <w:pStyle w:val="Header"/>
        <w:widowControl w:val="0"/>
        <w:tabs>
          <w:tab w:val="left" w:pos="284"/>
        </w:tabs>
        <w:jc w:val="both"/>
        <w:rPr>
          <w:sz w:val="22"/>
          <w:szCs w:val="22"/>
        </w:rPr>
      </w:pPr>
      <w:r w:rsidRPr="002B3647">
        <w:rPr>
          <w:sz w:val="22"/>
          <w:szCs w:val="22"/>
        </w:rPr>
        <w:t>RoActemra je indikovana za liječenje art</w:t>
      </w:r>
      <w:r w:rsidR="00791687" w:rsidRPr="002B3647">
        <w:rPr>
          <w:sz w:val="22"/>
          <w:szCs w:val="22"/>
        </w:rPr>
        <w:t>e</w:t>
      </w:r>
      <w:r w:rsidRPr="002B3647">
        <w:rPr>
          <w:sz w:val="22"/>
          <w:szCs w:val="22"/>
        </w:rPr>
        <w:t>ritisa džinovskih ćelija (</w:t>
      </w:r>
      <w:r w:rsidRPr="002B3647">
        <w:rPr>
          <w:i/>
          <w:iCs/>
          <w:sz w:val="22"/>
          <w:szCs w:val="22"/>
        </w:rPr>
        <w:t>engl. giant cell arteritis, GCA</w:t>
      </w:r>
      <w:r w:rsidRPr="002B3647">
        <w:rPr>
          <w:sz w:val="22"/>
          <w:szCs w:val="22"/>
        </w:rPr>
        <w:t>) kod odraslih pacijenata.</w:t>
      </w:r>
    </w:p>
    <w:p w14:paraId="125C2DCC" w14:textId="77777777" w:rsidR="00411B4B" w:rsidRPr="002B3647" w:rsidRDefault="00411B4B" w:rsidP="00CE5678">
      <w:pPr>
        <w:widowControl w:val="0"/>
        <w:tabs>
          <w:tab w:val="left" w:pos="540"/>
          <w:tab w:val="left" w:pos="569"/>
        </w:tabs>
        <w:jc w:val="both"/>
        <w:rPr>
          <w:bCs/>
          <w:sz w:val="22"/>
          <w:szCs w:val="22"/>
        </w:rPr>
      </w:pPr>
    </w:p>
    <w:p w14:paraId="75559883" w14:textId="77777777" w:rsidR="00411B4B" w:rsidRPr="00C65707" w:rsidRDefault="00411B4B" w:rsidP="00CE5678">
      <w:pPr>
        <w:widowControl w:val="0"/>
        <w:tabs>
          <w:tab w:val="left" w:pos="540"/>
          <w:tab w:val="left" w:pos="569"/>
        </w:tabs>
        <w:jc w:val="both"/>
        <w:rPr>
          <w:b/>
          <w:bCs/>
          <w:sz w:val="22"/>
          <w:szCs w:val="22"/>
        </w:rPr>
      </w:pPr>
      <w:r w:rsidRPr="00C65707">
        <w:rPr>
          <w:b/>
          <w:bCs/>
          <w:sz w:val="22"/>
          <w:szCs w:val="22"/>
        </w:rPr>
        <w:t xml:space="preserve">4.2. </w:t>
      </w:r>
      <w:r w:rsidR="00480FB1" w:rsidRPr="00C65707">
        <w:rPr>
          <w:b/>
          <w:bCs/>
          <w:sz w:val="22"/>
          <w:szCs w:val="22"/>
        </w:rPr>
        <w:tab/>
      </w:r>
      <w:r w:rsidRPr="00C65707">
        <w:rPr>
          <w:b/>
          <w:bCs/>
          <w:sz w:val="22"/>
          <w:szCs w:val="22"/>
        </w:rPr>
        <w:t>Doziranje i način primjene</w:t>
      </w:r>
    </w:p>
    <w:p w14:paraId="6FC8DCA3" w14:textId="77777777" w:rsidR="0072020E" w:rsidRPr="00C65707" w:rsidRDefault="0072020E" w:rsidP="00CE5678">
      <w:pPr>
        <w:widowControl w:val="0"/>
        <w:tabs>
          <w:tab w:val="left" w:pos="540"/>
          <w:tab w:val="left" w:pos="569"/>
        </w:tabs>
        <w:jc w:val="both"/>
        <w:rPr>
          <w:bCs/>
          <w:sz w:val="22"/>
          <w:szCs w:val="22"/>
        </w:rPr>
      </w:pPr>
    </w:p>
    <w:p w14:paraId="07C54D95" w14:textId="6AAFAD12" w:rsidR="00EF6E89" w:rsidRPr="00C65707" w:rsidRDefault="00EF6E89" w:rsidP="00CE5678">
      <w:pPr>
        <w:widowControl w:val="0"/>
        <w:tabs>
          <w:tab w:val="left" w:pos="540"/>
          <w:tab w:val="left" w:pos="569"/>
        </w:tabs>
        <w:jc w:val="both"/>
        <w:rPr>
          <w:bCs/>
          <w:sz w:val="22"/>
          <w:szCs w:val="22"/>
        </w:rPr>
      </w:pPr>
      <w:r w:rsidRPr="00C65707">
        <w:rPr>
          <w:bCs/>
          <w:sz w:val="22"/>
          <w:szCs w:val="22"/>
        </w:rPr>
        <w:t>Su</w:t>
      </w:r>
      <w:r w:rsidR="00E47234" w:rsidRPr="00C65707">
        <w:rPr>
          <w:bCs/>
          <w:sz w:val="22"/>
          <w:szCs w:val="22"/>
        </w:rPr>
        <w:t>b</w:t>
      </w:r>
      <w:r w:rsidRPr="00C65707">
        <w:rPr>
          <w:bCs/>
          <w:sz w:val="22"/>
          <w:szCs w:val="22"/>
        </w:rPr>
        <w:t xml:space="preserve">kutana formulacija tocilizumaba primjenjuje se napunjenim injekcionim špricem za jednokratnu upotrebu koji ima sigurnosni dio za iglu (PFS+NSD). Terapiju treba da započnu zdravstveni radnici koji su iskusni u dijagnostikovanju i terapiji RA, </w:t>
      </w:r>
      <w:r w:rsidR="00AE71C3" w:rsidRPr="00C65707">
        <w:rPr>
          <w:bCs/>
          <w:sz w:val="22"/>
          <w:szCs w:val="22"/>
        </w:rPr>
        <w:t xml:space="preserve">sJIA, </w:t>
      </w:r>
      <w:r w:rsidRPr="00C65707">
        <w:rPr>
          <w:bCs/>
          <w:sz w:val="22"/>
          <w:szCs w:val="22"/>
        </w:rPr>
        <w:t>pJIA i/ili GCA. Prv</w:t>
      </w:r>
      <w:r w:rsidR="00791687" w:rsidRPr="00C65707">
        <w:rPr>
          <w:bCs/>
          <w:sz w:val="22"/>
          <w:szCs w:val="22"/>
        </w:rPr>
        <w:t>a</w:t>
      </w:r>
      <w:r w:rsidRPr="00C65707">
        <w:rPr>
          <w:bCs/>
          <w:sz w:val="22"/>
          <w:szCs w:val="22"/>
        </w:rPr>
        <w:t xml:space="preserve"> injekcij</w:t>
      </w:r>
      <w:r w:rsidR="00791687" w:rsidRPr="00C65707">
        <w:rPr>
          <w:bCs/>
          <w:sz w:val="22"/>
          <w:szCs w:val="22"/>
        </w:rPr>
        <w:t>a se</w:t>
      </w:r>
      <w:r w:rsidRPr="00C65707">
        <w:rPr>
          <w:bCs/>
          <w:sz w:val="22"/>
          <w:szCs w:val="22"/>
        </w:rPr>
        <w:t xml:space="preserve"> </w:t>
      </w:r>
      <w:r w:rsidR="00791687" w:rsidRPr="00C65707">
        <w:rPr>
          <w:bCs/>
          <w:sz w:val="22"/>
          <w:szCs w:val="22"/>
        </w:rPr>
        <w:t xml:space="preserve">mora </w:t>
      </w:r>
      <w:r w:rsidRPr="00C65707">
        <w:rPr>
          <w:bCs/>
          <w:sz w:val="22"/>
          <w:szCs w:val="22"/>
        </w:rPr>
        <w:t>primijeniti pod nadzorom kvalifikovanog zdravstvenog radnika. Pacijent</w:t>
      </w:r>
      <w:r w:rsidR="00AE71C3" w:rsidRPr="00C65707">
        <w:rPr>
          <w:sz w:val="22"/>
          <w:szCs w:val="22"/>
          <w:lang w:eastAsia="ja-JP"/>
        </w:rPr>
        <w:t xml:space="preserve"> ili roditelj/staratelj</w:t>
      </w:r>
      <w:r w:rsidRPr="00C65707">
        <w:rPr>
          <w:bCs/>
          <w:sz w:val="22"/>
          <w:szCs w:val="22"/>
        </w:rPr>
        <w:t xml:space="preserve"> može samostalno primjenjivati injekcije lijeka</w:t>
      </w:r>
      <w:r w:rsidR="00791687" w:rsidRPr="00C65707">
        <w:rPr>
          <w:bCs/>
          <w:sz w:val="22"/>
          <w:szCs w:val="22"/>
        </w:rPr>
        <w:t>,</w:t>
      </w:r>
      <w:r w:rsidRPr="00C65707">
        <w:rPr>
          <w:bCs/>
          <w:sz w:val="22"/>
          <w:szCs w:val="22"/>
        </w:rPr>
        <w:t xml:space="preserve"> samo ako ljekar utvrdi da je to prikladno i pacijent</w:t>
      </w:r>
      <w:r w:rsidR="00AE71C3" w:rsidRPr="00C65707">
        <w:rPr>
          <w:sz w:val="22"/>
          <w:szCs w:val="22"/>
          <w:lang w:eastAsia="ja-JP"/>
        </w:rPr>
        <w:t xml:space="preserve"> ili roditelj/staratelj</w:t>
      </w:r>
      <w:r w:rsidRPr="00C65707">
        <w:rPr>
          <w:bCs/>
          <w:sz w:val="22"/>
          <w:szCs w:val="22"/>
        </w:rPr>
        <w:t xml:space="preserve"> pristane na medicinsko praćenje prema potrebi i ako je prošao obuku pravilne tehnike injektovanja.</w:t>
      </w:r>
    </w:p>
    <w:p w14:paraId="373E040D" w14:textId="77777777" w:rsidR="00EF6E89" w:rsidRPr="00C65707" w:rsidRDefault="00EF6E89" w:rsidP="00CE5678">
      <w:pPr>
        <w:widowControl w:val="0"/>
        <w:tabs>
          <w:tab w:val="left" w:pos="540"/>
          <w:tab w:val="left" w:pos="569"/>
        </w:tabs>
        <w:jc w:val="both"/>
        <w:rPr>
          <w:bCs/>
          <w:sz w:val="22"/>
          <w:szCs w:val="22"/>
        </w:rPr>
      </w:pPr>
    </w:p>
    <w:p w14:paraId="612E4608" w14:textId="1929F316" w:rsidR="00EF6E89" w:rsidRPr="002B3647" w:rsidRDefault="00EF6E89" w:rsidP="00CE5678">
      <w:pPr>
        <w:widowControl w:val="0"/>
        <w:tabs>
          <w:tab w:val="left" w:pos="540"/>
          <w:tab w:val="left" w:pos="569"/>
        </w:tabs>
        <w:jc w:val="both"/>
        <w:rPr>
          <w:bCs/>
          <w:sz w:val="22"/>
          <w:szCs w:val="22"/>
        </w:rPr>
      </w:pPr>
      <w:r w:rsidRPr="00C65707">
        <w:rPr>
          <w:bCs/>
          <w:sz w:val="22"/>
          <w:szCs w:val="22"/>
        </w:rPr>
        <w:t xml:space="preserve">Pacijenti koji prelaze sa intravenske na </w:t>
      </w:r>
      <w:r w:rsidR="00910BDC" w:rsidRPr="00C65707">
        <w:rPr>
          <w:bCs/>
          <w:sz w:val="22"/>
          <w:szCs w:val="22"/>
        </w:rPr>
        <w:t xml:space="preserve">subkutanu </w:t>
      </w:r>
      <w:r w:rsidRPr="00C65707">
        <w:rPr>
          <w:bCs/>
          <w:sz w:val="22"/>
          <w:szCs w:val="22"/>
        </w:rPr>
        <w:t xml:space="preserve">terapiju tocilizumabom, prvu </w:t>
      </w:r>
      <w:r w:rsidR="00910BDC" w:rsidRPr="00C65707">
        <w:rPr>
          <w:bCs/>
          <w:sz w:val="22"/>
          <w:szCs w:val="22"/>
        </w:rPr>
        <w:t xml:space="preserve">subkutanu </w:t>
      </w:r>
      <w:r w:rsidRPr="00C65707">
        <w:rPr>
          <w:bCs/>
          <w:sz w:val="22"/>
          <w:szCs w:val="22"/>
        </w:rPr>
        <w:t>dozu treba da prime kada je prema režimu doziranja predviđena sl</w:t>
      </w:r>
      <w:r w:rsidR="002B3647">
        <w:rPr>
          <w:bCs/>
          <w:sz w:val="22"/>
          <w:szCs w:val="22"/>
        </w:rPr>
        <w:t>j</w:t>
      </w:r>
      <w:r w:rsidRPr="002B3647">
        <w:rPr>
          <w:bCs/>
          <w:sz w:val="22"/>
          <w:szCs w:val="22"/>
        </w:rPr>
        <w:t>edeća intravenska doza i to pod nadzorom kvalifikovanog zdravstvenog radnika.</w:t>
      </w:r>
    </w:p>
    <w:p w14:paraId="47417C8B" w14:textId="77777777" w:rsidR="00EF6E89" w:rsidRPr="00C65707" w:rsidRDefault="00EF6E89" w:rsidP="00CE5678">
      <w:pPr>
        <w:widowControl w:val="0"/>
        <w:tabs>
          <w:tab w:val="left" w:pos="540"/>
          <w:tab w:val="left" w:pos="569"/>
        </w:tabs>
        <w:jc w:val="both"/>
        <w:rPr>
          <w:bCs/>
          <w:sz w:val="22"/>
          <w:szCs w:val="22"/>
        </w:rPr>
      </w:pPr>
    </w:p>
    <w:p w14:paraId="3653BFF5" w14:textId="47ED1425" w:rsidR="00EF6E89" w:rsidRPr="00C65707" w:rsidRDefault="00045FBA" w:rsidP="00CE5678">
      <w:pPr>
        <w:widowControl w:val="0"/>
        <w:tabs>
          <w:tab w:val="left" w:pos="540"/>
          <w:tab w:val="left" w:pos="569"/>
        </w:tabs>
        <w:jc w:val="both"/>
        <w:rPr>
          <w:bCs/>
          <w:sz w:val="22"/>
          <w:szCs w:val="22"/>
        </w:rPr>
      </w:pPr>
      <w:r w:rsidRPr="00C65707">
        <w:rPr>
          <w:bCs/>
          <w:sz w:val="22"/>
          <w:szCs w:val="22"/>
        </w:rPr>
        <w:t xml:space="preserve">Svi </w:t>
      </w:r>
      <w:r w:rsidR="00EF6E89" w:rsidRPr="00C65707">
        <w:rPr>
          <w:bCs/>
          <w:sz w:val="22"/>
          <w:szCs w:val="22"/>
        </w:rPr>
        <w:t>pacijenti koji primaju lijek RoActemra moraju dobiti od ljekara Karticu za pacijent</w:t>
      </w:r>
      <w:r w:rsidR="00791687" w:rsidRPr="00C65707">
        <w:rPr>
          <w:bCs/>
          <w:sz w:val="22"/>
          <w:szCs w:val="22"/>
        </w:rPr>
        <w:t>e</w:t>
      </w:r>
      <w:r w:rsidR="00EF6E89" w:rsidRPr="00C65707">
        <w:rPr>
          <w:bCs/>
          <w:sz w:val="22"/>
          <w:szCs w:val="22"/>
        </w:rPr>
        <w:t>. Treba procijeniti da li je subkutana primjena lijeka kod kuće pogodna za pacijenta ili roditelja/staratelja, te uputiti pacijenta, ili roditelja/staratelja, da se u slučaju pojave simptoma alergijske reakcije obrati zdravstvenom radniku prije primjene sljedeće doze. U slučaju pojave simptoma ozbiljnih alergijskih reakcija, pacijenti moraju odmah potražiti ljekarsku pomoć (vidjeti dio 4.4).</w:t>
      </w:r>
    </w:p>
    <w:p w14:paraId="553A4853" w14:textId="77777777" w:rsidR="00CC2B31" w:rsidRPr="00C65707" w:rsidRDefault="00CC2B31" w:rsidP="00C65707">
      <w:pPr>
        <w:widowControl w:val="0"/>
        <w:tabs>
          <w:tab w:val="left" w:pos="284"/>
          <w:tab w:val="center" w:pos="4320"/>
          <w:tab w:val="right" w:pos="8640"/>
        </w:tabs>
        <w:jc w:val="both"/>
        <w:rPr>
          <w:sz w:val="22"/>
          <w:szCs w:val="22"/>
        </w:rPr>
      </w:pPr>
    </w:p>
    <w:p w14:paraId="37F56D92" w14:textId="77777777" w:rsidR="00CC2B31" w:rsidRPr="00C65707" w:rsidRDefault="00CC2B31" w:rsidP="002B3647">
      <w:pPr>
        <w:widowControl w:val="0"/>
        <w:tabs>
          <w:tab w:val="left" w:pos="284"/>
          <w:tab w:val="center" w:pos="4320"/>
          <w:tab w:val="right" w:pos="8640"/>
        </w:tabs>
        <w:jc w:val="both"/>
        <w:rPr>
          <w:sz w:val="22"/>
          <w:szCs w:val="22"/>
          <w:u w:val="single"/>
        </w:rPr>
      </w:pPr>
      <w:r w:rsidRPr="00C65707">
        <w:rPr>
          <w:sz w:val="22"/>
          <w:szCs w:val="22"/>
          <w:u w:val="single"/>
        </w:rPr>
        <w:t>Doziranje</w:t>
      </w:r>
    </w:p>
    <w:p w14:paraId="48CA6999" w14:textId="77777777" w:rsidR="00EF6E89" w:rsidRPr="00C65707" w:rsidRDefault="00EF6E89" w:rsidP="00CE5678">
      <w:pPr>
        <w:widowControl w:val="0"/>
        <w:tabs>
          <w:tab w:val="left" w:pos="540"/>
          <w:tab w:val="left" w:pos="569"/>
        </w:tabs>
        <w:jc w:val="both"/>
        <w:rPr>
          <w:bCs/>
          <w:sz w:val="22"/>
          <w:szCs w:val="22"/>
          <w:u w:val="single"/>
        </w:rPr>
      </w:pPr>
    </w:p>
    <w:p w14:paraId="345F99AD" w14:textId="262D3CF9" w:rsidR="00CC2B31" w:rsidRPr="00C65707" w:rsidRDefault="0033340E" w:rsidP="00C65707">
      <w:pPr>
        <w:widowControl w:val="0"/>
        <w:tabs>
          <w:tab w:val="left" w:pos="284"/>
          <w:tab w:val="center" w:pos="4320"/>
          <w:tab w:val="right" w:pos="8640"/>
        </w:tabs>
        <w:jc w:val="both"/>
        <w:rPr>
          <w:b/>
          <w:sz w:val="22"/>
          <w:szCs w:val="22"/>
          <w:u w:val="single"/>
        </w:rPr>
      </w:pPr>
      <w:r w:rsidRPr="00C65707">
        <w:rPr>
          <w:b/>
          <w:sz w:val="22"/>
          <w:szCs w:val="22"/>
          <w:u w:val="single"/>
        </w:rPr>
        <w:t xml:space="preserve">Pacijenti sa </w:t>
      </w:r>
      <w:r w:rsidR="00CC2B31" w:rsidRPr="00C65707">
        <w:rPr>
          <w:b/>
          <w:sz w:val="22"/>
          <w:szCs w:val="22"/>
          <w:u w:val="single"/>
        </w:rPr>
        <w:t>RA</w:t>
      </w:r>
    </w:p>
    <w:p w14:paraId="529740F0" w14:textId="3ACFFC62" w:rsidR="00CC2B31" w:rsidRPr="002B3647" w:rsidRDefault="00CC2B31" w:rsidP="002B3647">
      <w:pPr>
        <w:widowControl w:val="0"/>
        <w:jc w:val="both"/>
        <w:rPr>
          <w:sz w:val="22"/>
          <w:szCs w:val="22"/>
        </w:rPr>
      </w:pPr>
      <w:r w:rsidRPr="00C65707">
        <w:rPr>
          <w:sz w:val="22"/>
          <w:szCs w:val="22"/>
        </w:rPr>
        <w:t>Preporučena doza iznosi 162 mg su</w:t>
      </w:r>
      <w:r w:rsidR="002B3647">
        <w:rPr>
          <w:sz w:val="22"/>
          <w:szCs w:val="22"/>
        </w:rPr>
        <w:t>b</w:t>
      </w:r>
      <w:r w:rsidRPr="002B3647">
        <w:rPr>
          <w:sz w:val="22"/>
          <w:szCs w:val="22"/>
        </w:rPr>
        <w:t xml:space="preserve">kutano jedanput nedjeljno. </w:t>
      </w:r>
    </w:p>
    <w:p w14:paraId="0FA30EC8" w14:textId="77777777" w:rsidR="00CC2B31" w:rsidRPr="00C65707" w:rsidRDefault="00CC2B31">
      <w:pPr>
        <w:widowControl w:val="0"/>
        <w:jc w:val="both"/>
        <w:rPr>
          <w:sz w:val="22"/>
          <w:szCs w:val="22"/>
        </w:rPr>
      </w:pPr>
    </w:p>
    <w:p w14:paraId="7D7ACF17" w14:textId="5811FD2A" w:rsidR="00CC2B31" w:rsidRPr="002B3647" w:rsidRDefault="00CC2B31">
      <w:pPr>
        <w:widowControl w:val="0"/>
        <w:jc w:val="both"/>
        <w:rPr>
          <w:sz w:val="22"/>
          <w:szCs w:val="22"/>
        </w:rPr>
      </w:pPr>
      <w:r w:rsidRPr="00C65707">
        <w:rPr>
          <w:sz w:val="22"/>
          <w:szCs w:val="22"/>
        </w:rPr>
        <w:t xml:space="preserve">Ograničeni su podaci o prelasku pacijenata sa formulacije </w:t>
      </w:r>
      <w:r w:rsidR="00791687" w:rsidRPr="00C65707">
        <w:rPr>
          <w:sz w:val="22"/>
          <w:szCs w:val="22"/>
        </w:rPr>
        <w:t>tocilizumaba</w:t>
      </w:r>
      <w:r w:rsidRPr="00C65707">
        <w:rPr>
          <w:sz w:val="22"/>
          <w:szCs w:val="22"/>
        </w:rPr>
        <w:t xml:space="preserve"> za intravensku primjenu na formulaciju </w:t>
      </w:r>
      <w:r w:rsidR="00791687" w:rsidRPr="00C65707">
        <w:rPr>
          <w:sz w:val="22"/>
          <w:szCs w:val="22"/>
        </w:rPr>
        <w:t>tocilizumaba</w:t>
      </w:r>
      <w:r w:rsidRPr="00C65707">
        <w:rPr>
          <w:sz w:val="22"/>
          <w:szCs w:val="22"/>
        </w:rPr>
        <w:t xml:space="preserve"> u fiksnoj dozi za su</w:t>
      </w:r>
      <w:r w:rsidR="002B3647">
        <w:rPr>
          <w:sz w:val="22"/>
          <w:szCs w:val="22"/>
        </w:rPr>
        <w:t>b</w:t>
      </w:r>
      <w:r w:rsidRPr="002B3647">
        <w:rPr>
          <w:sz w:val="22"/>
          <w:szCs w:val="22"/>
        </w:rPr>
        <w:t>kutanu primjenu. Treba se pridržavati intervala doziranja jedanput nedjeljno.</w:t>
      </w:r>
    </w:p>
    <w:p w14:paraId="6B67ADA6" w14:textId="77777777" w:rsidR="00CC2B31" w:rsidRPr="00C65707" w:rsidRDefault="00CC2B31">
      <w:pPr>
        <w:widowControl w:val="0"/>
        <w:jc w:val="both"/>
        <w:rPr>
          <w:sz w:val="22"/>
          <w:szCs w:val="22"/>
        </w:rPr>
      </w:pPr>
    </w:p>
    <w:p w14:paraId="037DA2BC" w14:textId="790CCB05" w:rsidR="00CC2B31" w:rsidRPr="002B3647" w:rsidRDefault="00CC2B31">
      <w:pPr>
        <w:widowControl w:val="0"/>
        <w:jc w:val="both"/>
        <w:rPr>
          <w:sz w:val="22"/>
          <w:szCs w:val="22"/>
        </w:rPr>
      </w:pPr>
      <w:r w:rsidRPr="00C65707">
        <w:rPr>
          <w:sz w:val="22"/>
          <w:szCs w:val="22"/>
        </w:rPr>
        <w:t>Pacijenti koji prelaze sa intravenske na su</w:t>
      </w:r>
      <w:r w:rsidR="002B3647">
        <w:rPr>
          <w:sz w:val="22"/>
          <w:szCs w:val="22"/>
        </w:rPr>
        <w:t>b</w:t>
      </w:r>
      <w:r w:rsidRPr="002B3647">
        <w:rPr>
          <w:sz w:val="22"/>
          <w:szCs w:val="22"/>
        </w:rPr>
        <w:t>kutanu formulaciju lijeka moraju prvu su</w:t>
      </w:r>
      <w:r w:rsidR="002B3647">
        <w:rPr>
          <w:sz w:val="22"/>
          <w:szCs w:val="22"/>
        </w:rPr>
        <w:t>b</w:t>
      </w:r>
      <w:r w:rsidRPr="002B3647">
        <w:rPr>
          <w:sz w:val="22"/>
          <w:szCs w:val="22"/>
        </w:rPr>
        <w:t>kutanu dozu, koju primjenjuju umjesto sljedeće planirane intravenske doze, primijeniti pod nadzorom kvalifikovanog zdravstvenog radnika.</w:t>
      </w:r>
    </w:p>
    <w:p w14:paraId="05D8A94B" w14:textId="77777777" w:rsidR="00CC2B31" w:rsidRPr="00C65707" w:rsidRDefault="00CC2B31">
      <w:pPr>
        <w:widowControl w:val="0"/>
        <w:tabs>
          <w:tab w:val="left" w:pos="284"/>
          <w:tab w:val="center" w:pos="4320"/>
          <w:tab w:val="right" w:pos="8640"/>
        </w:tabs>
        <w:jc w:val="both"/>
        <w:rPr>
          <w:sz w:val="22"/>
          <w:szCs w:val="22"/>
        </w:rPr>
      </w:pPr>
    </w:p>
    <w:p w14:paraId="63E34F0D" w14:textId="560F146B" w:rsidR="00CC2B31" w:rsidRPr="00C65707" w:rsidRDefault="00CC2B31">
      <w:pPr>
        <w:widowControl w:val="0"/>
        <w:tabs>
          <w:tab w:val="left" w:pos="284"/>
          <w:tab w:val="center" w:pos="4320"/>
          <w:tab w:val="right" w:pos="8640"/>
        </w:tabs>
        <w:jc w:val="both"/>
        <w:rPr>
          <w:b/>
          <w:sz w:val="22"/>
          <w:szCs w:val="22"/>
          <w:u w:val="single"/>
        </w:rPr>
      </w:pPr>
      <w:r w:rsidRPr="00C65707">
        <w:rPr>
          <w:b/>
          <w:sz w:val="22"/>
          <w:szCs w:val="22"/>
          <w:u w:val="single"/>
        </w:rPr>
        <w:t>GCA</w:t>
      </w:r>
    </w:p>
    <w:p w14:paraId="225C9764" w14:textId="7AD56D1C" w:rsidR="00CC2B31" w:rsidRPr="00C65707" w:rsidRDefault="00CC2B31">
      <w:pPr>
        <w:widowControl w:val="0"/>
        <w:tabs>
          <w:tab w:val="left" w:pos="284"/>
          <w:tab w:val="center" w:pos="4320"/>
          <w:tab w:val="right" w:pos="8640"/>
        </w:tabs>
        <w:jc w:val="both"/>
        <w:rPr>
          <w:sz w:val="22"/>
          <w:szCs w:val="22"/>
        </w:rPr>
      </w:pPr>
      <w:r w:rsidRPr="00C65707">
        <w:rPr>
          <w:sz w:val="22"/>
          <w:szCs w:val="22"/>
        </w:rPr>
        <w:t>Preporučena doza iznosi 162 mg su</w:t>
      </w:r>
      <w:r w:rsidR="002B3647">
        <w:rPr>
          <w:sz w:val="22"/>
          <w:szCs w:val="22"/>
        </w:rPr>
        <w:t>b</w:t>
      </w:r>
      <w:r w:rsidRPr="002B3647">
        <w:rPr>
          <w:sz w:val="22"/>
          <w:szCs w:val="22"/>
        </w:rPr>
        <w:t xml:space="preserve">kutano jedanput nedjeljno u kombinaciji sa glukokortikoidom čija se doza postupno smanjuje. </w:t>
      </w:r>
      <w:r w:rsidR="00791687" w:rsidRPr="00C65707">
        <w:rPr>
          <w:sz w:val="22"/>
          <w:szCs w:val="22"/>
        </w:rPr>
        <w:t>Ovaj lijek</w:t>
      </w:r>
      <w:r w:rsidRPr="00C65707">
        <w:rPr>
          <w:sz w:val="22"/>
          <w:szCs w:val="22"/>
        </w:rPr>
        <w:t xml:space="preserve"> se nakon prekida primjene glukokortikoida može primjenjivati u monoterapiji. </w:t>
      </w:r>
    </w:p>
    <w:p w14:paraId="55289FDC" w14:textId="77777777" w:rsidR="00CC2B31" w:rsidRPr="00C65707" w:rsidRDefault="00CC2B31">
      <w:pPr>
        <w:widowControl w:val="0"/>
        <w:tabs>
          <w:tab w:val="left" w:pos="284"/>
          <w:tab w:val="center" w:pos="4320"/>
          <w:tab w:val="right" w:pos="8640"/>
        </w:tabs>
        <w:jc w:val="both"/>
        <w:rPr>
          <w:sz w:val="22"/>
          <w:szCs w:val="22"/>
        </w:rPr>
      </w:pPr>
      <w:r w:rsidRPr="00C65707">
        <w:rPr>
          <w:sz w:val="22"/>
          <w:szCs w:val="22"/>
        </w:rPr>
        <w:t xml:space="preserve"> </w:t>
      </w:r>
    </w:p>
    <w:p w14:paraId="12898E2C" w14:textId="1E3CCC50" w:rsidR="00CC2B31" w:rsidRPr="00C65707" w:rsidRDefault="00791687">
      <w:pPr>
        <w:widowControl w:val="0"/>
        <w:tabs>
          <w:tab w:val="left" w:pos="284"/>
          <w:tab w:val="center" w:pos="4320"/>
          <w:tab w:val="right" w:pos="8640"/>
        </w:tabs>
        <w:jc w:val="both"/>
        <w:rPr>
          <w:sz w:val="22"/>
          <w:szCs w:val="22"/>
        </w:rPr>
      </w:pPr>
      <w:r w:rsidRPr="00C65707">
        <w:rPr>
          <w:sz w:val="22"/>
          <w:szCs w:val="22"/>
        </w:rPr>
        <w:t>Tocilizumab</w:t>
      </w:r>
      <w:r w:rsidR="00CC2B31" w:rsidRPr="00C65707">
        <w:rPr>
          <w:sz w:val="22"/>
          <w:szCs w:val="22"/>
        </w:rPr>
        <w:t xml:space="preserve"> se ne smije primjenjivati u monoterapiji za liječenje akutnih relapsa (vidjeti dio 4.4).</w:t>
      </w:r>
    </w:p>
    <w:p w14:paraId="421FD9E4" w14:textId="77777777" w:rsidR="00CC2B31" w:rsidRPr="00C65707" w:rsidRDefault="00CC2B31">
      <w:pPr>
        <w:widowControl w:val="0"/>
        <w:tabs>
          <w:tab w:val="left" w:pos="284"/>
          <w:tab w:val="center" w:pos="4320"/>
          <w:tab w:val="right" w:pos="8640"/>
        </w:tabs>
        <w:jc w:val="both"/>
        <w:rPr>
          <w:sz w:val="22"/>
          <w:szCs w:val="22"/>
        </w:rPr>
      </w:pPr>
      <w:r w:rsidRPr="00C65707">
        <w:rPr>
          <w:sz w:val="22"/>
          <w:szCs w:val="22"/>
        </w:rPr>
        <w:t xml:space="preserve"> </w:t>
      </w:r>
    </w:p>
    <w:p w14:paraId="5AF6EA9A" w14:textId="77777777" w:rsidR="00CC2B31" w:rsidRPr="00C65707" w:rsidRDefault="00CC2B31">
      <w:pPr>
        <w:widowControl w:val="0"/>
        <w:tabs>
          <w:tab w:val="left" w:pos="284"/>
          <w:tab w:val="center" w:pos="4320"/>
          <w:tab w:val="right" w:pos="8640"/>
        </w:tabs>
        <w:jc w:val="both"/>
        <w:rPr>
          <w:sz w:val="22"/>
          <w:szCs w:val="22"/>
        </w:rPr>
      </w:pPr>
      <w:r w:rsidRPr="00C65707">
        <w:rPr>
          <w:sz w:val="22"/>
          <w:szCs w:val="22"/>
        </w:rPr>
        <w:t>S obzirom na hroničnu prirodu GCA, liječenje duže od 52 nedjelje treba sprovoditi prema aktivnosti bolesti, procjeni ljekara i odabira pacijenta.</w:t>
      </w:r>
    </w:p>
    <w:p w14:paraId="4D92E991" w14:textId="77777777" w:rsidR="00CC2B31" w:rsidRPr="00C65707" w:rsidRDefault="00CC2B31">
      <w:pPr>
        <w:widowControl w:val="0"/>
        <w:tabs>
          <w:tab w:val="left" w:pos="284"/>
          <w:tab w:val="center" w:pos="4320"/>
          <w:tab w:val="right" w:pos="8640"/>
        </w:tabs>
        <w:jc w:val="both"/>
        <w:rPr>
          <w:sz w:val="22"/>
          <w:szCs w:val="22"/>
        </w:rPr>
      </w:pPr>
    </w:p>
    <w:p w14:paraId="18172E6E" w14:textId="0479D305" w:rsidR="00CC2B31" w:rsidRPr="00C65707" w:rsidRDefault="00CC2B31">
      <w:pPr>
        <w:widowControl w:val="0"/>
        <w:tabs>
          <w:tab w:val="left" w:pos="284"/>
          <w:tab w:val="center" w:pos="4320"/>
          <w:tab w:val="right" w:pos="8640"/>
        </w:tabs>
        <w:jc w:val="both"/>
        <w:rPr>
          <w:b/>
          <w:sz w:val="22"/>
          <w:szCs w:val="22"/>
          <w:u w:val="single"/>
        </w:rPr>
      </w:pPr>
      <w:r w:rsidRPr="00C65707">
        <w:rPr>
          <w:b/>
          <w:sz w:val="22"/>
          <w:szCs w:val="22"/>
          <w:u w:val="single"/>
        </w:rPr>
        <w:t>RA i GCA</w:t>
      </w:r>
    </w:p>
    <w:p w14:paraId="4C5CE1C4" w14:textId="76266709" w:rsidR="00CC2B31" w:rsidRPr="00C65707" w:rsidRDefault="00CC2B31">
      <w:pPr>
        <w:widowControl w:val="0"/>
        <w:tabs>
          <w:tab w:val="left" w:pos="284"/>
          <w:tab w:val="center" w:pos="4320"/>
          <w:tab w:val="right" w:pos="8640"/>
        </w:tabs>
        <w:jc w:val="both"/>
        <w:rPr>
          <w:bCs/>
          <w:sz w:val="22"/>
          <w:szCs w:val="22"/>
          <w:u w:val="single"/>
        </w:rPr>
      </w:pPr>
      <w:r w:rsidRPr="00C65707">
        <w:rPr>
          <w:bCs/>
          <w:sz w:val="22"/>
          <w:szCs w:val="22"/>
          <w:u w:val="single"/>
        </w:rPr>
        <w:t xml:space="preserve">Podešavanje doze </w:t>
      </w:r>
      <w:r w:rsidR="00791687" w:rsidRPr="00C65707">
        <w:rPr>
          <w:bCs/>
          <w:sz w:val="22"/>
          <w:szCs w:val="22"/>
          <w:u w:val="single"/>
        </w:rPr>
        <w:t xml:space="preserve">s obzirom na poremećene vrijednosti </w:t>
      </w:r>
      <w:r w:rsidRPr="00C65707">
        <w:rPr>
          <w:bCs/>
          <w:sz w:val="22"/>
          <w:szCs w:val="22"/>
          <w:u w:val="single"/>
        </w:rPr>
        <w:t xml:space="preserve">laboratorijskih </w:t>
      </w:r>
      <w:r w:rsidR="00791687" w:rsidRPr="00C65707">
        <w:rPr>
          <w:bCs/>
          <w:sz w:val="22"/>
          <w:szCs w:val="22"/>
          <w:u w:val="single"/>
        </w:rPr>
        <w:t xml:space="preserve">nalaza </w:t>
      </w:r>
      <w:r w:rsidRPr="00C65707">
        <w:rPr>
          <w:bCs/>
          <w:sz w:val="22"/>
          <w:szCs w:val="22"/>
          <w:u w:val="single"/>
        </w:rPr>
        <w:t>(vidjeti dio 4.4).</w:t>
      </w:r>
    </w:p>
    <w:p w14:paraId="224DF1B3" w14:textId="77777777" w:rsidR="00CC2B31" w:rsidRPr="00C65707" w:rsidRDefault="00CC2B31">
      <w:pPr>
        <w:widowControl w:val="0"/>
        <w:tabs>
          <w:tab w:val="left" w:pos="284"/>
          <w:tab w:val="center" w:pos="4320"/>
          <w:tab w:val="right" w:pos="8640"/>
        </w:tabs>
        <w:jc w:val="both"/>
        <w:rPr>
          <w:bCs/>
          <w:sz w:val="22"/>
          <w:szCs w:val="22"/>
          <w:u w:val="single"/>
        </w:rPr>
      </w:pPr>
    </w:p>
    <w:p w14:paraId="233E1D2C" w14:textId="3A4BCA9E" w:rsidR="00CC2B31" w:rsidRPr="00C65707" w:rsidRDefault="00CC2B31">
      <w:pPr>
        <w:widowControl w:val="0"/>
        <w:tabs>
          <w:tab w:val="left" w:pos="284"/>
          <w:tab w:val="center" w:pos="4320"/>
          <w:tab w:val="right" w:pos="8640"/>
        </w:tabs>
        <w:jc w:val="both"/>
        <w:rPr>
          <w:sz w:val="22"/>
          <w:szCs w:val="22"/>
        </w:rPr>
      </w:pPr>
      <w:r w:rsidRPr="00C65707">
        <w:rPr>
          <w:sz w:val="22"/>
          <w:szCs w:val="22"/>
        </w:rPr>
        <w:sym w:font="Symbol" w:char="F0B7"/>
      </w:r>
      <w:r w:rsidRPr="00C65707">
        <w:rPr>
          <w:sz w:val="22"/>
          <w:szCs w:val="22"/>
        </w:rPr>
        <w:tab/>
        <w:t>Poremeć</w:t>
      </w:r>
      <w:r w:rsidR="00791687" w:rsidRPr="00C65707">
        <w:rPr>
          <w:sz w:val="22"/>
          <w:szCs w:val="22"/>
        </w:rPr>
        <w:t>ene vrijednosti</w:t>
      </w:r>
      <w:r w:rsidRPr="00C65707">
        <w:rPr>
          <w:sz w:val="22"/>
          <w:szCs w:val="22"/>
        </w:rPr>
        <w:t xml:space="preserve"> enzima jetre</w:t>
      </w:r>
    </w:p>
    <w:p w14:paraId="20F1DCDB" w14:textId="77777777" w:rsidR="00CC2B31" w:rsidRPr="002B3647" w:rsidRDefault="00CC2B31">
      <w:pPr>
        <w:widowControl w:val="0"/>
        <w:tabs>
          <w:tab w:val="left" w:pos="284"/>
          <w:tab w:val="center" w:pos="4320"/>
          <w:tab w:val="right" w:pos="8640"/>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6"/>
        <w:gridCol w:w="5757"/>
      </w:tblGrid>
      <w:tr w:rsidR="00CC2B31" w:rsidRPr="00C65707" w14:paraId="7F87A8B0" w14:textId="77777777" w:rsidTr="00CE5678">
        <w:tc>
          <w:tcPr>
            <w:tcW w:w="1824" w:type="pct"/>
          </w:tcPr>
          <w:p w14:paraId="79B2760D" w14:textId="77777777" w:rsidR="00CC2B31" w:rsidRPr="002B3647" w:rsidRDefault="00CC2B31">
            <w:pPr>
              <w:widowControl w:val="0"/>
              <w:tabs>
                <w:tab w:val="left" w:pos="284"/>
                <w:tab w:val="center" w:pos="4320"/>
                <w:tab w:val="right" w:pos="8640"/>
              </w:tabs>
              <w:jc w:val="both"/>
              <w:rPr>
                <w:b/>
                <w:bCs/>
                <w:sz w:val="22"/>
                <w:szCs w:val="22"/>
              </w:rPr>
            </w:pPr>
            <w:r w:rsidRPr="002B3647">
              <w:rPr>
                <w:b/>
                <w:bCs/>
                <w:sz w:val="22"/>
                <w:szCs w:val="22"/>
              </w:rPr>
              <w:t>Laboratorijska vrijednost</w:t>
            </w:r>
          </w:p>
        </w:tc>
        <w:tc>
          <w:tcPr>
            <w:tcW w:w="3176" w:type="pct"/>
          </w:tcPr>
          <w:p w14:paraId="4E67CF47" w14:textId="08A8DD1A" w:rsidR="00CC2B31" w:rsidRPr="00C65707" w:rsidRDefault="00CC2B31">
            <w:pPr>
              <w:widowControl w:val="0"/>
              <w:tabs>
                <w:tab w:val="left" w:pos="284"/>
                <w:tab w:val="center" w:pos="4320"/>
                <w:tab w:val="right" w:pos="8640"/>
              </w:tabs>
              <w:jc w:val="both"/>
              <w:rPr>
                <w:b/>
                <w:bCs/>
                <w:sz w:val="22"/>
                <w:szCs w:val="22"/>
              </w:rPr>
            </w:pPr>
            <w:r w:rsidRPr="00C65707">
              <w:rPr>
                <w:b/>
                <w:bCs/>
                <w:sz w:val="22"/>
                <w:szCs w:val="22"/>
              </w:rPr>
              <w:t>Postupa</w:t>
            </w:r>
            <w:r w:rsidR="00791687" w:rsidRPr="00C65707">
              <w:rPr>
                <w:b/>
                <w:bCs/>
                <w:sz w:val="22"/>
                <w:szCs w:val="22"/>
              </w:rPr>
              <w:t>nje</w:t>
            </w:r>
          </w:p>
        </w:tc>
      </w:tr>
      <w:tr w:rsidR="00CC2B31" w:rsidRPr="00C65707" w14:paraId="64AEAF40" w14:textId="77777777" w:rsidTr="00CE5678">
        <w:tc>
          <w:tcPr>
            <w:tcW w:w="1824" w:type="pct"/>
          </w:tcPr>
          <w:p w14:paraId="125F563C" w14:textId="77777777" w:rsidR="00CC2B31" w:rsidRPr="00C65707" w:rsidRDefault="00CC2B31" w:rsidP="00C65707">
            <w:pPr>
              <w:widowControl w:val="0"/>
              <w:tabs>
                <w:tab w:val="left" w:pos="284"/>
                <w:tab w:val="center" w:pos="4320"/>
                <w:tab w:val="right" w:pos="8640"/>
              </w:tabs>
              <w:jc w:val="both"/>
              <w:rPr>
                <w:sz w:val="22"/>
                <w:szCs w:val="22"/>
              </w:rPr>
            </w:pPr>
            <w:r w:rsidRPr="00C65707">
              <w:rPr>
                <w:sz w:val="22"/>
                <w:szCs w:val="22"/>
              </w:rPr>
              <w:t>&gt; 1 do 3 x iznad gornje granice normale (GGN)</w:t>
            </w:r>
          </w:p>
        </w:tc>
        <w:tc>
          <w:tcPr>
            <w:tcW w:w="3176" w:type="pct"/>
          </w:tcPr>
          <w:p w14:paraId="6E7BFDA8" w14:textId="77777777" w:rsidR="00CC2B31" w:rsidRPr="002B3647" w:rsidRDefault="00CC2B31" w:rsidP="002B3647">
            <w:pPr>
              <w:widowControl w:val="0"/>
              <w:jc w:val="both"/>
              <w:rPr>
                <w:sz w:val="22"/>
                <w:szCs w:val="22"/>
              </w:rPr>
            </w:pPr>
            <w:r w:rsidRPr="002B3647">
              <w:rPr>
                <w:sz w:val="22"/>
                <w:szCs w:val="22"/>
              </w:rPr>
              <w:t>Ako je moguće, prilagodite dozu istovremeno primijenjenih DMARD (RA) ili imunomodulatora (GCA).</w:t>
            </w:r>
          </w:p>
          <w:p w14:paraId="25BF0946" w14:textId="77777777" w:rsidR="00CC2B31" w:rsidRPr="00C65707" w:rsidRDefault="00CC2B31">
            <w:pPr>
              <w:widowControl w:val="0"/>
              <w:jc w:val="both"/>
              <w:rPr>
                <w:sz w:val="22"/>
                <w:szCs w:val="22"/>
              </w:rPr>
            </w:pPr>
          </w:p>
          <w:p w14:paraId="2CD383FE" w14:textId="4399B47B" w:rsidR="00CC2B31" w:rsidRPr="00C65707" w:rsidRDefault="00CC2B31">
            <w:pPr>
              <w:widowControl w:val="0"/>
              <w:tabs>
                <w:tab w:val="left" w:pos="284"/>
                <w:tab w:val="center" w:pos="4320"/>
                <w:tab w:val="right" w:pos="8640"/>
              </w:tabs>
              <w:jc w:val="both"/>
              <w:rPr>
                <w:sz w:val="22"/>
                <w:szCs w:val="22"/>
              </w:rPr>
            </w:pPr>
            <w:r w:rsidRPr="00C65707">
              <w:rPr>
                <w:sz w:val="22"/>
                <w:szCs w:val="22"/>
              </w:rPr>
              <w:t xml:space="preserve">U slučajevima perzistentnog porasta u ovom rasponu smanjiti </w:t>
            </w:r>
            <w:r w:rsidRPr="00C65707">
              <w:rPr>
                <w:sz w:val="22"/>
                <w:szCs w:val="22"/>
              </w:rPr>
              <w:lastRenderedPageBreak/>
              <w:t xml:space="preserve">učestalost primjene injekcija na jedanput svake dvije nedjelje ili privremeno prekinuti primjenu </w:t>
            </w:r>
            <w:r w:rsidR="00791687" w:rsidRPr="00C65707">
              <w:rPr>
                <w:sz w:val="22"/>
                <w:szCs w:val="22"/>
              </w:rPr>
              <w:t xml:space="preserve">tocilizumaba </w:t>
            </w:r>
            <w:r w:rsidRPr="00C65707">
              <w:rPr>
                <w:sz w:val="22"/>
                <w:szCs w:val="22"/>
              </w:rPr>
              <w:t>sve dok se ne normalizuju vrijednosti alanin aminotransferaze (ALT) ili aspartat aminotransferaze (AST)</w:t>
            </w:r>
            <w:r w:rsidR="00791687" w:rsidRPr="00C65707">
              <w:rPr>
                <w:sz w:val="22"/>
                <w:szCs w:val="22"/>
              </w:rPr>
              <w:t>.</w:t>
            </w:r>
          </w:p>
          <w:p w14:paraId="497B7EA4" w14:textId="77777777" w:rsidR="00CC2B31" w:rsidRPr="00C65707" w:rsidRDefault="00CC2B31">
            <w:pPr>
              <w:widowControl w:val="0"/>
              <w:tabs>
                <w:tab w:val="left" w:pos="284"/>
                <w:tab w:val="center" w:pos="4320"/>
                <w:tab w:val="right" w:pos="8640"/>
              </w:tabs>
              <w:jc w:val="both"/>
              <w:rPr>
                <w:sz w:val="22"/>
                <w:szCs w:val="22"/>
              </w:rPr>
            </w:pPr>
          </w:p>
          <w:p w14:paraId="21B62B7A" w14:textId="77777777" w:rsidR="00CC2B31" w:rsidRPr="00C65707" w:rsidRDefault="00CC2B31">
            <w:pPr>
              <w:widowControl w:val="0"/>
              <w:tabs>
                <w:tab w:val="left" w:pos="284"/>
                <w:tab w:val="center" w:pos="4320"/>
                <w:tab w:val="right" w:pos="8640"/>
              </w:tabs>
              <w:jc w:val="both"/>
              <w:rPr>
                <w:sz w:val="22"/>
                <w:szCs w:val="22"/>
              </w:rPr>
            </w:pPr>
            <w:r w:rsidRPr="00C65707">
              <w:rPr>
                <w:sz w:val="22"/>
                <w:szCs w:val="22"/>
              </w:rPr>
              <w:t>Ponovno započeti liječenje primjenom injekcija jedanput nedjeljno  ili jedanput svake dvije nedjelje, prema kliničkoj potrebi.</w:t>
            </w:r>
          </w:p>
        </w:tc>
      </w:tr>
      <w:tr w:rsidR="00CC2B31" w:rsidRPr="00C65707" w14:paraId="1BC2D056" w14:textId="77777777" w:rsidTr="00CE5678">
        <w:tc>
          <w:tcPr>
            <w:tcW w:w="1824" w:type="pct"/>
          </w:tcPr>
          <w:p w14:paraId="1C86127A" w14:textId="77777777" w:rsidR="00CC2B31" w:rsidRPr="00C65707" w:rsidRDefault="00CC2B31" w:rsidP="00C65707">
            <w:pPr>
              <w:widowControl w:val="0"/>
              <w:tabs>
                <w:tab w:val="left" w:pos="284"/>
                <w:tab w:val="center" w:pos="4320"/>
                <w:tab w:val="right" w:pos="8640"/>
              </w:tabs>
              <w:jc w:val="both"/>
              <w:rPr>
                <w:sz w:val="22"/>
                <w:szCs w:val="22"/>
              </w:rPr>
            </w:pPr>
            <w:r w:rsidRPr="00C65707">
              <w:rPr>
                <w:sz w:val="22"/>
                <w:szCs w:val="22"/>
              </w:rPr>
              <w:lastRenderedPageBreak/>
              <w:t>&gt; 3 do 5 x iznad GGN</w:t>
            </w:r>
          </w:p>
          <w:p w14:paraId="5E7F9F32" w14:textId="77777777" w:rsidR="00CC2B31" w:rsidRPr="002B3647" w:rsidRDefault="00CC2B31" w:rsidP="002B3647">
            <w:pPr>
              <w:widowControl w:val="0"/>
              <w:tabs>
                <w:tab w:val="left" w:pos="284"/>
                <w:tab w:val="center" w:pos="4320"/>
                <w:tab w:val="right" w:pos="8640"/>
              </w:tabs>
              <w:jc w:val="both"/>
              <w:rPr>
                <w:sz w:val="22"/>
                <w:szCs w:val="22"/>
              </w:rPr>
            </w:pPr>
          </w:p>
        </w:tc>
        <w:tc>
          <w:tcPr>
            <w:tcW w:w="3176" w:type="pct"/>
          </w:tcPr>
          <w:p w14:paraId="610B28F0" w14:textId="7AADB0F1" w:rsidR="00CC2B31" w:rsidRPr="00C65707" w:rsidRDefault="00CC2B31">
            <w:pPr>
              <w:widowControl w:val="0"/>
              <w:tabs>
                <w:tab w:val="left" w:pos="284"/>
                <w:tab w:val="center" w:pos="4320"/>
                <w:tab w:val="right" w:pos="8640"/>
              </w:tabs>
              <w:jc w:val="both"/>
              <w:rPr>
                <w:sz w:val="22"/>
                <w:szCs w:val="22"/>
              </w:rPr>
            </w:pPr>
            <w:r w:rsidRPr="00C65707">
              <w:rPr>
                <w:sz w:val="22"/>
                <w:szCs w:val="22"/>
              </w:rPr>
              <w:t xml:space="preserve">Privremeno prekinuti primjenu </w:t>
            </w:r>
            <w:r w:rsidR="00791687" w:rsidRPr="00C65707">
              <w:rPr>
                <w:sz w:val="22"/>
                <w:szCs w:val="22"/>
              </w:rPr>
              <w:t>tocilizumaba</w:t>
            </w:r>
            <w:r w:rsidRPr="00C65707">
              <w:rPr>
                <w:sz w:val="22"/>
                <w:szCs w:val="22"/>
              </w:rPr>
              <w:t xml:space="preserve"> sve dok vrijednosti ne budu &lt; 3 x iznad GGN i pratiti gore navedene preporuke za vrijednosti &gt; 1 do 3 x iznad GGN. </w:t>
            </w:r>
          </w:p>
          <w:p w14:paraId="042E6EFC" w14:textId="77777777" w:rsidR="00CC2B31" w:rsidRPr="00C65707" w:rsidRDefault="00CC2B31">
            <w:pPr>
              <w:widowControl w:val="0"/>
              <w:tabs>
                <w:tab w:val="left" w:pos="284"/>
                <w:tab w:val="center" w:pos="4320"/>
                <w:tab w:val="right" w:pos="8640"/>
              </w:tabs>
              <w:jc w:val="both"/>
              <w:rPr>
                <w:sz w:val="22"/>
                <w:szCs w:val="22"/>
              </w:rPr>
            </w:pPr>
          </w:p>
          <w:p w14:paraId="04646D54" w14:textId="7469FAB8" w:rsidR="00CC2B31" w:rsidRPr="00C65707" w:rsidRDefault="00CC2B31">
            <w:pPr>
              <w:widowControl w:val="0"/>
              <w:tabs>
                <w:tab w:val="left" w:pos="284"/>
                <w:tab w:val="center" w:pos="4320"/>
                <w:tab w:val="right" w:pos="8640"/>
              </w:tabs>
              <w:jc w:val="both"/>
              <w:rPr>
                <w:sz w:val="22"/>
                <w:szCs w:val="22"/>
              </w:rPr>
            </w:pPr>
            <w:r w:rsidRPr="00C65707">
              <w:rPr>
                <w:sz w:val="22"/>
                <w:szCs w:val="22"/>
              </w:rPr>
              <w:t xml:space="preserve">U slučaju perzistentnog porasta na &gt; 3 x iznad GGN (potvrđeno ponovljenim testiranjem, vidjeti dio 4.4), potpuno prekinuti </w:t>
            </w:r>
            <w:r w:rsidR="00791687" w:rsidRPr="00C65707">
              <w:rPr>
                <w:sz w:val="22"/>
                <w:szCs w:val="22"/>
              </w:rPr>
              <w:t>liječenje</w:t>
            </w:r>
            <w:r w:rsidRPr="00C65707">
              <w:rPr>
                <w:sz w:val="22"/>
                <w:szCs w:val="22"/>
              </w:rPr>
              <w:t>.</w:t>
            </w:r>
          </w:p>
        </w:tc>
      </w:tr>
      <w:tr w:rsidR="00CC2B31" w:rsidRPr="00C65707" w14:paraId="6C721812" w14:textId="77777777" w:rsidTr="00CE5678">
        <w:tc>
          <w:tcPr>
            <w:tcW w:w="1824" w:type="pct"/>
          </w:tcPr>
          <w:p w14:paraId="1BBF3C26" w14:textId="77777777" w:rsidR="00CC2B31" w:rsidRPr="00C65707" w:rsidRDefault="00CC2B31" w:rsidP="00C65707">
            <w:pPr>
              <w:widowControl w:val="0"/>
              <w:tabs>
                <w:tab w:val="left" w:pos="284"/>
                <w:tab w:val="center" w:pos="4320"/>
                <w:tab w:val="right" w:pos="8640"/>
              </w:tabs>
              <w:jc w:val="both"/>
              <w:rPr>
                <w:sz w:val="22"/>
                <w:szCs w:val="22"/>
              </w:rPr>
            </w:pPr>
            <w:r w:rsidRPr="00C65707">
              <w:rPr>
                <w:sz w:val="22"/>
                <w:szCs w:val="22"/>
              </w:rPr>
              <w:t>&gt; 5 x iznad GGN</w:t>
            </w:r>
          </w:p>
        </w:tc>
        <w:tc>
          <w:tcPr>
            <w:tcW w:w="3176" w:type="pct"/>
          </w:tcPr>
          <w:p w14:paraId="12734D88" w14:textId="20C457B6" w:rsidR="00CC2B31" w:rsidRPr="002B3647" w:rsidRDefault="00CC2B31" w:rsidP="002B3647">
            <w:pPr>
              <w:widowControl w:val="0"/>
              <w:tabs>
                <w:tab w:val="left" w:pos="284"/>
                <w:tab w:val="center" w:pos="4320"/>
                <w:tab w:val="right" w:pos="8640"/>
              </w:tabs>
              <w:jc w:val="both"/>
              <w:rPr>
                <w:sz w:val="22"/>
                <w:szCs w:val="22"/>
              </w:rPr>
            </w:pPr>
            <w:r w:rsidRPr="002B3647">
              <w:rPr>
                <w:sz w:val="22"/>
                <w:szCs w:val="22"/>
              </w:rPr>
              <w:t xml:space="preserve">Potpuno prekinuti </w:t>
            </w:r>
            <w:r w:rsidR="00791687" w:rsidRPr="002B3647">
              <w:rPr>
                <w:sz w:val="22"/>
                <w:szCs w:val="22"/>
              </w:rPr>
              <w:t>liječenje.</w:t>
            </w:r>
          </w:p>
        </w:tc>
      </w:tr>
    </w:tbl>
    <w:p w14:paraId="7012572F" w14:textId="77777777" w:rsidR="00CC2B31" w:rsidRPr="00C65707" w:rsidRDefault="00CC2B31" w:rsidP="00C65707">
      <w:pPr>
        <w:widowControl w:val="0"/>
        <w:tabs>
          <w:tab w:val="left" w:pos="284"/>
          <w:tab w:val="center" w:pos="4320"/>
          <w:tab w:val="right" w:pos="8640"/>
        </w:tabs>
        <w:jc w:val="both"/>
        <w:rPr>
          <w:sz w:val="22"/>
          <w:szCs w:val="22"/>
        </w:rPr>
      </w:pPr>
    </w:p>
    <w:p w14:paraId="0AA78E9A" w14:textId="2765A621" w:rsidR="00CC2B31" w:rsidRPr="00C65707" w:rsidRDefault="00CC2B31" w:rsidP="00C65707">
      <w:pPr>
        <w:widowControl w:val="0"/>
        <w:tabs>
          <w:tab w:val="left" w:pos="284"/>
          <w:tab w:val="center" w:pos="4320"/>
          <w:tab w:val="right" w:pos="8640"/>
        </w:tabs>
        <w:jc w:val="both"/>
        <w:rPr>
          <w:sz w:val="22"/>
          <w:szCs w:val="22"/>
        </w:rPr>
      </w:pPr>
      <w:r w:rsidRPr="00C65707">
        <w:rPr>
          <w:sz w:val="22"/>
          <w:szCs w:val="22"/>
        </w:rPr>
        <w:sym w:font="Symbol" w:char="F0B7"/>
      </w:r>
      <w:r w:rsidRPr="00C65707">
        <w:rPr>
          <w:sz w:val="22"/>
          <w:szCs w:val="22"/>
        </w:rPr>
        <w:tab/>
        <w:t>Nizak apsolutni broj neutrofila (A</w:t>
      </w:r>
      <w:r w:rsidR="00791687" w:rsidRPr="00C65707">
        <w:rPr>
          <w:sz w:val="22"/>
          <w:szCs w:val="22"/>
        </w:rPr>
        <w:t>BN</w:t>
      </w:r>
      <w:r w:rsidRPr="00C65707">
        <w:rPr>
          <w:sz w:val="22"/>
          <w:szCs w:val="22"/>
        </w:rPr>
        <w:t>)</w:t>
      </w:r>
    </w:p>
    <w:p w14:paraId="59166C68" w14:textId="77777777" w:rsidR="00CC2B31" w:rsidRPr="002B3647" w:rsidRDefault="00CC2B31" w:rsidP="002B3647">
      <w:pPr>
        <w:widowControl w:val="0"/>
        <w:tabs>
          <w:tab w:val="left" w:pos="284"/>
          <w:tab w:val="center" w:pos="4320"/>
          <w:tab w:val="right" w:pos="8640"/>
        </w:tabs>
        <w:jc w:val="both"/>
        <w:rPr>
          <w:sz w:val="22"/>
          <w:szCs w:val="22"/>
        </w:rPr>
      </w:pPr>
    </w:p>
    <w:p w14:paraId="4C49B00A" w14:textId="68C7B365" w:rsidR="00CC2B31" w:rsidRPr="00C65707" w:rsidRDefault="00CC2B31" w:rsidP="002B3647">
      <w:pPr>
        <w:widowControl w:val="0"/>
        <w:jc w:val="both"/>
        <w:rPr>
          <w:sz w:val="22"/>
          <w:szCs w:val="22"/>
        </w:rPr>
      </w:pPr>
      <w:r w:rsidRPr="002B3647">
        <w:rPr>
          <w:sz w:val="22"/>
          <w:szCs w:val="22"/>
        </w:rPr>
        <w:t xml:space="preserve">Kod pacijenata koji nijesu prethodno liječeni </w:t>
      </w:r>
      <w:r w:rsidR="00791687" w:rsidRPr="002B3647">
        <w:rPr>
          <w:sz w:val="22"/>
          <w:szCs w:val="22"/>
        </w:rPr>
        <w:t>tocilizumabom</w:t>
      </w:r>
      <w:r w:rsidRPr="002B3647">
        <w:rPr>
          <w:sz w:val="22"/>
          <w:szCs w:val="22"/>
        </w:rPr>
        <w:t>, ne preporučuje se započinjanje terapije ukoliko je apsolutni broj neutrofila (ABN) ispod 2</w:t>
      </w:r>
      <w:r w:rsidR="00791687" w:rsidRPr="002B3647">
        <w:rPr>
          <w:sz w:val="22"/>
          <w:szCs w:val="22"/>
        </w:rPr>
        <w:t xml:space="preserve"> </w:t>
      </w:r>
      <w:r w:rsidRPr="002B3647">
        <w:rPr>
          <w:sz w:val="22"/>
          <w:szCs w:val="22"/>
        </w:rPr>
        <w:t>x 10</w:t>
      </w:r>
      <w:r w:rsidRPr="002B3647">
        <w:rPr>
          <w:sz w:val="22"/>
          <w:szCs w:val="22"/>
          <w:vertAlign w:val="superscript"/>
        </w:rPr>
        <w:t>9</w:t>
      </w:r>
      <w:r w:rsidRPr="00C65707">
        <w:rPr>
          <w:sz w:val="22"/>
          <w:szCs w:val="22"/>
        </w:rPr>
        <w:t>/l.</w:t>
      </w:r>
    </w:p>
    <w:p w14:paraId="41F35CCE" w14:textId="77777777" w:rsidR="00CC2B31" w:rsidRPr="00C65707" w:rsidRDefault="00CC2B31" w:rsidP="002B3647">
      <w:pPr>
        <w:widowControl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gridCol w:w="5756"/>
      </w:tblGrid>
      <w:tr w:rsidR="00CC2B31" w:rsidRPr="00C65707" w14:paraId="3EF80747" w14:textId="77777777" w:rsidTr="00514374">
        <w:tc>
          <w:tcPr>
            <w:tcW w:w="3369" w:type="dxa"/>
          </w:tcPr>
          <w:p w14:paraId="303C1744" w14:textId="503A1D01" w:rsidR="00CC2B31" w:rsidRPr="002B3647" w:rsidRDefault="00CC2B31" w:rsidP="00CE5678">
            <w:pPr>
              <w:widowControl w:val="0"/>
              <w:jc w:val="both"/>
              <w:rPr>
                <w:sz w:val="22"/>
                <w:szCs w:val="22"/>
              </w:rPr>
            </w:pPr>
            <w:r w:rsidRPr="00C65707">
              <w:rPr>
                <w:rFonts w:eastAsia="MS Mincho"/>
                <w:b/>
                <w:bCs/>
                <w:sz w:val="22"/>
                <w:szCs w:val="22"/>
              </w:rPr>
              <w:t>Laboratorijska vrijednost</w:t>
            </w:r>
            <w:r w:rsidRPr="00C65707">
              <w:rPr>
                <w:rFonts w:eastAsia="MS Mincho"/>
                <w:sz w:val="22"/>
                <w:szCs w:val="22"/>
              </w:rPr>
              <w:br/>
              <w:t>(br. ćelija x 10</w:t>
            </w:r>
            <w:r w:rsidRPr="00C65707">
              <w:rPr>
                <w:sz w:val="22"/>
                <w:szCs w:val="22"/>
                <w:vertAlign w:val="superscript"/>
              </w:rPr>
              <w:t>9</w:t>
            </w:r>
            <w:r w:rsidRPr="00C65707">
              <w:rPr>
                <w:rFonts w:eastAsia="MS Mincho"/>
                <w:sz w:val="22"/>
                <w:szCs w:val="22"/>
              </w:rPr>
              <w:t>/</w:t>
            </w:r>
            <w:r w:rsidR="002B3647">
              <w:rPr>
                <w:rFonts w:eastAsia="MS Mincho"/>
                <w:sz w:val="22"/>
                <w:szCs w:val="22"/>
              </w:rPr>
              <w:t>l</w:t>
            </w:r>
            <w:r w:rsidRPr="002B3647">
              <w:rPr>
                <w:rFonts w:eastAsia="MS Mincho"/>
                <w:sz w:val="22"/>
                <w:szCs w:val="22"/>
              </w:rPr>
              <w:t>)</w:t>
            </w:r>
          </w:p>
        </w:tc>
        <w:tc>
          <w:tcPr>
            <w:tcW w:w="5919" w:type="dxa"/>
          </w:tcPr>
          <w:p w14:paraId="0C5549AC" w14:textId="650F3AA1" w:rsidR="00CC2B31" w:rsidRPr="002B3647" w:rsidRDefault="00CC2B31" w:rsidP="00C65707">
            <w:pPr>
              <w:widowControl w:val="0"/>
              <w:jc w:val="both"/>
              <w:rPr>
                <w:sz w:val="22"/>
                <w:szCs w:val="22"/>
              </w:rPr>
            </w:pPr>
            <w:r w:rsidRPr="002B3647">
              <w:rPr>
                <w:rFonts w:eastAsia="MS Mincho"/>
                <w:b/>
                <w:bCs/>
                <w:sz w:val="22"/>
                <w:szCs w:val="22"/>
              </w:rPr>
              <w:t>Postupa</w:t>
            </w:r>
            <w:r w:rsidR="00791687" w:rsidRPr="002B3647">
              <w:rPr>
                <w:rFonts w:eastAsia="MS Mincho"/>
                <w:b/>
                <w:bCs/>
                <w:sz w:val="22"/>
                <w:szCs w:val="22"/>
              </w:rPr>
              <w:t>nje</w:t>
            </w:r>
          </w:p>
        </w:tc>
      </w:tr>
      <w:tr w:rsidR="00CC2B31" w:rsidRPr="00C65707" w14:paraId="6B0E2CE9" w14:textId="77777777" w:rsidTr="00514374">
        <w:tc>
          <w:tcPr>
            <w:tcW w:w="3369" w:type="dxa"/>
          </w:tcPr>
          <w:p w14:paraId="4C3C06AF" w14:textId="77777777" w:rsidR="00CC2B31" w:rsidRPr="00C65707" w:rsidRDefault="00CC2B31" w:rsidP="00C65707">
            <w:pPr>
              <w:widowControl w:val="0"/>
              <w:jc w:val="both"/>
              <w:rPr>
                <w:sz w:val="22"/>
                <w:szCs w:val="22"/>
              </w:rPr>
            </w:pPr>
            <w:r w:rsidRPr="00C65707">
              <w:rPr>
                <w:sz w:val="22"/>
                <w:szCs w:val="22"/>
              </w:rPr>
              <w:t xml:space="preserve">ABN &gt; 1 </w:t>
            </w:r>
          </w:p>
        </w:tc>
        <w:tc>
          <w:tcPr>
            <w:tcW w:w="5919" w:type="dxa"/>
          </w:tcPr>
          <w:p w14:paraId="35D943E3" w14:textId="6F130F21" w:rsidR="00CC2B31" w:rsidRPr="002B3647" w:rsidRDefault="00CC2B31" w:rsidP="002B3647">
            <w:pPr>
              <w:widowControl w:val="0"/>
              <w:jc w:val="both"/>
              <w:rPr>
                <w:sz w:val="22"/>
                <w:szCs w:val="22"/>
              </w:rPr>
            </w:pPr>
            <w:r w:rsidRPr="002B3647">
              <w:rPr>
                <w:sz w:val="22"/>
                <w:szCs w:val="22"/>
              </w:rPr>
              <w:t>Održavati postojeću dozu</w:t>
            </w:r>
            <w:r w:rsidR="00791687" w:rsidRPr="002B3647">
              <w:rPr>
                <w:sz w:val="22"/>
                <w:szCs w:val="22"/>
              </w:rPr>
              <w:t>.</w:t>
            </w:r>
          </w:p>
        </w:tc>
      </w:tr>
      <w:tr w:rsidR="00CC2B31" w:rsidRPr="00C65707" w14:paraId="4B8DB0D7" w14:textId="77777777" w:rsidTr="00514374">
        <w:tc>
          <w:tcPr>
            <w:tcW w:w="3369" w:type="dxa"/>
          </w:tcPr>
          <w:p w14:paraId="19DDD17F" w14:textId="77777777" w:rsidR="00CC2B31" w:rsidRPr="00C65707" w:rsidRDefault="00CC2B31" w:rsidP="00C65707">
            <w:pPr>
              <w:widowControl w:val="0"/>
              <w:jc w:val="both"/>
              <w:rPr>
                <w:sz w:val="22"/>
                <w:szCs w:val="22"/>
              </w:rPr>
            </w:pPr>
            <w:r w:rsidRPr="00C65707">
              <w:rPr>
                <w:sz w:val="22"/>
                <w:szCs w:val="22"/>
              </w:rPr>
              <w:t>ABN 0,5 do 1</w:t>
            </w:r>
          </w:p>
        </w:tc>
        <w:tc>
          <w:tcPr>
            <w:tcW w:w="5919" w:type="dxa"/>
          </w:tcPr>
          <w:p w14:paraId="6DBAA982" w14:textId="14493205" w:rsidR="00CC2B31" w:rsidRPr="002B3647" w:rsidRDefault="00CC2B31" w:rsidP="002B3647">
            <w:pPr>
              <w:widowControl w:val="0"/>
              <w:jc w:val="both"/>
              <w:rPr>
                <w:sz w:val="22"/>
                <w:szCs w:val="22"/>
              </w:rPr>
            </w:pPr>
            <w:r w:rsidRPr="002B3647">
              <w:rPr>
                <w:sz w:val="22"/>
                <w:szCs w:val="22"/>
              </w:rPr>
              <w:t xml:space="preserve">Privremeno prekinuti primjenu </w:t>
            </w:r>
            <w:r w:rsidR="00791687" w:rsidRPr="002B3647">
              <w:rPr>
                <w:sz w:val="22"/>
                <w:szCs w:val="22"/>
              </w:rPr>
              <w:t>tocilizumaba.</w:t>
            </w:r>
          </w:p>
          <w:p w14:paraId="2D05DF28" w14:textId="77777777" w:rsidR="00CC2B31" w:rsidRPr="002B3647" w:rsidRDefault="00CC2B31" w:rsidP="002B3647">
            <w:pPr>
              <w:widowControl w:val="0"/>
              <w:jc w:val="both"/>
              <w:rPr>
                <w:sz w:val="22"/>
                <w:szCs w:val="22"/>
              </w:rPr>
            </w:pPr>
          </w:p>
          <w:p w14:paraId="554ECFFB" w14:textId="5710AE99" w:rsidR="00CC2B31" w:rsidRPr="00C65707" w:rsidRDefault="00CC2B31">
            <w:pPr>
              <w:widowControl w:val="0"/>
              <w:jc w:val="both"/>
              <w:rPr>
                <w:sz w:val="22"/>
                <w:szCs w:val="22"/>
              </w:rPr>
            </w:pPr>
            <w:r w:rsidRPr="00C65707">
              <w:rPr>
                <w:sz w:val="22"/>
                <w:szCs w:val="22"/>
              </w:rPr>
              <w:t>Kad se ABN poveća &gt; 1 x 10</w:t>
            </w:r>
            <w:r w:rsidRPr="00C65707">
              <w:rPr>
                <w:sz w:val="22"/>
                <w:szCs w:val="22"/>
                <w:vertAlign w:val="superscript"/>
              </w:rPr>
              <w:t>9</w:t>
            </w:r>
            <w:r w:rsidRPr="00C65707">
              <w:rPr>
                <w:sz w:val="22"/>
                <w:szCs w:val="22"/>
              </w:rPr>
              <w:t xml:space="preserve">/ l, treba nastaviti </w:t>
            </w:r>
            <w:r w:rsidR="00791687" w:rsidRPr="00C65707">
              <w:rPr>
                <w:sz w:val="22"/>
                <w:szCs w:val="22"/>
              </w:rPr>
              <w:t>liječenje</w:t>
            </w:r>
            <w:r w:rsidRPr="00C65707">
              <w:rPr>
                <w:sz w:val="22"/>
                <w:szCs w:val="22"/>
              </w:rPr>
              <w:t xml:space="preserve"> jedanput svake dvije nedjelje, a zatim povećati učestalost na jedanput </w:t>
            </w:r>
            <w:r w:rsidRPr="00C65707">
              <w:rPr>
                <w:rFonts w:eastAsia="SimSun"/>
                <w:sz w:val="22"/>
                <w:szCs w:val="22"/>
                <w:lang w:eastAsia="zh-CN"/>
              </w:rPr>
              <w:t>nedjeljno</w:t>
            </w:r>
            <w:r w:rsidRPr="00C65707">
              <w:rPr>
                <w:sz w:val="22"/>
                <w:szCs w:val="22"/>
              </w:rPr>
              <w:t>, prema kliničkoj potrebi.</w:t>
            </w:r>
          </w:p>
        </w:tc>
      </w:tr>
      <w:tr w:rsidR="00CC2B31" w:rsidRPr="00C65707" w14:paraId="13D8C02C" w14:textId="77777777" w:rsidTr="00514374">
        <w:tc>
          <w:tcPr>
            <w:tcW w:w="3369" w:type="dxa"/>
          </w:tcPr>
          <w:p w14:paraId="15C60E16" w14:textId="77777777" w:rsidR="00CC2B31" w:rsidRPr="00C65707" w:rsidRDefault="00CC2B31" w:rsidP="00C65707">
            <w:pPr>
              <w:widowControl w:val="0"/>
              <w:jc w:val="both"/>
              <w:rPr>
                <w:sz w:val="22"/>
                <w:szCs w:val="22"/>
              </w:rPr>
            </w:pPr>
            <w:r w:rsidRPr="00C65707">
              <w:rPr>
                <w:sz w:val="22"/>
                <w:szCs w:val="22"/>
              </w:rPr>
              <w:t>ABN &lt; 0,5</w:t>
            </w:r>
          </w:p>
        </w:tc>
        <w:tc>
          <w:tcPr>
            <w:tcW w:w="5919" w:type="dxa"/>
          </w:tcPr>
          <w:p w14:paraId="6A171DA2" w14:textId="36071A0B" w:rsidR="00CC2B31" w:rsidRPr="002B3647" w:rsidRDefault="00CC2B31" w:rsidP="002B3647">
            <w:pPr>
              <w:widowControl w:val="0"/>
              <w:jc w:val="both"/>
              <w:rPr>
                <w:sz w:val="22"/>
                <w:szCs w:val="22"/>
              </w:rPr>
            </w:pPr>
            <w:r w:rsidRPr="002B3647">
              <w:rPr>
                <w:sz w:val="22"/>
                <w:szCs w:val="22"/>
              </w:rPr>
              <w:t xml:space="preserve">Potpuno prekinuti </w:t>
            </w:r>
            <w:r w:rsidR="00791687" w:rsidRPr="002B3647">
              <w:rPr>
                <w:sz w:val="22"/>
                <w:szCs w:val="22"/>
              </w:rPr>
              <w:t>liječenje.</w:t>
            </w:r>
          </w:p>
        </w:tc>
      </w:tr>
    </w:tbl>
    <w:p w14:paraId="2ACC8D0C" w14:textId="77777777" w:rsidR="00CC2B31" w:rsidRPr="00C65707" w:rsidRDefault="00CC2B31" w:rsidP="00C65707">
      <w:pPr>
        <w:widowControl w:val="0"/>
        <w:tabs>
          <w:tab w:val="left" w:pos="284"/>
          <w:tab w:val="center" w:pos="4320"/>
          <w:tab w:val="right" w:pos="8640"/>
        </w:tabs>
        <w:jc w:val="both"/>
        <w:rPr>
          <w:sz w:val="22"/>
          <w:szCs w:val="22"/>
        </w:rPr>
      </w:pPr>
    </w:p>
    <w:p w14:paraId="044BD0F7" w14:textId="77777777" w:rsidR="00CC2B31" w:rsidRPr="00C65707" w:rsidRDefault="00CC2B31" w:rsidP="002B3647">
      <w:pPr>
        <w:widowControl w:val="0"/>
        <w:tabs>
          <w:tab w:val="left" w:pos="284"/>
          <w:tab w:val="center" w:pos="4320"/>
          <w:tab w:val="right" w:pos="8640"/>
        </w:tabs>
        <w:jc w:val="both"/>
        <w:rPr>
          <w:sz w:val="22"/>
          <w:szCs w:val="22"/>
        </w:rPr>
      </w:pPr>
      <w:r w:rsidRPr="00C65707">
        <w:rPr>
          <w:sz w:val="22"/>
          <w:szCs w:val="22"/>
        </w:rPr>
        <w:sym w:font="Symbol" w:char="F0B7"/>
      </w:r>
      <w:r w:rsidRPr="00C65707">
        <w:rPr>
          <w:sz w:val="22"/>
          <w:szCs w:val="22"/>
        </w:rPr>
        <w:tab/>
        <w:t>Nizak broj trombocita</w:t>
      </w:r>
    </w:p>
    <w:p w14:paraId="6B9C51C5" w14:textId="77777777" w:rsidR="00CC2B31" w:rsidRPr="002B3647" w:rsidRDefault="00CC2B31" w:rsidP="002B3647">
      <w:pPr>
        <w:widowControl w:val="0"/>
        <w:tabs>
          <w:tab w:val="left" w:pos="284"/>
          <w:tab w:val="center" w:pos="4320"/>
          <w:tab w:val="right" w:pos="8640"/>
        </w:tabs>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1"/>
        <w:gridCol w:w="5762"/>
      </w:tblGrid>
      <w:tr w:rsidR="00CC2B31" w:rsidRPr="00C65707" w14:paraId="0596141A" w14:textId="77777777" w:rsidTr="00514374">
        <w:tc>
          <w:tcPr>
            <w:tcW w:w="3369" w:type="dxa"/>
          </w:tcPr>
          <w:p w14:paraId="66F9DBB0" w14:textId="60779E1B" w:rsidR="00CC2B31" w:rsidRPr="002B3647" w:rsidRDefault="00CC2B31" w:rsidP="00CE5678">
            <w:pPr>
              <w:widowControl w:val="0"/>
              <w:jc w:val="both"/>
              <w:rPr>
                <w:sz w:val="22"/>
                <w:szCs w:val="22"/>
              </w:rPr>
            </w:pPr>
            <w:r w:rsidRPr="002B3647">
              <w:rPr>
                <w:rFonts w:eastAsia="MS Mincho"/>
                <w:sz w:val="22"/>
                <w:szCs w:val="22"/>
              </w:rPr>
              <w:t>Laboratorijska vrijednost</w:t>
            </w:r>
            <w:r w:rsidRPr="002B3647">
              <w:rPr>
                <w:rFonts w:eastAsia="MS Mincho"/>
                <w:sz w:val="22"/>
                <w:szCs w:val="22"/>
              </w:rPr>
              <w:br/>
              <w:t>(br. ćelija x 10</w:t>
            </w:r>
            <w:r w:rsidRPr="002B3647">
              <w:rPr>
                <w:rFonts w:eastAsia="MS Mincho"/>
                <w:sz w:val="22"/>
                <w:szCs w:val="22"/>
                <w:vertAlign w:val="superscript"/>
              </w:rPr>
              <w:t>3</w:t>
            </w:r>
            <w:r w:rsidRPr="002B3647">
              <w:rPr>
                <w:rFonts w:eastAsia="MS Mincho"/>
                <w:sz w:val="22"/>
                <w:szCs w:val="22"/>
              </w:rPr>
              <w:t>/ μ</w:t>
            </w:r>
            <w:r w:rsidR="002B3647">
              <w:rPr>
                <w:rFonts w:eastAsia="MS Mincho"/>
                <w:sz w:val="22"/>
                <w:szCs w:val="22"/>
              </w:rPr>
              <w:t>l</w:t>
            </w:r>
            <w:r w:rsidRPr="002B3647">
              <w:rPr>
                <w:rFonts w:eastAsia="MS Mincho"/>
                <w:sz w:val="22"/>
                <w:szCs w:val="22"/>
              </w:rPr>
              <w:t>)</w:t>
            </w:r>
          </w:p>
        </w:tc>
        <w:tc>
          <w:tcPr>
            <w:tcW w:w="5919" w:type="dxa"/>
          </w:tcPr>
          <w:p w14:paraId="1A6DE926" w14:textId="77777777" w:rsidR="00CC2B31" w:rsidRPr="002B3647" w:rsidRDefault="00CC2B31" w:rsidP="00C65707">
            <w:pPr>
              <w:widowControl w:val="0"/>
              <w:jc w:val="both"/>
              <w:rPr>
                <w:sz w:val="22"/>
                <w:szCs w:val="22"/>
              </w:rPr>
            </w:pPr>
            <w:r w:rsidRPr="002B3647">
              <w:rPr>
                <w:sz w:val="22"/>
                <w:szCs w:val="22"/>
              </w:rPr>
              <w:t>Postupak</w:t>
            </w:r>
          </w:p>
        </w:tc>
      </w:tr>
      <w:tr w:rsidR="00CC2B31" w:rsidRPr="00C65707" w14:paraId="0A177647" w14:textId="77777777" w:rsidTr="00514374">
        <w:tc>
          <w:tcPr>
            <w:tcW w:w="3369" w:type="dxa"/>
          </w:tcPr>
          <w:p w14:paraId="698DCCE2" w14:textId="77777777" w:rsidR="00CC2B31" w:rsidRPr="00C65707" w:rsidRDefault="00CC2B31" w:rsidP="00C65707">
            <w:pPr>
              <w:widowControl w:val="0"/>
              <w:jc w:val="both"/>
              <w:rPr>
                <w:sz w:val="22"/>
                <w:szCs w:val="22"/>
              </w:rPr>
            </w:pPr>
            <w:r w:rsidRPr="00C65707">
              <w:rPr>
                <w:sz w:val="22"/>
                <w:szCs w:val="22"/>
              </w:rPr>
              <w:t>50 do 100</w:t>
            </w:r>
          </w:p>
        </w:tc>
        <w:tc>
          <w:tcPr>
            <w:tcW w:w="5919" w:type="dxa"/>
          </w:tcPr>
          <w:p w14:paraId="7FF9F714" w14:textId="497EF881" w:rsidR="00CC2B31" w:rsidRPr="002B3647" w:rsidRDefault="00CC2B31" w:rsidP="002B3647">
            <w:pPr>
              <w:widowControl w:val="0"/>
              <w:jc w:val="both"/>
              <w:rPr>
                <w:sz w:val="22"/>
                <w:szCs w:val="22"/>
              </w:rPr>
            </w:pPr>
            <w:r w:rsidRPr="002B3647">
              <w:rPr>
                <w:sz w:val="22"/>
                <w:szCs w:val="22"/>
              </w:rPr>
              <w:t xml:space="preserve">Privremeno prekinuti primjenu </w:t>
            </w:r>
            <w:r w:rsidR="00791687" w:rsidRPr="002B3647">
              <w:rPr>
                <w:sz w:val="22"/>
                <w:szCs w:val="22"/>
              </w:rPr>
              <w:t>tocilizumaba.</w:t>
            </w:r>
          </w:p>
          <w:p w14:paraId="3388B992" w14:textId="77777777" w:rsidR="00CC2B31" w:rsidRPr="002B3647" w:rsidRDefault="00CC2B31" w:rsidP="002B3647">
            <w:pPr>
              <w:widowControl w:val="0"/>
              <w:jc w:val="both"/>
              <w:rPr>
                <w:sz w:val="22"/>
                <w:szCs w:val="22"/>
              </w:rPr>
            </w:pPr>
          </w:p>
          <w:p w14:paraId="1F43E0E5" w14:textId="67F95D7A" w:rsidR="00CC2B31" w:rsidRPr="00C65707" w:rsidRDefault="00CC2B31" w:rsidP="002B3647">
            <w:pPr>
              <w:widowControl w:val="0"/>
              <w:jc w:val="both"/>
              <w:rPr>
                <w:sz w:val="22"/>
                <w:szCs w:val="22"/>
              </w:rPr>
            </w:pPr>
            <w:r w:rsidRPr="002B3647">
              <w:rPr>
                <w:sz w:val="22"/>
                <w:szCs w:val="22"/>
              </w:rPr>
              <w:t>Kada je vrijednost trombocita &gt; 100 x 10</w:t>
            </w:r>
            <w:r w:rsidRPr="002B3647">
              <w:rPr>
                <w:sz w:val="22"/>
                <w:szCs w:val="22"/>
                <w:vertAlign w:val="superscript"/>
              </w:rPr>
              <w:t>3</w:t>
            </w:r>
            <w:r w:rsidRPr="00C65707">
              <w:rPr>
                <w:sz w:val="22"/>
                <w:szCs w:val="22"/>
              </w:rPr>
              <w:t>/ μ</w:t>
            </w:r>
            <w:r w:rsidR="002B3647">
              <w:rPr>
                <w:sz w:val="22"/>
                <w:szCs w:val="22"/>
              </w:rPr>
              <w:t>l</w:t>
            </w:r>
            <w:r w:rsidRPr="002B3647">
              <w:rPr>
                <w:sz w:val="22"/>
                <w:szCs w:val="22"/>
              </w:rPr>
              <w:t xml:space="preserve">, nastaviti sa </w:t>
            </w:r>
            <w:r w:rsidR="00791687" w:rsidRPr="002B3647">
              <w:rPr>
                <w:sz w:val="22"/>
                <w:szCs w:val="22"/>
              </w:rPr>
              <w:t xml:space="preserve">liječenjem </w:t>
            </w:r>
            <w:r w:rsidRPr="002B3647">
              <w:rPr>
                <w:sz w:val="22"/>
                <w:szCs w:val="22"/>
              </w:rPr>
              <w:t xml:space="preserve"> jedanput svake dvije nedjelje, a zatim povećati učestalost na jedanput </w:t>
            </w:r>
            <w:r w:rsidRPr="00C65707">
              <w:rPr>
                <w:rFonts w:eastAsia="SimSun"/>
                <w:sz w:val="22"/>
                <w:szCs w:val="22"/>
                <w:lang w:eastAsia="zh-CN"/>
              </w:rPr>
              <w:t>nedjeljno</w:t>
            </w:r>
            <w:r w:rsidRPr="00C65707">
              <w:rPr>
                <w:sz w:val="22"/>
                <w:szCs w:val="22"/>
              </w:rPr>
              <w:t>, prema kliničkoj potrebi.</w:t>
            </w:r>
          </w:p>
        </w:tc>
      </w:tr>
      <w:tr w:rsidR="00CC2B31" w:rsidRPr="00C65707" w14:paraId="53466A97" w14:textId="77777777" w:rsidTr="00514374">
        <w:tc>
          <w:tcPr>
            <w:tcW w:w="3369" w:type="dxa"/>
          </w:tcPr>
          <w:p w14:paraId="41214767" w14:textId="77777777" w:rsidR="00CC2B31" w:rsidRPr="00C65707" w:rsidRDefault="00CC2B31" w:rsidP="00C65707">
            <w:pPr>
              <w:widowControl w:val="0"/>
              <w:jc w:val="both"/>
              <w:rPr>
                <w:sz w:val="22"/>
                <w:szCs w:val="22"/>
              </w:rPr>
            </w:pPr>
            <w:r w:rsidRPr="00C65707">
              <w:rPr>
                <w:sz w:val="22"/>
                <w:szCs w:val="22"/>
              </w:rPr>
              <w:t>&lt; 50</w:t>
            </w:r>
          </w:p>
        </w:tc>
        <w:tc>
          <w:tcPr>
            <w:tcW w:w="5919" w:type="dxa"/>
          </w:tcPr>
          <w:p w14:paraId="34BD0A71" w14:textId="36303C2B" w:rsidR="00CC2B31" w:rsidRPr="002B3647" w:rsidRDefault="00CC2B31" w:rsidP="002B3647">
            <w:pPr>
              <w:widowControl w:val="0"/>
              <w:jc w:val="both"/>
              <w:rPr>
                <w:sz w:val="22"/>
                <w:szCs w:val="22"/>
              </w:rPr>
            </w:pPr>
            <w:r w:rsidRPr="002B3647">
              <w:rPr>
                <w:sz w:val="22"/>
                <w:szCs w:val="22"/>
              </w:rPr>
              <w:t xml:space="preserve">Potpuno prekinuti </w:t>
            </w:r>
            <w:r w:rsidR="00791687" w:rsidRPr="002B3647">
              <w:rPr>
                <w:sz w:val="22"/>
                <w:szCs w:val="22"/>
              </w:rPr>
              <w:t>liječenje.</w:t>
            </w:r>
          </w:p>
        </w:tc>
      </w:tr>
    </w:tbl>
    <w:p w14:paraId="4F73FF04" w14:textId="77777777" w:rsidR="00CC2B31" w:rsidRPr="00C65707" w:rsidRDefault="00CC2B31" w:rsidP="00C65707">
      <w:pPr>
        <w:widowControl w:val="0"/>
        <w:tabs>
          <w:tab w:val="left" w:pos="284"/>
          <w:tab w:val="center" w:pos="4320"/>
          <w:tab w:val="right" w:pos="8640"/>
        </w:tabs>
        <w:jc w:val="both"/>
        <w:rPr>
          <w:sz w:val="22"/>
          <w:szCs w:val="22"/>
        </w:rPr>
      </w:pPr>
    </w:p>
    <w:p w14:paraId="300B2654" w14:textId="58E554E0" w:rsidR="00CC2B31" w:rsidRPr="00C65707" w:rsidRDefault="00CC2B31" w:rsidP="00CE5678">
      <w:pPr>
        <w:widowControl w:val="0"/>
        <w:spacing w:line="360" w:lineRule="auto"/>
        <w:jc w:val="both"/>
        <w:rPr>
          <w:sz w:val="22"/>
          <w:szCs w:val="22"/>
          <w:u w:val="single"/>
        </w:rPr>
      </w:pPr>
      <w:r w:rsidRPr="00C65707">
        <w:rPr>
          <w:sz w:val="22"/>
          <w:szCs w:val="22"/>
          <w:u w:val="single"/>
        </w:rPr>
        <w:t>RA i GCA</w:t>
      </w:r>
    </w:p>
    <w:p w14:paraId="36CA313E" w14:textId="77777777" w:rsidR="00CC2B31" w:rsidRPr="00C65707" w:rsidRDefault="00CC2B31" w:rsidP="00C65707">
      <w:pPr>
        <w:widowControl w:val="0"/>
        <w:jc w:val="both"/>
        <w:rPr>
          <w:sz w:val="22"/>
          <w:szCs w:val="22"/>
          <w:u w:val="single"/>
        </w:rPr>
      </w:pPr>
      <w:r w:rsidRPr="00C65707">
        <w:rPr>
          <w:sz w:val="22"/>
          <w:szCs w:val="22"/>
          <w:u w:val="single"/>
        </w:rPr>
        <w:t>Propuštena doza</w:t>
      </w:r>
    </w:p>
    <w:p w14:paraId="05CFF15E" w14:textId="39BAF230" w:rsidR="00CC2B31" w:rsidRPr="00C65707" w:rsidRDefault="00CC2B31" w:rsidP="002B3647">
      <w:pPr>
        <w:widowControl w:val="0"/>
        <w:jc w:val="both"/>
        <w:rPr>
          <w:sz w:val="22"/>
          <w:szCs w:val="22"/>
        </w:rPr>
      </w:pPr>
      <w:r w:rsidRPr="002B3647">
        <w:rPr>
          <w:sz w:val="22"/>
          <w:szCs w:val="22"/>
        </w:rPr>
        <w:t>Ako je prošlo manje od 7 dana od propuštene doze su</w:t>
      </w:r>
      <w:r w:rsidR="002B3647">
        <w:rPr>
          <w:sz w:val="22"/>
          <w:szCs w:val="22"/>
        </w:rPr>
        <w:t>b</w:t>
      </w:r>
      <w:r w:rsidRPr="002B3647">
        <w:rPr>
          <w:sz w:val="22"/>
          <w:szCs w:val="22"/>
        </w:rPr>
        <w:t xml:space="preserve">kutane injekcije </w:t>
      </w:r>
      <w:r w:rsidR="00791687" w:rsidRPr="002B3647">
        <w:rPr>
          <w:sz w:val="22"/>
          <w:szCs w:val="22"/>
        </w:rPr>
        <w:t>tocilizumaba</w:t>
      </w:r>
      <w:r w:rsidRPr="002B3647">
        <w:rPr>
          <w:sz w:val="22"/>
          <w:szCs w:val="22"/>
        </w:rPr>
        <w:t xml:space="preserve"> koja se primjenjuje jednom nedjeljno, pacijenta treba uputiti da propuštenu dozu primijeni na dan sljedeće planirane doze. Ako je prošlo manje od 7 dana od propuštene doze su</w:t>
      </w:r>
      <w:r w:rsidR="002B3647">
        <w:rPr>
          <w:sz w:val="22"/>
          <w:szCs w:val="22"/>
        </w:rPr>
        <w:t>b</w:t>
      </w:r>
      <w:r w:rsidRPr="002B3647">
        <w:rPr>
          <w:sz w:val="22"/>
          <w:szCs w:val="22"/>
        </w:rPr>
        <w:t xml:space="preserve">kutane injekcije </w:t>
      </w:r>
      <w:r w:rsidR="00791687" w:rsidRPr="002B3647">
        <w:rPr>
          <w:sz w:val="22"/>
          <w:szCs w:val="22"/>
        </w:rPr>
        <w:t>tocilizumabom,</w:t>
      </w:r>
      <w:r w:rsidRPr="002B3647">
        <w:rPr>
          <w:sz w:val="22"/>
          <w:szCs w:val="22"/>
        </w:rPr>
        <w:t xml:space="preserve"> koja se primjenjuje svake dvije nedjelje, pacijenta treba uputiti da propušt</w:t>
      </w:r>
      <w:r w:rsidRPr="00C65707">
        <w:rPr>
          <w:sz w:val="22"/>
          <w:szCs w:val="22"/>
        </w:rPr>
        <w:t>enu dozu primijeni odmah, a sljedeću dozu prema uobičajenom rasporedu.</w:t>
      </w:r>
    </w:p>
    <w:p w14:paraId="156B4E76" w14:textId="77777777" w:rsidR="00CC2B31" w:rsidRPr="00C65707" w:rsidRDefault="00CC2B31" w:rsidP="002B3647">
      <w:pPr>
        <w:widowControl w:val="0"/>
        <w:jc w:val="both"/>
        <w:rPr>
          <w:sz w:val="22"/>
          <w:szCs w:val="22"/>
          <w:u w:val="single"/>
        </w:rPr>
      </w:pPr>
    </w:p>
    <w:p w14:paraId="50ADB7E5" w14:textId="576E2C1E" w:rsidR="00CC2B31" w:rsidRPr="00C65707" w:rsidRDefault="00CC2B31" w:rsidP="00CE5678">
      <w:pPr>
        <w:widowControl w:val="0"/>
        <w:spacing w:line="360" w:lineRule="auto"/>
        <w:jc w:val="both"/>
        <w:rPr>
          <w:b/>
          <w:bCs/>
          <w:sz w:val="22"/>
          <w:szCs w:val="22"/>
        </w:rPr>
      </w:pPr>
      <w:r w:rsidRPr="00C65707">
        <w:rPr>
          <w:b/>
          <w:bCs/>
          <w:sz w:val="22"/>
          <w:szCs w:val="22"/>
          <w:u w:val="single"/>
        </w:rPr>
        <w:t xml:space="preserve">Posebne </w:t>
      </w:r>
      <w:r w:rsidR="00791687" w:rsidRPr="00C65707">
        <w:rPr>
          <w:b/>
          <w:bCs/>
          <w:sz w:val="22"/>
          <w:szCs w:val="22"/>
          <w:u w:val="single"/>
        </w:rPr>
        <w:t>populacije</w:t>
      </w:r>
    </w:p>
    <w:p w14:paraId="33749A6B" w14:textId="77777777" w:rsidR="00CC2B31" w:rsidRPr="00C65707" w:rsidRDefault="00CC2B31" w:rsidP="002B3647">
      <w:pPr>
        <w:widowControl w:val="0"/>
        <w:jc w:val="both"/>
        <w:rPr>
          <w:i/>
          <w:sz w:val="22"/>
          <w:szCs w:val="22"/>
        </w:rPr>
      </w:pPr>
      <w:r w:rsidRPr="00C65707">
        <w:rPr>
          <w:i/>
          <w:sz w:val="22"/>
          <w:szCs w:val="22"/>
        </w:rPr>
        <w:t xml:space="preserve">Stariji pacijenti: </w:t>
      </w:r>
    </w:p>
    <w:p w14:paraId="1B54C6A0" w14:textId="77777777" w:rsidR="00CC2B31" w:rsidRPr="00C65707" w:rsidRDefault="00CC2B31">
      <w:pPr>
        <w:widowControl w:val="0"/>
        <w:jc w:val="both"/>
        <w:rPr>
          <w:sz w:val="22"/>
          <w:szCs w:val="22"/>
        </w:rPr>
      </w:pPr>
      <w:r w:rsidRPr="00C65707">
        <w:rPr>
          <w:sz w:val="22"/>
          <w:szCs w:val="22"/>
        </w:rPr>
        <w:t xml:space="preserve">Nije potrebno podešavanje doze kod pacijenata starijih od 65 godina. </w:t>
      </w:r>
    </w:p>
    <w:p w14:paraId="1E54B41B" w14:textId="77777777" w:rsidR="00CC2B31" w:rsidRPr="00C65707" w:rsidRDefault="00CC2B31">
      <w:pPr>
        <w:widowControl w:val="0"/>
        <w:jc w:val="both"/>
        <w:rPr>
          <w:i/>
          <w:sz w:val="22"/>
          <w:szCs w:val="22"/>
        </w:rPr>
      </w:pPr>
    </w:p>
    <w:p w14:paraId="328E2A54" w14:textId="77777777" w:rsidR="00CC2B31" w:rsidRPr="00C65707" w:rsidRDefault="00CC2B31">
      <w:pPr>
        <w:widowControl w:val="0"/>
        <w:jc w:val="both"/>
        <w:rPr>
          <w:sz w:val="22"/>
          <w:szCs w:val="22"/>
        </w:rPr>
      </w:pPr>
      <w:r w:rsidRPr="00C65707">
        <w:rPr>
          <w:i/>
          <w:sz w:val="22"/>
          <w:szCs w:val="22"/>
        </w:rPr>
        <w:t>Bubrežna insuficijencija:</w:t>
      </w:r>
      <w:r w:rsidRPr="00C65707">
        <w:rPr>
          <w:sz w:val="22"/>
          <w:szCs w:val="22"/>
        </w:rPr>
        <w:t xml:space="preserve"> </w:t>
      </w:r>
    </w:p>
    <w:p w14:paraId="12FAAD0A" w14:textId="6205F926" w:rsidR="00CC2B31" w:rsidRPr="00C65707" w:rsidRDefault="00CC2B31">
      <w:pPr>
        <w:widowControl w:val="0"/>
        <w:jc w:val="both"/>
        <w:rPr>
          <w:sz w:val="22"/>
          <w:szCs w:val="22"/>
        </w:rPr>
      </w:pPr>
      <w:r w:rsidRPr="00C65707">
        <w:rPr>
          <w:sz w:val="22"/>
          <w:szCs w:val="22"/>
        </w:rPr>
        <w:lastRenderedPageBreak/>
        <w:t xml:space="preserve">Nije potrebno podešavanje doze lijeka kod pacijenata sa blagim ili umjerenim oštećenjem bubrega.  </w:t>
      </w:r>
      <w:r w:rsidR="00B135CE" w:rsidRPr="00C65707">
        <w:rPr>
          <w:sz w:val="22"/>
          <w:szCs w:val="22"/>
        </w:rPr>
        <w:t xml:space="preserve">Tocilizumab </w:t>
      </w:r>
      <w:r w:rsidRPr="00C65707">
        <w:rPr>
          <w:sz w:val="22"/>
          <w:szCs w:val="22"/>
        </w:rPr>
        <w:t xml:space="preserve"> nije ispitivan kod pacijenata sa teškom bubrežnom insuficijencijom (vidjeti dio 5.2). Kod ovih pacijenata </w:t>
      </w:r>
      <w:r w:rsidR="00791687" w:rsidRPr="00C65707">
        <w:rPr>
          <w:sz w:val="22"/>
          <w:szCs w:val="22"/>
        </w:rPr>
        <w:t xml:space="preserve">se mora </w:t>
      </w:r>
      <w:r w:rsidRPr="00C65707">
        <w:rPr>
          <w:sz w:val="22"/>
          <w:szCs w:val="22"/>
        </w:rPr>
        <w:t xml:space="preserve"> pažljivo </w:t>
      </w:r>
      <w:r w:rsidR="00791687" w:rsidRPr="00C65707">
        <w:rPr>
          <w:sz w:val="22"/>
          <w:szCs w:val="22"/>
        </w:rPr>
        <w:t xml:space="preserve">pratiti </w:t>
      </w:r>
      <w:r w:rsidRPr="00C65707">
        <w:rPr>
          <w:sz w:val="22"/>
          <w:szCs w:val="22"/>
        </w:rPr>
        <w:t>bubrežn</w:t>
      </w:r>
      <w:r w:rsidR="00791687" w:rsidRPr="00C65707">
        <w:rPr>
          <w:sz w:val="22"/>
          <w:szCs w:val="22"/>
        </w:rPr>
        <w:t>a</w:t>
      </w:r>
      <w:r w:rsidRPr="00C65707">
        <w:rPr>
          <w:sz w:val="22"/>
          <w:szCs w:val="22"/>
        </w:rPr>
        <w:t xml:space="preserve"> funkcij</w:t>
      </w:r>
      <w:r w:rsidR="00791687" w:rsidRPr="00C65707">
        <w:rPr>
          <w:sz w:val="22"/>
          <w:szCs w:val="22"/>
        </w:rPr>
        <w:t>a</w:t>
      </w:r>
      <w:r w:rsidRPr="00C65707">
        <w:rPr>
          <w:sz w:val="22"/>
          <w:szCs w:val="22"/>
        </w:rPr>
        <w:t>.</w:t>
      </w:r>
    </w:p>
    <w:p w14:paraId="35CD07EA" w14:textId="77777777" w:rsidR="00CC2B31" w:rsidRPr="00C65707" w:rsidRDefault="00CC2B31">
      <w:pPr>
        <w:widowControl w:val="0"/>
        <w:jc w:val="both"/>
        <w:rPr>
          <w:sz w:val="22"/>
          <w:szCs w:val="22"/>
        </w:rPr>
      </w:pPr>
    </w:p>
    <w:p w14:paraId="15B56717" w14:textId="77777777" w:rsidR="00CC2B31" w:rsidRPr="00C65707" w:rsidRDefault="00CC2B31">
      <w:pPr>
        <w:widowControl w:val="0"/>
        <w:jc w:val="both"/>
        <w:rPr>
          <w:i/>
          <w:sz w:val="22"/>
          <w:szCs w:val="22"/>
        </w:rPr>
      </w:pPr>
      <w:r w:rsidRPr="00C65707">
        <w:rPr>
          <w:i/>
          <w:sz w:val="22"/>
          <w:szCs w:val="22"/>
        </w:rPr>
        <w:t xml:space="preserve">Insuficijencija jetre: </w:t>
      </w:r>
    </w:p>
    <w:p w14:paraId="6B4090FB" w14:textId="77777777" w:rsidR="00CC2B31" w:rsidRPr="00C65707" w:rsidRDefault="00CC2B31">
      <w:pPr>
        <w:widowControl w:val="0"/>
        <w:jc w:val="both"/>
        <w:rPr>
          <w:sz w:val="22"/>
          <w:szCs w:val="22"/>
        </w:rPr>
      </w:pPr>
      <w:r w:rsidRPr="00C65707">
        <w:rPr>
          <w:sz w:val="22"/>
          <w:szCs w:val="22"/>
        </w:rPr>
        <w:t>RoActemra nije ispitivana kod pacijenata sa insuficijencijom jetre. Prema tome, ne mogu se dati preporuke za doziranje.</w:t>
      </w:r>
    </w:p>
    <w:p w14:paraId="2706CCCB" w14:textId="77777777" w:rsidR="00CC2B31" w:rsidRPr="00C65707" w:rsidRDefault="00CC2B31">
      <w:pPr>
        <w:widowControl w:val="0"/>
        <w:jc w:val="both"/>
        <w:rPr>
          <w:sz w:val="22"/>
          <w:szCs w:val="22"/>
        </w:rPr>
      </w:pPr>
    </w:p>
    <w:p w14:paraId="4AEB58E5" w14:textId="589F04E3" w:rsidR="00CC2B31" w:rsidRPr="00C65707" w:rsidRDefault="00CC2B31">
      <w:pPr>
        <w:widowControl w:val="0"/>
        <w:jc w:val="both"/>
        <w:rPr>
          <w:i/>
          <w:sz w:val="22"/>
          <w:szCs w:val="22"/>
        </w:rPr>
      </w:pPr>
      <w:r w:rsidRPr="00C65707">
        <w:rPr>
          <w:i/>
          <w:sz w:val="22"/>
          <w:szCs w:val="22"/>
        </w:rPr>
        <w:t>Pedijatrijsk</w:t>
      </w:r>
      <w:r w:rsidR="00B135CE" w:rsidRPr="00C65707">
        <w:rPr>
          <w:i/>
          <w:sz w:val="22"/>
          <w:szCs w:val="22"/>
        </w:rPr>
        <w:t>a</w:t>
      </w:r>
      <w:r w:rsidRPr="00C65707">
        <w:rPr>
          <w:i/>
          <w:sz w:val="22"/>
          <w:szCs w:val="22"/>
        </w:rPr>
        <w:t xml:space="preserve"> p</w:t>
      </w:r>
      <w:r w:rsidR="00B135CE" w:rsidRPr="00C65707">
        <w:rPr>
          <w:i/>
          <w:sz w:val="22"/>
          <w:szCs w:val="22"/>
        </w:rPr>
        <w:t>opulacija</w:t>
      </w:r>
      <w:r w:rsidRPr="00C65707">
        <w:rPr>
          <w:i/>
          <w:sz w:val="22"/>
          <w:szCs w:val="22"/>
        </w:rPr>
        <w:t>:</w:t>
      </w:r>
    </w:p>
    <w:p w14:paraId="41BE182B" w14:textId="678B61BD" w:rsidR="00CC2B31" w:rsidRPr="00C65707" w:rsidRDefault="00CC2B31">
      <w:pPr>
        <w:widowControl w:val="0"/>
        <w:jc w:val="both"/>
        <w:rPr>
          <w:sz w:val="22"/>
          <w:szCs w:val="22"/>
        </w:rPr>
      </w:pPr>
      <w:r w:rsidRPr="00C65707">
        <w:rPr>
          <w:sz w:val="22"/>
          <w:szCs w:val="22"/>
        </w:rPr>
        <w:t xml:space="preserve">Bezbjednost i efikasnost primjene </w:t>
      </w:r>
      <w:r w:rsidR="00910BDC" w:rsidRPr="00C65707">
        <w:rPr>
          <w:sz w:val="22"/>
          <w:szCs w:val="22"/>
        </w:rPr>
        <w:t xml:space="preserve">subkutane </w:t>
      </w:r>
      <w:r w:rsidRPr="00C65707">
        <w:rPr>
          <w:sz w:val="22"/>
          <w:szCs w:val="22"/>
        </w:rPr>
        <w:t xml:space="preserve">formulacije </w:t>
      </w:r>
      <w:r w:rsidR="00B135CE" w:rsidRPr="00C65707">
        <w:rPr>
          <w:sz w:val="22"/>
          <w:szCs w:val="22"/>
        </w:rPr>
        <w:t>tocilizumaba</w:t>
      </w:r>
      <w:r w:rsidRPr="00C65707">
        <w:rPr>
          <w:sz w:val="22"/>
          <w:szCs w:val="22"/>
        </w:rPr>
        <w:t xml:space="preserve"> kod djece mlađe od 1 godine nije ustanovljena. Nema </w:t>
      </w:r>
      <w:r w:rsidR="00C93C60" w:rsidRPr="00C65707">
        <w:rPr>
          <w:sz w:val="22"/>
          <w:szCs w:val="22"/>
        </w:rPr>
        <w:t xml:space="preserve">dostupnih </w:t>
      </w:r>
      <w:r w:rsidRPr="00C65707">
        <w:rPr>
          <w:sz w:val="22"/>
          <w:szCs w:val="22"/>
        </w:rPr>
        <w:t>podataka.</w:t>
      </w:r>
    </w:p>
    <w:p w14:paraId="34B1EE55" w14:textId="77777777" w:rsidR="00CC2B31" w:rsidRPr="00C65707" w:rsidRDefault="00CC2B31" w:rsidP="00CE5678">
      <w:pPr>
        <w:widowControl w:val="0"/>
        <w:jc w:val="both"/>
        <w:rPr>
          <w:sz w:val="22"/>
          <w:szCs w:val="22"/>
          <w:lang w:eastAsia="ja-JP"/>
        </w:rPr>
      </w:pPr>
    </w:p>
    <w:p w14:paraId="2910FC03" w14:textId="6931715D" w:rsidR="00CC2B31" w:rsidRPr="00C65707" w:rsidRDefault="00CC2B31" w:rsidP="00C65707">
      <w:pPr>
        <w:widowControl w:val="0"/>
        <w:jc w:val="both"/>
        <w:rPr>
          <w:sz w:val="22"/>
          <w:szCs w:val="22"/>
        </w:rPr>
      </w:pPr>
      <w:r w:rsidRPr="00C65707">
        <w:rPr>
          <w:sz w:val="22"/>
          <w:szCs w:val="22"/>
        </w:rPr>
        <w:t xml:space="preserve">Promjene doze treba da se baziraju isključivo na konzistentnoj promjeni tjelesne težine pacijenta tokom vremena. </w:t>
      </w:r>
      <w:r w:rsidR="00B135CE" w:rsidRPr="00C65707">
        <w:rPr>
          <w:sz w:val="22"/>
          <w:szCs w:val="22"/>
        </w:rPr>
        <w:t>Tocilizumab</w:t>
      </w:r>
      <w:r w:rsidRPr="00C65707">
        <w:rPr>
          <w:sz w:val="22"/>
          <w:szCs w:val="22"/>
        </w:rPr>
        <w:t xml:space="preserve"> se može prim</w:t>
      </w:r>
      <w:r w:rsidR="000A085D" w:rsidRPr="00C65707">
        <w:rPr>
          <w:sz w:val="22"/>
          <w:szCs w:val="22"/>
        </w:rPr>
        <w:t>j</w:t>
      </w:r>
      <w:r w:rsidRPr="00C65707">
        <w:rPr>
          <w:sz w:val="22"/>
          <w:szCs w:val="22"/>
        </w:rPr>
        <w:t>enjivati sam ili u kombinaciji sa MTX</w:t>
      </w:r>
      <w:r w:rsidR="00B135CE" w:rsidRPr="00C65707">
        <w:rPr>
          <w:sz w:val="22"/>
          <w:szCs w:val="22"/>
        </w:rPr>
        <w:t>-om</w:t>
      </w:r>
      <w:r w:rsidRPr="00C65707">
        <w:rPr>
          <w:sz w:val="22"/>
          <w:szCs w:val="22"/>
        </w:rPr>
        <w:t>.</w:t>
      </w:r>
    </w:p>
    <w:p w14:paraId="0BA0BD5C" w14:textId="77777777" w:rsidR="00CC2B31" w:rsidRPr="00C65707" w:rsidRDefault="00CC2B31" w:rsidP="00CE5678">
      <w:pPr>
        <w:widowControl w:val="0"/>
        <w:jc w:val="both"/>
        <w:rPr>
          <w:i/>
          <w:sz w:val="22"/>
          <w:szCs w:val="22"/>
          <w:lang w:eastAsia="ja-JP"/>
        </w:rPr>
      </w:pPr>
    </w:p>
    <w:p w14:paraId="308D23BA" w14:textId="5D0921B1" w:rsidR="00CC2B31" w:rsidRPr="00C65707" w:rsidRDefault="00CC2B31" w:rsidP="00CE5678">
      <w:pPr>
        <w:widowControl w:val="0"/>
        <w:jc w:val="both"/>
        <w:rPr>
          <w:i/>
          <w:sz w:val="22"/>
          <w:szCs w:val="22"/>
          <w:u w:val="single"/>
          <w:lang w:eastAsia="ja-JP"/>
        </w:rPr>
      </w:pPr>
      <w:r w:rsidRPr="00C65707">
        <w:rPr>
          <w:i/>
          <w:sz w:val="22"/>
          <w:szCs w:val="22"/>
          <w:u w:val="single"/>
          <w:lang w:eastAsia="ja-JP"/>
        </w:rPr>
        <w:t>Pacijenti sa sJIA</w:t>
      </w:r>
      <w:r w:rsidR="00B135CE" w:rsidRPr="00C65707">
        <w:rPr>
          <w:i/>
          <w:sz w:val="22"/>
          <w:szCs w:val="22"/>
          <w:u w:val="single"/>
          <w:lang w:eastAsia="ja-JP"/>
        </w:rPr>
        <w:t>:</w:t>
      </w:r>
    </w:p>
    <w:p w14:paraId="31A05DFA" w14:textId="53E9F61A" w:rsidR="00CC2B31" w:rsidRPr="002B3647" w:rsidRDefault="00CC2B31" w:rsidP="00C65707">
      <w:pPr>
        <w:widowControl w:val="0"/>
        <w:jc w:val="both"/>
        <w:rPr>
          <w:sz w:val="22"/>
          <w:szCs w:val="22"/>
        </w:rPr>
      </w:pPr>
      <w:r w:rsidRPr="00C65707">
        <w:rPr>
          <w:sz w:val="22"/>
          <w:szCs w:val="22"/>
        </w:rPr>
        <w:t xml:space="preserve">Preporučeno doziranje kod pacijenata starijih od 1 godine je 162 mg </w:t>
      </w:r>
      <w:r w:rsidR="00910BDC" w:rsidRPr="00C65707">
        <w:rPr>
          <w:sz w:val="22"/>
          <w:szCs w:val="22"/>
        </w:rPr>
        <w:t xml:space="preserve">subkutano </w:t>
      </w:r>
      <w:r w:rsidRPr="00C65707">
        <w:rPr>
          <w:sz w:val="22"/>
          <w:szCs w:val="22"/>
        </w:rPr>
        <w:t>jednom svake ned</w:t>
      </w:r>
      <w:r w:rsidR="000A085D" w:rsidRPr="00C65707">
        <w:rPr>
          <w:sz w:val="22"/>
          <w:szCs w:val="22"/>
        </w:rPr>
        <w:t>j</w:t>
      </w:r>
      <w:r w:rsidRPr="00C65707">
        <w:rPr>
          <w:sz w:val="22"/>
          <w:szCs w:val="22"/>
        </w:rPr>
        <w:t xml:space="preserve">elje za pacijente tjelesne mase 30 kg ili više, odnosno 162 mg </w:t>
      </w:r>
      <w:r w:rsidR="00910BDC" w:rsidRPr="00C65707">
        <w:rPr>
          <w:sz w:val="22"/>
          <w:szCs w:val="22"/>
        </w:rPr>
        <w:t xml:space="preserve">subkutano </w:t>
      </w:r>
      <w:r w:rsidRPr="00C65707">
        <w:rPr>
          <w:sz w:val="22"/>
          <w:szCs w:val="22"/>
        </w:rPr>
        <w:t>jednom svake 2</w:t>
      </w:r>
      <w:r w:rsidRPr="002B3647">
        <w:rPr>
          <w:sz w:val="22"/>
          <w:szCs w:val="22"/>
        </w:rPr>
        <w:t xml:space="preserve"> ned</w:t>
      </w:r>
      <w:r w:rsidR="000A085D" w:rsidRPr="002B3647">
        <w:rPr>
          <w:sz w:val="22"/>
          <w:szCs w:val="22"/>
        </w:rPr>
        <w:t>j</w:t>
      </w:r>
      <w:r w:rsidRPr="002B3647">
        <w:rPr>
          <w:sz w:val="22"/>
          <w:szCs w:val="22"/>
        </w:rPr>
        <w:t>elje za pacijente tjelesne mase manje od 30 kg.</w:t>
      </w:r>
    </w:p>
    <w:p w14:paraId="70421DA1" w14:textId="4D5D3064" w:rsidR="00CC2B31" w:rsidRPr="00C65707" w:rsidRDefault="00CC2B31" w:rsidP="002B3647">
      <w:pPr>
        <w:widowControl w:val="0"/>
        <w:jc w:val="both"/>
        <w:rPr>
          <w:sz w:val="22"/>
          <w:szCs w:val="22"/>
        </w:rPr>
      </w:pPr>
      <w:r w:rsidRPr="00C65707">
        <w:rPr>
          <w:sz w:val="22"/>
          <w:szCs w:val="22"/>
        </w:rPr>
        <w:t xml:space="preserve">Tjelesna težina pacijentata koji primaju </w:t>
      </w:r>
      <w:r w:rsidR="00B135CE" w:rsidRPr="00C65707">
        <w:rPr>
          <w:sz w:val="22"/>
          <w:szCs w:val="22"/>
        </w:rPr>
        <w:t>tocilizumab</w:t>
      </w:r>
      <w:r w:rsidRPr="00C65707">
        <w:rPr>
          <w:sz w:val="22"/>
          <w:szCs w:val="22"/>
        </w:rPr>
        <w:t xml:space="preserve"> </w:t>
      </w:r>
      <w:r w:rsidR="00910BDC" w:rsidRPr="00C65707">
        <w:rPr>
          <w:sz w:val="22"/>
          <w:szCs w:val="22"/>
        </w:rPr>
        <w:t xml:space="preserve">subkutano </w:t>
      </w:r>
      <w:r w:rsidRPr="00C65707">
        <w:rPr>
          <w:sz w:val="22"/>
          <w:szCs w:val="22"/>
        </w:rPr>
        <w:t xml:space="preserve">mora biti najmanje 10 kg. </w:t>
      </w:r>
    </w:p>
    <w:p w14:paraId="33779337" w14:textId="77777777" w:rsidR="00CC2B31" w:rsidRPr="00C65707" w:rsidRDefault="00CC2B31" w:rsidP="00CE5678">
      <w:pPr>
        <w:widowControl w:val="0"/>
        <w:jc w:val="both"/>
        <w:rPr>
          <w:sz w:val="22"/>
          <w:szCs w:val="22"/>
          <w:lang w:eastAsia="ja-JP"/>
        </w:rPr>
      </w:pPr>
    </w:p>
    <w:p w14:paraId="4C5B4F63" w14:textId="77777777" w:rsidR="002B3647" w:rsidRDefault="00CC2B31" w:rsidP="00CE5678">
      <w:pPr>
        <w:widowControl w:val="0"/>
        <w:jc w:val="both"/>
        <w:rPr>
          <w:i/>
          <w:sz w:val="22"/>
          <w:szCs w:val="22"/>
          <w:u w:val="single"/>
          <w:lang w:eastAsia="ja-JP"/>
        </w:rPr>
      </w:pPr>
      <w:r w:rsidRPr="00C65707">
        <w:rPr>
          <w:i/>
          <w:sz w:val="22"/>
          <w:szCs w:val="22"/>
          <w:u w:val="single"/>
          <w:lang w:eastAsia="ja-JP"/>
        </w:rPr>
        <w:t>Pacijenti sa pJIA</w:t>
      </w:r>
      <w:r w:rsidR="00B135CE" w:rsidRPr="00C65707">
        <w:rPr>
          <w:i/>
          <w:sz w:val="22"/>
          <w:szCs w:val="22"/>
          <w:u w:val="single"/>
          <w:lang w:eastAsia="ja-JP"/>
        </w:rPr>
        <w:t>:</w:t>
      </w:r>
    </w:p>
    <w:p w14:paraId="448A06CE" w14:textId="7DE4C4B5" w:rsidR="009759B0" w:rsidRPr="00C65707" w:rsidRDefault="00CC2B31" w:rsidP="00CE5678">
      <w:pPr>
        <w:widowControl w:val="0"/>
        <w:jc w:val="both"/>
        <w:rPr>
          <w:sz w:val="22"/>
          <w:szCs w:val="22"/>
          <w:lang w:eastAsia="ja-JP"/>
        </w:rPr>
      </w:pPr>
      <w:r w:rsidRPr="002B3647">
        <w:rPr>
          <w:sz w:val="22"/>
          <w:szCs w:val="22"/>
          <w:lang w:eastAsia="ja-JP"/>
        </w:rPr>
        <w:t xml:space="preserve">Preporučeno doziranje kod pacijenata starijih od 2 godine je 162 mg </w:t>
      </w:r>
      <w:r w:rsidR="00910BDC" w:rsidRPr="002B3647">
        <w:rPr>
          <w:sz w:val="22"/>
          <w:szCs w:val="22"/>
          <w:lang w:eastAsia="ja-JP"/>
        </w:rPr>
        <w:t xml:space="preserve">subkutano </w:t>
      </w:r>
      <w:r w:rsidRPr="002B3647">
        <w:rPr>
          <w:sz w:val="22"/>
          <w:szCs w:val="22"/>
          <w:lang w:eastAsia="ja-JP"/>
        </w:rPr>
        <w:t xml:space="preserve">jednom svake 2 nedjelje za pacijente tjelesne mase 30 kg ili više, odnosno 162 mg </w:t>
      </w:r>
      <w:r w:rsidR="00910BDC" w:rsidRPr="002B3647">
        <w:rPr>
          <w:sz w:val="22"/>
          <w:szCs w:val="22"/>
          <w:lang w:eastAsia="ja-JP"/>
        </w:rPr>
        <w:t xml:space="preserve">subkutano </w:t>
      </w:r>
      <w:r w:rsidRPr="002B3647">
        <w:rPr>
          <w:sz w:val="22"/>
          <w:szCs w:val="22"/>
          <w:lang w:eastAsia="ja-JP"/>
        </w:rPr>
        <w:t>jednom svake 3 ned</w:t>
      </w:r>
      <w:r w:rsidR="000A085D" w:rsidRPr="002B3647">
        <w:rPr>
          <w:sz w:val="22"/>
          <w:szCs w:val="22"/>
          <w:lang w:eastAsia="ja-JP"/>
        </w:rPr>
        <w:t>j</w:t>
      </w:r>
      <w:r w:rsidRPr="002B3647">
        <w:rPr>
          <w:sz w:val="22"/>
          <w:szCs w:val="22"/>
          <w:lang w:eastAsia="ja-JP"/>
        </w:rPr>
        <w:t>elje kod pacijena</w:t>
      </w:r>
      <w:r w:rsidRPr="00C65707">
        <w:rPr>
          <w:sz w:val="22"/>
          <w:szCs w:val="22"/>
          <w:lang w:eastAsia="ja-JP"/>
        </w:rPr>
        <w:t>ta tjelesne mase manje od 30 kg.</w:t>
      </w:r>
    </w:p>
    <w:p w14:paraId="2FBBFCC8" w14:textId="5193150B" w:rsidR="00CC2B31" w:rsidRPr="00C65707" w:rsidRDefault="00B135CE" w:rsidP="00CE5678">
      <w:pPr>
        <w:widowControl w:val="0"/>
        <w:jc w:val="both"/>
        <w:rPr>
          <w:sz w:val="22"/>
          <w:szCs w:val="22"/>
          <w:lang w:eastAsia="ja-JP"/>
        </w:rPr>
      </w:pPr>
      <w:r w:rsidRPr="00C65707">
        <w:rPr>
          <w:sz w:val="22"/>
          <w:szCs w:val="22"/>
          <w:lang w:eastAsia="ja-JP"/>
        </w:rPr>
        <w:br/>
      </w:r>
      <w:r w:rsidRPr="00C65707">
        <w:rPr>
          <w:i/>
          <w:sz w:val="22"/>
          <w:szCs w:val="22"/>
          <w:u w:val="single"/>
        </w:rPr>
        <w:t>Pacijenti sa sJIA i pJIA</w:t>
      </w:r>
    </w:p>
    <w:p w14:paraId="59DD592D" w14:textId="517A2131" w:rsidR="00CC2B31" w:rsidRPr="00C65707" w:rsidRDefault="00CC2B31" w:rsidP="00CE5678">
      <w:pPr>
        <w:widowControl w:val="0"/>
        <w:jc w:val="both"/>
        <w:rPr>
          <w:sz w:val="22"/>
          <w:szCs w:val="22"/>
          <w:lang w:eastAsia="ja-JP"/>
        </w:rPr>
      </w:pPr>
      <w:r w:rsidRPr="00C65707">
        <w:rPr>
          <w:sz w:val="22"/>
          <w:szCs w:val="22"/>
          <w:lang w:eastAsia="ja-JP"/>
        </w:rPr>
        <w:t>Prilagođavanje doze usl</w:t>
      </w:r>
      <w:r w:rsidR="002B3647">
        <w:rPr>
          <w:sz w:val="22"/>
          <w:szCs w:val="22"/>
          <w:lang w:eastAsia="ja-JP"/>
        </w:rPr>
        <w:t>j</w:t>
      </w:r>
      <w:r w:rsidRPr="002B3647">
        <w:rPr>
          <w:sz w:val="22"/>
          <w:szCs w:val="22"/>
          <w:lang w:eastAsia="ja-JP"/>
        </w:rPr>
        <w:t>ed poremećenih laboratorijskih rezultata</w:t>
      </w:r>
      <w:r w:rsidR="00B135CE" w:rsidRPr="002B3647">
        <w:rPr>
          <w:sz w:val="22"/>
          <w:szCs w:val="22"/>
          <w:lang w:eastAsia="ja-JP"/>
        </w:rPr>
        <w:t>.</w:t>
      </w:r>
    </w:p>
    <w:p w14:paraId="1BB2E8FE" w14:textId="77777777" w:rsidR="00CC2B31" w:rsidRPr="00C65707" w:rsidRDefault="00CC2B31" w:rsidP="00CE5678">
      <w:pPr>
        <w:widowControl w:val="0"/>
        <w:jc w:val="both"/>
        <w:rPr>
          <w:sz w:val="22"/>
          <w:szCs w:val="22"/>
          <w:lang w:eastAsia="ja-JP"/>
        </w:rPr>
      </w:pPr>
    </w:p>
    <w:p w14:paraId="39A1235A" w14:textId="27B43277" w:rsidR="00CC2B31" w:rsidRPr="00C65707" w:rsidRDefault="00CC2B31" w:rsidP="00CE5678">
      <w:pPr>
        <w:widowControl w:val="0"/>
        <w:jc w:val="both"/>
        <w:rPr>
          <w:sz w:val="22"/>
          <w:szCs w:val="22"/>
          <w:lang w:eastAsia="ja-JP"/>
        </w:rPr>
      </w:pPr>
      <w:r w:rsidRPr="00C65707">
        <w:rPr>
          <w:sz w:val="22"/>
          <w:szCs w:val="22"/>
          <w:lang w:eastAsia="ja-JP"/>
        </w:rPr>
        <w:t xml:space="preserve">Ukoliko je moguće, treba prilagoditi dozu istovremeno primijenjenog </w:t>
      </w:r>
      <w:r w:rsidR="00B135CE" w:rsidRPr="00C65707">
        <w:rPr>
          <w:sz w:val="22"/>
          <w:szCs w:val="22"/>
          <w:lang w:eastAsia="ja-JP"/>
        </w:rPr>
        <w:t xml:space="preserve">MTX-a </w:t>
      </w:r>
      <w:r w:rsidRPr="00C65707">
        <w:rPr>
          <w:sz w:val="22"/>
          <w:szCs w:val="22"/>
          <w:lang w:eastAsia="ja-JP"/>
        </w:rPr>
        <w:t>i/ili drugih ljekova, ili privremeno prekinuti primjenu tocilizumaba do procjene kliničkog stanja. S obzirom da brojni komorbiditeti mogu uticati na laboratorijske vrijednosti oboljelih od sJIA ili pJIA, odluka o obustavljanju primjene tocilizumaba zbog poremećenih laboratorijskih rezultata mora da se zasniva na individualnoj kliničkoj procjeni svakog pacijenta.</w:t>
      </w:r>
    </w:p>
    <w:p w14:paraId="75D60DAE" w14:textId="77777777" w:rsidR="00CC2B31" w:rsidRPr="00C65707" w:rsidRDefault="00CC2B31" w:rsidP="00CE5678">
      <w:pPr>
        <w:widowControl w:val="0"/>
        <w:jc w:val="both"/>
        <w:rPr>
          <w:sz w:val="22"/>
          <w:szCs w:val="22"/>
          <w:lang w:eastAsia="ja-JP"/>
        </w:rPr>
      </w:pPr>
    </w:p>
    <w:p w14:paraId="2FD7D22F" w14:textId="77777777" w:rsidR="00CC2B31" w:rsidRPr="00C65707" w:rsidRDefault="00CC2B31" w:rsidP="00CE5678">
      <w:pPr>
        <w:widowControl w:val="0"/>
        <w:jc w:val="both"/>
        <w:rPr>
          <w:sz w:val="22"/>
          <w:szCs w:val="22"/>
          <w:lang w:eastAsia="ja-JP"/>
        </w:rPr>
      </w:pPr>
      <w:r w:rsidRPr="00C65707">
        <w:rPr>
          <w:sz w:val="22"/>
          <w:szCs w:val="22"/>
        </w:rPr>
        <w:sym w:font="Symbol" w:char="F0B7"/>
      </w:r>
      <w:r w:rsidRPr="00C65707">
        <w:rPr>
          <w:sz w:val="22"/>
          <w:szCs w:val="22"/>
        </w:rPr>
        <w:t xml:space="preserve"> </w:t>
      </w:r>
      <w:r w:rsidRPr="00C65707">
        <w:rPr>
          <w:sz w:val="22"/>
          <w:szCs w:val="22"/>
          <w:lang w:eastAsia="ja-JP"/>
        </w:rPr>
        <w:t>Poremećene vrednosti enzima jetre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6977"/>
      </w:tblGrid>
      <w:tr w:rsidR="00CC2B31" w:rsidRPr="00C65707" w14:paraId="4E692948" w14:textId="77777777" w:rsidTr="00CE5678">
        <w:tc>
          <w:tcPr>
            <w:tcW w:w="1151" w:type="pct"/>
          </w:tcPr>
          <w:p w14:paraId="05A7263A" w14:textId="6560FF8F" w:rsidR="00CC2B31" w:rsidRPr="002B3647" w:rsidRDefault="00CC2B31" w:rsidP="00CE5678">
            <w:pPr>
              <w:widowControl w:val="0"/>
              <w:jc w:val="both"/>
              <w:rPr>
                <w:b/>
                <w:sz w:val="22"/>
                <w:szCs w:val="22"/>
              </w:rPr>
            </w:pPr>
            <w:r w:rsidRPr="00C65707">
              <w:rPr>
                <w:b/>
                <w:sz w:val="22"/>
                <w:szCs w:val="22"/>
              </w:rPr>
              <w:t>Laboratorijska vr</w:t>
            </w:r>
            <w:r w:rsidR="00B135CE" w:rsidRPr="002B3647">
              <w:rPr>
                <w:b/>
                <w:sz w:val="22"/>
                <w:szCs w:val="22"/>
              </w:rPr>
              <w:t>ij</w:t>
            </w:r>
            <w:r w:rsidRPr="002B3647">
              <w:rPr>
                <w:b/>
                <w:sz w:val="22"/>
                <w:szCs w:val="22"/>
              </w:rPr>
              <w:t>ednost</w:t>
            </w:r>
          </w:p>
        </w:tc>
        <w:tc>
          <w:tcPr>
            <w:tcW w:w="3849" w:type="pct"/>
          </w:tcPr>
          <w:p w14:paraId="787227AE" w14:textId="4700BBC6" w:rsidR="00CC2B31" w:rsidRPr="00C65707" w:rsidRDefault="00CC2B31" w:rsidP="00CE5678">
            <w:pPr>
              <w:widowControl w:val="0"/>
              <w:jc w:val="both"/>
              <w:rPr>
                <w:b/>
                <w:sz w:val="22"/>
                <w:szCs w:val="22"/>
              </w:rPr>
            </w:pPr>
            <w:r w:rsidRPr="00C65707">
              <w:rPr>
                <w:b/>
                <w:sz w:val="22"/>
                <w:szCs w:val="22"/>
              </w:rPr>
              <w:t>Postupa</w:t>
            </w:r>
            <w:r w:rsidR="00B135CE" w:rsidRPr="00C65707">
              <w:rPr>
                <w:b/>
                <w:sz w:val="22"/>
                <w:szCs w:val="22"/>
              </w:rPr>
              <w:t>nje</w:t>
            </w:r>
          </w:p>
        </w:tc>
      </w:tr>
      <w:tr w:rsidR="00CC2B31" w:rsidRPr="00C65707" w14:paraId="5AA7B8E4" w14:textId="77777777" w:rsidTr="00CE5678">
        <w:tc>
          <w:tcPr>
            <w:tcW w:w="1151" w:type="pct"/>
          </w:tcPr>
          <w:p w14:paraId="33619EBA" w14:textId="77777777" w:rsidR="00CC2B31" w:rsidRPr="00C65707" w:rsidRDefault="00CC2B31" w:rsidP="00CE5678">
            <w:pPr>
              <w:widowControl w:val="0"/>
              <w:jc w:val="both"/>
              <w:rPr>
                <w:sz w:val="22"/>
                <w:szCs w:val="22"/>
              </w:rPr>
            </w:pPr>
            <w:r w:rsidRPr="00C65707">
              <w:rPr>
                <w:sz w:val="22"/>
                <w:szCs w:val="22"/>
              </w:rPr>
              <w:t>&gt; 1 do 3x GGN</w:t>
            </w:r>
          </w:p>
        </w:tc>
        <w:tc>
          <w:tcPr>
            <w:tcW w:w="3849" w:type="pct"/>
          </w:tcPr>
          <w:p w14:paraId="43130ACE" w14:textId="77777777" w:rsidR="00CC2B31" w:rsidRPr="002B3647" w:rsidRDefault="00CC2B31" w:rsidP="00CE5678">
            <w:pPr>
              <w:widowControl w:val="0"/>
              <w:jc w:val="both"/>
              <w:rPr>
                <w:sz w:val="22"/>
                <w:szCs w:val="22"/>
              </w:rPr>
            </w:pPr>
            <w:r w:rsidRPr="002B3647">
              <w:rPr>
                <w:sz w:val="22"/>
                <w:szCs w:val="22"/>
              </w:rPr>
              <w:t>Ako je moguće, prilagoditi dozu istovremeno primijenjenog MTX</w:t>
            </w:r>
            <w:r w:rsidRPr="002B3647">
              <w:rPr>
                <w:sz w:val="22"/>
                <w:szCs w:val="22"/>
              </w:rPr>
              <w:noBreakHyphen/>
              <w:t>a.</w:t>
            </w:r>
          </w:p>
          <w:p w14:paraId="4C925461" w14:textId="77777777" w:rsidR="00CC2B31" w:rsidRPr="00C65707" w:rsidRDefault="00CC2B31" w:rsidP="00CE5678">
            <w:pPr>
              <w:widowControl w:val="0"/>
              <w:jc w:val="both"/>
              <w:rPr>
                <w:sz w:val="22"/>
                <w:szCs w:val="22"/>
              </w:rPr>
            </w:pPr>
          </w:p>
          <w:p w14:paraId="24BBFB63" w14:textId="02306BC8" w:rsidR="00CC2B31" w:rsidRPr="00C65707" w:rsidRDefault="00CC2B31" w:rsidP="00CE5678">
            <w:pPr>
              <w:widowControl w:val="0"/>
              <w:jc w:val="both"/>
              <w:rPr>
                <w:sz w:val="22"/>
                <w:szCs w:val="22"/>
              </w:rPr>
            </w:pPr>
            <w:r w:rsidRPr="00C65707">
              <w:rPr>
                <w:sz w:val="22"/>
                <w:szCs w:val="22"/>
              </w:rPr>
              <w:t xml:space="preserve">U slučaju trajno povišenih vrijednosti u ovom opsegu, prekinuti primjenu </w:t>
            </w:r>
            <w:r w:rsidR="00B135CE" w:rsidRPr="00C65707">
              <w:rPr>
                <w:sz w:val="22"/>
                <w:szCs w:val="22"/>
              </w:rPr>
              <w:t>tocilizumaba</w:t>
            </w:r>
            <w:r w:rsidRPr="00C65707">
              <w:rPr>
                <w:sz w:val="22"/>
                <w:szCs w:val="22"/>
              </w:rPr>
              <w:t xml:space="preserve"> do normalizacije vrijednosti ALT/AST. </w:t>
            </w:r>
          </w:p>
        </w:tc>
      </w:tr>
      <w:tr w:rsidR="00CC2B31" w:rsidRPr="00C65707" w14:paraId="108DAC6A" w14:textId="77777777" w:rsidTr="00CE5678">
        <w:tc>
          <w:tcPr>
            <w:tcW w:w="1151" w:type="pct"/>
          </w:tcPr>
          <w:p w14:paraId="6F6CD7F2" w14:textId="77777777" w:rsidR="00CC2B31" w:rsidRPr="00C65707" w:rsidRDefault="00CC2B31" w:rsidP="00CE5678">
            <w:pPr>
              <w:widowControl w:val="0"/>
              <w:jc w:val="both"/>
              <w:rPr>
                <w:sz w:val="22"/>
                <w:szCs w:val="22"/>
              </w:rPr>
            </w:pPr>
            <w:r w:rsidRPr="00C65707">
              <w:rPr>
                <w:sz w:val="22"/>
                <w:szCs w:val="22"/>
              </w:rPr>
              <w:t>&gt; 3x do 5x GGN</w:t>
            </w:r>
          </w:p>
          <w:p w14:paraId="3DA545F1" w14:textId="77777777" w:rsidR="00CC2B31" w:rsidRPr="002B3647" w:rsidRDefault="00CC2B31" w:rsidP="00CE5678">
            <w:pPr>
              <w:widowControl w:val="0"/>
              <w:jc w:val="both"/>
              <w:rPr>
                <w:sz w:val="22"/>
                <w:szCs w:val="22"/>
              </w:rPr>
            </w:pPr>
          </w:p>
        </w:tc>
        <w:tc>
          <w:tcPr>
            <w:tcW w:w="3849" w:type="pct"/>
          </w:tcPr>
          <w:p w14:paraId="0878FF1A" w14:textId="77777777" w:rsidR="00CC2B31" w:rsidRPr="00C65707" w:rsidRDefault="00CC2B31" w:rsidP="00CE5678">
            <w:pPr>
              <w:widowControl w:val="0"/>
              <w:jc w:val="both"/>
              <w:rPr>
                <w:sz w:val="22"/>
                <w:szCs w:val="22"/>
              </w:rPr>
            </w:pPr>
            <w:r w:rsidRPr="00C65707">
              <w:rPr>
                <w:sz w:val="22"/>
                <w:szCs w:val="22"/>
              </w:rPr>
              <w:t>Ako je moguće, prilagoditi dozu istovremeno primijenjenog MTX</w:t>
            </w:r>
            <w:r w:rsidRPr="00C65707">
              <w:rPr>
                <w:sz w:val="22"/>
                <w:szCs w:val="22"/>
              </w:rPr>
              <w:noBreakHyphen/>
              <w:t>a.</w:t>
            </w:r>
          </w:p>
          <w:p w14:paraId="24DF460A" w14:textId="77777777" w:rsidR="00CC2B31" w:rsidRPr="00C65707" w:rsidRDefault="00CC2B31" w:rsidP="00CE5678">
            <w:pPr>
              <w:widowControl w:val="0"/>
              <w:jc w:val="both"/>
              <w:rPr>
                <w:sz w:val="22"/>
                <w:szCs w:val="22"/>
              </w:rPr>
            </w:pPr>
          </w:p>
          <w:p w14:paraId="248EACF3" w14:textId="16A38AC3" w:rsidR="00CC2B31" w:rsidRPr="00C65707" w:rsidRDefault="00CC2B31" w:rsidP="00CE5678">
            <w:pPr>
              <w:widowControl w:val="0"/>
              <w:jc w:val="both"/>
              <w:rPr>
                <w:sz w:val="22"/>
                <w:szCs w:val="22"/>
              </w:rPr>
            </w:pPr>
            <w:r w:rsidRPr="00C65707">
              <w:rPr>
                <w:sz w:val="22"/>
                <w:szCs w:val="22"/>
              </w:rPr>
              <w:t>Privremeno prekinuti prim</w:t>
            </w:r>
            <w:r w:rsidR="000A085D" w:rsidRPr="00C65707">
              <w:rPr>
                <w:sz w:val="22"/>
                <w:szCs w:val="22"/>
              </w:rPr>
              <w:t>j</w:t>
            </w:r>
            <w:r w:rsidRPr="00C65707">
              <w:rPr>
                <w:sz w:val="22"/>
                <w:szCs w:val="22"/>
              </w:rPr>
              <w:t xml:space="preserve">enu </w:t>
            </w:r>
            <w:r w:rsidR="00B135CE" w:rsidRPr="00C65707">
              <w:rPr>
                <w:sz w:val="22"/>
                <w:szCs w:val="22"/>
              </w:rPr>
              <w:t>tocilizumaba</w:t>
            </w:r>
            <w:r w:rsidRPr="00C65707">
              <w:rPr>
                <w:sz w:val="22"/>
                <w:szCs w:val="22"/>
              </w:rPr>
              <w:t xml:space="preserve"> dok vrijednosti ne spadnu na &lt; 3 x GGN, zatim pratiti iznad navedene preporuke za vrijednosti &gt; 1 do 3 x GGN.</w:t>
            </w:r>
          </w:p>
        </w:tc>
      </w:tr>
      <w:tr w:rsidR="00CC2B31" w:rsidRPr="00C65707" w14:paraId="1B021C63" w14:textId="77777777" w:rsidTr="00CE5678">
        <w:tc>
          <w:tcPr>
            <w:tcW w:w="1151" w:type="pct"/>
          </w:tcPr>
          <w:p w14:paraId="261C1296" w14:textId="77777777" w:rsidR="00CC2B31" w:rsidRPr="00C65707" w:rsidRDefault="00CC2B31" w:rsidP="00CE5678">
            <w:pPr>
              <w:widowControl w:val="0"/>
              <w:jc w:val="both"/>
              <w:rPr>
                <w:sz w:val="22"/>
                <w:szCs w:val="22"/>
              </w:rPr>
            </w:pPr>
            <w:r w:rsidRPr="00C65707">
              <w:rPr>
                <w:sz w:val="22"/>
                <w:szCs w:val="22"/>
              </w:rPr>
              <w:t>&gt; 5x GGN</w:t>
            </w:r>
          </w:p>
        </w:tc>
        <w:tc>
          <w:tcPr>
            <w:tcW w:w="3849" w:type="pct"/>
          </w:tcPr>
          <w:p w14:paraId="1E01C130" w14:textId="1B0F09AD" w:rsidR="00CC2B31" w:rsidRPr="002B3647" w:rsidRDefault="00CC2B31" w:rsidP="00CE5678">
            <w:pPr>
              <w:widowControl w:val="0"/>
              <w:jc w:val="both"/>
              <w:rPr>
                <w:sz w:val="22"/>
                <w:szCs w:val="22"/>
              </w:rPr>
            </w:pPr>
            <w:r w:rsidRPr="002B3647">
              <w:rPr>
                <w:sz w:val="22"/>
                <w:szCs w:val="22"/>
              </w:rPr>
              <w:t xml:space="preserve">Obustaviti primjenu </w:t>
            </w:r>
            <w:r w:rsidR="00B135CE" w:rsidRPr="002B3647">
              <w:rPr>
                <w:sz w:val="22"/>
                <w:szCs w:val="22"/>
              </w:rPr>
              <w:t>tocilizumaba</w:t>
            </w:r>
            <w:r w:rsidRPr="002B3647">
              <w:rPr>
                <w:sz w:val="22"/>
                <w:szCs w:val="22"/>
              </w:rPr>
              <w:t>.</w:t>
            </w:r>
          </w:p>
          <w:p w14:paraId="445D06DC" w14:textId="77777777" w:rsidR="00CC2B31" w:rsidRPr="00C65707" w:rsidRDefault="00CC2B31" w:rsidP="00CE5678">
            <w:pPr>
              <w:widowControl w:val="0"/>
              <w:jc w:val="both"/>
              <w:rPr>
                <w:sz w:val="22"/>
                <w:szCs w:val="22"/>
              </w:rPr>
            </w:pPr>
          </w:p>
          <w:p w14:paraId="3FDCF725" w14:textId="2AF2EA1F" w:rsidR="00CC2B31" w:rsidRPr="00C65707" w:rsidRDefault="00CC2B31" w:rsidP="00CE5678">
            <w:pPr>
              <w:widowControl w:val="0"/>
              <w:jc w:val="both"/>
              <w:rPr>
                <w:sz w:val="22"/>
                <w:szCs w:val="22"/>
              </w:rPr>
            </w:pPr>
            <w:r w:rsidRPr="00C65707">
              <w:rPr>
                <w:sz w:val="22"/>
                <w:szCs w:val="22"/>
              </w:rPr>
              <w:t xml:space="preserve">Odluka o prekidu </w:t>
            </w:r>
            <w:r w:rsidR="00B135CE" w:rsidRPr="00C65707">
              <w:rPr>
                <w:sz w:val="22"/>
                <w:szCs w:val="22"/>
              </w:rPr>
              <w:t>liječenja</w:t>
            </w:r>
            <w:r w:rsidRPr="00C65707">
              <w:rPr>
                <w:sz w:val="22"/>
                <w:szCs w:val="22"/>
              </w:rPr>
              <w:t xml:space="preserve"> kod pacijenata sa sJIA ili pJIA zbog poremećaja laboratorijskih rezultata mora da se zasniva na individualnoj kliničkoj procjeni svakog pacijenta.</w:t>
            </w:r>
          </w:p>
        </w:tc>
      </w:tr>
    </w:tbl>
    <w:p w14:paraId="3B07C28E" w14:textId="77777777" w:rsidR="00CC2B31" w:rsidRPr="00C65707" w:rsidRDefault="00CC2B31" w:rsidP="00CE5678">
      <w:pPr>
        <w:widowControl w:val="0"/>
        <w:jc w:val="both"/>
        <w:rPr>
          <w:sz w:val="22"/>
          <w:szCs w:val="22"/>
          <w:lang w:eastAsia="ja-JP"/>
        </w:rPr>
      </w:pPr>
    </w:p>
    <w:p w14:paraId="33BF8B17" w14:textId="77777777" w:rsidR="00CC2B31" w:rsidRPr="00C65707" w:rsidRDefault="00CC2B31" w:rsidP="00CE5678">
      <w:pPr>
        <w:widowControl w:val="0"/>
        <w:jc w:val="both"/>
        <w:rPr>
          <w:sz w:val="22"/>
          <w:szCs w:val="22"/>
        </w:rPr>
      </w:pPr>
      <w:r w:rsidRPr="00C65707">
        <w:rPr>
          <w:sz w:val="22"/>
          <w:szCs w:val="22"/>
        </w:rPr>
        <w:sym w:font="Symbol" w:char="F0B7"/>
      </w:r>
      <w:r w:rsidRPr="00C65707">
        <w:rPr>
          <w:sz w:val="22"/>
          <w:szCs w:val="22"/>
        </w:rPr>
        <w:t xml:space="preserve"> Nizak apsolutni broj neutrofila (ABN)</w:t>
      </w:r>
    </w:p>
    <w:p w14:paraId="5647D276" w14:textId="77777777" w:rsidR="00CC2B31" w:rsidRPr="002B3647" w:rsidRDefault="00CC2B31" w:rsidP="00CE5678">
      <w:pPr>
        <w:widowControl w:val="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6930"/>
      </w:tblGrid>
      <w:tr w:rsidR="00CC2B31" w:rsidRPr="00C65707" w14:paraId="25E3EB63" w14:textId="77777777" w:rsidTr="00CE5678">
        <w:tc>
          <w:tcPr>
            <w:tcW w:w="1177" w:type="pct"/>
            <w:shd w:val="clear" w:color="auto" w:fill="auto"/>
          </w:tcPr>
          <w:p w14:paraId="1C61E24B" w14:textId="77777777" w:rsidR="00CC2B31" w:rsidRPr="002B3647" w:rsidRDefault="00CC2B31" w:rsidP="00CE5678">
            <w:pPr>
              <w:widowControl w:val="0"/>
              <w:jc w:val="both"/>
              <w:rPr>
                <w:b/>
                <w:sz w:val="22"/>
                <w:szCs w:val="22"/>
              </w:rPr>
            </w:pPr>
            <w:r w:rsidRPr="002B3647">
              <w:rPr>
                <w:b/>
                <w:sz w:val="22"/>
                <w:szCs w:val="22"/>
              </w:rPr>
              <w:t>Laboratorijska vrijednost</w:t>
            </w:r>
          </w:p>
          <w:p w14:paraId="72332086" w14:textId="77777777" w:rsidR="00CC2B31" w:rsidRPr="00C65707" w:rsidRDefault="00CC2B31" w:rsidP="00CE5678">
            <w:pPr>
              <w:widowControl w:val="0"/>
              <w:jc w:val="both"/>
              <w:rPr>
                <w:sz w:val="22"/>
                <w:szCs w:val="22"/>
              </w:rPr>
            </w:pPr>
            <w:r w:rsidRPr="00C65707">
              <w:rPr>
                <w:b/>
                <w:sz w:val="22"/>
                <w:szCs w:val="22"/>
              </w:rPr>
              <w:t>(broj ćelija x 10</w:t>
            </w:r>
            <w:r w:rsidRPr="00C65707">
              <w:rPr>
                <w:b/>
                <w:sz w:val="22"/>
                <w:szCs w:val="22"/>
                <w:vertAlign w:val="superscript"/>
              </w:rPr>
              <w:t>9</w:t>
            </w:r>
            <w:r w:rsidRPr="00C65707">
              <w:rPr>
                <w:b/>
                <w:sz w:val="22"/>
                <w:szCs w:val="22"/>
              </w:rPr>
              <w:t>/l)</w:t>
            </w:r>
          </w:p>
        </w:tc>
        <w:tc>
          <w:tcPr>
            <w:tcW w:w="3823" w:type="pct"/>
            <w:shd w:val="clear" w:color="auto" w:fill="auto"/>
          </w:tcPr>
          <w:p w14:paraId="2E73A73F" w14:textId="440C6A8C" w:rsidR="00CC2B31" w:rsidRPr="00C65707" w:rsidRDefault="00CC2B31" w:rsidP="00CE5678">
            <w:pPr>
              <w:widowControl w:val="0"/>
              <w:jc w:val="both"/>
              <w:rPr>
                <w:b/>
                <w:sz w:val="22"/>
                <w:szCs w:val="22"/>
              </w:rPr>
            </w:pPr>
            <w:r w:rsidRPr="00C65707">
              <w:rPr>
                <w:b/>
                <w:sz w:val="22"/>
                <w:szCs w:val="22"/>
              </w:rPr>
              <w:t>Postupa</w:t>
            </w:r>
            <w:r w:rsidR="00B135CE" w:rsidRPr="00C65707">
              <w:rPr>
                <w:b/>
                <w:sz w:val="22"/>
                <w:szCs w:val="22"/>
              </w:rPr>
              <w:t>nje</w:t>
            </w:r>
          </w:p>
        </w:tc>
      </w:tr>
      <w:tr w:rsidR="00CC2B31" w:rsidRPr="00C65707" w14:paraId="24C51C41" w14:textId="77777777" w:rsidTr="00CE5678">
        <w:tc>
          <w:tcPr>
            <w:tcW w:w="1177" w:type="pct"/>
            <w:shd w:val="clear" w:color="auto" w:fill="auto"/>
          </w:tcPr>
          <w:p w14:paraId="33CA0417" w14:textId="77777777" w:rsidR="00CC2B31" w:rsidRPr="00C65707" w:rsidRDefault="00CC2B31" w:rsidP="00CE5678">
            <w:pPr>
              <w:widowControl w:val="0"/>
              <w:jc w:val="both"/>
              <w:rPr>
                <w:sz w:val="22"/>
                <w:szCs w:val="22"/>
              </w:rPr>
            </w:pPr>
            <w:r w:rsidRPr="00C65707">
              <w:rPr>
                <w:sz w:val="22"/>
                <w:szCs w:val="22"/>
              </w:rPr>
              <w:lastRenderedPageBreak/>
              <w:t xml:space="preserve">ABN &gt; 1 </w:t>
            </w:r>
          </w:p>
        </w:tc>
        <w:tc>
          <w:tcPr>
            <w:tcW w:w="3823" w:type="pct"/>
            <w:shd w:val="clear" w:color="auto" w:fill="auto"/>
          </w:tcPr>
          <w:p w14:paraId="680BB900" w14:textId="77777777" w:rsidR="00CC2B31" w:rsidRPr="002B3647" w:rsidRDefault="00CC2B31" w:rsidP="00CE5678">
            <w:pPr>
              <w:widowControl w:val="0"/>
              <w:jc w:val="both"/>
              <w:rPr>
                <w:sz w:val="22"/>
                <w:szCs w:val="22"/>
              </w:rPr>
            </w:pPr>
            <w:r w:rsidRPr="002B3647">
              <w:rPr>
                <w:sz w:val="22"/>
                <w:szCs w:val="22"/>
              </w:rPr>
              <w:t>Održavati dozu.</w:t>
            </w:r>
          </w:p>
        </w:tc>
      </w:tr>
      <w:tr w:rsidR="00CC2B31" w:rsidRPr="00C65707" w14:paraId="6B535E4C" w14:textId="77777777" w:rsidTr="00CE5678">
        <w:tc>
          <w:tcPr>
            <w:tcW w:w="1177" w:type="pct"/>
            <w:shd w:val="clear" w:color="auto" w:fill="auto"/>
          </w:tcPr>
          <w:p w14:paraId="38D9A8A1" w14:textId="77777777" w:rsidR="00CC2B31" w:rsidRPr="00C65707" w:rsidRDefault="00CC2B31" w:rsidP="00CE5678">
            <w:pPr>
              <w:widowControl w:val="0"/>
              <w:jc w:val="both"/>
              <w:rPr>
                <w:sz w:val="22"/>
                <w:szCs w:val="22"/>
              </w:rPr>
            </w:pPr>
            <w:r w:rsidRPr="00C65707">
              <w:rPr>
                <w:sz w:val="22"/>
                <w:szCs w:val="22"/>
              </w:rPr>
              <w:t>ABN 0.5 do 1</w:t>
            </w:r>
          </w:p>
        </w:tc>
        <w:tc>
          <w:tcPr>
            <w:tcW w:w="3823" w:type="pct"/>
            <w:shd w:val="clear" w:color="auto" w:fill="auto"/>
          </w:tcPr>
          <w:p w14:paraId="1126F91D" w14:textId="2B605B0C" w:rsidR="00CC2B31" w:rsidRPr="002B3647" w:rsidRDefault="00CC2B31" w:rsidP="00CE5678">
            <w:pPr>
              <w:widowControl w:val="0"/>
              <w:jc w:val="both"/>
              <w:rPr>
                <w:sz w:val="22"/>
                <w:szCs w:val="22"/>
              </w:rPr>
            </w:pPr>
            <w:r w:rsidRPr="002B3647">
              <w:rPr>
                <w:sz w:val="22"/>
                <w:szCs w:val="22"/>
              </w:rPr>
              <w:t xml:space="preserve">Privremeno prekinuti primjenu </w:t>
            </w:r>
            <w:r w:rsidR="00B135CE" w:rsidRPr="002B3647">
              <w:rPr>
                <w:sz w:val="22"/>
                <w:szCs w:val="22"/>
              </w:rPr>
              <w:t>tocilizumaba</w:t>
            </w:r>
            <w:r w:rsidRPr="002B3647">
              <w:rPr>
                <w:sz w:val="22"/>
                <w:szCs w:val="22"/>
              </w:rPr>
              <w:t>.</w:t>
            </w:r>
          </w:p>
          <w:p w14:paraId="1F2F9219" w14:textId="77777777" w:rsidR="00CC2B31" w:rsidRPr="00C65707" w:rsidRDefault="00CC2B31" w:rsidP="00CE5678">
            <w:pPr>
              <w:widowControl w:val="0"/>
              <w:jc w:val="both"/>
              <w:rPr>
                <w:sz w:val="22"/>
                <w:szCs w:val="22"/>
              </w:rPr>
            </w:pPr>
          </w:p>
          <w:p w14:paraId="7F048446" w14:textId="2A919B33" w:rsidR="00CC2B31" w:rsidRPr="00C65707" w:rsidRDefault="00CC2B31" w:rsidP="00CE5678">
            <w:pPr>
              <w:widowControl w:val="0"/>
              <w:jc w:val="both"/>
              <w:rPr>
                <w:sz w:val="22"/>
                <w:szCs w:val="22"/>
              </w:rPr>
            </w:pPr>
            <w:r w:rsidRPr="00C65707">
              <w:rPr>
                <w:sz w:val="22"/>
                <w:szCs w:val="22"/>
              </w:rPr>
              <w:t>Kad se ABN poveća na &gt; 1 x 10</w:t>
            </w:r>
            <w:r w:rsidRPr="00C65707">
              <w:rPr>
                <w:sz w:val="22"/>
                <w:szCs w:val="22"/>
                <w:vertAlign w:val="superscript"/>
              </w:rPr>
              <w:t>9</w:t>
            </w:r>
            <w:r w:rsidRPr="00C65707">
              <w:rPr>
                <w:sz w:val="22"/>
                <w:szCs w:val="22"/>
              </w:rPr>
              <w:t xml:space="preserve">/ l, nastaviti </w:t>
            </w:r>
            <w:r w:rsidR="00B135CE" w:rsidRPr="00C65707">
              <w:rPr>
                <w:sz w:val="22"/>
                <w:szCs w:val="22"/>
              </w:rPr>
              <w:t>liječenje</w:t>
            </w:r>
            <w:r w:rsidRPr="00C65707">
              <w:rPr>
                <w:sz w:val="22"/>
                <w:szCs w:val="22"/>
              </w:rPr>
              <w:t>.</w:t>
            </w:r>
          </w:p>
        </w:tc>
      </w:tr>
      <w:tr w:rsidR="00CC2B31" w:rsidRPr="00C65707" w14:paraId="604F4395" w14:textId="77777777" w:rsidTr="00CE5678">
        <w:tc>
          <w:tcPr>
            <w:tcW w:w="1177" w:type="pct"/>
            <w:shd w:val="clear" w:color="auto" w:fill="auto"/>
          </w:tcPr>
          <w:p w14:paraId="785586F6" w14:textId="77777777" w:rsidR="00CC2B31" w:rsidRPr="00C65707" w:rsidRDefault="00CC2B31" w:rsidP="00CE5678">
            <w:pPr>
              <w:widowControl w:val="0"/>
              <w:jc w:val="both"/>
              <w:rPr>
                <w:sz w:val="22"/>
                <w:szCs w:val="22"/>
              </w:rPr>
            </w:pPr>
            <w:r w:rsidRPr="00C65707">
              <w:rPr>
                <w:sz w:val="22"/>
                <w:szCs w:val="22"/>
              </w:rPr>
              <w:t>ABN &lt; 0,5</w:t>
            </w:r>
          </w:p>
        </w:tc>
        <w:tc>
          <w:tcPr>
            <w:tcW w:w="3823" w:type="pct"/>
            <w:shd w:val="clear" w:color="auto" w:fill="auto"/>
          </w:tcPr>
          <w:p w14:paraId="0427873A" w14:textId="452DE73C" w:rsidR="00CC2B31" w:rsidRPr="002B3647" w:rsidRDefault="00CC2B31" w:rsidP="00CE5678">
            <w:pPr>
              <w:widowControl w:val="0"/>
              <w:jc w:val="both"/>
              <w:rPr>
                <w:sz w:val="22"/>
                <w:szCs w:val="22"/>
              </w:rPr>
            </w:pPr>
            <w:r w:rsidRPr="002B3647">
              <w:rPr>
                <w:sz w:val="22"/>
                <w:szCs w:val="22"/>
              </w:rPr>
              <w:t xml:space="preserve">Obustaviti primjenu </w:t>
            </w:r>
            <w:r w:rsidR="00B135CE" w:rsidRPr="002B3647">
              <w:rPr>
                <w:sz w:val="22"/>
                <w:szCs w:val="22"/>
              </w:rPr>
              <w:t>tocilizumaba</w:t>
            </w:r>
            <w:r w:rsidRPr="002B3647">
              <w:rPr>
                <w:sz w:val="22"/>
                <w:szCs w:val="22"/>
              </w:rPr>
              <w:t>.</w:t>
            </w:r>
          </w:p>
          <w:p w14:paraId="7B7B7949" w14:textId="77777777" w:rsidR="00CC2B31" w:rsidRPr="00C65707" w:rsidRDefault="00CC2B31" w:rsidP="00CE5678">
            <w:pPr>
              <w:widowControl w:val="0"/>
              <w:jc w:val="both"/>
              <w:rPr>
                <w:sz w:val="22"/>
                <w:szCs w:val="22"/>
              </w:rPr>
            </w:pPr>
          </w:p>
          <w:p w14:paraId="4AE8CEB8" w14:textId="0D0CD54C" w:rsidR="00CC2B31" w:rsidRPr="00C65707" w:rsidRDefault="00CC2B31" w:rsidP="00CE5678">
            <w:pPr>
              <w:widowControl w:val="0"/>
              <w:jc w:val="both"/>
              <w:rPr>
                <w:sz w:val="22"/>
                <w:szCs w:val="22"/>
              </w:rPr>
            </w:pPr>
            <w:r w:rsidRPr="00C65707">
              <w:rPr>
                <w:sz w:val="22"/>
                <w:szCs w:val="22"/>
              </w:rPr>
              <w:t xml:space="preserve">Odluka o prekidu </w:t>
            </w:r>
            <w:r w:rsidR="0040394C" w:rsidRPr="00C65707">
              <w:rPr>
                <w:sz w:val="22"/>
                <w:szCs w:val="22"/>
              </w:rPr>
              <w:t>liječenja</w:t>
            </w:r>
            <w:r w:rsidRPr="00C65707">
              <w:rPr>
                <w:sz w:val="22"/>
                <w:szCs w:val="22"/>
              </w:rPr>
              <w:t xml:space="preserve"> kod pacijenata sa sJIA ili pJIA zbog poremećaja laboratorijskih rezultata mora da se zasniva na individualnoj kliničkoj procjeni svakog pacijenta.</w:t>
            </w:r>
          </w:p>
        </w:tc>
      </w:tr>
    </w:tbl>
    <w:p w14:paraId="5BE083B1" w14:textId="77777777" w:rsidR="00CC2B31" w:rsidRPr="00C65707" w:rsidRDefault="00CC2B31" w:rsidP="00CE5678">
      <w:pPr>
        <w:widowControl w:val="0"/>
        <w:jc w:val="both"/>
        <w:rPr>
          <w:sz w:val="22"/>
          <w:szCs w:val="22"/>
        </w:rPr>
      </w:pPr>
    </w:p>
    <w:p w14:paraId="4F2911F7" w14:textId="632AF037" w:rsidR="00CC2B31" w:rsidRPr="002B3647" w:rsidRDefault="00CC2B31" w:rsidP="00CE5678">
      <w:pPr>
        <w:widowControl w:val="0"/>
        <w:ind w:right="6663"/>
        <w:jc w:val="both"/>
        <w:rPr>
          <w:sz w:val="22"/>
          <w:szCs w:val="22"/>
        </w:rPr>
      </w:pPr>
      <w:r w:rsidRPr="00C65707">
        <w:rPr>
          <w:sz w:val="22"/>
          <w:szCs w:val="22"/>
        </w:rPr>
        <w:sym w:font="Symbol" w:char="F0B7"/>
      </w:r>
      <w:r w:rsidR="002B3647">
        <w:rPr>
          <w:sz w:val="22"/>
          <w:szCs w:val="22"/>
        </w:rPr>
        <w:t xml:space="preserve"> </w:t>
      </w:r>
      <w:r w:rsidRPr="00C65707">
        <w:rPr>
          <w:sz w:val="22"/>
          <w:szCs w:val="22"/>
        </w:rPr>
        <w:t>Nizak</w:t>
      </w:r>
      <w:r w:rsidR="002B3647">
        <w:rPr>
          <w:sz w:val="22"/>
          <w:szCs w:val="22"/>
        </w:rPr>
        <w:t xml:space="preserve"> </w:t>
      </w:r>
      <w:r w:rsidRPr="00C65707">
        <w:rPr>
          <w:sz w:val="22"/>
          <w:szCs w:val="22"/>
        </w:rPr>
        <w:t>broj trombocita</w:t>
      </w:r>
      <w:r w:rsidR="0040394C" w:rsidRPr="00C65707">
        <w:rPr>
          <w:sz w:val="22"/>
          <w:szCs w:val="22"/>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6930"/>
      </w:tblGrid>
      <w:tr w:rsidR="00CC2B31" w:rsidRPr="00C65707" w14:paraId="57A59D0F" w14:textId="77777777" w:rsidTr="00CE5678">
        <w:trPr>
          <w:cantSplit/>
        </w:trPr>
        <w:tc>
          <w:tcPr>
            <w:tcW w:w="1177" w:type="pct"/>
            <w:shd w:val="clear" w:color="auto" w:fill="auto"/>
          </w:tcPr>
          <w:p w14:paraId="75A30373" w14:textId="77777777" w:rsidR="00CC2B31" w:rsidRPr="002B3647" w:rsidRDefault="00CC2B31" w:rsidP="00CE5678">
            <w:pPr>
              <w:widowControl w:val="0"/>
              <w:jc w:val="both"/>
              <w:rPr>
                <w:b/>
                <w:sz w:val="22"/>
                <w:szCs w:val="22"/>
              </w:rPr>
            </w:pPr>
            <w:r w:rsidRPr="002B3647">
              <w:rPr>
                <w:b/>
                <w:sz w:val="22"/>
                <w:szCs w:val="22"/>
              </w:rPr>
              <w:t>Laboratorijska vrijednost</w:t>
            </w:r>
          </w:p>
          <w:p w14:paraId="09C84100" w14:textId="77777777" w:rsidR="00CC2B31" w:rsidRPr="00C65707" w:rsidRDefault="00CC2B31" w:rsidP="00CE5678">
            <w:pPr>
              <w:widowControl w:val="0"/>
              <w:jc w:val="both"/>
              <w:rPr>
                <w:sz w:val="22"/>
                <w:szCs w:val="22"/>
              </w:rPr>
            </w:pPr>
            <w:r w:rsidRPr="00C65707">
              <w:rPr>
                <w:b/>
                <w:sz w:val="22"/>
                <w:szCs w:val="22"/>
              </w:rPr>
              <w:t>(broj ćelija x 10</w:t>
            </w:r>
            <w:r w:rsidRPr="00C65707">
              <w:rPr>
                <w:b/>
                <w:sz w:val="22"/>
                <w:szCs w:val="22"/>
                <w:vertAlign w:val="superscript"/>
              </w:rPr>
              <w:t>3</w:t>
            </w:r>
            <w:r w:rsidRPr="00C65707">
              <w:rPr>
                <w:b/>
                <w:sz w:val="22"/>
                <w:szCs w:val="22"/>
              </w:rPr>
              <w:t>/μl)</w:t>
            </w:r>
          </w:p>
        </w:tc>
        <w:tc>
          <w:tcPr>
            <w:tcW w:w="3823" w:type="pct"/>
            <w:shd w:val="clear" w:color="auto" w:fill="auto"/>
          </w:tcPr>
          <w:p w14:paraId="627257F7" w14:textId="405F78AF" w:rsidR="00CC2B31" w:rsidRPr="00C65707" w:rsidRDefault="00CC2B31" w:rsidP="00CE5678">
            <w:pPr>
              <w:widowControl w:val="0"/>
              <w:jc w:val="both"/>
              <w:rPr>
                <w:b/>
                <w:sz w:val="22"/>
                <w:szCs w:val="22"/>
              </w:rPr>
            </w:pPr>
            <w:r w:rsidRPr="00C65707">
              <w:rPr>
                <w:b/>
                <w:sz w:val="22"/>
                <w:szCs w:val="22"/>
              </w:rPr>
              <w:t>Postupa</w:t>
            </w:r>
            <w:r w:rsidR="0040394C" w:rsidRPr="00C65707">
              <w:rPr>
                <w:b/>
                <w:sz w:val="22"/>
                <w:szCs w:val="22"/>
              </w:rPr>
              <w:t>nje</w:t>
            </w:r>
          </w:p>
        </w:tc>
      </w:tr>
      <w:tr w:rsidR="00CC2B31" w:rsidRPr="00C65707" w14:paraId="1C51EFCA" w14:textId="77777777" w:rsidTr="00CE5678">
        <w:trPr>
          <w:cantSplit/>
        </w:trPr>
        <w:tc>
          <w:tcPr>
            <w:tcW w:w="1177" w:type="pct"/>
            <w:shd w:val="clear" w:color="auto" w:fill="auto"/>
          </w:tcPr>
          <w:p w14:paraId="07872BBC" w14:textId="77777777" w:rsidR="00CC2B31" w:rsidRPr="00C65707" w:rsidRDefault="00CC2B31" w:rsidP="00CE5678">
            <w:pPr>
              <w:widowControl w:val="0"/>
              <w:jc w:val="both"/>
              <w:rPr>
                <w:sz w:val="22"/>
                <w:szCs w:val="22"/>
              </w:rPr>
            </w:pPr>
            <w:r w:rsidRPr="00C65707">
              <w:rPr>
                <w:sz w:val="22"/>
                <w:szCs w:val="22"/>
              </w:rPr>
              <w:t>50 do 100</w:t>
            </w:r>
          </w:p>
        </w:tc>
        <w:tc>
          <w:tcPr>
            <w:tcW w:w="3823" w:type="pct"/>
            <w:shd w:val="clear" w:color="auto" w:fill="auto"/>
          </w:tcPr>
          <w:p w14:paraId="67A57242" w14:textId="29A5B4A2" w:rsidR="00CC2B31" w:rsidRPr="002B3647" w:rsidRDefault="00CC2B31" w:rsidP="00CE5678">
            <w:pPr>
              <w:widowControl w:val="0"/>
              <w:jc w:val="both"/>
              <w:rPr>
                <w:sz w:val="22"/>
                <w:szCs w:val="22"/>
              </w:rPr>
            </w:pPr>
            <w:r w:rsidRPr="002B3647">
              <w:rPr>
                <w:sz w:val="22"/>
                <w:szCs w:val="22"/>
              </w:rPr>
              <w:t xml:space="preserve">Ako je moguće, prilagoditi dozu istovremeno primijenjenog </w:t>
            </w:r>
            <w:r w:rsidR="0040394C" w:rsidRPr="002B3647">
              <w:rPr>
                <w:sz w:val="22"/>
                <w:szCs w:val="22"/>
              </w:rPr>
              <w:t>MTX-a</w:t>
            </w:r>
            <w:r w:rsidRPr="002B3647">
              <w:rPr>
                <w:sz w:val="22"/>
                <w:szCs w:val="22"/>
              </w:rPr>
              <w:t>.</w:t>
            </w:r>
          </w:p>
          <w:p w14:paraId="511D3933" w14:textId="77777777" w:rsidR="00CC2B31" w:rsidRPr="00C65707" w:rsidRDefault="00CC2B31" w:rsidP="00CE5678">
            <w:pPr>
              <w:widowControl w:val="0"/>
              <w:jc w:val="both"/>
              <w:rPr>
                <w:sz w:val="22"/>
                <w:szCs w:val="22"/>
              </w:rPr>
            </w:pPr>
          </w:p>
          <w:p w14:paraId="69283098" w14:textId="550F6346" w:rsidR="00CC2B31" w:rsidRPr="00C65707" w:rsidRDefault="00CC2B31" w:rsidP="00CE5678">
            <w:pPr>
              <w:widowControl w:val="0"/>
              <w:jc w:val="both"/>
              <w:rPr>
                <w:sz w:val="22"/>
                <w:szCs w:val="22"/>
              </w:rPr>
            </w:pPr>
            <w:r w:rsidRPr="00C65707">
              <w:rPr>
                <w:sz w:val="22"/>
                <w:szCs w:val="22"/>
              </w:rPr>
              <w:t xml:space="preserve">Privremeno prekinuti primjenu </w:t>
            </w:r>
            <w:r w:rsidR="0040394C" w:rsidRPr="00C65707">
              <w:rPr>
                <w:sz w:val="22"/>
                <w:szCs w:val="22"/>
              </w:rPr>
              <w:t>tocilizumaba</w:t>
            </w:r>
            <w:r w:rsidRPr="00C65707">
              <w:rPr>
                <w:sz w:val="22"/>
                <w:szCs w:val="22"/>
              </w:rPr>
              <w:t>.</w:t>
            </w:r>
          </w:p>
          <w:p w14:paraId="45DD139B" w14:textId="77777777" w:rsidR="00CC2B31" w:rsidRPr="00C65707" w:rsidRDefault="00CC2B31" w:rsidP="00CE5678">
            <w:pPr>
              <w:widowControl w:val="0"/>
              <w:jc w:val="both"/>
              <w:rPr>
                <w:sz w:val="22"/>
                <w:szCs w:val="22"/>
              </w:rPr>
            </w:pPr>
          </w:p>
          <w:p w14:paraId="108A14F0" w14:textId="014E5FBA" w:rsidR="00CC2B31" w:rsidRPr="00C65707" w:rsidRDefault="00CC2B31" w:rsidP="00CE5678">
            <w:pPr>
              <w:widowControl w:val="0"/>
              <w:jc w:val="both"/>
              <w:rPr>
                <w:sz w:val="22"/>
                <w:szCs w:val="22"/>
              </w:rPr>
            </w:pPr>
            <w:r w:rsidRPr="00C65707">
              <w:rPr>
                <w:sz w:val="22"/>
                <w:szCs w:val="22"/>
              </w:rPr>
              <w:t>Kada se broj trombocita poveća na &gt;100 x 10</w:t>
            </w:r>
            <w:r w:rsidRPr="00C65707">
              <w:rPr>
                <w:sz w:val="22"/>
                <w:szCs w:val="22"/>
                <w:vertAlign w:val="superscript"/>
              </w:rPr>
              <w:t>3</w:t>
            </w:r>
            <w:r w:rsidRPr="00C65707">
              <w:rPr>
                <w:sz w:val="22"/>
                <w:szCs w:val="22"/>
              </w:rPr>
              <w:t xml:space="preserve">/μl, nastaviti </w:t>
            </w:r>
            <w:r w:rsidR="0040394C" w:rsidRPr="00C65707">
              <w:rPr>
                <w:sz w:val="22"/>
                <w:szCs w:val="22"/>
              </w:rPr>
              <w:t>liječenje</w:t>
            </w:r>
            <w:r w:rsidRPr="00C65707">
              <w:rPr>
                <w:sz w:val="22"/>
                <w:szCs w:val="22"/>
              </w:rPr>
              <w:t>.</w:t>
            </w:r>
          </w:p>
        </w:tc>
      </w:tr>
      <w:tr w:rsidR="00CC2B31" w:rsidRPr="00C65707" w14:paraId="6004ABFC" w14:textId="77777777" w:rsidTr="00CE5678">
        <w:trPr>
          <w:cantSplit/>
        </w:trPr>
        <w:tc>
          <w:tcPr>
            <w:tcW w:w="1177" w:type="pct"/>
            <w:shd w:val="clear" w:color="auto" w:fill="auto"/>
          </w:tcPr>
          <w:p w14:paraId="0E68DF7E" w14:textId="77777777" w:rsidR="00CC2B31" w:rsidRPr="00C65707" w:rsidRDefault="00CC2B31" w:rsidP="00CE5678">
            <w:pPr>
              <w:widowControl w:val="0"/>
              <w:jc w:val="both"/>
              <w:rPr>
                <w:sz w:val="22"/>
                <w:szCs w:val="22"/>
              </w:rPr>
            </w:pPr>
            <w:r w:rsidRPr="00C65707">
              <w:rPr>
                <w:sz w:val="22"/>
                <w:szCs w:val="22"/>
              </w:rPr>
              <w:t xml:space="preserve">&lt; 50 </w:t>
            </w:r>
          </w:p>
        </w:tc>
        <w:tc>
          <w:tcPr>
            <w:tcW w:w="3823" w:type="pct"/>
            <w:shd w:val="clear" w:color="auto" w:fill="auto"/>
          </w:tcPr>
          <w:p w14:paraId="6852A6B5" w14:textId="6A5CED9C" w:rsidR="00CC2B31" w:rsidRPr="002B3647" w:rsidRDefault="00CC2B31" w:rsidP="00CE5678">
            <w:pPr>
              <w:widowControl w:val="0"/>
              <w:jc w:val="both"/>
              <w:rPr>
                <w:sz w:val="22"/>
                <w:szCs w:val="22"/>
              </w:rPr>
            </w:pPr>
            <w:r w:rsidRPr="002B3647">
              <w:rPr>
                <w:sz w:val="22"/>
                <w:szCs w:val="22"/>
              </w:rPr>
              <w:t xml:space="preserve">Obustaviti primjenu </w:t>
            </w:r>
            <w:r w:rsidR="0040394C" w:rsidRPr="002B3647">
              <w:rPr>
                <w:sz w:val="22"/>
                <w:szCs w:val="22"/>
              </w:rPr>
              <w:t>tocilizumaba</w:t>
            </w:r>
            <w:r w:rsidRPr="002B3647">
              <w:rPr>
                <w:sz w:val="22"/>
                <w:szCs w:val="22"/>
              </w:rPr>
              <w:t>.</w:t>
            </w:r>
          </w:p>
          <w:p w14:paraId="45D267F6" w14:textId="77777777" w:rsidR="00CC2B31" w:rsidRPr="00C65707" w:rsidRDefault="00CC2B31" w:rsidP="00CE5678">
            <w:pPr>
              <w:widowControl w:val="0"/>
              <w:jc w:val="both"/>
              <w:rPr>
                <w:sz w:val="22"/>
                <w:szCs w:val="22"/>
              </w:rPr>
            </w:pPr>
          </w:p>
          <w:p w14:paraId="33EB2C06" w14:textId="0A1460A1" w:rsidR="00CC2B31" w:rsidRPr="00C65707" w:rsidRDefault="00CC2B31" w:rsidP="00CE5678">
            <w:pPr>
              <w:widowControl w:val="0"/>
              <w:jc w:val="both"/>
              <w:rPr>
                <w:sz w:val="22"/>
                <w:szCs w:val="22"/>
              </w:rPr>
            </w:pPr>
            <w:r w:rsidRPr="00C65707">
              <w:rPr>
                <w:sz w:val="22"/>
                <w:szCs w:val="22"/>
              </w:rPr>
              <w:t xml:space="preserve">Odluka o prekidu </w:t>
            </w:r>
            <w:r w:rsidR="0040394C" w:rsidRPr="00C65707">
              <w:rPr>
                <w:sz w:val="22"/>
                <w:szCs w:val="22"/>
              </w:rPr>
              <w:t>liječenja</w:t>
            </w:r>
            <w:r w:rsidRPr="00C65707">
              <w:rPr>
                <w:sz w:val="22"/>
                <w:szCs w:val="22"/>
              </w:rPr>
              <w:t xml:space="preserve"> kod pacijenata sa sJIA ili pJIA zbog poremećaja laboratorijskih rezultata mora da se zasniva na individualnoj kliničkoj procjeni svakog pacijenta.</w:t>
            </w:r>
          </w:p>
        </w:tc>
      </w:tr>
    </w:tbl>
    <w:p w14:paraId="2E46B92A" w14:textId="77777777" w:rsidR="00CC2B31" w:rsidRPr="00C65707" w:rsidRDefault="00CC2B31" w:rsidP="00CE5678">
      <w:pPr>
        <w:widowControl w:val="0"/>
        <w:jc w:val="both"/>
        <w:rPr>
          <w:sz w:val="22"/>
          <w:szCs w:val="22"/>
        </w:rPr>
      </w:pPr>
    </w:p>
    <w:p w14:paraId="6A3A5932" w14:textId="05AEBBA8" w:rsidR="00CC2B31" w:rsidRPr="002B3647" w:rsidRDefault="00CC2B31" w:rsidP="00CE5678">
      <w:pPr>
        <w:widowControl w:val="0"/>
        <w:jc w:val="both"/>
        <w:rPr>
          <w:sz w:val="22"/>
          <w:szCs w:val="22"/>
        </w:rPr>
      </w:pPr>
      <w:r w:rsidRPr="00C65707">
        <w:rPr>
          <w:sz w:val="22"/>
          <w:szCs w:val="22"/>
        </w:rPr>
        <w:t>Smanjenje frekvence doziranja tocilizumaba usl</w:t>
      </w:r>
      <w:r w:rsidR="002B3647">
        <w:rPr>
          <w:sz w:val="22"/>
          <w:szCs w:val="22"/>
        </w:rPr>
        <w:t>j</w:t>
      </w:r>
      <w:r w:rsidRPr="00C65707">
        <w:rPr>
          <w:sz w:val="22"/>
          <w:szCs w:val="22"/>
        </w:rPr>
        <w:t>ed poremećenih laboratorijskih rezultata nije ispitano kod p</w:t>
      </w:r>
      <w:r w:rsidRPr="002B3647">
        <w:rPr>
          <w:sz w:val="22"/>
          <w:szCs w:val="22"/>
        </w:rPr>
        <w:t>acijenata sa sJIA ili pJIA.</w:t>
      </w:r>
    </w:p>
    <w:p w14:paraId="5B7CC44E" w14:textId="77777777" w:rsidR="00CC2B31" w:rsidRPr="00C65707" w:rsidRDefault="00CC2B31" w:rsidP="00CE5678">
      <w:pPr>
        <w:widowControl w:val="0"/>
        <w:jc w:val="both"/>
        <w:rPr>
          <w:sz w:val="22"/>
          <w:szCs w:val="22"/>
        </w:rPr>
      </w:pPr>
    </w:p>
    <w:p w14:paraId="5C83C8D0" w14:textId="36BB0BB5" w:rsidR="00CC2B31" w:rsidRPr="00C65707" w:rsidRDefault="00CC2B31" w:rsidP="00CE5678">
      <w:pPr>
        <w:widowControl w:val="0"/>
        <w:jc w:val="both"/>
        <w:rPr>
          <w:sz w:val="22"/>
          <w:szCs w:val="22"/>
        </w:rPr>
      </w:pPr>
      <w:r w:rsidRPr="00C65707">
        <w:rPr>
          <w:sz w:val="22"/>
          <w:szCs w:val="22"/>
        </w:rPr>
        <w:t xml:space="preserve">Bezbjednost i efikasnost primjene </w:t>
      </w:r>
      <w:r w:rsidR="00910BDC" w:rsidRPr="00C65707">
        <w:rPr>
          <w:sz w:val="22"/>
          <w:szCs w:val="22"/>
        </w:rPr>
        <w:t xml:space="preserve">subkutane </w:t>
      </w:r>
      <w:r w:rsidRPr="00C65707">
        <w:rPr>
          <w:sz w:val="22"/>
          <w:szCs w:val="22"/>
        </w:rPr>
        <w:t xml:space="preserve">formulacije </w:t>
      </w:r>
      <w:r w:rsidR="0040394C" w:rsidRPr="00C65707">
        <w:rPr>
          <w:sz w:val="22"/>
          <w:szCs w:val="22"/>
        </w:rPr>
        <w:t>tocilizumaba</w:t>
      </w:r>
      <w:r w:rsidRPr="00C65707">
        <w:rPr>
          <w:sz w:val="22"/>
          <w:szCs w:val="22"/>
        </w:rPr>
        <w:t xml:space="preserve"> kod djece nije ustanovljena u drugim indikacijama osim sJIA ili pJIA.</w:t>
      </w:r>
    </w:p>
    <w:p w14:paraId="46BBC3A8" w14:textId="77777777" w:rsidR="00CC2B31" w:rsidRPr="00C65707" w:rsidRDefault="00CC2B31" w:rsidP="00CE5678">
      <w:pPr>
        <w:widowControl w:val="0"/>
        <w:jc w:val="both"/>
        <w:rPr>
          <w:sz w:val="22"/>
          <w:szCs w:val="22"/>
        </w:rPr>
      </w:pPr>
    </w:p>
    <w:p w14:paraId="2C4DD3AE" w14:textId="23F508A5" w:rsidR="00CC2B31" w:rsidRPr="00C65707" w:rsidRDefault="00CC2B31" w:rsidP="00CE5678">
      <w:pPr>
        <w:widowControl w:val="0"/>
        <w:jc w:val="both"/>
        <w:rPr>
          <w:sz w:val="22"/>
          <w:szCs w:val="22"/>
        </w:rPr>
      </w:pPr>
      <w:r w:rsidRPr="00C65707">
        <w:rPr>
          <w:sz w:val="22"/>
          <w:szCs w:val="22"/>
        </w:rPr>
        <w:t xml:space="preserve">Dostupni podaci o liječenju intravenskom formulacijom ukazuju na to da je kliničko poboljšanje primijećeno unutar 12 mjeseci od početka terapije </w:t>
      </w:r>
      <w:r w:rsidR="0040394C" w:rsidRPr="00C65707">
        <w:rPr>
          <w:sz w:val="22"/>
          <w:szCs w:val="22"/>
        </w:rPr>
        <w:t>tocilizumabom</w:t>
      </w:r>
      <w:r w:rsidRPr="00C65707">
        <w:rPr>
          <w:sz w:val="22"/>
          <w:szCs w:val="22"/>
        </w:rPr>
        <w:t>. Nastavak terapije treba pažljivo razmotriti kod pacijenata kod kojih nije pokazano poboljšanje u tom vremenskom periodu.</w:t>
      </w:r>
    </w:p>
    <w:p w14:paraId="40BE9746" w14:textId="77777777" w:rsidR="00CC2B31" w:rsidRPr="00C65707" w:rsidRDefault="00CC2B31" w:rsidP="00CE5678">
      <w:pPr>
        <w:widowControl w:val="0"/>
        <w:jc w:val="both"/>
        <w:rPr>
          <w:sz w:val="22"/>
          <w:szCs w:val="22"/>
        </w:rPr>
      </w:pPr>
    </w:p>
    <w:p w14:paraId="6ABE22D5" w14:textId="77777777" w:rsidR="00CC2B31" w:rsidRPr="00C65707" w:rsidRDefault="00CC2B31" w:rsidP="00CE5678">
      <w:pPr>
        <w:widowControl w:val="0"/>
        <w:jc w:val="both"/>
        <w:rPr>
          <w:sz w:val="22"/>
          <w:szCs w:val="22"/>
          <w:u w:val="single"/>
        </w:rPr>
      </w:pPr>
      <w:r w:rsidRPr="00C65707">
        <w:rPr>
          <w:sz w:val="22"/>
          <w:szCs w:val="22"/>
          <w:u w:val="single"/>
        </w:rPr>
        <w:t>Propuštena doza</w:t>
      </w:r>
    </w:p>
    <w:p w14:paraId="1B4B2D62" w14:textId="77777777" w:rsidR="00CC2B31" w:rsidRPr="00C65707" w:rsidRDefault="00CC2B31" w:rsidP="00CE5678">
      <w:pPr>
        <w:widowControl w:val="0"/>
        <w:jc w:val="both"/>
        <w:rPr>
          <w:sz w:val="22"/>
          <w:szCs w:val="22"/>
        </w:rPr>
      </w:pPr>
    </w:p>
    <w:p w14:paraId="4A1D0258" w14:textId="79511F4C" w:rsidR="009759B0" w:rsidRPr="00C65707" w:rsidRDefault="00CC2B31" w:rsidP="00CE5678">
      <w:pPr>
        <w:widowControl w:val="0"/>
        <w:jc w:val="both"/>
        <w:rPr>
          <w:sz w:val="22"/>
          <w:szCs w:val="22"/>
        </w:rPr>
      </w:pPr>
      <w:r w:rsidRPr="00C65707">
        <w:rPr>
          <w:sz w:val="22"/>
          <w:szCs w:val="22"/>
        </w:rPr>
        <w:t>Ukoliko pacijent sa sJIA propusti ned</w:t>
      </w:r>
      <w:r w:rsidR="000A085D" w:rsidRPr="00C65707">
        <w:rPr>
          <w:sz w:val="22"/>
          <w:szCs w:val="22"/>
        </w:rPr>
        <w:t>j</w:t>
      </w:r>
      <w:r w:rsidRPr="00C65707">
        <w:rPr>
          <w:sz w:val="22"/>
          <w:szCs w:val="22"/>
        </w:rPr>
        <w:t xml:space="preserve">eljnu </w:t>
      </w:r>
      <w:r w:rsidR="00910BDC" w:rsidRPr="00C65707">
        <w:rPr>
          <w:sz w:val="22"/>
          <w:szCs w:val="22"/>
        </w:rPr>
        <w:t xml:space="preserve">subkutanu </w:t>
      </w:r>
      <w:r w:rsidRPr="00C65707">
        <w:rPr>
          <w:sz w:val="22"/>
          <w:szCs w:val="22"/>
        </w:rPr>
        <w:t xml:space="preserve">injekciju </w:t>
      </w:r>
      <w:r w:rsidR="0040394C" w:rsidRPr="00C65707">
        <w:rPr>
          <w:sz w:val="22"/>
          <w:szCs w:val="22"/>
        </w:rPr>
        <w:t>tocilizumaba</w:t>
      </w:r>
      <w:r w:rsidRPr="00C65707">
        <w:rPr>
          <w:sz w:val="22"/>
          <w:szCs w:val="22"/>
        </w:rPr>
        <w:t>, a prošlo je manje od 7 dana od planirane doze, pacijenta treba uputiti da propuštenu dozu primijeni na dan sl</w:t>
      </w:r>
      <w:r w:rsidR="0057152A">
        <w:rPr>
          <w:sz w:val="22"/>
          <w:szCs w:val="22"/>
        </w:rPr>
        <w:t>j</w:t>
      </w:r>
      <w:r w:rsidRPr="00C65707">
        <w:rPr>
          <w:sz w:val="22"/>
          <w:szCs w:val="22"/>
        </w:rPr>
        <w:t xml:space="preserve">edeće planirane doze. Ukoliko pacijent propusti </w:t>
      </w:r>
      <w:r w:rsidR="00910BDC" w:rsidRPr="00C65707">
        <w:rPr>
          <w:sz w:val="22"/>
          <w:szCs w:val="22"/>
        </w:rPr>
        <w:t xml:space="preserve">subkutanu </w:t>
      </w:r>
      <w:r w:rsidRPr="00C65707">
        <w:rPr>
          <w:sz w:val="22"/>
          <w:szCs w:val="22"/>
        </w:rPr>
        <w:t xml:space="preserve">injekciju </w:t>
      </w:r>
      <w:r w:rsidR="0040394C" w:rsidRPr="00C65707">
        <w:rPr>
          <w:sz w:val="22"/>
          <w:szCs w:val="22"/>
        </w:rPr>
        <w:t>tocilizumaba</w:t>
      </w:r>
      <w:r w:rsidRPr="00C65707">
        <w:rPr>
          <w:sz w:val="22"/>
          <w:szCs w:val="22"/>
        </w:rPr>
        <w:t>a koja se prim</w:t>
      </w:r>
      <w:r w:rsidR="000A085D" w:rsidRPr="00C65707">
        <w:rPr>
          <w:sz w:val="22"/>
          <w:szCs w:val="22"/>
        </w:rPr>
        <w:t>j</w:t>
      </w:r>
      <w:r w:rsidRPr="00C65707">
        <w:rPr>
          <w:sz w:val="22"/>
          <w:szCs w:val="22"/>
        </w:rPr>
        <w:t>enjuje svake 2 ned</w:t>
      </w:r>
      <w:r w:rsidR="000A085D" w:rsidRPr="00C65707">
        <w:rPr>
          <w:sz w:val="22"/>
          <w:szCs w:val="22"/>
        </w:rPr>
        <w:t>j</w:t>
      </w:r>
      <w:r w:rsidRPr="00C65707">
        <w:rPr>
          <w:sz w:val="22"/>
          <w:szCs w:val="22"/>
        </w:rPr>
        <w:t>elje, a prošlo je manje od 7 dana od planirane doze, pacijenta treba uputiti da propuštenu dozu primijeni odmah, a sl</w:t>
      </w:r>
      <w:r w:rsidR="0057152A">
        <w:rPr>
          <w:sz w:val="22"/>
          <w:szCs w:val="22"/>
        </w:rPr>
        <w:t>j</w:t>
      </w:r>
      <w:r w:rsidRPr="00C65707">
        <w:rPr>
          <w:sz w:val="22"/>
          <w:szCs w:val="22"/>
        </w:rPr>
        <w:t xml:space="preserve">edeću dozu prema uobičajenom rasporedu doziranja. </w:t>
      </w:r>
    </w:p>
    <w:p w14:paraId="37D5BC99" w14:textId="2AFEAEDA" w:rsidR="0040394C" w:rsidRPr="00C65707" w:rsidRDefault="0040394C" w:rsidP="00CE5678">
      <w:pPr>
        <w:widowControl w:val="0"/>
        <w:jc w:val="both"/>
        <w:rPr>
          <w:sz w:val="22"/>
          <w:szCs w:val="22"/>
        </w:rPr>
      </w:pPr>
      <w:r w:rsidRPr="00C65707">
        <w:rPr>
          <w:sz w:val="22"/>
          <w:szCs w:val="22"/>
        </w:rPr>
        <w:t>Ako pacijent s pJIA propusti su</w:t>
      </w:r>
      <w:r w:rsidR="00D74543" w:rsidRPr="00C65707">
        <w:rPr>
          <w:sz w:val="22"/>
          <w:szCs w:val="22"/>
        </w:rPr>
        <w:t>b</w:t>
      </w:r>
      <w:r w:rsidRPr="00C65707">
        <w:rPr>
          <w:sz w:val="22"/>
          <w:szCs w:val="22"/>
        </w:rPr>
        <w:t>kutanu injekciju tocilizumaba i ako je prošlo manje od 7 dana od propuštene planirane doze, pacijent treba primijeniti propuštenu dozu čim se sjeti, a sljedeću dozu primijeniti prema uobičajenom rasporedu. Ako pacijent propusti su</w:t>
      </w:r>
      <w:r w:rsidR="00D74543" w:rsidRPr="00C65707">
        <w:rPr>
          <w:sz w:val="22"/>
          <w:szCs w:val="22"/>
        </w:rPr>
        <w:t>b</w:t>
      </w:r>
      <w:r w:rsidRPr="00C65707">
        <w:rPr>
          <w:sz w:val="22"/>
          <w:szCs w:val="22"/>
        </w:rPr>
        <w:t>kutanu injekciju</w:t>
      </w:r>
      <w:r w:rsidR="002467DE" w:rsidRPr="00C65707">
        <w:rPr>
          <w:sz w:val="22"/>
          <w:szCs w:val="22"/>
        </w:rPr>
        <w:t xml:space="preserve"> tocilizumaba</w:t>
      </w:r>
      <w:r w:rsidRPr="00C65707">
        <w:rPr>
          <w:sz w:val="22"/>
          <w:szCs w:val="22"/>
        </w:rPr>
        <w:t>, a prošlo je više od 7 dana od propuštene planirane doze ili ako pacijent nije siguran kada treba injektovati lijek, treba se obratiti ljekaru.</w:t>
      </w:r>
    </w:p>
    <w:p w14:paraId="06A0952F" w14:textId="77777777" w:rsidR="00CC2B31" w:rsidRPr="00C65707" w:rsidRDefault="00CC2B31" w:rsidP="00C65707">
      <w:pPr>
        <w:widowControl w:val="0"/>
        <w:tabs>
          <w:tab w:val="left" w:pos="284"/>
          <w:tab w:val="center" w:pos="4320"/>
          <w:tab w:val="right" w:pos="8640"/>
        </w:tabs>
        <w:jc w:val="both"/>
        <w:rPr>
          <w:sz w:val="22"/>
          <w:szCs w:val="22"/>
        </w:rPr>
      </w:pPr>
    </w:p>
    <w:p w14:paraId="5987CE04" w14:textId="77777777" w:rsidR="00CC2B31" w:rsidRPr="00C65707" w:rsidRDefault="00CC2B31" w:rsidP="00CE5678">
      <w:pPr>
        <w:widowControl w:val="0"/>
        <w:tabs>
          <w:tab w:val="left" w:pos="540"/>
          <w:tab w:val="left" w:pos="569"/>
        </w:tabs>
        <w:jc w:val="both"/>
        <w:rPr>
          <w:bCs/>
          <w:sz w:val="22"/>
          <w:szCs w:val="22"/>
          <w:u w:val="single"/>
        </w:rPr>
      </w:pPr>
      <w:r w:rsidRPr="00C65707">
        <w:rPr>
          <w:bCs/>
          <w:sz w:val="22"/>
          <w:szCs w:val="22"/>
          <w:u w:val="single"/>
        </w:rPr>
        <w:t>Način primjene</w:t>
      </w:r>
    </w:p>
    <w:p w14:paraId="49F75428" w14:textId="6AFE2B9E" w:rsidR="00CC2B31" w:rsidRPr="00C65707" w:rsidRDefault="0040394C" w:rsidP="00C65707">
      <w:pPr>
        <w:widowControl w:val="0"/>
        <w:jc w:val="both"/>
        <w:rPr>
          <w:sz w:val="22"/>
          <w:szCs w:val="22"/>
        </w:rPr>
      </w:pPr>
      <w:r w:rsidRPr="00C65707">
        <w:rPr>
          <w:sz w:val="22"/>
          <w:szCs w:val="22"/>
        </w:rPr>
        <w:t>Ovaj l</w:t>
      </w:r>
      <w:r w:rsidR="00CC2B31" w:rsidRPr="00C65707">
        <w:rPr>
          <w:sz w:val="22"/>
          <w:szCs w:val="22"/>
        </w:rPr>
        <w:t>ijek je namijenjen za subkutanu primjenu.</w:t>
      </w:r>
    </w:p>
    <w:p w14:paraId="3064612B" w14:textId="07869A12" w:rsidR="00CC2B31" w:rsidRPr="00C65707" w:rsidRDefault="00CC2B31" w:rsidP="00CE5678">
      <w:pPr>
        <w:widowControl w:val="0"/>
        <w:jc w:val="both"/>
        <w:rPr>
          <w:sz w:val="22"/>
          <w:szCs w:val="22"/>
        </w:rPr>
      </w:pPr>
      <w:r w:rsidRPr="00C65707">
        <w:rPr>
          <w:sz w:val="22"/>
          <w:szCs w:val="22"/>
        </w:rPr>
        <w:t xml:space="preserve">Nakon odgovarajuće obuke o tehnici injiciranja, pacijenti sebi mogu da samostalno injiciraju </w:t>
      </w:r>
      <w:r w:rsidR="001C1860" w:rsidRPr="00C65707">
        <w:rPr>
          <w:sz w:val="22"/>
          <w:szCs w:val="22"/>
        </w:rPr>
        <w:t xml:space="preserve">ovaj </w:t>
      </w:r>
      <w:r w:rsidRPr="00C65707">
        <w:rPr>
          <w:sz w:val="22"/>
          <w:szCs w:val="22"/>
        </w:rPr>
        <w:t>lijek ako njihov ljekar odredi da je to prihvatljivo. Potrebno je primijeniti ukupan sadržaj (0,9 m</w:t>
      </w:r>
      <w:r w:rsidR="009759B0" w:rsidRPr="00C65707">
        <w:rPr>
          <w:sz w:val="22"/>
          <w:szCs w:val="22"/>
        </w:rPr>
        <w:t>l</w:t>
      </w:r>
      <w:r w:rsidRPr="00C65707">
        <w:rPr>
          <w:sz w:val="22"/>
          <w:szCs w:val="22"/>
        </w:rPr>
        <w:t>) napunjenog injekcionog šprica za subkutanu upotrebu. Preporučena mjesta za injiciranje (trbuh, bedro i nadlaktica) treba mijenjati kod svake injekcije, a injekcija se nikada ne smije dati u mladeže i ožiljke niti u područja na kojima je koža bolna na dodir, prekrivena modricama, crvena, tvrda ili oštećena.</w:t>
      </w:r>
    </w:p>
    <w:p w14:paraId="15F071E9" w14:textId="77777777" w:rsidR="00CC2B31" w:rsidRPr="00C65707" w:rsidRDefault="00CC2B31" w:rsidP="00CE5678">
      <w:pPr>
        <w:widowControl w:val="0"/>
        <w:jc w:val="both"/>
        <w:rPr>
          <w:sz w:val="22"/>
          <w:szCs w:val="22"/>
        </w:rPr>
      </w:pPr>
      <w:r w:rsidRPr="00C65707">
        <w:rPr>
          <w:sz w:val="22"/>
          <w:szCs w:val="22"/>
        </w:rPr>
        <w:t>Napunjeni injekcioni špric se ne smije tresti.</w:t>
      </w:r>
    </w:p>
    <w:p w14:paraId="444EAF77" w14:textId="77777777" w:rsidR="00CC2B31" w:rsidRPr="00C65707" w:rsidRDefault="00CC2B31" w:rsidP="00CE5678">
      <w:pPr>
        <w:widowControl w:val="0"/>
        <w:jc w:val="both"/>
        <w:rPr>
          <w:sz w:val="22"/>
          <w:szCs w:val="22"/>
        </w:rPr>
      </w:pPr>
    </w:p>
    <w:p w14:paraId="19AE4E6F" w14:textId="77777777" w:rsidR="00CC2B31" w:rsidRPr="00C65707" w:rsidRDefault="00CC2B31" w:rsidP="00CE5678">
      <w:pPr>
        <w:widowControl w:val="0"/>
        <w:tabs>
          <w:tab w:val="left" w:pos="540"/>
          <w:tab w:val="left" w:pos="569"/>
        </w:tabs>
        <w:jc w:val="both"/>
        <w:rPr>
          <w:bCs/>
          <w:sz w:val="22"/>
          <w:szCs w:val="22"/>
          <w:u w:val="single"/>
        </w:rPr>
      </w:pPr>
      <w:r w:rsidRPr="00C65707">
        <w:rPr>
          <w:sz w:val="22"/>
          <w:szCs w:val="22"/>
        </w:rPr>
        <w:lastRenderedPageBreak/>
        <w:t>Dodatne informacije za primjenu lijeka RoActemra u napunjenom injekcionom špricu nalaze se u Uputstvu za upotrebu, vidjeti dio 6.6.</w:t>
      </w:r>
    </w:p>
    <w:p w14:paraId="4F03C8DF" w14:textId="77777777" w:rsidR="00452E9D" w:rsidRPr="00C65707" w:rsidRDefault="00452E9D" w:rsidP="00CE5678">
      <w:pPr>
        <w:widowControl w:val="0"/>
        <w:tabs>
          <w:tab w:val="left" w:pos="540"/>
          <w:tab w:val="left" w:pos="569"/>
        </w:tabs>
        <w:jc w:val="both"/>
        <w:rPr>
          <w:bCs/>
          <w:sz w:val="22"/>
          <w:szCs w:val="22"/>
        </w:rPr>
      </w:pPr>
    </w:p>
    <w:p w14:paraId="5F3DF6F7" w14:textId="77777777" w:rsidR="00411B4B" w:rsidRPr="00C65707" w:rsidRDefault="00411B4B" w:rsidP="00CE5678">
      <w:pPr>
        <w:widowControl w:val="0"/>
        <w:tabs>
          <w:tab w:val="left" w:pos="540"/>
          <w:tab w:val="left" w:pos="569"/>
        </w:tabs>
        <w:jc w:val="both"/>
        <w:rPr>
          <w:b/>
          <w:bCs/>
          <w:sz w:val="22"/>
          <w:szCs w:val="22"/>
        </w:rPr>
      </w:pPr>
      <w:r w:rsidRPr="00C65707">
        <w:rPr>
          <w:b/>
          <w:bCs/>
          <w:sz w:val="22"/>
          <w:szCs w:val="22"/>
        </w:rPr>
        <w:t xml:space="preserve">4.3. </w:t>
      </w:r>
      <w:r w:rsidR="00480FB1" w:rsidRPr="00C65707">
        <w:rPr>
          <w:b/>
          <w:bCs/>
          <w:sz w:val="22"/>
          <w:szCs w:val="22"/>
        </w:rPr>
        <w:tab/>
      </w:r>
      <w:r w:rsidRPr="00C65707">
        <w:rPr>
          <w:b/>
          <w:bCs/>
          <w:sz w:val="22"/>
          <w:szCs w:val="22"/>
        </w:rPr>
        <w:t>Kontraindikacije</w:t>
      </w:r>
    </w:p>
    <w:p w14:paraId="67384768" w14:textId="77777777" w:rsidR="00C40F7C" w:rsidRPr="00C65707" w:rsidRDefault="00C40F7C" w:rsidP="00CE5678">
      <w:pPr>
        <w:widowControl w:val="0"/>
        <w:tabs>
          <w:tab w:val="left" w:pos="540"/>
          <w:tab w:val="left" w:pos="569"/>
        </w:tabs>
        <w:jc w:val="both"/>
        <w:rPr>
          <w:b/>
          <w:bCs/>
          <w:sz w:val="22"/>
          <w:szCs w:val="22"/>
        </w:rPr>
      </w:pPr>
    </w:p>
    <w:p w14:paraId="75184D46" w14:textId="77777777" w:rsidR="00C40F7C" w:rsidRPr="00C65707" w:rsidRDefault="00C40F7C" w:rsidP="00C65707">
      <w:pPr>
        <w:pStyle w:val="Header"/>
        <w:widowControl w:val="0"/>
        <w:tabs>
          <w:tab w:val="left" w:pos="284"/>
        </w:tabs>
        <w:jc w:val="both"/>
        <w:rPr>
          <w:sz w:val="22"/>
          <w:szCs w:val="22"/>
        </w:rPr>
      </w:pPr>
      <w:r w:rsidRPr="00C65707">
        <w:rPr>
          <w:sz w:val="22"/>
          <w:szCs w:val="22"/>
        </w:rPr>
        <w:t>Preosjetljivost na akti</w:t>
      </w:r>
      <w:r w:rsidR="00045FBA" w:rsidRPr="00C65707">
        <w:rPr>
          <w:sz w:val="22"/>
          <w:szCs w:val="22"/>
        </w:rPr>
        <w:t xml:space="preserve">vne supstance ili bilo koji od </w:t>
      </w:r>
      <w:r w:rsidRPr="00C65707">
        <w:rPr>
          <w:sz w:val="22"/>
          <w:szCs w:val="22"/>
        </w:rPr>
        <w:t>pomoćnih supstanci navedenih u dijelu 6.1.</w:t>
      </w:r>
    </w:p>
    <w:p w14:paraId="4059773B" w14:textId="77777777" w:rsidR="0072020E" w:rsidRPr="00C65707" w:rsidRDefault="00C40F7C" w:rsidP="00CE5678">
      <w:pPr>
        <w:widowControl w:val="0"/>
        <w:tabs>
          <w:tab w:val="left" w:pos="540"/>
          <w:tab w:val="left" w:pos="569"/>
        </w:tabs>
        <w:jc w:val="both"/>
        <w:rPr>
          <w:sz w:val="22"/>
          <w:szCs w:val="22"/>
        </w:rPr>
      </w:pPr>
      <w:r w:rsidRPr="00C65707">
        <w:rPr>
          <w:sz w:val="22"/>
          <w:szCs w:val="22"/>
        </w:rPr>
        <w:t>Aktivne, teške infekcije (vidjeti dio 4.4).</w:t>
      </w:r>
    </w:p>
    <w:p w14:paraId="433FF590" w14:textId="77777777" w:rsidR="00C40F7C" w:rsidRPr="00C65707" w:rsidRDefault="00C40F7C" w:rsidP="00CE5678">
      <w:pPr>
        <w:widowControl w:val="0"/>
        <w:tabs>
          <w:tab w:val="left" w:pos="540"/>
          <w:tab w:val="left" w:pos="569"/>
        </w:tabs>
        <w:jc w:val="both"/>
        <w:rPr>
          <w:bCs/>
          <w:sz w:val="22"/>
          <w:szCs w:val="22"/>
        </w:rPr>
      </w:pPr>
    </w:p>
    <w:p w14:paraId="07BC7B12" w14:textId="77777777" w:rsidR="00411B4B" w:rsidRPr="00C65707" w:rsidRDefault="00411B4B" w:rsidP="00CE5678">
      <w:pPr>
        <w:widowControl w:val="0"/>
        <w:tabs>
          <w:tab w:val="left" w:pos="540"/>
          <w:tab w:val="left" w:pos="569"/>
        </w:tabs>
        <w:jc w:val="both"/>
        <w:rPr>
          <w:b/>
          <w:bCs/>
          <w:sz w:val="22"/>
          <w:szCs w:val="22"/>
        </w:rPr>
      </w:pPr>
      <w:r w:rsidRPr="00C65707">
        <w:rPr>
          <w:b/>
          <w:bCs/>
          <w:sz w:val="22"/>
          <w:szCs w:val="22"/>
        </w:rPr>
        <w:t xml:space="preserve">4.4. </w:t>
      </w:r>
      <w:r w:rsidR="00480FB1" w:rsidRPr="00C65707">
        <w:rPr>
          <w:b/>
          <w:bCs/>
          <w:sz w:val="22"/>
          <w:szCs w:val="22"/>
        </w:rPr>
        <w:tab/>
      </w:r>
      <w:r w:rsidRPr="00C65707">
        <w:rPr>
          <w:b/>
          <w:bCs/>
          <w:sz w:val="22"/>
          <w:szCs w:val="22"/>
        </w:rPr>
        <w:t>Posebna upozorenja i mjere opreza pri upotrebi lijeka</w:t>
      </w:r>
    </w:p>
    <w:p w14:paraId="64CA0846" w14:textId="77777777" w:rsidR="00AE71C3" w:rsidRPr="00C65707" w:rsidRDefault="00AE71C3" w:rsidP="00CE5678">
      <w:pPr>
        <w:widowControl w:val="0"/>
        <w:jc w:val="both"/>
        <w:rPr>
          <w:bCs/>
          <w:sz w:val="22"/>
          <w:szCs w:val="22"/>
        </w:rPr>
      </w:pPr>
    </w:p>
    <w:p w14:paraId="35AC621C" w14:textId="76541611" w:rsidR="00AE71C3" w:rsidRPr="00C65707" w:rsidRDefault="00AE71C3" w:rsidP="00CE5678">
      <w:pPr>
        <w:widowControl w:val="0"/>
        <w:jc w:val="both"/>
        <w:rPr>
          <w:bCs/>
          <w:sz w:val="22"/>
          <w:szCs w:val="22"/>
        </w:rPr>
      </w:pPr>
      <w:r w:rsidRPr="00C65707">
        <w:rPr>
          <w:bCs/>
          <w:sz w:val="22"/>
          <w:szCs w:val="22"/>
        </w:rPr>
        <w:t>Su</w:t>
      </w:r>
      <w:r w:rsidR="00E47234" w:rsidRPr="00C65707">
        <w:rPr>
          <w:bCs/>
          <w:sz w:val="22"/>
          <w:szCs w:val="22"/>
        </w:rPr>
        <w:t>b</w:t>
      </w:r>
      <w:r w:rsidRPr="00C65707">
        <w:rPr>
          <w:bCs/>
          <w:sz w:val="22"/>
          <w:szCs w:val="22"/>
        </w:rPr>
        <w:t>kutana formulacija l</w:t>
      </w:r>
      <w:r w:rsidR="00B5021A" w:rsidRPr="00C65707">
        <w:rPr>
          <w:bCs/>
          <w:sz w:val="22"/>
          <w:szCs w:val="22"/>
        </w:rPr>
        <w:t>ij</w:t>
      </w:r>
      <w:r w:rsidRPr="00C65707">
        <w:rPr>
          <w:bCs/>
          <w:sz w:val="22"/>
          <w:szCs w:val="22"/>
        </w:rPr>
        <w:t xml:space="preserve">eka </w:t>
      </w:r>
      <w:r w:rsidR="00201868" w:rsidRPr="00C65707">
        <w:rPr>
          <w:bCs/>
          <w:sz w:val="22"/>
          <w:szCs w:val="22"/>
        </w:rPr>
        <w:t>Ro</w:t>
      </w:r>
      <w:r w:rsidRPr="00C65707">
        <w:rPr>
          <w:bCs/>
          <w:sz w:val="22"/>
          <w:szCs w:val="22"/>
        </w:rPr>
        <w:t>Actemra nije namenjena za intravensku prim</w:t>
      </w:r>
      <w:r w:rsidR="000A085D" w:rsidRPr="00C65707">
        <w:rPr>
          <w:bCs/>
          <w:sz w:val="22"/>
          <w:szCs w:val="22"/>
        </w:rPr>
        <w:t>j</w:t>
      </w:r>
      <w:r w:rsidRPr="00C65707">
        <w:rPr>
          <w:bCs/>
          <w:sz w:val="22"/>
          <w:szCs w:val="22"/>
        </w:rPr>
        <w:t>enu.</w:t>
      </w:r>
    </w:p>
    <w:p w14:paraId="313CAF9A" w14:textId="77777777" w:rsidR="00AE71C3" w:rsidRPr="00C65707" w:rsidRDefault="00AE71C3" w:rsidP="00C65707">
      <w:pPr>
        <w:widowControl w:val="0"/>
        <w:jc w:val="both"/>
        <w:rPr>
          <w:bCs/>
          <w:sz w:val="22"/>
          <w:szCs w:val="22"/>
        </w:rPr>
      </w:pPr>
    </w:p>
    <w:p w14:paraId="00298236" w14:textId="751225C4" w:rsidR="00AE71C3" w:rsidRPr="00C65707" w:rsidRDefault="00AE71C3" w:rsidP="002B3647">
      <w:pPr>
        <w:widowControl w:val="0"/>
        <w:jc w:val="both"/>
        <w:rPr>
          <w:bCs/>
          <w:sz w:val="22"/>
          <w:szCs w:val="22"/>
        </w:rPr>
      </w:pPr>
      <w:r w:rsidRPr="00C65707">
        <w:rPr>
          <w:bCs/>
          <w:sz w:val="22"/>
          <w:szCs w:val="22"/>
        </w:rPr>
        <w:t>Su</w:t>
      </w:r>
      <w:r w:rsidR="00E47234" w:rsidRPr="00C65707">
        <w:rPr>
          <w:bCs/>
          <w:sz w:val="22"/>
          <w:szCs w:val="22"/>
        </w:rPr>
        <w:t>b</w:t>
      </w:r>
      <w:r w:rsidRPr="00C65707">
        <w:rPr>
          <w:bCs/>
          <w:sz w:val="22"/>
          <w:szCs w:val="22"/>
        </w:rPr>
        <w:t>kutana formulacija l</w:t>
      </w:r>
      <w:r w:rsidR="00B5021A" w:rsidRPr="00C65707">
        <w:rPr>
          <w:bCs/>
          <w:sz w:val="22"/>
          <w:szCs w:val="22"/>
        </w:rPr>
        <w:t>ij</w:t>
      </w:r>
      <w:r w:rsidRPr="00C65707">
        <w:rPr>
          <w:bCs/>
          <w:sz w:val="22"/>
          <w:szCs w:val="22"/>
        </w:rPr>
        <w:t xml:space="preserve">eka </w:t>
      </w:r>
      <w:r w:rsidR="00201868" w:rsidRPr="00C65707">
        <w:rPr>
          <w:bCs/>
          <w:sz w:val="22"/>
          <w:szCs w:val="22"/>
        </w:rPr>
        <w:t>Ro</w:t>
      </w:r>
      <w:r w:rsidRPr="00C65707">
        <w:rPr>
          <w:bCs/>
          <w:sz w:val="22"/>
          <w:szCs w:val="22"/>
        </w:rPr>
        <w:t>Actemra nije nam</w:t>
      </w:r>
      <w:r w:rsidR="006031B6" w:rsidRPr="00C65707">
        <w:rPr>
          <w:bCs/>
          <w:sz w:val="22"/>
          <w:szCs w:val="22"/>
        </w:rPr>
        <w:t>ij</w:t>
      </w:r>
      <w:r w:rsidRPr="00C65707">
        <w:rPr>
          <w:bCs/>
          <w:sz w:val="22"/>
          <w:szCs w:val="22"/>
        </w:rPr>
        <w:t>enj</w:t>
      </w:r>
      <w:r w:rsidR="006031B6" w:rsidRPr="00C65707">
        <w:rPr>
          <w:bCs/>
          <w:sz w:val="22"/>
          <w:szCs w:val="22"/>
        </w:rPr>
        <w:t>ena</w:t>
      </w:r>
      <w:r w:rsidRPr="00C65707">
        <w:rPr>
          <w:bCs/>
          <w:sz w:val="22"/>
          <w:szCs w:val="22"/>
        </w:rPr>
        <w:t xml:space="preserve"> za prim</w:t>
      </w:r>
      <w:r w:rsidR="006031B6" w:rsidRPr="00C65707">
        <w:rPr>
          <w:bCs/>
          <w:sz w:val="22"/>
          <w:szCs w:val="22"/>
        </w:rPr>
        <w:t>j</w:t>
      </w:r>
      <w:r w:rsidRPr="00C65707">
        <w:rPr>
          <w:bCs/>
          <w:sz w:val="22"/>
          <w:szCs w:val="22"/>
        </w:rPr>
        <w:t>enu kod d</w:t>
      </w:r>
      <w:r w:rsidR="006031B6" w:rsidRPr="00C65707">
        <w:rPr>
          <w:bCs/>
          <w:sz w:val="22"/>
          <w:szCs w:val="22"/>
        </w:rPr>
        <w:t>j</w:t>
      </w:r>
      <w:r w:rsidRPr="00C65707">
        <w:rPr>
          <w:bCs/>
          <w:sz w:val="22"/>
          <w:szCs w:val="22"/>
        </w:rPr>
        <w:t>ece sa sJIA, t</w:t>
      </w:r>
      <w:r w:rsidR="006031B6" w:rsidRPr="00C65707">
        <w:rPr>
          <w:bCs/>
          <w:sz w:val="22"/>
          <w:szCs w:val="22"/>
        </w:rPr>
        <w:t>j</w:t>
      </w:r>
      <w:r w:rsidRPr="00C65707">
        <w:rPr>
          <w:bCs/>
          <w:sz w:val="22"/>
          <w:szCs w:val="22"/>
        </w:rPr>
        <w:t>elesne mase manje od 10 kg.</w:t>
      </w:r>
    </w:p>
    <w:p w14:paraId="53750E3C" w14:textId="77777777" w:rsidR="00C40F7C" w:rsidRPr="00C65707" w:rsidRDefault="00C40F7C">
      <w:pPr>
        <w:widowControl w:val="0"/>
        <w:tabs>
          <w:tab w:val="left" w:pos="540"/>
          <w:tab w:val="left" w:pos="569"/>
        </w:tabs>
        <w:jc w:val="both"/>
        <w:rPr>
          <w:b/>
          <w:bCs/>
          <w:sz w:val="22"/>
          <w:szCs w:val="22"/>
        </w:rPr>
      </w:pPr>
    </w:p>
    <w:p w14:paraId="4CAFEB9D" w14:textId="77777777" w:rsidR="00C40F7C" w:rsidRPr="00C65707" w:rsidRDefault="00C40F7C">
      <w:pPr>
        <w:pStyle w:val="Header"/>
        <w:widowControl w:val="0"/>
        <w:tabs>
          <w:tab w:val="left" w:pos="284"/>
        </w:tabs>
        <w:jc w:val="both"/>
        <w:rPr>
          <w:i/>
          <w:sz w:val="22"/>
          <w:szCs w:val="22"/>
        </w:rPr>
      </w:pPr>
      <w:r w:rsidRPr="00C65707">
        <w:rPr>
          <w:i/>
          <w:sz w:val="22"/>
          <w:szCs w:val="22"/>
        </w:rPr>
        <w:t>Sljedivost</w:t>
      </w:r>
    </w:p>
    <w:p w14:paraId="13EEC9C5" w14:textId="51D152D8" w:rsidR="00C40F7C" w:rsidRPr="00C65707" w:rsidRDefault="00C40F7C" w:rsidP="00CE5678">
      <w:pPr>
        <w:pStyle w:val="Header"/>
        <w:widowControl w:val="0"/>
        <w:tabs>
          <w:tab w:val="left" w:pos="284"/>
        </w:tabs>
        <w:jc w:val="both"/>
        <w:rPr>
          <w:sz w:val="22"/>
          <w:szCs w:val="22"/>
        </w:rPr>
      </w:pPr>
      <w:r w:rsidRPr="00C65707">
        <w:rPr>
          <w:sz w:val="22"/>
          <w:szCs w:val="22"/>
        </w:rPr>
        <w:t>Kako bi se poboljšala sljedivost bioloških ljekova, naziv i broj serije primijenjenog lijeka potrebno je jasno evidentirati.</w:t>
      </w:r>
    </w:p>
    <w:p w14:paraId="04D6B9C8" w14:textId="77777777" w:rsidR="009759B0" w:rsidRPr="00C65707" w:rsidRDefault="009759B0" w:rsidP="00CE5678">
      <w:pPr>
        <w:pStyle w:val="Header"/>
        <w:widowControl w:val="0"/>
        <w:tabs>
          <w:tab w:val="left" w:pos="284"/>
        </w:tabs>
        <w:jc w:val="both"/>
        <w:rPr>
          <w:sz w:val="22"/>
          <w:szCs w:val="22"/>
        </w:rPr>
      </w:pPr>
    </w:p>
    <w:p w14:paraId="4ABF34FA" w14:textId="4BEC124D" w:rsidR="00C40F7C" w:rsidRPr="00C65707" w:rsidRDefault="00107582" w:rsidP="00CE5678">
      <w:pPr>
        <w:pStyle w:val="Header"/>
        <w:widowControl w:val="0"/>
        <w:tabs>
          <w:tab w:val="left" w:pos="284"/>
        </w:tabs>
        <w:spacing w:line="360" w:lineRule="auto"/>
        <w:jc w:val="both"/>
        <w:rPr>
          <w:i/>
          <w:sz w:val="22"/>
          <w:szCs w:val="22"/>
        </w:rPr>
      </w:pPr>
      <w:r w:rsidRPr="00C65707">
        <w:rPr>
          <w:i/>
          <w:sz w:val="22"/>
          <w:szCs w:val="22"/>
        </w:rPr>
        <w:t>Sve indikacije</w:t>
      </w:r>
    </w:p>
    <w:p w14:paraId="24602D52" w14:textId="77777777" w:rsidR="00C40F7C" w:rsidRPr="00C65707" w:rsidRDefault="00C40F7C" w:rsidP="002B3647">
      <w:pPr>
        <w:pStyle w:val="Header"/>
        <w:widowControl w:val="0"/>
        <w:tabs>
          <w:tab w:val="left" w:pos="284"/>
        </w:tabs>
        <w:jc w:val="both"/>
        <w:rPr>
          <w:i/>
          <w:sz w:val="22"/>
          <w:szCs w:val="22"/>
        </w:rPr>
      </w:pPr>
      <w:r w:rsidRPr="00C65707">
        <w:rPr>
          <w:i/>
          <w:sz w:val="22"/>
          <w:szCs w:val="22"/>
        </w:rPr>
        <w:t>Infekcije</w:t>
      </w:r>
    </w:p>
    <w:p w14:paraId="18B755BE" w14:textId="67AA911C" w:rsidR="00C40F7C" w:rsidRPr="00C65707" w:rsidRDefault="00C40F7C">
      <w:pPr>
        <w:pStyle w:val="Header"/>
        <w:widowControl w:val="0"/>
        <w:tabs>
          <w:tab w:val="left" w:pos="284"/>
        </w:tabs>
        <w:jc w:val="both"/>
        <w:rPr>
          <w:sz w:val="22"/>
          <w:szCs w:val="22"/>
        </w:rPr>
      </w:pPr>
      <w:r w:rsidRPr="00C65707">
        <w:rPr>
          <w:sz w:val="22"/>
          <w:szCs w:val="22"/>
        </w:rPr>
        <w:t>Prijavljeni su slučajevi ozbiljnih i fatalnih infekcija kod pacijenata koji su primali imunosupresivne agense, uključujući i lijek RoActemra (vidj</w:t>
      </w:r>
      <w:r w:rsidR="00045FBA" w:rsidRPr="00C65707">
        <w:rPr>
          <w:sz w:val="22"/>
          <w:szCs w:val="22"/>
        </w:rPr>
        <w:t xml:space="preserve">eti dio 4.8). </w:t>
      </w:r>
      <w:r w:rsidRPr="00C65707">
        <w:rPr>
          <w:sz w:val="22"/>
          <w:szCs w:val="22"/>
        </w:rPr>
        <w:t xml:space="preserve">Terapiju </w:t>
      </w:r>
      <w:r w:rsidR="00107582" w:rsidRPr="00C65707">
        <w:rPr>
          <w:sz w:val="22"/>
          <w:szCs w:val="22"/>
        </w:rPr>
        <w:t>tocilizumabom</w:t>
      </w:r>
      <w:r w:rsidRPr="00C65707">
        <w:rPr>
          <w:sz w:val="22"/>
          <w:szCs w:val="22"/>
        </w:rPr>
        <w:t xml:space="preserve"> ne treba započinjati kod pacijenata sa aktivnim infekcijama (vidjeti dio 4.3). Davanje </w:t>
      </w:r>
      <w:r w:rsidR="00107582" w:rsidRPr="00C65707">
        <w:rPr>
          <w:sz w:val="22"/>
          <w:szCs w:val="22"/>
        </w:rPr>
        <w:t>tocilizumaba</w:t>
      </w:r>
      <w:r w:rsidR="00045FBA" w:rsidRPr="00C65707">
        <w:rPr>
          <w:sz w:val="22"/>
          <w:szCs w:val="22"/>
        </w:rPr>
        <w:t xml:space="preserve"> </w:t>
      </w:r>
      <w:r w:rsidR="002467DE" w:rsidRPr="00C65707">
        <w:rPr>
          <w:sz w:val="22"/>
          <w:szCs w:val="22"/>
        </w:rPr>
        <w:t xml:space="preserve">mora se </w:t>
      </w:r>
      <w:r w:rsidR="00045FBA" w:rsidRPr="00C65707">
        <w:rPr>
          <w:sz w:val="22"/>
          <w:szCs w:val="22"/>
        </w:rPr>
        <w:t xml:space="preserve">obustaviti </w:t>
      </w:r>
      <w:r w:rsidRPr="00C65707">
        <w:rPr>
          <w:sz w:val="22"/>
          <w:szCs w:val="22"/>
        </w:rPr>
        <w:t xml:space="preserve">ako pacijent razvije tešku infekciju sve dok se infekcija ne stavi pod kontrolu (vidjeti dio 4.8). Ljekari treba da budu oprezni kada razmišljaju o upotrebi </w:t>
      </w:r>
      <w:r w:rsidR="00107582" w:rsidRPr="00C65707">
        <w:rPr>
          <w:sz w:val="22"/>
          <w:szCs w:val="22"/>
        </w:rPr>
        <w:t xml:space="preserve">ovog </w:t>
      </w:r>
      <w:r w:rsidRPr="00C65707">
        <w:rPr>
          <w:sz w:val="22"/>
          <w:szCs w:val="22"/>
        </w:rPr>
        <w:t>lijeka kod pacijenata sa istorijom recidivirajućih ili hroničnih infekcija ili drugim osnovnim stanjima (n</w:t>
      </w:r>
      <w:r w:rsidR="00045FBA" w:rsidRPr="00C65707">
        <w:rPr>
          <w:sz w:val="22"/>
          <w:szCs w:val="22"/>
        </w:rPr>
        <w:t>pr. divertikulitis, dijabetes i</w:t>
      </w:r>
      <w:r w:rsidRPr="00C65707">
        <w:rPr>
          <w:sz w:val="22"/>
          <w:szCs w:val="22"/>
        </w:rPr>
        <w:t xml:space="preserve"> intersticijalna bolest pluća) koja mogu predisponirati pacijente za infekcije.</w:t>
      </w:r>
    </w:p>
    <w:p w14:paraId="4C612148" w14:textId="77777777" w:rsidR="00C40F7C" w:rsidRPr="00C65707" w:rsidRDefault="00C40F7C">
      <w:pPr>
        <w:pStyle w:val="Header"/>
        <w:widowControl w:val="0"/>
        <w:tabs>
          <w:tab w:val="left" w:pos="284"/>
        </w:tabs>
        <w:jc w:val="both"/>
        <w:rPr>
          <w:sz w:val="22"/>
          <w:szCs w:val="22"/>
        </w:rPr>
      </w:pPr>
    </w:p>
    <w:p w14:paraId="45469708" w14:textId="796F94B7" w:rsidR="00C40F7C" w:rsidRPr="00C65707" w:rsidRDefault="00C40F7C">
      <w:pPr>
        <w:pStyle w:val="Header"/>
        <w:widowControl w:val="0"/>
        <w:tabs>
          <w:tab w:val="left" w:pos="284"/>
        </w:tabs>
        <w:jc w:val="both"/>
        <w:rPr>
          <w:sz w:val="22"/>
          <w:szCs w:val="22"/>
        </w:rPr>
      </w:pPr>
      <w:r w:rsidRPr="00C65707">
        <w:rPr>
          <w:sz w:val="22"/>
          <w:szCs w:val="22"/>
        </w:rPr>
        <w:t xml:space="preserve">Potrebna je posebna budnost da se identifikuju teške infekcije kod pacijenata koji primaju imunosupresive poput </w:t>
      </w:r>
      <w:r w:rsidR="00107582" w:rsidRPr="00C65707">
        <w:rPr>
          <w:sz w:val="22"/>
          <w:szCs w:val="22"/>
        </w:rPr>
        <w:t>tocilizumaba,</w:t>
      </w:r>
      <w:r w:rsidRPr="00C65707">
        <w:rPr>
          <w:sz w:val="22"/>
          <w:szCs w:val="22"/>
        </w:rPr>
        <w:t xml:space="preserve"> jer znaci i simptomi akutne inflamacije mogu biti umanjeni, oslabljeni i povezani sa supresijom reakcije akutne faze. Dejstvo tocilizumaba na C</w:t>
      </w:r>
      <w:r w:rsidRPr="00C65707">
        <w:rPr>
          <w:sz w:val="22"/>
          <w:szCs w:val="22"/>
        </w:rPr>
        <w:noBreakHyphen/>
        <w:t xml:space="preserve">reaktivni protein (CRP), neutrofile i znake i simptome infekcije </w:t>
      </w:r>
      <w:r w:rsidR="00107582" w:rsidRPr="00C65707">
        <w:rPr>
          <w:sz w:val="22"/>
          <w:szCs w:val="22"/>
        </w:rPr>
        <w:t xml:space="preserve">se mora </w:t>
      </w:r>
      <w:r w:rsidRPr="00C65707">
        <w:rPr>
          <w:sz w:val="22"/>
          <w:szCs w:val="22"/>
        </w:rPr>
        <w:t xml:space="preserve">uvijek uzimati u obzir kada se pacijent procjenjuje na potencijalnu infekciju. Pacijente </w:t>
      </w:r>
      <w:r w:rsidR="00AE71C3" w:rsidRPr="00C65707">
        <w:rPr>
          <w:sz w:val="22"/>
          <w:szCs w:val="22"/>
        </w:rPr>
        <w:t>(uključujući mlađu decu sa sJIA ili pJIA koja možda ni</w:t>
      </w:r>
      <w:r w:rsidR="000A085D" w:rsidRPr="00C65707">
        <w:rPr>
          <w:sz w:val="22"/>
          <w:szCs w:val="22"/>
        </w:rPr>
        <w:t>je</w:t>
      </w:r>
      <w:r w:rsidR="00AE71C3" w:rsidRPr="00C65707">
        <w:rPr>
          <w:sz w:val="22"/>
          <w:szCs w:val="22"/>
        </w:rPr>
        <w:t xml:space="preserve">su u mogućnosti da jasno opišu simptome) i roditelje/staratelje pacijenata sa sJIA ili pJIA </w:t>
      </w:r>
      <w:r w:rsidRPr="00C65707">
        <w:rPr>
          <w:sz w:val="22"/>
          <w:szCs w:val="22"/>
        </w:rPr>
        <w:t>treba upozoriti da je potrebno da se odmah obrate svom ljekaru u slučaju pojave bilo kakvih znakova koji ukazuju na infekciju, da bi se obezbijedila brza procjena i odgovarajuća terapija.</w:t>
      </w:r>
    </w:p>
    <w:p w14:paraId="401CD982" w14:textId="77777777" w:rsidR="00C40F7C" w:rsidRPr="00C65707" w:rsidRDefault="00C40F7C">
      <w:pPr>
        <w:pStyle w:val="Header"/>
        <w:widowControl w:val="0"/>
        <w:tabs>
          <w:tab w:val="left" w:pos="284"/>
        </w:tabs>
        <w:jc w:val="both"/>
        <w:rPr>
          <w:sz w:val="22"/>
          <w:szCs w:val="22"/>
        </w:rPr>
      </w:pPr>
    </w:p>
    <w:p w14:paraId="2DD134A2" w14:textId="77777777" w:rsidR="00C40F7C" w:rsidRPr="00C65707" w:rsidRDefault="00C40F7C">
      <w:pPr>
        <w:pStyle w:val="Header"/>
        <w:widowControl w:val="0"/>
        <w:tabs>
          <w:tab w:val="left" w:pos="284"/>
        </w:tabs>
        <w:jc w:val="both"/>
        <w:rPr>
          <w:i/>
          <w:sz w:val="22"/>
          <w:szCs w:val="22"/>
        </w:rPr>
      </w:pPr>
      <w:r w:rsidRPr="00C65707">
        <w:rPr>
          <w:i/>
          <w:sz w:val="22"/>
          <w:szCs w:val="22"/>
        </w:rPr>
        <w:t>Tuberkuloza</w:t>
      </w:r>
    </w:p>
    <w:p w14:paraId="4DDCED9D" w14:textId="700CA221" w:rsidR="00C40F7C" w:rsidRPr="00C65707" w:rsidRDefault="00C40F7C">
      <w:pPr>
        <w:widowControl w:val="0"/>
        <w:jc w:val="both"/>
        <w:rPr>
          <w:sz w:val="22"/>
          <w:szCs w:val="22"/>
        </w:rPr>
      </w:pPr>
      <w:r w:rsidRPr="00C65707">
        <w:rPr>
          <w:sz w:val="22"/>
          <w:szCs w:val="22"/>
        </w:rPr>
        <w:t xml:space="preserve">Kao što se preporučuje i za druge biološke terapije sve pacijente treba ispitati na latentnu infekciju tuberkulozom (TB) prije nego što se započne terapija </w:t>
      </w:r>
      <w:r w:rsidR="00107582" w:rsidRPr="00C65707">
        <w:rPr>
          <w:sz w:val="22"/>
          <w:szCs w:val="22"/>
        </w:rPr>
        <w:t>tocilizumabom</w:t>
      </w:r>
      <w:r w:rsidRPr="00C65707">
        <w:rPr>
          <w:sz w:val="22"/>
          <w:szCs w:val="22"/>
        </w:rPr>
        <w:t>. Pacijent</w:t>
      </w:r>
      <w:r w:rsidR="00107582" w:rsidRPr="00C65707">
        <w:rPr>
          <w:sz w:val="22"/>
          <w:szCs w:val="22"/>
        </w:rPr>
        <w:t>i</w:t>
      </w:r>
      <w:r w:rsidRPr="00C65707">
        <w:rPr>
          <w:sz w:val="22"/>
          <w:szCs w:val="22"/>
        </w:rPr>
        <w:t xml:space="preserve"> sa latentnom TB </w:t>
      </w:r>
      <w:r w:rsidR="00107582" w:rsidRPr="00C65707">
        <w:rPr>
          <w:sz w:val="22"/>
          <w:szCs w:val="22"/>
        </w:rPr>
        <w:t xml:space="preserve">se moraju </w:t>
      </w:r>
      <w:r w:rsidRPr="00C65707">
        <w:rPr>
          <w:sz w:val="22"/>
          <w:szCs w:val="22"/>
        </w:rPr>
        <w:t xml:space="preserve">liječiti standardnom anti-mikrobnom terapijom prije uvođenja </w:t>
      </w:r>
      <w:r w:rsidR="00107582" w:rsidRPr="00C65707">
        <w:rPr>
          <w:sz w:val="22"/>
          <w:szCs w:val="22"/>
        </w:rPr>
        <w:t>tocilizumaba</w:t>
      </w:r>
      <w:r w:rsidRPr="00C65707">
        <w:rPr>
          <w:sz w:val="22"/>
          <w:szCs w:val="22"/>
        </w:rPr>
        <w:t>. Ljekare koji propisuju lijek treba podsjetiti na rizik od lažno negativnog nalaza kožnog tuberkulinskog testa te krvnog testa otpuštanja gama interferona, posebno kod teško bolesnih ili imunokompromitovanih pacijenata.</w:t>
      </w:r>
    </w:p>
    <w:p w14:paraId="2F9473CE" w14:textId="77777777" w:rsidR="00C40F7C" w:rsidRPr="00C65707" w:rsidRDefault="00C40F7C">
      <w:pPr>
        <w:pStyle w:val="Header"/>
        <w:widowControl w:val="0"/>
        <w:tabs>
          <w:tab w:val="left" w:pos="284"/>
        </w:tabs>
        <w:jc w:val="both"/>
        <w:rPr>
          <w:sz w:val="22"/>
          <w:szCs w:val="22"/>
        </w:rPr>
      </w:pPr>
    </w:p>
    <w:p w14:paraId="6D2B8285" w14:textId="2FB4CF90" w:rsidR="00C40F7C" w:rsidRPr="00C65707" w:rsidRDefault="00C40F7C">
      <w:pPr>
        <w:widowControl w:val="0"/>
        <w:jc w:val="both"/>
        <w:rPr>
          <w:sz w:val="22"/>
          <w:szCs w:val="22"/>
        </w:rPr>
      </w:pPr>
      <w:r w:rsidRPr="00C65707">
        <w:rPr>
          <w:sz w:val="22"/>
          <w:szCs w:val="22"/>
        </w:rPr>
        <w:t xml:space="preserve">Pacijente </w:t>
      </w:r>
      <w:r w:rsidR="00C93C60" w:rsidRPr="00C65707">
        <w:rPr>
          <w:sz w:val="22"/>
          <w:szCs w:val="22"/>
        </w:rPr>
        <w:t xml:space="preserve">i roditelje/staratelje pacijenata sa sJIA ili pJIA </w:t>
      </w:r>
      <w:r w:rsidRPr="00C65707">
        <w:rPr>
          <w:sz w:val="22"/>
          <w:szCs w:val="22"/>
        </w:rPr>
        <w:t xml:space="preserve">treba uputiti da se jave ljekaru ako se tokom ili nakon liječenja </w:t>
      </w:r>
      <w:r w:rsidR="00107582" w:rsidRPr="00C65707">
        <w:rPr>
          <w:sz w:val="22"/>
          <w:szCs w:val="22"/>
        </w:rPr>
        <w:t xml:space="preserve">ovim </w:t>
      </w:r>
      <w:r w:rsidRPr="00C65707">
        <w:rPr>
          <w:sz w:val="22"/>
          <w:szCs w:val="22"/>
        </w:rPr>
        <w:t>lijekom pojave znaci/simptomi koji bi mogli ukazivati na tuberkulozu (npr. uporan kašalj, gubitak tjelesne težine, subfebrilnost).</w:t>
      </w:r>
    </w:p>
    <w:p w14:paraId="393B1C9B" w14:textId="77777777" w:rsidR="00C40F7C" w:rsidRPr="00C65707" w:rsidRDefault="00C40F7C">
      <w:pPr>
        <w:pStyle w:val="Header"/>
        <w:widowControl w:val="0"/>
        <w:tabs>
          <w:tab w:val="left" w:pos="284"/>
        </w:tabs>
        <w:jc w:val="both"/>
        <w:rPr>
          <w:sz w:val="22"/>
          <w:szCs w:val="22"/>
        </w:rPr>
      </w:pPr>
    </w:p>
    <w:p w14:paraId="2BC53C8D" w14:textId="77777777" w:rsidR="00C40F7C" w:rsidRPr="00C65707" w:rsidRDefault="00C40F7C">
      <w:pPr>
        <w:widowControl w:val="0"/>
        <w:jc w:val="both"/>
        <w:rPr>
          <w:i/>
          <w:sz w:val="22"/>
          <w:szCs w:val="22"/>
        </w:rPr>
      </w:pPr>
      <w:r w:rsidRPr="00C65707">
        <w:rPr>
          <w:i/>
          <w:sz w:val="22"/>
          <w:szCs w:val="22"/>
        </w:rPr>
        <w:t>Reaktivacija virusa</w:t>
      </w:r>
    </w:p>
    <w:p w14:paraId="48B0C9AF" w14:textId="468B9FA7" w:rsidR="00C40F7C" w:rsidRPr="00C65707" w:rsidRDefault="00C40F7C">
      <w:pPr>
        <w:widowControl w:val="0"/>
        <w:jc w:val="both"/>
        <w:rPr>
          <w:sz w:val="22"/>
          <w:szCs w:val="22"/>
        </w:rPr>
      </w:pPr>
      <w:r w:rsidRPr="00C65707">
        <w:rPr>
          <w:sz w:val="22"/>
          <w:szCs w:val="22"/>
        </w:rPr>
        <w:t xml:space="preserve">Pri liječenju RA biološkim ljekovima prijavljena je reaktivacija virusa (npr. virusa hepatitisa B). U klinička ispitivanja </w:t>
      </w:r>
      <w:r w:rsidR="00107582" w:rsidRPr="00C65707">
        <w:rPr>
          <w:sz w:val="22"/>
          <w:szCs w:val="22"/>
        </w:rPr>
        <w:t>tocilizumaba</w:t>
      </w:r>
      <w:r w:rsidRPr="00C65707">
        <w:rPr>
          <w:sz w:val="22"/>
          <w:szCs w:val="22"/>
        </w:rPr>
        <w:t xml:space="preserve"> ni</w:t>
      </w:r>
      <w:r w:rsidR="000A085D" w:rsidRPr="00C65707">
        <w:rPr>
          <w:sz w:val="22"/>
          <w:szCs w:val="22"/>
        </w:rPr>
        <w:t>je</w:t>
      </w:r>
      <w:r w:rsidRPr="00C65707">
        <w:rPr>
          <w:sz w:val="22"/>
          <w:szCs w:val="22"/>
        </w:rPr>
        <w:t>su bili uključeni pacijenti koji su bili pozitivni na hepatitis.</w:t>
      </w:r>
    </w:p>
    <w:p w14:paraId="41361DF5" w14:textId="77777777" w:rsidR="00C40F7C" w:rsidRPr="00C65707" w:rsidRDefault="00C40F7C">
      <w:pPr>
        <w:pStyle w:val="Header"/>
        <w:widowControl w:val="0"/>
        <w:tabs>
          <w:tab w:val="left" w:pos="284"/>
        </w:tabs>
        <w:jc w:val="both"/>
        <w:rPr>
          <w:sz w:val="22"/>
          <w:szCs w:val="22"/>
        </w:rPr>
      </w:pPr>
    </w:p>
    <w:p w14:paraId="5428229C" w14:textId="77777777" w:rsidR="00C40F7C" w:rsidRPr="00C65707" w:rsidRDefault="00C40F7C">
      <w:pPr>
        <w:pStyle w:val="Header"/>
        <w:widowControl w:val="0"/>
        <w:tabs>
          <w:tab w:val="left" w:pos="284"/>
        </w:tabs>
        <w:jc w:val="both"/>
        <w:rPr>
          <w:i/>
          <w:sz w:val="22"/>
          <w:szCs w:val="22"/>
        </w:rPr>
      </w:pPr>
      <w:r w:rsidRPr="00C65707">
        <w:rPr>
          <w:i/>
          <w:sz w:val="22"/>
          <w:szCs w:val="22"/>
        </w:rPr>
        <w:t>Komplikacije divertikulitisa</w:t>
      </w:r>
    </w:p>
    <w:p w14:paraId="22C49603" w14:textId="66640C0C" w:rsidR="00C40F7C" w:rsidRPr="00C65707" w:rsidRDefault="00C40F7C">
      <w:pPr>
        <w:pStyle w:val="Header"/>
        <w:widowControl w:val="0"/>
        <w:tabs>
          <w:tab w:val="left" w:pos="284"/>
        </w:tabs>
        <w:jc w:val="both"/>
        <w:rPr>
          <w:sz w:val="22"/>
          <w:szCs w:val="22"/>
        </w:rPr>
      </w:pPr>
      <w:r w:rsidRPr="00C65707">
        <w:rPr>
          <w:sz w:val="22"/>
          <w:szCs w:val="22"/>
        </w:rPr>
        <w:t xml:space="preserve">Povremeno se bilježi komplikacija terapije </w:t>
      </w:r>
      <w:r w:rsidR="00107582" w:rsidRPr="00C65707">
        <w:rPr>
          <w:sz w:val="22"/>
          <w:szCs w:val="22"/>
        </w:rPr>
        <w:t>tocilizumabom</w:t>
      </w:r>
      <w:r w:rsidRPr="00C65707">
        <w:rPr>
          <w:sz w:val="22"/>
          <w:szCs w:val="22"/>
        </w:rPr>
        <w:t xml:space="preserve"> u vidu divertikularne perforacije ili divertikulitisa kod pacijenata (vidjeti dio 4.8). </w:t>
      </w:r>
      <w:r w:rsidR="00107582" w:rsidRPr="00C65707">
        <w:rPr>
          <w:sz w:val="22"/>
          <w:szCs w:val="22"/>
        </w:rPr>
        <w:t>Ovaj l</w:t>
      </w:r>
      <w:r w:rsidRPr="00C65707">
        <w:rPr>
          <w:sz w:val="22"/>
          <w:szCs w:val="22"/>
        </w:rPr>
        <w:t xml:space="preserve">ijek treba pažljivo koristiti kod pacijenata koji su ranije imali intestinalne ulceracije ili divertikulitis. Pacijente koji ispolje simptome koji potencijalno ukazuju na komplikovani divertikulitis, kao što su bol u trbuhu, krvarenje i/ili neobjašnjena promjena </w:t>
      </w:r>
      <w:r w:rsidRPr="00C65707">
        <w:rPr>
          <w:sz w:val="22"/>
          <w:szCs w:val="22"/>
        </w:rPr>
        <w:lastRenderedPageBreak/>
        <w:t>pražnjenja crijeva sa povišenom tjelesnom temperaturom, treba odmah ispitati da bi rano bio otkriven eventualni divertikulitis koji može da bude povezan sa gastrointestinalnom perforacijom.</w:t>
      </w:r>
    </w:p>
    <w:p w14:paraId="3E0F248B" w14:textId="77777777" w:rsidR="00C40F7C" w:rsidRPr="00C65707" w:rsidRDefault="00C40F7C" w:rsidP="00CE5678">
      <w:pPr>
        <w:pStyle w:val="Header"/>
        <w:widowControl w:val="0"/>
        <w:tabs>
          <w:tab w:val="left" w:pos="284"/>
        </w:tabs>
        <w:jc w:val="both"/>
        <w:rPr>
          <w:bCs/>
          <w:i/>
          <w:sz w:val="22"/>
          <w:szCs w:val="22"/>
        </w:rPr>
      </w:pPr>
      <w:r w:rsidRPr="00C65707">
        <w:rPr>
          <w:i/>
          <w:sz w:val="22"/>
          <w:szCs w:val="22"/>
        </w:rPr>
        <w:t>Reakcije preosjetljivosti</w:t>
      </w:r>
    </w:p>
    <w:p w14:paraId="65F9BE36" w14:textId="3D41257E" w:rsidR="00C40F7C" w:rsidRPr="00C65707" w:rsidRDefault="00C40F7C" w:rsidP="00C65707">
      <w:pPr>
        <w:pStyle w:val="BodyText"/>
        <w:widowControl w:val="0"/>
        <w:spacing w:after="0"/>
        <w:jc w:val="both"/>
        <w:rPr>
          <w:noProof w:val="0"/>
          <w:sz w:val="22"/>
          <w:szCs w:val="22"/>
        </w:rPr>
      </w:pPr>
      <w:r w:rsidRPr="00C65707">
        <w:rPr>
          <w:noProof w:val="0"/>
          <w:sz w:val="22"/>
          <w:szCs w:val="22"/>
        </w:rPr>
        <w:t xml:space="preserve">Prijavljivane su ozbiljne reakcije preosjetljivosti, uključujući anafilaksu, povezane sa primjenom </w:t>
      </w:r>
      <w:r w:rsidR="00107582" w:rsidRPr="00C65707">
        <w:rPr>
          <w:noProof w:val="0"/>
          <w:sz w:val="22"/>
          <w:szCs w:val="22"/>
        </w:rPr>
        <w:t>tocilizumaba</w:t>
      </w:r>
      <w:r w:rsidRPr="00C65707">
        <w:rPr>
          <w:noProof w:val="0"/>
          <w:sz w:val="22"/>
          <w:szCs w:val="22"/>
        </w:rPr>
        <w:t xml:space="preserve"> (vidjeti dio 4.8). Takve reakcije mogu biti vrlo teške i potencijalno fatalne kod pacijenata koji su doživjeli reakciju preosjetljivosti tokom prethodnih infuzija</w:t>
      </w:r>
      <w:r w:rsidR="00107582" w:rsidRPr="00C65707">
        <w:rPr>
          <w:noProof w:val="0"/>
          <w:sz w:val="22"/>
          <w:szCs w:val="22"/>
        </w:rPr>
        <w:t xml:space="preserve"> tocilizumabom</w:t>
      </w:r>
      <w:r w:rsidRPr="00C65707">
        <w:rPr>
          <w:noProof w:val="0"/>
          <w:sz w:val="22"/>
          <w:szCs w:val="22"/>
        </w:rPr>
        <w:t xml:space="preserve">, iako su primili steroide i antihistaminike kao premedikaciju. Ako dođe do pojave anafilaktičke reakcije ili druge ozbiljne reakcije preosjetljivosti ili ozbiljne infuzijski povezane reakcije, davanje </w:t>
      </w:r>
      <w:r w:rsidR="00107582" w:rsidRPr="00C65707">
        <w:rPr>
          <w:noProof w:val="0"/>
          <w:sz w:val="22"/>
          <w:szCs w:val="22"/>
        </w:rPr>
        <w:t>tocilizumaba</w:t>
      </w:r>
      <w:r w:rsidRPr="00C65707">
        <w:rPr>
          <w:noProof w:val="0"/>
          <w:sz w:val="22"/>
          <w:szCs w:val="22"/>
        </w:rPr>
        <w:t xml:space="preserve"> </w:t>
      </w:r>
      <w:r w:rsidR="00107582" w:rsidRPr="00C65707">
        <w:rPr>
          <w:noProof w:val="0"/>
          <w:sz w:val="22"/>
          <w:szCs w:val="22"/>
        </w:rPr>
        <w:t xml:space="preserve">se mora </w:t>
      </w:r>
      <w:r w:rsidRPr="00C65707">
        <w:rPr>
          <w:noProof w:val="0"/>
          <w:sz w:val="22"/>
          <w:szCs w:val="22"/>
        </w:rPr>
        <w:t>odmah prekinuti i tra</w:t>
      </w:r>
      <w:r w:rsidR="00045FBA" w:rsidRPr="00C65707">
        <w:rPr>
          <w:noProof w:val="0"/>
          <w:sz w:val="22"/>
          <w:szCs w:val="22"/>
        </w:rPr>
        <w:t xml:space="preserve">jno isključiti </w:t>
      </w:r>
      <w:r w:rsidRPr="00C65707">
        <w:rPr>
          <w:noProof w:val="0"/>
          <w:sz w:val="22"/>
          <w:szCs w:val="22"/>
        </w:rPr>
        <w:t>iz dalje terapije.</w:t>
      </w:r>
    </w:p>
    <w:p w14:paraId="39031607" w14:textId="77777777" w:rsidR="00C40F7C" w:rsidRPr="00C65707" w:rsidRDefault="00C40F7C" w:rsidP="002B3647">
      <w:pPr>
        <w:pStyle w:val="Header"/>
        <w:widowControl w:val="0"/>
        <w:tabs>
          <w:tab w:val="left" w:pos="284"/>
        </w:tabs>
        <w:jc w:val="both"/>
        <w:rPr>
          <w:i/>
          <w:sz w:val="22"/>
          <w:szCs w:val="22"/>
        </w:rPr>
      </w:pPr>
    </w:p>
    <w:p w14:paraId="4670E069" w14:textId="77777777" w:rsidR="00C40F7C" w:rsidRPr="00C65707" w:rsidRDefault="00C40F7C">
      <w:pPr>
        <w:pStyle w:val="Header"/>
        <w:widowControl w:val="0"/>
        <w:tabs>
          <w:tab w:val="left" w:pos="284"/>
        </w:tabs>
        <w:jc w:val="both"/>
        <w:rPr>
          <w:i/>
          <w:sz w:val="22"/>
          <w:szCs w:val="22"/>
        </w:rPr>
      </w:pPr>
      <w:r w:rsidRPr="00C65707">
        <w:rPr>
          <w:i/>
          <w:sz w:val="22"/>
          <w:szCs w:val="22"/>
        </w:rPr>
        <w:t>Aktivno oboljenje jetre i insuficijencija jetre</w:t>
      </w:r>
    </w:p>
    <w:p w14:paraId="735DFC20" w14:textId="4638F87D" w:rsidR="00C40F7C" w:rsidRPr="00C65707" w:rsidRDefault="00C40F7C">
      <w:pPr>
        <w:pStyle w:val="Header"/>
        <w:widowControl w:val="0"/>
        <w:tabs>
          <w:tab w:val="left" w:pos="284"/>
        </w:tabs>
        <w:jc w:val="both"/>
        <w:rPr>
          <w:sz w:val="22"/>
          <w:szCs w:val="22"/>
        </w:rPr>
      </w:pPr>
      <w:r w:rsidRPr="00C65707">
        <w:rPr>
          <w:sz w:val="22"/>
          <w:szCs w:val="22"/>
        </w:rPr>
        <w:t xml:space="preserve">Terapija </w:t>
      </w:r>
      <w:r w:rsidR="00107582" w:rsidRPr="00C65707">
        <w:rPr>
          <w:sz w:val="22"/>
          <w:szCs w:val="22"/>
        </w:rPr>
        <w:t>tocilizumabom</w:t>
      </w:r>
      <w:r w:rsidRPr="00C65707">
        <w:rPr>
          <w:sz w:val="22"/>
          <w:szCs w:val="22"/>
        </w:rPr>
        <w:t>, posebno kada se RoActemra daje uz MTX, može da bude povezana sa povišenim transaminazama jetre (vidjeti dio 4.8). Prema tome, potreban je oprez kada se razmatra terapija pacijenata sa aktivnim oboljenjem jetre ili insuficijencijom jetre (vidjeti djelove 4.2 i 4.8).</w:t>
      </w:r>
    </w:p>
    <w:p w14:paraId="779E4B9C" w14:textId="77777777" w:rsidR="00C40F7C" w:rsidRPr="00C65707" w:rsidRDefault="00C40F7C">
      <w:pPr>
        <w:pStyle w:val="Header"/>
        <w:widowControl w:val="0"/>
        <w:tabs>
          <w:tab w:val="left" w:pos="284"/>
        </w:tabs>
        <w:jc w:val="both"/>
        <w:rPr>
          <w:sz w:val="22"/>
          <w:szCs w:val="22"/>
        </w:rPr>
      </w:pPr>
    </w:p>
    <w:p w14:paraId="0EC7A6C5" w14:textId="77777777" w:rsidR="00C40F7C" w:rsidRPr="00C65707" w:rsidRDefault="00FC1F9D">
      <w:pPr>
        <w:pStyle w:val="Header"/>
        <w:widowControl w:val="0"/>
        <w:tabs>
          <w:tab w:val="left" w:pos="284"/>
        </w:tabs>
        <w:jc w:val="both"/>
        <w:rPr>
          <w:i/>
          <w:sz w:val="22"/>
          <w:szCs w:val="22"/>
        </w:rPr>
      </w:pPr>
      <w:r w:rsidRPr="00C65707">
        <w:rPr>
          <w:i/>
          <w:sz w:val="22"/>
          <w:szCs w:val="22"/>
        </w:rPr>
        <w:t>Hepatotoksičnost</w:t>
      </w:r>
    </w:p>
    <w:p w14:paraId="1C559A3A" w14:textId="751F2E30" w:rsidR="00C40F7C" w:rsidRPr="00C65707" w:rsidRDefault="00FC1F9D">
      <w:pPr>
        <w:pStyle w:val="BodyText"/>
        <w:widowControl w:val="0"/>
        <w:spacing w:after="0"/>
        <w:jc w:val="both"/>
        <w:rPr>
          <w:noProof w:val="0"/>
          <w:sz w:val="22"/>
          <w:szCs w:val="22"/>
        </w:rPr>
      </w:pPr>
      <w:r w:rsidRPr="00C65707">
        <w:rPr>
          <w:noProof w:val="0"/>
          <w:sz w:val="22"/>
          <w:szCs w:val="22"/>
        </w:rPr>
        <w:t>Tokom liječenja</w:t>
      </w:r>
      <w:r w:rsidR="00C40F7C" w:rsidRPr="00C65707">
        <w:rPr>
          <w:noProof w:val="0"/>
          <w:sz w:val="22"/>
          <w:szCs w:val="22"/>
        </w:rPr>
        <w:t xml:space="preserve"> </w:t>
      </w:r>
      <w:r w:rsidR="00107582" w:rsidRPr="00C65707">
        <w:rPr>
          <w:noProof w:val="0"/>
          <w:sz w:val="22"/>
          <w:szCs w:val="22"/>
        </w:rPr>
        <w:t>tocilizumabom</w:t>
      </w:r>
      <w:r w:rsidR="00C40F7C" w:rsidRPr="00C65707">
        <w:rPr>
          <w:noProof w:val="0"/>
          <w:sz w:val="22"/>
          <w:szCs w:val="22"/>
        </w:rPr>
        <w:t xml:space="preserve"> često se bilježi prolazno ili intermitentno blago do umjereno povećanje transaminaza jetre (vidjeti dio 4.8). Povećana učestalost ovih događaja zabilježena je kada se potencijalno hepatotoksični ljekovi (npr. MTX) koriste u kombinaciji sa </w:t>
      </w:r>
      <w:r w:rsidR="00107582" w:rsidRPr="00C65707">
        <w:rPr>
          <w:noProof w:val="0"/>
          <w:sz w:val="22"/>
          <w:szCs w:val="22"/>
        </w:rPr>
        <w:t>tocilizumabom</w:t>
      </w:r>
      <w:r w:rsidR="00C40F7C" w:rsidRPr="00C65707">
        <w:rPr>
          <w:noProof w:val="0"/>
          <w:sz w:val="22"/>
          <w:szCs w:val="22"/>
        </w:rPr>
        <w:t xml:space="preserve">. Kad je klinički indikovano, </w:t>
      </w:r>
      <w:r w:rsidR="00107582" w:rsidRPr="00C65707">
        <w:rPr>
          <w:noProof w:val="0"/>
          <w:sz w:val="22"/>
          <w:szCs w:val="22"/>
        </w:rPr>
        <w:t xml:space="preserve">moraju se </w:t>
      </w:r>
      <w:r w:rsidR="00C40F7C" w:rsidRPr="00C65707">
        <w:rPr>
          <w:noProof w:val="0"/>
          <w:sz w:val="22"/>
          <w:szCs w:val="22"/>
        </w:rPr>
        <w:t>razmotriti i drug</w:t>
      </w:r>
      <w:r w:rsidR="00107582" w:rsidRPr="00C65707">
        <w:rPr>
          <w:noProof w:val="0"/>
          <w:sz w:val="22"/>
          <w:szCs w:val="22"/>
        </w:rPr>
        <w:t>i</w:t>
      </w:r>
      <w:r w:rsidR="00C40F7C" w:rsidRPr="00C65707">
        <w:rPr>
          <w:noProof w:val="0"/>
          <w:sz w:val="22"/>
          <w:szCs w:val="22"/>
        </w:rPr>
        <w:t xml:space="preserve"> testov</w:t>
      </w:r>
      <w:r w:rsidR="00107582" w:rsidRPr="00C65707">
        <w:rPr>
          <w:noProof w:val="0"/>
          <w:sz w:val="22"/>
          <w:szCs w:val="22"/>
        </w:rPr>
        <w:t>i</w:t>
      </w:r>
      <w:r w:rsidR="00C40F7C" w:rsidRPr="00C65707">
        <w:rPr>
          <w:noProof w:val="0"/>
          <w:sz w:val="22"/>
          <w:szCs w:val="22"/>
        </w:rPr>
        <w:t xml:space="preserve"> funkcije jetre, uključujući i bilirubin.</w:t>
      </w:r>
    </w:p>
    <w:p w14:paraId="1B0A6190" w14:textId="1AB43E87" w:rsidR="00FC1F9D" w:rsidRPr="00C65707" w:rsidRDefault="00FC1F9D">
      <w:pPr>
        <w:widowControl w:val="0"/>
        <w:jc w:val="both"/>
        <w:rPr>
          <w:sz w:val="22"/>
          <w:szCs w:val="22"/>
          <w:lang w:eastAsia="ja-JP"/>
        </w:rPr>
      </w:pPr>
      <w:r w:rsidRPr="00C65707">
        <w:rPr>
          <w:sz w:val="22"/>
          <w:szCs w:val="22"/>
          <w:lang w:eastAsia="ja-JP"/>
        </w:rPr>
        <w:t>Tokom li</w:t>
      </w:r>
      <w:r w:rsidR="00107582" w:rsidRPr="00C65707">
        <w:rPr>
          <w:sz w:val="22"/>
          <w:szCs w:val="22"/>
          <w:lang w:eastAsia="ja-JP"/>
        </w:rPr>
        <w:t>j</w:t>
      </w:r>
      <w:r w:rsidRPr="00C65707">
        <w:rPr>
          <w:sz w:val="22"/>
          <w:szCs w:val="22"/>
          <w:lang w:eastAsia="ja-JP"/>
        </w:rPr>
        <w:t xml:space="preserve">ečenja </w:t>
      </w:r>
      <w:r w:rsidR="00107582" w:rsidRPr="00C65707">
        <w:rPr>
          <w:sz w:val="22"/>
          <w:szCs w:val="22"/>
          <w:lang w:eastAsia="ja-JP"/>
        </w:rPr>
        <w:t>tocilizumabom</w:t>
      </w:r>
      <w:r w:rsidRPr="00C65707">
        <w:rPr>
          <w:sz w:val="22"/>
          <w:szCs w:val="22"/>
          <w:lang w:eastAsia="ja-JP"/>
        </w:rPr>
        <w:t xml:space="preserve"> zabilježeno je ozbiljno oštećenje jetre izazvano primjenom lijeka, uključujući akutnu insuficijenciju jetre, hepatitis i žuticu (vidjeti dio 4.8). Ozbiljno oštećenje jetre zabilježeno je u periodu od 2 nedjelje do više od 5 godina nakon započinjanja liječenja. Zabilježeni su i slučajevi insuficijencije jetre koji su zaht</w:t>
      </w:r>
      <w:r w:rsidR="007672D3" w:rsidRPr="00C65707">
        <w:rPr>
          <w:sz w:val="22"/>
          <w:szCs w:val="22"/>
          <w:lang w:eastAsia="ja-JP"/>
        </w:rPr>
        <w:t>ij</w:t>
      </w:r>
      <w:r w:rsidRPr="00C65707">
        <w:rPr>
          <w:sz w:val="22"/>
          <w:szCs w:val="22"/>
          <w:lang w:eastAsia="ja-JP"/>
        </w:rPr>
        <w:t xml:space="preserve">evali transplantaciju jetre. Pacijenti </w:t>
      </w:r>
      <w:r w:rsidR="00107582" w:rsidRPr="00C65707">
        <w:rPr>
          <w:sz w:val="22"/>
          <w:szCs w:val="22"/>
          <w:lang w:eastAsia="ja-JP"/>
        </w:rPr>
        <w:t xml:space="preserve">se moraju </w:t>
      </w:r>
      <w:r w:rsidRPr="00C65707">
        <w:rPr>
          <w:sz w:val="22"/>
          <w:szCs w:val="22"/>
          <w:lang w:eastAsia="ja-JP"/>
        </w:rPr>
        <w:t>savjetovati da odmah potraže ljekarsku pomoć ako primjete znake i simptome oštećenja jetre.</w:t>
      </w:r>
    </w:p>
    <w:p w14:paraId="784D9784" w14:textId="77777777" w:rsidR="00C40F7C" w:rsidRPr="00C65707" w:rsidRDefault="00C40F7C">
      <w:pPr>
        <w:pStyle w:val="Header"/>
        <w:widowControl w:val="0"/>
        <w:tabs>
          <w:tab w:val="left" w:pos="284"/>
        </w:tabs>
        <w:jc w:val="both"/>
        <w:rPr>
          <w:sz w:val="22"/>
          <w:szCs w:val="22"/>
        </w:rPr>
      </w:pPr>
    </w:p>
    <w:p w14:paraId="53BAAAB9" w14:textId="0FCF8262" w:rsidR="00C40F7C" w:rsidRPr="00C65707" w:rsidRDefault="00C40F7C">
      <w:pPr>
        <w:pStyle w:val="Header"/>
        <w:widowControl w:val="0"/>
        <w:tabs>
          <w:tab w:val="left" w:pos="284"/>
        </w:tabs>
        <w:jc w:val="both"/>
        <w:rPr>
          <w:sz w:val="22"/>
          <w:szCs w:val="22"/>
        </w:rPr>
      </w:pPr>
      <w:r w:rsidRPr="00C65707">
        <w:rPr>
          <w:sz w:val="22"/>
          <w:szCs w:val="22"/>
        </w:rPr>
        <w:t>Treba biti na oprezu kada se razmišlja o uvođenju terapijekod pacijenata kod kojih postoji povećanje ALT ili AST &gt; 1.5 x GGN. Kod pac</w:t>
      </w:r>
      <w:r w:rsidR="00045FBA" w:rsidRPr="00C65707">
        <w:rPr>
          <w:sz w:val="22"/>
          <w:szCs w:val="22"/>
        </w:rPr>
        <w:t>ijenata kod kojih je vrijednost</w:t>
      </w:r>
      <w:r w:rsidRPr="00C65707">
        <w:rPr>
          <w:sz w:val="22"/>
          <w:szCs w:val="22"/>
        </w:rPr>
        <w:t xml:space="preserve"> ALT ili  AST &gt; 5 x GGN prije uvođenja terapije, ovu terapiju ne treba ni započinjati.</w:t>
      </w:r>
    </w:p>
    <w:p w14:paraId="3B345A24" w14:textId="77777777" w:rsidR="00C40F7C" w:rsidRPr="00C65707" w:rsidRDefault="00C40F7C">
      <w:pPr>
        <w:pStyle w:val="Header"/>
        <w:widowControl w:val="0"/>
        <w:tabs>
          <w:tab w:val="left" w:pos="284"/>
        </w:tabs>
        <w:jc w:val="both"/>
        <w:rPr>
          <w:sz w:val="22"/>
          <w:szCs w:val="22"/>
        </w:rPr>
      </w:pPr>
    </w:p>
    <w:p w14:paraId="6272F63C" w14:textId="272F118F" w:rsidR="00C40F7C" w:rsidRPr="00C65707" w:rsidRDefault="00C40F7C">
      <w:pPr>
        <w:pStyle w:val="Header"/>
        <w:widowControl w:val="0"/>
        <w:tabs>
          <w:tab w:val="left" w:pos="284"/>
        </w:tabs>
        <w:jc w:val="both"/>
        <w:rPr>
          <w:sz w:val="22"/>
          <w:szCs w:val="22"/>
        </w:rPr>
      </w:pPr>
      <w:r w:rsidRPr="00C65707">
        <w:rPr>
          <w:sz w:val="22"/>
          <w:szCs w:val="22"/>
        </w:rPr>
        <w:t>Kod RA</w:t>
      </w:r>
      <w:r w:rsidR="00FC1F9D" w:rsidRPr="00C65707">
        <w:rPr>
          <w:sz w:val="22"/>
          <w:szCs w:val="22"/>
        </w:rPr>
        <w:t>,</w:t>
      </w:r>
      <w:r w:rsidR="00045FBA" w:rsidRPr="00C65707">
        <w:rPr>
          <w:sz w:val="22"/>
          <w:szCs w:val="22"/>
        </w:rPr>
        <w:t xml:space="preserve"> GCA</w:t>
      </w:r>
      <w:r w:rsidR="00FC1F9D" w:rsidRPr="00C65707">
        <w:rPr>
          <w:sz w:val="22"/>
          <w:szCs w:val="22"/>
        </w:rPr>
        <w:t xml:space="preserve">, </w:t>
      </w:r>
      <w:r w:rsidR="00FC1F9D" w:rsidRPr="00C65707">
        <w:rPr>
          <w:sz w:val="22"/>
          <w:szCs w:val="22"/>
          <w:lang w:eastAsia="ja-JP"/>
        </w:rPr>
        <w:t>pJIA i sJIA</w:t>
      </w:r>
      <w:r w:rsidR="00FC1F9D" w:rsidRPr="00C65707">
        <w:rPr>
          <w:sz w:val="22"/>
          <w:szCs w:val="22"/>
        </w:rPr>
        <w:t xml:space="preserve"> </w:t>
      </w:r>
      <w:r w:rsidRPr="00C65707">
        <w:rPr>
          <w:sz w:val="22"/>
          <w:szCs w:val="22"/>
        </w:rPr>
        <w:t xml:space="preserve"> pacijenata,</w:t>
      </w:r>
      <w:r w:rsidR="00FC1F9D" w:rsidRPr="00C65707">
        <w:rPr>
          <w:sz w:val="22"/>
          <w:szCs w:val="22"/>
        </w:rPr>
        <w:t xml:space="preserve"> </w:t>
      </w:r>
      <w:r w:rsidRPr="00C65707">
        <w:rPr>
          <w:sz w:val="22"/>
          <w:szCs w:val="22"/>
        </w:rPr>
        <w:t>ALT</w:t>
      </w:r>
      <w:r w:rsidR="00FC1F9D" w:rsidRPr="00C65707">
        <w:rPr>
          <w:sz w:val="22"/>
          <w:szCs w:val="22"/>
        </w:rPr>
        <w:t>/</w:t>
      </w:r>
      <w:r w:rsidRPr="00C65707">
        <w:rPr>
          <w:sz w:val="22"/>
          <w:szCs w:val="22"/>
        </w:rPr>
        <w:t>AST treba kontrolisati u intervalima od 4 do 8 ned</w:t>
      </w:r>
      <w:r w:rsidR="00FC1F9D" w:rsidRPr="00C65707">
        <w:rPr>
          <w:sz w:val="22"/>
          <w:szCs w:val="22"/>
        </w:rPr>
        <w:t>j</w:t>
      </w:r>
      <w:r w:rsidRPr="00C65707">
        <w:rPr>
          <w:sz w:val="22"/>
          <w:szCs w:val="22"/>
        </w:rPr>
        <w:t>elja u prvih 6 mjeseci terapije i na svakih 12 nedjelja poslije toga. Za preporučen</w:t>
      </w:r>
      <w:r w:rsidR="00FC1F9D" w:rsidRPr="00C65707">
        <w:rPr>
          <w:sz w:val="22"/>
          <w:szCs w:val="22"/>
        </w:rPr>
        <w:t>a</w:t>
      </w:r>
      <w:r w:rsidRPr="00C65707">
        <w:rPr>
          <w:sz w:val="22"/>
          <w:szCs w:val="22"/>
        </w:rPr>
        <w:t xml:space="preserve"> </w:t>
      </w:r>
      <w:r w:rsidR="00FC1F9D" w:rsidRPr="00C65707">
        <w:rPr>
          <w:sz w:val="22"/>
          <w:szCs w:val="22"/>
        </w:rPr>
        <w:t xml:space="preserve">prilagođavanja doze, uključujući prekid liječenja </w:t>
      </w:r>
      <w:r w:rsidR="00107582" w:rsidRPr="00C65707">
        <w:rPr>
          <w:sz w:val="22"/>
          <w:szCs w:val="22"/>
        </w:rPr>
        <w:t>tocilizumabom</w:t>
      </w:r>
      <w:r w:rsidR="00FC1F9D" w:rsidRPr="00C65707">
        <w:rPr>
          <w:sz w:val="22"/>
          <w:szCs w:val="22"/>
        </w:rPr>
        <w:t xml:space="preserve">, na osnovu </w:t>
      </w:r>
      <w:r w:rsidRPr="00C65707">
        <w:rPr>
          <w:sz w:val="22"/>
          <w:szCs w:val="22"/>
        </w:rPr>
        <w:t>nivoa transaminaza</w:t>
      </w:r>
      <w:r w:rsidR="00FC1F9D" w:rsidRPr="00C65707">
        <w:rPr>
          <w:sz w:val="22"/>
          <w:szCs w:val="22"/>
        </w:rPr>
        <w:t>,</w:t>
      </w:r>
      <w:r w:rsidRPr="00C65707">
        <w:rPr>
          <w:sz w:val="22"/>
          <w:szCs w:val="22"/>
        </w:rPr>
        <w:t xml:space="preserve"> vidjeti dio 4.2. Kada su vrijednosti ALT ili AST &gt; 3–5 x GGN, terapiju treba </w:t>
      </w:r>
      <w:r w:rsidR="00A87BC7" w:rsidRPr="00C65707">
        <w:rPr>
          <w:sz w:val="22"/>
          <w:szCs w:val="22"/>
        </w:rPr>
        <w:t xml:space="preserve">privremeno </w:t>
      </w:r>
      <w:r w:rsidRPr="00C65707">
        <w:rPr>
          <w:sz w:val="22"/>
          <w:szCs w:val="22"/>
        </w:rPr>
        <w:t>obustaviti.</w:t>
      </w:r>
    </w:p>
    <w:p w14:paraId="6F5D4FDC" w14:textId="77777777" w:rsidR="00C40F7C" w:rsidRPr="00C65707" w:rsidRDefault="00C40F7C">
      <w:pPr>
        <w:pStyle w:val="Header"/>
        <w:widowControl w:val="0"/>
        <w:tabs>
          <w:tab w:val="left" w:pos="284"/>
        </w:tabs>
        <w:jc w:val="both"/>
        <w:rPr>
          <w:sz w:val="22"/>
          <w:szCs w:val="22"/>
        </w:rPr>
      </w:pPr>
    </w:p>
    <w:p w14:paraId="69CD929F" w14:textId="77777777" w:rsidR="00C40F7C" w:rsidRPr="00C65707" w:rsidRDefault="00C40F7C">
      <w:pPr>
        <w:pStyle w:val="Header"/>
        <w:widowControl w:val="0"/>
        <w:tabs>
          <w:tab w:val="left" w:pos="284"/>
        </w:tabs>
        <w:jc w:val="both"/>
        <w:rPr>
          <w:i/>
          <w:sz w:val="22"/>
          <w:szCs w:val="22"/>
        </w:rPr>
      </w:pPr>
      <w:r w:rsidRPr="00C65707">
        <w:rPr>
          <w:i/>
          <w:sz w:val="22"/>
          <w:szCs w:val="22"/>
        </w:rPr>
        <w:t xml:space="preserve">Hematološki poremećaji </w:t>
      </w:r>
    </w:p>
    <w:p w14:paraId="0E7EC697" w14:textId="77777777" w:rsidR="00C40F7C" w:rsidRPr="00C65707" w:rsidRDefault="00C40F7C">
      <w:pPr>
        <w:pStyle w:val="Header"/>
        <w:widowControl w:val="0"/>
        <w:tabs>
          <w:tab w:val="left" w:pos="284"/>
        </w:tabs>
        <w:jc w:val="both"/>
        <w:rPr>
          <w:sz w:val="22"/>
          <w:szCs w:val="22"/>
        </w:rPr>
      </w:pPr>
      <w:r w:rsidRPr="00C65707">
        <w:rPr>
          <w:sz w:val="22"/>
          <w:szCs w:val="22"/>
        </w:rPr>
        <w:t>Nakon terapije tocilizumabom u dozi od 8 mg/kg u kombinaciji sa MTX (vidjeti dio 4.8) dolazilo je do smanjenja broja neutrofila i trombocita. Kod pacijenata prethodno liječenih antagonistima TNF postoji povećani rizik od neutropenije.</w:t>
      </w:r>
    </w:p>
    <w:p w14:paraId="309546C1" w14:textId="77777777" w:rsidR="00C40F7C" w:rsidRPr="00C65707" w:rsidRDefault="00C40F7C">
      <w:pPr>
        <w:pStyle w:val="Header"/>
        <w:widowControl w:val="0"/>
        <w:tabs>
          <w:tab w:val="left" w:pos="284"/>
        </w:tabs>
        <w:jc w:val="both"/>
        <w:rPr>
          <w:sz w:val="22"/>
          <w:szCs w:val="22"/>
        </w:rPr>
      </w:pPr>
    </w:p>
    <w:p w14:paraId="69C820EB" w14:textId="3FCCB981" w:rsidR="00C40F7C" w:rsidRPr="00C65707" w:rsidRDefault="00C40F7C">
      <w:pPr>
        <w:widowControl w:val="0"/>
        <w:jc w:val="both"/>
        <w:rPr>
          <w:sz w:val="22"/>
          <w:szCs w:val="22"/>
        </w:rPr>
      </w:pPr>
      <w:r w:rsidRPr="00C65707">
        <w:rPr>
          <w:sz w:val="22"/>
          <w:szCs w:val="22"/>
        </w:rPr>
        <w:t xml:space="preserve">Kod pacijenata koji nijesu prethodno </w:t>
      </w:r>
      <w:r w:rsidR="00A87BC7" w:rsidRPr="00C65707">
        <w:rPr>
          <w:sz w:val="22"/>
          <w:szCs w:val="22"/>
        </w:rPr>
        <w:t>tocilizumabom</w:t>
      </w:r>
      <w:r w:rsidRPr="00C65707">
        <w:rPr>
          <w:sz w:val="22"/>
          <w:szCs w:val="22"/>
        </w:rPr>
        <w:t>, ne preporučuje se</w:t>
      </w:r>
      <w:r w:rsidR="00045FBA" w:rsidRPr="00C65707">
        <w:rPr>
          <w:sz w:val="22"/>
          <w:szCs w:val="22"/>
        </w:rPr>
        <w:t xml:space="preserve"> započinjanje terapije ukoliko </w:t>
      </w:r>
      <w:r w:rsidRPr="00C65707">
        <w:rPr>
          <w:sz w:val="22"/>
          <w:szCs w:val="22"/>
        </w:rPr>
        <w:t xml:space="preserve">je </w:t>
      </w:r>
      <w:r w:rsidR="00A87BC7" w:rsidRPr="00C65707">
        <w:rPr>
          <w:sz w:val="22"/>
          <w:szCs w:val="22"/>
        </w:rPr>
        <w:t xml:space="preserve">ABN </w:t>
      </w:r>
      <w:r w:rsidRPr="00C65707">
        <w:rPr>
          <w:sz w:val="22"/>
          <w:szCs w:val="22"/>
        </w:rPr>
        <w:t>ispod 2</w:t>
      </w:r>
      <w:r w:rsidR="00A87BC7" w:rsidRPr="00C65707">
        <w:rPr>
          <w:sz w:val="22"/>
          <w:szCs w:val="22"/>
        </w:rPr>
        <w:t xml:space="preserve"> </w:t>
      </w:r>
      <w:r w:rsidRPr="00C65707">
        <w:rPr>
          <w:sz w:val="22"/>
          <w:szCs w:val="22"/>
        </w:rPr>
        <w:t>x 10</w:t>
      </w:r>
      <w:r w:rsidRPr="00C65707">
        <w:rPr>
          <w:sz w:val="22"/>
          <w:szCs w:val="22"/>
          <w:vertAlign w:val="superscript"/>
        </w:rPr>
        <w:t>9</w:t>
      </w:r>
      <w:r w:rsidRPr="00C65707">
        <w:rPr>
          <w:sz w:val="22"/>
          <w:szCs w:val="22"/>
        </w:rPr>
        <w:t>/l. Treba biti oprezan kada se razmišlja o uvođenju terapije kod pacijenata sa niskim brojem trombocita (broj trombocita ispod 100 x 10</w:t>
      </w:r>
      <w:r w:rsidRPr="00C65707">
        <w:rPr>
          <w:sz w:val="22"/>
          <w:szCs w:val="22"/>
          <w:vertAlign w:val="superscript"/>
        </w:rPr>
        <w:t>3</w:t>
      </w:r>
      <w:r w:rsidRPr="00C65707">
        <w:rPr>
          <w:sz w:val="22"/>
          <w:szCs w:val="22"/>
        </w:rPr>
        <w:t>/ µ</w:t>
      </w:r>
      <w:r w:rsidR="00397DA8">
        <w:rPr>
          <w:sz w:val="22"/>
          <w:szCs w:val="22"/>
        </w:rPr>
        <w:t>l</w:t>
      </w:r>
      <w:r w:rsidRPr="00C65707">
        <w:rPr>
          <w:sz w:val="22"/>
          <w:szCs w:val="22"/>
        </w:rPr>
        <w:t xml:space="preserve">). Nastavak terapije se ne preporučuje kod pacijenata koji razviju </w:t>
      </w:r>
      <w:r w:rsidR="00A87BC7" w:rsidRPr="00C65707">
        <w:rPr>
          <w:sz w:val="22"/>
          <w:szCs w:val="22"/>
        </w:rPr>
        <w:t xml:space="preserve">ABN </w:t>
      </w:r>
      <w:r w:rsidRPr="00C65707">
        <w:rPr>
          <w:sz w:val="22"/>
          <w:szCs w:val="22"/>
        </w:rPr>
        <w:t>&lt; 0.5 x 10</w:t>
      </w:r>
      <w:r w:rsidRPr="00C65707">
        <w:rPr>
          <w:sz w:val="22"/>
          <w:szCs w:val="22"/>
          <w:vertAlign w:val="superscript"/>
        </w:rPr>
        <w:t>9</w:t>
      </w:r>
      <w:r w:rsidRPr="00C65707">
        <w:rPr>
          <w:sz w:val="22"/>
          <w:szCs w:val="22"/>
        </w:rPr>
        <w:t xml:space="preserve">/ </w:t>
      </w:r>
      <w:r w:rsidR="00397DA8">
        <w:rPr>
          <w:sz w:val="22"/>
          <w:szCs w:val="22"/>
        </w:rPr>
        <w:t>l</w:t>
      </w:r>
      <w:r w:rsidRPr="00C65707">
        <w:rPr>
          <w:sz w:val="22"/>
          <w:szCs w:val="22"/>
        </w:rPr>
        <w:t xml:space="preserve"> ili broj trombocita &lt; 50 x 10</w:t>
      </w:r>
      <w:r w:rsidRPr="00C65707">
        <w:rPr>
          <w:sz w:val="22"/>
          <w:szCs w:val="22"/>
          <w:vertAlign w:val="superscript"/>
        </w:rPr>
        <w:t>3</w:t>
      </w:r>
      <w:r w:rsidRPr="00C65707">
        <w:rPr>
          <w:sz w:val="22"/>
          <w:szCs w:val="22"/>
        </w:rPr>
        <w:t>/ µl.</w:t>
      </w:r>
    </w:p>
    <w:p w14:paraId="3DA3CA29" w14:textId="77777777" w:rsidR="00C40F7C" w:rsidRPr="00C65707" w:rsidRDefault="00C40F7C">
      <w:pPr>
        <w:widowControl w:val="0"/>
        <w:jc w:val="both"/>
        <w:rPr>
          <w:sz w:val="22"/>
          <w:szCs w:val="22"/>
        </w:rPr>
      </w:pPr>
    </w:p>
    <w:p w14:paraId="4F8F6B39" w14:textId="223254AB" w:rsidR="00C40F7C" w:rsidRPr="00C65707" w:rsidRDefault="00C40F7C">
      <w:pPr>
        <w:widowControl w:val="0"/>
        <w:jc w:val="both"/>
        <w:rPr>
          <w:sz w:val="22"/>
          <w:szCs w:val="22"/>
        </w:rPr>
      </w:pPr>
      <w:r w:rsidRPr="00C65707">
        <w:rPr>
          <w:sz w:val="22"/>
          <w:szCs w:val="22"/>
        </w:rPr>
        <w:t xml:space="preserve">Teška neutropenija može biti povezana s povećanim rizikom od ozbiljnih infekcija, mada do sada nije bilo jasne povezanosti između smanjenja broja neutrofila i pojave ozbiljnih infekcija u kliničkim ispitivanjima </w:t>
      </w:r>
      <w:r w:rsidR="00A87BC7" w:rsidRPr="00C65707">
        <w:rPr>
          <w:sz w:val="22"/>
          <w:szCs w:val="22"/>
        </w:rPr>
        <w:t>tocilizumaba</w:t>
      </w:r>
      <w:r w:rsidRPr="00C65707">
        <w:rPr>
          <w:sz w:val="22"/>
          <w:szCs w:val="22"/>
        </w:rPr>
        <w:t>.</w:t>
      </w:r>
    </w:p>
    <w:p w14:paraId="4C114BDD" w14:textId="77777777" w:rsidR="00C40F7C" w:rsidRPr="00C65707" w:rsidRDefault="00C40F7C">
      <w:pPr>
        <w:pStyle w:val="Header"/>
        <w:widowControl w:val="0"/>
        <w:tabs>
          <w:tab w:val="left" w:pos="284"/>
        </w:tabs>
        <w:jc w:val="both"/>
        <w:rPr>
          <w:sz w:val="22"/>
          <w:szCs w:val="22"/>
        </w:rPr>
      </w:pPr>
    </w:p>
    <w:p w14:paraId="4E98352D" w14:textId="7FE6F591" w:rsidR="00C40F7C" w:rsidRPr="00C65707" w:rsidRDefault="00C40F7C">
      <w:pPr>
        <w:pStyle w:val="Header"/>
        <w:widowControl w:val="0"/>
        <w:tabs>
          <w:tab w:val="left" w:pos="284"/>
        </w:tabs>
        <w:jc w:val="both"/>
        <w:rPr>
          <w:sz w:val="22"/>
          <w:szCs w:val="22"/>
        </w:rPr>
      </w:pPr>
      <w:r w:rsidRPr="00C65707">
        <w:rPr>
          <w:sz w:val="22"/>
          <w:szCs w:val="22"/>
        </w:rPr>
        <w:t>Kod RA i GCA pacijenata, broj neutrofila i trombocita treba kontrolisati u intervalima od 4 do 8 nedjelja po započinjanju terapije, i potom u skladu sa standardnom kliničkom praksom. Za preporučene modifikacije doze na osnovu vrijednosti A</w:t>
      </w:r>
      <w:r w:rsidR="000A085D" w:rsidRPr="00C65707">
        <w:rPr>
          <w:sz w:val="22"/>
          <w:szCs w:val="22"/>
        </w:rPr>
        <w:t>BN</w:t>
      </w:r>
      <w:r w:rsidRPr="00C65707">
        <w:rPr>
          <w:sz w:val="22"/>
          <w:szCs w:val="22"/>
        </w:rPr>
        <w:t xml:space="preserve"> i trombocita, vidjeti dio 4.2.</w:t>
      </w:r>
    </w:p>
    <w:p w14:paraId="403CDBA9" w14:textId="77777777" w:rsidR="00C40F7C" w:rsidRPr="00C65707" w:rsidRDefault="00C40F7C">
      <w:pPr>
        <w:pStyle w:val="Header"/>
        <w:widowControl w:val="0"/>
        <w:tabs>
          <w:tab w:val="left" w:pos="284"/>
        </w:tabs>
        <w:jc w:val="both"/>
        <w:rPr>
          <w:sz w:val="22"/>
          <w:szCs w:val="22"/>
        </w:rPr>
      </w:pPr>
    </w:p>
    <w:p w14:paraId="79C3B3D7" w14:textId="7EB03C72" w:rsidR="00C40F7C" w:rsidRPr="00C65707" w:rsidRDefault="00C40F7C">
      <w:pPr>
        <w:widowControl w:val="0"/>
        <w:jc w:val="both"/>
        <w:rPr>
          <w:sz w:val="22"/>
          <w:szCs w:val="22"/>
          <w:lang w:eastAsia="ja-JP"/>
        </w:rPr>
      </w:pPr>
      <w:r w:rsidRPr="00C65707">
        <w:rPr>
          <w:sz w:val="22"/>
          <w:szCs w:val="22"/>
          <w:lang w:eastAsia="ja-JP"/>
        </w:rPr>
        <w:t xml:space="preserve">Kod pacijenata sa </w:t>
      </w:r>
      <w:r w:rsidR="00201868" w:rsidRPr="00C65707">
        <w:rPr>
          <w:sz w:val="22"/>
          <w:szCs w:val="22"/>
          <w:lang w:eastAsia="ja-JP"/>
        </w:rPr>
        <w:t xml:space="preserve">sJIA i </w:t>
      </w:r>
      <w:r w:rsidRPr="00C65707">
        <w:rPr>
          <w:sz w:val="22"/>
          <w:szCs w:val="22"/>
          <w:lang w:eastAsia="ja-JP"/>
        </w:rPr>
        <w:t>pJIA, vrijednosti neutrofila i trombocita treba pratiti tokom primjene druge doze</w:t>
      </w:r>
      <w:r w:rsidR="00397DA8">
        <w:rPr>
          <w:sz w:val="22"/>
          <w:szCs w:val="22"/>
          <w:lang w:eastAsia="ja-JP"/>
        </w:rPr>
        <w:t>,</w:t>
      </w:r>
      <w:r w:rsidRPr="00C65707">
        <w:rPr>
          <w:sz w:val="22"/>
          <w:szCs w:val="22"/>
          <w:lang w:eastAsia="ja-JP"/>
        </w:rPr>
        <w:t xml:space="preserve"> a nakon toga u skladu sa dobrom kliničkom praksom (videti </w:t>
      </w:r>
      <w:r w:rsidR="00107582" w:rsidRPr="00C65707">
        <w:rPr>
          <w:sz w:val="22"/>
          <w:szCs w:val="22"/>
          <w:lang w:eastAsia="ja-JP"/>
        </w:rPr>
        <w:t xml:space="preserve">dio </w:t>
      </w:r>
      <w:r w:rsidRPr="00C65707">
        <w:rPr>
          <w:sz w:val="22"/>
          <w:szCs w:val="22"/>
          <w:lang w:eastAsia="ja-JP"/>
        </w:rPr>
        <w:t>4.2).</w:t>
      </w:r>
    </w:p>
    <w:p w14:paraId="63D729F4" w14:textId="77777777" w:rsidR="00C40F7C" w:rsidRPr="00C65707" w:rsidRDefault="00C40F7C">
      <w:pPr>
        <w:pStyle w:val="Header"/>
        <w:widowControl w:val="0"/>
        <w:tabs>
          <w:tab w:val="left" w:pos="284"/>
        </w:tabs>
        <w:jc w:val="both"/>
        <w:rPr>
          <w:sz w:val="22"/>
          <w:szCs w:val="22"/>
        </w:rPr>
      </w:pPr>
    </w:p>
    <w:p w14:paraId="50715061" w14:textId="77777777" w:rsidR="00C40F7C" w:rsidRPr="00C65707" w:rsidRDefault="00C40F7C">
      <w:pPr>
        <w:pStyle w:val="Header"/>
        <w:widowControl w:val="0"/>
        <w:tabs>
          <w:tab w:val="left" w:pos="284"/>
        </w:tabs>
        <w:jc w:val="both"/>
        <w:rPr>
          <w:i/>
          <w:sz w:val="22"/>
          <w:szCs w:val="22"/>
        </w:rPr>
      </w:pPr>
      <w:r w:rsidRPr="00C65707">
        <w:rPr>
          <w:i/>
          <w:sz w:val="22"/>
          <w:szCs w:val="22"/>
        </w:rPr>
        <w:t>Parametri lipida</w:t>
      </w:r>
    </w:p>
    <w:p w14:paraId="262571CE" w14:textId="3C0638FD" w:rsidR="00C40F7C" w:rsidRPr="00C65707" w:rsidRDefault="00C40F7C">
      <w:pPr>
        <w:pStyle w:val="Header"/>
        <w:widowControl w:val="0"/>
        <w:tabs>
          <w:tab w:val="left" w:pos="284"/>
        </w:tabs>
        <w:jc w:val="both"/>
        <w:rPr>
          <w:sz w:val="22"/>
          <w:szCs w:val="22"/>
        </w:rPr>
      </w:pPr>
      <w:r w:rsidRPr="00C65707">
        <w:rPr>
          <w:sz w:val="22"/>
          <w:szCs w:val="22"/>
        </w:rPr>
        <w:t xml:space="preserve">Kod pacijenata </w:t>
      </w:r>
      <w:r w:rsidR="00201868" w:rsidRPr="00C65707">
        <w:rPr>
          <w:sz w:val="22"/>
          <w:szCs w:val="22"/>
        </w:rPr>
        <w:t>l</w:t>
      </w:r>
      <w:r w:rsidR="00B5021A" w:rsidRPr="00C65707">
        <w:rPr>
          <w:sz w:val="22"/>
          <w:szCs w:val="22"/>
        </w:rPr>
        <w:t>ij</w:t>
      </w:r>
      <w:r w:rsidR="00201868" w:rsidRPr="00C65707">
        <w:rPr>
          <w:sz w:val="22"/>
          <w:szCs w:val="22"/>
        </w:rPr>
        <w:t xml:space="preserve">ečenih </w:t>
      </w:r>
      <w:r w:rsidR="00A87BC7" w:rsidRPr="00C65707">
        <w:rPr>
          <w:sz w:val="22"/>
          <w:szCs w:val="22"/>
        </w:rPr>
        <w:t>tocilizumabom</w:t>
      </w:r>
      <w:r w:rsidR="00201868" w:rsidRPr="00C65707" w:rsidDel="00201868">
        <w:rPr>
          <w:sz w:val="22"/>
          <w:szCs w:val="22"/>
        </w:rPr>
        <w:t xml:space="preserve"> </w:t>
      </w:r>
      <w:r w:rsidRPr="00C65707">
        <w:rPr>
          <w:sz w:val="22"/>
          <w:szCs w:val="22"/>
        </w:rPr>
        <w:t xml:space="preserve">zabilježeno je povećanje parametara lipida uključujući povišeni </w:t>
      </w:r>
      <w:r w:rsidRPr="00C65707">
        <w:rPr>
          <w:sz w:val="22"/>
          <w:szCs w:val="22"/>
        </w:rPr>
        <w:lastRenderedPageBreak/>
        <w:t>ukupni holesterol, lipoproteine niske gustine (LDL), lipoproteine visoke gustine (HDL) i trigliceride (vidjeti dio 4.8). Kod većine bolesnika nije bilo povećanja indeksa aterogenosti, a povećani nivo ukupnog holesterola reagovao je na terapiju agensima za snižavanje lipida.</w:t>
      </w:r>
    </w:p>
    <w:p w14:paraId="058BBA24" w14:textId="77777777" w:rsidR="00C40F7C" w:rsidRPr="00C65707" w:rsidRDefault="00C40F7C">
      <w:pPr>
        <w:pStyle w:val="Header"/>
        <w:widowControl w:val="0"/>
        <w:tabs>
          <w:tab w:val="left" w:pos="284"/>
        </w:tabs>
        <w:jc w:val="both"/>
        <w:rPr>
          <w:sz w:val="22"/>
          <w:szCs w:val="22"/>
        </w:rPr>
      </w:pPr>
    </w:p>
    <w:p w14:paraId="5C70A36F" w14:textId="55C514A1" w:rsidR="00C40F7C" w:rsidRPr="00C65707" w:rsidRDefault="00C40F7C">
      <w:pPr>
        <w:pStyle w:val="Header"/>
        <w:widowControl w:val="0"/>
        <w:tabs>
          <w:tab w:val="left" w:pos="284"/>
        </w:tabs>
        <w:jc w:val="both"/>
        <w:rPr>
          <w:sz w:val="22"/>
          <w:szCs w:val="22"/>
        </w:rPr>
      </w:pPr>
      <w:r w:rsidRPr="00C65707">
        <w:rPr>
          <w:sz w:val="22"/>
          <w:szCs w:val="22"/>
        </w:rPr>
        <w:t>Kod svih pacijenata kontrolu parametara lipida treba raditi u intervalima od 4 do 8 nedjelja po uvođenju terapije. Pacijente treba zbrinjavati u skladu sa lokalnim smjernicama za korekciju hiperlipidemije.</w:t>
      </w:r>
    </w:p>
    <w:p w14:paraId="683AC78B" w14:textId="77777777" w:rsidR="00C40F7C" w:rsidRPr="00C65707" w:rsidRDefault="00C40F7C">
      <w:pPr>
        <w:pStyle w:val="Header"/>
        <w:widowControl w:val="0"/>
        <w:tabs>
          <w:tab w:val="left" w:pos="284"/>
        </w:tabs>
        <w:jc w:val="both"/>
        <w:rPr>
          <w:sz w:val="22"/>
          <w:szCs w:val="22"/>
        </w:rPr>
      </w:pPr>
    </w:p>
    <w:p w14:paraId="320600C1" w14:textId="77777777" w:rsidR="00C40F7C" w:rsidRPr="00C65707" w:rsidRDefault="00C40F7C">
      <w:pPr>
        <w:pStyle w:val="Header"/>
        <w:widowControl w:val="0"/>
        <w:tabs>
          <w:tab w:val="left" w:pos="284"/>
        </w:tabs>
        <w:jc w:val="both"/>
        <w:rPr>
          <w:i/>
          <w:sz w:val="22"/>
          <w:szCs w:val="22"/>
        </w:rPr>
      </w:pPr>
      <w:r w:rsidRPr="00C65707">
        <w:rPr>
          <w:i/>
          <w:sz w:val="22"/>
          <w:szCs w:val="22"/>
        </w:rPr>
        <w:t>Neurološki poremećaji</w:t>
      </w:r>
    </w:p>
    <w:p w14:paraId="2B57BD1D" w14:textId="04B552B6" w:rsidR="00C40F7C" w:rsidRPr="00C65707" w:rsidRDefault="00C40F7C">
      <w:pPr>
        <w:pStyle w:val="Header"/>
        <w:widowControl w:val="0"/>
        <w:tabs>
          <w:tab w:val="left" w:pos="284"/>
        </w:tabs>
        <w:jc w:val="both"/>
        <w:rPr>
          <w:sz w:val="22"/>
          <w:szCs w:val="22"/>
        </w:rPr>
      </w:pPr>
      <w:r w:rsidRPr="00C65707">
        <w:rPr>
          <w:sz w:val="22"/>
          <w:szCs w:val="22"/>
        </w:rPr>
        <w:t xml:space="preserve">Ljekari treba da pažljivo prate eventualnu pojavu simptoma koji mogu da ukažu na početak centralnih demijelinizirajućih poremećaja. U ovom trenutku nije poznat potencijal </w:t>
      </w:r>
      <w:r w:rsidR="00A87BC7" w:rsidRPr="00C65707">
        <w:rPr>
          <w:sz w:val="22"/>
          <w:szCs w:val="22"/>
        </w:rPr>
        <w:t>tocilizumaba</w:t>
      </w:r>
      <w:r w:rsidRPr="00C65707">
        <w:rPr>
          <w:sz w:val="22"/>
          <w:szCs w:val="22"/>
        </w:rPr>
        <w:t xml:space="preserve"> za demijelinizaciju centralnog nervnog sistema.</w:t>
      </w:r>
    </w:p>
    <w:p w14:paraId="5FFEC292" w14:textId="77777777" w:rsidR="00C40F7C" w:rsidRPr="00C65707" w:rsidRDefault="00C40F7C">
      <w:pPr>
        <w:pStyle w:val="Header"/>
        <w:widowControl w:val="0"/>
        <w:tabs>
          <w:tab w:val="left" w:pos="284"/>
        </w:tabs>
        <w:jc w:val="both"/>
        <w:rPr>
          <w:sz w:val="22"/>
          <w:szCs w:val="22"/>
        </w:rPr>
      </w:pPr>
    </w:p>
    <w:p w14:paraId="4B7B4E5A" w14:textId="77777777" w:rsidR="00C40F7C" w:rsidRPr="00C65707" w:rsidRDefault="00C40F7C">
      <w:pPr>
        <w:pStyle w:val="Header"/>
        <w:widowControl w:val="0"/>
        <w:tabs>
          <w:tab w:val="left" w:pos="284"/>
        </w:tabs>
        <w:jc w:val="both"/>
        <w:rPr>
          <w:i/>
          <w:sz w:val="22"/>
          <w:szCs w:val="22"/>
        </w:rPr>
      </w:pPr>
      <w:r w:rsidRPr="00C65707">
        <w:rPr>
          <w:i/>
          <w:sz w:val="22"/>
          <w:szCs w:val="22"/>
        </w:rPr>
        <w:t>Malignitet</w:t>
      </w:r>
    </w:p>
    <w:p w14:paraId="4A89A4FE" w14:textId="1AEBF8C5" w:rsidR="00A87BC7" w:rsidRPr="00CE5678" w:rsidRDefault="00045FBA" w:rsidP="00CE5678">
      <w:pPr>
        <w:widowControl w:val="0"/>
        <w:jc w:val="both"/>
        <w:rPr>
          <w:sz w:val="22"/>
          <w:szCs w:val="22"/>
        </w:rPr>
      </w:pPr>
      <w:r w:rsidRPr="00C65707">
        <w:rPr>
          <w:sz w:val="22"/>
          <w:szCs w:val="22"/>
        </w:rPr>
        <w:t>Kod pacijenata sa RA postoji</w:t>
      </w:r>
      <w:r w:rsidR="00C40F7C" w:rsidRPr="00C65707">
        <w:rPr>
          <w:sz w:val="22"/>
          <w:szCs w:val="22"/>
        </w:rPr>
        <w:t xml:space="preserve"> povećan rizik od maligniteta. Imunomodulatorni ljekovi mogu da povećaju rizik od pojave maligniteta.</w:t>
      </w:r>
      <w:r w:rsidR="00A87BC7" w:rsidRPr="00C65707">
        <w:rPr>
          <w:sz w:val="22"/>
          <w:szCs w:val="22"/>
        </w:rPr>
        <w:t xml:space="preserve"> Nema dovoljno kliničkih podataka da bi se mogla procijeniti potencijalna incidencija malignih bolesti nakon izlaganja tocilizumabu. Trenutno se sprovode ispitivanja sigurnosti dugoročne primjene</w:t>
      </w:r>
      <w:r w:rsidR="00A87BC7" w:rsidRPr="00CE5678">
        <w:rPr>
          <w:sz w:val="22"/>
          <w:szCs w:val="22"/>
        </w:rPr>
        <w:t>.</w:t>
      </w:r>
    </w:p>
    <w:p w14:paraId="7EF3C42E" w14:textId="77777777" w:rsidR="00A87BC7" w:rsidRPr="00C65707" w:rsidRDefault="00A87BC7">
      <w:pPr>
        <w:pStyle w:val="Header"/>
        <w:widowControl w:val="0"/>
        <w:tabs>
          <w:tab w:val="left" w:pos="284"/>
        </w:tabs>
        <w:jc w:val="both"/>
        <w:rPr>
          <w:sz w:val="22"/>
          <w:szCs w:val="22"/>
        </w:rPr>
      </w:pPr>
    </w:p>
    <w:p w14:paraId="13B290F0" w14:textId="77777777" w:rsidR="00C40F7C" w:rsidRPr="00C65707" w:rsidRDefault="00C40F7C">
      <w:pPr>
        <w:pStyle w:val="Header"/>
        <w:widowControl w:val="0"/>
        <w:tabs>
          <w:tab w:val="left" w:pos="284"/>
        </w:tabs>
        <w:jc w:val="both"/>
        <w:rPr>
          <w:i/>
          <w:sz w:val="22"/>
          <w:szCs w:val="22"/>
        </w:rPr>
      </w:pPr>
      <w:r w:rsidRPr="00C65707">
        <w:rPr>
          <w:i/>
          <w:sz w:val="22"/>
          <w:szCs w:val="22"/>
        </w:rPr>
        <w:t>Vakcinacije</w:t>
      </w:r>
    </w:p>
    <w:p w14:paraId="446F0AD9" w14:textId="7BDA8875" w:rsidR="00C40F7C" w:rsidRPr="00C65707" w:rsidRDefault="00C40F7C">
      <w:pPr>
        <w:pStyle w:val="BodyText"/>
        <w:widowControl w:val="0"/>
        <w:spacing w:after="0"/>
        <w:jc w:val="both"/>
        <w:rPr>
          <w:noProof w:val="0"/>
          <w:sz w:val="22"/>
          <w:szCs w:val="22"/>
        </w:rPr>
      </w:pPr>
      <w:r w:rsidRPr="00C65707">
        <w:rPr>
          <w:noProof w:val="0"/>
          <w:sz w:val="22"/>
          <w:szCs w:val="22"/>
        </w:rPr>
        <w:t xml:space="preserve">Sa </w:t>
      </w:r>
      <w:r w:rsidR="00A87BC7" w:rsidRPr="00C65707">
        <w:rPr>
          <w:noProof w:val="0"/>
          <w:sz w:val="22"/>
          <w:szCs w:val="22"/>
        </w:rPr>
        <w:t xml:space="preserve">ovim </w:t>
      </w:r>
      <w:r w:rsidRPr="00C65707">
        <w:rPr>
          <w:noProof w:val="0"/>
          <w:sz w:val="22"/>
          <w:szCs w:val="22"/>
        </w:rPr>
        <w:t xml:space="preserve">ljekom se ne smiju davati ni žive, ni </w:t>
      </w:r>
      <w:r w:rsidR="002467DE" w:rsidRPr="00C65707">
        <w:rPr>
          <w:noProof w:val="0"/>
          <w:sz w:val="22"/>
          <w:szCs w:val="22"/>
        </w:rPr>
        <w:t>atenuisane</w:t>
      </w:r>
      <w:r w:rsidRPr="00C65707">
        <w:rPr>
          <w:noProof w:val="0"/>
          <w:sz w:val="22"/>
          <w:szCs w:val="22"/>
        </w:rPr>
        <w:t xml:space="preserve"> vakcine, jer nije utvrđena klinička bezbjednost ove kombinacije. U randomiziranom otvorenom ispitivanju, odrasli pacijenti sa RA liječeni </w:t>
      </w:r>
      <w:r w:rsidR="00A87BC7" w:rsidRPr="00C65707">
        <w:rPr>
          <w:noProof w:val="0"/>
          <w:sz w:val="22"/>
          <w:szCs w:val="22"/>
        </w:rPr>
        <w:t>tocilizumabom</w:t>
      </w:r>
      <w:r w:rsidRPr="00C65707">
        <w:rPr>
          <w:noProof w:val="0"/>
          <w:sz w:val="22"/>
          <w:szCs w:val="22"/>
        </w:rPr>
        <w:t xml:space="preserve"> i MTX</w:t>
      </w:r>
      <w:r w:rsidRPr="00C65707">
        <w:rPr>
          <w:noProof w:val="0"/>
          <w:sz w:val="22"/>
          <w:szCs w:val="22"/>
        </w:rPr>
        <w:noBreakHyphen/>
        <w:t>om uspjeli su postići efikasana odgovor i na 23</w:t>
      </w:r>
      <w:r w:rsidRPr="00C65707">
        <w:rPr>
          <w:noProof w:val="0"/>
          <w:sz w:val="22"/>
          <w:szCs w:val="22"/>
        </w:rPr>
        <w:noBreakHyphen/>
        <w:t>valentnu pneumokoknu polisaharidnu vakcinu i na vakcinu koja sadrži toksoid tetanusa, koji je bio uporediv sa odgovorom primijećenim kod pacijenata liječenih samo MTX</w:t>
      </w:r>
      <w:r w:rsidRPr="00C65707">
        <w:rPr>
          <w:noProof w:val="0"/>
          <w:sz w:val="22"/>
          <w:szCs w:val="22"/>
        </w:rPr>
        <w:noBreakHyphen/>
        <w:t xml:space="preserve">om. Preporučuje se da svi pacijenti, naročito pedijatrijski ili stariji pacijenti, da prime sve vakcine predviđene programom obaveznih vakcinacija, a koje su u skladu sa vodičima o imunizaciji, prije započinjanja terapije. Interval između vakcinacije živim vakcinama i započinjanja terapije </w:t>
      </w:r>
      <w:r w:rsidR="00A87BC7" w:rsidRPr="00C65707">
        <w:rPr>
          <w:noProof w:val="0"/>
          <w:sz w:val="22"/>
          <w:szCs w:val="22"/>
        </w:rPr>
        <w:t xml:space="preserve">tocilizumabom </w:t>
      </w:r>
      <w:r w:rsidRPr="00C65707">
        <w:rPr>
          <w:noProof w:val="0"/>
          <w:sz w:val="22"/>
          <w:szCs w:val="22"/>
        </w:rPr>
        <w:t>treba da bude u skladu sa važećim vodičima za vakcinaciju u pogledu imunosupresivnih agenasa</w:t>
      </w:r>
    </w:p>
    <w:p w14:paraId="7300017E" w14:textId="77777777" w:rsidR="00C40F7C" w:rsidRPr="00C65707" w:rsidRDefault="00C40F7C">
      <w:pPr>
        <w:pStyle w:val="Header"/>
        <w:widowControl w:val="0"/>
        <w:tabs>
          <w:tab w:val="left" w:pos="284"/>
        </w:tabs>
        <w:jc w:val="both"/>
        <w:rPr>
          <w:sz w:val="22"/>
          <w:szCs w:val="22"/>
        </w:rPr>
      </w:pPr>
    </w:p>
    <w:p w14:paraId="624636BB" w14:textId="77777777" w:rsidR="00C40F7C" w:rsidRPr="00C65707" w:rsidRDefault="00C40F7C">
      <w:pPr>
        <w:pStyle w:val="Header"/>
        <w:widowControl w:val="0"/>
        <w:tabs>
          <w:tab w:val="left" w:pos="284"/>
        </w:tabs>
        <w:jc w:val="both"/>
        <w:rPr>
          <w:i/>
          <w:sz w:val="22"/>
          <w:szCs w:val="22"/>
        </w:rPr>
      </w:pPr>
      <w:r w:rsidRPr="00C65707">
        <w:rPr>
          <w:i/>
          <w:sz w:val="22"/>
          <w:szCs w:val="22"/>
        </w:rPr>
        <w:t>Kardiovaskularni rizik</w:t>
      </w:r>
    </w:p>
    <w:p w14:paraId="3AAE9CCB" w14:textId="7B24E30D" w:rsidR="00C40F7C" w:rsidRPr="00C65707" w:rsidRDefault="00C40F7C">
      <w:pPr>
        <w:pStyle w:val="Header"/>
        <w:widowControl w:val="0"/>
        <w:tabs>
          <w:tab w:val="left" w:pos="284"/>
        </w:tabs>
        <w:jc w:val="both"/>
        <w:rPr>
          <w:sz w:val="22"/>
          <w:szCs w:val="22"/>
        </w:rPr>
      </w:pPr>
      <w:r w:rsidRPr="00C65707">
        <w:rPr>
          <w:sz w:val="22"/>
          <w:szCs w:val="22"/>
        </w:rPr>
        <w:t>Pacijenti sa RA imaju povećani rizik za kardiovas</w:t>
      </w:r>
      <w:r w:rsidR="00045FBA" w:rsidRPr="00C65707">
        <w:rPr>
          <w:sz w:val="22"/>
          <w:szCs w:val="22"/>
        </w:rPr>
        <w:t>kularne poremećaje, i ti rizici</w:t>
      </w:r>
      <w:r w:rsidRPr="00C65707">
        <w:rPr>
          <w:sz w:val="22"/>
          <w:szCs w:val="22"/>
        </w:rPr>
        <w:t xml:space="preserve"> (npr. hipertenzija, hiperlipidemija) se</w:t>
      </w:r>
      <w:r w:rsidR="002467DE" w:rsidRPr="00C65707">
        <w:rPr>
          <w:sz w:val="22"/>
          <w:szCs w:val="22"/>
        </w:rPr>
        <w:t xml:space="preserve"> moraju</w:t>
      </w:r>
      <w:r w:rsidRPr="00C65707">
        <w:rPr>
          <w:sz w:val="22"/>
          <w:szCs w:val="22"/>
        </w:rPr>
        <w:t xml:space="preserve"> </w:t>
      </w:r>
      <w:r w:rsidR="002467DE" w:rsidRPr="00C65707">
        <w:rPr>
          <w:sz w:val="22"/>
          <w:szCs w:val="22"/>
        </w:rPr>
        <w:t xml:space="preserve">liječiti </w:t>
      </w:r>
      <w:r w:rsidRPr="00C65707">
        <w:rPr>
          <w:sz w:val="22"/>
          <w:szCs w:val="22"/>
        </w:rPr>
        <w:t>u skladu sa standardnim principima.</w:t>
      </w:r>
    </w:p>
    <w:p w14:paraId="57C1F10F" w14:textId="77777777" w:rsidR="00C40F7C" w:rsidRPr="00C65707" w:rsidRDefault="00C40F7C">
      <w:pPr>
        <w:pStyle w:val="Header"/>
        <w:widowControl w:val="0"/>
        <w:tabs>
          <w:tab w:val="left" w:pos="284"/>
        </w:tabs>
        <w:jc w:val="both"/>
        <w:rPr>
          <w:sz w:val="22"/>
          <w:szCs w:val="22"/>
        </w:rPr>
      </w:pPr>
    </w:p>
    <w:p w14:paraId="4649BA12" w14:textId="77777777" w:rsidR="00C40F7C" w:rsidRPr="00C65707" w:rsidRDefault="00C40F7C">
      <w:pPr>
        <w:pStyle w:val="Header"/>
        <w:widowControl w:val="0"/>
        <w:tabs>
          <w:tab w:val="left" w:pos="284"/>
        </w:tabs>
        <w:jc w:val="both"/>
        <w:rPr>
          <w:i/>
          <w:sz w:val="22"/>
          <w:szCs w:val="22"/>
        </w:rPr>
      </w:pPr>
      <w:r w:rsidRPr="00C65707">
        <w:rPr>
          <w:i/>
          <w:sz w:val="22"/>
          <w:szCs w:val="22"/>
        </w:rPr>
        <w:t xml:space="preserve">Kombinacija sa antagonistima TNF </w:t>
      </w:r>
    </w:p>
    <w:p w14:paraId="775995C0" w14:textId="77777777" w:rsidR="009759B0" w:rsidRPr="00C65707" w:rsidRDefault="00C40F7C">
      <w:pPr>
        <w:pStyle w:val="Header"/>
        <w:widowControl w:val="0"/>
        <w:tabs>
          <w:tab w:val="left" w:pos="284"/>
        </w:tabs>
        <w:jc w:val="both"/>
        <w:rPr>
          <w:sz w:val="22"/>
          <w:szCs w:val="22"/>
        </w:rPr>
      </w:pPr>
      <w:r w:rsidRPr="00C65707">
        <w:rPr>
          <w:sz w:val="22"/>
          <w:szCs w:val="22"/>
        </w:rPr>
        <w:t xml:space="preserve">Nema iskustava sa upotrebom </w:t>
      </w:r>
      <w:r w:rsidR="00A87BC7" w:rsidRPr="00C65707">
        <w:rPr>
          <w:sz w:val="22"/>
          <w:szCs w:val="22"/>
        </w:rPr>
        <w:t>tocilizumaba</w:t>
      </w:r>
      <w:r w:rsidRPr="00C65707">
        <w:rPr>
          <w:sz w:val="22"/>
          <w:szCs w:val="22"/>
        </w:rPr>
        <w:t xml:space="preserve"> uz antagoniste TNF ili druge biološke terapije za RA. Ne preporučuje </w:t>
      </w:r>
      <w:r w:rsidR="00045FBA" w:rsidRPr="00C65707">
        <w:rPr>
          <w:sz w:val="22"/>
          <w:szCs w:val="22"/>
        </w:rPr>
        <w:t xml:space="preserve">se davanje </w:t>
      </w:r>
      <w:r w:rsidR="00A87BC7" w:rsidRPr="00C65707">
        <w:rPr>
          <w:sz w:val="22"/>
          <w:szCs w:val="22"/>
        </w:rPr>
        <w:t xml:space="preserve">ovog </w:t>
      </w:r>
      <w:r w:rsidR="00045FBA" w:rsidRPr="00C65707">
        <w:rPr>
          <w:sz w:val="22"/>
          <w:szCs w:val="22"/>
        </w:rPr>
        <w:t xml:space="preserve">lijekauz </w:t>
      </w:r>
      <w:r w:rsidRPr="00C65707">
        <w:rPr>
          <w:sz w:val="22"/>
          <w:szCs w:val="22"/>
        </w:rPr>
        <w:t>druge biološke agense.</w:t>
      </w:r>
    </w:p>
    <w:p w14:paraId="7B1A42AD" w14:textId="7E4415FA" w:rsidR="009759B0" w:rsidRPr="00C65707" w:rsidRDefault="009759B0">
      <w:pPr>
        <w:pStyle w:val="Header"/>
        <w:widowControl w:val="0"/>
        <w:tabs>
          <w:tab w:val="left" w:pos="284"/>
        </w:tabs>
        <w:jc w:val="both"/>
        <w:rPr>
          <w:sz w:val="22"/>
          <w:szCs w:val="22"/>
        </w:rPr>
      </w:pPr>
    </w:p>
    <w:p w14:paraId="2BBF0413" w14:textId="77777777" w:rsidR="00A87BC7" w:rsidRPr="00C65707" w:rsidRDefault="00A87BC7" w:rsidP="00CE5678">
      <w:pPr>
        <w:widowControl w:val="0"/>
        <w:jc w:val="both"/>
        <w:rPr>
          <w:i/>
          <w:sz w:val="22"/>
          <w:szCs w:val="22"/>
        </w:rPr>
      </w:pPr>
      <w:r w:rsidRPr="00C65707">
        <w:rPr>
          <w:i/>
          <w:sz w:val="22"/>
          <w:szCs w:val="22"/>
        </w:rPr>
        <w:t>Polisorbat</w:t>
      </w:r>
    </w:p>
    <w:p w14:paraId="5A0C0D1D" w14:textId="4FD540D4" w:rsidR="00A87BC7" w:rsidRPr="00C65707" w:rsidRDefault="00A87BC7" w:rsidP="00CE5678">
      <w:pPr>
        <w:widowControl w:val="0"/>
        <w:jc w:val="both"/>
        <w:rPr>
          <w:sz w:val="22"/>
          <w:szCs w:val="22"/>
        </w:rPr>
      </w:pPr>
      <w:r w:rsidRPr="00C65707">
        <w:rPr>
          <w:sz w:val="22"/>
          <w:szCs w:val="22"/>
        </w:rPr>
        <w:t xml:space="preserve">Ovaj lijek sadrži 0,18 mg polisorbata 80 u jednom injekcionom špricu od 162 mg/0,9 ml, što odgovara </w:t>
      </w:r>
      <w:r w:rsidR="002467DE" w:rsidRPr="00C65707">
        <w:rPr>
          <w:sz w:val="22"/>
          <w:szCs w:val="22"/>
        </w:rPr>
        <w:t>koncentraciji</w:t>
      </w:r>
      <w:r w:rsidR="00D94DA6" w:rsidRPr="00C65707">
        <w:rPr>
          <w:sz w:val="22"/>
          <w:szCs w:val="22"/>
        </w:rPr>
        <w:t>i</w:t>
      </w:r>
      <w:r w:rsidRPr="00C65707">
        <w:rPr>
          <w:sz w:val="22"/>
          <w:szCs w:val="22"/>
        </w:rPr>
        <w:t xml:space="preserve"> od 0,2 mg/ml. Polisorbati mogu uzrokovati alergijske reakcije. </w:t>
      </w:r>
      <w:r w:rsidRPr="00C65707">
        <w:rPr>
          <w:sz w:val="22"/>
          <w:szCs w:val="22"/>
          <w:lang w:eastAsia="ja-JP"/>
        </w:rPr>
        <w:t>Treba uzeti u obzir poznate alergije pacijenata.</w:t>
      </w:r>
    </w:p>
    <w:p w14:paraId="213FF21D" w14:textId="77777777" w:rsidR="00C40F7C" w:rsidRPr="00C65707" w:rsidRDefault="00C40F7C" w:rsidP="00C65707">
      <w:pPr>
        <w:pStyle w:val="Header"/>
        <w:widowControl w:val="0"/>
        <w:tabs>
          <w:tab w:val="left" w:pos="284"/>
        </w:tabs>
        <w:jc w:val="both"/>
        <w:rPr>
          <w:sz w:val="22"/>
          <w:szCs w:val="22"/>
        </w:rPr>
      </w:pPr>
    </w:p>
    <w:p w14:paraId="2D380094" w14:textId="77777777" w:rsidR="00C40F7C" w:rsidRPr="00C65707" w:rsidRDefault="00C40F7C" w:rsidP="002B3647">
      <w:pPr>
        <w:pStyle w:val="Header"/>
        <w:widowControl w:val="0"/>
        <w:tabs>
          <w:tab w:val="left" w:pos="284"/>
        </w:tabs>
        <w:jc w:val="both"/>
        <w:rPr>
          <w:i/>
          <w:sz w:val="22"/>
          <w:szCs w:val="22"/>
        </w:rPr>
      </w:pPr>
      <w:r w:rsidRPr="00C65707">
        <w:rPr>
          <w:i/>
          <w:sz w:val="22"/>
          <w:szCs w:val="22"/>
        </w:rPr>
        <w:t>GCA</w:t>
      </w:r>
    </w:p>
    <w:p w14:paraId="587AF087" w14:textId="7B5AA8A3" w:rsidR="00C40F7C" w:rsidRPr="00C65707" w:rsidRDefault="00A87BC7">
      <w:pPr>
        <w:pStyle w:val="Header"/>
        <w:widowControl w:val="0"/>
        <w:tabs>
          <w:tab w:val="left" w:pos="284"/>
        </w:tabs>
        <w:jc w:val="both"/>
        <w:rPr>
          <w:sz w:val="22"/>
          <w:szCs w:val="22"/>
        </w:rPr>
      </w:pPr>
      <w:r w:rsidRPr="00C65707">
        <w:rPr>
          <w:sz w:val="22"/>
          <w:szCs w:val="22"/>
        </w:rPr>
        <w:t xml:space="preserve">Tocilizumab </w:t>
      </w:r>
      <w:r w:rsidR="00C40F7C" w:rsidRPr="00C65707">
        <w:rPr>
          <w:sz w:val="22"/>
          <w:szCs w:val="22"/>
        </w:rPr>
        <w:t>se ne smije primjenjivati u monoterapiji za liječenje akutnih relapsa</w:t>
      </w:r>
      <w:r w:rsidRPr="00C65707">
        <w:rPr>
          <w:sz w:val="22"/>
          <w:szCs w:val="22"/>
        </w:rPr>
        <w:t>,</w:t>
      </w:r>
      <w:r w:rsidR="00C40F7C" w:rsidRPr="00C65707">
        <w:rPr>
          <w:sz w:val="22"/>
          <w:szCs w:val="22"/>
        </w:rPr>
        <w:t xml:space="preserve"> jer nije utvrđena efikasnost u tim uslovima. Glukokortikoide treba primjenjivati u skladu sa procjenom ljekara i smjernicama za kliničku praksu.</w:t>
      </w:r>
    </w:p>
    <w:p w14:paraId="7F6A3ECF" w14:textId="77777777" w:rsidR="00201868" w:rsidRPr="00C65707" w:rsidRDefault="00201868">
      <w:pPr>
        <w:pStyle w:val="Header"/>
        <w:widowControl w:val="0"/>
        <w:tabs>
          <w:tab w:val="left" w:pos="284"/>
        </w:tabs>
        <w:jc w:val="both"/>
        <w:rPr>
          <w:sz w:val="22"/>
          <w:szCs w:val="22"/>
        </w:rPr>
      </w:pPr>
    </w:p>
    <w:p w14:paraId="29F88E40" w14:textId="77777777" w:rsidR="00201868" w:rsidRPr="00C65707" w:rsidRDefault="00201868">
      <w:pPr>
        <w:pStyle w:val="Header"/>
        <w:widowControl w:val="0"/>
        <w:tabs>
          <w:tab w:val="left" w:pos="284"/>
        </w:tabs>
        <w:jc w:val="both"/>
        <w:rPr>
          <w:i/>
          <w:iCs/>
          <w:sz w:val="22"/>
          <w:szCs w:val="22"/>
        </w:rPr>
      </w:pPr>
      <w:r w:rsidRPr="00C65707">
        <w:rPr>
          <w:i/>
          <w:iCs/>
          <w:sz w:val="22"/>
          <w:szCs w:val="22"/>
        </w:rPr>
        <w:t xml:space="preserve">sJIA </w:t>
      </w:r>
    </w:p>
    <w:p w14:paraId="3F75FB40" w14:textId="274B1A5D" w:rsidR="00201868" w:rsidRPr="00C65707" w:rsidRDefault="00201868">
      <w:pPr>
        <w:pStyle w:val="Header"/>
        <w:widowControl w:val="0"/>
        <w:tabs>
          <w:tab w:val="left" w:pos="284"/>
        </w:tabs>
        <w:jc w:val="both"/>
        <w:rPr>
          <w:sz w:val="22"/>
          <w:szCs w:val="22"/>
        </w:rPr>
      </w:pPr>
      <w:r w:rsidRPr="00C65707">
        <w:rPr>
          <w:sz w:val="22"/>
          <w:szCs w:val="22"/>
        </w:rPr>
        <w:t>Sindrom aktivacije makrofaga (</w:t>
      </w:r>
      <w:r w:rsidRPr="00C65707">
        <w:rPr>
          <w:i/>
          <w:iCs/>
          <w:sz w:val="22"/>
          <w:szCs w:val="22"/>
        </w:rPr>
        <w:t>engl. macrophage activation syndrome, MAS</w:t>
      </w:r>
      <w:r w:rsidRPr="00C65707">
        <w:rPr>
          <w:sz w:val="22"/>
          <w:szCs w:val="22"/>
        </w:rPr>
        <w:t xml:space="preserve">) je ozbiljan, po život opasan poremećaj koji se može razviti kod pacijentata sa sJIA. U kliničkim studijama, </w:t>
      </w:r>
      <w:r w:rsidR="00A87BC7" w:rsidRPr="00C65707">
        <w:rPr>
          <w:sz w:val="22"/>
          <w:szCs w:val="22"/>
        </w:rPr>
        <w:t>tocilizumab</w:t>
      </w:r>
      <w:r w:rsidRPr="00C65707">
        <w:rPr>
          <w:sz w:val="22"/>
          <w:szCs w:val="22"/>
        </w:rPr>
        <w:t xml:space="preserve"> nije ispitivan kod pacijenata tokom episode aktivnog MAS</w:t>
      </w:r>
      <w:r w:rsidR="00633F4E" w:rsidRPr="00C65707">
        <w:rPr>
          <w:sz w:val="22"/>
          <w:szCs w:val="22"/>
        </w:rPr>
        <w:t>-a</w:t>
      </w:r>
      <w:r w:rsidRPr="00C65707">
        <w:rPr>
          <w:sz w:val="22"/>
          <w:szCs w:val="22"/>
        </w:rPr>
        <w:t>.</w:t>
      </w:r>
    </w:p>
    <w:p w14:paraId="2C34A376" w14:textId="77777777" w:rsidR="00C40F7C" w:rsidRPr="00C65707" w:rsidRDefault="00C40F7C">
      <w:pPr>
        <w:widowControl w:val="0"/>
        <w:tabs>
          <w:tab w:val="left" w:pos="540"/>
          <w:tab w:val="left" w:pos="569"/>
        </w:tabs>
        <w:jc w:val="both"/>
        <w:rPr>
          <w:b/>
          <w:bCs/>
          <w:sz w:val="22"/>
          <w:szCs w:val="22"/>
        </w:rPr>
      </w:pPr>
    </w:p>
    <w:p w14:paraId="7A6FBE34" w14:textId="77777777" w:rsidR="00411B4B" w:rsidRPr="00C65707" w:rsidRDefault="00411B4B">
      <w:pPr>
        <w:widowControl w:val="0"/>
        <w:tabs>
          <w:tab w:val="left" w:pos="540"/>
          <w:tab w:val="left" w:pos="569"/>
        </w:tabs>
        <w:jc w:val="both"/>
        <w:rPr>
          <w:b/>
          <w:bCs/>
          <w:sz w:val="22"/>
          <w:szCs w:val="22"/>
        </w:rPr>
      </w:pPr>
      <w:r w:rsidRPr="00C65707">
        <w:rPr>
          <w:b/>
          <w:bCs/>
          <w:sz w:val="22"/>
          <w:szCs w:val="22"/>
        </w:rPr>
        <w:t>4.5.</w:t>
      </w:r>
      <w:r w:rsidR="000D60CC" w:rsidRPr="00C65707">
        <w:rPr>
          <w:b/>
          <w:bCs/>
          <w:sz w:val="22"/>
          <w:szCs w:val="22"/>
        </w:rPr>
        <w:tab/>
      </w:r>
      <w:r w:rsidRPr="00C65707">
        <w:rPr>
          <w:b/>
          <w:bCs/>
          <w:sz w:val="22"/>
          <w:szCs w:val="22"/>
        </w:rPr>
        <w:t>Interakcije sa drugim ljekovima i druge vrste interakcija</w:t>
      </w:r>
    </w:p>
    <w:p w14:paraId="2BE0D704" w14:textId="77777777" w:rsidR="00C40F7C" w:rsidRPr="00C65707" w:rsidRDefault="00C40F7C">
      <w:pPr>
        <w:widowControl w:val="0"/>
        <w:tabs>
          <w:tab w:val="left" w:pos="540"/>
          <w:tab w:val="left" w:pos="569"/>
        </w:tabs>
        <w:jc w:val="both"/>
        <w:rPr>
          <w:b/>
          <w:bCs/>
          <w:sz w:val="22"/>
          <w:szCs w:val="22"/>
        </w:rPr>
      </w:pPr>
    </w:p>
    <w:p w14:paraId="6BA56D52" w14:textId="77777777" w:rsidR="00C40F7C" w:rsidRPr="00C65707" w:rsidRDefault="00C40F7C">
      <w:pPr>
        <w:pStyle w:val="Header"/>
        <w:widowControl w:val="0"/>
        <w:tabs>
          <w:tab w:val="left" w:pos="284"/>
        </w:tabs>
        <w:jc w:val="both"/>
        <w:rPr>
          <w:sz w:val="22"/>
          <w:szCs w:val="22"/>
        </w:rPr>
      </w:pPr>
      <w:r w:rsidRPr="00C65707">
        <w:rPr>
          <w:sz w:val="22"/>
          <w:szCs w:val="22"/>
        </w:rPr>
        <w:t>Interakcijska ispitivan</w:t>
      </w:r>
      <w:r w:rsidR="00045FBA" w:rsidRPr="00C65707">
        <w:rPr>
          <w:sz w:val="22"/>
          <w:szCs w:val="22"/>
        </w:rPr>
        <w:t xml:space="preserve">ja su rađena samo kod odraslih </w:t>
      </w:r>
      <w:r w:rsidRPr="00C65707">
        <w:rPr>
          <w:sz w:val="22"/>
          <w:szCs w:val="22"/>
        </w:rPr>
        <w:t>osoba.</w:t>
      </w:r>
    </w:p>
    <w:p w14:paraId="445FDDD2" w14:textId="77777777" w:rsidR="00C40F7C" w:rsidRPr="00C65707" w:rsidRDefault="00C40F7C">
      <w:pPr>
        <w:pStyle w:val="Header"/>
        <w:widowControl w:val="0"/>
        <w:tabs>
          <w:tab w:val="left" w:pos="284"/>
        </w:tabs>
        <w:jc w:val="both"/>
        <w:rPr>
          <w:sz w:val="22"/>
          <w:szCs w:val="22"/>
        </w:rPr>
      </w:pPr>
    </w:p>
    <w:p w14:paraId="2CCDA505" w14:textId="26EFDE22" w:rsidR="00C40F7C" w:rsidRPr="00C65707" w:rsidRDefault="00C40F7C">
      <w:pPr>
        <w:pStyle w:val="Header"/>
        <w:widowControl w:val="0"/>
        <w:tabs>
          <w:tab w:val="left" w:pos="284"/>
        </w:tabs>
        <w:jc w:val="both"/>
        <w:rPr>
          <w:sz w:val="22"/>
          <w:szCs w:val="22"/>
        </w:rPr>
      </w:pPr>
      <w:r w:rsidRPr="00C65707">
        <w:rPr>
          <w:sz w:val="22"/>
          <w:szCs w:val="22"/>
        </w:rPr>
        <w:t xml:space="preserve">Istovremeno davanje pojedinačne doze od 10 mg/kg </w:t>
      </w:r>
      <w:r w:rsidR="00A87BC7" w:rsidRPr="00C65707">
        <w:rPr>
          <w:sz w:val="22"/>
          <w:szCs w:val="22"/>
        </w:rPr>
        <w:t>tocilizumaba</w:t>
      </w:r>
      <w:r w:rsidRPr="00C65707">
        <w:rPr>
          <w:sz w:val="22"/>
          <w:szCs w:val="22"/>
        </w:rPr>
        <w:t xml:space="preserve"> sa 10-25 mg MTX</w:t>
      </w:r>
      <w:r w:rsidR="00853F74" w:rsidRPr="00C65707">
        <w:rPr>
          <w:sz w:val="22"/>
          <w:szCs w:val="22"/>
        </w:rPr>
        <w:t>-a</w:t>
      </w:r>
      <w:r w:rsidRPr="00C65707">
        <w:rPr>
          <w:sz w:val="22"/>
          <w:szCs w:val="22"/>
        </w:rPr>
        <w:t xml:space="preserve"> jednom nedjeljno nema klinički značajnog dejstva na izlaganje MTX</w:t>
      </w:r>
      <w:r w:rsidR="00853F74" w:rsidRPr="00C65707">
        <w:rPr>
          <w:sz w:val="22"/>
          <w:szCs w:val="22"/>
        </w:rPr>
        <w:t>-u</w:t>
      </w:r>
      <w:r w:rsidRPr="00C65707">
        <w:rPr>
          <w:sz w:val="22"/>
          <w:szCs w:val="22"/>
        </w:rPr>
        <w:t>.</w:t>
      </w:r>
    </w:p>
    <w:p w14:paraId="68408196" w14:textId="77777777" w:rsidR="00C40F7C" w:rsidRPr="00C65707" w:rsidRDefault="00C40F7C">
      <w:pPr>
        <w:pStyle w:val="Header"/>
        <w:widowControl w:val="0"/>
        <w:tabs>
          <w:tab w:val="left" w:pos="284"/>
        </w:tabs>
        <w:jc w:val="both"/>
        <w:rPr>
          <w:sz w:val="22"/>
          <w:szCs w:val="22"/>
        </w:rPr>
      </w:pPr>
    </w:p>
    <w:p w14:paraId="0DB8505B" w14:textId="3EA073E6" w:rsidR="00C40F7C" w:rsidRPr="00C65707" w:rsidRDefault="00C40F7C">
      <w:pPr>
        <w:widowControl w:val="0"/>
        <w:jc w:val="both"/>
        <w:rPr>
          <w:sz w:val="22"/>
          <w:szCs w:val="22"/>
        </w:rPr>
      </w:pPr>
      <w:r w:rsidRPr="00C65707">
        <w:rPr>
          <w:sz w:val="22"/>
          <w:szCs w:val="22"/>
        </w:rPr>
        <w:t>Anal</w:t>
      </w:r>
      <w:r w:rsidR="00045FBA" w:rsidRPr="00C65707">
        <w:rPr>
          <w:sz w:val="22"/>
          <w:szCs w:val="22"/>
        </w:rPr>
        <w:t>ize populacione farmakokinetike</w:t>
      </w:r>
      <w:r w:rsidRPr="00C65707">
        <w:rPr>
          <w:sz w:val="22"/>
          <w:szCs w:val="22"/>
        </w:rPr>
        <w:t xml:space="preserve"> ni</w:t>
      </w:r>
      <w:r w:rsidR="000A085D" w:rsidRPr="00C65707">
        <w:rPr>
          <w:sz w:val="22"/>
          <w:szCs w:val="22"/>
        </w:rPr>
        <w:t>je</w:t>
      </w:r>
      <w:r w:rsidRPr="00C65707">
        <w:rPr>
          <w:sz w:val="22"/>
          <w:szCs w:val="22"/>
        </w:rPr>
        <w:t>su otkrile nikakvo dejstvo MTX</w:t>
      </w:r>
      <w:r w:rsidR="00853F74" w:rsidRPr="00C65707">
        <w:rPr>
          <w:sz w:val="22"/>
          <w:szCs w:val="22"/>
        </w:rPr>
        <w:t>-a</w:t>
      </w:r>
      <w:r w:rsidRPr="00C65707">
        <w:rPr>
          <w:sz w:val="22"/>
          <w:szCs w:val="22"/>
        </w:rPr>
        <w:t xml:space="preserve">, nesteroidnih antiinflamatornih ljekova (NSAIL) ili kortikosteroida na klirens </w:t>
      </w:r>
      <w:r w:rsidR="00853F74" w:rsidRPr="00C65707">
        <w:rPr>
          <w:sz w:val="22"/>
          <w:szCs w:val="22"/>
        </w:rPr>
        <w:t>tocilizumaba</w:t>
      </w:r>
      <w:r w:rsidRPr="00C65707">
        <w:rPr>
          <w:sz w:val="22"/>
          <w:szCs w:val="22"/>
        </w:rPr>
        <w:t xml:space="preserve"> kod pacijenata sa RA. Kod pacijenata sa GCA nije zapažen nikakav efekat kumulativne doze kortikosteroida na izloženost </w:t>
      </w:r>
      <w:r w:rsidR="00853F74" w:rsidRPr="00C65707">
        <w:rPr>
          <w:sz w:val="22"/>
          <w:szCs w:val="22"/>
        </w:rPr>
        <w:t>tocilizumabu</w:t>
      </w:r>
      <w:r w:rsidRPr="00C65707">
        <w:rPr>
          <w:sz w:val="22"/>
          <w:szCs w:val="22"/>
        </w:rPr>
        <w:t>.</w:t>
      </w:r>
    </w:p>
    <w:p w14:paraId="72EF6602" w14:textId="77777777" w:rsidR="00C40F7C" w:rsidRPr="00C65707" w:rsidRDefault="00CC2B31">
      <w:pPr>
        <w:pStyle w:val="Header"/>
        <w:widowControl w:val="0"/>
        <w:tabs>
          <w:tab w:val="left" w:pos="284"/>
        </w:tabs>
        <w:jc w:val="both"/>
        <w:rPr>
          <w:sz w:val="22"/>
          <w:szCs w:val="22"/>
        </w:rPr>
      </w:pPr>
      <w:r w:rsidRPr="00C65707">
        <w:rPr>
          <w:sz w:val="22"/>
          <w:szCs w:val="22"/>
        </w:rPr>
        <w:t xml:space="preserve"> </w:t>
      </w:r>
    </w:p>
    <w:p w14:paraId="65294858" w14:textId="6768D0CD" w:rsidR="00C40F7C" w:rsidRPr="00C65707" w:rsidRDefault="00C40F7C">
      <w:pPr>
        <w:pStyle w:val="Header"/>
        <w:widowControl w:val="0"/>
        <w:tabs>
          <w:tab w:val="left" w:pos="284"/>
        </w:tabs>
        <w:jc w:val="both"/>
        <w:rPr>
          <w:sz w:val="22"/>
          <w:szCs w:val="22"/>
        </w:rPr>
      </w:pPr>
      <w:r w:rsidRPr="00C65707">
        <w:rPr>
          <w:sz w:val="22"/>
          <w:szCs w:val="22"/>
        </w:rPr>
        <w:t>Citokini, kao što je IL</w:t>
      </w:r>
      <w:r w:rsidRPr="00C65707">
        <w:rPr>
          <w:sz w:val="22"/>
          <w:szCs w:val="22"/>
        </w:rPr>
        <w:noBreakHyphen/>
        <w:t>6 koji stimulišu hroničnu inflamaciju, suprimiraju ekspresiju hepatičkih CYP450 enzima. Prema tome, terapija koja snažno</w:t>
      </w:r>
      <w:r w:rsidR="00045FBA" w:rsidRPr="00C65707">
        <w:rPr>
          <w:sz w:val="22"/>
          <w:szCs w:val="22"/>
        </w:rPr>
        <w:t xml:space="preserve"> inhibira citokine, kao što je </w:t>
      </w:r>
      <w:bookmarkStart w:id="0" w:name="_Hlk191374211"/>
      <w:r w:rsidR="00853F74" w:rsidRPr="00C65707">
        <w:rPr>
          <w:sz w:val="22"/>
          <w:szCs w:val="22"/>
        </w:rPr>
        <w:t>tocilizumab</w:t>
      </w:r>
      <w:bookmarkEnd w:id="0"/>
      <w:r w:rsidRPr="00C65707">
        <w:rPr>
          <w:sz w:val="22"/>
          <w:szCs w:val="22"/>
        </w:rPr>
        <w:t>, može da pojača ekspresiju CYP450.</w:t>
      </w:r>
    </w:p>
    <w:p w14:paraId="7BC94E47" w14:textId="77777777" w:rsidR="00C40F7C" w:rsidRPr="00C65707" w:rsidRDefault="00C40F7C">
      <w:pPr>
        <w:pStyle w:val="Header"/>
        <w:widowControl w:val="0"/>
        <w:tabs>
          <w:tab w:val="left" w:pos="284"/>
        </w:tabs>
        <w:jc w:val="both"/>
        <w:rPr>
          <w:sz w:val="22"/>
          <w:szCs w:val="22"/>
        </w:rPr>
      </w:pPr>
    </w:p>
    <w:p w14:paraId="74CCF2B9" w14:textId="6F0BC908" w:rsidR="00C40F7C" w:rsidRPr="00C65707" w:rsidRDefault="00C40F7C">
      <w:pPr>
        <w:pStyle w:val="Header"/>
        <w:widowControl w:val="0"/>
        <w:tabs>
          <w:tab w:val="left" w:pos="284"/>
        </w:tabs>
        <w:jc w:val="both"/>
        <w:rPr>
          <w:sz w:val="22"/>
          <w:szCs w:val="22"/>
        </w:rPr>
      </w:pPr>
      <w:r w:rsidRPr="00C65707">
        <w:rPr>
          <w:i/>
          <w:sz w:val="22"/>
          <w:szCs w:val="22"/>
        </w:rPr>
        <w:t xml:space="preserve">In vitro </w:t>
      </w:r>
      <w:r w:rsidRPr="00C65707">
        <w:rPr>
          <w:sz w:val="22"/>
          <w:szCs w:val="22"/>
        </w:rPr>
        <w:t xml:space="preserve">ispitivanja humanih hepatocita pokazala su da IL-6 dovodi do smanjenja ekspresije enzima CYP1A2, CYP2C9, CYP2C19 i CYP3A4. </w:t>
      </w:r>
      <w:r w:rsidR="00853F74" w:rsidRPr="00C65707">
        <w:rPr>
          <w:sz w:val="22"/>
          <w:szCs w:val="22"/>
        </w:rPr>
        <w:t>Tocilizumab</w:t>
      </w:r>
      <w:r w:rsidRPr="00C65707">
        <w:rPr>
          <w:sz w:val="22"/>
          <w:szCs w:val="22"/>
        </w:rPr>
        <w:t xml:space="preserve"> normalizuje ekspresiju ovih enzima.</w:t>
      </w:r>
    </w:p>
    <w:p w14:paraId="7588AA00" w14:textId="77777777" w:rsidR="00C40F7C" w:rsidRPr="00C65707" w:rsidRDefault="00C40F7C">
      <w:pPr>
        <w:pStyle w:val="Header"/>
        <w:widowControl w:val="0"/>
        <w:tabs>
          <w:tab w:val="left" w:pos="284"/>
        </w:tabs>
        <w:jc w:val="both"/>
        <w:rPr>
          <w:sz w:val="22"/>
          <w:szCs w:val="22"/>
        </w:rPr>
      </w:pPr>
    </w:p>
    <w:p w14:paraId="16EEB983" w14:textId="77777777" w:rsidR="00C40F7C" w:rsidRPr="00C65707" w:rsidRDefault="00C40F7C">
      <w:pPr>
        <w:widowControl w:val="0"/>
        <w:jc w:val="both"/>
        <w:rPr>
          <w:sz w:val="22"/>
          <w:szCs w:val="22"/>
        </w:rPr>
      </w:pPr>
      <w:r w:rsidRPr="00C65707">
        <w:rPr>
          <w:sz w:val="22"/>
          <w:szCs w:val="22"/>
        </w:rPr>
        <w:t>U ispitivanju pacijenata sa RA, nedjelju dana nakon primjene jedne doze tocilizumaba nivoi simvastatina (CYP3A4) bili su sniženi za 57% i dostig</w:t>
      </w:r>
      <w:r w:rsidR="00045FBA" w:rsidRPr="00C65707">
        <w:rPr>
          <w:sz w:val="22"/>
          <w:szCs w:val="22"/>
        </w:rPr>
        <w:t>li su nivo sličan ili malo viši</w:t>
      </w:r>
      <w:r w:rsidRPr="00C65707">
        <w:rPr>
          <w:sz w:val="22"/>
          <w:szCs w:val="22"/>
        </w:rPr>
        <w:t xml:space="preserve"> od onog zapaženog kod zdravih ispitanika.</w:t>
      </w:r>
    </w:p>
    <w:p w14:paraId="5F4FA5A3" w14:textId="77777777" w:rsidR="00C40F7C" w:rsidRPr="00C65707" w:rsidRDefault="00C40F7C">
      <w:pPr>
        <w:pStyle w:val="Header"/>
        <w:widowControl w:val="0"/>
        <w:tabs>
          <w:tab w:val="left" w:pos="284"/>
        </w:tabs>
        <w:jc w:val="both"/>
        <w:rPr>
          <w:sz w:val="22"/>
          <w:szCs w:val="22"/>
        </w:rPr>
      </w:pPr>
    </w:p>
    <w:p w14:paraId="0D925042" w14:textId="636073B6" w:rsidR="00C40F7C" w:rsidRPr="00C65707" w:rsidRDefault="00C40F7C">
      <w:pPr>
        <w:pStyle w:val="Header"/>
        <w:widowControl w:val="0"/>
        <w:tabs>
          <w:tab w:val="left" w:pos="284"/>
        </w:tabs>
        <w:jc w:val="both"/>
        <w:rPr>
          <w:sz w:val="22"/>
          <w:szCs w:val="22"/>
        </w:rPr>
      </w:pPr>
      <w:r w:rsidRPr="00C65707">
        <w:rPr>
          <w:sz w:val="22"/>
          <w:szCs w:val="22"/>
        </w:rPr>
        <w:t>Kada se započinje ili prekida terapija tocilizumabom, pacijenti koji uzimaju ljekove koji se individualno podešavaju i metabolišu putem CYP</w:t>
      </w:r>
      <w:r w:rsidR="00045FBA" w:rsidRPr="00C65707">
        <w:rPr>
          <w:sz w:val="22"/>
          <w:szCs w:val="22"/>
        </w:rPr>
        <w:t xml:space="preserve">450, CYP3A4, CYP1A2 ili CYP2C9 </w:t>
      </w:r>
      <w:r w:rsidRPr="00C65707">
        <w:rPr>
          <w:sz w:val="22"/>
          <w:szCs w:val="22"/>
        </w:rPr>
        <w:t xml:space="preserve">(npr. metilprednizolon, deksametazon (mogućnost nastupanja sindroma ustezanja od oralnih glukokortikoida), atorvastatin, blokatori kalcijumskih kanala, teofilin, varfarin, fenprokoumon, fenitoin, ciklosporin, ili benzodiazepini) </w:t>
      </w:r>
      <w:r w:rsidR="00853F74" w:rsidRPr="00C65707">
        <w:rPr>
          <w:sz w:val="22"/>
          <w:szCs w:val="22"/>
        </w:rPr>
        <w:t xml:space="preserve">moraju </w:t>
      </w:r>
      <w:r w:rsidRPr="00C65707">
        <w:rPr>
          <w:sz w:val="22"/>
          <w:szCs w:val="22"/>
        </w:rPr>
        <w:t>da budu pažljivo kontrolisani</w:t>
      </w:r>
      <w:r w:rsidR="00853F74" w:rsidRPr="00C65707">
        <w:rPr>
          <w:sz w:val="22"/>
          <w:szCs w:val="22"/>
        </w:rPr>
        <w:t>,</w:t>
      </w:r>
      <w:r w:rsidRPr="00C65707">
        <w:rPr>
          <w:sz w:val="22"/>
          <w:szCs w:val="22"/>
        </w:rPr>
        <w:t xml:space="preserve"> jer je moguće da doze treba povećati da se održi terapijsko dejstvo. Zbog njegovog dugog poluvremena eliminacije (t</w:t>
      </w:r>
      <w:r w:rsidRPr="00C65707">
        <w:rPr>
          <w:sz w:val="22"/>
          <w:szCs w:val="22"/>
          <w:vertAlign w:val="subscript"/>
        </w:rPr>
        <w:t>1/2</w:t>
      </w:r>
      <w:r w:rsidRPr="00C65707">
        <w:rPr>
          <w:sz w:val="22"/>
          <w:szCs w:val="22"/>
        </w:rPr>
        <w:t xml:space="preserve">), dejstvo tocilizumaba na aktivnost enzima CYP450 može da se produži i nekoliko nedjelja po obustavljanju terapije. </w:t>
      </w:r>
    </w:p>
    <w:p w14:paraId="411DB8FC" w14:textId="77777777" w:rsidR="0072020E" w:rsidRPr="00C65707" w:rsidRDefault="0072020E">
      <w:pPr>
        <w:widowControl w:val="0"/>
        <w:tabs>
          <w:tab w:val="left" w:pos="540"/>
          <w:tab w:val="left" w:pos="569"/>
        </w:tabs>
        <w:jc w:val="both"/>
        <w:rPr>
          <w:bCs/>
          <w:sz w:val="22"/>
          <w:szCs w:val="22"/>
        </w:rPr>
      </w:pPr>
    </w:p>
    <w:p w14:paraId="2C4E808D" w14:textId="77777777" w:rsidR="0072020E" w:rsidRPr="00C65707" w:rsidRDefault="0072020E">
      <w:pPr>
        <w:widowControl w:val="0"/>
        <w:tabs>
          <w:tab w:val="left" w:pos="540"/>
          <w:tab w:val="left" w:pos="569"/>
        </w:tabs>
        <w:jc w:val="both"/>
        <w:rPr>
          <w:b/>
          <w:sz w:val="22"/>
          <w:szCs w:val="22"/>
        </w:rPr>
      </w:pPr>
      <w:r w:rsidRPr="00C65707">
        <w:rPr>
          <w:b/>
          <w:bCs/>
          <w:sz w:val="22"/>
          <w:szCs w:val="22"/>
        </w:rPr>
        <w:t xml:space="preserve">4.6. </w:t>
      </w:r>
      <w:r w:rsidR="00480FB1" w:rsidRPr="00C65707">
        <w:rPr>
          <w:b/>
          <w:bCs/>
          <w:sz w:val="22"/>
          <w:szCs w:val="22"/>
        </w:rPr>
        <w:tab/>
      </w:r>
      <w:r w:rsidR="006D20A5" w:rsidRPr="00C65707">
        <w:rPr>
          <w:b/>
          <w:sz w:val="22"/>
          <w:szCs w:val="22"/>
        </w:rPr>
        <w:t>Plodnost, trudnoća i dojenje</w:t>
      </w:r>
    </w:p>
    <w:p w14:paraId="5AA6755E" w14:textId="77777777" w:rsidR="002031B3" w:rsidRPr="00C65707" w:rsidRDefault="002031B3">
      <w:pPr>
        <w:widowControl w:val="0"/>
        <w:tabs>
          <w:tab w:val="left" w:pos="540"/>
          <w:tab w:val="left" w:pos="569"/>
        </w:tabs>
        <w:jc w:val="both"/>
        <w:rPr>
          <w:sz w:val="22"/>
          <w:szCs w:val="22"/>
          <w:u w:val="single"/>
        </w:rPr>
      </w:pPr>
    </w:p>
    <w:p w14:paraId="3EF17050" w14:textId="77777777" w:rsidR="00C40F7C" w:rsidRPr="00C65707" w:rsidRDefault="00C40F7C">
      <w:pPr>
        <w:pStyle w:val="Header"/>
        <w:widowControl w:val="0"/>
        <w:tabs>
          <w:tab w:val="left" w:pos="284"/>
        </w:tabs>
        <w:jc w:val="both"/>
        <w:rPr>
          <w:sz w:val="22"/>
          <w:szCs w:val="22"/>
          <w:u w:val="single"/>
        </w:rPr>
      </w:pPr>
      <w:r w:rsidRPr="00C65707">
        <w:rPr>
          <w:sz w:val="22"/>
          <w:szCs w:val="22"/>
          <w:u w:val="single"/>
        </w:rPr>
        <w:t>Žene u reproduktivnom periodu</w:t>
      </w:r>
    </w:p>
    <w:p w14:paraId="4F6E8CBF" w14:textId="150C060B" w:rsidR="00C40F7C" w:rsidRPr="00C65707" w:rsidRDefault="00C40F7C">
      <w:pPr>
        <w:pStyle w:val="Header"/>
        <w:widowControl w:val="0"/>
        <w:tabs>
          <w:tab w:val="left" w:pos="284"/>
        </w:tabs>
        <w:jc w:val="both"/>
        <w:rPr>
          <w:sz w:val="22"/>
          <w:szCs w:val="22"/>
        </w:rPr>
      </w:pPr>
      <w:r w:rsidRPr="00C65707">
        <w:rPr>
          <w:sz w:val="22"/>
          <w:szCs w:val="22"/>
        </w:rPr>
        <w:t xml:space="preserve">Žene koje mogu da rađaju moraju da koriste </w:t>
      </w:r>
      <w:r w:rsidR="00397DA8">
        <w:rPr>
          <w:sz w:val="22"/>
          <w:szCs w:val="22"/>
        </w:rPr>
        <w:t>efikasna</w:t>
      </w:r>
      <w:r w:rsidR="00397DA8" w:rsidRPr="00C65707">
        <w:rPr>
          <w:sz w:val="22"/>
          <w:szCs w:val="22"/>
        </w:rPr>
        <w:t xml:space="preserve"> </w:t>
      </w:r>
      <w:r w:rsidRPr="00C65707">
        <w:rPr>
          <w:sz w:val="22"/>
          <w:szCs w:val="22"/>
        </w:rPr>
        <w:t>sredstva za zaštitu od trudnoće tokom terapije i do 3 mjeseca po njenom prekidu.</w:t>
      </w:r>
    </w:p>
    <w:p w14:paraId="6F390111" w14:textId="77777777" w:rsidR="002031B3" w:rsidRPr="00CE5678" w:rsidRDefault="002031B3" w:rsidP="00CE5678">
      <w:pPr>
        <w:pStyle w:val="Header"/>
        <w:widowControl w:val="0"/>
        <w:tabs>
          <w:tab w:val="left" w:pos="284"/>
        </w:tabs>
        <w:jc w:val="both"/>
        <w:rPr>
          <w:sz w:val="22"/>
          <w:szCs w:val="22"/>
        </w:rPr>
      </w:pPr>
    </w:p>
    <w:p w14:paraId="78EADF8F" w14:textId="77777777" w:rsidR="007A3ECB" w:rsidRPr="00C65707" w:rsidRDefault="007A3ECB" w:rsidP="00C65707">
      <w:pPr>
        <w:widowControl w:val="0"/>
        <w:tabs>
          <w:tab w:val="left" w:pos="540"/>
          <w:tab w:val="left" w:pos="569"/>
        </w:tabs>
        <w:jc w:val="both"/>
        <w:rPr>
          <w:sz w:val="22"/>
          <w:szCs w:val="22"/>
          <w:u w:val="single"/>
        </w:rPr>
      </w:pPr>
      <w:r w:rsidRPr="00C65707">
        <w:rPr>
          <w:sz w:val="22"/>
          <w:szCs w:val="22"/>
          <w:u w:val="single"/>
        </w:rPr>
        <w:t>Trudnoća</w:t>
      </w:r>
    </w:p>
    <w:p w14:paraId="658F70DA" w14:textId="1599519E" w:rsidR="00C40F7C" w:rsidRPr="00C65707" w:rsidRDefault="00C40F7C" w:rsidP="002B3647">
      <w:pPr>
        <w:pStyle w:val="Header"/>
        <w:widowControl w:val="0"/>
        <w:tabs>
          <w:tab w:val="left" w:pos="284"/>
        </w:tabs>
        <w:jc w:val="both"/>
        <w:rPr>
          <w:sz w:val="22"/>
          <w:szCs w:val="22"/>
        </w:rPr>
      </w:pPr>
      <w:r w:rsidRPr="002B3647">
        <w:rPr>
          <w:sz w:val="22"/>
          <w:szCs w:val="22"/>
        </w:rPr>
        <w:t xml:space="preserve">Nema odgovarajućih podataka o upotrebi </w:t>
      </w:r>
      <w:r w:rsidR="00853F74" w:rsidRPr="002B3647">
        <w:rPr>
          <w:sz w:val="22"/>
          <w:szCs w:val="22"/>
        </w:rPr>
        <w:t>tocilizumaba</w:t>
      </w:r>
      <w:r w:rsidRPr="002B3647">
        <w:rPr>
          <w:sz w:val="22"/>
          <w:szCs w:val="22"/>
        </w:rPr>
        <w:t xml:space="preserve"> kod trudnica. Jedno ispitivanje na životinjama pokazalo je povećani rizik od spontanih pobačaja/embrio</w:t>
      </w:r>
      <w:r w:rsidRPr="002B3647">
        <w:rPr>
          <w:sz w:val="22"/>
          <w:szCs w:val="22"/>
        </w:rPr>
        <w:noBreakHyphen/>
        <w:t xml:space="preserve">fetalne smrti pri visokoj dozi (vidjeti dio 5.3). Potencijalni rizik za humanu populaciju nije </w:t>
      </w:r>
      <w:r w:rsidRPr="00C65707">
        <w:rPr>
          <w:sz w:val="22"/>
          <w:szCs w:val="22"/>
        </w:rPr>
        <w:t xml:space="preserve">poznat. </w:t>
      </w:r>
    </w:p>
    <w:p w14:paraId="4AE9376F" w14:textId="77777777" w:rsidR="00C40F7C" w:rsidRPr="00C65707" w:rsidRDefault="00C40F7C">
      <w:pPr>
        <w:pStyle w:val="Header"/>
        <w:widowControl w:val="0"/>
        <w:tabs>
          <w:tab w:val="left" w:pos="284"/>
        </w:tabs>
        <w:jc w:val="both"/>
        <w:rPr>
          <w:sz w:val="22"/>
          <w:szCs w:val="22"/>
        </w:rPr>
      </w:pPr>
    </w:p>
    <w:p w14:paraId="700067CD" w14:textId="77777777" w:rsidR="00C40F7C" w:rsidRPr="00C65707" w:rsidRDefault="00C40F7C">
      <w:pPr>
        <w:pStyle w:val="Header"/>
        <w:widowControl w:val="0"/>
        <w:tabs>
          <w:tab w:val="left" w:pos="284"/>
        </w:tabs>
        <w:jc w:val="both"/>
        <w:rPr>
          <w:sz w:val="22"/>
          <w:szCs w:val="22"/>
        </w:rPr>
      </w:pPr>
      <w:r w:rsidRPr="00C65707">
        <w:rPr>
          <w:sz w:val="22"/>
          <w:szCs w:val="22"/>
        </w:rPr>
        <w:t>RoActemra se ne smije koristiti tokom trudnoće ako to nije nedvosmisleno neophodno.</w:t>
      </w:r>
    </w:p>
    <w:p w14:paraId="5A9B1271" w14:textId="77777777" w:rsidR="002031B3" w:rsidRPr="00C65707" w:rsidRDefault="002031B3">
      <w:pPr>
        <w:widowControl w:val="0"/>
        <w:tabs>
          <w:tab w:val="left" w:pos="540"/>
          <w:tab w:val="left" w:pos="569"/>
        </w:tabs>
        <w:jc w:val="both"/>
        <w:rPr>
          <w:sz w:val="22"/>
          <w:szCs w:val="22"/>
          <w:u w:val="single"/>
        </w:rPr>
      </w:pPr>
    </w:p>
    <w:p w14:paraId="0A1F5358" w14:textId="77777777" w:rsidR="0072020E" w:rsidRPr="00C65707" w:rsidRDefault="007A3ECB">
      <w:pPr>
        <w:widowControl w:val="0"/>
        <w:tabs>
          <w:tab w:val="left" w:pos="540"/>
          <w:tab w:val="left" w:pos="569"/>
        </w:tabs>
        <w:jc w:val="both"/>
        <w:rPr>
          <w:b/>
          <w:bCs/>
          <w:sz w:val="22"/>
          <w:szCs w:val="22"/>
        </w:rPr>
      </w:pPr>
      <w:r w:rsidRPr="00C65707">
        <w:rPr>
          <w:sz w:val="22"/>
          <w:szCs w:val="22"/>
          <w:u w:val="single"/>
        </w:rPr>
        <w:t xml:space="preserve">Dojenje </w:t>
      </w:r>
    </w:p>
    <w:p w14:paraId="22341231" w14:textId="3333C041" w:rsidR="00853F74" w:rsidRPr="00C65707" w:rsidRDefault="00C40F7C" w:rsidP="00CE5678">
      <w:pPr>
        <w:widowControl w:val="0"/>
        <w:jc w:val="both"/>
        <w:rPr>
          <w:sz w:val="22"/>
          <w:szCs w:val="22"/>
          <w:lang w:eastAsia="ja-JP"/>
        </w:rPr>
      </w:pPr>
      <w:r w:rsidRPr="00C65707">
        <w:rPr>
          <w:sz w:val="22"/>
          <w:szCs w:val="22"/>
        </w:rPr>
        <w:t>Nije poznato da li se tocilizumab iz</w:t>
      </w:r>
      <w:r w:rsidR="00045FBA" w:rsidRPr="00C65707">
        <w:rPr>
          <w:sz w:val="22"/>
          <w:szCs w:val="22"/>
        </w:rPr>
        <w:t>lučuje u mlijeko majki dojilja.</w:t>
      </w:r>
      <w:r w:rsidRPr="00C65707">
        <w:rPr>
          <w:sz w:val="22"/>
          <w:szCs w:val="22"/>
        </w:rPr>
        <w:t xml:space="preserve"> Izlučivanje </w:t>
      </w:r>
      <w:r w:rsidR="00853F74" w:rsidRPr="00C65707">
        <w:rPr>
          <w:sz w:val="22"/>
          <w:szCs w:val="22"/>
        </w:rPr>
        <w:t>tocilizumaba</w:t>
      </w:r>
      <w:r w:rsidRPr="00C65707">
        <w:rPr>
          <w:sz w:val="22"/>
          <w:szCs w:val="22"/>
        </w:rPr>
        <w:t xml:space="preserve"> u mlijeko</w:t>
      </w:r>
      <w:r w:rsidR="00397DA8">
        <w:rPr>
          <w:sz w:val="22"/>
          <w:szCs w:val="22"/>
        </w:rPr>
        <w:t xml:space="preserve"> </w:t>
      </w:r>
      <w:r w:rsidRPr="00C65707">
        <w:rPr>
          <w:sz w:val="22"/>
          <w:szCs w:val="22"/>
        </w:rPr>
        <w:t>nije ispitivano</w:t>
      </w:r>
      <w:r w:rsidR="00853F74" w:rsidRPr="00C65707">
        <w:rPr>
          <w:sz w:val="22"/>
          <w:szCs w:val="22"/>
        </w:rPr>
        <w:t xml:space="preserve"> kod životinja</w:t>
      </w:r>
      <w:r w:rsidRPr="00C65707">
        <w:rPr>
          <w:sz w:val="22"/>
          <w:szCs w:val="22"/>
        </w:rPr>
        <w:t xml:space="preserve">. </w:t>
      </w:r>
      <w:r w:rsidR="00853F74" w:rsidRPr="00C65707">
        <w:rPr>
          <w:sz w:val="22"/>
          <w:szCs w:val="22"/>
        </w:rPr>
        <w:t xml:space="preserve"> </w:t>
      </w:r>
      <w:r w:rsidR="00853F74" w:rsidRPr="00C65707">
        <w:rPr>
          <w:sz w:val="22"/>
          <w:szCs w:val="22"/>
          <w:lang w:eastAsia="ja-JP"/>
        </w:rPr>
        <w:t>Potrebno je odlučiti da li prekinuti dojenje ili prekinuti liječenje/suzdržati se od liječenja RoActemr</w:t>
      </w:r>
      <w:r w:rsidR="00CB0EAF" w:rsidRPr="00C65707">
        <w:rPr>
          <w:sz w:val="22"/>
          <w:szCs w:val="22"/>
          <w:lang w:eastAsia="ja-JP"/>
        </w:rPr>
        <w:t>om</w:t>
      </w:r>
      <w:r w:rsidR="00853F74" w:rsidRPr="00C65707">
        <w:rPr>
          <w:sz w:val="22"/>
          <w:szCs w:val="22"/>
          <w:lang w:eastAsia="ja-JP"/>
        </w:rPr>
        <w:t xml:space="preserve"> uzimajući u obzir korist dojenja za dijete i korist liječenja za ženu.</w:t>
      </w:r>
    </w:p>
    <w:p w14:paraId="6ECD05B9" w14:textId="42AAA8FC" w:rsidR="00C40F7C" w:rsidRPr="00C65707" w:rsidRDefault="00C40F7C" w:rsidP="00C65707">
      <w:pPr>
        <w:pStyle w:val="Header"/>
        <w:widowControl w:val="0"/>
        <w:tabs>
          <w:tab w:val="left" w:pos="284"/>
        </w:tabs>
        <w:jc w:val="both"/>
        <w:rPr>
          <w:sz w:val="22"/>
          <w:szCs w:val="22"/>
        </w:rPr>
      </w:pPr>
    </w:p>
    <w:p w14:paraId="758AD1D9" w14:textId="77777777" w:rsidR="00397DA8" w:rsidRDefault="00853F74" w:rsidP="00CE5678">
      <w:pPr>
        <w:widowControl w:val="0"/>
        <w:jc w:val="both"/>
        <w:rPr>
          <w:sz w:val="22"/>
          <w:szCs w:val="22"/>
          <w:u w:val="single"/>
        </w:rPr>
      </w:pPr>
      <w:r w:rsidRPr="00C65707">
        <w:rPr>
          <w:sz w:val="22"/>
          <w:szCs w:val="22"/>
          <w:u w:val="single"/>
        </w:rPr>
        <w:t>Plodnost</w:t>
      </w:r>
    </w:p>
    <w:p w14:paraId="7A8E1288" w14:textId="28984B3B" w:rsidR="00853F74" w:rsidRPr="00C65707" w:rsidRDefault="00853F74" w:rsidP="00CE5678">
      <w:pPr>
        <w:widowControl w:val="0"/>
        <w:jc w:val="both"/>
        <w:rPr>
          <w:sz w:val="22"/>
          <w:szCs w:val="22"/>
        </w:rPr>
      </w:pPr>
      <w:r w:rsidRPr="00C65707">
        <w:rPr>
          <w:sz w:val="22"/>
          <w:szCs w:val="22"/>
        </w:rPr>
        <w:t>Dostupni neklinički podaci ne ukazuju ni na kakve učinke liječenja tocilizumabom na plodnost.</w:t>
      </w:r>
    </w:p>
    <w:p w14:paraId="4A61713C" w14:textId="77777777" w:rsidR="00227BDB" w:rsidRPr="00C65707" w:rsidRDefault="00227BDB" w:rsidP="00C65707">
      <w:pPr>
        <w:pStyle w:val="Header"/>
        <w:widowControl w:val="0"/>
        <w:tabs>
          <w:tab w:val="left" w:pos="284"/>
        </w:tabs>
        <w:jc w:val="both"/>
        <w:rPr>
          <w:sz w:val="22"/>
          <w:szCs w:val="22"/>
        </w:rPr>
      </w:pPr>
    </w:p>
    <w:p w14:paraId="1741DB59" w14:textId="77777777" w:rsidR="0072020E" w:rsidRPr="00C65707" w:rsidRDefault="0072020E" w:rsidP="002B3647">
      <w:pPr>
        <w:widowControl w:val="0"/>
        <w:tabs>
          <w:tab w:val="left" w:pos="540"/>
          <w:tab w:val="left" w:pos="569"/>
        </w:tabs>
        <w:ind w:left="540" w:hanging="540"/>
        <w:jc w:val="both"/>
        <w:rPr>
          <w:b/>
          <w:bCs/>
          <w:sz w:val="22"/>
          <w:szCs w:val="22"/>
        </w:rPr>
      </w:pPr>
      <w:r w:rsidRPr="00C65707">
        <w:rPr>
          <w:b/>
          <w:bCs/>
          <w:sz w:val="22"/>
          <w:szCs w:val="22"/>
        </w:rPr>
        <w:t xml:space="preserve">4.7. </w:t>
      </w:r>
      <w:r w:rsidR="00480FB1" w:rsidRPr="00C65707">
        <w:rPr>
          <w:b/>
          <w:bCs/>
          <w:sz w:val="22"/>
          <w:szCs w:val="22"/>
        </w:rPr>
        <w:tab/>
      </w:r>
      <w:r w:rsidRPr="00C65707">
        <w:rPr>
          <w:b/>
          <w:bCs/>
          <w:sz w:val="22"/>
          <w:szCs w:val="22"/>
        </w:rPr>
        <w:t xml:space="preserve">Uticaj na </w:t>
      </w:r>
      <w:r w:rsidR="002031B3" w:rsidRPr="00C65707">
        <w:rPr>
          <w:b/>
          <w:bCs/>
          <w:sz w:val="22"/>
          <w:szCs w:val="22"/>
        </w:rPr>
        <w:t xml:space="preserve">sposobnost </w:t>
      </w:r>
      <w:r w:rsidR="00F34554" w:rsidRPr="00C65707">
        <w:rPr>
          <w:b/>
          <w:bCs/>
          <w:sz w:val="22"/>
          <w:szCs w:val="22"/>
        </w:rPr>
        <w:t>upravljanja vozili</w:t>
      </w:r>
      <w:r w:rsidRPr="00C65707">
        <w:rPr>
          <w:b/>
          <w:bCs/>
          <w:sz w:val="22"/>
          <w:szCs w:val="22"/>
        </w:rPr>
        <w:t>m</w:t>
      </w:r>
      <w:r w:rsidR="00F34554" w:rsidRPr="00C65707">
        <w:rPr>
          <w:b/>
          <w:bCs/>
          <w:sz w:val="22"/>
          <w:szCs w:val="22"/>
        </w:rPr>
        <w:t>a</w:t>
      </w:r>
      <w:r w:rsidRPr="00C65707">
        <w:rPr>
          <w:b/>
          <w:bCs/>
          <w:sz w:val="22"/>
          <w:szCs w:val="22"/>
        </w:rPr>
        <w:t xml:space="preserve"> i </w:t>
      </w:r>
      <w:r w:rsidR="000D3449" w:rsidRPr="00C65707">
        <w:rPr>
          <w:b/>
          <w:bCs/>
          <w:sz w:val="22"/>
          <w:szCs w:val="22"/>
        </w:rPr>
        <w:t xml:space="preserve">rukovanje </w:t>
      </w:r>
      <w:r w:rsidRPr="00C65707">
        <w:rPr>
          <w:b/>
          <w:bCs/>
          <w:sz w:val="22"/>
          <w:szCs w:val="22"/>
        </w:rPr>
        <w:t>mašinama</w:t>
      </w:r>
    </w:p>
    <w:p w14:paraId="5488A2EC" w14:textId="77777777" w:rsidR="00C40F7C" w:rsidRPr="00C65707" w:rsidRDefault="00C40F7C">
      <w:pPr>
        <w:widowControl w:val="0"/>
        <w:tabs>
          <w:tab w:val="left" w:pos="540"/>
          <w:tab w:val="left" w:pos="569"/>
        </w:tabs>
        <w:ind w:left="540" w:hanging="540"/>
        <w:jc w:val="both"/>
        <w:rPr>
          <w:b/>
          <w:bCs/>
          <w:sz w:val="22"/>
          <w:szCs w:val="22"/>
        </w:rPr>
      </w:pPr>
    </w:p>
    <w:p w14:paraId="18DF1D6A" w14:textId="4835691F" w:rsidR="00C40F7C" w:rsidRPr="00C65707" w:rsidRDefault="00C40F7C">
      <w:pPr>
        <w:pStyle w:val="Header"/>
        <w:widowControl w:val="0"/>
        <w:tabs>
          <w:tab w:val="left" w:pos="284"/>
        </w:tabs>
        <w:jc w:val="both"/>
        <w:rPr>
          <w:sz w:val="22"/>
          <w:szCs w:val="22"/>
        </w:rPr>
      </w:pPr>
      <w:r w:rsidRPr="00C65707">
        <w:rPr>
          <w:sz w:val="22"/>
          <w:szCs w:val="22"/>
        </w:rPr>
        <w:t>RoActemra malo utiče na sposobnost prilikom upravljanja motornim vozilima i rukovanja mašinama</w:t>
      </w:r>
      <w:r w:rsidR="00853F74" w:rsidRPr="00C65707">
        <w:rPr>
          <w:sz w:val="22"/>
          <w:szCs w:val="22"/>
        </w:rPr>
        <w:t>, npr. vrtoglavica</w:t>
      </w:r>
      <w:r w:rsidRPr="00C65707">
        <w:rPr>
          <w:sz w:val="22"/>
          <w:szCs w:val="22"/>
        </w:rPr>
        <w:t xml:space="preserve"> (vidjeti dio 4.8).</w:t>
      </w:r>
    </w:p>
    <w:p w14:paraId="186CE135" w14:textId="77777777" w:rsidR="008C1AFD" w:rsidRPr="00C65707" w:rsidRDefault="008C1AFD" w:rsidP="00CE5678">
      <w:pPr>
        <w:widowControl w:val="0"/>
        <w:tabs>
          <w:tab w:val="left" w:pos="540"/>
          <w:tab w:val="left" w:pos="569"/>
        </w:tabs>
        <w:jc w:val="both"/>
        <w:rPr>
          <w:b/>
          <w:bCs/>
          <w:sz w:val="22"/>
          <w:szCs w:val="22"/>
        </w:rPr>
      </w:pPr>
    </w:p>
    <w:p w14:paraId="18153B05" w14:textId="3C36ABE2" w:rsidR="0072020E" w:rsidRPr="00C65707" w:rsidRDefault="0072020E" w:rsidP="00CE5678">
      <w:pPr>
        <w:widowControl w:val="0"/>
        <w:tabs>
          <w:tab w:val="left" w:pos="540"/>
          <w:tab w:val="left" w:pos="569"/>
        </w:tabs>
        <w:jc w:val="both"/>
        <w:rPr>
          <w:b/>
          <w:bCs/>
          <w:sz w:val="22"/>
          <w:szCs w:val="22"/>
        </w:rPr>
      </w:pPr>
      <w:r w:rsidRPr="00C65707">
        <w:rPr>
          <w:b/>
          <w:bCs/>
          <w:sz w:val="22"/>
          <w:szCs w:val="22"/>
        </w:rPr>
        <w:t xml:space="preserve">4.8. </w:t>
      </w:r>
      <w:r w:rsidR="00480FB1" w:rsidRPr="00C65707">
        <w:rPr>
          <w:b/>
          <w:bCs/>
          <w:sz w:val="22"/>
          <w:szCs w:val="22"/>
        </w:rPr>
        <w:tab/>
      </w:r>
      <w:r w:rsidRPr="00C65707">
        <w:rPr>
          <w:b/>
          <w:bCs/>
          <w:sz w:val="22"/>
          <w:szCs w:val="22"/>
        </w:rPr>
        <w:t>Neželjena dejstva</w:t>
      </w:r>
    </w:p>
    <w:p w14:paraId="0185EB83" w14:textId="77777777" w:rsidR="00CC2B31" w:rsidRPr="00C65707" w:rsidRDefault="00CC2B31" w:rsidP="00CE5678">
      <w:pPr>
        <w:widowControl w:val="0"/>
        <w:tabs>
          <w:tab w:val="left" w:pos="540"/>
          <w:tab w:val="left" w:pos="569"/>
        </w:tabs>
        <w:jc w:val="both"/>
        <w:rPr>
          <w:b/>
          <w:bCs/>
          <w:sz w:val="22"/>
          <w:szCs w:val="22"/>
        </w:rPr>
      </w:pPr>
    </w:p>
    <w:p w14:paraId="09A8B904" w14:textId="77777777" w:rsidR="00CC2B31" w:rsidRPr="00C65707" w:rsidRDefault="00CC2B31" w:rsidP="00C65707">
      <w:pPr>
        <w:pStyle w:val="Header"/>
        <w:widowControl w:val="0"/>
        <w:tabs>
          <w:tab w:val="left" w:pos="284"/>
        </w:tabs>
        <w:jc w:val="both"/>
        <w:rPr>
          <w:bCs/>
          <w:sz w:val="22"/>
          <w:szCs w:val="22"/>
          <w:u w:val="single"/>
        </w:rPr>
      </w:pPr>
      <w:r w:rsidRPr="00C65707">
        <w:rPr>
          <w:bCs/>
          <w:sz w:val="22"/>
          <w:szCs w:val="22"/>
          <w:u w:val="single"/>
        </w:rPr>
        <w:t>Sažetak bezbjednosnog profila</w:t>
      </w:r>
    </w:p>
    <w:p w14:paraId="28CE7951" w14:textId="0289164D" w:rsidR="00CC2B31" w:rsidRPr="00C65707" w:rsidRDefault="00CC2B31" w:rsidP="002B3647">
      <w:pPr>
        <w:widowControl w:val="0"/>
        <w:jc w:val="both"/>
        <w:rPr>
          <w:sz w:val="22"/>
          <w:szCs w:val="22"/>
        </w:rPr>
      </w:pPr>
      <w:r w:rsidRPr="00C65707">
        <w:rPr>
          <w:sz w:val="22"/>
          <w:szCs w:val="22"/>
        </w:rPr>
        <w:t xml:space="preserve">Bezbjedonosni profil proizlazi iz podataka prikupljenih kod 4510 pacijenata izloženih </w:t>
      </w:r>
      <w:r w:rsidR="00CB0EAF" w:rsidRPr="00C65707">
        <w:rPr>
          <w:sz w:val="22"/>
          <w:szCs w:val="22"/>
        </w:rPr>
        <w:t>tocilizumabom</w:t>
      </w:r>
      <w:r w:rsidRPr="00C65707">
        <w:rPr>
          <w:sz w:val="22"/>
          <w:szCs w:val="22"/>
        </w:rPr>
        <w:t xml:space="preserve"> u kliničkim ispitivanjima; većina pacijenata učestvovala je u ispitivanjima primjene kod RA (n=4009), dok su preostali podaci prikupljeni u ispitivanjima primjene kod GCA (n=149)</w:t>
      </w:r>
      <w:r w:rsidRPr="00C65707">
        <w:rPr>
          <w:sz w:val="22"/>
          <w:szCs w:val="22"/>
          <w:lang w:eastAsia="ja-JP"/>
        </w:rPr>
        <w:t>, pJIA (n=240) i sJIA (n=112)</w:t>
      </w:r>
      <w:r w:rsidRPr="00C65707">
        <w:rPr>
          <w:sz w:val="22"/>
          <w:szCs w:val="22"/>
        </w:rPr>
        <w:t xml:space="preserve">. Bezbjedonosni profil </w:t>
      </w:r>
      <w:r w:rsidR="00CB0EAF" w:rsidRPr="00C65707">
        <w:rPr>
          <w:sz w:val="22"/>
          <w:szCs w:val="22"/>
        </w:rPr>
        <w:t>tocilizumaba</w:t>
      </w:r>
      <w:r w:rsidRPr="00C65707">
        <w:rPr>
          <w:sz w:val="22"/>
          <w:szCs w:val="22"/>
        </w:rPr>
        <w:t xml:space="preserve"> u tim indikacijama je sličan i nediferenciran.</w:t>
      </w:r>
    </w:p>
    <w:p w14:paraId="1410D382" w14:textId="77777777" w:rsidR="00CC2B31" w:rsidRPr="00C65707" w:rsidRDefault="00CC2B31">
      <w:pPr>
        <w:widowControl w:val="0"/>
        <w:jc w:val="both"/>
        <w:rPr>
          <w:sz w:val="22"/>
          <w:szCs w:val="22"/>
        </w:rPr>
      </w:pPr>
    </w:p>
    <w:p w14:paraId="648EF176" w14:textId="271730C2" w:rsidR="00CC2B31" w:rsidRPr="00C65707" w:rsidRDefault="00CC2B31">
      <w:pPr>
        <w:widowControl w:val="0"/>
        <w:jc w:val="both"/>
        <w:rPr>
          <w:sz w:val="22"/>
          <w:szCs w:val="22"/>
        </w:rPr>
      </w:pPr>
      <w:r w:rsidRPr="00C65707">
        <w:rPr>
          <w:sz w:val="22"/>
          <w:szCs w:val="22"/>
        </w:rPr>
        <w:t>Najčešće prijavljena neželjena dejstva bil</w:t>
      </w:r>
      <w:r w:rsidR="00CB0EAF" w:rsidRPr="00C65707">
        <w:rPr>
          <w:sz w:val="22"/>
          <w:szCs w:val="22"/>
        </w:rPr>
        <w:t>a</w:t>
      </w:r>
      <w:r w:rsidRPr="00C65707">
        <w:rPr>
          <w:sz w:val="22"/>
          <w:szCs w:val="22"/>
        </w:rPr>
        <w:t xml:space="preserve"> su infekcije gornjih disajnih puteva, nazofaringitis, glavobolja, hipertenzija i povišene vrijednosti ALT</w:t>
      </w:r>
      <w:r w:rsidRPr="00C65707">
        <w:rPr>
          <w:sz w:val="22"/>
          <w:szCs w:val="22"/>
        </w:rPr>
        <w:noBreakHyphen/>
        <w:t>a.</w:t>
      </w:r>
    </w:p>
    <w:p w14:paraId="705719CE" w14:textId="77777777" w:rsidR="00CC2B31" w:rsidRPr="00C65707" w:rsidRDefault="00CC2B31">
      <w:pPr>
        <w:widowControl w:val="0"/>
        <w:jc w:val="both"/>
        <w:rPr>
          <w:sz w:val="22"/>
          <w:szCs w:val="22"/>
        </w:rPr>
      </w:pPr>
      <w:r w:rsidRPr="00C65707">
        <w:rPr>
          <w:sz w:val="22"/>
          <w:szCs w:val="22"/>
        </w:rPr>
        <w:t>Najozbiljnija neželjena dejstva su uključivala ozbiljne infekcije, komplikacije divertikulitisa i reakcije preosjetljivosti.</w:t>
      </w:r>
    </w:p>
    <w:p w14:paraId="5885F9BB" w14:textId="77777777" w:rsidR="00CC2B31" w:rsidRPr="00C65707" w:rsidRDefault="00CC2B31">
      <w:pPr>
        <w:widowControl w:val="0"/>
        <w:jc w:val="both"/>
        <w:rPr>
          <w:sz w:val="22"/>
          <w:szCs w:val="22"/>
        </w:rPr>
      </w:pPr>
    </w:p>
    <w:p w14:paraId="26CA6B8D" w14:textId="77777777" w:rsidR="00CC2B31" w:rsidRPr="00C65707" w:rsidRDefault="00CC2B31">
      <w:pPr>
        <w:pStyle w:val="Header"/>
        <w:widowControl w:val="0"/>
        <w:tabs>
          <w:tab w:val="left" w:pos="284"/>
        </w:tabs>
        <w:jc w:val="both"/>
        <w:rPr>
          <w:sz w:val="22"/>
          <w:szCs w:val="22"/>
          <w:u w:val="single"/>
        </w:rPr>
      </w:pPr>
      <w:r w:rsidRPr="00C65707">
        <w:rPr>
          <w:sz w:val="22"/>
          <w:szCs w:val="22"/>
          <w:u w:val="single"/>
        </w:rPr>
        <w:t>Tabelarni prikaz neželjenih dejstava</w:t>
      </w:r>
    </w:p>
    <w:p w14:paraId="73E6B966" w14:textId="1DDB9CF2" w:rsidR="00CB0EAF" w:rsidRPr="00C65707" w:rsidRDefault="00CB0EAF" w:rsidP="00CE5678">
      <w:pPr>
        <w:widowControl w:val="0"/>
        <w:jc w:val="both"/>
        <w:rPr>
          <w:sz w:val="22"/>
          <w:szCs w:val="22"/>
        </w:rPr>
      </w:pPr>
      <w:r w:rsidRPr="00C65707">
        <w:rPr>
          <w:sz w:val="22"/>
          <w:szCs w:val="22"/>
        </w:rPr>
        <w:t>Neželjena dejstva tocilizumaba zabilježena u kliničkim ispitivanjima i/ili nakon stavljanja lijeka u promet na osnovu spontano prijavljenih slučajeva, slučajeva opisanih u literaturi i slučajeva zabilježenih u sklopu programa neintervencijskih ispitivanja navedene su u Tabeli 1 prema MedDRA klasifikaciji sistema organa. Odgovarajuća kategorija učestalosti za svako neželjeno dejstvo definisana je kako slijedi: veoma često (≥ 1/10); česta (≥ 1/100 i &lt; 1/10); povremena (≥ 1/1000 i &lt; 1/100); rijetko (≥ 1/10 000 i &lt; 1/1000), v</w:t>
      </w:r>
      <w:r w:rsidR="00397DA8">
        <w:rPr>
          <w:sz w:val="22"/>
          <w:szCs w:val="22"/>
        </w:rPr>
        <w:t>e</w:t>
      </w:r>
      <w:r w:rsidRPr="00C65707">
        <w:rPr>
          <w:sz w:val="22"/>
          <w:szCs w:val="22"/>
        </w:rPr>
        <w:t>o</w:t>
      </w:r>
      <w:r w:rsidR="00397DA8">
        <w:rPr>
          <w:sz w:val="22"/>
          <w:szCs w:val="22"/>
        </w:rPr>
        <w:t>ma</w:t>
      </w:r>
      <w:r w:rsidRPr="00C65707">
        <w:rPr>
          <w:sz w:val="22"/>
          <w:szCs w:val="22"/>
        </w:rPr>
        <w:t xml:space="preserve"> rijetko (&lt; 1/10 000) i nepoznato (učestalost se ne može procijeniti na osnovu dostupnih podataka). Unutar svake grupe učestalosti neželjena dejstva su prikazana u padajućem nizu prema ozbiljnosti.</w:t>
      </w:r>
    </w:p>
    <w:p w14:paraId="3E8CDA49" w14:textId="77777777" w:rsidR="00CC2B31" w:rsidRPr="00C65707" w:rsidRDefault="00CC2B31" w:rsidP="00C65707">
      <w:pPr>
        <w:pStyle w:val="Header"/>
        <w:widowControl w:val="0"/>
        <w:tabs>
          <w:tab w:val="left" w:pos="284"/>
        </w:tabs>
        <w:jc w:val="both"/>
        <w:rPr>
          <w:sz w:val="22"/>
          <w:szCs w:val="22"/>
          <w:u w:val="single"/>
        </w:rPr>
      </w:pPr>
    </w:p>
    <w:p w14:paraId="3C9F0919" w14:textId="0E0EB483" w:rsidR="00CC2B31" w:rsidRPr="00C65707" w:rsidRDefault="00CC2B31" w:rsidP="00CE5678">
      <w:pPr>
        <w:widowControl w:val="0"/>
        <w:jc w:val="both"/>
        <w:rPr>
          <w:b/>
          <w:sz w:val="22"/>
          <w:szCs w:val="22"/>
        </w:rPr>
      </w:pPr>
      <w:r w:rsidRPr="00C65707">
        <w:rPr>
          <w:i/>
          <w:sz w:val="22"/>
          <w:szCs w:val="22"/>
        </w:rPr>
        <w:t xml:space="preserve">Tabela 1. </w:t>
      </w:r>
      <w:r w:rsidR="00633F4E" w:rsidRPr="00C65707">
        <w:rPr>
          <w:i/>
          <w:sz w:val="22"/>
          <w:szCs w:val="22"/>
        </w:rPr>
        <w:t xml:space="preserve">Spisak </w:t>
      </w:r>
      <w:r w:rsidRPr="00C65707">
        <w:rPr>
          <w:i/>
          <w:sz w:val="22"/>
          <w:szCs w:val="22"/>
        </w:rPr>
        <w:t xml:space="preserve">neželjenih dejstava lijeka koja se javljaju kod pacijenata liječenih </w:t>
      </w:r>
      <w:r w:rsidR="00CB0EAF" w:rsidRPr="00C65707">
        <w:rPr>
          <w:i/>
          <w:sz w:val="22"/>
          <w:szCs w:val="22"/>
        </w:rPr>
        <w:t>tocilizumabom</w:t>
      </w:r>
      <w:r w:rsidRPr="00C65707">
        <w:rPr>
          <w:i/>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4"/>
        <w:gridCol w:w="1771"/>
        <w:gridCol w:w="1762"/>
        <w:gridCol w:w="1680"/>
        <w:gridCol w:w="1147"/>
        <w:gridCol w:w="1269"/>
      </w:tblGrid>
      <w:tr w:rsidR="00E567B5" w:rsidRPr="00C65707" w14:paraId="55F85E89" w14:textId="65E2D143" w:rsidTr="00CE5678">
        <w:tc>
          <w:tcPr>
            <w:tcW w:w="791" w:type="pct"/>
            <w:vMerge w:val="restart"/>
            <w:vAlign w:val="center"/>
          </w:tcPr>
          <w:p w14:paraId="1E5EEE86" w14:textId="652FBA30" w:rsidR="00E567B5" w:rsidRPr="00C65707" w:rsidRDefault="00E567B5" w:rsidP="00CE5678">
            <w:pPr>
              <w:pStyle w:val="Header"/>
              <w:widowControl w:val="0"/>
              <w:tabs>
                <w:tab w:val="left" w:pos="284"/>
              </w:tabs>
              <w:jc w:val="both"/>
              <w:rPr>
                <w:b/>
                <w:sz w:val="22"/>
                <w:szCs w:val="22"/>
              </w:rPr>
            </w:pPr>
            <w:r w:rsidRPr="00C65707">
              <w:rPr>
                <w:b/>
                <w:sz w:val="22"/>
                <w:szCs w:val="22"/>
              </w:rPr>
              <w:t xml:space="preserve">MedDRA klasifikacija sistema organa </w:t>
            </w:r>
          </w:p>
        </w:tc>
        <w:tc>
          <w:tcPr>
            <w:tcW w:w="4209" w:type="pct"/>
            <w:gridSpan w:val="5"/>
            <w:vAlign w:val="center"/>
          </w:tcPr>
          <w:p w14:paraId="4982E423" w14:textId="3319C043" w:rsidR="00E567B5" w:rsidRPr="00CE5678" w:rsidRDefault="00E567B5" w:rsidP="00CE5678">
            <w:pPr>
              <w:widowControl w:val="0"/>
              <w:jc w:val="center"/>
              <w:rPr>
                <w:sz w:val="22"/>
                <w:szCs w:val="22"/>
              </w:rPr>
            </w:pPr>
            <w:r w:rsidRPr="00C65707">
              <w:rPr>
                <w:b/>
                <w:bCs/>
                <w:color w:val="1A1A1A"/>
                <w:sz w:val="22"/>
                <w:szCs w:val="22"/>
                <w:lang w:eastAsia="en-GB"/>
              </w:rPr>
              <w:t>Kategorije učestalosti sa preporučenim terminima</w:t>
            </w:r>
          </w:p>
        </w:tc>
      </w:tr>
      <w:tr w:rsidR="009759B0" w:rsidRPr="00C65707" w14:paraId="22AA0F66" w14:textId="3F5AFD82" w:rsidTr="009759B0">
        <w:tc>
          <w:tcPr>
            <w:tcW w:w="791" w:type="pct"/>
            <w:vMerge/>
            <w:vAlign w:val="center"/>
          </w:tcPr>
          <w:p w14:paraId="344F9446" w14:textId="77777777" w:rsidR="00E567B5" w:rsidRPr="00C65707" w:rsidRDefault="00E567B5" w:rsidP="00CE5678">
            <w:pPr>
              <w:pStyle w:val="Header"/>
              <w:widowControl w:val="0"/>
              <w:tabs>
                <w:tab w:val="left" w:pos="284"/>
              </w:tabs>
              <w:jc w:val="both"/>
              <w:rPr>
                <w:b/>
                <w:sz w:val="22"/>
                <w:szCs w:val="22"/>
              </w:rPr>
            </w:pPr>
          </w:p>
        </w:tc>
        <w:tc>
          <w:tcPr>
            <w:tcW w:w="977" w:type="pct"/>
            <w:vAlign w:val="center"/>
          </w:tcPr>
          <w:p w14:paraId="6BF8077C" w14:textId="0D20BD52" w:rsidR="00E567B5" w:rsidRPr="00C65707" w:rsidRDefault="00E567B5" w:rsidP="00CE5678">
            <w:pPr>
              <w:pStyle w:val="Header"/>
              <w:widowControl w:val="0"/>
              <w:tabs>
                <w:tab w:val="left" w:pos="284"/>
              </w:tabs>
              <w:jc w:val="both"/>
              <w:rPr>
                <w:b/>
                <w:sz w:val="22"/>
                <w:szCs w:val="22"/>
              </w:rPr>
            </w:pPr>
            <w:r w:rsidRPr="00C65707">
              <w:rPr>
                <w:b/>
                <w:sz w:val="22"/>
                <w:szCs w:val="22"/>
              </w:rPr>
              <w:t>Veoma čest</w:t>
            </w:r>
            <w:r w:rsidR="00397DA8">
              <w:rPr>
                <w:b/>
                <w:sz w:val="22"/>
                <w:szCs w:val="22"/>
              </w:rPr>
              <w:t>o</w:t>
            </w:r>
          </w:p>
        </w:tc>
        <w:tc>
          <w:tcPr>
            <w:tcW w:w="972" w:type="pct"/>
            <w:vAlign w:val="center"/>
          </w:tcPr>
          <w:p w14:paraId="254419E2" w14:textId="3C0B9841" w:rsidR="00E567B5" w:rsidRPr="00C65707" w:rsidRDefault="00E567B5" w:rsidP="00CE5678">
            <w:pPr>
              <w:pStyle w:val="Header"/>
              <w:widowControl w:val="0"/>
              <w:tabs>
                <w:tab w:val="left" w:pos="284"/>
              </w:tabs>
              <w:jc w:val="both"/>
              <w:rPr>
                <w:b/>
                <w:sz w:val="22"/>
                <w:szCs w:val="22"/>
              </w:rPr>
            </w:pPr>
            <w:r w:rsidRPr="00C65707">
              <w:rPr>
                <w:b/>
                <w:sz w:val="22"/>
                <w:szCs w:val="22"/>
              </w:rPr>
              <w:t>Čest</w:t>
            </w:r>
            <w:r w:rsidR="00397DA8">
              <w:rPr>
                <w:b/>
                <w:sz w:val="22"/>
                <w:szCs w:val="22"/>
              </w:rPr>
              <w:t>o</w:t>
            </w:r>
          </w:p>
        </w:tc>
        <w:tc>
          <w:tcPr>
            <w:tcW w:w="927" w:type="pct"/>
            <w:vAlign w:val="center"/>
          </w:tcPr>
          <w:p w14:paraId="40A1B411" w14:textId="23DCC890" w:rsidR="00E567B5" w:rsidRPr="00C65707" w:rsidRDefault="00E567B5" w:rsidP="00CE5678">
            <w:pPr>
              <w:pStyle w:val="Header"/>
              <w:widowControl w:val="0"/>
              <w:tabs>
                <w:tab w:val="left" w:pos="284"/>
              </w:tabs>
              <w:jc w:val="both"/>
              <w:rPr>
                <w:b/>
                <w:sz w:val="22"/>
                <w:szCs w:val="22"/>
              </w:rPr>
            </w:pPr>
            <w:r w:rsidRPr="00C65707">
              <w:rPr>
                <w:b/>
                <w:sz w:val="22"/>
                <w:szCs w:val="22"/>
              </w:rPr>
              <w:t>Povremen</w:t>
            </w:r>
            <w:r w:rsidR="00397DA8">
              <w:rPr>
                <w:b/>
                <w:sz w:val="22"/>
                <w:szCs w:val="22"/>
              </w:rPr>
              <w:t>o</w:t>
            </w:r>
          </w:p>
        </w:tc>
        <w:tc>
          <w:tcPr>
            <w:tcW w:w="633" w:type="pct"/>
            <w:vAlign w:val="center"/>
          </w:tcPr>
          <w:p w14:paraId="1685B629" w14:textId="77777777" w:rsidR="00E567B5" w:rsidRPr="00C65707" w:rsidRDefault="00E567B5" w:rsidP="00CE5678">
            <w:pPr>
              <w:pStyle w:val="Header"/>
              <w:widowControl w:val="0"/>
              <w:tabs>
                <w:tab w:val="left" w:pos="284"/>
              </w:tabs>
              <w:jc w:val="both"/>
              <w:rPr>
                <w:b/>
                <w:sz w:val="22"/>
                <w:szCs w:val="22"/>
              </w:rPr>
            </w:pPr>
            <w:r w:rsidRPr="00C65707">
              <w:rPr>
                <w:b/>
                <w:sz w:val="22"/>
                <w:szCs w:val="22"/>
              </w:rPr>
              <w:t>Rijetko</w:t>
            </w:r>
          </w:p>
        </w:tc>
        <w:tc>
          <w:tcPr>
            <w:tcW w:w="701" w:type="pct"/>
          </w:tcPr>
          <w:p w14:paraId="20BC31C8" w14:textId="6806F2B5" w:rsidR="00E567B5" w:rsidRPr="00C65707" w:rsidRDefault="00E567B5" w:rsidP="00CE5678">
            <w:pPr>
              <w:widowControl w:val="0"/>
              <w:jc w:val="both"/>
              <w:rPr>
                <w:sz w:val="22"/>
                <w:szCs w:val="22"/>
              </w:rPr>
            </w:pPr>
            <w:r w:rsidRPr="00C65707">
              <w:rPr>
                <w:b/>
                <w:sz w:val="22"/>
                <w:szCs w:val="22"/>
              </w:rPr>
              <w:t>V</w:t>
            </w:r>
            <w:r w:rsidR="00397DA8">
              <w:rPr>
                <w:b/>
                <w:sz w:val="22"/>
                <w:szCs w:val="22"/>
              </w:rPr>
              <w:t>eoma</w:t>
            </w:r>
            <w:r w:rsidRPr="00C65707">
              <w:rPr>
                <w:b/>
                <w:sz w:val="22"/>
                <w:szCs w:val="22"/>
              </w:rPr>
              <w:t xml:space="preserve"> rijetko</w:t>
            </w:r>
          </w:p>
        </w:tc>
      </w:tr>
      <w:tr w:rsidR="009759B0" w:rsidRPr="00C65707" w14:paraId="72534B50" w14:textId="0206FF28" w:rsidTr="009759B0">
        <w:tc>
          <w:tcPr>
            <w:tcW w:w="791" w:type="pct"/>
            <w:vAlign w:val="center"/>
          </w:tcPr>
          <w:p w14:paraId="711D80FC" w14:textId="77777777" w:rsidR="00E567B5" w:rsidRPr="00C65707" w:rsidRDefault="00E567B5" w:rsidP="00CE5678">
            <w:pPr>
              <w:pStyle w:val="Header"/>
              <w:widowControl w:val="0"/>
              <w:tabs>
                <w:tab w:val="left" w:pos="284"/>
              </w:tabs>
              <w:jc w:val="both"/>
              <w:rPr>
                <w:sz w:val="22"/>
                <w:szCs w:val="22"/>
              </w:rPr>
            </w:pPr>
            <w:r w:rsidRPr="00C65707">
              <w:rPr>
                <w:sz w:val="22"/>
                <w:szCs w:val="22"/>
              </w:rPr>
              <w:t>Infekcije i infestacije</w:t>
            </w:r>
          </w:p>
        </w:tc>
        <w:tc>
          <w:tcPr>
            <w:tcW w:w="977" w:type="pct"/>
            <w:vAlign w:val="center"/>
          </w:tcPr>
          <w:p w14:paraId="13EA47F3" w14:textId="77777777" w:rsidR="00E567B5" w:rsidRPr="002B3647" w:rsidRDefault="00E567B5" w:rsidP="00CE5678">
            <w:pPr>
              <w:pStyle w:val="Header"/>
              <w:widowControl w:val="0"/>
              <w:tabs>
                <w:tab w:val="left" w:pos="284"/>
              </w:tabs>
              <w:jc w:val="both"/>
              <w:rPr>
                <w:sz w:val="22"/>
                <w:szCs w:val="22"/>
              </w:rPr>
            </w:pPr>
            <w:r w:rsidRPr="002B3647">
              <w:rPr>
                <w:sz w:val="22"/>
                <w:szCs w:val="22"/>
              </w:rPr>
              <w:t>Infekcije gornjih disajnih puteva</w:t>
            </w:r>
          </w:p>
        </w:tc>
        <w:tc>
          <w:tcPr>
            <w:tcW w:w="972" w:type="pct"/>
            <w:vAlign w:val="center"/>
          </w:tcPr>
          <w:p w14:paraId="1DD6E742" w14:textId="77777777" w:rsidR="00E567B5" w:rsidRPr="00C65707" w:rsidRDefault="00E567B5" w:rsidP="00CE5678">
            <w:pPr>
              <w:pStyle w:val="Header"/>
              <w:widowControl w:val="0"/>
              <w:tabs>
                <w:tab w:val="left" w:pos="284"/>
              </w:tabs>
              <w:jc w:val="both"/>
              <w:rPr>
                <w:sz w:val="22"/>
                <w:szCs w:val="22"/>
              </w:rPr>
            </w:pPr>
            <w:r w:rsidRPr="00C65707">
              <w:rPr>
                <w:sz w:val="22"/>
                <w:szCs w:val="22"/>
              </w:rPr>
              <w:t>Celulitis, pneumonija, oralni herpes simplex, herpes zoster</w:t>
            </w:r>
          </w:p>
        </w:tc>
        <w:tc>
          <w:tcPr>
            <w:tcW w:w="927" w:type="pct"/>
            <w:vAlign w:val="center"/>
          </w:tcPr>
          <w:p w14:paraId="5872885F" w14:textId="77777777" w:rsidR="00E567B5" w:rsidRPr="00C65707" w:rsidRDefault="00E567B5" w:rsidP="00CE5678">
            <w:pPr>
              <w:pStyle w:val="Header"/>
              <w:widowControl w:val="0"/>
              <w:tabs>
                <w:tab w:val="left" w:pos="284"/>
              </w:tabs>
              <w:jc w:val="both"/>
              <w:rPr>
                <w:sz w:val="22"/>
                <w:szCs w:val="22"/>
              </w:rPr>
            </w:pPr>
            <w:r w:rsidRPr="00C65707">
              <w:rPr>
                <w:sz w:val="22"/>
                <w:szCs w:val="22"/>
              </w:rPr>
              <w:t>Divertikulitis</w:t>
            </w:r>
          </w:p>
        </w:tc>
        <w:tc>
          <w:tcPr>
            <w:tcW w:w="633" w:type="pct"/>
          </w:tcPr>
          <w:p w14:paraId="3CE68399" w14:textId="77777777" w:rsidR="00E567B5" w:rsidRPr="00C65707" w:rsidRDefault="00E567B5" w:rsidP="00CE5678">
            <w:pPr>
              <w:pStyle w:val="Header"/>
              <w:widowControl w:val="0"/>
              <w:tabs>
                <w:tab w:val="left" w:pos="284"/>
              </w:tabs>
              <w:jc w:val="both"/>
              <w:rPr>
                <w:sz w:val="22"/>
                <w:szCs w:val="22"/>
              </w:rPr>
            </w:pPr>
          </w:p>
        </w:tc>
        <w:tc>
          <w:tcPr>
            <w:tcW w:w="701" w:type="pct"/>
          </w:tcPr>
          <w:p w14:paraId="617758C0" w14:textId="77777777" w:rsidR="00E567B5" w:rsidRPr="00CE5678" w:rsidRDefault="00E567B5" w:rsidP="00CE5678">
            <w:pPr>
              <w:widowControl w:val="0"/>
              <w:jc w:val="both"/>
              <w:rPr>
                <w:sz w:val="22"/>
                <w:szCs w:val="22"/>
              </w:rPr>
            </w:pPr>
          </w:p>
        </w:tc>
      </w:tr>
      <w:tr w:rsidR="009759B0" w:rsidRPr="00C65707" w14:paraId="735212BF" w14:textId="3A94B8EF" w:rsidTr="009759B0">
        <w:tc>
          <w:tcPr>
            <w:tcW w:w="791" w:type="pct"/>
            <w:vAlign w:val="center"/>
          </w:tcPr>
          <w:p w14:paraId="007D27E3" w14:textId="77777777" w:rsidR="00E567B5" w:rsidRPr="00C65707" w:rsidRDefault="00E567B5" w:rsidP="00CE5678">
            <w:pPr>
              <w:pStyle w:val="Header"/>
              <w:widowControl w:val="0"/>
              <w:tabs>
                <w:tab w:val="left" w:pos="284"/>
              </w:tabs>
              <w:jc w:val="both"/>
              <w:rPr>
                <w:sz w:val="22"/>
                <w:szCs w:val="22"/>
              </w:rPr>
            </w:pPr>
            <w:r w:rsidRPr="00C65707">
              <w:rPr>
                <w:sz w:val="22"/>
                <w:szCs w:val="22"/>
              </w:rPr>
              <w:t>Poremećaji krvi i limfnog sistema</w:t>
            </w:r>
          </w:p>
        </w:tc>
        <w:tc>
          <w:tcPr>
            <w:tcW w:w="977" w:type="pct"/>
            <w:vAlign w:val="center"/>
          </w:tcPr>
          <w:p w14:paraId="5C6FF1A0" w14:textId="77777777" w:rsidR="00E567B5" w:rsidRPr="002B3647" w:rsidRDefault="00E567B5" w:rsidP="00CE5678">
            <w:pPr>
              <w:pStyle w:val="Header"/>
              <w:widowControl w:val="0"/>
              <w:tabs>
                <w:tab w:val="left" w:pos="284"/>
              </w:tabs>
              <w:jc w:val="both"/>
              <w:rPr>
                <w:sz w:val="22"/>
                <w:szCs w:val="22"/>
              </w:rPr>
            </w:pPr>
          </w:p>
        </w:tc>
        <w:tc>
          <w:tcPr>
            <w:tcW w:w="972" w:type="pct"/>
            <w:vAlign w:val="center"/>
          </w:tcPr>
          <w:p w14:paraId="4D956FE0" w14:textId="77777777" w:rsidR="00E567B5" w:rsidRPr="00C65707" w:rsidRDefault="00E567B5" w:rsidP="00CE5678">
            <w:pPr>
              <w:pStyle w:val="Header"/>
              <w:widowControl w:val="0"/>
              <w:tabs>
                <w:tab w:val="left" w:pos="284"/>
              </w:tabs>
              <w:jc w:val="both"/>
              <w:rPr>
                <w:sz w:val="22"/>
                <w:szCs w:val="22"/>
              </w:rPr>
            </w:pPr>
            <w:r w:rsidRPr="00C65707">
              <w:rPr>
                <w:sz w:val="22"/>
                <w:szCs w:val="22"/>
              </w:rPr>
              <w:t xml:space="preserve">Leukopenija, </w:t>
            </w:r>
          </w:p>
          <w:p w14:paraId="78F1C721" w14:textId="77777777" w:rsidR="00E567B5" w:rsidRPr="00C65707" w:rsidRDefault="00E567B5" w:rsidP="00CE5678">
            <w:pPr>
              <w:pStyle w:val="Header"/>
              <w:widowControl w:val="0"/>
              <w:tabs>
                <w:tab w:val="left" w:pos="284"/>
              </w:tabs>
              <w:jc w:val="both"/>
              <w:rPr>
                <w:sz w:val="22"/>
                <w:szCs w:val="22"/>
              </w:rPr>
            </w:pPr>
            <w:r w:rsidRPr="00C65707">
              <w:rPr>
                <w:sz w:val="22"/>
                <w:szCs w:val="22"/>
              </w:rPr>
              <w:t>Neutropenija, Hipofibrinogenemija</w:t>
            </w:r>
          </w:p>
        </w:tc>
        <w:tc>
          <w:tcPr>
            <w:tcW w:w="927" w:type="pct"/>
            <w:vAlign w:val="center"/>
          </w:tcPr>
          <w:p w14:paraId="6E712643" w14:textId="77777777" w:rsidR="00E567B5" w:rsidRPr="00C65707" w:rsidRDefault="00E567B5" w:rsidP="00CE5678">
            <w:pPr>
              <w:pStyle w:val="Header"/>
              <w:widowControl w:val="0"/>
              <w:tabs>
                <w:tab w:val="left" w:pos="284"/>
              </w:tabs>
              <w:jc w:val="both"/>
              <w:rPr>
                <w:sz w:val="22"/>
                <w:szCs w:val="22"/>
              </w:rPr>
            </w:pPr>
          </w:p>
        </w:tc>
        <w:tc>
          <w:tcPr>
            <w:tcW w:w="633" w:type="pct"/>
          </w:tcPr>
          <w:p w14:paraId="05D5BA20" w14:textId="77777777" w:rsidR="00E567B5" w:rsidRPr="00C65707" w:rsidRDefault="00E567B5" w:rsidP="00CE5678">
            <w:pPr>
              <w:pStyle w:val="Header"/>
              <w:widowControl w:val="0"/>
              <w:tabs>
                <w:tab w:val="left" w:pos="284"/>
              </w:tabs>
              <w:jc w:val="both"/>
              <w:rPr>
                <w:sz w:val="22"/>
                <w:szCs w:val="22"/>
              </w:rPr>
            </w:pPr>
          </w:p>
        </w:tc>
        <w:tc>
          <w:tcPr>
            <w:tcW w:w="701" w:type="pct"/>
          </w:tcPr>
          <w:p w14:paraId="76878AFA" w14:textId="77777777" w:rsidR="00E567B5" w:rsidRPr="00CE5678" w:rsidRDefault="00E567B5" w:rsidP="00CE5678">
            <w:pPr>
              <w:widowControl w:val="0"/>
              <w:jc w:val="both"/>
              <w:rPr>
                <w:sz w:val="22"/>
                <w:szCs w:val="22"/>
              </w:rPr>
            </w:pPr>
          </w:p>
        </w:tc>
      </w:tr>
      <w:tr w:rsidR="009759B0" w:rsidRPr="00C65707" w14:paraId="4B06572F" w14:textId="48EB9713" w:rsidTr="009759B0">
        <w:tc>
          <w:tcPr>
            <w:tcW w:w="791" w:type="pct"/>
          </w:tcPr>
          <w:p w14:paraId="2EA62146" w14:textId="77777777" w:rsidR="00E567B5" w:rsidRPr="00C65707" w:rsidRDefault="00E567B5" w:rsidP="00CE5678">
            <w:pPr>
              <w:pStyle w:val="Header"/>
              <w:widowControl w:val="0"/>
              <w:tabs>
                <w:tab w:val="left" w:pos="284"/>
              </w:tabs>
              <w:jc w:val="both"/>
              <w:rPr>
                <w:sz w:val="22"/>
                <w:szCs w:val="22"/>
              </w:rPr>
            </w:pPr>
            <w:r w:rsidRPr="00C65707">
              <w:rPr>
                <w:color w:val="1A1A1A"/>
                <w:sz w:val="22"/>
                <w:szCs w:val="22"/>
                <w:lang w:eastAsia="en-GB"/>
              </w:rPr>
              <w:t>Poremećaji imunskog sistema</w:t>
            </w:r>
          </w:p>
        </w:tc>
        <w:tc>
          <w:tcPr>
            <w:tcW w:w="977" w:type="pct"/>
          </w:tcPr>
          <w:p w14:paraId="365745E2" w14:textId="77777777" w:rsidR="00E567B5" w:rsidRPr="002B3647" w:rsidRDefault="00E567B5" w:rsidP="00CE5678">
            <w:pPr>
              <w:pStyle w:val="Header"/>
              <w:widowControl w:val="0"/>
              <w:tabs>
                <w:tab w:val="left" w:pos="284"/>
              </w:tabs>
              <w:jc w:val="both"/>
              <w:rPr>
                <w:sz w:val="22"/>
                <w:szCs w:val="22"/>
              </w:rPr>
            </w:pPr>
          </w:p>
        </w:tc>
        <w:tc>
          <w:tcPr>
            <w:tcW w:w="972" w:type="pct"/>
          </w:tcPr>
          <w:p w14:paraId="4D20C591" w14:textId="77777777" w:rsidR="00E567B5" w:rsidRPr="00C65707" w:rsidRDefault="00E567B5" w:rsidP="00CE5678">
            <w:pPr>
              <w:pStyle w:val="Header"/>
              <w:widowControl w:val="0"/>
              <w:tabs>
                <w:tab w:val="left" w:pos="284"/>
              </w:tabs>
              <w:jc w:val="both"/>
              <w:rPr>
                <w:sz w:val="22"/>
                <w:szCs w:val="22"/>
              </w:rPr>
            </w:pPr>
          </w:p>
        </w:tc>
        <w:tc>
          <w:tcPr>
            <w:tcW w:w="927" w:type="pct"/>
          </w:tcPr>
          <w:p w14:paraId="7D483D0A" w14:textId="77777777" w:rsidR="00E567B5" w:rsidRPr="00C65707" w:rsidRDefault="00E567B5" w:rsidP="00CE5678">
            <w:pPr>
              <w:pStyle w:val="Header"/>
              <w:widowControl w:val="0"/>
              <w:tabs>
                <w:tab w:val="left" w:pos="284"/>
              </w:tabs>
              <w:jc w:val="both"/>
              <w:rPr>
                <w:sz w:val="22"/>
                <w:szCs w:val="22"/>
              </w:rPr>
            </w:pPr>
          </w:p>
        </w:tc>
        <w:tc>
          <w:tcPr>
            <w:tcW w:w="633" w:type="pct"/>
          </w:tcPr>
          <w:p w14:paraId="575AA204" w14:textId="77777777" w:rsidR="00E567B5" w:rsidRPr="00C65707" w:rsidRDefault="00E567B5" w:rsidP="00CE5678">
            <w:pPr>
              <w:pStyle w:val="Header"/>
              <w:widowControl w:val="0"/>
              <w:tabs>
                <w:tab w:val="left" w:pos="284"/>
              </w:tabs>
              <w:jc w:val="both"/>
              <w:rPr>
                <w:sz w:val="22"/>
                <w:szCs w:val="22"/>
              </w:rPr>
            </w:pPr>
            <w:r w:rsidRPr="00C65707">
              <w:rPr>
                <w:color w:val="1A1A1A"/>
                <w:sz w:val="22"/>
                <w:szCs w:val="22"/>
                <w:lang w:eastAsia="en-GB"/>
              </w:rPr>
              <w:t>Anafilaksa (sa smrtnim ishodom)</w:t>
            </w:r>
            <w:r w:rsidRPr="00C65707">
              <w:rPr>
                <w:color w:val="1A1A1A"/>
                <w:sz w:val="22"/>
                <w:szCs w:val="22"/>
                <w:vertAlign w:val="superscript"/>
                <w:lang w:eastAsia="en-GB"/>
              </w:rPr>
              <w:t>1,2,3</w:t>
            </w:r>
          </w:p>
        </w:tc>
        <w:tc>
          <w:tcPr>
            <w:tcW w:w="701" w:type="pct"/>
          </w:tcPr>
          <w:p w14:paraId="110F904B" w14:textId="77777777" w:rsidR="00E567B5" w:rsidRPr="00CE5678" w:rsidRDefault="00E567B5" w:rsidP="00CE5678">
            <w:pPr>
              <w:widowControl w:val="0"/>
              <w:jc w:val="both"/>
              <w:rPr>
                <w:sz w:val="22"/>
                <w:szCs w:val="22"/>
              </w:rPr>
            </w:pPr>
          </w:p>
        </w:tc>
      </w:tr>
      <w:tr w:rsidR="009759B0" w:rsidRPr="00C65707" w14:paraId="4FE3D368" w14:textId="1D1F3F4D" w:rsidTr="009759B0">
        <w:tc>
          <w:tcPr>
            <w:tcW w:w="791" w:type="pct"/>
            <w:vAlign w:val="center"/>
          </w:tcPr>
          <w:p w14:paraId="4D4B76D9" w14:textId="77777777" w:rsidR="00E567B5" w:rsidRPr="00C65707" w:rsidRDefault="00E567B5" w:rsidP="00CE5678">
            <w:pPr>
              <w:pStyle w:val="Header"/>
              <w:widowControl w:val="0"/>
              <w:tabs>
                <w:tab w:val="left" w:pos="284"/>
              </w:tabs>
              <w:ind w:left="-110"/>
              <w:jc w:val="both"/>
              <w:rPr>
                <w:sz w:val="22"/>
                <w:szCs w:val="22"/>
              </w:rPr>
            </w:pPr>
            <w:r w:rsidRPr="00C65707">
              <w:rPr>
                <w:sz w:val="22"/>
                <w:szCs w:val="22"/>
              </w:rPr>
              <w:t>Endokrinološki poremećaji</w:t>
            </w:r>
          </w:p>
          <w:p w14:paraId="631B3554" w14:textId="77777777" w:rsidR="00E567B5" w:rsidRPr="002B3647" w:rsidRDefault="00E567B5" w:rsidP="00CE5678">
            <w:pPr>
              <w:pStyle w:val="Header"/>
              <w:widowControl w:val="0"/>
              <w:tabs>
                <w:tab w:val="left" w:pos="284"/>
              </w:tabs>
              <w:ind w:left="-110"/>
              <w:jc w:val="both"/>
              <w:rPr>
                <w:sz w:val="22"/>
                <w:szCs w:val="22"/>
              </w:rPr>
            </w:pPr>
          </w:p>
        </w:tc>
        <w:tc>
          <w:tcPr>
            <w:tcW w:w="977" w:type="pct"/>
            <w:vAlign w:val="center"/>
          </w:tcPr>
          <w:p w14:paraId="25D9B0D5" w14:textId="77777777" w:rsidR="00E567B5" w:rsidRPr="00C65707" w:rsidRDefault="00E567B5" w:rsidP="00CE5678">
            <w:pPr>
              <w:pStyle w:val="Header"/>
              <w:widowControl w:val="0"/>
              <w:tabs>
                <w:tab w:val="left" w:pos="284"/>
              </w:tabs>
              <w:ind w:left="-110"/>
              <w:jc w:val="both"/>
              <w:rPr>
                <w:sz w:val="22"/>
                <w:szCs w:val="22"/>
              </w:rPr>
            </w:pPr>
          </w:p>
        </w:tc>
        <w:tc>
          <w:tcPr>
            <w:tcW w:w="972" w:type="pct"/>
            <w:vAlign w:val="center"/>
          </w:tcPr>
          <w:p w14:paraId="2B61A2A3" w14:textId="77777777" w:rsidR="00E567B5" w:rsidRPr="00C65707" w:rsidRDefault="00E567B5" w:rsidP="00CE5678">
            <w:pPr>
              <w:pStyle w:val="Header"/>
              <w:widowControl w:val="0"/>
              <w:tabs>
                <w:tab w:val="left" w:pos="284"/>
              </w:tabs>
              <w:ind w:left="-110"/>
              <w:jc w:val="both"/>
              <w:rPr>
                <w:sz w:val="22"/>
                <w:szCs w:val="22"/>
              </w:rPr>
            </w:pPr>
          </w:p>
        </w:tc>
        <w:tc>
          <w:tcPr>
            <w:tcW w:w="927" w:type="pct"/>
            <w:vAlign w:val="center"/>
          </w:tcPr>
          <w:p w14:paraId="5BA91716" w14:textId="77777777" w:rsidR="00E567B5" w:rsidRPr="00C65707" w:rsidRDefault="00E567B5" w:rsidP="00CE5678">
            <w:pPr>
              <w:pStyle w:val="Header"/>
              <w:widowControl w:val="0"/>
              <w:tabs>
                <w:tab w:val="left" w:pos="284"/>
              </w:tabs>
              <w:ind w:left="-110"/>
              <w:jc w:val="both"/>
              <w:rPr>
                <w:sz w:val="22"/>
                <w:szCs w:val="22"/>
              </w:rPr>
            </w:pPr>
            <w:r w:rsidRPr="00C65707">
              <w:rPr>
                <w:sz w:val="22"/>
                <w:szCs w:val="22"/>
              </w:rPr>
              <w:t>Hipotireoidizam</w:t>
            </w:r>
          </w:p>
        </w:tc>
        <w:tc>
          <w:tcPr>
            <w:tcW w:w="633" w:type="pct"/>
          </w:tcPr>
          <w:p w14:paraId="00E798F6" w14:textId="77777777" w:rsidR="00E567B5" w:rsidRPr="00C65707" w:rsidRDefault="00E567B5" w:rsidP="00CE5678">
            <w:pPr>
              <w:pStyle w:val="Header"/>
              <w:widowControl w:val="0"/>
              <w:tabs>
                <w:tab w:val="left" w:pos="284"/>
              </w:tabs>
              <w:ind w:left="-110"/>
              <w:jc w:val="both"/>
              <w:rPr>
                <w:sz w:val="22"/>
                <w:szCs w:val="22"/>
              </w:rPr>
            </w:pPr>
          </w:p>
        </w:tc>
        <w:tc>
          <w:tcPr>
            <w:tcW w:w="701" w:type="pct"/>
          </w:tcPr>
          <w:p w14:paraId="52CC2D56" w14:textId="77777777" w:rsidR="00E567B5" w:rsidRPr="00CE5678" w:rsidRDefault="00E567B5" w:rsidP="00CE5678">
            <w:pPr>
              <w:widowControl w:val="0"/>
              <w:jc w:val="both"/>
              <w:rPr>
                <w:sz w:val="22"/>
                <w:szCs w:val="22"/>
              </w:rPr>
            </w:pPr>
          </w:p>
        </w:tc>
      </w:tr>
      <w:tr w:rsidR="009759B0" w:rsidRPr="00C65707" w14:paraId="59FB6156" w14:textId="1797DCE2" w:rsidTr="009759B0">
        <w:tc>
          <w:tcPr>
            <w:tcW w:w="791" w:type="pct"/>
            <w:vAlign w:val="center"/>
          </w:tcPr>
          <w:p w14:paraId="723225E7" w14:textId="77777777" w:rsidR="00E567B5" w:rsidRPr="00C65707" w:rsidRDefault="00E567B5" w:rsidP="00CE5678">
            <w:pPr>
              <w:pStyle w:val="Header"/>
              <w:widowControl w:val="0"/>
              <w:tabs>
                <w:tab w:val="left" w:pos="284"/>
              </w:tabs>
              <w:ind w:left="-110"/>
              <w:jc w:val="both"/>
              <w:rPr>
                <w:sz w:val="22"/>
                <w:szCs w:val="22"/>
              </w:rPr>
            </w:pPr>
            <w:r w:rsidRPr="00C65707">
              <w:rPr>
                <w:sz w:val="22"/>
                <w:szCs w:val="22"/>
              </w:rPr>
              <w:t>Poremećaji metabolizma</w:t>
            </w:r>
          </w:p>
          <w:p w14:paraId="08E51485" w14:textId="77777777" w:rsidR="00E567B5" w:rsidRPr="002B3647" w:rsidRDefault="00E567B5" w:rsidP="00CE5678">
            <w:pPr>
              <w:pStyle w:val="Header"/>
              <w:widowControl w:val="0"/>
              <w:tabs>
                <w:tab w:val="left" w:pos="284"/>
              </w:tabs>
              <w:ind w:left="-110"/>
              <w:jc w:val="both"/>
              <w:rPr>
                <w:sz w:val="22"/>
                <w:szCs w:val="22"/>
              </w:rPr>
            </w:pPr>
            <w:r w:rsidRPr="002B3647">
              <w:rPr>
                <w:sz w:val="22"/>
                <w:szCs w:val="22"/>
              </w:rPr>
              <w:t>i ishrane</w:t>
            </w:r>
          </w:p>
        </w:tc>
        <w:tc>
          <w:tcPr>
            <w:tcW w:w="977" w:type="pct"/>
            <w:vAlign w:val="center"/>
          </w:tcPr>
          <w:p w14:paraId="5750E0B2" w14:textId="77777777" w:rsidR="00E567B5" w:rsidRPr="00C65707" w:rsidRDefault="00E567B5" w:rsidP="00CE5678">
            <w:pPr>
              <w:pStyle w:val="Header"/>
              <w:widowControl w:val="0"/>
              <w:tabs>
                <w:tab w:val="left" w:pos="284"/>
              </w:tabs>
              <w:ind w:left="-110"/>
              <w:jc w:val="both"/>
              <w:rPr>
                <w:sz w:val="22"/>
                <w:szCs w:val="22"/>
              </w:rPr>
            </w:pPr>
            <w:r w:rsidRPr="00C65707">
              <w:rPr>
                <w:sz w:val="22"/>
                <w:szCs w:val="22"/>
              </w:rPr>
              <w:t>Hiperholesterolemija*</w:t>
            </w:r>
          </w:p>
        </w:tc>
        <w:tc>
          <w:tcPr>
            <w:tcW w:w="972" w:type="pct"/>
            <w:vAlign w:val="center"/>
          </w:tcPr>
          <w:p w14:paraId="54C8F736" w14:textId="77777777" w:rsidR="00E567B5" w:rsidRPr="00C65707" w:rsidRDefault="00E567B5" w:rsidP="00CE5678">
            <w:pPr>
              <w:pStyle w:val="Header"/>
              <w:widowControl w:val="0"/>
              <w:tabs>
                <w:tab w:val="left" w:pos="284"/>
              </w:tabs>
              <w:ind w:left="-110"/>
              <w:jc w:val="both"/>
              <w:rPr>
                <w:sz w:val="22"/>
                <w:szCs w:val="22"/>
              </w:rPr>
            </w:pPr>
          </w:p>
        </w:tc>
        <w:tc>
          <w:tcPr>
            <w:tcW w:w="927" w:type="pct"/>
            <w:vAlign w:val="center"/>
          </w:tcPr>
          <w:p w14:paraId="3CC0B7B2" w14:textId="77777777" w:rsidR="00E567B5" w:rsidRPr="00C65707" w:rsidRDefault="00E567B5" w:rsidP="00CE5678">
            <w:pPr>
              <w:pStyle w:val="Header"/>
              <w:widowControl w:val="0"/>
              <w:tabs>
                <w:tab w:val="left" w:pos="284"/>
              </w:tabs>
              <w:ind w:left="-110"/>
              <w:jc w:val="both"/>
              <w:rPr>
                <w:sz w:val="22"/>
                <w:szCs w:val="22"/>
              </w:rPr>
            </w:pPr>
            <w:r w:rsidRPr="00C65707">
              <w:rPr>
                <w:sz w:val="22"/>
                <w:szCs w:val="22"/>
              </w:rPr>
              <w:t>Hipertrigliceridemija</w:t>
            </w:r>
          </w:p>
        </w:tc>
        <w:tc>
          <w:tcPr>
            <w:tcW w:w="633" w:type="pct"/>
          </w:tcPr>
          <w:p w14:paraId="485402C7" w14:textId="77777777" w:rsidR="00E567B5" w:rsidRPr="00C65707" w:rsidRDefault="00E567B5" w:rsidP="00CE5678">
            <w:pPr>
              <w:pStyle w:val="Header"/>
              <w:widowControl w:val="0"/>
              <w:tabs>
                <w:tab w:val="left" w:pos="284"/>
              </w:tabs>
              <w:ind w:left="-110"/>
              <w:jc w:val="both"/>
              <w:rPr>
                <w:sz w:val="22"/>
                <w:szCs w:val="22"/>
              </w:rPr>
            </w:pPr>
          </w:p>
        </w:tc>
        <w:tc>
          <w:tcPr>
            <w:tcW w:w="701" w:type="pct"/>
          </w:tcPr>
          <w:p w14:paraId="380196C1" w14:textId="77777777" w:rsidR="00E567B5" w:rsidRPr="00CE5678" w:rsidRDefault="00E567B5" w:rsidP="00CE5678">
            <w:pPr>
              <w:widowControl w:val="0"/>
              <w:jc w:val="both"/>
              <w:rPr>
                <w:sz w:val="22"/>
                <w:szCs w:val="22"/>
              </w:rPr>
            </w:pPr>
          </w:p>
        </w:tc>
      </w:tr>
      <w:tr w:rsidR="009759B0" w:rsidRPr="00C65707" w14:paraId="1AD8778E" w14:textId="30013CFC" w:rsidTr="009759B0">
        <w:tc>
          <w:tcPr>
            <w:tcW w:w="791" w:type="pct"/>
            <w:vAlign w:val="center"/>
          </w:tcPr>
          <w:p w14:paraId="1BD2004E" w14:textId="77777777" w:rsidR="00E567B5" w:rsidRPr="00C65707" w:rsidRDefault="00E567B5" w:rsidP="00CE5678">
            <w:pPr>
              <w:pStyle w:val="Header"/>
              <w:widowControl w:val="0"/>
              <w:tabs>
                <w:tab w:val="left" w:pos="284"/>
              </w:tabs>
              <w:ind w:left="-110"/>
              <w:jc w:val="both"/>
              <w:rPr>
                <w:sz w:val="22"/>
                <w:szCs w:val="22"/>
              </w:rPr>
            </w:pPr>
            <w:r w:rsidRPr="00C65707">
              <w:rPr>
                <w:sz w:val="22"/>
                <w:szCs w:val="22"/>
              </w:rPr>
              <w:t>Poremećaji nervnog sistema</w:t>
            </w:r>
          </w:p>
        </w:tc>
        <w:tc>
          <w:tcPr>
            <w:tcW w:w="977" w:type="pct"/>
            <w:vAlign w:val="center"/>
          </w:tcPr>
          <w:p w14:paraId="62625E91" w14:textId="77777777" w:rsidR="00E567B5" w:rsidRPr="002B3647" w:rsidRDefault="00E567B5" w:rsidP="00CE5678">
            <w:pPr>
              <w:pStyle w:val="Header"/>
              <w:widowControl w:val="0"/>
              <w:tabs>
                <w:tab w:val="left" w:pos="284"/>
              </w:tabs>
              <w:ind w:left="-110"/>
              <w:jc w:val="both"/>
              <w:rPr>
                <w:sz w:val="22"/>
                <w:szCs w:val="22"/>
              </w:rPr>
            </w:pPr>
          </w:p>
        </w:tc>
        <w:tc>
          <w:tcPr>
            <w:tcW w:w="972" w:type="pct"/>
            <w:vAlign w:val="center"/>
          </w:tcPr>
          <w:p w14:paraId="72D2BD49" w14:textId="77777777" w:rsidR="00E567B5" w:rsidRPr="00C65707" w:rsidRDefault="00E567B5" w:rsidP="00CE5678">
            <w:pPr>
              <w:pStyle w:val="Header"/>
              <w:widowControl w:val="0"/>
              <w:tabs>
                <w:tab w:val="left" w:pos="284"/>
              </w:tabs>
              <w:ind w:left="-110"/>
              <w:jc w:val="both"/>
              <w:rPr>
                <w:sz w:val="22"/>
                <w:szCs w:val="22"/>
              </w:rPr>
            </w:pPr>
            <w:r w:rsidRPr="00C65707">
              <w:rPr>
                <w:sz w:val="22"/>
                <w:szCs w:val="22"/>
              </w:rPr>
              <w:t>Glavobolja, vrtoglavica</w:t>
            </w:r>
          </w:p>
        </w:tc>
        <w:tc>
          <w:tcPr>
            <w:tcW w:w="927" w:type="pct"/>
            <w:vAlign w:val="center"/>
          </w:tcPr>
          <w:p w14:paraId="19B486D8" w14:textId="77777777" w:rsidR="00E567B5" w:rsidRPr="00C65707" w:rsidRDefault="00E567B5" w:rsidP="00CE5678">
            <w:pPr>
              <w:pStyle w:val="Header"/>
              <w:widowControl w:val="0"/>
              <w:tabs>
                <w:tab w:val="left" w:pos="284"/>
              </w:tabs>
              <w:ind w:left="-110"/>
              <w:jc w:val="both"/>
              <w:rPr>
                <w:sz w:val="22"/>
                <w:szCs w:val="22"/>
              </w:rPr>
            </w:pPr>
          </w:p>
        </w:tc>
        <w:tc>
          <w:tcPr>
            <w:tcW w:w="633" w:type="pct"/>
          </w:tcPr>
          <w:p w14:paraId="3DA5C08B" w14:textId="77777777" w:rsidR="00E567B5" w:rsidRPr="00C65707" w:rsidRDefault="00E567B5" w:rsidP="00CE5678">
            <w:pPr>
              <w:pStyle w:val="Header"/>
              <w:widowControl w:val="0"/>
              <w:tabs>
                <w:tab w:val="left" w:pos="284"/>
              </w:tabs>
              <w:ind w:left="-110"/>
              <w:jc w:val="both"/>
              <w:rPr>
                <w:sz w:val="22"/>
                <w:szCs w:val="22"/>
              </w:rPr>
            </w:pPr>
          </w:p>
        </w:tc>
        <w:tc>
          <w:tcPr>
            <w:tcW w:w="701" w:type="pct"/>
          </w:tcPr>
          <w:p w14:paraId="3A8D6557" w14:textId="77777777" w:rsidR="00E567B5" w:rsidRPr="00CE5678" w:rsidRDefault="00E567B5" w:rsidP="00CE5678">
            <w:pPr>
              <w:widowControl w:val="0"/>
              <w:jc w:val="both"/>
              <w:rPr>
                <w:sz w:val="22"/>
                <w:szCs w:val="22"/>
              </w:rPr>
            </w:pPr>
          </w:p>
        </w:tc>
      </w:tr>
      <w:tr w:rsidR="009759B0" w:rsidRPr="00C65707" w14:paraId="22420D1C" w14:textId="5D75939E" w:rsidTr="009759B0">
        <w:tc>
          <w:tcPr>
            <w:tcW w:w="791" w:type="pct"/>
            <w:vAlign w:val="center"/>
          </w:tcPr>
          <w:p w14:paraId="7D6F3B01" w14:textId="77777777" w:rsidR="00E567B5" w:rsidRPr="00C65707" w:rsidRDefault="00E567B5" w:rsidP="00CE5678">
            <w:pPr>
              <w:pStyle w:val="Header"/>
              <w:widowControl w:val="0"/>
              <w:tabs>
                <w:tab w:val="left" w:pos="284"/>
              </w:tabs>
              <w:ind w:left="-110"/>
              <w:jc w:val="both"/>
              <w:rPr>
                <w:sz w:val="22"/>
                <w:szCs w:val="22"/>
              </w:rPr>
            </w:pPr>
            <w:r w:rsidRPr="00C65707">
              <w:rPr>
                <w:sz w:val="22"/>
                <w:szCs w:val="22"/>
              </w:rPr>
              <w:t>Poremećaji na nivou oka</w:t>
            </w:r>
          </w:p>
        </w:tc>
        <w:tc>
          <w:tcPr>
            <w:tcW w:w="977" w:type="pct"/>
            <w:vAlign w:val="center"/>
          </w:tcPr>
          <w:p w14:paraId="2F378CF3" w14:textId="77777777" w:rsidR="00E567B5" w:rsidRPr="002B3647" w:rsidRDefault="00E567B5" w:rsidP="00CE5678">
            <w:pPr>
              <w:pStyle w:val="Header"/>
              <w:widowControl w:val="0"/>
              <w:tabs>
                <w:tab w:val="left" w:pos="284"/>
              </w:tabs>
              <w:ind w:left="-110"/>
              <w:jc w:val="both"/>
              <w:rPr>
                <w:sz w:val="22"/>
                <w:szCs w:val="22"/>
              </w:rPr>
            </w:pPr>
          </w:p>
        </w:tc>
        <w:tc>
          <w:tcPr>
            <w:tcW w:w="972" w:type="pct"/>
            <w:vAlign w:val="center"/>
          </w:tcPr>
          <w:p w14:paraId="01271C39" w14:textId="77777777" w:rsidR="00E567B5" w:rsidRPr="00C65707" w:rsidRDefault="00E567B5" w:rsidP="00CE5678">
            <w:pPr>
              <w:pStyle w:val="Header"/>
              <w:widowControl w:val="0"/>
              <w:tabs>
                <w:tab w:val="left" w:pos="284"/>
              </w:tabs>
              <w:ind w:left="-110"/>
              <w:jc w:val="both"/>
              <w:rPr>
                <w:sz w:val="22"/>
                <w:szCs w:val="22"/>
              </w:rPr>
            </w:pPr>
            <w:r w:rsidRPr="00C65707">
              <w:rPr>
                <w:sz w:val="22"/>
                <w:szCs w:val="22"/>
              </w:rPr>
              <w:t>Konjunktivitis</w:t>
            </w:r>
          </w:p>
        </w:tc>
        <w:tc>
          <w:tcPr>
            <w:tcW w:w="927" w:type="pct"/>
            <w:vAlign w:val="center"/>
          </w:tcPr>
          <w:p w14:paraId="5472774B" w14:textId="77777777" w:rsidR="00E567B5" w:rsidRPr="00C65707" w:rsidRDefault="00E567B5" w:rsidP="00CE5678">
            <w:pPr>
              <w:pStyle w:val="Header"/>
              <w:widowControl w:val="0"/>
              <w:tabs>
                <w:tab w:val="left" w:pos="284"/>
              </w:tabs>
              <w:ind w:left="-110"/>
              <w:jc w:val="both"/>
              <w:rPr>
                <w:sz w:val="22"/>
                <w:szCs w:val="22"/>
              </w:rPr>
            </w:pPr>
          </w:p>
        </w:tc>
        <w:tc>
          <w:tcPr>
            <w:tcW w:w="633" w:type="pct"/>
          </w:tcPr>
          <w:p w14:paraId="4657681D" w14:textId="77777777" w:rsidR="00E567B5" w:rsidRPr="00C65707" w:rsidRDefault="00E567B5" w:rsidP="00CE5678">
            <w:pPr>
              <w:pStyle w:val="Header"/>
              <w:widowControl w:val="0"/>
              <w:tabs>
                <w:tab w:val="left" w:pos="284"/>
              </w:tabs>
              <w:ind w:left="-110"/>
              <w:jc w:val="both"/>
              <w:rPr>
                <w:sz w:val="22"/>
                <w:szCs w:val="22"/>
              </w:rPr>
            </w:pPr>
          </w:p>
        </w:tc>
        <w:tc>
          <w:tcPr>
            <w:tcW w:w="701" w:type="pct"/>
          </w:tcPr>
          <w:p w14:paraId="02AD0C83" w14:textId="77777777" w:rsidR="00E567B5" w:rsidRPr="00CE5678" w:rsidRDefault="00E567B5" w:rsidP="00CE5678">
            <w:pPr>
              <w:widowControl w:val="0"/>
              <w:jc w:val="both"/>
              <w:rPr>
                <w:sz w:val="22"/>
                <w:szCs w:val="22"/>
              </w:rPr>
            </w:pPr>
          </w:p>
        </w:tc>
      </w:tr>
      <w:tr w:rsidR="009759B0" w:rsidRPr="00C65707" w14:paraId="65D6223C" w14:textId="43C5B796" w:rsidTr="009759B0">
        <w:tc>
          <w:tcPr>
            <w:tcW w:w="791" w:type="pct"/>
            <w:vAlign w:val="center"/>
          </w:tcPr>
          <w:p w14:paraId="5AFDA637" w14:textId="77777777" w:rsidR="00E567B5" w:rsidRPr="00C65707" w:rsidRDefault="00E567B5" w:rsidP="00CE5678">
            <w:pPr>
              <w:pStyle w:val="Header"/>
              <w:widowControl w:val="0"/>
              <w:tabs>
                <w:tab w:val="left" w:pos="284"/>
              </w:tabs>
              <w:ind w:left="-110"/>
              <w:jc w:val="both"/>
              <w:rPr>
                <w:sz w:val="22"/>
                <w:szCs w:val="22"/>
              </w:rPr>
            </w:pPr>
            <w:r w:rsidRPr="00C65707">
              <w:rPr>
                <w:sz w:val="22"/>
                <w:szCs w:val="22"/>
              </w:rPr>
              <w:t>Vaskularni poremećaji</w:t>
            </w:r>
          </w:p>
        </w:tc>
        <w:tc>
          <w:tcPr>
            <w:tcW w:w="977" w:type="pct"/>
            <w:vAlign w:val="center"/>
          </w:tcPr>
          <w:p w14:paraId="4FDE6AEA" w14:textId="77777777" w:rsidR="00E567B5" w:rsidRPr="002B3647" w:rsidRDefault="00E567B5" w:rsidP="00CE5678">
            <w:pPr>
              <w:pStyle w:val="Header"/>
              <w:widowControl w:val="0"/>
              <w:tabs>
                <w:tab w:val="left" w:pos="284"/>
              </w:tabs>
              <w:ind w:left="-110"/>
              <w:jc w:val="both"/>
              <w:rPr>
                <w:sz w:val="22"/>
                <w:szCs w:val="22"/>
              </w:rPr>
            </w:pPr>
          </w:p>
        </w:tc>
        <w:tc>
          <w:tcPr>
            <w:tcW w:w="972" w:type="pct"/>
            <w:vAlign w:val="center"/>
          </w:tcPr>
          <w:p w14:paraId="22B8722B" w14:textId="77777777" w:rsidR="00E567B5" w:rsidRPr="00C65707" w:rsidRDefault="00E567B5" w:rsidP="00CE5678">
            <w:pPr>
              <w:pStyle w:val="Header"/>
              <w:widowControl w:val="0"/>
              <w:tabs>
                <w:tab w:val="left" w:pos="284"/>
              </w:tabs>
              <w:ind w:left="-110"/>
              <w:jc w:val="both"/>
              <w:rPr>
                <w:sz w:val="22"/>
                <w:szCs w:val="22"/>
              </w:rPr>
            </w:pPr>
            <w:r w:rsidRPr="00C65707">
              <w:rPr>
                <w:sz w:val="22"/>
                <w:szCs w:val="22"/>
              </w:rPr>
              <w:t>Hipertenzija</w:t>
            </w:r>
          </w:p>
        </w:tc>
        <w:tc>
          <w:tcPr>
            <w:tcW w:w="927" w:type="pct"/>
            <w:vAlign w:val="center"/>
          </w:tcPr>
          <w:p w14:paraId="1900A953" w14:textId="77777777" w:rsidR="00E567B5" w:rsidRPr="00C65707" w:rsidRDefault="00E567B5" w:rsidP="00CE5678">
            <w:pPr>
              <w:pStyle w:val="Header"/>
              <w:widowControl w:val="0"/>
              <w:tabs>
                <w:tab w:val="left" w:pos="284"/>
              </w:tabs>
              <w:ind w:left="-110"/>
              <w:jc w:val="both"/>
              <w:rPr>
                <w:sz w:val="22"/>
                <w:szCs w:val="22"/>
              </w:rPr>
            </w:pPr>
          </w:p>
        </w:tc>
        <w:tc>
          <w:tcPr>
            <w:tcW w:w="633" w:type="pct"/>
          </w:tcPr>
          <w:p w14:paraId="496C967D" w14:textId="77777777" w:rsidR="00E567B5" w:rsidRPr="00C65707" w:rsidRDefault="00E567B5" w:rsidP="00CE5678">
            <w:pPr>
              <w:pStyle w:val="Header"/>
              <w:widowControl w:val="0"/>
              <w:tabs>
                <w:tab w:val="left" w:pos="284"/>
              </w:tabs>
              <w:ind w:left="-110"/>
              <w:jc w:val="both"/>
              <w:rPr>
                <w:sz w:val="22"/>
                <w:szCs w:val="22"/>
              </w:rPr>
            </w:pPr>
          </w:p>
        </w:tc>
        <w:tc>
          <w:tcPr>
            <w:tcW w:w="701" w:type="pct"/>
          </w:tcPr>
          <w:p w14:paraId="1320BF9A" w14:textId="77777777" w:rsidR="00E567B5" w:rsidRPr="00CE5678" w:rsidRDefault="00E567B5" w:rsidP="00CE5678">
            <w:pPr>
              <w:widowControl w:val="0"/>
              <w:jc w:val="both"/>
              <w:rPr>
                <w:sz w:val="22"/>
                <w:szCs w:val="22"/>
              </w:rPr>
            </w:pPr>
          </w:p>
        </w:tc>
      </w:tr>
      <w:tr w:rsidR="009759B0" w:rsidRPr="00C65707" w14:paraId="48AF9A47" w14:textId="6A6333B6" w:rsidTr="009759B0">
        <w:tc>
          <w:tcPr>
            <w:tcW w:w="791" w:type="pct"/>
            <w:vAlign w:val="center"/>
          </w:tcPr>
          <w:p w14:paraId="62EC360E" w14:textId="77777777" w:rsidR="00E567B5" w:rsidRPr="00C65707" w:rsidRDefault="00E567B5" w:rsidP="00CE5678">
            <w:pPr>
              <w:pStyle w:val="Header"/>
              <w:widowControl w:val="0"/>
              <w:tabs>
                <w:tab w:val="left" w:pos="284"/>
              </w:tabs>
              <w:ind w:left="-110"/>
              <w:jc w:val="both"/>
              <w:rPr>
                <w:sz w:val="22"/>
                <w:szCs w:val="22"/>
              </w:rPr>
            </w:pPr>
            <w:r w:rsidRPr="00C65707">
              <w:rPr>
                <w:sz w:val="22"/>
                <w:szCs w:val="22"/>
              </w:rPr>
              <w:t>Respiratorni, grudni i poremećaji medijastinuma</w:t>
            </w:r>
          </w:p>
          <w:p w14:paraId="1AE2A442" w14:textId="77777777" w:rsidR="00E567B5" w:rsidRPr="002B3647" w:rsidRDefault="00E567B5" w:rsidP="00CE5678">
            <w:pPr>
              <w:pStyle w:val="Header"/>
              <w:widowControl w:val="0"/>
              <w:tabs>
                <w:tab w:val="left" w:pos="284"/>
              </w:tabs>
              <w:ind w:left="-110"/>
              <w:jc w:val="both"/>
              <w:rPr>
                <w:sz w:val="22"/>
                <w:szCs w:val="22"/>
              </w:rPr>
            </w:pPr>
          </w:p>
        </w:tc>
        <w:tc>
          <w:tcPr>
            <w:tcW w:w="977" w:type="pct"/>
            <w:vAlign w:val="center"/>
          </w:tcPr>
          <w:p w14:paraId="03C44468" w14:textId="77777777" w:rsidR="00E567B5" w:rsidRPr="00C65707" w:rsidRDefault="00E567B5" w:rsidP="00CE5678">
            <w:pPr>
              <w:pStyle w:val="Header"/>
              <w:widowControl w:val="0"/>
              <w:tabs>
                <w:tab w:val="left" w:pos="284"/>
              </w:tabs>
              <w:ind w:left="-110"/>
              <w:jc w:val="both"/>
              <w:rPr>
                <w:sz w:val="22"/>
                <w:szCs w:val="22"/>
              </w:rPr>
            </w:pPr>
          </w:p>
        </w:tc>
        <w:tc>
          <w:tcPr>
            <w:tcW w:w="972" w:type="pct"/>
            <w:vAlign w:val="center"/>
          </w:tcPr>
          <w:p w14:paraId="1B8107C0" w14:textId="77777777" w:rsidR="00E567B5" w:rsidRPr="00C65707" w:rsidRDefault="00E567B5" w:rsidP="00CE5678">
            <w:pPr>
              <w:pStyle w:val="Header"/>
              <w:widowControl w:val="0"/>
              <w:tabs>
                <w:tab w:val="left" w:pos="284"/>
              </w:tabs>
              <w:ind w:left="-110"/>
              <w:jc w:val="both"/>
              <w:rPr>
                <w:sz w:val="22"/>
                <w:szCs w:val="22"/>
              </w:rPr>
            </w:pPr>
            <w:r w:rsidRPr="00C65707">
              <w:rPr>
                <w:sz w:val="22"/>
                <w:szCs w:val="22"/>
              </w:rPr>
              <w:t>Kašalj, Dispnea</w:t>
            </w:r>
          </w:p>
        </w:tc>
        <w:tc>
          <w:tcPr>
            <w:tcW w:w="927" w:type="pct"/>
            <w:vAlign w:val="center"/>
          </w:tcPr>
          <w:p w14:paraId="40130C8B" w14:textId="77777777" w:rsidR="00E567B5" w:rsidRPr="00C65707" w:rsidRDefault="00E567B5" w:rsidP="00CE5678">
            <w:pPr>
              <w:pStyle w:val="Header"/>
              <w:widowControl w:val="0"/>
              <w:tabs>
                <w:tab w:val="left" w:pos="284"/>
              </w:tabs>
              <w:ind w:left="-110"/>
              <w:jc w:val="both"/>
              <w:rPr>
                <w:sz w:val="22"/>
                <w:szCs w:val="22"/>
              </w:rPr>
            </w:pPr>
          </w:p>
        </w:tc>
        <w:tc>
          <w:tcPr>
            <w:tcW w:w="633" w:type="pct"/>
          </w:tcPr>
          <w:p w14:paraId="35D50863" w14:textId="77777777" w:rsidR="00E567B5" w:rsidRPr="00C65707" w:rsidRDefault="00E567B5" w:rsidP="00CE5678">
            <w:pPr>
              <w:pStyle w:val="Header"/>
              <w:widowControl w:val="0"/>
              <w:tabs>
                <w:tab w:val="left" w:pos="284"/>
              </w:tabs>
              <w:ind w:left="-110"/>
              <w:jc w:val="both"/>
              <w:rPr>
                <w:sz w:val="22"/>
                <w:szCs w:val="22"/>
              </w:rPr>
            </w:pPr>
          </w:p>
        </w:tc>
        <w:tc>
          <w:tcPr>
            <w:tcW w:w="701" w:type="pct"/>
          </w:tcPr>
          <w:p w14:paraId="7AC3B2DE" w14:textId="2259A1DB" w:rsidR="00E567B5" w:rsidRPr="00CE5678" w:rsidRDefault="00E567B5" w:rsidP="00CE5678">
            <w:pPr>
              <w:widowControl w:val="0"/>
              <w:jc w:val="both"/>
              <w:rPr>
                <w:sz w:val="22"/>
                <w:szCs w:val="22"/>
              </w:rPr>
            </w:pPr>
          </w:p>
        </w:tc>
      </w:tr>
      <w:tr w:rsidR="009759B0" w:rsidRPr="00C65707" w14:paraId="12357DEB" w14:textId="033C48EE" w:rsidTr="009759B0">
        <w:tc>
          <w:tcPr>
            <w:tcW w:w="791" w:type="pct"/>
            <w:vAlign w:val="center"/>
          </w:tcPr>
          <w:p w14:paraId="13BE673E" w14:textId="77777777" w:rsidR="00E567B5" w:rsidRPr="00C65707" w:rsidRDefault="00E567B5" w:rsidP="00CE5678">
            <w:pPr>
              <w:pStyle w:val="Header"/>
              <w:widowControl w:val="0"/>
              <w:tabs>
                <w:tab w:val="left" w:pos="284"/>
              </w:tabs>
              <w:ind w:left="-110"/>
              <w:jc w:val="both"/>
              <w:rPr>
                <w:sz w:val="22"/>
                <w:szCs w:val="22"/>
              </w:rPr>
            </w:pPr>
            <w:r w:rsidRPr="00C65707">
              <w:rPr>
                <w:sz w:val="22"/>
                <w:szCs w:val="22"/>
              </w:rPr>
              <w:t>Gastrointestinalni poremećaji</w:t>
            </w:r>
          </w:p>
        </w:tc>
        <w:tc>
          <w:tcPr>
            <w:tcW w:w="977" w:type="pct"/>
            <w:vAlign w:val="center"/>
          </w:tcPr>
          <w:p w14:paraId="0A8B7A03" w14:textId="77777777" w:rsidR="00E567B5" w:rsidRPr="002B3647" w:rsidRDefault="00E567B5" w:rsidP="00CE5678">
            <w:pPr>
              <w:pStyle w:val="Header"/>
              <w:widowControl w:val="0"/>
              <w:tabs>
                <w:tab w:val="left" w:pos="284"/>
              </w:tabs>
              <w:ind w:left="-110"/>
              <w:jc w:val="both"/>
              <w:rPr>
                <w:sz w:val="22"/>
                <w:szCs w:val="22"/>
              </w:rPr>
            </w:pPr>
          </w:p>
        </w:tc>
        <w:tc>
          <w:tcPr>
            <w:tcW w:w="972" w:type="pct"/>
            <w:vAlign w:val="center"/>
          </w:tcPr>
          <w:p w14:paraId="23D47951" w14:textId="77777777" w:rsidR="00E567B5" w:rsidRPr="00C65707" w:rsidRDefault="00E567B5" w:rsidP="00CE5678">
            <w:pPr>
              <w:pStyle w:val="Header"/>
              <w:widowControl w:val="0"/>
              <w:tabs>
                <w:tab w:val="left" w:pos="284"/>
              </w:tabs>
              <w:ind w:left="-110"/>
              <w:jc w:val="both"/>
              <w:rPr>
                <w:sz w:val="22"/>
                <w:szCs w:val="22"/>
              </w:rPr>
            </w:pPr>
            <w:r w:rsidRPr="00C65707">
              <w:rPr>
                <w:sz w:val="22"/>
                <w:szCs w:val="22"/>
              </w:rPr>
              <w:t>Abdominalni bol, Ulceracije u ustima, gastritis</w:t>
            </w:r>
          </w:p>
        </w:tc>
        <w:tc>
          <w:tcPr>
            <w:tcW w:w="927" w:type="pct"/>
            <w:vAlign w:val="center"/>
          </w:tcPr>
          <w:p w14:paraId="293EE30E" w14:textId="77777777" w:rsidR="00E567B5" w:rsidRPr="00C65707" w:rsidRDefault="00E567B5" w:rsidP="00CE5678">
            <w:pPr>
              <w:pStyle w:val="Header"/>
              <w:widowControl w:val="0"/>
              <w:tabs>
                <w:tab w:val="left" w:pos="284"/>
              </w:tabs>
              <w:ind w:left="-110"/>
              <w:jc w:val="both"/>
              <w:rPr>
                <w:sz w:val="22"/>
                <w:szCs w:val="22"/>
              </w:rPr>
            </w:pPr>
            <w:r w:rsidRPr="00C65707">
              <w:rPr>
                <w:sz w:val="22"/>
                <w:szCs w:val="22"/>
              </w:rPr>
              <w:t xml:space="preserve">Stomatitis, </w:t>
            </w:r>
          </w:p>
          <w:p w14:paraId="6C9966A0" w14:textId="77777777" w:rsidR="00E567B5" w:rsidRPr="00C65707" w:rsidRDefault="00E567B5" w:rsidP="00CE5678">
            <w:pPr>
              <w:pStyle w:val="Header"/>
              <w:widowControl w:val="0"/>
              <w:tabs>
                <w:tab w:val="left" w:pos="284"/>
              </w:tabs>
              <w:ind w:left="-110"/>
              <w:jc w:val="both"/>
              <w:rPr>
                <w:sz w:val="22"/>
                <w:szCs w:val="22"/>
              </w:rPr>
            </w:pPr>
            <w:r w:rsidRPr="00C65707">
              <w:rPr>
                <w:sz w:val="22"/>
                <w:szCs w:val="22"/>
              </w:rPr>
              <w:t>Gastrične ulceracije</w:t>
            </w:r>
          </w:p>
        </w:tc>
        <w:tc>
          <w:tcPr>
            <w:tcW w:w="633" w:type="pct"/>
          </w:tcPr>
          <w:p w14:paraId="54030075" w14:textId="77777777" w:rsidR="00E567B5" w:rsidRPr="00C65707" w:rsidRDefault="00E567B5" w:rsidP="00CE5678">
            <w:pPr>
              <w:pStyle w:val="Header"/>
              <w:widowControl w:val="0"/>
              <w:tabs>
                <w:tab w:val="left" w:pos="284"/>
              </w:tabs>
              <w:ind w:left="-110"/>
              <w:jc w:val="both"/>
              <w:rPr>
                <w:sz w:val="22"/>
                <w:szCs w:val="22"/>
              </w:rPr>
            </w:pPr>
          </w:p>
        </w:tc>
        <w:tc>
          <w:tcPr>
            <w:tcW w:w="701" w:type="pct"/>
          </w:tcPr>
          <w:p w14:paraId="3AC6967F" w14:textId="77777777" w:rsidR="00E567B5" w:rsidRPr="00CE5678" w:rsidRDefault="00E567B5" w:rsidP="00CE5678">
            <w:pPr>
              <w:widowControl w:val="0"/>
              <w:jc w:val="both"/>
              <w:rPr>
                <w:sz w:val="22"/>
                <w:szCs w:val="22"/>
              </w:rPr>
            </w:pPr>
          </w:p>
        </w:tc>
      </w:tr>
      <w:tr w:rsidR="009759B0" w:rsidRPr="00C65707" w14:paraId="7C32FA53" w14:textId="6F885D47" w:rsidTr="009759B0">
        <w:tc>
          <w:tcPr>
            <w:tcW w:w="791" w:type="pct"/>
            <w:vAlign w:val="center"/>
          </w:tcPr>
          <w:p w14:paraId="292C6C0D" w14:textId="77777777" w:rsidR="00E567B5" w:rsidRPr="00C65707" w:rsidRDefault="00E567B5" w:rsidP="00CE5678">
            <w:pPr>
              <w:pStyle w:val="Header"/>
              <w:widowControl w:val="0"/>
              <w:tabs>
                <w:tab w:val="left" w:pos="284"/>
              </w:tabs>
              <w:ind w:left="-110"/>
              <w:jc w:val="both"/>
              <w:rPr>
                <w:sz w:val="22"/>
                <w:szCs w:val="22"/>
              </w:rPr>
            </w:pPr>
            <w:r w:rsidRPr="00C65707">
              <w:rPr>
                <w:color w:val="1A1A1A"/>
                <w:sz w:val="22"/>
                <w:szCs w:val="22"/>
                <w:lang w:eastAsia="en-GB"/>
              </w:rPr>
              <w:t>Hepatobilijarni poremećaji</w:t>
            </w:r>
          </w:p>
        </w:tc>
        <w:tc>
          <w:tcPr>
            <w:tcW w:w="977" w:type="pct"/>
            <w:vAlign w:val="center"/>
          </w:tcPr>
          <w:p w14:paraId="2839F3BC" w14:textId="77777777" w:rsidR="00E567B5" w:rsidRPr="002B3647" w:rsidRDefault="00E567B5" w:rsidP="00CE5678">
            <w:pPr>
              <w:pStyle w:val="Header"/>
              <w:widowControl w:val="0"/>
              <w:tabs>
                <w:tab w:val="left" w:pos="284"/>
              </w:tabs>
              <w:ind w:left="-110"/>
              <w:jc w:val="both"/>
              <w:rPr>
                <w:sz w:val="22"/>
                <w:szCs w:val="22"/>
              </w:rPr>
            </w:pPr>
          </w:p>
        </w:tc>
        <w:tc>
          <w:tcPr>
            <w:tcW w:w="972" w:type="pct"/>
            <w:vAlign w:val="center"/>
          </w:tcPr>
          <w:p w14:paraId="524831F0" w14:textId="77777777" w:rsidR="00E567B5" w:rsidRPr="00C65707" w:rsidRDefault="00E567B5" w:rsidP="00CE5678">
            <w:pPr>
              <w:pStyle w:val="Header"/>
              <w:widowControl w:val="0"/>
              <w:tabs>
                <w:tab w:val="left" w:pos="284"/>
              </w:tabs>
              <w:ind w:left="-110"/>
              <w:jc w:val="both"/>
              <w:rPr>
                <w:sz w:val="22"/>
                <w:szCs w:val="22"/>
              </w:rPr>
            </w:pPr>
          </w:p>
        </w:tc>
        <w:tc>
          <w:tcPr>
            <w:tcW w:w="927" w:type="pct"/>
            <w:vAlign w:val="center"/>
          </w:tcPr>
          <w:p w14:paraId="36B09855" w14:textId="77777777" w:rsidR="00E567B5" w:rsidRPr="00C65707" w:rsidRDefault="00E567B5" w:rsidP="00CE5678">
            <w:pPr>
              <w:pStyle w:val="Header"/>
              <w:widowControl w:val="0"/>
              <w:tabs>
                <w:tab w:val="left" w:pos="284"/>
              </w:tabs>
              <w:ind w:left="-110"/>
              <w:jc w:val="both"/>
              <w:rPr>
                <w:sz w:val="22"/>
                <w:szCs w:val="22"/>
              </w:rPr>
            </w:pPr>
          </w:p>
        </w:tc>
        <w:tc>
          <w:tcPr>
            <w:tcW w:w="633" w:type="pct"/>
          </w:tcPr>
          <w:p w14:paraId="2FD0CE0B" w14:textId="7306B0E8" w:rsidR="00E567B5" w:rsidRPr="00C65707" w:rsidRDefault="00E567B5" w:rsidP="00CE5678">
            <w:pPr>
              <w:pStyle w:val="Header"/>
              <w:widowControl w:val="0"/>
              <w:tabs>
                <w:tab w:val="left" w:pos="284"/>
              </w:tabs>
              <w:ind w:left="-110"/>
              <w:jc w:val="both"/>
              <w:rPr>
                <w:color w:val="1A1A1A"/>
                <w:sz w:val="22"/>
                <w:szCs w:val="22"/>
                <w:lang w:eastAsia="en-GB"/>
              </w:rPr>
            </w:pPr>
            <w:r w:rsidRPr="00C65707">
              <w:rPr>
                <w:color w:val="1A1A1A"/>
                <w:sz w:val="22"/>
                <w:szCs w:val="22"/>
                <w:lang w:eastAsia="en-GB"/>
              </w:rPr>
              <w:t xml:space="preserve">Oštećenje jetre </w:t>
            </w:r>
            <w:r w:rsidRPr="00C65707">
              <w:rPr>
                <w:color w:val="1A1A1A"/>
                <w:sz w:val="22"/>
                <w:szCs w:val="22"/>
                <w:lang w:eastAsia="en-GB"/>
              </w:rPr>
              <w:lastRenderedPageBreak/>
              <w:t>izazvano primjenom lijeka, hepatitis, žutica</w:t>
            </w:r>
          </w:p>
          <w:p w14:paraId="787D5BAD" w14:textId="62BD9C94" w:rsidR="00E567B5" w:rsidRPr="00C65707" w:rsidRDefault="00E567B5" w:rsidP="00CE5678">
            <w:pPr>
              <w:pStyle w:val="Header"/>
              <w:widowControl w:val="0"/>
              <w:tabs>
                <w:tab w:val="left" w:pos="284"/>
              </w:tabs>
              <w:ind w:left="-110"/>
              <w:jc w:val="both"/>
              <w:rPr>
                <w:sz w:val="22"/>
                <w:szCs w:val="22"/>
              </w:rPr>
            </w:pPr>
          </w:p>
        </w:tc>
        <w:tc>
          <w:tcPr>
            <w:tcW w:w="701" w:type="pct"/>
          </w:tcPr>
          <w:p w14:paraId="5D6F6726" w14:textId="27095B19" w:rsidR="00E567B5" w:rsidRPr="00C65707" w:rsidRDefault="00CC3F48" w:rsidP="00CE5678">
            <w:pPr>
              <w:widowControl w:val="0"/>
              <w:jc w:val="both"/>
              <w:rPr>
                <w:sz w:val="22"/>
                <w:szCs w:val="22"/>
              </w:rPr>
            </w:pPr>
            <w:r w:rsidRPr="00C65707">
              <w:rPr>
                <w:sz w:val="22"/>
                <w:szCs w:val="22"/>
              </w:rPr>
              <w:lastRenderedPageBreak/>
              <w:t>Insuficijencija</w:t>
            </w:r>
            <w:r w:rsidR="00E567B5" w:rsidRPr="00C65707">
              <w:rPr>
                <w:sz w:val="22"/>
                <w:szCs w:val="22"/>
              </w:rPr>
              <w:t xml:space="preserve"> jetre</w:t>
            </w:r>
          </w:p>
        </w:tc>
      </w:tr>
      <w:tr w:rsidR="009759B0" w:rsidRPr="00C65707" w14:paraId="001CC956" w14:textId="15D50E79" w:rsidTr="009759B0">
        <w:tc>
          <w:tcPr>
            <w:tcW w:w="791" w:type="pct"/>
            <w:vAlign w:val="center"/>
          </w:tcPr>
          <w:p w14:paraId="4ABA335E" w14:textId="77777777" w:rsidR="00E567B5" w:rsidRPr="00C65707" w:rsidRDefault="00E567B5" w:rsidP="00CE5678">
            <w:pPr>
              <w:pStyle w:val="Header"/>
              <w:widowControl w:val="0"/>
              <w:tabs>
                <w:tab w:val="left" w:pos="284"/>
              </w:tabs>
              <w:ind w:left="-110"/>
              <w:jc w:val="both"/>
              <w:rPr>
                <w:color w:val="1A1A1A"/>
                <w:sz w:val="22"/>
                <w:szCs w:val="22"/>
                <w:lang w:eastAsia="en-GB"/>
              </w:rPr>
            </w:pPr>
            <w:r w:rsidRPr="00C65707">
              <w:rPr>
                <w:sz w:val="22"/>
                <w:szCs w:val="22"/>
              </w:rPr>
              <w:t>Poremećaji kože i potkožnog tkiva</w:t>
            </w:r>
          </w:p>
        </w:tc>
        <w:tc>
          <w:tcPr>
            <w:tcW w:w="977" w:type="pct"/>
            <w:vAlign w:val="center"/>
          </w:tcPr>
          <w:p w14:paraId="645188AB" w14:textId="77777777" w:rsidR="00E567B5" w:rsidRPr="002B3647" w:rsidRDefault="00E567B5" w:rsidP="00CE5678">
            <w:pPr>
              <w:pStyle w:val="Header"/>
              <w:widowControl w:val="0"/>
              <w:tabs>
                <w:tab w:val="left" w:pos="284"/>
              </w:tabs>
              <w:ind w:left="-110"/>
              <w:jc w:val="both"/>
              <w:rPr>
                <w:sz w:val="22"/>
                <w:szCs w:val="22"/>
              </w:rPr>
            </w:pPr>
          </w:p>
        </w:tc>
        <w:tc>
          <w:tcPr>
            <w:tcW w:w="972" w:type="pct"/>
            <w:vAlign w:val="center"/>
          </w:tcPr>
          <w:p w14:paraId="26F4FB10" w14:textId="77777777" w:rsidR="00E567B5" w:rsidRPr="00C65707" w:rsidRDefault="00E567B5" w:rsidP="00CE5678">
            <w:pPr>
              <w:pStyle w:val="Header"/>
              <w:widowControl w:val="0"/>
              <w:tabs>
                <w:tab w:val="left" w:pos="284"/>
              </w:tabs>
              <w:ind w:left="-110"/>
              <w:jc w:val="both"/>
              <w:rPr>
                <w:sz w:val="22"/>
                <w:szCs w:val="22"/>
              </w:rPr>
            </w:pPr>
            <w:r w:rsidRPr="00C65707">
              <w:rPr>
                <w:sz w:val="22"/>
                <w:szCs w:val="22"/>
              </w:rPr>
              <w:t>Ospa, Pruritus, Urtikarija</w:t>
            </w:r>
          </w:p>
        </w:tc>
        <w:tc>
          <w:tcPr>
            <w:tcW w:w="927" w:type="pct"/>
            <w:vAlign w:val="center"/>
          </w:tcPr>
          <w:p w14:paraId="1F5060B8" w14:textId="77777777" w:rsidR="00E567B5" w:rsidRPr="00C65707" w:rsidRDefault="00E567B5" w:rsidP="00CE5678">
            <w:pPr>
              <w:pStyle w:val="Header"/>
              <w:widowControl w:val="0"/>
              <w:tabs>
                <w:tab w:val="left" w:pos="284"/>
              </w:tabs>
              <w:ind w:left="-110"/>
              <w:jc w:val="both"/>
              <w:rPr>
                <w:sz w:val="22"/>
                <w:szCs w:val="22"/>
              </w:rPr>
            </w:pPr>
          </w:p>
        </w:tc>
        <w:tc>
          <w:tcPr>
            <w:tcW w:w="633" w:type="pct"/>
          </w:tcPr>
          <w:p w14:paraId="699B2664" w14:textId="77777777" w:rsidR="00E567B5" w:rsidRPr="00C65707" w:rsidRDefault="00E567B5" w:rsidP="00CE5678">
            <w:pPr>
              <w:pStyle w:val="Header"/>
              <w:widowControl w:val="0"/>
              <w:tabs>
                <w:tab w:val="left" w:pos="284"/>
              </w:tabs>
              <w:ind w:left="-110"/>
              <w:jc w:val="both"/>
              <w:rPr>
                <w:color w:val="1A1A1A"/>
                <w:sz w:val="22"/>
                <w:szCs w:val="22"/>
                <w:lang w:eastAsia="en-GB"/>
              </w:rPr>
            </w:pPr>
            <w:r w:rsidRPr="00C65707">
              <w:rPr>
                <w:color w:val="1A1A1A"/>
                <w:sz w:val="22"/>
                <w:szCs w:val="22"/>
                <w:lang w:eastAsia="en-GB"/>
              </w:rPr>
              <w:t>Stevens-Johnsonov sindrom</w:t>
            </w:r>
            <w:r w:rsidRPr="00C65707">
              <w:rPr>
                <w:color w:val="1A1A1A"/>
                <w:sz w:val="22"/>
                <w:szCs w:val="22"/>
                <w:vertAlign w:val="superscript"/>
                <w:lang w:eastAsia="en-GB"/>
              </w:rPr>
              <w:t>3</w:t>
            </w:r>
          </w:p>
        </w:tc>
        <w:tc>
          <w:tcPr>
            <w:tcW w:w="701" w:type="pct"/>
          </w:tcPr>
          <w:p w14:paraId="2999007D" w14:textId="77777777" w:rsidR="00E567B5" w:rsidRPr="00CE5678" w:rsidRDefault="00E567B5" w:rsidP="00CE5678">
            <w:pPr>
              <w:widowControl w:val="0"/>
              <w:jc w:val="both"/>
              <w:rPr>
                <w:sz w:val="22"/>
                <w:szCs w:val="22"/>
              </w:rPr>
            </w:pPr>
          </w:p>
        </w:tc>
      </w:tr>
      <w:tr w:rsidR="009759B0" w:rsidRPr="00C65707" w14:paraId="19145203" w14:textId="6DB48EA7" w:rsidTr="009759B0">
        <w:tc>
          <w:tcPr>
            <w:tcW w:w="791" w:type="pct"/>
            <w:vAlign w:val="center"/>
          </w:tcPr>
          <w:p w14:paraId="6B649725" w14:textId="77777777" w:rsidR="00E567B5" w:rsidRPr="00C65707" w:rsidRDefault="00E567B5" w:rsidP="00CE5678">
            <w:pPr>
              <w:pStyle w:val="Header"/>
              <w:widowControl w:val="0"/>
              <w:tabs>
                <w:tab w:val="left" w:pos="284"/>
              </w:tabs>
              <w:ind w:left="-110"/>
              <w:jc w:val="both"/>
              <w:rPr>
                <w:sz w:val="22"/>
                <w:szCs w:val="22"/>
              </w:rPr>
            </w:pPr>
          </w:p>
          <w:p w14:paraId="0D075B69" w14:textId="1F2CD3FA" w:rsidR="00E567B5" w:rsidRPr="00C65707" w:rsidRDefault="00E567B5" w:rsidP="00CE5678">
            <w:pPr>
              <w:pStyle w:val="Header"/>
              <w:widowControl w:val="0"/>
              <w:tabs>
                <w:tab w:val="left" w:pos="284"/>
              </w:tabs>
              <w:ind w:left="-110"/>
              <w:jc w:val="both"/>
              <w:rPr>
                <w:sz w:val="22"/>
                <w:szCs w:val="22"/>
              </w:rPr>
            </w:pPr>
            <w:r w:rsidRPr="00C65707">
              <w:rPr>
                <w:sz w:val="22"/>
                <w:szCs w:val="22"/>
              </w:rPr>
              <w:t>Poremećaji bubrega i urinarnog sistema</w:t>
            </w:r>
          </w:p>
        </w:tc>
        <w:tc>
          <w:tcPr>
            <w:tcW w:w="977" w:type="pct"/>
            <w:vAlign w:val="center"/>
          </w:tcPr>
          <w:p w14:paraId="6E4A7B79" w14:textId="77777777" w:rsidR="00E567B5" w:rsidRPr="002B3647" w:rsidRDefault="00E567B5" w:rsidP="00CE5678">
            <w:pPr>
              <w:pStyle w:val="Header"/>
              <w:widowControl w:val="0"/>
              <w:tabs>
                <w:tab w:val="left" w:pos="284"/>
              </w:tabs>
              <w:ind w:left="-110"/>
              <w:jc w:val="both"/>
              <w:rPr>
                <w:sz w:val="22"/>
                <w:szCs w:val="22"/>
              </w:rPr>
            </w:pPr>
          </w:p>
        </w:tc>
        <w:tc>
          <w:tcPr>
            <w:tcW w:w="972" w:type="pct"/>
            <w:vAlign w:val="center"/>
          </w:tcPr>
          <w:p w14:paraId="3A6FB0DE" w14:textId="77777777" w:rsidR="00E567B5" w:rsidRPr="00C65707" w:rsidRDefault="00E567B5" w:rsidP="00CE5678">
            <w:pPr>
              <w:pStyle w:val="Header"/>
              <w:widowControl w:val="0"/>
              <w:tabs>
                <w:tab w:val="left" w:pos="284"/>
              </w:tabs>
              <w:ind w:left="-110"/>
              <w:jc w:val="both"/>
              <w:rPr>
                <w:sz w:val="22"/>
                <w:szCs w:val="22"/>
              </w:rPr>
            </w:pPr>
          </w:p>
        </w:tc>
        <w:tc>
          <w:tcPr>
            <w:tcW w:w="927" w:type="pct"/>
            <w:vAlign w:val="center"/>
          </w:tcPr>
          <w:p w14:paraId="69E0FB4E" w14:textId="77777777" w:rsidR="00E567B5" w:rsidRPr="00C65707" w:rsidRDefault="00E567B5" w:rsidP="00CE5678">
            <w:pPr>
              <w:pStyle w:val="Header"/>
              <w:widowControl w:val="0"/>
              <w:tabs>
                <w:tab w:val="left" w:pos="284"/>
              </w:tabs>
              <w:ind w:left="-110"/>
              <w:jc w:val="both"/>
              <w:rPr>
                <w:sz w:val="22"/>
                <w:szCs w:val="22"/>
              </w:rPr>
            </w:pPr>
            <w:r w:rsidRPr="00C65707">
              <w:rPr>
                <w:sz w:val="22"/>
                <w:szCs w:val="22"/>
              </w:rPr>
              <w:t>Nefrolitijaza</w:t>
            </w:r>
          </w:p>
        </w:tc>
        <w:tc>
          <w:tcPr>
            <w:tcW w:w="633" w:type="pct"/>
          </w:tcPr>
          <w:p w14:paraId="7715C430" w14:textId="77777777" w:rsidR="00E567B5" w:rsidRPr="00C65707" w:rsidRDefault="00E567B5" w:rsidP="00CE5678">
            <w:pPr>
              <w:pStyle w:val="Header"/>
              <w:widowControl w:val="0"/>
              <w:tabs>
                <w:tab w:val="left" w:pos="284"/>
              </w:tabs>
              <w:ind w:left="-110"/>
              <w:jc w:val="both"/>
              <w:rPr>
                <w:color w:val="1A1A1A"/>
                <w:sz w:val="22"/>
                <w:szCs w:val="22"/>
                <w:lang w:eastAsia="en-GB"/>
              </w:rPr>
            </w:pPr>
          </w:p>
        </w:tc>
        <w:tc>
          <w:tcPr>
            <w:tcW w:w="701" w:type="pct"/>
          </w:tcPr>
          <w:p w14:paraId="42D1954D" w14:textId="77777777" w:rsidR="00E567B5" w:rsidRPr="00CE5678" w:rsidRDefault="00E567B5" w:rsidP="00CE5678">
            <w:pPr>
              <w:widowControl w:val="0"/>
              <w:jc w:val="both"/>
              <w:rPr>
                <w:sz w:val="22"/>
                <w:szCs w:val="22"/>
              </w:rPr>
            </w:pPr>
          </w:p>
        </w:tc>
      </w:tr>
      <w:tr w:rsidR="009759B0" w:rsidRPr="00C65707" w14:paraId="00C3CFC7" w14:textId="6F40BE2F" w:rsidTr="009759B0">
        <w:tc>
          <w:tcPr>
            <w:tcW w:w="791" w:type="pct"/>
            <w:vAlign w:val="center"/>
          </w:tcPr>
          <w:p w14:paraId="3B9AF835" w14:textId="12FB1C5D" w:rsidR="00E567B5" w:rsidRPr="00C65707" w:rsidRDefault="00E567B5" w:rsidP="00CE5678">
            <w:pPr>
              <w:pStyle w:val="Header"/>
              <w:widowControl w:val="0"/>
              <w:tabs>
                <w:tab w:val="left" w:pos="284"/>
              </w:tabs>
              <w:ind w:left="-110"/>
              <w:jc w:val="both"/>
              <w:rPr>
                <w:sz w:val="22"/>
                <w:szCs w:val="22"/>
              </w:rPr>
            </w:pPr>
            <w:r w:rsidRPr="00C65707">
              <w:rPr>
                <w:sz w:val="22"/>
                <w:szCs w:val="22"/>
              </w:rPr>
              <w:t>Opšti poremećaji i stanja na mjestu primjene</w:t>
            </w:r>
          </w:p>
        </w:tc>
        <w:tc>
          <w:tcPr>
            <w:tcW w:w="977" w:type="pct"/>
            <w:vAlign w:val="center"/>
          </w:tcPr>
          <w:p w14:paraId="4330EF28" w14:textId="77777777" w:rsidR="00E567B5" w:rsidRPr="002B3647" w:rsidRDefault="00E567B5" w:rsidP="00CE5678">
            <w:pPr>
              <w:pStyle w:val="Header"/>
              <w:widowControl w:val="0"/>
              <w:tabs>
                <w:tab w:val="left" w:pos="284"/>
              </w:tabs>
              <w:ind w:left="-110"/>
              <w:jc w:val="both"/>
              <w:rPr>
                <w:sz w:val="22"/>
                <w:szCs w:val="22"/>
              </w:rPr>
            </w:pPr>
            <w:r w:rsidRPr="002B3647">
              <w:rPr>
                <w:sz w:val="22"/>
                <w:szCs w:val="22"/>
              </w:rPr>
              <w:t>Reakcije na mjestu injekcije</w:t>
            </w:r>
          </w:p>
        </w:tc>
        <w:tc>
          <w:tcPr>
            <w:tcW w:w="972" w:type="pct"/>
            <w:vAlign w:val="center"/>
          </w:tcPr>
          <w:p w14:paraId="4753AC92" w14:textId="48BF1636" w:rsidR="00E567B5" w:rsidRPr="00C65707" w:rsidRDefault="00E567B5" w:rsidP="00CE5678">
            <w:pPr>
              <w:pStyle w:val="Header"/>
              <w:widowControl w:val="0"/>
              <w:tabs>
                <w:tab w:val="left" w:pos="284"/>
              </w:tabs>
              <w:ind w:left="-110"/>
              <w:jc w:val="both"/>
              <w:rPr>
                <w:sz w:val="22"/>
                <w:szCs w:val="22"/>
              </w:rPr>
            </w:pPr>
            <w:r w:rsidRPr="00C65707">
              <w:rPr>
                <w:sz w:val="22"/>
                <w:szCs w:val="22"/>
              </w:rPr>
              <w:t>Periferni otok, Reakcije preosjetljivosti</w:t>
            </w:r>
          </w:p>
        </w:tc>
        <w:tc>
          <w:tcPr>
            <w:tcW w:w="927" w:type="pct"/>
            <w:vAlign w:val="center"/>
          </w:tcPr>
          <w:p w14:paraId="70102B1D" w14:textId="77777777" w:rsidR="00E567B5" w:rsidRPr="00C65707" w:rsidRDefault="00E567B5" w:rsidP="00CE5678">
            <w:pPr>
              <w:pStyle w:val="Header"/>
              <w:widowControl w:val="0"/>
              <w:tabs>
                <w:tab w:val="left" w:pos="284"/>
              </w:tabs>
              <w:ind w:left="-110"/>
              <w:jc w:val="both"/>
              <w:rPr>
                <w:sz w:val="22"/>
                <w:szCs w:val="22"/>
              </w:rPr>
            </w:pPr>
          </w:p>
        </w:tc>
        <w:tc>
          <w:tcPr>
            <w:tcW w:w="633" w:type="pct"/>
          </w:tcPr>
          <w:p w14:paraId="3752DBB7" w14:textId="77777777" w:rsidR="00E567B5" w:rsidRPr="00C65707" w:rsidRDefault="00E567B5" w:rsidP="00CE5678">
            <w:pPr>
              <w:pStyle w:val="Header"/>
              <w:widowControl w:val="0"/>
              <w:tabs>
                <w:tab w:val="left" w:pos="284"/>
              </w:tabs>
              <w:ind w:left="-110"/>
              <w:jc w:val="both"/>
              <w:rPr>
                <w:sz w:val="22"/>
                <w:szCs w:val="22"/>
              </w:rPr>
            </w:pPr>
          </w:p>
        </w:tc>
        <w:tc>
          <w:tcPr>
            <w:tcW w:w="701" w:type="pct"/>
          </w:tcPr>
          <w:p w14:paraId="21CCFD46" w14:textId="77777777" w:rsidR="00E567B5" w:rsidRPr="00CE5678" w:rsidRDefault="00E567B5" w:rsidP="00CE5678">
            <w:pPr>
              <w:widowControl w:val="0"/>
              <w:jc w:val="both"/>
              <w:rPr>
                <w:sz w:val="22"/>
                <w:szCs w:val="22"/>
              </w:rPr>
            </w:pPr>
          </w:p>
        </w:tc>
      </w:tr>
      <w:tr w:rsidR="009759B0" w:rsidRPr="00C65707" w14:paraId="73148140" w14:textId="501D24FF" w:rsidTr="009759B0">
        <w:tc>
          <w:tcPr>
            <w:tcW w:w="791" w:type="pct"/>
            <w:vAlign w:val="center"/>
          </w:tcPr>
          <w:p w14:paraId="7306C607" w14:textId="77777777" w:rsidR="00E567B5" w:rsidRPr="00C65707" w:rsidRDefault="00E567B5" w:rsidP="00CE5678">
            <w:pPr>
              <w:pStyle w:val="Header"/>
              <w:widowControl w:val="0"/>
              <w:tabs>
                <w:tab w:val="left" w:pos="284"/>
              </w:tabs>
              <w:ind w:left="-110"/>
              <w:jc w:val="both"/>
              <w:rPr>
                <w:sz w:val="22"/>
                <w:szCs w:val="22"/>
              </w:rPr>
            </w:pPr>
            <w:r w:rsidRPr="00C65707">
              <w:rPr>
                <w:sz w:val="22"/>
                <w:szCs w:val="22"/>
              </w:rPr>
              <w:t>Ispitivanja</w:t>
            </w:r>
          </w:p>
        </w:tc>
        <w:tc>
          <w:tcPr>
            <w:tcW w:w="977" w:type="pct"/>
            <w:vAlign w:val="center"/>
          </w:tcPr>
          <w:p w14:paraId="65E7F859" w14:textId="77777777" w:rsidR="00E567B5" w:rsidRPr="002B3647" w:rsidRDefault="00E567B5" w:rsidP="00CE5678">
            <w:pPr>
              <w:pStyle w:val="Header"/>
              <w:widowControl w:val="0"/>
              <w:tabs>
                <w:tab w:val="left" w:pos="284"/>
              </w:tabs>
              <w:ind w:left="-110"/>
              <w:jc w:val="both"/>
              <w:rPr>
                <w:sz w:val="22"/>
                <w:szCs w:val="22"/>
              </w:rPr>
            </w:pPr>
          </w:p>
        </w:tc>
        <w:tc>
          <w:tcPr>
            <w:tcW w:w="972" w:type="pct"/>
            <w:vAlign w:val="center"/>
          </w:tcPr>
          <w:p w14:paraId="07BFAC88" w14:textId="77777777" w:rsidR="006C3BC4" w:rsidRDefault="00E567B5" w:rsidP="00CE5678">
            <w:pPr>
              <w:pStyle w:val="Header"/>
              <w:widowControl w:val="0"/>
              <w:tabs>
                <w:tab w:val="left" w:pos="284"/>
              </w:tabs>
              <w:ind w:left="-110"/>
              <w:jc w:val="both"/>
              <w:rPr>
                <w:sz w:val="22"/>
                <w:szCs w:val="22"/>
              </w:rPr>
            </w:pPr>
            <w:r w:rsidRPr="00C65707">
              <w:rPr>
                <w:sz w:val="22"/>
                <w:szCs w:val="22"/>
              </w:rPr>
              <w:t>Povećane transaminaze jetre, Povećanje tjelesne težine,</w:t>
            </w:r>
          </w:p>
          <w:p w14:paraId="0F2F52D0" w14:textId="65C3F274" w:rsidR="00E567B5" w:rsidRPr="00C65707" w:rsidRDefault="00E567B5" w:rsidP="00CE5678">
            <w:pPr>
              <w:pStyle w:val="Header"/>
              <w:widowControl w:val="0"/>
              <w:tabs>
                <w:tab w:val="left" w:pos="284"/>
              </w:tabs>
              <w:ind w:left="-110"/>
              <w:jc w:val="both"/>
              <w:rPr>
                <w:sz w:val="22"/>
                <w:szCs w:val="22"/>
              </w:rPr>
            </w:pPr>
            <w:r w:rsidRPr="00C65707">
              <w:rPr>
                <w:sz w:val="22"/>
                <w:szCs w:val="22"/>
              </w:rPr>
              <w:t>Povećan ukupan bilirubin*</w:t>
            </w:r>
          </w:p>
        </w:tc>
        <w:tc>
          <w:tcPr>
            <w:tcW w:w="927" w:type="pct"/>
            <w:vAlign w:val="center"/>
          </w:tcPr>
          <w:p w14:paraId="2588BF4B" w14:textId="77777777" w:rsidR="00E567B5" w:rsidRPr="00C65707" w:rsidRDefault="00E567B5" w:rsidP="00CE5678">
            <w:pPr>
              <w:pStyle w:val="Header"/>
              <w:widowControl w:val="0"/>
              <w:tabs>
                <w:tab w:val="left" w:pos="284"/>
              </w:tabs>
              <w:ind w:left="-110"/>
              <w:jc w:val="both"/>
              <w:rPr>
                <w:sz w:val="22"/>
                <w:szCs w:val="22"/>
              </w:rPr>
            </w:pPr>
          </w:p>
        </w:tc>
        <w:tc>
          <w:tcPr>
            <w:tcW w:w="633" w:type="pct"/>
          </w:tcPr>
          <w:p w14:paraId="0A1F6FE6" w14:textId="77777777" w:rsidR="00E567B5" w:rsidRPr="00C65707" w:rsidRDefault="00E567B5" w:rsidP="00CE5678">
            <w:pPr>
              <w:pStyle w:val="Header"/>
              <w:widowControl w:val="0"/>
              <w:tabs>
                <w:tab w:val="left" w:pos="284"/>
              </w:tabs>
              <w:ind w:left="-110"/>
              <w:jc w:val="both"/>
              <w:rPr>
                <w:sz w:val="22"/>
                <w:szCs w:val="22"/>
              </w:rPr>
            </w:pPr>
          </w:p>
        </w:tc>
        <w:tc>
          <w:tcPr>
            <w:tcW w:w="701" w:type="pct"/>
          </w:tcPr>
          <w:p w14:paraId="092117D1" w14:textId="77777777" w:rsidR="00E567B5" w:rsidRPr="00CE5678" w:rsidRDefault="00E567B5" w:rsidP="00CE5678">
            <w:pPr>
              <w:widowControl w:val="0"/>
              <w:jc w:val="both"/>
              <w:rPr>
                <w:sz w:val="22"/>
                <w:szCs w:val="22"/>
              </w:rPr>
            </w:pPr>
          </w:p>
        </w:tc>
      </w:tr>
    </w:tbl>
    <w:p w14:paraId="74AF6504" w14:textId="29392801" w:rsidR="00CC2B31" w:rsidRPr="00CE5678" w:rsidRDefault="00CC2B31" w:rsidP="00C65707">
      <w:pPr>
        <w:pStyle w:val="BodyText"/>
        <w:widowControl w:val="0"/>
        <w:spacing w:after="0" w:line="246" w:lineRule="exact"/>
        <w:jc w:val="both"/>
        <w:rPr>
          <w:noProof w:val="0"/>
          <w:sz w:val="22"/>
          <w:szCs w:val="22"/>
        </w:rPr>
      </w:pPr>
      <w:r w:rsidRPr="00CE5678">
        <w:rPr>
          <w:noProof w:val="0"/>
          <w:sz w:val="22"/>
          <w:szCs w:val="22"/>
        </w:rPr>
        <w:t>*Uključuje slučajeve prikupljene kao dio rutiskog nadzora laboratorijskih analiza (vidjeti tekst ispod)</w:t>
      </w:r>
    </w:p>
    <w:p w14:paraId="07C33288" w14:textId="77777777" w:rsidR="00CC2B31" w:rsidRPr="00CE5678" w:rsidRDefault="00CC2B31" w:rsidP="00CE5678">
      <w:pPr>
        <w:widowControl w:val="0"/>
        <w:jc w:val="both"/>
        <w:rPr>
          <w:sz w:val="22"/>
          <w:szCs w:val="22"/>
          <w:lang w:eastAsia="ja-JP"/>
        </w:rPr>
      </w:pPr>
      <w:r w:rsidRPr="00CE5678">
        <w:rPr>
          <w:sz w:val="22"/>
          <w:szCs w:val="22"/>
          <w:vertAlign w:val="superscript"/>
          <w:lang w:eastAsia="ja-JP"/>
        </w:rPr>
        <w:t>1</w:t>
      </w:r>
      <w:r w:rsidRPr="00CE5678">
        <w:rPr>
          <w:sz w:val="22"/>
          <w:szCs w:val="22"/>
          <w:lang w:eastAsia="ja-JP"/>
        </w:rPr>
        <w:t>Vidjeti dio 4.3</w:t>
      </w:r>
    </w:p>
    <w:p w14:paraId="66764A6B" w14:textId="77777777" w:rsidR="00CC2B31" w:rsidRPr="00CE5678" w:rsidRDefault="00CC2B31" w:rsidP="00CE5678">
      <w:pPr>
        <w:widowControl w:val="0"/>
        <w:jc w:val="both"/>
        <w:rPr>
          <w:sz w:val="22"/>
          <w:szCs w:val="22"/>
          <w:lang w:eastAsia="ja-JP"/>
        </w:rPr>
      </w:pPr>
      <w:r w:rsidRPr="00CE5678">
        <w:rPr>
          <w:sz w:val="22"/>
          <w:szCs w:val="22"/>
          <w:vertAlign w:val="superscript"/>
          <w:lang w:eastAsia="ja-JP"/>
        </w:rPr>
        <w:t>2</w:t>
      </w:r>
      <w:r w:rsidRPr="00CE5678">
        <w:rPr>
          <w:sz w:val="22"/>
          <w:szCs w:val="22"/>
          <w:lang w:eastAsia="ja-JP"/>
        </w:rPr>
        <w:t>Vidjeti dio 4.4</w:t>
      </w:r>
    </w:p>
    <w:p w14:paraId="6311E1DB" w14:textId="77777777" w:rsidR="00CC2B31" w:rsidRPr="00CE5678" w:rsidRDefault="00CC2B31" w:rsidP="00CE5678">
      <w:pPr>
        <w:widowControl w:val="0"/>
        <w:jc w:val="both"/>
        <w:rPr>
          <w:sz w:val="22"/>
          <w:szCs w:val="22"/>
          <w:lang w:eastAsia="ja-JP"/>
        </w:rPr>
      </w:pPr>
      <w:r w:rsidRPr="00CE5678">
        <w:rPr>
          <w:sz w:val="22"/>
          <w:szCs w:val="22"/>
          <w:vertAlign w:val="superscript"/>
          <w:lang w:eastAsia="ja-JP"/>
        </w:rPr>
        <w:t>3</w:t>
      </w:r>
      <w:r w:rsidRPr="00CE5678">
        <w:rPr>
          <w:sz w:val="22"/>
          <w:szCs w:val="22"/>
          <w:lang w:eastAsia="ja-JP"/>
        </w:rPr>
        <w:t>Ova neželjena reakcija je utvrđena tokom postmarketinškog praćenja, ali nije uočena u kontrolisanim kliničkim ispitivanjima. Kategorija učestalosti procijenjena je kao gornja granica intervala povjerenja od 95% izračunata na osnovu ukupnog broja pacijenata izloženih tocilizumabu u kliničkim ispitivanjima.</w:t>
      </w:r>
    </w:p>
    <w:p w14:paraId="4012797B" w14:textId="77777777" w:rsidR="00CC2B31" w:rsidRPr="00C65707" w:rsidRDefault="00CC2B31" w:rsidP="00C65707">
      <w:pPr>
        <w:pStyle w:val="BodyText"/>
        <w:widowControl w:val="0"/>
        <w:spacing w:after="0" w:line="246" w:lineRule="exact"/>
        <w:jc w:val="both"/>
        <w:rPr>
          <w:noProof w:val="0"/>
          <w:sz w:val="22"/>
          <w:szCs w:val="22"/>
        </w:rPr>
      </w:pPr>
    </w:p>
    <w:p w14:paraId="1FCB453E" w14:textId="15CCDB1D" w:rsidR="00CC2B31" w:rsidRPr="00C65707" w:rsidRDefault="009F7713" w:rsidP="00CE5678">
      <w:pPr>
        <w:pStyle w:val="Header"/>
        <w:widowControl w:val="0"/>
        <w:tabs>
          <w:tab w:val="left" w:pos="284"/>
        </w:tabs>
        <w:spacing w:line="360" w:lineRule="auto"/>
        <w:jc w:val="both"/>
        <w:rPr>
          <w:b/>
          <w:sz w:val="22"/>
          <w:szCs w:val="22"/>
          <w:u w:val="single"/>
        </w:rPr>
      </w:pPr>
      <w:r w:rsidRPr="00C65707">
        <w:rPr>
          <w:b/>
          <w:sz w:val="22"/>
          <w:szCs w:val="22"/>
          <w:u w:val="single"/>
        </w:rPr>
        <w:t>Opis odabranih neželjenih dejstava (s</w:t>
      </w:r>
      <w:r w:rsidR="00CC2B31" w:rsidRPr="00C65707">
        <w:rPr>
          <w:b/>
          <w:sz w:val="22"/>
          <w:szCs w:val="22"/>
          <w:u w:val="single"/>
        </w:rPr>
        <w:t>ubkutana primjena</w:t>
      </w:r>
      <w:r w:rsidRPr="00C65707">
        <w:rPr>
          <w:b/>
          <w:sz w:val="22"/>
          <w:szCs w:val="22"/>
          <w:u w:val="single"/>
        </w:rPr>
        <w:t>)</w:t>
      </w:r>
    </w:p>
    <w:p w14:paraId="6478FCA2" w14:textId="77777777" w:rsidR="006C3BC4" w:rsidRDefault="009F7713" w:rsidP="002B3647">
      <w:pPr>
        <w:pStyle w:val="Header"/>
        <w:widowControl w:val="0"/>
        <w:tabs>
          <w:tab w:val="left" w:pos="284"/>
        </w:tabs>
        <w:jc w:val="both"/>
        <w:rPr>
          <w:b/>
          <w:i/>
          <w:iCs/>
          <w:sz w:val="22"/>
          <w:szCs w:val="22"/>
          <w:u w:val="single"/>
        </w:rPr>
      </w:pPr>
      <w:r w:rsidRPr="002B3647">
        <w:rPr>
          <w:b/>
          <w:i/>
          <w:iCs/>
          <w:sz w:val="22"/>
          <w:szCs w:val="22"/>
          <w:u w:val="single"/>
        </w:rPr>
        <w:t>Pacijenti sa RA</w:t>
      </w:r>
    </w:p>
    <w:p w14:paraId="3C2263D3" w14:textId="5BDAF1ED" w:rsidR="00CC2B31" w:rsidRPr="00C65707" w:rsidRDefault="00CC2B31">
      <w:pPr>
        <w:pStyle w:val="Header"/>
        <w:widowControl w:val="0"/>
        <w:tabs>
          <w:tab w:val="left" w:pos="284"/>
        </w:tabs>
        <w:jc w:val="both"/>
        <w:rPr>
          <w:sz w:val="22"/>
          <w:szCs w:val="22"/>
        </w:rPr>
      </w:pPr>
      <w:r w:rsidRPr="002B3647">
        <w:rPr>
          <w:sz w:val="22"/>
          <w:szCs w:val="22"/>
        </w:rPr>
        <w:t xml:space="preserve">Ocjena bezbjednosti </w:t>
      </w:r>
      <w:r w:rsidR="009F7713" w:rsidRPr="002B3647">
        <w:rPr>
          <w:sz w:val="22"/>
          <w:szCs w:val="22"/>
        </w:rPr>
        <w:t>tocilizumaba</w:t>
      </w:r>
      <w:r w:rsidRPr="002B3647">
        <w:rPr>
          <w:sz w:val="22"/>
          <w:szCs w:val="22"/>
        </w:rPr>
        <w:t xml:space="preserve"> za su</w:t>
      </w:r>
      <w:r w:rsidR="006C3BC4">
        <w:rPr>
          <w:sz w:val="22"/>
          <w:szCs w:val="22"/>
        </w:rPr>
        <w:t>b</w:t>
      </w:r>
      <w:r w:rsidRPr="002B3647">
        <w:rPr>
          <w:sz w:val="22"/>
          <w:szCs w:val="22"/>
        </w:rPr>
        <w:t>kutanu primjenu kod pacijenata sa RA uključuje dvostruku slijepu, kontrolisanu multicentričnu</w:t>
      </w:r>
      <w:r w:rsidRPr="00C65707">
        <w:rPr>
          <w:sz w:val="22"/>
          <w:szCs w:val="22"/>
        </w:rPr>
        <w:t xml:space="preserve"> Studiju SC</w:t>
      </w:r>
      <w:r w:rsidRPr="00C65707">
        <w:rPr>
          <w:sz w:val="22"/>
          <w:szCs w:val="22"/>
        </w:rPr>
        <w:noBreakHyphen/>
        <w:t>I. SC</w:t>
      </w:r>
      <w:r w:rsidRPr="00C65707">
        <w:rPr>
          <w:sz w:val="22"/>
          <w:szCs w:val="22"/>
        </w:rPr>
        <w:noBreakHyphen/>
        <w:t xml:space="preserve">I je bila Studija neinferiornosti u kojoj su se upoređivale efikasnost i bezbjednost </w:t>
      </w:r>
      <w:r w:rsidR="009F7713" w:rsidRPr="00C65707">
        <w:rPr>
          <w:sz w:val="22"/>
          <w:szCs w:val="22"/>
        </w:rPr>
        <w:t>tocilizumaba</w:t>
      </w:r>
      <w:r w:rsidRPr="00C65707">
        <w:rPr>
          <w:sz w:val="22"/>
          <w:szCs w:val="22"/>
        </w:rPr>
        <w:t xml:space="preserve"> u su</w:t>
      </w:r>
      <w:r w:rsidR="006C3BC4">
        <w:rPr>
          <w:sz w:val="22"/>
          <w:szCs w:val="22"/>
        </w:rPr>
        <w:t>b</w:t>
      </w:r>
      <w:r w:rsidRPr="00C65707">
        <w:rPr>
          <w:sz w:val="22"/>
          <w:szCs w:val="22"/>
        </w:rPr>
        <w:t>kutanoj dozi od 162 mg jedanput nedjeljno sa primjenom intravenske doze od 8 mg/kg kod 1262 pacijenata sa RA. Svi pacijenti su primali osnovno liječenje nebiološkim DMARD. Bezbjednost i imunogenost primjećene kod su</w:t>
      </w:r>
      <w:r w:rsidR="006C3BC4">
        <w:rPr>
          <w:sz w:val="22"/>
          <w:szCs w:val="22"/>
        </w:rPr>
        <w:t>b</w:t>
      </w:r>
      <w:r w:rsidRPr="00C65707">
        <w:rPr>
          <w:sz w:val="22"/>
          <w:szCs w:val="22"/>
        </w:rPr>
        <w:t xml:space="preserve">kutano primjenjenog </w:t>
      </w:r>
      <w:bookmarkStart w:id="1" w:name="_Hlk191377898"/>
      <w:r w:rsidR="009F7713" w:rsidRPr="00C65707">
        <w:rPr>
          <w:sz w:val="22"/>
          <w:szCs w:val="22"/>
        </w:rPr>
        <w:t>tocilizumab</w:t>
      </w:r>
      <w:bookmarkEnd w:id="1"/>
      <w:r w:rsidR="009F7713" w:rsidRPr="00C65707">
        <w:rPr>
          <w:sz w:val="22"/>
          <w:szCs w:val="22"/>
        </w:rPr>
        <w:t>a</w:t>
      </w:r>
      <w:r w:rsidRPr="00C65707">
        <w:rPr>
          <w:sz w:val="22"/>
          <w:szCs w:val="22"/>
        </w:rPr>
        <w:t xml:space="preserve"> bile su u skladu sa poznatim bezbjednosnim profilom </w:t>
      </w:r>
      <w:r w:rsidR="009F7713" w:rsidRPr="00C65707">
        <w:rPr>
          <w:sz w:val="22"/>
          <w:szCs w:val="22"/>
        </w:rPr>
        <w:t>tocilizumaba</w:t>
      </w:r>
      <w:r w:rsidRPr="00C65707">
        <w:rPr>
          <w:sz w:val="22"/>
          <w:szCs w:val="22"/>
        </w:rPr>
        <w:t xml:space="preserve"> za intravensku primjenu</w:t>
      </w:r>
      <w:r w:rsidR="009F7713" w:rsidRPr="00C65707">
        <w:rPr>
          <w:sz w:val="22"/>
          <w:szCs w:val="22"/>
        </w:rPr>
        <w:t>,</w:t>
      </w:r>
      <w:r w:rsidRPr="00C65707">
        <w:rPr>
          <w:sz w:val="22"/>
          <w:szCs w:val="22"/>
        </w:rPr>
        <w:t xml:space="preserve"> te ni</w:t>
      </w:r>
      <w:r w:rsidR="000A085D" w:rsidRPr="00C65707">
        <w:rPr>
          <w:sz w:val="22"/>
          <w:szCs w:val="22"/>
        </w:rPr>
        <w:t>je</w:t>
      </w:r>
      <w:r w:rsidRPr="00C65707">
        <w:rPr>
          <w:sz w:val="22"/>
          <w:szCs w:val="22"/>
        </w:rPr>
        <w:t>su primjećene nikakva nova niti neočekivana neželjena dejstva na lijek (vidjeti Tabelu 1). U grupi pacijenata koji su primali su</w:t>
      </w:r>
      <w:r w:rsidR="006C3BC4">
        <w:rPr>
          <w:sz w:val="22"/>
          <w:szCs w:val="22"/>
        </w:rPr>
        <w:t>b</w:t>
      </w:r>
      <w:r w:rsidRPr="00C65707">
        <w:rPr>
          <w:sz w:val="22"/>
          <w:szCs w:val="22"/>
        </w:rPr>
        <w:t>kutanu formulaciju lijeka primjećena je veća učestalost reakcija na mjestu injekcije nego kod pacijenata koji su primali placebo su</w:t>
      </w:r>
      <w:r w:rsidR="006C3BC4">
        <w:rPr>
          <w:sz w:val="22"/>
          <w:szCs w:val="22"/>
        </w:rPr>
        <w:t>b</w:t>
      </w:r>
      <w:r w:rsidRPr="00C65707">
        <w:rPr>
          <w:sz w:val="22"/>
          <w:szCs w:val="22"/>
        </w:rPr>
        <w:t>kutanom injekcijom u grupi liječenoj intravenskom formulacijom lijeka.</w:t>
      </w:r>
    </w:p>
    <w:p w14:paraId="0E5C641B" w14:textId="77777777" w:rsidR="00CC2B31" w:rsidRPr="00C65707" w:rsidRDefault="00CC2B31">
      <w:pPr>
        <w:pStyle w:val="Header"/>
        <w:widowControl w:val="0"/>
        <w:tabs>
          <w:tab w:val="left" w:pos="284"/>
        </w:tabs>
        <w:jc w:val="both"/>
        <w:rPr>
          <w:i/>
          <w:sz w:val="22"/>
          <w:szCs w:val="22"/>
        </w:rPr>
      </w:pPr>
    </w:p>
    <w:p w14:paraId="09791A1B" w14:textId="77777777" w:rsidR="00CC2B31" w:rsidRPr="00C65707" w:rsidRDefault="00CC2B31">
      <w:pPr>
        <w:pStyle w:val="Header"/>
        <w:widowControl w:val="0"/>
        <w:tabs>
          <w:tab w:val="left" w:pos="284"/>
        </w:tabs>
        <w:jc w:val="both"/>
        <w:rPr>
          <w:i/>
          <w:sz w:val="22"/>
          <w:szCs w:val="22"/>
          <w:u w:val="single"/>
        </w:rPr>
      </w:pPr>
      <w:r w:rsidRPr="00C65707">
        <w:rPr>
          <w:i/>
          <w:sz w:val="22"/>
          <w:szCs w:val="22"/>
          <w:u w:val="single"/>
        </w:rPr>
        <w:t>Reakcije na mjestu injekcije</w:t>
      </w:r>
    </w:p>
    <w:p w14:paraId="05EB3D6D" w14:textId="3E16ABD2" w:rsidR="00CC2B31" w:rsidRPr="00C65707" w:rsidRDefault="00CC2B31">
      <w:pPr>
        <w:pStyle w:val="Header"/>
        <w:widowControl w:val="0"/>
        <w:tabs>
          <w:tab w:val="left" w:pos="284"/>
        </w:tabs>
        <w:jc w:val="both"/>
        <w:rPr>
          <w:sz w:val="22"/>
          <w:szCs w:val="22"/>
        </w:rPr>
      </w:pPr>
      <w:r w:rsidRPr="00C65707">
        <w:rPr>
          <w:sz w:val="22"/>
          <w:szCs w:val="22"/>
        </w:rPr>
        <w:t>Tokom 6</w:t>
      </w:r>
      <w:r w:rsidRPr="00C65707">
        <w:rPr>
          <w:sz w:val="22"/>
          <w:szCs w:val="22"/>
        </w:rPr>
        <w:noBreakHyphen/>
        <w:t>mjesečnog kontrolisanog perioda u Studiji SC</w:t>
      </w:r>
      <w:r w:rsidRPr="00C65707">
        <w:rPr>
          <w:sz w:val="22"/>
          <w:szCs w:val="22"/>
        </w:rPr>
        <w:noBreakHyphen/>
        <w:t>I, učestalost reakcija na mjestu injekcije iznosila je 10,1% (64/631) u grupi koja je primala su</w:t>
      </w:r>
      <w:r w:rsidR="006C3BC4">
        <w:rPr>
          <w:sz w:val="22"/>
          <w:szCs w:val="22"/>
        </w:rPr>
        <w:t>b</w:t>
      </w:r>
      <w:r w:rsidRPr="00C65707">
        <w:rPr>
          <w:sz w:val="22"/>
          <w:szCs w:val="22"/>
        </w:rPr>
        <w:t xml:space="preserve">kutane injekcije </w:t>
      </w:r>
      <w:r w:rsidR="009F7713" w:rsidRPr="00C65707">
        <w:rPr>
          <w:sz w:val="22"/>
          <w:szCs w:val="22"/>
        </w:rPr>
        <w:t>tocilizumaba</w:t>
      </w:r>
      <w:r w:rsidRPr="00C65707">
        <w:rPr>
          <w:sz w:val="22"/>
          <w:szCs w:val="22"/>
        </w:rPr>
        <w:t xml:space="preserve"> jedanput nedjeljno te 2,4% (15/631) u grupi koja je primala su</w:t>
      </w:r>
      <w:r w:rsidR="006C3BC4">
        <w:rPr>
          <w:sz w:val="22"/>
          <w:szCs w:val="22"/>
        </w:rPr>
        <w:t>b</w:t>
      </w:r>
      <w:r w:rsidRPr="00C65707">
        <w:rPr>
          <w:sz w:val="22"/>
          <w:szCs w:val="22"/>
        </w:rPr>
        <w:t>kutane injekcije placeba jedanput nedjeljno (grupa liječena intravenskom formulacijom lijeka). Te reakcije na mjestu injekcije (uključujući eritem, pruritus, bol i hematom) bile su blage do umjerene težine. Većina njih povukla se bez liječenja, a niti jedna nije zahtijevala prekid liječenja.</w:t>
      </w:r>
    </w:p>
    <w:p w14:paraId="2CA03A3E" w14:textId="77777777" w:rsidR="00CC2B31" w:rsidRPr="00C65707" w:rsidRDefault="00CC2B31">
      <w:pPr>
        <w:pStyle w:val="Header"/>
        <w:widowControl w:val="0"/>
        <w:tabs>
          <w:tab w:val="left" w:pos="284"/>
        </w:tabs>
        <w:ind w:left="-110"/>
        <w:jc w:val="both"/>
        <w:rPr>
          <w:sz w:val="22"/>
          <w:szCs w:val="22"/>
        </w:rPr>
      </w:pPr>
    </w:p>
    <w:p w14:paraId="19E7267B" w14:textId="77777777" w:rsidR="00CC2B31" w:rsidRPr="00C65707" w:rsidRDefault="00CC2B31">
      <w:pPr>
        <w:pStyle w:val="Header"/>
        <w:widowControl w:val="0"/>
        <w:tabs>
          <w:tab w:val="left" w:pos="284"/>
        </w:tabs>
        <w:jc w:val="both"/>
        <w:rPr>
          <w:i/>
          <w:sz w:val="22"/>
          <w:szCs w:val="22"/>
          <w:u w:val="single"/>
        </w:rPr>
      </w:pPr>
      <w:r w:rsidRPr="00C65707">
        <w:rPr>
          <w:i/>
          <w:sz w:val="22"/>
          <w:szCs w:val="22"/>
          <w:u w:val="single"/>
        </w:rPr>
        <w:t>Imunogenost</w:t>
      </w:r>
    </w:p>
    <w:p w14:paraId="53BBFAE0" w14:textId="06CA7939" w:rsidR="00CC2B31" w:rsidRPr="00C65707" w:rsidRDefault="00CC2B31">
      <w:pPr>
        <w:pStyle w:val="Header"/>
        <w:widowControl w:val="0"/>
        <w:tabs>
          <w:tab w:val="left" w:pos="284"/>
        </w:tabs>
        <w:jc w:val="both"/>
        <w:rPr>
          <w:sz w:val="22"/>
          <w:szCs w:val="22"/>
        </w:rPr>
      </w:pPr>
      <w:r w:rsidRPr="00C65707">
        <w:rPr>
          <w:sz w:val="22"/>
          <w:szCs w:val="22"/>
        </w:rPr>
        <w:t>Tokom 6</w:t>
      </w:r>
      <w:r w:rsidRPr="00C65707">
        <w:rPr>
          <w:sz w:val="22"/>
          <w:szCs w:val="22"/>
        </w:rPr>
        <w:noBreakHyphen/>
        <w:t>mjesečnog kontrolisanog perioda u Studiji SC</w:t>
      </w:r>
      <w:r w:rsidRPr="00C65707">
        <w:rPr>
          <w:sz w:val="22"/>
          <w:szCs w:val="22"/>
        </w:rPr>
        <w:noBreakHyphen/>
        <w:t xml:space="preserve">I, ukupno je 625 pacijenata liječenih </w:t>
      </w:r>
      <w:r w:rsidR="009F7713" w:rsidRPr="00C65707">
        <w:rPr>
          <w:sz w:val="22"/>
          <w:szCs w:val="22"/>
        </w:rPr>
        <w:lastRenderedPageBreak/>
        <w:t>tocilizumabom</w:t>
      </w:r>
      <w:r w:rsidRPr="00C65707">
        <w:rPr>
          <w:sz w:val="22"/>
          <w:szCs w:val="22"/>
        </w:rPr>
        <w:t xml:space="preserve"> u dozi od 162 mg jedanput nedjeljno testirano na antitijelima na </w:t>
      </w:r>
      <w:r w:rsidR="009F7713" w:rsidRPr="00C65707">
        <w:rPr>
          <w:sz w:val="22"/>
          <w:szCs w:val="22"/>
        </w:rPr>
        <w:t>tocilizumab</w:t>
      </w:r>
      <w:r w:rsidRPr="00C65707">
        <w:rPr>
          <w:sz w:val="22"/>
          <w:szCs w:val="22"/>
        </w:rPr>
        <w:t xml:space="preserve">. Kod 5 pacijenata (0,8%) razvila su se pozitivna antitijela na </w:t>
      </w:r>
      <w:r w:rsidR="009F7713" w:rsidRPr="00C65707">
        <w:rPr>
          <w:sz w:val="22"/>
          <w:szCs w:val="22"/>
        </w:rPr>
        <w:t>tocilizumab</w:t>
      </w:r>
      <w:r w:rsidRPr="00C65707">
        <w:rPr>
          <w:sz w:val="22"/>
          <w:szCs w:val="22"/>
        </w:rPr>
        <w:t>, a kod svih njih razvila su se neutrali</w:t>
      </w:r>
      <w:r w:rsidR="006C3BC4">
        <w:rPr>
          <w:sz w:val="22"/>
          <w:szCs w:val="22"/>
        </w:rPr>
        <w:t>š</w:t>
      </w:r>
      <w:r w:rsidRPr="00C65707">
        <w:rPr>
          <w:sz w:val="22"/>
          <w:szCs w:val="22"/>
        </w:rPr>
        <w:t xml:space="preserve">uća antitijela na </w:t>
      </w:r>
      <w:r w:rsidR="009F7713" w:rsidRPr="00C65707">
        <w:rPr>
          <w:sz w:val="22"/>
          <w:szCs w:val="22"/>
        </w:rPr>
        <w:t>tocilizumab</w:t>
      </w:r>
      <w:r w:rsidRPr="00C65707">
        <w:rPr>
          <w:sz w:val="22"/>
          <w:szCs w:val="22"/>
        </w:rPr>
        <w:t>. Jedan pacijent bio je pozitivan na izotip IgE (0,2%).</w:t>
      </w:r>
    </w:p>
    <w:p w14:paraId="6D943412" w14:textId="77777777" w:rsidR="00CC2B31" w:rsidRPr="00C65707" w:rsidRDefault="00CC2B31">
      <w:pPr>
        <w:pStyle w:val="Header"/>
        <w:widowControl w:val="0"/>
        <w:tabs>
          <w:tab w:val="left" w:pos="284"/>
        </w:tabs>
        <w:jc w:val="both"/>
        <w:rPr>
          <w:sz w:val="22"/>
          <w:szCs w:val="22"/>
        </w:rPr>
      </w:pPr>
    </w:p>
    <w:p w14:paraId="699E886E" w14:textId="209942B2" w:rsidR="00CC2B31" w:rsidRPr="00C65707" w:rsidRDefault="00CC2B31">
      <w:pPr>
        <w:pStyle w:val="Header"/>
        <w:widowControl w:val="0"/>
        <w:tabs>
          <w:tab w:val="left" w:pos="284"/>
        </w:tabs>
        <w:jc w:val="both"/>
        <w:rPr>
          <w:sz w:val="22"/>
          <w:szCs w:val="22"/>
        </w:rPr>
      </w:pPr>
      <w:r w:rsidRPr="00C65707">
        <w:rPr>
          <w:sz w:val="22"/>
          <w:szCs w:val="22"/>
        </w:rPr>
        <w:t>Tokom 6</w:t>
      </w:r>
      <w:r w:rsidRPr="00C65707">
        <w:rPr>
          <w:sz w:val="22"/>
          <w:szCs w:val="22"/>
        </w:rPr>
        <w:noBreakHyphen/>
        <w:t>mjesečnog kontrolisanog razdoblja u Studiji SC</w:t>
      </w:r>
      <w:r w:rsidRPr="00C65707">
        <w:rPr>
          <w:sz w:val="22"/>
          <w:szCs w:val="22"/>
        </w:rPr>
        <w:noBreakHyphen/>
        <w:t xml:space="preserve">II, ukupno su 434 pacijenta liječena </w:t>
      </w:r>
      <w:r w:rsidR="009F7713" w:rsidRPr="00C65707">
        <w:rPr>
          <w:sz w:val="22"/>
          <w:szCs w:val="22"/>
        </w:rPr>
        <w:t>tocilizumabom</w:t>
      </w:r>
      <w:r w:rsidRPr="00C65707">
        <w:rPr>
          <w:sz w:val="22"/>
          <w:szCs w:val="22"/>
        </w:rPr>
        <w:t xml:space="preserve"> u dozi od 162 mg jedanput svaka dvije nedjelje testirana na antitijela na </w:t>
      </w:r>
      <w:r w:rsidR="009F7713" w:rsidRPr="00C65707">
        <w:rPr>
          <w:sz w:val="22"/>
          <w:szCs w:val="22"/>
        </w:rPr>
        <w:t>tocilizumab</w:t>
      </w:r>
      <w:r w:rsidRPr="00C65707">
        <w:rPr>
          <w:sz w:val="22"/>
          <w:szCs w:val="22"/>
        </w:rPr>
        <w:t xml:space="preserve">. </w:t>
      </w:r>
      <w:r w:rsidR="006C3BC4">
        <w:rPr>
          <w:sz w:val="22"/>
          <w:szCs w:val="22"/>
        </w:rPr>
        <w:t>Kod</w:t>
      </w:r>
      <w:r w:rsidRPr="00C65707">
        <w:rPr>
          <w:sz w:val="22"/>
          <w:szCs w:val="22"/>
        </w:rPr>
        <w:t xml:space="preserve"> 7 pacijenata (1,6%) razvila su se pozitivna antitijela na </w:t>
      </w:r>
      <w:r w:rsidR="009F7713" w:rsidRPr="00C65707">
        <w:rPr>
          <w:sz w:val="22"/>
          <w:szCs w:val="22"/>
        </w:rPr>
        <w:t>tocilizumab</w:t>
      </w:r>
      <w:r w:rsidRPr="00C65707">
        <w:rPr>
          <w:sz w:val="22"/>
          <w:szCs w:val="22"/>
        </w:rPr>
        <w:t xml:space="preserve">; kod 6 od njih 7 (1,4%) razvila su se neutralizirajuća antitijela na </w:t>
      </w:r>
      <w:r w:rsidR="009F7713" w:rsidRPr="00C65707">
        <w:rPr>
          <w:sz w:val="22"/>
          <w:szCs w:val="22"/>
        </w:rPr>
        <w:t>tocilizumab</w:t>
      </w:r>
      <w:r w:rsidRPr="00C65707">
        <w:rPr>
          <w:sz w:val="22"/>
          <w:szCs w:val="22"/>
        </w:rPr>
        <w:t xml:space="preserve">. Četiri pacijenta </w:t>
      </w:r>
      <w:r w:rsidR="009F7713" w:rsidRPr="00C65707">
        <w:rPr>
          <w:sz w:val="22"/>
          <w:szCs w:val="22"/>
        </w:rPr>
        <w:t xml:space="preserve">su </w:t>
      </w:r>
      <w:r w:rsidRPr="00C65707">
        <w:rPr>
          <w:sz w:val="22"/>
          <w:szCs w:val="22"/>
        </w:rPr>
        <w:t>bila pozitivna na izotip IgE (0,9%).</w:t>
      </w:r>
    </w:p>
    <w:p w14:paraId="01E4C167" w14:textId="77777777" w:rsidR="00CC2B31" w:rsidRPr="00C65707" w:rsidRDefault="00CC2B31">
      <w:pPr>
        <w:pStyle w:val="Header"/>
        <w:widowControl w:val="0"/>
        <w:tabs>
          <w:tab w:val="left" w:pos="284"/>
        </w:tabs>
        <w:jc w:val="both"/>
        <w:rPr>
          <w:sz w:val="22"/>
          <w:szCs w:val="22"/>
        </w:rPr>
      </w:pPr>
    </w:p>
    <w:p w14:paraId="3FDC2CF0" w14:textId="77777777" w:rsidR="00CC2B31" w:rsidRPr="00C65707" w:rsidRDefault="00CC2B31">
      <w:pPr>
        <w:pStyle w:val="Header"/>
        <w:widowControl w:val="0"/>
        <w:tabs>
          <w:tab w:val="left" w:pos="284"/>
        </w:tabs>
        <w:jc w:val="both"/>
        <w:rPr>
          <w:sz w:val="22"/>
          <w:szCs w:val="22"/>
        </w:rPr>
      </w:pPr>
      <w:r w:rsidRPr="00C65707">
        <w:rPr>
          <w:sz w:val="22"/>
          <w:szCs w:val="22"/>
        </w:rPr>
        <w:t>Nije primijećena korelacija između razvoja antitijela i kliničkog odgovora ili neželjenih dejstava.</w:t>
      </w:r>
    </w:p>
    <w:p w14:paraId="7CB4C695" w14:textId="77777777" w:rsidR="00CC2B31" w:rsidRPr="00C65707" w:rsidRDefault="00CC2B31">
      <w:pPr>
        <w:pStyle w:val="Header"/>
        <w:widowControl w:val="0"/>
        <w:tabs>
          <w:tab w:val="left" w:pos="284"/>
        </w:tabs>
        <w:jc w:val="both"/>
        <w:rPr>
          <w:sz w:val="22"/>
          <w:szCs w:val="22"/>
        </w:rPr>
      </w:pPr>
    </w:p>
    <w:p w14:paraId="4E2B9825" w14:textId="77777777" w:rsidR="00CC2B31" w:rsidRPr="00C65707" w:rsidRDefault="00CC2B31">
      <w:pPr>
        <w:pStyle w:val="Header"/>
        <w:widowControl w:val="0"/>
        <w:tabs>
          <w:tab w:val="left" w:pos="284"/>
        </w:tabs>
        <w:jc w:val="both"/>
        <w:rPr>
          <w:i/>
          <w:sz w:val="22"/>
          <w:szCs w:val="22"/>
          <w:u w:val="single"/>
        </w:rPr>
      </w:pPr>
      <w:r w:rsidRPr="00C65707">
        <w:rPr>
          <w:i/>
          <w:sz w:val="22"/>
          <w:szCs w:val="22"/>
          <w:u w:val="single"/>
        </w:rPr>
        <w:t>Neutrofili</w:t>
      </w:r>
    </w:p>
    <w:p w14:paraId="79789F9A" w14:textId="32A068FA" w:rsidR="00CC2B31" w:rsidRPr="00C65707" w:rsidRDefault="00CC2B31">
      <w:pPr>
        <w:pStyle w:val="Header"/>
        <w:widowControl w:val="0"/>
        <w:tabs>
          <w:tab w:val="left" w:pos="284"/>
        </w:tabs>
        <w:jc w:val="both"/>
        <w:rPr>
          <w:sz w:val="22"/>
          <w:szCs w:val="22"/>
        </w:rPr>
      </w:pPr>
      <w:r w:rsidRPr="00C65707">
        <w:rPr>
          <w:sz w:val="22"/>
          <w:szCs w:val="22"/>
        </w:rPr>
        <w:t>Prilikom rutinskog laboratorijskog praćenja u 6</w:t>
      </w:r>
      <w:r w:rsidRPr="00C65707">
        <w:rPr>
          <w:sz w:val="22"/>
          <w:szCs w:val="22"/>
        </w:rPr>
        <w:noBreakHyphen/>
        <w:t xml:space="preserve">mjesečnoj kontrolisanoj kliničkoj Studiji </w:t>
      </w:r>
      <w:r w:rsidR="009F7713" w:rsidRPr="00C65707">
        <w:rPr>
          <w:sz w:val="22"/>
          <w:szCs w:val="22"/>
        </w:rPr>
        <w:t>tocilizumaba</w:t>
      </w:r>
      <w:r w:rsidRPr="00C65707">
        <w:rPr>
          <w:sz w:val="22"/>
          <w:szCs w:val="22"/>
        </w:rPr>
        <w:t xml:space="preserve"> SC</w:t>
      </w:r>
      <w:r w:rsidRPr="00C65707">
        <w:rPr>
          <w:sz w:val="22"/>
          <w:szCs w:val="22"/>
        </w:rPr>
        <w:noBreakHyphen/>
        <w:t>I, kod 2,9% pacijenata liječenih su</w:t>
      </w:r>
      <w:r w:rsidR="006C3BC4">
        <w:rPr>
          <w:sz w:val="22"/>
          <w:szCs w:val="22"/>
        </w:rPr>
        <w:t>b</w:t>
      </w:r>
      <w:r w:rsidRPr="00C65707">
        <w:rPr>
          <w:sz w:val="22"/>
          <w:szCs w:val="22"/>
        </w:rPr>
        <w:t>kutanom dozom jedanput nedjeljno primjećeno je smanjenje broja neutrofila na nivo niži od 1 x 10</w:t>
      </w:r>
      <w:r w:rsidRPr="00C65707">
        <w:rPr>
          <w:sz w:val="22"/>
          <w:szCs w:val="22"/>
          <w:vertAlign w:val="superscript"/>
        </w:rPr>
        <w:t>9</w:t>
      </w:r>
      <w:r w:rsidRPr="00C65707">
        <w:rPr>
          <w:sz w:val="22"/>
          <w:szCs w:val="22"/>
        </w:rPr>
        <w:t>/l.</w:t>
      </w:r>
    </w:p>
    <w:p w14:paraId="238FC0D2" w14:textId="77777777" w:rsidR="00CC2B31" w:rsidRPr="00C65707" w:rsidRDefault="00CC2B31">
      <w:pPr>
        <w:pStyle w:val="Header"/>
        <w:widowControl w:val="0"/>
        <w:tabs>
          <w:tab w:val="left" w:pos="284"/>
        </w:tabs>
        <w:jc w:val="both"/>
        <w:rPr>
          <w:sz w:val="22"/>
          <w:szCs w:val="22"/>
        </w:rPr>
      </w:pPr>
      <w:r w:rsidRPr="00C65707">
        <w:rPr>
          <w:sz w:val="22"/>
          <w:szCs w:val="22"/>
        </w:rPr>
        <w:t>Nije postojala jasna povezanost između smanjenja broja neutrofila na nivo ispod 1 x 10</w:t>
      </w:r>
      <w:r w:rsidRPr="00C65707">
        <w:rPr>
          <w:sz w:val="22"/>
          <w:szCs w:val="22"/>
          <w:vertAlign w:val="superscript"/>
        </w:rPr>
        <w:t>9</w:t>
      </w:r>
      <w:r w:rsidRPr="00C65707">
        <w:rPr>
          <w:sz w:val="22"/>
          <w:szCs w:val="22"/>
        </w:rPr>
        <w:t>/l i pojave ozbiljnih infekcija.</w:t>
      </w:r>
    </w:p>
    <w:p w14:paraId="5CE50517" w14:textId="77777777" w:rsidR="00CC2B31" w:rsidRPr="00C65707" w:rsidRDefault="00CC2B31">
      <w:pPr>
        <w:pStyle w:val="Header"/>
        <w:widowControl w:val="0"/>
        <w:tabs>
          <w:tab w:val="left" w:pos="284"/>
        </w:tabs>
        <w:jc w:val="both"/>
        <w:rPr>
          <w:sz w:val="22"/>
          <w:szCs w:val="22"/>
        </w:rPr>
      </w:pPr>
    </w:p>
    <w:p w14:paraId="59012429" w14:textId="77777777" w:rsidR="00CC2B31" w:rsidRPr="00C65707" w:rsidRDefault="00CC2B31">
      <w:pPr>
        <w:pStyle w:val="Header"/>
        <w:widowControl w:val="0"/>
        <w:tabs>
          <w:tab w:val="left" w:pos="284"/>
        </w:tabs>
        <w:jc w:val="both"/>
        <w:rPr>
          <w:i/>
          <w:sz w:val="22"/>
          <w:szCs w:val="22"/>
          <w:u w:val="single"/>
        </w:rPr>
      </w:pPr>
      <w:r w:rsidRPr="00C65707">
        <w:rPr>
          <w:i/>
          <w:sz w:val="22"/>
          <w:szCs w:val="22"/>
          <w:u w:val="single"/>
        </w:rPr>
        <w:t>Trombociti</w:t>
      </w:r>
    </w:p>
    <w:p w14:paraId="1BD52CD0" w14:textId="49046165" w:rsidR="00CC2B31" w:rsidRPr="00C65707" w:rsidRDefault="00CC2B31">
      <w:pPr>
        <w:pStyle w:val="Header"/>
        <w:widowControl w:val="0"/>
        <w:tabs>
          <w:tab w:val="left" w:pos="284"/>
        </w:tabs>
        <w:jc w:val="both"/>
        <w:rPr>
          <w:sz w:val="22"/>
          <w:szCs w:val="22"/>
        </w:rPr>
      </w:pPr>
      <w:r w:rsidRPr="00C65707">
        <w:rPr>
          <w:sz w:val="22"/>
          <w:szCs w:val="22"/>
        </w:rPr>
        <w:t>Prilikom rutinskog laboratorijskog praćenja u 6</w:t>
      </w:r>
      <w:r w:rsidRPr="00C65707">
        <w:rPr>
          <w:sz w:val="22"/>
          <w:szCs w:val="22"/>
        </w:rPr>
        <w:noBreakHyphen/>
        <w:t xml:space="preserve">mjesečnoj kontroliranoj kliničkoj Studiji </w:t>
      </w:r>
      <w:r w:rsidR="009F7713" w:rsidRPr="00C65707">
        <w:rPr>
          <w:sz w:val="22"/>
          <w:szCs w:val="22"/>
        </w:rPr>
        <w:t>tocilizumab</w:t>
      </w:r>
      <w:r w:rsidRPr="00C65707">
        <w:rPr>
          <w:sz w:val="22"/>
          <w:szCs w:val="22"/>
        </w:rPr>
        <w:t>a SC</w:t>
      </w:r>
      <w:r w:rsidRPr="00C65707">
        <w:rPr>
          <w:sz w:val="22"/>
          <w:szCs w:val="22"/>
        </w:rPr>
        <w:noBreakHyphen/>
        <w:t>I, ni u jednog pacijenta koji je primao su</w:t>
      </w:r>
      <w:r w:rsidR="000A085D" w:rsidRPr="00C65707">
        <w:rPr>
          <w:sz w:val="22"/>
          <w:szCs w:val="22"/>
        </w:rPr>
        <w:t>p</w:t>
      </w:r>
      <w:r w:rsidRPr="00C65707">
        <w:rPr>
          <w:sz w:val="22"/>
          <w:szCs w:val="22"/>
        </w:rPr>
        <w:t>kutanu dozu jedanput nedjeljno nije primjećeno smanjenje broja trombocita na ≤ 50 x 10</w:t>
      </w:r>
      <w:r w:rsidRPr="00C65707">
        <w:rPr>
          <w:sz w:val="22"/>
          <w:szCs w:val="22"/>
          <w:vertAlign w:val="superscript"/>
        </w:rPr>
        <w:t>3</w:t>
      </w:r>
      <w:r w:rsidRPr="00C65707">
        <w:rPr>
          <w:sz w:val="22"/>
          <w:szCs w:val="22"/>
        </w:rPr>
        <w:t>/µl.</w:t>
      </w:r>
    </w:p>
    <w:p w14:paraId="5C24DAF6" w14:textId="77777777" w:rsidR="00CC2B31" w:rsidRPr="00C65707" w:rsidRDefault="00CC2B31">
      <w:pPr>
        <w:pStyle w:val="Header"/>
        <w:widowControl w:val="0"/>
        <w:tabs>
          <w:tab w:val="left" w:pos="284"/>
        </w:tabs>
        <w:jc w:val="both"/>
        <w:rPr>
          <w:sz w:val="22"/>
          <w:szCs w:val="22"/>
        </w:rPr>
      </w:pPr>
    </w:p>
    <w:p w14:paraId="0CF10070" w14:textId="0DFFDBC4" w:rsidR="00CC2B31" w:rsidRPr="00C65707" w:rsidRDefault="00CC2B31">
      <w:pPr>
        <w:pStyle w:val="Header"/>
        <w:widowControl w:val="0"/>
        <w:tabs>
          <w:tab w:val="left" w:pos="284"/>
        </w:tabs>
        <w:jc w:val="both"/>
        <w:rPr>
          <w:i/>
          <w:sz w:val="22"/>
          <w:szCs w:val="22"/>
          <w:u w:val="single"/>
        </w:rPr>
      </w:pPr>
      <w:r w:rsidRPr="00C65707">
        <w:rPr>
          <w:i/>
          <w:sz w:val="22"/>
          <w:szCs w:val="22"/>
          <w:u w:val="single"/>
        </w:rPr>
        <w:t>Povišen</w:t>
      </w:r>
      <w:r w:rsidR="009F7713" w:rsidRPr="00C65707">
        <w:rPr>
          <w:i/>
          <w:sz w:val="22"/>
          <w:szCs w:val="22"/>
          <w:u w:val="single"/>
        </w:rPr>
        <w:t>e vrijednosti</w:t>
      </w:r>
      <w:r w:rsidR="006C3BC4">
        <w:rPr>
          <w:i/>
          <w:sz w:val="22"/>
          <w:szCs w:val="22"/>
          <w:u w:val="single"/>
        </w:rPr>
        <w:t xml:space="preserve"> </w:t>
      </w:r>
      <w:r w:rsidRPr="00C65707">
        <w:rPr>
          <w:i/>
          <w:sz w:val="22"/>
          <w:szCs w:val="22"/>
          <w:u w:val="single"/>
        </w:rPr>
        <w:t>transaminaza</w:t>
      </w:r>
      <w:r w:rsidR="009F7713" w:rsidRPr="00C65707">
        <w:rPr>
          <w:i/>
          <w:sz w:val="22"/>
          <w:szCs w:val="22"/>
          <w:u w:val="single"/>
        </w:rPr>
        <w:t xml:space="preserve"> jetre</w:t>
      </w:r>
    </w:p>
    <w:p w14:paraId="14AA7FD6" w14:textId="4EE80F25" w:rsidR="00CC2B31" w:rsidRPr="00C65707" w:rsidRDefault="00CC2B31">
      <w:pPr>
        <w:pStyle w:val="Header"/>
        <w:widowControl w:val="0"/>
        <w:tabs>
          <w:tab w:val="left" w:pos="284"/>
        </w:tabs>
        <w:jc w:val="both"/>
        <w:rPr>
          <w:sz w:val="22"/>
          <w:szCs w:val="22"/>
        </w:rPr>
      </w:pPr>
      <w:r w:rsidRPr="00C65707">
        <w:rPr>
          <w:sz w:val="22"/>
          <w:szCs w:val="22"/>
        </w:rPr>
        <w:t>Prilikom rutinskog laboratorijskog praćenja u 6</w:t>
      </w:r>
      <w:r w:rsidRPr="00C65707">
        <w:rPr>
          <w:sz w:val="22"/>
          <w:szCs w:val="22"/>
        </w:rPr>
        <w:noBreakHyphen/>
        <w:t xml:space="preserve">mjesečnoj kontroliranoj kliničkoj Studiji </w:t>
      </w:r>
      <w:r w:rsidR="009F7713" w:rsidRPr="00C65707">
        <w:rPr>
          <w:sz w:val="22"/>
          <w:szCs w:val="22"/>
        </w:rPr>
        <w:t xml:space="preserve">tocilizumaba </w:t>
      </w:r>
      <w:r w:rsidRPr="00C65707">
        <w:rPr>
          <w:sz w:val="22"/>
          <w:szCs w:val="22"/>
        </w:rPr>
        <w:t>SC</w:t>
      </w:r>
      <w:r w:rsidRPr="00C65707">
        <w:rPr>
          <w:sz w:val="22"/>
          <w:szCs w:val="22"/>
        </w:rPr>
        <w:noBreakHyphen/>
        <w:t xml:space="preserve">I, došlo je do povišenja nivoa ALT-a odnosno AST-a ≥ 3 x iznad </w:t>
      </w:r>
      <w:r w:rsidR="009F7713" w:rsidRPr="00C65707">
        <w:rPr>
          <w:sz w:val="22"/>
          <w:szCs w:val="22"/>
        </w:rPr>
        <w:t>GGN</w:t>
      </w:r>
      <w:r w:rsidRPr="00C65707">
        <w:rPr>
          <w:sz w:val="22"/>
          <w:szCs w:val="22"/>
        </w:rPr>
        <w:t xml:space="preserve"> kod 6,5% odnosno 1,4% pacijenata koji su primali su</w:t>
      </w:r>
      <w:r w:rsidR="006C3BC4">
        <w:rPr>
          <w:sz w:val="22"/>
          <w:szCs w:val="22"/>
        </w:rPr>
        <w:t>b</w:t>
      </w:r>
      <w:r w:rsidRPr="00C65707">
        <w:rPr>
          <w:sz w:val="22"/>
          <w:szCs w:val="22"/>
        </w:rPr>
        <w:t>kutanu dozu jedanput nedjeljno.</w:t>
      </w:r>
    </w:p>
    <w:p w14:paraId="374525C4" w14:textId="77777777" w:rsidR="009F7713" w:rsidRPr="00C65707" w:rsidRDefault="009F7713">
      <w:pPr>
        <w:pStyle w:val="Header"/>
        <w:widowControl w:val="0"/>
        <w:tabs>
          <w:tab w:val="left" w:pos="284"/>
        </w:tabs>
        <w:jc w:val="both"/>
        <w:rPr>
          <w:sz w:val="22"/>
          <w:szCs w:val="22"/>
        </w:rPr>
      </w:pPr>
    </w:p>
    <w:p w14:paraId="7E2B507D" w14:textId="77777777" w:rsidR="00CC2B31" w:rsidRPr="00C65707" w:rsidRDefault="00CC2B31">
      <w:pPr>
        <w:pStyle w:val="Header"/>
        <w:widowControl w:val="0"/>
        <w:tabs>
          <w:tab w:val="left" w:pos="284"/>
        </w:tabs>
        <w:jc w:val="both"/>
        <w:rPr>
          <w:i/>
          <w:sz w:val="22"/>
          <w:szCs w:val="22"/>
          <w:u w:val="single"/>
        </w:rPr>
      </w:pPr>
      <w:r w:rsidRPr="00C65707">
        <w:rPr>
          <w:i/>
          <w:sz w:val="22"/>
          <w:szCs w:val="22"/>
          <w:u w:val="single"/>
        </w:rPr>
        <w:t>Parametri lipida</w:t>
      </w:r>
    </w:p>
    <w:p w14:paraId="5EBBD281" w14:textId="3799CD7E" w:rsidR="00CC2B31" w:rsidRPr="00C65707" w:rsidRDefault="00CC2B31">
      <w:pPr>
        <w:widowControl w:val="0"/>
        <w:jc w:val="both"/>
        <w:rPr>
          <w:sz w:val="22"/>
          <w:szCs w:val="22"/>
        </w:rPr>
      </w:pPr>
      <w:r w:rsidRPr="00C65707">
        <w:rPr>
          <w:sz w:val="22"/>
          <w:szCs w:val="22"/>
        </w:rPr>
        <w:t>Prilikom rutinskog laboratorijskog praćenja u 6</w:t>
      </w:r>
      <w:r w:rsidRPr="00C65707">
        <w:rPr>
          <w:sz w:val="22"/>
          <w:szCs w:val="22"/>
        </w:rPr>
        <w:noBreakHyphen/>
        <w:t xml:space="preserve">mjesečnoj kontroliranoj kliničkoj Studiji </w:t>
      </w:r>
      <w:r w:rsidR="009F7713" w:rsidRPr="00C65707">
        <w:rPr>
          <w:sz w:val="22"/>
          <w:szCs w:val="22"/>
        </w:rPr>
        <w:t xml:space="preserve">tocilizumaba </w:t>
      </w:r>
      <w:r w:rsidRPr="00C65707">
        <w:rPr>
          <w:sz w:val="22"/>
          <w:szCs w:val="22"/>
        </w:rPr>
        <w:t>SC</w:t>
      </w:r>
      <w:r w:rsidRPr="00C65707">
        <w:rPr>
          <w:sz w:val="22"/>
          <w:szCs w:val="22"/>
        </w:rPr>
        <w:noBreakHyphen/>
        <w:t>I, zabilježeno je trajno povišenje ukupnog nivoa holesterola &gt; 6,2 mmol/l (240 mg/dl) kod 19% pacijenata koji su primali su</w:t>
      </w:r>
      <w:r w:rsidR="006C3BC4">
        <w:rPr>
          <w:sz w:val="22"/>
          <w:szCs w:val="22"/>
        </w:rPr>
        <w:t>b</w:t>
      </w:r>
      <w:r w:rsidRPr="00C65707">
        <w:rPr>
          <w:sz w:val="22"/>
          <w:szCs w:val="22"/>
        </w:rPr>
        <w:t>kutanu dozu jedanput nedjeljno, pri čemu je kod 9% pacijenata primjećeno trajno povišenje LDL</w:t>
      </w:r>
      <w:r w:rsidRPr="00C65707">
        <w:rPr>
          <w:sz w:val="22"/>
          <w:szCs w:val="22"/>
        </w:rPr>
        <w:noBreakHyphen/>
        <w:t>a na ≥ 4,1 mmol/l (160 mg/dl).</w:t>
      </w:r>
    </w:p>
    <w:p w14:paraId="33051A36" w14:textId="0AE61739" w:rsidR="00CC2B31" w:rsidRPr="00C65707" w:rsidRDefault="00CC2B31">
      <w:pPr>
        <w:widowControl w:val="0"/>
        <w:jc w:val="both"/>
        <w:rPr>
          <w:b/>
          <w:sz w:val="22"/>
          <w:szCs w:val="22"/>
          <w:u w:val="single"/>
        </w:rPr>
      </w:pPr>
    </w:p>
    <w:p w14:paraId="65CB6B19" w14:textId="266B34AB" w:rsidR="00CC2B31" w:rsidRPr="00C65707" w:rsidRDefault="009F7713">
      <w:pPr>
        <w:widowControl w:val="0"/>
        <w:jc w:val="both"/>
        <w:rPr>
          <w:b/>
          <w:i/>
          <w:iCs/>
          <w:sz w:val="22"/>
          <w:szCs w:val="22"/>
          <w:u w:val="single"/>
        </w:rPr>
      </w:pPr>
      <w:r w:rsidRPr="00C65707">
        <w:rPr>
          <w:b/>
          <w:i/>
          <w:iCs/>
          <w:sz w:val="22"/>
          <w:szCs w:val="22"/>
          <w:u w:val="single"/>
        </w:rPr>
        <w:t xml:space="preserve">Pacijenti sa </w:t>
      </w:r>
      <w:r w:rsidR="00CC2B31" w:rsidRPr="00C65707">
        <w:rPr>
          <w:b/>
          <w:i/>
          <w:iCs/>
          <w:sz w:val="22"/>
          <w:szCs w:val="22"/>
          <w:u w:val="single"/>
        </w:rPr>
        <w:t>sJIA</w:t>
      </w:r>
    </w:p>
    <w:p w14:paraId="47D883FC" w14:textId="310F8153" w:rsidR="00CC2B31" w:rsidRPr="00C65707" w:rsidRDefault="00CC2B31">
      <w:pPr>
        <w:widowControl w:val="0"/>
        <w:jc w:val="both"/>
        <w:rPr>
          <w:sz w:val="22"/>
          <w:szCs w:val="22"/>
        </w:rPr>
      </w:pPr>
      <w:r w:rsidRPr="00C65707">
        <w:rPr>
          <w:sz w:val="22"/>
          <w:szCs w:val="22"/>
        </w:rPr>
        <w:t xml:space="preserve">Bezbjednosni profil </w:t>
      </w:r>
      <w:r w:rsidR="00910BDC" w:rsidRPr="00C65707">
        <w:rPr>
          <w:sz w:val="22"/>
          <w:szCs w:val="22"/>
        </w:rPr>
        <w:t xml:space="preserve">subkutane </w:t>
      </w:r>
      <w:r w:rsidRPr="00C65707">
        <w:rPr>
          <w:sz w:val="22"/>
          <w:szCs w:val="22"/>
        </w:rPr>
        <w:t xml:space="preserve">formulacije </w:t>
      </w:r>
      <w:r w:rsidR="009F7713" w:rsidRPr="00C65707">
        <w:rPr>
          <w:sz w:val="22"/>
          <w:szCs w:val="22"/>
        </w:rPr>
        <w:t>tocilizumaba</w:t>
      </w:r>
      <w:r w:rsidRPr="00C65707">
        <w:rPr>
          <w:sz w:val="22"/>
          <w:szCs w:val="22"/>
        </w:rPr>
        <w:t xml:space="preserve"> procijenjen je kod 51 pedijatrijskog pacijenta (uzrasta 1 do 17 godina) sa sJIA. Neželjene reakcije kod pacijenata sa sJIA generalno su bile slične tipu neželjenih reakcija opisanih kod pacijenata sa RA (vidjeti </w:t>
      </w:r>
      <w:r w:rsidR="009F7713" w:rsidRPr="00C65707">
        <w:rPr>
          <w:sz w:val="22"/>
          <w:szCs w:val="22"/>
        </w:rPr>
        <w:t xml:space="preserve">dio </w:t>
      </w:r>
      <w:r w:rsidRPr="00C65707">
        <w:rPr>
          <w:sz w:val="22"/>
          <w:szCs w:val="22"/>
        </w:rPr>
        <w:t>Neželjene reakcije iznad).</w:t>
      </w:r>
    </w:p>
    <w:p w14:paraId="584C3595" w14:textId="77777777" w:rsidR="00CC2B31" w:rsidRPr="00C65707" w:rsidRDefault="00CC2B31">
      <w:pPr>
        <w:widowControl w:val="0"/>
        <w:jc w:val="both"/>
        <w:rPr>
          <w:sz w:val="22"/>
          <w:szCs w:val="22"/>
        </w:rPr>
      </w:pPr>
    </w:p>
    <w:p w14:paraId="7EB08990" w14:textId="77777777" w:rsidR="00CC2B31" w:rsidRPr="00C65707" w:rsidRDefault="00CC2B31">
      <w:pPr>
        <w:widowControl w:val="0"/>
        <w:jc w:val="both"/>
        <w:rPr>
          <w:i/>
          <w:sz w:val="22"/>
          <w:szCs w:val="22"/>
          <w:u w:val="single"/>
        </w:rPr>
      </w:pPr>
      <w:r w:rsidRPr="00C65707">
        <w:rPr>
          <w:i/>
          <w:sz w:val="22"/>
          <w:szCs w:val="22"/>
          <w:u w:val="single"/>
        </w:rPr>
        <w:t>Infekcije</w:t>
      </w:r>
    </w:p>
    <w:p w14:paraId="559A63DB" w14:textId="1383D97F" w:rsidR="00CC2B31" w:rsidRPr="00C65707" w:rsidRDefault="00CC2B31" w:rsidP="00CE5678">
      <w:pPr>
        <w:widowControl w:val="0"/>
        <w:jc w:val="both"/>
        <w:rPr>
          <w:sz w:val="22"/>
          <w:szCs w:val="22"/>
        </w:rPr>
      </w:pPr>
      <w:r w:rsidRPr="00C65707">
        <w:rPr>
          <w:sz w:val="22"/>
          <w:szCs w:val="22"/>
        </w:rPr>
        <w:t xml:space="preserve">Stopa infekcija kod pacijenata sa sJIA liječenih </w:t>
      </w:r>
      <w:r w:rsidR="00910BDC" w:rsidRPr="00C65707">
        <w:rPr>
          <w:sz w:val="22"/>
          <w:szCs w:val="22"/>
        </w:rPr>
        <w:t xml:space="preserve">subkutanom </w:t>
      </w:r>
      <w:r w:rsidRPr="00C65707">
        <w:rPr>
          <w:sz w:val="22"/>
          <w:szCs w:val="22"/>
        </w:rPr>
        <w:t xml:space="preserve">formulacijom </w:t>
      </w:r>
      <w:r w:rsidR="009F7713" w:rsidRPr="00C65707">
        <w:rPr>
          <w:sz w:val="22"/>
          <w:szCs w:val="22"/>
        </w:rPr>
        <w:t>tocilizumaba</w:t>
      </w:r>
      <w:r w:rsidRPr="00C65707">
        <w:rPr>
          <w:sz w:val="22"/>
          <w:szCs w:val="22"/>
        </w:rPr>
        <w:t xml:space="preserve"> bila je uporediva sa onom kod pacijenata sa sJIA liječenih intravenskom formulacijom </w:t>
      </w:r>
      <w:r w:rsidR="009F7713" w:rsidRPr="00C65707">
        <w:rPr>
          <w:sz w:val="22"/>
          <w:szCs w:val="22"/>
        </w:rPr>
        <w:t>tocilizumab</w:t>
      </w:r>
      <w:r w:rsidRPr="00C65707">
        <w:rPr>
          <w:sz w:val="22"/>
          <w:szCs w:val="22"/>
        </w:rPr>
        <w:t>.</w:t>
      </w:r>
      <w:r w:rsidR="009F7713" w:rsidRPr="00C65707">
        <w:rPr>
          <w:sz w:val="22"/>
          <w:szCs w:val="22"/>
        </w:rPr>
        <w:br/>
      </w:r>
    </w:p>
    <w:p w14:paraId="1EF59CDB" w14:textId="77777777" w:rsidR="00CC2B31" w:rsidRPr="00C65707" w:rsidRDefault="00CC2B31" w:rsidP="00C65707">
      <w:pPr>
        <w:widowControl w:val="0"/>
        <w:jc w:val="both"/>
        <w:rPr>
          <w:i/>
          <w:sz w:val="22"/>
          <w:szCs w:val="22"/>
          <w:u w:val="single"/>
        </w:rPr>
      </w:pPr>
      <w:r w:rsidRPr="00C65707">
        <w:rPr>
          <w:i/>
          <w:sz w:val="22"/>
          <w:szCs w:val="22"/>
          <w:u w:val="single"/>
        </w:rPr>
        <w:t>Reakcije na mjestu primjene</w:t>
      </w:r>
    </w:p>
    <w:p w14:paraId="4F8F3E4C" w14:textId="226D2674" w:rsidR="00CC2B31" w:rsidRPr="00C65707" w:rsidRDefault="00CC2B31" w:rsidP="002B3647">
      <w:pPr>
        <w:widowControl w:val="0"/>
        <w:jc w:val="both"/>
        <w:rPr>
          <w:sz w:val="22"/>
          <w:szCs w:val="22"/>
        </w:rPr>
      </w:pPr>
      <w:r w:rsidRPr="00C65707">
        <w:rPr>
          <w:sz w:val="22"/>
          <w:szCs w:val="22"/>
        </w:rPr>
        <w:t xml:space="preserve">U ispitivanju </w:t>
      </w:r>
      <w:r w:rsidR="00910BDC" w:rsidRPr="00C65707">
        <w:rPr>
          <w:sz w:val="22"/>
          <w:szCs w:val="22"/>
        </w:rPr>
        <w:t xml:space="preserve">subkutane </w:t>
      </w:r>
      <w:r w:rsidRPr="00C65707">
        <w:rPr>
          <w:sz w:val="22"/>
          <w:szCs w:val="22"/>
        </w:rPr>
        <w:t xml:space="preserve">primjene (WA28118) ukupno 41,2% (21/51) pacijenata sa sJIA imalo je reakcije na mjestu </w:t>
      </w:r>
      <w:r w:rsidR="00910BDC" w:rsidRPr="00C65707">
        <w:rPr>
          <w:sz w:val="22"/>
          <w:szCs w:val="22"/>
        </w:rPr>
        <w:t xml:space="preserve">subkutane </w:t>
      </w:r>
      <w:r w:rsidRPr="00C65707">
        <w:rPr>
          <w:sz w:val="22"/>
          <w:szCs w:val="22"/>
        </w:rPr>
        <w:t xml:space="preserve">primjene </w:t>
      </w:r>
      <w:r w:rsidR="009F7713" w:rsidRPr="00C65707">
        <w:rPr>
          <w:sz w:val="22"/>
          <w:szCs w:val="22"/>
        </w:rPr>
        <w:t>tocilizumaba</w:t>
      </w:r>
      <w:r w:rsidRPr="00C65707">
        <w:rPr>
          <w:sz w:val="22"/>
          <w:szCs w:val="22"/>
        </w:rPr>
        <w:t xml:space="preserve">. Najčešće reakcije na mjestu primjene bile su eritem, pruritus, bol i oticanje na mestu primjene. Većina prijavljenih reakcija na mjestu primjene bila je gradusa 1, nije bilo prijava ozbiljnih neželjenih reakcija niti je bilo prekida liječenja odnosno odlaganje doze. </w:t>
      </w:r>
    </w:p>
    <w:p w14:paraId="4555C10D" w14:textId="77777777" w:rsidR="00CC2B31" w:rsidRPr="00C65707" w:rsidRDefault="00CC2B31">
      <w:pPr>
        <w:widowControl w:val="0"/>
        <w:jc w:val="both"/>
        <w:rPr>
          <w:sz w:val="22"/>
          <w:szCs w:val="22"/>
          <w:u w:val="single"/>
        </w:rPr>
      </w:pPr>
    </w:p>
    <w:p w14:paraId="05DBE897" w14:textId="77777777" w:rsidR="00CC2B31" w:rsidRPr="00C65707" w:rsidRDefault="00CC2B31">
      <w:pPr>
        <w:widowControl w:val="0"/>
        <w:jc w:val="both"/>
        <w:rPr>
          <w:i/>
          <w:sz w:val="22"/>
          <w:szCs w:val="22"/>
          <w:u w:val="single"/>
        </w:rPr>
      </w:pPr>
      <w:r w:rsidRPr="00C65707">
        <w:rPr>
          <w:i/>
          <w:sz w:val="22"/>
          <w:szCs w:val="22"/>
          <w:u w:val="single"/>
        </w:rPr>
        <w:t>Imunogenost</w:t>
      </w:r>
    </w:p>
    <w:p w14:paraId="6076ACAA" w14:textId="1C7CF442" w:rsidR="00CC2B31" w:rsidRPr="00C65707" w:rsidRDefault="00CC2B31">
      <w:pPr>
        <w:widowControl w:val="0"/>
        <w:jc w:val="both"/>
        <w:rPr>
          <w:sz w:val="22"/>
          <w:szCs w:val="22"/>
        </w:rPr>
      </w:pPr>
      <w:r w:rsidRPr="00C65707">
        <w:rPr>
          <w:sz w:val="22"/>
          <w:szCs w:val="22"/>
        </w:rPr>
        <w:t xml:space="preserve">U ispitivanju </w:t>
      </w:r>
      <w:r w:rsidR="00910BDC" w:rsidRPr="00C65707">
        <w:rPr>
          <w:sz w:val="22"/>
          <w:szCs w:val="22"/>
        </w:rPr>
        <w:t xml:space="preserve">subkutane </w:t>
      </w:r>
      <w:r w:rsidRPr="00C65707">
        <w:rPr>
          <w:sz w:val="22"/>
          <w:szCs w:val="22"/>
        </w:rPr>
        <w:t>primjene (WA28118) kod 46 od 51 (90.2%) pacijenta koji su testirani na anti-tocilizumab antitijela na početku ispitivanja rađeno je najmanje još jedno testiranje. Nijedan pacijent nije imao pozitivan nalaz na antitocilizumab antitijela nakon početka ispitivanja.</w:t>
      </w:r>
    </w:p>
    <w:p w14:paraId="43CADE5C" w14:textId="77777777" w:rsidR="00CC2B31" w:rsidRPr="00C65707" w:rsidRDefault="00CC2B31">
      <w:pPr>
        <w:widowControl w:val="0"/>
        <w:jc w:val="both"/>
        <w:rPr>
          <w:i/>
          <w:sz w:val="22"/>
          <w:szCs w:val="22"/>
          <w:u w:val="single"/>
        </w:rPr>
      </w:pPr>
    </w:p>
    <w:p w14:paraId="58C138C7" w14:textId="77777777" w:rsidR="00CC2B31" w:rsidRPr="00C65707" w:rsidRDefault="00CC2B31">
      <w:pPr>
        <w:widowControl w:val="0"/>
        <w:jc w:val="both"/>
        <w:rPr>
          <w:i/>
          <w:sz w:val="22"/>
          <w:szCs w:val="22"/>
          <w:u w:val="single"/>
        </w:rPr>
      </w:pPr>
      <w:r w:rsidRPr="00C65707">
        <w:rPr>
          <w:i/>
          <w:sz w:val="22"/>
          <w:szCs w:val="22"/>
          <w:u w:val="single"/>
        </w:rPr>
        <w:t>Odstupanja u laboratorijskim rezultatima</w:t>
      </w:r>
    </w:p>
    <w:p w14:paraId="07ABFD78" w14:textId="5068F526" w:rsidR="00CC2B31" w:rsidRPr="00C65707" w:rsidRDefault="00CC2B31">
      <w:pPr>
        <w:widowControl w:val="0"/>
        <w:jc w:val="both"/>
        <w:rPr>
          <w:sz w:val="22"/>
          <w:szCs w:val="22"/>
        </w:rPr>
      </w:pPr>
      <w:r w:rsidRPr="00C65707">
        <w:rPr>
          <w:sz w:val="22"/>
          <w:szCs w:val="22"/>
        </w:rPr>
        <w:t>Tokom 52-ned</w:t>
      </w:r>
      <w:r w:rsidR="000A085D" w:rsidRPr="00C65707">
        <w:rPr>
          <w:sz w:val="22"/>
          <w:szCs w:val="22"/>
        </w:rPr>
        <w:t>j</w:t>
      </w:r>
      <w:r w:rsidRPr="00C65707">
        <w:rPr>
          <w:sz w:val="22"/>
          <w:szCs w:val="22"/>
        </w:rPr>
        <w:t xml:space="preserve">eljnog otvorenog ispitivanja </w:t>
      </w:r>
      <w:r w:rsidR="00910BDC" w:rsidRPr="00C65707">
        <w:rPr>
          <w:sz w:val="22"/>
          <w:szCs w:val="22"/>
        </w:rPr>
        <w:t xml:space="preserve">subkutane </w:t>
      </w:r>
      <w:r w:rsidRPr="00C65707">
        <w:rPr>
          <w:sz w:val="22"/>
          <w:szCs w:val="22"/>
        </w:rPr>
        <w:t>primjene (WA28118), primijećen je pad broja neutrofila ispod 1 × 10</w:t>
      </w:r>
      <w:r w:rsidRPr="00C65707">
        <w:rPr>
          <w:sz w:val="22"/>
          <w:szCs w:val="22"/>
          <w:vertAlign w:val="superscript"/>
        </w:rPr>
        <w:t>9</w:t>
      </w:r>
      <w:r w:rsidRPr="00C65707">
        <w:rPr>
          <w:sz w:val="22"/>
          <w:szCs w:val="22"/>
        </w:rPr>
        <w:t>/</w:t>
      </w:r>
      <w:r w:rsidR="006C3BC4">
        <w:rPr>
          <w:sz w:val="22"/>
          <w:szCs w:val="22"/>
        </w:rPr>
        <w:t>l</w:t>
      </w:r>
      <w:r w:rsidRPr="00C65707">
        <w:rPr>
          <w:sz w:val="22"/>
          <w:szCs w:val="22"/>
        </w:rPr>
        <w:t xml:space="preserve"> kod 23,5% pacijenata liječenih </w:t>
      </w:r>
      <w:r w:rsidR="00910BDC" w:rsidRPr="00C65707">
        <w:rPr>
          <w:sz w:val="22"/>
          <w:szCs w:val="22"/>
        </w:rPr>
        <w:t xml:space="preserve">subkutanom </w:t>
      </w:r>
      <w:r w:rsidRPr="00C65707">
        <w:rPr>
          <w:sz w:val="22"/>
          <w:szCs w:val="22"/>
        </w:rPr>
        <w:t xml:space="preserve">formulacijom </w:t>
      </w:r>
      <w:r w:rsidR="009F7713" w:rsidRPr="00C65707">
        <w:rPr>
          <w:sz w:val="22"/>
          <w:szCs w:val="22"/>
        </w:rPr>
        <w:t>tocilizumaba</w:t>
      </w:r>
      <w:r w:rsidR="006C3BC4">
        <w:rPr>
          <w:sz w:val="22"/>
          <w:szCs w:val="22"/>
        </w:rPr>
        <w:t xml:space="preserve">. </w:t>
      </w:r>
      <w:r w:rsidRPr="00C65707">
        <w:rPr>
          <w:sz w:val="22"/>
          <w:szCs w:val="22"/>
        </w:rPr>
        <w:t xml:space="preserve">Smanjenje broja trombocita ispod </w:t>
      </w:r>
      <w:r w:rsidRPr="00C65707">
        <w:rPr>
          <w:rFonts w:eastAsia="SimSun"/>
          <w:sz w:val="22"/>
          <w:szCs w:val="22"/>
        </w:rPr>
        <w:t>100 × 10</w:t>
      </w:r>
      <w:r w:rsidRPr="00C65707">
        <w:rPr>
          <w:rFonts w:eastAsia="SimSun"/>
          <w:sz w:val="22"/>
          <w:szCs w:val="22"/>
          <w:vertAlign w:val="superscript"/>
        </w:rPr>
        <w:t>3</w:t>
      </w:r>
      <w:r w:rsidRPr="00C65707">
        <w:rPr>
          <w:rFonts w:eastAsia="SimSun"/>
          <w:sz w:val="22"/>
          <w:szCs w:val="22"/>
        </w:rPr>
        <w:t>/mikrolitara primijećeno je kod 2% pacijenata l</w:t>
      </w:r>
      <w:r w:rsidRPr="00C65707">
        <w:rPr>
          <w:sz w:val="22"/>
          <w:szCs w:val="22"/>
        </w:rPr>
        <w:t>ij</w:t>
      </w:r>
      <w:r w:rsidRPr="00C65707">
        <w:rPr>
          <w:rFonts w:eastAsia="SimSun"/>
          <w:sz w:val="22"/>
          <w:szCs w:val="22"/>
        </w:rPr>
        <w:t xml:space="preserve">ečenih </w:t>
      </w:r>
      <w:r w:rsidR="00910BDC" w:rsidRPr="00C65707">
        <w:rPr>
          <w:rFonts w:eastAsia="SimSun"/>
          <w:sz w:val="22"/>
          <w:szCs w:val="22"/>
        </w:rPr>
        <w:lastRenderedPageBreak/>
        <w:t xml:space="preserve">subkutanom </w:t>
      </w:r>
      <w:r w:rsidRPr="00C65707">
        <w:rPr>
          <w:rFonts w:eastAsia="SimSun"/>
          <w:sz w:val="22"/>
          <w:szCs w:val="22"/>
        </w:rPr>
        <w:t>formulacijom l</w:t>
      </w:r>
      <w:r w:rsidRPr="00C65707">
        <w:rPr>
          <w:sz w:val="22"/>
          <w:szCs w:val="22"/>
        </w:rPr>
        <w:t>ij</w:t>
      </w:r>
      <w:r w:rsidRPr="00C65707">
        <w:rPr>
          <w:rFonts w:eastAsia="SimSun"/>
          <w:sz w:val="22"/>
          <w:szCs w:val="22"/>
        </w:rPr>
        <w:t xml:space="preserve">eka RoActemra. Povišene vrijednosti ALT ili AST na </w:t>
      </w:r>
      <w:r w:rsidRPr="00C65707">
        <w:rPr>
          <w:sz w:val="22"/>
          <w:szCs w:val="22"/>
        </w:rPr>
        <w:t xml:space="preserve"> ≥</w:t>
      </w:r>
      <w:r w:rsidR="006C3BC4">
        <w:rPr>
          <w:sz w:val="22"/>
          <w:szCs w:val="22"/>
        </w:rPr>
        <w:t xml:space="preserve"> </w:t>
      </w:r>
      <w:r w:rsidRPr="00C65707">
        <w:rPr>
          <w:sz w:val="22"/>
          <w:szCs w:val="22"/>
        </w:rPr>
        <w:t xml:space="preserve">3 x GGN primijećene su kod 9,8% odnosno 4.0%, pacijenata liječenih </w:t>
      </w:r>
      <w:r w:rsidR="00910BDC" w:rsidRPr="00C65707">
        <w:rPr>
          <w:sz w:val="22"/>
          <w:szCs w:val="22"/>
        </w:rPr>
        <w:t xml:space="preserve">subkutanom </w:t>
      </w:r>
      <w:r w:rsidRPr="00C65707">
        <w:rPr>
          <w:sz w:val="22"/>
          <w:szCs w:val="22"/>
        </w:rPr>
        <w:t xml:space="preserve">formulacijom </w:t>
      </w:r>
      <w:r w:rsidR="009F7713" w:rsidRPr="00C65707">
        <w:rPr>
          <w:sz w:val="22"/>
          <w:szCs w:val="22"/>
        </w:rPr>
        <w:t>tocilizumab</w:t>
      </w:r>
      <w:r w:rsidRPr="00C65707">
        <w:rPr>
          <w:sz w:val="22"/>
          <w:szCs w:val="22"/>
        </w:rPr>
        <w:t>a.</w:t>
      </w:r>
    </w:p>
    <w:p w14:paraId="6C278988" w14:textId="77777777" w:rsidR="00CC2B31" w:rsidRPr="00C65707" w:rsidRDefault="00CC2B31">
      <w:pPr>
        <w:widowControl w:val="0"/>
        <w:jc w:val="both"/>
        <w:rPr>
          <w:sz w:val="22"/>
          <w:szCs w:val="22"/>
          <w:u w:val="single"/>
        </w:rPr>
      </w:pPr>
    </w:p>
    <w:p w14:paraId="43D4154D" w14:textId="77777777" w:rsidR="00CC2B31" w:rsidRPr="00C65707" w:rsidRDefault="00CC2B31">
      <w:pPr>
        <w:widowControl w:val="0"/>
        <w:jc w:val="both"/>
        <w:rPr>
          <w:i/>
          <w:sz w:val="22"/>
          <w:szCs w:val="22"/>
          <w:u w:val="single"/>
        </w:rPr>
      </w:pPr>
      <w:r w:rsidRPr="00C65707">
        <w:rPr>
          <w:i/>
          <w:sz w:val="22"/>
          <w:szCs w:val="22"/>
          <w:u w:val="single"/>
        </w:rPr>
        <w:t>Parametri lipida</w:t>
      </w:r>
    </w:p>
    <w:p w14:paraId="3A41FE38" w14:textId="61086D22" w:rsidR="00CC2B31" w:rsidRPr="00C65707" w:rsidRDefault="00CC2B31">
      <w:pPr>
        <w:widowControl w:val="0"/>
        <w:jc w:val="both"/>
        <w:rPr>
          <w:sz w:val="22"/>
          <w:szCs w:val="22"/>
        </w:rPr>
      </w:pPr>
      <w:r w:rsidRPr="00C65707">
        <w:rPr>
          <w:sz w:val="22"/>
          <w:szCs w:val="22"/>
        </w:rPr>
        <w:t>Tokom 52-ned</w:t>
      </w:r>
      <w:r w:rsidR="000A085D" w:rsidRPr="00C65707">
        <w:rPr>
          <w:sz w:val="22"/>
          <w:szCs w:val="22"/>
        </w:rPr>
        <w:t>j</w:t>
      </w:r>
      <w:r w:rsidRPr="00C65707">
        <w:rPr>
          <w:sz w:val="22"/>
          <w:szCs w:val="22"/>
        </w:rPr>
        <w:t xml:space="preserve">eljnog otvorenog ispitivanja </w:t>
      </w:r>
      <w:r w:rsidR="00910BDC" w:rsidRPr="00C65707">
        <w:rPr>
          <w:sz w:val="22"/>
          <w:szCs w:val="22"/>
        </w:rPr>
        <w:t xml:space="preserve">subkutane </w:t>
      </w:r>
      <w:r w:rsidRPr="00C65707">
        <w:rPr>
          <w:sz w:val="22"/>
          <w:szCs w:val="22"/>
        </w:rPr>
        <w:t>primjene (WA28118), kod 23,4% pacijenata je nakon početka liječenja došlo do povećanja vrijednosti LDL-holesterola na ≥</w:t>
      </w:r>
      <w:r w:rsidR="00183B25">
        <w:rPr>
          <w:sz w:val="22"/>
          <w:szCs w:val="22"/>
        </w:rPr>
        <w:t xml:space="preserve"> </w:t>
      </w:r>
      <w:r w:rsidRPr="00C65707">
        <w:rPr>
          <w:sz w:val="22"/>
          <w:szCs w:val="22"/>
        </w:rPr>
        <w:t>130 mg/d</w:t>
      </w:r>
      <w:r w:rsidR="00183B25">
        <w:rPr>
          <w:sz w:val="22"/>
          <w:szCs w:val="22"/>
        </w:rPr>
        <w:t>l</w:t>
      </w:r>
      <w:r w:rsidRPr="00C65707">
        <w:rPr>
          <w:sz w:val="22"/>
          <w:szCs w:val="22"/>
        </w:rPr>
        <w:t>, dok je kod 35,4% pacijenata došlo do povećanja vrijednosti ukupnog holesterola na</w:t>
      </w:r>
      <w:r w:rsidR="00183B25">
        <w:rPr>
          <w:sz w:val="22"/>
          <w:szCs w:val="22"/>
        </w:rPr>
        <w:t xml:space="preserve"> </w:t>
      </w:r>
      <w:r w:rsidRPr="00C65707">
        <w:rPr>
          <w:sz w:val="22"/>
          <w:szCs w:val="22"/>
        </w:rPr>
        <w:t>≥</w:t>
      </w:r>
      <w:r w:rsidR="00183B25">
        <w:rPr>
          <w:sz w:val="22"/>
          <w:szCs w:val="22"/>
        </w:rPr>
        <w:t xml:space="preserve"> </w:t>
      </w:r>
      <w:r w:rsidRPr="00C65707">
        <w:rPr>
          <w:sz w:val="22"/>
          <w:szCs w:val="22"/>
        </w:rPr>
        <w:t>200 mg/d</w:t>
      </w:r>
      <w:r w:rsidR="00183B25">
        <w:rPr>
          <w:sz w:val="22"/>
          <w:szCs w:val="22"/>
        </w:rPr>
        <w:t>l</w:t>
      </w:r>
      <w:r w:rsidRPr="00C65707">
        <w:rPr>
          <w:sz w:val="22"/>
          <w:szCs w:val="22"/>
        </w:rPr>
        <w:t xml:space="preserve"> u bilo kom trenutku tokom liječenja ispitivanim lijekom.</w:t>
      </w:r>
    </w:p>
    <w:p w14:paraId="10C27C9E" w14:textId="77777777" w:rsidR="00CC2B31" w:rsidRPr="00C65707" w:rsidRDefault="00CC2B31">
      <w:pPr>
        <w:widowControl w:val="0"/>
        <w:jc w:val="both"/>
        <w:rPr>
          <w:sz w:val="22"/>
          <w:szCs w:val="22"/>
        </w:rPr>
      </w:pPr>
    </w:p>
    <w:p w14:paraId="226E41D2" w14:textId="225E716B" w:rsidR="00CC2B31" w:rsidRPr="00C65707" w:rsidRDefault="009F7713">
      <w:pPr>
        <w:widowControl w:val="0"/>
        <w:jc w:val="both"/>
        <w:rPr>
          <w:b/>
          <w:i/>
          <w:iCs/>
          <w:sz w:val="22"/>
          <w:szCs w:val="22"/>
        </w:rPr>
      </w:pPr>
      <w:r w:rsidRPr="00C65707">
        <w:rPr>
          <w:b/>
          <w:i/>
          <w:iCs/>
          <w:sz w:val="22"/>
          <w:szCs w:val="22"/>
        </w:rPr>
        <w:t>Pacijenti s</w:t>
      </w:r>
      <w:r w:rsidR="001C1860" w:rsidRPr="00C65707">
        <w:rPr>
          <w:b/>
          <w:i/>
          <w:iCs/>
          <w:sz w:val="22"/>
          <w:szCs w:val="22"/>
        </w:rPr>
        <w:t>a</w:t>
      </w:r>
      <w:r w:rsidRPr="00C65707">
        <w:rPr>
          <w:b/>
          <w:i/>
          <w:iCs/>
          <w:sz w:val="22"/>
          <w:szCs w:val="22"/>
        </w:rPr>
        <w:t xml:space="preserve"> pJIA</w:t>
      </w:r>
    </w:p>
    <w:p w14:paraId="7ADFE409" w14:textId="17BB2F87" w:rsidR="00CC2B31" w:rsidRPr="00C65707" w:rsidRDefault="00CC2B31">
      <w:pPr>
        <w:widowControl w:val="0"/>
        <w:jc w:val="both"/>
        <w:rPr>
          <w:sz w:val="22"/>
          <w:szCs w:val="22"/>
        </w:rPr>
      </w:pPr>
      <w:r w:rsidRPr="00C65707">
        <w:rPr>
          <w:sz w:val="22"/>
          <w:szCs w:val="22"/>
        </w:rPr>
        <w:t xml:space="preserve">Bezbjednosni profil </w:t>
      </w:r>
      <w:r w:rsidR="00910BDC" w:rsidRPr="00C65707">
        <w:rPr>
          <w:sz w:val="22"/>
          <w:szCs w:val="22"/>
        </w:rPr>
        <w:t xml:space="preserve">subkutane </w:t>
      </w:r>
      <w:r w:rsidRPr="00C65707">
        <w:rPr>
          <w:sz w:val="22"/>
          <w:szCs w:val="22"/>
        </w:rPr>
        <w:t xml:space="preserve">formulacije </w:t>
      </w:r>
      <w:r w:rsidR="009F7713" w:rsidRPr="00C65707">
        <w:rPr>
          <w:sz w:val="22"/>
          <w:szCs w:val="22"/>
        </w:rPr>
        <w:t>tocilizumaba</w:t>
      </w:r>
      <w:r w:rsidRPr="00C65707">
        <w:rPr>
          <w:sz w:val="22"/>
          <w:szCs w:val="22"/>
        </w:rPr>
        <w:t xml:space="preserve"> procijenjen je kod 52 pedijatrijska pacijenta sa pJIA. Ukupna izloženost pacijenata </w:t>
      </w:r>
      <w:r w:rsidR="009F7713" w:rsidRPr="00C65707">
        <w:rPr>
          <w:sz w:val="22"/>
          <w:szCs w:val="22"/>
        </w:rPr>
        <w:t>tocilizumabu</w:t>
      </w:r>
      <w:r w:rsidRPr="00C65707">
        <w:rPr>
          <w:sz w:val="22"/>
          <w:szCs w:val="22"/>
        </w:rPr>
        <w:t xml:space="preserve"> u </w:t>
      </w:r>
      <w:r w:rsidR="009F7713" w:rsidRPr="00C65707">
        <w:rPr>
          <w:sz w:val="22"/>
          <w:szCs w:val="22"/>
        </w:rPr>
        <w:t xml:space="preserve">sveobuhvatno </w:t>
      </w:r>
      <w:r w:rsidRPr="00C65707">
        <w:rPr>
          <w:sz w:val="22"/>
          <w:szCs w:val="22"/>
        </w:rPr>
        <w:t xml:space="preserve">izloženoj populaciji sa pJIA iznosila je 184.4 pacijent-godine za intravensku populaciju i 50.4 pacijent-godine za </w:t>
      </w:r>
      <w:r w:rsidR="00910BDC" w:rsidRPr="00C65707">
        <w:rPr>
          <w:sz w:val="22"/>
          <w:szCs w:val="22"/>
        </w:rPr>
        <w:t xml:space="preserve">subkutanu </w:t>
      </w:r>
      <w:r w:rsidRPr="00C65707">
        <w:rPr>
          <w:sz w:val="22"/>
          <w:szCs w:val="22"/>
        </w:rPr>
        <w:t xml:space="preserve">formulaciju tocilizumaba. Bezbjednosni profil primijećen kod pacijenata sa pJIA generalno je odgovarao bezbjednosnom profilu </w:t>
      </w:r>
      <w:r w:rsidR="009F7713" w:rsidRPr="00C65707">
        <w:rPr>
          <w:sz w:val="22"/>
          <w:szCs w:val="22"/>
        </w:rPr>
        <w:t>tocilizumab</w:t>
      </w:r>
      <w:r w:rsidRPr="00C65707">
        <w:rPr>
          <w:sz w:val="22"/>
          <w:szCs w:val="22"/>
        </w:rPr>
        <w:t>a</w:t>
      </w:r>
      <w:r w:rsidR="009F7713" w:rsidRPr="00C65707">
        <w:rPr>
          <w:sz w:val="22"/>
          <w:szCs w:val="22"/>
        </w:rPr>
        <w:t>,</w:t>
      </w:r>
      <w:r w:rsidRPr="00C65707">
        <w:rPr>
          <w:sz w:val="22"/>
          <w:szCs w:val="22"/>
        </w:rPr>
        <w:t xml:space="preserve"> sa izuzetkom reakcija na mjestu primjene (videti Tabelu 1.). Učestalost reakcija na mjestu prim</w:t>
      </w:r>
      <w:r w:rsidR="000A085D" w:rsidRPr="00C65707">
        <w:rPr>
          <w:sz w:val="22"/>
          <w:szCs w:val="22"/>
        </w:rPr>
        <w:t>j</w:t>
      </w:r>
      <w:r w:rsidRPr="00C65707">
        <w:rPr>
          <w:sz w:val="22"/>
          <w:szCs w:val="22"/>
        </w:rPr>
        <w:t xml:space="preserve">ene </w:t>
      </w:r>
      <w:r w:rsidR="00910BDC" w:rsidRPr="00C65707">
        <w:rPr>
          <w:sz w:val="22"/>
          <w:szCs w:val="22"/>
        </w:rPr>
        <w:t xml:space="preserve">subkutane </w:t>
      </w:r>
      <w:r w:rsidRPr="00C65707">
        <w:rPr>
          <w:sz w:val="22"/>
          <w:szCs w:val="22"/>
        </w:rPr>
        <w:t xml:space="preserve">formulacije </w:t>
      </w:r>
      <w:r w:rsidR="009F7713" w:rsidRPr="00C65707">
        <w:rPr>
          <w:sz w:val="22"/>
          <w:szCs w:val="22"/>
        </w:rPr>
        <w:t>tocilizumab</w:t>
      </w:r>
      <w:r w:rsidRPr="00C65707">
        <w:rPr>
          <w:sz w:val="22"/>
          <w:szCs w:val="22"/>
        </w:rPr>
        <w:t>a bila je veća kod pacijenata sa pJIA nego kod odraslih pacijenata sa RA.</w:t>
      </w:r>
    </w:p>
    <w:p w14:paraId="7A3C29CC" w14:textId="77777777" w:rsidR="00CC2B31" w:rsidRPr="00C65707" w:rsidRDefault="00CC2B31">
      <w:pPr>
        <w:widowControl w:val="0"/>
        <w:jc w:val="both"/>
        <w:rPr>
          <w:sz w:val="22"/>
          <w:szCs w:val="22"/>
        </w:rPr>
      </w:pPr>
    </w:p>
    <w:p w14:paraId="711C731D" w14:textId="77777777" w:rsidR="00CC2B31" w:rsidRPr="00C65707" w:rsidRDefault="00CC2B31">
      <w:pPr>
        <w:widowControl w:val="0"/>
        <w:jc w:val="both"/>
        <w:rPr>
          <w:i/>
          <w:sz w:val="22"/>
          <w:szCs w:val="22"/>
          <w:u w:val="single"/>
        </w:rPr>
      </w:pPr>
      <w:r w:rsidRPr="00C65707">
        <w:rPr>
          <w:i/>
          <w:sz w:val="22"/>
          <w:szCs w:val="22"/>
          <w:u w:val="single"/>
        </w:rPr>
        <w:t>Infekcije</w:t>
      </w:r>
    </w:p>
    <w:p w14:paraId="6B79110D" w14:textId="18E7B56F" w:rsidR="00CC2B31" w:rsidRPr="00C65707" w:rsidRDefault="00CC2B31">
      <w:pPr>
        <w:widowControl w:val="0"/>
        <w:jc w:val="both"/>
        <w:rPr>
          <w:sz w:val="22"/>
          <w:szCs w:val="22"/>
        </w:rPr>
      </w:pPr>
      <w:r w:rsidRPr="00C65707">
        <w:rPr>
          <w:sz w:val="22"/>
          <w:szCs w:val="22"/>
        </w:rPr>
        <w:t xml:space="preserve">U ispitivanju </w:t>
      </w:r>
      <w:r w:rsidR="00910BDC" w:rsidRPr="00C65707">
        <w:rPr>
          <w:sz w:val="22"/>
          <w:szCs w:val="22"/>
        </w:rPr>
        <w:t xml:space="preserve">subkutane </w:t>
      </w:r>
      <w:r w:rsidRPr="00C65707">
        <w:rPr>
          <w:sz w:val="22"/>
          <w:szCs w:val="22"/>
        </w:rPr>
        <w:t>prim</w:t>
      </w:r>
      <w:r w:rsidR="000A085D" w:rsidRPr="00C65707">
        <w:rPr>
          <w:sz w:val="22"/>
          <w:szCs w:val="22"/>
        </w:rPr>
        <w:t>j</w:t>
      </w:r>
      <w:r w:rsidRPr="00C65707">
        <w:rPr>
          <w:sz w:val="22"/>
          <w:szCs w:val="22"/>
        </w:rPr>
        <w:t xml:space="preserve">ene </w:t>
      </w:r>
      <w:r w:rsidR="009F7713" w:rsidRPr="00C65707">
        <w:rPr>
          <w:sz w:val="22"/>
          <w:szCs w:val="22"/>
        </w:rPr>
        <w:t xml:space="preserve">tocilizumaba, </w:t>
      </w:r>
      <w:r w:rsidRPr="00C65707">
        <w:rPr>
          <w:sz w:val="22"/>
          <w:szCs w:val="22"/>
        </w:rPr>
        <w:t xml:space="preserve">stopa infekcija kod pacijenata sa pJIA liječenih </w:t>
      </w:r>
      <w:r w:rsidR="00910BDC" w:rsidRPr="00C65707">
        <w:rPr>
          <w:sz w:val="22"/>
          <w:szCs w:val="22"/>
        </w:rPr>
        <w:t xml:space="preserve">subkutanom </w:t>
      </w:r>
      <w:r w:rsidRPr="00C65707">
        <w:rPr>
          <w:sz w:val="22"/>
          <w:szCs w:val="22"/>
        </w:rPr>
        <w:t xml:space="preserve">formulacijom </w:t>
      </w:r>
      <w:r w:rsidR="009F7713" w:rsidRPr="00C65707">
        <w:rPr>
          <w:sz w:val="22"/>
          <w:szCs w:val="22"/>
        </w:rPr>
        <w:t>tocilizumaba</w:t>
      </w:r>
      <w:r w:rsidRPr="00C65707">
        <w:rPr>
          <w:sz w:val="22"/>
          <w:szCs w:val="22"/>
        </w:rPr>
        <w:t xml:space="preserve"> bila je uporediva sa onom kod pacijenata sa pJIA liječenih intravenskom formulacijom </w:t>
      </w:r>
      <w:r w:rsidR="009F7713" w:rsidRPr="00C65707">
        <w:rPr>
          <w:sz w:val="22"/>
          <w:szCs w:val="22"/>
        </w:rPr>
        <w:t>tocilizumaba</w:t>
      </w:r>
      <w:r w:rsidRPr="00C65707">
        <w:rPr>
          <w:sz w:val="22"/>
          <w:szCs w:val="22"/>
        </w:rPr>
        <w:t>.</w:t>
      </w:r>
    </w:p>
    <w:p w14:paraId="1E9000C2" w14:textId="77777777" w:rsidR="00CC2B31" w:rsidRPr="00C65707" w:rsidRDefault="00CC2B31">
      <w:pPr>
        <w:widowControl w:val="0"/>
        <w:jc w:val="both"/>
        <w:rPr>
          <w:sz w:val="22"/>
          <w:szCs w:val="22"/>
          <w:u w:val="single"/>
        </w:rPr>
      </w:pPr>
    </w:p>
    <w:p w14:paraId="1579CEA6" w14:textId="77777777" w:rsidR="00CC2B31" w:rsidRPr="00C65707" w:rsidRDefault="00CC2B31">
      <w:pPr>
        <w:widowControl w:val="0"/>
        <w:jc w:val="both"/>
        <w:rPr>
          <w:i/>
          <w:sz w:val="22"/>
          <w:szCs w:val="22"/>
          <w:u w:val="single"/>
        </w:rPr>
      </w:pPr>
      <w:r w:rsidRPr="00C65707">
        <w:rPr>
          <w:i/>
          <w:sz w:val="22"/>
          <w:szCs w:val="22"/>
          <w:u w:val="single"/>
        </w:rPr>
        <w:t>Reakcije na mjestu primjene</w:t>
      </w:r>
    </w:p>
    <w:p w14:paraId="7CF9644F" w14:textId="4DFD2976" w:rsidR="00CC2B31" w:rsidRPr="00C65707" w:rsidRDefault="00CC2B31">
      <w:pPr>
        <w:widowControl w:val="0"/>
        <w:jc w:val="both"/>
        <w:rPr>
          <w:sz w:val="22"/>
          <w:szCs w:val="22"/>
        </w:rPr>
      </w:pPr>
      <w:r w:rsidRPr="00C65707">
        <w:rPr>
          <w:sz w:val="22"/>
          <w:szCs w:val="22"/>
        </w:rPr>
        <w:t xml:space="preserve">Reakcije na mjestu </w:t>
      </w:r>
      <w:r w:rsidR="00910BDC" w:rsidRPr="00C65707">
        <w:rPr>
          <w:sz w:val="22"/>
          <w:szCs w:val="22"/>
        </w:rPr>
        <w:t xml:space="preserve">subkutane </w:t>
      </w:r>
      <w:r w:rsidRPr="00C65707">
        <w:rPr>
          <w:sz w:val="22"/>
          <w:szCs w:val="22"/>
        </w:rPr>
        <w:t xml:space="preserve">primjene </w:t>
      </w:r>
      <w:r w:rsidR="009F7713" w:rsidRPr="00C65707">
        <w:rPr>
          <w:sz w:val="22"/>
          <w:szCs w:val="22"/>
        </w:rPr>
        <w:t>tocilizumaba</w:t>
      </w:r>
      <w:r w:rsidRPr="00C65707">
        <w:rPr>
          <w:sz w:val="22"/>
          <w:szCs w:val="22"/>
        </w:rPr>
        <w:t xml:space="preserve"> prijavljene su kod ukupno 28.8% (15/52) pacijenata sa pJIA. Ove reakcije su se javile kod 44% pacijenata tjelesne težine ≥</w:t>
      </w:r>
      <w:r w:rsidR="002B1BAB">
        <w:rPr>
          <w:sz w:val="22"/>
          <w:szCs w:val="22"/>
        </w:rPr>
        <w:t xml:space="preserve"> </w:t>
      </w:r>
      <w:r w:rsidRPr="00C65707">
        <w:rPr>
          <w:sz w:val="22"/>
          <w:szCs w:val="22"/>
        </w:rPr>
        <w:t>30 kg u poređenju sa 14.8% pacijenata tjelesne težine manje od 30 mg. Najčešće reakcije na mjestu primjene bile su eritem, oticanje, hematom, bol i pruritus. Sve prijavljene reakcije na mjestu primjene bile su 1. Gradusa i ni</w:t>
      </w:r>
      <w:r w:rsidR="000A085D" w:rsidRPr="00C65707">
        <w:rPr>
          <w:sz w:val="22"/>
          <w:szCs w:val="22"/>
        </w:rPr>
        <w:t>je</w:t>
      </w:r>
      <w:r w:rsidRPr="00C65707">
        <w:rPr>
          <w:sz w:val="22"/>
          <w:szCs w:val="22"/>
        </w:rPr>
        <w:t>su bile teške, nijedna od  reakcija na mjestu primjene nije zahtijevala prekid liječenja niti odlaganje doze.</w:t>
      </w:r>
    </w:p>
    <w:p w14:paraId="068A18C6" w14:textId="77777777" w:rsidR="00CC2B31" w:rsidRPr="00C65707" w:rsidRDefault="00CC2B31">
      <w:pPr>
        <w:widowControl w:val="0"/>
        <w:jc w:val="both"/>
        <w:rPr>
          <w:sz w:val="22"/>
          <w:szCs w:val="22"/>
        </w:rPr>
      </w:pPr>
    </w:p>
    <w:p w14:paraId="7AE510F5" w14:textId="77777777" w:rsidR="00CC2B31" w:rsidRPr="00C65707" w:rsidRDefault="00CC2B31">
      <w:pPr>
        <w:widowControl w:val="0"/>
        <w:jc w:val="both"/>
        <w:rPr>
          <w:i/>
          <w:sz w:val="22"/>
          <w:szCs w:val="22"/>
          <w:u w:val="single"/>
        </w:rPr>
      </w:pPr>
      <w:r w:rsidRPr="00C65707">
        <w:rPr>
          <w:i/>
          <w:sz w:val="22"/>
          <w:szCs w:val="22"/>
          <w:u w:val="single"/>
        </w:rPr>
        <w:t>Imunogenost</w:t>
      </w:r>
    </w:p>
    <w:p w14:paraId="40C88D93" w14:textId="7211E2E9" w:rsidR="00CC2B31" w:rsidRPr="00C65707" w:rsidRDefault="00CC2B31">
      <w:pPr>
        <w:widowControl w:val="0"/>
        <w:jc w:val="both"/>
        <w:rPr>
          <w:sz w:val="22"/>
          <w:szCs w:val="22"/>
        </w:rPr>
      </w:pPr>
      <w:r w:rsidRPr="00C65707">
        <w:rPr>
          <w:sz w:val="22"/>
          <w:szCs w:val="22"/>
        </w:rPr>
        <w:t xml:space="preserve">U ispitivanju </w:t>
      </w:r>
      <w:r w:rsidR="00910BDC" w:rsidRPr="00C65707">
        <w:rPr>
          <w:sz w:val="22"/>
          <w:szCs w:val="22"/>
        </w:rPr>
        <w:t xml:space="preserve">subkutane </w:t>
      </w:r>
      <w:r w:rsidRPr="00C65707">
        <w:rPr>
          <w:sz w:val="22"/>
          <w:szCs w:val="22"/>
        </w:rPr>
        <w:t>primjene kod 5.8% pacijenata (3/52) došlo je do razvoja neutrališućih anti-tocilizumab antitijela što nije bilo praćeno ozbiljnom ili klinički značajnom reakcijom preosjetljivosti. Od ta 3 pacijenta, 1 je naknadno isključen iz ispitivanja. Nije ustanovljena povezanost između razvoja antitijela i kliničkog odgovora ili neželjenih događaja.</w:t>
      </w:r>
    </w:p>
    <w:p w14:paraId="68EC22EE" w14:textId="77777777" w:rsidR="00CC2B31" w:rsidRPr="00C65707" w:rsidRDefault="00CC2B31">
      <w:pPr>
        <w:widowControl w:val="0"/>
        <w:jc w:val="both"/>
        <w:rPr>
          <w:sz w:val="22"/>
          <w:szCs w:val="22"/>
        </w:rPr>
      </w:pPr>
    </w:p>
    <w:p w14:paraId="4604FF32" w14:textId="77777777" w:rsidR="00CC2B31" w:rsidRPr="00C65707" w:rsidRDefault="00CC2B31">
      <w:pPr>
        <w:widowControl w:val="0"/>
        <w:jc w:val="both"/>
        <w:rPr>
          <w:i/>
          <w:sz w:val="22"/>
          <w:szCs w:val="22"/>
          <w:u w:val="single"/>
        </w:rPr>
      </w:pPr>
      <w:r w:rsidRPr="00C65707">
        <w:rPr>
          <w:i/>
          <w:sz w:val="22"/>
          <w:szCs w:val="22"/>
          <w:u w:val="single"/>
        </w:rPr>
        <w:t>Odstupanja u laboratorijskim rezultatima</w:t>
      </w:r>
    </w:p>
    <w:p w14:paraId="48BEE8DF" w14:textId="1B4F910A" w:rsidR="00CC2B31" w:rsidRPr="00C65707" w:rsidRDefault="00CC2B31">
      <w:pPr>
        <w:widowControl w:val="0"/>
        <w:jc w:val="both"/>
        <w:rPr>
          <w:rFonts w:eastAsia="SimSun"/>
          <w:sz w:val="22"/>
          <w:szCs w:val="22"/>
          <w:lang w:eastAsia="zh-CN"/>
        </w:rPr>
      </w:pPr>
      <w:r w:rsidRPr="00C65707">
        <w:rPr>
          <w:sz w:val="22"/>
          <w:szCs w:val="22"/>
        </w:rPr>
        <w:t xml:space="preserve">Tokom rutinskog laboratorijskog praćenja cjelokupne populacije izložene </w:t>
      </w:r>
      <w:r w:rsidR="009F7713" w:rsidRPr="00C65707">
        <w:rPr>
          <w:sz w:val="22"/>
          <w:szCs w:val="22"/>
        </w:rPr>
        <w:t>tocilizumabu</w:t>
      </w:r>
      <w:r w:rsidRPr="00C65707">
        <w:rPr>
          <w:sz w:val="22"/>
          <w:szCs w:val="22"/>
        </w:rPr>
        <w:t xml:space="preserve">, došlo je do pada broja neutrofila ispod </w:t>
      </w:r>
      <w:r w:rsidRPr="00C65707">
        <w:rPr>
          <w:rFonts w:eastAsia="SimSun"/>
          <w:sz w:val="22"/>
          <w:szCs w:val="22"/>
          <w:lang w:eastAsia="zh-CN"/>
        </w:rPr>
        <w:t>1</w:t>
      </w:r>
      <w:r w:rsidRPr="00C65707">
        <w:rPr>
          <w:rFonts w:eastAsia="SimSun"/>
          <w:color w:val="000000"/>
          <w:sz w:val="22"/>
          <w:szCs w:val="22"/>
          <w:lang w:eastAsia="zh-CN"/>
        </w:rPr>
        <w:t xml:space="preserve"> × 10</w:t>
      </w:r>
      <w:r w:rsidRPr="00C65707">
        <w:rPr>
          <w:rFonts w:eastAsia="SimSun"/>
          <w:color w:val="000000"/>
          <w:sz w:val="22"/>
          <w:szCs w:val="22"/>
          <w:vertAlign w:val="superscript"/>
          <w:lang w:eastAsia="zh-CN"/>
        </w:rPr>
        <w:t>9</w:t>
      </w:r>
      <w:r w:rsidRPr="00C65707">
        <w:rPr>
          <w:rFonts w:eastAsia="SimSun"/>
          <w:color w:val="000000"/>
          <w:sz w:val="22"/>
          <w:szCs w:val="22"/>
          <w:lang w:eastAsia="zh-CN"/>
        </w:rPr>
        <w:t>/</w:t>
      </w:r>
      <w:r w:rsidR="002B1BAB">
        <w:rPr>
          <w:rFonts w:eastAsia="SimSun"/>
          <w:color w:val="000000"/>
          <w:sz w:val="22"/>
          <w:szCs w:val="22"/>
          <w:lang w:eastAsia="zh-CN"/>
        </w:rPr>
        <w:t>l</w:t>
      </w:r>
      <w:r w:rsidRPr="00C65707">
        <w:rPr>
          <w:rFonts w:eastAsia="SimSun"/>
          <w:color w:val="000000"/>
          <w:sz w:val="22"/>
          <w:szCs w:val="22"/>
          <w:lang w:eastAsia="zh-CN"/>
        </w:rPr>
        <w:t xml:space="preserve"> kod 15.</w:t>
      </w:r>
      <w:r w:rsidR="00F5542E" w:rsidRPr="00C65707">
        <w:rPr>
          <w:rFonts w:eastAsia="SimSun"/>
          <w:color w:val="000000"/>
          <w:sz w:val="22"/>
          <w:szCs w:val="22"/>
          <w:lang w:eastAsia="zh-CN"/>
        </w:rPr>
        <w:t>4</w:t>
      </w:r>
      <w:r w:rsidRPr="00C65707">
        <w:rPr>
          <w:rFonts w:eastAsia="SimSun"/>
          <w:color w:val="000000"/>
          <w:sz w:val="22"/>
          <w:szCs w:val="22"/>
          <w:lang w:eastAsia="zh-CN"/>
        </w:rPr>
        <w:t>% pacijenata l</w:t>
      </w:r>
      <w:r w:rsidRPr="00C65707">
        <w:rPr>
          <w:sz w:val="22"/>
          <w:szCs w:val="22"/>
        </w:rPr>
        <w:t>ij</w:t>
      </w:r>
      <w:r w:rsidRPr="00C65707">
        <w:rPr>
          <w:rFonts w:eastAsia="SimSun"/>
          <w:color w:val="000000"/>
          <w:sz w:val="22"/>
          <w:szCs w:val="22"/>
          <w:lang w:eastAsia="zh-CN"/>
        </w:rPr>
        <w:t xml:space="preserve">ečenih </w:t>
      </w:r>
      <w:r w:rsidR="00910BDC" w:rsidRPr="00C65707">
        <w:rPr>
          <w:rFonts w:eastAsia="SimSun"/>
          <w:color w:val="000000"/>
          <w:sz w:val="22"/>
          <w:szCs w:val="22"/>
          <w:lang w:eastAsia="zh-CN"/>
        </w:rPr>
        <w:t xml:space="preserve">subkutanom </w:t>
      </w:r>
      <w:r w:rsidRPr="00C65707">
        <w:rPr>
          <w:rFonts w:eastAsia="SimSun"/>
          <w:color w:val="000000"/>
          <w:sz w:val="22"/>
          <w:szCs w:val="22"/>
          <w:lang w:eastAsia="zh-CN"/>
        </w:rPr>
        <w:t xml:space="preserve">formulacijom </w:t>
      </w:r>
      <w:r w:rsidR="009F7713" w:rsidRPr="00C65707">
        <w:rPr>
          <w:sz w:val="22"/>
          <w:szCs w:val="22"/>
        </w:rPr>
        <w:t>tocilizumaba</w:t>
      </w:r>
      <w:r w:rsidRPr="00C65707">
        <w:rPr>
          <w:rFonts w:eastAsia="SimSun"/>
          <w:color w:val="000000"/>
          <w:sz w:val="22"/>
          <w:szCs w:val="22"/>
          <w:lang w:eastAsia="zh-CN"/>
        </w:rPr>
        <w:t xml:space="preserve">. Povišene vrijednosti ALT ili AST </w:t>
      </w:r>
      <w:r w:rsidRPr="00C65707">
        <w:rPr>
          <w:sz w:val="22"/>
          <w:szCs w:val="22"/>
        </w:rPr>
        <w:t xml:space="preserve">≥3 x GGN primećene su kod 9.6% odnosno 3.8% pacijenata liječenih </w:t>
      </w:r>
      <w:r w:rsidR="00910BDC" w:rsidRPr="00C65707">
        <w:rPr>
          <w:sz w:val="22"/>
          <w:szCs w:val="22"/>
        </w:rPr>
        <w:t xml:space="preserve">subkutanom </w:t>
      </w:r>
      <w:r w:rsidRPr="00C65707">
        <w:rPr>
          <w:sz w:val="22"/>
          <w:szCs w:val="22"/>
        </w:rPr>
        <w:t xml:space="preserve">formulacijom </w:t>
      </w:r>
      <w:r w:rsidR="009F7713" w:rsidRPr="00C65707">
        <w:rPr>
          <w:sz w:val="22"/>
          <w:szCs w:val="22"/>
        </w:rPr>
        <w:t>tocilizumaba</w:t>
      </w:r>
      <w:r w:rsidRPr="00C65707">
        <w:rPr>
          <w:sz w:val="22"/>
          <w:szCs w:val="22"/>
        </w:rPr>
        <w:t xml:space="preserve">. Smanjenje broja trombocita na vrijednosti </w:t>
      </w:r>
      <w:r w:rsidRPr="00C65707">
        <w:rPr>
          <w:rFonts w:eastAsia="SimSun" w:hint="eastAsia"/>
          <w:sz w:val="22"/>
          <w:szCs w:val="22"/>
          <w:lang w:eastAsia="zh-CN"/>
        </w:rPr>
        <w:t>≤</w:t>
      </w:r>
      <w:r w:rsidRPr="00C65707">
        <w:rPr>
          <w:rFonts w:eastAsia="SimSun" w:hint="eastAsia"/>
          <w:sz w:val="22"/>
          <w:szCs w:val="22"/>
          <w:lang w:eastAsia="zh-CN"/>
        </w:rPr>
        <w:t> 50 </w:t>
      </w:r>
      <w:r w:rsidRPr="00C65707">
        <w:rPr>
          <w:rFonts w:eastAsia="SimSun" w:hint="eastAsia"/>
          <w:sz w:val="22"/>
          <w:szCs w:val="22"/>
          <w:lang w:eastAsia="zh-CN"/>
        </w:rPr>
        <w:t>×</w:t>
      </w:r>
      <w:r w:rsidRPr="00C65707">
        <w:rPr>
          <w:rFonts w:eastAsia="SimSun" w:hint="eastAsia"/>
          <w:sz w:val="22"/>
          <w:szCs w:val="22"/>
          <w:lang w:eastAsia="zh-CN"/>
        </w:rPr>
        <w:t> 10</w:t>
      </w:r>
      <w:r w:rsidRPr="00C65707">
        <w:rPr>
          <w:rFonts w:eastAsia="SimSun"/>
          <w:sz w:val="22"/>
          <w:szCs w:val="22"/>
          <w:vertAlign w:val="superscript"/>
          <w:lang w:eastAsia="zh-CN"/>
        </w:rPr>
        <w:t>3</w:t>
      </w:r>
      <w:r w:rsidRPr="00C65707">
        <w:rPr>
          <w:rFonts w:eastAsia="SimSun"/>
          <w:sz w:val="22"/>
          <w:szCs w:val="22"/>
          <w:lang w:eastAsia="zh-CN"/>
        </w:rPr>
        <w:t>/μl ni</w:t>
      </w:r>
      <w:r w:rsidR="000A085D" w:rsidRPr="00C65707">
        <w:rPr>
          <w:rFonts w:eastAsia="SimSun"/>
          <w:sz w:val="22"/>
          <w:szCs w:val="22"/>
          <w:lang w:eastAsia="zh-CN"/>
        </w:rPr>
        <w:t>je</w:t>
      </w:r>
      <w:r w:rsidRPr="00C65707">
        <w:rPr>
          <w:rFonts w:eastAsia="SimSun"/>
          <w:sz w:val="22"/>
          <w:szCs w:val="22"/>
          <w:lang w:eastAsia="zh-CN"/>
        </w:rPr>
        <w:t>su primijećene ni kod jednog pacijenta l</w:t>
      </w:r>
      <w:r w:rsidRPr="00C65707">
        <w:rPr>
          <w:sz w:val="22"/>
          <w:szCs w:val="22"/>
        </w:rPr>
        <w:t>ij</w:t>
      </w:r>
      <w:r w:rsidRPr="00C65707">
        <w:rPr>
          <w:rFonts w:eastAsia="SimSun"/>
          <w:sz w:val="22"/>
          <w:szCs w:val="22"/>
          <w:lang w:eastAsia="zh-CN"/>
        </w:rPr>
        <w:t xml:space="preserve">ečenog </w:t>
      </w:r>
      <w:r w:rsidR="00910BDC" w:rsidRPr="00C65707">
        <w:rPr>
          <w:rFonts w:eastAsia="SimSun"/>
          <w:sz w:val="22"/>
          <w:szCs w:val="22"/>
          <w:lang w:eastAsia="zh-CN"/>
        </w:rPr>
        <w:t xml:space="preserve">subkutanom </w:t>
      </w:r>
      <w:r w:rsidRPr="00C65707">
        <w:rPr>
          <w:rFonts w:eastAsia="SimSun"/>
          <w:sz w:val="22"/>
          <w:szCs w:val="22"/>
          <w:lang w:eastAsia="zh-CN"/>
        </w:rPr>
        <w:t xml:space="preserve">formulacijom </w:t>
      </w:r>
      <w:r w:rsidR="009F7713" w:rsidRPr="00C65707">
        <w:rPr>
          <w:sz w:val="22"/>
          <w:szCs w:val="22"/>
        </w:rPr>
        <w:t>tocilizumaba</w:t>
      </w:r>
      <w:r w:rsidRPr="00C65707">
        <w:rPr>
          <w:rFonts w:eastAsia="SimSun"/>
          <w:sz w:val="22"/>
          <w:szCs w:val="22"/>
          <w:lang w:eastAsia="zh-CN"/>
        </w:rPr>
        <w:t>.</w:t>
      </w:r>
    </w:p>
    <w:p w14:paraId="5EF88655" w14:textId="77777777" w:rsidR="00CC2B31" w:rsidRPr="00C65707" w:rsidRDefault="00CC2B31" w:rsidP="00CE5678">
      <w:pPr>
        <w:widowControl w:val="0"/>
        <w:jc w:val="both"/>
        <w:rPr>
          <w:rFonts w:eastAsia="SimSun"/>
          <w:sz w:val="22"/>
          <w:szCs w:val="22"/>
          <w:lang w:eastAsia="zh-CN"/>
        </w:rPr>
      </w:pPr>
    </w:p>
    <w:p w14:paraId="7F46441D" w14:textId="77777777" w:rsidR="00CC2B31" w:rsidRPr="00C65707" w:rsidRDefault="00CC2B31" w:rsidP="00CE5678">
      <w:pPr>
        <w:widowControl w:val="0"/>
        <w:jc w:val="both"/>
        <w:rPr>
          <w:i/>
          <w:sz w:val="22"/>
          <w:szCs w:val="22"/>
          <w:u w:val="single"/>
        </w:rPr>
      </w:pPr>
      <w:r w:rsidRPr="00C65707">
        <w:rPr>
          <w:rFonts w:eastAsia="SimSun"/>
          <w:i/>
          <w:sz w:val="22"/>
          <w:szCs w:val="22"/>
          <w:u w:val="single"/>
          <w:lang w:eastAsia="zh-CN"/>
        </w:rPr>
        <w:t>Lipidni parametri</w:t>
      </w:r>
    </w:p>
    <w:p w14:paraId="45B0198D" w14:textId="690F46D1" w:rsidR="00CC2B31" w:rsidRPr="00C65707" w:rsidRDefault="00CC2B31" w:rsidP="00C65707">
      <w:pPr>
        <w:widowControl w:val="0"/>
        <w:jc w:val="both"/>
        <w:rPr>
          <w:sz w:val="22"/>
          <w:szCs w:val="22"/>
        </w:rPr>
      </w:pPr>
      <w:r w:rsidRPr="00C65707">
        <w:rPr>
          <w:sz w:val="22"/>
          <w:szCs w:val="22"/>
        </w:rPr>
        <w:t xml:space="preserve">U ispitivanju </w:t>
      </w:r>
      <w:r w:rsidR="00910BDC" w:rsidRPr="00C65707">
        <w:rPr>
          <w:sz w:val="22"/>
          <w:szCs w:val="22"/>
        </w:rPr>
        <w:t xml:space="preserve">subkutane </w:t>
      </w:r>
      <w:r w:rsidRPr="00C65707">
        <w:rPr>
          <w:sz w:val="22"/>
          <w:szCs w:val="22"/>
        </w:rPr>
        <w:t>primjene, kod 14.3% pacijenata je nakon početka liječenja došlo do povećanja vrijednosti LDL-holesterola na ≥ 130 mg/d</w:t>
      </w:r>
      <w:r w:rsidR="002B1BAB">
        <w:rPr>
          <w:sz w:val="22"/>
          <w:szCs w:val="22"/>
        </w:rPr>
        <w:t>l</w:t>
      </w:r>
      <w:r w:rsidRPr="00C65707">
        <w:rPr>
          <w:sz w:val="22"/>
          <w:szCs w:val="22"/>
        </w:rPr>
        <w:t>, dok je kod 12.8% pacijenata došlo do povećanja vrijednosti ukupnog holesterola na ≥ 200 mg/d</w:t>
      </w:r>
      <w:r w:rsidR="002B1BAB">
        <w:rPr>
          <w:sz w:val="22"/>
          <w:szCs w:val="22"/>
        </w:rPr>
        <w:t>l</w:t>
      </w:r>
      <w:r w:rsidRPr="00C65707">
        <w:rPr>
          <w:sz w:val="22"/>
          <w:szCs w:val="22"/>
        </w:rPr>
        <w:t xml:space="preserve"> u bilo kom trenutku tokom liječenja ispitivanim lijekom.</w:t>
      </w:r>
    </w:p>
    <w:p w14:paraId="0FD10A5F" w14:textId="77777777" w:rsidR="00CC2B31" w:rsidRPr="00C65707" w:rsidRDefault="00CC2B31" w:rsidP="002B3647">
      <w:pPr>
        <w:widowControl w:val="0"/>
        <w:jc w:val="both"/>
        <w:rPr>
          <w:sz w:val="22"/>
          <w:szCs w:val="22"/>
        </w:rPr>
      </w:pPr>
    </w:p>
    <w:p w14:paraId="28DE89BF" w14:textId="59ED5DCF" w:rsidR="00CC2B31" w:rsidRPr="00C65707" w:rsidRDefault="009F7713">
      <w:pPr>
        <w:pStyle w:val="Header"/>
        <w:widowControl w:val="0"/>
        <w:tabs>
          <w:tab w:val="left" w:pos="284"/>
        </w:tabs>
        <w:jc w:val="both"/>
        <w:rPr>
          <w:b/>
          <w:i/>
          <w:iCs/>
          <w:sz w:val="22"/>
          <w:szCs w:val="22"/>
        </w:rPr>
      </w:pPr>
      <w:r w:rsidRPr="00C65707">
        <w:rPr>
          <w:b/>
          <w:i/>
          <w:iCs/>
          <w:sz w:val="22"/>
          <w:szCs w:val="22"/>
        </w:rPr>
        <w:t>Pacijenti s</w:t>
      </w:r>
      <w:r w:rsidR="001C1860" w:rsidRPr="00C65707">
        <w:rPr>
          <w:b/>
          <w:i/>
          <w:iCs/>
          <w:sz w:val="22"/>
          <w:szCs w:val="22"/>
        </w:rPr>
        <w:t>a</w:t>
      </w:r>
      <w:r w:rsidRPr="00C65707">
        <w:rPr>
          <w:b/>
          <w:i/>
          <w:iCs/>
          <w:sz w:val="22"/>
          <w:szCs w:val="22"/>
        </w:rPr>
        <w:t xml:space="preserve"> GCA</w:t>
      </w:r>
    </w:p>
    <w:p w14:paraId="7C573C80" w14:textId="08E7477D" w:rsidR="00CC2B31" w:rsidRPr="00C65707" w:rsidRDefault="00CC2B31">
      <w:pPr>
        <w:pStyle w:val="Header"/>
        <w:widowControl w:val="0"/>
        <w:tabs>
          <w:tab w:val="left" w:pos="284"/>
        </w:tabs>
        <w:jc w:val="both"/>
        <w:rPr>
          <w:sz w:val="22"/>
          <w:szCs w:val="22"/>
        </w:rPr>
      </w:pPr>
      <w:r w:rsidRPr="00C65707">
        <w:rPr>
          <w:sz w:val="22"/>
          <w:szCs w:val="22"/>
        </w:rPr>
        <w:t xml:space="preserve">Bezbjednost </w:t>
      </w:r>
      <w:r w:rsidR="009F7713" w:rsidRPr="00C65707">
        <w:rPr>
          <w:sz w:val="22"/>
          <w:szCs w:val="22"/>
        </w:rPr>
        <w:t>tocilizumaba</w:t>
      </w:r>
      <w:r w:rsidRPr="00C65707">
        <w:rPr>
          <w:sz w:val="22"/>
          <w:szCs w:val="22"/>
        </w:rPr>
        <w:t xml:space="preserve"> za su</w:t>
      </w:r>
      <w:r w:rsidR="002B1BAB">
        <w:rPr>
          <w:sz w:val="22"/>
          <w:szCs w:val="22"/>
        </w:rPr>
        <w:t>b</w:t>
      </w:r>
      <w:r w:rsidRPr="00C65707">
        <w:rPr>
          <w:sz w:val="22"/>
          <w:szCs w:val="22"/>
        </w:rPr>
        <w:t xml:space="preserve">kutanu primjenu procjenjivala se u jednoj studiji faze III (WA28119), u kojoj je učestvovao 251 pacijent koji je imao GCA. Ukupno trajanje izloženosti u cjelokupnoj populaciji izloženoj </w:t>
      </w:r>
      <w:r w:rsidR="009F7713" w:rsidRPr="00C65707">
        <w:rPr>
          <w:sz w:val="22"/>
          <w:szCs w:val="22"/>
        </w:rPr>
        <w:t>tocilizumabu</w:t>
      </w:r>
      <w:r w:rsidRPr="00C65707">
        <w:rPr>
          <w:sz w:val="22"/>
          <w:szCs w:val="22"/>
        </w:rPr>
        <w:t xml:space="preserve"> iznosilo je 138,5 pacijenat</w:t>
      </w:r>
      <w:r w:rsidR="002B1BAB">
        <w:rPr>
          <w:sz w:val="22"/>
          <w:szCs w:val="22"/>
        </w:rPr>
        <w:t>-</w:t>
      </w:r>
      <w:r w:rsidRPr="00C65707">
        <w:rPr>
          <w:sz w:val="22"/>
          <w:szCs w:val="22"/>
        </w:rPr>
        <w:t xml:space="preserve">godina tokom 12 mjesečnog dvostruko slijepog, placebom kontrolisanog perioda ispitivanja. Cjelokupan bezbjedonosni profil primijećen u grupama liječenima </w:t>
      </w:r>
      <w:r w:rsidR="009F7713" w:rsidRPr="00C65707">
        <w:rPr>
          <w:sz w:val="22"/>
          <w:szCs w:val="22"/>
        </w:rPr>
        <w:t>tocilizumabom</w:t>
      </w:r>
      <w:r w:rsidRPr="00C65707">
        <w:rPr>
          <w:sz w:val="22"/>
          <w:szCs w:val="22"/>
        </w:rPr>
        <w:t xml:space="preserve"> bio je u skladu sa poznatim bezbjedonosnim profilom </w:t>
      </w:r>
      <w:r w:rsidR="009F7713" w:rsidRPr="00C65707">
        <w:rPr>
          <w:sz w:val="22"/>
          <w:szCs w:val="22"/>
        </w:rPr>
        <w:t>tocilizumab</w:t>
      </w:r>
      <w:r w:rsidRPr="00C65707">
        <w:rPr>
          <w:sz w:val="22"/>
          <w:szCs w:val="22"/>
        </w:rPr>
        <w:t>a (vidjeti Tabelu 1).</w:t>
      </w:r>
    </w:p>
    <w:p w14:paraId="39B8EBB8" w14:textId="77777777" w:rsidR="00CC2B31" w:rsidRPr="00C65707" w:rsidRDefault="00CC2B31">
      <w:pPr>
        <w:pStyle w:val="Header"/>
        <w:widowControl w:val="0"/>
        <w:tabs>
          <w:tab w:val="left" w:pos="284"/>
        </w:tabs>
        <w:jc w:val="both"/>
        <w:rPr>
          <w:sz w:val="22"/>
          <w:szCs w:val="22"/>
        </w:rPr>
      </w:pPr>
    </w:p>
    <w:p w14:paraId="0637B702" w14:textId="77777777" w:rsidR="00CC2B31" w:rsidRPr="00C65707" w:rsidRDefault="00CC2B31">
      <w:pPr>
        <w:pStyle w:val="Header"/>
        <w:widowControl w:val="0"/>
        <w:tabs>
          <w:tab w:val="left" w:pos="284"/>
        </w:tabs>
        <w:jc w:val="both"/>
        <w:rPr>
          <w:i/>
          <w:sz w:val="22"/>
          <w:szCs w:val="22"/>
          <w:u w:val="single"/>
        </w:rPr>
      </w:pPr>
      <w:r w:rsidRPr="00C65707">
        <w:rPr>
          <w:i/>
          <w:sz w:val="22"/>
          <w:szCs w:val="22"/>
          <w:u w:val="single"/>
        </w:rPr>
        <w:t>Infekcije</w:t>
      </w:r>
    </w:p>
    <w:p w14:paraId="22746DF1" w14:textId="5476FC14" w:rsidR="00CC2B31" w:rsidRPr="00C65707" w:rsidRDefault="00CC2B31">
      <w:pPr>
        <w:pStyle w:val="Header"/>
        <w:widowControl w:val="0"/>
        <w:tabs>
          <w:tab w:val="left" w:pos="284"/>
        </w:tabs>
        <w:jc w:val="both"/>
        <w:rPr>
          <w:sz w:val="22"/>
          <w:szCs w:val="22"/>
        </w:rPr>
      </w:pPr>
      <w:r w:rsidRPr="00C65707">
        <w:rPr>
          <w:sz w:val="22"/>
          <w:szCs w:val="22"/>
        </w:rPr>
        <w:lastRenderedPageBreak/>
        <w:t xml:space="preserve">Stopa infekcija/ozbiljnih infekcija bila je ujednačena između grupe koja je primala </w:t>
      </w:r>
      <w:r w:rsidR="009F7713" w:rsidRPr="00C65707">
        <w:rPr>
          <w:sz w:val="22"/>
          <w:szCs w:val="22"/>
        </w:rPr>
        <w:t>tocilizumab</w:t>
      </w:r>
      <w:r w:rsidR="002B1BAB">
        <w:rPr>
          <w:sz w:val="22"/>
          <w:szCs w:val="22"/>
        </w:rPr>
        <w:t xml:space="preserve"> </w:t>
      </w:r>
      <w:r w:rsidRPr="00C65707">
        <w:rPr>
          <w:sz w:val="22"/>
          <w:szCs w:val="22"/>
        </w:rPr>
        <w:t>jednom nedjeljno (200,2/9,7 događaja na 100 pacijent godina) te grupe koje su primale placebo plus 26-nedjeljni režim postupnog smanjivanja doze prednizona (156,0/4,2 događaja na 100 pacijent</w:t>
      </w:r>
      <w:r w:rsidR="002B1BAB">
        <w:rPr>
          <w:sz w:val="22"/>
          <w:szCs w:val="22"/>
        </w:rPr>
        <w:t>-</w:t>
      </w:r>
      <w:r w:rsidRPr="00C65707">
        <w:rPr>
          <w:sz w:val="22"/>
          <w:szCs w:val="22"/>
        </w:rPr>
        <w:t>godina) odnosno placebo plus 52-nedjeljni režim postupnog smanjivanja doze prednizona (210,2/12,5 događaja na 100 pacijent</w:t>
      </w:r>
      <w:r w:rsidR="002B1BAB">
        <w:rPr>
          <w:sz w:val="22"/>
          <w:szCs w:val="22"/>
        </w:rPr>
        <w:t>-</w:t>
      </w:r>
      <w:r w:rsidRPr="00C65707">
        <w:rPr>
          <w:sz w:val="22"/>
          <w:szCs w:val="22"/>
        </w:rPr>
        <w:t xml:space="preserve">godina). </w:t>
      </w:r>
    </w:p>
    <w:p w14:paraId="67AA8273" w14:textId="77777777" w:rsidR="00CC2B31" w:rsidRPr="00C65707" w:rsidRDefault="00CC2B31">
      <w:pPr>
        <w:pStyle w:val="Header"/>
        <w:widowControl w:val="0"/>
        <w:tabs>
          <w:tab w:val="left" w:pos="284"/>
        </w:tabs>
        <w:jc w:val="both"/>
        <w:rPr>
          <w:sz w:val="22"/>
          <w:szCs w:val="22"/>
        </w:rPr>
      </w:pPr>
    </w:p>
    <w:p w14:paraId="135B760F" w14:textId="77777777" w:rsidR="00CC2B31" w:rsidRPr="00C65707" w:rsidRDefault="00CC2B31">
      <w:pPr>
        <w:pStyle w:val="Header"/>
        <w:widowControl w:val="0"/>
        <w:tabs>
          <w:tab w:val="left" w:pos="284"/>
        </w:tabs>
        <w:jc w:val="both"/>
        <w:rPr>
          <w:i/>
          <w:sz w:val="22"/>
          <w:szCs w:val="22"/>
          <w:u w:val="single"/>
        </w:rPr>
      </w:pPr>
      <w:r w:rsidRPr="00C65707">
        <w:rPr>
          <w:i/>
          <w:sz w:val="22"/>
          <w:szCs w:val="22"/>
          <w:u w:val="single"/>
        </w:rPr>
        <w:t>Reakcije na mjestu injekcije</w:t>
      </w:r>
    </w:p>
    <w:p w14:paraId="36CCCFBA" w14:textId="77D9AA78" w:rsidR="00CC2B31" w:rsidRPr="00C65707" w:rsidRDefault="00CC2B31">
      <w:pPr>
        <w:pStyle w:val="Header"/>
        <w:widowControl w:val="0"/>
        <w:tabs>
          <w:tab w:val="left" w:pos="284"/>
        </w:tabs>
        <w:jc w:val="both"/>
        <w:rPr>
          <w:sz w:val="22"/>
          <w:szCs w:val="22"/>
        </w:rPr>
      </w:pPr>
      <w:r w:rsidRPr="00C65707">
        <w:rPr>
          <w:sz w:val="22"/>
          <w:szCs w:val="22"/>
        </w:rPr>
        <w:t xml:space="preserve">U grupi koja je primala </w:t>
      </w:r>
      <w:r w:rsidR="009F7713" w:rsidRPr="00C65707">
        <w:rPr>
          <w:sz w:val="22"/>
          <w:szCs w:val="22"/>
        </w:rPr>
        <w:t>tocilizumab</w:t>
      </w:r>
      <w:r w:rsidRPr="00C65707">
        <w:rPr>
          <w:sz w:val="22"/>
          <w:szCs w:val="22"/>
        </w:rPr>
        <w:t xml:space="preserve"> su</w:t>
      </w:r>
      <w:r w:rsidR="002B1BAB">
        <w:rPr>
          <w:sz w:val="22"/>
          <w:szCs w:val="22"/>
        </w:rPr>
        <w:t>b</w:t>
      </w:r>
      <w:r w:rsidRPr="00C65707">
        <w:rPr>
          <w:sz w:val="22"/>
          <w:szCs w:val="22"/>
        </w:rPr>
        <w:t>kutano jednom nedjeljno ukupno je 6% (6/100) pacijenata prijavilo neželjeno dejstvo na mjestu primjene su</w:t>
      </w:r>
      <w:r w:rsidR="002B1BAB">
        <w:rPr>
          <w:sz w:val="22"/>
          <w:szCs w:val="22"/>
        </w:rPr>
        <w:t>b</w:t>
      </w:r>
      <w:r w:rsidRPr="00C65707">
        <w:rPr>
          <w:sz w:val="22"/>
          <w:szCs w:val="22"/>
        </w:rPr>
        <w:t xml:space="preserve">kutane injekcije. Nijedna reakcija na mjestu injekcije nije prijavljena kao ozbiljno neželjeno dejstvo niti je zahtijevala prekid liječenja. </w:t>
      </w:r>
    </w:p>
    <w:p w14:paraId="6A49E7D6" w14:textId="77777777" w:rsidR="00CC2B31" w:rsidRPr="00C65707" w:rsidRDefault="00CC2B31">
      <w:pPr>
        <w:pStyle w:val="Header"/>
        <w:widowControl w:val="0"/>
        <w:tabs>
          <w:tab w:val="left" w:pos="284"/>
        </w:tabs>
        <w:jc w:val="both"/>
        <w:rPr>
          <w:sz w:val="22"/>
          <w:szCs w:val="22"/>
        </w:rPr>
      </w:pPr>
    </w:p>
    <w:p w14:paraId="304FF1B5" w14:textId="77777777" w:rsidR="00CC2B31" w:rsidRPr="00C65707" w:rsidRDefault="00CC2B31">
      <w:pPr>
        <w:pStyle w:val="Header"/>
        <w:widowControl w:val="0"/>
        <w:tabs>
          <w:tab w:val="left" w:pos="284"/>
        </w:tabs>
        <w:jc w:val="both"/>
        <w:rPr>
          <w:i/>
          <w:sz w:val="22"/>
          <w:szCs w:val="22"/>
          <w:u w:val="single"/>
        </w:rPr>
      </w:pPr>
      <w:r w:rsidRPr="00C65707">
        <w:rPr>
          <w:i/>
          <w:sz w:val="22"/>
          <w:szCs w:val="22"/>
          <w:u w:val="single"/>
        </w:rPr>
        <w:t>Imunogenost</w:t>
      </w:r>
    </w:p>
    <w:p w14:paraId="05F874FD" w14:textId="360C8C6B" w:rsidR="00CC2B31" w:rsidRPr="00C65707" w:rsidRDefault="00CC2B31">
      <w:pPr>
        <w:pStyle w:val="Header"/>
        <w:widowControl w:val="0"/>
        <w:tabs>
          <w:tab w:val="left" w:pos="284"/>
        </w:tabs>
        <w:jc w:val="both"/>
        <w:rPr>
          <w:sz w:val="22"/>
          <w:szCs w:val="22"/>
        </w:rPr>
      </w:pPr>
      <w:r w:rsidRPr="00C65707">
        <w:rPr>
          <w:sz w:val="22"/>
          <w:szCs w:val="22"/>
        </w:rPr>
        <w:t xml:space="preserve">U grupi koja je primala </w:t>
      </w:r>
      <w:r w:rsidR="009F7713" w:rsidRPr="00C65707">
        <w:rPr>
          <w:sz w:val="22"/>
          <w:szCs w:val="22"/>
        </w:rPr>
        <w:t>tocilizumab</w:t>
      </w:r>
      <w:r w:rsidRPr="00C65707">
        <w:rPr>
          <w:sz w:val="22"/>
          <w:szCs w:val="22"/>
        </w:rPr>
        <w:t xml:space="preserve"> su</w:t>
      </w:r>
      <w:r w:rsidR="009F7713" w:rsidRPr="00C65707">
        <w:rPr>
          <w:sz w:val="22"/>
          <w:szCs w:val="22"/>
        </w:rPr>
        <w:t>p</w:t>
      </w:r>
      <w:r w:rsidRPr="00C65707">
        <w:rPr>
          <w:sz w:val="22"/>
          <w:szCs w:val="22"/>
        </w:rPr>
        <w:t xml:space="preserve">kutano jednom nedjeljno kod jednog pacijenta su se (1,1%, 1/95) razvila neutrališuća antitijela na </w:t>
      </w:r>
      <w:r w:rsidR="009F7713" w:rsidRPr="00C65707">
        <w:rPr>
          <w:sz w:val="22"/>
          <w:szCs w:val="22"/>
        </w:rPr>
        <w:t>tocilizumab</w:t>
      </w:r>
      <w:r w:rsidRPr="00C65707">
        <w:rPr>
          <w:sz w:val="22"/>
          <w:szCs w:val="22"/>
        </w:rPr>
        <w:t>, ali ne izotipa IgE. Kod tog pacijenta se nije razvila reakcija preosjetljivosti ni reakcija na mjestu injekcije.</w:t>
      </w:r>
    </w:p>
    <w:p w14:paraId="27ACC549" w14:textId="77777777" w:rsidR="00CC2B31" w:rsidRPr="00C65707" w:rsidRDefault="00CC2B31">
      <w:pPr>
        <w:pStyle w:val="Header"/>
        <w:widowControl w:val="0"/>
        <w:tabs>
          <w:tab w:val="left" w:pos="284"/>
        </w:tabs>
        <w:jc w:val="both"/>
        <w:rPr>
          <w:sz w:val="22"/>
          <w:szCs w:val="22"/>
        </w:rPr>
      </w:pPr>
    </w:p>
    <w:p w14:paraId="2568FCEC" w14:textId="77777777" w:rsidR="00CC2B31" w:rsidRPr="00C65707" w:rsidRDefault="00CC2B31">
      <w:pPr>
        <w:pStyle w:val="Header"/>
        <w:widowControl w:val="0"/>
        <w:tabs>
          <w:tab w:val="left" w:pos="284"/>
        </w:tabs>
        <w:jc w:val="both"/>
        <w:rPr>
          <w:i/>
          <w:sz w:val="22"/>
          <w:szCs w:val="22"/>
          <w:u w:val="single"/>
        </w:rPr>
      </w:pPr>
      <w:r w:rsidRPr="00C65707">
        <w:rPr>
          <w:i/>
          <w:sz w:val="22"/>
          <w:szCs w:val="22"/>
          <w:u w:val="single"/>
        </w:rPr>
        <w:t>Neutrofili</w:t>
      </w:r>
    </w:p>
    <w:p w14:paraId="47BBA514" w14:textId="746DB0C1" w:rsidR="00CC2B31" w:rsidRPr="00C65707" w:rsidRDefault="00CC2B31">
      <w:pPr>
        <w:pStyle w:val="Header"/>
        <w:widowControl w:val="0"/>
        <w:tabs>
          <w:tab w:val="left" w:pos="284"/>
        </w:tabs>
        <w:jc w:val="both"/>
        <w:rPr>
          <w:sz w:val="22"/>
          <w:szCs w:val="22"/>
        </w:rPr>
      </w:pPr>
      <w:r w:rsidRPr="00C65707">
        <w:rPr>
          <w:sz w:val="22"/>
          <w:szCs w:val="22"/>
        </w:rPr>
        <w:t xml:space="preserve">Tokom rutinskog laboratorijskog praćenja u 12 mjesečnoj kontrolisanoj kliničkoj studiji </w:t>
      </w:r>
      <w:r w:rsidR="009F7713" w:rsidRPr="00C65707">
        <w:rPr>
          <w:sz w:val="22"/>
          <w:szCs w:val="22"/>
        </w:rPr>
        <w:t>tocilizumaba</w:t>
      </w:r>
      <w:r w:rsidRPr="00C65707">
        <w:rPr>
          <w:sz w:val="22"/>
          <w:szCs w:val="22"/>
        </w:rPr>
        <w:t xml:space="preserve">, kod 4% pacijenata koji su primali </w:t>
      </w:r>
      <w:r w:rsidR="009F7713" w:rsidRPr="00C65707">
        <w:rPr>
          <w:sz w:val="22"/>
          <w:szCs w:val="22"/>
        </w:rPr>
        <w:t>tocilizumab</w:t>
      </w:r>
      <w:r w:rsidRPr="00C65707">
        <w:rPr>
          <w:sz w:val="22"/>
          <w:szCs w:val="22"/>
        </w:rPr>
        <w:t xml:space="preserve"> su</w:t>
      </w:r>
      <w:r w:rsidR="002B1BAB">
        <w:rPr>
          <w:sz w:val="22"/>
          <w:szCs w:val="22"/>
        </w:rPr>
        <w:t>b</w:t>
      </w:r>
      <w:r w:rsidRPr="00C65707">
        <w:rPr>
          <w:sz w:val="22"/>
          <w:szCs w:val="22"/>
        </w:rPr>
        <w:t>kutano jednom nedjeljno primijećeno je smanjenje broja neutrofila na manje od 1 x 10</w:t>
      </w:r>
      <w:r w:rsidRPr="00C65707">
        <w:rPr>
          <w:sz w:val="22"/>
          <w:szCs w:val="22"/>
          <w:vertAlign w:val="superscript"/>
        </w:rPr>
        <w:t>9</w:t>
      </w:r>
      <w:r w:rsidRPr="00C65707">
        <w:rPr>
          <w:sz w:val="22"/>
          <w:szCs w:val="22"/>
        </w:rPr>
        <w:t>/l. To nije zapaženo ni u jednoj od dvije grupe koje su primale placebo plus prednizon čija se doza postupno smanjivala.</w:t>
      </w:r>
    </w:p>
    <w:p w14:paraId="04B8C4B7" w14:textId="77777777" w:rsidR="00CC2B31" w:rsidRPr="00C65707" w:rsidRDefault="00CC2B31">
      <w:pPr>
        <w:pStyle w:val="Header"/>
        <w:widowControl w:val="0"/>
        <w:tabs>
          <w:tab w:val="left" w:pos="284"/>
        </w:tabs>
        <w:jc w:val="both"/>
        <w:rPr>
          <w:sz w:val="22"/>
          <w:szCs w:val="22"/>
          <w:u w:val="single"/>
        </w:rPr>
      </w:pPr>
    </w:p>
    <w:p w14:paraId="3F5F48CB" w14:textId="77777777" w:rsidR="00CC2B31" w:rsidRPr="00C65707" w:rsidRDefault="00CC2B31">
      <w:pPr>
        <w:pStyle w:val="Header"/>
        <w:widowControl w:val="0"/>
        <w:tabs>
          <w:tab w:val="left" w:pos="284"/>
        </w:tabs>
        <w:jc w:val="both"/>
        <w:rPr>
          <w:i/>
          <w:sz w:val="22"/>
          <w:szCs w:val="22"/>
          <w:u w:val="single"/>
        </w:rPr>
      </w:pPr>
      <w:r w:rsidRPr="00C65707">
        <w:rPr>
          <w:i/>
          <w:sz w:val="22"/>
          <w:szCs w:val="22"/>
          <w:u w:val="single"/>
        </w:rPr>
        <w:t>Trombociti</w:t>
      </w:r>
    </w:p>
    <w:p w14:paraId="457862F2" w14:textId="2F22E35C" w:rsidR="00CC2B31" w:rsidRPr="00C65707" w:rsidRDefault="00CC2B31">
      <w:pPr>
        <w:pStyle w:val="Header"/>
        <w:widowControl w:val="0"/>
        <w:tabs>
          <w:tab w:val="left" w:pos="284"/>
        </w:tabs>
        <w:jc w:val="both"/>
        <w:rPr>
          <w:sz w:val="22"/>
          <w:szCs w:val="22"/>
        </w:rPr>
      </w:pPr>
      <w:r w:rsidRPr="00C65707">
        <w:rPr>
          <w:sz w:val="22"/>
          <w:szCs w:val="22"/>
        </w:rPr>
        <w:t xml:space="preserve">Tokom rutinskog laboratorijskog praćenja u 12 mjesečnoj kontrolisanoj kliničkoj studiji </w:t>
      </w:r>
      <w:r w:rsidR="009F7713" w:rsidRPr="00C65707">
        <w:rPr>
          <w:sz w:val="22"/>
          <w:szCs w:val="22"/>
        </w:rPr>
        <w:t>tocilizumaba</w:t>
      </w:r>
      <w:r w:rsidRPr="00C65707">
        <w:rPr>
          <w:sz w:val="22"/>
          <w:szCs w:val="22"/>
        </w:rPr>
        <w:t xml:space="preserve">, kod jednog pacijenta (1%, 1/100) koji je primao </w:t>
      </w:r>
      <w:r w:rsidR="009F7713" w:rsidRPr="00C65707">
        <w:rPr>
          <w:sz w:val="22"/>
          <w:szCs w:val="22"/>
        </w:rPr>
        <w:t>tocilizumab</w:t>
      </w:r>
      <w:r w:rsidRPr="00C65707">
        <w:rPr>
          <w:sz w:val="22"/>
          <w:szCs w:val="22"/>
        </w:rPr>
        <w:t xml:space="preserve"> su</w:t>
      </w:r>
      <w:r w:rsidR="002B1BAB">
        <w:rPr>
          <w:sz w:val="22"/>
          <w:szCs w:val="22"/>
        </w:rPr>
        <w:t>b</w:t>
      </w:r>
      <w:r w:rsidRPr="00C65707">
        <w:rPr>
          <w:sz w:val="22"/>
          <w:szCs w:val="22"/>
        </w:rPr>
        <w:t>kutano jednom nedjeljno zabilježena je samo jedna epizoda prolaznog smanjenja broja trombocita na &lt; 100 x 10</w:t>
      </w:r>
      <w:r w:rsidRPr="00C65707">
        <w:rPr>
          <w:sz w:val="22"/>
          <w:szCs w:val="22"/>
          <w:vertAlign w:val="superscript"/>
        </w:rPr>
        <w:t>3</w:t>
      </w:r>
      <w:r w:rsidRPr="00C65707">
        <w:rPr>
          <w:sz w:val="22"/>
          <w:szCs w:val="22"/>
        </w:rPr>
        <w:t>/µl, bez popratnih događaja krvarenja. Pad broja trombocita ispod 100 x 10</w:t>
      </w:r>
      <w:r w:rsidRPr="00C65707">
        <w:rPr>
          <w:sz w:val="22"/>
          <w:szCs w:val="22"/>
          <w:vertAlign w:val="superscript"/>
        </w:rPr>
        <w:t>3</w:t>
      </w:r>
      <w:r w:rsidRPr="00C65707">
        <w:rPr>
          <w:sz w:val="22"/>
          <w:szCs w:val="22"/>
        </w:rPr>
        <w:t xml:space="preserve">/µl nije zabilježen ni u jednoj od dvije grupe koje su primale placebo plus prednizon čija se doza postupno smanjivala.   </w:t>
      </w:r>
    </w:p>
    <w:p w14:paraId="3678B787" w14:textId="77777777" w:rsidR="00CC2B31" w:rsidRPr="00C65707" w:rsidRDefault="00CC2B31">
      <w:pPr>
        <w:pStyle w:val="Header"/>
        <w:widowControl w:val="0"/>
        <w:tabs>
          <w:tab w:val="left" w:pos="284"/>
        </w:tabs>
        <w:jc w:val="both"/>
        <w:rPr>
          <w:sz w:val="22"/>
          <w:szCs w:val="22"/>
        </w:rPr>
      </w:pPr>
      <w:r w:rsidRPr="00C65707">
        <w:rPr>
          <w:sz w:val="22"/>
          <w:szCs w:val="22"/>
        </w:rPr>
        <w:t xml:space="preserve"> </w:t>
      </w:r>
    </w:p>
    <w:p w14:paraId="5025992C" w14:textId="0FCDF6AA" w:rsidR="00CC2B31" w:rsidRPr="00C65707" w:rsidRDefault="00CC2B31">
      <w:pPr>
        <w:pStyle w:val="Header"/>
        <w:widowControl w:val="0"/>
        <w:tabs>
          <w:tab w:val="left" w:pos="284"/>
        </w:tabs>
        <w:jc w:val="both"/>
        <w:rPr>
          <w:i/>
          <w:sz w:val="22"/>
          <w:szCs w:val="22"/>
          <w:u w:val="single"/>
        </w:rPr>
      </w:pPr>
      <w:r w:rsidRPr="00C65707">
        <w:rPr>
          <w:i/>
          <w:sz w:val="22"/>
          <w:szCs w:val="22"/>
          <w:u w:val="single"/>
        </w:rPr>
        <w:t xml:space="preserve">Povišenje </w:t>
      </w:r>
      <w:r w:rsidR="009F7713" w:rsidRPr="00C65707">
        <w:rPr>
          <w:i/>
          <w:sz w:val="22"/>
          <w:szCs w:val="22"/>
          <w:u w:val="single"/>
        </w:rPr>
        <w:t xml:space="preserve">vrijednosti </w:t>
      </w:r>
      <w:r w:rsidRPr="00C65707">
        <w:rPr>
          <w:i/>
          <w:sz w:val="22"/>
          <w:szCs w:val="22"/>
          <w:u w:val="single"/>
        </w:rPr>
        <w:t xml:space="preserve">transaminaza jetre </w:t>
      </w:r>
    </w:p>
    <w:p w14:paraId="4D7212BD" w14:textId="08281711" w:rsidR="00CC2B31" w:rsidRPr="00C65707" w:rsidRDefault="00CC2B31">
      <w:pPr>
        <w:pStyle w:val="Header"/>
        <w:widowControl w:val="0"/>
        <w:tabs>
          <w:tab w:val="left" w:pos="284"/>
        </w:tabs>
        <w:jc w:val="both"/>
        <w:rPr>
          <w:sz w:val="22"/>
          <w:szCs w:val="22"/>
        </w:rPr>
      </w:pPr>
      <w:r w:rsidRPr="00C65707">
        <w:rPr>
          <w:sz w:val="22"/>
          <w:szCs w:val="22"/>
        </w:rPr>
        <w:t xml:space="preserve">Tokom rutinskog laboratorijskog praćenja u 12 mjesečnoj kontrolisanoj kliničkoj studiji </w:t>
      </w:r>
      <w:r w:rsidR="009F7713" w:rsidRPr="00C65707">
        <w:rPr>
          <w:sz w:val="22"/>
          <w:szCs w:val="22"/>
        </w:rPr>
        <w:t>tocilizumab</w:t>
      </w:r>
      <w:r w:rsidRPr="00C65707">
        <w:rPr>
          <w:sz w:val="22"/>
          <w:szCs w:val="22"/>
        </w:rPr>
        <w:t xml:space="preserve">a, porast vrijednosti ALT-a ≥ 3 x GGN zabilježen je kod 3% pacijenata koji su primali </w:t>
      </w:r>
      <w:r w:rsidR="009F7713" w:rsidRPr="00C65707">
        <w:rPr>
          <w:sz w:val="22"/>
          <w:szCs w:val="22"/>
        </w:rPr>
        <w:t>tocilizumab</w:t>
      </w:r>
      <w:r w:rsidRPr="00C65707">
        <w:rPr>
          <w:sz w:val="22"/>
          <w:szCs w:val="22"/>
        </w:rPr>
        <w:t xml:space="preserve"> su</w:t>
      </w:r>
      <w:r w:rsidR="002B1BAB">
        <w:rPr>
          <w:sz w:val="22"/>
          <w:szCs w:val="22"/>
        </w:rPr>
        <w:t>b</w:t>
      </w:r>
      <w:r w:rsidRPr="00C65707">
        <w:rPr>
          <w:sz w:val="22"/>
          <w:szCs w:val="22"/>
        </w:rPr>
        <w:t>kutano jednom nedjeljno u poređenju sa 2% pacijenata koji su primali placebo plus 52 nedjeljni režim postupnog smanjivanja doze prednizona i niti jednim pacijentom u grupi koja je primala placebo plus 26-nedjeljni režim postupnog smanjivanja doze prednizona. Porast vrijednosti AST</w:t>
      </w:r>
      <w:r w:rsidR="009F7713" w:rsidRPr="00C65707">
        <w:rPr>
          <w:sz w:val="22"/>
          <w:szCs w:val="22"/>
        </w:rPr>
        <w:t>-</w:t>
      </w:r>
      <w:r w:rsidRPr="00C65707">
        <w:rPr>
          <w:sz w:val="22"/>
          <w:szCs w:val="22"/>
        </w:rPr>
        <w:t xml:space="preserve">a &gt; 3 x GGN zabilježen je kod 1% pacijenata koji su primali </w:t>
      </w:r>
      <w:r w:rsidR="009F7713" w:rsidRPr="00C65707">
        <w:rPr>
          <w:sz w:val="22"/>
          <w:szCs w:val="22"/>
        </w:rPr>
        <w:t>tocilizumab</w:t>
      </w:r>
      <w:r w:rsidRPr="00C65707">
        <w:rPr>
          <w:sz w:val="22"/>
          <w:szCs w:val="22"/>
        </w:rPr>
        <w:t xml:space="preserve"> su</w:t>
      </w:r>
      <w:r w:rsidR="002B1BAB">
        <w:rPr>
          <w:sz w:val="22"/>
          <w:szCs w:val="22"/>
        </w:rPr>
        <w:t>b</w:t>
      </w:r>
      <w:r w:rsidRPr="00C65707">
        <w:rPr>
          <w:sz w:val="22"/>
          <w:szCs w:val="22"/>
        </w:rPr>
        <w:t>kutano jednom nedjeljno, u odnosu na niti jednog pacijenat u grupama koje su primale placebo plus prednizon</w:t>
      </w:r>
      <w:r w:rsidR="009F7713" w:rsidRPr="00C65707">
        <w:rPr>
          <w:sz w:val="22"/>
          <w:szCs w:val="22"/>
        </w:rPr>
        <w:t>,</w:t>
      </w:r>
      <w:r w:rsidRPr="00C65707">
        <w:rPr>
          <w:sz w:val="22"/>
          <w:szCs w:val="22"/>
        </w:rPr>
        <w:t xml:space="preserve"> čija se doza postupno smanjivala.</w:t>
      </w:r>
    </w:p>
    <w:p w14:paraId="2C45A9C3" w14:textId="77777777" w:rsidR="00CC2B31" w:rsidRPr="00C65707" w:rsidRDefault="00CC2B31">
      <w:pPr>
        <w:pStyle w:val="Header"/>
        <w:widowControl w:val="0"/>
        <w:tabs>
          <w:tab w:val="left" w:pos="284"/>
        </w:tabs>
        <w:ind w:left="-110"/>
        <w:jc w:val="both"/>
        <w:rPr>
          <w:sz w:val="22"/>
          <w:szCs w:val="22"/>
        </w:rPr>
      </w:pPr>
    </w:p>
    <w:p w14:paraId="078E7429" w14:textId="77777777" w:rsidR="00CC2B31" w:rsidRPr="00C65707" w:rsidRDefault="00CC2B31">
      <w:pPr>
        <w:pStyle w:val="Header"/>
        <w:widowControl w:val="0"/>
        <w:tabs>
          <w:tab w:val="left" w:pos="284"/>
        </w:tabs>
        <w:jc w:val="both"/>
        <w:rPr>
          <w:i/>
          <w:iCs/>
          <w:sz w:val="22"/>
          <w:szCs w:val="22"/>
          <w:u w:val="single"/>
        </w:rPr>
      </w:pPr>
      <w:r w:rsidRPr="00C65707">
        <w:rPr>
          <w:i/>
          <w:iCs/>
          <w:sz w:val="22"/>
          <w:szCs w:val="22"/>
          <w:u w:val="single"/>
        </w:rPr>
        <w:t>Vrijednosti lipida</w:t>
      </w:r>
    </w:p>
    <w:p w14:paraId="7F0B05F5" w14:textId="0509AE23" w:rsidR="00CC2B31" w:rsidRPr="00C65707" w:rsidRDefault="00CC2B31">
      <w:pPr>
        <w:pStyle w:val="Header"/>
        <w:widowControl w:val="0"/>
        <w:tabs>
          <w:tab w:val="left" w:pos="284"/>
        </w:tabs>
        <w:jc w:val="both"/>
        <w:rPr>
          <w:sz w:val="22"/>
          <w:szCs w:val="22"/>
        </w:rPr>
      </w:pPr>
      <w:r w:rsidRPr="00C65707">
        <w:rPr>
          <w:sz w:val="22"/>
          <w:szCs w:val="22"/>
        </w:rPr>
        <w:t xml:space="preserve">Tokom rutinskog laboratorijskog praćenja u 12 mjesečnom kontrolisanom kliničkom ispitivanju </w:t>
      </w:r>
      <w:r w:rsidR="009F7713" w:rsidRPr="00C65707">
        <w:rPr>
          <w:sz w:val="22"/>
          <w:szCs w:val="22"/>
        </w:rPr>
        <w:t>tocilizumab</w:t>
      </w:r>
      <w:r w:rsidRPr="00C65707">
        <w:rPr>
          <w:sz w:val="22"/>
          <w:szCs w:val="22"/>
        </w:rPr>
        <w:t xml:space="preserve">a, kod 34% pacijenata koji su primali </w:t>
      </w:r>
      <w:r w:rsidR="009F7713" w:rsidRPr="00C65707">
        <w:rPr>
          <w:sz w:val="22"/>
          <w:szCs w:val="22"/>
        </w:rPr>
        <w:t>tocilizumab</w:t>
      </w:r>
      <w:r w:rsidRPr="00C65707">
        <w:rPr>
          <w:sz w:val="22"/>
          <w:szCs w:val="22"/>
        </w:rPr>
        <w:t xml:space="preserve"> su</w:t>
      </w:r>
      <w:r w:rsidR="002B1BAB">
        <w:rPr>
          <w:sz w:val="22"/>
          <w:szCs w:val="22"/>
        </w:rPr>
        <w:t>b</w:t>
      </w:r>
      <w:r w:rsidRPr="00C65707">
        <w:rPr>
          <w:sz w:val="22"/>
          <w:szCs w:val="22"/>
        </w:rPr>
        <w:t>kutano jednom nedjeljno zabilježeno je trajno povišenje nivoa ukupnog holesterola &gt; 6,2 mmol/l (240 mg/dl), pri čemu je kod 15% pacijenata primjećeno trajno povišenje LDL- a na ≥ 4,1 mmol/l (160 mg/dl).</w:t>
      </w:r>
    </w:p>
    <w:p w14:paraId="64F089A1" w14:textId="77777777" w:rsidR="00CC2B31" w:rsidRPr="00C65707" w:rsidRDefault="00CC2B31">
      <w:pPr>
        <w:pStyle w:val="Header"/>
        <w:widowControl w:val="0"/>
        <w:tabs>
          <w:tab w:val="left" w:pos="284"/>
        </w:tabs>
        <w:jc w:val="both"/>
        <w:rPr>
          <w:sz w:val="22"/>
          <w:szCs w:val="22"/>
        </w:rPr>
      </w:pPr>
    </w:p>
    <w:p w14:paraId="142F146C" w14:textId="5F6A28B7" w:rsidR="00EA4C74" w:rsidRPr="00C65707" w:rsidRDefault="00CE30EF" w:rsidP="00CE5678">
      <w:pPr>
        <w:pStyle w:val="Header"/>
        <w:widowControl w:val="0"/>
        <w:tabs>
          <w:tab w:val="clear" w:pos="8640"/>
          <w:tab w:val="left" w:pos="284"/>
        </w:tabs>
        <w:spacing w:line="480" w:lineRule="auto"/>
        <w:ind w:right="3261"/>
        <w:jc w:val="both"/>
        <w:rPr>
          <w:b/>
          <w:sz w:val="22"/>
          <w:szCs w:val="22"/>
          <w:u w:val="single"/>
        </w:rPr>
      </w:pPr>
      <w:r w:rsidRPr="00C65707">
        <w:rPr>
          <w:b/>
          <w:sz w:val="22"/>
          <w:szCs w:val="22"/>
          <w:u w:val="single"/>
        </w:rPr>
        <w:t>Opis odabranih neželjenih dejstava (intravenska primjena)</w:t>
      </w:r>
      <w:r w:rsidRPr="00C65707">
        <w:rPr>
          <w:b/>
          <w:sz w:val="22"/>
          <w:szCs w:val="22"/>
          <w:u w:val="single"/>
        </w:rPr>
        <w:br/>
      </w:r>
      <w:r w:rsidRPr="00C65707">
        <w:rPr>
          <w:b/>
          <w:i/>
          <w:iCs/>
          <w:sz w:val="22"/>
          <w:szCs w:val="22"/>
          <w:u w:val="single"/>
        </w:rPr>
        <w:t xml:space="preserve">Pacijenti </w:t>
      </w:r>
      <w:r w:rsidR="00D74543" w:rsidRPr="00C65707">
        <w:rPr>
          <w:b/>
          <w:i/>
          <w:iCs/>
          <w:sz w:val="22"/>
          <w:szCs w:val="22"/>
          <w:u w:val="single"/>
        </w:rPr>
        <w:t>s</w:t>
      </w:r>
      <w:r w:rsidRPr="00C65707">
        <w:rPr>
          <w:b/>
          <w:i/>
          <w:iCs/>
          <w:sz w:val="22"/>
          <w:szCs w:val="22"/>
          <w:u w:val="single"/>
        </w:rPr>
        <w:t>a RA</w:t>
      </w:r>
    </w:p>
    <w:p w14:paraId="6D2F3120" w14:textId="11F218C8" w:rsidR="00CC2B31" w:rsidRPr="00C65707" w:rsidRDefault="00CC2B31" w:rsidP="00CE5678">
      <w:pPr>
        <w:widowControl w:val="0"/>
        <w:jc w:val="both"/>
        <w:rPr>
          <w:sz w:val="22"/>
          <w:szCs w:val="22"/>
          <w:lang w:eastAsia="ja-JP"/>
        </w:rPr>
      </w:pPr>
      <w:r w:rsidRPr="00C65707">
        <w:rPr>
          <w:sz w:val="22"/>
          <w:szCs w:val="22"/>
          <w:lang w:eastAsia="ja-JP"/>
        </w:rPr>
        <w:t xml:space="preserve">Bezbjednost primjene </w:t>
      </w:r>
      <w:r w:rsidR="00CE30EF" w:rsidRPr="00C65707">
        <w:rPr>
          <w:sz w:val="22"/>
          <w:szCs w:val="22"/>
        </w:rPr>
        <w:t>tocilizumab</w:t>
      </w:r>
      <w:r w:rsidRPr="00C65707">
        <w:rPr>
          <w:sz w:val="22"/>
          <w:szCs w:val="22"/>
          <w:lang w:eastAsia="ja-JP"/>
        </w:rPr>
        <w:t>a ispitivana je u 5 dvostruko slijepih kontrolisanih studija faze III i njihovim ekstenzijama.</w:t>
      </w:r>
    </w:p>
    <w:p w14:paraId="467C8AD1" w14:textId="77777777" w:rsidR="00CC2B31" w:rsidRPr="00C65707" w:rsidRDefault="00CC2B31" w:rsidP="00CE5678">
      <w:pPr>
        <w:widowControl w:val="0"/>
        <w:jc w:val="both"/>
        <w:rPr>
          <w:sz w:val="22"/>
          <w:szCs w:val="22"/>
          <w:lang w:eastAsia="ja-JP"/>
        </w:rPr>
      </w:pPr>
    </w:p>
    <w:p w14:paraId="32E646DF" w14:textId="06A8D092" w:rsidR="00CC2B31" w:rsidRPr="00C65707" w:rsidRDefault="00CC2B31" w:rsidP="00CE5678">
      <w:pPr>
        <w:widowControl w:val="0"/>
        <w:jc w:val="both"/>
        <w:rPr>
          <w:sz w:val="22"/>
          <w:szCs w:val="22"/>
          <w:lang w:eastAsia="ja-JP"/>
        </w:rPr>
      </w:pPr>
      <w:r w:rsidRPr="00C65707">
        <w:rPr>
          <w:sz w:val="22"/>
          <w:szCs w:val="22"/>
          <w:lang w:eastAsia="ja-JP"/>
        </w:rPr>
        <w:t>Kontrolisana populacija uključivala je pacijente iz dvostruko slijepe faze svake osnovne studije od perioda randomizacije do prve prom</w:t>
      </w:r>
      <w:r w:rsidR="002B1BAB">
        <w:rPr>
          <w:sz w:val="22"/>
          <w:szCs w:val="22"/>
          <w:lang w:eastAsia="ja-JP"/>
        </w:rPr>
        <w:t>j</w:t>
      </w:r>
      <w:r w:rsidRPr="00C65707">
        <w:rPr>
          <w:sz w:val="22"/>
          <w:szCs w:val="22"/>
          <w:lang w:eastAsia="ja-JP"/>
        </w:rPr>
        <w:t>ene režima liječenja ili do kraja dvogodišnjeg perioda. Kontrolisani period u 4 studije je trajao 6 mjeseci</w:t>
      </w:r>
      <w:r w:rsidR="002B1BAB">
        <w:rPr>
          <w:sz w:val="22"/>
          <w:szCs w:val="22"/>
          <w:lang w:eastAsia="ja-JP"/>
        </w:rPr>
        <w:t>,</w:t>
      </w:r>
      <w:r w:rsidRPr="00C65707">
        <w:rPr>
          <w:sz w:val="22"/>
          <w:szCs w:val="22"/>
          <w:lang w:eastAsia="ja-JP"/>
        </w:rPr>
        <w:t xml:space="preserve"> dok je u 1 studiji to bilo do 2 godine. U dvostrukom slijepim kontrolisanim studijama 774 pacijenata primalo je </w:t>
      </w:r>
      <w:r w:rsidR="00CE30EF" w:rsidRPr="00C65707">
        <w:rPr>
          <w:sz w:val="22"/>
          <w:szCs w:val="22"/>
        </w:rPr>
        <w:t>tocilizumab</w:t>
      </w:r>
      <w:r w:rsidRPr="00C65707">
        <w:rPr>
          <w:sz w:val="22"/>
          <w:szCs w:val="22"/>
          <w:lang w:eastAsia="ja-JP"/>
        </w:rPr>
        <w:t xml:space="preserve"> u dozi od 4 mg/kg u kombinaciji sa MTX</w:t>
      </w:r>
      <w:r w:rsidR="00CE30EF" w:rsidRPr="00C65707">
        <w:rPr>
          <w:sz w:val="22"/>
          <w:szCs w:val="22"/>
          <w:lang w:eastAsia="ja-JP"/>
        </w:rPr>
        <w:t>-om</w:t>
      </w:r>
      <w:r w:rsidRPr="00C65707">
        <w:rPr>
          <w:sz w:val="22"/>
          <w:szCs w:val="22"/>
          <w:lang w:eastAsia="ja-JP"/>
        </w:rPr>
        <w:t>, 1870 pacijenata primilo je tocilizumab u dozi od 8 mg/kg u kombinac</w:t>
      </w:r>
      <w:r w:rsidR="00CE30EF" w:rsidRPr="00C65707">
        <w:rPr>
          <w:sz w:val="22"/>
          <w:szCs w:val="22"/>
          <w:lang w:eastAsia="ja-JP"/>
        </w:rPr>
        <w:t>i</w:t>
      </w:r>
      <w:r w:rsidRPr="00C65707">
        <w:rPr>
          <w:sz w:val="22"/>
          <w:szCs w:val="22"/>
          <w:lang w:eastAsia="ja-JP"/>
        </w:rPr>
        <w:t>ji sa MTX</w:t>
      </w:r>
      <w:r w:rsidR="00CE30EF" w:rsidRPr="00C65707">
        <w:rPr>
          <w:sz w:val="22"/>
          <w:szCs w:val="22"/>
          <w:lang w:eastAsia="ja-JP"/>
        </w:rPr>
        <w:t>-om</w:t>
      </w:r>
      <w:r w:rsidRPr="00C65707">
        <w:rPr>
          <w:sz w:val="22"/>
          <w:szCs w:val="22"/>
          <w:lang w:eastAsia="ja-JP"/>
        </w:rPr>
        <w:t xml:space="preserve">/drugim antireumatskim ljekovima koji menjaju tok bolesti (DMARD), dok je 288 pacijenata primilo </w:t>
      </w:r>
      <w:r w:rsidRPr="00C65707">
        <w:rPr>
          <w:sz w:val="22"/>
          <w:szCs w:val="22"/>
          <w:lang w:eastAsia="ja-JP"/>
        </w:rPr>
        <w:lastRenderedPageBreak/>
        <w:t>tocilizumab u dozi od 8 mg/kg kao monoterapiju.</w:t>
      </w:r>
    </w:p>
    <w:p w14:paraId="4739B5C6" w14:textId="77777777" w:rsidR="00CC2B31" w:rsidRPr="00C65707" w:rsidRDefault="00CC2B31" w:rsidP="00CE5678">
      <w:pPr>
        <w:widowControl w:val="0"/>
        <w:jc w:val="both"/>
        <w:rPr>
          <w:sz w:val="22"/>
          <w:szCs w:val="22"/>
          <w:lang w:eastAsia="ja-JP"/>
        </w:rPr>
      </w:pPr>
    </w:p>
    <w:p w14:paraId="0BFF41D4" w14:textId="2501C599" w:rsidR="00CC2B31" w:rsidRPr="00C65707" w:rsidRDefault="00CC2B31" w:rsidP="00CE5678">
      <w:pPr>
        <w:widowControl w:val="0"/>
        <w:jc w:val="both"/>
        <w:rPr>
          <w:sz w:val="22"/>
          <w:szCs w:val="22"/>
          <w:lang w:eastAsia="ja-JP"/>
        </w:rPr>
      </w:pPr>
      <w:r w:rsidRPr="00C65707">
        <w:rPr>
          <w:sz w:val="22"/>
          <w:szCs w:val="22"/>
          <w:lang w:eastAsia="ja-JP"/>
        </w:rPr>
        <w:t xml:space="preserve">Ukupna izloženost populacije obuhvata sve pacijente koji su primili najmanje jednu dozu </w:t>
      </w:r>
      <w:r w:rsidR="00CE30EF" w:rsidRPr="00C65707">
        <w:rPr>
          <w:sz w:val="22"/>
          <w:szCs w:val="22"/>
        </w:rPr>
        <w:t>tocilizumaba</w:t>
      </w:r>
      <w:r w:rsidRPr="00C65707">
        <w:rPr>
          <w:sz w:val="22"/>
          <w:szCs w:val="22"/>
          <w:lang w:eastAsia="ja-JP"/>
        </w:rPr>
        <w:t xml:space="preserve"> bilo u dvostruko slijepom kontrolisanom periodu ili otvorenoj produženoj fazi ispitivanja. Od 4009 pacijenata u toj populaciji, 3577 je liječeno najmanje 6 mjeseci, 3296 najmanje jednu godinu, 2806 liječeno je najmanje 2 godine i 1222 liječeno je 3 godine.</w:t>
      </w:r>
    </w:p>
    <w:p w14:paraId="3825D811" w14:textId="77777777" w:rsidR="00CC2B31" w:rsidRPr="00C65707" w:rsidRDefault="00CC2B31" w:rsidP="00C65707">
      <w:pPr>
        <w:pStyle w:val="Header"/>
        <w:widowControl w:val="0"/>
        <w:tabs>
          <w:tab w:val="left" w:pos="284"/>
        </w:tabs>
        <w:jc w:val="both"/>
        <w:rPr>
          <w:i/>
          <w:sz w:val="22"/>
          <w:szCs w:val="22"/>
        </w:rPr>
      </w:pPr>
    </w:p>
    <w:p w14:paraId="1EDED254" w14:textId="77777777" w:rsidR="00CC2B31" w:rsidRPr="00C65707" w:rsidRDefault="00CC2B31" w:rsidP="002B3647">
      <w:pPr>
        <w:pStyle w:val="Header"/>
        <w:widowControl w:val="0"/>
        <w:tabs>
          <w:tab w:val="left" w:pos="284"/>
        </w:tabs>
        <w:jc w:val="both"/>
        <w:rPr>
          <w:i/>
          <w:sz w:val="22"/>
          <w:szCs w:val="22"/>
          <w:u w:val="single"/>
        </w:rPr>
      </w:pPr>
      <w:r w:rsidRPr="00C65707">
        <w:rPr>
          <w:i/>
          <w:sz w:val="22"/>
          <w:szCs w:val="22"/>
          <w:u w:val="single"/>
        </w:rPr>
        <w:t>Infekcije</w:t>
      </w:r>
    </w:p>
    <w:p w14:paraId="6537A54C" w14:textId="4AED641B" w:rsidR="00CC2B31" w:rsidRPr="00C65707" w:rsidRDefault="00CC2B31">
      <w:pPr>
        <w:pStyle w:val="Header"/>
        <w:widowControl w:val="0"/>
        <w:tabs>
          <w:tab w:val="left" w:pos="284"/>
        </w:tabs>
        <w:jc w:val="both"/>
        <w:rPr>
          <w:sz w:val="22"/>
          <w:szCs w:val="22"/>
        </w:rPr>
      </w:pPr>
      <w:r w:rsidRPr="00C65707">
        <w:rPr>
          <w:sz w:val="22"/>
          <w:szCs w:val="22"/>
        </w:rPr>
        <w:t xml:space="preserve">U šestomjesečnim kontrolisanim studijama stopa svih infekcija zabilježenih tokom liječenja </w:t>
      </w:r>
      <w:r w:rsidR="00CE30EF" w:rsidRPr="00C65707">
        <w:rPr>
          <w:sz w:val="22"/>
          <w:szCs w:val="22"/>
        </w:rPr>
        <w:t>tocilizumabom u dozi od</w:t>
      </w:r>
      <w:r w:rsidRPr="00C65707">
        <w:rPr>
          <w:sz w:val="22"/>
          <w:szCs w:val="22"/>
        </w:rPr>
        <w:t xml:space="preserve"> 8 mg/kg </w:t>
      </w:r>
      <w:r w:rsidR="00CE30EF" w:rsidRPr="00C65707">
        <w:rPr>
          <w:sz w:val="22"/>
          <w:szCs w:val="22"/>
        </w:rPr>
        <w:t>u kombinaciji s</w:t>
      </w:r>
      <w:r w:rsidRPr="00C65707">
        <w:rPr>
          <w:sz w:val="22"/>
          <w:szCs w:val="22"/>
        </w:rPr>
        <w:t xml:space="preserve"> DMARD</w:t>
      </w:r>
      <w:r w:rsidR="00CE30EF" w:rsidRPr="00C65707">
        <w:rPr>
          <w:sz w:val="22"/>
          <w:szCs w:val="22"/>
        </w:rPr>
        <w:t>-om</w:t>
      </w:r>
      <w:r w:rsidRPr="00C65707">
        <w:rPr>
          <w:sz w:val="22"/>
          <w:szCs w:val="22"/>
        </w:rPr>
        <w:t xml:space="preserve"> iznosila je 127 događaja na 100 pacijent godina, u poređenju sa 112 događaja na 100 </w:t>
      </w:r>
      <w:r w:rsidR="00CE30EF" w:rsidRPr="00C65707">
        <w:rPr>
          <w:sz w:val="22"/>
          <w:szCs w:val="22"/>
        </w:rPr>
        <w:t>pacijent-</w:t>
      </w:r>
      <w:r w:rsidRPr="00C65707">
        <w:rPr>
          <w:sz w:val="22"/>
          <w:szCs w:val="22"/>
        </w:rPr>
        <w:t xml:space="preserve">godina u grupi koja je primala placebo </w:t>
      </w:r>
      <w:r w:rsidR="00CE30EF" w:rsidRPr="00C65707">
        <w:rPr>
          <w:sz w:val="22"/>
          <w:szCs w:val="22"/>
        </w:rPr>
        <w:t xml:space="preserve">i </w:t>
      </w:r>
      <w:r w:rsidRPr="00C65707">
        <w:rPr>
          <w:sz w:val="22"/>
          <w:szCs w:val="22"/>
        </w:rPr>
        <w:t xml:space="preserve">DMARD. U dugoročnim otvorenim produžecima studija, stopa infekcija u grupi koja je primala </w:t>
      </w:r>
      <w:r w:rsidR="00CE30EF" w:rsidRPr="00C65707">
        <w:rPr>
          <w:sz w:val="22"/>
          <w:szCs w:val="22"/>
        </w:rPr>
        <w:t>tocilizumab</w:t>
      </w:r>
      <w:r w:rsidRPr="00C65707">
        <w:rPr>
          <w:sz w:val="22"/>
          <w:szCs w:val="22"/>
        </w:rPr>
        <w:t xml:space="preserve"> </w:t>
      </w:r>
      <w:r w:rsidR="00CE30EF" w:rsidRPr="00C65707">
        <w:rPr>
          <w:sz w:val="22"/>
          <w:szCs w:val="22"/>
        </w:rPr>
        <w:t xml:space="preserve">i </w:t>
      </w:r>
      <w:r w:rsidRPr="00C65707">
        <w:rPr>
          <w:sz w:val="22"/>
          <w:szCs w:val="22"/>
        </w:rPr>
        <w:t xml:space="preserve">DMARD iznosila je 108 događaja na izlaganje od 100 </w:t>
      </w:r>
      <w:r w:rsidR="00CE30EF" w:rsidRPr="00C65707">
        <w:rPr>
          <w:sz w:val="22"/>
          <w:szCs w:val="22"/>
        </w:rPr>
        <w:t>pacijent-</w:t>
      </w:r>
      <w:r w:rsidRPr="00C65707">
        <w:rPr>
          <w:sz w:val="22"/>
          <w:szCs w:val="22"/>
        </w:rPr>
        <w:t>godina.</w:t>
      </w:r>
    </w:p>
    <w:p w14:paraId="22CD4B13" w14:textId="77777777" w:rsidR="00CC2B31" w:rsidRPr="00C65707" w:rsidRDefault="00CC2B31">
      <w:pPr>
        <w:pStyle w:val="Header"/>
        <w:widowControl w:val="0"/>
        <w:tabs>
          <w:tab w:val="left" w:pos="284"/>
        </w:tabs>
        <w:jc w:val="both"/>
        <w:rPr>
          <w:sz w:val="22"/>
          <w:szCs w:val="22"/>
        </w:rPr>
      </w:pPr>
    </w:p>
    <w:p w14:paraId="38C5D20C" w14:textId="15562D96" w:rsidR="00CC2B31" w:rsidRPr="00C65707" w:rsidRDefault="00CC2B31">
      <w:pPr>
        <w:pStyle w:val="Header"/>
        <w:widowControl w:val="0"/>
        <w:tabs>
          <w:tab w:val="left" w:pos="284"/>
        </w:tabs>
        <w:jc w:val="both"/>
        <w:rPr>
          <w:sz w:val="22"/>
          <w:szCs w:val="22"/>
        </w:rPr>
      </w:pPr>
      <w:r w:rsidRPr="00C65707">
        <w:rPr>
          <w:sz w:val="22"/>
          <w:szCs w:val="22"/>
        </w:rPr>
        <w:t xml:space="preserve">U šestomjesečnim kontrolisanim kliničkim studijama stopa ozbiljnih infekcija sa </w:t>
      </w:r>
      <w:r w:rsidR="00CE30EF" w:rsidRPr="00C65707">
        <w:rPr>
          <w:sz w:val="22"/>
          <w:szCs w:val="22"/>
        </w:rPr>
        <w:t>tocilizumabom</w:t>
      </w:r>
      <w:r w:rsidRPr="00C65707">
        <w:rPr>
          <w:sz w:val="22"/>
          <w:szCs w:val="22"/>
        </w:rPr>
        <w:t xml:space="preserve"> </w:t>
      </w:r>
      <w:r w:rsidR="00CE30EF" w:rsidRPr="00C65707">
        <w:rPr>
          <w:sz w:val="22"/>
          <w:szCs w:val="22"/>
        </w:rPr>
        <w:t xml:space="preserve">u dozi od </w:t>
      </w:r>
      <w:r w:rsidRPr="00C65707">
        <w:rPr>
          <w:sz w:val="22"/>
          <w:szCs w:val="22"/>
        </w:rPr>
        <w:t xml:space="preserve">8 mg/kg </w:t>
      </w:r>
      <w:r w:rsidR="00CE30EF" w:rsidRPr="00C65707">
        <w:rPr>
          <w:sz w:val="22"/>
          <w:szCs w:val="22"/>
        </w:rPr>
        <w:t>u kombinaciji sa</w:t>
      </w:r>
      <w:r w:rsidRPr="00C65707">
        <w:rPr>
          <w:sz w:val="22"/>
          <w:szCs w:val="22"/>
        </w:rPr>
        <w:t xml:space="preserve"> DMARD</w:t>
      </w:r>
      <w:r w:rsidR="00CE30EF" w:rsidRPr="00C65707">
        <w:rPr>
          <w:sz w:val="22"/>
          <w:szCs w:val="22"/>
        </w:rPr>
        <w:t>-om</w:t>
      </w:r>
      <w:r w:rsidRPr="00C65707">
        <w:rPr>
          <w:sz w:val="22"/>
          <w:szCs w:val="22"/>
        </w:rPr>
        <w:t xml:space="preserve"> iznosila je 5,3 događaja na izlaganje od 100 </w:t>
      </w:r>
      <w:r w:rsidR="00CE30EF" w:rsidRPr="00C65707">
        <w:rPr>
          <w:sz w:val="22"/>
          <w:szCs w:val="22"/>
        </w:rPr>
        <w:t>pacijent-</w:t>
      </w:r>
      <w:r w:rsidRPr="00C65707">
        <w:rPr>
          <w:sz w:val="22"/>
          <w:szCs w:val="22"/>
        </w:rPr>
        <w:t>godina u poređenju sa 3,9 događaja na izlaganj</w:t>
      </w:r>
      <w:r w:rsidR="00CE30EF" w:rsidRPr="00C65707">
        <w:rPr>
          <w:sz w:val="22"/>
          <w:szCs w:val="22"/>
        </w:rPr>
        <w:t>u</w:t>
      </w:r>
      <w:r w:rsidRPr="00C65707">
        <w:rPr>
          <w:sz w:val="22"/>
          <w:szCs w:val="22"/>
        </w:rPr>
        <w:t xml:space="preserve"> od 100 pacijent</w:t>
      </w:r>
      <w:r w:rsidR="00CE30EF" w:rsidRPr="00C65707">
        <w:rPr>
          <w:sz w:val="22"/>
          <w:szCs w:val="22"/>
        </w:rPr>
        <w:t>-</w:t>
      </w:r>
      <w:r w:rsidRPr="00C65707">
        <w:rPr>
          <w:sz w:val="22"/>
          <w:szCs w:val="22"/>
        </w:rPr>
        <w:t xml:space="preserve">godina u grupi koja je primala placebo </w:t>
      </w:r>
      <w:r w:rsidR="00CE30EF" w:rsidRPr="00C65707">
        <w:rPr>
          <w:sz w:val="22"/>
          <w:szCs w:val="22"/>
        </w:rPr>
        <w:t xml:space="preserve">i </w:t>
      </w:r>
      <w:r w:rsidRPr="00C65707">
        <w:rPr>
          <w:sz w:val="22"/>
          <w:szCs w:val="22"/>
        </w:rPr>
        <w:t xml:space="preserve">DMARD. U ispitivanjima sa monoterapijom stopa ozbiljnih infekcija iznosila je 3,6 događaja na izlaganje od 100 </w:t>
      </w:r>
      <w:r w:rsidR="00CE30EF" w:rsidRPr="00C65707">
        <w:rPr>
          <w:sz w:val="22"/>
          <w:szCs w:val="22"/>
        </w:rPr>
        <w:t>pacijent-</w:t>
      </w:r>
      <w:r w:rsidRPr="00C65707">
        <w:rPr>
          <w:sz w:val="22"/>
          <w:szCs w:val="22"/>
        </w:rPr>
        <w:t xml:space="preserve">godina u grupi koja je primala </w:t>
      </w:r>
      <w:r w:rsidR="00CE30EF" w:rsidRPr="00C65707">
        <w:rPr>
          <w:sz w:val="22"/>
          <w:szCs w:val="22"/>
        </w:rPr>
        <w:t>tocilizumab</w:t>
      </w:r>
      <w:r w:rsidRPr="00C65707">
        <w:rPr>
          <w:sz w:val="22"/>
          <w:szCs w:val="22"/>
        </w:rPr>
        <w:t xml:space="preserve">, a 1,5 događaja na izlaganje od 100 </w:t>
      </w:r>
      <w:r w:rsidR="00CE30EF" w:rsidRPr="00C65707">
        <w:rPr>
          <w:sz w:val="22"/>
          <w:szCs w:val="22"/>
        </w:rPr>
        <w:t>pacijent-</w:t>
      </w:r>
      <w:r w:rsidRPr="00C65707">
        <w:rPr>
          <w:sz w:val="22"/>
          <w:szCs w:val="22"/>
        </w:rPr>
        <w:t xml:space="preserve">godina u grupi koja je primala MTX. </w:t>
      </w:r>
    </w:p>
    <w:p w14:paraId="1817EE67" w14:textId="77777777" w:rsidR="00CC2B31" w:rsidRPr="00C65707" w:rsidRDefault="00CC2B31">
      <w:pPr>
        <w:pStyle w:val="Header"/>
        <w:widowControl w:val="0"/>
        <w:tabs>
          <w:tab w:val="left" w:pos="284"/>
        </w:tabs>
        <w:jc w:val="both"/>
        <w:rPr>
          <w:sz w:val="22"/>
          <w:szCs w:val="22"/>
        </w:rPr>
      </w:pPr>
    </w:p>
    <w:p w14:paraId="6921A94D" w14:textId="75E328EC" w:rsidR="00CC2B31" w:rsidRPr="00C65707" w:rsidRDefault="00CC2B31">
      <w:pPr>
        <w:pStyle w:val="Header"/>
        <w:widowControl w:val="0"/>
        <w:tabs>
          <w:tab w:val="left" w:pos="284"/>
        </w:tabs>
        <w:jc w:val="both"/>
        <w:rPr>
          <w:sz w:val="22"/>
          <w:szCs w:val="22"/>
          <w:lang w:eastAsia="ja-JP"/>
        </w:rPr>
      </w:pPr>
      <w:r w:rsidRPr="00C65707">
        <w:rPr>
          <w:sz w:val="22"/>
          <w:szCs w:val="22"/>
          <w:lang w:eastAsia="ja-JP"/>
        </w:rPr>
        <w:t xml:space="preserve">U </w:t>
      </w:r>
      <w:r w:rsidR="00CE30EF" w:rsidRPr="00C65707">
        <w:rPr>
          <w:sz w:val="22"/>
          <w:szCs w:val="22"/>
          <w:lang w:eastAsia="ja-JP"/>
        </w:rPr>
        <w:t xml:space="preserve">sveobuhvatno </w:t>
      </w:r>
      <w:r w:rsidRPr="00C65707">
        <w:rPr>
          <w:sz w:val="22"/>
          <w:szCs w:val="22"/>
          <w:lang w:eastAsia="ja-JP"/>
        </w:rPr>
        <w:t>izloženoj populaciji sukupna stopa ozbiljnih infekcija iznosila je 4.7 infekcija na 100 pacijent-godina izloženosti. Među prijavljenim ozbiljnim infekcijama, od kojih su neke imale smrtni ishod</w:t>
      </w:r>
      <w:r w:rsidR="00CE30EF" w:rsidRPr="00C65707">
        <w:rPr>
          <w:sz w:val="22"/>
          <w:szCs w:val="22"/>
          <w:lang w:eastAsia="ja-JP"/>
        </w:rPr>
        <w:t>,</w:t>
      </w:r>
      <w:r w:rsidRPr="00C65707">
        <w:rPr>
          <w:sz w:val="22"/>
          <w:szCs w:val="22"/>
          <w:lang w:eastAsia="ja-JP"/>
        </w:rPr>
        <w:t xml:space="preserve"> bile su pneumonija, celulitis, herpes zoster, gastroenteritis, divertikulitis, sepsa i bakterijski artritis. Prijavljeni su i slučajevi oportunističkih infekcija.</w:t>
      </w:r>
    </w:p>
    <w:p w14:paraId="4B68DE8A" w14:textId="77777777" w:rsidR="00CC2B31" w:rsidRPr="00C65707" w:rsidRDefault="00CC2B31">
      <w:pPr>
        <w:pStyle w:val="Header"/>
        <w:widowControl w:val="0"/>
        <w:tabs>
          <w:tab w:val="left" w:pos="284"/>
        </w:tabs>
        <w:jc w:val="both"/>
        <w:rPr>
          <w:sz w:val="22"/>
          <w:szCs w:val="22"/>
        </w:rPr>
      </w:pPr>
    </w:p>
    <w:p w14:paraId="112E3FBC" w14:textId="77777777" w:rsidR="00CC2B31" w:rsidRPr="00C65707" w:rsidRDefault="00CC2B31">
      <w:pPr>
        <w:widowControl w:val="0"/>
        <w:jc w:val="both"/>
        <w:rPr>
          <w:i/>
          <w:sz w:val="22"/>
          <w:szCs w:val="22"/>
          <w:u w:val="single"/>
        </w:rPr>
      </w:pPr>
      <w:r w:rsidRPr="00C65707">
        <w:rPr>
          <w:i/>
          <w:sz w:val="22"/>
          <w:szCs w:val="22"/>
          <w:u w:val="single"/>
        </w:rPr>
        <w:t>Intersticijska bolest pluća</w:t>
      </w:r>
    </w:p>
    <w:p w14:paraId="364FBC7B" w14:textId="77777777" w:rsidR="00CC2B31" w:rsidRPr="00C65707" w:rsidRDefault="00CC2B31">
      <w:pPr>
        <w:widowControl w:val="0"/>
        <w:jc w:val="both"/>
        <w:rPr>
          <w:sz w:val="22"/>
          <w:szCs w:val="22"/>
        </w:rPr>
      </w:pPr>
      <w:r w:rsidRPr="00C65707">
        <w:rPr>
          <w:sz w:val="22"/>
          <w:szCs w:val="22"/>
        </w:rPr>
        <w:t>Oštećena funkcija pluća može povećati rizik od razvoja infekcija. Nakon stavljanja lijeka u promet prijavljeni su slučajevi intersticijske bolesti pluća (uključujući pneumonitis i pulmonalnu fibrozu), od kojih su neki imali smrtni ishod.</w:t>
      </w:r>
    </w:p>
    <w:p w14:paraId="2BFE8277" w14:textId="77777777" w:rsidR="00CC2B31" w:rsidRPr="00C65707" w:rsidRDefault="00CC2B31">
      <w:pPr>
        <w:pStyle w:val="Header"/>
        <w:widowControl w:val="0"/>
        <w:tabs>
          <w:tab w:val="left" w:pos="284"/>
        </w:tabs>
        <w:ind w:left="-110"/>
        <w:jc w:val="both"/>
        <w:rPr>
          <w:sz w:val="22"/>
          <w:szCs w:val="22"/>
        </w:rPr>
      </w:pPr>
    </w:p>
    <w:p w14:paraId="5DDFE984" w14:textId="77777777" w:rsidR="00CC2B31" w:rsidRPr="00C65707" w:rsidRDefault="00CC2B31">
      <w:pPr>
        <w:widowControl w:val="0"/>
        <w:jc w:val="both"/>
        <w:rPr>
          <w:i/>
          <w:sz w:val="22"/>
          <w:szCs w:val="22"/>
          <w:u w:val="single"/>
        </w:rPr>
      </w:pPr>
      <w:r w:rsidRPr="00C65707">
        <w:rPr>
          <w:i/>
          <w:sz w:val="22"/>
          <w:szCs w:val="22"/>
          <w:u w:val="single"/>
        </w:rPr>
        <w:t>Gastrointestinalne perforacije</w:t>
      </w:r>
    </w:p>
    <w:p w14:paraId="720E686F" w14:textId="42E67737" w:rsidR="00CC2B31" w:rsidRPr="00C65707" w:rsidRDefault="00CC2B31">
      <w:pPr>
        <w:widowControl w:val="0"/>
        <w:jc w:val="both"/>
        <w:rPr>
          <w:sz w:val="22"/>
          <w:szCs w:val="22"/>
        </w:rPr>
      </w:pPr>
      <w:r w:rsidRPr="00C65707">
        <w:rPr>
          <w:sz w:val="22"/>
          <w:szCs w:val="22"/>
        </w:rPr>
        <w:t xml:space="preserve">Tokom 6 mjeseci kontrolisanih kliničkih ispitivanja ukupna stopa perforacija u probavnom sistemu bila je 0,26 na 100 pacijenata-godina izloženosti terapiji </w:t>
      </w:r>
      <w:r w:rsidR="00CE30EF" w:rsidRPr="00C65707">
        <w:rPr>
          <w:sz w:val="22"/>
          <w:szCs w:val="22"/>
        </w:rPr>
        <w:t>tocilizumabom</w:t>
      </w:r>
      <w:r w:rsidRPr="00C65707">
        <w:rPr>
          <w:sz w:val="22"/>
          <w:szCs w:val="22"/>
        </w:rPr>
        <w:t xml:space="preserve">. U populaciji sa dugotrajnom izloženošću ukupna stopa perforacija u probavnom sistemu bila je 0,28 na 100 pacijenata-godina izloženosti. Slučajevi perforacije u probavnom sistemu pri liječenju </w:t>
      </w:r>
      <w:r w:rsidR="00CE30EF" w:rsidRPr="00C65707">
        <w:rPr>
          <w:sz w:val="22"/>
          <w:szCs w:val="22"/>
        </w:rPr>
        <w:t>tocilizumabom</w:t>
      </w:r>
      <w:r w:rsidRPr="00C65707">
        <w:rPr>
          <w:sz w:val="22"/>
          <w:szCs w:val="22"/>
        </w:rPr>
        <w:t xml:space="preserve"> bili su u prvom redu prijavljeni kao komplikacije divertikulitisa, uključujući generalizovani purulentni peritonitis, perforacije donjeg dijela gastrointestinalnog sistema, fistule i apsces. </w:t>
      </w:r>
    </w:p>
    <w:p w14:paraId="2DC9515A" w14:textId="77777777" w:rsidR="00CC2B31" w:rsidRPr="00C65707" w:rsidRDefault="00CC2B31">
      <w:pPr>
        <w:pStyle w:val="Header"/>
        <w:widowControl w:val="0"/>
        <w:tabs>
          <w:tab w:val="left" w:pos="284"/>
        </w:tabs>
        <w:jc w:val="both"/>
        <w:rPr>
          <w:sz w:val="22"/>
          <w:szCs w:val="22"/>
        </w:rPr>
      </w:pPr>
    </w:p>
    <w:p w14:paraId="1F42BA3F" w14:textId="77777777" w:rsidR="00CC2B31" w:rsidRPr="00C65707" w:rsidRDefault="00CC2B31">
      <w:pPr>
        <w:pStyle w:val="Header"/>
        <w:widowControl w:val="0"/>
        <w:tabs>
          <w:tab w:val="left" w:pos="284"/>
        </w:tabs>
        <w:jc w:val="both"/>
        <w:rPr>
          <w:i/>
          <w:sz w:val="22"/>
          <w:szCs w:val="22"/>
          <w:u w:val="single"/>
        </w:rPr>
      </w:pPr>
      <w:r w:rsidRPr="00C65707">
        <w:rPr>
          <w:i/>
          <w:sz w:val="22"/>
          <w:szCs w:val="22"/>
          <w:u w:val="single"/>
        </w:rPr>
        <w:t xml:space="preserve">Reakcije </w:t>
      </w:r>
      <w:r w:rsidR="00421653" w:rsidRPr="00C65707">
        <w:rPr>
          <w:i/>
          <w:sz w:val="22"/>
          <w:szCs w:val="22"/>
          <w:u w:val="single"/>
        </w:rPr>
        <w:t>povezane sa infuzijom</w:t>
      </w:r>
    </w:p>
    <w:p w14:paraId="5DEFC07A" w14:textId="430A09B5" w:rsidR="00CC2B31" w:rsidRPr="00C65707" w:rsidRDefault="00CC2B31">
      <w:pPr>
        <w:pStyle w:val="Header"/>
        <w:widowControl w:val="0"/>
        <w:tabs>
          <w:tab w:val="left" w:pos="284"/>
        </w:tabs>
        <w:jc w:val="both"/>
        <w:rPr>
          <w:sz w:val="22"/>
          <w:szCs w:val="22"/>
        </w:rPr>
      </w:pPr>
      <w:r w:rsidRPr="00C65707">
        <w:rPr>
          <w:sz w:val="22"/>
          <w:szCs w:val="22"/>
        </w:rPr>
        <w:t>Tokom šest mjeseci kontrolisanih ispitivanja neželjeni događaji povezani sa infuzijom (odabrani događaji koji se javljaju tokom ili u roku od 24 časa po davanju infuzije) zabilježeni su kod 6,9% pacijenata koji su primali tocilizumab 8 mg/kg plus DMARD, odnosno kod 5,1% pacijenata koji su primali placebo plus DMARD. Događaji zabilježeni tokom infuzije prvenstveno su bili epizode hipertenzije; događaji zabilježeni u roku od 24 časa po okončanju infuzije uglavnom su uključivali glavobolju i reakcije na koži (ospa, urtikarija). Ovi događaji ni</w:t>
      </w:r>
      <w:r w:rsidR="000A085D" w:rsidRPr="00C65707">
        <w:rPr>
          <w:sz w:val="22"/>
          <w:szCs w:val="22"/>
        </w:rPr>
        <w:t>je</w:t>
      </w:r>
      <w:r w:rsidRPr="00C65707">
        <w:rPr>
          <w:sz w:val="22"/>
          <w:szCs w:val="22"/>
        </w:rPr>
        <w:t>su ograničavali terapiju.</w:t>
      </w:r>
    </w:p>
    <w:p w14:paraId="51B7EDFF" w14:textId="77777777" w:rsidR="00CC2B31" w:rsidRPr="00C65707" w:rsidRDefault="00CC2B31">
      <w:pPr>
        <w:pStyle w:val="Header"/>
        <w:widowControl w:val="0"/>
        <w:tabs>
          <w:tab w:val="left" w:pos="284"/>
        </w:tabs>
        <w:jc w:val="both"/>
        <w:rPr>
          <w:sz w:val="22"/>
          <w:szCs w:val="22"/>
        </w:rPr>
      </w:pPr>
    </w:p>
    <w:p w14:paraId="18323C23" w14:textId="4F23199F" w:rsidR="00CC2B31" w:rsidRPr="00C65707" w:rsidRDefault="00CC2B31">
      <w:pPr>
        <w:pStyle w:val="BodyText"/>
        <w:widowControl w:val="0"/>
        <w:spacing w:after="0"/>
        <w:jc w:val="both"/>
        <w:rPr>
          <w:noProof w:val="0"/>
          <w:sz w:val="22"/>
          <w:szCs w:val="22"/>
        </w:rPr>
      </w:pPr>
      <w:r w:rsidRPr="00C65707">
        <w:rPr>
          <w:noProof w:val="0"/>
          <w:sz w:val="22"/>
          <w:szCs w:val="22"/>
        </w:rPr>
        <w:t xml:space="preserve">Stopa anafilaktičkih reakcija (koje su se javile kod 6/3778 pacijenata, 0,2%) bila je nekoliko puta veća sa dozom od 4 mg/kg, nego sa dozom od 8 mg/kg. Klinički značajne reakcije preosjetljivosti povezane sa davanjem </w:t>
      </w:r>
      <w:r w:rsidR="00EB372D" w:rsidRPr="00C65707">
        <w:rPr>
          <w:noProof w:val="0"/>
          <w:sz w:val="22"/>
          <w:szCs w:val="22"/>
        </w:rPr>
        <w:t>tocilizumab</w:t>
      </w:r>
      <w:r w:rsidRPr="00C65707">
        <w:rPr>
          <w:noProof w:val="0"/>
          <w:sz w:val="22"/>
          <w:szCs w:val="22"/>
        </w:rPr>
        <w:t xml:space="preserve">a koje su iziskivale prekid terapije zabilježene su kod ukupno 13 od 3778 pacijenata (0,3%) koji su liječeni </w:t>
      </w:r>
      <w:r w:rsidR="00EB372D" w:rsidRPr="00C65707">
        <w:rPr>
          <w:noProof w:val="0"/>
          <w:sz w:val="22"/>
          <w:szCs w:val="22"/>
        </w:rPr>
        <w:t>tocilizumabom</w:t>
      </w:r>
      <w:r w:rsidRPr="00C65707">
        <w:rPr>
          <w:noProof w:val="0"/>
          <w:sz w:val="22"/>
          <w:szCs w:val="22"/>
        </w:rPr>
        <w:t xml:space="preserve"> tokom kontrolisanih i otvorenih kliničkih ispitivanja. Ove reakcije su se po pravilu javljale tokom druge do pete infuzije tocilizumaba (vidjeti </w:t>
      </w:r>
      <w:r w:rsidR="00107582" w:rsidRPr="00C65707">
        <w:rPr>
          <w:noProof w:val="0"/>
          <w:sz w:val="22"/>
          <w:szCs w:val="22"/>
        </w:rPr>
        <w:t xml:space="preserve">dio </w:t>
      </w:r>
      <w:r w:rsidRPr="00C65707">
        <w:rPr>
          <w:noProof w:val="0"/>
          <w:sz w:val="22"/>
          <w:szCs w:val="22"/>
        </w:rPr>
        <w:t xml:space="preserve">4.4). Prijavljen je slučaj fatalne anafilakse tokom liječenja </w:t>
      </w:r>
      <w:r w:rsidR="00EB372D" w:rsidRPr="00C65707">
        <w:rPr>
          <w:noProof w:val="0"/>
          <w:sz w:val="22"/>
          <w:szCs w:val="22"/>
        </w:rPr>
        <w:t>tocilizumabom</w:t>
      </w:r>
      <w:r w:rsidRPr="00C65707">
        <w:rPr>
          <w:noProof w:val="0"/>
          <w:sz w:val="22"/>
          <w:szCs w:val="22"/>
        </w:rPr>
        <w:t xml:space="preserve"> nakon stavljanja lijeka u promet (vidi </w:t>
      </w:r>
      <w:r w:rsidR="00EB372D" w:rsidRPr="00C65707">
        <w:rPr>
          <w:noProof w:val="0"/>
          <w:sz w:val="22"/>
          <w:szCs w:val="22"/>
        </w:rPr>
        <w:t xml:space="preserve">dio </w:t>
      </w:r>
      <w:r w:rsidRPr="00C65707">
        <w:rPr>
          <w:noProof w:val="0"/>
          <w:sz w:val="22"/>
          <w:szCs w:val="22"/>
        </w:rPr>
        <w:t>4.4).</w:t>
      </w:r>
    </w:p>
    <w:p w14:paraId="50FC79C2" w14:textId="77777777" w:rsidR="009759B0" w:rsidRPr="00C65707" w:rsidRDefault="009759B0">
      <w:pPr>
        <w:pStyle w:val="Header"/>
        <w:widowControl w:val="0"/>
        <w:tabs>
          <w:tab w:val="left" w:pos="284"/>
        </w:tabs>
        <w:jc w:val="both"/>
        <w:rPr>
          <w:i/>
          <w:sz w:val="22"/>
          <w:szCs w:val="22"/>
          <w:u w:val="single"/>
        </w:rPr>
      </w:pPr>
    </w:p>
    <w:p w14:paraId="5A39BECA" w14:textId="0F8734AD" w:rsidR="00CC2B31" w:rsidRPr="00C65707" w:rsidRDefault="00CC2B31">
      <w:pPr>
        <w:pStyle w:val="Header"/>
        <w:widowControl w:val="0"/>
        <w:tabs>
          <w:tab w:val="left" w:pos="284"/>
        </w:tabs>
        <w:jc w:val="both"/>
        <w:rPr>
          <w:i/>
          <w:sz w:val="22"/>
          <w:szCs w:val="22"/>
          <w:u w:val="single"/>
        </w:rPr>
      </w:pPr>
      <w:r w:rsidRPr="00C65707">
        <w:rPr>
          <w:i/>
          <w:sz w:val="22"/>
          <w:szCs w:val="22"/>
          <w:u w:val="single"/>
        </w:rPr>
        <w:t>Imunogenost</w:t>
      </w:r>
    </w:p>
    <w:p w14:paraId="1C575D79" w14:textId="261F7DFA" w:rsidR="00CC2B31" w:rsidRPr="00C65707" w:rsidRDefault="00CC2B31">
      <w:pPr>
        <w:pStyle w:val="Header"/>
        <w:widowControl w:val="0"/>
        <w:tabs>
          <w:tab w:val="left" w:pos="284"/>
        </w:tabs>
        <w:jc w:val="both"/>
        <w:rPr>
          <w:sz w:val="22"/>
          <w:szCs w:val="22"/>
        </w:rPr>
      </w:pPr>
      <w:r w:rsidRPr="00C65707">
        <w:rPr>
          <w:sz w:val="22"/>
          <w:szCs w:val="22"/>
        </w:rPr>
        <w:t xml:space="preserve">U šestomjesečnim kontrolisanim kliničkim studijama, ukupno 2.876 pacijenata je testirano na anti-tocilizumab antitijela. Od 46 pacijenata (1,6%) kod kojih su se razvila anti-tocilizumab antitijela, 6 su </w:t>
      </w:r>
      <w:r w:rsidRPr="00C65707">
        <w:rPr>
          <w:sz w:val="22"/>
          <w:szCs w:val="22"/>
        </w:rPr>
        <w:lastRenderedPageBreak/>
        <w:t>imali povezanu medicinski signifikantnu reakciju preosjetljivosti, od kojih je to kod 5 došlo do trajnog prekida terapije. Kod 30 pacijenata (1,1%) su se razvila neutrališuća antitijela.</w:t>
      </w:r>
    </w:p>
    <w:p w14:paraId="30A7E687" w14:textId="77777777" w:rsidR="00CC2B31" w:rsidRPr="00C65707" w:rsidRDefault="00CC2B31">
      <w:pPr>
        <w:pStyle w:val="Header"/>
        <w:widowControl w:val="0"/>
        <w:tabs>
          <w:tab w:val="left" w:pos="284"/>
        </w:tabs>
        <w:jc w:val="both"/>
        <w:rPr>
          <w:i/>
          <w:sz w:val="22"/>
          <w:szCs w:val="22"/>
          <w:u w:val="single"/>
        </w:rPr>
      </w:pPr>
      <w:r w:rsidRPr="00C65707">
        <w:rPr>
          <w:i/>
          <w:sz w:val="22"/>
          <w:szCs w:val="22"/>
          <w:u w:val="single"/>
        </w:rPr>
        <w:t>Neutrofili</w:t>
      </w:r>
    </w:p>
    <w:p w14:paraId="34438583" w14:textId="27BD52F2" w:rsidR="00CC2B31" w:rsidRPr="00C65707" w:rsidRDefault="00CC2B31">
      <w:pPr>
        <w:pStyle w:val="BodyText"/>
        <w:widowControl w:val="0"/>
        <w:spacing w:after="0"/>
        <w:jc w:val="both"/>
        <w:rPr>
          <w:noProof w:val="0"/>
          <w:sz w:val="22"/>
          <w:szCs w:val="22"/>
        </w:rPr>
      </w:pPr>
      <w:r w:rsidRPr="00C65707">
        <w:rPr>
          <w:noProof w:val="0"/>
          <w:sz w:val="22"/>
          <w:szCs w:val="22"/>
        </w:rPr>
        <w:t>U šestomjesečnim kontrolisanim kliničkim studijama broj neutrofila smanjen na nivo ispod 1 x 10</w:t>
      </w:r>
      <w:r w:rsidRPr="00C65707">
        <w:rPr>
          <w:noProof w:val="0"/>
          <w:sz w:val="22"/>
          <w:szCs w:val="22"/>
          <w:vertAlign w:val="superscript"/>
        </w:rPr>
        <w:t>9</w:t>
      </w:r>
      <w:r w:rsidRPr="00C65707">
        <w:rPr>
          <w:noProof w:val="0"/>
          <w:sz w:val="22"/>
          <w:szCs w:val="22"/>
        </w:rPr>
        <w:t xml:space="preserve">/ l zabilježen je kod 3.4% pacijenata koji su primali </w:t>
      </w:r>
      <w:r w:rsidR="00EB372D" w:rsidRPr="00C65707">
        <w:rPr>
          <w:noProof w:val="0"/>
          <w:sz w:val="22"/>
          <w:szCs w:val="22"/>
        </w:rPr>
        <w:t>tocilizumab u dozi od</w:t>
      </w:r>
      <w:r w:rsidRPr="00C65707">
        <w:rPr>
          <w:noProof w:val="0"/>
          <w:sz w:val="22"/>
          <w:szCs w:val="22"/>
        </w:rPr>
        <w:t xml:space="preserve"> 8 mg/kg </w:t>
      </w:r>
      <w:r w:rsidR="00EB372D" w:rsidRPr="00C65707">
        <w:rPr>
          <w:noProof w:val="0"/>
          <w:sz w:val="22"/>
          <w:szCs w:val="22"/>
        </w:rPr>
        <w:t xml:space="preserve">u kombinaciji sa </w:t>
      </w:r>
      <w:r w:rsidRPr="00C65707">
        <w:rPr>
          <w:noProof w:val="0"/>
          <w:sz w:val="22"/>
          <w:szCs w:val="22"/>
        </w:rPr>
        <w:t>DMARD</w:t>
      </w:r>
      <w:r w:rsidR="00EB372D" w:rsidRPr="00C65707">
        <w:rPr>
          <w:noProof w:val="0"/>
          <w:sz w:val="22"/>
          <w:szCs w:val="22"/>
        </w:rPr>
        <w:t>-om</w:t>
      </w:r>
      <w:r w:rsidRPr="00C65707">
        <w:rPr>
          <w:noProof w:val="0"/>
          <w:sz w:val="22"/>
          <w:szCs w:val="22"/>
        </w:rPr>
        <w:t xml:space="preserve"> u poređenju sa &lt; 0,1% pacijenata koji su primali placebo </w:t>
      </w:r>
      <w:r w:rsidR="00EB372D" w:rsidRPr="00C65707">
        <w:rPr>
          <w:noProof w:val="0"/>
          <w:sz w:val="22"/>
          <w:szCs w:val="22"/>
        </w:rPr>
        <w:t xml:space="preserve">i </w:t>
      </w:r>
      <w:r w:rsidRPr="00C65707">
        <w:rPr>
          <w:noProof w:val="0"/>
          <w:sz w:val="22"/>
          <w:szCs w:val="22"/>
        </w:rPr>
        <w:t xml:space="preserve">DMARD. Približno polovina pacijenata kod kojih je zabilježena vrijednost </w:t>
      </w:r>
      <w:r w:rsidR="00EB372D" w:rsidRPr="00C65707">
        <w:rPr>
          <w:noProof w:val="0"/>
          <w:sz w:val="22"/>
          <w:szCs w:val="22"/>
        </w:rPr>
        <w:t xml:space="preserve">ABN </w:t>
      </w:r>
      <w:r w:rsidRPr="00C65707">
        <w:rPr>
          <w:noProof w:val="0"/>
          <w:sz w:val="22"/>
          <w:szCs w:val="22"/>
        </w:rPr>
        <w:t>&lt; 1 x 10</w:t>
      </w:r>
      <w:r w:rsidRPr="00C65707">
        <w:rPr>
          <w:noProof w:val="0"/>
          <w:sz w:val="22"/>
          <w:szCs w:val="22"/>
          <w:vertAlign w:val="superscript"/>
        </w:rPr>
        <w:t>9</w:t>
      </w:r>
      <w:r w:rsidRPr="00C65707">
        <w:rPr>
          <w:noProof w:val="0"/>
          <w:sz w:val="22"/>
          <w:szCs w:val="22"/>
        </w:rPr>
        <w:t>/ l ova pojava se razvila u roku od 8 ned</w:t>
      </w:r>
      <w:r w:rsidR="00EB372D" w:rsidRPr="00C65707">
        <w:rPr>
          <w:noProof w:val="0"/>
          <w:sz w:val="22"/>
          <w:szCs w:val="22"/>
        </w:rPr>
        <w:t>j</w:t>
      </w:r>
      <w:r w:rsidRPr="00C65707">
        <w:rPr>
          <w:noProof w:val="0"/>
          <w:sz w:val="22"/>
          <w:szCs w:val="22"/>
        </w:rPr>
        <w:t>elja po započinjanju terapije. Smanjenje na nivo ispod 0,5 x 10</w:t>
      </w:r>
      <w:r w:rsidRPr="00C65707">
        <w:rPr>
          <w:noProof w:val="0"/>
          <w:sz w:val="22"/>
          <w:szCs w:val="22"/>
          <w:vertAlign w:val="superscript"/>
        </w:rPr>
        <w:t>9</w:t>
      </w:r>
      <w:r w:rsidRPr="00C65707">
        <w:rPr>
          <w:noProof w:val="0"/>
          <w:sz w:val="22"/>
          <w:szCs w:val="22"/>
        </w:rPr>
        <w:t>/</w:t>
      </w:r>
      <w:r w:rsidR="00EB372D" w:rsidRPr="00C65707">
        <w:rPr>
          <w:noProof w:val="0"/>
          <w:sz w:val="22"/>
          <w:szCs w:val="22"/>
        </w:rPr>
        <w:t>l</w:t>
      </w:r>
      <w:r w:rsidRPr="00C65707">
        <w:rPr>
          <w:noProof w:val="0"/>
          <w:sz w:val="22"/>
          <w:szCs w:val="22"/>
        </w:rPr>
        <w:t xml:space="preserve"> zabilježeno je kod 0,3% pacijenata koji su primali </w:t>
      </w:r>
      <w:r w:rsidR="00EB372D" w:rsidRPr="00C65707">
        <w:rPr>
          <w:noProof w:val="0"/>
          <w:sz w:val="22"/>
          <w:szCs w:val="22"/>
        </w:rPr>
        <w:t>tocilizumab u dozi od</w:t>
      </w:r>
      <w:r w:rsidRPr="00C65707">
        <w:rPr>
          <w:noProof w:val="0"/>
          <w:sz w:val="22"/>
          <w:szCs w:val="22"/>
        </w:rPr>
        <w:t xml:space="preserve"> 8 mg/kg </w:t>
      </w:r>
      <w:r w:rsidR="00EB372D" w:rsidRPr="00C65707">
        <w:rPr>
          <w:noProof w:val="0"/>
          <w:sz w:val="22"/>
          <w:szCs w:val="22"/>
        </w:rPr>
        <w:t xml:space="preserve">i </w:t>
      </w:r>
      <w:r w:rsidRPr="00C65707">
        <w:rPr>
          <w:noProof w:val="0"/>
          <w:sz w:val="22"/>
          <w:szCs w:val="22"/>
        </w:rPr>
        <w:t>DMARD. Prijavljene su infekcije sa neutropenijama</w:t>
      </w:r>
      <w:r w:rsidRPr="00C65707">
        <w:rPr>
          <w:noProof w:val="0"/>
          <w:spacing w:val="-1"/>
          <w:sz w:val="22"/>
          <w:szCs w:val="22"/>
        </w:rPr>
        <w:t>.</w:t>
      </w:r>
      <w:r w:rsidRPr="00C65707" w:rsidDel="00155D98">
        <w:rPr>
          <w:noProof w:val="0"/>
          <w:sz w:val="22"/>
          <w:szCs w:val="22"/>
        </w:rPr>
        <w:t xml:space="preserve"> </w:t>
      </w:r>
    </w:p>
    <w:p w14:paraId="1D65BC79" w14:textId="2523DE3D" w:rsidR="00CC2B31" w:rsidRPr="00C65707" w:rsidRDefault="00CC2B31">
      <w:pPr>
        <w:pStyle w:val="BodyText"/>
        <w:widowControl w:val="0"/>
        <w:spacing w:after="0"/>
        <w:jc w:val="both"/>
        <w:rPr>
          <w:noProof w:val="0"/>
          <w:sz w:val="22"/>
          <w:szCs w:val="22"/>
        </w:rPr>
      </w:pPr>
      <w:r w:rsidRPr="00C65707">
        <w:rPr>
          <w:noProof w:val="0"/>
          <w:sz w:val="22"/>
          <w:szCs w:val="22"/>
        </w:rPr>
        <w:t xml:space="preserve">Tokom </w:t>
      </w:r>
      <w:r w:rsidR="00EB372D" w:rsidRPr="00C65707">
        <w:rPr>
          <w:noProof w:val="0"/>
          <w:sz w:val="22"/>
          <w:szCs w:val="22"/>
        </w:rPr>
        <w:t>dvostruko</w:t>
      </w:r>
      <w:r w:rsidRPr="00C65707">
        <w:rPr>
          <w:noProof w:val="0"/>
          <w:sz w:val="22"/>
          <w:szCs w:val="22"/>
        </w:rPr>
        <w:t>-slijepog kontrolisanog perioda i dugotrajne izloženosti, model i incidenca smanjenja neutrofila ostala je ista kao što je uočeno u šestomjesečnim kontrolisanim kliničkim studijama.</w:t>
      </w:r>
    </w:p>
    <w:p w14:paraId="62FC252D" w14:textId="77777777" w:rsidR="00CC2B31" w:rsidRPr="00C65707" w:rsidRDefault="00CC2B31">
      <w:pPr>
        <w:pStyle w:val="Header"/>
        <w:widowControl w:val="0"/>
        <w:tabs>
          <w:tab w:val="left" w:pos="284"/>
        </w:tabs>
        <w:jc w:val="both"/>
        <w:rPr>
          <w:sz w:val="22"/>
          <w:szCs w:val="22"/>
        </w:rPr>
      </w:pPr>
    </w:p>
    <w:p w14:paraId="7E2B2A87" w14:textId="77777777" w:rsidR="00CC2B31" w:rsidRPr="00C65707" w:rsidRDefault="00CC2B31">
      <w:pPr>
        <w:pStyle w:val="Header"/>
        <w:widowControl w:val="0"/>
        <w:tabs>
          <w:tab w:val="left" w:pos="284"/>
        </w:tabs>
        <w:jc w:val="both"/>
        <w:rPr>
          <w:i/>
          <w:sz w:val="22"/>
          <w:szCs w:val="22"/>
          <w:u w:val="single"/>
        </w:rPr>
      </w:pPr>
      <w:r w:rsidRPr="00C65707">
        <w:rPr>
          <w:i/>
          <w:sz w:val="22"/>
          <w:szCs w:val="22"/>
          <w:u w:val="single"/>
        </w:rPr>
        <w:t>Trombociti</w:t>
      </w:r>
    </w:p>
    <w:p w14:paraId="590B6E8F" w14:textId="17ADF4F3" w:rsidR="00CC2B31" w:rsidRPr="00C65707" w:rsidRDefault="00CC2B31">
      <w:pPr>
        <w:pStyle w:val="Header"/>
        <w:widowControl w:val="0"/>
        <w:tabs>
          <w:tab w:val="left" w:pos="284"/>
        </w:tabs>
        <w:jc w:val="both"/>
        <w:rPr>
          <w:sz w:val="22"/>
          <w:szCs w:val="22"/>
        </w:rPr>
      </w:pPr>
      <w:r w:rsidRPr="00C65707">
        <w:rPr>
          <w:sz w:val="22"/>
          <w:szCs w:val="22"/>
        </w:rPr>
        <w:t xml:space="preserve">U šestomjesečnim kontrolisanim studijama smanjenje broja trombocita na nivo ispod 100 </w:t>
      </w:r>
      <w:r w:rsidRPr="00C65707">
        <w:rPr>
          <w:bCs/>
          <w:sz w:val="22"/>
          <w:szCs w:val="22"/>
        </w:rPr>
        <w:t>x 10</w:t>
      </w:r>
      <w:r w:rsidRPr="00C65707">
        <w:rPr>
          <w:bCs/>
          <w:sz w:val="22"/>
          <w:szCs w:val="22"/>
          <w:vertAlign w:val="superscript"/>
        </w:rPr>
        <w:t>3</w:t>
      </w:r>
      <w:r w:rsidRPr="00C65707">
        <w:rPr>
          <w:bCs/>
          <w:sz w:val="22"/>
          <w:szCs w:val="22"/>
        </w:rPr>
        <w:t>/ </w:t>
      </w:r>
      <w:r w:rsidRPr="00C65707">
        <w:rPr>
          <w:sz w:val="22"/>
          <w:szCs w:val="22"/>
        </w:rPr>
        <w:t xml:space="preserve">μl zabilježeno je kod 1,7% pacijenata koji su primali </w:t>
      </w:r>
      <w:r w:rsidR="00EB372D" w:rsidRPr="00C65707">
        <w:rPr>
          <w:sz w:val="22"/>
          <w:szCs w:val="22"/>
        </w:rPr>
        <w:t>tocilizumab u dozi od</w:t>
      </w:r>
      <w:r w:rsidRPr="00C65707">
        <w:rPr>
          <w:sz w:val="22"/>
          <w:szCs w:val="22"/>
        </w:rPr>
        <w:t xml:space="preserve"> 8 mg/kg </w:t>
      </w:r>
      <w:r w:rsidR="00EB372D" w:rsidRPr="00C65707">
        <w:rPr>
          <w:sz w:val="22"/>
          <w:szCs w:val="22"/>
        </w:rPr>
        <w:t xml:space="preserve">u kombinaciji sa </w:t>
      </w:r>
      <w:r w:rsidRPr="00C65707">
        <w:rPr>
          <w:sz w:val="22"/>
          <w:szCs w:val="22"/>
        </w:rPr>
        <w:t>DMARD</w:t>
      </w:r>
      <w:r w:rsidR="00EB372D" w:rsidRPr="00C65707">
        <w:rPr>
          <w:sz w:val="22"/>
          <w:szCs w:val="22"/>
        </w:rPr>
        <w:t>-om,</w:t>
      </w:r>
      <w:r w:rsidRPr="00C65707">
        <w:rPr>
          <w:sz w:val="22"/>
          <w:szCs w:val="22"/>
        </w:rPr>
        <w:t xml:space="preserve"> u poređenju sa &lt; 1% kod onih koji su primali placebo </w:t>
      </w:r>
      <w:r w:rsidR="00EB372D" w:rsidRPr="00C65707">
        <w:rPr>
          <w:sz w:val="22"/>
          <w:szCs w:val="22"/>
        </w:rPr>
        <w:t xml:space="preserve">i </w:t>
      </w:r>
      <w:r w:rsidRPr="00C65707">
        <w:rPr>
          <w:sz w:val="22"/>
          <w:szCs w:val="22"/>
        </w:rPr>
        <w:t>DMARD. Ova smanjenja ni</w:t>
      </w:r>
      <w:r w:rsidR="000A085D" w:rsidRPr="00C65707">
        <w:rPr>
          <w:sz w:val="22"/>
          <w:szCs w:val="22"/>
        </w:rPr>
        <w:t>je</w:t>
      </w:r>
      <w:r w:rsidRPr="00C65707">
        <w:rPr>
          <w:sz w:val="22"/>
          <w:szCs w:val="22"/>
        </w:rPr>
        <w:t>su bila praćena pojavama krvarenja.</w:t>
      </w:r>
    </w:p>
    <w:p w14:paraId="269D44FC" w14:textId="77777777" w:rsidR="00CC2B31" w:rsidRPr="00C65707" w:rsidRDefault="00CC2B31">
      <w:pPr>
        <w:pStyle w:val="Header"/>
        <w:widowControl w:val="0"/>
        <w:tabs>
          <w:tab w:val="left" w:pos="284"/>
        </w:tabs>
        <w:jc w:val="both"/>
        <w:rPr>
          <w:sz w:val="22"/>
          <w:szCs w:val="22"/>
        </w:rPr>
      </w:pPr>
    </w:p>
    <w:p w14:paraId="7A6C33A3" w14:textId="079AB9AA" w:rsidR="00CC2B31" w:rsidRPr="00C65707" w:rsidRDefault="00CC2B31">
      <w:pPr>
        <w:pStyle w:val="BodyText"/>
        <w:widowControl w:val="0"/>
        <w:spacing w:after="0"/>
        <w:jc w:val="both"/>
        <w:rPr>
          <w:noProof w:val="0"/>
          <w:sz w:val="22"/>
          <w:szCs w:val="22"/>
        </w:rPr>
      </w:pPr>
      <w:r w:rsidRPr="00C65707">
        <w:rPr>
          <w:noProof w:val="0"/>
          <w:sz w:val="22"/>
          <w:szCs w:val="22"/>
        </w:rPr>
        <w:t xml:space="preserve">Tokom </w:t>
      </w:r>
      <w:r w:rsidR="00EB372D" w:rsidRPr="00C65707">
        <w:rPr>
          <w:noProof w:val="0"/>
          <w:sz w:val="22"/>
          <w:szCs w:val="22"/>
        </w:rPr>
        <w:t>dvostruko</w:t>
      </w:r>
      <w:r w:rsidRPr="00C65707">
        <w:rPr>
          <w:noProof w:val="0"/>
          <w:sz w:val="22"/>
          <w:szCs w:val="22"/>
        </w:rPr>
        <w:t>-slijepog kontrolisanog perioda i dugotrajne izloženosti, model i incidenca smanjenja trombocita ostala je ista kao što je viđeno u šestomjesečnim kontrolisanim kliničkim studijama.</w:t>
      </w:r>
    </w:p>
    <w:p w14:paraId="2405E7FB" w14:textId="5E92A279" w:rsidR="00CC2B31" w:rsidRPr="00C65707" w:rsidRDefault="00CC2B31">
      <w:pPr>
        <w:pStyle w:val="BodyText"/>
        <w:widowControl w:val="0"/>
        <w:spacing w:after="0"/>
        <w:jc w:val="both"/>
        <w:rPr>
          <w:noProof w:val="0"/>
          <w:sz w:val="22"/>
          <w:szCs w:val="22"/>
        </w:rPr>
      </w:pPr>
      <w:r w:rsidRPr="00C65707">
        <w:rPr>
          <w:noProof w:val="0"/>
          <w:sz w:val="22"/>
          <w:szCs w:val="22"/>
        </w:rPr>
        <w:t>Veoma rijetki slučajevi pancitopenije su se dogodili u post marketinškom praćenju.</w:t>
      </w:r>
      <w:r w:rsidR="00EB372D" w:rsidRPr="00C65707">
        <w:rPr>
          <w:noProof w:val="0"/>
          <w:sz w:val="22"/>
          <w:szCs w:val="22"/>
        </w:rPr>
        <w:br/>
      </w:r>
    </w:p>
    <w:p w14:paraId="11A15417" w14:textId="55D168C0" w:rsidR="00CC2B31" w:rsidRPr="00C65707" w:rsidRDefault="00CC2B31">
      <w:pPr>
        <w:pStyle w:val="Header"/>
        <w:widowControl w:val="0"/>
        <w:tabs>
          <w:tab w:val="left" w:pos="284"/>
        </w:tabs>
        <w:jc w:val="both"/>
        <w:rPr>
          <w:i/>
          <w:sz w:val="22"/>
          <w:szCs w:val="22"/>
          <w:u w:val="single"/>
        </w:rPr>
      </w:pPr>
      <w:r w:rsidRPr="00C65707">
        <w:rPr>
          <w:i/>
          <w:sz w:val="22"/>
          <w:szCs w:val="22"/>
          <w:u w:val="single"/>
        </w:rPr>
        <w:t xml:space="preserve">Povećanje </w:t>
      </w:r>
      <w:r w:rsidR="00EB372D" w:rsidRPr="00C65707">
        <w:rPr>
          <w:i/>
          <w:sz w:val="22"/>
          <w:szCs w:val="22"/>
          <w:u w:val="single"/>
        </w:rPr>
        <w:t xml:space="preserve">vrijednosti </w:t>
      </w:r>
      <w:r w:rsidRPr="00C65707">
        <w:rPr>
          <w:i/>
          <w:sz w:val="22"/>
          <w:szCs w:val="22"/>
          <w:u w:val="single"/>
        </w:rPr>
        <w:t>transaminaza jetre</w:t>
      </w:r>
    </w:p>
    <w:p w14:paraId="7523A9E7" w14:textId="6AA34ECA" w:rsidR="00CC2B31" w:rsidRPr="00C65707" w:rsidRDefault="00CC2B31">
      <w:pPr>
        <w:pStyle w:val="Header"/>
        <w:widowControl w:val="0"/>
        <w:tabs>
          <w:tab w:val="left" w:pos="284"/>
        </w:tabs>
        <w:jc w:val="both"/>
        <w:rPr>
          <w:sz w:val="22"/>
          <w:szCs w:val="22"/>
        </w:rPr>
      </w:pPr>
      <w:r w:rsidRPr="00C65707">
        <w:rPr>
          <w:sz w:val="22"/>
          <w:szCs w:val="22"/>
        </w:rPr>
        <w:t xml:space="preserve">Tokom šestomjesečnih kontrolisanih ispitivanja prolazna povećanja ALT/AST &gt; 3 x GGN zabilježena su kod 2,1% pacijenata koji su primali </w:t>
      </w:r>
      <w:r w:rsidR="00EB372D" w:rsidRPr="00C65707">
        <w:rPr>
          <w:sz w:val="22"/>
          <w:szCs w:val="22"/>
        </w:rPr>
        <w:t xml:space="preserve">tocilizumab u dozi od </w:t>
      </w:r>
      <w:r w:rsidRPr="00C65707">
        <w:rPr>
          <w:sz w:val="22"/>
          <w:szCs w:val="22"/>
        </w:rPr>
        <w:t xml:space="preserve"> 8 mg/kg u poređenju sa 4,9% pacijenata koji su primali MTX, odnosno 6,5% pacijenata koji su primali 8 mg/kg </w:t>
      </w:r>
      <w:r w:rsidR="00EB372D" w:rsidRPr="00C65707">
        <w:rPr>
          <w:sz w:val="22"/>
          <w:szCs w:val="22"/>
        </w:rPr>
        <w:t>tocilizumaba</w:t>
      </w:r>
      <w:r w:rsidRPr="00C65707">
        <w:rPr>
          <w:sz w:val="22"/>
          <w:szCs w:val="22"/>
        </w:rPr>
        <w:t xml:space="preserve"> </w:t>
      </w:r>
      <w:r w:rsidR="00EB372D" w:rsidRPr="00C65707">
        <w:rPr>
          <w:sz w:val="22"/>
          <w:szCs w:val="22"/>
        </w:rPr>
        <w:t xml:space="preserve">i </w:t>
      </w:r>
      <w:r w:rsidRPr="00C65707">
        <w:rPr>
          <w:sz w:val="22"/>
          <w:szCs w:val="22"/>
        </w:rPr>
        <w:t xml:space="preserve">DMARD u poređenju sa 1,5% pacijenata na terapiji placebo </w:t>
      </w:r>
      <w:r w:rsidR="00EB372D" w:rsidRPr="00C65707">
        <w:rPr>
          <w:sz w:val="22"/>
          <w:szCs w:val="22"/>
        </w:rPr>
        <w:t xml:space="preserve">i </w:t>
      </w:r>
      <w:r w:rsidRPr="00C65707">
        <w:rPr>
          <w:sz w:val="22"/>
          <w:szCs w:val="22"/>
        </w:rPr>
        <w:t>DMARD.</w:t>
      </w:r>
    </w:p>
    <w:p w14:paraId="743A01EB" w14:textId="77777777" w:rsidR="00CC2B31" w:rsidRPr="00C65707" w:rsidRDefault="00CC2B31">
      <w:pPr>
        <w:pStyle w:val="Header"/>
        <w:widowControl w:val="0"/>
        <w:tabs>
          <w:tab w:val="left" w:pos="284"/>
        </w:tabs>
        <w:jc w:val="both"/>
        <w:rPr>
          <w:sz w:val="22"/>
          <w:szCs w:val="22"/>
        </w:rPr>
      </w:pPr>
    </w:p>
    <w:p w14:paraId="70689013" w14:textId="76719CAC" w:rsidR="00CC2B31" w:rsidRPr="00C65707" w:rsidRDefault="00CC2B31">
      <w:pPr>
        <w:pStyle w:val="BodyText"/>
        <w:widowControl w:val="0"/>
        <w:spacing w:after="0"/>
        <w:jc w:val="both"/>
        <w:rPr>
          <w:noProof w:val="0"/>
          <w:sz w:val="22"/>
          <w:szCs w:val="22"/>
        </w:rPr>
      </w:pPr>
      <w:r w:rsidRPr="00C65707">
        <w:rPr>
          <w:noProof w:val="0"/>
          <w:sz w:val="22"/>
          <w:szCs w:val="22"/>
        </w:rPr>
        <w:t xml:space="preserve">Dodavanje potencijalno hepatotoksičnih ljekova (npr. MTX) monoterapiji tocilizumabom dovodilo je do povećanja učestalosti ovih povećanja. Povećanje ALT/AST &gt; 5 x GGN zabilježeno je kod  0,7% pacijenata na monoterapiji </w:t>
      </w:r>
      <w:r w:rsidR="00EB372D" w:rsidRPr="00C65707">
        <w:rPr>
          <w:noProof w:val="0"/>
          <w:sz w:val="22"/>
          <w:szCs w:val="22"/>
        </w:rPr>
        <w:t>tocilizumabom</w:t>
      </w:r>
      <w:r w:rsidRPr="00C65707">
        <w:rPr>
          <w:noProof w:val="0"/>
          <w:sz w:val="22"/>
          <w:szCs w:val="22"/>
        </w:rPr>
        <w:t xml:space="preserve">, i kod 1,4% pacijenata koji su na terapiji </w:t>
      </w:r>
      <w:r w:rsidR="00EB372D" w:rsidRPr="00C65707">
        <w:rPr>
          <w:noProof w:val="0"/>
          <w:sz w:val="22"/>
          <w:szCs w:val="22"/>
        </w:rPr>
        <w:t>tocilizumab</w:t>
      </w:r>
      <w:r w:rsidRPr="00C65707">
        <w:rPr>
          <w:noProof w:val="0"/>
          <w:sz w:val="22"/>
          <w:szCs w:val="22"/>
        </w:rPr>
        <w:t xml:space="preserve"> </w:t>
      </w:r>
      <w:r w:rsidR="00EB372D" w:rsidRPr="00C65707">
        <w:rPr>
          <w:noProof w:val="0"/>
          <w:sz w:val="22"/>
          <w:szCs w:val="22"/>
        </w:rPr>
        <w:t xml:space="preserve">u kombinaciji sa </w:t>
      </w:r>
      <w:r w:rsidRPr="00C65707">
        <w:rPr>
          <w:noProof w:val="0"/>
          <w:sz w:val="22"/>
          <w:szCs w:val="22"/>
        </w:rPr>
        <w:t>DMARD</w:t>
      </w:r>
      <w:r w:rsidR="00EB372D" w:rsidRPr="00C65707">
        <w:rPr>
          <w:noProof w:val="0"/>
          <w:sz w:val="22"/>
          <w:szCs w:val="22"/>
        </w:rPr>
        <w:t>-om</w:t>
      </w:r>
      <w:r w:rsidRPr="00C65707">
        <w:rPr>
          <w:noProof w:val="0"/>
          <w:sz w:val="22"/>
          <w:szCs w:val="22"/>
        </w:rPr>
        <w:t xml:space="preserve">, od kojih je većini trajno obustavljena terapija tocilizumabom. Tokom </w:t>
      </w:r>
      <w:r w:rsidR="00EB372D" w:rsidRPr="00C65707">
        <w:rPr>
          <w:noProof w:val="0"/>
          <w:sz w:val="22"/>
          <w:szCs w:val="22"/>
        </w:rPr>
        <w:t>dvostruko</w:t>
      </w:r>
      <w:r w:rsidRPr="00C65707">
        <w:rPr>
          <w:noProof w:val="0"/>
          <w:sz w:val="22"/>
          <w:szCs w:val="22"/>
        </w:rPr>
        <w:t xml:space="preserve">-slijepog kontrolisanog perioda, učestalost pojave povišenog nivoa indirektnog bilirubina u odnosu na gornju normalnu granicu, prikupljenog kao rutinski laboratorijski parametar, je 6.2 % kod pacijenata liječenih </w:t>
      </w:r>
      <w:r w:rsidR="00EB372D" w:rsidRPr="00C65707">
        <w:rPr>
          <w:noProof w:val="0"/>
          <w:sz w:val="22"/>
          <w:szCs w:val="22"/>
        </w:rPr>
        <w:t>tocilizumab</w:t>
      </w:r>
      <w:r w:rsidRPr="00C65707">
        <w:rPr>
          <w:noProof w:val="0"/>
          <w:sz w:val="22"/>
          <w:szCs w:val="22"/>
        </w:rPr>
        <w:t xml:space="preserve"> u dozi od 8 mg/kg + DMARD. Ukupno 5.8% pacijenata je iskusilo povećanje indirektnog bilirubina &gt; 1 do 2 x iznad GGN i 0.4% je imalo povećanje &gt; 2 x iznad GGN.</w:t>
      </w:r>
    </w:p>
    <w:p w14:paraId="766C24E8" w14:textId="77777777" w:rsidR="00CC2B31" w:rsidRPr="00C65707" w:rsidRDefault="00CC2B31">
      <w:pPr>
        <w:widowControl w:val="0"/>
        <w:jc w:val="both"/>
        <w:rPr>
          <w:sz w:val="22"/>
          <w:szCs w:val="22"/>
        </w:rPr>
      </w:pPr>
      <w:r w:rsidRPr="00C65707">
        <w:rPr>
          <w:sz w:val="22"/>
          <w:szCs w:val="22"/>
        </w:rPr>
        <w:t>Tokom dvostruko slijepog kontrolisanog perioda te tokom dugotrajne izloženosti, obrazac i učestalost povišenja vrijednosti ALT</w:t>
      </w:r>
      <w:r w:rsidRPr="00C65707">
        <w:rPr>
          <w:sz w:val="22"/>
          <w:szCs w:val="22"/>
        </w:rPr>
        <w:noBreakHyphen/>
        <w:t>a/AST</w:t>
      </w:r>
      <w:r w:rsidRPr="00C65707">
        <w:rPr>
          <w:sz w:val="22"/>
          <w:szCs w:val="22"/>
        </w:rPr>
        <w:noBreakHyphen/>
        <w:t>a su konzistentni sa onim što je uočeno u 6-mjesečnim kontrolisanim kliničkim ispitivanjima.</w:t>
      </w:r>
    </w:p>
    <w:p w14:paraId="2DD0C9CD" w14:textId="77777777" w:rsidR="00CC2B31" w:rsidRPr="00C65707" w:rsidRDefault="00CC2B31">
      <w:pPr>
        <w:pStyle w:val="Header"/>
        <w:widowControl w:val="0"/>
        <w:tabs>
          <w:tab w:val="left" w:pos="284"/>
        </w:tabs>
        <w:jc w:val="both"/>
        <w:rPr>
          <w:sz w:val="22"/>
          <w:szCs w:val="22"/>
        </w:rPr>
      </w:pPr>
    </w:p>
    <w:p w14:paraId="3DDA7824" w14:textId="77777777" w:rsidR="00CC2B31" w:rsidRPr="00C65707" w:rsidRDefault="00CC2B31">
      <w:pPr>
        <w:pStyle w:val="Header"/>
        <w:widowControl w:val="0"/>
        <w:tabs>
          <w:tab w:val="left" w:pos="284"/>
        </w:tabs>
        <w:jc w:val="both"/>
        <w:rPr>
          <w:i/>
          <w:sz w:val="22"/>
          <w:szCs w:val="22"/>
          <w:u w:val="single"/>
        </w:rPr>
      </w:pPr>
      <w:r w:rsidRPr="00C65707">
        <w:rPr>
          <w:i/>
          <w:sz w:val="22"/>
          <w:szCs w:val="22"/>
          <w:u w:val="single"/>
        </w:rPr>
        <w:t>Parametri lipida</w:t>
      </w:r>
    </w:p>
    <w:p w14:paraId="013FDF8A" w14:textId="69D119C0" w:rsidR="00CC2B31" w:rsidRPr="00C65707" w:rsidRDefault="00CC2B31">
      <w:pPr>
        <w:pStyle w:val="Header"/>
        <w:widowControl w:val="0"/>
        <w:tabs>
          <w:tab w:val="left" w:pos="284"/>
        </w:tabs>
        <w:jc w:val="both"/>
        <w:rPr>
          <w:sz w:val="22"/>
          <w:szCs w:val="22"/>
        </w:rPr>
      </w:pPr>
      <w:r w:rsidRPr="00C65707">
        <w:rPr>
          <w:sz w:val="22"/>
          <w:szCs w:val="22"/>
        </w:rPr>
        <w:t>Tokom šest</w:t>
      </w:r>
      <w:r w:rsidR="00EB372D" w:rsidRPr="00C65707">
        <w:rPr>
          <w:sz w:val="22"/>
          <w:szCs w:val="22"/>
        </w:rPr>
        <w:t>omjesečnih</w:t>
      </w:r>
      <w:r w:rsidR="00E63D63">
        <w:rPr>
          <w:sz w:val="22"/>
          <w:szCs w:val="22"/>
        </w:rPr>
        <w:t xml:space="preserve"> </w:t>
      </w:r>
      <w:r w:rsidRPr="00C65707">
        <w:rPr>
          <w:sz w:val="22"/>
          <w:szCs w:val="22"/>
        </w:rPr>
        <w:t xml:space="preserve">kontrolisanih ispitivanja, povećanje parametara lipida kao što su ukupni holesterol, trigliceridi, LDL holesterol, i/ili HDL holesterol bilo je česta pojava. Sa rutinskim laboratorijskim praćenjem približno 24% pacijenata koji su primali </w:t>
      </w:r>
      <w:r w:rsidR="00EB372D" w:rsidRPr="00C65707">
        <w:rPr>
          <w:sz w:val="22"/>
          <w:szCs w:val="22"/>
        </w:rPr>
        <w:t>tocilizumab</w:t>
      </w:r>
      <w:r w:rsidRPr="00C65707">
        <w:rPr>
          <w:sz w:val="22"/>
          <w:szCs w:val="22"/>
        </w:rPr>
        <w:t xml:space="preserve"> u kliničkim ispitivanjima</w:t>
      </w:r>
      <w:r w:rsidR="00EB372D" w:rsidRPr="00C65707">
        <w:rPr>
          <w:sz w:val="22"/>
          <w:szCs w:val="22"/>
        </w:rPr>
        <w:t>,</w:t>
      </w:r>
      <w:r w:rsidRPr="00C65707">
        <w:rPr>
          <w:sz w:val="22"/>
          <w:szCs w:val="22"/>
        </w:rPr>
        <w:t xml:space="preserve"> imali su održano povećanje ukupnog holesterola ≥ 6.2 mmol/ l, a 15% </w:t>
      </w:r>
      <w:r w:rsidR="00EB372D" w:rsidRPr="00C65707">
        <w:rPr>
          <w:sz w:val="22"/>
          <w:szCs w:val="22"/>
        </w:rPr>
        <w:t xml:space="preserve">njih je </w:t>
      </w:r>
      <w:r w:rsidRPr="00C65707">
        <w:rPr>
          <w:sz w:val="22"/>
          <w:szCs w:val="22"/>
        </w:rPr>
        <w:t>imal</w:t>
      </w:r>
      <w:r w:rsidR="00EB372D" w:rsidRPr="00C65707">
        <w:rPr>
          <w:sz w:val="22"/>
          <w:szCs w:val="22"/>
        </w:rPr>
        <w:t>o</w:t>
      </w:r>
      <w:r w:rsidRPr="00C65707">
        <w:rPr>
          <w:sz w:val="22"/>
          <w:szCs w:val="22"/>
        </w:rPr>
        <w:t xml:space="preserve"> održano povećanje LDL do ≥ 4.1 mmol/ l. P</w:t>
      </w:r>
      <w:r w:rsidR="00817A5C" w:rsidRPr="00C65707">
        <w:rPr>
          <w:sz w:val="22"/>
          <w:szCs w:val="22"/>
        </w:rPr>
        <w:t xml:space="preserve">acijenti sa povećanim parametrima </w:t>
      </w:r>
      <w:r w:rsidRPr="00C65707">
        <w:rPr>
          <w:sz w:val="22"/>
          <w:szCs w:val="22"/>
        </w:rPr>
        <w:t xml:space="preserve">lipida </w:t>
      </w:r>
      <w:r w:rsidR="00817A5C" w:rsidRPr="00C65707">
        <w:rPr>
          <w:sz w:val="22"/>
          <w:szCs w:val="22"/>
        </w:rPr>
        <w:t xml:space="preserve">su </w:t>
      </w:r>
      <w:r w:rsidRPr="00C65707">
        <w:rPr>
          <w:sz w:val="22"/>
          <w:szCs w:val="22"/>
        </w:rPr>
        <w:t>reagoval</w:t>
      </w:r>
      <w:r w:rsidR="00817A5C" w:rsidRPr="00C65707">
        <w:rPr>
          <w:sz w:val="22"/>
          <w:szCs w:val="22"/>
        </w:rPr>
        <w:t>i</w:t>
      </w:r>
      <w:r w:rsidRPr="00C65707">
        <w:rPr>
          <w:sz w:val="22"/>
          <w:szCs w:val="22"/>
        </w:rPr>
        <w:t xml:space="preserve"> na primjenu ljekova za snižavanje nivoa lipida.  </w:t>
      </w:r>
    </w:p>
    <w:p w14:paraId="0A6F582D" w14:textId="77777777" w:rsidR="00CC2B31" w:rsidRPr="00C65707" w:rsidRDefault="00CC2B31">
      <w:pPr>
        <w:pStyle w:val="Header"/>
        <w:widowControl w:val="0"/>
        <w:tabs>
          <w:tab w:val="left" w:pos="284"/>
        </w:tabs>
        <w:jc w:val="both"/>
        <w:rPr>
          <w:sz w:val="22"/>
          <w:szCs w:val="22"/>
        </w:rPr>
      </w:pPr>
    </w:p>
    <w:p w14:paraId="5F4D1902" w14:textId="2130B949" w:rsidR="00CC2B31" w:rsidRPr="00CE5678" w:rsidRDefault="00CC2B31" w:rsidP="00CE5678">
      <w:pPr>
        <w:widowControl w:val="0"/>
        <w:jc w:val="both"/>
        <w:rPr>
          <w:sz w:val="22"/>
          <w:szCs w:val="22"/>
        </w:rPr>
      </w:pPr>
      <w:r w:rsidRPr="00C65707">
        <w:rPr>
          <w:sz w:val="22"/>
          <w:szCs w:val="22"/>
        </w:rPr>
        <w:t>Tokom dvostruko slijepog kontrolisanog perioda</w:t>
      </w:r>
      <w:r w:rsidR="00817A5C" w:rsidRPr="00C65707">
        <w:rPr>
          <w:sz w:val="22"/>
          <w:szCs w:val="22"/>
        </w:rPr>
        <w:t>,</w:t>
      </w:r>
      <w:r w:rsidRPr="00C65707">
        <w:rPr>
          <w:sz w:val="22"/>
          <w:szCs w:val="22"/>
        </w:rPr>
        <w:t xml:space="preserve"> te tokom dugotrajne izloženosti, obrazac i učestalost povećanja lipidnih parametara u skladu su sa onim što je uočeno u 6-mjesečnim kontrolisanim kliničkim ispitivanjima.</w:t>
      </w:r>
    </w:p>
    <w:p w14:paraId="3FC2FCEB" w14:textId="77777777" w:rsidR="00CC2B31" w:rsidRPr="00C65707" w:rsidRDefault="00CC2B31" w:rsidP="00C65707">
      <w:pPr>
        <w:pStyle w:val="Header"/>
        <w:widowControl w:val="0"/>
        <w:tabs>
          <w:tab w:val="left" w:pos="284"/>
        </w:tabs>
        <w:jc w:val="both"/>
        <w:rPr>
          <w:sz w:val="22"/>
          <w:szCs w:val="22"/>
        </w:rPr>
      </w:pPr>
    </w:p>
    <w:p w14:paraId="366D9D49" w14:textId="77777777" w:rsidR="00CC2B31" w:rsidRPr="00CE5678" w:rsidRDefault="00CC2B31" w:rsidP="00C65707">
      <w:pPr>
        <w:pStyle w:val="Header"/>
        <w:widowControl w:val="0"/>
        <w:tabs>
          <w:tab w:val="left" w:pos="284"/>
        </w:tabs>
        <w:jc w:val="both"/>
        <w:rPr>
          <w:i/>
          <w:iCs/>
          <w:sz w:val="22"/>
          <w:szCs w:val="22"/>
          <w:u w:val="single"/>
        </w:rPr>
      </w:pPr>
      <w:r w:rsidRPr="00CE5678">
        <w:rPr>
          <w:i/>
          <w:iCs/>
          <w:sz w:val="22"/>
          <w:szCs w:val="22"/>
          <w:u w:val="single"/>
        </w:rPr>
        <w:t>Kožne reakcije</w:t>
      </w:r>
    </w:p>
    <w:p w14:paraId="2637D229" w14:textId="77777777" w:rsidR="00CC2B31" w:rsidRPr="002B3647" w:rsidRDefault="00CC2B31" w:rsidP="002B3647">
      <w:pPr>
        <w:pStyle w:val="Header"/>
        <w:widowControl w:val="0"/>
        <w:tabs>
          <w:tab w:val="left" w:pos="284"/>
        </w:tabs>
        <w:jc w:val="both"/>
        <w:rPr>
          <w:sz w:val="22"/>
          <w:szCs w:val="22"/>
        </w:rPr>
      </w:pPr>
      <w:r w:rsidRPr="002B3647">
        <w:rPr>
          <w:sz w:val="22"/>
          <w:szCs w:val="22"/>
        </w:rPr>
        <w:t>Rijetki slučajevi Stevens-Johnsonova sindroma zabilježeni su nakon stavljanja lijeka u promet. </w:t>
      </w:r>
    </w:p>
    <w:p w14:paraId="4686442A" w14:textId="77777777" w:rsidR="00CC2B31" w:rsidRPr="002B3647" w:rsidRDefault="00CC2B31" w:rsidP="00CE5678">
      <w:pPr>
        <w:widowControl w:val="0"/>
        <w:tabs>
          <w:tab w:val="left" w:pos="540"/>
          <w:tab w:val="left" w:pos="569"/>
        </w:tabs>
        <w:jc w:val="both"/>
        <w:rPr>
          <w:b/>
          <w:bCs/>
          <w:sz w:val="22"/>
          <w:szCs w:val="22"/>
        </w:rPr>
      </w:pPr>
    </w:p>
    <w:p w14:paraId="27F1CDDC" w14:textId="77777777" w:rsidR="00D16287" w:rsidRPr="00C65707" w:rsidRDefault="00D16287" w:rsidP="00CE5678">
      <w:pPr>
        <w:widowControl w:val="0"/>
        <w:spacing w:line="276" w:lineRule="auto"/>
        <w:jc w:val="both"/>
        <w:rPr>
          <w:rFonts w:eastAsia="Calibri"/>
          <w:sz w:val="22"/>
          <w:szCs w:val="22"/>
          <w:u w:val="single"/>
        </w:rPr>
      </w:pPr>
      <w:r w:rsidRPr="00C65707">
        <w:rPr>
          <w:rFonts w:eastAsia="Calibri"/>
          <w:sz w:val="22"/>
          <w:szCs w:val="22"/>
          <w:u w:val="single"/>
        </w:rPr>
        <w:t>Prijavljivanje sumnji na neželjena dejstva</w:t>
      </w:r>
    </w:p>
    <w:p w14:paraId="02733928" w14:textId="77777777" w:rsidR="00D16287" w:rsidRPr="00C65707" w:rsidRDefault="00D16287" w:rsidP="00C65707">
      <w:pPr>
        <w:widowControl w:val="0"/>
        <w:jc w:val="both"/>
        <w:rPr>
          <w:rFonts w:eastAsia="Calibri"/>
          <w:sz w:val="22"/>
          <w:szCs w:val="22"/>
        </w:rPr>
      </w:pPr>
      <w:r w:rsidRPr="00C65707">
        <w:rPr>
          <w:rFonts w:eastAsia="Calibri"/>
          <w:sz w:val="22"/>
          <w:szCs w:val="22"/>
        </w:rPr>
        <w:t xml:space="preserve">Prijavljivanje neželjenih dejstava nakon dobijanja dozvole je od velikog značaja jer obezbjeđuje kontinuirano praćenje odnosa korist/rizik primjene lijeka. Zdravstveni radnici treba da prijave svaku </w:t>
      </w:r>
      <w:r w:rsidRPr="00C65707">
        <w:rPr>
          <w:rFonts w:eastAsia="Calibri"/>
          <w:sz w:val="22"/>
          <w:szCs w:val="22"/>
        </w:rPr>
        <w:lastRenderedPageBreak/>
        <w:t>sumnju na neželjeno dejstvo ovog lijeka Institutu za ljekove i medicinska sredstva (CInMED):</w:t>
      </w:r>
    </w:p>
    <w:p w14:paraId="19646AE8" w14:textId="77777777" w:rsidR="00D16287" w:rsidRPr="00C65707" w:rsidRDefault="00D16287" w:rsidP="002B3647">
      <w:pPr>
        <w:pStyle w:val="NoSpacing"/>
        <w:widowControl w:val="0"/>
        <w:jc w:val="both"/>
        <w:rPr>
          <w:rFonts w:eastAsia="Calibri"/>
          <w:sz w:val="22"/>
          <w:szCs w:val="22"/>
          <w:lang w:val="sr-Latn-ME"/>
        </w:rPr>
      </w:pPr>
      <w:r w:rsidRPr="00C65707">
        <w:rPr>
          <w:rFonts w:eastAsia="Calibri"/>
          <w:sz w:val="22"/>
          <w:szCs w:val="22"/>
          <w:lang w:val="sr-Latn-ME"/>
        </w:rPr>
        <w:t xml:space="preserve">Institut za ljekove i medicinska sredstva </w:t>
      </w:r>
    </w:p>
    <w:p w14:paraId="3C6602AD" w14:textId="77777777" w:rsidR="00D16287" w:rsidRPr="00C65707" w:rsidRDefault="00D16287" w:rsidP="002B3647">
      <w:pPr>
        <w:pStyle w:val="NoSpacing"/>
        <w:widowControl w:val="0"/>
        <w:jc w:val="both"/>
        <w:rPr>
          <w:rFonts w:eastAsia="Calibri"/>
          <w:sz w:val="22"/>
          <w:szCs w:val="22"/>
          <w:lang w:val="sr-Latn-ME"/>
        </w:rPr>
      </w:pPr>
      <w:r w:rsidRPr="00C65707">
        <w:rPr>
          <w:rFonts w:eastAsia="Calibri"/>
          <w:sz w:val="22"/>
          <w:szCs w:val="22"/>
          <w:lang w:val="sr-Latn-ME"/>
        </w:rPr>
        <w:t>Odjeljenje za farmakovigilancu</w:t>
      </w:r>
    </w:p>
    <w:p w14:paraId="308180C3" w14:textId="77777777" w:rsidR="00D16287" w:rsidRPr="00C65707" w:rsidRDefault="00D16287">
      <w:pPr>
        <w:pStyle w:val="NoSpacing"/>
        <w:widowControl w:val="0"/>
        <w:jc w:val="both"/>
        <w:rPr>
          <w:rFonts w:eastAsia="Calibri"/>
          <w:sz w:val="22"/>
          <w:szCs w:val="22"/>
          <w:lang w:val="sr-Latn-ME"/>
        </w:rPr>
      </w:pPr>
      <w:r w:rsidRPr="00C65707">
        <w:rPr>
          <w:rFonts w:eastAsia="Calibri"/>
          <w:sz w:val="22"/>
          <w:szCs w:val="22"/>
          <w:lang w:val="sr-Latn-ME"/>
        </w:rPr>
        <w:t>Bulevar Ivana Crnojevića 64a, 81000 Podgorica</w:t>
      </w:r>
    </w:p>
    <w:p w14:paraId="7335917A" w14:textId="77777777" w:rsidR="00D16287" w:rsidRPr="00C65707" w:rsidRDefault="00D16287" w:rsidP="00CE5678">
      <w:pPr>
        <w:pStyle w:val="NoSpacing"/>
        <w:widowControl w:val="0"/>
        <w:jc w:val="both"/>
        <w:rPr>
          <w:rFonts w:eastAsia="Calibri"/>
          <w:sz w:val="22"/>
          <w:szCs w:val="22"/>
          <w:lang w:val="sr-Latn-ME"/>
        </w:rPr>
      </w:pPr>
    </w:p>
    <w:p w14:paraId="691AF0F3" w14:textId="77777777" w:rsidR="00D16287" w:rsidRPr="00C65707" w:rsidRDefault="00D16287" w:rsidP="00C65707">
      <w:pPr>
        <w:pStyle w:val="NoSpacing"/>
        <w:widowControl w:val="0"/>
        <w:jc w:val="both"/>
        <w:rPr>
          <w:rFonts w:eastAsia="Calibri"/>
          <w:sz w:val="22"/>
          <w:szCs w:val="22"/>
          <w:lang w:val="sr-Latn-ME"/>
        </w:rPr>
      </w:pPr>
      <w:r w:rsidRPr="00C65707">
        <w:rPr>
          <w:rFonts w:eastAsia="Calibri"/>
          <w:sz w:val="22"/>
          <w:szCs w:val="22"/>
          <w:lang w:val="sr-Latn-ME"/>
        </w:rPr>
        <w:t>tel: +382 (0) 20 310 280</w:t>
      </w:r>
    </w:p>
    <w:p w14:paraId="499A8F64" w14:textId="77777777" w:rsidR="00D16287" w:rsidRPr="00C65707" w:rsidRDefault="00D16287" w:rsidP="002B3647">
      <w:pPr>
        <w:pStyle w:val="NoSpacing"/>
        <w:widowControl w:val="0"/>
        <w:jc w:val="both"/>
        <w:rPr>
          <w:rFonts w:eastAsia="Calibri"/>
          <w:sz w:val="22"/>
          <w:szCs w:val="22"/>
          <w:lang w:val="sr-Latn-ME"/>
        </w:rPr>
      </w:pPr>
      <w:r w:rsidRPr="00C65707">
        <w:rPr>
          <w:rFonts w:eastAsia="Calibri"/>
          <w:sz w:val="22"/>
          <w:szCs w:val="22"/>
          <w:lang w:val="sr-Latn-ME"/>
        </w:rPr>
        <w:t>fax: +382 (0) 20 310 581</w:t>
      </w:r>
    </w:p>
    <w:p w14:paraId="497BC57F" w14:textId="77777777" w:rsidR="00D16287" w:rsidRPr="00C65707" w:rsidRDefault="00BB1EE7" w:rsidP="002B3647">
      <w:pPr>
        <w:pStyle w:val="NoSpacing"/>
        <w:widowControl w:val="0"/>
        <w:jc w:val="both"/>
        <w:rPr>
          <w:rFonts w:eastAsia="Calibri"/>
          <w:sz w:val="22"/>
          <w:szCs w:val="22"/>
          <w:lang w:val="sr-Latn-ME"/>
        </w:rPr>
      </w:pPr>
      <w:hyperlink r:id="rId11" w:history="1">
        <w:r w:rsidR="00D16287" w:rsidRPr="00C65707">
          <w:rPr>
            <w:rStyle w:val="Hyperlink"/>
            <w:rFonts w:eastAsia="Calibri"/>
            <w:noProof w:val="0"/>
            <w:sz w:val="22"/>
            <w:szCs w:val="22"/>
            <w:lang w:val="sr-Latn-ME"/>
          </w:rPr>
          <w:t>www.cinmed.me</w:t>
        </w:r>
      </w:hyperlink>
    </w:p>
    <w:p w14:paraId="2C546EA2" w14:textId="77777777" w:rsidR="00D16287" w:rsidRPr="00C65707" w:rsidRDefault="00BB1EE7" w:rsidP="002B3647">
      <w:pPr>
        <w:pStyle w:val="NoSpacing"/>
        <w:widowControl w:val="0"/>
        <w:jc w:val="both"/>
        <w:rPr>
          <w:rFonts w:eastAsia="Calibri"/>
          <w:color w:val="0000FF"/>
          <w:sz w:val="22"/>
          <w:szCs w:val="22"/>
          <w:u w:val="single"/>
          <w:lang w:val="sr-Latn-ME"/>
        </w:rPr>
      </w:pPr>
      <w:hyperlink r:id="rId12" w:history="1">
        <w:r w:rsidR="00D16287" w:rsidRPr="00C65707">
          <w:rPr>
            <w:rStyle w:val="Hyperlink"/>
            <w:rFonts w:eastAsia="Calibri"/>
            <w:noProof w:val="0"/>
            <w:sz w:val="22"/>
            <w:szCs w:val="22"/>
            <w:lang w:val="sr-Latn-ME"/>
          </w:rPr>
          <w:t>nezeljenadejstva@cinmed.me</w:t>
        </w:r>
      </w:hyperlink>
    </w:p>
    <w:p w14:paraId="3E24F9FE" w14:textId="77777777" w:rsidR="00D16287" w:rsidRPr="00C65707" w:rsidRDefault="00D16287">
      <w:pPr>
        <w:pStyle w:val="NoSpacing"/>
        <w:widowControl w:val="0"/>
        <w:jc w:val="both"/>
        <w:rPr>
          <w:rFonts w:eastAsia="Calibri"/>
          <w:sz w:val="22"/>
          <w:szCs w:val="22"/>
          <w:lang w:val="sr-Latn-ME"/>
        </w:rPr>
      </w:pPr>
      <w:r w:rsidRPr="00C65707">
        <w:rPr>
          <w:rFonts w:eastAsia="Calibri"/>
          <w:sz w:val="22"/>
          <w:szCs w:val="22"/>
          <w:lang w:val="sr-Latn-ME"/>
        </w:rPr>
        <w:t>putem IS zdravstvene zaštite</w:t>
      </w:r>
    </w:p>
    <w:p w14:paraId="2B976782" w14:textId="77777777" w:rsidR="005A23D2" w:rsidRPr="002B3647" w:rsidRDefault="00464C82">
      <w:pPr>
        <w:pStyle w:val="NoSpacing"/>
        <w:widowControl w:val="0"/>
        <w:jc w:val="both"/>
        <w:rPr>
          <w:rFonts w:eastAsia="Calibri"/>
          <w:sz w:val="22"/>
          <w:szCs w:val="22"/>
          <w:lang w:val="sr-Latn-ME"/>
        </w:rPr>
      </w:pPr>
      <w:r w:rsidRPr="002B3647">
        <w:rPr>
          <w:rFonts w:eastAsia="Calibri"/>
          <w:sz w:val="22"/>
          <w:szCs w:val="22"/>
          <w:lang w:val="sr-Latn-ME"/>
        </w:rPr>
        <w:t>QR kod za online prijavu sumnje na neželjeno dejstvo lijeka:</w:t>
      </w:r>
    </w:p>
    <w:p w14:paraId="6A6A9EB8" w14:textId="77777777" w:rsidR="00464C82" w:rsidRPr="00C65707" w:rsidRDefault="00464C82">
      <w:pPr>
        <w:pStyle w:val="NoSpacing"/>
        <w:widowControl w:val="0"/>
        <w:jc w:val="both"/>
        <w:rPr>
          <w:rFonts w:eastAsia="Calibri"/>
          <w:sz w:val="22"/>
          <w:szCs w:val="22"/>
          <w:lang w:val="sr-Latn-ME"/>
        </w:rPr>
      </w:pPr>
    </w:p>
    <w:p w14:paraId="1757F767" w14:textId="77777777" w:rsidR="00464C82" w:rsidRPr="00C65707" w:rsidRDefault="00414E80">
      <w:pPr>
        <w:pStyle w:val="NoSpacing"/>
        <w:widowControl w:val="0"/>
        <w:jc w:val="both"/>
        <w:rPr>
          <w:rFonts w:eastAsia="Calibri"/>
          <w:sz w:val="22"/>
          <w:szCs w:val="22"/>
          <w:lang w:val="sr-Latn-ME"/>
        </w:rPr>
      </w:pPr>
      <w:r w:rsidRPr="00C65707">
        <w:rPr>
          <w:b/>
          <w:bCs/>
          <w:noProof/>
          <w:sz w:val="22"/>
          <w:szCs w:val="22"/>
          <w:lang w:val="sr-Latn-ME" w:eastAsia="sr-Latn-ME"/>
        </w:rPr>
        <w:drawing>
          <wp:inline distT="0" distB="0" distL="0" distR="0" wp14:anchorId="1AE79237" wp14:editId="36410EBF">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4BAD5E1" w14:textId="77777777" w:rsidR="00836B35" w:rsidRPr="00C65707" w:rsidRDefault="00836B35" w:rsidP="00CE5678">
      <w:pPr>
        <w:widowControl w:val="0"/>
        <w:tabs>
          <w:tab w:val="left" w:pos="540"/>
          <w:tab w:val="left" w:pos="569"/>
        </w:tabs>
        <w:jc w:val="both"/>
        <w:rPr>
          <w:b/>
          <w:bCs/>
          <w:sz w:val="22"/>
          <w:szCs w:val="22"/>
        </w:rPr>
      </w:pPr>
    </w:p>
    <w:p w14:paraId="2EABD9B4" w14:textId="77777777" w:rsidR="00CD6F02" w:rsidRPr="00C65707" w:rsidRDefault="0072020E" w:rsidP="00CE5678">
      <w:pPr>
        <w:widowControl w:val="0"/>
        <w:tabs>
          <w:tab w:val="left" w:pos="540"/>
          <w:tab w:val="left" w:pos="569"/>
        </w:tabs>
        <w:jc w:val="both"/>
        <w:rPr>
          <w:b/>
          <w:bCs/>
          <w:sz w:val="22"/>
          <w:szCs w:val="22"/>
        </w:rPr>
      </w:pPr>
      <w:r w:rsidRPr="002B3647">
        <w:rPr>
          <w:b/>
          <w:bCs/>
          <w:sz w:val="22"/>
          <w:szCs w:val="22"/>
        </w:rPr>
        <w:t xml:space="preserve">4.9. </w:t>
      </w:r>
      <w:r w:rsidR="00480FB1" w:rsidRPr="00C65707">
        <w:rPr>
          <w:b/>
          <w:bCs/>
          <w:sz w:val="22"/>
          <w:szCs w:val="22"/>
        </w:rPr>
        <w:tab/>
      </w:r>
      <w:r w:rsidRPr="00C65707">
        <w:rPr>
          <w:b/>
          <w:bCs/>
          <w:sz w:val="22"/>
          <w:szCs w:val="22"/>
        </w:rPr>
        <w:t>Predoziranje</w:t>
      </w:r>
      <w:r w:rsidR="002846DB" w:rsidRPr="00C65707">
        <w:rPr>
          <w:b/>
          <w:bCs/>
          <w:sz w:val="22"/>
          <w:szCs w:val="22"/>
        </w:rPr>
        <w:t xml:space="preserve"> </w:t>
      </w:r>
    </w:p>
    <w:p w14:paraId="11CB9460" w14:textId="77777777" w:rsidR="00CD6F02" w:rsidRPr="00C65707" w:rsidRDefault="00CD6F02" w:rsidP="00CE5678">
      <w:pPr>
        <w:widowControl w:val="0"/>
        <w:tabs>
          <w:tab w:val="left" w:pos="540"/>
          <w:tab w:val="left" w:pos="569"/>
        </w:tabs>
        <w:jc w:val="both"/>
        <w:rPr>
          <w:b/>
          <w:bCs/>
          <w:sz w:val="22"/>
          <w:szCs w:val="22"/>
        </w:rPr>
      </w:pPr>
    </w:p>
    <w:p w14:paraId="4A07F360" w14:textId="5B8D19D9" w:rsidR="00C40F7C" w:rsidRPr="00C65707" w:rsidRDefault="00C40F7C" w:rsidP="00C65707">
      <w:pPr>
        <w:widowControl w:val="0"/>
        <w:jc w:val="both"/>
        <w:rPr>
          <w:sz w:val="22"/>
          <w:szCs w:val="22"/>
        </w:rPr>
      </w:pPr>
      <w:r w:rsidRPr="00C65707">
        <w:rPr>
          <w:sz w:val="22"/>
          <w:szCs w:val="22"/>
        </w:rPr>
        <w:t xml:space="preserve">Podaci o predoziranju </w:t>
      </w:r>
      <w:r w:rsidR="00817A5C" w:rsidRPr="00C65707">
        <w:rPr>
          <w:sz w:val="22"/>
          <w:szCs w:val="22"/>
        </w:rPr>
        <w:t>tocilizumabom</w:t>
      </w:r>
      <w:r w:rsidRPr="00C65707">
        <w:rPr>
          <w:sz w:val="22"/>
          <w:szCs w:val="22"/>
        </w:rPr>
        <w:t xml:space="preserve"> su ograničeni. Jedan slučaj nehotičnog </w:t>
      </w:r>
      <w:r w:rsidR="00045FBA" w:rsidRPr="00C65707">
        <w:rPr>
          <w:sz w:val="22"/>
          <w:szCs w:val="22"/>
        </w:rPr>
        <w:t xml:space="preserve">predoziranja zabilježen je kod </w:t>
      </w:r>
      <w:r w:rsidRPr="00C65707">
        <w:rPr>
          <w:sz w:val="22"/>
          <w:szCs w:val="22"/>
        </w:rPr>
        <w:t>pacijenta sa multiplim mijelomom koji je primio dozu od 40 mg/kg. Ni</w:t>
      </w:r>
      <w:r w:rsidR="000A085D" w:rsidRPr="00C65707">
        <w:rPr>
          <w:sz w:val="22"/>
          <w:szCs w:val="22"/>
        </w:rPr>
        <w:t>je</w:t>
      </w:r>
      <w:r w:rsidRPr="00C65707">
        <w:rPr>
          <w:sz w:val="22"/>
          <w:szCs w:val="22"/>
        </w:rPr>
        <w:t>su zabilježene nikakve neželjene reakcije.</w:t>
      </w:r>
    </w:p>
    <w:p w14:paraId="2E10952C" w14:textId="420109A5" w:rsidR="00C40F7C" w:rsidRPr="00C65707" w:rsidRDefault="00C40F7C" w:rsidP="002B3647">
      <w:pPr>
        <w:widowControl w:val="0"/>
        <w:jc w:val="both"/>
        <w:rPr>
          <w:sz w:val="22"/>
          <w:szCs w:val="22"/>
        </w:rPr>
      </w:pPr>
      <w:r w:rsidRPr="00C65707">
        <w:rPr>
          <w:sz w:val="22"/>
          <w:szCs w:val="22"/>
        </w:rPr>
        <w:t>Ni</w:t>
      </w:r>
      <w:r w:rsidR="000A085D" w:rsidRPr="00C65707">
        <w:rPr>
          <w:sz w:val="22"/>
          <w:szCs w:val="22"/>
        </w:rPr>
        <w:t>je</w:t>
      </w:r>
      <w:r w:rsidRPr="00C65707">
        <w:rPr>
          <w:sz w:val="22"/>
          <w:szCs w:val="22"/>
        </w:rPr>
        <w:t>su zabilježene nikakve teške neželjene re</w:t>
      </w:r>
      <w:r w:rsidR="00045FBA" w:rsidRPr="00C65707">
        <w:rPr>
          <w:sz w:val="22"/>
          <w:szCs w:val="22"/>
        </w:rPr>
        <w:t>akcije kod zdravih dobrovoljaca</w:t>
      </w:r>
      <w:r w:rsidRPr="00C65707">
        <w:rPr>
          <w:sz w:val="22"/>
          <w:szCs w:val="22"/>
        </w:rPr>
        <w:t xml:space="preserve"> koji su primali pojedinačne doze do</w:t>
      </w:r>
      <w:r w:rsidR="00817A5C" w:rsidRPr="00C65707">
        <w:rPr>
          <w:sz w:val="22"/>
          <w:szCs w:val="22"/>
        </w:rPr>
        <w:t xml:space="preserve"> </w:t>
      </w:r>
      <w:r w:rsidRPr="00C65707">
        <w:rPr>
          <w:sz w:val="22"/>
          <w:szCs w:val="22"/>
        </w:rPr>
        <w:t>28 mg/kg, iako je primijećena pojava neutropenije koja ograničava dozu.</w:t>
      </w:r>
    </w:p>
    <w:p w14:paraId="4D379705" w14:textId="02C625E9" w:rsidR="00227BDB" w:rsidRPr="00C65707" w:rsidRDefault="00227BDB" w:rsidP="00CE5678">
      <w:pPr>
        <w:widowControl w:val="0"/>
        <w:tabs>
          <w:tab w:val="left" w:pos="540"/>
          <w:tab w:val="left" w:pos="569"/>
        </w:tabs>
        <w:jc w:val="both"/>
        <w:rPr>
          <w:b/>
          <w:bCs/>
          <w:sz w:val="22"/>
          <w:szCs w:val="22"/>
        </w:rPr>
      </w:pPr>
    </w:p>
    <w:p w14:paraId="06A91EB6" w14:textId="77777777" w:rsidR="009759B0" w:rsidRPr="00C65707" w:rsidRDefault="009759B0" w:rsidP="00CE5678">
      <w:pPr>
        <w:widowControl w:val="0"/>
        <w:tabs>
          <w:tab w:val="left" w:pos="540"/>
          <w:tab w:val="left" w:pos="569"/>
        </w:tabs>
        <w:jc w:val="both"/>
        <w:rPr>
          <w:b/>
          <w:bCs/>
          <w:sz w:val="22"/>
          <w:szCs w:val="22"/>
        </w:rPr>
      </w:pPr>
    </w:p>
    <w:p w14:paraId="68A97314" w14:textId="77777777" w:rsidR="0072020E" w:rsidRPr="00C65707" w:rsidRDefault="0072020E" w:rsidP="00CE5678">
      <w:pPr>
        <w:widowControl w:val="0"/>
        <w:tabs>
          <w:tab w:val="left" w:pos="540"/>
          <w:tab w:val="left" w:pos="569"/>
        </w:tabs>
        <w:jc w:val="both"/>
        <w:rPr>
          <w:b/>
          <w:bCs/>
          <w:sz w:val="22"/>
          <w:szCs w:val="22"/>
        </w:rPr>
      </w:pPr>
      <w:r w:rsidRPr="00C65707">
        <w:rPr>
          <w:b/>
          <w:bCs/>
          <w:sz w:val="22"/>
          <w:szCs w:val="22"/>
        </w:rPr>
        <w:t xml:space="preserve">5. </w:t>
      </w:r>
      <w:r w:rsidR="00480FB1" w:rsidRPr="00C65707">
        <w:rPr>
          <w:b/>
          <w:bCs/>
          <w:sz w:val="22"/>
          <w:szCs w:val="22"/>
        </w:rPr>
        <w:tab/>
      </w:r>
      <w:r w:rsidRPr="00C65707">
        <w:rPr>
          <w:b/>
          <w:bCs/>
          <w:sz w:val="22"/>
          <w:szCs w:val="22"/>
        </w:rPr>
        <w:t>FARMAKOLOŠK</w:t>
      </w:r>
      <w:r w:rsidR="000D425A" w:rsidRPr="00C65707">
        <w:rPr>
          <w:b/>
          <w:bCs/>
          <w:sz w:val="22"/>
          <w:szCs w:val="22"/>
        </w:rPr>
        <w:t>I</w:t>
      </w:r>
      <w:r w:rsidRPr="00C65707">
        <w:rPr>
          <w:b/>
          <w:bCs/>
          <w:sz w:val="22"/>
          <w:szCs w:val="22"/>
        </w:rPr>
        <w:t xml:space="preserve"> PODACI</w:t>
      </w:r>
    </w:p>
    <w:p w14:paraId="47B0C56B" w14:textId="77777777" w:rsidR="0072020E" w:rsidRPr="00C65707" w:rsidRDefault="0072020E" w:rsidP="00CE5678">
      <w:pPr>
        <w:widowControl w:val="0"/>
        <w:tabs>
          <w:tab w:val="left" w:pos="540"/>
          <w:tab w:val="left" w:pos="569"/>
        </w:tabs>
        <w:jc w:val="both"/>
        <w:rPr>
          <w:b/>
          <w:bCs/>
          <w:sz w:val="22"/>
          <w:szCs w:val="22"/>
        </w:rPr>
      </w:pPr>
    </w:p>
    <w:p w14:paraId="63927D13" w14:textId="77777777" w:rsidR="0072020E" w:rsidRPr="00C65707" w:rsidRDefault="0072020E" w:rsidP="00CE5678">
      <w:pPr>
        <w:widowControl w:val="0"/>
        <w:tabs>
          <w:tab w:val="left" w:pos="540"/>
          <w:tab w:val="left" w:pos="569"/>
        </w:tabs>
        <w:jc w:val="both"/>
        <w:rPr>
          <w:b/>
          <w:bCs/>
          <w:sz w:val="22"/>
          <w:szCs w:val="22"/>
        </w:rPr>
      </w:pPr>
      <w:r w:rsidRPr="00C65707">
        <w:rPr>
          <w:b/>
          <w:bCs/>
          <w:sz w:val="22"/>
          <w:szCs w:val="22"/>
        </w:rPr>
        <w:t xml:space="preserve">5.1. </w:t>
      </w:r>
      <w:r w:rsidR="00480FB1" w:rsidRPr="00C65707">
        <w:rPr>
          <w:b/>
          <w:bCs/>
          <w:sz w:val="22"/>
          <w:szCs w:val="22"/>
        </w:rPr>
        <w:tab/>
      </w:r>
      <w:r w:rsidRPr="00C65707">
        <w:rPr>
          <w:b/>
          <w:bCs/>
          <w:sz w:val="22"/>
          <w:szCs w:val="22"/>
        </w:rPr>
        <w:t>Farmakodinamski podaci</w:t>
      </w:r>
      <w:r w:rsidR="003A7059" w:rsidRPr="00C65707">
        <w:rPr>
          <w:b/>
          <w:bCs/>
          <w:sz w:val="22"/>
          <w:szCs w:val="22"/>
        </w:rPr>
        <w:t xml:space="preserve"> </w:t>
      </w:r>
    </w:p>
    <w:p w14:paraId="05D52EA1" w14:textId="77777777" w:rsidR="00F45F77" w:rsidRPr="00C65707" w:rsidRDefault="00F45F77" w:rsidP="00CE5678">
      <w:pPr>
        <w:widowControl w:val="0"/>
        <w:tabs>
          <w:tab w:val="left" w:pos="540"/>
          <w:tab w:val="left" w:pos="569"/>
        </w:tabs>
        <w:jc w:val="both"/>
        <w:rPr>
          <w:b/>
          <w:bCs/>
          <w:sz w:val="22"/>
          <w:szCs w:val="22"/>
        </w:rPr>
      </w:pPr>
    </w:p>
    <w:p w14:paraId="5E6A791B" w14:textId="77777777" w:rsidR="00C40F7C" w:rsidRPr="00C65707" w:rsidRDefault="0072020E" w:rsidP="00CE5678">
      <w:pPr>
        <w:pStyle w:val="Header"/>
        <w:widowControl w:val="0"/>
        <w:tabs>
          <w:tab w:val="left" w:pos="284"/>
        </w:tabs>
        <w:jc w:val="both"/>
        <w:rPr>
          <w:sz w:val="22"/>
          <w:szCs w:val="22"/>
        </w:rPr>
      </w:pPr>
      <w:r w:rsidRPr="00C65707">
        <w:rPr>
          <w:bCs/>
          <w:sz w:val="22"/>
          <w:szCs w:val="22"/>
        </w:rPr>
        <w:t>Farmakoterapijska grupa:</w:t>
      </w:r>
      <w:r w:rsidR="00C40F7C" w:rsidRPr="00C65707">
        <w:rPr>
          <w:bCs/>
          <w:sz w:val="22"/>
          <w:szCs w:val="22"/>
        </w:rPr>
        <w:t xml:space="preserve"> </w:t>
      </w:r>
      <w:r w:rsidR="00C40F7C" w:rsidRPr="00C65707">
        <w:rPr>
          <w:sz w:val="22"/>
          <w:szCs w:val="22"/>
        </w:rPr>
        <w:t>Imunosupresivi, inhibitori interleukina</w:t>
      </w:r>
    </w:p>
    <w:p w14:paraId="35B4D780" w14:textId="77777777" w:rsidR="0072020E" w:rsidRPr="00C65707" w:rsidRDefault="0072020E" w:rsidP="00CE5678">
      <w:pPr>
        <w:widowControl w:val="0"/>
        <w:tabs>
          <w:tab w:val="left" w:pos="540"/>
          <w:tab w:val="left" w:pos="569"/>
        </w:tabs>
        <w:jc w:val="both"/>
        <w:rPr>
          <w:bCs/>
          <w:sz w:val="22"/>
          <w:szCs w:val="22"/>
        </w:rPr>
      </w:pPr>
    </w:p>
    <w:p w14:paraId="75BC2968" w14:textId="77777777" w:rsidR="0072020E" w:rsidRPr="00C65707" w:rsidRDefault="0072020E" w:rsidP="00CE5678">
      <w:pPr>
        <w:widowControl w:val="0"/>
        <w:tabs>
          <w:tab w:val="left" w:pos="540"/>
          <w:tab w:val="left" w:pos="569"/>
        </w:tabs>
        <w:jc w:val="both"/>
        <w:rPr>
          <w:bCs/>
          <w:sz w:val="22"/>
          <w:szCs w:val="22"/>
        </w:rPr>
      </w:pPr>
      <w:r w:rsidRPr="00C65707">
        <w:rPr>
          <w:bCs/>
          <w:sz w:val="22"/>
          <w:szCs w:val="22"/>
        </w:rPr>
        <w:t>ATC kod:</w:t>
      </w:r>
      <w:r w:rsidR="00C40F7C" w:rsidRPr="00C65707">
        <w:rPr>
          <w:bCs/>
          <w:sz w:val="22"/>
          <w:szCs w:val="22"/>
        </w:rPr>
        <w:t xml:space="preserve"> </w:t>
      </w:r>
      <w:r w:rsidR="00C40F7C" w:rsidRPr="00C65707">
        <w:rPr>
          <w:sz w:val="22"/>
          <w:szCs w:val="22"/>
        </w:rPr>
        <w:t>L04AC07</w:t>
      </w:r>
    </w:p>
    <w:p w14:paraId="4E8D67CD" w14:textId="77777777" w:rsidR="00C40F7C" w:rsidRPr="00C65707" w:rsidRDefault="00C40F7C" w:rsidP="00CE5678">
      <w:pPr>
        <w:widowControl w:val="0"/>
        <w:tabs>
          <w:tab w:val="left" w:pos="540"/>
          <w:tab w:val="left" w:pos="569"/>
        </w:tabs>
        <w:jc w:val="both"/>
        <w:rPr>
          <w:b/>
          <w:bCs/>
          <w:sz w:val="22"/>
          <w:szCs w:val="22"/>
        </w:rPr>
      </w:pPr>
    </w:p>
    <w:p w14:paraId="21D40867" w14:textId="77777777" w:rsidR="00CC2B31" w:rsidRPr="00C65707" w:rsidRDefault="00CC2B31" w:rsidP="00C65707">
      <w:pPr>
        <w:pStyle w:val="Header"/>
        <w:widowControl w:val="0"/>
        <w:tabs>
          <w:tab w:val="left" w:pos="284"/>
        </w:tabs>
        <w:jc w:val="both"/>
        <w:rPr>
          <w:sz w:val="22"/>
          <w:szCs w:val="22"/>
          <w:u w:val="single"/>
        </w:rPr>
      </w:pPr>
      <w:r w:rsidRPr="00C65707">
        <w:rPr>
          <w:sz w:val="22"/>
          <w:szCs w:val="22"/>
          <w:u w:val="single"/>
        </w:rPr>
        <w:t>Mehanizam dejstva</w:t>
      </w:r>
    </w:p>
    <w:p w14:paraId="5E532498" w14:textId="77777777" w:rsidR="00CC2B31" w:rsidRPr="00C65707" w:rsidRDefault="00CC2B31" w:rsidP="002B3647">
      <w:pPr>
        <w:pStyle w:val="Header"/>
        <w:widowControl w:val="0"/>
        <w:tabs>
          <w:tab w:val="left" w:pos="284"/>
        </w:tabs>
        <w:jc w:val="both"/>
        <w:rPr>
          <w:sz w:val="22"/>
          <w:szCs w:val="22"/>
        </w:rPr>
      </w:pPr>
      <w:r w:rsidRPr="00C65707">
        <w:rPr>
          <w:sz w:val="22"/>
          <w:szCs w:val="22"/>
        </w:rPr>
        <w:t>Tocilizumab se specifično vezuje za IL</w:t>
      </w:r>
      <w:r w:rsidRPr="00C65707">
        <w:rPr>
          <w:sz w:val="22"/>
          <w:szCs w:val="22"/>
        </w:rPr>
        <w:noBreakHyphen/>
        <w:t>6 receptore (sIL</w:t>
      </w:r>
      <w:r w:rsidRPr="00C65707">
        <w:rPr>
          <w:sz w:val="22"/>
          <w:szCs w:val="22"/>
        </w:rPr>
        <w:noBreakHyphen/>
        <w:t>6R i mIL</w:t>
      </w:r>
      <w:r w:rsidRPr="00C65707">
        <w:rPr>
          <w:sz w:val="22"/>
          <w:szCs w:val="22"/>
        </w:rPr>
        <w:noBreakHyphen/>
        <w:t xml:space="preserve">6R) i solubilne i one vezane za membranu. Pokazano je da tocilizumab </w:t>
      </w:r>
      <w:r w:rsidRPr="00C65707">
        <w:rPr>
          <w:iCs/>
          <w:sz w:val="22"/>
          <w:szCs w:val="22"/>
        </w:rPr>
        <w:t>inhibira signaliziranje posredovano preko sIL</w:t>
      </w:r>
      <w:r w:rsidRPr="00C65707">
        <w:rPr>
          <w:iCs/>
          <w:sz w:val="22"/>
          <w:szCs w:val="22"/>
        </w:rPr>
        <w:noBreakHyphen/>
        <w:t xml:space="preserve">6R i </w:t>
      </w:r>
      <w:r w:rsidRPr="00C65707">
        <w:rPr>
          <w:sz w:val="22"/>
          <w:szCs w:val="22"/>
        </w:rPr>
        <w:t>mIL</w:t>
      </w:r>
      <w:r w:rsidRPr="00C65707">
        <w:rPr>
          <w:sz w:val="22"/>
          <w:szCs w:val="22"/>
        </w:rPr>
        <w:noBreakHyphen/>
        <w:t xml:space="preserve">6R. IL-6 je plejotropni pro-inflamatorni citokin koji proizvodi veliki broj ćelija, uključujući i T- i B-ćelije, monocite i fibroblaste. IL-6 je uključen u različite fiziološke procese kao što je aktivacija T-ćelija, indukcija sekrecije imunoglobulina, indukcija sinteze proteina u akutnoj hepatičkoj fazi i stimulacija hemopoeze. IL-6 je doveden u vezu i sa patogenezom bolesti koje uključuju zapaljenske bolesti, osteoporozu i neoplazije. </w:t>
      </w:r>
    </w:p>
    <w:p w14:paraId="36AFB881" w14:textId="77777777" w:rsidR="00CC2B31" w:rsidRPr="00C65707" w:rsidRDefault="00CC2B31">
      <w:pPr>
        <w:pStyle w:val="Header"/>
        <w:widowControl w:val="0"/>
        <w:tabs>
          <w:tab w:val="left" w:pos="284"/>
        </w:tabs>
        <w:jc w:val="both"/>
        <w:rPr>
          <w:sz w:val="22"/>
          <w:szCs w:val="22"/>
        </w:rPr>
      </w:pPr>
    </w:p>
    <w:p w14:paraId="0E460C2D" w14:textId="77777777" w:rsidR="00CC2B31" w:rsidRPr="00C65707" w:rsidRDefault="00CC2B31">
      <w:pPr>
        <w:pStyle w:val="Header"/>
        <w:widowControl w:val="0"/>
        <w:tabs>
          <w:tab w:val="left" w:pos="284"/>
        </w:tabs>
        <w:jc w:val="both"/>
        <w:rPr>
          <w:sz w:val="22"/>
          <w:szCs w:val="22"/>
          <w:u w:val="single"/>
        </w:rPr>
      </w:pPr>
      <w:r w:rsidRPr="00C65707">
        <w:rPr>
          <w:sz w:val="22"/>
          <w:szCs w:val="22"/>
          <w:u w:val="single"/>
        </w:rPr>
        <w:t>Farmakodinamiski efekti</w:t>
      </w:r>
    </w:p>
    <w:p w14:paraId="304DCF9F" w14:textId="77777777" w:rsidR="00CC2B31" w:rsidRPr="00C65707" w:rsidRDefault="00CC2B31">
      <w:pPr>
        <w:pStyle w:val="Header"/>
        <w:widowControl w:val="0"/>
        <w:tabs>
          <w:tab w:val="left" w:pos="284"/>
        </w:tabs>
        <w:jc w:val="both"/>
        <w:rPr>
          <w:sz w:val="22"/>
          <w:szCs w:val="22"/>
        </w:rPr>
      </w:pPr>
    </w:p>
    <w:p w14:paraId="3422E639" w14:textId="456D101E" w:rsidR="00CC2B31" w:rsidRPr="00C65707" w:rsidRDefault="00CC2B31">
      <w:pPr>
        <w:pStyle w:val="Header"/>
        <w:widowControl w:val="0"/>
        <w:tabs>
          <w:tab w:val="left" w:pos="284"/>
        </w:tabs>
        <w:jc w:val="both"/>
        <w:rPr>
          <w:sz w:val="22"/>
          <w:szCs w:val="22"/>
        </w:rPr>
      </w:pPr>
      <w:r w:rsidRPr="00C65707">
        <w:rPr>
          <w:bCs/>
          <w:sz w:val="22"/>
          <w:szCs w:val="22"/>
        </w:rPr>
        <w:t xml:space="preserve">U kliničkim ispitivanjima </w:t>
      </w:r>
      <w:r w:rsidR="00817A5C" w:rsidRPr="00C65707">
        <w:rPr>
          <w:sz w:val="22"/>
          <w:szCs w:val="22"/>
        </w:rPr>
        <w:t>tocilizumaba</w:t>
      </w:r>
      <w:r w:rsidRPr="00C65707">
        <w:rPr>
          <w:bCs/>
          <w:sz w:val="22"/>
          <w:szCs w:val="22"/>
        </w:rPr>
        <w:t>, primijećeni su brzi pad CRP, brzine sedimentacije eritrocita,</w:t>
      </w:r>
      <w:r w:rsidR="00EA4C74" w:rsidRPr="00C65707">
        <w:rPr>
          <w:bCs/>
          <w:sz w:val="22"/>
          <w:szCs w:val="22"/>
        </w:rPr>
        <w:t xml:space="preserve"> </w:t>
      </w:r>
      <w:r w:rsidRPr="00C65707">
        <w:rPr>
          <w:bCs/>
          <w:sz w:val="22"/>
          <w:szCs w:val="22"/>
        </w:rPr>
        <w:t xml:space="preserve">serumskog amiloida </w:t>
      </w:r>
      <w:r w:rsidRPr="00C65707">
        <w:rPr>
          <w:sz w:val="22"/>
          <w:szCs w:val="22"/>
        </w:rPr>
        <w:t>A (SAA) i fibrinogen</w:t>
      </w:r>
      <w:r w:rsidRPr="00C65707">
        <w:rPr>
          <w:bCs/>
          <w:sz w:val="22"/>
          <w:szCs w:val="22"/>
        </w:rPr>
        <w:t xml:space="preserve">. U skladu sa dejstvom na reaktante akutne faze, terapija </w:t>
      </w:r>
      <w:r w:rsidR="00817A5C" w:rsidRPr="00C65707">
        <w:rPr>
          <w:sz w:val="22"/>
          <w:szCs w:val="22"/>
        </w:rPr>
        <w:t>tocilizumabom</w:t>
      </w:r>
      <w:r w:rsidRPr="00C65707">
        <w:rPr>
          <w:bCs/>
          <w:sz w:val="22"/>
          <w:szCs w:val="22"/>
        </w:rPr>
        <w:t xml:space="preserve"> povezana je i sa smanjenjem broja trombocita u normalnim okvirima. </w:t>
      </w:r>
      <w:r w:rsidRPr="00C65707">
        <w:rPr>
          <w:sz w:val="22"/>
          <w:szCs w:val="22"/>
        </w:rPr>
        <w:t>Zabilježen</w:t>
      </w:r>
      <w:r w:rsidRPr="00C65707">
        <w:rPr>
          <w:bCs/>
          <w:sz w:val="22"/>
          <w:szCs w:val="22"/>
        </w:rPr>
        <w:t xml:space="preserve"> je i porast nivoa </w:t>
      </w:r>
      <w:r w:rsidRPr="00C65707">
        <w:rPr>
          <w:sz w:val="22"/>
          <w:szCs w:val="22"/>
        </w:rPr>
        <w:t xml:space="preserve">hemoglobina, tako što tocilizumab smanjuje dejstvo IL-6 na produkciju hepcidina i tako povećava raspoloživost gvožđa. Kod pacijenata liječenih </w:t>
      </w:r>
      <w:r w:rsidR="00817A5C" w:rsidRPr="00C65707">
        <w:rPr>
          <w:sz w:val="22"/>
          <w:szCs w:val="22"/>
        </w:rPr>
        <w:t>tocilizumabom</w:t>
      </w:r>
      <w:r w:rsidRPr="00C65707">
        <w:rPr>
          <w:sz w:val="22"/>
          <w:szCs w:val="22"/>
        </w:rPr>
        <w:t xml:space="preserve"> do smanjenja nivoa CRP sve u granicama normale</w:t>
      </w:r>
      <w:r w:rsidR="00817A5C" w:rsidRPr="00C65707">
        <w:rPr>
          <w:sz w:val="22"/>
          <w:szCs w:val="22"/>
        </w:rPr>
        <w:t>,</w:t>
      </w:r>
      <w:r w:rsidRPr="00C65707">
        <w:rPr>
          <w:sz w:val="22"/>
          <w:szCs w:val="22"/>
        </w:rPr>
        <w:t xml:space="preserve"> dolazilo je već tokom druge nedjelje, a ovo smanjenje je održavano tokom cijelog trajanja terapije.</w:t>
      </w:r>
    </w:p>
    <w:p w14:paraId="39E6DBEB" w14:textId="77777777" w:rsidR="00CC2B31" w:rsidRPr="00C65707" w:rsidRDefault="00CC2B31">
      <w:pPr>
        <w:pStyle w:val="Header"/>
        <w:widowControl w:val="0"/>
        <w:tabs>
          <w:tab w:val="left" w:pos="284"/>
        </w:tabs>
        <w:jc w:val="both"/>
        <w:rPr>
          <w:sz w:val="22"/>
          <w:szCs w:val="22"/>
        </w:rPr>
      </w:pPr>
    </w:p>
    <w:p w14:paraId="688F9D96" w14:textId="5F873FC9" w:rsidR="00CC2B31" w:rsidRPr="00C65707" w:rsidRDefault="00CC2B31">
      <w:pPr>
        <w:widowControl w:val="0"/>
        <w:jc w:val="both"/>
        <w:rPr>
          <w:sz w:val="22"/>
          <w:szCs w:val="22"/>
        </w:rPr>
      </w:pPr>
      <w:r w:rsidRPr="00C65707">
        <w:rPr>
          <w:sz w:val="22"/>
          <w:szCs w:val="22"/>
        </w:rPr>
        <w:t xml:space="preserve">U kliničkoj studiji primjene kod GCA (WA28119) zapažena su slična nagla smanjenja vrijednosti CRP- a i SE-a, kao i blaga povećanja prosječne koncentracije hemoglobina u eritrocitima. Kod zdravih ispitanika koji su primali </w:t>
      </w:r>
      <w:r w:rsidR="00817A5C" w:rsidRPr="00C65707">
        <w:rPr>
          <w:sz w:val="22"/>
          <w:szCs w:val="22"/>
        </w:rPr>
        <w:t>tocilizumab</w:t>
      </w:r>
      <w:r w:rsidRPr="00C65707">
        <w:rPr>
          <w:sz w:val="22"/>
          <w:szCs w:val="22"/>
        </w:rPr>
        <w:t xml:space="preserve"> u dozama od 2 do 28 mg/kg i </w:t>
      </w:r>
      <w:r w:rsidR="00817A5C" w:rsidRPr="00C65707">
        <w:rPr>
          <w:sz w:val="22"/>
          <w:szCs w:val="22"/>
        </w:rPr>
        <w:t>su</w:t>
      </w:r>
      <w:r w:rsidR="00910BDC" w:rsidRPr="00C65707">
        <w:rPr>
          <w:sz w:val="22"/>
          <w:szCs w:val="22"/>
        </w:rPr>
        <w:t>b</w:t>
      </w:r>
      <w:r w:rsidR="00817A5C" w:rsidRPr="00C65707">
        <w:rPr>
          <w:sz w:val="22"/>
          <w:szCs w:val="22"/>
        </w:rPr>
        <w:t xml:space="preserve">kutanim </w:t>
      </w:r>
      <w:r w:rsidRPr="00C65707">
        <w:rPr>
          <w:sz w:val="22"/>
          <w:szCs w:val="22"/>
        </w:rPr>
        <w:t xml:space="preserve">dozama od 81 do 162 </w:t>
      </w:r>
      <w:r w:rsidRPr="00C65707">
        <w:rPr>
          <w:sz w:val="22"/>
          <w:szCs w:val="22"/>
        </w:rPr>
        <w:lastRenderedPageBreak/>
        <w:t>mg, apsolutni broj neutrofila smanjio se na najnižu vrijednost 3 do 5 dana nakon primjene. Nakon toga, neutrofili su se ponovo približavali početnoj vrijednosti, pri čemu je porast zavisio od doze.</w:t>
      </w:r>
    </w:p>
    <w:p w14:paraId="689D6DD0" w14:textId="143E6551" w:rsidR="00CC2B31" w:rsidRPr="00C65707" w:rsidRDefault="00CC2B31">
      <w:pPr>
        <w:widowControl w:val="0"/>
        <w:jc w:val="both"/>
        <w:rPr>
          <w:sz w:val="22"/>
          <w:szCs w:val="22"/>
        </w:rPr>
      </w:pPr>
      <w:r w:rsidRPr="00C65707">
        <w:rPr>
          <w:sz w:val="22"/>
          <w:szCs w:val="22"/>
        </w:rPr>
        <w:t>Kod pacijenata je</w:t>
      </w:r>
      <w:r w:rsidR="00817A5C" w:rsidRPr="00C65707">
        <w:rPr>
          <w:sz w:val="22"/>
          <w:szCs w:val="22"/>
        </w:rPr>
        <w:t xml:space="preserve"> </w:t>
      </w:r>
      <w:r w:rsidRPr="00C65707">
        <w:rPr>
          <w:sz w:val="22"/>
          <w:szCs w:val="22"/>
        </w:rPr>
        <w:t xml:space="preserve">primijećen sličan obrazac apsolutnog broja neutrofila nakon primjene </w:t>
      </w:r>
      <w:r w:rsidR="00817A5C" w:rsidRPr="00C65707">
        <w:rPr>
          <w:sz w:val="22"/>
          <w:szCs w:val="22"/>
        </w:rPr>
        <w:t>tocilizumaba</w:t>
      </w:r>
      <w:r w:rsidR="00817A5C" w:rsidRPr="00C65707" w:rsidDel="00817A5C">
        <w:rPr>
          <w:sz w:val="22"/>
          <w:szCs w:val="22"/>
        </w:rPr>
        <w:t xml:space="preserve"> </w:t>
      </w:r>
      <w:r w:rsidRPr="00C65707">
        <w:rPr>
          <w:sz w:val="22"/>
          <w:szCs w:val="22"/>
        </w:rPr>
        <w:t xml:space="preserve">(vidjeti dio 4.8). </w:t>
      </w:r>
    </w:p>
    <w:p w14:paraId="3738958F" w14:textId="64C2ABAE" w:rsidR="00CC2B31" w:rsidRPr="00C65707" w:rsidRDefault="00CC2B31">
      <w:pPr>
        <w:pStyle w:val="Header"/>
        <w:widowControl w:val="0"/>
        <w:tabs>
          <w:tab w:val="left" w:pos="284"/>
        </w:tabs>
        <w:jc w:val="both"/>
        <w:rPr>
          <w:b/>
          <w:sz w:val="22"/>
          <w:szCs w:val="22"/>
          <w:u w:val="single"/>
        </w:rPr>
      </w:pPr>
    </w:p>
    <w:p w14:paraId="10CE62F2" w14:textId="3307FD9D" w:rsidR="00CC2B31" w:rsidRPr="00C65707" w:rsidRDefault="00CC2B31">
      <w:pPr>
        <w:widowControl w:val="0"/>
        <w:jc w:val="both"/>
        <w:rPr>
          <w:b/>
          <w:sz w:val="22"/>
          <w:szCs w:val="22"/>
          <w:u w:val="single"/>
        </w:rPr>
      </w:pPr>
      <w:r w:rsidRPr="00C65707">
        <w:rPr>
          <w:b/>
          <w:sz w:val="22"/>
          <w:szCs w:val="22"/>
          <w:u w:val="single"/>
        </w:rPr>
        <w:t>RA</w:t>
      </w:r>
      <w:r w:rsidR="00817A5C" w:rsidRPr="00C65707">
        <w:rPr>
          <w:b/>
          <w:sz w:val="22"/>
          <w:szCs w:val="22"/>
          <w:u w:val="single"/>
        </w:rPr>
        <w:t xml:space="preserve"> (su</w:t>
      </w:r>
      <w:r w:rsidR="00910BDC" w:rsidRPr="00C65707">
        <w:rPr>
          <w:b/>
          <w:sz w:val="22"/>
          <w:szCs w:val="22"/>
          <w:u w:val="single"/>
        </w:rPr>
        <w:t>b</w:t>
      </w:r>
      <w:r w:rsidR="00817A5C" w:rsidRPr="00C65707">
        <w:rPr>
          <w:b/>
          <w:sz w:val="22"/>
          <w:szCs w:val="22"/>
          <w:u w:val="single"/>
        </w:rPr>
        <w:t>kutana primjena)</w:t>
      </w:r>
    </w:p>
    <w:p w14:paraId="58B6A924" w14:textId="77777777" w:rsidR="00EA4C74" w:rsidRPr="00C65707" w:rsidRDefault="00EA4C74">
      <w:pPr>
        <w:widowControl w:val="0"/>
        <w:jc w:val="both"/>
        <w:rPr>
          <w:sz w:val="22"/>
          <w:szCs w:val="22"/>
        </w:rPr>
      </w:pPr>
    </w:p>
    <w:p w14:paraId="7283B200" w14:textId="77777777" w:rsidR="00CC2B31" w:rsidRPr="00C65707" w:rsidRDefault="00CC2B31">
      <w:pPr>
        <w:widowControl w:val="0"/>
        <w:jc w:val="both"/>
        <w:rPr>
          <w:sz w:val="22"/>
          <w:szCs w:val="22"/>
          <w:u w:val="single"/>
        </w:rPr>
      </w:pPr>
      <w:r w:rsidRPr="00C65707">
        <w:rPr>
          <w:sz w:val="22"/>
          <w:szCs w:val="22"/>
          <w:u w:val="single"/>
        </w:rPr>
        <w:t>Klinička efikasnost</w:t>
      </w:r>
    </w:p>
    <w:p w14:paraId="4150A7BB" w14:textId="41730E1D" w:rsidR="00CC2B31" w:rsidRPr="00C65707" w:rsidRDefault="00CC2B31">
      <w:pPr>
        <w:widowControl w:val="0"/>
        <w:jc w:val="both"/>
        <w:rPr>
          <w:sz w:val="22"/>
          <w:szCs w:val="22"/>
        </w:rPr>
      </w:pPr>
      <w:r w:rsidRPr="00C65707">
        <w:rPr>
          <w:sz w:val="22"/>
          <w:szCs w:val="22"/>
        </w:rPr>
        <w:t xml:space="preserve">Efikasnost subkutano primijenjenog </w:t>
      </w:r>
      <w:r w:rsidR="00BB0387" w:rsidRPr="00C65707">
        <w:rPr>
          <w:sz w:val="22"/>
          <w:szCs w:val="22"/>
        </w:rPr>
        <w:t>tocilizumab</w:t>
      </w:r>
      <w:r w:rsidRPr="00C65707">
        <w:rPr>
          <w:sz w:val="22"/>
          <w:szCs w:val="22"/>
        </w:rPr>
        <w:t>a u ublažavanju znakova i simptoma RA i radiološkog odgovora procjenjivana je u dvije randomizovane, dvostruko slijepe, kontrolisane, multicentrične studije. U Studiju I (SC</w:t>
      </w:r>
      <w:r w:rsidRPr="00C65707">
        <w:rPr>
          <w:sz w:val="22"/>
          <w:szCs w:val="22"/>
        </w:rPr>
        <w:noBreakHyphen/>
        <w:t>I) uključeni su pacijenti uzrasta ≥ 18 godina, kod kojih je umjeren do težak oblik aktivnog RA dijagnostifikovan prema kriterijimima Američkog koledža za reumatologiju (ACR) i koji su prije uvođenja u terapiju (bazalni nivo) imali najmanje 4 bolno osjetljiva i 4 otečena zgloba. Svi pacijenti su primali osnovno liječenje nebiološkim DMARD</w:t>
      </w:r>
      <w:r w:rsidRPr="00C65707">
        <w:rPr>
          <w:sz w:val="22"/>
          <w:szCs w:val="22"/>
        </w:rPr>
        <w:noBreakHyphen/>
        <w:t>ovima. U Studiju II (SC</w:t>
      </w:r>
      <w:r w:rsidRPr="00C65707">
        <w:rPr>
          <w:sz w:val="22"/>
          <w:szCs w:val="22"/>
        </w:rPr>
        <w:noBreakHyphen/>
        <w:t>II) uključeni su pacijenti uzrasta ≥ 18 godina, kod kojih je umjeren do težak oblik aktivnog RA dijagnostifikovan prema ACR kriterijimima i koji su prije uvođenja u terapiju (bazalni nivo) imali najmanje 8 bolno osjetljivih i 6 otečenih zglobova.</w:t>
      </w:r>
    </w:p>
    <w:p w14:paraId="4E3F82FB" w14:textId="77777777" w:rsidR="00CC2B31" w:rsidRPr="00C65707" w:rsidRDefault="00CC2B31">
      <w:pPr>
        <w:widowControl w:val="0"/>
        <w:jc w:val="both"/>
        <w:rPr>
          <w:sz w:val="22"/>
          <w:szCs w:val="22"/>
        </w:rPr>
      </w:pPr>
    </w:p>
    <w:p w14:paraId="7590AD0C" w14:textId="6E490392" w:rsidR="00CC2B31" w:rsidRPr="00C65707" w:rsidRDefault="00CC2B31">
      <w:pPr>
        <w:pStyle w:val="Header"/>
        <w:widowControl w:val="0"/>
        <w:tabs>
          <w:tab w:val="left" w:pos="284"/>
        </w:tabs>
        <w:jc w:val="both"/>
        <w:rPr>
          <w:sz w:val="22"/>
          <w:szCs w:val="22"/>
        </w:rPr>
      </w:pPr>
      <w:r w:rsidRPr="00C65707">
        <w:rPr>
          <w:sz w:val="22"/>
          <w:szCs w:val="22"/>
        </w:rPr>
        <w:t>Prelazak sa intravenske doze od 8 mg/kg jedanput svake 4 nedjelje na subkutanu dozu od 162 mg jedanput nedjeljno promijeniće izloženost pacijenta lijeku. U kojoj će se mjeri izloženost promijeniti zavisi od tjelesne težine pacijenta (povećava se kod pacijenata male tjelesne težine, a smanjuje kod pacijenata velike tjelesne težine), međutim klinički ishod je u skladu sa onim koji je primijećen kod pacijenata liječenih intravenskom formulacijom.</w:t>
      </w:r>
    </w:p>
    <w:p w14:paraId="4A4BABB5" w14:textId="77777777" w:rsidR="00CC2B31" w:rsidRPr="00C65707" w:rsidRDefault="00CC2B31">
      <w:pPr>
        <w:widowControl w:val="0"/>
        <w:jc w:val="both"/>
        <w:rPr>
          <w:sz w:val="22"/>
          <w:szCs w:val="22"/>
          <w:u w:val="single"/>
        </w:rPr>
      </w:pPr>
    </w:p>
    <w:p w14:paraId="54070C74" w14:textId="77777777" w:rsidR="00CC2B31" w:rsidRPr="00C65707" w:rsidRDefault="00CC2B31">
      <w:pPr>
        <w:pStyle w:val="Header"/>
        <w:widowControl w:val="0"/>
        <w:tabs>
          <w:tab w:val="left" w:pos="284"/>
        </w:tabs>
        <w:jc w:val="both"/>
        <w:rPr>
          <w:sz w:val="22"/>
          <w:szCs w:val="22"/>
          <w:u w:val="single"/>
        </w:rPr>
      </w:pPr>
      <w:r w:rsidRPr="00C65707">
        <w:rPr>
          <w:sz w:val="22"/>
          <w:szCs w:val="22"/>
          <w:u w:val="single"/>
        </w:rPr>
        <w:t>Klinički odgovor</w:t>
      </w:r>
    </w:p>
    <w:p w14:paraId="2D75A5D8" w14:textId="33C56206" w:rsidR="00CC2B31" w:rsidRPr="00C65707" w:rsidRDefault="00CC2B31">
      <w:pPr>
        <w:pStyle w:val="Header"/>
        <w:widowControl w:val="0"/>
        <w:tabs>
          <w:tab w:val="left" w:pos="284"/>
        </w:tabs>
        <w:jc w:val="both"/>
        <w:rPr>
          <w:sz w:val="22"/>
          <w:szCs w:val="22"/>
        </w:rPr>
      </w:pPr>
      <w:r w:rsidRPr="00C65707">
        <w:rPr>
          <w:sz w:val="22"/>
          <w:szCs w:val="22"/>
        </w:rPr>
        <w:t>U Studiji SC</w:t>
      </w:r>
      <w:r w:rsidRPr="00C65707">
        <w:rPr>
          <w:sz w:val="22"/>
          <w:szCs w:val="22"/>
        </w:rPr>
        <w:noBreakHyphen/>
        <w:t>I procjenjivani su pacijenti sa umjerenim do teškim oblikom aktivnog RA koji nijesu imali odgovarajući klinički odgovor na postojeću reumatološku terapiju, uključujući jedan ili više DMARD, a približno 20% pacijenta u anamnezi je imalo neodgovarajući odgovor na najmanje jedan TNF inhibitor. U Studiji SC</w:t>
      </w:r>
      <w:r w:rsidRPr="00C65707">
        <w:rPr>
          <w:sz w:val="22"/>
          <w:szCs w:val="22"/>
        </w:rPr>
        <w:noBreakHyphen/>
        <w:t xml:space="preserve">I, 1262 pacijenta randomizovana su u odnosu 1:1 za liječenje </w:t>
      </w:r>
      <w:r w:rsidR="00BB0387" w:rsidRPr="00C65707">
        <w:rPr>
          <w:sz w:val="22"/>
          <w:szCs w:val="22"/>
        </w:rPr>
        <w:t xml:space="preserve">tocilizumabom </w:t>
      </w:r>
      <w:r w:rsidRPr="00C65707">
        <w:rPr>
          <w:sz w:val="22"/>
          <w:szCs w:val="22"/>
        </w:rPr>
        <w:t xml:space="preserve">u </w:t>
      </w:r>
      <w:r w:rsidR="00BB0387" w:rsidRPr="00C65707">
        <w:rPr>
          <w:sz w:val="22"/>
          <w:szCs w:val="22"/>
        </w:rPr>
        <w:t>su</w:t>
      </w:r>
      <w:r w:rsidR="00D74543" w:rsidRPr="00C65707">
        <w:rPr>
          <w:sz w:val="22"/>
          <w:szCs w:val="22"/>
        </w:rPr>
        <w:t>b</w:t>
      </w:r>
      <w:r w:rsidR="00BB0387" w:rsidRPr="00C65707">
        <w:rPr>
          <w:sz w:val="22"/>
          <w:szCs w:val="22"/>
        </w:rPr>
        <w:t xml:space="preserve">kutanoj </w:t>
      </w:r>
      <w:r w:rsidRPr="00C65707">
        <w:rPr>
          <w:sz w:val="22"/>
          <w:szCs w:val="22"/>
        </w:rPr>
        <w:t>dozi od 162 mg jedanput nedjeljno ili u intravenskoj dozi od 8 mg/kg jedanput svake 4 nedjelje, u kombinaciji sa nebiološkim DMARD. Primarna krajnja tačka kod ove studije bila je razlika u procentu pacijenata koji su postigli odgovor ACR20 nakon 24 nedjelje. Rezultati iz Studije SC</w:t>
      </w:r>
      <w:r w:rsidRPr="00C65707">
        <w:rPr>
          <w:sz w:val="22"/>
          <w:szCs w:val="22"/>
        </w:rPr>
        <w:noBreakHyphen/>
        <w:t>I prikazani su u Tabeli </w:t>
      </w:r>
      <w:r w:rsidR="00BB0387" w:rsidRPr="00C65707">
        <w:rPr>
          <w:sz w:val="22"/>
          <w:szCs w:val="22"/>
        </w:rPr>
        <w:t>2</w:t>
      </w:r>
      <w:r w:rsidRPr="00C65707">
        <w:rPr>
          <w:sz w:val="22"/>
          <w:szCs w:val="22"/>
        </w:rPr>
        <w:t>.</w:t>
      </w:r>
    </w:p>
    <w:p w14:paraId="156811EF" w14:textId="77777777" w:rsidR="00CC2B31" w:rsidRPr="00C65707" w:rsidRDefault="00CC2B31">
      <w:pPr>
        <w:widowControl w:val="0"/>
        <w:spacing w:line="240" w:lineRule="exact"/>
        <w:jc w:val="both"/>
        <w:rPr>
          <w:sz w:val="22"/>
          <w:szCs w:val="22"/>
        </w:rPr>
      </w:pPr>
    </w:p>
    <w:p w14:paraId="5484B5B8" w14:textId="364E4A0F" w:rsidR="00CC2B31" w:rsidRPr="00C65707" w:rsidRDefault="00CC2B31">
      <w:pPr>
        <w:widowControl w:val="0"/>
        <w:numPr>
          <w:ilvl w:val="12"/>
          <w:numId w:val="0"/>
        </w:numPr>
        <w:jc w:val="both"/>
        <w:rPr>
          <w:i/>
          <w:sz w:val="22"/>
          <w:szCs w:val="22"/>
        </w:rPr>
      </w:pPr>
      <w:r w:rsidRPr="00C65707">
        <w:rPr>
          <w:bCs/>
          <w:i/>
          <w:sz w:val="22"/>
          <w:szCs w:val="22"/>
        </w:rPr>
        <w:t xml:space="preserve">Tabela </w:t>
      </w:r>
      <w:r w:rsidR="00BB0387" w:rsidRPr="00C65707">
        <w:rPr>
          <w:bCs/>
          <w:i/>
          <w:sz w:val="22"/>
          <w:szCs w:val="22"/>
        </w:rPr>
        <w:t>2</w:t>
      </w:r>
      <w:r w:rsidRPr="00C65707">
        <w:rPr>
          <w:bCs/>
          <w:i/>
          <w:sz w:val="22"/>
          <w:szCs w:val="22"/>
        </w:rPr>
        <w:t>. ACR odgovori u studiji SC-I (% pacijenata) nakon 24 nedjelje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3888"/>
        <w:gridCol w:w="2648"/>
      </w:tblGrid>
      <w:tr w:rsidR="00CC2B31" w:rsidRPr="00C65707" w14:paraId="28565612" w14:textId="77777777" w:rsidTr="00CE5678">
        <w:tc>
          <w:tcPr>
            <w:tcW w:w="1394" w:type="pct"/>
            <w:shd w:val="clear" w:color="auto" w:fill="auto"/>
          </w:tcPr>
          <w:p w14:paraId="023C4105" w14:textId="77777777" w:rsidR="00CC2B31" w:rsidRPr="00C65707" w:rsidRDefault="00CC2B31">
            <w:pPr>
              <w:widowControl w:val="0"/>
              <w:spacing w:line="280" w:lineRule="atLeast"/>
              <w:jc w:val="both"/>
              <w:rPr>
                <w:sz w:val="22"/>
                <w:szCs w:val="22"/>
                <w:lang w:eastAsia="de-DE"/>
              </w:rPr>
            </w:pPr>
          </w:p>
        </w:tc>
        <w:tc>
          <w:tcPr>
            <w:tcW w:w="3606" w:type="pct"/>
            <w:gridSpan w:val="2"/>
            <w:shd w:val="clear" w:color="auto" w:fill="auto"/>
          </w:tcPr>
          <w:p w14:paraId="5C9702E1" w14:textId="77777777" w:rsidR="00CC2B31" w:rsidRPr="00C65707" w:rsidRDefault="00CC2B31">
            <w:pPr>
              <w:widowControl w:val="0"/>
              <w:spacing w:line="280" w:lineRule="atLeast"/>
              <w:jc w:val="both"/>
              <w:rPr>
                <w:sz w:val="22"/>
                <w:szCs w:val="22"/>
                <w:lang w:eastAsia="de-DE"/>
              </w:rPr>
            </w:pPr>
            <w:r w:rsidRPr="00C65707">
              <w:rPr>
                <w:sz w:val="22"/>
                <w:szCs w:val="22"/>
                <w:lang w:eastAsia="de-DE"/>
              </w:rPr>
              <w:t>SC-I</w:t>
            </w:r>
            <w:r w:rsidRPr="00C65707">
              <w:rPr>
                <w:sz w:val="22"/>
                <w:szCs w:val="22"/>
                <w:vertAlign w:val="superscript"/>
                <w:lang w:eastAsia="de-DE"/>
              </w:rPr>
              <w:t>a</w:t>
            </w:r>
          </w:p>
        </w:tc>
      </w:tr>
      <w:tr w:rsidR="00CC2B31" w:rsidRPr="00C65707" w14:paraId="5664D2B5" w14:textId="77777777" w:rsidTr="00CE5678">
        <w:tc>
          <w:tcPr>
            <w:tcW w:w="1394" w:type="pct"/>
            <w:shd w:val="clear" w:color="auto" w:fill="auto"/>
          </w:tcPr>
          <w:p w14:paraId="1330C356" w14:textId="77777777" w:rsidR="00CC2B31" w:rsidRPr="00C65707" w:rsidRDefault="00CC2B31" w:rsidP="00C65707">
            <w:pPr>
              <w:widowControl w:val="0"/>
              <w:spacing w:line="280" w:lineRule="atLeast"/>
              <w:jc w:val="both"/>
              <w:rPr>
                <w:sz w:val="22"/>
                <w:szCs w:val="22"/>
              </w:rPr>
            </w:pPr>
          </w:p>
        </w:tc>
        <w:tc>
          <w:tcPr>
            <w:tcW w:w="2145" w:type="pct"/>
            <w:shd w:val="clear" w:color="auto" w:fill="auto"/>
          </w:tcPr>
          <w:p w14:paraId="50C28911" w14:textId="29D5A1F2" w:rsidR="00CC2B31" w:rsidRPr="00C65707" w:rsidRDefault="00CC2B31" w:rsidP="00CE5678">
            <w:pPr>
              <w:widowControl w:val="0"/>
              <w:spacing w:line="280" w:lineRule="atLeast"/>
              <w:jc w:val="center"/>
              <w:rPr>
                <w:sz w:val="22"/>
                <w:szCs w:val="22"/>
                <w:lang w:eastAsia="de-DE"/>
              </w:rPr>
            </w:pPr>
            <w:r w:rsidRPr="00C65707">
              <w:rPr>
                <w:sz w:val="22"/>
                <w:szCs w:val="22"/>
                <w:lang w:eastAsia="de-DE"/>
              </w:rPr>
              <w:t>TCZ s.c. 162 mg jedanput nedjeljno</w:t>
            </w:r>
          </w:p>
          <w:p w14:paraId="52112E50" w14:textId="4D532EC0" w:rsidR="00CC2B31" w:rsidRDefault="00CC2B31" w:rsidP="00CE5678">
            <w:pPr>
              <w:widowControl w:val="0"/>
              <w:spacing w:line="280" w:lineRule="atLeast"/>
              <w:jc w:val="center"/>
              <w:rPr>
                <w:sz w:val="22"/>
                <w:szCs w:val="22"/>
                <w:lang w:eastAsia="de-DE"/>
              </w:rPr>
            </w:pPr>
            <w:r w:rsidRPr="002B3647">
              <w:rPr>
                <w:sz w:val="22"/>
                <w:szCs w:val="22"/>
                <w:lang w:eastAsia="de-DE"/>
              </w:rPr>
              <w:t>+ DMARD</w:t>
            </w:r>
          </w:p>
          <w:p w14:paraId="0B3551D9" w14:textId="77777777" w:rsidR="00DA177F" w:rsidRPr="002B3647" w:rsidRDefault="00DA177F" w:rsidP="00CE5678">
            <w:pPr>
              <w:widowControl w:val="0"/>
              <w:spacing w:line="280" w:lineRule="atLeast"/>
              <w:jc w:val="center"/>
              <w:rPr>
                <w:sz w:val="22"/>
                <w:szCs w:val="22"/>
                <w:lang w:eastAsia="de-DE"/>
              </w:rPr>
            </w:pPr>
          </w:p>
          <w:p w14:paraId="782A846E" w14:textId="77777777" w:rsidR="00CC2B31" w:rsidRPr="00C65707" w:rsidRDefault="00CC2B31" w:rsidP="00CE5678">
            <w:pPr>
              <w:widowControl w:val="0"/>
              <w:spacing w:line="280" w:lineRule="atLeast"/>
              <w:jc w:val="center"/>
              <w:rPr>
                <w:sz w:val="22"/>
                <w:szCs w:val="22"/>
              </w:rPr>
            </w:pPr>
            <w:r w:rsidRPr="00C65707">
              <w:rPr>
                <w:sz w:val="22"/>
                <w:szCs w:val="22"/>
              </w:rPr>
              <w:t>N</w:t>
            </w:r>
            <w:r w:rsidRPr="00C65707">
              <w:rPr>
                <w:sz w:val="22"/>
                <w:szCs w:val="22"/>
                <w:lang w:eastAsia="de-DE"/>
              </w:rPr>
              <w:t>=558</w:t>
            </w:r>
          </w:p>
        </w:tc>
        <w:tc>
          <w:tcPr>
            <w:tcW w:w="1461" w:type="pct"/>
            <w:shd w:val="clear" w:color="auto" w:fill="auto"/>
          </w:tcPr>
          <w:p w14:paraId="12277A35" w14:textId="77777777" w:rsidR="00CC2B31" w:rsidRPr="00C65707" w:rsidRDefault="00CC2B31" w:rsidP="00CE5678">
            <w:pPr>
              <w:widowControl w:val="0"/>
              <w:spacing w:line="280" w:lineRule="atLeast"/>
              <w:jc w:val="center"/>
              <w:rPr>
                <w:sz w:val="22"/>
                <w:szCs w:val="22"/>
                <w:lang w:eastAsia="de-DE"/>
              </w:rPr>
            </w:pPr>
            <w:r w:rsidRPr="00C65707">
              <w:rPr>
                <w:sz w:val="22"/>
                <w:szCs w:val="22"/>
                <w:lang w:eastAsia="de-DE"/>
              </w:rPr>
              <w:t>TCZ i.v. 8 mg/kg</w:t>
            </w:r>
          </w:p>
          <w:p w14:paraId="0F87FBAE" w14:textId="77777777" w:rsidR="00CC2B31" w:rsidRPr="00C65707" w:rsidRDefault="00CC2B31" w:rsidP="00CE5678">
            <w:pPr>
              <w:widowControl w:val="0"/>
              <w:spacing w:line="280" w:lineRule="atLeast"/>
              <w:jc w:val="center"/>
              <w:rPr>
                <w:sz w:val="22"/>
                <w:szCs w:val="22"/>
                <w:lang w:eastAsia="de-DE"/>
              </w:rPr>
            </w:pPr>
            <w:r w:rsidRPr="00C65707">
              <w:rPr>
                <w:sz w:val="22"/>
                <w:szCs w:val="22"/>
                <w:lang w:eastAsia="de-DE"/>
              </w:rPr>
              <w:t>+ DMARD</w:t>
            </w:r>
          </w:p>
          <w:p w14:paraId="6ECEED11" w14:textId="77777777" w:rsidR="00CC2B31" w:rsidRPr="00C65707" w:rsidRDefault="00CC2B31" w:rsidP="00CE5678">
            <w:pPr>
              <w:widowControl w:val="0"/>
              <w:spacing w:line="280" w:lineRule="atLeast"/>
              <w:jc w:val="center"/>
              <w:rPr>
                <w:sz w:val="22"/>
                <w:szCs w:val="22"/>
              </w:rPr>
            </w:pPr>
          </w:p>
          <w:p w14:paraId="1369A17C" w14:textId="77777777" w:rsidR="00CC2B31" w:rsidRPr="00C65707" w:rsidRDefault="00CC2B31" w:rsidP="00CE5678">
            <w:pPr>
              <w:widowControl w:val="0"/>
              <w:spacing w:line="280" w:lineRule="atLeast"/>
              <w:jc w:val="center"/>
              <w:rPr>
                <w:sz w:val="22"/>
                <w:szCs w:val="22"/>
              </w:rPr>
            </w:pPr>
            <w:r w:rsidRPr="00C65707">
              <w:rPr>
                <w:sz w:val="22"/>
                <w:szCs w:val="22"/>
              </w:rPr>
              <w:t>N</w:t>
            </w:r>
            <w:r w:rsidRPr="00C65707">
              <w:rPr>
                <w:sz w:val="22"/>
                <w:szCs w:val="22"/>
                <w:lang w:eastAsia="de-DE"/>
              </w:rPr>
              <w:t>=537</w:t>
            </w:r>
          </w:p>
        </w:tc>
      </w:tr>
      <w:tr w:rsidR="00CC2B31" w:rsidRPr="00C65707" w14:paraId="46696BE9" w14:textId="77777777" w:rsidTr="00CE5678">
        <w:tc>
          <w:tcPr>
            <w:tcW w:w="1394" w:type="pct"/>
            <w:shd w:val="clear" w:color="auto" w:fill="auto"/>
          </w:tcPr>
          <w:p w14:paraId="74F46096" w14:textId="77777777" w:rsidR="00CC2B31" w:rsidRPr="00C65707" w:rsidRDefault="00CC2B31" w:rsidP="00C65707">
            <w:pPr>
              <w:widowControl w:val="0"/>
              <w:spacing w:line="280" w:lineRule="atLeast"/>
              <w:jc w:val="both"/>
              <w:rPr>
                <w:sz w:val="22"/>
                <w:szCs w:val="22"/>
              </w:rPr>
            </w:pPr>
            <w:r w:rsidRPr="00C65707">
              <w:rPr>
                <w:sz w:val="22"/>
                <w:szCs w:val="22"/>
                <w:lang w:eastAsia="de-DE"/>
              </w:rPr>
              <w:t>ACR20 nakon 24 nedjelje</w:t>
            </w:r>
          </w:p>
        </w:tc>
        <w:tc>
          <w:tcPr>
            <w:tcW w:w="2145" w:type="pct"/>
            <w:shd w:val="clear" w:color="auto" w:fill="auto"/>
          </w:tcPr>
          <w:p w14:paraId="5E2A5DD7" w14:textId="77777777" w:rsidR="00CC2B31" w:rsidRPr="002B3647" w:rsidRDefault="00CC2B31" w:rsidP="00CE5678">
            <w:pPr>
              <w:widowControl w:val="0"/>
              <w:spacing w:line="280" w:lineRule="atLeast"/>
              <w:jc w:val="center"/>
              <w:rPr>
                <w:sz w:val="22"/>
                <w:szCs w:val="22"/>
              </w:rPr>
            </w:pPr>
            <w:r w:rsidRPr="002B3647">
              <w:rPr>
                <w:sz w:val="22"/>
                <w:szCs w:val="22"/>
                <w:lang w:eastAsia="de-DE"/>
              </w:rPr>
              <w:t>69,4%</w:t>
            </w:r>
          </w:p>
        </w:tc>
        <w:tc>
          <w:tcPr>
            <w:tcW w:w="1461" w:type="pct"/>
            <w:shd w:val="clear" w:color="auto" w:fill="auto"/>
          </w:tcPr>
          <w:p w14:paraId="1A5EEAFB" w14:textId="77777777" w:rsidR="00CC2B31" w:rsidRPr="00C65707" w:rsidRDefault="00CC2B31" w:rsidP="00CE5678">
            <w:pPr>
              <w:widowControl w:val="0"/>
              <w:spacing w:line="280" w:lineRule="atLeast"/>
              <w:jc w:val="center"/>
              <w:rPr>
                <w:sz w:val="22"/>
                <w:szCs w:val="22"/>
              </w:rPr>
            </w:pPr>
            <w:r w:rsidRPr="00C65707">
              <w:rPr>
                <w:sz w:val="22"/>
                <w:szCs w:val="22"/>
                <w:lang w:eastAsia="de-DE"/>
              </w:rPr>
              <w:t>73,4</w:t>
            </w:r>
            <w:r w:rsidRPr="00C65707">
              <w:rPr>
                <w:sz w:val="22"/>
                <w:szCs w:val="22"/>
              </w:rPr>
              <w:t>%</w:t>
            </w:r>
          </w:p>
        </w:tc>
      </w:tr>
      <w:tr w:rsidR="00CC2B31" w:rsidRPr="00C65707" w14:paraId="6390753B" w14:textId="77777777" w:rsidTr="00CE5678">
        <w:tc>
          <w:tcPr>
            <w:tcW w:w="1394" w:type="pct"/>
            <w:shd w:val="clear" w:color="auto" w:fill="auto"/>
          </w:tcPr>
          <w:p w14:paraId="555DA37C" w14:textId="77777777" w:rsidR="00CC2B31" w:rsidRPr="00C65707" w:rsidRDefault="00CC2B31" w:rsidP="00C65707">
            <w:pPr>
              <w:widowControl w:val="0"/>
              <w:spacing w:line="280" w:lineRule="atLeast"/>
              <w:jc w:val="both"/>
              <w:rPr>
                <w:sz w:val="22"/>
                <w:szCs w:val="22"/>
              </w:rPr>
            </w:pPr>
            <w:r w:rsidRPr="00C65707">
              <w:rPr>
                <w:rFonts w:eastAsia="MS Mincho"/>
                <w:sz w:val="22"/>
                <w:szCs w:val="22"/>
                <w:lang w:eastAsia="de-DE"/>
              </w:rPr>
              <w:t xml:space="preserve">Ponderisana razlika </w:t>
            </w:r>
            <w:r w:rsidRPr="00C65707">
              <w:rPr>
                <w:sz w:val="22"/>
                <w:szCs w:val="22"/>
                <w:lang w:eastAsia="de-DE"/>
              </w:rPr>
              <w:t>(95% CI)</w:t>
            </w:r>
          </w:p>
        </w:tc>
        <w:tc>
          <w:tcPr>
            <w:tcW w:w="3606" w:type="pct"/>
            <w:gridSpan w:val="2"/>
            <w:shd w:val="clear" w:color="auto" w:fill="auto"/>
          </w:tcPr>
          <w:p w14:paraId="04559DB9" w14:textId="77777777" w:rsidR="00CC2B31" w:rsidRPr="002B3647" w:rsidRDefault="00CC2B31" w:rsidP="00CE5678">
            <w:pPr>
              <w:widowControl w:val="0"/>
              <w:jc w:val="center"/>
              <w:rPr>
                <w:rFonts w:eastAsia="MS Mincho"/>
                <w:sz w:val="22"/>
                <w:szCs w:val="22"/>
                <w:lang w:eastAsia="de-DE"/>
              </w:rPr>
            </w:pPr>
            <w:r w:rsidRPr="002B3647">
              <w:rPr>
                <w:sz w:val="22"/>
                <w:szCs w:val="22"/>
                <w:lang w:eastAsia="de-DE"/>
              </w:rPr>
              <w:t>-4,0 (-9,2; 1,2)</w:t>
            </w:r>
          </w:p>
        </w:tc>
      </w:tr>
      <w:tr w:rsidR="00CC2B31" w:rsidRPr="00C65707" w14:paraId="5638BF5B" w14:textId="77777777" w:rsidTr="00CE5678">
        <w:tc>
          <w:tcPr>
            <w:tcW w:w="1394" w:type="pct"/>
            <w:shd w:val="clear" w:color="auto" w:fill="auto"/>
          </w:tcPr>
          <w:p w14:paraId="37EE4D06" w14:textId="77777777" w:rsidR="00CC2B31" w:rsidRPr="00C65707" w:rsidRDefault="00CC2B31" w:rsidP="00C65707">
            <w:pPr>
              <w:widowControl w:val="0"/>
              <w:spacing w:line="280" w:lineRule="atLeast"/>
              <w:jc w:val="both"/>
              <w:rPr>
                <w:sz w:val="22"/>
                <w:szCs w:val="22"/>
                <w:lang w:eastAsia="de-DE"/>
              </w:rPr>
            </w:pPr>
            <w:r w:rsidRPr="00C65707">
              <w:rPr>
                <w:sz w:val="22"/>
                <w:szCs w:val="22"/>
                <w:lang w:eastAsia="de-DE"/>
              </w:rPr>
              <w:t>ACR50 nakon 24 nedjelje</w:t>
            </w:r>
          </w:p>
        </w:tc>
        <w:tc>
          <w:tcPr>
            <w:tcW w:w="2145" w:type="pct"/>
            <w:shd w:val="clear" w:color="auto" w:fill="auto"/>
          </w:tcPr>
          <w:p w14:paraId="4C0DAAEF" w14:textId="77777777" w:rsidR="00CC2B31" w:rsidRPr="002B3647" w:rsidRDefault="00CC2B31" w:rsidP="00CE5678">
            <w:pPr>
              <w:widowControl w:val="0"/>
              <w:spacing w:line="280" w:lineRule="atLeast"/>
              <w:jc w:val="center"/>
              <w:rPr>
                <w:sz w:val="22"/>
                <w:szCs w:val="22"/>
                <w:lang w:eastAsia="de-DE"/>
              </w:rPr>
            </w:pPr>
            <w:r w:rsidRPr="002B3647">
              <w:rPr>
                <w:sz w:val="22"/>
                <w:szCs w:val="22"/>
                <w:lang w:eastAsia="de-DE"/>
              </w:rPr>
              <w:t>47,0%</w:t>
            </w:r>
          </w:p>
        </w:tc>
        <w:tc>
          <w:tcPr>
            <w:tcW w:w="1461" w:type="pct"/>
            <w:shd w:val="clear" w:color="auto" w:fill="auto"/>
          </w:tcPr>
          <w:p w14:paraId="43635ECD" w14:textId="77777777" w:rsidR="00CC2B31" w:rsidRPr="00C65707" w:rsidRDefault="00CC2B31" w:rsidP="00CE5678">
            <w:pPr>
              <w:widowControl w:val="0"/>
              <w:spacing w:line="280" w:lineRule="atLeast"/>
              <w:jc w:val="center"/>
              <w:rPr>
                <w:sz w:val="22"/>
                <w:szCs w:val="22"/>
                <w:lang w:eastAsia="de-DE"/>
              </w:rPr>
            </w:pPr>
            <w:r w:rsidRPr="00C65707">
              <w:rPr>
                <w:sz w:val="22"/>
                <w:szCs w:val="22"/>
                <w:lang w:eastAsia="de-DE"/>
              </w:rPr>
              <w:t>48,6%</w:t>
            </w:r>
          </w:p>
        </w:tc>
      </w:tr>
      <w:tr w:rsidR="00CC2B31" w:rsidRPr="00C65707" w14:paraId="353CC839" w14:textId="77777777" w:rsidTr="00CE5678">
        <w:tc>
          <w:tcPr>
            <w:tcW w:w="1394" w:type="pct"/>
            <w:shd w:val="clear" w:color="auto" w:fill="auto"/>
          </w:tcPr>
          <w:p w14:paraId="5A11DA94" w14:textId="77777777" w:rsidR="00CC2B31" w:rsidRPr="00C65707" w:rsidRDefault="00CC2B31" w:rsidP="00C65707">
            <w:pPr>
              <w:widowControl w:val="0"/>
              <w:spacing w:line="280" w:lineRule="atLeast"/>
              <w:jc w:val="both"/>
              <w:rPr>
                <w:sz w:val="22"/>
                <w:szCs w:val="22"/>
              </w:rPr>
            </w:pPr>
            <w:r w:rsidRPr="00C65707">
              <w:rPr>
                <w:rFonts w:eastAsia="MS Mincho"/>
                <w:sz w:val="22"/>
                <w:szCs w:val="22"/>
                <w:lang w:eastAsia="de-DE"/>
              </w:rPr>
              <w:t>Ponderisana razlika</w:t>
            </w:r>
            <w:r w:rsidRPr="00C65707">
              <w:rPr>
                <w:sz w:val="22"/>
                <w:szCs w:val="22"/>
                <w:lang w:eastAsia="de-DE"/>
              </w:rPr>
              <w:t xml:space="preserve"> (95% CI)</w:t>
            </w:r>
          </w:p>
        </w:tc>
        <w:tc>
          <w:tcPr>
            <w:tcW w:w="3606" w:type="pct"/>
            <w:gridSpan w:val="2"/>
            <w:shd w:val="clear" w:color="auto" w:fill="auto"/>
          </w:tcPr>
          <w:p w14:paraId="79FB3568" w14:textId="77777777" w:rsidR="00CC2B31" w:rsidRPr="002B3647" w:rsidRDefault="00CC2B31" w:rsidP="00CE5678">
            <w:pPr>
              <w:widowControl w:val="0"/>
              <w:jc w:val="center"/>
              <w:rPr>
                <w:rFonts w:eastAsia="MS Mincho"/>
                <w:sz w:val="22"/>
                <w:szCs w:val="22"/>
                <w:lang w:eastAsia="de-DE"/>
              </w:rPr>
            </w:pPr>
            <w:r w:rsidRPr="002B3647">
              <w:rPr>
                <w:sz w:val="22"/>
                <w:szCs w:val="22"/>
                <w:lang w:eastAsia="de-DE"/>
              </w:rPr>
              <w:t>-1,8 (-7,5; 4,0)</w:t>
            </w:r>
          </w:p>
        </w:tc>
      </w:tr>
      <w:tr w:rsidR="00CC2B31" w:rsidRPr="00C65707" w14:paraId="7BD7DAE3" w14:textId="77777777" w:rsidTr="00CE5678">
        <w:tc>
          <w:tcPr>
            <w:tcW w:w="1394" w:type="pct"/>
            <w:shd w:val="clear" w:color="auto" w:fill="auto"/>
          </w:tcPr>
          <w:p w14:paraId="77DA0CD8" w14:textId="77777777" w:rsidR="00CC2B31" w:rsidRPr="00C65707" w:rsidRDefault="00CC2B31" w:rsidP="00C65707">
            <w:pPr>
              <w:widowControl w:val="0"/>
              <w:spacing w:line="280" w:lineRule="atLeast"/>
              <w:jc w:val="both"/>
              <w:rPr>
                <w:sz w:val="22"/>
                <w:szCs w:val="22"/>
                <w:lang w:eastAsia="de-DE"/>
              </w:rPr>
            </w:pPr>
            <w:r w:rsidRPr="00C65707">
              <w:rPr>
                <w:sz w:val="22"/>
                <w:szCs w:val="22"/>
                <w:lang w:eastAsia="de-DE"/>
              </w:rPr>
              <w:t>ACR70 nakon 24 nedjelje</w:t>
            </w:r>
          </w:p>
        </w:tc>
        <w:tc>
          <w:tcPr>
            <w:tcW w:w="2145" w:type="pct"/>
            <w:shd w:val="clear" w:color="auto" w:fill="auto"/>
          </w:tcPr>
          <w:p w14:paraId="032BA805" w14:textId="77777777" w:rsidR="00CC2B31" w:rsidRPr="002B3647" w:rsidRDefault="00CC2B31" w:rsidP="00CE5678">
            <w:pPr>
              <w:widowControl w:val="0"/>
              <w:spacing w:line="280" w:lineRule="atLeast"/>
              <w:jc w:val="center"/>
              <w:rPr>
                <w:sz w:val="22"/>
                <w:szCs w:val="22"/>
                <w:lang w:eastAsia="de-DE"/>
              </w:rPr>
            </w:pPr>
            <w:r w:rsidRPr="002B3647">
              <w:rPr>
                <w:sz w:val="22"/>
                <w:szCs w:val="22"/>
                <w:lang w:eastAsia="de-DE"/>
              </w:rPr>
              <w:t>24,0%</w:t>
            </w:r>
          </w:p>
        </w:tc>
        <w:tc>
          <w:tcPr>
            <w:tcW w:w="1461" w:type="pct"/>
            <w:shd w:val="clear" w:color="auto" w:fill="auto"/>
          </w:tcPr>
          <w:p w14:paraId="3CD96A82" w14:textId="77777777" w:rsidR="00CC2B31" w:rsidRPr="00C65707" w:rsidRDefault="00CC2B31" w:rsidP="00CE5678">
            <w:pPr>
              <w:widowControl w:val="0"/>
              <w:spacing w:line="280" w:lineRule="atLeast"/>
              <w:jc w:val="center"/>
              <w:rPr>
                <w:sz w:val="22"/>
                <w:szCs w:val="22"/>
                <w:lang w:eastAsia="de-DE"/>
              </w:rPr>
            </w:pPr>
            <w:r w:rsidRPr="00C65707">
              <w:rPr>
                <w:sz w:val="22"/>
                <w:szCs w:val="22"/>
                <w:lang w:eastAsia="de-DE"/>
              </w:rPr>
              <w:t>27,9%</w:t>
            </w:r>
          </w:p>
        </w:tc>
      </w:tr>
      <w:tr w:rsidR="00CC2B31" w:rsidRPr="00C65707" w14:paraId="5711ADB5" w14:textId="77777777" w:rsidTr="00CE5678">
        <w:tc>
          <w:tcPr>
            <w:tcW w:w="1394" w:type="pct"/>
            <w:shd w:val="clear" w:color="auto" w:fill="auto"/>
          </w:tcPr>
          <w:p w14:paraId="22F52942" w14:textId="77777777" w:rsidR="00CC2B31" w:rsidRPr="002B3647" w:rsidRDefault="00CC2B31" w:rsidP="00C65707">
            <w:pPr>
              <w:widowControl w:val="0"/>
              <w:spacing w:line="280" w:lineRule="atLeast"/>
              <w:jc w:val="both"/>
              <w:rPr>
                <w:sz w:val="22"/>
                <w:szCs w:val="22"/>
              </w:rPr>
            </w:pPr>
            <w:r w:rsidRPr="00C65707">
              <w:rPr>
                <w:rFonts w:eastAsia="MS Mincho"/>
                <w:sz w:val="22"/>
                <w:szCs w:val="22"/>
                <w:lang w:eastAsia="de-DE"/>
              </w:rPr>
              <w:t>Ponderisana razlika</w:t>
            </w:r>
            <w:r w:rsidRPr="00C65707">
              <w:rPr>
                <w:sz w:val="22"/>
                <w:szCs w:val="22"/>
                <w:lang w:eastAsia="de-DE"/>
              </w:rPr>
              <w:t xml:space="preserve"> (95% CI)</w:t>
            </w:r>
          </w:p>
        </w:tc>
        <w:tc>
          <w:tcPr>
            <w:tcW w:w="3606" w:type="pct"/>
            <w:gridSpan w:val="2"/>
            <w:shd w:val="clear" w:color="auto" w:fill="auto"/>
          </w:tcPr>
          <w:p w14:paraId="323C86F2" w14:textId="77777777" w:rsidR="00CC2B31" w:rsidRPr="002B3647" w:rsidRDefault="00CC2B31" w:rsidP="00CE5678">
            <w:pPr>
              <w:widowControl w:val="0"/>
              <w:jc w:val="center"/>
              <w:rPr>
                <w:rFonts w:eastAsia="MS Mincho"/>
                <w:sz w:val="22"/>
                <w:szCs w:val="22"/>
                <w:lang w:eastAsia="de-DE"/>
              </w:rPr>
            </w:pPr>
            <w:r w:rsidRPr="002B3647">
              <w:rPr>
                <w:sz w:val="22"/>
                <w:szCs w:val="22"/>
                <w:lang w:eastAsia="de-DE"/>
              </w:rPr>
              <w:t>-</w:t>
            </w:r>
            <w:r w:rsidRPr="002B3647">
              <w:rPr>
                <w:sz w:val="22"/>
                <w:szCs w:val="22"/>
              </w:rPr>
              <w:t>3</w:t>
            </w:r>
            <w:r w:rsidRPr="002B3647">
              <w:rPr>
                <w:sz w:val="22"/>
                <w:szCs w:val="22"/>
                <w:lang w:eastAsia="de-DE"/>
              </w:rPr>
              <w:t xml:space="preserve">,8 (-9,0; </w:t>
            </w:r>
            <w:r w:rsidRPr="002B3647">
              <w:rPr>
                <w:sz w:val="22"/>
                <w:szCs w:val="22"/>
              </w:rPr>
              <w:t>1</w:t>
            </w:r>
            <w:r w:rsidRPr="002B3647">
              <w:rPr>
                <w:sz w:val="22"/>
                <w:szCs w:val="22"/>
                <w:lang w:eastAsia="de-DE"/>
              </w:rPr>
              <w:t>,3)</w:t>
            </w:r>
          </w:p>
        </w:tc>
      </w:tr>
    </w:tbl>
    <w:p w14:paraId="3380DEFA" w14:textId="40DAAD3B" w:rsidR="00BB0387" w:rsidRPr="00CE5678" w:rsidRDefault="00BB0387" w:rsidP="00CE5678">
      <w:pPr>
        <w:widowControl w:val="0"/>
        <w:jc w:val="both"/>
        <w:rPr>
          <w:sz w:val="22"/>
          <w:szCs w:val="22"/>
          <w:lang w:eastAsia="de-DE"/>
        </w:rPr>
      </w:pPr>
      <w:r w:rsidRPr="00CE5678">
        <w:rPr>
          <w:sz w:val="22"/>
          <w:szCs w:val="22"/>
          <w:lang w:eastAsia="de-DE"/>
        </w:rPr>
        <w:t>DMARD = antireumatski lijek koji modifikuje tok bolesti</w:t>
      </w:r>
    </w:p>
    <w:p w14:paraId="229522CE" w14:textId="77777777" w:rsidR="00BB0387" w:rsidRPr="00CE5678" w:rsidRDefault="00CC2B31" w:rsidP="00CE5678">
      <w:pPr>
        <w:widowControl w:val="0"/>
        <w:ind w:right="7372"/>
        <w:jc w:val="both"/>
        <w:rPr>
          <w:sz w:val="22"/>
          <w:szCs w:val="22"/>
          <w:lang w:eastAsia="de-DE"/>
        </w:rPr>
      </w:pPr>
      <w:r w:rsidRPr="00CE5678">
        <w:rPr>
          <w:sz w:val="22"/>
          <w:szCs w:val="22"/>
          <w:lang w:eastAsia="de-DE"/>
        </w:rPr>
        <w:t>TCZ =</w:t>
      </w:r>
      <w:r w:rsidRPr="00CE5678">
        <w:rPr>
          <w:sz w:val="22"/>
          <w:szCs w:val="22"/>
        </w:rPr>
        <w:t xml:space="preserve"> tocilizumab</w:t>
      </w:r>
      <w:r w:rsidR="00BB0387" w:rsidRPr="00CE5678">
        <w:rPr>
          <w:sz w:val="22"/>
          <w:szCs w:val="22"/>
        </w:rPr>
        <w:br/>
      </w:r>
      <w:r w:rsidR="00BB0387" w:rsidRPr="00CE5678">
        <w:rPr>
          <w:sz w:val="22"/>
          <w:szCs w:val="22"/>
          <w:lang w:eastAsia="de-DE"/>
        </w:rPr>
        <w:t>IV = intravenski</w:t>
      </w:r>
    </w:p>
    <w:p w14:paraId="5C41D0A5" w14:textId="158D1B0E" w:rsidR="00CC2B31" w:rsidRPr="00CE5678" w:rsidRDefault="00BB0387" w:rsidP="00C65707">
      <w:pPr>
        <w:widowControl w:val="0"/>
        <w:jc w:val="both"/>
        <w:rPr>
          <w:sz w:val="22"/>
          <w:szCs w:val="22"/>
        </w:rPr>
      </w:pPr>
      <w:r w:rsidRPr="00CE5678">
        <w:rPr>
          <w:sz w:val="22"/>
          <w:szCs w:val="22"/>
          <w:lang w:eastAsia="de-DE"/>
        </w:rPr>
        <w:t>SC = su</w:t>
      </w:r>
      <w:r w:rsidR="00D74543" w:rsidRPr="00CE5678">
        <w:rPr>
          <w:sz w:val="22"/>
          <w:szCs w:val="22"/>
          <w:lang w:eastAsia="de-DE"/>
        </w:rPr>
        <w:t>b</w:t>
      </w:r>
      <w:r w:rsidRPr="00CE5678">
        <w:rPr>
          <w:sz w:val="22"/>
          <w:szCs w:val="22"/>
          <w:lang w:eastAsia="de-DE"/>
        </w:rPr>
        <w:t>kutano</w:t>
      </w:r>
    </w:p>
    <w:p w14:paraId="63EE2640" w14:textId="77777777" w:rsidR="00CC2B31" w:rsidRPr="00CE5678" w:rsidRDefault="00CC2B31" w:rsidP="002B3647">
      <w:pPr>
        <w:widowControl w:val="0"/>
        <w:jc w:val="both"/>
        <w:rPr>
          <w:sz w:val="22"/>
          <w:szCs w:val="22"/>
          <w:lang w:eastAsia="de-DE"/>
        </w:rPr>
      </w:pPr>
      <w:r w:rsidRPr="00CE5678">
        <w:rPr>
          <w:sz w:val="22"/>
          <w:szCs w:val="22"/>
          <w:lang w:eastAsia="de-DE"/>
        </w:rPr>
        <w:t>a = populacija prema protokolu</w:t>
      </w:r>
    </w:p>
    <w:p w14:paraId="423E5D0F" w14:textId="77777777" w:rsidR="00CC2B31" w:rsidRPr="00C65707" w:rsidRDefault="00CC2B31" w:rsidP="002B3647">
      <w:pPr>
        <w:widowControl w:val="0"/>
        <w:spacing w:line="240" w:lineRule="exact"/>
        <w:jc w:val="both"/>
        <w:rPr>
          <w:sz w:val="22"/>
          <w:szCs w:val="22"/>
        </w:rPr>
      </w:pPr>
    </w:p>
    <w:p w14:paraId="6D84F34B" w14:textId="335A346B" w:rsidR="00CC2B31" w:rsidRPr="002B3647" w:rsidRDefault="00CC2B31">
      <w:pPr>
        <w:widowControl w:val="0"/>
        <w:jc w:val="both"/>
        <w:rPr>
          <w:sz w:val="22"/>
          <w:szCs w:val="22"/>
        </w:rPr>
      </w:pPr>
      <w:r w:rsidRPr="00C65707">
        <w:rPr>
          <w:sz w:val="22"/>
          <w:szCs w:val="22"/>
        </w:rPr>
        <w:t>Srednji indeks aktivnosti bolesti (DAS28) na početku Studije SC</w:t>
      </w:r>
      <w:r w:rsidRPr="00C65707">
        <w:rPr>
          <w:sz w:val="22"/>
          <w:szCs w:val="22"/>
        </w:rPr>
        <w:noBreakHyphen/>
        <w:t xml:space="preserve">I iznosio je 6,6 u grupi liječenoj </w:t>
      </w:r>
      <w:r w:rsidRPr="00C65707">
        <w:rPr>
          <w:sz w:val="22"/>
          <w:szCs w:val="22"/>
        </w:rPr>
        <w:lastRenderedPageBreak/>
        <w:t>subkutanom formulacijom i 6,7 u grupi liječenoj intravenskom formulacijom lijeka. Nakon 24 nedjelje u obije grupe je primijećeno značajno smanjenje vrijednosti DAS28 (srednje poboljšanje) od 3,5 u odnosu na početnu vrijed</w:t>
      </w:r>
      <w:r w:rsidRPr="002B3647">
        <w:rPr>
          <w:sz w:val="22"/>
          <w:szCs w:val="22"/>
        </w:rPr>
        <w:t>nost, a procenat pacijenata koji su postigli kliničku remisiju prema DAS28 (DAS28 &lt; 2,6) bio je uporediv u grupi koja je primala subkutanu formulaciju (38,4%) i onoj koja je primala intravensku formulaciju (36,9%).</w:t>
      </w:r>
    </w:p>
    <w:p w14:paraId="20768533" w14:textId="77777777" w:rsidR="00CC2B31" w:rsidRPr="00C65707" w:rsidRDefault="00CC2B31">
      <w:pPr>
        <w:widowControl w:val="0"/>
        <w:jc w:val="both"/>
        <w:rPr>
          <w:sz w:val="22"/>
          <w:szCs w:val="22"/>
        </w:rPr>
      </w:pPr>
    </w:p>
    <w:p w14:paraId="7DE0C03A" w14:textId="77777777" w:rsidR="00CC2B31" w:rsidRPr="00C65707" w:rsidRDefault="00CC2B31">
      <w:pPr>
        <w:widowControl w:val="0"/>
        <w:jc w:val="both"/>
        <w:rPr>
          <w:sz w:val="22"/>
          <w:szCs w:val="22"/>
          <w:u w:val="single"/>
        </w:rPr>
      </w:pPr>
      <w:r w:rsidRPr="00C65707">
        <w:rPr>
          <w:i/>
          <w:sz w:val="22"/>
          <w:szCs w:val="22"/>
          <w:u w:val="single"/>
        </w:rPr>
        <w:t>Radiografski odgovor</w:t>
      </w:r>
    </w:p>
    <w:p w14:paraId="323B74F2" w14:textId="53F3D116" w:rsidR="00CC2B31" w:rsidRPr="00C65707" w:rsidRDefault="00CC2B31">
      <w:pPr>
        <w:widowControl w:val="0"/>
        <w:jc w:val="both"/>
        <w:rPr>
          <w:sz w:val="22"/>
          <w:szCs w:val="22"/>
        </w:rPr>
      </w:pPr>
      <w:r w:rsidRPr="00C65707">
        <w:rPr>
          <w:sz w:val="22"/>
          <w:szCs w:val="22"/>
        </w:rPr>
        <w:t>Radiografski</w:t>
      </w:r>
      <w:r w:rsidRPr="00C65707">
        <w:rPr>
          <w:i/>
          <w:sz w:val="22"/>
          <w:szCs w:val="22"/>
        </w:rPr>
        <w:t xml:space="preserve"> </w:t>
      </w:r>
      <w:r w:rsidRPr="00C65707">
        <w:rPr>
          <w:sz w:val="22"/>
          <w:szCs w:val="22"/>
        </w:rPr>
        <w:t xml:space="preserve">odgovor pri primjeni subkutane formulacije </w:t>
      </w:r>
      <w:r w:rsidR="00BB0387" w:rsidRPr="00C65707">
        <w:rPr>
          <w:sz w:val="22"/>
          <w:szCs w:val="22"/>
        </w:rPr>
        <w:t>tocilizumab</w:t>
      </w:r>
      <w:r w:rsidRPr="00C65707">
        <w:rPr>
          <w:sz w:val="22"/>
          <w:szCs w:val="22"/>
        </w:rPr>
        <w:t>a procijenjen je u dvostruko slijepoj, kontrolisanoj, multicentričnoj studiji kod pacijenata sa aktivnim RA (SC</w:t>
      </w:r>
      <w:r w:rsidRPr="00C65707">
        <w:rPr>
          <w:sz w:val="22"/>
          <w:szCs w:val="22"/>
        </w:rPr>
        <w:noBreakHyphen/>
        <w:t>II). Studija SC</w:t>
      </w:r>
      <w:r w:rsidRPr="00C65707">
        <w:rPr>
          <w:sz w:val="22"/>
          <w:szCs w:val="22"/>
        </w:rPr>
        <w:noBreakHyphen/>
        <w:t>II procjenjivala je pacijente sa umjerenim do teškim oblikom aktivnog RA koji nijesu imali odgovarajući klinički odgovor na postojeću reumatološku terapiju, uključujući jedan ili više DMARD, a približno 20% pacijenata u anamnezi je imalo neodgovarajući odgovor na najmanje jedan TNF inhibitor. Pacijenti su morali imati više od 18 godina, aktivan RA dijagnostifikovan prema ACR kriterijimima i najmanje 8 bolno osjetljivih i 6 otečenih zglobova na početku liječenja. U Studiji SC</w:t>
      </w:r>
      <w:r w:rsidRPr="00C65707">
        <w:rPr>
          <w:sz w:val="22"/>
          <w:szCs w:val="22"/>
        </w:rPr>
        <w:noBreakHyphen/>
        <w:t xml:space="preserve">II, 656 pacijenata randomizovano je u odnosu 2:1 u grupi koja je primala </w:t>
      </w:r>
      <w:r w:rsidR="00BB0387" w:rsidRPr="00C65707">
        <w:rPr>
          <w:sz w:val="22"/>
          <w:szCs w:val="22"/>
        </w:rPr>
        <w:t>tocilizumab</w:t>
      </w:r>
      <w:r w:rsidRPr="00C65707">
        <w:rPr>
          <w:sz w:val="22"/>
          <w:szCs w:val="22"/>
        </w:rPr>
        <w:t xml:space="preserve"> u subkutanoj dozi od 162 mg jedanput svake dvije nedjelje ili placebo, u kombinaciji sa nebiološkim DMARD</w:t>
      </w:r>
      <w:r w:rsidR="00BB0387" w:rsidRPr="00C65707">
        <w:rPr>
          <w:sz w:val="22"/>
          <w:szCs w:val="22"/>
        </w:rPr>
        <w:t>-ovima</w:t>
      </w:r>
      <w:r w:rsidRPr="00C65707">
        <w:rPr>
          <w:sz w:val="22"/>
          <w:szCs w:val="22"/>
        </w:rPr>
        <w:t>.</w:t>
      </w:r>
    </w:p>
    <w:p w14:paraId="2E0235C4" w14:textId="77777777" w:rsidR="00CC2B31" w:rsidRPr="00C65707" w:rsidRDefault="00CC2B31">
      <w:pPr>
        <w:widowControl w:val="0"/>
        <w:jc w:val="both"/>
        <w:rPr>
          <w:sz w:val="22"/>
          <w:szCs w:val="22"/>
        </w:rPr>
      </w:pPr>
    </w:p>
    <w:p w14:paraId="25D56F7B" w14:textId="4BA92A82" w:rsidR="00CC2B31" w:rsidRPr="00C65707" w:rsidRDefault="00CC2B31">
      <w:pPr>
        <w:widowControl w:val="0"/>
        <w:jc w:val="both"/>
        <w:rPr>
          <w:sz w:val="22"/>
          <w:szCs w:val="22"/>
        </w:rPr>
      </w:pPr>
      <w:r w:rsidRPr="00C65707">
        <w:rPr>
          <w:sz w:val="22"/>
          <w:szCs w:val="22"/>
        </w:rPr>
        <w:t>U Studiji SC</w:t>
      </w:r>
      <w:r w:rsidRPr="00C65707">
        <w:rPr>
          <w:sz w:val="22"/>
          <w:szCs w:val="22"/>
        </w:rPr>
        <w:noBreakHyphen/>
        <w:t xml:space="preserve">II radiografski se procjenjivala inhibicija strukturnog oštećenja zglobova izražena kao promjena srednjeg ukupnog rezultata na van der Heijdeovoj modifikaciji Šarpove bodovne skale (engl. modified mean total Sharp score, mTSS) u odnosu na početnu vrijednost. Nakon 24 nedjelje inhibicija strukturnog oštećenja zgloba pokazana je značajno manjom radiografskom progresijom bolesti kod pacijenata koji su primali subkutani lijek RoActemra u poređenju sa pacijentima koji su primali placebo (srednji mTSS: 0,62 naspram 1,23, p=0,0149 [van Elteren]). Ti rezultati su u skladu sa onim koji su primijećeni kod pacijenata liječenih </w:t>
      </w:r>
      <w:r w:rsidR="00BB0387" w:rsidRPr="00C65707">
        <w:rPr>
          <w:sz w:val="22"/>
          <w:szCs w:val="22"/>
        </w:rPr>
        <w:t>tocilizumabom</w:t>
      </w:r>
      <w:r w:rsidRPr="00C65707">
        <w:rPr>
          <w:sz w:val="22"/>
          <w:szCs w:val="22"/>
        </w:rPr>
        <w:t xml:space="preserve"> intravenskim putem.</w:t>
      </w:r>
    </w:p>
    <w:p w14:paraId="08227BE8" w14:textId="77777777" w:rsidR="00CC2B31" w:rsidRPr="00C65707" w:rsidRDefault="00CC2B31">
      <w:pPr>
        <w:widowControl w:val="0"/>
        <w:jc w:val="both"/>
        <w:rPr>
          <w:sz w:val="22"/>
          <w:szCs w:val="22"/>
        </w:rPr>
      </w:pPr>
    </w:p>
    <w:p w14:paraId="2DF82BEE" w14:textId="33D09E2F" w:rsidR="00CC2B31" w:rsidRPr="00C65707" w:rsidRDefault="00CC2B31">
      <w:pPr>
        <w:widowControl w:val="0"/>
        <w:jc w:val="both"/>
        <w:rPr>
          <w:sz w:val="22"/>
          <w:szCs w:val="22"/>
        </w:rPr>
      </w:pPr>
      <w:r w:rsidRPr="00C65707">
        <w:rPr>
          <w:sz w:val="22"/>
          <w:szCs w:val="22"/>
        </w:rPr>
        <w:t>U Studiji SC</w:t>
      </w:r>
      <w:r w:rsidRPr="00C65707">
        <w:rPr>
          <w:sz w:val="22"/>
          <w:szCs w:val="22"/>
        </w:rPr>
        <w:noBreakHyphen/>
        <w:t xml:space="preserve">II nakon 24 nedjelje 60,9% pacijenta liječenih subkutanom dozom </w:t>
      </w:r>
      <w:r w:rsidR="00BB0387" w:rsidRPr="00C65707">
        <w:rPr>
          <w:sz w:val="22"/>
          <w:szCs w:val="22"/>
        </w:rPr>
        <w:t>tocilizumaba</w:t>
      </w:r>
      <w:r w:rsidRPr="00C65707">
        <w:rPr>
          <w:sz w:val="22"/>
          <w:szCs w:val="22"/>
        </w:rPr>
        <w:t xml:space="preserve"> jedanput svake dvije nedjelje je postiglo odgovor ACR20, njih 39,8% postiglo je odgovor ACR50, a 19,7% odgovor ACR70, dok je među pacijentima koji su primali placebo odgovor ACR20 zabilježen kod 31,5%, odgovor ACR50 kod 12,3%, a odgovor ACR70 kod 5,0% pacijenata. Srednja početna vrijednost DAS28 iznosila je 6,7 kod pacijenata liječenih subkutanom formulacijom lijeka te 6,6 kod pacijenata koji su primali placebo. Nakon 24 nedjelje kod pacijenata liječenih subkutanom formulacijom zabilježeno je značajno smanjenje vrijednosti DAS28 za 3,1 u odnosu na početnu vrijednost, a za 1,7 kod pacijenata koji su primali placebo, dok je vrijednost DAS28 &lt; 2,6 primijećena kod 32,0% pacijenata liječenih subkutanom formulacijom i kod 4,0% pacijenata koji su primali placebo.</w:t>
      </w:r>
    </w:p>
    <w:p w14:paraId="24BA093A" w14:textId="77777777" w:rsidR="00CC2B31" w:rsidRPr="00C65707" w:rsidRDefault="00CC2B31">
      <w:pPr>
        <w:widowControl w:val="0"/>
        <w:jc w:val="both"/>
        <w:rPr>
          <w:i/>
          <w:sz w:val="22"/>
          <w:szCs w:val="22"/>
        </w:rPr>
      </w:pPr>
    </w:p>
    <w:p w14:paraId="1000BFA7" w14:textId="77777777" w:rsidR="00CC2B31" w:rsidRPr="00C65707" w:rsidRDefault="00CC2B31">
      <w:pPr>
        <w:widowControl w:val="0"/>
        <w:jc w:val="both"/>
        <w:rPr>
          <w:i/>
          <w:sz w:val="22"/>
          <w:szCs w:val="22"/>
          <w:u w:val="single"/>
        </w:rPr>
      </w:pPr>
      <w:r w:rsidRPr="00C65707">
        <w:rPr>
          <w:i/>
          <w:sz w:val="22"/>
          <w:szCs w:val="22"/>
          <w:u w:val="single"/>
        </w:rPr>
        <w:t>Ishodi povezani sa zdravljem i kvalitetom života</w:t>
      </w:r>
    </w:p>
    <w:p w14:paraId="07C52B62" w14:textId="3C30B06F" w:rsidR="00CC2B31" w:rsidRPr="00C65707" w:rsidRDefault="00CC2B31">
      <w:pPr>
        <w:widowControl w:val="0"/>
        <w:jc w:val="both"/>
        <w:rPr>
          <w:sz w:val="22"/>
          <w:szCs w:val="22"/>
        </w:rPr>
      </w:pPr>
      <w:r w:rsidRPr="00C65707">
        <w:rPr>
          <w:sz w:val="22"/>
          <w:szCs w:val="22"/>
        </w:rPr>
        <w:t>U Studiji SC</w:t>
      </w:r>
      <w:r w:rsidRPr="00C65707">
        <w:rPr>
          <w:sz w:val="22"/>
          <w:szCs w:val="22"/>
        </w:rPr>
        <w:noBreakHyphen/>
        <w:t>I srednje smanjenje HAQ</w:t>
      </w:r>
      <w:r w:rsidRPr="00C65707">
        <w:rPr>
          <w:sz w:val="22"/>
          <w:szCs w:val="22"/>
        </w:rPr>
        <w:noBreakHyphen/>
        <w:t>DI rezultata nakon 24 nedjelje u odnosu na početnu vrijednost iznosilo je 0,6 i u grupi liječenoj subkutanom formulacijom i u onoj liječenoj intravenskom formulacijom. Procenat pacijenata koji su postigli klinički značajno poboljšanje HAQ</w:t>
      </w:r>
      <w:r w:rsidRPr="00C65707">
        <w:rPr>
          <w:sz w:val="22"/>
          <w:szCs w:val="22"/>
        </w:rPr>
        <w:noBreakHyphen/>
        <w:t xml:space="preserve">DI rezultata nakon 24 nedjelje (promjena za ≥ 0,3 jedinice u odnosu na početnu vrijednost) bio je uporediv u grupi koja je primala subkutanu formulaciju (65,2%) i u onoj liječenoj intravenskom formulacijom (67,4%), pri čemu je ponderisana razlika u procentima iznosila </w:t>
      </w:r>
      <w:r w:rsidRPr="00C65707">
        <w:rPr>
          <w:sz w:val="22"/>
          <w:szCs w:val="22"/>
        </w:rPr>
        <w:noBreakHyphen/>
        <w:t xml:space="preserve">2,3% (95% CI </w:t>
      </w:r>
      <w:r w:rsidRPr="00C65707">
        <w:rPr>
          <w:sz w:val="22"/>
          <w:szCs w:val="22"/>
        </w:rPr>
        <w:noBreakHyphen/>
        <w:t>8,1: 3,4). U upitniku SF</w:t>
      </w:r>
      <w:r w:rsidRPr="00C65707">
        <w:rPr>
          <w:sz w:val="22"/>
          <w:szCs w:val="22"/>
        </w:rPr>
        <w:noBreakHyphen/>
        <w:t>36 srednja promjena rezultata za mentalnu komponentu nakon 24 nedjelje u odnosu na početnu vrijednost iznosila je 6,22 u grupi liječenoj subkutanom formulacijom i 6,54 u grupi liječenoj intravenskom formulacijom, dok je srednja promjena rezultata za fizičku komponentu takođe bila slična, a iznosila je 9,49 u grupi koja je primala subkutanu formulaciju i 9,65 u grupi liječenoj intravenskom formulacijom.</w:t>
      </w:r>
    </w:p>
    <w:p w14:paraId="321E0D8B" w14:textId="77777777" w:rsidR="00CC2B31" w:rsidRPr="00C65707" w:rsidRDefault="00CC2B31">
      <w:pPr>
        <w:widowControl w:val="0"/>
        <w:jc w:val="both"/>
        <w:rPr>
          <w:sz w:val="22"/>
          <w:szCs w:val="22"/>
        </w:rPr>
      </w:pPr>
    </w:p>
    <w:p w14:paraId="45FA5727" w14:textId="579A3A32" w:rsidR="00CC2B31" w:rsidRPr="00C65707" w:rsidRDefault="00CC2B31">
      <w:pPr>
        <w:widowControl w:val="0"/>
        <w:jc w:val="both"/>
        <w:rPr>
          <w:sz w:val="22"/>
          <w:szCs w:val="22"/>
        </w:rPr>
      </w:pPr>
      <w:r w:rsidRPr="00C65707">
        <w:rPr>
          <w:sz w:val="22"/>
          <w:szCs w:val="22"/>
        </w:rPr>
        <w:t>U Studiji SC</w:t>
      </w:r>
      <w:r w:rsidRPr="00C65707">
        <w:rPr>
          <w:sz w:val="22"/>
          <w:szCs w:val="22"/>
        </w:rPr>
        <w:noBreakHyphen/>
        <w:t>II je srednje smanjenje vrijednosti HAQ</w:t>
      </w:r>
      <w:r w:rsidRPr="00C65707">
        <w:rPr>
          <w:sz w:val="22"/>
          <w:szCs w:val="22"/>
        </w:rPr>
        <w:noBreakHyphen/>
        <w:t xml:space="preserve">DI nakon 24 nedjelje u odnosu na početnu vrijednost bilo značajno veće kod pacijenata liječenih subkutanom formulacijom </w:t>
      </w:r>
      <w:r w:rsidR="00BB0387" w:rsidRPr="00C65707">
        <w:rPr>
          <w:sz w:val="22"/>
          <w:szCs w:val="22"/>
        </w:rPr>
        <w:t>tocilizumab</w:t>
      </w:r>
      <w:r w:rsidRPr="00C65707">
        <w:rPr>
          <w:sz w:val="22"/>
          <w:szCs w:val="22"/>
        </w:rPr>
        <w:t>a jedanput svake dvije nedjelje (0,4) nego kod pacijenata koji su primali placebo (0,3). Procenat pacijenata koji su nakon 24 nedjelje postigli klinički značajno poboljšanje HAQ</w:t>
      </w:r>
      <w:r w:rsidRPr="00C65707">
        <w:rPr>
          <w:sz w:val="22"/>
          <w:szCs w:val="22"/>
        </w:rPr>
        <w:noBreakHyphen/>
        <w:t xml:space="preserve">DI rezultata (promjena za ≥ 0,3 jedinice u odnosu na početnu vrijednost) bio je veći u grupi liječenoj subkutanom formulacijom </w:t>
      </w:r>
      <w:r w:rsidR="00BB0387" w:rsidRPr="00C65707">
        <w:rPr>
          <w:sz w:val="22"/>
          <w:szCs w:val="22"/>
        </w:rPr>
        <w:t>tocilizumab</w:t>
      </w:r>
      <w:r w:rsidRPr="00C65707">
        <w:rPr>
          <w:sz w:val="22"/>
          <w:szCs w:val="22"/>
        </w:rPr>
        <w:t>a jedanput svake dvije nedjelje (58%) nego kod pacijenata koji su primali placebo (46,8%). Vrijednost SF</w:t>
      </w:r>
      <w:r w:rsidRPr="00C65707">
        <w:rPr>
          <w:sz w:val="22"/>
          <w:szCs w:val="22"/>
        </w:rPr>
        <w:noBreakHyphen/>
        <w:t xml:space="preserve">36 (srednja promjena rezultata za mentalnu odnosno fizičku komponentu) bila je značajno veća u grupi koja je primala subkutanu formulaciju </w:t>
      </w:r>
      <w:r w:rsidR="00BB0387" w:rsidRPr="00C65707">
        <w:rPr>
          <w:sz w:val="22"/>
          <w:szCs w:val="22"/>
        </w:rPr>
        <w:t>tocilizumaba</w:t>
      </w:r>
      <w:r w:rsidRPr="00C65707">
        <w:rPr>
          <w:sz w:val="22"/>
          <w:szCs w:val="22"/>
        </w:rPr>
        <w:t xml:space="preserve"> (6,5 odnosno 5,3) nego u grupi koja je primala placebo (3,8 odnosno 2,9).</w:t>
      </w:r>
    </w:p>
    <w:p w14:paraId="2FEE3BDA" w14:textId="59A8F77E" w:rsidR="00D03604" w:rsidRDefault="00D03604">
      <w:pPr>
        <w:rPr>
          <w:sz w:val="22"/>
          <w:szCs w:val="22"/>
        </w:rPr>
      </w:pPr>
      <w:r>
        <w:rPr>
          <w:sz w:val="22"/>
          <w:szCs w:val="22"/>
        </w:rPr>
        <w:br w:type="page"/>
      </w:r>
    </w:p>
    <w:p w14:paraId="404AC47C" w14:textId="15297E1E" w:rsidR="00CC2B31" w:rsidRPr="00C65707" w:rsidRDefault="00CC2B31">
      <w:pPr>
        <w:widowControl w:val="0"/>
        <w:jc w:val="both"/>
        <w:rPr>
          <w:b/>
          <w:sz w:val="22"/>
          <w:szCs w:val="22"/>
          <w:u w:val="single"/>
          <w:lang w:eastAsia="ja-JP"/>
        </w:rPr>
      </w:pPr>
      <w:r w:rsidRPr="00C65707">
        <w:rPr>
          <w:b/>
          <w:sz w:val="22"/>
          <w:szCs w:val="22"/>
          <w:u w:val="single"/>
          <w:lang w:eastAsia="ja-JP"/>
        </w:rPr>
        <w:lastRenderedPageBreak/>
        <w:t>sJIA</w:t>
      </w:r>
      <w:r w:rsidR="00BB0387" w:rsidRPr="00C65707">
        <w:rPr>
          <w:b/>
          <w:sz w:val="22"/>
          <w:szCs w:val="22"/>
          <w:u w:val="single"/>
          <w:lang w:eastAsia="ja-JP"/>
        </w:rPr>
        <w:t xml:space="preserve"> (su</w:t>
      </w:r>
      <w:r w:rsidR="00910BDC" w:rsidRPr="00C65707">
        <w:rPr>
          <w:b/>
          <w:sz w:val="22"/>
          <w:szCs w:val="22"/>
          <w:u w:val="single"/>
          <w:lang w:eastAsia="ja-JP"/>
        </w:rPr>
        <w:t>b</w:t>
      </w:r>
      <w:r w:rsidR="00BB0387" w:rsidRPr="00C65707">
        <w:rPr>
          <w:b/>
          <w:sz w:val="22"/>
          <w:szCs w:val="22"/>
          <w:u w:val="single"/>
          <w:lang w:eastAsia="ja-JP"/>
        </w:rPr>
        <w:t>kutana primjena)</w:t>
      </w:r>
    </w:p>
    <w:p w14:paraId="0F608E35" w14:textId="77777777" w:rsidR="00EA4C74" w:rsidRPr="00C65707" w:rsidRDefault="00EA4C74">
      <w:pPr>
        <w:widowControl w:val="0"/>
        <w:jc w:val="both"/>
        <w:rPr>
          <w:sz w:val="22"/>
          <w:szCs w:val="22"/>
          <w:u w:val="single"/>
          <w:lang w:eastAsia="ja-JP"/>
        </w:rPr>
      </w:pPr>
    </w:p>
    <w:p w14:paraId="063C53D6" w14:textId="77777777" w:rsidR="00CC2B31" w:rsidRPr="00C65707" w:rsidRDefault="00CC2B31">
      <w:pPr>
        <w:widowControl w:val="0"/>
        <w:jc w:val="both"/>
        <w:rPr>
          <w:sz w:val="22"/>
          <w:szCs w:val="22"/>
          <w:u w:val="single"/>
          <w:lang w:eastAsia="ja-JP"/>
        </w:rPr>
      </w:pPr>
      <w:r w:rsidRPr="00C65707">
        <w:rPr>
          <w:sz w:val="22"/>
          <w:szCs w:val="22"/>
          <w:u w:val="single"/>
          <w:lang w:eastAsia="ja-JP"/>
        </w:rPr>
        <w:t>Klinička efikasnost</w:t>
      </w:r>
    </w:p>
    <w:p w14:paraId="5368DE48" w14:textId="18484CB3" w:rsidR="00CC2B31" w:rsidRPr="00C65707" w:rsidRDefault="00CC2B31">
      <w:pPr>
        <w:widowControl w:val="0"/>
        <w:jc w:val="both"/>
        <w:rPr>
          <w:sz w:val="22"/>
          <w:szCs w:val="22"/>
          <w:lang w:eastAsia="ja-JP"/>
        </w:rPr>
      </w:pPr>
      <w:r w:rsidRPr="00C65707">
        <w:rPr>
          <w:sz w:val="22"/>
          <w:szCs w:val="22"/>
          <w:lang w:eastAsia="ja-JP"/>
        </w:rPr>
        <w:t>Sprovedeno je 52-ned</w:t>
      </w:r>
      <w:r w:rsidR="000A085D" w:rsidRPr="00C65707">
        <w:rPr>
          <w:sz w:val="22"/>
          <w:szCs w:val="22"/>
          <w:lang w:eastAsia="ja-JP"/>
        </w:rPr>
        <w:t>j</w:t>
      </w:r>
      <w:r w:rsidRPr="00C65707">
        <w:rPr>
          <w:sz w:val="22"/>
          <w:szCs w:val="22"/>
          <w:lang w:eastAsia="ja-JP"/>
        </w:rPr>
        <w:t>eljno, otvoreno, multicentrično ispitivanje farmakokinetike/farmakodinamike i bezbjednosti l</w:t>
      </w:r>
      <w:r w:rsidRPr="00C65707">
        <w:rPr>
          <w:sz w:val="22"/>
          <w:szCs w:val="22"/>
        </w:rPr>
        <w:t>ij</w:t>
      </w:r>
      <w:r w:rsidRPr="00C65707">
        <w:rPr>
          <w:sz w:val="22"/>
          <w:szCs w:val="22"/>
          <w:lang w:eastAsia="ja-JP"/>
        </w:rPr>
        <w:t xml:space="preserve">eka (WA28118) kod pedijatrijskih pacijenata, sa sJIA, uzrasta 1 do 17 godina, kako bi se odredila odgovarajuća subkutana doza </w:t>
      </w:r>
      <w:r w:rsidR="00BB0387" w:rsidRPr="00C65707">
        <w:rPr>
          <w:sz w:val="22"/>
          <w:szCs w:val="22"/>
        </w:rPr>
        <w:t>tocilizumaba</w:t>
      </w:r>
      <w:r w:rsidRPr="00C65707">
        <w:rPr>
          <w:sz w:val="22"/>
          <w:szCs w:val="22"/>
          <w:lang w:eastAsia="ja-JP"/>
        </w:rPr>
        <w:t>, čiji su farmakokinetički/farmakodinamički i sigurnosni profili uporedivi sa onim kod intravenske primjene.</w:t>
      </w:r>
    </w:p>
    <w:p w14:paraId="79244A11" w14:textId="77777777" w:rsidR="00CC2B31" w:rsidRPr="00C65707" w:rsidRDefault="00CC2B31">
      <w:pPr>
        <w:widowControl w:val="0"/>
        <w:jc w:val="both"/>
        <w:rPr>
          <w:sz w:val="22"/>
          <w:szCs w:val="22"/>
          <w:lang w:eastAsia="ja-JP"/>
        </w:rPr>
      </w:pPr>
    </w:p>
    <w:p w14:paraId="003A6D2F" w14:textId="7896B43E" w:rsidR="00CC2B31" w:rsidRPr="00C65707" w:rsidRDefault="00CC2B31">
      <w:pPr>
        <w:widowControl w:val="0"/>
        <w:jc w:val="both"/>
        <w:rPr>
          <w:sz w:val="22"/>
          <w:szCs w:val="22"/>
          <w:lang w:eastAsia="ja-JP"/>
        </w:rPr>
      </w:pPr>
      <w:r w:rsidRPr="00C65707">
        <w:rPr>
          <w:sz w:val="22"/>
          <w:szCs w:val="22"/>
          <w:lang w:eastAsia="ja-JP"/>
        </w:rPr>
        <w:t xml:space="preserve">Pacijenti koji su ispunjavali uslove za uključivanje u studiju primali su </w:t>
      </w:r>
      <w:r w:rsidR="00BB0387" w:rsidRPr="00C65707">
        <w:rPr>
          <w:sz w:val="22"/>
          <w:szCs w:val="22"/>
        </w:rPr>
        <w:t>tocilizumab</w:t>
      </w:r>
      <w:r w:rsidRPr="00C65707">
        <w:rPr>
          <w:sz w:val="22"/>
          <w:szCs w:val="22"/>
          <w:lang w:eastAsia="ja-JP"/>
        </w:rPr>
        <w:t xml:space="preserve"> u dozi određenoj prema tjelesnoj težini. Pacijenti telesne težine </w:t>
      </w:r>
      <w:r w:rsidRPr="00C65707">
        <w:rPr>
          <w:sz w:val="22"/>
          <w:szCs w:val="22"/>
        </w:rPr>
        <w:t xml:space="preserve">≥ 30 kg (n=26) primali su dozu od 162 mg </w:t>
      </w:r>
      <w:r w:rsidR="00BB0387" w:rsidRPr="00C65707">
        <w:rPr>
          <w:sz w:val="22"/>
          <w:szCs w:val="22"/>
        </w:rPr>
        <w:t>tocilizumab</w:t>
      </w:r>
      <w:r w:rsidRPr="00C65707">
        <w:rPr>
          <w:sz w:val="22"/>
          <w:szCs w:val="22"/>
        </w:rPr>
        <w:t>a svake ned</w:t>
      </w:r>
      <w:r w:rsidR="00BB0387" w:rsidRPr="00C65707">
        <w:rPr>
          <w:sz w:val="22"/>
          <w:szCs w:val="22"/>
        </w:rPr>
        <w:t>j</w:t>
      </w:r>
      <w:r w:rsidRPr="00C65707">
        <w:rPr>
          <w:sz w:val="22"/>
          <w:szCs w:val="22"/>
        </w:rPr>
        <w:t xml:space="preserve">elje, dok su pacijenti telesne težine manje od 30 kg (n=25) primali dozu od 162 mg </w:t>
      </w:r>
      <w:r w:rsidR="00BB0387" w:rsidRPr="00C65707">
        <w:rPr>
          <w:sz w:val="22"/>
          <w:szCs w:val="22"/>
        </w:rPr>
        <w:t>tocilizumaba</w:t>
      </w:r>
      <w:r w:rsidRPr="00C65707">
        <w:rPr>
          <w:sz w:val="22"/>
          <w:szCs w:val="22"/>
        </w:rPr>
        <w:t xml:space="preserve"> svakih 10 dana (Q10D; n=8) ili svake 2 ned</w:t>
      </w:r>
      <w:r w:rsidR="000A085D" w:rsidRPr="00C65707">
        <w:rPr>
          <w:sz w:val="22"/>
          <w:szCs w:val="22"/>
        </w:rPr>
        <w:t>j</w:t>
      </w:r>
      <w:r w:rsidRPr="00C65707">
        <w:rPr>
          <w:sz w:val="22"/>
          <w:szCs w:val="22"/>
        </w:rPr>
        <w:t>elje (Q2W; n=17) tokom ukupno 52 ned</w:t>
      </w:r>
      <w:r w:rsidR="000A085D" w:rsidRPr="00C65707">
        <w:rPr>
          <w:sz w:val="22"/>
          <w:szCs w:val="22"/>
        </w:rPr>
        <w:t>j</w:t>
      </w:r>
      <w:r w:rsidRPr="00C65707">
        <w:rPr>
          <w:sz w:val="22"/>
          <w:szCs w:val="22"/>
        </w:rPr>
        <w:t>elje</w:t>
      </w:r>
      <w:r w:rsidRPr="00C65707">
        <w:rPr>
          <w:sz w:val="22"/>
          <w:szCs w:val="22"/>
          <w:lang w:eastAsia="ja-JP"/>
        </w:rPr>
        <w:t>. Od ukupno 51 pacijenta, njih 26 (51%) nije bilo prethodno l</w:t>
      </w:r>
      <w:r w:rsidRPr="00C65707">
        <w:rPr>
          <w:sz w:val="22"/>
          <w:szCs w:val="22"/>
        </w:rPr>
        <w:t>ij</w:t>
      </w:r>
      <w:r w:rsidRPr="00C65707">
        <w:rPr>
          <w:sz w:val="22"/>
          <w:szCs w:val="22"/>
          <w:lang w:eastAsia="ja-JP"/>
        </w:rPr>
        <w:t xml:space="preserve">ečeno </w:t>
      </w:r>
      <w:r w:rsidR="00BB0387" w:rsidRPr="00C65707">
        <w:rPr>
          <w:sz w:val="22"/>
          <w:szCs w:val="22"/>
        </w:rPr>
        <w:t>tocilizumabom</w:t>
      </w:r>
      <w:r w:rsidRPr="00C65707">
        <w:rPr>
          <w:sz w:val="22"/>
          <w:szCs w:val="22"/>
          <w:lang w:eastAsia="ja-JP"/>
        </w:rPr>
        <w:t xml:space="preserve">, dok je njih 25 (49%) prethodno primalo </w:t>
      </w:r>
      <w:r w:rsidR="00BB0387" w:rsidRPr="00C65707">
        <w:rPr>
          <w:sz w:val="22"/>
          <w:szCs w:val="22"/>
        </w:rPr>
        <w:t>tocilizumab</w:t>
      </w:r>
      <w:r w:rsidRPr="00C65707">
        <w:rPr>
          <w:sz w:val="22"/>
          <w:szCs w:val="22"/>
          <w:lang w:eastAsia="ja-JP"/>
        </w:rPr>
        <w:t>intravenski</w:t>
      </w:r>
      <w:r w:rsidR="00BB0387" w:rsidRPr="00C65707">
        <w:rPr>
          <w:sz w:val="22"/>
          <w:szCs w:val="22"/>
          <w:lang w:eastAsia="ja-JP"/>
        </w:rPr>
        <w:t>,</w:t>
      </w:r>
      <w:r w:rsidRPr="00C65707">
        <w:rPr>
          <w:sz w:val="22"/>
          <w:szCs w:val="22"/>
          <w:lang w:eastAsia="ja-JP"/>
        </w:rPr>
        <w:t xml:space="preserve"> nakon čega je na početku ispitivanja prebačeno na </w:t>
      </w:r>
      <w:r w:rsidR="00910BDC" w:rsidRPr="00C65707">
        <w:rPr>
          <w:sz w:val="22"/>
          <w:szCs w:val="22"/>
          <w:lang w:eastAsia="ja-JP"/>
        </w:rPr>
        <w:t xml:space="preserve">subkutanu </w:t>
      </w:r>
      <w:r w:rsidRPr="00C65707">
        <w:rPr>
          <w:sz w:val="22"/>
          <w:szCs w:val="22"/>
          <w:lang w:eastAsia="ja-JP"/>
        </w:rPr>
        <w:t>formulaciju</w:t>
      </w:r>
      <w:r w:rsidR="00BB0387" w:rsidRPr="00C65707">
        <w:rPr>
          <w:sz w:val="22"/>
          <w:szCs w:val="22"/>
          <w:lang w:eastAsia="ja-JP"/>
        </w:rPr>
        <w:t xml:space="preserve"> tog</w:t>
      </w:r>
      <w:r w:rsidRPr="00C65707">
        <w:rPr>
          <w:sz w:val="22"/>
          <w:szCs w:val="22"/>
          <w:lang w:eastAsia="ja-JP"/>
        </w:rPr>
        <w:t xml:space="preserve"> l</w:t>
      </w:r>
      <w:r w:rsidRPr="00C65707">
        <w:rPr>
          <w:sz w:val="22"/>
          <w:szCs w:val="22"/>
        </w:rPr>
        <w:t>ij</w:t>
      </w:r>
      <w:r w:rsidRPr="00C65707">
        <w:rPr>
          <w:sz w:val="22"/>
          <w:szCs w:val="22"/>
          <w:lang w:eastAsia="ja-JP"/>
        </w:rPr>
        <w:t xml:space="preserve">eka. </w:t>
      </w:r>
    </w:p>
    <w:p w14:paraId="5C7B530E" w14:textId="77777777" w:rsidR="00CC2B31" w:rsidRPr="00C65707" w:rsidRDefault="00CC2B31">
      <w:pPr>
        <w:widowControl w:val="0"/>
        <w:jc w:val="both"/>
        <w:rPr>
          <w:sz w:val="22"/>
          <w:szCs w:val="22"/>
          <w:u w:val="single"/>
          <w:lang w:eastAsia="ja-JP"/>
        </w:rPr>
      </w:pPr>
    </w:p>
    <w:p w14:paraId="022E15A9" w14:textId="7D0D884A" w:rsidR="00CC2B31" w:rsidRPr="00C65707" w:rsidRDefault="00CC2B31">
      <w:pPr>
        <w:widowControl w:val="0"/>
        <w:jc w:val="both"/>
        <w:rPr>
          <w:sz w:val="22"/>
          <w:szCs w:val="22"/>
        </w:rPr>
      </w:pPr>
      <w:r w:rsidRPr="00C65707">
        <w:rPr>
          <w:sz w:val="22"/>
          <w:szCs w:val="22"/>
          <w:lang w:eastAsia="ja-JP"/>
        </w:rPr>
        <w:t>Eksploratorni rezultati efikasnosti pokazali su da je su</w:t>
      </w:r>
      <w:r w:rsidR="00BB0387" w:rsidRPr="00C65707">
        <w:rPr>
          <w:sz w:val="22"/>
          <w:szCs w:val="22"/>
          <w:lang w:eastAsia="ja-JP"/>
        </w:rPr>
        <w:t>p</w:t>
      </w:r>
      <w:r w:rsidRPr="00C65707">
        <w:rPr>
          <w:sz w:val="22"/>
          <w:szCs w:val="22"/>
          <w:lang w:eastAsia="ja-JP"/>
        </w:rPr>
        <w:t>kutana formulacija  RoActemr</w:t>
      </w:r>
      <w:r w:rsidR="00BB0387" w:rsidRPr="00C65707">
        <w:rPr>
          <w:sz w:val="22"/>
          <w:szCs w:val="22"/>
          <w:lang w:eastAsia="ja-JP"/>
        </w:rPr>
        <w:t>e</w:t>
      </w:r>
      <w:r w:rsidRPr="00C65707">
        <w:rPr>
          <w:sz w:val="22"/>
          <w:szCs w:val="22"/>
          <w:lang w:eastAsia="ja-JP"/>
        </w:rPr>
        <w:t xml:space="preserve"> poboljšala sve eksploratorne parametre efikasnosti uključujući </w:t>
      </w:r>
      <w:r w:rsidRPr="00C65707">
        <w:rPr>
          <w:i/>
          <w:sz w:val="22"/>
          <w:szCs w:val="22"/>
        </w:rPr>
        <w:t>Juvenile Arthritis Disease Activity Score</w:t>
      </w:r>
      <w:r w:rsidRPr="00C65707">
        <w:rPr>
          <w:sz w:val="22"/>
          <w:szCs w:val="22"/>
        </w:rPr>
        <w:t xml:space="preserve"> (JADAS)-71 kod pacijenata koji ni</w:t>
      </w:r>
      <w:r w:rsidR="000A085D" w:rsidRPr="00C65707">
        <w:rPr>
          <w:sz w:val="22"/>
          <w:szCs w:val="22"/>
        </w:rPr>
        <w:t>je</w:t>
      </w:r>
      <w:r w:rsidRPr="00C65707">
        <w:rPr>
          <w:sz w:val="22"/>
          <w:szCs w:val="22"/>
        </w:rPr>
        <w:t xml:space="preserve">su bili prethodno liječeni </w:t>
      </w:r>
      <w:r w:rsidR="00BB0387" w:rsidRPr="00C65707">
        <w:rPr>
          <w:sz w:val="22"/>
          <w:szCs w:val="22"/>
        </w:rPr>
        <w:t>tocilizumabom</w:t>
      </w:r>
      <w:r w:rsidRPr="00C65707">
        <w:rPr>
          <w:sz w:val="22"/>
          <w:szCs w:val="22"/>
        </w:rPr>
        <w:t xml:space="preserve">, i održala sve eksploratorne parametre efikasnosti kod pacijenata koji su prešli sa intravenske na </w:t>
      </w:r>
      <w:r w:rsidR="00910BDC" w:rsidRPr="00C65707">
        <w:rPr>
          <w:sz w:val="22"/>
          <w:szCs w:val="22"/>
        </w:rPr>
        <w:t xml:space="preserve">subkutanu </w:t>
      </w:r>
      <w:r w:rsidRPr="00C65707">
        <w:rPr>
          <w:sz w:val="22"/>
          <w:szCs w:val="22"/>
        </w:rPr>
        <w:t xml:space="preserve">primjenu </w:t>
      </w:r>
      <w:r w:rsidR="00BB0387" w:rsidRPr="00C65707">
        <w:rPr>
          <w:sz w:val="22"/>
          <w:szCs w:val="22"/>
        </w:rPr>
        <w:t>tocilizumaba</w:t>
      </w:r>
      <w:r w:rsidRPr="00C65707">
        <w:rPr>
          <w:sz w:val="22"/>
          <w:szCs w:val="22"/>
        </w:rPr>
        <w:t xml:space="preserve"> tokom cijelog perioda</w:t>
      </w:r>
      <w:r w:rsidR="00BB0387" w:rsidRPr="00C65707">
        <w:rPr>
          <w:sz w:val="22"/>
          <w:szCs w:val="22"/>
        </w:rPr>
        <w:t>,</w:t>
      </w:r>
      <w:r w:rsidRPr="00C65707">
        <w:rPr>
          <w:sz w:val="22"/>
          <w:szCs w:val="22"/>
        </w:rPr>
        <w:t xml:space="preserve">  sprovođenja ispitivanja u ob</w:t>
      </w:r>
      <w:r w:rsidR="00D03604">
        <w:rPr>
          <w:sz w:val="22"/>
          <w:szCs w:val="22"/>
        </w:rPr>
        <w:t>ij</w:t>
      </w:r>
      <w:r w:rsidRPr="00C65707">
        <w:rPr>
          <w:sz w:val="22"/>
          <w:szCs w:val="22"/>
        </w:rPr>
        <w:t>e grupe pacijenata prema tjelesnoj težini (manje od 30 kg i ≥ 30 kg).</w:t>
      </w:r>
    </w:p>
    <w:p w14:paraId="3D01A087" w14:textId="77777777" w:rsidR="00CC2B31" w:rsidRPr="00C65707" w:rsidRDefault="00CC2B31">
      <w:pPr>
        <w:widowControl w:val="0"/>
        <w:jc w:val="both"/>
        <w:rPr>
          <w:sz w:val="22"/>
          <w:szCs w:val="22"/>
        </w:rPr>
      </w:pPr>
    </w:p>
    <w:p w14:paraId="0278345D" w14:textId="08722A38" w:rsidR="00CC2B31" w:rsidRPr="00C65707" w:rsidRDefault="00CC2B31">
      <w:pPr>
        <w:widowControl w:val="0"/>
        <w:jc w:val="both"/>
        <w:rPr>
          <w:b/>
          <w:bCs/>
          <w:sz w:val="22"/>
          <w:szCs w:val="22"/>
          <w:u w:val="single"/>
          <w:lang w:eastAsia="ja-JP"/>
        </w:rPr>
      </w:pPr>
      <w:r w:rsidRPr="00C65707">
        <w:rPr>
          <w:b/>
          <w:bCs/>
          <w:sz w:val="22"/>
          <w:szCs w:val="22"/>
          <w:u w:val="single"/>
          <w:lang w:eastAsia="ja-JP"/>
        </w:rPr>
        <w:t>pJIA</w:t>
      </w:r>
      <w:r w:rsidR="00BB0387" w:rsidRPr="00C65707">
        <w:rPr>
          <w:b/>
          <w:bCs/>
          <w:sz w:val="22"/>
          <w:szCs w:val="22"/>
          <w:u w:val="single"/>
          <w:lang w:eastAsia="ja-JP"/>
        </w:rPr>
        <w:t xml:space="preserve"> (su</w:t>
      </w:r>
      <w:r w:rsidR="00D74543" w:rsidRPr="00C65707">
        <w:rPr>
          <w:b/>
          <w:bCs/>
          <w:sz w:val="22"/>
          <w:szCs w:val="22"/>
          <w:u w:val="single"/>
          <w:lang w:eastAsia="ja-JP"/>
        </w:rPr>
        <w:t>b</w:t>
      </w:r>
      <w:r w:rsidR="00BB0387" w:rsidRPr="00C65707">
        <w:rPr>
          <w:b/>
          <w:bCs/>
          <w:sz w:val="22"/>
          <w:szCs w:val="22"/>
          <w:u w:val="single"/>
          <w:lang w:eastAsia="ja-JP"/>
        </w:rPr>
        <w:t>kutana primjena)</w:t>
      </w:r>
    </w:p>
    <w:p w14:paraId="54A149AF" w14:textId="77777777" w:rsidR="00BB0387" w:rsidRPr="00C65707" w:rsidRDefault="00BB0387">
      <w:pPr>
        <w:widowControl w:val="0"/>
        <w:jc w:val="both"/>
        <w:rPr>
          <w:b/>
          <w:bCs/>
          <w:sz w:val="22"/>
          <w:szCs w:val="22"/>
          <w:u w:val="single"/>
          <w:lang w:eastAsia="ja-JP"/>
        </w:rPr>
      </w:pPr>
    </w:p>
    <w:p w14:paraId="3B81F556" w14:textId="5564DDBD" w:rsidR="00BB0387" w:rsidRPr="00C65707" w:rsidRDefault="00BB0387">
      <w:pPr>
        <w:widowControl w:val="0"/>
        <w:jc w:val="both"/>
        <w:rPr>
          <w:sz w:val="22"/>
          <w:szCs w:val="22"/>
          <w:u w:val="single"/>
          <w:lang w:eastAsia="ja-JP"/>
        </w:rPr>
      </w:pPr>
      <w:r w:rsidRPr="00C65707">
        <w:rPr>
          <w:sz w:val="22"/>
          <w:szCs w:val="22"/>
          <w:u w:val="single"/>
          <w:lang w:eastAsia="ja-JP"/>
        </w:rPr>
        <w:t>Klinička efikasnost</w:t>
      </w:r>
    </w:p>
    <w:p w14:paraId="587D8BAE" w14:textId="1ECA6B5B" w:rsidR="00CC2B31" w:rsidRPr="00C65707" w:rsidRDefault="00CC2B31">
      <w:pPr>
        <w:widowControl w:val="0"/>
        <w:jc w:val="both"/>
        <w:rPr>
          <w:sz w:val="22"/>
          <w:szCs w:val="22"/>
          <w:lang w:eastAsia="ja-JP"/>
        </w:rPr>
      </w:pPr>
      <w:r w:rsidRPr="00C65707">
        <w:rPr>
          <w:sz w:val="22"/>
          <w:szCs w:val="22"/>
          <w:lang w:eastAsia="ja-JP"/>
        </w:rPr>
        <w:t>Sprovedeno je 52-ned</w:t>
      </w:r>
      <w:r w:rsidR="00BB0387" w:rsidRPr="00C65707">
        <w:rPr>
          <w:sz w:val="22"/>
          <w:szCs w:val="22"/>
          <w:lang w:eastAsia="ja-JP"/>
        </w:rPr>
        <w:t>j</w:t>
      </w:r>
      <w:r w:rsidRPr="00C65707">
        <w:rPr>
          <w:sz w:val="22"/>
          <w:szCs w:val="22"/>
          <w:lang w:eastAsia="ja-JP"/>
        </w:rPr>
        <w:t>eljno, otvoreno, multicentrično ispitivanje farmakokinetike/farmakodinamike i bezbjednosti l</w:t>
      </w:r>
      <w:r w:rsidRPr="00C65707">
        <w:rPr>
          <w:sz w:val="22"/>
          <w:szCs w:val="22"/>
        </w:rPr>
        <w:t>ij</w:t>
      </w:r>
      <w:r w:rsidRPr="00C65707">
        <w:rPr>
          <w:sz w:val="22"/>
          <w:szCs w:val="22"/>
          <w:lang w:eastAsia="ja-JP"/>
        </w:rPr>
        <w:t xml:space="preserve">eka kod pedijatrijskih pacijenata, uzrasta 1 do 17 godina, kako bi se odredila odgovarajuća subkutana doza </w:t>
      </w:r>
      <w:r w:rsidR="00BB0387" w:rsidRPr="00C65707">
        <w:rPr>
          <w:sz w:val="22"/>
          <w:szCs w:val="22"/>
          <w:lang w:eastAsia="ja-JP"/>
        </w:rPr>
        <w:t>tocilizumab</w:t>
      </w:r>
      <w:r w:rsidRPr="00C65707">
        <w:rPr>
          <w:sz w:val="22"/>
          <w:szCs w:val="22"/>
          <w:lang w:eastAsia="ja-JP"/>
        </w:rPr>
        <w:t>a, čiji su farmakokinetički/farmakodinamički i sigurnosni profili uporedivi sa onim kod intravenske prim</w:t>
      </w:r>
      <w:r w:rsidR="00BB0387" w:rsidRPr="00C65707">
        <w:rPr>
          <w:sz w:val="22"/>
          <w:szCs w:val="22"/>
          <w:lang w:eastAsia="ja-JP"/>
        </w:rPr>
        <w:t>j</w:t>
      </w:r>
      <w:r w:rsidRPr="00C65707">
        <w:rPr>
          <w:sz w:val="22"/>
          <w:szCs w:val="22"/>
          <w:lang w:eastAsia="ja-JP"/>
        </w:rPr>
        <w:t>ene.</w:t>
      </w:r>
    </w:p>
    <w:p w14:paraId="63647F62" w14:textId="77777777" w:rsidR="00CC2B31" w:rsidRPr="00C65707" w:rsidRDefault="00CC2B31">
      <w:pPr>
        <w:widowControl w:val="0"/>
        <w:jc w:val="both"/>
        <w:rPr>
          <w:sz w:val="22"/>
          <w:szCs w:val="22"/>
          <w:lang w:eastAsia="ja-JP"/>
        </w:rPr>
      </w:pPr>
    </w:p>
    <w:p w14:paraId="2177B609" w14:textId="6540FAB6" w:rsidR="00CC2B31" w:rsidRPr="00C65707" w:rsidRDefault="00CC2B31">
      <w:pPr>
        <w:widowControl w:val="0"/>
        <w:jc w:val="both"/>
        <w:rPr>
          <w:sz w:val="22"/>
          <w:szCs w:val="22"/>
          <w:lang w:eastAsia="ja-JP"/>
        </w:rPr>
      </w:pPr>
      <w:r w:rsidRPr="00C65707">
        <w:rPr>
          <w:sz w:val="22"/>
          <w:szCs w:val="22"/>
          <w:lang w:eastAsia="ja-JP"/>
        </w:rPr>
        <w:t xml:space="preserve">Pacijenti koji su ispunjavali uslove za uključivanje u studiju primali su </w:t>
      </w:r>
      <w:r w:rsidR="00BB0387" w:rsidRPr="00C65707">
        <w:rPr>
          <w:sz w:val="22"/>
          <w:szCs w:val="22"/>
          <w:lang w:eastAsia="ja-JP"/>
        </w:rPr>
        <w:t>tocilizumab</w:t>
      </w:r>
      <w:r w:rsidRPr="00C65707">
        <w:rPr>
          <w:sz w:val="22"/>
          <w:szCs w:val="22"/>
          <w:lang w:eastAsia="ja-JP"/>
        </w:rPr>
        <w:t xml:space="preserve"> u dozi određenoj prema telesnoj težini. Pacijenti telesne težine </w:t>
      </w:r>
      <w:r w:rsidRPr="00C65707">
        <w:rPr>
          <w:sz w:val="22"/>
          <w:szCs w:val="22"/>
        </w:rPr>
        <w:t xml:space="preserve">≥ 30 kg (n=25) primali su dozu od 162 mg </w:t>
      </w:r>
      <w:r w:rsidR="00BB0387" w:rsidRPr="00C65707">
        <w:rPr>
          <w:sz w:val="22"/>
          <w:szCs w:val="22"/>
          <w:lang w:eastAsia="ja-JP"/>
        </w:rPr>
        <w:t>tocilizumab</w:t>
      </w:r>
      <w:r w:rsidRPr="00C65707">
        <w:rPr>
          <w:sz w:val="22"/>
          <w:szCs w:val="22"/>
        </w:rPr>
        <w:t>a svake 2 ned</w:t>
      </w:r>
      <w:r w:rsidR="00BB0387" w:rsidRPr="00C65707">
        <w:rPr>
          <w:sz w:val="22"/>
          <w:szCs w:val="22"/>
        </w:rPr>
        <w:t>j</w:t>
      </w:r>
      <w:r w:rsidRPr="00C65707">
        <w:rPr>
          <w:sz w:val="22"/>
          <w:szCs w:val="22"/>
        </w:rPr>
        <w:t xml:space="preserve">elje, dok su pacijenti telesne težine manje od 30 kg (n=27) primali dozu od 162 mg </w:t>
      </w:r>
      <w:r w:rsidR="00BB0387" w:rsidRPr="00C65707">
        <w:rPr>
          <w:sz w:val="22"/>
          <w:szCs w:val="22"/>
          <w:lang w:eastAsia="ja-JP"/>
        </w:rPr>
        <w:t>tocilizumab</w:t>
      </w:r>
      <w:r w:rsidRPr="00C65707">
        <w:rPr>
          <w:sz w:val="22"/>
          <w:szCs w:val="22"/>
        </w:rPr>
        <w:t>a svake 3 ned</w:t>
      </w:r>
      <w:r w:rsidR="00BB0387" w:rsidRPr="00C65707">
        <w:rPr>
          <w:sz w:val="22"/>
          <w:szCs w:val="22"/>
        </w:rPr>
        <w:t>j</w:t>
      </w:r>
      <w:r w:rsidRPr="00C65707">
        <w:rPr>
          <w:sz w:val="22"/>
          <w:szCs w:val="22"/>
        </w:rPr>
        <w:t>elje tokom ukupno 52 ned</w:t>
      </w:r>
      <w:r w:rsidR="00BB0387" w:rsidRPr="00C65707">
        <w:rPr>
          <w:sz w:val="22"/>
          <w:szCs w:val="22"/>
        </w:rPr>
        <w:t>j</w:t>
      </w:r>
      <w:r w:rsidRPr="00C65707">
        <w:rPr>
          <w:sz w:val="22"/>
          <w:szCs w:val="22"/>
        </w:rPr>
        <w:t>elje</w:t>
      </w:r>
      <w:r w:rsidRPr="00C65707">
        <w:rPr>
          <w:sz w:val="22"/>
          <w:szCs w:val="22"/>
          <w:lang w:eastAsia="ja-JP"/>
        </w:rPr>
        <w:t xml:space="preserve">. Od ukupno 52 pacijenta, njih 37 (71%) nije bilo prethodno liječeno </w:t>
      </w:r>
      <w:r w:rsidR="00BB0387" w:rsidRPr="00C65707">
        <w:rPr>
          <w:sz w:val="22"/>
          <w:szCs w:val="22"/>
          <w:lang w:eastAsia="ja-JP"/>
        </w:rPr>
        <w:t>tocilizumabom</w:t>
      </w:r>
      <w:r w:rsidRPr="00C65707">
        <w:rPr>
          <w:sz w:val="22"/>
          <w:szCs w:val="22"/>
          <w:lang w:eastAsia="ja-JP"/>
        </w:rPr>
        <w:t xml:space="preserve">, dok je njih 15 (29%) prethodno primalo </w:t>
      </w:r>
      <w:r w:rsidR="00BB0387" w:rsidRPr="00C65707">
        <w:rPr>
          <w:sz w:val="22"/>
          <w:szCs w:val="22"/>
          <w:lang w:eastAsia="ja-JP"/>
        </w:rPr>
        <w:t>tocilizumab</w:t>
      </w:r>
      <w:r w:rsidRPr="00C65707">
        <w:rPr>
          <w:sz w:val="22"/>
          <w:szCs w:val="22"/>
          <w:lang w:eastAsia="ja-JP"/>
        </w:rPr>
        <w:t xml:space="preserve"> intravenski</w:t>
      </w:r>
      <w:r w:rsidR="00BB0387" w:rsidRPr="00C65707">
        <w:rPr>
          <w:sz w:val="22"/>
          <w:szCs w:val="22"/>
          <w:lang w:eastAsia="ja-JP"/>
        </w:rPr>
        <w:t>,</w:t>
      </w:r>
      <w:r w:rsidRPr="00C65707">
        <w:rPr>
          <w:sz w:val="22"/>
          <w:szCs w:val="22"/>
          <w:lang w:eastAsia="ja-JP"/>
        </w:rPr>
        <w:t xml:space="preserve"> nakon čega je na početku ispitivanja prebačeno na su</w:t>
      </w:r>
      <w:r w:rsidR="00D03604">
        <w:rPr>
          <w:sz w:val="22"/>
          <w:szCs w:val="22"/>
          <w:lang w:eastAsia="ja-JP"/>
        </w:rPr>
        <w:t>b</w:t>
      </w:r>
      <w:r w:rsidRPr="00C65707">
        <w:rPr>
          <w:sz w:val="22"/>
          <w:szCs w:val="22"/>
          <w:lang w:eastAsia="ja-JP"/>
        </w:rPr>
        <w:t>kutanu formulaciju.</w:t>
      </w:r>
    </w:p>
    <w:p w14:paraId="088F2C2C" w14:textId="77777777" w:rsidR="00CC2B31" w:rsidRPr="00C65707" w:rsidRDefault="00CC2B31">
      <w:pPr>
        <w:widowControl w:val="0"/>
        <w:jc w:val="both"/>
        <w:rPr>
          <w:sz w:val="22"/>
          <w:szCs w:val="22"/>
          <w:lang w:eastAsia="ja-JP"/>
        </w:rPr>
      </w:pPr>
    </w:p>
    <w:p w14:paraId="779E5099" w14:textId="799569A3" w:rsidR="00CC2B31" w:rsidRPr="00C65707" w:rsidRDefault="00CC2B31">
      <w:pPr>
        <w:widowControl w:val="0"/>
        <w:jc w:val="both"/>
        <w:rPr>
          <w:sz w:val="22"/>
          <w:szCs w:val="22"/>
        </w:rPr>
      </w:pPr>
      <w:r w:rsidRPr="00C65707">
        <w:rPr>
          <w:sz w:val="22"/>
          <w:szCs w:val="22"/>
          <w:lang w:eastAsia="ja-JP"/>
        </w:rPr>
        <w:t>Subkutanom prim</w:t>
      </w:r>
      <w:r w:rsidR="000A085D" w:rsidRPr="00C65707">
        <w:rPr>
          <w:sz w:val="22"/>
          <w:szCs w:val="22"/>
          <w:lang w:eastAsia="ja-JP"/>
        </w:rPr>
        <w:t>j</w:t>
      </w:r>
      <w:r w:rsidRPr="00C65707">
        <w:rPr>
          <w:sz w:val="22"/>
          <w:szCs w:val="22"/>
          <w:lang w:eastAsia="ja-JP"/>
        </w:rPr>
        <w:t xml:space="preserve">enom </w:t>
      </w:r>
      <w:r w:rsidR="00BB0387" w:rsidRPr="00C65707">
        <w:rPr>
          <w:sz w:val="22"/>
          <w:szCs w:val="22"/>
          <w:lang w:eastAsia="ja-JP"/>
        </w:rPr>
        <w:t>tocilizumab</w:t>
      </w:r>
      <w:r w:rsidRPr="00C65707">
        <w:rPr>
          <w:sz w:val="22"/>
          <w:szCs w:val="22"/>
          <w:lang w:eastAsia="ja-JP"/>
        </w:rPr>
        <w:t>a u dozi od 162 mg svake 3 ned</w:t>
      </w:r>
      <w:r w:rsidR="00BB0387" w:rsidRPr="00C65707">
        <w:rPr>
          <w:sz w:val="22"/>
          <w:szCs w:val="22"/>
          <w:lang w:eastAsia="ja-JP"/>
        </w:rPr>
        <w:t>j</w:t>
      </w:r>
      <w:r w:rsidRPr="00C65707">
        <w:rPr>
          <w:sz w:val="22"/>
          <w:szCs w:val="22"/>
          <w:lang w:eastAsia="ja-JP"/>
        </w:rPr>
        <w:t>elje kod pacijenata tjelesne težine manje od 30 kg, odnosno 162 mg svake 2 ned</w:t>
      </w:r>
      <w:r w:rsidR="00BB0387" w:rsidRPr="00C65707">
        <w:rPr>
          <w:sz w:val="22"/>
          <w:szCs w:val="22"/>
          <w:lang w:eastAsia="ja-JP"/>
        </w:rPr>
        <w:t>j</w:t>
      </w:r>
      <w:r w:rsidRPr="00C65707">
        <w:rPr>
          <w:sz w:val="22"/>
          <w:szCs w:val="22"/>
          <w:lang w:eastAsia="ja-JP"/>
        </w:rPr>
        <w:t xml:space="preserve">elje kod pacijenta telesne </w:t>
      </w:r>
      <w:r w:rsidRPr="00C65707">
        <w:rPr>
          <w:sz w:val="22"/>
          <w:szCs w:val="22"/>
        </w:rPr>
        <w:t>težine ≥ 30 kg ostvareni su farmakokinetička izloženost i farmakodinamički odgovori uz koje su bezbjednosni ishodi bili slični onima ostvarenim uz odobrene režime intravenske prim</w:t>
      </w:r>
      <w:r w:rsidR="000A085D" w:rsidRPr="00C65707">
        <w:rPr>
          <w:sz w:val="22"/>
          <w:szCs w:val="22"/>
        </w:rPr>
        <w:t>j</w:t>
      </w:r>
      <w:r w:rsidRPr="00C65707">
        <w:rPr>
          <w:sz w:val="22"/>
          <w:szCs w:val="22"/>
        </w:rPr>
        <w:t xml:space="preserve">ene </w:t>
      </w:r>
      <w:r w:rsidR="00BB0387" w:rsidRPr="00C65707">
        <w:rPr>
          <w:sz w:val="22"/>
          <w:szCs w:val="22"/>
          <w:lang w:eastAsia="ja-JP"/>
        </w:rPr>
        <w:t>tocilizumab</w:t>
      </w:r>
      <w:r w:rsidRPr="00C65707">
        <w:rPr>
          <w:sz w:val="22"/>
          <w:szCs w:val="22"/>
        </w:rPr>
        <w:t>a kod pacijenata sa pJIA.</w:t>
      </w:r>
    </w:p>
    <w:p w14:paraId="0F86FBC4" w14:textId="77777777" w:rsidR="00CC2B31" w:rsidRPr="00C65707" w:rsidRDefault="00CC2B31">
      <w:pPr>
        <w:widowControl w:val="0"/>
        <w:jc w:val="both"/>
        <w:rPr>
          <w:sz w:val="22"/>
          <w:szCs w:val="22"/>
        </w:rPr>
      </w:pPr>
    </w:p>
    <w:p w14:paraId="48753D2F" w14:textId="0A1B142D" w:rsidR="00CC2B31" w:rsidRPr="00C65707" w:rsidRDefault="00CC2B31">
      <w:pPr>
        <w:widowControl w:val="0"/>
        <w:jc w:val="both"/>
        <w:rPr>
          <w:sz w:val="22"/>
          <w:szCs w:val="22"/>
        </w:rPr>
      </w:pPr>
      <w:r w:rsidRPr="00C65707">
        <w:rPr>
          <w:sz w:val="22"/>
          <w:szCs w:val="22"/>
          <w:lang w:eastAsia="ja-JP"/>
        </w:rPr>
        <w:t xml:space="preserve">Eksploratorni rezultati efikasnosti pokazali su da je subkutana formulacija </w:t>
      </w:r>
      <w:r w:rsidR="00BB0387" w:rsidRPr="00C65707">
        <w:rPr>
          <w:sz w:val="22"/>
          <w:szCs w:val="22"/>
          <w:lang w:eastAsia="ja-JP"/>
        </w:rPr>
        <w:t>tocilizumab</w:t>
      </w:r>
      <w:r w:rsidRPr="00C65707">
        <w:rPr>
          <w:sz w:val="22"/>
          <w:szCs w:val="22"/>
          <w:lang w:eastAsia="ja-JP"/>
        </w:rPr>
        <w:t xml:space="preserve">a poboljšala medijanu </w:t>
      </w:r>
      <w:r w:rsidRPr="00C65707">
        <w:rPr>
          <w:sz w:val="22"/>
          <w:szCs w:val="22"/>
        </w:rPr>
        <w:t>Juvenile Arthritis Disease Activity Score (JADAS)-71 skora (Juvenile Arthritis Disease Activity Score) kod pacijenata koji ni</w:t>
      </w:r>
      <w:r w:rsidR="000A085D" w:rsidRPr="00C65707">
        <w:rPr>
          <w:sz w:val="22"/>
          <w:szCs w:val="22"/>
        </w:rPr>
        <w:t>je</w:t>
      </w:r>
      <w:r w:rsidRPr="00C65707">
        <w:rPr>
          <w:sz w:val="22"/>
          <w:szCs w:val="22"/>
        </w:rPr>
        <w:t xml:space="preserve">su bili prethodno liječeni </w:t>
      </w:r>
      <w:r w:rsidR="00BB0387" w:rsidRPr="00C65707">
        <w:rPr>
          <w:sz w:val="22"/>
          <w:szCs w:val="22"/>
          <w:lang w:eastAsia="ja-JP"/>
        </w:rPr>
        <w:t>tocilizumabom</w:t>
      </w:r>
      <w:r w:rsidRPr="00C65707">
        <w:rPr>
          <w:sz w:val="22"/>
          <w:szCs w:val="22"/>
        </w:rPr>
        <w:t xml:space="preserve">, odnosno održala medijanu rezultata </w:t>
      </w:r>
      <w:r w:rsidRPr="00C65707">
        <w:rPr>
          <w:sz w:val="22"/>
          <w:szCs w:val="22"/>
          <w:shd w:val="clear" w:color="auto" w:fill="FFFFFF" w:themeFill="background1"/>
        </w:rPr>
        <w:t>JADAS-71</w:t>
      </w:r>
      <w:r w:rsidRPr="00C65707">
        <w:rPr>
          <w:sz w:val="22"/>
          <w:szCs w:val="22"/>
        </w:rPr>
        <w:t xml:space="preserve"> kod pacijenata koji su prešli sa intravenske na </w:t>
      </w:r>
      <w:r w:rsidR="00910BDC" w:rsidRPr="00C65707">
        <w:rPr>
          <w:sz w:val="22"/>
          <w:szCs w:val="22"/>
        </w:rPr>
        <w:t xml:space="preserve">subkutanu </w:t>
      </w:r>
      <w:r w:rsidRPr="00C65707">
        <w:rPr>
          <w:sz w:val="22"/>
          <w:szCs w:val="22"/>
        </w:rPr>
        <w:t>prim</w:t>
      </w:r>
      <w:r w:rsidR="000A085D" w:rsidRPr="00C65707">
        <w:rPr>
          <w:sz w:val="22"/>
          <w:szCs w:val="22"/>
        </w:rPr>
        <w:t>j</w:t>
      </w:r>
      <w:r w:rsidRPr="00C65707">
        <w:rPr>
          <w:sz w:val="22"/>
          <w:szCs w:val="22"/>
        </w:rPr>
        <w:t>enu tokom celog perioda  sprovođenja ispitivanja u ob</w:t>
      </w:r>
      <w:r w:rsidR="00D03604">
        <w:rPr>
          <w:sz w:val="22"/>
          <w:szCs w:val="22"/>
        </w:rPr>
        <w:t>ij</w:t>
      </w:r>
      <w:r w:rsidRPr="00C65707">
        <w:rPr>
          <w:sz w:val="22"/>
          <w:szCs w:val="22"/>
        </w:rPr>
        <w:t>e grupe pacijenata prema t</w:t>
      </w:r>
      <w:r w:rsidR="00D03604">
        <w:rPr>
          <w:sz w:val="22"/>
          <w:szCs w:val="22"/>
        </w:rPr>
        <w:t>j</w:t>
      </w:r>
      <w:r w:rsidRPr="00C65707">
        <w:rPr>
          <w:sz w:val="22"/>
          <w:szCs w:val="22"/>
        </w:rPr>
        <w:t>elesnoj težini (manje od 30 kg i ≥ 30 kg)</w:t>
      </w:r>
    </w:p>
    <w:p w14:paraId="54B909A4" w14:textId="77777777" w:rsidR="00EA4C74" w:rsidRPr="00C65707" w:rsidRDefault="00EA4C74">
      <w:pPr>
        <w:widowControl w:val="0"/>
        <w:jc w:val="both"/>
        <w:rPr>
          <w:sz w:val="22"/>
          <w:szCs w:val="22"/>
          <w:lang w:eastAsia="ja-JP"/>
        </w:rPr>
      </w:pPr>
    </w:p>
    <w:p w14:paraId="604EA7D5" w14:textId="6BC5B544" w:rsidR="00CC2B31" w:rsidRPr="00C65707" w:rsidRDefault="00CC2B31">
      <w:pPr>
        <w:widowControl w:val="0"/>
        <w:jc w:val="both"/>
        <w:rPr>
          <w:b/>
          <w:sz w:val="22"/>
          <w:szCs w:val="22"/>
          <w:u w:val="single"/>
        </w:rPr>
      </w:pPr>
      <w:r w:rsidRPr="00C65707">
        <w:rPr>
          <w:b/>
          <w:sz w:val="22"/>
          <w:szCs w:val="22"/>
          <w:u w:val="single"/>
        </w:rPr>
        <w:t>GCA</w:t>
      </w:r>
      <w:r w:rsidR="00BB0387" w:rsidRPr="00C65707">
        <w:rPr>
          <w:b/>
          <w:sz w:val="22"/>
          <w:szCs w:val="22"/>
          <w:u w:val="single"/>
        </w:rPr>
        <w:t xml:space="preserve"> (su</w:t>
      </w:r>
      <w:r w:rsidR="00D74543" w:rsidRPr="00C65707">
        <w:rPr>
          <w:b/>
          <w:sz w:val="22"/>
          <w:szCs w:val="22"/>
          <w:u w:val="single"/>
        </w:rPr>
        <w:t>b</w:t>
      </w:r>
      <w:r w:rsidR="00BB0387" w:rsidRPr="00C65707">
        <w:rPr>
          <w:b/>
          <w:sz w:val="22"/>
          <w:szCs w:val="22"/>
          <w:u w:val="single"/>
        </w:rPr>
        <w:t>kutana primjena)</w:t>
      </w:r>
    </w:p>
    <w:p w14:paraId="4489759D" w14:textId="77777777" w:rsidR="00EA4C74" w:rsidRPr="00C65707" w:rsidRDefault="00EA4C74">
      <w:pPr>
        <w:widowControl w:val="0"/>
        <w:jc w:val="both"/>
        <w:rPr>
          <w:b/>
          <w:sz w:val="22"/>
          <w:szCs w:val="22"/>
          <w:u w:val="single"/>
        </w:rPr>
      </w:pPr>
    </w:p>
    <w:p w14:paraId="6871DCB4" w14:textId="77777777" w:rsidR="00CC2B31" w:rsidRPr="00C65707" w:rsidRDefault="00CC2B31">
      <w:pPr>
        <w:widowControl w:val="0"/>
        <w:jc w:val="both"/>
        <w:rPr>
          <w:sz w:val="22"/>
          <w:szCs w:val="22"/>
          <w:u w:val="single"/>
        </w:rPr>
      </w:pPr>
      <w:r w:rsidRPr="00C65707">
        <w:rPr>
          <w:sz w:val="22"/>
          <w:szCs w:val="22"/>
          <w:u w:val="single"/>
        </w:rPr>
        <w:t>Klinička efikasnost</w:t>
      </w:r>
    </w:p>
    <w:p w14:paraId="732CC8F8" w14:textId="3D7A7271" w:rsidR="00CC2B31" w:rsidRPr="00C65707" w:rsidRDefault="00CC2B31">
      <w:pPr>
        <w:widowControl w:val="0"/>
        <w:jc w:val="both"/>
        <w:rPr>
          <w:sz w:val="22"/>
          <w:szCs w:val="22"/>
        </w:rPr>
      </w:pPr>
      <w:r w:rsidRPr="00C65707">
        <w:rPr>
          <w:sz w:val="22"/>
          <w:szCs w:val="22"/>
        </w:rPr>
        <w:t>Studija WA28119 je bila randomizovana, multicentrična, dvostruko slijepa, placebo</w:t>
      </w:r>
      <w:r w:rsidR="00D03604">
        <w:rPr>
          <w:sz w:val="22"/>
          <w:szCs w:val="22"/>
        </w:rPr>
        <w:t>m</w:t>
      </w:r>
      <w:r w:rsidRPr="00C65707">
        <w:rPr>
          <w:sz w:val="22"/>
          <w:szCs w:val="22"/>
        </w:rPr>
        <w:t xml:space="preserve"> kontrolisana studija superiornosti faze III sprovedena radi </w:t>
      </w:r>
      <w:r w:rsidR="00D03604">
        <w:rPr>
          <w:sz w:val="22"/>
          <w:szCs w:val="22"/>
        </w:rPr>
        <w:t>pr</w:t>
      </w:r>
      <w:r w:rsidRPr="00C65707">
        <w:rPr>
          <w:sz w:val="22"/>
          <w:szCs w:val="22"/>
        </w:rPr>
        <w:t xml:space="preserve">ocjene efikasnosti i bezbjednosti </w:t>
      </w:r>
      <w:r w:rsidR="00BB0387" w:rsidRPr="00C65707">
        <w:rPr>
          <w:sz w:val="22"/>
          <w:szCs w:val="22"/>
          <w:lang w:eastAsia="ja-JP"/>
        </w:rPr>
        <w:t>tocilizumab</w:t>
      </w:r>
      <w:r w:rsidRPr="00C65707">
        <w:rPr>
          <w:sz w:val="22"/>
          <w:szCs w:val="22"/>
        </w:rPr>
        <w:t xml:space="preserve">a kod pacijenata sa GCA. </w:t>
      </w:r>
    </w:p>
    <w:p w14:paraId="1826BB4C" w14:textId="77777777" w:rsidR="00CC2B31" w:rsidRPr="00C65707" w:rsidRDefault="00CC2B31">
      <w:pPr>
        <w:widowControl w:val="0"/>
        <w:jc w:val="both"/>
        <w:rPr>
          <w:sz w:val="22"/>
          <w:szCs w:val="22"/>
        </w:rPr>
      </w:pPr>
    </w:p>
    <w:p w14:paraId="20EC06FD" w14:textId="3345BC7D" w:rsidR="00CC2B31" w:rsidRPr="00C65707" w:rsidRDefault="00CC2B31">
      <w:pPr>
        <w:widowControl w:val="0"/>
        <w:jc w:val="both"/>
        <w:rPr>
          <w:sz w:val="22"/>
          <w:szCs w:val="22"/>
        </w:rPr>
      </w:pPr>
      <w:r w:rsidRPr="00C65707">
        <w:rPr>
          <w:sz w:val="22"/>
          <w:szCs w:val="22"/>
        </w:rPr>
        <w:t xml:space="preserve">U studiju je bio uključen 251 pacijent sa novonastalim GCA ili relapsom GCA i randomizovan u jednu </w:t>
      </w:r>
      <w:r w:rsidRPr="00C65707">
        <w:rPr>
          <w:sz w:val="22"/>
          <w:szCs w:val="22"/>
        </w:rPr>
        <w:lastRenderedPageBreak/>
        <w:t xml:space="preserve">od četiri liječene grupe. Studija se sastojala od 52 nedjeljnog perioda slijepog liječenja (1. dio), nakon kojega je uslijedio 104 nedjeljni otvoreni produžetak (2. dio). Svrha 2. dijela bila je opisati dugoročnu bezbjednost i održavanje efikasnosti nakon 52 nedjelje liječenja, istražiti stopu relapsa i potrebu za liječenjem </w:t>
      </w:r>
      <w:r w:rsidR="00BB0387" w:rsidRPr="00C65707">
        <w:rPr>
          <w:sz w:val="22"/>
          <w:szCs w:val="22"/>
          <w:lang w:eastAsia="ja-JP"/>
        </w:rPr>
        <w:t>tocilizumabom</w:t>
      </w:r>
      <w:r w:rsidRPr="00C65707">
        <w:rPr>
          <w:sz w:val="22"/>
          <w:szCs w:val="22"/>
        </w:rPr>
        <w:t xml:space="preserve"> i nakon 52 nedjelje</w:t>
      </w:r>
      <w:r w:rsidR="00BB0387" w:rsidRPr="00C65707">
        <w:rPr>
          <w:sz w:val="22"/>
          <w:szCs w:val="22"/>
        </w:rPr>
        <w:t>,</w:t>
      </w:r>
      <w:r w:rsidRPr="00C65707">
        <w:rPr>
          <w:sz w:val="22"/>
          <w:szCs w:val="22"/>
        </w:rPr>
        <w:t xml:space="preserve"> te steći uvid u potencijalan dugoročni efekat </w:t>
      </w:r>
      <w:r w:rsidR="00BB0387" w:rsidRPr="00C65707">
        <w:rPr>
          <w:sz w:val="22"/>
          <w:szCs w:val="22"/>
          <w:lang w:eastAsia="ja-JP"/>
        </w:rPr>
        <w:t>tocilizumab</w:t>
      </w:r>
      <w:r w:rsidRPr="00C65707">
        <w:rPr>
          <w:sz w:val="22"/>
          <w:szCs w:val="22"/>
        </w:rPr>
        <w:t>a na smanjenje potrebe za steroidima.</w:t>
      </w:r>
    </w:p>
    <w:p w14:paraId="19D4CA1D" w14:textId="77777777" w:rsidR="00CC2B31" w:rsidRPr="00C65707" w:rsidRDefault="00CC2B31">
      <w:pPr>
        <w:widowControl w:val="0"/>
        <w:jc w:val="both"/>
        <w:rPr>
          <w:sz w:val="22"/>
          <w:szCs w:val="22"/>
        </w:rPr>
      </w:pPr>
    </w:p>
    <w:p w14:paraId="135A88D7" w14:textId="6A1AEF45" w:rsidR="00CC2B31" w:rsidRPr="00C65707" w:rsidRDefault="00CC2B31">
      <w:pPr>
        <w:widowControl w:val="0"/>
        <w:jc w:val="both"/>
        <w:rPr>
          <w:sz w:val="22"/>
          <w:szCs w:val="22"/>
        </w:rPr>
      </w:pPr>
      <w:r w:rsidRPr="00C65707">
        <w:rPr>
          <w:sz w:val="22"/>
          <w:szCs w:val="22"/>
        </w:rPr>
        <w:t xml:space="preserve">Upoređivale su se dvije subkutane doze </w:t>
      </w:r>
      <w:r w:rsidR="00BB0387" w:rsidRPr="00C65707">
        <w:rPr>
          <w:sz w:val="22"/>
          <w:szCs w:val="22"/>
          <w:lang w:eastAsia="ja-JP"/>
        </w:rPr>
        <w:t>tocilizumaba</w:t>
      </w:r>
      <w:r w:rsidR="00BB0387" w:rsidRPr="00C65707" w:rsidDel="00BB0387">
        <w:rPr>
          <w:sz w:val="22"/>
          <w:szCs w:val="22"/>
        </w:rPr>
        <w:t xml:space="preserve"> </w:t>
      </w:r>
      <w:r w:rsidRPr="00C65707">
        <w:rPr>
          <w:sz w:val="22"/>
          <w:szCs w:val="22"/>
        </w:rPr>
        <w:t>(162 mg svaku nedjelju i 162 mg svaku drugu nedjelju) sa dv</w:t>
      </w:r>
      <w:r w:rsidR="00D03604">
        <w:rPr>
          <w:sz w:val="22"/>
          <w:szCs w:val="22"/>
        </w:rPr>
        <w:t>i</w:t>
      </w:r>
      <w:r w:rsidRPr="00C65707">
        <w:rPr>
          <w:sz w:val="22"/>
          <w:szCs w:val="22"/>
        </w:rPr>
        <w:t>jema različitim kontrolnim grupama koje su primale placebo, uz randomizaciju u odnosu 2:1:1:1.</w:t>
      </w:r>
    </w:p>
    <w:p w14:paraId="31A3B493" w14:textId="77777777" w:rsidR="00BB0387" w:rsidRPr="00C65707" w:rsidRDefault="00BB0387">
      <w:pPr>
        <w:widowControl w:val="0"/>
        <w:jc w:val="both"/>
        <w:rPr>
          <w:sz w:val="22"/>
          <w:szCs w:val="22"/>
        </w:rPr>
      </w:pPr>
    </w:p>
    <w:p w14:paraId="13404C77" w14:textId="7A037556" w:rsidR="00CC2B31" w:rsidRPr="00C65707" w:rsidRDefault="00CC2B31">
      <w:pPr>
        <w:widowControl w:val="0"/>
        <w:jc w:val="both"/>
        <w:rPr>
          <w:sz w:val="22"/>
          <w:szCs w:val="22"/>
        </w:rPr>
      </w:pPr>
      <w:r w:rsidRPr="00C65707">
        <w:rPr>
          <w:sz w:val="22"/>
          <w:szCs w:val="22"/>
        </w:rPr>
        <w:t>Svi pacijenti su primali osnovnu terapiju glukokortikoidima (prednizon). Ob</w:t>
      </w:r>
      <w:r w:rsidR="00D03604">
        <w:rPr>
          <w:sz w:val="22"/>
          <w:szCs w:val="22"/>
        </w:rPr>
        <w:t>i</w:t>
      </w:r>
      <w:r w:rsidR="00BB0387" w:rsidRPr="00C65707">
        <w:rPr>
          <w:sz w:val="22"/>
          <w:szCs w:val="22"/>
        </w:rPr>
        <w:t>j</w:t>
      </w:r>
      <w:r w:rsidRPr="00C65707">
        <w:rPr>
          <w:sz w:val="22"/>
          <w:szCs w:val="22"/>
        </w:rPr>
        <w:t xml:space="preserve">e grupe liječene </w:t>
      </w:r>
      <w:r w:rsidR="00BB0387" w:rsidRPr="00C65707">
        <w:rPr>
          <w:sz w:val="22"/>
          <w:szCs w:val="22"/>
          <w:lang w:eastAsia="ja-JP"/>
        </w:rPr>
        <w:t xml:space="preserve">tocilizumabom </w:t>
      </w:r>
      <w:r w:rsidRPr="00C65707">
        <w:rPr>
          <w:sz w:val="22"/>
          <w:szCs w:val="22"/>
        </w:rPr>
        <w:t>i jedna od grupa koje su primale placebo pridržavale su se unaprijed specificiranog 26 nedjeljnog režima postupnog smanjivanja doze prednizona, dok je druga grupa koja je primala placebo slijedila unaprijed specificiran 52 nedjeljni režim postupnog smanjivanja doze prednizona, koji je bio dizajniran više u skladu sa uobičajenom praksom.</w:t>
      </w:r>
    </w:p>
    <w:p w14:paraId="24C23917" w14:textId="77777777" w:rsidR="00CC2B31" w:rsidRPr="00C65707" w:rsidRDefault="00CC2B31">
      <w:pPr>
        <w:widowControl w:val="0"/>
        <w:jc w:val="both"/>
        <w:rPr>
          <w:sz w:val="22"/>
          <w:szCs w:val="22"/>
        </w:rPr>
      </w:pPr>
    </w:p>
    <w:p w14:paraId="4A14E240" w14:textId="2643CCC8" w:rsidR="00CC2B31" w:rsidRPr="00C65707" w:rsidRDefault="00CC2B31">
      <w:pPr>
        <w:widowControl w:val="0"/>
        <w:jc w:val="both"/>
        <w:rPr>
          <w:sz w:val="22"/>
          <w:szCs w:val="22"/>
        </w:rPr>
      </w:pPr>
      <w:r w:rsidRPr="00C65707">
        <w:rPr>
          <w:sz w:val="22"/>
          <w:szCs w:val="22"/>
        </w:rPr>
        <w:t xml:space="preserve">Trajanje terapije glukokortikoidima tokom perioda odabira i prije početka primjene </w:t>
      </w:r>
      <w:r w:rsidR="00BB0387" w:rsidRPr="00C65707">
        <w:rPr>
          <w:sz w:val="22"/>
          <w:szCs w:val="22"/>
          <w:lang w:eastAsia="ja-JP"/>
        </w:rPr>
        <w:t>tocilizumaba</w:t>
      </w:r>
      <w:r w:rsidRPr="00C65707">
        <w:rPr>
          <w:sz w:val="22"/>
          <w:szCs w:val="22"/>
        </w:rPr>
        <w:t xml:space="preserve"> (ili placeba) bilo je slično u sve 4 liječene grupe (vidjeti Tabelu </w:t>
      </w:r>
      <w:r w:rsidR="00BB0387" w:rsidRPr="00C65707">
        <w:rPr>
          <w:sz w:val="22"/>
          <w:szCs w:val="22"/>
        </w:rPr>
        <w:t>3</w:t>
      </w:r>
      <w:r w:rsidRPr="00C65707">
        <w:rPr>
          <w:sz w:val="22"/>
          <w:szCs w:val="22"/>
        </w:rPr>
        <w:t>).</w:t>
      </w:r>
    </w:p>
    <w:p w14:paraId="0AC84279" w14:textId="77777777" w:rsidR="001C1860" w:rsidRPr="00C65707" w:rsidRDefault="001C1860">
      <w:pPr>
        <w:widowControl w:val="0"/>
        <w:jc w:val="both"/>
        <w:rPr>
          <w:sz w:val="22"/>
          <w:szCs w:val="22"/>
        </w:rPr>
      </w:pPr>
    </w:p>
    <w:p w14:paraId="1E388240" w14:textId="1213EBBA" w:rsidR="00CC2B31" w:rsidRPr="00C65707" w:rsidRDefault="00CC2B31">
      <w:pPr>
        <w:widowControl w:val="0"/>
        <w:jc w:val="both"/>
        <w:rPr>
          <w:i/>
          <w:sz w:val="22"/>
          <w:szCs w:val="22"/>
        </w:rPr>
      </w:pPr>
      <w:r w:rsidRPr="00C65707">
        <w:rPr>
          <w:i/>
          <w:sz w:val="22"/>
          <w:szCs w:val="22"/>
        </w:rPr>
        <w:t xml:space="preserve">Tabela </w:t>
      </w:r>
      <w:r w:rsidR="00BB0387" w:rsidRPr="00C65707">
        <w:rPr>
          <w:i/>
          <w:sz w:val="22"/>
          <w:szCs w:val="22"/>
        </w:rPr>
        <w:t>3</w:t>
      </w:r>
      <w:r w:rsidRPr="00C65707">
        <w:rPr>
          <w:i/>
          <w:sz w:val="22"/>
          <w:szCs w:val="22"/>
        </w:rPr>
        <w:t>. Trajanje terapije kortikosteroidima tokom perioda odabira u studiji WA28119</w:t>
      </w:r>
    </w:p>
    <w:tbl>
      <w:tblPr>
        <w:tblW w:w="5000" w:type="pct"/>
        <w:tblCellMar>
          <w:left w:w="0" w:type="dxa"/>
          <w:right w:w="0" w:type="dxa"/>
        </w:tblCellMar>
        <w:tblLook w:val="04A0" w:firstRow="1" w:lastRow="0" w:firstColumn="1" w:lastColumn="0" w:noHBand="0" w:noVBand="1"/>
      </w:tblPr>
      <w:tblGrid>
        <w:gridCol w:w="2512"/>
        <w:gridCol w:w="1549"/>
        <w:gridCol w:w="1312"/>
        <w:gridCol w:w="1803"/>
        <w:gridCol w:w="1882"/>
      </w:tblGrid>
      <w:tr w:rsidR="00CC2B31" w:rsidRPr="00C65707" w14:paraId="1C311C3B" w14:textId="77777777" w:rsidTr="00CE5678">
        <w:trPr>
          <w:cantSplit/>
          <w:trHeight w:val="1366"/>
        </w:trPr>
        <w:tc>
          <w:tcPr>
            <w:tcW w:w="1387" w:type="pct"/>
            <w:tcBorders>
              <w:top w:val="single" w:sz="8" w:space="0" w:color="auto"/>
              <w:left w:val="single" w:sz="4" w:space="0" w:color="auto"/>
              <w:bottom w:val="single" w:sz="8" w:space="0" w:color="auto"/>
              <w:right w:val="nil"/>
            </w:tcBorders>
            <w:tcMar>
              <w:top w:w="0" w:type="dxa"/>
              <w:left w:w="57" w:type="dxa"/>
              <w:bottom w:w="0" w:type="dxa"/>
              <w:right w:w="57" w:type="dxa"/>
            </w:tcMar>
            <w:vAlign w:val="bottom"/>
          </w:tcPr>
          <w:p w14:paraId="78E99249" w14:textId="77777777" w:rsidR="00CC2B31" w:rsidRPr="00C65707" w:rsidRDefault="00CC2B31" w:rsidP="00CE5678">
            <w:pPr>
              <w:widowControl w:val="0"/>
              <w:ind w:left="85"/>
              <w:jc w:val="both"/>
              <w:rPr>
                <w:rFonts w:eastAsia="SimSun"/>
                <w:strike/>
                <w:sz w:val="22"/>
                <w:szCs w:val="22"/>
                <w:lang w:eastAsia="zh-CN"/>
              </w:rPr>
            </w:pPr>
          </w:p>
        </w:tc>
        <w:tc>
          <w:tcPr>
            <w:tcW w:w="855" w:type="pct"/>
            <w:tcBorders>
              <w:top w:val="single" w:sz="8" w:space="0" w:color="auto"/>
              <w:left w:val="nil"/>
              <w:bottom w:val="single" w:sz="8" w:space="0" w:color="auto"/>
              <w:right w:val="nil"/>
            </w:tcBorders>
            <w:tcMar>
              <w:top w:w="0" w:type="dxa"/>
              <w:left w:w="57" w:type="dxa"/>
              <w:bottom w:w="0" w:type="dxa"/>
              <w:right w:w="57" w:type="dxa"/>
            </w:tcMar>
          </w:tcPr>
          <w:p w14:paraId="339DEDD6" w14:textId="77777777" w:rsidR="00CC2B31" w:rsidRPr="00C65707" w:rsidRDefault="00CC2B31" w:rsidP="00CE5678">
            <w:pPr>
              <w:widowControl w:val="0"/>
              <w:jc w:val="both"/>
              <w:rPr>
                <w:rFonts w:eastAsia="SimSun"/>
                <w:b/>
                <w:sz w:val="22"/>
                <w:szCs w:val="22"/>
                <w:lang w:eastAsia="zh-CN"/>
              </w:rPr>
            </w:pPr>
            <w:r w:rsidRPr="00C65707">
              <w:rPr>
                <w:rFonts w:eastAsia="SimSun"/>
                <w:b/>
                <w:sz w:val="22"/>
                <w:szCs w:val="22"/>
                <w:lang w:eastAsia="zh-CN"/>
              </w:rPr>
              <w:t>Placebo + 26</w:t>
            </w:r>
            <w:r w:rsidRPr="00C65707">
              <w:rPr>
                <w:rFonts w:eastAsia="SimSun"/>
                <w:b/>
                <w:sz w:val="22"/>
                <w:szCs w:val="22"/>
                <w:lang w:eastAsia="zh-CN"/>
              </w:rPr>
              <w:noBreakHyphen/>
              <w:t>nedjeljni režim postupnog smanjenja doze prednizona</w:t>
            </w:r>
          </w:p>
          <w:p w14:paraId="4CB9F333" w14:textId="77777777" w:rsidR="00CC2B31" w:rsidRPr="00C65707" w:rsidRDefault="00CC2B31" w:rsidP="00CE5678">
            <w:pPr>
              <w:widowControl w:val="0"/>
              <w:jc w:val="both"/>
              <w:rPr>
                <w:rFonts w:eastAsia="SimSun"/>
                <w:b/>
                <w:sz w:val="22"/>
                <w:szCs w:val="22"/>
                <w:lang w:eastAsia="zh-CN"/>
              </w:rPr>
            </w:pPr>
            <w:r w:rsidRPr="00C65707">
              <w:rPr>
                <w:rFonts w:eastAsia="SimSun"/>
                <w:b/>
                <w:sz w:val="22"/>
                <w:szCs w:val="22"/>
                <w:lang w:eastAsia="zh-CN"/>
              </w:rPr>
              <w:t>N=50</w:t>
            </w:r>
          </w:p>
        </w:tc>
        <w:tc>
          <w:tcPr>
            <w:tcW w:w="724" w:type="pct"/>
            <w:tcBorders>
              <w:top w:val="single" w:sz="8" w:space="0" w:color="auto"/>
              <w:left w:val="nil"/>
              <w:bottom w:val="single" w:sz="8" w:space="0" w:color="auto"/>
              <w:right w:val="nil"/>
            </w:tcBorders>
            <w:tcMar>
              <w:top w:w="0" w:type="dxa"/>
              <w:left w:w="57" w:type="dxa"/>
              <w:bottom w:w="0" w:type="dxa"/>
              <w:right w:w="57" w:type="dxa"/>
            </w:tcMar>
          </w:tcPr>
          <w:p w14:paraId="14B3B7CF" w14:textId="77777777" w:rsidR="00CC2B31" w:rsidRPr="00C65707" w:rsidRDefault="00CC2B31" w:rsidP="00CE5678">
            <w:pPr>
              <w:widowControl w:val="0"/>
              <w:jc w:val="both"/>
              <w:rPr>
                <w:rFonts w:eastAsia="SimSun"/>
                <w:b/>
                <w:sz w:val="22"/>
                <w:szCs w:val="22"/>
                <w:lang w:eastAsia="zh-CN"/>
              </w:rPr>
            </w:pPr>
            <w:r w:rsidRPr="00C65707">
              <w:rPr>
                <w:rFonts w:eastAsia="SimSun"/>
                <w:b/>
                <w:sz w:val="22"/>
                <w:szCs w:val="22"/>
                <w:lang w:eastAsia="zh-CN"/>
              </w:rPr>
              <w:t>Placebo + 52</w:t>
            </w:r>
            <w:r w:rsidRPr="00C65707">
              <w:rPr>
                <w:rFonts w:eastAsia="SimSun"/>
                <w:b/>
                <w:sz w:val="22"/>
                <w:szCs w:val="22"/>
                <w:lang w:eastAsia="zh-CN"/>
              </w:rPr>
              <w:noBreakHyphen/>
              <w:t>nedjeljni režim postupnog smanjenja doze prednizona</w:t>
            </w:r>
          </w:p>
          <w:p w14:paraId="4D9F303A" w14:textId="77777777" w:rsidR="00CC2B31" w:rsidRPr="00C65707" w:rsidRDefault="00CC2B31" w:rsidP="00CE5678">
            <w:pPr>
              <w:widowControl w:val="0"/>
              <w:jc w:val="both"/>
              <w:rPr>
                <w:rFonts w:eastAsia="SimSun"/>
                <w:b/>
                <w:sz w:val="22"/>
                <w:szCs w:val="22"/>
                <w:lang w:eastAsia="zh-CN"/>
              </w:rPr>
            </w:pPr>
            <w:r w:rsidRPr="00C65707">
              <w:rPr>
                <w:rFonts w:eastAsia="SimSun"/>
                <w:b/>
                <w:sz w:val="22"/>
                <w:szCs w:val="22"/>
                <w:lang w:eastAsia="zh-CN"/>
              </w:rPr>
              <w:t>N=51</w:t>
            </w:r>
          </w:p>
        </w:tc>
        <w:tc>
          <w:tcPr>
            <w:tcW w:w="995" w:type="pct"/>
            <w:tcBorders>
              <w:top w:val="single" w:sz="8" w:space="0" w:color="auto"/>
              <w:left w:val="nil"/>
              <w:bottom w:val="single" w:sz="8" w:space="0" w:color="auto"/>
              <w:right w:val="nil"/>
            </w:tcBorders>
          </w:tcPr>
          <w:p w14:paraId="6F0A0B77" w14:textId="2146F499" w:rsidR="00CC2B31" w:rsidRPr="00C65707" w:rsidRDefault="00BB0387" w:rsidP="00CE5678">
            <w:pPr>
              <w:widowControl w:val="0"/>
              <w:jc w:val="both"/>
              <w:rPr>
                <w:rFonts w:eastAsia="SimSun"/>
                <w:b/>
                <w:sz w:val="22"/>
                <w:szCs w:val="22"/>
                <w:lang w:eastAsia="zh-CN"/>
              </w:rPr>
            </w:pPr>
            <w:r w:rsidRPr="00C65707">
              <w:rPr>
                <w:b/>
                <w:bCs/>
                <w:sz w:val="22"/>
                <w:szCs w:val="22"/>
                <w:lang w:eastAsia="ja-JP"/>
              </w:rPr>
              <w:t>Tocilizumab</w:t>
            </w:r>
            <w:r w:rsidRPr="00C65707">
              <w:rPr>
                <w:b/>
                <w:bCs/>
                <w:sz w:val="22"/>
                <w:szCs w:val="22"/>
                <w:lang w:eastAsia="ja-JP"/>
              </w:rPr>
              <w:br/>
            </w:r>
            <w:r w:rsidR="00CC2B31" w:rsidRPr="00C65707">
              <w:rPr>
                <w:rFonts w:eastAsia="SimSun"/>
                <w:b/>
                <w:sz w:val="22"/>
                <w:szCs w:val="22"/>
                <w:lang w:eastAsia="zh-CN"/>
              </w:rPr>
              <w:t xml:space="preserve"> 162 mg s.c. svaku nedjelju + 26</w:t>
            </w:r>
            <w:r w:rsidR="00CC2B31" w:rsidRPr="00C65707">
              <w:rPr>
                <w:rFonts w:eastAsia="SimSun"/>
                <w:b/>
                <w:sz w:val="22"/>
                <w:szCs w:val="22"/>
                <w:lang w:eastAsia="zh-CN"/>
              </w:rPr>
              <w:noBreakHyphen/>
              <w:t>nedjeljni režim postupnog smanjenja doze prednizona</w:t>
            </w:r>
          </w:p>
          <w:p w14:paraId="6F66D1BC" w14:textId="77777777" w:rsidR="00CC2B31" w:rsidRPr="00C65707" w:rsidRDefault="00CC2B31" w:rsidP="00CE5678">
            <w:pPr>
              <w:widowControl w:val="0"/>
              <w:jc w:val="both"/>
              <w:rPr>
                <w:rFonts w:eastAsia="SimSun"/>
                <w:b/>
                <w:sz w:val="22"/>
                <w:szCs w:val="22"/>
                <w:lang w:eastAsia="zh-CN"/>
              </w:rPr>
            </w:pPr>
            <w:r w:rsidRPr="00C65707">
              <w:rPr>
                <w:rFonts w:eastAsia="SimSun"/>
                <w:b/>
                <w:sz w:val="22"/>
                <w:szCs w:val="22"/>
                <w:lang w:eastAsia="zh-CN"/>
              </w:rPr>
              <w:t>N=100</w:t>
            </w:r>
          </w:p>
        </w:tc>
        <w:tc>
          <w:tcPr>
            <w:tcW w:w="1039" w:type="pct"/>
            <w:tcBorders>
              <w:top w:val="single" w:sz="8" w:space="0" w:color="auto"/>
              <w:left w:val="nil"/>
              <w:bottom w:val="single" w:sz="8" w:space="0" w:color="auto"/>
              <w:right w:val="single" w:sz="8" w:space="0" w:color="auto"/>
            </w:tcBorders>
            <w:tcMar>
              <w:top w:w="0" w:type="dxa"/>
              <w:left w:w="57" w:type="dxa"/>
              <w:bottom w:w="0" w:type="dxa"/>
              <w:right w:w="57" w:type="dxa"/>
            </w:tcMar>
          </w:tcPr>
          <w:p w14:paraId="5688FCBA" w14:textId="3A2243A3" w:rsidR="00CC2B31" w:rsidRPr="00C65707" w:rsidRDefault="00BB0387" w:rsidP="00CE5678">
            <w:pPr>
              <w:widowControl w:val="0"/>
              <w:jc w:val="both"/>
              <w:rPr>
                <w:rFonts w:eastAsia="SimSun"/>
                <w:b/>
                <w:sz w:val="22"/>
                <w:szCs w:val="22"/>
                <w:lang w:eastAsia="zh-CN"/>
              </w:rPr>
            </w:pPr>
            <w:r w:rsidRPr="00C65707">
              <w:rPr>
                <w:b/>
                <w:bCs/>
                <w:sz w:val="22"/>
                <w:szCs w:val="22"/>
                <w:lang w:eastAsia="ja-JP"/>
              </w:rPr>
              <w:t>Tocilizumab</w:t>
            </w:r>
            <w:r w:rsidRPr="00C65707">
              <w:rPr>
                <w:b/>
                <w:bCs/>
                <w:sz w:val="22"/>
                <w:szCs w:val="22"/>
                <w:lang w:eastAsia="ja-JP"/>
              </w:rPr>
              <w:br/>
            </w:r>
            <w:r w:rsidR="00CC2B31" w:rsidRPr="00C65707">
              <w:rPr>
                <w:rFonts w:eastAsia="SimSun"/>
                <w:b/>
                <w:sz w:val="22"/>
                <w:szCs w:val="22"/>
                <w:lang w:eastAsia="zh-CN"/>
              </w:rPr>
              <w:t>162 mg s.c. svaku drugu nedjelju + 26</w:t>
            </w:r>
            <w:r w:rsidR="00CC2B31" w:rsidRPr="00C65707">
              <w:rPr>
                <w:rFonts w:eastAsia="SimSun"/>
                <w:b/>
                <w:sz w:val="22"/>
                <w:szCs w:val="22"/>
                <w:lang w:eastAsia="zh-CN"/>
              </w:rPr>
              <w:noBreakHyphen/>
              <w:t>nedjeljni režim postupnog smanjenja doze prednizona</w:t>
            </w:r>
          </w:p>
          <w:p w14:paraId="605446E8" w14:textId="77777777" w:rsidR="00CC2B31" w:rsidRPr="00C65707" w:rsidRDefault="00CC2B31" w:rsidP="00CE5678">
            <w:pPr>
              <w:widowControl w:val="0"/>
              <w:jc w:val="both"/>
              <w:rPr>
                <w:rFonts w:eastAsia="SimSun"/>
                <w:b/>
                <w:sz w:val="22"/>
                <w:szCs w:val="22"/>
                <w:lang w:eastAsia="zh-CN"/>
              </w:rPr>
            </w:pPr>
            <w:r w:rsidRPr="00C65707">
              <w:rPr>
                <w:rFonts w:eastAsia="SimSun"/>
                <w:b/>
                <w:sz w:val="22"/>
                <w:szCs w:val="22"/>
                <w:lang w:eastAsia="zh-CN"/>
              </w:rPr>
              <w:t>N=49</w:t>
            </w:r>
          </w:p>
        </w:tc>
      </w:tr>
      <w:tr w:rsidR="00CC2B31" w:rsidRPr="00C65707" w14:paraId="6CB48D6A" w14:textId="77777777" w:rsidTr="00CE5678">
        <w:trPr>
          <w:cantSplit/>
          <w:trHeight w:val="331"/>
        </w:trPr>
        <w:tc>
          <w:tcPr>
            <w:tcW w:w="2966" w:type="pct"/>
            <w:gridSpan w:val="3"/>
            <w:tcBorders>
              <w:top w:val="single" w:sz="4" w:space="0" w:color="auto"/>
              <w:left w:val="single" w:sz="4" w:space="0" w:color="auto"/>
            </w:tcBorders>
            <w:tcMar>
              <w:top w:w="0" w:type="dxa"/>
              <w:left w:w="57" w:type="dxa"/>
              <w:bottom w:w="0" w:type="dxa"/>
              <w:right w:w="57" w:type="dxa"/>
            </w:tcMar>
          </w:tcPr>
          <w:p w14:paraId="2314D721" w14:textId="77777777" w:rsidR="00CC2B31" w:rsidRPr="00C65707" w:rsidRDefault="00CC2B31" w:rsidP="00CE5678">
            <w:pPr>
              <w:widowControl w:val="0"/>
              <w:spacing w:line="240" w:lineRule="exact"/>
              <w:ind w:left="85"/>
              <w:jc w:val="both"/>
              <w:rPr>
                <w:rFonts w:eastAsia="SimSun"/>
                <w:sz w:val="22"/>
                <w:szCs w:val="22"/>
                <w:lang w:eastAsia="zh-CN"/>
              </w:rPr>
            </w:pPr>
            <w:r w:rsidRPr="00C65707">
              <w:rPr>
                <w:rFonts w:eastAsia="SimSun"/>
                <w:sz w:val="22"/>
                <w:szCs w:val="22"/>
                <w:lang w:eastAsia="zh-CN"/>
              </w:rPr>
              <w:t xml:space="preserve">Trajanje (dani)                       </w:t>
            </w:r>
          </w:p>
        </w:tc>
        <w:tc>
          <w:tcPr>
            <w:tcW w:w="995" w:type="pct"/>
            <w:tcBorders>
              <w:top w:val="single" w:sz="4" w:space="0" w:color="auto"/>
              <w:left w:val="nil"/>
              <w:right w:val="nil"/>
            </w:tcBorders>
          </w:tcPr>
          <w:p w14:paraId="718DE2B4" w14:textId="77777777" w:rsidR="00CC2B31" w:rsidRPr="002B3647" w:rsidRDefault="00CC2B31" w:rsidP="00CE5678">
            <w:pPr>
              <w:widowControl w:val="0"/>
              <w:spacing w:line="240" w:lineRule="exact"/>
              <w:jc w:val="both"/>
              <w:rPr>
                <w:rFonts w:eastAsia="SimSun"/>
                <w:strike/>
                <w:sz w:val="22"/>
                <w:szCs w:val="22"/>
                <w:lang w:eastAsia="zh-CN"/>
              </w:rPr>
            </w:pPr>
          </w:p>
        </w:tc>
        <w:tc>
          <w:tcPr>
            <w:tcW w:w="1039" w:type="pct"/>
            <w:tcBorders>
              <w:top w:val="single" w:sz="4" w:space="0" w:color="auto"/>
              <w:left w:val="nil"/>
              <w:right w:val="single" w:sz="8" w:space="0" w:color="auto"/>
            </w:tcBorders>
            <w:tcMar>
              <w:top w:w="0" w:type="dxa"/>
              <w:left w:w="57" w:type="dxa"/>
              <w:bottom w:w="0" w:type="dxa"/>
              <w:right w:w="57" w:type="dxa"/>
            </w:tcMar>
          </w:tcPr>
          <w:p w14:paraId="6B3F0BCC" w14:textId="77777777" w:rsidR="00CC2B31" w:rsidRPr="00C65707" w:rsidRDefault="00CC2B31" w:rsidP="00CE5678">
            <w:pPr>
              <w:widowControl w:val="0"/>
              <w:spacing w:line="240" w:lineRule="exact"/>
              <w:jc w:val="both"/>
              <w:rPr>
                <w:rFonts w:eastAsia="SimSun"/>
                <w:strike/>
                <w:sz w:val="22"/>
                <w:szCs w:val="22"/>
                <w:lang w:eastAsia="zh-CN"/>
              </w:rPr>
            </w:pPr>
          </w:p>
        </w:tc>
      </w:tr>
      <w:tr w:rsidR="00CC2B31" w:rsidRPr="00C65707" w14:paraId="0CE64B4E" w14:textId="77777777" w:rsidTr="00CE5678">
        <w:trPr>
          <w:cantSplit/>
          <w:trHeight w:val="345"/>
        </w:trPr>
        <w:tc>
          <w:tcPr>
            <w:tcW w:w="1387" w:type="pct"/>
            <w:tcBorders>
              <w:left w:val="single" w:sz="4" w:space="0" w:color="auto"/>
            </w:tcBorders>
            <w:tcMar>
              <w:top w:w="0" w:type="dxa"/>
              <w:left w:w="57" w:type="dxa"/>
              <w:bottom w:w="0" w:type="dxa"/>
              <w:right w:w="57" w:type="dxa"/>
            </w:tcMar>
          </w:tcPr>
          <w:p w14:paraId="65A20288" w14:textId="77777777" w:rsidR="00CC2B31" w:rsidRPr="00C65707" w:rsidRDefault="00CC2B31" w:rsidP="00CE5678">
            <w:pPr>
              <w:widowControl w:val="0"/>
              <w:spacing w:line="240" w:lineRule="exact"/>
              <w:ind w:left="85"/>
              <w:jc w:val="both"/>
              <w:rPr>
                <w:rFonts w:eastAsia="SimSun"/>
                <w:sz w:val="22"/>
                <w:szCs w:val="22"/>
                <w:lang w:eastAsia="zh-CN"/>
              </w:rPr>
            </w:pPr>
            <w:r w:rsidRPr="00C65707">
              <w:rPr>
                <w:rFonts w:eastAsia="SimSun"/>
                <w:sz w:val="22"/>
                <w:szCs w:val="22"/>
                <w:lang w:eastAsia="zh-CN"/>
              </w:rPr>
              <w:t>Srednja vrijednost (SD)</w:t>
            </w:r>
          </w:p>
        </w:tc>
        <w:tc>
          <w:tcPr>
            <w:tcW w:w="855" w:type="pct"/>
            <w:tcMar>
              <w:top w:w="0" w:type="dxa"/>
              <w:left w:w="57" w:type="dxa"/>
              <w:bottom w:w="0" w:type="dxa"/>
              <w:right w:w="57" w:type="dxa"/>
            </w:tcMar>
          </w:tcPr>
          <w:p w14:paraId="13481252" w14:textId="77777777" w:rsidR="00CC2B31" w:rsidRPr="002B3647" w:rsidRDefault="00CC2B31" w:rsidP="00CE5678">
            <w:pPr>
              <w:widowControl w:val="0"/>
              <w:spacing w:line="240" w:lineRule="exact"/>
              <w:jc w:val="both"/>
              <w:rPr>
                <w:rFonts w:eastAsia="SimSun"/>
                <w:sz w:val="22"/>
                <w:szCs w:val="22"/>
                <w:lang w:eastAsia="zh-CN"/>
              </w:rPr>
            </w:pPr>
            <w:r w:rsidRPr="002B3647">
              <w:rPr>
                <w:rFonts w:eastAsia="SimSun"/>
                <w:sz w:val="22"/>
                <w:szCs w:val="22"/>
                <w:lang w:eastAsia="zh-CN"/>
              </w:rPr>
              <w:t>35,7 (11,5)</w:t>
            </w:r>
          </w:p>
        </w:tc>
        <w:tc>
          <w:tcPr>
            <w:tcW w:w="724" w:type="pct"/>
            <w:tcMar>
              <w:top w:w="0" w:type="dxa"/>
              <w:left w:w="57" w:type="dxa"/>
              <w:bottom w:w="0" w:type="dxa"/>
              <w:right w:w="57" w:type="dxa"/>
            </w:tcMar>
          </w:tcPr>
          <w:p w14:paraId="4EF39161" w14:textId="77777777" w:rsidR="00CC2B31" w:rsidRPr="00C65707" w:rsidRDefault="00CC2B31" w:rsidP="00CE5678">
            <w:pPr>
              <w:widowControl w:val="0"/>
              <w:spacing w:line="240" w:lineRule="exact"/>
              <w:jc w:val="both"/>
              <w:rPr>
                <w:rFonts w:eastAsia="SimSun"/>
                <w:sz w:val="22"/>
                <w:szCs w:val="22"/>
                <w:lang w:eastAsia="zh-CN"/>
              </w:rPr>
            </w:pPr>
            <w:r w:rsidRPr="00C65707">
              <w:rPr>
                <w:rFonts w:eastAsia="SimSun"/>
                <w:sz w:val="22"/>
                <w:szCs w:val="22"/>
                <w:lang w:eastAsia="zh-CN"/>
              </w:rPr>
              <w:t>36,3 (12,5)</w:t>
            </w:r>
          </w:p>
        </w:tc>
        <w:tc>
          <w:tcPr>
            <w:tcW w:w="995" w:type="pct"/>
            <w:tcBorders>
              <w:right w:val="nil"/>
            </w:tcBorders>
          </w:tcPr>
          <w:p w14:paraId="711D1BEA" w14:textId="77777777" w:rsidR="00CC2B31" w:rsidRPr="00C65707" w:rsidRDefault="00CC2B31" w:rsidP="00CE5678">
            <w:pPr>
              <w:widowControl w:val="0"/>
              <w:spacing w:line="240" w:lineRule="exact"/>
              <w:jc w:val="both"/>
              <w:rPr>
                <w:rFonts w:eastAsia="SimSun"/>
                <w:sz w:val="22"/>
                <w:szCs w:val="22"/>
                <w:lang w:eastAsia="zh-CN"/>
              </w:rPr>
            </w:pPr>
            <w:r w:rsidRPr="00C65707">
              <w:rPr>
                <w:rFonts w:eastAsia="SimSun"/>
                <w:sz w:val="22"/>
                <w:szCs w:val="22"/>
                <w:lang w:eastAsia="zh-CN"/>
              </w:rPr>
              <w:t>35,6 (13,2)</w:t>
            </w:r>
          </w:p>
        </w:tc>
        <w:tc>
          <w:tcPr>
            <w:tcW w:w="1039" w:type="pct"/>
            <w:tcBorders>
              <w:left w:val="nil"/>
              <w:right w:val="single" w:sz="8" w:space="0" w:color="auto"/>
            </w:tcBorders>
            <w:tcMar>
              <w:top w:w="0" w:type="dxa"/>
              <w:left w:w="57" w:type="dxa"/>
              <w:bottom w:w="0" w:type="dxa"/>
              <w:right w:w="57" w:type="dxa"/>
            </w:tcMar>
          </w:tcPr>
          <w:p w14:paraId="04C4CC82" w14:textId="77777777" w:rsidR="00CC2B31" w:rsidRPr="00C65707" w:rsidRDefault="00CC2B31" w:rsidP="00CE5678">
            <w:pPr>
              <w:widowControl w:val="0"/>
              <w:spacing w:line="240" w:lineRule="exact"/>
              <w:jc w:val="both"/>
              <w:rPr>
                <w:rFonts w:eastAsia="SimSun"/>
                <w:sz w:val="22"/>
                <w:szCs w:val="22"/>
                <w:lang w:eastAsia="zh-CN"/>
              </w:rPr>
            </w:pPr>
            <w:r w:rsidRPr="00C65707">
              <w:rPr>
                <w:rFonts w:eastAsia="SimSun"/>
                <w:sz w:val="22"/>
                <w:szCs w:val="22"/>
                <w:lang w:eastAsia="zh-CN"/>
              </w:rPr>
              <w:t>37.4 (14.4)</w:t>
            </w:r>
          </w:p>
        </w:tc>
      </w:tr>
      <w:tr w:rsidR="00CC2B31" w:rsidRPr="00C65707" w14:paraId="2678E544" w14:textId="77777777" w:rsidTr="00CE5678">
        <w:trPr>
          <w:cantSplit/>
          <w:trHeight w:val="331"/>
        </w:trPr>
        <w:tc>
          <w:tcPr>
            <w:tcW w:w="1387" w:type="pct"/>
            <w:tcBorders>
              <w:left w:val="single" w:sz="4" w:space="0" w:color="auto"/>
            </w:tcBorders>
            <w:tcMar>
              <w:top w:w="0" w:type="dxa"/>
              <w:left w:w="57" w:type="dxa"/>
              <w:bottom w:w="0" w:type="dxa"/>
              <w:right w:w="57" w:type="dxa"/>
            </w:tcMar>
          </w:tcPr>
          <w:p w14:paraId="79E3AC06" w14:textId="77777777" w:rsidR="00CC2B31" w:rsidRPr="00C65707" w:rsidRDefault="00CC2B31" w:rsidP="00CE5678">
            <w:pPr>
              <w:widowControl w:val="0"/>
              <w:spacing w:line="240" w:lineRule="exact"/>
              <w:ind w:left="85"/>
              <w:jc w:val="both"/>
              <w:rPr>
                <w:rFonts w:eastAsia="SimSun"/>
                <w:sz w:val="22"/>
                <w:szCs w:val="22"/>
                <w:lang w:eastAsia="zh-CN"/>
              </w:rPr>
            </w:pPr>
            <w:r w:rsidRPr="00C65707">
              <w:rPr>
                <w:rFonts w:eastAsia="SimSun"/>
                <w:sz w:val="22"/>
                <w:szCs w:val="22"/>
                <w:lang w:eastAsia="zh-CN"/>
              </w:rPr>
              <w:t>Medijana</w:t>
            </w:r>
          </w:p>
        </w:tc>
        <w:tc>
          <w:tcPr>
            <w:tcW w:w="855" w:type="pct"/>
            <w:tcMar>
              <w:top w:w="0" w:type="dxa"/>
              <w:left w:w="57" w:type="dxa"/>
              <w:bottom w:w="0" w:type="dxa"/>
              <w:right w:w="57" w:type="dxa"/>
            </w:tcMar>
          </w:tcPr>
          <w:p w14:paraId="2E4B6754" w14:textId="77777777" w:rsidR="00CC2B31" w:rsidRPr="002B3647" w:rsidRDefault="00CC2B31" w:rsidP="00CE5678">
            <w:pPr>
              <w:widowControl w:val="0"/>
              <w:spacing w:line="240" w:lineRule="exact"/>
              <w:jc w:val="both"/>
              <w:rPr>
                <w:rFonts w:eastAsia="SimSun"/>
                <w:sz w:val="22"/>
                <w:szCs w:val="22"/>
                <w:lang w:eastAsia="zh-CN"/>
              </w:rPr>
            </w:pPr>
            <w:r w:rsidRPr="002B3647">
              <w:rPr>
                <w:rFonts w:eastAsia="SimSun"/>
                <w:sz w:val="22"/>
                <w:szCs w:val="22"/>
                <w:lang w:eastAsia="zh-CN"/>
              </w:rPr>
              <w:t>42,0</w:t>
            </w:r>
          </w:p>
        </w:tc>
        <w:tc>
          <w:tcPr>
            <w:tcW w:w="724" w:type="pct"/>
            <w:tcMar>
              <w:top w:w="0" w:type="dxa"/>
              <w:left w:w="57" w:type="dxa"/>
              <w:bottom w:w="0" w:type="dxa"/>
              <w:right w:w="57" w:type="dxa"/>
            </w:tcMar>
          </w:tcPr>
          <w:p w14:paraId="1DC7D2D1" w14:textId="77777777" w:rsidR="00CC2B31" w:rsidRPr="00C65707" w:rsidRDefault="00CC2B31" w:rsidP="00CE5678">
            <w:pPr>
              <w:widowControl w:val="0"/>
              <w:spacing w:line="240" w:lineRule="exact"/>
              <w:jc w:val="both"/>
              <w:rPr>
                <w:rFonts w:eastAsia="SimSun"/>
                <w:sz w:val="22"/>
                <w:szCs w:val="22"/>
                <w:lang w:eastAsia="zh-CN"/>
              </w:rPr>
            </w:pPr>
            <w:r w:rsidRPr="00C65707">
              <w:rPr>
                <w:rFonts w:eastAsia="SimSun"/>
                <w:sz w:val="22"/>
                <w:szCs w:val="22"/>
                <w:lang w:eastAsia="zh-CN"/>
              </w:rPr>
              <w:t>41,0</w:t>
            </w:r>
          </w:p>
        </w:tc>
        <w:tc>
          <w:tcPr>
            <w:tcW w:w="995" w:type="pct"/>
            <w:tcBorders>
              <w:right w:val="nil"/>
            </w:tcBorders>
          </w:tcPr>
          <w:p w14:paraId="15EF527A" w14:textId="77777777" w:rsidR="00CC2B31" w:rsidRPr="00C65707" w:rsidRDefault="00CC2B31" w:rsidP="00CE5678">
            <w:pPr>
              <w:widowControl w:val="0"/>
              <w:spacing w:line="240" w:lineRule="exact"/>
              <w:jc w:val="both"/>
              <w:rPr>
                <w:rFonts w:eastAsia="SimSun"/>
                <w:sz w:val="22"/>
                <w:szCs w:val="22"/>
                <w:lang w:eastAsia="zh-CN"/>
              </w:rPr>
            </w:pPr>
            <w:r w:rsidRPr="00C65707">
              <w:rPr>
                <w:rFonts w:eastAsia="SimSun"/>
                <w:sz w:val="22"/>
                <w:szCs w:val="22"/>
                <w:lang w:eastAsia="zh-CN"/>
              </w:rPr>
              <w:t>41,0</w:t>
            </w:r>
          </w:p>
        </w:tc>
        <w:tc>
          <w:tcPr>
            <w:tcW w:w="1039" w:type="pct"/>
            <w:tcBorders>
              <w:left w:val="nil"/>
              <w:right w:val="single" w:sz="8" w:space="0" w:color="auto"/>
            </w:tcBorders>
            <w:tcMar>
              <w:top w:w="0" w:type="dxa"/>
              <w:left w:w="57" w:type="dxa"/>
              <w:bottom w:w="0" w:type="dxa"/>
              <w:right w:w="57" w:type="dxa"/>
            </w:tcMar>
          </w:tcPr>
          <w:p w14:paraId="193BCECA" w14:textId="77777777" w:rsidR="00CC2B31" w:rsidRPr="00C65707" w:rsidRDefault="00CC2B31" w:rsidP="00CE5678">
            <w:pPr>
              <w:widowControl w:val="0"/>
              <w:spacing w:line="240" w:lineRule="exact"/>
              <w:jc w:val="both"/>
              <w:rPr>
                <w:rFonts w:eastAsia="SimSun"/>
                <w:sz w:val="22"/>
                <w:szCs w:val="22"/>
                <w:lang w:eastAsia="zh-CN"/>
              </w:rPr>
            </w:pPr>
            <w:r w:rsidRPr="00C65707">
              <w:rPr>
                <w:rFonts w:eastAsia="SimSun"/>
                <w:sz w:val="22"/>
                <w:szCs w:val="22"/>
                <w:lang w:eastAsia="zh-CN"/>
              </w:rPr>
              <w:t>42.0</w:t>
            </w:r>
          </w:p>
        </w:tc>
      </w:tr>
      <w:tr w:rsidR="00CC2B31" w:rsidRPr="00C65707" w14:paraId="1F3A69EA" w14:textId="77777777" w:rsidTr="00CE5678">
        <w:trPr>
          <w:cantSplit/>
          <w:trHeight w:val="358"/>
        </w:trPr>
        <w:tc>
          <w:tcPr>
            <w:tcW w:w="1387" w:type="pct"/>
            <w:tcBorders>
              <w:left w:val="single" w:sz="4" w:space="0" w:color="auto"/>
              <w:bottom w:val="single" w:sz="4" w:space="0" w:color="auto"/>
            </w:tcBorders>
            <w:tcMar>
              <w:top w:w="0" w:type="dxa"/>
              <w:left w:w="57" w:type="dxa"/>
              <w:bottom w:w="0" w:type="dxa"/>
              <w:right w:w="57" w:type="dxa"/>
            </w:tcMar>
          </w:tcPr>
          <w:p w14:paraId="070018EE" w14:textId="77777777" w:rsidR="00CC2B31" w:rsidRPr="00C65707" w:rsidRDefault="00CC2B31" w:rsidP="00CE5678">
            <w:pPr>
              <w:widowControl w:val="0"/>
              <w:spacing w:line="240" w:lineRule="exact"/>
              <w:ind w:left="85"/>
              <w:jc w:val="both"/>
              <w:rPr>
                <w:rFonts w:eastAsia="SimSun"/>
                <w:sz w:val="22"/>
                <w:szCs w:val="22"/>
                <w:lang w:eastAsia="zh-CN"/>
              </w:rPr>
            </w:pPr>
            <w:r w:rsidRPr="00C65707">
              <w:rPr>
                <w:rFonts w:eastAsia="SimSun"/>
                <w:sz w:val="22"/>
                <w:szCs w:val="22"/>
                <w:lang w:eastAsia="zh-CN"/>
              </w:rPr>
              <w:t>Min - Max</w:t>
            </w:r>
          </w:p>
        </w:tc>
        <w:tc>
          <w:tcPr>
            <w:tcW w:w="855" w:type="pct"/>
            <w:tcBorders>
              <w:bottom w:val="single" w:sz="4" w:space="0" w:color="auto"/>
            </w:tcBorders>
            <w:tcMar>
              <w:top w:w="0" w:type="dxa"/>
              <w:left w:w="57" w:type="dxa"/>
              <w:bottom w:w="0" w:type="dxa"/>
              <w:right w:w="57" w:type="dxa"/>
            </w:tcMar>
          </w:tcPr>
          <w:p w14:paraId="29C910EB" w14:textId="77777777" w:rsidR="00CC2B31" w:rsidRPr="002B3647" w:rsidRDefault="00CC2B31" w:rsidP="00CE5678">
            <w:pPr>
              <w:widowControl w:val="0"/>
              <w:spacing w:line="240" w:lineRule="exact"/>
              <w:jc w:val="both"/>
              <w:rPr>
                <w:rFonts w:eastAsia="SimSun"/>
                <w:sz w:val="22"/>
                <w:szCs w:val="22"/>
                <w:lang w:eastAsia="zh-CN"/>
              </w:rPr>
            </w:pPr>
            <w:r w:rsidRPr="002B3647">
              <w:rPr>
                <w:rFonts w:eastAsia="SimSun"/>
                <w:sz w:val="22"/>
                <w:szCs w:val="22"/>
                <w:lang w:eastAsia="zh-CN"/>
              </w:rPr>
              <w:t>6 - 63</w:t>
            </w:r>
          </w:p>
        </w:tc>
        <w:tc>
          <w:tcPr>
            <w:tcW w:w="724" w:type="pct"/>
            <w:tcBorders>
              <w:bottom w:val="single" w:sz="4" w:space="0" w:color="auto"/>
            </w:tcBorders>
            <w:tcMar>
              <w:top w:w="0" w:type="dxa"/>
              <w:left w:w="57" w:type="dxa"/>
              <w:bottom w:w="0" w:type="dxa"/>
              <w:right w:w="57" w:type="dxa"/>
            </w:tcMar>
          </w:tcPr>
          <w:p w14:paraId="219AD287" w14:textId="77777777" w:rsidR="00CC2B31" w:rsidRPr="00C65707" w:rsidRDefault="00CC2B31" w:rsidP="00CE5678">
            <w:pPr>
              <w:widowControl w:val="0"/>
              <w:spacing w:line="240" w:lineRule="exact"/>
              <w:jc w:val="both"/>
              <w:rPr>
                <w:rFonts w:eastAsia="SimSun"/>
                <w:sz w:val="22"/>
                <w:szCs w:val="22"/>
                <w:lang w:eastAsia="zh-CN"/>
              </w:rPr>
            </w:pPr>
            <w:r w:rsidRPr="00C65707">
              <w:rPr>
                <w:rFonts w:eastAsia="SimSun"/>
                <w:sz w:val="22"/>
                <w:szCs w:val="22"/>
                <w:lang w:eastAsia="zh-CN"/>
              </w:rPr>
              <w:t>12 – 82</w:t>
            </w:r>
          </w:p>
        </w:tc>
        <w:tc>
          <w:tcPr>
            <w:tcW w:w="995" w:type="pct"/>
            <w:tcBorders>
              <w:bottom w:val="single" w:sz="4" w:space="0" w:color="auto"/>
              <w:right w:val="nil"/>
            </w:tcBorders>
          </w:tcPr>
          <w:p w14:paraId="4B8B3FA3" w14:textId="77777777" w:rsidR="00CC2B31" w:rsidRPr="00C65707" w:rsidRDefault="00CC2B31" w:rsidP="00CE5678">
            <w:pPr>
              <w:widowControl w:val="0"/>
              <w:spacing w:line="240" w:lineRule="exact"/>
              <w:jc w:val="both"/>
              <w:rPr>
                <w:rFonts w:eastAsia="SimSun"/>
                <w:sz w:val="22"/>
                <w:szCs w:val="22"/>
                <w:lang w:eastAsia="zh-CN"/>
              </w:rPr>
            </w:pPr>
            <w:r w:rsidRPr="00C65707">
              <w:rPr>
                <w:rFonts w:eastAsia="SimSun"/>
                <w:sz w:val="22"/>
                <w:szCs w:val="22"/>
                <w:lang w:eastAsia="zh-CN"/>
              </w:rPr>
              <w:t>1 - 87</w:t>
            </w:r>
          </w:p>
        </w:tc>
        <w:tc>
          <w:tcPr>
            <w:tcW w:w="1039" w:type="pct"/>
            <w:tcBorders>
              <w:left w:val="nil"/>
              <w:bottom w:val="single" w:sz="4" w:space="0" w:color="auto"/>
              <w:right w:val="single" w:sz="8" w:space="0" w:color="auto"/>
            </w:tcBorders>
            <w:tcMar>
              <w:top w:w="0" w:type="dxa"/>
              <w:left w:w="57" w:type="dxa"/>
              <w:bottom w:w="0" w:type="dxa"/>
              <w:right w:w="57" w:type="dxa"/>
            </w:tcMar>
          </w:tcPr>
          <w:p w14:paraId="38152BB4" w14:textId="77777777" w:rsidR="00CC2B31" w:rsidRPr="00C65707" w:rsidRDefault="00CC2B31" w:rsidP="00CE5678">
            <w:pPr>
              <w:widowControl w:val="0"/>
              <w:spacing w:line="240" w:lineRule="exact"/>
              <w:jc w:val="both"/>
              <w:rPr>
                <w:rFonts w:eastAsia="SimSun"/>
                <w:sz w:val="22"/>
                <w:szCs w:val="22"/>
                <w:lang w:eastAsia="zh-CN"/>
              </w:rPr>
            </w:pPr>
            <w:r w:rsidRPr="00C65707">
              <w:rPr>
                <w:rFonts w:eastAsia="SimSun"/>
                <w:sz w:val="22"/>
                <w:szCs w:val="22"/>
                <w:lang w:eastAsia="zh-CN"/>
              </w:rPr>
              <w:t>9 - 87</w:t>
            </w:r>
          </w:p>
        </w:tc>
      </w:tr>
    </w:tbl>
    <w:p w14:paraId="491F4898" w14:textId="68EBAFBE" w:rsidR="00BB0387" w:rsidRPr="00CE5678" w:rsidRDefault="00BB0387" w:rsidP="00CE5678">
      <w:pPr>
        <w:widowControl w:val="0"/>
        <w:jc w:val="both"/>
        <w:rPr>
          <w:sz w:val="22"/>
          <w:szCs w:val="22"/>
          <w:lang w:eastAsia="de-DE"/>
        </w:rPr>
      </w:pPr>
      <w:r w:rsidRPr="00CE5678">
        <w:rPr>
          <w:sz w:val="22"/>
          <w:szCs w:val="22"/>
          <w:lang w:eastAsia="de-DE"/>
        </w:rPr>
        <w:t>SC = su</w:t>
      </w:r>
      <w:r w:rsidR="00910BDC" w:rsidRPr="00CE5678">
        <w:rPr>
          <w:sz w:val="22"/>
          <w:szCs w:val="22"/>
          <w:lang w:eastAsia="de-DE"/>
        </w:rPr>
        <w:t>b</w:t>
      </w:r>
      <w:r w:rsidRPr="00CE5678">
        <w:rPr>
          <w:sz w:val="22"/>
          <w:szCs w:val="22"/>
          <w:lang w:eastAsia="de-DE"/>
        </w:rPr>
        <w:t>kutano</w:t>
      </w:r>
    </w:p>
    <w:p w14:paraId="1EFE0177" w14:textId="77777777" w:rsidR="00CC2B31" w:rsidRPr="00C65707" w:rsidRDefault="00CC2B31" w:rsidP="00C65707">
      <w:pPr>
        <w:widowControl w:val="0"/>
        <w:jc w:val="both"/>
        <w:rPr>
          <w:sz w:val="22"/>
          <w:szCs w:val="22"/>
        </w:rPr>
      </w:pPr>
    </w:p>
    <w:p w14:paraId="118AE256" w14:textId="69AFFCBA" w:rsidR="00CC2B31" w:rsidRPr="002B3647" w:rsidRDefault="00CC2B31" w:rsidP="00C65707">
      <w:pPr>
        <w:widowControl w:val="0"/>
        <w:jc w:val="both"/>
        <w:rPr>
          <w:sz w:val="22"/>
          <w:szCs w:val="22"/>
        </w:rPr>
      </w:pPr>
      <w:r w:rsidRPr="00C65707">
        <w:rPr>
          <w:sz w:val="22"/>
          <w:szCs w:val="22"/>
        </w:rPr>
        <w:t xml:space="preserve">Postignuta je primarna mjera ishoda za efikasnost, koja se procjenjivala na osnovu dijela pacijenata koji su postigli održanu remisiju bez primjene steroida u 52. nedjelji uz </w:t>
      </w:r>
      <w:r w:rsidR="00BB0387" w:rsidRPr="00C65707">
        <w:rPr>
          <w:sz w:val="22"/>
          <w:szCs w:val="22"/>
          <w:lang w:eastAsia="ja-JP"/>
        </w:rPr>
        <w:t>tocilizumab</w:t>
      </w:r>
      <w:r w:rsidRPr="00C65707">
        <w:rPr>
          <w:sz w:val="22"/>
          <w:szCs w:val="22"/>
        </w:rPr>
        <w:t xml:space="preserve"> plus 26- nedjeljni režim postupnog smanjivanja doze prednizona (Tabela </w:t>
      </w:r>
      <w:r w:rsidR="00BB0387" w:rsidRPr="002B3647">
        <w:rPr>
          <w:sz w:val="22"/>
          <w:szCs w:val="22"/>
        </w:rPr>
        <w:t>4</w:t>
      </w:r>
      <w:r w:rsidRPr="002B3647">
        <w:rPr>
          <w:sz w:val="22"/>
          <w:szCs w:val="22"/>
        </w:rPr>
        <w:t xml:space="preserve">). </w:t>
      </w:r>
    </w:p>
    <w:p w14:paraId="3023EBE9" w14:textId="1F7F590B" w:rsidR="00CC2B31" w:rsidRPr="00C65707" w:rsidRDefault="00CC2B31" w:rsidP="002B3647">
      <w:pPr>
        <w:widowControl w:val="0"/>
        <w:jc w:val="both"/>
        <w:rPr>
          <w:sz w:val="22"/>
          <w:szCs w:val="22"/>
        </w:rPr>
      </w:pPr>
      <w:r w:rsidRPr="00C65707">
        <w:rPr>
          <w:sz w:val="22"/>
          <w:szCs w:val="22"/>
        </w:rPr>
        <w:t xml:space="preserve">Postignuta je i ključna sekundarna mjera ishoda za bezbjednost, koja se takođe zasnivala na dijelu pacijenata koji su postigli održanu remisiju u 52. nedjelji, pri čemu su se upoređivale grupa koja je primala tocilizumab plus 26- nedjeljni režim postupnog smanjivanja doze prednizona i grupa koja je primala placebo plus 52- nedjeljni režim postupnog smanjivanja doze prednizona (Tabela </w:t>
      </w:r>
      <w:r w:rsidR="00B25F68" w:rsidRPr="00C65707">
        <w:rPr>
          <w:sz w:val="22"/>
          <w:szCs w:val="22"/>
        </w:rPr>
        <w:t>4</w:t>
      </w:r>
      <w:r w:rsidRPr="00C65707">
        <w:rPr>
          <w:sz w:val="22"/>
          <w:szCs w:val="22"/>
        </w:rPr>
        <w:t xml:space="preserve">). </w:t>
      </w:r>
    </w:p>
    <w:p w14:paraId="6D1E0702" w14:textId="77777777" w:rsidR="00CC2B31" w:rsidRPr="00C65707" w:rsidRDefault="00CC2B31">
      <w:pPr>
        <w:widowControl w:val="0"/>
        <w:jc w:val="both"/>
        <w:rPr>
          <w:sz w:val="22"/>
          <w:szCs w:val="22"/>
        </w:rPr>
      </w:pPr>
    </w:p>
    <w:p w14:paraId="77AFC6EE" w14:textId="08DF061E" w:rsidR="00CC2B31" w:rsidRPr="00C65707" w:rsidRDefault="00CC2B31" w:rsidP="00CE5678">
      <w:pPr>
        <w:widowControl w:val="0"/>
        <w:jc w:val="both"/>
        <w:rPr>
          <w:sz w:val="22"/>
          <w:szCs w:val="22"/>
        </w:rPr>
      </w:pPr>
      <w:r w:rsidRPr="00C65707">
        <w:rPr>
          <w:sz w:val="22"/>
          <w:szCs w:val="22"/>
        </w:rPr>
        <w:t xml:space="preserve">Zabilježen je statistički značajan superioran terapijski efekat </w:t>
      </w:r>
      <w:r w:rsidR="00B25F68" w:rsidRPr="00C65707">
        <w:rPr>
          <w:sz w:val="22"/>
          <w:szCs w:val="22"/>
          <w:lang w:eastAsia="ja-JP"/>
        </w:rPr>
        <w:t>tocilizumab</w:t>
      </w:r>
      <w:r w:rsidRPr="00C65707">
        <w:rPr>
          <w:sz w:val="22"/>
          <w:szCs w:val="22"/>
        </w:rPr>
        <w:t xml:space="preserve">a u odnosu na placebo u postizanju održane remisije bez primjene steroida u 52. nedjelji uz </w:t>
      </w:r>
      <w:r w:rsidR="00B25F68" w:rsidRPr="00C65707">
        <w:rPr>
          <w:sz w:val="22"/>
          <w:szCs w:val="22"/>
          <w:lang w:eastAsia="ja-JP"/>
        </w:rPr>
        <w:t>tocilizumab</w:t>
      </w:r>
      <w:r w:rsidRPr="00C65707">
        <w:rPr>
          <w:sz w:val="22"/>
          <w:szCs w:val="22"/>
        </w:rPr>
        <w:t xml:space="preserve"> plus 26- nedjeljni režim postupnog smanjivanja doze prednizona u odnosu na placebo plus 26- nedjeljni režim postupnog smanjivanja doze prednizona i placebo plus 52- nedjeljni režim postupnog smanjivanja doze prednizona.</w:t>
      </w:r>
    </w:p>
    <w:p w14:paraId="2D6F7FB7" w14:textId="77777777" w:rsidR="00CC2B31" w:rsidRPr="00C65707" w:rsidRDefault="00CC2B31" w:rsidP="00C65707">
      <w:pPr>
        <w:widowControl w:val="0"/>
        <w:jc w:val="both"/>
        <w:rPr>
          <w:sz w:val="22"/>
          <w:szCs w:val="22"/>
        </w:rPr>
      </w:pPr>
    </w:p>
    <w:p w14:paraId="29834EA6" w14:textId="6388B3D9" w:rsidR="00CC2B31" w:rsidRPr="00C65707" w:rsidRDefault="00CC2B31" w:rsidP="002B3647">
      <w:pPr>
        <w:widowControl w:val="0"/>
        <w:jc w:val="both"/>
        <w:rPr>
          <w:sz w:val="22"/>
          <w:szCs w:val="22"/>
        </w:rPr>
      </w:pPr>
      <w:r w:rsidRPr="00C65707">
        <w:rPr>
          <w:sz w:val="22"/>
          <w:szCs w:val="22"/>
        </w:rPr>
        <w:t xml:space="preserve">Procenat pacijenata koji su postigli održanu remisiju u 52. nedjelji prikazan je u Tabeli </w:t>
      </w:r>
      <w:r w:rsidR="00B25F68" w:rsidRPr="00C65707">
        <w:rPr>
          <w:sz w:val="22"/>
          <w:szCs w:val="22"/>
        </w:rPr>
        <w:t>4</w:t>
      </w:r>
      <w:r w:rsidRPr="00C65707">
        <w:rPr>
          <w:sz w:val="22"/>
          <w:szCs w:val="22"/>
        </w:rPr>
        <w:t>.</w:t>
      </w:r>
    </w:p>
    <w:p w14:paraId="2D6CEE81" w14:textId="77777777" w:rsidR="00CC2B31" w:rsidRPr="00C65707" w:rsidRDefault="00CC2B31" w:rsidP="002B3647">
      <w:pPr>
        <w:widowControl w:val="0"/>
        <w:jc w:val="both"/>
        <w:rPr>
          <w:sz w:val="22"/>
          <w:szCs w:val="22"/>
        </w:rPr>
      </w:pPr>
    </w:p>
    <w:p w14:paraId="4706872E" w14:textId="77777777" w:rsidR="00CC2B31" w:rsidRPr="00C65707" w:rsidRDefault="00CC2B31">
      <w:pPr>
        <w:widowControl w:val="0"/>
        <w:jc w:val="both"/>
        <w:rPr>
          <w:i/>
          <w:iCs/>
          <w:sz w:val="22"/>
          <w:szCs w:val="22"/>
          <w:u w:val="single"/>
        </w:rPr>
      </w:pPr>
      <w:r w:rsidRPr="00C65707">
        <w:rPr>
          <w:i/>
          <w:iCs/>
          <w:sz w:val="22"/>
          <w:szCs w:val="22"/>
          <w:u w:val="single"/>
        </w:rPr>
        <w:t>Sekundarne mjere ishoda</w:t>
      </w:r>
    </w:p>
    <w:p w14:paraId="607CD204" w14:textId="13F8173F" w:rsidR="00CC2B31" w:rsidRPr="00C65707" w:rsidRDefault="00CC2B31">
      <w:pPr>
        <w:widowControl w:val="0"/>
        <w:jc w:val="both"/>
        <w:rPr>
          <w:sz w:val="22"/>
          <w:szCs w:val="22"/>
        </w:rPr>
      </w:pPr>
      <w:r w:rsidRPr="00C65707">
        <w:rPr>
          <w:sz w:val="22"/>
          <w:szCs w:val="22"/>
        </w:rPr>
        <w:t xml:space="preserve">Ocjena vremena do prvog razbuktavanja GCA pokazala je značajno manji rizik od razbuktavanja bolesti u grupi liječenoj </w:t>
      </w:r>
      <w:r w:rsidR="00B25F68" w:rsidRPr="00C65707">
        <w:rPr>
          <w:sz w:val="22"/>
          <w:szCs w:val="22"/>
          <w:lang w:eastAsia="ja-JP"/>
        </w:rPr>
        <w:t>tocilizumabom</w:t>
      </w:r>
      <w:r w:rsidRPr="00C65707">
        <w:rPr>
          <w:sz w:val="22"/>
          <w:szCs w:val="22"/>
        </w:rPr>
        <w:t xml:space="preserve"> subkutano jednom nedjeljno u odnosu na grupe koje su primale placebo plus 26 nedjeljni režim postupnog smanjivanja doze prednizona i placebo plus 52-nedjeljni režim postupnog smanjivanja doze prednizona, kao i u grupi liječenoj </w:t>
      </w:r>
      <w:r w:rsidR="00B25F68" w:rsidRPr="00C65707">
        <w:rPr>
          <w:sz w:val="22"/>
          <w:szCs w:val="22"/>
          <w:lang w:eastAsia="ja-JP"/>
        </w:rPr>
        <w:t>tocilizumabom</w:t>
      </w:r>
      <w:r w:rsidRPr="00C65707">
        <w:rPr>
          <w:sz w:val="22"/>
          <w:szCs w:val="22"/>
        </w:rPr>
        <w:t xml:space="preserve"> subkutano svaku drugu nedjelju u odnosu na grupu koja je primala placebo plus 26-nedjeljni režim postupnog smanjivanja doze prednizona (kada se poređenje sprovodilo na nivou značajnosti od 0,01). Primjena </w:t>
      </w:r>
      <w:r w:rsidR="00B25F68" w:rsidRPr="00C65707">
        <w:rPr>
          <w:sz w:val="22"/>
          <w:szCs w:val="22"/>
          <w:lang w:eastAsia="ja-JP"/>
        </w:rPr>
        <w:t>tocilizumab</w:t>
      </w:r>
      <w:r w:rsidRPr="00C65707">
        <w:rPr>
          <w:sz w:val="22"/>
          <w:szCs w:val="22"/>
        </w:rPr>
        <w:t xml:space="preserve">a subkutano jednom nedjeljno dovela je i do klinički značajnog smanjenja rizika od razbuktavanja u </w:t>
      </w:r>
      <w:r w:rsidRPr="00C65707">
        <w:rPr>
          <w:sz w:val="22"/>
          <w:szCs w:val="22"/>
        </w:rPr>
        <w:lastRenderedPageBreak/>
        <w:t xml:space="preserve">odnosu na placebo plus 26 nedjeljni režim postupnog smanjivanja doze prednizona kod pacijenata koji su u studiju ušli sa relapsom GCA, kao i kod onih sa prvim nastupom bolesti (Tabela </w:t>
      </w:r>
      <w:r w:rsidR="00B25F68" w:rsidRPr="00C65707">
        <w:rPr>
          <w:sz w:val="22"/>
          <w:szCs w:val="22"/>
        </w:rPr>
        <w:t>4</w:t>
      </w:r>
      <w:r w:rsidRPr="00C65707">
        <w:rPr>
          <w:sz w:val="22"/>
          <w:szCs w:val="22"/>
        </w:rPr>
        <w:t>).</w:t>
      </w:r>
    </w:p>
    <w:p w14:paraId="2F91C948" w14:textId="77777777" w:rsidR="00CC2B31" w:rsidRPr="00C65707" w:rsidRDefault="00CC2B31">
      <w:pPr>
        <w:widowControl w:val="0"/>
        <w:jc w:val="both"/>
        <w:rPr>
          <w:sz w:val="22"/>
          <w:szCs w:val="22"/>
        </w:rPr>
      </w:pPr>
    </w:p>
    <w:p w14:paraId="06E3A33B" w14:textId="77777777" w:rsidR="00CC2B31" w:rsidRPr="00C65707" w:rsidRDefault="00CC2B31">
      <w:pPr>
        <w:widowControl w:val="0"/>
        <w:jc w:val="both"/>
        <w:rPr>
          <w:i/>
          <w:sz w:val="22"/>
          <w:szCs w:val="22"/>
          <w:u w:val="single"/>
        </w:rPr>
      </w:pPr>
      <w:r w:rsidRPr="00C65707">
        <w:rPr>
          <w:i/>
          <w:sz w:val="22"/>
          <w:szCs w:val="22"/>
          <w:u w:val="single"/>
        </w:rPr>
        <w:t xml:space="preserve">Kumulativna doza glukokortikoida </w:t>
      </w:r>
    </w:p>
    <w:p w14:paraId="65F9BA44" w14:textId="39C495A8" w:rsidR="00CC2B31" w:rsidRPr="00C65707" w:rsidRDefault="00CC2B31">
      <w:pPr>
        <w:widowControl w:val="0"/>
        <w:jc w:val="both"/>
        <w:rPr>
          <w:sz w:val="22"/>
          <w:szCs w:val="22"/>
        </w:rPr>
      </w:pPr>
      <w:r w:rsidRPr="00C65707">
        <w:rPr>
          <w:sz w:val="22"/>
          <w:szCs w:val="22"/>
        </w:rPr>
        <w:t xml:space="preserve">Kumulativna doza prednizona u 52. nedjelji bila je značajno niža u dvije grupe liječene </w:t>
      </w:r>
      <w:r w:rsidR="00B25F68" w:rsidRPr="00C65707">
        <w:rPr>
          <w:sz w:val="22"/>
          <w:szCs w:val="22"/>
          <w:lang w:eastAsia="ja-JP"/>
        </w:rPr>
        <w:t>tocilizumabom</w:t>
      </w:r>
      <w:r w:rsidRPr="00C65707">
        <w:rPr>
          <w:sz w:val="22"/>
          <w:szCs w:val="22"/>
        </w:rPr>
        <w:t xml:space="preserve"> nego u dvije grupe koje su primale placebo (Tabela </w:t>
      </w:r>
      <w:r w:rsidR="00C93C60" w:rsidRPr="00C65707">
        <w:rPr>
          <w:sz w:val="22"/>
          <w:szCs w:val="22"/>
        </w:rPr>
        <w:t>4</w:t>
      </w:r>
      <w:r w:rsidRPr="00C65707">
        <w:rPr>
          <w:sz w:val="22"/>
          <w:szCs w:val="22"/>
        </w:rPr>
        <w:t xml:space="preserve">). U zasebnoj analizi pacijenata koji su tokom prve 52 nedjelje primali dodatne doze prednizona za liječenje epizode razbuktavanja GCA, kumulativna doza prednizona uvelike je varirala. Medijana doze za liječenje razbuktavanja bolesti kod pacijenata koji su primali </w:t>
      </w:r>
      <w:r w:rsidR="00B25F68" w:rsidRPr="00C65707">
        <w:rPr>
          <w:sz w:val="22"/>
          <w:szCs w:val="22"/>
          <w:lang w:eastAsia="ja-JP"/>
        </w:rPr>
        <w:t>tocilizumab</w:t>
      </w:r>
      <w:r w:rsidRPr="00C65707">
        <w:rPr>
          <w:sz w:val="22"/>
          <w:szCs w:val="22"/>
        </w:rPr>
        <w:t xml:space="preserve"> jednom nedjeljno odnosno jednom svaku drugu nedjelju iznosio je 3129,75 mg odnosno 3847 mg. Obe te doze znatno su niže od onih zabilježenih u grupi koja je primala placebo plus 26- nedjeljni režim postupnog smanjivanja doze prednizona (4023,5 mg) i onoj koja je primala placebo plus 52- nedjeljni režim postupnog smanjivanja doze prednizona (5389,5 mg).</w:t>
      </w:r>
    </w:p>
    <w:p w14:paraId="386BA682" w14:textId="77777777" w:rsidR="00CC2B31" w:rsidRPr="00C65707" w:rsidRDefault="00CC2B31">
      <w:pPr>
        <w:widowControl w:val="0"/>
        <w:jc w:val="both"/>
        <w:rPr>
          <w:sz w:val="22"/>
          <w:szCs w:val="22"/>
        </w:rPr>
      </w:pPr>
    </w:p>
    <w:p w14:paraId="14DFA0F8" w14:textId="45AE326F" w:rsidR="00CC2B31" w:rsidRPr="00C65707" w:rsidRDefault="00CC2B31">
      <w:pPr>
        <w:widowControl w:val="0"/>
        <w:jc w:val="both"/>
        <w:rPr>
          <w:i/>
          <w:sz w:val="22"/>
          <w:szCs w:val="22"/>
        </w:rPr>
      </w:pPr>
      <w:r w:rsidRPr="00C65707">
        <w:rPr>
          <w:i/>
          <w:sz w:val="22"/>
          <w:szCs w:val="22"/>
        </w:rPr>
        <w:t xml:space="preserve">Tabela </w:t>
      </w:r>
      <w:r w:rsidR="00B25F68" w:rsidRPr="00C65707">
        <w:rPr>
          <w:i/>
          <w:sz w:val="22"/>
          <w:szCs w:val="22"/>
        </w:rPr>
        <w:t>4</w:t>
      </w:r>
      <w:r w:rsidRPr="00C65707">
        <w:rPr>
          <w:i/>
          <w:sz w:val="22"/>
          <w:szCs w:val="22"/>
        </w:rPr>
        <w:t>. Rezultati efikasnosti za studiju WA28119</w:t>
      </w:r>
    </w:p>
    <w:tbl>
      <w:tblPr>
        <w:tblW w:w="5000" w:type="pct"/>
        <w:tblCellMar>
          <w:left w:w="0" w:type="dxa"/>
          <w:right w:w="0" w:type="dxa"/>
        </w:tblCellMar>
        <w:tblLook w:val="04A0" w:firstRow="1" w:lastRow="0" w:firstColumn="1" w:lastColumn="0" w:noHBand="0" w:noVBand="1"/>
      </w:tblPr>
      <w:tblGrid>
        <w:gridCol w:w="3382"/>
        <w:gridCol w:w="127"/>
        <w:gridCol w:w="1114"/>
        <w:gridCol w:w="1448"/>
        <w:gridCol w:w="1492"/>
        <w:gridCol w:w="1490"/>
        <w:gridCol w:w="5"/>
      </w:tblGrid>
      <w:tr w:rsidR="00CC2B31" w:rsidRPr="00C65707" w14:paraId="70E2425F" w14:textId="77777777" w:rsidTr="0093644B">
        <w:trPr>
          <w:gridAfter w:val="1"/>
          <w:tblHeader/>
        </w:trPr>
        <w:tc>
          <w:tcPr>
            <w:tcW w:w="1872" w:type="pct"/>
            <w:tcBorders>
              <w:top w:val="single" w:sz="8" w:space="0" w:color="auto"/>
              <w:left w:val="single" w:sz="4" w:space="0" w:color="auto"/>
              <w:bottom w:val="single" w:sz="8" w:space="0" w:color="auto"/>
              <w:right w:val="nil"/>
            </w:tcBorders>
            <w:tcMar>
              <w:top w:w="0" w:type="dxa"/>
              <w:left w:w="57" w:type="dxa"/>
              <w:bottom w:w="0" w:type="dxa"/>
              <w:right w:w="57" w:type="dxa"/>
            </w:tcMar>
            <w:vAlign w:val="bottom"/>
          </w:tcPr>
          <w:p w14:paraId="622F1878" w14:textId="77777777" w:rsidR="00CC2B31" w:rsidRPr="00C65707" w:rsidRDefault="00CC2B31" w:rsidP="00CE5678">
            <w:pPr>
              <w:widowControl w:val="0"/>
              <w:jc w:val="both"/>
              <w:rPr>
                <w:rFonts w:eastAsia="SimSun"/>
                <w:strike/>
                <w:sz w:val="22"/>
                <w:szCs w:val="22"/>
                <w:lang w:eastAsia="zh-CN"/>
              </w:rPr>
            </w:pPr>
          </w:p>
        </w:tc>
        <w:tc>
          <w:tcPr>
            <w:tcW w:w="667" w:type="pct"/>
            <w:gridSpan w:val="2"/>
            <w:tcBorders>
              <w:top w:val="single" w:sz="8" w:space="0" w:color="auto"/>
              <w:left w:val="nil"/>
              <w:bottom w:val="single" w:sz="8" w:space="0" w:color="auto"/>
              <w:right w:val="nil"/>
            </w:tcBorders>
            <w:tcMar>
              <w:top w:w="0" w:type="dxa"/>
              <w:left w:w="57" w:type="dxa"/>
              <w:bottom w:w="0" w:type="dxa"/>
              <w:right w:w="57" w:type="dxa"/>
            </w:tcMar>
          </w:tcPr>
          <w:p w14:paraId="43CA8D48" w14:textId="77777777" w:rsidR="00CC2B31" w:rsidRPr="00C65707" w:rsidRDefault="00CC2B31" w:rsidP="00CE5678">
            <w:pPr>
              <w:widowControl w:val="0"/>
              <w:jc w:val="both"/>
              <w:rPr>
                <w:rFonts w:eastAsia="SimSun"/>
                <w:b/>
                <w:sz w:val="22"/>
                <w:szCs w:val="22"/>
                <w:lang w:eastAsia="zh-CN"/>
              </w:rPr>
            </w:pPr>
            <w:r w:rsidRPr="00C65707">
              <w:rPr>
                <w:rFonts w:eastAsia="SimSun"/>
                <w:b/>
                <w:sz w:val="22"/>
                <w:szCs w:val="22"/>
                <w:lang w:eastAsia="zh-CN"/>
              </w:rPr>
              <w:t>Placebo + 26</w:t>
            </w:r>
            <w:r w:rsidRPr="00C65707">
              <w:rPr>
                <w:rFonts w:eastAsia="SimSun"/>
                <w:b/>
                <w:sz w:val="22"/>
                <w:szCs w:val="22"/>
                <w:lang w:eastAsia="zh-CN"/>
              </w:rPr>
              <w:noBreakHyphen/>
              <w:t>nedjeljni režim postupnog smanjenja doze prednizona</w:t>
            </w:r>
          </w:p>
          <w:p w14:paraId="4C9AED41" w14:textId="77777777" w:rsidR="00CC2B31" w:rsidRPr="00C65707" w:rsidRDefault="00CC2B31" w:rsidP="00CE5678">
            <w:pPr>
              <w:widowControl w:val="0"/>
              <w:jc w:val="both"/>
              <w:rPr>
                <w:rFonts w:eastAsia="SimSun"/>
                <w:b/>
                <w:sz w:val="22"/>
                <w:szCs w:val="22"/>
                <w:lang w:eastAsia="zh-CN"/>
              </w:rPr>
            </w:pPr>
            <w:r w:rsidRPr="00C65707">
              <w:rPr>
                <w:rFonts w:eastAsia="SimSun"/>
                <w:b/>
                <w:sz w:val="22"/>
                <w:szCs w:val="22"/>
                <w:lang w:eastAsia="zh-CN"/>
              </w:rPr>
              <w:t>N=50</w:t>
            </w:r>
          </w:p>
        </w:tc>
        <w:tc>
          <w:tcPr>
            <w:tcW w:w="804" w:type="pct"/>
            <w:tcBorders>
              <w:top w:val="single" w:sz="8" w:space="0" w:color="auto"/>
              <w:left w:val="nil"/>
              <w:bottom w:val="single" w:sz="8" w:space="0" w:color="auto"/>
              <w:right w:val="nil"/>
            </w:tcBorders>
            <w:tcMar>
              <w:top w:w="0" w:type="dxa"/>
              <w:left w:w="57" w:type="dxa"/>
              <w:bottom w:w="0" w:type="dxa"/>
              <w:right w:w="57" w:type="dxa"/>
            </w:tcMar>
          </w:tcPr>
          <w:p w14:paraId="6E8CB83E" w14:textId="77777777" w:rsidR="00CC2B31" w:rsidRPr="00C65707" w:rsidRDefault="00CC2B31" w:rsidP="00CE5678">
            <w:pPr>
              <w:widowControl w:val="0"/>
              <w:jc w:val="both"/>
              <w:rPr>
                <w:rFonts w:eastAsia="SimSun"/>
                <w:b/>
                <w:sz w:val="22"/>
                <w:szCs w:val="22"/>
                <w:lang w:eastAsia="zh-CN"/>
              </w:rPr>
            </w:pPr>
            <w:r w:rsidRPr="00C65707">
              <w:rPr>
                <w:rFonts w:eastAsia="SimSun"/>
                <w:b/>
                <w:sz w:val="22"/>
                <w:szCs w:val="22"/>
                <w:lang w:eastAsia="zh-CN"/>
              </w:rPr>
              <w:t>Placebo + 52</w:t>
            </w:r>
            <w:r w:rsidRPr="00C65707">
              <w:rPr>
                <w:rFonts w:eastAsia="SimSun"/>
                <w:b/>
                <w:sz w:val="22"/>
                <w:szCs w:val="22"/>
                <w:lang w:eastAsia="zh-CN"/>
              </w:rPr>
              <w:noBreakHyphen/>
              <w:t>nedjeljni režim postupnog smanjenja doze prednizona</w:t>
            </w:r>
          </w:p>
          <w:p w14:paraId="2785165D" w14:textId="77777777" w:rsidR="00CC2B31" w:rsidRPr="00C65707" w:rsidRDefault="00CC2B31" w:rsidP="00CE5678">
            <w:pPr>
              <w:widowControl w:val="0"/>
              <w:jc w:val="both"/>
              <w:rPr>
                <w:rFonts w:eastAsia="SimSun"/>
                <w:b/>
                <w:sz w:val="22"/>
                <w:szCs w:val="22"/>
                <w:lang w:eastAsia="zh-CN"/>
              </w:rPr>
            </w:pPr>
            <w:r w:rsidRPr="00C65707">
              <w:rPr>
                <w:rFonts w:eastAsia="SimSun"/>
                <w:b/>
                <w:sz w:val="22"/>
                <w:szCs w:val="22"/>
                <w:lang w:eastAsia="zh-CN"/>
              </w:rPr>
              <w:t>N=51</w:t>
            </w:r>
          </w:p>
        </w:tc>
        <w:tc>
          <w:tcPr>
            <w:tcW w:w="828" w:type="pct"/>
            <w:tcBorders>
              <w:top w:val="single" w:sz="8" w:space="0" w:color="auto"/>
              <w:left w:val="nil"/>
              <w:bottom w:val="single" w:sz="8" w:space="0" w:color="auto"/>
              <w:right w:val="nil"/>
            </w:tcBorders>
          </w:tcPr>
          <w:p w14:paraId="37B7C0BB" w14:textId="46D1B573" w:rsidR="00CC2B31" w:rsidRPr="00C65707" w:rsidRDefault="008F510E" w:rsidP="00CE5678">
            <w:pPr>
              <w:widowControl w:val="0"/>
              <w:jc w:val="both"/>
              <w:rPr>
                <w:rFonts w:eastAsia="SimSun"/>
                <w:b/>
                <w:sz w:val="22"/>
                <w:szCs w:val="22"/>
                <w:lang w:eastAsia="zh-CN"/>
              </w:rPr>
            </w:pPr>
            <w:r w:rsidRPr="00C65707">
              <w:rPr>
                <w:rFonts w:eastAsia="SimSun"/>
                <w:b/>
                <w:sz w:val="22"/>
                <w:szCs w:val="22"/>
                <w:lang w:eastAsia="zh-CN"/>
              </w:rPr>
              <w:t>Tocilizumab</w:t>
            </w:r>
            <w:r w:rsidRPr="00C65707">
              <w:rPr>
                <w:rFonts w:eastAsia="SimSun"/>
                <w:b/>
                <w:sz w:val="22"/>
                <w:szCs w:val="22"/>
                <w:lang w:eastAsia="zh-CN"/>
              </w:rPr>
              <w:br/>
            </w:r>
            <w:r w:rsidR="00CC2B31" w:rsidRPr="00C65707">
              <w:rPr>
                <w:rFonts w:eastAsia="SimSun"/>
                <w:b/>
                <w:sz w:val="22"/>
                <w:szCs w:val="22"/>
                <w:lang w:eastAsia="zh-CN"/>
              </w:rPr>
              <w:t xml:space="preserve"> 162 mg s.c. svaku nedjelju + 26</w:t>
            </w:r>
            <w:r w:rsidR="00CC2B31" w:rsidRPr="00C65707">
              <w:rPr>
                <w:rFonts w:eastAsia="SimSun"/>
                <w:b/>
                <w:sz w:val="22"/>
                <w:szCs w:val="22"/>
                <w:lang w:eastAsia="zh-CN"/>
              </w:rPr>
              <w:noBreakHyphen/>
              <w:t>nedjeljni režim postupnog smanjenja doze prednizona</w:t>
            </w:r>
          </w:p>
          <w:p w14:paraId="1F69A2B2" w14:textId="77777777" w:rsidR="00CC2B31" w:rsidRPr="00C65707" w:rsidRDefault="00CC2B31" w:rsidP="00CE5678">
            <w:pPr>
              <w:widowControl w:val="0"/>
              <w:jc w:val="both"/>
              <w:rPr>
                <w:rFonts w:eastAsia="SimSun"/>
                <w:b/>
                <w:sz w:val="22"/>
                <w:szCs w:val="22"/>
                <w:lang w:eastAsia="zh-CN"/>
              </w:rPr>
            </w:pPr>
            <w:r w:rsidRPr="00C65707">
              <w:rPr>
                <w:rFonts w:eastAsia="SimSun"/>
                <w:b/>
                <w:sz w:val="22"/>
                <w:szCs w:val="22"/>
                <w:lang w:eastAsia="zh-CN"/>
              </w:rPr>
              <w:t>N=100</w:t>
            </w:r>
          </w:p>
        </w:tc>
        <w:tc>
          <w:tcPr>
            <w:tcW w:w="827" w:type="pct"/>
            <w:tcBorders>
              <w:top w:val="single" w:sz="8" w:space="0" w:color="auto"/>
              <w:left w:val="nil"/>
              <w:bottom w:val="single" w:sz="8" w:space="0" w:color="auto"/>
              <w:right w:val="single" w:sz="8" w:space="0" w:color="auto"/>
            </w:tcBorders>
            <w:tcMar>
              <w:top w:w="0" w:type="dxa"/>
              <w:left w:w="57" w:type="dxa"/>
              <w:bottom w:w="0" w:type="dxa"/>
              <w:right w:w="57" w:type="dxa"/>
            </w:tcMar>
          </w:tcPr>
          <w:p w14:paraId="32935B8F" w14:textId="762AD08B" w:rsidR="00CC2B31" w:rsidRPr="00C65707" w:rsidRDefault="008F510E" w:rsidP="00CE5678">
            <w:pPr>
              <w:widowControl w:val="0"/>
              <w:jc w:val="both"/>
              <w:rPr>
                <w:rFonts w:eastAsia="SimSun"/>
                <w:b/>
                <w:sz w:val="22"/>
                <w:szCs w:val="22"/>
                <w:lang w:eastAsia="zh-CN"/>
              </w:rPr>
            </w:pPr>
            <w:r w:rsidRPr="00C65707">
              <w:rPr>
                <w:rFonts w:eastAsia="SimSun"/>
                <w:b/>
                <w:sz w:val="22"/>
                <w:szCs w:val="22"/>
                <w:lang w:eastAsia="zh-CN"/>
              </w:rPr>
              <w:t xml:space="preserve">Tocilizumab </w:t>
            </w:r>
            <w:r w:rsidR="00CC2B31" w:rsidRPr="00C65707">
              <w:rPr>
                <w:rFonts w:eastAsia="SimSun"/>
                <w:b/>
                <w:sz w:val="22"/>
                <w:szCs w:val="22"/>
                <w:lang w:eastAsia="zh-CN"/>
              </w:rPr>
              <w:t>162 mg s.c. svaku drugu nedjelju + 26</w:t>
            </w:r>
            <w:r w:rsidR="00CC2B31" w:rsidRPr="00C65707">
              <w:rPr>
                <w:rFonts w:eastAsia="SimSun"/>
                <w:b/>
                <w:sz w:val="22"/>
                <w:szCs w:val="22"/>
                <w:lang w:eastAsia="zh-CN"/>
              </w:rPr>
              <w:noBreakHyphen/>
              <w:t>nedjeljni režim postupnog smanjenja doze prednizona</w:t>
            </w:r>
          </w:p>
          <w:p w14:paraId="5A2C4F12" w14:textId="77777777" w:rsidR="00CC2B31" w:rsidRPr="00C65707" w:rsidRDefault="00CC2B31" w:rsidP="00CE5678">
            <w:pPr>
              <w:widowControl w:val="0"/>
              <w:jc w:val="both"/>
              <w:rPr>
                <w:rFonts w:eastAsia="SimSun"/>
                <w:b/>
                <w:sz w:val="22"/>
                <w:szCs w:val="22"/>
                <w:lang w:eastAsia="zh-CN"/>
              </w:rPr>
            </w:pPr>
            <w:r w:rsidRPr="00C65707">
              <w:rPr>
                <w:rFonts w:eastAsia="SimSun"/>
                <w:b/>
                <w:sz w:val="22"/>
                <w:szCs w:val="22"/>
                <w:lang w:eastAsia="zh-CN"/>
              </w:rPr>
              <w:t>N=49</w:t>
            </w:r>
          </w:p>
        </w:tc>
      </w:tr>
      <w:tr w:rsidR="00CC2B31" w:rsidRPr="00C65707" w14:paraId="69A278CF" w14:textId="77777777" w:rsidTr="0093644B">
        <w:tc>
          <w:tcPr>
            <w:tcW w:w="5000" w:type="pct"/>
            <w:gridSpan w:val="7"/>
            <w:tcBorders>
              <w:left w:val="single" w:sz="4" w:space="0" w:color="auto"/>
              <w:right w:val="single" w:sz="8" w:space="0" w:color="auto"/>
            </w:tcBorders>
          </w:tcPr>
          <w:p w14:paraId="331938BD" w14:textId="77777777" w:rsidR="00CC2B31" w:rsidRPr="00C65707" w:rsidRDefault="00CC2B31" w:rsidP="00CE5678">
            <w:pPr>
              <w:widowControl w:val="0"/>
              <w:jc w:val="both"/>
              <w:rPr>
                <w:rFonts w:eastAsia="SimSun"/>
                <w:b/>
                <w:sz w:val="22"/>
                <w:szCs w:val="22"/>
                <w:lang w:eastAsia="zh-CN"/>
              </w:rPr>
            </w:pPr>
            <w:r w:rsidRPr="00C65707">
              <w:rPr>
                <w:rFonts w:eastAsia="SimSun"/>
                <w:b/>
                <w:sz w:val="22"/>
                <w:szCs w:val="22"/>
                <w:lang w:eastAsia="zh-CN"/>
              </w:rPr>
              <w:t xml:space="preserve"> Primarna mjera ishoda</w:t>
            </w:r>
          </w:p>
        </w:tc>
      </w:tr>
      <w:tr w:rsidR="00CC2B31" w:rsidRPr="00C65707" w14:paraId="074EBDA3" w14:textId="77777777" w:rsidTr="0093644B">
        <w:trPr>
          <w:gridAfter w:val="1"/>
        </w:trPr>
        <w:tc>
          <w:tcPr>
            <w:tcW w:w="3342" w:type="pct"/>
            <w:gridSpan w:val="4"/>
            <w:tcBorders>
              <w:top w:val="single" w:sz="4" w:space="0" w:color="auto"/>
              <w:left w:val="single" w:sz="4" w:space="0" w:color="auto"/>
            </w:tcBorders>
            <w:tcMar>
              <w:top w:w="0" w:type="dxa"/>
              <w:left w:w="57" w:type="dxa"/>
              <w:bottom w:w="0" w:type="dxa"/>
              <w:right w:w="57" w:type="dxa"/>
            </w:tcMar>
          </w:tcPr>
          <w:p w14:paraId="19018859"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 xml:space="preserve">****Održana remisija (grupe liječene tocilizumabom naspram placeba+26)                       </w:t>
            </w:r>
          </w:p>
        </w:tc>
        <w:tc>
          <w:tcPr>
            <w:tcW w:w="828" w:type="pct"/>
            <w:tcBorders>
              <w:top w:val="single" w:sz="4" w:space="0" w:color="auto"/>
              <w:left w:val="nil"/>
              <w:right w:val="nil"/>
            </w:tcBorders>
          </w:tcPr>
          <w:p w14:paraId="6AD88E6E" w14:textId="77777777" w:rsidR="00CC2B31" w:rsidRPr="002B3647" w:rsidRDefault="00CC2B31" w:rsidP="00CE5678">
            <w:pPr>
              <w:widowControl w:val="0"/>
              <w:jc w:val="both"/>
              <w:rPr>
                <w:rFonts w:eastAsia="SimSun"/>
                <w:strike/>
                <w:sz w:val="22"/>
                <w:szCs w:val="22"/>
                <w:lang w:eastAsia="zh-CN"/>
              </w:rPr>
            </w:pPr>
          </w:p>
        </w:tc>
        <w:tc>
          <w:tcPr>
            <w:tcW w:w="827" w:type="pct"/>
            <w:tcBorders>
              <w:top w:val="single" w:sz="4" w:space="0" w:color="auto"/>
              <w:left w:val="nil"/>
              <w:right w:val="single" w:sz="8" w:space="0" w:color="auto"/>
            </w:tcBorders>
            <w:tcMar>
              <w:top w:w="0" w:type="dxa"/>
              <w:left w:w="57" w:type="dxa"/>
              <w:bottom w:w="0" w:type="dxa"/>
              <w:right w:w="57" w:type="dxa"/>
            </w:tcMar>
          </w:tcPr>
          <w:p w14:paraId="10DCF279" w14:textId="77777777" w:rsidR="00CC2B31" w:rsidRPr="00C65707" w:rsidRDefault="00CC2B31" w:rsidP="00CE5678">
            <w:pPr>
              <w:widowControl w:val="0"/>
              <w:jc w:val="both"/>
              <w:rPr>
                <w:rFonts w:eastAsia="SimSun"/>
                <w:strike/>
                <w:sz w:val="22"/>
                <w:szCs w:val="22"/>
                <w:lang w:eastAsia="zh-CN"/>
              </w:rPr>
            </w:pPr>
          </w:p>
        </w:tc>
      </w:tr>
      <w:tr w:rsidR="00CC2B31" w:rsidRPr="00C65707" w14:paraId="40133695" w14:textId="77777777" w:rsidTr="0093644B">
        <w:trPr>
          <w:gridAfter w:val="1"/>
        </w:trPr>
        <w:tc>
          <w:tcPr>
            <w:tcW w:w="1939" w:type="pct"/>
            <w:gridSpan w:val="2"/>
            <w:tcBorders>
              <w:left w:val="single" w:sz="4" w:space="0" w:color="auto"/>
            </w:tcBorders>
            <w:tcMar>
              <w:top w:w="0" w:type="dxa"/>
              <w:left w:w="57" w:type="dxa"/>
              <w:bottom w:w="0" w:type="dxa"/>
              <w:right w:w="57" w:type="dxa"/>
            </w:tcMar>
          </w:tcPr>
          <w:p w14:paraId="72CDDA19" w14:textId="77777777" w:rsidR="00CC2B31" w:rsidRPr="00C65707" w:rsidRDefault="00CC2B31" w:rsidP="00CE5678">
            <w:pPr>
              <w:widowControl w:val="0"/>
              <w:ind w:left="426"/>
              <w:jc w:val="both"/>
              <w:rPr>
                <w:rFonts w:eastAsia="SimSun"/>
                <w:sz w:val="22"/>
                <w:szCs w:val="22"/>
                <w:lang w:eastAsia="zh-CN"/>
              </w:rPr>
            </w:pPr>
            <w:r w:rsidRPr="00C65707">
              <w:rPr>
                <w:rFonts w:eastAsia="SimSun"/>
                <w:sz w:val="22"/>
                <w:szCs w:val="22"/>
                <w:lang w:eastAsia="zh-CN"/>
              </w:rPr>
              <w:t>Pacijenti sa odgovorom u 52. nedjelji, n (%)</w:t>
            </w:r>
          </w:p>
        </w:tc>
        <w:tc>
          <w:tcPr>
            <w:tcW w:w="600" w:type="pct"/>
            <w:tcMar>
              <w:top w:w="0" w:type="dxa"/>
              <w:left w:w="57" w:type="dxa"/>
              <w:bottom w:w="0" w:type="dxa"/>
              <w:right w:w="57" w:type="dxa"/>
            </w:tcMar>
          </w:tcPr>
          <w:p w14:paraId="5E34E0A6" w14:textId="77777777" w:rsidR="00CC2B31" w:rsidRPr="002B3647" w:rsidRDefault="00CC2B31" w:rsidP="00CE5678">
            <w:pPr>
              <w:widowControl w:val="0"/>
              <w:ind w:left="153"/>
              <w:jc w:val="both"/>
              <w:rPr>
                <w:rFonts w:eastAsia="SimSun"/>
                <w:sz w:val="22"/>
                <w:szCs w:val="22"/>
                <w:lang w:eastAsia="zh-CN"/>
              </w:rPr>
            </w:pPr>
            <w:r w:rsidRPr="002B3647">
              <w:rPr>
                <w:rFonts w:eastAsia="SimSun"/>
                <w:sz w:val="22"/>
                <w:szCs w:val="22"/>
                <w:lang w:eastAsia="zh-CN"/>
              </w:rPr>
              <w:t>7 (14%)</w:t>
            </w:r>
          </w:p>
        </w:tc>
        <w:tc>
          <w:tcPr>
            <w:tcW w:w="804" w:type="pct"/>
            <w:tcMar>
              <w:top w:w="0" w:type="dxa"/>
              <w:left w:w="57" w:type="dxa"/>
              <w:bottom w:w="0" w:type="dxa"/>
              <w:right w:w="57" w:type="dxa"/>
            </w:tcMar>
          </w:tcPr>
          <w:p w14:paraId="2D9B2BFA"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9 (17,6%)</w:t>
            </w:r>
          </w:p>
        </w:tc>
        <w:tc>
          <w:tcPr>
            <w:tcW w:w="828" w:type="pct"/>
            <w:tcBorders>
              <w:right w:val="nil"/>
            </w:tcBorders>
          </w:tcPr>
          <w:p w14:paraId="34F2F056"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56 (56%)</w:t>
            </w:r>
          </w:p>
        </w:tc>
        <w:tc>
          <w:tcPr>
            <w:tcW w:w="827" w:type="pct"/>
            <w:tcBorders>
              <w:left w:val="nil"/>
              <w:right w:val="single" w:sz="8" w:space="0" w:color="auto"/>
            </w:tcBorders>
            <w:tcMar>
              <w:top w:w="0" w:type="dxa"/>
              <w:left w:w="57" w:type="dxa"/>
              <w:bottom w:w="0" w:type="dxa"/>
              <w:right w:w="57" w:type="dxa"/>
            </w:tcMar>
          </w:tcPr>
          <w:p w14:paraId="66FAD6E6"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26 (53,1%)</w:t>
            </w:r>
          </w:p>
        </w:tc>
      </w:tr>
      <w:tr w:rsidR="00CC2B31" w:rsidRPr="00C65707" w14:paraId="0518D08B" w14:textId="77777777" w:rsidTr="0093644B">
        <w:trPr>
          <w:gridAfter w:val="1"/>
        </w:trPr>
        <w:tc>
          <w:tcPr>
            <w:tcW w:w="1939" w:type="pct"/>
            <w:gridSpan w:val="2"/>
            <w:tcBorders>
              <w:left w:val="single" w:sz="4" w:space="0" w:color="auto"/>
              <w:bottom w:val="single" w:sz="4" w:space="0" w:color="auto"/>
            </w:tcBorders>
            <w:tcMar>
              <w:top w:w="0" w:type="dxa"/>
              <w:left w:w="57" w:type="dxa"/>
              <w:bottom w:w="0" w:type="dxa"/>
              <w:right w:w="57" w:type="dxa"/>
            </w:tcMar>
          </w:tcPr>
          <w:p w14:paraId="3C21C3BA" w14:textId="77777777" w:rsidR="00CC2B31" w:rsidRPr="00C65707" w:rsidRDefault="00CC2B31" w:rsidP="00CE5678">
            <w:pPr>
              <w:widowControl w:val="0"/>
              <w:ind w:left="426"/>
              <w:jc w:val="both"/>
              <w:rPr>
                <w:rFonts w:eastAsia="SimSun"/>
                <w:sz w:val="22"/>
                <w:szCs w:val="22"/>
                <w:lang w:eastAsia="zh-CN"/>
              </w:rPr>
            </w:pPr>
            <w:r w:rsidRPr="00C65707">
              <w:rPr>
                <w:rFonts w:eastAsia="SimSun"/>
                <w:sz w:val="22"/>
                <w:szCs w:val="22"/>
                <w:lang w:eastAsia="zh-CN"/>
              </w:rPr>
              <w:t>Neprilagođena razlika između udjela</w:t>
            </w:r>
          </w:p>
          <w:p w14:paraId="765E88FD" w14:textId="77777777" w:rsidR="00CC2B31" w:rsidRPr="002B3647" w:rsidRDefault="00CC2B31" w:rsidP="00CE5678">
            <w:pPr>
              <w:widowControl w:val="0"/>
              <w:ind w:left="426"/>
              <w:jc w:val="both"/>
              <w:rPr>
                <w:rFonts w:eastAsia="SimSun"/>
                <w:sz w:val="22"/>
                <w:szCs w:val="22"/>
                <w:lang w:eastAsia="zh-CN"/>
              </w:rPr>
            </w:pPr>
            <w:r w:rsidRPr="002B3647">
              <w:rPr>
                <w:rFonts w:eastAsia="SimSun"/>
                <w:sz w:val="22"/>
                <w:szCs w:val="22"/>
                <w:lang w:eastAsia="zh-CN"/>
              </w:rPr>
              <w:t>(99,5% CI)</w:t>
            </w:r>
          </w:p>
        </w:tc>
        <w:tc>
          <w:tcPr>
            <w:tcW w:w="600" w:type="pct"/>
            <w:tcBorders>
              <w:bottom w:val="single" w:sz="4" w:space="0" w:color="auto"/>
            </w:tcBorders>
            <w:tcMar>
              <w:top w:w="0" w:type="dxa"/>
              <w:left w:w="57" w:type="dxa"/>
              <w:bottom w:w="0" w:type="dxa"/>
              <w:right w:w="57" w:type="dxa"/>
            </w:tcMar>
          </w:tcPr>
          <w:p w14:paraId="23BA4A9F" w14:textId="77777777" w:rsidR="00CC2B31" w:rsidRPr="00C65707" w:rsidRDefault="00CC2B31" w:rsidP="00CE5678">
            <w:pPr>
              <w:widowControl w:val="0"/>
              <w:ind w:left="153"/>
              <w:jc w:val="both"/>
              <w:rPr>
                <w:rFonts w:eastAsia="SimSun"/>
                <w:sz w:val="22"/>
                <w:szCs w:val="22"/>
                <w:lang w:eastAsia="zh-CN"/>
              </w:rPr>
            </w:pPr>
            <w:r w:rsidRPr="00C65707">
              <w:rPr>
                <w:rFonts w:eastAsia="SimSun"/>
                <w:sz w:val="22"/>
                <w:szCs w:val="22"/>
                <w:lang w:eastAsia="zh-CN"/>
              </w:rPr>
              <w:t>N/P</w:t>
            </w:r>
          </w:p>
        </w:tc>
        <w:tc>
          <w:tcPr>
            <w:tcW w:w="804" w:type="pct"/>
            <w:tcBorders>
              <w:bottom w:val="single" w:sz="4" w:space="0" w:color="auto"/>
            </w:tcBorders>
            <w:tcMar>
              <w:top w:w="0" w:type="dxa"/>
              <w:left w:w="57" w:type="dxa"/>
              <w:bottom w:w="0" w:type="dxa"/>
              <w:right w:w="57" w:type="dxa"/>
            </w:tcMar>
          </w:tcPr>
          <w:p w14:paraId="3CCD8137"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N/P</w:t>
            </w:r>
          </w:p>
        </w:tc>
        <w:tc>
          <w:tcPr>
            <w:tcW w:w="828" w:type="pct"/>
            <w:tcBorders>
              <w:bottom w:val="single" w:sz="4" w:space="0" w:color="auto"/>
              <w:right w:val="nil"/>
            </w:tcBorders>
          </w:tcPr>
          <w:p w14:paraId="32E2F173"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42%*</w:t>
            </w:r>
          </w:p>
          <w:p w14:paraId="475593C8"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(18,00; 66,00)</w:t>
            </w:r>
          </w:p>
        </w:tc>
        <w:tc>
          <w:tcPr>
            <w:tcW w:w="827" w:type="pct"/>
            <w:tcBorders>
              <w:left w:val="nil"/>
              <w:bottom w:val="single" w:sz="4" w:space="0" w:color="auto"/>
              <w:right w:val="single" w:sz="8" w:space="0" w:color="auto"/>
            </w:tcBorders>
            <w:tcMar>
              <w:top w:w="0" w:type="dxa"/>
              <w:left w:w="57" w:type="dxa"/>
              <w:bottom w:w="0" w:type="dxa"/>
              <w:right w:w="57" w:type="dxa"/>
            </w:tcMar>
          </w:tcPr>
          <w:p w14:paraId="391332AD"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39,06%*</w:t>
            </w:r>
          </w:p>
          <w:p w14:paraId="308BFA94"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(12,46; 65,66)</w:t>
            </w:r>
          </w:p>
        </w:tc>
      </w:tr>
      <w:tr w:rsidR="00CC2B31" w:rsidRPr="00C65707" w14:paraId="715BC9CD" w14:textId="77777777" w:rsidTr="0093644B">
        <w:tc>
          <w:tcPr>
            <w:tcW w:w="5000" w:type="pct"/>
            <w:gridSpan w:val="7"/>
            <w:tcBorders>
              <w:top w:val="single" w:sz="4" w:space="0" w:color="auto"/>
              <w:left w:val="single" w:sz="4" w:space="0" w:color="auto"/>
              <w:bottom w:val="single" w:sz="4" w:space="0" w:color="auto"/>
              <w:right w:val="single" w:sz="8" w:space="0" w:color="auto"/>
            </w:tcBorders>
          </w:tcPr>
          <w:p w14:paraId="240510A2" w14:textId="77777777" w:rsidR="00CC2B31" w:rsidRPr="00C65707" w:rsidRDefault="00CC2B31" w:rsidP="00CE5678">
            <w:pPr>
              <w:widowControl w:val="0"/>
              <w:jc w:val="both"/>
              <w:rPr>
                <w:rFonts w:eastAsia="SimSun"/>
                <w:b/>
                <w:sz w:val="22"/>
                <w:szCs w:val="22"/>
                <w:lang w:eastAsia="zh-CN"/>
              </w:rPr>
            </w:pPr>
            <w:r w:rsidRPr="00C65707">
              <w:rPr>
                <w:rFonts w:eastAsia="SimSun"/>
                <w:b/>
                <w:sz w:val="22"/>
                <w:szCs w:val="22"/>
                <w:lang w:eastAsia="zh-CN"/>
              </w:rPr>
              <w:t xml:space="preserve"> Ključna sekundarna mjera ishoda</w:t>
            </w:r>
            <w:r w:rsidRPr="00C65707">
              <w:rPr>
                <w:rFonts w:eastAsia="SimSun"/>
                <w:sz w:val="22"/>
                <w:szCs w:val="22"/>
                <w:lang w:eastAsia="zh-CN"/>
              </w:rPr>
              <w:t xml:space="preserve"> </w:t>
            </w:r>
          </w:p>
        </w:tc>
      </w:tr>
      <w:tr w:rsidR="00CC2B31" w:rsidRPr="00C65707" w14:paraId="2F0CCF96" w14:textId="77777777" w:rsidTr="0093644B">
        <w:trPr>
          <w:gridAfter w:val="1"/>
        </w:trPr>
        <w:tc>
          <w:tcPr>
            <w:tcW w:w="3342" w:type="pct"/>
            <w:gridSpan w:val="4"/>
            <w:tcBorders>
              <w:top w:val="single" w:sz="4" w:space="0" w:color="auto"/>
              <w:left w:val="single" w:sz="4" w:space="0" w:color="auto"/>
            </w:tcBorders>
            <w:tcMar>
              <w:top w:w="0" w:type="dxa"/>
              <w:left w:w="57" w:type="dxa"/>
              <w:bottom w:w="0" w:type="dxa"/>
              <w:right w:w="57" w:type="dxa"/>
            </w:tcMar>
          </w:tcPr>
          <w:p w14:paraId="6959AB17"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 xml:space="preserve">Održana remisija (grupe liječene tocilizumabom naspram placeba+52)                       </w:t>
            </w:r>
          </w:p>
        </w:tc>
        <w:tc>
          <w:tcPr>
            <w:tcW w:w="828" w:type="pct"/>
            <w:tcBorders>
              <w:top w:val="single" w:sz="4" w:space="0" w:color="auto"/>
              <w:left w:val="nil"/>
              <w:right w:val="nil"/>
            </w:tcBorders>
          </w:tcPr>
          <w:p w14:paraId="300587AB" w14:textId="77777777" w:rsidR="00CC2B31" w:rsidRPr="002B3647" w:rsidRDefault="00CC2B31" w:rsidP="00CE5678">
            <w:pPr>
              <w:widowControl w:val="0"/>
              <w:jc w:val="both"/>
              <w:rPr>
                <w:rFonts w:eastAsia="SimSun"/>
                <w:sz w:val="22"/>
                <w:szCs w:val="22"/>
                <w:lang w:eastAsia="zh-CN"/>
              </w:rPr>
            </w:pPr>
          </w:p>
        </w:tc>
        <w:tc>
          <w:tcPr>
            <w:tcW w:w="827" w:type="pct"/>
            <w:tcBorders>
              <w:top w:val="single" w:sz="4" w:space="0" w:color="auto"/>
              <w:left w:val="nil"/>
              <w:right w:val="single" w:sz="8" w:space="0" w:color="auto"/>
            </w:tcBorders>
            <w:tcMar>
              <w:top w:w="0" w:type="dxa"/>
              <w:left w:w="57" w:type="dxa"/>
              <w:bottom w:w="0" w:type="dxa"/>
              <w:right w:w="57" w:type="dxa"/>
            </w:tcMar>
          </w:tcPr>
          <w:p w14:paraId="5F327DB1" w14:textId="77777777" w:rsidR="00CC2B31" w:rsidRPr="00C65707" w:rsidRDefault="00CC2B31" w:rsidP="00CE5678">
            <w:pPr>
              <w:widowControl w:val="0"/>
              <w:jc w:val="both"/>
              <w:rPr>
                <w:rFonts w:eastAsia="SimSun"/>
                <w:sz w:val="22"/>
                <w:szCs w:val="22"/>
                <w:lang w:eastAsia="zh-CN"/>
              </w:rPr>
            </w:pPr>
          </w:p>
        </w:tc>
      </w:tr>
      <w:tr w:rsidR="00CC2B31" w:rsidRPr="00C65707" w14:paraId="302C7A0C" w14:textId="77777777" w:rsidTr="0093644B">
        <w:trPr>
          <w:gridAfter w:val="1"/>
        </w:trPr>
        <w:tc>
          <w:tcPr>
            <w:tcW w:w="1939" w:type="pct"/>
            <w:gridSpan w:val="2"/>
            <w:tcBorders>
              <w:left w:val="single" w:sz="4" w:space="0" w:color="auto"/>
            </w:tcBorders>
            <w:tcMar>
              <w:top w:w="0" w:type="dxa"/>
              <w:left w:w="57" w:type="dxa"/>
              <w:bottom w:w="0" w:type="dxa"/>
              <w:right w:w="57" w:type="dxa"/>
            </w:tcMar>
          </w:tcPr>
          <w:p w14:paraId="198470A1" w14:textId="77777777" w:rsidR="00CC2B31" w:rsidRPr="00C65707" w:rsidRDefault="00CC2B31" w:rsidP="00CE5678">
            <w:pPr>
              <w:widowControl w:val="0"/>
              <w:ind w:left="426"/>
              <w:jc w:val="both"/>
              <w:rPr>
                <w:rFonts w:eastAsia="SimSun"/>
                <w:sz w:val="22"/>
                <w:szCs w:val="22"/>
                <w:lang w:eastAsia="zh-CN"/>
              </w:rPr>
            </w:pPr>
            <w:r w:rsidRPr="00C65707">
              <w:rPr>
                <w:rFonts w:eastAsia="SimSun"/>
                <w:sz w:val="22"/>
                <w:szCs w:val="22"/>
                <w:lang w:eastAsia="zh-CN"/>
              </w:rPr>
              <w:t>Pacijenti sa odgovorom u 52. nedjelji, n (%)</w:t>
            </w:r>
          </w:p>
        </w:tc>
        <w:tc>
          <w:tcPr>
            <w:tcW w:w="600" w:type="pct"/>
            <w:tcMar>
              <w:top w:w="0" w:type="dxa"/>
              <w:left w:w="57" w:type="dxa"/>
              <w:bottom w:w="0" w:type="dxa"/>
              <w:right w:w="57" w:type="dxa"/>
            </w:tcMar>
          </w:tcPr>
          <w:p w14:paraId="08E1A0BD" w14:textId="77777777" w:rsidR="00CC2B31" w:rsidRPr="002B3647" w:rsidRDefault="00CC2B31" w:rsidP="00CE5678">
            <w:pPr>
              <w:widowControl w:val="0"/>
              <w:jc w:val="both"/>
              <w:rPr>
                <w:rFonts w:eastAsia="SimSun"/>
                <w:sz w:val="22"/>
                <w:szCs w:val="22"/>
                <w:lang w:eastAsia="zh-CN"/>
              </w:rPr>
            </w:pPr>
            <w:r w:rsidRPr="002B3647">
              <w:rPr>
                <w:rFonts w:eastAsia="SimSun"/>
                <w:sz w:val="22"/>
                <w:szCs w:val="22"/>
                <w:lang w:eastAsia="zh-CN"/>
              </w:rPr>
              <w:t>7 (14%)</w:t>
            </w:r>
          </w:p>
        </w:tc>
        <w:tc>
          <w:tcPr>
            <w:tcW w:w="804" w:type="pct"/>
            <w:tcMar>
              <w:top w:w="0" w:type="dxa"/>
              <w:left w:w="57" w:type="dxa"/>
              <w:bottom w:w="0" w:type="dxa"/>
              <w:right w:w="57" w:type="dxa"/>
            </w:tcMar>
          </w:tcPr>
          <w:p w14:paraId="52E03ABE"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9 (17,6%)</w:t>
            </w:r>
          </w:p>
        </w:tc>
        <w:tc>
          <w:tcPr>
            <w:tcW w:w="828" w:type="pct"/>
            <w:tcBorders>
              <w:right w:val="nil"/>
            </w:tcBorders>
          </w:tcPr>
          <w:p w14:paraId="7F3A5AD2"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56 (56%)</w:t>
            </w:r>
          </w:p>
        </w:tc>
        <w:tc>
          <w:tcPr>
            <w:tcW w:w="827" w:type="pct"/>
            <w:tcBorders>
              <w:left w:val="nil"/>
              <w:right w:val="single" w:sz="4" w:space="0" w:color="auto"/>
            </w:tcBorders>
            <w:tcMar>
              <w:top w:w="0" w:type="dxa"/>
              <w:left w:w="57" w:type="dxa"/>
              <w:bottom w:w="0" w:type="dxa"/>
              <w:right w:w="57" w:type="dxa"/>
            </w:tcMar>
          </w:tcPr>
          <w:p w14:paraId="7CBB1549"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26 (53,1%)</w:t>
            </w:r>
          </w:p>
        </w:tc>
      </w:tr>
      <w:tr w:rsidR="00CC2B31" w:rsidRPr="00C65707" w14:paraId="3E26D394" w14:textId="77777777" w:rsidTr="0093644B">
        <w:trPr>
          <w:gridAfter w:val="1"/>
        </w:trPr>
        <w:tc>
          <w:tcPr>
            <w:tcW w:w="1939" w:type="pct"/>
            <w:gridSpan w:val="2"/>
            <w:tcBorders>
              <w:left w:val="single" w:sz="4" w:space="0" w:color="auto"/>
              <w:bottom w:val="single" w:sz="4" w:space="0" w:color="auto"/>
            </w:tcBorders>
            <w:tcMar>
              <w:top w:w="0" w:type="dxa"/>
              <w:left w:w="57" w:type="dxa"/>
              <w:bottom w:w="0" w:type="dxa"/>
              <w:right w:w="57" w:type="dxa"/>
            </w:tcMar>
          </w:tcPr>
          <w:p w14:paraId="3552E0D2" w14:textId="77777777" w:rsidR="00CC2B31" w:rsidRPr="00C65707" w:rsidRDefault="00CC2B31" w:rsidP="00CE5678">
            <w:pPr>
              <w:widowControl w:val="0"/>
              <w:ind w:left="426"/>
              <w:jc w:val="both"/>
              <w:rPr>
                <w:rFonts w:eastAsia="SimSun"/>
                <w:sz w:val="22"/>
                <w:szCs w:val="22"/>
                <w:lang w:eastAsia="zh-CN"/>
              </w:rPr>
            </w:pPr>
            <w:r w:rsidRPr="00C65707">
              <w:rPr>
                <w:rFonts w:eastAsia="SimSun"/>
                <w:sz w:val="22"/>
                <w:szCs w:val="22"/>
                <w:lang w:eastAsia="zh-CN"/>
              </w:rPr>
              <w:t>Neprilagođena razlika između udjela</w:t>
            </w:r>
          </w:p>
          <w:p w14:paraId="4787B68C" w14:textId="77777777" w:rsidR="00CC2B31" w:rsidRPr="002B3647" w:rsidRDefault="00CC2B31" w:rsidP="00CE5678">
            <w:pPr>
              <w:widowControl w:val="0"/>
              <w:ind w:left="426"/>
              <w:jc w:val="both"/>
              <w:rPr>
                <w:rFonts w:eastAsia="SimSun"/>
                <w:sz w:val="22"/>
                <w:szCs w:val="22"/>
                <w:lang w:eastAsia="zh-CN"/>
              </w:rPr>
            </w:pPr>
            <w:r w:rsidRPr="002B3647">
              <w:rPr>
                <w:rFonts w:eastAsia="SimSun"/>
                <w:sz w:val="22"/>
                <w:szCs w:val="22"/>
                <w:lang w:eastAsia="zh-CN"/>
              </w:rPr>
              <w:t>(99,5% CI)</w:t>
            </w:r>
          </w:p>
        </w:tc>
        <w:tc>
          <w:tcPr>
            <w:tcW w:w="600" w:type="pct"/>
            <w:tcBorders>
              <w:bottom w:val="single" w:sz="4" w:space="0" w:color="auto"/>
            </w:tcBorders>
            <w:tcMar>
              <w:top w:w="0" w:type="dxa"/>
              <w:left w:w="57" w:type="dxa"/>
              <w:bottom w:w="0" w:type="dxa"/>
              <w:right w:w="57" w:type="dxa"/>
            </w:tcMar>
          </w:tcPr>
          <w:p w14:paraId="3C730608"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N/P</w:t>
            </w:r>
          </w:p>
        </w:tc>
        <w:tc>
          <w:tcPr>
            <w:tcW w:w="804" w:type="pct"/>
            <w:tcBorders>
              <w:bottom w:val="single" w:sz="4" w:space="0" w:color="auto"/>
            </w:tcBorders>
            <w:tcMar>
              <w:top w:w="0" w:type="dxa"/>
              <w:left w:w="57" w:type="dxa"/>
              <w:bottom w:w="0" w:type="dxa"/>
              <w:right w:w="57" w:type="dxa"/>
            </w:tcMar>
          </w:tcPr>
          <w:p w14:paraId="23BB2D56" w14:textId="77777777" w:rsidR="00CC2B31" w:rsidRPr="00C65707" w:rsidDel="00CA004A" w:rsidRDefault="00CC2B31" w:rsidP="00CE5678">
            <w:pPr>
              <w:widowControl w:val="0"/>
              <w:jc w:val="both"/>
              <w:rPr>
                <w:rFonts w:eastAsia="SimSun"/>
                <w:sz w:val="22"/>
                <w:szCs w:val="22"/>
                <w:lang w:eastAsia="zh-CN"/>
              </w:rPr>
            </w:pPr>
            <w:r w:rsidRPr="00C65707">
              <w:rPr>
                <w:rFonts w:eastAsia="SimSun"/>
                <w:sz w:val="22"/>
                <w:szCs w:val="22"/>
                <w:lang w:eastAsia="zh-CN"/>
              </w:rPr>
              <w:t>N/P</w:t>
            </w:r>
          </w:p>
        </w:tc>
        <w:tc>
          <w:tcPr>
            <w:tcW w:w="828" w:type="pct"/>
            <w:tcBorders>
              <w:bottom w:val="single" w:sz="4" w:space="0" w:color="auto"/>
              <w:right w:val="nil"/>
            </w:tcBorders>
          </w:tcPr>
          <w:p w14:paraId="5EC6FA35"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38,35%*</w:t>
            </w:r>
          </w:p>
          <w:p w14:paraId="1279A56A" w14:textId="77777777" w:rsidR="00CC2B31" w:rsidRPr="00C65707" w:rsidDel="00CA004A" w:rsidRDefault="00CC2B31" w:rsidP="00CE5678">
            <w:pPr>
              <w:widowControl w:val="0"/>
              <w:jc w:val="both"/>
              <w:rPr>
                <w:rFonts w:eastAsia="SimSun"/>
                <w:sz w:val="22"/>
                <w:szCs w:val="22"/>
                <w:lang w:eastAsia="zh-CN"/>
              </w:rPr>
            </w:pPr>
            <w:r w:rsidRPr="00C65707">
              <w:rPr>
                <w:rFonts w:eastAsia="SimSun"/>
                <w:sz w:val="22"/>
                <w:szCs w:val="22"/>
                <w:lang w:eastAsia="zh-CN"/>
              </w:rPr>
              <w:t>(17,89; 58,81)</w:t>
            </w:r>
          </w:p>
        </w:tc>
        <w:tc>
          <w:tcPr>
            <w:tcW w:w="827" w:type="pct"/>
            <w:tcBorders>
              <w:left w:val="nil"/>
              <w:bottom w:val="single" w:sz="4" w:space="0" w:color="auto"/>
              <w:right w:val="single" w:sz="4" w:space="0" w:color="auto"/>
            </w:tcBorders>
            <w:tcMar>
              <w:top w:w="0" w:type="dxa"/>
              <w:left w:w="57" w:type="dxa"/>
              <w:bottom w:w="0" w:type="dxa"/>
              <w:right w:w="57" w:type="dxa"/>
            </w:tcMar>
          </w:tcPr>
          <w:p w14:paraId="5FCB8509"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35,41%**</w:t>
            </w:r>
          </w:p>
          <w:p w14:paraId="1DBB8695"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(10,41; 60,41)</w:t>
            </w:r>
          </w:p>
        </w:tc>
      </w:tr>
      <w:tr w:rsidR="00CC2B31" w:rsidRPr="00C65707" w14:paraId="6268425E" w14:textId="77777777" w:rsidTr="0093644B">
        <w:trPr>
          <w:gridAfter w:val="1"/>
        </w:trPr>
        <w:tc>
          <w:tcPr>
            <w:tcW w:w="1939" w:type="pct"/>
            <w:gridSpan w:val="2"/>
            <w:tcBorders>
              <w:top w:val="single" w:sz="4" w:space="0" w:color="auto"/>
              <w:left w:val="single" w:sz="4" w:space="0" w:color="auto"/>
              <w:bottom w:val="single" w:sz="4" w:space="0" w:color="auto"/>
            </w:tcBorders>
            <w:tcMar>
              <w:top w:w="0" w:type="dxa"/>
              <w:left w:w="57" w:type="dxa"/>
              <w:bottom w:w="0" w:type="dxa"/>
              <w:right w:w="57" w:type="dxa"/>
            </w:tcMar>
          </w:tcPr>
          <w:p w14:paraId="728F993F" w14:textId="77777777" w:rsidR="00CC2B31" w:rsidRPr="00C65707" w:rsidRDefault="00CC2B31" w:rsidP="00CE5678">
            <w:pPr>
              <w:widowControl w:val="0"/>
              <w:jc w:val="both"/>
              <w:rPr>
                <w:rFonts w:eastAsia="SimSun"/>
                <w:sz w:val="22"/>
                <w:szCs w:val="22"/>
                <w:lang w:eastAsia="zh-CN"/>
              </w:rPr>
            </w:pPr>
            <w:r w:rsidRPr="00C65707">
              <w:rPr>
                <w:rFonts w:eastAsia="SimSun"/>
                <w:b/>
                <w:sz w:val="22"/>
                <w:szCs w:val="22"/>
                <w:lang w:eastAsia="zh-CN"/>
              </w:rPr>
              <w:t>Ostale sekundarne mjere ishoda</w:t>
            </w:r>
          </w:p>
        </w:tc>
        <w:tc>
          <w:tcPr>
            <w:tcW w:w="600" w:type="pct"/>
            <w:tcBorders>
              <w:top w:val="single" w:sz="4" w:space="0" w:color="auto"/>
              <w:bottom w:val="single" w:sz="4" w:space="0" w:color="auto"/>
            </w:tcBorders>
            <w:tcMar>
              <w:top w:w="0" w:type="dxa"/>
              <w:left w:w="57" w:type="dxa"/>
              <w:bottom w:w="0" w:type="dxa"/>
              <w:right w:w="57" w:type="dxa"/>
            </w:tcMar>
          </w:tcPr>
          <w:p w14:paraId="09F706D8" w14:textId="77777777" w:rsidR="00CC2B31" w:rsidRPr="002B3647" w:rsidRDefault="00CC2B31" w:rsidP="00CE5678">
            <w:pPr>
              <w:widowControl w:val="0"/>
              <w:jc w:val="both"/>
              <w:rPr>
                <w:rFonts w:eastAsia="SimSun"/>
                <w:sz w:val="22"/>
                <w:szCs w:val="22"/>
                <w:lang w:eastAsia="zh-CN"/>
              </w:rPr>
            </w:pPr>
          </w:p>
        </w:tc>
        <w:tc>
          <w:tcPr>
            <w:tcW w:w="804" w:type="pct"/>
            <w:tcBorders>
              <w:top w:val="single" w:sz="4" w:space="0" w:color="auto"/>
              <w:bottom w:val="single" w:sz="4" w:space="0" w:color="auto"/>
            </w:tcBorders>
            <w:tcMar>
              <w:top w:w="0" w:type="dxa"/>
              <w:left w:w="57" w:type="dxa"/>
              <w:bottom w:w="0" w:type="dxa"/>
              <w:right w:w="57" w:type="dxa"/>
            </w:tcMar>
          </w:tcPr>
          <w:p w14:paraId="64CE30CF" w14:textId="77777777" w:rsidR="00CC2B31" w:rsidRPr="00C65707" w:rsidRDefault="00CC2B31" w:rsidP="00CE5678">
            <w:pPr>
              <w:widowControl w:val="0"/>
              <w:jc w:val="both"/>
              <w:rPr>
                <w:rFonts w:eastAsia="SimSun"/>
                <w:sz w:val="22"/>
                <w:szCs w:val="22"/>
                <w:lang w:eastAsia="zh-CN"/>
              </w:rPr>
            </w:pPr>
          </w:p>
        </w:tc>
        <w:tc>
          <w:tcPr>
            <w:tcW w:w="828" w:type="pct"/>
            <w:tcBorders>
              <w:top w:val="single" w:sz="4" w:space="0" w:color="auto"/>
              <w:bottom w:val="single" w:sz="4" w:space="0" w:color="auto"/>
              <w:right w:val="nil"/>
            </w:tcBorders>
          </w:tcPr>
          <w:p w14:paraId="553352B5" w14:textId="77777777" w:rsidR="00CC2B31" w:rsidRPr="00C65707" w:rsidRDefault="00CC2B31" w:rsidP="00CE5678">
            <w:pPr>
              <w:widowControl w:val="0"/>
              <w:jc w:val="both"/>
              <w:rPr>
                <w:rFonts w:eastAsia="SimSun"/>
                <w:sz w:val="22"/>
                <w:szCs w:val="22"/>
                <w:lang w:eastAsia="zh-CN"/>
              </w:rPr>
            </w:pPr>
          </w:p>
        </w:tc>
        <w:tc>
          <w:tcPr>
            <w:tcW w:w="827" w:type="pct"/>
            <w:tcBorders>
              <w:top w:val="single" w:sz="4" w:space="0" w:color="auto"/>
              <w:left w:val="nil"/>
              <w:bottom w:val="single" w:sz="4" w:space="0" w:color="auto"/>
              <w:right w:val="single" w:sz="4" w:space="0" w:color="auto"/>
            </w:tcBorders>
            <w:tcMar>
              <w:top w:w="0" w:type="dxa"/>
              <w:left w:w="57" w:type="dxa"/>
              <w:bottom w:w="0" w:type="dxa"/>
              <w:right w:w="57" w:type="dxa"/>
            </w:tcMar>
          </w:tcPr>
          <w:p w14:paraId="2CF8DDF8" w14:textId="77777777" w:rsidR="00CC2B31" w:rsidRPr="00C65707" w:rsidRDefault="00CC2B31" w:rsidP="00CE5678">
            <w:pPr>
              <w:widowControl w:val="0"/>
              <w:jc w:val="both"/>
              <w:rPr>
                <w:rFonts w:eastAsia="SimSun"/>
                <w:sz w:val="22"/>
                <w:szCs w:val="22"/>
                <w:lang w:eastAsia="zh-CN"/>
              </w:rPr>
            </w:pPr>
          </w:p>
        </w:tc>
      </w:tr>
      <w:tr w:rsidR="00CC2B31" w:rsidRPr="00C65707" w14:paraId="33D38223" w14:textId="77777777" w:rsidTr="0093644B">
        <w:trPr>
          <w:gridAfter w:val="1"/>
        </w:trPr>
        <w:tc>
          <w:tcPr>
            <w:tcW w:w="1939" w:type="pct"/>
            <w:gridSpan w:val="2"/>
            <w:tcBorders>
              <w:top w:val="single" w:sz="4" w:space="0" w:color="auto"/>
              <w:left w:val="single" w:sz="4" w:space="0" w:color="auto"/>
            </w:tcBorders>
            <w:tcMar>
              <w:top w:w="0" w:type="dxa"/>
              <w:left w:w="57" w:type="dxa"/>
              <w:bottom w:w="0" w:type="dxa"/>
              <w:right w:w="57" w:type="dxa"/>
            </w:tcMar>
          </w:tcPr>
          <w:p w14:paraId="54C6F0BB"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Vrijeme do prvog razbuktavanja GCA¹ (grupe liječene tocilizumabom naspram placeba+26),               HR (99% CI)</w:t>
            </w:r>
          </w:p>
          <w:p w14:paraId="6F0E14F1" w14:textId="77777777" w:rsidR="00CC2B31" w:rsidRPr="002B3647" w:rsidRDefault="00CC2B31" w:rsidP="00CE5678">
            <w:pPr>
              <w:widowControl w:val="0"/>
              <w:jc w:val="both"/>
              <w:rPr>
                <w:rFonts w:eastAsia="SimSun"/>
                <w:sz w:val="22"/>
                <w:szCs w:val="22"/>
                <w:lang w:eastAsia="zh-CN"/>
              </w:rPr>
            </w:pPr>
            <w:r w:rsidRPr="002B3647">
              <w:rPr>
                <w:rFonts w:eastAsia="SimSun"/>
                <w:sz w:val="22"/>
                <w:szCs w:val="22"/>
                <w:lang w:eastAsia="zh-CN"/>
              </w:rPr>
              <w:t>Vrijeme do prvog razbuktavanja GCA¹ (grupe liječene tocilizumabom naspram placeba+52), HR (99% CI)</w:t>
            </w:r>
          </w:p>
          <w:p w14:paraId="0A4647AF"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Vrijeme do prvog razbuktavanja GCA¹ (pacijenti sa relapsom; grupe liječene tocilizumabom naspram placeba+26), HR (99% CI)</w:t>
            </w:r>
          </w:p>
          <w:p w14:paraId="4538A7DE"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Vrijeme do prvog razbuktavanja GCA¹ (pacijenti sa relapsom; grupe liječene tocilizumabom naspram placeba+52), HR (99% CI)</w:t>
            </w:r>
          </w:p>
          <w:p w14:paraId="298CB855"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 xml:space="preserve">Vrijeme do prvog razbuktavanja GCA¹ </w:t>
            </w:r>
            <w:r w:rsidRPr="00C65707">
              <w:rPr>
                <w:rFonts w:eastAsia="SimSun"/>
                <w:sz w:val="22"/>
                <w:szCs w:val="22"/>
                <w:lang w:eastAsia="zh-CN"/>
              </w:rPr>
              <w:lastRenderedPageBreak/>
              <w:t>(pacijenti sa novonastalom bolešću; grupe liječene tocilizumabom naspram placeba+26), HR (99% CI)</w:t>
            </w:r>
          </w:p>
          <w:p w14:paraId="16884FB3"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Vrijeme do prvog razbuktavanja GCA¹ (pacijenti sa novonastalom bolešću; grupe liječene tocilizumabom naspram placeba+52), HR (99% CI)</w:t>
            </w:r>
          </w:p>
        </w:tc>
        <w:tc>
          <w:tcPr>
            <w:tcW w:w="600" w:type="pct"/>
            <w:tcBorders>
              <w:top w:val="single" w:sz="4" w:space="0" w:color="auto"/>
            </w:tcBorders>
            <w:tcMar>
              <w:top w:w="0" w:type="dxa"/>
              <w:left w:w="57" w:type="dxa"/>
              <w:bottom w:w="0" w:type="dxa"/>
              <w:right w:w="57" w:type="dxa"/>
            </w:tcMar>
          </w:tcPr>
          <w:p w14:paraId="0666500F"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lastRenderedPageBreak/>
              <w:t>N/P</w:t>
            </w:r>
          </w:p>
          <w:p w14:paraId="1E1A149C" w14:textId="77777777" w:rsidR="00CC2B31" w:rsidRPr="00C65707" w:rsidRDefault="00CC2B31" w:rsidP="00CE5678">
            <w:pPr>
              <w:widowControl w:val="0"/>
              <w:jc w:val="both"/>
              <w:rPr>
                <w:rFonts w:eastAsia="SimSun"/>
                <w:sz w:val="22"/>
                <w:szCs w:val="22"/>
                <w:lang w:eastAsia="zh-CN"/>
              </w:rPr>
            </w:pPr>
          </w:p>
          <w:p w14:paraId="6995713F" w14:textId="77777777" w:rsidR="00CC2B31" w:rsidRPr="00C65707" w:rsidRDefault="00CC2B31" w:rsidP="00CE5678">
            <w:pPr>
              <w:widowControl w:val="0"/>
              <w:jc w:val="both"/>
              <w:rPr>
                <w:rFonts w:eastAsia="SimSun"/>
                <w:sz w:val="22"/>
                <w:szCs w:val="22"/>
                <w:lang w:eastAsia="zh-CN"/>
              </w:rPr>
            </w:pPr>
          </w:p>
          <w:p w14:paraId="25267028"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N/P</w:t>
            </w:r>
          </w:p>
          <w:p w14:paraId="4EA96215" w14:textId="77777777" w:rsidR="00CC2B31" w:rsidRPr="00C65707" w:rsidRDefault="00CC2B31" w:rsidP="00CE5678">
            <w:pPr>
              <w:widowControl w:val="0"/>
              <w:jc w:val="both"/>
              <w:rPr>
                <w:rFonts w:eastAsia="SimSun"/>
                <w:sz w:val="22"/>
                <w:szCs w:val="22"/>
                <w:lang w:eastAsia="zh-CN"/>
              </w:rPr>
            </w:pPr>
          </w:p>
          <w:p w14:paraId="53249845" w14:textId="77777777" w:rsidR="00CC2B31" w:rsidRPr="00C65707" w:rsidRDefault="00CC2B31" w:rsidP="00CE5678">
            <w:pPr>
              <w:widowControl w:val="0"/>
              <w:jc w:val="both"/>
              <w:rPr>
                <w:rFonts w:eastAsia="SimSun"/>
                <w:sz w:val="22"/>
                <w:szCs w:val="22"/>
                <w:lang w:eastAsia="zh-CN"/>
              </w:rPr>
            </w:pPr>
          </w:p>
          <w:p w14:paraId="3DF26456"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N/P</w:t>
            </w:r>
          </w:p>
          <w:p w14:paraId="170005D8" w14:textId="77777777" w:rsidR="00CC2B31" w:rsidRPr="00C65707" w:rsidRDefault="00CC2B31" w:rsidP="00CE5678">
            <w:pPr>
              <w:widowControl w:val="0"/>
              <w:jc w:val="both"/>
              <w:rPr>
                <w:rFonts w:eastAsia="SimSun"/>
                <w:sz w:val="22"/>
                <w:szCs w:val="22"/>
                <w:lang w:eastAsia="zh-CN"/>
              </w:rPr>
            </w:pPr>
          </w:p>
          <w:p w14:paraId="76ECF7B2" w14:textId="77777777" w:rsidR="00CC2B31" w:rsidRPr="00C65707" w:rsidRDefault="00CC2B31" w:rsidP="00CE5678">
            <w:pPr>
              <w:widowControl w:val="0"/>
              <w:jc w:val="both"/>
              <w:rPr>
                <w:rFonts w:eastAsia="SimSun"/>
                <w:sz w:val="22"/>
                <w:szCs w:val="22"/>
                <w:lang w:eastAsia="zh-CN"/>
              </w:rPr>
            </w:pPr>
          </w:p>
          <w:p w14:paraId="7BE76BC2"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N/P</w:t>
            </w:r>
          </w:p>
          <w:p w14:paraId="781DFAAB" w14:textId="77777777" w:rsidR="00CC2B31" w:rsidRPr="00C65707" w:rsidRDefault="00CC2B31" w:rsidP="00CE5678">
            <w:pPr>
              <w:widowControl w:val="0"/>
              <w:jc w:val="both"/>
              <w:rPr>
                <w:rFonts w:eastAsia="SimSun"/>
                <w:sz w:val="22"/>
                <w:szCs w:val="22"/>
                <w:lang w:eastAsia="zh-CN"/>
              </w:rPr>
            </w:pPr>
          </w:p>
          <w:p w14:paraId="31266271" w14:textId="77777777" w:rsidR="00CC2B31" w:rsidRPr="00C65707" w:rsidRDefault="00CC2B31" w:rsidP="00CE5678">
            <w:pPr>
              <w:widowControl w:val="0"/>
              <w:jc w:val="both"/>
              <w:rPr>
                <w:rFonts w:eastAsia="SimSun"/>
                <w:sz w:val="22"/>
                <w:szCs w:val="22"/>
                <w:lang w:eastAsia="zh-CN"/>
              </w:rPr>
            </w:pPr>
          </w:p>
          <w:p w14:paraId="289B4751"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N/P</w:t>
            </w:r>
          </w:p>
          <w:p w14:paraId="680BC617" w14:textId="77777777" w:rsidR="00CC2B31" w:rsidRPr="00C65707" w:rsidRDefault="00CC2B31" w:rsidP="00CE5678">
            <w:pPr>
              <w:widowControl w:val="0"/>
              <w:jc w:val="both"/>
              <w:rPr>
                <w:rFonts w:eastAsia="SimSun"/>
                <w:sz w:val="22"/>
                <w:szCs w:val="22"/>
                <w:lang w:eastAsia="zh-CN"/>
              </w:rPr>
            </w:pPr>
          </w:p>
          <w:p w14:paraId="26BB4E21" w14:textId="77777777" w:rsidR="00CC2B31" w:rsidRPr="00C65707" w:rsidRDefault="00CC2B31" w:rsidP="00CE5678">
            <w:pPr>
              <w:widowControl w:val="0"/>
              <w:jc w:val="both"/>
              <w:rPr>
                <w:rFonts w:eastAsia="SimSun"/>
                <w:sz w:val="22"/>
                <w:szCs w:val="22"/>
                <w:lang w:eastAsia="zh-CN"/>
              </w:rPr>
            </w:pPr>
          </w:p>
          <w:p w14:paraId="7AB0FF6F" w14:textId="77777777" w:rsidR="00CC2B31" w:rsidRPr="00C65707" w:rsidRDefault="00CC2B31" w:rsidP="00CE5678">
            <w:pPr>
              <w:widowControl w:val="0"/>
              <w:jc w:val="both"/>
              <w:rPr>
                <w:rFonts w:eastAsia="SimSun"/>
                <w:sz w:val="22"/>
                <w:szCs w:val="22"/>
                <w:lang w:eastAsia="zh-CN"/>
              </w:rPr>
            </w:pPr>
          </w:p>
          <w:p w14:paraId="73442F0C"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lastRenderedPageBreak/>
              <w:t>N/P</w:t>
            </w:r>
          </w:p>
        </w:tc>
        <w:tc>
          <w:tcPr>
            <w:tcW w:w="804" w:type="pct"/>
            <w:tcBorders>
              <w:top w:val="single" w:sz="4" w:space="0" w:color="auto"/>
            </w:tcBorders>
            <w:tcMar>
              <w:top w:w="0" w:type="dxa"/>
              <w:left w:w="57" w:type="dxa"/>
              <w:bottom w:w="0" w:type="dxa"/>
              <w:right w:w="57" w:type="dxa"/>
            </w:tcMar>
          </w:tcPr>
          <w:p w14:paraId="19CDC497"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lastRenderedPageBreak/>
              <w:t>N/P</w:t>
            </w:r>
          </w:p>
          <w:p w14:paraId="05FB979F" w14:textId="77777777" w:rsidR="00CC2B31" w:rsidRPr="00C65707" w:rsidRDefault="00CC2B31" w:rsidP="00CE5678">
            <w:pPr>
              <w:widowControl w:val="0"/>
              <w:jc w:val="both"/>
              <w:rPr>
                <w:rFonts w:eastAsia="SimSun"/>
                <w:sz w:val="22"/>
                <w:szCs w:val="22"/>
                <w:lang w:eastAsia="zh-CN"/>
              </w:rPr>
            </w:pPr>
          </w:p>
          <w:p w14:paraId="1FF45C2C" w14:textId="77777777" w:rsidR="00CC2B31" w:rsidRPr="00C65707" w:rsidRDefault="00CC2B31" w:rsidP="00CE5678">
            <w:pPr>
              <w:widowControl w:val="0"/>
              <w:jc w:val="both"/>
              <w:rPr>
                <w:rFonts w:eastAsia="SimSun"/>
                <w:sz w:val="22"/>
                <w:szCs w:val="22"/>
                <w:lang w:eastAsia="zh-CN"/>
              </w:rPr>
            </w:pPr>
          </w:p>
          <w:p w14:paraId="7C80BA4E"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N/P</w:t>
            </w:r>
          </w:p>
          <w:p w14:paraId="7178369F" w14:textId="77777777" w:rsidR="00CC2B31" w:rsidRPr="00C65707" w:rsidRDefault="00CC2B31" w:rsidP="00CE5678">
            <w:pPr>
              <w:widowControl w:val="0"/>
              <w:jc w:val="both"/>
              <w:rPr>
                <w:rFonts w:eastAsia="SimSun"/>
                <w:sz w:val="22"/>
                <w:szCs w:val="22"/>
                <w:lang w:eastAsia="zh-CN"/>
              </w:rPr>
            </w:pPr>
          </w:p>
          <w:p w14:paraId="2BD46E5E" w14:textId="77777777" w:rsidR="00CC2B31" w:rsidRPr="00C65707" w:rsidRDefault="00CC2B31" w:rsidP="00CE5678">
            <w:pPr>
              <w:widowControl w:val="0"/>
              <w:jc w:val="both"/>
              <w:rPr>
                <w:rFonts w:eastAsia="SimSun"/>
                <w:sz w:val="22"/>
                <w:szCs w:val="22"/>
                <w:lang w:eastAsia="zh-CN"/>
              </w:rPr>
            </w:pPr>
          </w:p>
          <w:p w14:paraId="0F9AE8B0"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N/P</w:t>
            </w:r>
          </w:p>
          <w:p w14:paraId="44DD67ED" w14:textId="77777777" w:rsidR="00CC2B31" w:rsidRPr="00C65707" w:rsidRDefault="00CC2B31" w:rsidP="00CE5678">
            <w:pPr>
              <w:widowControl w:val="0"/>
              <w:jc w:val="both"/>
              <w:rPr>
                <w:rFonts w:eastAsia="SimSun"/>
                <w:sz w:val="22"/>
                <w:szCs w:val="22"/>
                <w:lang w:eastAsia="zh-CN"/>
              </w:rPr>
            </w:pPr>
          </w:p>
          <w:p w14:paraId="7CE8CD94" w14:textId="77777777" w:rsidR="00CC2B31" w:rsidRPr="00C65707" w:rsidRDefault="00CC2B31" w:rsidP="00CE5678">
            <w:pPr>
              <w:widowControl w:val="0"/>
              <w:jc w:val="both"/>
              <w:rPr>
                <w:rFonts w:eastAsia="SimSun"/>
                <w:sz w:val="22"/>
                <w:szCs w:val="22"/>
                <w:lang w:eastAsia="zh-CN"/>
              </w:rPr>
            </w:pPr>
          </w:p>
          <w:p w14:paraId="0A23A8D8"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N/P</w:t>
            </w:r>
          </w:p>
          <w:p w14:paraId="15112689" w14:textId="77777777" w:rsidR="00CC2B31" w:rsidRPr="00C65707" w:rsidRDefault="00CC2B31" w:rsidP="00CE5678">
            <w:pPr>
              <w:widowControl w:val="0"/>
              <w:jc w:val="both"/>
              <w:rPr>
                <w:rFonts w:eastAsia="SimSun"/>
                <w:sz w:val="22"/>
                <w:szCs w:val="22"/>
                <w:lang w:eastAsia="zh-CN"/>
              </w:rPr>
            </w:pPr>
          </w:p>
          <w:p w14:paraId="4E0014DC" w14:textId="77777777" w:rsidR="00CC2B31" w:rsidRPr="00C65707" w:rsidRDefault="00CC2B31" w:rsidP="00CE5678">
            <w:pPr>
              <w:widowControl w:val="0"/>
              <w:jc w:val="both"/>
              <w:rPr>
                <w:rFonts w:eastAsia="SimSun"/>
                <w:sz w:val="22"/>
                <w:szCs w:val="22"/>
                <w:lang w:eastAsia="zh-CN"/>
              </w:rPr>
            </w:pPr>
          </w:p>
          <w:p w14:paraId="742D1383"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N/P</w:t>
            </w:r>
          </w:p>
          <w:p w14:paraId="00526F65" w14:textId="77777777" w:rsidR="00CC2B31" w:rsidRPr="00C65707" w:rsidRDefault="00CC2B31" w:rsidP="00CE5678">
            <w:pPr>
              <w:widowControl w:val="0"/>
              <w:jc w:val="both"/>
              <w:rPr>
                <w:rFonts w:eastAsia="SimSun"/>
                <w:sz w:val="22"/>
                <w:szCs w:val="22"/>
                <w:lang w:eastAsia="zh-CN"/>
              </w:rPr>
            </w:pPr>
          </w:p>
          <w:p w14:paraId="75883142" w14:textId="77777777" w:rsidR="00CC2B31" w:rsidRPr="00C65707" w:rsidRDefault="00CC2B31" w:rsidP="00CE5678">
            <w:pPr>
              <w:widowControl w:val="0"/>
              <w:jc w:val="both"/>
              <w:rPr>
                <w:rFonts w:eastAsia="SimSun"/>
                <w:sz w:val="22"/>
                <w:szCs w:val="22"/>
                <w:lang w:eastAsia="zh-CN"/>
              </w:rPr>
            </w:pPr>
          </w:p>
          <w:p w14:paraId="04D69A55" w14:textId="77777777" w:rsidR="00CC2B31" w:rsidRPr="00C65707" w:rsidRDefault="00CC2B31" w:rsidP="00CE5678">
            <w:pPr>
              <w:widowControl w:val="0"/>
              <w:jc w:val="both"/>
              <w:rPr>
                <w:rFonts w:eastAsia="SimSun"/>
                <w:sz w:val="22"/>
                <w:szCs w:val="22"/>
                <w:lang w:eastAsia="zh-CN"/>
              </w:rPr>
            </w:pPr>
          </w:p>
          <w:p w14:paraId="37EB5937"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lastRenderedPageBreak/>
              <w:t>N/P</w:t>
            </w:r>
          </w:p>
        </w:tc>
        <w:tc>
          <w:tcPr>
            <w:tcW w:w="828" w:type="pct"/>
            <w:tcBorders>
              <w:top w:val="single" w:sz="4" w:space="0" w:color="auto"/>
              <w:right w:val="nil"/>
            </w:tcBorders>
          </w:tcPr>
          <w:p w14:paraId="5ACA5E82"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lastRenderedPageBreak/>
              <w:t>0,23*</w:t>
            </w:r>
          </w:p>
          <w:p w14:paraId="20987EAA"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(0,11; 0,46)</w:t>
            </w:r>
          </w:p>
          <w:p w14:paraId="154006A5" w14:textId="77777777" w:rsidR="00CC2B31" w:rsidRPr="00C65707" w:rsidRDefault="00CC2B31" w:rsidP="00CE5678">
            <w:pPr>
              <w:widowControl w:val="0"/>
              <w:jc w:val="both"/>
              <w:rPr>
                <w:rFonts w:eastAsia="SimSun"/>
                <w:sz w:val="22"/>
                <w:szCs w:val="22"/>
                <w:lang w:eastAsia="zh-CN"/>
              </w:rPr>
            </w:pPr>
          </w:p>
          <w:p w14:paraId="544B94F9"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0,39**</w:t>
            </w:r>
          </w:p>
          <w:p w14:paraId="729EF4AA"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(0,18; 0,82)</w:t>
            </w:r>
          </w:p>
          <w:p w14:paraId="571D004A" w14:textId="77777777" w:rsidR="00CC2B31" w:rsidRPr="00C65707" w:rsidRDefault="00CC2B31" w:rsidP="00CE5678">
            <w:pPr>
              <w:widowControl w:val="0"/>
              <w:jc w:val="both"/>
              <w:rPr>
                <w:rFonts w:eastAsia="SimSun"/>
                <w:sz w:val="22"/>
                <w:szCs w:val="22"/>
                <w:lang w:eastAsia="zh-CN"/>
              </w:rPr>
            </w:pPr>
          </w:p>
          <w:p w14:paraId="0EA0EB55"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0,23***</w:t>
            </w:r>
          </w:p>
          <w:p w14:paraId="4E70C431"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(0,09; 0,61)</w:t>
            </w:r>
          </w:p>
          <w:p w14:paraId="57235B00" w14:textId="77777777" w:rsidR="00CC2B31" w:rsidRPr="00C65707" w:rsidRDefault="00CC2B31" w:rsidP="00CE5678">
            <w:pPr>
              <w:widowControl w:val="0"/>
              <w:jc w:val="both"/>
              <w:rPr>
                <w:rFonts w:eastAsia="SimSun"/>
                <w:sz w:val="22"/>
                <w:szCs w:val="22"/>
                <w:lang w:eastAsia="zh-CN"/>
              </w:rPr>
            </w:pPr>
          </w:p>
          <w:p w14:paraId="0266E89E"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0,36</w:t>
            </w:r>
          </w:p>
          <w:p w14:paraId="40F6B22A"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(0,13; 1,00)</w:t>
            </w:r>
          </w:p>
          <w:p w14:paraId="531DDB03" w14:textId="77777777" w:rsidR="00CC2B31" w:rsidRPr="00C65707" w:rsidRDefault="00CC2B31" w:rsidP="00CE5678">
            <w:pPr>
              <w:widowControl w:val="0"/>
              <w:jc w:val="both"/>
              <w:rPr>
                <w:rFonts w:eastAsia="SimSun"/>
                <w:sz w:val="22"/>
                <w:szCs w:val="22"/>
                <w:lang w:eastAsia="zh-CN"/>
              </w:rPr>
            </w:pPr>
          </w:p>
          <w:p w14:paraId="3B67E632"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0,25***</w:t>
            </w:r>
          </w:p>
          <w:p w14:paraId="1BF6D96B"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(0,09; 0,70)</w:t>
            </w:r>
          </w:p>
          <w:p w14:paraId="67FF9BC2" w14:textId="77777777" w:rsidR="00CC2B31" w:rsidRPr="00C65707" w:rsidRDefault="00CC2B31" w:rsidP="00CE5678">
            <w:pPr>
              <w:widowControl w:val="0"/>
              <w:jc w:val="both"/>
              <w:rPr>
                <w:rFonts w:eastAsia="SimSun"/>
                <w:sz w:val="22"/>
                <w:szCs w:val="22"/>
                <w:lang w:eastAsia="zh-CN"/>
              </w:rPr>
            </w:pPr>
          </w:p>
          <w:p w14:paraId="54076307" w14:textId="77777777" w:rsidR="00CC2B31" w:rsidRPr="00C65707" w:rsidRDefault="00CC2B31" w:rsidP="00CE5678">
            <w:pPr>
              <w:widowControl w:val="0"/>
              <w:jc w:val="both"/>
              <w:rPr>
                <w:rFonts w:eastAsia="SimSun"/>
                <w:sz w:val="22"/>
                <w:szCs w:val="22"/>
                <w:lang w:eastAsia="zh-CN"/>
              </w:rPr>
            </w:pPr>
          </w:p>
          <w:p w14:paraId="3A6EDF8E"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lastRenderedPageBreak/>
              <w:t>0,44</w:t>
            </w:r>
          </w:p>
          <w:p w14:paraId="4A832686"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(0,14; 1,32)</w:t>
            </w:r>
          </w:p>
          <w:p w14:paraId="2469B7A6" w14:textId="77777777" w:rsidR="00CC2B31" w:rsidRPr="00C65707" w:rsidRDefault="00CC2B31" w:rsidP="00CE5678">
            <w:pPr>
              <w:widowControl w:val="0"/>
              <w:jc w:val="both"/>
              <w:rPr>
                <w:rFonts w:eastAsia="SimSun"/>
                <w:sz w:val="22"/>
                <w:szCs w:val="22"/>
                <w:lang w:eastAsia="zh-CN"/>
              </w:rPr>
            </w:pPr>
          </w:p>
        </w:tc>
        <w:tc>
          <w:tcPr>
            <w:tcW w:w="827" w:type="pct"/>
            <w:tcBorders>
              <w:top w:val="single" w:sz="4" w:space="0" w:color="auto"/>
              <w:left w:val="nil"/>
              <w:right w:val="single" w:sz="4" w:space="0" w:color="auto"/>
            </w:tcBorders>
            <w:tcMar>
              <w:top w:w="0" w:type="dxa"/>
              <w:left w:w="57" w:type="dxa"/>
              <w:bottom w:w="0" w:type="dxa"/>
              <w:right w:w="57" w:type="dxa"/>
            </w:tcMar>
          </w:tcPr>
          <w:p w14:paraId="06B73466"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lastRenderedPageBreak/>
              <w:t>0,28**</w:t>
            </w:r>
          </w:p>
          <w:p w14:paraId="3D61DF68"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(0,12; 0,66)</w:t>
            </w:r>
          </w:p>
          <w:p w14:paraId="6EC47504" w14:textId="77777777" w:rsidR="00CC2B31" w:rsidRPr="00C65707" w:rsidRDefault="00CC2B31" w:rsidP="00CE5678">
            <w:pPr>
              <w:widowControl w:val="0"/>
              <w:jc w:val="both"/>
              <w:rPr>
                <w:rFonts w:eastAsia="SimSun"/>
                <w:sz w:val="22"/>
                <w:szCs w:val="22"/>
                <w:lang w:eastAsia="zh-CN"/>
              </w:rPr>
            </w:pPr>
          </w:p>
          <w:p w14:paraId="01CA0B4D"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0,48</w:t>
            </w:r>
          </w:p>
          <w:p w14:paraId="3F202B5D"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(0,20; 1,16)</w:t>
            </w:r>
          </w:p>
          <w:p w14:paraId="502C76F0" w14:textId="77777777" w:rsidR="00CC2B31" w:rsidRPr="00C65707" w:rsidRDefault="00CC2B31" w:rsidP="00CE5678">
            <w:pPr>
              <w:widowControl w:val="0"/>
              <w:jc w:val="both"/>
              <w:rPr>
                <w:rFonts w:eastAsia="SimSun"/>
                <w:sz w:val="22"/>
                <w:szCs w:val="22"/>
                <w:lang w:eastAsia="zh-CN"/>
              </w:rPr>
            </w:pPr>
          </w:p>
          <w:p w14:paraId="54DBB219"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0,42</w:t>
            </w:r>
          </w:p>
          <w:p w14:paraId="0B4C4BEA"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(0,14; 1,28)</w:t>
            </w:r>
          </w:p>
          <w:p w14:paraId="090919E4" w14:textId="77777777" w:rsidR="00CC2B31" w:rsidRPr="00C65707" w:rsidRDefault="00CC2B31" w:rsidP="00CE5678">
            <w:pPr>
              <w:widowControl w:val="0"/>
              <w:jc w:val="both"/>
              <w:rPr>
                <w:rFonts w:eastAsia="SimSun"/>
                <w:sz w:val="22"/>
                <w:szCs w:val="22"/>
                <w:lang w:eastAsia="zh-CN"/>
              </w:rPr>
            </w:pPr>
          </w:p>
          <w:p w14:paraId="3D32F70D"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0,67</w:t>
            </w:r>
          </w:p>
          <w:p w14:paraId="673C828A"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(0,21; 2,10)</w:t>
            </w:r>
          </w:p>
          <w:p w14:paraId="1768D9A7" w14:textId="77777777" w:rsidR="00CC2B31" w:rsidRPr="00C65707" w:rsidRDefault="00CC2B31" w:rsidP="00CE5678">
            <w:pPr>
              <w:widowControl w:val="0"/>
              <w:jc w:val="both"/>
              <w:rPr>
                <w:rFonts w:eastAsia="SimSun"/>
                <w:sz w:val="22"/>
                <w:szCs w:val="22"/>
                <w:lang w:eastAsia="zh-CN"/>
              </w:rPr>
            </w:pPr>
          </w:p>
          <w:p w14:paraId="2C729643"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0,20***</w:t>
            </w:r>
          </w:p>
          <w:p w14:paraId="42FB63D4"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(0,05; 0,76)</w:t>
            </w:r>
          </w:p>
          <w:p w14:paraId="41318D8A" w14:textId="77777777" w:rsidR="00CC2B31" w:rsidRPr="00C65707" w:rsidRDefault="00CC2B31" w:rsidP="00CE5678">
            <w:pPr>
              <w:widowControl w:val="0"/>
              <w:jc w:val="both"/>
              <w:rPr>
                <w:rFonts w:eastAsia="SimSun"/>
                <w:sz w:val="22"/>
                <w:szCs w:val="22"/>
                <w:lang w:eastAsia="zh-CN"/>
              </w:rPr>
            </w:pPr>
          </w:p>
          <w:p w14:paraId="250FB296" w14:textId="77777777" w:rsidR="00CC2B31" w:rsidRPr="00C65707" w:rsidRDefault="00CC2B31" w:rsidP="00CE5678">
            <w:pPr>
              <w:widowControl w:val="0"/>
              <w:jc w:val="both"/>
              <w:rPr>
                <w:rFonts w:eastAsia="SimSun"/>
                <w:sz w:val="22"/>
                <w:szCs w:val="22"/>
                <w:lang w:eastAsia="zh-CN"/>
              </w:rPr>
            </w:pPr>
          </w:p>
          <w:p w14:paraId="6642FAF5"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lastRenderedPageBreak/>
              <w:t>0,35</w:t>
            </w:r>
          </w:p>
          <w:p w14:paraId="32A27A5F"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(0,09; 1,42)</w:t>
            </w:r>
          </w:p>
          <w:p w14:paraId="1E3D6189" w14:textId="77777777" w:rsidR="00CC2B31" w:rsidRPr="00C65707" w:rsidRDefault="00CC2B31" w:rsidP="00CE5678">
            <w:pPr>
              <w:widowControl w:val="0"/>
              <w:jc w:val="both"/>
              <w:rPr>
                <w:rFonts w:eastAsia="SimSun"/>
                <w:sz w:val="22"/>
                <w:szCs w:val="22"/>
                <w:lang w:eastAsia="zh-CN"/>
              </w:rPr>
            </w:pPr>
          </w:p>
        </w:tc>
      </w:tr>
      <w:tr w:rsidR="00CC2B31" w:rsidRPr="00C65707" w14:paraId="473CB844" w14:textId="77777777" w:rsidTr="0093644B">
        <w:trPr>
          <w:gridAfter w:val="1"/>
        </w:trPr>
        <w:tc>
          <w:tcPr>
            <w:tcW w:w="1939" w:type="pct"/>
            <w:gridSpan w:val="2"/>
            <w:tcBorders>
              <w:left w:val="single" w:sz="4" w:space="0" w:color="auto"/>
              <w:bottom w:val="single" w:sz="4" w:space="0" w:color="auto"/>
            </w:tcBorders>
            <w:tcMar>
              <w:top w:w="0" w:type="dxa"/>
              <w:left w:w="57" w:type="dxa"/>
              <w:bottom w:w="0" w:type="dxa"/>
              <w:right w:w="57" w:type="dxa"/>
            </w:tcMar>
          </w:tcPr>
          <w:p w14:paraId="5434497D" w14:textId="77777777" w:rsidR="00CC2B31" w:rsidRPr="002B3647" w:rsidRDefault="00CC2B31" w:rsidP="00CE5678">
            <w:pPr>
              <w:widowControl w:val="0"/>
              <w:jc w:val="both"/>
              <w:rPr>
                <w:rFonts w:eastAsia="SimSun"/>
                <w:sz w:val="22"/>
                <w:szCs w:val="22"/>
                <w:lang w:eastAsia="zh-CN"/>
              </w:rPr>
            </w:pPr>
            <w:r w:rsidRPr="00C65707">
              <w:rPr>
                <w:rFonts w:eastAsia="SimSun"/>
                <w:sz w:val="22"/>
                <w:szCs w:val="22"/>
                <w:lang w:eastAsia="zh-CN"/>
              </w:rPr>
              <w:lastRenderedPageBreak/>
              <w:t>Kumulativna doza glukokortikoida (mg)</w:t>
            </w:r>
          </w:p>
          <w:p w14:paraId="74F412E7" w14:textId="77777777" w:rsidR="00CC2B31" w:rsidRPr="00C65707" w:rsidRDefault="00CC2B31" w:rsidP="00CE5678">
            <w:pPr>
              <w:widowControl w:val="0"/>
              <w:ind w:left="720"/>
              <w:jc w:val="both"/>
              <w:rPr>
                <w:rFonts w:eastAsia="SimSun"/>
                <w:sz w:val="22"/>
                <w:szCs w:val="22"/>
                <w:lang w:eastAsia="zh-CN"/>
              </w:rPr>
            </w:pPr>
            <w:r w:rsidRPr="00C65707">
              <w:rPr>
                <w:rFonts w:eastAsia="SimSun"/>
                <w:sz w:val="22"/>
                <w:szCs w:val="22"/>
                <w:lang w:eastAsia="zh-CN"/>
              </w:rPr>
              <w:t>medijana u 52. nedjelji (grupe liječene tocilizumabom naspram placeba+26</w:t>
            </w:r>
            <w:r w:rsidRPr="00C65707">
              <w:rPr>
                <w:rFonts w:eastAsia="SimSun"/>
                <w:sz w:val="22"/>
                <w:szCs w:val="22"/>
                <w:vertAlign w:val="superscript"/>
                <w:lang w:eastAsia="zh-CN"/>
              </w:rPr>
              <w:t>2</w:t>
            </w:r>
            <w:r w:rsidRPr="00C65707">
              <w:rPr>
                <w:rFonts w:eastAsia="SimSun"/>
                <w:sz w:val="22"/>
                <w:szCs w:val="22"/>
                <w:lang w:eastAsia="zh-CN"/>
              </w:rPr>
              <w:t xml:space="preserve">)                          </w:t>
            </w:r>
          </w:p>
          <w:p w14:paraId="52862798" w14:textId="77777777" w:rsidR="00CC2B31" w:rsidRPr="00C65707" w:rsidRDefault="00CC2B31" w:rsidP="00CE5678">
            <w:pPr>
              <w:widowControl w:val="0"/>
              <w:ind w:left="720"/>
              <w:jc w:val="both"/>
              <w:rPr>
                <w:rFonts w:eastAsia="SimSun"/>
                <w:sz w:val="22"/>
                <w:szCs w:val="22"/>
                <w:lang w:eastAsia="zh-CN"/>
              </w:rPr>
            </w:pPr>
            <w:r w:rsidRPr="00C65707">
              <w:rPr>
                <w:rFonts w:eastAsia="SimSun"/>
                <w:sz w:val="22"/>
                <w:szCs w:val="22"/>
                <w:lang w:eastAsia="zh-CN"/>
              </w:rPr>
              <w:t>medijan u 52. nedjelji (grupe liječene tocilizumabom naspram placeba+52</w:t>
            </w:r>
            <w:r w:rsidRPr="00C65707">
              <w:rPr>
                <w:rFonts w:eastAsia="SimSun"/>
                <w:sz w:val="22"/>
                <w:szCs w:val="22"/>
                <w:vertAlign w:val="superscript"/>
                <w:lang w:eastAsia="zh-CN"/>
              </w:rPr>
              <w:t>2</w:t>
            </w:r>
            <w:r w:rsidRPr="00C65707">
              <w:rPr>
                <w:rFonts w:eastAsia="SimSun"/>
                <w:sz w:val="22"/>
                <w:szCs w:val="22"/>
                <w:lang w:eastAsia="zh-CN"/>
              </w:rPr>
              <w:t xml:space="preserve">)                         </w:t>
            </w:r>
          </w:p>
        </w:tc>
        <w:tc>
          <w:tcPr>
            <w:tcW w:w="600" w:type="pct"/>
            <w:tcBorders>
              <w:bottom w:val="single" w:sz="4" w:space="0" w:color="auto"/>
            </w:tcBorders>
            <w:tcMar>
              <w:top w:w="0" w:type="dxa"/>
              <w:left w:w="57" w:type="dxa"/>
              <w:bottom w:w="0" w:type="dxa"/>
              <w:right w:w="57" w:type="dxa"/>
            </w:tcMar>
          </w:tcPr>
          <w:p w14:paraId="7FA9DFD6" w14:textId="77777777" w:rsidR="00CC2B31" w:rsidRPr="00C65707" w:rsidRDefault="00CC2B31" w:rsidP="00CE5678">
            <w:pPr>
              <w:widowControl w:val="0"/>
              <w:jc w:val="both"/>
              <w:rPr>
                <w:rFonts w:eastAsia="SimSun"/>
                <w:sz w:val="22"/>
                <w:szCs w:val="22"/>
                <w:lang w:eastAsia="zh-CN"/>
              </w:rPr>
            </w:pPr>
          </w:p>
          <w:p w14:paraId="32FD0AFB"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3296,00</w:t>
            </w:r>
          </w:p>
          <w:p w14:paraId="309B0AF0" w14:textId="77777777" w:rsidR="00CC2B31" w:rsidRPr="00C65707" w:rsidRDefault="00CC2B31" w:rsidP="00CE5678">
            <w:pPr>
              <w:widowControl w:val="0"/>
              <w:jc w:val="both"/>
              <w:rPr>
                <w:rFonts w:eastAsia="SimSun"/>
                <w:sz w:val="22"/>
                <w:szCs w:val="22"/>
                <w:lang w:eastAsia="zh-CN"/>
              </w:rPr>
            </w:pPr>
          </w:p>
          <w:p w14:paraId="46FF652A"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N/P</w:t>
            </w:r>
          </w:p>
        </w:tc>
        <w:tc>
          <w:tcPr>
            <w:tcW w:w="804" w:type="pct"/>
            <w:tcBorders>
              <w:bottom w:val="single" w:sz="4" w:space="0" w:color="auto"/>
            </w:tcBorders>
            <w:tcMar>
              <w:top w:w="0" w:type="dxa"/>
              <w:left w:w="57" w:type="dxa"/>
              <w:bottom w:w="0" w:type="dxa"/>
              <w:right w:w="57" w:type="dxa"/>
            </w:tcMar>
          </w:tcPr>
          <w:p w14:paraId="4ED8DD24" w14:textId="77777777" w:rsidR="00CC2B31" w:rsidRPr="00C65707" w:rsidRDefault="00CC2B31" w:rsidP="00CE5678">
            <w:pPr>
              <w:widowControl w:val="0"/>
              <w:jc w:val="both"/>
              <w:rPr>
                <w:rFonts w:eastAsia="SimSun"/>
                <w:sz w:val="22"/>
                <w:szCs w:val="22"/>
                <w:lang w:eastAsia="zh-CN"/>
              </w:rPr>
            </w:pPr>
          </w:p>
          <w:p w14:paraId="70A88298"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N/P</w:t>
            </w:r>
          </w:p>
          <w:p w14:paraId="0BA6FD3B" w14:textId="77777777" w:rsidR="00CC2B31" w:rsidRPr="00C65707" w:rsidRDefault="00CC2B31" w:rsidP="00CE5678">
            <w:pPr>
              <w:widowControl w:val="0"/>
              <w:jc w:val="both"/>
              <w:rPr>
                <w:rFonts w:eastAsia="SimSun"/>
                <w:sz w:val="22"/>
                <w:szCs w:val="22"/>
                <w:lang w:eastAsia="zh-CN"/>
              </w:rPr>
            </w:pPr>
          </w:p>
          <w:p w14:paraId="204D653A"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3817,50</w:t>
            </w:r>
          </w:p>
        </w:tc>
        <w:tc>
          <w:tcPr>
            <w:tcW w:w="828" w:type="pct"/>
            <w:tcBorders>
              <w:bottom w:val="single" w:sz="4" w:space="0" w:color="auto"/>
              <w:right w:val="nil"/>
            </w:tcBorders>
          </w:tcPr>
          <w:p w14:paraId="54311CAA" w14:textId="77777777" w:rsidR="00CC2B31" w:rsidRPr="00C65707" w:rsidRDefault="00CC2B31" w:rsidP="00CE5678">
            <w:pPr>
              <w:widowControl w:val="0"/>
              <w:jc w:val="both"/>
              <w:rPr>
                <w:rFonts w:eastAsia="SimSun"/>
                <w:sz w:val="22"/>
                <w:szCs w:val="22"/>
                <w:lang w:eastAsia="zh-CN"/>
              </w:rPr>
            </w:pPr>
          </w:p>
          <w:p w14:paraId="7B25813E"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1862,00*</w:t>
            </w:r>
          </w:p>
          <w:p w14:paraId="68DC1F68" w14:textId="77777777" w:rsidR="00CC2B31" w:rsidRPr="00C65707" w:rsidRDefault="00CC2B31" w:rsidP="00CE5678">
            <w:pPr>
              <w:widowControl w:val="0"/>
              <w:jc w:val="both"/>
              <w:rPr>
                <w:rFonts w:eastAsia="SimSun"/>
                <w:sz w:val="22"/>
                <w:szCs w:val="22"/>
                <w:lang w:eastAsia="zh-CN"/>
              </w:rPr>
            </w:pPr>
          </w:p>
          <w:p w14:paraId="5FADCA99"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1862,00*</w:t>
            </w:r>
          </w:p>
        </w:tc>
        <w:tc>
          <w:tcPr>
            <w:tcW w:w="827" w:type="pct"/>
            <w:tcBorders>
              <w:left w:val="nil"/>
              <w:bottom w:val="single" w:sz="4" w:space="0" w:color="auto"/>
              <w:right w:val="single" w:sz="4" w:space="0" w:color="auto"/>
            </w:tcBorders>
            <w:tcMar>
              <w:top w:w="0" w:type="dxa"/>
              <w:left w:w="57" w:type="dxa"/>
              <w:bottom w:w="0" w:type="dxa"/>
              <w:right w:w="57" w:type="dxa"/>
            </w:tcMar>
          </w:tcPr>
          <w:p w14:paraId="2942260D" w14:textId="77777777" w:rsidR="00CC2B31" w:rsidRPr="00C65707" w:rsidRDefault="00CC2B31" w:rsidP="00CE5678">
            <w:pPr>
              <w:widowControl w:val="0"/>
              <w:jc w:val="both"/>
              <w:rPr>
                <w:rFonts w:eastAsia="SimSun"/>
                <w:sz w:val="22"/>
                <w:szCs w:val="22"/>
                <w:lang w:eastAsia="zh-CN"/>
              </w:rPr>
            </w:pPr>
          </w:p>
          <w:p w14:paraId="69BA8BB9"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1862,00*</w:t>
            </w:r>
          </w:p>
          <w:p w14:paraId="348F3198" w14:textId="77777777" w:rsidR="00CC2B31" w:rsidRPr="00C65707" w:rsidRDefault="00CC2B31" w:rsidP="00CE5678">
            <w:pPr>
              <w:widowControl w:val="0"/>
              <w:jc w:val="both"/>
              <w:rPr>
                <w:rFonts w:eastAsia="SimSun"/>
                <w:sz w:val="22"/>
                <w:szCs w:val="22"/>
                <w:lang w:eastAsia="zh-CN"/>
              </w:rPr>
            </w:pPr>
          </w:p>
          <w:p w14:paraId="746E5195"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1862,00*</w:t>
            </w:r>
          </w:p>
        </w:tc>
      </w:tr>
      <w:tr w:rsidR="00CC2B31" w:rsidRPr="00C65707" w14:paraId="676CCC95" w14:textId="77777777" w:rsidTr="0093644B">
        <w:tc>
          <w:tcPr>
            <w:tcW w:w="5000" w:type="pct"/>
            <w:gridSpan w:val="7"/>
            <w:tcBorders>
              <w:top w:val="single" w:sz="4" w:space="0" w:color="auto"/>
              <w:left w:val="single" w:sz="4" w:space="0" w:color="auto"/>
              <w:bottom w:val="single" w:sz="4" w:space="0" w:color="auto"/>
              <w:right w:val="single" w:sz="8" w:space="0" w:color="auto"/>
            </w:tcBorders>
          </w:tcPr>
          <w:p w14:paraId="7F75DB58" w14:textId="77777777" w:rsidR="00CC2B31" w:rsidRPr="00C65707" w:rsidRDefault="00CC2B31" w:rsidP="00CE5678">
            <w:pPr>
              <w:widowControl w:val="0"/>
              <w:jc w:val="both"/>
              <w:rPr>
                <w:rFonts w:eastAsia="SimSun"/>
                <w:b/>
                <w:sz w:val="22"/>
                <w:szCs w:val="22"/>
                <w:lang w:eastAsia="zh-CN"/>
              </w:rPr>
            </w:pPr>
            <w:r w:rsidRPr="00C65707">
              <w:rPr>
                <w:rFonts w:eastAsia="SimSun"/>
                <w:b/>
                <w:sz w:val="22"/>
                <w:szCs w:val="22"/>
                <w:lang w:eastAsia="zh-CN"/>
              </w:rPr>
              <w:t xml:space="preserve"> Eksploracijske mjere ishoda</w:t>
            </w:r>
          </w:p>
        </w:tc>
      </w:tr>
      <w:tr w:rsidR="00CC2B31" w:rsidRPr="00C65707" w14:paraId="238AECF6" w14:textId="77777777" w:rsidTr="0093644B">
        <w:trPr>
          <w:gridAfter w:val="1"/>
        </w:trPr>
        <w:tc>
          <w:tcPr>
            <w:tcW w:w="1939" w:type="pct"/>
            <w:gridSpan w:val="2"/>
            <w:tcBorders>
              <w:top w:val="single" w:sz="4" w:space="0" w:color="auto"/>
              <w:left w:val="single" w:sz="4" w:space="0" w:color="auto"/>
              <w:bottom w:val="single" w:sz="4" w:space="0" w:color="auto"/>
            </w:tcBorders>
            <w:tcMar>
              <w:top w:w="0" w:type="dxa"/>
              <w:left w:w="57" w:type="dxa"/>
              <w:bottom w:w="0" w:type="dxa"/>
              <w:right w:w="57" w:type="dxa"/>
            </w:tcMar>
          </w:tcPr>
          <w:p w14:paraId="53F155A8" w14:textId="77777777" w:rsidR="00CC2B31" w:rsidRPr="002B3647" w:rsidRDefault="00CC2B31" w:rsidP="00CE5678">
            <w:pPr>
              <w:widowControl w:val="0"/>
              <w:jc w:val="both"/>
              <w:rPr>
                <w:rFonts w:eastAsia="SimSun"/>
                <w:sz w:val="22"/>
                <w:szCs w:val="22"/>
                <w:lang w:eastAsia="zh-CN"/>
              </w:rPr>
            </w:pPr>
            <w:r w:rsidRPr="00C65707">
              <w:rPr>
                <w:rFonts w:eastAsia="SimSun"/>
                <w:sz w:val="22"/>
                <w:szCs w:val="22"/>
                <w:lang w:eastAsia="zh-CN"/>
              </w:rPr>
              <w:t>Godišnja stopa relapsa, 52. nedjelja</w:t>
            </w:r>
            <w:r w:rsidRPr="00C65707">
              <w:rPr>
                <w:rFonts w:eastAsia="SimSun"/>
                <w:sz w:val="22"/>
                <w:szCs w:val="22"/>
                <w:vertAlign w:val="superscript"/>
                <w:lang w:eastAsia="zh-CN"/>
              </w:rPr>
              <w:t>§</w:t>
            </w:r>
            <w:r w:rsidRPr="00C65707">
              <w:rPr>
                <w:rFonts w:eastAsia="SimSun"/>
                <w:sz w:val="22"/>
                <w:szCs w:val="22"/>
                <w:lang w:eastAsia="zh-CN"/>
              </w:rPr>
              <w:t>, srednja vrijednost (SD)</w:t>
            </w:r>
          </w:p>
        </w:tc>
        <w:tc>
          <w:tcPr>
            <w:tcW w:w="600" w:type="pct"/>
            <w:tcBorders>
              <w:top w:val="single" w:sz="4" w:space="0" w:color="auto"/>
              <w:bottom w:val="single" w:sz="4" w:space="0" w:color="auto"/>
            </w:tcBorders>
            <w:tcMar>
              <w:top w:w="0" w:type="dxa"/>
              <w:left w:w="57" w:type="dxa"/>
              <w:bottom w:w="0" w:type="dxa"/>
              <w:right w:w="57" w:type="dxa"/>
            </w:tcMar>
            <w:vAlign w:val="center"/>
          </w:tcPr>
          <w:p w14:paraId="6C6FEC97"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 xml:space="preserve">1,74 </w:t>
            </w:r>
          </w:p>
          <w:p w14:paraId="1CD43F8A"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(2,18)</w:t>
            </w:r>
          </w:p>
        </w:tc>
        <w:tc>
          <w:tcPr>
            <w:tcW w:w="804" w:type="pct"/>
            <w:tcBorders>
              <w:top w:val="single" w:sz="4" w:space="0" w:color="auto"/>
              <w:bottom w:val="single" w:sz="4" w:space="0" w:color="auto"/>
            </w:tcBorders>
            <w:tcMar>
              <w:top w:w="0" w:type="dxa"/>
              <w:left w:w="57" w:type="dxa"/>
              <w:bottom w:w="0" w:type="dxa"/>
              <w:right w:w="57" w:type="dxa"/>
            </w:tcMar>
            <w:vAlign w:val="center"/>
          </w:tcPr>
          <w:p w14:paraId="15964D27"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 xml:space="preserve">1,30 </w:t>
            </w:r>
          </w:p>
          <w:p w14:paraId="421A979A"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(1,84)</w:t>
            </w:r>
          </w:p>
        </w:tc>
        <w:tc>
          <w:tcPr>
            <w:tcW w:w="828" w:type="pct"/>
            <w:tcBorders>
              <w:top w:val="single" w:sz="4" w:space="0" w:color="auto"/>
              <w:bottom w:val="single" w:sz="4" w:space="0" w:color="auto"/>
              <w:right w:val="nil"/>
            </w:tcBorders>
            <w:vAlign w:val="center"/>
          </w:tcPr>
          <w:p w14:paraId="1136BEE6"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0,41</w:t>
            </w:r>
          </w:p>
          <w:p w14:paraId="7C4629C2"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 xml:space="preserve"> (0,78)</w:t>
            </w:r>
          </w:p>
        </w:tc>
        <w:tc>
          <w:tcPr>
            <w:tcW w:w="827" w:type="pct"/>
            <w:tcBorders>
              <w:top w:val="single" w:sz="4" w:space="0" w:color="auto"/>
              <w:left w:val="nil"/>
              <w:bottom w:val="single" w:sz="4" w:space="0" w:color="auto"/>
              <w:right w:val="single" w:sz="8" w:space="0" w:color="auto"/>
            </w:tcBorders>
            <w:tcMar>
              <w:top w:w="0" w:type="dxa"/>
              <w:left w:w="57" w:type="dxa"/>
              <w:bottom w:w="0" w:type="dxa"/>
              <w:right w:w="57" w:type="dxa"/>
            </w:tcMar>
            <w:vAlign w:val="center"/>
          </w:tcPr>
          <w:p w14:paraId="2ABCFE20" w14:textId="77777777" w:rsidR="00CC2B31" w:rsidRPr="00C65707" w:rsidRDefault="00CC2B31" w:rsidP="00CE5678">
            <w:pPr>
              <w:widowControl w:val="0"/>
              <w:jc w:val="both"/>
              <w:rPr>
                <w:rFonts w:eastAsia="SimSun"/>
                <w:sz w:val="22"/>
                <w:szCs w:val="22"/>
                <w:lang w:eastAsia="zh-CN"/>
              </w:rPr>
            </w:pPr>
            <w:r w:rsidRPr="00C65707">
              <w:rPr>
                <w:rFonts w:eastAsia="SimSun"/>
                <w:sz w:val="22"/>
                <w:szCs w:val="22"/>
                <w:lang w:eastAsia="zh-CN"/>
              </w:rPr>
              <w:t>0,67</w:t>
            </w:r>
          </w:p>
          <w:p w14:paraId="2F6DD4D6" w14:textId="77777777" w:rsidR="00CC2B31" w:rsidRPr="00C65707" w:rsidRDefault="00CC2B31" w:rsidP="00CE5678">
            <w:pPr>
              <w:widowControl w:val="0"/>
              <w:ind w:left="-332" w:right="199" w:firstLine="284"/>
              <w:jc w:val="both"/>
              <w:rPr>
                <w:rFonts w:eastAsia="SimSun"/>
                <w:sz w:val="22"/>
                <w:szCs w:val="22"/>
                <w:lang w:eastAsia="zh-CN"/>
              </w:rPr>
            </w:pPr>
            <w:r w:rsidRPr="00C65707">
              <w:rPr>
                <w:rFonts w:eastAsia="SimSun"/>
                <w:sz w:val="22"/>
                <w:szCs w:val="22"/>
                <w:lang w:eastAsia="zh-CN"/>
              </w:rPr>
              <w:t xml:space="preserve"> (1,10)</w:t>
            </w:r>
          </w:p>
        </w:tc>
      </w:tr>
    </w:tbl>
    <w:p w14:paraId="23B15D54" w14:textId="77777777" w:rsidR="00CC2B31" w:rsidRPr="00CE5678" w:rsidRDefault="00CC2B31" w:rsidP="00C65707">
      <w:pPr>
        <w:widowControl w:val="0"/>
        <w:jc w:val="both"/>
        <w:rPr>
          <w:sz w:val="22"/>
          <w:szCs w:val="22"/>
        </w:rPr>
      </w:pPr>
      <w:r w:rsidRPr="00CE5678">
        <w:rPr>
          <w:sz w:val="22"/>
          <w:szCs w:val="22"/>
        </w:rPr>
        <w:t>* p &lt; 0,0001</w:t>
      </w:r>
    </w:p>
    <w:p w14:paraId="66562FB0" w14:textId="77777777" w:rsidR="00CC2B31" w:rsidRPr="00CE5678" w:rsidRDefault="00CC2B31" w:rsidP="002B3647">
      <w:pPr>
        <w:widowControl w:val="0"/>
        <w:jc w:val="both"/>
        <w:rPr>
          <w:sz w:val="22"/>
          <w:szCs w:val="22"/>
        </w:rPr>
      </w:pPr>
      <w:r w:rsidRPr="00CE5678">
        <w:rPr>
          <w:sz w:val="22"/>
          <w:szCs w:val="22"/>
        </w:rPr>
        <w:t>** p &lt; 0,005 (prag značajnosti za primarne i ključne sekundarne testove superiornosti)</w:t>
      </w:r>
    </w:p>
    <w:p w14:paraId="13705A6B" w14:textId="77777777" w:rsidR="00CC2B31" w:rsidRPr="00CE5678" w:rsidRDefault="00CC2B31">
      <w:pPr>
        <w:widowControl w:val="0"/>
        <w:jc w:val="both"/>
        <w:rPr>
          <w:sz w:val="22"/>
          <w:szCs w:val="22"/>
        </w:rPr>
      </w:pPr>
      <w:r w:rsidRPr="00CE5678">
        <w:rPr>
          <w:sz w:val="22"/>
          <w:szCs w:val="22"/>
        </w:rPr>
        <w:t>***opisna p vrijednost &lt; 0,005</w:t>
      </w:r>
    </w:p>
    <w:p w14:paraId="5849686D" w14:textId="77777777" w:rsidR="00CC2B31" w:rsidRPr="00CE5678" w:rsidRDefault="00CC2B31">
      <w:pPr>
        <w:widowControl w:val="0"/>
        <w:jc w:val="both"/>
        <w:rPr>
          <w:sz w:val="22"/>
          <w:szCs w:val="22"/>
        </w:rPr>
      </w:pPr>
      <w:r w:rsidRPr="00CE5678">
        <w:rPr>
          <w:sz w:val="22"/>
          <w:szCs w:val="22"/>
        </w:rPr>
        <w:t xml:space="preserve">****Razbuktavanje: ponovna pojava znakova i simptoma GCA i/ili brzina sedimentacije eritrocita ≥30 mm/h – potrebno je povećanje doze prednizona </w:t>
      </w:r>
    </w:p>
    <w:p w14:paraId="13380839" w14:textId="77777777" w:rsidR="00CC2B31" w:rsidRPr="00CE5678" w:rsidRDefault="00CC2B31">
      <w:pPr>
        <w:widowControl w:val="0"/>
        <w:jc w:val="both"/>
        <w:rPr>
          <w:sz w:val="22"/>
          <w:szCs w:val="22"/>
        </w:rPr>
      </w:pPr>
      <w:r w:rsidRPr="00CE5678">
        <w:rPr>
          <w:sz w:val="22"/>
          <w:szCs w:val="22"/>
        </w:rPr>
        <w:t>Remisija: bez razbuktavanja i normalizacija vrijednosti CRP-a</w:t>
      </w:r>
    </w:p>
    <w:p w14:paraId="67A03863" w14:textId="77777777" w:rsidR="00CC2B31" w:rsidRPr="00CE5678" w:rsidRDefault="00CC2B31">
      <w:pPr>
        <w:widowControl w:val="0"/>
        <w:jc w:val="both"/>
        <w:rPr>
          <w:sz w:val="22"/>
          <w:szCs w:val="22"/>
        </w:rPr>
      </w:pPr>
      <w:r w:rsidRPr="00CE5678">
        <w:rPr>
          <w:sz w:val="22"/>
          <w:szCs w:val="22"/>
        </w:rPr>
        <w:t>Održana remisija: remisija od 12. do 52. nedjelje – pacijenti se moraju pridržavati postupnog smanjivanja doze prednizona efinisanim planom ispitivanja</w:t>
      </w:r>
    </w:p>
    <w:p w14:paraId="08A02B53" w14:textId="77777777" w:rsidR="00CC2B31" w:rsidRPr="00CE5678" w:rsidRDefault="00CC2B31">
      <w:pPr>
        <w:widowControl w:val="0"/>
        <w:jc w:val="both"/>
        <w:rPr>
          <w:sz w:val="22"/>
          <w:szCs w:val="22"/>
        </w:rPr>
      </w:pPr>
      <w:r w:rsidRPr="00CE5678">
        <w:rPr>
          <w:sz w:val="22"/>
          <w:szCs w:val="22"/>
        </w:rPr>
        <w:t>¹ analiza vremena (u danima) između kliničke remisije i prvog razbuktavanja bolesti</w:t>
      </w:r>
    </w:p>
    <w:p w14:paraId="03AABE36" w14:textId="77777777" w:rsidR="00CC2B31" w:rsidRPr="00CE5678" w:rsidRDefault="00CC2B31">
      <w:pPr>
        <w:widowControl w:val="0"/>
        <w:jc w:val="both"/>
        <w:rPr>
          <w:sz w:val="22"/>
          <w:szCs w:val="22"/>
        </w:rPr>
      </w:pPr>
      <w:r w:rsidRPr="00CE5678">
        <w:rPr>
          <w:sz w:val="22"/>
          <w:szCs w:val="22"/>
          <w:vertAlign w:val="superscript"/>
        </w:rPr>
        <w:t>2</w:t>
      </w:r>
      <w:r w:rsidRPr="00CE5678">
        <w:rPr>
          <w:sz w:val="22"/>
          <w:szCs w:val="22"/>
        </w:rPr>
        <w:t xml:space="preserve"> p-vrijednosti određene su Van Elterenovom analizom za neparametrijske podatke</w:t>
      </w:r>
    </w:p>
    <w:p w14:paraId="484FD3CA" w14:textId="118275F5" w:rsidR="00CC2B31" w:rsidRPr="00CE5678" w:rsidRDefault="00CC2B31">
      <w:pPr>
        <w:widowControl w:val="0"/>
        <w:jc w:val="both"/>
        <w:rPr>
          <w:sz w:val="22"/>
          <w:szCs w:val="22"/>
        </w:rPr>
      </w:pPr>
      <w:r w:rsidRPr="00CE5678">
        <w:rPr>
          <w:sz w:val="22"/>
          <w:szCs w:val="22"/>
        </w:rPr>
        <w:t>§ ni</w:t>
      </w:r>
      <w:r w:rsidR="000A085D" w:rsidRPr="00CE5678">
        <w:rPr>
          <w:sz w:val="22"/>
          <w:szCs w:val="22"/>
        </w:rPr>
        <w:t>je</w:t>
      </w:r>
      <w:r w:rsidRPr="00CE5678">
        <w:rPr>
          <w:sz w:val="22"/>
          <w:szCs w:val="22"/>
        </w:rPr>
        <w:t>su sprovedene statističke analize</w:t>
      </w:r>
    </w:p>
    <w:p w14:paraId="397CD2BC" w14:textId="77777777" w:rsidR="00CC2B31" w:rsidRPr="00CE5678" w:rsidRDefault="00CC2B31">
      <w:pPr>
        <w:widowControl w:val="0"/>
        <w:jc w:val="both"/>
        <w:rPr>
          <w:sz w:val="22"/>
          <w:szCs w:val="22"/>
        </w:rPr>
      </w:pPr>
      <w:r w:rsidRPr="00CE5678">
        <w:rPr>
          <w:sz w:val="22"/>
          <w:szCs w:val="22"/>
        </w:rPr>
        <w:t>N/P= nije primjenjivo</w:t>
      </w:r>
    </w:p>
    <w:p w14:paraId="04AD54C9" w14:textId="77777777" w:rsidR="00CC2B31" w:rsidRPr="00CE5678" w:rsidRDefault="00CC2B31">
      <w:pPr>
        <w:widowControl w:val="0"/>
        <w:jc w:val="both"/>
        <w:rPr>
          <w:sz w:val="22"/>
          <w:szCs w:val="22"/>
        </w:rPr>
      </w:pPr>
      <w:r w:rsidRPr="00CE5678">
        <w:rPr>
          <w:sz w:val="22"/>
          <w:szCs w:val="22"/>
        </w:rPr>
        <w:t>HR = odnos hazarda</w:t>
      </w:r>
    </w:p>
    <w:p w14:paraId="089A585F" w14:textId="77777777" w:rsidR="00CC2B31" w:rsidRPr="00C65707" w:rsidRDefault="00CC2B31">
      <w:pPr>
        <w:widowControl w:val="0"/>
        <w:jc w:val="both"/>
        <w:rPr>
          <w:sz w:val="22"/>
          <w:szCs w:val="22"/>
        </w:rPr>
      </w:pPr>
      <w:r w:rsidRPr="00CE5678">
        <w:rPr>
          <w:sz w:val="22"/>
          <w:szCs w:val="22"/>
        </w:rPr>
        <w:t>CI = interval pouzdanosti</w:t>
      </w:r>
    </w:p>
    <w:p w14:paraId="62293921" w14:textId="1513F0D3" w:rsidR="008F510E" w:rsidRPr="00CE5678" w:rsidRDefault="008F510E">
      <w:pPr>
        <w:widowControl w:val="0"/>
        <w:jc w:val="both"/>
        <w:rPr>
          <w:sz w:val="22"/>
          <w:szCs w:val="22"/>
        </w:rPr>
      </w:pPr>
      <w:r w:rsidRPr="00CE5678">
        <w:rPr>
          <w:sz w:val="22"/>
          <w:szCs w:val="22"/>
        </w:rPr>
        <w:t>SC = su</w:t>
      </w:r>
      <w:r w:rsidR="00910BDC" w:rsidRPr="00CE5678">
        <w:rPr>
          <w:sz w:val="22"/>
          <w:szCs w:val="22"/>
        </w:rPr>
        <w:t>b</w:t>
      </w:r>
      <w:r w:rsidRPr="00CE5678">
        <w:rPr>
          <w:sz w:val="22"/>
          <w:szCs w:val="22"/>
        </w:rPr>
        <w:t>kutano</w:t>
      </w:r>
    </w:p>
    <w:p w14:paraId="243CF494" w14:textId="77777777" w:rsidR="00CC2B31" w:rsidRPr="00C65707" w:rsidRDefault="00CC2B31">
      <w:pPr>
        <w:widowControl w:val="0"/>
        <w:jc w:val="both"/>
        <w:rPr>
          <w:sz w:val="22"/>
          <w:szCs w:val="22"/>
        </w:rPr>
      </w:pPr>
    </w:p>
    <w:p w14:paraId="517F90DB" w14:textId="77777777" w:rsidR="00CC2B31" w:rsidRPr="00C65707" w:rsidRDefault="00CC2B31">
      <w:pPr>
        <w:widowControl w:val="0"/>
        <w:jc w:val="both"/>
        <w:rPr>
          <w:sz w:val="22"/>
          <w:szCs w:val="22"/>
          <w:u w:val="single"/>
        </w:rPr>
      </w:pPr>
      <w:r w:rsidRPr="00C65707">
        <w:rPr>
          <w:sz w:val="22"/>
          <w:szCs w:val="22"/>
          <w:u w:val="single"/>
        </w:rPr>
        <w:t>Ishodi povezani sa kvalitetom života</w:t>
      </w:r>
    </w:p>
    <w:p w14:paraId="25E4F927" w14:textId="77777777" w:rsidR="00CC2B31" w:rsidRPr="002B3647" w:rsidRDefault="00CC2B31">
      <w:pPr>
        <w:widowControl w:val="0"/>
        <w:jc w:val="both"/>
        <w:rPr>
          <w:sz w:val="22"/>
          <w:szCs w:val="22"/>
          <w:u w:val="single"/>
        </w:rPr>
      </w:pPr>
    </w:p>
    <w:p w14:paraId="5C370D9B" w14:textId="63FD7AF5" w:rsidR="00CC2B31" w:rsidRPr="00C65707" w:rsidRDefault="00CC2B31">
      <w:pPr>
        <w:widowControl w:val="0"/>
        <w:jc w:val="both"/>
        <w:rPr>
          <w:sz w:val="22"/>
          <w:szCs w:val="22"/>
        </w:rPr>
      </w:pPr>
      <w:r w:rsidRPr="002B3647">
        <w:rPr>
          <w:sz w:val="22"/>
          <w:szCs w:val="22"/>
        </w:rPr>
        <w:t>U studiji WA28119 rezultati upitnika SF 36 bili su razdvojeni na rezultat za fizičku i mentalnu komponentu. Srednja vrijednost promjene rezultata za fizičku komponentu od početka ispitivanja do 52. nedjel</w:t>
      </w:r>
      <w:r w:rsidRPr="00C65707">
        <w:rPr>
          <w:sz w:val="22"/>
          <w:szCs w:val="22"/>
        </w:rPr>
        <w:t xml:space="preserve">je je bila veća (pokazala je veće poboljšanje) u grupi koja je primala </w:t>
      </w:r>
      <w:r w:rsidR="00881327" w:rsidRPr="00C65707">
        <w:rPr>
          <w:sz w:val="22"/>
          <w:szCs w:val="22"/>
        </w:rPr>
        <w:t>tocilizumab</w:t>
      </w:r>
      <w:r w:rsidRPr="00C65707">
        <w:rPr>
          <w:sz w:val="22"/>
          <w:szCs w:val="22"/>
        </w:rPr>
        <w:t xml:space="preserve"> jednom nedjeljno ili jednom svake druge nedjelje (4,10 odnosno 2,76) nego u dvije grupe koje su primale placebo (placebo plus 26 nedjelja prednizona: </w:t>
      </w:r>
      <w:r w:rsidR="00EB461E">
        <w:rPr>
          <w:sz w:val="22"/>
          <w:szCs w:val="22"/>
        </w:rPr>
        <w:t>-</w:t>
      </w:r>
      <w:r w:rsidRPr="00C65707">
        <w:rPr>
          <w:sz w:val="22"/>
          <w:szCs w:val="22"/>
        </w:rPr>
        <w:t xml:space="preserve">0,28; placebo plus 52 nedjelje prednizona:  </w:t>
      </w:r>
      <w:r w:rsidR="00EB461E">
        <w:rPr>
          <w:sz w:val="22"/>
          <w:szCs w:val="22"/>
        </w:rPr>
        <w:t>-</w:t>
      </w:r>
      <w:r w:rsidRPr="00C65707">
        <w:rPr>
          <w:sz w:val="22"/>
          <w:szCs w:val="22"/>
        </w:rPr>
        <w:t xml:space="preserve">1,49), premda je samo poređenje grupe koja je primala </w:t>
      </w:r>
      <w:r w:rsidR="00881327" w:rsidRPr="00C65707">
        <w:rPr>
          <w:sz w:val="22"/>
          <w:szCs w:val="22"/>
        </w:rPr>
        <w:t>tocilizumab</w:t>
      </w:r>
      <w:r w:rsidRPr="00C65707">
        <w:rPr>
          <w:sz w:val="22"/>
          <w:szCs w:val="22"/>
        </w:rPr>
        <w:t xml:space="preserve"> jednom nedjeljno plus 26-nedjeljni režim postupnog smanjenja doze prednizona i grupe koja je primala placebo plus 52-nedjeljni režim postupnog smanjenja doze prednizona (5,59; 99% CI: 8,6; 10,32) pokazala statistički značajnu razliku (p = 0,0024). Srednja vrijednost promjene rezultata za mentalnu komponentu od početka ispitivanja do 52. nedjelje u grupi koja je primala </w:t>
      </w:r>
      <w:r w:rsidR="00881327" w:rsidRPr="00C65707">
        <w:rPr>
          <w:sz w:val="22"/>
          <w:szCs w:val="22"/>
        </w:rPr>
        <w:t>tocilizumab</w:t>
      </w:r>
      <w:r w:rsidRPr="00C65707">
        <w:rPr>
          <w:sz w:val="22"/>
          <w:szCs w:val="22"/>
        </w:rPr>
        <w:t xml:space="preserve"> jednom nedjeljno ili jednom svake druge nedjelje (7,28 odnosno 6,12) bila je veća nego u grupi koja je primala placebo plus 52-nedjeljni režim postupnog smanjenja doze </w:t>
      </w:r>
      <w:r w:rsidRPr="00C65707">
        <w:rPr>
          <w:sz w:val="22"/>
          <w:szCs w:val="22"/>
        </w:rPr>
        <w:lastRenderedPageBreak/>
        <w:t>prednizona (2,84) (premda razlike ni</w:t>
      </w:r>
      <w:r w:rsidR="000A085D" w:rsidRPr="00C65707">
        <w:rPr>
          <w:sz w:val="22"/>
          <w:szCs w:val="22"/>
        </w:rPr>
        <w:t>je</w:t>
      </w:r>
      <w:r w:rsidRPr="00C65707">
        <w:rPr>
          <w:sz w:val="22"/>
          <w:szCs w:val="22"/>
        </w:rPr>
        <w:t xml:space="preserve">su bile statistički značajne [p = 0,0252 za primjenu jednom nedjeljno; p = 0,1468 za primjenu jednom svaku drugu nedjelju]) te slična kao u grupi koja je primala placebo plus 26-nedjeljni režim postupnog smanjenja doze prednizona (6,67). </w:t>
      </w:r>
    </w:p>
    <w:p w14:paraId="4711D53D" w14:textId="77777777" w:rsidR="00CC2B31" w:rsidRPr="00C65707" w:rsidRDefault="00CC2B31">
      <w:pPr>
        <w:widowControl w:val="0"/>
        <w:jc w:val="both"/>
        <w:rPr>
          <w:sz w:val="22"/>
          <w:szCs w:val="22"/>
        </w:rPr>
      </w:pPr>
    </w:p>
    <w:p w14:paraId="122E6E83" w14:textId="12C25E1A" w:rsidR="00CC2B31" w:rsidRPr="00C65707" w:rsidRDefault="00CC2B31">
      <w:pPr>
        <w:widowControl w:val="0"/>
        <w:jc w:val="both"/>
        <w:rPr>
          <w:sz w:val="22"/>
          <w:szCs w:val="22"/>
        </w:rPr>
      </w:pPr>
      <w:r w:rsidRPr="00C65707">
        <w:rPr>
          <w:sz w:val="22"/>
          <w:szCs w:val="22"/>
        </w:rPr>
        <w:t xml:space="preserve">Pacijentova opšta ocjena aktivnosti bolesti zasnivala se na vizualnoj analognoj ljestvici (engl. visual analogue scale, VAS) od 0 do 100 mm. Srednja vrijednost promjene pacijentove opšte ocjene prema VAS ljestvici od početka ispitivanja do 52. nedjelje bila je manja (što ukazuje na veće poboljšanje) u grupi koja je primala </w:t>
      </w:r>
      <w:r w:rsidR="00881327" w:rsidRPr="00C65707">
        <w:rPr>
          <w:sz w:val="22"/>
          <w:szCs w:val="22"/>
        </w:rPr>
        <w:t>tocilizumab</w:t>
      </w:r>
      <w:r w:rsidRPr="00C65707">
        <w:rPr>
          <w:sz w:val="22"/>
          <w:szCs w:val="22"/>
        </w:rPr>
        <w:t xml:space="preserve"> jednom nedjeljno ili jednom svake druge nedjelje ( </w:t>
      </w:r>
      <w:r w:rsidR="00EB461E">
        <w:rPr>
          <w:sz w:val="22"/>
          <w:szCs w:val="22"/>
        </w:rPr>
        <w:t>-</w:t>
      </w:r>
      <w:r w:rsidRPr="00C65707">
        <w:rPr>
          <w:sz w:val="22"/>
          <w:szCs w:val="22"/>
        </w:rPr>
        <w:t xml:space="preserve">19,0 odnosno </w:t>
      </w:r>
      <w:r w:rsidR="00EB461E">
        <w:rPr>
          <w:sz w:val="22"/>
          <w:szCs w:val="22"/>
        </w:rPr>
        <w:t>-</w:t>
      </w:r>
      <w:r w:rsidRPr="00C65707">
        <w:rPr>
          <w:sz w:val="22"/>
          <w:szCs w:val="22"/>
        </w:rPr>
        <w:t xml:space="preserve">25,3) nego u obje grupe koje su primale placebo (placebo plus 26 nedjelja prednizona:  3,4; placebo plus 52 nedjelje prednizona: </w:t>
      </w:r>
      <w:r w:rsidR="00EB461E">
        <w:rPr>
          <w:sz w:val="22"/>
          <w:szCs w:val="22"/>
        </w:rPr>
        <w:t>-</w:t>
      </w:r>
      <w:r w:rsidRPr="00C65707">
        <w:rPr>
          <w:sz w:val="22"/>
          <w:szCs w:val="22"/>
        </w:rPr>
        <w:t xml:space="preserve">7,2), ali je samo grupa koja je primala </w:t>
      </w:r>
      <w:r w:rsidR="00881327" w:rsidRPr="00C65707">
        <w:rPr>
          <w:sz w:val="22"/>
          <w:szCs w:val="22"/>
        </w:rPr>
        <w:t>tocilizumab</w:t>
      </w:r>
      <w:r w:rsidRPr="00C65707">
        <w:rPr>
          <w:sz w:val="22"/>
          <w:szCs w:val="22"/>
        </w:rPr>
        <w:t xml:space="preserve"> jednom svake druge nedjelje plus 26-nedjeljni režim postupnog smanjenja doze prednizona ostvarila statistički značajnu razliku u odnosu na placebo (p = 0,0059 za placebo plus 26-nedjeljno postupno smanjivanje doze; p = 0,0081 za placebo plus 52-nedjeljno postupno smanjivanje doze). </w:t>
      </w:r>
    </w:p>
    <w:p w14:paraId="1A5259E7" w14:textId="77777777" w:rsidR="00CC2B31" w:rsidRPr="00C65707" w:rsidRDefault="00CC2B31">
      <w:pPr>
        <w:widowControl w:val="0"/>
        <w:jc w:val="both"/>
        <w:rPr>
          <w:sz w:val="22"/>
          <w:szCs w:val="22"/>
        </w:rPr>
      </w:pPr>
    </w:p>
    <w:p w14:paraId="644FC33D" w14:textId="6C742B3C" w:rsidR="00CC2B31" w:rsidRPr="00C65707" w:rsidRDefault="00CC2B31">
      <w:pPr>
        <w:widowControl w:val="0"/>
        <w:jc w:val="both"/>
        <w:rPr>
          <w:sz w:val="22"/>
          <w:szCs w:val="22"/>
        </w:rPr>
      </w:pPr>
      <w:r w:rsidRPr="00C65707">
        <w:rPr>
          <w:sz w:val="22"/>
          <w:szCs w:val="22"/>
        </w:rPr>
        <w:t xml:space="preserve">Promjena FACIT rezultata za umor od početka ispitivanja do 52. nedjelje izračunavala se za sve grupe. Srednja vrijednost (SD) promjene rezultata iznosila je 5,61 (10,115) za </w:t>
      </w:r>
      <w:r w:rsidR="00881327" w:rsidRPr="00C65707">
        <w:rPr>
          <w:sz w:val="22"/>
          <w:szCs w:val="22"/>
        </w:rPr>
        <w:t>tocilizumab</w:t>
      </w:r>
      <w:r w:rsidRPr="00C65707">
        <w:rPr>
          <w:sz w:val="22"/>
          <w:szCs w:val="22"/>
        </w:rPr>
        <w:t xml:space="preserve"> jednom nedjeljno plus 26 nedjelje prednizona, 1,81 (8,836) za </w:t>
      </w:r>
      <w:r w:rsidR="00881327" w:rsidRPr="00C65707">
        <w:rPr>
          <w:sz w:val="22"/>
          <w:szCs w:val="22"/>
        </w:rPr>
        <w:t>tocilizumab</w:t>
      </w:r>
      <w:r w:rsidRPr="00C65707">
        <w:rPr>
          <w:sz w:val="22"/>
          <w:szCs w:val="22"/>
        </w:rPr>
        <w:t xml:space="preserve"> jednom svaku drugu nedjelju plus 26 nedjelja prednizona, 0,26 (10,702) za placebo plus 26 nedjelja prednizona, te </w:t>
      </w:r>
      <w:r w:rsidR="00EB461E">
        <w:rPr>
          <w:sz w:val="22"/>
          <w:szCs w:val="22"/>
        </w:rPr>
        <w:t>-</w:t>
      </w:r>
      <w:r w:rsidRPr="00C65707">
        <w:rPr>
          <w:sz w:val="22"/>
          <w:szCs w:val="22"/>
        </w:rPr>
        <w:t>1,63 (6,753) za placebo plus 52 nedjelje prednizona.</w:t>
      </w:r>
    </w:p>
    <w:p w14:paraId="6301F092" w14:textId="77777777" w:rsidR="00CC2B31" w:rsidRPr="00C65707" w:rsidRDefault="00CC2B31">
      <w:pPr>
        <w:widowControl w:val="0"/>
        <w:jc w:val="both"/>
        <w:rPr>
          <w:sz w:val="22"/>
          <w:szCs w:val="22"/>
        </w:rPr>
      </w:pPr>
    </w:p>
    <w:p w14:paraId="5C770314" w14:textId="0078EBB2" w:rsidR="00CC2B31" w:rsidRPr="00C65707" w:rsidRDefault="0043466A">
      <w:pPr>
        <w:widowControl w:val="0"/>
        <w:jc w:val="both"/>
        <w:rPr>
          <w:sz w:val="22"/>
          <w:szCs w:val="22"/>
        </w:rPr>
      </w:pPr>
      <w:r w:rsidRPr="00C65707">
        <w:rPr>
          <w:sz w:val="22"/>
          <w:szCs w:val="22"/>
        </w:rPr>
        <w:t>Promjena rezultata upitnika EQ-</w:t>
      </w:r>
      <w:r w:rsidR="00CC2B31" w:rsidRPr="00C65707">
        <w:rPr>
          <w:sz w:val="22"/>
          <w:szCs w:val="22"/>
        </w:rPr>
        <w:t xml:space="preserve">5D od početka studije do 52. nedjelje je iznosila 0,10 (0,198) za </w:t>
      </w:r>
      <w:r w:rsidR="00881327" w:rsidRPr="00C65707">
        <w:rPr>
          <w:sz w:val="22"/>
          <w:szCs w:val="22"/>
        </w:rPr>
        <w:t>tocilizumab</w:t>
      </w:r>
      <w:r w:rsidR="00CC2B31" w:rsidRPr="00C65707">
        <w:rPr>
          <w:sz w:val="22"/>
          <w:szCs w:val="22"/>
        </w:rPr>
        <w:t xml:space="preserve"> jednom nedjeljno plus 26 nedjelja prednizona, 0,05 (0,215) za </w:t>
      </w:r>
      <w:r w:rsidR="00881327" w:rsidRPr="00C65707">
        <w:rPr>
          <w:sz w:val="22"/>
          <w:szCs w:val="22"/>
        </w:rPr>
        <w:t>tocilizumab</w:t>
      </w:r>
      <w:r w:rsidR="00CC2B31" w:rsidRPr="00C65707">
        <w:rPr>
          <w:sz w:val="22"/>
          <w:szCs w:val="22"/>
        </w:rPr>
        <w:t xml:space="preserve"> jednom svake druge nedjelje plus 26 nedjelja prednizona, 0,07 (0,293) za placebo plus 26 nedjelje prednizona te </w:t>
      </w:r>
      <w:r w:rsidR="00EB461E">
        <w:rPr>
          <w:sz w:val="22"/>
          <w:szCs w:val="22"/>
        </w:rPr>
        <w:t>-</w:t>
      </w:r>
      <w:r w:rsidR="00CC2B31" w:rsidRPr="00C65707">
        <w:rPr>
          <w:sz w:val="22"/>
          <w:szCs w:val="22"/>
        </w:rPr>
        <w:t>0,02 (0,159) za placebo plus 52 nedjelje prednizona.</w:t>
      </w:r>
    </w:p>
    <w:p w14:paraId="5CBE01A3" w14:textId="77777777" w:rsidR="00CC2B31" w:rsidRPr="00C65707" w:rsidRDefault="00CC2B31">
      <w:pPr>
        <w:widowControl w:val="0"/>
        <w:jc w:val="both"/>
        <w:rPr>
          <w:sz w:val="22"/>
          <w:szCs w:val="22"/>
        </w:rPr>
      </w:pPr>
    </w:p>
    <w:p w14:paraId="0051AF39" w14:textId="77777777" w:rsidR="00CC2B31" w:rsidRPr="00C65707" w:rsidRDefault="00CC2B31">
      <w:pPr>
        <w:widowControl w:val="0"/>
        <w:jc w:val="both"/>
        <w:rPr>
          <w:sz w:val="22"/>
          <w:szCs w:val="22"/>
        </w:rPr>
      </w:pPr>
      <w:r w:rsidRPr="00C65707">
        <w:rPr>
          <w:sz w:val="22"/>
          <w:szCs w:val="22"/>
        </w:rPr>
        <w:t>Veće promjene FA</w:t>
      </w:r>
      <w:r w:rsidR="0043466A" w:rsidRPr="00C65707">
        <w:rPr>
          <w:sz w:val="22"/>
          <w:szCs w:val="22"/>
        </w:rPr>
        <w:t>CIT rezultata za umor i EQ-</w:t>
      </w:r>
      <w:r w:rsidRPr="00C65707">
        <w:rPr>
          <w:sz w:val="22"/>
          <w:szCs w:val="22"/>
        </w:rPr>
        <w:t>5D rezultata ukazuju na poboljšanje.</w:t>
      </w:r>
    </w:p>
    <w:p w14:paraId="58BBCB7D" w14:textId="77777777" w:rsidR="00CC2B31" w:rsidRPr="00C65707" w:rsidRDefault="00CC2B31">
      <w:pPr>
        <w:widowControl w:val="0"/>
        <w:jc w:val="both"/>
        <w:rPr>
          <w:sz w:val="22"/>
          <w:szCs w:val="22"/>
        </w:rPr>
      </w:pPr>
    </w:p>
    <w:p w14:paraId="377A5394" w14:textId="77777777" w:rsidR="00CC2B31" w:rsidRPr="00C65707" w:rsidRDefault="00CC2B31" w:rsidP="00CE5678">
      <w:pPr>
        <w:pStyle w:val="Header"/>
        <w:widowControl w:val="0"/>
        <w:tabs>
          <w:tab w:val="left" w:pos="284"/>
        </w:tabs>
        <w:spacing w:line="360" w:lineRule="auto"/>
        <w:jc w:val="both"/>
        <w:rPr>
          <w:b/>
          <w:sz w:val="22"/>
          <w:szCs w:val="22"/>
          <w:u w:val="single"/>
        </w:rPr>
      </w:pPr>
      <w:r w:rsidRPr="00C65707">
        <w:rPr>
          <w:b/>
          <w:sz w:val="22"/>
          <w:szCs w:val="22"/>
          <w:u w:val="single"/>
        </w:rPr>
        <w:t>Intravenska primjena</w:t>
      </w:r>
    </w:p>
    <w:p w14:paraId="6AE51C78" w14:textId="3A7BE917" w:rsidR="00CC2B31" w:rsidRPr="00C65707" w:rsidRDefault="00881327">
      <w:pPr>
        <w:pStyle w:val="Header"/>
        <w:widowControl w:val="0"/>
        <w:tabs>
          <w:tab w:val="left" w:pos="284"/>
        </w:tabs>
        <w:jc w:val="both"/>
        <w:rPr>
          <w:bCs/>
          <w:i/>
          <w:iCs/>
          <w:sz w:val="22"/>
          <w:szCs w:val="22"/>
          <w:u w:val="single"/>
        </w:rPr>
      </w:pPr>
      <w:r w:rsidRPr="00C65707">
        <w:rPr>
          <w:bCs/>
          <w:i/>
          <w:iCs/>
          <w:sz w:val="22"/>
          <w:szCs w:val="22"/>
          <w:u w:val="single"/>
        </w:rPr>
        <w:t>Pacijenti s</w:t>
      </w:r>
      <w:r w:rsidR="00D74543" w:rsidRPr="00C65707">
        <w:rPr>
          <w:bCs/>
          <w:i/>
          <w:iCs/>
          <w:sz w:val="22"/>
          <w:szCs w:val="22"/>
          <w:u w:val="single"/>
        </w:rPr>
        <w:t>a</w:t>
      </w:r>
      <w:r w:rsidRPr="00C65707">
        <w:rPr>
          <w:bCs/>
          <w:i/>
          <w:iCs/>
          <w:sz w:val="22"/>
          <w:szCs w:val="22"/>
          <w:u w:val="single"/>
        </w:rPr>
        <w:t xml:space="preserve"> </w:t>
      </w:r>
      <w:r w:rsidR="00CC2B31" w:rsidRPr="00C65707">
        <w:rPr>
          <w:bCs/>
          <w:i/>
          <w:iCs/>
          <w:sz w:val="22"/>
          <w:szCs w:val="22"/>
          <w:u w:val="single"/>
        </w:rPr>
        <w:t>RA</w:t>
      </w:r>
    </w:p>
    <w:p w14:paraId="72822146" w14:textId="77777777" w:rsidR="00EA4C74" w:rsidRPr="00C65707" w:rsidRDefault="00EA4C74">
      <w:pPr>
        <w:pStyle w:val="Header"/>
        <w:widowControl w:val="0"/>
        <w:tabs>
          <w:tab w:val="left" w:pos="284"/>
        </w:tabs>
        <w:jc w:val="both"/>
        <w:rPr>
          <w:sz w:val="22"/>
          <w:szCs w:val="22"/>
          <w:u w:val="single"/>
        </w:rPr>
      </w:pPr>
    </w:p>
    <w:p w14:paraId="05437A09" w14:textId="77777777" w:rsidR="00CC2B31" w:rsidRPr="00C65707" w:rsidRDefault="00CC2B31">
      <w:pPr>
        <w:pStyle w:val="Header"/>
        <w:widowControl w:val="0"/>
        <w:tabs>
          <w:tab w:val="left" w:pos="284"/>
        </w:tabs>
        <w:jc w:val="both"/>
        <w:rPr>
          <w:sz w:val="22"/>
          <w:szCs w:val="22"/>
          <w:u w:val="single"/>
        </w:rPr>
      </w:pPr>
      <w:r w:rsidRPr="00C65707">
        <w:rPr>
          <w:sz w:val="22"/>
          <w:szCs w:val="22"/>
          <w:u w:val="single"/>
        </w:rPr>
        <w:t xml:space="preserve">Klinička efikasnost </w:t>
      </w:r>
    </w:p>
    <w:p w14:paraId="08AD6BA3" w14:textId="1092D428" w:rsidR="00CC2B31" w:rsidRPr="00C65707" w:rsidRDefault="00CC2B31">
      <w:pPr>
        <w:pStyle w:val="Header"/>
        <w:widowControl w:val="0"/>
        <w:tabs>
          <w:tab w:val="left" w:pos="284"/>
        </w:tabs>
        <w:jc w:val="both"/>
        <w:rPr>
          <w:sz w:val="22"/>
          <w:szCs w:val="22"/>
        </w:rPr>
      </w:pPr>
      <w:r w:rsidRPr="00C65707">
        <w:rPr>
          <w:sz w:val="22"/>
          <w:szCs w:val="22"/>
        </w:rPr>
        <w:t xml:space="preserve">Efikasnost </w:t>
      </w:r>
      <w:r w:rsidR="002006FD" w:rsidRPr="00C65707">
        <w:rPr>
          <w:sz w:val="22"/>
          <w:szCs w:val="22"/>
        </w:rPr>
        <w:t>tocilizumaba</w:t>
      </w:r>
      <w:r w:rsidRPr="00C65707">
        <w:rPr>
          <w:sz w:val="22"/>
          <w:szCs w:val="22"/>
        </w:rPr>
        <w:t xml:space="preserve"> za ublažavanje znakova i simptoma RA procjenjivana je u pet randomizovanih, dvostruko-slijepih, multicentričnih studija. U studije I-V uključeni su pacijenti uzrasta </w:t>
      </w:r>
      <w:r w:rsidRPr="00C65707">
        <w:rPr>
          <w:sz w:val="22"/>
          <w:szCs w:val="22"/>
        </w:rPr>
        <w:sym w:font="Symbol" w:char="F0B3"/>
      </w:r>
      <w:r w:rsidRPr="00C65707">
        <w:rPr>
          <w:sz w:val="22"/>
          <w:szCs w:val="22"/>
        </w:rPr>
        <w:t xml:space="preserve"> 18 godina kod kojih je aktivni RA dijagnostikovan po kriterijumima Američkog koledža za reumatologiju (ACR) i koji su prije uvođenja terapije (bazalni nivo) imali najmanje osam osjetljivih i šest otečenih zglobova. </w:t>
      </w:r>
    </w:p>
    <w:p w14:paraId="000700D2" w14:textId="77777777" w:rsidR="00CC2B31" w:rsidRPr="002B3647" w:rsidRDefault="00CC2B31">
      <w:pPr>
        <w:pStyle w:val="Header"/>
        <w:widowControl w:val="0"/>
        <w:tabs>
          <w:tab w:val="left" w:pos="284"/>
        </w:tabs>
        <w:jc w:val="both"/>
        <w:rPr>
          <w:sz w:val="22"/>
          <w:szCs w:val="22"/>
        </w:rPr>
      </w:pPr>
    </w:p>
    <w:p w14:paraId="27B71909" w14:textId="61D6787F" w:rsidR="00CC2B31" w:rsidRPr="00C65707" w:rsidRDefault="00CC2B31">
      <w:pPr>
        <w:pStyle w:val="Header"/>
        <w:widowControl w:val="0"/>
        <w:tabs>
          <w:tab w:val="left" w:pos="284"/>
        </w:tabs>
        <w:jc w:val="both"/>
        <w:rPr>
          <w:sz w:val="22"/>
          <w:szCs w:val="22"/>
        </w:rPr>
      </w:pPr>
      <w:r w:rsidRPr="00C65707">
        <w:rPr>
          <w:sz w:val="22"/>
          <w:szCs w:val="22"/>
        </w:rPr>
        <w:t xml:space="preserve">U studiji I, </w:t>
      </w:r>
      <w:r w:rsidR="002006FD" w:rsidRPr="00C65707">
        <w:rPr>
          <w:sz w:val="22"/>
          <w:szCs w:val="22"/>
        </w:rPr>
        <w:t>tocilizumab</w:t>
      </w:r>
      <w:r w:rsidRPr="00C65707">
        <w:rPr>
          <w:sz w:val="22"/>
          <w:szCs w:val="22"/>
        </w:rPr>
        <w:t xml:space="preserve"> je davan intravenski jednom u četiri nedjelje kao monoterapija. U studijama II, III i V, l</w:t>
      </w:r>
      <w:r w:rsidR="002006FD" w:rsidRPr="00C65707">
        <w:rPr>
          <w:sz w:val="22"/>
          <w:szCs w:val="22"/>
        </w:rPr>
        <w:t>tocilizumab</w:t>
      </w:r>
      <w:r w:rsidRPr="00C65707">
        <w:rPr>
          <w:sz w:val="22"/>
          <w:szCs w:val="22"/>
        </w:rPr>
        <w:t xml:space="preserve"> je davan intravenski jednom u četiri nedjelje u kombinaciji sa MTX</w:t>
      </w:r>
      <w:r w:rsidR="002006FD" w:rsidRPr="00C65707">
        <w:rPr>
          <w:sz w:val="22"/>
          <w:szCs w:val="22"/>
        </w:rPr>
        <w:t>-om</w:t>
      </w:r>
      <w:r w:rsidRPr="00C65707">
        <w:rPr>
          <w:sz w:val="22"/>
          <w:szCs w:val="22"/>
        </w:rPr>
        <w:t xml:space="preserve"> u poređenju sa grupama koje su primale placebo i MTX. U studiji IV, </w:t>
      </w:r>
      <w:r w:rsidR="002006FD" w:rsidRPr="00C65707">
        <w:rPr>
          <w:sz w:val="22"/>
          <w:szCs w:val="22"/>
        </w:rPr>
        <w:t>tocilizumab</w:t>
      </w:r>
      <w:r w:rsidRPr="00C65707">
        <w:rPr>
          <w:sz w:val="22"/>
          <w:szCs w:val="22"/>
        </w:rPr>
        <w:t xml:space="preserve"> je davan intravenski jednom u četiri nedjelje u kombinaciji sa drugim DMARD u poređenju sa grupama koje su primale placebo i druge DMARD. Primarna krajnja tačka u svakoj od ovih pet studija bio je procenat pacijenata koji su postigli odgovor ACR 20 u 24 nedjelji. </w:t>
      </w:r>
    </w:p>
    <w:p w14:paraId="36483035" w14:textId="77777777" w:rsidR="00CC2B31" w:rsidRPr="00C65707" w:rsidRDefault="00CC2B31">
      <w:pPr>
        <w:pStyle w:val="Header"/>
        <w:widowControl w:val="0"/>
        <w:tabs>
          <w:tab w:val="left" w:pos="284"/>
        </w:tabs>
        <w:jc w:val="both"/>
        <w:rPr>
          <w:sz w:val="22"/>
          <w:szCs w:val="22"/>
        </w:rPr>
      </w:pPr>
    </w:p>
    <w:p w14:paraId="0A6E42BD" w14:textId="7BD980B7" w:rsidR="00CC2B31" w:rsidRPr="00C65707" w:rsidRDefault="00CC2B31">
      <w:pPr>
        <w:pStyle w:val="Header"/>
        <w:widowControl w:val="0"/>
        <w:tabs>
          <w:tab w:val="left" w:pos="284"/>
        </w:tabs>
        <w:jc w:val="both"/>
        <w:rPr>
          <w:sz w:val="22"/>
          <w:szCs w:val="22"/>
        </w:rPr>
      </w:pPr>
      <w:r w:rsidRPr="00C65707">
        <w:rPr>
          <w:sz w:val="22"/>
          <w:szCs w:val="22"/>
        </w:rPr>
        <w:t>Studijom I obuhvaćeno je 673 pacijenata koji nijesu primali MTX u periodu od šest mjeseci prije randomizacije i kojima terapija MTX</w:t>
      </w:r>
      <w:r w:rsidR="002006FD" w:rsidRPr="00C65707">
        <w:rPr>
          <w:sz w:val="22"/>
          <w:szCs w:val="22"/>
        </w:rPr>
        <w:t>-om</w:t>
      </w:r>
      <w:r w:rsidRPr="00C65707">
        <w:rPr>
          <w:sz w:val="22"/>
          <w:szCs w:val="22"/>
        </w:rPr>
        <w:t xml:space="preserve"> nije obustavljena kao rezultat klinički važnih toksičnih dejstava ili odsustva odgovora. Većina ovih pacijenata (67%) ranije nikada nijesu primali MTX. Primjenjivane su doze od 8 mg/kg </w:t>
      </w:r>
      <w:r w:rsidR="002006FD" w:rsidRPr="00C65707">
        <w:rPr>
          <w:sz w:val="22"/>
          <w:szCs w:val="22"/>
        </w:rPr>
        <w:t>tocilizumab</w:t>
      </w:r>
      <w:r w:rsidRPr="00C65707">
        <w:rPr>
          <w:sz w:val="22"/>
          <w:szCs w:val="22"/>
        </w:rPr>
        <w:t xml:space="preserve">a jednom u četiri nedjelje, kao monoterapija. Poredbena grupa primala je MTX jednom nedjeljno (doza titrirana od 7,5 mg do maksimalnih 20 mg nedjeljno tokom perioda od osam nedjelja). </w:t>
      </w:r>
    </w:p>
    <w:p w14:paraId="43030C33" w14:textId="77777777" w:rsidR="00CC2B31" w:rsidRPr="00C65707" w:rsidRDefault="00CC2B31">
      <w:pPr>
        <w:pStyle w:val="Header"/>
        <w:widowControl w:val="0"/>
        <w:tabs>
          <w:tab w:val="left" w:pos="284"/>
        </w:tabs>
        <w:jc w:val="both"/>
        <w:rPr>
          <w:sz w:val="22"/>
          <w:szCs w:val="22"/>
        </w:rPr>
      </w:pPr>
    </w:p>
    <w:p w14:paraId="66F7DB90" w14:textId="129A1FBC" w:rsidR="00CC2B31" w:rsidRPr="00C65707" w:rsidRDefault="00CC2B31">
      <w:pPr>
        <w:pStyle w:val="Header"/>
        <w:widowControl w:val="0"/>
        <w:tabs>
          <w:tab w:val="left" w:pos="284"/>
        </w:tabs>
        <w:jc w:val="both"/>
        <w:rPr>
          <w:sz w:val="22"/>
          <w:szCs w:val="22"/>
        </w:rPr>
      </w:pPr>
      <w:r w:rsidRPr="00C65707">
        <w:rPr>
          <w:sz w:val="22"/>
          <w:szCs w:val="22"/>
        </w:rPr>
        <w:t xml:space="preserve">Studijom II, koja je trajala dvije godine i imala planirane analize 24., 52. nedjelje i 104. nedjelje, obuhvaćeno je 1196 pacijenata čiji klinički odgovor na MTX nije bio adekvatan. Doze od 4 ili 8 mg/kg </w:t>
      </w:r>
      <w:r w:rsidR="002006FD" w:rsidRPr="00C65707">
        <w:rPr>
          <w:sz w:val="22"/>
          <w:szCs w:val="22"/>
        </w:rPr>
        <w:t>tocilizumab</w:t>
      </w:r>
      <w:r w:rsidRPr="00C65707">
        <w:rPr>
          <w:sz w:val="22"/>
          <w:szCs w:val="22"/>
        </w:rPr>
        <w:t>a ili placebo davane su jednom u četiri nedjelje, koristeći „slijepu“ metodu, tokom 52 nedjelje u kombinaciji sa stabilnim MTX</w:t>
      </w:r>
      <w:r w:rsidR="002006FD" w:rsidRPr="00C65707">
        <w:rPr>
          <w:sz w:val="22"/>
          <w:szCs w:val="22"/>
        </w:rPr>
        <w:t>-om</w:t>
      </w:r>
      <w:r w:rsidRPr="00C65707">
        <w:rPr>
          <w:sz w:val="22"/>
          <w:szCs w:val="22"/>
        </w:rPr>
        <w:t xml:space="preserve"> (10 mg do 25 mg nedjeljno). Nakon 52. nedjelje, u otvorenoj fazi ispitivanja svi su pacijenti mogli primati </w:t>
      </w:r>
      <w:r w:rsidR="002006FD" w:rsidRPr="00C65707">
        <w:rPr>
          <w:sz w:val="22"/>
          <w:szCs w:val="22"/>
        </w:rPr>
        <w:t>tocilizumab</w:t>
      </w:r>
      <w:r w:rsidRPr="00C65707">
        <w:rPr>
          <w:sz w:val="22"/>
          <w:szCs w:val="22"/>
        </w:rPr>
        <w:t xml:space="preserve"> u dozi od 8 mg/kg. Od pacijenata koji su dovršili ispitivanje i koji su prvobitno randomizovani za placebo + MTX, njih 86% primalo je u drugoj godini u otvorenoj fazi ispitivanja </w:t>
      </w:r>
      <w:r w:rsidR="002006FD" w:rsidRPr="00C65707">
        <w:rPr>
          <w:sz w:val="22"/>
          <w:szCs w:val="22"/>
        </w:rPr>
        <w:t>tocilizumab</w:t>
      </w:r>
      <w:r w:rsidRPr="00C65707">
        <w:rPr>
          <w:sz w:val="22"/>
          <w:szCs w:val="22"/>
        </w:rPr>
        <w:t>a u dozi od 8 mg/kg. Primarna krajnja tačka 24. nedjelje bio je procenat pacijenata koji su postigli odgovor ACR 20. Poslije 52. i 104. nedjelje, ko-</w:t>
      </w:r>
      <w:r w:rsidRPr="00C65707">
        <w:rPr>
          <w:sz w:val="22"/>
          <w:szCs w:val="22"/>
        </w:rPr>
        <w:lastRenderedPageBreak/>
        <w:t>primarne krajnje tačke bile su prevencija oštećenja zglobova i poboljšanje fizičke funkcije.</w:t>
      </w:r>
    </w:p>
    <w:p w14:paraId="4DAF17C0" w14:textId="77777777" w:rsidR="00CC2B31" w:rsidRPr="00C65707" w:rsidRDefault="00CC2B31">
      <w:pPr>
        <w:pStyle w:val="Header"/>
        <w:widowControl w:val="0"/>
        <w:tabs>
          <w:tab w:val="left" w:pos="284"/>
        </w:tabs>
        <w:jc w:val="both"/>
        <w:rPr>
          <w:sz w:val="22"/>
          <w:szCs w:val="22"/>
        </w:rPr>
      </w:pPr>
    </w:p>
    <w:p w14:paraId="512F04EE" w14:textId="3DC03102" w:rsidR="00CC2B31" w:rsidRPr="00C65707" w:rsidRDefault="00CC2B31">
      <w:pPr>
        <w:pStyle w:val="Header"/>
        <w:widowControl w:val="0"/>
        <w:tabs>
          <w:tab w:val="left" w:pos="284"/>
        </w:tabs>
        <w:jc w:val="both"/>
        <w:rPr>
          <w:sz w:val="22"/>
          <w:szCs w:val="22"/>
        </w:rPr>
      </w:pPr>
      <w:r w:rsidRPr="00C65707">
        <w:rPr>
          <w:sz w:val="22"/>
          <w:szCs w:val="22"/>
        </w:rPr>
        <w:t xml:space="preserve">Studijom III obuhvaćeno je 623 pacijenata koji su imali neadekvatan klinički odgovor na MTX. Doze od 4 ili 8 mg/kg </w:t>
      </w:r>
      <w:r w:rsidR="002006FD" w:rsidRPr="00C65707">
        <w:rPr>
          <w:sz w:val="22"/>
          <w:szCs w:val="22"/>
        </w:rPr>
        <w:t>tocilizumaba</w:t>
      </w:r>
      <w:r w:rsidRPr="00C65707">
        <w:rPr>
          <w:sz w:val="22"/>
          <w:szCs w:val="22"/>
        </w:rPr>
        <w:t xml:space="preserve"> ili placebo davane su jednom u četiri nedjelje u kombinaciji sa stabilnim MTX</w:t>
      </w:r>
      <w:r w:rsidR="002006FD" w:rsidRPr="00C65707">
        <w:rPr>
          <w:sz w:val="22"/>
          <w:szCs w:val="22"/>
        </w:rPr>
        <w:t>-om</w:t>
      </w:r>
      <w:r w:rsidRPr="00C65707">
        <w:rPr>
          <w:sz w:val="22"/>
          <w:szCs w:val="22"/>
        </w:rPr>
        <w:t xml:space="preserve"> (10 mg do 25 mg nedjeljno). </w:t>
      </w:r>
    </w:p>
    <w:p w14:paraId="13DCF2AF" w14:textId="77777777" w:rsidR="00CC2B31" w:rsidRPr="00C65707" w:rsidRDefault="00CC2B31">
      <w:pPr>
        <w:pStyle w:val="Header"/>
        <w:widowControl w:val="0"/>
        <w:tabs>
          <w:tab w:val="left" w:pos="284"/>
        </w:tabs>
        <w:jc w:val="both"/>
        <w:rPr>
          <w:sz w:val="22"/>
          <w:szCs w:val="22"/>
        </w:rPr>
      </w:pPr>
    </w:p>
    <w:p w14:paraId="1E56DD59" w14:textId="53589F8F" w:rsidR="00CC2B31" w:rsidRPr="00C65707" w:rsidRDefault="00CC2B31">
      <w:pPr>
        <w:pStyle w:val="Header"/>
        <w:widowControl w:val="0"/>
        <w:tabs>
          <w:tab w:val="left" w:pos="284"/>
        </w:tabs>
        <w:jc w:val="both"/>
        <w:rPr>
          <w:sz w:val="22"/>
          <w:szCs w:val="22"/>
        </w:rPr>
      </w:pPr>
      <w:r w:rsidRPr="00C65707">
        <w:rPr>
          <w:sz w:val="22"/>
          <w:szCs w:val="22"/>
        </w:rPr>
        <w:t xml:space="preserve">Studijom IV obuhvaćeno je 1.220 pacijenata koji su imali neadekvatan odgovor na </w:t>
      </w:r>
      <w:r w:rsidR="002006FD" w:rsidRPr="00C65707">
        <w:rPr>
          <w:sz w:val="22"/>
          <w:szCs w:val="22"/>
        </w:rPr>
        <w:t xml:space="preserve">postojeću </w:t>
      </w:r>
      <w:r w:rsidRPr="00C65707">
        <w:rPr>
          <w:sz w:val="22"/>
          <w:szCs w:val="22"/>
        </w:rPr>
        <w:t xml:space="preserve">reumatološku terapiju uključujući i jedan ili više DMARD. Doze od 8 mg/kg </w:t>
      </w:r>
      <w:r w:rsidR="002006FD" w:rsidRPr="00C65707">
        <w:rPr>
          <w:sz w:val="22"/>
          <w:szCs w:val="22"/>
        </w:rPr>
        <w:t>tocilizumab</w:t>
      </w:r>
      <w:r w:rsidRPr="00C65707">
        <w:rPr>
          <w:sz w:val="22"/>
          <w:szCs w:val="22"/>
        </w:rPr>
        <w:t xml:space="preserve">a ili placebo davane su jednom u četiri nedjelje u kombinaciji sa stabilnim DMARD. </w:t>
      </w:r>
    </w:p>
    <w:p w14:paraId="05765489" w14:textId="77777777" w:rsidR="00CC2B31" w:rsidRPr="00C65707" w:rsidRDefault="00CC2B31">
      <w:pPr>
        <w:pStyle w:val="Header"/>
        <w:widowControl w:val="0"/>
        <w:tabs>
          <w:tab w:val="left" w:pos="284"/>
        </w:tabs>
        <w:jc w:val="both"/>
        <w:rPr>
          <w:sz w:val="22"/>
          <w:szCs w:val="22"/>
        </w:rPr>
      </w:pPr>
    </w:p>
    <w:p w14:paraId="2795BDE6" w14:textId="0F4E3475" w:rsidR="00CC2B31" w:rsidRPr="00C65707" w:rsidRDefault="00CC2B31">
      <w:pPr>
        <w:pStyle w:val="Header"/>
        <w:widowControl w:val="0"/>
        <w:tabs>
          <w:tab w:val="left" w:pos="284"/>
        </w:tabs>
        <w:jc w:val="both"/>
        <w:rPr>
          <w:sz w:val="22"/>
          <w:szCs w:val="22"/>
        </w:rPr>
      </w:pPr>
      <w:r w:rsidRPr="00C65707">
        <w:rPr>
          <w:sz w:val="22"/>
          <w:szCs w:val="22"/>
        </w:rPr>
        <w:t>Studijom V obuhvaćeno je 499 pacijenata koji su imali neadekvatan klinički odgovor na terapiju antagonistima TNF</w:t>
      </w:r>
      <w:r w:rsidR="002006FD" w:rsidRPr="00C65707">
        <w:rPr>
          <w:sz w:val="22"/>
          <w:szCs w:val="22"/>
        </w:rPr>
        <w:t>-a</w:t>
      </w:r>
      <w:r w:rsidRPr="00C65707">
        <w:rPr>
          <w:sz w:val="22"/>
          <w:szCs w:val="22"/>
        </w:rPr>
        <w:t>. Terapija antagonistima TNF</w:t>
      </w:r>
      <w:r w:rsidR="002006FD" w:rsidRPr="00C65707">
        <w:rPr>
          <w:sz w:val="22"/>
          <w:szCs w:val="22"/>
        </w:rPr>
        <w:t>-a</w:t>
      </w:r>
      <w:r w:rsidRPr="00C65707">
        <w:rPr>
          <w:sz w:val="22"/>
          <w:szCs w:val="22"/>
        </w:rPr>
        <w:t xml:space="preserve"> obustavljena je prije randomizacije. Doze od 4 ili 8 mg/kg </w:t>
      </w:r>
      <w:r w:rsidR="002006FD" w:rsidRPr="00C65707">
        <w:rPr>
          <w:sz w:val="22"/>
          <w:szCs w:val="22"/>
        </w:rPr>
        <w:t>tocilizumab</w:t>
      </w:r>
      <w:r w:rsidRPr="00C65707">
        <w:rPr>
          <w:sz w:val="22"/>
          <w:szCs w:val="22"/>
        </w:rPr>
        <w:t>a ili placebo davane su jednom u četiri nedjelje u kombinaciji sa stabiln</w:t>
      </w:r>
      <w:r w:rsidR="002006FD" w:rsidRPr="00C65707">
        <w:rPr>
          <w:sz w:val="22"/>
          <w:szCs w:val="22"/>
        </w:rPr>
        <w:t>om dozom</w:t>
      </w:r>
      <w:r w:rsidRPr="00C65707">
        <w:rPr>
          <w:sz w:val="22"/>
          <w:szCs w:val="22"/>
        </w:rPr>
        <w:t xml:space="preserve"> MTX</w:t>
      </w:r>
      <w:r w:rsidR="002006FD" w:rsidRPr="00C65707">
        <w:rPr>
          <w:sz w:val="22"/>
          <w:szCs w:val="22"/>
        </w:rPr>
        <w:t>-a</w:t>
      </w:r>
      <w:r w:rsidRPr="00C65707">
        <w:rPr>
          <w:sz w:val="22"/>
          <w:szCs w:val="22"/>
        </w:rPr>
        <w:t xml:space="preserve"> (10 mg do 25 mg nedjeljno). </w:t>
      </w:r>
    </w:p>
    <w:p w14:paraId="36A2E7E3" w14:textId="77777777" w:rsidR="00CC2B31" w:rsidRPr="00C65707" w:rsidRDefault="00CC2B31">
      <w:pPr>
        <w:pStyle w:val="Header"/>
        <w:widowControl w:val="0"/>
        <w:tabs>
          <w:tab w:val="left" w:pos="284"/>
        </w:tabs>
        <w:jc w:val="both"/>
        <w:rPr>
          <w:sz w:val="22"/>
          <w:szCs w:val="22"/>
        </w:rPr>
      </w:pPr>
    </w:p>
    <w:p w14:paraId="22A6C64F" w14:textId="77777777" w:rsidR="00CC2B31" w:rsidRPr="00C65707" w:rsidRDefault="00CC2B31">
      <w:pPr>
        <w:pStyle w:val="Header"/>
        <w:widowControl w:val="0"/>
        <w:tabs>
          <w:tab w:val="left" w:pos="284"/>
        </w:tabs>
        <w:jc w:val="both"/>
        <w:rPr>
          <w:sz w:val="22"/>
          <w:szCs w:val="22"/>
          <w:u w:val="single"/>
        </w:rPr>
      </w:pPr>
      <w:r w:rsidRPr="00C65707">
        <w:rPr>
          <w:sz w:val="22"/>
          <w:szCs w:val="22"/>
          <w:u w:val="single"/>
        </w:rPr>
        <w:t>Klinički odgovor</w:t>
      </w:r>
    </w:p>
    <w:p w14:paraId="73128C2E" w14:textId="0410790B" w:rsidR="00CC2B31" w:rsidRPr="00C65707" w:rsidRDefault="00CC2B31">
      <w:pPr>
        <w:pStyle w:val="Header"/>
        <w:widowControl w:val="0"/>
        <w:tabs>
          <w:tab w:val="left" w:pos="284"/>
        </w:tabs>
        <w:jc w:val="both"/>
        <w:rPr>
          <w:sz w:val="22"/>
          <w:szCs w:val="22"/>
        </w:rPr>
      </w:pPr>
      <w:r w:rsidRPr="00C65707">
        <w:rPr>
          <w:sz w:val="22"/>
          <w:szCs w:val="22"/>
        </w:rPr>
        <w:t xml:space="preserve">U svim studijama, pacijenti koji su primali </w:t>
      </w:r>
      <w:r w:rsidR="002006FD" w:rsidRPr="00C65707">
        <w:rPr>
          <w:sz w:val="22"/>
          <w:szCs w:val="22"/>
        </w:rPr>
        <w:t xml:space="preserve">tocilizumab u dozi od </w:t>
      </w:r>
      <w:r w:rsidRPr="00C65707">
        <w:rPr>
          <w:sz w:val="22"/>
          <w:szCs w:val="22"/>
        </w:rPr>
        <w:t xml:space="preserve"> 8 mg/kg imali su statistički značajno više stope odgovora ACR 20, 50, 70 poslije šest mjeseci u poređenju sa kontrolom (Tabela </w:t>
      </w:r>
      <w:r w:rsidR="002006FD" w:rsidRPr="00C65707">
        <w:rPr>
          <w:sz w:val="22"/>
          <w:szCs w:val="22"/>
        </w:rPr>
        <w:t>5</w:t>
      </w:r>
      <w:r w:rsidRPr="00C65707">
        <w:rPr>
          <w:sz w:val="22"/>
          <w:szCs w:val="22"/>
        </w:rPr>
        <w:t xml:space="preserve">). U studiji I, superiornost </w:t>
      </w:r>
      <w:r w:rsidR="002006FD" w:rsidRPr="00C65707">
        <w:rPr>
          <w:sz w:val="22"/>
          <w:szCs w:val="22"/>
        </w:rPr>
        <w:t>tocilizumab</w:t>
      </w:r>
      <w:r w:rsidRPr="00C65707">
        <w:rPr>
          <w:sz w:val="22"/>
          <w:szCs w:val="22"/>
        </w:rPr>
        <w:t xml:space="preserve">a </w:t>
      </w:r>
      <w:r w:rsidR="002006FD" w:rsidRPr="00C65707">
        <w:rPr>
          <w:sz w:val="22"/>
          <w:szCs w:val="22"/>
        </w:rPr>
        <w:t xml:space="preserve">u dozi od </w:t>
      </w:r>
      <w:r w:rsidRPr="00C65707">
        <w:rPr>
          <w:sz w:val="22"/>
          <w:szCs w:val="22"/>
        </w:rPr>
        <w:t>8 mg/kg pokazana je i u poređenju sa aktivnim poredbenim lijekom, MTX</w:t>
      </w:r>
      <w:r w:rsidR="002006FD" w:rsidRPr="00C65707">
        <w:rPr>
          <w:sz w:val="22"/>
          <w:szCs w:val="22"/>
        </w:rPr>
        <w:t>-om</w:t>
      </w:r>
      <w:r w:rsidRPr="00C65707">
        <w:rPr>
          <w:sz w:val="22"/>
          <w:szCs w:val="22"/>
        </w:rPr>
        <w:t>.</w:t>
      </w:r>
    </w:p>
    <w:p w14:paraId="2998A57E" w14:textId="77777777" w:rsidR="00CC2B31" w:rsidRPr="00C65707" w:rsidRDefault="00CC2B31">
      <w:pPr>
        <w:pStyle w:val="Header"/>
        <w:widowControl w:val="0"/>
        <w:tabs>
          <w:tab w:val="left" w:pos="284"/>
        </w:tabs>
        <w:jc w:val="both"/>
        <w:rPr>
          <w:sz w:val="22"/>
          <w:szCs w:val="22"/>
        </w:rPr>
      </w:pPr>
    </w:p>
    <w:p w14:paraId="60119216" w14:textId="77777777" w:rsidR="00CC2B31" w:rsidRPr="00C65707" w:rsidRDefault="00CC2B31">
      <w:pPr>
        <w:pStyle w:val="Header"/>
        <w:widowControl w:val="0"/>
        <w:tabs>
          <w:tab w:val="left" w:pos="284"/>
        </w:tabs>
        <w:jc w:val="both"/>
        <w:rPr>
          <w:sz w:val="22"/>
          <w:szCs w:val="22"/>
        </w:rPr>
      </w:pPr>
      <w:r w:rsidRPr="00C65707">
        <w:rPr>
          <w:sz w:val="22"/>
          <w:szCs w:val="22"/>
        </w:rPr>
        <w:t>Terapijsko dejstvo bilo je slično kod pacijenata nezavisno od statusa reumatoidnog faktora, godina starosti, pola, rase, broja prethodnih terapija ili stanja bolesti. Vrijeme do početka dejstva bilo je kratko (već od 2. nedjelje), a veličina odgovora nastavljala je da se popravlja tokom trajanja terapije. Kontinuirani trajni odgovor zabilježen je tokom više od 3 godine i u otvorenim produžecima studija I-V.</w:t>
      </w:r>
    </w:p>
    <w:p w14:paraId="1D1E427E" w14:textId="77777777" w:rsidR="00CC2B31" w:rsidRPr="00C65707" w:rsidRDefault="00CC2B31">
      <w:pPr>
        <w:pStyle w:val="Header"/>
        <w:widowControl w:val="0"/>
        <w:tabs>
          <w:tab w:val="left" w:pos="284"/>
        </w:tabs>
        <w:jc w:val="both"/>
        <w:rPr>
          <w:sz w:val="22"/>
          <w:szCs w:val="22"/>
        </w:rPr>
      </w:pPr>
    </w:p>
    <w:p w14:paraId="2CE98FDA" w14:textId="2FB8B8AE" w:rsidR="00CC2B31" w:rsidRPr="00C65707" w:rsidRDefault="00CC2B31">
      <w:pPr>
        <w:pStyle w:val="Header"/>
        <w:widowControl w:val="0"/>
        <w:tabs>
          <w:tab w:val="left" w:pos="284"/>
        </w:tabs>
        <w:jc w:val="both"/>
        <w:rPr>
          <w:sz w:val="22"/>
          <w:szCs w:val="22"/>
        </w:rPr>
      </w:pPr>
      <w:r w:rsidRPr="00C65707">
        <w:rPr>
          <w:sz w:val="22"/>
          <w:szCs w:val="22"/>
        </w:rPr>
        <w:t xml:space="preserve">Kod pacijenata koji su primali </w:t>
      </w:r>
      <w:r w:rsidR="002006FD" w:rsidRPr="00C65707">
        <w:rPr>
          <w:sz w:val="22"/>
          <w:szCs w:val="22"/>
        </w:rPr>
        <w:t>tocilizumab u dozi od</w:t>
      </w:r>
      <w:r w:rsidRPr="00C65707">
        <w:rPr>
          <w:sz w:val="22"/>
          <w:szCs w:val="22"/>
        </w:rPr>
        <w:t xml:space="preserve"> 8 mg/kg, značajna poboljšanja zabilježena su u svim individualnim komponentama odgovora ACR</w:t>
      </w:r>
      <w:r w:rsidR="002006FD" w:rsidRPr="00C65707">
        <w:rPr>
          <w:sz w:val="22"/>
          <w:szCs w:val="22"/>
        </w:rPr>
        <w:t xml:space="preserve"> kriterijuma</w:t>
      </w:r>
      <w:r w:rsidR="00DF1D79" w:rsidRPr="00C65707">
        <w:rPr>
          <w:sz w:val="22"/>
          <w:szCs w:val="22"/>
        </w:rPr>
        <w:t>,</w:t>
      </w:r>
      <w:r w:rsidRPr="00C65707">
        <w:rPr>
          <w:sz w:val="22"/>
          <w:szCs w:val="22"/>
        </w:rPr>
        <w:t xml:space="preserve"> uključujući broj osjetljivih i otečenih zglobova, globalnu procjenu pacijenta i ljekara, indeks onesposobljenosti</w:t>
      </w:r>
      <w:r w:rsidR="002006FD" w:rsidRPr="00C65707">
        <w:rPr>
          <w:sz w:val="22"/>
          <w:szCs w:val="22"/>
        </w:rPr>
        <w:t xml:space="preserve"> (engl. </w:t>
      </w:r>
      <w:r w:rsidR="002006FD" w:rsidRPr="00C65707">
        <w:rPr>
          <w:i/>
          <w:sz w:val="22"/>
          <w:szCs w:val="22"/>
        </w:rPr>
        <w:t>Disability Index Scores</w:t>
      </w:r>
      <w:r w:rsidR="002006FD" w:rsidRPr="00C65707">
        <w:rPr>
          <w:sz w:val="22"/>
          <w:szCs w:val="22"/>
        </w:rPr>
        <w:t>)</w:t>
      </w:r>
      <w:r w:rsidRPr="00C65707">
        <w:rPr>
          <w:sz w:val="22"/>
          <w:szCs w:val="22"/>
        </w:rPr>
        <w:t xml:space="preserve">, procjenu bola i </w:t>
      </w:r>
      <w:r w:rsidR="00DF1D79" w:rsidRPr="00C65707">
        <w:rPr>
          <w:sz w:val="22"/>
          <w:szCs w:val="22"/>
        </w:rPr>
        <w:t xml:space="preserve">nivoom </w:t>
      </w:r>
      <w:r w:rsidRPr="00C65707">
        <w:rPr>
          <w:sz w:val="22"/>
          <w:szCs w:val="22"/>
        </w:rPr>
        <w:t>CRP</w:t>
      </w:r>
      <w:r w:rsidR="00DF1D79" w:rsidRPr="00C65707">
        <w:rPr>
          <w:sz w:val="22"/>
          <w:szCs w:val="22"/>
        </w:rPr>
        <w:t>-a</w:t>
      </w:r>
      <w:r w:rsidRPr="00C65707">
        <w:rPr>
          <w:sz w:val="22"/>
          <w:szCs w:val="22"/>
        </w:rPr>
        <w:t xml:space="preserve"> u poređenju sa pacijentima koji su primali placebo plus MTX ili druge DMARD u svim studijama. </w:t>
      </w:r>
    </w:p>
    <w:p w14:paraId="17405AE4" w14:textId="77777777" w:rsidR="00CC2B31" w:rsidRPr="00C65707" w:rsidRDefault="00CC2B31">
      <w:pPr>
        <w:pStyle w:val="Header"/>
        <w:widowControl w:val="0"/>
        <w:tabs>
          <w:tab w:val="left" w:pos="284"/>
        </w:tabs>
        <w:jc w:val="both"/>
        <w:rPr>
          <w:sz w:val="22"/>
          <w:szCs w:val="22"/>
        </w:rPr>
      </w:pPr>
    </w:p>
    <w:p w14:paraId="1AEB9540" w14:textId="2E05940F" w:rsidR="00CC2B31" w:rsidRPr="00C65707" w:rsidRDefault="00CC2B31">
      <w:pPr>
        <w:pStyle w:val="Header"/>
        <w:widowControl w:val="0"/>
        <w:tabs>
          <w:tab w:val="left" w:pos="284"/>
        </w:tabs>
        <w:jc w:val="both"/>
        <w:rPr>
          <w:sz w:val="22"/>
          <w:szCs w:val="22"/>
        </w:rPr>
      </w:pPr>
      <w:r w:rsidRPr="00C65707">
        <w:rPr>
          <w:sz w:val="22"/>
          <w:szCs w:val="22"/>
        </w:rPr>
        <w:t xml:space="preserve">Pacijenti u studijama I – V imali su srednji Skor aktivnosti bolesti </w:t>
      </w:r>
      <w:r w:rsidR="002006FD" w:rsidRPr="00C65707">
        <w:rPr>
          <w:sz w:val="22"/>
          <w:szCs w:val="22"/>
        </w:rPr>
        <w:t xml:space="preserve">(engl. </w:t>
      </w:r>
      <w:r w:rsidR="002006FD" w:rsidRPr="00C65707">
        <w:rPr>
          <w:i/>
          <w:sz w:val="22"/>
          <w:szCs w:val="22"/>
        </w:rPr>
        <w:t xml:space="preserve">Disease Activity Score, </w:t>
      </w:r>
      <w:r w:rsidRPr="00C65707">
        <w:rPr>
          <w:sz w:val="22"/>
          <w:szCs w:val="22"/>
        </w:rPr>
        <w:t xml:space="preserve">DAS28) od 6,5–6,8 prije uvođenja terapije (osnovni nivo). Značajno smanjenje DAS28 u odnosu na ovaj osnovni, predterapijski nivo (srednje poboljšanje) od 3,1–3,4 zabilježeni su kod pacijenata liječenih </w:t>
      </w:r>
      <w:r w:rsidR="002006FD" w:rsidRPr="00C65707">
        <w:rPr>
          <w:sz w:val="22"/>
          <w:szCs w:val="22"/>
        </w:rPr>
        <w:t>tocilizumabom</w:t>
      </w:r>
      <w:r w:rsidRPr="00C65707">
        <w:rPr>
          <w:sz w:val="22"/>
          <w:szCs w:val="22"/>
        </w:rPr>
        <w:t xml:space="preserve"> u poređenju sa kontrolnim pacijentima (1,3-2,1). Procenat pacijenata koji su postizali kliničku remisiju po DAS28 (DAS28 &lt; 2,6) bio je značajno veći kod pacijenata koji su primali </w:t>
      </w:r>
      <w:r w:rsidR="002006FD" w:rsidRPr="00C65707">
        <w:rPr>
          <w:sz w:val="22"/>
          <w:szCs w:val="22"/>
        </w:rPr>
        <w:t>tocilizumab</w:t>
      </w:r>
      <w:r w:rsidRPr="00C65707">
        <w:rPr>
          <w:sz w:val="22"/>
          <w:szCs w:val="22"/>
        </w:rPr>
        <w:t xml:space="preserve"> (28–34%) u poređenju sa 1–12% kod kontrolnih pacijenata poslije 24 nedjelje. U studiji II, 47% pacijenata postiglo je DAS28 &lt; 2,6 poslije 52 nedjelje, u poređenju sa 33% pacijenata poslije 24 nedjelje.</w:t>
      </w:r>
    </w:p>
    <w:p w14:paraId="5AC98979" w14:textId="77777777" w:rsidR="00CC2B31" w:rsidRPr="00C65707" w:rsidRDefault="00CC2B31">
      <w:pPr>
        <w:pStyle w:val="Header"/>
        <w:widowControl w:val="0"/>
        <w:tabs>
          <w:tab w:val="left" w:pos="284"/>
        </w:tabs>
        <w:jc w:val="both"/>
        <w:rPr>
          <w:sz w:val="22"/>
          <w:szCs w:val="22"/>
        </w:rPr>
      </w:pPr>
    </w:p>
    <w:p w14:paraId="00ABBCE7" w14:textId="48DB7C8F" w:rsidR="00CC2B31" w:rsidRPr="00C65707" w:rsidRDefault="00CC2B31">
      <w:pPr>
        <w:pStyle w:val="Header"/>
        <w:widowControl w:val="0"/>
        <w:tabs>
          <w:tab w:val="left" w:pos="284"/>
        </w:tabs>
        <w:jc w:val="both"/>
        <w:rPr>
          <w:sz w:val="22"/>
          <w:szCs w:val="22"/>
        </w:rPr>
      </w:pPr>
      <w:r w:rsidRPr="00C65707">
        <w:rPr>
          <w:sz w:val="22"/>
          <w:szCs w:val="22"/>
        </w:rPr>
        <w:t xml:space="preserve">U objedinjenoj analizi studija II, III i IV, procenat pacijenata koji su postigli odgovor ACR 20, 50 i 70 bio je značajno veći (59% prema 50%, 37% prema 27%, i 18% prema 11%, po studijama) u grupi tocilizumab 8 mg/kg plus DMARD prema grupi tocilizumab 4 mg/kg plus DMARD (p&lt; 0,03). Isto tako, procenat pacijenata koji su postigli remisiju DAS 28 (DAS28 &lt; 2,6) bio je značajno veći (31% prema 16%) kod pacijenata koji su primali </w:t>
      </w:r>
      <w:bookmarkStart w:id="2" w:name="_Hlk191386147"/>
      <w:r w:rsidR="001B62C4" w:rsidRPr="00C65707">
        <w:rPr>
          <w:sz w:val="22"/>
          <w:szCs w:val="22"/>
        </w:rPr>
        <w:t>tocilizumab</w:t>
      </w:r>
      <w:bookmarkEnd w:id="2"/>
      <w:r w:rsidRPr="00C65707">
        <w:rPr>
          <w:sz w:val="22"/>
          <w:szCs w:val="22"/>
        </w:rPr>
        <w:t xml:space="preserve"> </w:t>
      </w:r>
      <w:r w:rsidR="001B62C4" w:rsidRPr="00C65707">
        <w:rPr>
          <w:sz w:val="22"/>
          <w:szCs w:val="22"/>
        </w:rPr>
        <w:t xml:space="preserve">u dozi od </w:t>
      </w:r>
      <w:r w:rsidRPr="00C65707">
        <w:rPr>
          <w:sz w:val="22"/>
          <w:szCs w:val="22"/>
        </w:rPr>
        <w:t>8 mg/kg plus DMARD</w:t>
      </w:r>
      <w:r w:rsidR="001B62C4" w:rsidRPr="00C65707">
        <w:rPr>
          <w:sz w:val="22"/>
          <w:szCs w:val="22"/>
        </w:rPr>
        <w:t>,</w:t>
      </w:r>
      <w:r w:rsidRPr="00C65707">
        <w:rPr>
          <w:sz w:val="22"/>
          <w:szCs w:val="22"/>
        </w:rPr>
        <w:t xml:space="preserve"> nego kod pacijenata koji su primali </w:t>
      </w:r>
      <w:r w:rsidR="001B62C4" w:rsidRPr="00C65707">
        <w:rPr>
          <w:sz w:val="22"/>
          <w:szCs w:val="22"/>
        </w:rPr>
        <w:t>tocilizumab</w:t>
      </w:r>
      <w:r w:rsidRPr="00C65707">
        <w:rPr>
          <w:sz w:val="22"/>
          <w:szCs w:val="22"/>
        </w:rPr>
        <w:t xml:space="preserve"> </w:t>
      </w:r>
      <w:r w:rsidR="001B62C4" w:rsidRPr="00C65707">
        <w:rPr>
          <w:sz w:val="22"/>
          <w:szCs w:val="22"/>
        </w:rPr>
        <w:t xml:space="preserve">u dozi od </w:t>
      </w:r>
      <w:r w:rsidRPr="00C65707">
        <w:rPr>
          <w:sz w:val="22"/>
          <w:szCs w:val="22"/>
        </w:rPr>
        <w:t>4 mg/kg plus DMARD (p&lt; 0,0001).</w:t>
      </w:r>
    </w:p>
    <w:p w14:paraId="577AAA81" w14:textId="77777777" w:rsidR="00CC2B31" w:rsidRPr="00C65707" w:rsidRDefault="00CC2B31">
      <w:pPr>
        <w:pStyle w:val="Header"/>
        <w:widowControl w:val="0"/>
        <w:tabs>
          <w:tab w:val="left" w:pos="284"/>
        </w:tabs>
        <w:jc w:val="both"/>
        <w:rPr>
          <w:sz w:val="22"/>
          <w:szCs w:val="22"/>
        </w:rPr>
      </w:pPr>
    </w:p>
    <w:p w14:paraId="17EC06BC" w14:textId="27465C55" w:rsidR="00CC2B31" w:rsidRPr="00C65707" w:rsidRDefault="00CC2B31">
      <w:pPr>
        <w:pStyle w:val="Header"/>
        <w:widowControl w:val="0"/>
        <w:tabs>
          <w:tab w:val="left" w:pos="284"/>
        </w:tabs>
        <w:jc w:val="both"/>
        <w:rPr>
          <w:i/>
          <w:sz w:val="22"/>
          <w:szCs w:val="22"/>
        </w:rPr>
      </w:pPr>
      <w:r w:rsidRPr="00C65707">
        <w:rPr>
          <w:bCs/>
          <w:i/>
          <w:sz w:val="22"/>
          <w:szCs w:val="22"/>
        </w:rPr>
        <w:t xml:space="preserve">Tabela </w:t>
      </w:r>
      <w:r w:rsidR="001B62C4" w:rsidRPr="00C65707">
        <w:rPr>
          <w:bCs/>
          <w:i/>
          <w:sz w:val="22"/>
          <w:szCs w:val="22"/>
        </w:rPr>
        <w:t>5</w:t>
      </w:r>
      <w:r w:rsidRPr="00C65707">
        <w:rPr>
          <w:bCs/>
          <w:i/>
          <w:sz w:val="22"/>
          <w:szCs w:val="22"/>
        </w:rPr>
        <w:t>. ACR odgovori u studijama u kojima su kontrole bili placebo-/MTX-</w:t>
      </w:r>
      <w:r w:rsidR="00633F4E" w:rsidRPr="00C65707">
        <w:rPr>
          <w:bCs/>
          <w:i/>
          <w:sz w:val="22"/>
          <w:szCs w:val="22"/>
        </w:rPr>
        <w:t>om</w:t>
      </w:r>
      <w:r w:rsidRPr="00C65707">
        <w:rPr>
          <w:bCs/>
          <w:i/>
          <w:sz w:val="22"/>
          <w:szCs w:val="22"/>
        </w:rPr>
        <w:t>/DMARD (% pacijenata)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852"/>
        <w:gridCol w:w="651"/>
        <w:gridCol w:w="853"/>
        <w:gridCol w:w="804"/>
        <w:gridCol w:w="853"/>
        <w:gridCol w:w="804"/>
        <w:gridCol w:w="931"/>
        <w:gridCol w:w="922"/>
        <w:gridCol w:w="42"/>
        <w:gridCol w:w="853"/>
        <w:gridCol w:w="651"/>
      </w:tblGrid>
      <w:tr w:rsidR="00CC2B31" w:rsidRPr="00C65707" w14:paraId="451DCC70" w14:textId="77777777" w:rsidTr="00CE5678">
        <w:trPr>
          <w:trHeight w:val="462"/>
        </w:trPr>
        <w:tc>
          <w:tcPr>
            <w:tcW w:w="470" w:type="pct"/>
          </w:tcPr>
          <w:p w14:paraId="54CB2081" w14:textId="77777777" w:rsidR="00CC2B31" w:rsidRPr="005B21F5" w:rsidRDefault="00CC2B31">
            <w:pPr>
              <w:pStyle w:val="Header"/>
              <w:widowControl w:val="0"/>
              <w:tabs>
                <w:tab w:val="left" w:pos="284"/>
              </w:tabs>
              <w:jc w:val="both"/>
              <w:rPr>
                <w:sz w:val="22"/>
                <w:szCs w:val="22"/>
              </w:rPr>
            </w:pPr>
          </w:p>
        </w:tc>
        <w:tc>
          <w:tcPr>
            <w:tcW w:w="830" w:type="pct"/>
            <w:gridSpan w:val="2"/>
            <w:tcBorders>
              <w:bottom w:val="single" w:sz="4" w:space="0" w:color="auto"/>
            </w:tcBorders>
          </w:tcPr>
          <w:p w14:paraId="0FAAD646" w14:textId="77777777" w:rsidR="00CC2B31" w:rsidRPr="00C65707" w:rsidRDefault="00CC2B31">
            <w:pPr>
              <w:pStyle w:val="Header"/>
              <w:widowControl w:val="0"/>
              <w:tabs>
                <w:tab w:val="left" w:pos="284"/>
              </w:tabs>
              <w:jc w:val="both"/>
              <w:rPr>
                <w:b/>
                <w:bCs/>
                <w:sz w:val="22"/>
                <w:szCs w:val="22"/>
              </w:rPr>
            </w:pPr>
            <w:r w:rsidRPr="00C65707">
              <w:rPr>
                <w:b/>
                <w:bCs/>
                <w:sz w:val="22"/>
                <w:szCs w:val="22"/>
              </w:rPr>
              <w:t>Studija I</w:t>
            </w:r>
          </w:p>
          <w:p w14:paraId="27EAF401" w14:textId="77777777" w:rsidR="00CC2B31" w:rsidRPr="00C65707" w:rsidRDefault="00CC2B31">
            <w:pPr>
              <w:pStyle w:val="Header"/>
              <w:widowControl w:val="0"/>
              <w:tabs>
                <w:tab w:val="left" w:pos="284"/>
              </w:tabs>
              <w:jc w:val="both"/>
              <w:rPr>
                <w:b/>
                <w:bCs/>
                <w:sz w:val="22"/>
                <w:szCs w:val="22"/>
              </w:rPr>
            </w:pPr>
            <w:r w:rsidRPr="00C65707">
              <w:rPr>
                <w:b/>
                <w:bCs/>
                <w:sz w:val="22"/>
                <w:szCs w:val="22"/>
              </w:rPr>
              <w:t>AMBITION</w:t>
            </w:r>
          </w:p>
        </w:tc>
        <w:tc>
          <w:tcPr>
            <w:tcW w:w="918" w:type="pct"/>
            <w:gridSpan w:val="2"/>
            <w:tcBorders>
              <w:bottom w:val="single" w:sz="4" w:space="0" w:color="auto"/>
            </w:tcBorders>
          </w:tcPr>
          <w:p w14:paraId="7B9F8328" w14:textId="77777777" w:rsidR="00CC2B31" w:rsidRPr="00C65707" w:rsidRDefault="00CC2B31">
            <w:pPr>
              <w:pStyle w:val="Header"/>
              <w:widowControl w:val="0"/>
              <w:tabs>
                <w:tab w:val="left" w:pos="284"/>
              </w:tabs>
              <w:jc w:val="both"/>
              <w:rPr>
                <w:b/>
                <w:bCs/>
                <w:sz w:val="22"/>
                <w:szCs w:val="22"/>
              </w:rPr>
            </w:pPr>
            <w:r w:rsidRPr="00C65707">
              <w:rPr>
                <w:b/>
                <w:bCs/>
                <w:sz w:val="22"/>
                <w:szCs w:val="22"/>
              </w:rPr>
              <w:t>Studija II</w:t>
            </w:r>
          </w:p>
          <w:p w14:paraId="31778999" w14:textId="77777777" w:rsidR="00CC2B31" w:rsidRPr="00C65707" w:rsidRDefault="00CC2B31">
            <w:pPr>
              <w:pStyle w:val="Header"/>
              <w:widowControl w:val="0"/>
              <w:tabs>
                <w:tab w:val="left" w:pos="284"/>
              </w:tabs>
              <w:jc w:val="both"/>
              <w:rPr>
                <w:sz w:val="22"/>
                <w:szCs w:val="22"/>
              </w:rPr>
            </w:pPr>
            <w:r w:rsidRPr="00C65707">
              <w:rPr>
                <w:b/>
                <w:bCs/>
                <w:sz w:val="22"/>
                <w:szCs w:val="22"/>
              </w:rPr>
              <w:t>LITHE</w:t>
            </w:r>
          </w:p>
        </w:tc>
        <w:tc>
          <w:tcPr>
            <w:tcW w:w="918" w:type="pct"/>
            <w:gridSpan w:val="2"/>
            <w:tcBorders>
              <w:bottom w:val="single" w:sz="4" w:space="0" w:color="auto"/>
            </w:tcBorders>
          </w:tcPr>
          <w:p w14:paraId="51E673FE" w14:textId="77777777" w:rsidR="00CC2B31" w:rsidRPr="00C65707" w:rsidRDefault="00CC2B31">
            <w:pPr>
              <w:pStyle w:val="Header"/>
              <w:widowControl w:val="0"/>
              <w:tabs>
                <w:tab w:val="left" w:pos="284"/>
              </w:tabs>
              <w:jc w:val="both"/>
              <w:rPr>
                <w:b/>
                <w:bCs/>
                <w:sz w:val="22"/>
                <w:szCs w:val="22"/>
              </w:rPr>
            </w:pPr>
            <w:r w:rsidRPr="00C65707">
              <w:rPr>
                <w:b/>
                <w:bCs/>
                <w:sz w:val="22"/>
                <w:szCs w:val="22"/>
              </w:rPr>
              <w:t>Studija III</w:t>
            </w:r>
          </w:p>
          <w:p w14:paraId="10FCC712" w14:textId="77777777" w:rsidR="00CC2B31" w:rsidRPr="00C65707" w:rsidRDefault="00CC2B31">
            <w:pPr>
              <w:pStyle w:val="Header"/>
              <w:widowControl w:val="0"/>
              <w:tabs>
                <w:tab w:val="left" w:pos="284"/>
              </w:tabs>
              <w:jc w:val="both"/>
              <w:rPr>
                <w:sz w:val="22"/>
                <w:szCs w:val="22"/>
              </w:rPr>
            </w:pPr>
            <w:r w:rsidRPr="00C65707">
              <w:rPr>
                <w:b/>
                <w:bCs/>
                <w:sz w:val="22"/>
                <w:szCs w:val="22"/>
              </w:rPr>
              <w:t>OPTION</w:t>
            </w:r>
          </w:p>
        </w:tc>
        <w:tc>
          <w:tcPr>
            <w:tcW w:w="1036" w:type="pct"/>
            <w:gridSpan w:val="3"/>
            <w:tcBorders>
              <w:bottom w:val="single" w:sz="4" w:space="0" w:color="auto"/>
            </w:tcBorders>
          </w:tcPr>
          <w:p w14:paraId="4C6DB150" w14:textId="77777777" w:rsidR="00CC2B31" w:rsidRPr="00C65707" w:rsidRDefault="00CC2B31">
            <w:pPr>
              <w:pStyle w:val="Header"/>
              <w:widowControl w:val="0"/>
              <w:tabs>
                <w:tab w:val="left" w:pos="284"/>
              </w:tabs>
              <w:jc w:val="both"/>
              <w:rPr>
                <w:b/>
                <w:bCs/>
                <w:sz w:val="22"/>
                <w:szCs w:val="22"/>
              </w:rPr>
            </w:pPr>
            <w:r w:rsidRPr="00C65707">
              <w:rPr>
                <w:b/>
                <w:bCs/>
                <w:sz w:val="22"/>
                <w:szCs w:val="22"/>
              </w:rPr>
              <w:t>Studija IV</w:t>
            </w:r>
          </w:p>
          <w:p w14:paraId="2738379C" w14:textId="77777777" w:rsidR="00CC2B31" w:rsidRPr="00C65707" w:rsidRDefault="00CC2B31">
            <w:pPr>
              <w:pStyle w:val="Header"/>
              <w:widowControl w:val="0"/>
              <w:tabs>
                <w:tab w:val="left" w:pos="284"/>
              </w:tabs>
              <w:jc w:val="both"/>
              <w:rPr>
                <w:b/>
                <w:bCs/>
                <w:sz w:val="22"/>
                <w:szCs w:val="22"/>
              </w:rPr>
            </w:pPr>
            <w:r w:rsidRPr="00C65707">
              <w:rPr>
                <w:b/>
                <w:bCs/>
                <w:sz w:val="22"/>
                <w:szCs w:val="22"/>
              </w:rPr>
              <w:t>TOWARD</w:t>
            </w:r>
          </w:p>
        </w:tc>
        <w:tc>
          <w:tcPr>
            <w:tcW w:w="830" w:type="pct"/>
            <w:gridSpan w:val="2"/>
            <w:tcBorders>
              <w:bottom w:val="single" w:sz="4" w:space="0" w:color="auto"/>
            </w:tcBorders>
          </w:tcPr>
          <w:p w14:paraId="32BA2494" w14:textId="77777777" w:rsidR="00CC2B31" w:rsidRPr="00C65707" w:rsidRDefault="00CC2B31">
            <w:pPr>
              <w:pStyle w:val="Header"/>
              <w:widowControl w:val="0"/>
              <w:tabs>
                <w:tab w:val="left" w:pos="284"/>
              </w:tabs>
              <w:jc w:val="both"/>
              <w:rPr>
                <w:b/>
                <w:bCs/>
                <w:sz w:val="22"/>
                <w:szCs w:val="22"/>
              </w:rPr>
            </w:pPr>
            <w:r w:rsidRPr="00C65707">
              <w:rPr>
                <w:b/>
                <w:bCs/>
                <w:sz w:val="22"/>
                <w:szCs w:val="22"/>
              </w:rPr>
              <w:t>Studija V</w:t>
            </w:r>
          </w:p>
          <w:p w14:paraId="2A1A117E" w14:textId="77777777" w:rsidR="00CC2B31" w:rsidRPr="00C65707" w:rsidRDefault="00CC2B31">
            <w:pPr>
              <w:pStyle w:val="Header"/>
              <w:widowControl w:val="0"/>
              <w:tabs>
                <w:tab w:val="left" w:pos="284"/>
              </w:tabs>
              <w:jc w:val="both"/>
              <w:rPr>
                <w:b/>
                <w:bCs/>
                <w:sz w:val="22"/>
                <w:szCs w:val="22"/>
              </w:rPr>
            </w:pPr>
            <w:r w:rsidRPr="00C65707">
              <w:rPr>
                <w:b/>
                <w:bCs/>
                <w:sz w:val="22"/>
                <w:szCs w:val="22"/>
              </w:rPr>
              <w:t>RADIATE</w:t>
            </w:r>
          </w:p>
        </w:tc>
      </w:tr>
      <w:tr w:rsidR="00CC2B31" w:rsidRPr="00C65707" w14:paraId="523912D3" w14:textId="77777777" w:rsidTr="00CE5678">
        <w:trPr>
          <w:trHeight w:val="735"/>
        </w:trPr>
        <w:tc>
          <w:tcPr>
            <w:tcW w:w="470" w:type="pct"/>
          </w:tcPr>
          <w:p w14:paraId="2338D156" w14:textId="77777777" w:rsidR="00CC2B31" w:rsidRPr="00C65707" w:rsidRDefault="00CC2B31" w:rsidP="00C65707">
            <w:pPr>
              <w:pStyle w:val="Header"/>
              <w:widowControl w:val="0"/>
              <w:tabs>
                <w:tab w:val="left" w:pos="284"/>
              </w:tabs>
              <w:jc w:val="both"/>
              <w:rPr>
                <w:sz w:val="22"/>
                <w:szCs w:val="22"/>
              </w:rPr>
            </w:pPr>
            <w:r w:rsidRPr="00C65707">
              <w:rPr>
                <w:bCs/>
                <w:sz w:val="22"/>
                <w:szCs w:val="22"/>
              </w:rPr>
              <w:t>Nedjelja</w:t>
            </w:r>
          </w:p>
        </w:tc>
        <w:tc>
          <w:tcPr>
            <w:tcW w:w="473" w:type="pct"/>
            <w:tcBorders>
              <w:right w:val="single" w:sz="4" w:space="0" w:color="auto"/>
            </w:tcBorders>
          </w:tcPr>
          <w:p w14:paraId="55C39241" w14:textId="77777777" w:rsidR="00CC2B31" w:rsidRPr="002B3647" w:rsidRDefault="00CC2B31" w:rsidP="002B3647">
            <w:pPr>
              <w:pStyle w:val="Header"/>
              <w:widowControl w:val="0"/>
              <w:tabs>
                <w:tab w:val="left" w:pos="284"/>
              </w:tabs>
              <w:jc w:val="both"/>
              <w:rPr>
                <w:b/>
                <w:bCs/>
                <w:sz w:val="22"/>
                <w:szCs w:val="22"/>
              </w:rPr>
            </w:pPr>
            <w:r w:rsidRPr="002B3647">
              <w:rPr>
                <w:b/>
                <w:bCs/>
                <w:sz w:val="22"/>
                <w:szCs w:val="22"/>
              </w:rPr>
              <w:t>TCZ</w:t>
            </w:r>
          </w:p>
          <w:p w14:paraId="4ACEA26D" w14:textId="77777777" w:rsidR="00CC2B31" w:rsidRPr="00C65707" w:rsidRDefault="00CC2B31">
            <w:pPr>
              <w:pStyle w:val="Header"/>
              <w:widowControl w:val="0"/>
              <w:tabs>
                <w:tab w:val="left" w:pos="284"/>
              </w:tabs>
              <w:jc w:val="both"/>
              <w:rPr>
                <w:sz w:val="22"/>
                <w:szCs w:val="22"/>
              </w:rPr>
            </w:pPr>
            <w:r w:rsidRPr="00C65707">
              <w:rPr>
                <w:b/>
                <w:bCs/>
                <w:sz w:val="22"/>
                <w:szCs w:val="22"/>
              </w:rPr>
              <w:t>8 mg/kg</w:t>
            </w:r>
          </w:p>
        </w:tc>
        <w:tc>
          <w:tcPr>
            <w:tcW w:w="357" w:type="pct"/>
            <w:tcBorders>
              <w:left w:val="single" w:sz="4" w:space="0" w:color="auto"/>
              <w:right w:val="single" w:sz="4" w:space="0" w:color="auto"/>
            </w:tcBorders>
          </w:tcPr>
          <w:p w14:paraId="743A0F21" w14:textId="77777777" w:rsidR="00CC2B31" w:rsidRPr="00C65707" w:rsidRDefault="00CC2B31">
            <w:pPr>
              <w:pStyle w:val="Header"/>
              <w:widowControl w:val="0"/>
              <w:tabs>
                <w:tab w:val="left" w:pos="284"/>
              </w:tabs>
              <w:jc w:val="both"/>
              <w:rPr>
                <w:sz w:val="22"/>
                <w:szCs w:val="22"/>
              </w:rPr>
            </w:pPr>
            <w:r w:rsidRPr="00C65707">
              <w:rPr>
                <w:b/>
                <w:bCs/>
                <w:sz w:val="22"/>
                <w:szCs w:val="22"/>
              </w:rPr>
              <w:t>MTX</w:t>
            </w:r>
          </w:p>
        </w:tc>
        <w:tc>
          <w:tcPr>
            <w:tcW w:w="473" w:type="pct"/>
            <w:tcBorders>
              <w:left w:val="single" w:sz="4" w:space="0" w:color="auto"/>
              <w:right w:val="single" w:sz="4" w:space="0" w:color="auto"/>
            </w:tcBorders>
          </w:tcPr>
          <w:p w14:paraId="72635587" w14:textId="77777777" w:rsidR="00CC2B31" w:rsidRPr="00C65707" w:rsidRDefault="00CC2B31">
            <w:pPr>
              <w:pStyle w:val="Header"/>
              <w:widowControl w:val="0"/>
              <w:tabs>
                <w:tab w:val="left" w:pos="284"/>
              </w:tabs>
              <w:jc w:val="both"/>
              <w:rPr>
                <w:b/>
                <w:bCs/>
                <w:sz w:val="22"/>
                <w:szCs w:val="22"/>
              </w:rPr>
            </w:pPr>
            <w:r w:rsidRPr="00C65707">
              <w:rPr>
                <w:b/>
                <w:bCs/>
                <w:sz w:val="22"/>
                <w:szCs w:val="22"/>
              </w:rPr>
              <w:t>TCZ</w:t>
            </w:r>
          </w:p>
          <w:p w14:paraId="67D515A6" w14:textId="77777777" w:rsidR="00CC2B31" w:rsidRPr="00C65707" w:rsidRDefault="00CC2B31">
            <w:pPr>
              <w:pStyle w:val="Header"/>
              <w:widowControl w:val="0"/>
              <w:tabs>
                <w:tab w:val="left" w:pos="284"/>
              </w:tabs>
              <w:jc w:val="both"/>
              <w:rPr>
                <w:b/>
                <w:bCs/>
                <w:sz w:val="22"/>
                <w:szCs w:val="22"/>
              </w:rPr>
            </w:pPr>
            <w:r w:rsidRPr="00C65707">
              <w:rPr>
                <w:b/>
                <w:bCs/>
                <w:sz w:val="22"/>
                <w:szCs w:val="22"/>
              </w:rPr>
              <w:t>8 mg/kg + MTX</w:t>
            </w:r>
          </w:p>
        </w:tc>
        <w:tc>
          <w:tcPr>
            <w:tcW w:w="445" w:type="pct"/>
            <w:tcBorders>
              <w:left w:val="single" w:sz="4" w:space="0" w:color="auto"/>
              <w:right w:val="single" w:sz="4" w:space="0" w:color="auto"/>
            </w:tcBorders>
          </w:tcPr>
          <w:p w14:paraId="74AC7A03" w14:textId="77777777" w:rsidR="00CC2B31" w:rsidRPr="00C65707" w:rsidRDefault="00CC2B31">
            <w:pPr>
              <w:pStyle w:val="Header"/>
              <w:widowControl w:val="0"/>
              <w:tabs>
                <w:tab w:val="left" w:pos="284"/>
              </w:tabs>
              <w:jc w:val="both"/>
              <w:rPr>
                <w:sz w:val="22"/>
                <w:szCs w:val="22"/>
              </w:rPr>
            </w:pPr>
            <w:r w:rsidRPr="00C65707">
              <w:rPr>
                <w:b/>
                <w:bCs/>
                <w:sz w:val="22"/>
                <w:szCs w:val="22"/>
              </w:rPr>
              <w:t>PBO + MTX</w:t>
            </w:r>
          </w:p>
        </w:tc>
        <w:tc>
          <w:tcPr>
            <w:tcW w:w="473" w:type="pct"/>
            <w:tcBorders>
              <w:left w:val="single" w:sz="4" w:space="0" w:color="auto"/>
              <w:right w:val="single" w:sz="4" w:space="0" w:color="auto"/>
            </w:tcBorders>
          </w:tcPr>
          <w:p w14:paraId="17D1B6D5" w14:textId="77777777" w:rsidR="00CC2B31" w:rsidRPr="00C65707" w:rsidRDefault="00CC2B31">
            <w:pPr>
              <w:pStyle w:val="Header"/>
              <w:widowControl w:val="0"/>
              <w:tabs>
                <w:tab w:val="left" w:pos="284"/>
              </w:tabs>
              <w:jc w:val="both"/>
              <w:rPr>
                <w:b/>
                <w:bCs/>
                <w:sz w:val="22"/>
                <w:szCs w:val="22"/>
              </w:rPr>
            </w:pPr>
            <w:r w:rsidRPr="00C65707">
              <w:rPr>
                <w:b/>
                <w:bCs/>
                <w:sz w:val="22"/>
                <w:szCs w:val="22"/>
              </w:rPr>
              <w:t>TCZ</w:t>
            </w:r>
          </w:p>
          <w:p w14:paraId="635FD907" w14:textId="77777777" w:rsidR="00CC2B31" w:rsidRPr="00C65707" w:rsidRDefault="00CC2B31">
            <w:pPr>
              <w:pStyle w:val="Header"/>
              <w:widowControl w:val="0"/>
              <w:tabs>
                <w:tab w:val="left" w:pos="284"/>
              </w:tabs>
              <w:jc w:val="both"/>
              <w:rPr>
                <w:b/>
                <w:bCs/>
                <w:sz w:val="22"/>
                <w:szCs w:val="22"/>
              </w:rPr>
            </w:pPr>
            <w:r w:rsidRPr="00C65707">
              <w:rPr>
                <w:b/>
                <w:bCs/>
                <w:sz w:val="22"/>
                <w:szCs w:val="22"/>
              </w:rPr>
              <w:t>8 mg/kg + MTX</w:t>
            </w:r>
          </w:p>
        </w:tc>
        <w:tc>
          <w:tcPr>
            <w:tcW w:w="445" w:type="pct"/>
            <w:tcBorders>
              <w:left w:val="single" w:sz="4" w:space="0" w:color="auto"/>
            </w:tcBorders>
          </w:tcPr>
          <w:p w14:paraId="6F15BE9A" w14:textId="77777777" w:rsidR="00CC2B31" w:rsidRPr="00C65707" w:rsidRDefault="00CC2B31">
            <w:pPr>
              <w:pStyle w:val="Header"/>
              <w:widowControl w:val="0"/>
              <w:tabs>
                <w:tab w:val="left" w:pos="284"/>
              </w:tabs>
              <w:jc w:val="both"/>
              <w:rPr>
                <w:b/>
                <w:bCs/>
                <w:sz w:val="22"/>
                <w:szCs w:val="22"/>
              </w:rPr>
            </w:pPr>
            <w:r w:rsidRPr="00C65707">
              <w:rPr>
                <w:b/>
                <w:bCs/>
                <w:sz w:val="22"/>
                <w:szCs w:val="22"/>
              </w:rPr>
              <w:t>PBO + MTX</w:t>
            </w:r>
          </w:p>
        </w:tc>
        <w:tc>
          <w:tcPr>
            <w:tcW w:w="518" w:type="pct"/>
            <w:tcBorders>
              <w:left w:val="nil"/>
              <w:right w:val="single" w:sz="4" w:space="0" w:color="auto"/>
            </w:tcBorders>
          </w:tcPr>
          <w:p w14:paraId="303E0AB7" w14:textId="77777777" w:rsidR="00CC2B31" w:rsidRPr="00C65707" w:rsidRDefault="00CC2B31">
            <w:pPr>
              <w:pStyle w:val="Header"/>
              <w:widowControl w:val="0"/>
              <w:tabs>
                <w:tab w:val="left" w:pos="284"/>
              </w:tabs>
              <w:jc w:val="both"/>
              <w:rPr>
                <w:b/>
                <w:bCs/>
                <w:sz w:val="22"/>
                <w:szCs w:val="22"/>
              </w:rPr>
            </w:pPr>
            <w:r w:rsidRPr="00C65707">
              <w:rPr>
                <w:b/>
                <w:bCs/>
                <w:sz w:val="22"/>
                <w:szCs w:val="22"/>
              </w:rPr>
              <w:t>TCZ</w:t>
            </w:r>
          </w:p>
          <w:p w14:paraId="572DD031" w14:textId="77777777" w:rsidR="00CC2B31" w:rsidRPr="00C65707" w:rsidRDefault="00CC2B31">
            <w:pPr>
              <w:pStyle w:val="Header"/>
              <w:widowControl w:val="0"/>
              <w:tabs>
                <w:tab w:val="left" w:pos="284"/>
              </w:tabs>
              <w:jc w:val="both"/>
              <w:rPr>
                <w:b/>
                <w:bCs/>
                <w:sz w:val="22"/>
                <w:szCs w:val="22"/>
              </w:rPr>
            </w:pPr>
            <w:r w:rsidRPr="00C65707">
              <w:rPr>
                <w:b/>
                <w:bCs/>
                <w:sz w:val="22"/>
                <w:szCs w:val="22"/>
              </w:rPr>
              <w:t>8 mg/kg + DMARD</w:t>
            </w:r>
          </w:p>
        </w:tc>
        <w:tc>
          <w:tcPr>
            <w:tcW w:w="518" w:type="pct"/>
            <w:gridSpan w:val="2"/>
            <w:tcBorders>
              <w:left w:val="single" w:sz="4" w:space="0" w:color="auto"/>
            </w:tcBorders>
          </w:tcPr>
          <w:p w14:paraId="1398CD1B" w14:textId="77777777" w:rsidR="00CC2B31" w:rsidRPr="00C65707" w:rsidRDefault="00CC2B31">
            <w:pPr>
              <w:pStyle w:val="Header"/>
              <w:widowControl w:val="0"/>
              <w:tabs>
                <w:tab w:val="left" w:pos="284"/>
              </w:tabs>
              <w:jc w:val="both"/>
              <w:rPr>
                <w:b/>
                <w:bCs/>
                <w:sz w:val="22"/>
                <w:szCs w:val="22"/>
              </w:rPr>
            </w:pPr>
            <w:r w:rsidRPr="00C65707">
              <w:rPr>
                <w:b/>
                <w:bCs/>
                <w:sz w:val="22"/>
                <w:szCs w:val="22"/>
              </w:rPr>
              <w:t>PBO + DMARD</w:t>
            </w:r>
          </w:p>
        </w:tc>
        <w:tc>
          <w:tcPr>
            <w:tcW w:w="473" w:type="pct"/>
            <w:tcBorders>
              <w:left w:val="nil"/>
              <w:right w:val="single" w:sz="4" w:space="0" w:color="auto"/>
            </w:tcBorders>
          </w:tcPr>
          <w:p w14:paraId="68014E76" w14:textId="77777777" w:rsidR="00CC2B31" w:rsidRPr="00C65707" w:rsidRDefault="00CC2B31">
            <w:pPr>
              <w:pStyle w:val="Header"/>
              <w:widowControl w:val="0"/>
              <w:tabs>
                <w:tab w:val="left" w:pos="284"/>
              </w:tabs>
              <w:jc w:val="both"/>
              <w:rPr>
                <w:b/>
                <w:bCs/>
                <w:sz w:val="22"/>
                <w:szCs w:val="22"/>
              </w:rPr>
            </w:pPr>
            <w:r w:rsidRPr="00C65707">
              <w:rPr>
                <w:b/>
                <w:bCs/>
                <w:sz w:val="22"/>
                <w:szCs w:val="22"/>
              </w:rPr>
              <w:t>TCZ 8 mg/kg + MTX</w:t>
            </w:r>
          </w:p>
        </w:tc>
        <w:tc>
          <w:tcPr>
            <w:tcW w:w="357" w:type="pct"/>
            <w:tcBorders>
              <w:left w:val="single" w:sz="4" w:space="0" w:color="auto"/>
            </w:tcBorders>
          </w:tcPr>
          <w:p w14:paraId="152BF3EA" w14:textId="77777777" w:rsidR="00CC2B31" w:rsidRPr="00C65707" w:rsidRDefault="00CC2B31">
            <w:pPr>
              <w:pStyle w:val="Header"/>
              <w:widowControl w:val="0"/>
              <w:tabs>
                <w:tab w:val="left" w:pos="284"/>
              </w:tabs>
              <w:jc w:val="both"/>
              <w:rPr>
                <w:b/>
                <w:bCs/>
                <w:sz w:val="22"/>
                <w:szCs w:val="22"/>
              </w:rPr>
            </w:pPr>
            <w:r w:rsidRPr="00C65707">
              <w:rPr>
                <w:b/>
                <w:bCs/>
                <w:sz w:val="22"/>
                <w:szCs w:val="22"/>
              </w:rPr>
              <w:t>PBO + MTX</w:t>
            </w:r>
            <w:r w:rsidRPr="00C65707">
              <w:rPr>
                <w:b/>
                <w:bCs/>
                <w:sz w:val="22"/>
                <w:szCs w:val="22"/>
              </w:rPr>
              <w:br/>
            </w:r>
          </w:p>
        </w:tc>
      </w:tr>
      <w:tr w:rsidR="00CC2B31" w:rsidRPr="00C65707" w14:paraId="572B4C5B" w14:textId="77777777" w:rsidTr="00CE5678">
        <w:trPr>
          <w:trHeight w:val="520"/>
        </w:trPr>
        <w:tc>
          <w:tcPr>
            <w:tcW w:w="470" w:type="pct"/>
          </w:tcPr>
          <w:p w14:paraId="7294190B" w14:textId="77777777" w:rsidR="00CC2B31" w:rsidRPr="00C65707" w:rsidRDefault="00CC2B31" w:rsidP="00C65707">
            <w:pPr>
              <w:pStyle w:val="Header"/>
              <w:widowControl w:val="0"/>
              <w:tabs>
                <w:tab w:val="left" w:pos="284"/>
              </w:tabs>
              <w:jc w:val="both"/>
              <w:rPr>
                <w:b/>
                <w:bCs/>
                <w:sz w:val="22"/>
                <w:szCs w:val="22"/>
              </w:rPr>
            </w:pPr>
          </w:p>
        </w:tc>
        <w:tc>
          <w:tcPr>
            <w:tcW w:w="473" w:type="pct"/>
            <w:tcBorders>
              <w:right w:val="single" w:sz="4" w:space="0" w:color="auto"/>
            </w:tcBorders>
          </w:tcPr>
          <w:p w14:paraId="3691A685" w14:textId="77777777" w:rsidR="00CC2B31" w:rsidRPr="00C65707" w:rsidRDefault="00CC2B31" w:rsidP="00C65707">
            <w:pPr>
              <w:pStyle w:val="Header"/>
              <w:widowControl w:val="0"/>
              <w:tabs>
                <w:tab w:val="left" w:pos="284"/>
              </w:tabs>
              <w:jc w:val="both"/>
              <w:rPr>
                <w:b/>
                <w:bCs/>
                <w:sz w:val="22"/>
                <w:szCs w:val="22"/>
              </w:rPr>
            </w:pPr>
            <w:r w:rsidRPr="00C65707">
              <w:rPr>
                <w:b/>
                <w:bCs/>
                <w:sz w:val="22"/>
                <w:szCs w:val="22"/>
              </w:rPr>
              <w:t>N =</w:t>
            </w:r>
          </w:p>
          <w:p w14:paraId="0CAE08F9" w14:textId="77777777" w:rsidR="00CC2B31" w:rsidRPr="002B3647" w:rsidRDefault="00CC2B31" w:rsidP="002B3647">
            <w:pPr>
              <w:pStyle w:val="Header"/>
              <w:widowControl w:val="0"/>
              <w:tabs>
                <w:tab w:val="left" w:pos="284"/>
              </w:tabs>
              <w:jc w:val="both"/>
              <w:rPr>
                <w:b/>
                <w:bCs/>
                <w:sz w:val="22"/>
                <w:szCs w:val="22"/>
              </w:rPr>
            </w:pPr>
            <w:r w:rsidRPr="002B3647">
              <w:rPr>
                <w:b/>
                <w:bCs/>
                <w:sz w:val="22"/>
                <w:szCs w:val="22"/>
              </w:rPr>
              <w:t>286</w:t>
            </w:r>
          </w:p>
        </w:tc>
        <w:tc>
          <w:tcPr>
            <w:tcW w:w="357" w:type="pct"/>
            <w:tcBorders>
              <w:left w:val="single" w:sz="4" w:space="0" w:color="auto"/>
              <w:right w:val="single" w:sz="4" w:space="0" w:color="auto"/>
            </w:tcBorders>
          </w:tcPr>
          <w:p w14:paraId="0B9AE4F8" w14:textId="77777777" w:rsidR="00CC2B31" w:rsidRPr="00C65707" w:rsidRDefault="00CC2B31">
            <w:pPr>
              <w:pStyle w:val="Header"/>
              <w:widowControl w:val="0"/>
              <w:tabs>
                <w:tab w:val="left" w:pos="284"/>
              </w:tabs>
              <w:jc w:val="both"/>
              <w:rPr>
                <w:b/>
                <w:bCs/>
                <w:sz w:val="22"/>
                <w:szCs w:val="22"/>
              </w:rPr>
            </w:pPr>
            <w:r w:rsidRPr="00C65707">
              <w:rPr>
                <w:b/>
                <w:bCs/>
                <w:sz w:val="22"/>
                <w:szCs w:val="22"/>
              </w:rPr>
              <w:t>N =</w:t>
            </w:r>
          </w:p>
          <w:p w14:paraId="504EAD86" w14:textId="77777777" w:rsidR="00CC2B31" w:rsidRPr="00C65707" w:rsidRDefault="00CC2B31">
            <w:pPr>
              <w:pStyle w:val="Header"/>
              <w:widowControl w:val="0"/>
              <w:tabs>
                <w:tab w:val="left" w:pos="284"/>
              </w:tabs>
              <w:jc w:val="both"/>
              <w:rPr>
                <w:b/>
                <w:bCs/>
                <w:sz w:val="22"/>
                <w:szCs w:val="22"/>
              </w:rPr>
            </w:pPr>
            <w:r w:rsidRPr="00C65707">
              <w:rPr>
                <w:b/>
                <w:bCs/>
                <w:sz w:val="22"/>
                <w:szCs w:val="22"/>
              </w:rPr>
              <w:t>284</w:t>
            </w:r>
          </w:p>
        </w:tc>
        <w:tc>
          <w:tcPr>
            <w:tcW w:w="473" w:type="pct"/>
            <w:tcBorders>
              <w:left w:val="single" w:sz="4" w:space="0" w:color="auto"/>
              <w:right w:val="single" w:sz="4" w:space="0" w:color="auto"/>
            </w:tcBorders>
          </w:tcPr>
          <w:p w14:paraId="7563C6B1" w14:textId="77777777" w:rsidR="00CC2B31" w:rsidRPr="00C65707" w:rsidRDefault="00CC2B31">
            <w:pPr>
              <w:pStyle w:val="Header"/>
              <w:widowControl w:val="0"/>
              <w:tabs>
                <w:tab w:val="left" w:pos="284"/>
              </w:tabs>
              <w:jc w:val="both"/>
              <w:rPr>
                <w:b/>
                <w:bCs/>
                <w:sz w:val="22"/>
                <w:szCs w:val="22"/>
              </w:rPr>
            </w:pPr>
            <w:r w:rsidRPr="00C65707">
              <w:rPr>
                <w:b/>
                <w:bCs/>
                <w:sz w:val="22"/>
                <w:szCs w:val="22"/>
              </w:rPr>
              <w:t>N =</w:t>
            </w:r>
          </w:p>
          <w:p w14:paraId="0FCA6C6A" w14:textId="77777777" w:rsidR="00CC2B31" w:rsidRPr="00C65707" w:rsidRDefault="00CC2B31">
            <w:pPr>
              <w:pStyle w:val="Header"/>
              <w:widowControl w:val="0"/>
              <w:tabs>
                <w:tab w:val="left" w:pos="284"/>
              </w:tabs>
              <w:jc w:val="both"/>
              <w:rPr>
                <w:b/>
                <w:bCs/>
                <w:sz w:val="22"/>
                <w:szCs w:val="22"/>
              </w:rPr>
            </w:pPr>
            <w:r w:rsidRPr="00C65707">
              <w:rPr>
                <w:b/>
                <w:bCs/>
                <w:sz w:val="22"/>
                <w:szCs w:val="22"/>
              </w:rPr>
              <w:t>398</w:t>
            </w:r>
          </w:p>
        </w:tc>
        <w:tc>
          <w:tcPr>
            <w:tcW w:w="445" w:type="pct"/>
            <w:tcBorders>
              <w:left w:val="single" w:sz="4" w:space="0" w:color="auto"/>
              <w:right w:val="single" w:sz="4" w:space="0" w:color="auto"/>
            </w:tcBorders>
          </w:tcPr>
          <w:p w14:paraId="63ADD893" w14:textId="77777777" w:rsidR="00CC2B31" w:rsidRPr="00C65707" w:rsidRDefault="00CC2B31">
            <w:pPr>
              <w:pStyle w:val="Header"/>
              <w:widowControl w:val="0"/>
              <w:tabs>
                <w:tab w:val="left" w:pos="284"/>
              </w:tabs>
              <w:jc w:val="both"/>
              <w:rPr>
                <w:b/>
                <w:bCs/>
                <w:sz w:val="22"/>
                <w:szCs w:val="22"/>
              </w:rPr>
            </w:pPr>
            <w:r w:rsidRPr="00C65707">
              <w:rPr>
                <w:b/>
                <w:bCs/>
                <w:sz w:val="22"/>
                <w:szCs w:val="22"/>
              </w:rPr>
              <w:t>N =</w:t>
            </w:r>
          </w:p>
          <w:p w14:paraId="1F5A76D7" w14:textId="77777777" w:rsidR="00CC2B31" w:rsidRPr="00C65707" w:rsidRDefault="00CC2B31">
            <w:pPr>
              <w:pStyle w:val="Header"/>
              <w:widowControl w:val="0"/>
              <w:tabs>
                <w:tab w:val="left" w:pos="284"/>
              </w:tabs>
              <w:jc w:val="both"/>
              <w:rPr>
                <w:b/>
                <w:bCs/>
                <w:sz w:val="22"/>
                <w:szCs w:val="22"/>
              </w:rPr>
            </w:pPr>
            <w:r w:rsidRPr="00C65707">
              <w:rPr>
                <w:b/>
                <w:bCs/>
                <w:sz w:val="22"/>
                <w:szCs w:val="22"/>
              </w:rPr>
              <w:t>393</w:t>
            </w:r>
          </w:p>
        </w:tc>
        <w:tc>
          <w:tcPr>
            <w:tcW w:w="473" w:type="pct"/>
            <w:tcBorders>
              <w:left w:val="single" w:sz="4" w:space="0" w:color="auto"/>
              <w:right w:val="single" w:sz="4" w:space="0" w:color="auto"/>
            </w:tcBorders>
          </w:tcPr>
          <w:p w14:paraId="6C8DDE1C" w14:textId="77777777" w:rsidR="00CC2B31" w:rsidRPr="00C65707" w:rsidRDefault="00CC2B31">
            <w:pPr>
              <w:pStyle w:val="Header"/>
              <w:widowControl w:val="0"/>
              <w:tabs>
                <w:tab w:val="left" w:pos="284"/>
              </w:tabs>
              <w:jc w:val="both"/>
              <w:rPr>
                <w:b/>
                <w:bCs/>
                <w:sz w:val="22"/>
                <w:szCs w:val="22"/>
              </w:rPr>
            </w:pPr>
            <w:r w:rsidRPr="00C65707">
              <w:rPr>
                <w:b/>
                <w:bCs/>
                <w:sz w:val="22"/>
                <w:szCs w:val="22"/>
              </w:rPr>
              <w:t>N =</w:t>
            </w:r>
          </w:p>
          <w:p w14:paraId="198EC75E" w14:textId="77777777" w:rsidR="00CC2B31" w:rsidRPr="00C65707" w:rsidRDefault="00CC2B31">
            <w:pPr>
              <w:pStyle w:val="Header"/>
              <w:widowControl w:val="0"/>
              <w:tabs>
                <w:tab w:val="left" w:pos="284"/>
              </w:tabs>
              <w:jc w:val="both"/>
              <w:rPr>
                <w:b/>
                <w:bCs/>
                <w:sz w:val="22"/>
                <w:szCs w:val="22"/>
              </w:rPr>
            </w:pPr>
            <w:r w:rsidRPr="00C65707">
              <w:rPr>
                <w:b/>
                <w:bCs/>
                <w:sz w:val="22"/>
                <w:szCs w:val="22"/>
              </w:rPr>
              <w:t>205</w:t>
            </w:r>
          </w:p>
        </w:tc>
        <w:tc>
          <w:tcPr>
            <w:tcW w:w="445" w:type="pct"/>
            <w:tcBorders>
              <w:left w:val="single" w:sz="4" w:space="0" w:color="auto"/>
            </w:tcBorders>
          </w:tcPr>
          <w:p w14:paraId="158329E8" w14:textId="77777777" w:rsidR="00CC2B31" w:rsidRPr="00C65707" w:rsidRDefault="00CC2B31">
            <w:pPr>
              <w:pStyle w:val="Header"/>
              <w:widowControl w:val="0"/>
              <w:tabs>
                <w:tab w:val="left" w:pos="284"/>
              </w:tabs>
              <w:jc w:val="both"/>
              <w:rPr>
                <w:b/>
                <w:bCs/>
                <w:sz w:val="22"/>
                <w:szCs w:val="22"/>
              </w:rPr>
            </w:pPr>
            <w:r w:rsidRPr="00C65707">
              <w:rPr>
                <w:b/>
                <w:bCs/>
                <w:sz w:val="22"/>
                <w:szCs w:val="22"/>
              </w:rPr>
              <w:t>N =</w:t>
            </w:r>
          </w:p>
          <w:p w14:paraId="63EB6B11" w14:textId="77777777" w:rsidR="00CC2B31" w:rsidRPr="00C65707" w:rsidRDefault="00CC2B31">
            <w:pPr>
              <w:pStyle w:val="Header"/>
              <w:widowControl w:val="0"/>
              <w:tabs>
                <w:tab w:val="left" w:pos="284"/>
              </w:tabs>
              <w:jc w:val="both"/>
              <w:rPr>
                <w:b/>
                <w:bCs/>
                <w:sz w:val="22"/>
                <w:szCs w:val="22"/>
              </w:rPr>
            </w:pPr>
            <w:r w:rsidRPr="00C65707">
              <w:rPr>
                <w:b/>
                <w:bCs/>
                <w:sz w:val="22"/>
                <w:szCs w:val="22"/>
              </w:rPr>
              <w:t>204</w:t>
            </w:r>
          </w:p>
        </w:tc>
        <w:tc>
          <w:tcPr>
            <w:tcW w:w="518" w:type="pct"/>
            <w:tcBorders>
              <w:left w:val="nil"/>
              <w:right w:val="single" w:sz="4" w:space="0" w:color="auto"/>
            </w:tcBorders>
          </w:tcPr>
          <w:p w14:paraId="59775772" w14:textId="77777777" w:rsidR="00CC2B31" w:rsidRPr="00C65707" w:rsidRDefault="00CC2B31">
            <w:pPr>
              <w:pStyle w:val="Header"/>
              <w:widowControl w:val="0"/>
              <w:tabs>
                <w:tab w:val="left" w:pos="284"/>
              </w:tabs>
              <w:jc w:val="both"/>
              <w:rPr>
                <w:b/>
                <w:bCs/>
                <w:sz w:val="22"/>
                <w:szCs w:val="22"/>
              </w:rPr>
            </w:pPr>
            <w:r w:rsidRPr="00C65707">
              <w:rPr>
                <w:b/>
                <w:bCs/>
                <w:sz w:val="22"/>
                <w:szCs w:val="22"/>
              </w:rPr>
              <w:t>N =</w:t>
            </w:r>
          </w:p>
          <w:p w14:paraId="52629C4F" w14:textId="77777777" w:rsidR="00CC2B31" w:rsidRPr="00C65707" w:rsidRDefault="00CC2B31">
            <w:pPr>
              <w:pStyle w:val="Header"/>
              <w:widowControl w:val="0"/>
              <w:tabs>
                <w:tab w:val="left" w:pos="284"/>
              </w:tabs>
              <w:jc w:val="both"/>
              <w:rPr>
                <w:b/>
                <w:bCs/>
                <w:sz w:val="22"/>
                <w:szCs w:val="22"/>
              </w:rPr>
            </w:pPr>
            <w:r w:rsidRPr="00C65707">
              <w:rPr>
                <w:b/>
                <w:bCs/>
                <w:sz w:val="22"/>
                <w:szCs w:val="22"/>
              </w:rPr>
              <w:t>803</w:t>
            </w:r>
          </w:p>
        </w:tc>
        <w:tc>
          <w:tcPr>
            <w:tcW w:w="518" w:type="pct"/>
            <w:gridSpan w:val="2"/>
            <w:tcBorders>
              <w:left w:val="single" w:sz="4" w:space="0" w:color="auto"/>
            </w:tcBorders>
          </w:tcPr>
          <w:p w14:paraId="2C13721E" w14:textId="77777777" w:rsidR="00CC2B31" w:rsidRPr="00C65707" w:rsidRDefault="00CC2B31">
            <w:pPr>
              <w:pStyle w:val="Header"/>
              <w:widowControl w:val="0"/>
              <w:tabs>
                <w:tab w:val="left" w:pos="284"/>
              </w:tabs>
              <w:jc w:val="both"/>
              <w:rPr>
                <w:b/>
                <w:bCs/>
                <w:sz w:val="22"/>
                <w:szCs w:val="22"/>
              </w:rPr>
            </w:pPr>
            <w:r w:rsidRPr="00C65707">
              <w:rPr>
                <w:b/>
                <w:bCs/>
                <w:sz w:val="22"/>
                <w:szCs w:val="22"/>
              </w:rPr>
              <w:t>N =</w:t>
            </w:r>
          </w:p>
          <w:p w14:paraId="010DC690" w14:textId="77777777" w:rsidR="00CC2B31" w:rsidRPr="00C65707" w:rsidRDefault="00CC2B31">
            <w:pPr>
              <w:pStyle w:val="Header"/>
              <w:widowControl w:val="0"/>
              <w:tabs>
                <w:tab w:val="left" w:pos="284"/>
              </w:tabs>
              <w:jc w:val="both"/>
              <w:rPr>
                <w:b/>
                <w:bCs/>
                <w:sz w:val="22"/>
                <w:szCs w:val="22"/>
              </w:rPr>
            </w:pPr>
            <w:r w:rsidRPr="00C65707">
              <w:rPr>
                <w:b/>
                <w:bCs/>
                <w:sz w:val="22"/>
                <w:szCs w:val="22"/>
              </w:rPr>
              <w:t>413</w:t>
            </w:r>
          </w:p>
        </w:tc>
        <w:tc>
          <w:tcPr>
            <w:tcW w:w="473" w:type="pct"/>
            <w:tcBorders>
              <w:left w:val="nil"/>
              <w:right w:val="single" w:sz="4" w:space="0" w:color="auto"/>
            </w:tcBorders>
          </w:tcPr>
          <w:p w14:paraId="088737BD" w14:textId="77777777" w:rsidR="00CC2B31" w:rsidRPr="00C65707" w:rsidRDefault="00CC2B31">
            <w:pPr>
              <w:pStyle w:val="Header"/>
              <w:widowControl w:val="0"/>
              <w:tabs>
                <w:tab w:val="left" w:pos="284"/>
              </w:tabs>
              <w:jc w:val="both"/>
              <w:rPr>
                <w:b/>
                <w:bCs/>
                <w:sz w:val="22"/>
                <w:szCs w:val="22"/>
              </w:rPr>
            </w:pPr>
            <w:r w:rsidRPr="00C65707">
              <w:rPr>
                <w:b/>
                <w:bCs/>
                <w:sz w:val="22"/>
                <w:szCs w:val="22"/>
              </w:rPr>
              <w:t>N =</w:t>
            </w:r>
          </w:p>
          <w:p w14:paraId="467214B1" w14:textId="77777777" w:rsidR="00CC2B31" w:rsidRPr="00C65707" w:rsidRDefault="00CC2B31">
            <w:pPr>
              <w:pStyle w:val="Header"/>
              <w:widowControl w:val="0"/>
              <w:tabs>
                <w:tab w:val="left" w:pos="284"/>
              </w:tabs>
              <w:jc w:val="both"/>
              <w:rPr>
                <w:b/>
                <w:bCs/>
                <w:sz w:val="22"/>
                <w:szCs w:val="22"/>
              </w:rPr>
            </w:pPr>
            <w:r w:rsidRPr="00C65707">
              <w:rPr>
                <w:b/>
                <w:bCs/>
                <w:sz w:val="22"/>
                <w:szCs w:val="22"/>
              </w:rPr>
              <w:t>170</w:t>
            </w:r>
          </w:p>
        </w:tc>
        <w:tc>
          <w:tcPr>
            <w:tcW w:w="357" w:type="pct"/>
            <w:tcBorders>
              <w:left w:val="single" w:sz="4" w:space="0" w:color="auto"/>
            </w:tcBorders>
          </w:tcPr>
          <w:p w14:paraId="2190B723" w14:textId="77777777" w:rsidR="00CC2B31" w:rsidRPr="00C65707" w:rsidRDefault="00CC2B31">
            <w:pPr>
              <w:pStyle w:val="Header"/>
              <w:widowControl w:val="0"/>
              <w:tabs>
                <w:tab w:val="left" w:pos="284"/>
              </w:tabs>
              <w:jc w:val="both"/>
              <w:rPr>
                <w:b/>
                <w:bCs/>
                <w:sz w:val="22"/>
                <w:szCs w:val="22"/>
              </w:rPr>
            </w:pPr>
            <w:r w:rsidRPr="00C65707">
              <w:rPr>
                <w:b/>
                <w:bCs/>
                <w:sz w:val="22"/>
                <w:szCs w:val="22"/>
              </w:rPr>
              <w:t>N =</w:t>
            </w:r>
          </w:p>
          <w:p w14:paraId="47CE7A01" w14:textId="77777777" w:rsidR="00CC2B31" w:rsidRPr="00C65707" w:rsidRDefault="00CC2B31">
            <w:pPr>
              <w:pStyle w:val="Header"/>
              <w:widowControl w:val="0"/>
              <w:tabs>
                <w:tab w:val="left" w:pos="284"/>
              </w:tabs>
              <w:jc w:val="both"/>
              <w:rPr>
                <w:b/>
                <w:bCs/>
                <w:sz w:val="22"/>
                <w:szCs w:val="22"/>
              </w:rPr>
            </w:pPr>
            <w:r w:rsidRPr="00C65707">
              <w:rPr>
                <w:b/>
                <w:bCs/>
                <w:sz w:val="22"/>
                <w:szCs w:val="22"/>
              </w:rPr>
              <w:t>158</w:t>
            </w:r>
          </w:p>
        </w:tc>
      </w:tr>
      <w:tr w:rsidR="00CC2B31" w:rsidRPr="00C65707" w14:paraId="01E0383C" w14:textId="77777777" w:rsidTr="00CE5678">
        <w:trPr>
          <w:trHeight w:val="144"/>
        </w:trPr>
        <w:tc>
          <w:tcPr>
            <w:tcW w:w="5000" w:type="pct"/>
            <w:gridSpan w:val="12"/>
          </w:tcPr>
          <w:p w14:paraId="331D30A7" w14:textId="77777777" w:rsidR="00CC2B31" w:rsidRPr="00C65707" w:rsidRDefault="00CC2B31">
            <w:pPr>
              <w:pStyle w:val="Header"/>
              <w:widowControl w:val="0"/>
              <w:tabs>
                <w:tab w:val="left" w:pos="284"/>
              </w:tabs>
              <w:jc w:val="center"/>
              <w:rPr>
                <w:b/>
                <w:sz w:val="22"/>
                <w:szCs w:val="22"/>
              </w:rPr>
            </w:pPr>
            <w:r w:rsidRPr="00C65707">
              <w:rPr>
                <w:b/>
                <w:sz w:val="22"/>
                <w:szCs w:val="22"/>
              </w:rPr>
              <w:t>ACR 20</w:t>
            </w:r>
          </w:p>
        </w:tc>
      </w:tr>
      <w:tr w:rsidR="00CC2B31" w:rsidRPr="00C65707" w14:paraId="19295CC0" w14:textId="77777777" w:rsidTr="00CE5678">
        <w:trPr>
          <w:trHeight w:val="144"/>
        </w:trPr>
        <w:tc>
          <w:tcPr>
            <w:tcW w:w="470" w:type="pct"/>
            <w:tcBorders>
              <w:right w:val="single" w:sz="4" w:space="0" w:color="auto"/>
            </w:tcBorders>
          </w:tcPr>
          <w:p w14:paraId="11DA06CE" w14:textId="77777777" w:rsidR="00CC2B31" w:rsidRPr="00C65707" w:rsidRDefault="00CC2B31" w:rsidP="00C65707">
            <w:pPr>
              <w:pStyle w:val="Header"/>
              <w:widowControl w:val="0"/>
              <w:tabs>
                <w:tab w:val="left" w:pos="284"/>
              </w:tabs>
              <w:jc w:val="both"/>
              <w:rPr>
                <w:sz w:val="22"/>
                <w:szCs w:val="22"/>
              </w:rPr>
            </w:pPr>
            <w:r w:rsidRPr="00C65707">
              <w:rPr>
                <w:sz w:val="22"/>
                <w:szCs w:val="22"/>
              </w:rPr>
              <w:t>24</w:t>
            </w:r>
          </w:p>
        </w:tc>
        <w:tc>
          <w:tcPr>
            <w:tcW w:w="473" w:type="pct"/>
            <w:tcBorders>
              <w:left w:val="single" w:sz="4" w:space="0" w:color="auto"/>
              <w:right w:val="single" w:sz="4" w:space="0" w:color="auto"/>
            </w:tcBorders>
          </w:tcPr>
          <w:p w14:paraId="7443B85E" w14:textId="77777777" w:rsidR="00CC2B31" w:rsidRPr="002B3647" w:rsidRDefault="00CC2B31" w:rsidP="002B3647">
            <w:pPr>
              <w:pStyle w:val="Header"/>
              <w:widowControl w:val="0"/>
              <w:tabs>
                <w:tab w:val="left" w:pos="284"/>
              </w:tabs>
              <w:jc w:val="both"/>
              <w:rPr>
                <w:sz w:val="22"/>
                <w:szCs w:val="22"/>
              </w:rPr>
            </w:pPr>
            <w:r w:rsidRPr="002B3647">
              <w:rPr>
                <w:sz w:val="22"/>
                <w:szCs w:val="22"/>
              </w:rPr>
              <w:t>70%***</w:t>
            </w:r>
          </w:p>
        </w:tc>
        <w:tc>
          <w:tcPr>
            <w:tcW w:w="357" w:type="pct"/>
            <w:tcBorders>
              <w:left w:val="single" w:sz="4" w:space="0" w:color="auto"/>
              <w:right w:val="single" w:sz="4" w:space="0" w:color="auto"/>
            </w:tcBorders>
          </w:tcPr>
          <w:p w14:paraId="6504F372" w14:textId="77777777" w:rsidR="00CC2B31" w:rsidRPr="00C65707" w:rsidRDefault="00CC2B31">
            <w:pPr>
              <w:pStyle w:val="Header"/>
              <w:widowControl w:val="0"/>
              <w:tabs>
                <w:tab w:val="left" w:pos="284"/>
              </w:tabs>
              <w:jc w:val="both"/>
              <w:rPr>
                <w:sz w:val="22"/>
                <w:szCs w:val="22"/>
              </w:rPr>
            </w:pPr>
            <w:r w:rsidRPr="00C65707">
              <w:rPr>
                <w:sz w:val="22"/>
                <w:szCs w:val="22"/>
              </w:rPr>
              <w:t>52%</w:t>
            </w:r>
          </w:p>
        </w:tc>
        <w:tc>
          <w:tcPr>
            <w:tcW w:w="473" w:type="pct"/>
            <w:tcBorders>
              <w:left w:val="single" w:sz="4" w:space="0" w:color="auto"/>
              <w:right w:val="single" w:sz="4" w:space="0" w:color="auto"/>
            </w:tcBorders>
          </w:tcPr>
          <w:p w14:paraId="09FC3BA7" w14:textId="77777777" w:rsidR="00CC2B31" w:rsidRPr="00C65707" w:rsidRDefault="00CC2B31">
            <w:pPr>
              <w:pStyle w:val="Header"/>
              <w:widowControl w:val="0"/>
              <w:tabs>
                <w:tab w:val="left" w:pos="284"/>
              </w:tabs>
              <w:jc w:val="both"/>
              <w:rPr>
                <w:sz w:val="22"/>
                <w:szCs w:val="22"/>
              </w:rPr>
            </w:pPr>
            <w:r w:rsidRPr="00C65707">
              <w:rPr>
                <w:sz w:val="22"/>
                <w:szCs w:val="22"/>
              </w:rPr>
              <w:t>56%***</w:t>
            </w:r>
          </w:p>
        </w:tc>
        <w:tc>
          <w:tcPr>
            <w:tcW w:w="445" w:type="pct"/>
            <w:tcBorders>
              <w:left w:val="single" w:sz="4" w:space="0" w:color="auto"/>
              <w:right w:val="single" w:sz="4" w:space="0" w:color="auto"/>
            </w:tcBorders>
          </w:tcPr>
          <w:p w14:paraId="2C8923FA" w14:textId="77777777" w:rsidR="00CC2B31" w:rsidRPr="00C65707" w:rsidRDefault="00CC2B31">
            <w:pPr>
              <w:pStyle w:val="Header"/>
              <w:widowControl w:val="0"/>
              <w:tabs>
                <w:tab w:val="left" w:pos="284"/>
              </w:tabs>
              <w:jc w:val="both"/>
              <w:rPr>
                <w:sz w:val="22"/>
                <w:szCs w:val="22"/>
              </w:rPr>
            </w:pPr>
            <w:r w:rsidRPr="00C65707">
              <w:rPr>
                <w:sz w:val="22"/>
                <w:szCs w:val="22"/>
              </w:rPr>
              <w:t>27%</w:t>
            </w:r>
          </w:p>
        </w:tc>
        <w:tc>
          <w:tcPr>
            <w:tcW w:w="473" w:type="pct"/>
            <w:tcBorders>
              <w:left w:val="single" w:sz="4" w:space="0" w:color="auto"/>
              <w:right w:val="single" w:sz="4" w:space="0" w:color="auto"/>
            </w:tcBorders>
          </w:tcPr>
          <w:p w14:paraId="2435EB0A" w14:textId="77777777" w:rsidR="00CC2B31" w:rsidRPr="00C65707" w:rsidRDefault="00CC2B31">
            <w:pPr>
              <w:pStyle w:val="Header"/>
              <w:widowControl w:val="0"/>
              <w:tabs>
                <w:tab w:val="left" w:pos="284"/>
              </w:tabs>
              <w:jc w:val="both"/>
              <w:rPr>
                <w:sz w:val="22"/>
                <w:szCs w:val="22"/>
              </w:rPr>
            </w:pPr>
            <w:r w:rsidRPr="00C65707">
              <w:rPr>
                <w:sz w:val="22"/>
                <w:szCs w:val="22"/>
              </w:rPr>
              <w:t>59%***</w:t>
            </w:r>
          </w:p>
        </w:tc>
        <w:tc>
          <w:tcPr>
            <w:tcW w:w="445" w:type="pct"/>
            <w:tcBorders>
              <w:left w:val="single" w:sz="4" w:space="0" w:color="auto"/>
            </w:tcBorders>
          </w:tcPr>
          <w:p w14:paraId="4386A178" w14:textId="77777777" w:rsidR="00CC2B31" w:rsidRPr="00C65707" w:rsidRDefault="00CC2B31">
            <w:pPr>
              <w:pStyle w:val="Header"/>
              <w:widowControl w:val="0"/>
              <w:tabs>
                <w:tab w:val="left" w:pos="284"/>
              </w:tabs>
              <w:jc w:val="both"/>
              <w:rPr>
                <w:sz w:val="22"/>
                <w:szCs w:val="22"/>
              </w:rPr>
            </w:pPr>
            <w:r w:rsidRPr="00C65707">
              <w:rPr>
                <w:sz w:val="22"/>
                <w:szCs w:val="22"/>
              </w:rPr>
              <w:t>26%</w:t>
            </w:r>
          </w:p>
        </w:tc>
        <w:tc>
          <w:tcPr>
            <w:tcW w:w="518" w:type="pct"/>
            <w:tcBorders>
              <w:left w:val="nil"/>
            </w:tcBorders>
          </w:tcPr>
          <w:p w14:paraId="1EED5356" w14:textId="77777777" w:rsidR="00CC2B31" w:rsidRPr="00C65707" w:rsidRDefault="00CC2B31">
            <w:pPr>
              <w:pStyle w:val="Header"/>
              <w:widowControl w:val="0"/>
              <w:tabs>
                <w:tab w:val="left" w:pos="284"/>
              </w:tabs>
              <w:jc w:val="both"/>
              <w:rPr>
                <w:sz w:val="22"/>
                <w:szCs w:val="22"/>
              </w:rPr>
            </w:pPr>
            <w:r w:rsidRPr="00C65707">
              <w:rPr>
                <w:sz w:val="22"/>
                <w:szCs w:val="22"/>
              </w:rPr>
              <w:t>61%***</w:t>
            </w:r>
          </w:p>
        </w:tc>
        <w:tc>
          <w:tcPr>
            <w:tcW w:w="518" w:type="pct"/>
            <w:gridSpan w:val="2"/>
            <w:tcBorders>
              <w:left w:val="nil"/>
            </w:tcBorders>
          </w:tcPr>
          <w:p w14:paraId="11A2BC73" w14:textId="77777777" w:rsidR="00CC2B31" w:rsidRPr="00C65707" w:rsidRDefault="00CC2B31">
            <w:pPr>
              <w:pStyle w:val="Header"/>
              <w:widowControl w:val="0"/>
              <w:tabs>
                <w:tab w:val="left" w:pos="284"/>
              </w:tabs>
              <w:jc w:val="both"/>
              <w:rPr>
                <w:sz w:val="22"/>
                <w:szCs w:val="22"/>
              </w:rPr>
            </w:pPr>
            <w:r w:rsidRPr="00C65707">
              <w:rPr>
                <w:sz w:val="22"/>
                <w:szCs w:val="22"/>
              </w:rPr>
              <w:t>24%</w:t>
            </w:r>
          </w:p>
        </w:tc>
        <w:tc>
          <w:tcPr>
            <w:tcW w:w="473" w:type="pct"/>
            <w:tcBorders>
              <w:left w:val="nil"/>
            </w:tcBorders>
          </w:tcPr>
          <w:p w14:paraId="2B242FB7" w14:textId="77777777" w:rsidR="00CC2B31" w:rsidRPr="00C65707" w:rsidRDefault="00CC2B31">
            <w:pPr>
              <w:pStyle w:val="Header"/>
              <w:widowControl w:val="0"/>
              <w:tabs>
                <w:tab w:val="left" w:pos="284"/>
              </w:tabs>
              <w:jc w:val="both"/>
              <w:rPr>
                <w:sz w:val="22"/>
                <w:szCs w:val="22"/>
              </w:rPr>
            </w:pPr>
            <w:r w:rsidRPr="00C65707">
              <w:rPr>
                <w:sz w:val="22"/>
                <w:szCs w:val="22"/>
              </w:rPr>
              <w:t>50%***</w:t>
            </w:r>
          </w:p>
        </w:tc>
        <w:tc>
          <w:tcPr>
            <w:tcW w:w="357" w:type="pct"/>
            <w:tcBorders>
              <w:left w:val="nil"/>
            </w:tcBorders>
          </w:tcPr>
          <w:p w14:paraId="26475234" w14:textId="77777777" w:rsidR="00CC2B31" w:rsidRPr="00C65707" w:rsidRDefault="00CC2B31">
            <w:pPr>
              <w:pStyle w:val="Header"/>
              <w:widowControl w:val="0"/>
              <w:tabs>
                <w:tab w:val="left" w:pos="284"/>
              </w:tabs>
              <w:jc w:val="both"/>
              <w:rPr>
                <w:sz w:val="22"/>
                <w:szCs w:val="22"/>
              </w:rPr>
            </w:pPr>
            <w:r w:rsidRPr="00C65707">
              <w:rPr>
                <w:sz w:val="22"/>
                <w:szCs w:val="22"/>
              </w:rPr>
              <w:t>10%</w:t>
            </w:r>
          </w:p>
        </w:tc>
      </w:tr>
      <w:tr w:rsidR="00CC2B31" w:rsidRPr="00C65707" w14:paraId="0768EF6C" w14:textId="77777777" w:rsidTr="00CE5678">
        <w:trPr>
          <w:trHeight w:val="144"/>
        </w:trPr>
        <w:tc>
          <w:tcPr>
            <w:tcW w:w="470" w:type="pct"/>
            <w:tcBorders>
              <w:right w:val="single" w:sz="4" w:space="0" w:color="auto"/>
            </w:tcBorders>
          </w:tcPr>
          <w:p w14:paraId="62D7ECA4" w14:textId="77777777" w:rsidR="00CC2B31" w:rsidRPr="00C65707" w:rsidRDefault="00CC2B31" w:rsidP="00C65707">
            <w:pPr>
              <w:pStyle w:val="Header"/>
              <w:widowControl w:val="0"/>
              <w:tabs>
                <w:tab w:val="left" w:pos="284"/>
              </w:tabs>
              <w:jc w:val="both"/>
              <w:rPr>
                <w:sz w:val="22"/>
                <w:szCs w:val="22"/>
              </w:rPr>
            </w:pPr>
            <w:r w:rsidRPr="00C65707">
              <w:rPr>
                <w:sz w:val="22"/>
                <w:szCs w:val="22"/>
              </w:rPr>
              <w:t>52</w:t>
            </w:r>
          </w:p>
        </w:tc>
        <w:tc>
          <w:tcPr>
            <w:tcW w:w="473" w:type="pct"/>
            <w:tcBorders>
              <w:left w:val="single" w:sz="4" w:space="0" w:color="auto"/>
              <w:right w:val="single" w:sz="4" w:space="0" w:color="auto"/>
            </w:tcBorders>
          </w:tcPr>
          <w:p w14:paraId="109E46F1" w14:textId="77777777" w:rsidR="00CC2B31" w:rsidRPr="002B3647" w:rsidRDefault="00CC2B31" w:rsidP="002B3647">
            <w:pPr>
              <w:pStyle w:val="Header"/>
              <w:widowControl w:val="0"/>
              <w:tabs>
                <w:tab w:val="left" w:pos="284"/>
              </w:tabs>
              <w:jc w:val="both"/>
              <w:rPr>
                <w:sz w:val="22"/>
                <w:szCs w:val="22"/>
              </w:rPr>
            </w:pPr>
          </w:p>
        </w:tc>
        <w:tc>
          <w:tcPr>
            <w:tcW w:w="357" w:type="pct"/>
            <w:tcBorders>
              <w:left w:val="single" w:sz="4" w:space="0" w:color="auto"/>
              <w:right w:val="single" w:sz="4" w:space="0" w:color="auto"/>
            </w:tcBorders>
          </w:tcPr>
          <w:p w14:paraId="23144C97" w14:textId="77777777" w:rsidR="00CC2B31" w:rsidRPr="00C65707" w:rsidRDefault="00CC2B31">
            <w:pPr>
              <w:pStyle w:val="Header"/>
              <w:widowControl w:val="0"/>
              <w:tabs>
                <w:tab w:val="left" w:pos="284"/>
              </w:tabs>
              <w:jc w:val="both"/>
              <w:rPr>
                <w:sz w:val="22"/>
                <w:szCs w:val="22"/>
              </w:rPr>
            </w:pPr>
          </w:p>
        </w:tc>
        <w:tc>
          <w:tcPr>
            <w:tcW w:w="473" w:type="pct"/>
            <w:tcBorders>
              <w:left w:val="single" w:sz="4" w:space="0" w:color="auto"/>
              <w:right w:val="single" w:sz="4" w:space="0" w:color="auto"/>
            </w:tcBorders>
          </w:tcPr>
          <w:p w14:paraId="5CCB09CE" w14:textId="77777777" w:rsidR="00CC2B31" w:rsidRPr="00C65707" w:rsidRDefault="00CC2B31">
            <w:pPr>
              <w:pStyle w:val="Header"/>
              <w:widowControl w:val="0"/>
              <w:tabs>
                <w:tab w:val="left" w:pos="284"/>
              </w:tabs>
              <w:jc w:val="both"/>
              <w:rPr>
                <w:sz w:val="22"/>
                <w:szCs w:val="22"/>
              </w:rPr>
            </w:pPr>
            <w:r w:rsidRPr="00C65707">
              <w:rPr>
                <w:sz w:val="22"/>
                <w:szCs w:val="22"/>
              </w:rPr>
              <w:t>56%***</w:t>
            </w:r>
          </w:p>
        </w:tc>
        <w:tc>
          <w:tcPr>
            <w:tcW w:w="445" w:type="pct"/>
            <w:tcBorders>
              <w:left w:val="single" w:sz="4" w:space="0" w:color="auto"/>
              <w:right w:val="single" w:sz="4" w:space="0" w:color="auto"/>
            </w:tcBorders>
          </w:tcPr>
          <w:p w14:paraId="74441294" w14:textId="77777777" w:rsidR="00CC2B31" w:rsidRPr="00C65707" w:rsidRDefault="00CC2B31">
            <w:pPr>
              <w:pStyle w:val="Header"/>
              <w:widowControl w:val="0"/>
              <w:tabs>
                <w:tab w:val="left" w:pos="284"/>
              </w:tabs>
              <w:jc w:val="both"/>
              <w:rPr>
                <w:sz w:val="22"/>
                <w:szCs w:val="22"/>
              </w:rPr>
            </w:pPr>
            <w:r w:rsidRPr="00C65707">
              <w:rPr>
                <w:sz w:val="22"/>
                <w:szCs w:val="22"/>
              </w:rPr>
              <w:t>25%</w:t>
            </w:r>
          </w:p>
        </w:tc>
        <w:tc>
          <w:tcPr>
            <w:tcW w:w="473" w:type="pct"/>
            <w:tcBorders>
              <w:left w:val="single" w:sz="4" w:space="0" w:color="auto"/>
              <w:right w:val="single" w:sz="4" w:space="0" w:color="auto"/>
            </w:tcBorders>
          </w:tcPr>
          <w:p w14:paraId="7289A36F" w14:textId="77777777" w:rsidR="00CC2B31" w:rsidRPr="00C65707" w:rsidRDefault="00CC2B31">
            <w:pPr>
              <w:pStyle w:val="Header"/>
              <w:widowControl w:val="0"/>
              <w:tabs>
                <w:tab w:val="left" w:pos="284"/>
              </w:tabs>
              <w:jc w:val="both"/>
              <w:rPr>
                <w:sz w:val="22"/>
                <w:szCs w:val="22"/>
              </w:rPr>
            </w:pPr>
          </w:p>
        </w:tc>
        <w:tc>
          <w:tcPr>
            <w:tcW w:w="445" w:type="pct"/>
            <w:tcBorders>
              <w:left w:val="single" w:sz="4" w:space="0" w:color="auto"/>
            </w:tcBorders>
          </w:tcPr>
          <w:p w14:paraId="254FDA47" w14:textId="77777777" w:rsidR="00CC2B31" w:rsidRPr="00C65707" w:rsidRDefault="00CC2B31">
            <w:pPr>
              <w:pStyle w:val="Header"/>
              <w:widowControl w:val="0"/>
              <w:tabs>
                <w:tab w:val="left" w:pos="284"/>
              </w:tabs>
              <w:jc w:val="both"/>
              <w:rPr>
                <w:sz w:val="22"/>
                <w:szCs w:val="22"/>
              </w:rPr>
            </w:pPr>
          </w:p>
        </w:tc>
        <w:tc>
          <w:tcPr>
            <w:tcW w:w="518" w:type="pct"/>
            <w:tcBorders>
              <w:left w:val="nil"/>
            </w:tcBorders>
          </w:tcPr>
          <w:p w14:paraId="0375A080" w14:textId="77777777" w:rsidR="00CC2B31" w:rsidRPr="00C65707" w:rsidRDefault="00CC2B31">
            <w:pPr>
              <w:pStyle w:val="Header"/>
              <w:widowControl w:val="0"/>
              <w:tabs>
                <w:tab w:val="left" w:pos="284"/>
              </w:tabs>
              <w:jc w:val="both"/>
              <w:rPr>
                <w:sz w:val="22"/>
                <w:szCs w:val="22"/>
              </w:rPr>
            </w:pPr>
          </w:p>
        </w:tc>
        <w:tc>
          <w:tcPr>
            <w:tcW w:w="518" w:type="pct"/>
            <w:gridSpan w:val="2"/>
            <w:tcBorders>
              <w:left w:val="nil"/>
            </w:tcBorders>
          </w:tcPr>
          <w:p w14:paraId="529B05A5" w14:textId="77777777" w:rsidR="00CC2B31" w:rsidRPr="00C65707" w:rsidRDefault="00CC2B31">
            <w:pPr>
              <w:pStyle w:val="Header"/>
              <w:widowControl w:val="0"/>
              <w:tabs>
                <w:tab w:val="left" w:pos="284"/>
              </w:tabs>
              <w:jc w:val="both"/>
              <w:rPr>
                <w:sz w:val="22"/>
                <w:szCs w:val="22"/>
              </w:rPr>
            </w:pPr>
          </w:p>
        </w:tc>
        <w:tc>
          <w:tcPr>
            <w:tcW w:w="473" w:type="pct"/>
            <w:tcBorders>
              <w:left w:val="nil"/>
            </w:tcBorders>
          </w:tcPr>
          <w:p w14:paraId="20347F28" w14:textId="77777777" w:rsidR="00CC2B31" w:rsidRPr="00C65707" w:rsidRDefault="00CC2B31">
            <w:pPr>
              <w:pStyle w:val="Header"/>
              <w:widowControl w:val="0"/>
              <w:tabs>
                <w:tab w:val="left" w:pos="284"/>
              </w:tabs>
              <w:jc w:val="both"/>
              <w:rPr>
                <w:sz w:val="22"/>
                <w:szCs w:val="22"/>
              </w:rPr>
            </w:pPr>
          </w:p>
        </w:tc>
        <w:tc>
          <w:tcPr>
            <w:tcW w:w="357" w:type="pct"/>
            <w:tcBorders>
              <w:left w:val="nil"/>
            </w:tcBorders>
          </w:tcPr>
          <w:p w14:paraId="18FEF0CF" w14:textId="77777777" w:rsidR="00CC2B31" w:rsidRPr="00C65707" w:rsidRDefault="00CC2B31">
            <w:pPr>
              <w:pStyle w:val="Header"/>
              <w:widowControl w:val="0"/>
              <w:tabs>
                <w:tab w:val="left" w:pos="284"/>
              </w:tabs>
              <w:jc w:val="both"/>
              <w:rPr>
                <w:sz w:val="22"/>
                <w:szCs w:val="22"/>
              </w:rPr>
            </w:pPr>
          </w:p>
        </w:tc>
      </w:tr>
      <w:tr w:rsidR="00CC2B31" w:rsidRPr="00C65707" w14:paraId="59CF2FDD" w14:textId="77777777" w:rsidTr="00CE5678">
        <w:trPr>
          <w:trHeight w:val="144"/>
        </w:trPr>
        <w:tc>
          <w:tcPr>
            <w:tcW w:w="5000" w:type="pct"/>
            <w:gridSpan w:val="12"/>
          </w:tcPr>
          <w:p w14:paraId="5FB5BAE1" w14:textId="77777777" w:rsidR="00CC2B31" w:rsidRPr="00C65707" w:rsidRDefault="00CC2B31">
            <w:pPr>
              <w:pStyle w:val="Header"/>
              <w:widowControl w:val="0"/>
              <w:tabs>
                <w:tab w:val="left" w:pos="284"/>
              </w:tabs>
              <w:jc w:val="center"/>
              <w:rPr>
                <w:b/>
                <w:sz w:val="22"/>
                <w:szCs w:val="22"/>
              </w:rPr>
            </w:pPr>
            <w:r w:rsidRPr="00C65707">
              <w:rPr>
                <w:b/>
                <w:sz w:val="22"/>
                <w:szCs w:val="22"/>
              </w:rPr>
              <w:t>ACR 50</w:t>
            </w:r>
          </w:p>
        </w:tc>
      </w:tr>
      <w:tr w:rsidR="00CC2B31" w:rsidRPr="00C65707" w14:paraId="62A8100B" w14:textId="77777777" w:rsidTr="00CE5678">
        <w:trPr>
          <w:trHeight w:val="144"/>
        </w:trPr>
        <w:tc>
          <w:tcPr>
            <w:tcW w:w="470" w:type="pct"/>
            <w:tcBorders>
              <w:right w:val="single" w:sz="4" w:space="0" w:color="auto"/>
            </w:tcBorders>
          </w:tcPr>
          <w:p w14:paraId="7C6C213A" w14:textId="77777777" w:rsidR="00CC2B31" w:rsidRPr="00C65707" w:rsidRDefault="00CC2B31" w:rsidP="00C65707">
            <w:pPr>
              <w:pStyle w:val="Header"/>
              <w:widowControl w:val="0"/>
              <w:tabs>
                <w:tab w:val="left" w:pos="284"/>
              </w:tabs>
              <w:jc w:val="both"/>
              <w:rPr>
                <w:sz w:val="22"/>
                <w:szCs w:val="22"/>
              </w:rPr>
            </w:pPr>
            <w:r w:rsidRPr="00C65707">
              <w:rPr>
                <w:sz w:val="22"/>
                <w:szCs w:val="22"/>
              </w:rPr>
              <w:t>24</w:t>
            </w:r>
          </w:p>
        </w:tc>
        <w:tc>
          <w:tcPr>
            <w:tcW w:w="473" w:type="pct"/>
            <w:tcBorders>
              <w:left w:val="single" w:sz="4" w:space="0" w:color="auto"/>
              <w:right w:val="single" w:sz="4" w:space="0" w:color="auto"/>
            </w:tcBorders>
          </w:tcPr>
          <w:p w14:paraId="5B439625" w14:textId="77777777" w:rsidR="00CC2B31" w:rsidRPr="002B3647" w:rsidRDefault="00CC2B31" w:rsidP="002B3647">
            <w:pPr>
              <w:pStyle w:val="Header"/>
              <w:widowControl w:val="0"/>
              <w:tabs>
                <w:tab w:val="left" w:pos="284"/>
              </w:tabs>
              <w:jc w:val="both"/>
              <w:rPr>
                <w:sz w:val="22"/>
                <w:szCs w:val="22"/>
              </w:rPr>
            </w:pPr>
            <w:r w:rsidRPr="002B3647">
              <w:rPr>
                <w:sz w:val="22"/>
                <w:szCs w:val="22"/>
              </w:rPr>
              <w:t>44%**</w:t>
            </w:r>
          </w:p>
        </w:tc>
        <w:tc>
          <w:tcPr>
            <w:tcW w:w="357" w:type="pct"/>
            <w:tcBorders>
              <w:left w:val="single" w:sz="4" w:space="0" w:color="auto"/>
              <w:right w:val="single" w:sz="4" w:space="0" w:color="auto"/>
            </w:tcBorders>
          </w:tcPr>
          <w:p w14:paraId="4AE3EED2" w14:textId="77777777" w:rsidR="00CC2B31" w:rsidRPr="00C65707" w:rsidRDefault="00CC2B31">
            <w:pPr>
              <w:pStyle w:val="Header"/>
              <w:widowControl w:val="0"/>
              <w:tabs>
                <w:tab w:val="left" w:pos="284"/>
              </w:tabs>
              <w:jc w:val="both"/>
              <w:rPr>
                <w:sz w:val="22"/>
                <w:szCs w:val="22"/>
              </w:rPr>
            </w:pPr>
            <w:r w:rsidRPr="00C65707">
              <w:rPr>
                <w:sz w:val="22"/>
                <w:szCs w:val="22"/>
              </w:rPr>
              <w:t xml:space="preserve"> 33%</w:t>
            </w:r>
          </w:p>
        </w:tc>
        <w:tc>
          <w:tcPr>
            <w:tcW w:w="473" w:type="pct"/>
            <w:tcBorders>
              <w:left w:val="single" w:sz="4" w:space="0" w:color="auto"/>
              <w:right w:val="single" w:sz="4" w:space="0" w:color="auto"/>
            </w:tcBorders>
          </w:tcPr>
          <w:p w14:paraId="254DBEEA" w14:textId="77777777" w:rsidR="00CC2B31" w:rsidRPr="00C65707" w:rsidRDefault="00CC2B31">
            <w:pPr>
              <w:pStyle w:val="Header"/>
              <w:widowControl w:val="0"/>
              <w:tabs>
                <w:tab w:val="left" w:pos="284"/>
              </w:tabs>
              <w:jc w:val="both"/>
              <w:rPr>
                <w:sz w:val="22"/>
                <w:szCs w:val="22"/>
              </w:rPr>
            </w:pPr>
            <w:r w:rsidRPr="00C65707">
              <w:rPr>
                <w:sz w:val="22"/>
                <w:szCs w:val="22"/>
              </w:rPr>
              <w:t>32%***</w:t>
            </w:r>
          </w:p>
        </w:tc>
        <w:tc>
          <w:tcPr>
            <w:tcW w:w="445" w:type="pct"/>
            <w:tcBorders>
              <w:left w:val="single" w:sz="4" w:space="0" w:color="auto"/>
              <w:right w:val="single" w:sz="4" w:space="0" w:color="auto"/>
            </w:tcBorders>
          </w:tcPr>
          <w:p w14:paraId="32A1DB91" w14:textId="77777777" w:rsidR="00CC2B31" w:rsidRPr="00C65707" w:rsidRDefault="00CC2B31">
            <w:pPr>
              <w:pStyle w:val="Header"/>
              <w:widowControl w:val="0"/>
              <w:tabs>
                <w:tab w:val="left" w:pos="284"/>
              </w:tabs>
              <w:jc w:val="both"/>
              <w:rPr>
                <w:sz w:val="22"/>
                <w:szCs w:val="22"/>
              </w:rPr>
            </w:pPr>
            <w:r w:rsidRPr="00C65707">
              <w:rPr>
                <w:sz w:val="22"/>
                <w:szCs w:val="22"/>
              </w:rPr>
              <w:t>10%</w:t>
            </w:r>
          </w:p>
        </w:tc>
        <w:tc>
          <w:tcPr>
            <w:tcW w:w="473" w:type="pct"/>
            <w:tcBorders>
              <w:left w:val="single" w:sz="4" w:space="0" w:color="auto"/>
              <w:right w:val="single" w:sz="4" w:space="0" w:color="auto"/>
            </w:tcBorders>
          </w:tcPr>
          <w:p w14:paraId="06712B3C" w14:textId="77777777" w:rsidR="00CC2B31" w:rsidRPr="00C65707" w:rsidRDefault="00CC2B31">
            <w:pPr>
              <w:pStyle w:val="Header"/>
              <w:widowControl w:val="0"/>
              <w:tabs>
                <w:tab w:val="left" w:pos="284"/>
              </w:tabs>
              <w:jc w:val="both"/>
              <w:rPr>
                <w:sz w:val="22"/>
                <w:szCs w:val="22"/>
              </w:rPr>
            </w:pPr>
            <w:r w:rsidRPr="00C65707">
              <w:rPr>
                <w:sz w:val="22"/>
                <w:szCs w:val="22"/>
              </w:rPr>
              <w:t>44%***</w:t>
            </w:r>
          </w:p>
        </w:tc>
        <w:tc>
          <w:tcPr>
            <w:tcW w:w="445" w:type="pct"/>
            <w:tcBorders>
              <w:left w:val="single" w:sz="4" w:space="0" w:color="auto"/>
            </w:tcBorders>
          </w:tcPr>
          <w:p w14:paraId="3E94634E" w14:textId="77777777" w:rsidR="00CC2B31" w:rsidRPr="00C65707" w:rsidRDefault="00CC2B31">
            <w:pPr>
              <w:pStyle w:val="Header"/>
              <w:widowControl w:val="0"/>
              <w:tabs>
                <w:tab w:val="left" w:pos="284"/>
              </w:tabs>
              <w:jc w:val="both"/>
              <w:rPr>
                <w:sz w:val="22"/>
                <w:szCs w:val="22"/>
              </w:rPr>
            </w:pPr>
            <w:r w:rsidRPr="00C65707">
              <w:rPr>
                <w:sz w:val="22"/>
                <w:szCs w:val="22"/>
              </w:rPr>
              <w:t>11%</w:t>
            </w:r>
          </w:p>
        </w:tc>
        <w:tc>
          <w:tcPr>
            <w:tcW w:w="518" w:type="pct"/>
            <w:tcBorders>
              <w:left w:val="nil"/>
            </w:tcBorders>
          </w:tcPr>
          <w:p w14:paraId="5DB27E40" w14:textId="77777777" w:rsidR="00CC2B31" w:rsidRPr="00C65707" w:rsidRDefault="00CC2B31">
            <w:pPr>
              <w:pStyle w:val="Header"/>
              <w:widowControl w:val="0"/>
              <w:tabs>
                <w:tab w:val="left" w:pos="284"/>
              </w:tabs>
              <w:jc w:val="both"/>
              <w:rPr>
                <w:sz w:val="22"/>
                <w:szCs w:val="22"/>
              </w:rPr>
            </w:pPr>
            <w:r w:rsidRPr="00C65707">
              <w:rPr>
                <w:sz w:val="22"/>
                <w:szCs w:val="22"/>
              </w:rPr>
              <w:t>38%***</w:t>
            </w:r>
          </w:p>
        </w:tc>
        <w:tc>
          <w:tcPr>
            <w:tcW w:w="513" w:type="pct"/>
            <w:tcBorders>
              <w:left w:val="nil"/>
            </w:tcBorders>
          </w:tcPr>
          <w:p w14:paraId="23A25211" w14:textId="77777777" w:rsidR="00CC2B31" w:rsidRPr="00C65707" w:rsidRDefault="00CC2B31">
            <w:pPr>
              <w:pStyle w:val="Header"/>
              <w:widowControl w:val="0"/>
              <w:tabs>
                <w:tab w:val="left" w:pos="284"/>
              </w:tabs>
              <w:jc w:val="both"/>
              <w:rPr>
                <w:sz w:val="22"/>
                <w:szCs w:val="22"/>
              </w:rPr>
            </w:pPr>
            <w:r w:rsidRPr="00C65707">
              <w:rPr>
                <w:sz w:val="22"/>
                <w:szCs w:val="22"/>
              </w:rPr>
              <w:t>9%</w:t>
            </w:r>
          </w:p>
        </w:tc>
        <w:tc>
          <w:tcPr>
            <w:tcW w:w="478" w:type="pct"/>
            <w:gridSpan w:val="2"/>
            <w:tcBorders>
              <w:left w:val="nil"/>
            </w:tcBorders>
          </w:tcPr>
          <w:p w14:paraId="25331079" w14:textId="77777777" w:rsidR="00CC2B31" w:rsidRPr="00C65707" w:rsidRDefault="00CC2B31">
            <w:pPr>
              <w:pStyle w:val="Header"/>
              <w:widowControl w:val="0"/>
              <w:tabs>
                <w:tab w:val="left" w:pos="284"/>
              </w:tabs>
              <w:jc w:val="both"/>
              <w:rPr>
                <w:sz w:val="22"/>
                <w:szCs w:val="22"/>
              </w:rPr>
            </w:pPr>
            <w:r w:rsidRPr="00C65707">
              <w:rPr>
                <w:sz w:val="22"/>
                <w:szCs w:val="22"/>
              </w:rPr>
              <w:t>29%***</w:t>
            </w:r>
          </w:p>
        </w:tc>
        <w:tc>
          <w:tcPr>
            <w:tcW w:w="357" w:type="pct"/>
            <w:tcBorders>
              <w:left w:val="nil"/>
            </w:tcBorders>
          </w:tcPr>
          <w:p w14:paraId="330BB193" w14:textId="77777777" w:rsidR="00CC2B31" w:rsidRPr="00C65707" w:rsidRDefault="00CC2B31">
            <w:pPr>
              <w:pStyle w:val="Header"/>
              <w:widowControl w:val="0"/>
              <w:tabs>
                <w:tab w:val="left" w:pos="284"/>
              </w:tabs>
              <w:jc w:val="both"/>
              <w:rPr>
                <w:sz w:val="22"/>
                <w:szCs w:val="22"/>
              </w:rPr>
            </w:pPr>
            <w:r w:rsidRPr="00C65707">
              <w:rPr>
                <w:sz w:val="22"/>
                <w:szCs w:val="22"/>
              </w:rPr>
              <w:t>4%</w:t>
            </w:r>
          </w:p>
        </w:tc>
      </w:tr>
      <w:tr w:rsidR="00CC2B31" w:rsidRPr="00C65707" w14:paraId="14D42A77" w14:textId="77777777" w:rsidTr="00CE5678">
        <w:trPr>
          <w:trHeight w:val="144"/>
        </w:trPr>
        <w:tc>
          <w:tcPr>
            <w:tcW w:w="470" w:type="pct"/>
            <w:tcBorders>
              <w:right w:val="single" w:sz="4" w:space="0" w:color="auto"/>
            </w:tcBorders>
          </w:tcPr>
          <w:p w14:paraId="647C6650" w14:textId="77777777" w:rsidR="00CC2B31" w:rsidRPr="00C65707" w:rsidRDefault="00CC2B31" w:rsidP="00C65707">
            <w:pPr>
              <w:pStyle w:val="Header"/>
              <w:widowControl w:val="0"/>
              <w:tabs>
                <w:tab w:val="left" w:pos="284"/>
              </w:tabs>
              <w:jc w:val="both"/>
              <w:rPr>
                <w:sz w:val="22"/>
                <w:szCs w:val="22"/>
              </w:rPr>
            </w:pPr>
            <w:r w:rsidRPr="00C65707">
              <w:rPr>
                <w:sz w:val="22"/>
                <w:szCs w:val="22"/>
              </w:rPr>
              <w:t>52</w:t>
            </w:r>
          </w:p>
        </w:tc>
        <w:tc>
          <w:tcPr>
            <w:tcW w:w="473" w:type="pct"/>
            <w:tcBorders>
              <w:left w:val="single" w:sz="4" w:space="0" w:color="auto"/>
              <w:right w:val="single" w:sz="4" w:space="0" w:color="auto"/>
            </w:tcBorders>
          </w:tcPr>
          <w:p w14:paraId="136DEF9F" w14:textId="77777777" w:rsidR="00CC2B31" w:rsidRPr="002B3647" w:rsidRDefault="00CC2B31" w:rsidP="002B3647">
            <w:pPr>
              <w:pStyle w:val="Header"/>
              <w:widowControl w:val="0"/>
              <w:tabs>
                <w:tab w:val="left" w:pos="284"/>
              </w:tabs>
              <w:jc w:val="both"/>
              <w:rPr>
                <w:sz w:val="22"/>
                <w:szCs w:val="22"/>
              </w:rPr>
            </w:pPr>
          </w:p>
        </w:tc>
        <w:tc>
          <w:tcPr>
            <w:tcW w:w="357" w:type="pct"/>
            <w:tcBorders>
              <w:left w:val="single" w:sz="4" w:space="0" w:color="auto"/>
              <w:right w:val="single" w:sz="4" w:space="0" w:color="auto"/>
            </w:tcBorders>
          </w:tcPr>
          <w:p w14:paraId="7B8E5118" w14:textId="77777777" w:rsidR="00CC2B31" w:rsidRPr="00C65707" w:rsidRDefault="00CC2B31">
            <w:pPr>
              <w:pStyle w:val="Header"/>
              <w:widowControl w:val="0"/>
              <w:tabs>
                <w:tab w:val="left" w:pos="284"/>
              </w:tabs>
              <w:jc w:val="both"/>
              <w:rPr>
                <w:sz w:val="22"/>
                <w:szCs w:val="22"/>
              </w:rPr>
            </w:pPr>
          </w:p>
        </w:tc>
        <w:tc>
          <w:tcPr>
            <w:tcW w:w="473" w:type="pct"/>
            <w:tcBorders>
              <w:left w:val="single" w:sz="4" w:space="0" w:color="auto"/>
              <w:right w:val="single" w:sz="4" w:space="0" w:color="auto"/>
            </w:tcBorders>
          </w:tcPr>
          <w:p w14:paraId="1DC9F79D" w14:textId="77777777" w:rsidR="00CC2B31" w:rsidRPr="00C65707" w:rsidRDefault="00CC2B31">
            <w:pPr>
              <w:pStyle w:val="Header"/>
              <w:widowControl w:val="0"/>
              <w:tabs>
                <w:tab w:val="left" w:pos="284"/>
              </w:tabs>
              <w:jc w:val="both"/>
              <w:rPr>
                <w:sz w:val="22"/>
                <w:szCs w:val="22"/>
              </w:rPr>
            </w:pPr>
            <w:r w:rsidRPr="00C65707">
              <w:rPr>
                <w:sz w:val="22"/>
                <w:szCs w:val="22"/>
              </w:rPr>
              <w:t>36%***</w:t>
            </w:r>
          </w:p>
        </w:tc>
        <w:tc>
          <w:tcPr>
            <w:tcW w:w="445" w:type="pct"/>
            <w:tcBorders>
              <w:left w:val="single" w:sz="4" w:space="0" w:color="auto"/>
              <w:right w:val="single" w:sz="4" w:space="0" w:color="auto"/>
            </w:tcBorders>
          </w:tcPr>
          <w:p w14:paraId="682CF91B" w14:textId="77777777" w:rsidR="00CC2B31" w:rsidRPr="00C65707" w:rsidRDefault="00CC2B31">
            <w:pPr>
              <w:pStyle w:val="Header"/>
              <w:widowControl w:val="0"/>
              <w:tabs>
                <w:tab w:val="left" w:pos="284"/>
              </w:tabs>
              <w:jc w:val="both"/>
              <w:rPr>
                <w:sz w:val="22"/>
                <w:szCs w:val="22"/>
              </w:rPr>
            </w:pPr>
            <w:r w:rsidRPr="00C65707">
              <w:rPr>
                <w:sz w:val="22"/>
                <w:szCs w:val="22"/>
              </w:rPr>
              <w:t>10%</w:t>
            </w:r>
          </w:p>
        </w:tc>
        <w:tc>
          <w:tcPr>
            <w:tcW w:w="473" w:type="pct"/>
            <w:tcBorders>
              <w:left w:val="single" w:sz="4" w:space="0" w:color="auto"/>
              <w:right w:val="single" w:sz="4" w:space="0" w:color="auto"/>
            </w:tcBorders>
          </w:tcPr>
          <w:p w14:paraId="205D6E0E" w14:textId="77777777" w:rsidR="00CC2B31" w:rsidRPr="00C65707" w:rsidRDefault="00CC2B31">
            <w:pPr>
              <w:pStyle w:val="Header"/>
              <w:widowControl w:val="0"/>
              <w:tabs>
                <w:tab w:val="left" w:pos="284"/>
              </w:tabs>
              <w:jc w:val="both"/>
              <w:rPr>
                <w:sz w:val="22"/>
                <w:szCs w:val="22"/>
              </w:rPr>
            </w:pPr>
          </w:p>
        </w:tc>
        <w:tc>
          <w:tcPr>
            <w:tcW w:w="445" w:type="pct"/>
            <w:tcBorders>
              <w:left w:val="single" w:sz="4" w:space="0" w:color="auto"/>
            </w:tcBorders>
          </w:tcPr>
          <w:p w14:paraId="3B53E27B" w14:textId="77777777" w:rsidR="00CC2B31" w:rsidRPr="00C65707" w:rsidRDefault="00CC2B31">
            <w:pPr>
              <w:pStyle w:val="Header"/>
              <w:widowControl w:val="0"/>
              <w:tabs>
                <w:tab w:val="left" w:pos="284"/>
              </w:tabs>
              <w:jc w:val="both"/>
              <w:rPr>
                <w:sz w:val="22"/>
                <w:szCs w:val="22"/>
              </w:rPr>
            </w:pPr>
          </w:p>
        </w:tc>
        <w:tc>
          <w:tcPr>
            <w:tcW w:w="518" w:type="pct"/>
            <w:tcBorders>
              <w:left w:val="nil"/>
            </w:tcBorders>
          </w:tcPr>
          <w:p w14:paraId="1C2468E5" w14:textId="77777777" w:rsidR="00CC2B31" w:rsidRPr="00C65707" w:rsidRDefault="00CC2B31">
            <w:pPr>
              <w:pStyle w:val="Header"/>
              <w:widowControl w:val="0"/>
              <w:tabs>
                <w:tab w:val="left" w:pos="284"/>
              </w:tabs>
              <w:jc w:val="both"/>
              <w:rPr>
                <w:sz w:val="22"/>
                <w:szCs w:val="22"/>
              </w:rPr>
            </w:pPr>
          </w:p>
        </w:tc>
        <w:tc>
          <w:tcPr>
            <w:tcW w:w="513" w:type="pct"/>
            <w:tcBorders>
              <w:left w:val="nil"/>
            </w:tcBorders>
          </w:tcPr>
          <w:p w14:paraId="3BD8D55C" w14:textId="77777777" w:rsidR="00CC2B31" w:rsidRPr="00C65707" w:rsidRDefault="00CC2B31">
            <w:pPr>
              <w:pStyle w:val="Header"/>
              <w:widowControl w:val="0"/>
              <w:tabs>
                <w:tab w:val="left" w:pos="284"/>
              </w:tabs>
              <w:jc w:val="both"/>
              <w:rPr>
                <w:sz w:val="22"/>
                <w:szCs w:val="22"/>
              </w:rPr>
            </w:pPr>
          </w:p>
        </w:tc>
        <w:tc>
          <w:tcPr>
            <w:tcW w:w="478" w:type="pct"/>
            <w:gridSpan w:val="2"/>
            <w:tcBorders>
              <w:left w:val="nil"/>
            </w:tcBorders>
          </w:tcPr>
          <w:p w14:paraId="087DFECB" w14:textId="77777777" w:rsidR="00CC2B31" w:rsidRPr="00C65707" w:rsidRDefault="00CC2B31">
            <w:pPr>
              <w:pStyle w:val="Header"/>
              <w:widowControl w:val="0"/>
              <w:tabs>
                <w:tab w:val="left" w:pos="284"/>
              </w:tabs>
              <w:jc w:val="both"/>
              <w:rPr>
                <w:sz w:val="22"/>
                <w:szCs w:val="22"/>
              </w:rPr>
            </w:pPr>
          </w:p>
        </w:tc>
        <w:tc>
          <w:tcPr>
            <w:tcW w:w="357" w:type="pct"/>
            <w:tcBorders>
              <w:left w:val="nil"/>
            </w:tcBorders>
          </w:tcPr>
          <w:p w14:paraId="64A47973" w14:textId="77777777" w:rsidR="00CC2B31" w:rsidRPr="00C65707" w:rsidRDefault="00CC2B31">
            <w:pPr>
              <w:pStyle w:val="Header"/>
              <w:widowControl w:val="0"/>
              <w:tabs>
                <w:tab w:val="left" w:pos="284"/>
              </w:tabs>
              <w:jc w:val="both"/>
              <w:rPr>
                <w:sz w:val="22"/>
                <w:szCs w:val="22"/>
              </w:rPr>
            </w:pPr>
          </w:p>
        </w:tc>
      </w:tr>
      <w:tr w:rsidR="00CC2B31" w:rsidRPr="00C65707" w14:paraId="50EF5476" w14:textId="77777777" w:rsidTr="00CE5678">
        <w:trPr>
          <w:trHeight w:val="144"/>
        </w:trPr>
        <w:tc>
          <w:tcPr>
            <w:tcW w:w="5000" w:type="pct"/>
            <w:gridSpan w:val="12"/>
          </w:tcPr>
          <w:p w14:paraId="2A6DCA1C" w14:textId="77777777" w:rsidR="00CC2B31" w:rsidRPr="00C65707" w:rsidRDefault="00CC2B31">
            <w:pPr>
              <w:pStyle w:val="Header"/>
              <w:widowControl w:val="0"/>
              <w:tabs>
                <w:tab w:val="left" w:pos="284"/>
              </w:tabs>
              <w:jc w:val="center"/>
              <w:rPr>
                <w:b/>
                <w:sz w:val="22"/>
                <w:szCs w:val="22"/>
              </w:rPr>
            </w:pPr>
            <w:r w:rsidRPr="00C65707">
              <w:rPr>
                <w:b/>
                <w:sz w:val="22"/>
                <w:szCs w:val="22"/>
              </w:rPr>
              <w:t>ACR 70</w:t>
            </w:r>
          </w:p>
        </w:tc>
      </w:tr>
      <w:tr w:rsidR="00CC2B31" w:rsidRPr="00C65707" w14:paraId="7F17D9EE" w14:textId="77777777" w:rsidTr="00CE5678">
        <w:trPr>
          <w:trHeight w:val="144"/>
        </w:trPr>
        <w:tc>
          <w:tcPr>
            <w:tcW w:w="470" w:type="pct"/>
            <w:tcBorders>
              <w:right w:val="single" w:sz="4" w:space="0" w:color="auto"/>
            </w:tcBorders>
          </w:tcPr>
          <w:p w14:paraId="088806DE" w14:textId="77777777" w:rsidR="00CC2B31" w:rsidRPr="00C65707" w:rsidRDefault="00CC2B31" w:rsidP="00C65707">
            <w:pPr>
              <w:pStyle w:val="Header"/>
              <w:widowControl w:val="0"/>
              <w:tabs>
                <w:tab w:val="left" w:pos="284"/>
              </w:tabs>
              <w:jc w:val="both"/>
              <w:rPr>
                <w:sz w:val="22"/>
                <w:szCs w:val="22"/>
              </w:rPr>
            </w:pPr>
            <w:r w:rsidRPr="00C65707">
              <w:rPr>
                <w:sz w:val="22"/>
                <w:szCs w:val="22"/>
              </w:rPr>
              <w:t>24</w:t>
            </w:r>
          </w:p>
        </w:tc>
        <w:tc>
          <w:tcPr>
            <w:tcW w:w="473" w:type="pct"/>
            <w:tcBorders>
              <w:left w:val="single" w:sz="4" w:space="0" w:color="auto"/>
              <w:right w:val="single" w:sz="4" w:space="0" w:color="auto"/>
            </w:tcBorders>
          </w:tcPr>
          <w:p w14:paraId="657C1783" w14:textId="77777777" w:rsidR="00CC2B31" w:rsidRPr="002B3647" w:rsidRDefault="00CC2B31" w:rsidP="002B3647">
            <w:pPr>
              <w:pStyle w:val="Header"/>
              <w:widowControl w:val="0"/>
              <w:tabs>
                <w:tab w:val="left" w:pos="284"/>
              </w:tabs>
              <w:jc w:val="both"/>
              <w:rPr>
                <w:sz w:val="22"/>
                <w:szCs w:val="22"/>
              </w:rPr>
            </w:pPr>
            <w:r w:rsidRPr="002B3647">
              <w:rPr>
                <w:sz w:val="22"/>
                <w:szCs w:val="22"/>
              </w:rPr>
              <w:t>28%**</w:t>
            </w:r>
          </w:p>
        </w:tc>
        <w:tc>
          <w:tcPr>
            <w:tcW w:w="357" w:type="pct"/>
            <w:tcBorders>
              <w:left w:val="single" w:sz="4" w:space="0" w:color="auto"/>
              <w:right w:val="single" w:sz="4" w:space="0" w:color="auto"/>
            </w:tcBorders>
          </w:tcPr>
          <w:p w14:paraId="649EE483" w14:textId="77777777" w:rsidR="00CC2B31" w:rsidRPr="00C65707" w:rsidRDefault="00CC2B31">
            <w:pPr>
              <w:pStyle w:val="Header"/>
              <w:widowControl w:val="0"/>
              <w:tabs>
                <w:tab w:val="left" w:pos="284"/>
              </w:tabs>
              <w:jc w:val="both"/>
              <w:rPr>
                <w:sz w:val="22"/>
                <w:szCs w:val="22"/>
              </w:rPr>
            </w:pPr>
            <w:r w:rsidRPr="00C65707">
              <w:rPr>
                <w:sz w:val="22"/>
                <w:szCs w:val="22"/>
              </w:rPr>
              <w:t>15%</w:t>
            </w:r>
          </w:p>
        </w:tc>
        <w:tc>
          <w:tcPr>
            <w:tcW w:w="473" w:type="pct"/>
            <w:tcBorders>
              <w:left w:val="single" w:sz="4" w:space="0" w:color="auto"/>
              <w:right w:val="single" w:sz="4" w:space="0" w:color="auto"/>
            </w:tcBorders>
          </w:tcPr>
          <w:p w14:paraId="3EB17352" w14:textId="77777777" w:rsidR="00CC2B31" w:rsidRPr="00C65707" w:rsidRDefault="00CC2B31">
            <w:pPr>
              <w:pStyle w:val="Header"/>
              <w:widowControl w:val="0"/>
              <w:tabs>
                <w:tab w:val="left" w:pos="284"/>
              </w:tabs>
              <w:jc w:val="both"/>
              <w:rPr>
                <w:sz w:val="22"/>
                <w:szCs w:val="22"/>
              </w:rPr>
            </w:pPr>
            <w:r w:rsidRPr="00C65707">
              <w:rPr>
                <w:sz w:val="22"/>
                <w:szCs w:val="22"/>
              </w:rPr>
              <w:t>13%***</w:t>
            </w:r>
          </w:p>
        </w:tc>
        <w:tc>
          <w:tcPr>
            <w:tcW w:w="445" w:type="pct"/>
            <w:tcBorders>
              <w:left w:val="single" w:sz="4" w:space="0" w:color="auto"/>
              <w:right w:val="single" w:sz="4" w:space="0" w:color="auto"/>
            </w:tcBorders>
          </w:tcPr>
          <w:p w14:paraId="38A1E2B0" w14:textId="77777777" w:rsidR="00CC2B31" w:rsidRPr="00C65707" w:rsidRDefault="00CC2B31">
            <w:pPr>
              <w:pStyle w:val="Header"/>
              <w:widowControl w:val="0"/>
              <w:tabs>
                <w:tab w:val="left" w:pos="284"/>
              </w:tabs>
              <w:jc w:val="both"/>
              <w:rPr>
                <w:sz w:val="22"/>
                <w:szCs w:val="22"/>
              </w:rPr>
            </w:pPr>
            <w:r w:rsidRPr="00C65707">
              <w:rPr>
                <w:sz w:val="22"/>
                <w:szCs w:val="22"/>
              </w:rPr>
              <w:t>2%</w:t>
            </w:r>
          </w:p>
        </w:tc>
        <w:tc>
          <w:tcPr>
            <w:tcW w:w="473" w:type="pct"/>
            <w:tcBorders>
              <w:left w:val="single" w:sz="4" w:space="0" w:color="auto"/>
              <w:right w:val="single" w:sz="4" w:space="0" w:color="auto"/>
            </w:tcBorders>
          </w:tcPr>
          <w:p w14:paraId="358241DF" w14:textId="77777777" w:rsidR="00CC2B31" w:rsidRPr="00C65707" w:rsidRDefault="00CC2B31">
            <w:pPr>
              <w:pStyle w:val="Header"/>
              <w:widowControl w:val="0"/>
              <w:tabs>
                <w:tab w:val="left" w:pos="284"/>
              </w:tabs>
              <w:jc w:val="both"/>
              <w:rPr>
                <w:sz w:val="22"/>
                <w:szCs w:val="22"/>
              </w:rPr>
            </w:pPr>
            <w:r w:rsidRPr="00C65707">
              <w:rPr>
                <w:sz w:val="22"/>
                <w:szCs w:val="22"/>
              </w:rPr>
              <w:t>22%***</w:t>
            </w:r>
          </w:p>
        </w:tc>
        <w:tc>
          <w:tcPr>
            <w:tcW w:w="445" w:type="pct"/>
            <w:tcBorders>
              <w:left w:val="single" w:sz="4" w:space="0" w:color="auto"/>
            </w:tcBorders>
          </w:tcPr>
          <w:p w14:paraId="6125C9DF" w14:textId="77777777" w:rsidR="00CC2B31" w:rsidRPr="00C65707" w:rsidRDefault="00CC2B31">
            <w:pPr>
              <w:pStyle w:val="Header"/>
              <w:widowControl w:val="0"/>
              <w:tabs>
                <w:tab w:val="left" w:pos="284"/>
              </w:tabs>
              <w:jc w:val="both"/>
              <w:rPr>
                <w:sz w:val="22"/>
                <w:szCs w:val="22"/>
              </w:rPr>
            </w:pPr>
            <w:r w:rsidRPr="00C65707">
              <w:rPr>
                <w:sz w:val="22"/>
                <w:szCs w:val="22"/>
              </w:rPr>
              <w:t>2%</w:t>
            </w:r>
          </w:p>
        </w:tc>
        <w:tc>
          <w:tcPr>
            <w:tcW w:w="518" w:type="pct"/>
            <w:tcBorders>
              <w:left w:val="nil"/>
            </w:tcBorders>
          </w:tcPr>
          <w:p w14:paraId="01BE6341" w14:textId="77777777" w:rsidR="00CC2B31" w:rsidRPr="00C65707" w:rsidRDefault="00CC2B31">
            <w:pPr>
              <w:pStyle w:val="Header"/>
              <w:widowControl w:val="0"/>
              <w:tabs>
                <w:tab w:val="left" w:pos="284"/>
              </w:tabs>
              <w:jc w:val="both"/>
              <w:rPr>
                <w:sz w:val="22"/>
                <w:szCs w:val="22"/>
              </w:rPr>
            </w:pPr>
            <w:r w:rsidRPr="00C65707">
              <w:rPr>
                <w:sz w:val="22"/>
                <w:szCs w:val="22"/>
              </w:rPr>
              <w:t>21%***</w:t>
            </w:r>
          </w:p>
        </w:tc>
        <w:tc>
          <w:tcPr>
            <w:tcW w:w="518" w:type="pct"/>
            <w:gridSpan w:val="2"/>
            <w:tcBorders>
              <w:left w:val="nil"/>
            </w:tcBorders>
          </w:tcPr>
          <w:p w14:paraId="7FF27606" w14:textId="77777777" w:rsidR="00CC2B31" w:rsidRPr="00C65707" w:rsidRDefault="00CC2B31">
            <w:pPr>
              <w:pStyle w:val="Header"/>
              <w:widowControl w:val="0"/>
              <w:tabs>
                <w:tab w:val="left" w:pos="284"/>
              </w:tabs>
              <w:jc w:val="both"/>
              <w:rPr>
                <w:sz w:val="22"/>
                <w:szCs w:val="22"/>
              </w:rPr>
            </w:pPr>
            <w:r w:rsidRPr="00C65707">
              <w:rPr>
                <w:sz w:val="22"/>
                <w:szCs w:val="22"/>
              </w:rPr>
              <w:t>3%</w:t>
            </w:r>
          </w:p>
        </w:tc>
        <w:tc>
          <w:tcPr>
            <w:tcW w:w="473" w:type="pct"/>
            <w:tcBorders>
              <w:left w:val="nil"/>
            </w:tcBorders>
          </w:tcPr>
          <w:p w14:paraId="13A6B3FA" w14:textId="77777777" w:rsidR="00CC2B31" w:rsidRPr="00C65707" w:rsidRDefault="00CC2B31">
            <w:pPr>
              <w:pStyle w:val="Header"/>
              <w:widowControl w:val="0"/>
              <w:tabs>
                <w:tab w:val="left" w:pos="284"/>
              </w:tabs>
              <w:jc w:val="both"/>
              <w:rPr>
                <w:sz w:val="22"/>
                <w:szCs w:val="22"/>
              </w:rPr>
            </w:pPr>
            <w:r w:rsidRPr="00C65707">
              <w:rPr>
                <w:sz w:val="22"/>
                <w:szCs w:val="22"/>
              </w:rPr>
              <w:t>12%**</w:t>
            </w:r>
          </w:p>
        </w:tc>
        <w:tc>
          <w:tcPr>
            <w:tcW w:w="357" w:type="pct"/>
            <w:tcBorders>
              <w:left w:val="nil"/>
            </w:tcBorders>
          </w:tcPr>
          <w:p w14:paraId="7D5348AC" w14:textId="77777777" w:rsidR="00CC2B31" w:rsidRPr="00C65707" w:rsidRDefault="00CC2B31">
            <w:pPr>
              <w:pStyle w:val="Header"/>
              <w:widowControl w:val="0"/>
              <w:tabs>
                <w:tab w:val="left" w:pos="284"/>
              </w:tabs>
              <w:jc w:val="both"/>
              <w:rPr>
                <w:sz w:val="22"/>
                <w:szCs w:val="22"/>
              </w:rPr>
            </w:pPr>
            <w:r w:rsidRPr="00C65707">
              <w:rPr>
                <w:sz w:val="22"/>
                <w:szCs w:val="22"/>
              </w:rPr>
              <w:t>1%</w:t>
            </w:r>
          </w:p>
        </w:tc>
      </w:tr>
      <w:tr w:rsidR="00CC2B31" w:rsidRPr="00C65707" w14:paraId="7EB2C8CD" w14:textId="77777777" w:rsidTr="00CE5678">
        <w:trPr>
          <w:trHeight w:val="144"/>
        </w:trPr>
        <w:tc>
          <w:tcPr>
            <w:tcW w:w="470" w:type="pct"/>
          </w:tcPr>
          <w:p w14:paraId="51106B95" w14:textId="77777777" w:rsidR="00CC2B31" w:rsidRPr="00C65707" w:rsidRDefault="00CC2B31" w:rsidP="00C65707">
            <w:pPr>
              <w:pStyle w:val="Header"/>
              <w:widowControl w:val="0"/>
              <w:tabs>
                <w:tab w:val="left" w:pos="284"/>
              </w:tabs>
              <w:jc w:val="both"/>
              <w:rPr>
                <w:sz w:val="22"/>
                <w:szCs w:val="22"/>
              </w:rPr>
            </w:pPr>
            <w:r w:rsidRPr="00C65707">
              <w:rPr>
                <w:sz w:val="22"/>
                <w:szCs w:val="22"/>
              </w:rPr>
              <w:t>52</w:t>
            </w:r>
          </w:p>
        </w:tc>
        <w:tc>
          <w:tcPr>
            <w:tcW w:w="473" w:type="pct"/>
            <w:tcBorders>
              <w:right w:val="nil"/>
            </w:tcBorders>
          </w:tcPr>
          <w:p w14:paraId="7DFC1129" w14:textId="77777777" w:rsidR="00CC2B31" w:rsidRPr="002B3647" w:rsidRDefault="00CC2B31" w:rsidP="002B3647">
            <w:pPr>
              <w:pStyle w:val="Header"/>
              <w:widowControl w:val="0"/>
              <w:tabs>
                <w:tab w:val="left" w:pos="284"/>
              </w:tabs>
              <w:jc w:val="both"/>
              <w:rPr>
                <w:sz w:val="22"/>
                <w:szCs w:val="22"/>
              </w:rPr>
            </w:pPr>
          </w:p>
        </w:tc>
        <w:tc>
          <w:tcPr>
            <w:tcW w:w="357" w:type="pct"/>
            <w:tcBorders>
              <w:left w:val="nil"/>
            </w:tcBorders>
          </w:tcPr>
          <w:p w14:paraId="4A2B5086" w14:textId="77777777" w:rsidR="00CC2B31" w:rsidRPr="00C65707" w:rsidRDefault="00CC2B31">
            <w:pPr>
              <w:pStyle w:val="Header"/>
              <w:widowControl w:val="0"/>
              <w:tabs>
                <w:tab w:val="left" w:pos="284"/>
              </w:tabs>
              <w:jc w:val="both"/>
              <w:rPr>
                <w:sz w:val="22"/>
                <w:szCs w:val="22"/>
              </w:rPr>
            </w:pPr>
          </w:p>
        </w:tc>
        <w:tc>
          <w:tcPr>
            <w:tcW w:w="473" w:type="pct"/>
            <w:tcBorders>
              <w:right w:val="nil"/>
            </w:tcBorders>
          </w:tcPr>
          <w:p w14:paraId="7ABCFD9E" w14:textId="77777777" w:rsidR="00CC2B31" w:rsidRPr="00C65707" w:rsidRDefault="00CC2B31">
            <w:pPr>
              <w:pStyle w:val="Header"/>
              <w:widowControl w:val="0"/>
              <w:tabs>
                <w:tab w:val="left" w:pos="284"/>
              </w:tabs>
              <w:jc w:val="both"/>
              <w:rPr>
                <w:sz w:val="22"/>
                <w:szCs w:val="22"/>
              </w:rPr>
            </w:pPr>
            <w:r w:rsidRPr="00C65707">
              <w:rPr>
                <w:sz w:val="22"/>
                <w:szCs w:val="22"/>
              </w:rPr>
              <w:t>20%***</w:t>
            </w:r>
          </w:p>
        </w:tc>
        <w:tc>
          <w:tcPr>
            <w:tcW w:w="445" w:type="pct"/>
            <w:tcBorders>
              <w:left w:val="nil"/>
            </w:tcBorders>
          </w:tcPr>
          <w:p w14:paraId="3F5A878A" w14:textId="77777777" w:rsidR="00CC2B31" w:rsidRPr="00C65707" w:rsidRDefault="00CC2B31">
            <w:pPr>
              <w:pStyle w:val="Header"/>
              <w:widowControl w:val="0"/>
              <w:tabs>
                <w:tab w:val="left" w:pos="284"/>
              </w:tabs>
              <w:jc w:val="both"/>
              <w:rPr>
                <w:sz w:val="22"/>
                <w:szCs w:val="22"/>
              </w:rPr>
            </w:pPr>
            <w:r w:rsidRPr="00C65707">
              <w:rPr>
                <w:sz w:val="22"/>
                <w:szCs w:val="22"/>
              </w:rPr>
              <w:t>4%</w:t>
            </w:r>
          </w:p>
        </w:tc>
        <w:tc>
          <w:tcPr>
            <w:tcW w:w="473" w:type="pct"/>
            <w:tcBorders>
              <w:right w:val="nil"/>
            </w:tcBorders>
          </w:tcPr>
          <w:p w14:paraId="0F0E9DC4" w14:textId="77777777" w:rsidR="00CC2B31" w:rsidRPr="00C65707" w:rsidRDefault="00CC2B31">
            <w:pPr>
              <w:pStyle w:val="Header"/>
              <w:widowControl w:val="0"/>
              <w:tabs>
                <w:tab w:val="left" w:pos="284"/>
              </w:tabs>
              <w:jc w:val="both"/>
              <w:rPr>
                <w:sz w:val="22"/>
                <w:szCs w:val="22"/>
              </w:rPr>
            </w:pPr>
          </w:p>
        </w:tc>
        <w:tc>
          <w:tcPr>
            <w:tcW w:w="445" w:type="pct"/>
            <w:tcBorders>
              <w:left w:val="nil"/>
            </w:tcBorders>
          </w:tcPr>
          <w:p w14:paraId="3EC71982" w14:textId="77777777" w:rsidR="00CC2B31" w:rsidRPr="00C65707" w:rsidRDefault="00CC2B31">
            <w:pPr>
              <w:pStyle w:val="Header"/>
              <w:widowControl w:val="0"/>
              <w:tabs>
                <w:tab w:val="left" w:pos="284"/>
              </w:tabs>
              <w:jc w:val="both"/>
              <w:rPr>
                <w:sz w:val="22"/>
                <w:szCs w:val="22"/>
              </w:rPr>
            </w:pPr>
          </w:p>
        </w:tc>
        <w:tc>
          <w:tcPr>
            <w:tcW w:w="518" w:type="pct"/>
            <w:tcBorders>
              <w:left w:val="nil"/>
            </w:tcBorders>
          </w:tcPr>
          <w:p w14:paraId="772A57A1" w14:textId="77777777" w:rsidR="00CC2B31" w:rsidRPr="00C65707" w:rsidRDefault="00CC2B31">
            <w:pPr>
              <w:pStyle w:val="Header"/>
              <w:widowControl w:val="0"/>
              <w:tabs>
                <w:tab w:val="left" w:pos="284"/>
              </w:tabs>
              <w:jc w:val="both"/>
              <w:rPr>
                <w:sz w:val="22"/>
                <w:szCs w:val="22"/>
              </w:rPr>
            </w:pPr>
          </w:p>
        </w:tc>
        <w:tc>
          <w:tcPr>
            <w:tcW w:w="518" w:type="pct"/>
            <w:gridSpan w:val="2"/>
            <w:tcBorders>
              <w:left w:val="nil"/>
            </w:tcBorders>
          </w:tcPr>
          <w:p w14:paraId="2E70BFAA" w14:textId="77777777" w:rsidR="00CC2B31" w:rsidRPr="00C65707" w:rsidRDefault="00CC2B31">
            <w:pPr>
              <w:pStyle w:val="Header"/>
              <w:widowControl w:val="0"/>
              <w:tabs>
                <w:tab w:val="left" w:pos="284"/>
              </w:tabs>
              <w:jc w:val="both"/>
              <w:rPr>
                <w:sz w:val="22"/>
                <w:szCs w:val="22"/>
              </w:rPr>
            </w:pPr>
          </w:p>
        </w:tc>
        <w:tc>
          <w:tcPr>
            <w:tcW w:w="473" w:type="pct"/>
            <w:tcBorders>
              <w:left w:val="nil"/>
            </w:tcBorders>
          </w:tcPr>
          <w:p w14:paraId="3675A01F" w14:textId="77777777" w:rsidR="00CC2B31" w:rsidRPr="00C65707" w:rsidRDefault="00CC2B31">
            <w:pPr>
              <w:pStyle w:val="Header"/>
              <w:widowControl w:val="0"/>
              <w:tabs>
                <w:tab w:val="left" w:pos="284"/>
              </w:tabs>
              <w:jc w:val="both"/>
              <w:rPr>
                <w:sz w:val="22"/>
                <w:szCs w:val="22"/>
              </w:rPr>
            </w:pPr>
          </w:p>
        </w:tc>
        <w:tc>
          <w:tcPr>
            <w:tcW w:w="357" w:type="pct"/>
            <w:tcBorders>
              <w:left w:val="nil"/>
            </w:tcBorders>
          </w:tcPr>
          <w:p w14:paraId="598C840D" w14:textId="77777777" w:rsidR="00CC2B31" w:rsidRPr="00C65707" w:rsidRDefault="00CC2B31">
            <w:pPr>
              <w:pStyle w:val="Header"/>
              <w:widowControl w:val="0"/>
              <w:tabs>
                <w:tab w:val="left" w:pos="284"/>
              </w:tabs>
              <w:jc w:val="both"/>
              <w:rPr>
                <w:sz w:val="22"/>
                <w:szCs w:val="22"/>
              </w:rPr>
            </w:pPr>
          </w:p>
        </w:tc>
      </w:tr>
    </w:tbl>
    <w:p w14:paraId="2BCE57C3" w14:textId="77777777" w:rsidR="00CC2B31" w:rsidRPr="00CE5678" w:rsidRDefault="00CC2B31" w:rsidP="00C65707">
      <w:pPr>
        <w:pStyle w:val="Header"/>
        <w:widowControl w:val="0"/>
        <w:tabs>
          <w:tab w:val="left" w:pos="284"/>
        </w:tabs>
        <w:jc w:val="both"/>
        <w:rPr>
          <w:i/>
          <w:iCs/>
          <w:sz w:val="22"/>
          <w:szCs w:val="22"/>
        </w:rPr>
      </w:pPr>
      <w:r w:rsidRPr="00CE5678">
        <w:rPr>
          <w:i/>
          <w:iCs/>
          <w:sz w:val="22"/>
          <w:szCs w:val="22"/>
        </w:rPr>
        <w:t>TCZ         - Tocilizumab</w:t>
      </w:r>
    </w:p>
    <w:p w14:paraId="26098DE9" w14:textId="77777777" w:rsidR="00CC2B31" w:rsidRPr="00CE5678" w:rsidRDefault="00CC2B31" w:rsidP="002B3647">
      <w:pPr>
        <w:pStyle w:val="Header"/>
        <w:widowControl w:val="0"/>
        <w:tabs>
          <w:tab w:val="left" w:pos="284"/>
        </w:tabs>
        <w:jc w:val="both"/>
        <w:rPr>
          <w:i/>
          <w:iCs/>
          <w:sz w:val="22"/>
          <w:szCs w:val="22"/>
        </w:rPr>
      </w:pPr>
      <w:r w:rsidRPr="00CE5678">
        <w:rPr>
          <w:i/>
          <w:iCs/>
          <w:sz w:val="22"/>
          <w:szCs w:val="22"/>
        </w:rPr>
        <w:t>MTX        - Metotreksat</w:t>
      </w:r>
    </w:p>
    <w:p w14:paraId="5795F4B7" w14:textId="77777777" w:rsidR="00CC2B31" w:rsidRPr="00CE5678" w:rsidRDefault="00CC2B31">
      <w:pPr>
        <w:pStyle w:val="Header"/>
        <w:widowControl w:val="0"/>
        <w:tabs>
          <w:tab w:val="left" w:pos="284"/>
        </w:tabs>
        <w:jc w:val="both"/>
        <w:rPr>
          <w:i/>
          <w:sz w:val="22"/>
          <w:szCs w:val="22"/>
        </w:rPr>
      </w:pPr>
      <w:r w:rsidRPr="00CE5678">
        <w:rPr>
          <w:i/>
          <w:sz w:val="22"/>
          <w:szCs w:val="22"/>
        </w:rPr>
        <w:t>PBO        - Placebo</w:t>
      </w:r>
    </w:p>
    <w:p w14:paraId="2ED9FEDA" w14:textId="77777777" w:rsidR="00CC2B31" w:rsidRPr="00CE5678" w:rsidRDefault="00CC2B31">
      <w:pPr>
        <w:pStyle w:val="Header"/>
        <w:widowControl w:val="0"/>
        <w:tabs>
          <w:tab w:val="left" w:pos="284"/>
        </w:tabs>
        <w:jc w:val="both"/>
        <w:rPr>
          <w:i/>
          <w:iCs/>
          <w:sz w:val="22"/>
          <w:szCs w:val="22"/>
        </w:rPr>
      </w:pPr>
      <w:r w:rsidRPr="00CE5678">
        <w:rPr>
          <w:i/>
          <w:iCs/>
          <w:sz w:val="22"/>
          <w:szCs w:val="22"/>
        </w:rPr>
        <w:t>DMARD  - Anti-reumatski ljekovi koji modifikuju bolest</w:t>
      </w:r>
    </w:p>
    <w:p w14:paraId="7C12BA06" w14:textId="77777777" w:rsidR="00CC2B31" w:rsidRPr="00CE5678" w:rsidRDefault="00CC2B31">
      <w:pPr>
        <w:pStyle w:val="Header"/>
        <w:widowControl w:val="0"/>
        <w:tabs>
          <w:tab w:val="left" w:pos="284"/>
        </w:tabs>
        <w:jc w:val="both"/>
        <w:rPr>
          <w:i/>
          <w:sz w:val="22"/>
          <w:szCs w:val="22"/>
        </w:rPr>
      </w:pPr>
      <w:r w:rsidRPr="00CE5678">
        <w:rPr>
          <w:i/>
          <w:iCs/>
          <w:sz w:val="22"/>
          <w:szCs w:val="22"/>
        </w:rPr>
        <w:t xml:space="preserve">** </w:t>
      </w:r>
      <w:r w:rsidRPr="00CE5678">
        <w:rPr>
          <w:i/>
          <w:iCs/>
          <w:sz w:val="22"/>
          <w:szCs w:val="22"/>
        </w:rPr>
        <w:tab/>
        <w:t xml:space="preserve">           - p&lt; 0,01, </w:t>
      </w:r>
      <w:r w:rsidRPr="00CE5678">
        <w:rPr>
          <w:i/>
          <w:sz w:val="22"/>
          <w:szCs w:val="22"/>
        </w:rPr>
        <w:t>TCZ</w:t>
      </w:r>
      <w:r w:rsidRPr="00CE5678">
        <w:rPr>
          <w:i/>
          <w:iCs/>
          <w:sz w:val="22"/>
          <w:szCs w:val="22"/>
        </w:rPr>
        <w:t xml:space="preserve"> prema </w:t>
      </w:r>
      <w:r w:rsidRPr="00CE5678">
        <w:rPr>
          <w:i/>
          <w:sz w:val="22"/>
          <w:szCs w:val="22"/>
        </w:rPr>
        <w:t xml:space="preserve">PBO </w:t>
      </w:r>
      <w:r w:rsidRPr="00CE5678">
        <w:rPr>
          <w:i/>
          <w:iCs/>
          <w:sz w:val="22"/>
          <w:szCs w:val="22"/>
        </w:rPr>
        <w:t>+ MTX/DMARD</w:t>
      </w:r>
    </w:p>
    <w:p w14:paraId="7577674C" w14:textId="77777777" w:rsidR="00CC2B31" w:rsidRPr="00CE5678" w:rsidRDefault="00CC2B31">
      <w:pPr>
        <w:pStyle w:val="Header"/>
        <w:widowControl w:val="0"/>
        <w:tabs>
          <w:tab w:val="left" w:pos="284"/>
        </w:tabs>
        <w:jc w:val="both"/>
        <w:rPr>
          <w:i/>
          <w:iCs/>
          <w:sz w:val="22"/>
          <w:szCs w:val="22"/>
        </w:rPr>
      </w:pPr>
      <w:r w:rsidRPr="00CE5678">
        <w:rPr>
          <w:i/>
          <w:iCs/>
          <w:sz w:val="22"/>
          <w:szCs w:val="22"/>
        </w:rPr>
        <w:t xml:space="preserve">***          - p&lt; 0,0001, </w:t>
      </w:r>
      <w:r w:rsidRPr="00CE5678">
        <w:rPr>
          <w:i/>
          <w:sz w:val="22"/>
          <w:szCs w:val="22"/>
        </w:rPr>
        <w:t>TCZ</w:t>
      </w:r>
      <w:r w:rsidRPr="00CE5678">
        <w:rPr>
          <w:i/>
          <w:iCs/>
          <w:sz w:val="22"/>
          <w:szCs w:val="22"/>
        </w:rPr>
        <w:t xml:space="preserve"> prema </w:t>
      </w:r>
      <w:r w:rsidRPr="00CE5678">
        <w:rPr>
          <w:i/>
          <w:sz w:val="22"/>
          <w:szCs w:val="22"/>
        </w:rPr>
        <w:t xml:space="preserve">PBO </w:t>
      </w:r>
      <w:r w:rsidRPr="00CE5678">
        <w:rPr>
          <w:i/>
          <w:iCs/>
          <w:sz w:val="22"/>
          <w:szCs w:val="22"/>
        </w:rPr>
        <w:t>+ MTX/DMARD</w:t>
      </w:r>
    </w:p>
    <w:p w14:paraId="00C2B6D7" w14:textId="77777777" w:rsidR="00CC2B31" w:rsidRPr="00C65707" w:rsidRDefault="00CC2B31">
      <w:pPr>
        <w:pStyle w:val="Header"/>
        <w:widowControl w:val="0"/>
        <w:tabs>
          <w:tab w:val="left" w:pos="284"/>
        </w:tabs>
        <w:jc w:val="both"/>
        <w:rPr>
          <w:i/>
          <w:sz w:val="22"/>
          <w:szCs w:val="22"/>
        </w:rPr>
      </w:pPr>
    </w:p>
    <w:p w14:paraId="48ECFCB1" w14:textId="77777777" w:rsidR="00CC2B31" w:rsidRPr="00C65707" w:rsidRDefault="00CC2B31">
      <w:pPr>
        <w:widowControl w:val="0"/>
        <w:jc w:val="both"/>
        <w:rPr>
          <w:i/>
          <w:sz w:val="22"/>
          <w:szCs w:val="22"/>
          <w:u w:val="single"/>
        </w:rPr>
      </w:pPr>
      <w:r w:rsidRPr="00C65707">
        <w:rPr>
          <w:i/>
          <w:sz w:val="22"/>
          <w:szCs w:val="22"/>
          <w:u w:val="single"/>
        </w:rPr>
        <w:t>Značajan klinički odgovor</w:t>
      </w:r>
    </w:p>
    <w:p w14:paraId="46A7010C" w14:textId="5150EF50" w:rsidR="00CC2B31" w:rsidRPr="00C65707" w:rsidRDefault="00CC2B31">
      <w:pPr>
        <w:widowControl w:val="0"/>
        <w:jc w:val="both"/>
        <w:rPr>
          <w:i/>
          <w:sz w:val="22"/>
          <w:szCs w:val="22"/>
        </w:rPr>
      </w:pPr>
      <w:r w:rsidRPr="002B3647">
        <w:rPr>
          <w:sz w:val="22"/>
          <w:szCs w:val="22"/>
        </w:rPr>
        <w:t xml:space="preserve">Nakon dvije godine liječenja </w:t>
      </w:r>
      <w:r w:rsidR="0052513E" w:rsidRPr="002B3647">
        <w:rPr>
          <w:sz w:val="22"/>
          <w:szCs w:val="22"/>
        </w:rPr>
        <w:t>tocilizumabom</w:t>
      </w:r>
      <w:r w:rsidRPr="002B3647">
        <w:rPr>
          <w:sz w:val="22"/>
          <w:szCs w:val="22"/>
        </w:rPr>
        <w:t xml:space="preserve"> u kombinaciji sa MTX</w:t>
      </w:r>
      <w:r w:rsidRPr="002B3647">
        <w:rPr>
          <w:sz w:val="22"/>
          <w:szCs w:val="22"/>
        </w:rPr>
        <w:noBreakHyphen/>
        <w:t>om, 14% pacijenata postiglo je značajan klinički odgovor (održavanje ACR70 odgovora 24 nedjelje ili duže).</w:t>
      </w:r>
    </w:p>
    <w:p w14:paraId="0FDFFA23" w14:textId="77777777" w:rsidR="00CC2B31" w:rsidRPr="00C65707" w:rsidRDefault="00CC2B31">
      <w:pPr>
        <w:pStyle w:val="Header"/>
        <w:widowControl w:val="0"/>
        <w:tabs>
          <w:tab w:val="left" w:pos="284"/>
        </w:tabs>
        <w:jc w:val="both"/>
        <w:rPr>
          <w:i/>
          <w:sz w:val="22"/>
          <w:szCs w:val="22"/>
        </w:rPr>
      </w:pPr>
    </w:p>
    <w:p w14:paraId="1E8BBCDA" w14:textId="77777777" w:rsidR="00CC2B31" w:rsidRPr="00C65707" w:rsidRDefault="00CC2B31">
      <w:pPr>
        <w:pStyle w:val="Header"/>
        <w:widowControl w:val="0"/>
        <w:tabs>
          <w:tab w:val="left" w:pos="284"/>
        </w:tabs>
        <w:jc w:val="both"/>
        <w:rPr>
          <w:i/>
          <w:sz w:val="22"/>
          <w:szCs w:val="22"/>
          <w:u w:val="single"/>
        </w:rPr>
      </w:pPr>
      <w:r w:rsidRPr="00C65707">
        <w:rPr>
          <w:i/>
          <w:sz w:val="22"/>
          <w:szCs w:val="22"/>
          <w:u w:val="single"/>
        </w:rPr>
        <w:t>Radiografski odgovor</w:t>
      </w:r>
    </w:p>
    <w:p w14:paraId="71D8AA25" w14:textId="3E54E4AE" w:rsidR="00CC2B31" w:rsidRPr="00C65707" w:rsidRDefault="00CC2B31">
      <w:pPr>
        <w:pStyle w:val="Header"/>
        <w:widowControl w:val="0"/>
        <w:tabs>
          <w:tab w:val="left" w:pos="284"/>
        </w:tabs>
        <w:jc w:val="both"/>
        <w:rPr>
          <w:sz w:val="22"/>
          <w:szCs w:val="22"/>
        </w:rPr>
      </w:pPr>
      <w:r w:rsidRPr="00C65707">
        <w:rPr>
          <w:sz w:val="22"/>
          <w:szCs w:val="22"/>
        </w:rPr>
        <w:t xml:space="preserve">U Studiji II, kod pacijenata sa neadekvatnim odgovorom na MTX, inhibicija strukturnog oštećenja zglobova procjenjivana je radiografski i izražena kao promjena modifikovanog Šarpovog skora i njegovih komponenti, skora erozije i skora sužavanja zglobnog prostora. Inhibicija strukturnog oštećenja zglobova pokazana je značajno manjom radiografskom progresijom kod pacijenata koji su primali </w:t>
      </w:r>
      <w:r w:rsidR="0052513E" w:rsidRPr="00C65707">
        <w:rPr>
          <w:sz w:val="22"/>
          <w:szCs w:val="22"/>
        </w:rPr>
        <w:t>tocilizumab</w:t>
      </w:r>
      <w:r w:rsidRPr="00C65707">
        <w:rPr>
          <w:sz w:val="22"/>
          <w:szCs w:val="22"/>
        </w:rPr>
        <w:t xml:space="preserve"> u poređenju sa kontrolom (Tabela </w:t>
      </w:r>
      <w:r w:rsidR="0052513E" w:rsidRPr="00C65707">
        <w:rPr>
          <w:sz w:val="22"/>
          <w:szCs w:val="22"/>
        </w:rPr>
        <w:t>6</w:t>
      </w:r>
      <w:r w:rsidRPr="00C65707">
        <w:rPr>
          <w:sz w:val="22"/>
          <w:szCs w:val="22"/>
        </w:rPr>
        <w:t>).</w:t>
      </w:r>
    </w:p>
    <w:p w14:paraId="20043B10" w14:textId="77777777" w:rsidR="00CC2B31" w:rsidRPr="00C65707" w:rsidRDefault="00CC2B31">
      <w:pPr>
        <w:pStyle w:val="Header"/>
        <w:widowControl w:val="0"/>
        <w:tabs>
          <w:tab w:val="left" w:pos="284"/>
        </w:tabs>
        <w:jc w:val="both"/>
        <w:rPr>
          <w:sz w:val="22"/>
          <w:szCs w:val="22"/>
        </w:rPr>
      </w:pPr>
    </w:p>
    <w:p w14:paraId="5D5AA4C2" w14:textId="74F4E894" w:rsidR="00CC2B31" w:rsidRPr="00C65707" w:rsidRDefault="00CC2B31">
      <w:pPr>
        <w:pStyle w:val="Header"/>
        <w:widowControl w:val="0"/>
        <w:tabs>
          <w:tab w:val="left" w:pos="284"/>
        </w:tabs>
        <w:jc w:val="both"/>
        <w:rPr>
          <w:sz w:val="22"/>
          <w:szCs w:val="22"/>
        </w:rPr>
      </w:pPr>
      <w:r w:rsidRPr="00C65707">
        <w:rPr>
          <w:sz w:val="22"/>
          <w:szCs w:val="22"/>
        </w:rPr>
        <w:t xml:space="preserve">U otvorenoj fazi produžetka ispitivanja II inhibicija progresije strukturnog oštećenja zglobova kod pacijenata koji se liječe </w:t>
      </w:r>
      <w:r w:rsidR="0052513E" w:rsidRPr="00C65707">
        <w:rPr>
          <w:sz w:val="22"/>
          <w:szCs w:val="22"/>
        </w:rPr>
        <w:t>tocilizumabom</w:t>
      </w:r>
      <w:r w:rsidRPr="00C65707">
        <w:rPr>
          <w:sz w:val="22"/>
          <w:szCs w:val="22"/>
        </w:rPr>
        <w:t xml:space="preserve"> u kombinaciji sa MTX</w:t>
      </w:r>
      <w:r w:rsidR="0052513E" w:rsidRPr="00C65707">
        <w:rPr>
          <w:sz w:val="22"/>
          <w:szCs w:val="22"/>
        </w:rPr>
        <w:t>-om</w:t>
      </w:r>
      <w:r w:rsidRPr="00C65707">
        <w:rPr>
          <w:sz w:val="22"/>
          <w:szCs w:val="22"/>
        </w:rPr>
        <w:t xml:space="preserve"> održana je i u drugoj godini liječenja. Srednja promjena ukupnog rezultata na Šarp-Genantovoj skali u 104. nedjelji u odnosu na početni nivo bila je znatno manja za pacijente randomizovane u grupu koja je primala </w:t>
      </w:r>
      <w:r w:rsidR="0052513E" w:rsidRPr="00C65707">
        <w:rPr>
          <w:sz w:val="22"/>
          <w:szCs w:val="22"/>
        </w:rPr>
        <w:t>tocilizumab</w:t>
      </w:r>
      <w:r w:rsidRPr="00C65707">
        <w:rPr>
          <w:sz w:val="22"/>
          <w:szCs w:val="22"/>
        </w:rPr>
        <w:t xml:space="preserve"> u dozi od 8 mg/kg u kombinaciji sa MTX</w:t>
      </w:r>
      <w:r w:rsidR="0052513E" w:rsidRPr="00C65707">
        <w:rPr>
          <w:sz w:val="22"/>
          <w:szCs w:val="22"/>
        </w:rPr>
        <w:t>-om</w:t>
      </w:r>
      <w:r w:rsidRPr="00C65707">
        <w:rPr>
          <w:sz w:val="22"/>
          <w:szCs w:val="22"/>
        </w:rPr>
        <w:t xml:space="preserve"> (p &lt; 0,0001) u poređenju sa pacijentima koji su randomizovani u grupu koja je primala placebo i MTX. </w:t>
      </w:r>
    </w:p>
    <w:p w14:paraId="796F9F68" w14:textId="77777777" w:rsidR="00CC2B31" w:rsidRPr="00C65707" w:rsidRDefault="00CC2B31">
      <w:pPr>
        <w:pStyle w:val="Header"/>
        <w:widowControl w:val="0"/>
        <w:tabs>
          <w:tab w:val="left" w:pos="284"/>
        </w:tabs>
        <w:jc w:val="both"/>
        <w:rPr>
          <w:sz w:val="22"/>
          <w:szCs w:val="22"/>
        </w:rPr>
      </w:pPr>
    </w:p>
    <w:p w14:paraId="4A435F6D" w14:textId="728B6435" w:rsidR="00CC2B31" w:rsidRPr="00C65707" w:rsidRDefault="00CC2B31">
      <w:pPr>
        <w:pStyle w:val="Header"/>
        <w:widowControl w:val="0"/>
        <w:tabs>
          <w:tab w:val="left" w:pos="284"/>
        </w:tabs>
        <w:jc w:val="both"/>
        <w:rPr>
          <w:i/>
          <w:sz w:val="22"/>
          <w:szCs w:val="22"/>
        </w:rPr>
      </w:pPr>
      <w:r w:rsidRPr="00C65707">
        <w:rPr>
          <w:bCs/>
          <w:i/>
          <w:sz w:val="22"/>
          <w:szCs w:val="22"/>
        </w:rPr>
        <w:t xml:space="preserve">Tabela </w:t>
      </w:r>
      <w:r w:rsidR="0052513E" w:rsidRPr="00C65707">
        <w:rPr>
          <w:bCs/>
          <w:i/>
          <w:sz w:val="22"/>
          <w:szCs w:val="22"/>
        </w:rPr>
        <w:t>6</w:t>
      </w:r>
      <w:r w:rsidRPr="00C65707">
        <w:rPr>
          <w:bCs/>
          <w:i/>
          <w:sz w:val="22"/>
          <w:szCs w:val="22"/>
        </w:rPr>
        <w:t>. Srednje radiografske promjene tokom 52 nedjelje u Studiji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1"/>
        <w:gridCol w:w="2733"/>
        <w:gridCol w:w="3049"/>
      </w:tblGrid>
      <w:tr w:rsidR="00CC2B31" w:rsidRPr="00C65707" w14:paraId="4645159E" w14:textId="77777777" w:rsidTr="00CE5678">
        <w:trPr>
          <w:trHeight w:val="144"/>
        </w:trPr>
        <w:tc>
          <w:tcPr>
            <w:tcW w:w="1810" w:type="pct"/>
          </w:tcPr>
          <w:p w14:paraId="15B0C22D" w14:textId="77777777" w:rsidR="00CC2B31" w:rsidRPr="00C65707" w:rsidRDefault="00CC2B31">
            <w:pPr>
              <w:pStyle w:val="Header"/>
              <w:widowControl w:val="0"/>
              <w:tabs>
                <w:tab w:val="left" w:pos="284"/>
              </w:tabs>
              <w:jc w:val="both"/>
              <w:rPr>
                <w:sz w:val="22"/>
                <w:szCs w:val="22"/>
              </w:rPr>
            </w:pPr>
          </w:p>
        </w:tc>
        <w:tc>
          <w:tcPr>
            <w:tcW w:w="1508" w:type="pct"/>
          </w:tcPr>
          <w:p w14:paraId="3915E934" w14:textId="1F67888F" w:rsidR="00CC2B31" w:rsidRPr="00C65707" w:rsidRDefault="00CC2B31" w:rsidP="00CE5678">
            <w:pPr>
              <w:pStyle w:val="Header"/>
              <w:widowControl w:val="0"/>
              <w:tabs>
                <w:tab w:val="left" w:pos="284"/>
              </w:tabs>
              <w:jc w:val="center"/>
              <w:rPr>
                <w:b/>
                <w:bCs/>
                <w:sz w:val="22"/>
                <w:szCs w:val="22"/>
              </w:rPr>
            </w:pPr>
            <w:r w:rsidRPr="00C65707">
              <w:rPr>
                <w:b/>
                <w:bCs/>
                <w:sz w:val="22"/>
                <w:szCs w:val="22"/>
              </w:rPr>
              <w:t>PBO + MTX</w:t>
            </w:r>
          </w:p>
          <w:p w14:paraId="18A033DA" w14:textId="77777777" w:rsidR="00CC2B31" w:rsidRPr="00C65707" w:rsidRDefault="00CC2B31">
            <w:pPr>
              <w:pStyle w:val="Header"/>
              <w:widowControl w:val="0"/>
              <w:tabs>
                <w:tab w:val="left" w:pos="284"/>
              </w:tabs>
              <w:jc w:val="center"/>
              <w:rPr>
                <w:b/>
                <w:bCs/>
                <w:sz w:val="22"/>
                <w:szCs w:val="22"/>
              </w:rPr>
            </w:pPr>
            <w:r w:rsidRPr="00C65707">
              <w:rPr>
                <w:b/>
                <w:bCs/>
                <w:sz w:val="22"/>
                <w:szCs w:val="22"/>
              </w:rPr>
              <w:t>(+ TCZ od 24. nedjelje)</w:t>
            </w:r>
          </w:p>
          <w:p w14:paraId="54F2025E" w14:textId="77777777" w:rsidR="00CC2B31" w:rsidRPr="00C65707" w:rsidRDefault="00CC2B31">
            <w:pPr>
              <w:pStyle w:val="Header"/>
              <w:widowControl w:val="0"/>
              <w:tabs>
                <w:tab w:val="left" w:pos="284"/>
              </w:tabs>
              <w:jc w:val="center"/>
              <w:rPr>
                <w:sz w:val="22"/>
                <w:szCs w:val="22"/>
              </w:rPr>
            </w:pPr>
            <w:r w:rsidRPr="00C65707">
              <w:rPr>
                <w:b/>
                <w:bCs/>
                <w:sz w:val="22"/>
                <w:szCs w:val="22"/>
              </w:rPr>
              <w:t>N = 393</w:t>
            </w:r>
          </w:p>
        </w:tc>
        <w:tc>
          <w:tcPr>
            <w:tcW w:w="1682" w:type="pct"/>
          </w:tcPr>
          <w:p w14:paraId="6351B79F" w14:textId="77777777" w:rsidR="00CC2B31" w:rsidRPr="00C65707" w:rsidRDefault="00CC2B31" w:rsidP="00CE5678">
            <w:pPr>
              <w:pStyle w:val="Header"/>
              <w:widowControl w:val="0"/>
              <w:tabs>
                <w:tab w:val="left" w:pos="284"/>
              </w:tabs>
              <w:jc w:val="center"/>
              <w:rPr>
                <w:b/>
                <w:bCs/>
                <w:sz w:val="22"/>
                <w:szCs w:val="22"/>
              </w:rPr>
            </w:pPr>
            <w:r w:rsidRPr="00C65707">
              <w:rPr>
                <w:b/>
                <w:bCs/>
                <w:sz w:val="22"/>
                <w:szCs w:val="22"/>
              </w:rPr>
              <w:t>TCZ 8 mg/kg + MTX</w:t>
            </w:r>
            <w:r w:rsidRPr="00C65707">
              <w:rPr>
                <w:b/>
                <w:bCs/>
                <w:sz w:val="22"/>
                <w:szCs w:val="22"/>
              </w:rPr>
              <w:br/>
            </w:r>
          </w:p>
          <w:p w14:paraId="50FE490B" w14:textId="77777777" w:rsidR="00CC2B31" w:rsidRPr="00C65707" w:rsidRDefault="00CC2B31">
            <w:pPr>
              <w:pStyle w:val="Header"/>
              <w:widowControl w:val="0"/>
              <w:tabs>
                <w:tab w:val="left" w:pos="284"/>
              </w:tabs>
              <w:jc w:val="center"/>
              <w:rPr>
                <w:sz w:val="22"/>
                <w:szCs w:val="22"/>
              </w:rPr>
            </w:pPr>
            <w:r w:rsidRPr="00C65707">
              <w:rPr>
                <w:b/>
                <w:bCs/>
                <w:sz w:val="22"/>
                <w:szCs w:val="22"/>
              </w:rPr>
              <w:t>N = 398</w:t>
            </w:r>
          </w:p>
        </w:tc>
      </w:tr>
      <w:tr w:rsidR="00CC2B31" w:rsidRPr="00C65707" w14:paraId="261BCE11" w14:textId="77777777" w:rsidTr="00CE5678">
        <w:trPr>
          <w:trHeight w:val="144"/>
        </w:trPr>
        <w:tc>
          <w:tcPr>
            <w:tcW w:w="1810" w:type="pct"/>
          </w:tcPr>
          <w:p w14:paraId="635B3A71" w14:textId="77777777" w:rsidR="00CC2B31" w:rsidRPr="00C65707" w:rsidRDefault="00CC2B31" w:rsidP="00C65707">
            <w:pPr>
              <w:pStyle w:val="Header"/>
              <w:widowControl w:val="0"/>
              <w:tabs>
                <w:tab w:val="left" w:pos="284"/>
              </w:tabs>
              <w:jc w:val="both"/>
              <w:rPr>
                <w:sz w:val="22"/>
                <w:szCs w:val="22"/>
              </w:rPr>
            </w:pPr>
            <w:r w:rsidRPr="00C65707">
              <w:rPr>
                <w:sz w:val="22"/>
                <w:szCs w:val="22"/>
              </w:rPr>
              <w:t>Ukupni Šarp-Genantov skor</w:t>
            </w:r>
          </w:p>
        </w:tc>
        <w:tc>
          <w:tcPr>
            <w:tcW w:w="1508" w:type="pct"/>
          </w:tcPr>
          <w:p w14:paraId="3DDDFE68" w14:textId="77777777" w:rsidR="00CC2B31" w:rsidRPr="00C65707" w:rsidRDefault="00CC2B31">
            <w:pPr>
              <w:pStyle w:val="Header"/>
              <w:widowControl w:val="0"/>
              <w:tabs>
                <w:tab w:val="left" w:pos="284"/>
              </w:tabs>
              <w:jc w:val="center"/>
              <w:rPr>
                <w:sz w:val="22"/>
                <w:szCs w:val="22"/>
              </w:rPr>
            </w:pPr>
            <w:r w:rsidRPr="00C65707">
              <w:rPr>
                <w:sz w:val="22"/>
                <w:szCs w:val="22"/>
              </w:rPr>
              <w:t>1,13</w:t>
            </w:r>
          </w:p>
        </w:tc>
        <w:tc>
          <w:tcPr>
            <w:tcW w:w="1682" w:type="pct"/>
          </w:tcPr>
          <w:p w14:paraId="0875B134" w14:textId="77777777" w:rsidR="00CC2B31" w:rsidRPr="002B3647" w:rsidRDefault="00CC2B31">
            <w:pPr>
              <w:pStyle w:val="Header"/>
              <w:widowControl w:val="0"/>
              <w:tabs>
                <w:tab w:val="left" w:pos="284"/>
              </w:tabs>
              <w:jc w:val="center"/>
              <w:rPr>
                <w:sz w:val="22"/>
                <w:szCs w:val="22"/>
              </w:rPr>
            </w:pPr>
            <w:r w:rsidRPr="002B3647">
              <w:rPr>
                <w:sz w:val="22"/>
                <w:szCs w:val="22"/>
              </w:rPr>
              <w:t>0,29*</w:t>
            </w:r>
          </w:p>
        </w:tc>
      </w:tr>
      <w:tr w:rsidR="00CC2B31" w:rsidRPr="00C65707" w14:paraId="453671B9" w14:textId="77777777" w:rsidTr="00CE5678">
        <w:trPr>
          <w:trHeight w:val="144"/>
        </w:trPr>
        <w:tc>
          <w:tcPr>
            <w:tcW w:w="1810" w:type="pct"/>
          </w:tcPr>
          <w:p w14:paraId="13BD222B" w14:textId="77777777" w:rsidR="00CC2B31" w:rsidRPr="00C65707" w:rsidRDefault="00CC2B31" w:rsidP="00C65707">
            <w:pPr>
              <w:pStyle w:val="Header"/>
              <w:widowControl w:val="0"/>
              <w:tabs>
                <w:tab w:val="left" w:pos="284"/>
              </w:tabs>
              <w:jc w:val="both"/>
              <w:rPr>
                <w:sz w:val="22"/>
                <w:szCs w:val="22"/>
              </w:rPr>
            </w:pPr>
            <w:r w:rsidRPr="00C65707">
              <w:rPr>
                <w:sz w:val="22"/>
                <w:szCs w:val="22"/>
              </w:rPr>
              <w:t>Skor erozije</w:t>
            </w:r>
          </w:p>
        </w:tc>
        <w:tc>
          <w:tcPr>
            <w:tcW w:w="1508" w:type="pct"/>
          </w:tcPr>
          <w:p w14:paraId="59D483BE" w14:textId="77777777" w:rsidR="00CC2B31" w:rsidRPr="00C65707" w:rsidRDefault="00CC2B31">
            <w:pPr>
              <w:pStyle w:val="Header"/>
              <w:widowControl w:val="0"/>
              <w:tabs>
                <w:tab w:val="left" w:pos="284"/>
              </w:tabs>
              <w:jc w:val="center"/>
              <w:rPr>
                <w:sz w:val="22"/>
                <w:szCs w:val="22"/>
              </w:rPr>
            </w:pPr>
            <w:r w:rsidRPr="00C65707">
              <w:rPr>
                <w:sz w:val="22"/>
                <w:szCs w:val="22"/>
              </w:rPr>
              <w:t>0,71</w:t>
            </w:r>
          </w:p>
        </w:tc>
        <w:tc>
          <w:tcPr>
            <w:tcW w:w="1682" w:type="pct"/>
          </w:tcPr>
          <w:p w14:paraId="48CEEBBC" w14:textId="77777777" w:rsidR="00CC2B31" w:rsidRPr="002B3647" w:rsidRDefault="00CC2B31">
            <w:pPr>
              <w:pStyle w:val="Header"/>
              <w:widowControl w:val="0"/>
              <w:tabs>
                <w:tab w:val="left" w:pos="284"/>
              </w:tabs>
              <w:jc w:val="center"/>
              <w:rPr>
                <w:sz w:val="22"/>
                <w:szCs w:val="22"/>
              </w:rPr>
            </w:pPr>
            <w:r w:rsidRPr="002B3647">
              <w:rPr>
                <w:sz w:val="22"/>
                <w:szCs w:val="22"/>
              </w:rPr>
              <w:t>0,17*</w:t>
            </w:r>
          </w:p>
        </w:tc>
      </w:tr>
      <w:tr w:rsidR="00CC2B31" w:rsidRPr="00C65707" w14:paraId="5BDB4B43" w14:textId="77777777" w:rsidTr="00CE5678">
        <w:trPr>
          <w:trHeight w:val="144"/>
        </w:trPr>
        <w:tc>
          <w:tcPr>
            <w:tcW w:w="1810" w:type="pct"/>
          </w:tcPr>
          <w:p w14:paraId="54B5ABA9" w14:textId="77777777" w:rsidR="00CC2B31" w:rsidRPr="00C65707" w:rsidRDefault="00CC2B31" w:rsidP="00C65707">
            <w:pPr>
              <w:pStyle w:val="Header"/>
              <w:widowControl w:val="0"/>
              <w:tabs>
                <w:tab w:val="left" w:pos="284"/>
              </w:tabs>
              <w:jc w:val="both"/>
              <w:rPr>
                <w:sz w:val="22"/>
                <w:szCs w:val="22"/>
              </w:rPr>
            </w:pPr>
            <w:r w:rsidRPr="00C65707">
              <w:rPr>
                <w:sz w:val="22"/>
                <w:szCs w:val="22"/>
              </w:rPr>
              <w:t xml:space="preserve">Skor JSN </w:t>
            </w:r>
          </w:p>
        </w:tc>
        <w:tc>
          <w:tcPr>
            <w:tcW w:w="1508" w:type="pct"/>
          </w:tcPr>
          <w:p w14:paraId="588749FC" w14:textId="77777777" w:rsidR="00CC2B31" w:rsidRPr="00C65707" w:rsidRDefault="00CC2B31">
            <w:pPr>
              <w:pStyle w:val="Header"/>
              <w:widowControl w:val="0"/>
              <w:tabs>
                <w:tab w:val="left" w:pos="284"/>
              </w:tabs>
              <w:jc w:val="center"/>
              <w:rPr>
                <w:sz w:val="22"/>
                <w:szCs w:val="22"/>
              </w:rPr>
            </w:pPr>
            <w:r w:rsidRPr="00C65707">
              <w:rPr>
                <w:sz w:val="22"/>
                <w:szCs w:val="22"/>
              </w:rPr>
              <w:t>0,42</w:t>
            </w:r>
          </w:p>
        </w:tc>
        <w:tc>
          <w:tcPr>
            <w:tcW w:w="1682" w:type="pct"/>
          </w:tcPr>
          <w:p w14:paraId="592E2F59" w14:textId="77777777" w:rsidR="00CC2B31" w:rsidRPr="002B3647" w:rsidRDefault="00CC2B31">
            <w:pPr>
              <w:pStyle w:val="Header"/>
              <w:widowControl w:val="0"/>
              <w:tabs>
                <w:tab w:val="left" w:pos="284"/>
              </w:tabs>
              <w:jc w:val="center"/>
              <w:rPr>
                <w:sz w:val="22"/>
                <w:szCs w:val="22"/>
              </w:rPr>
            </w:pPr>
            <w:r w:rsidRPr="002B3647">
              <w:rPr>
                <w:sz w:val="22"/>
                <w:szCs w:val="22"/>
              </w:rPr>
              <w:t>0,12**</w:t>
            </w:r>
          </w:p>
        </w:tc>
      </w:tr>
    </w:tbl>
    <w:p w14:paraId="06E332B1" w14:textId="77777777" w:rsidR="00CC2B31" w:rsidRPr="00C65707" w:rsidRDefault="00CC2B31" w:rsidP="00C65707">
      <w:pPr>
        <w:pStyle w:val="Header"/>
        <w:widowControl w:val="0"/>
        <w:tabs>
          <w:tab w:val="left" w:pos="284"/>
        </w:tabs>
        <w:jc w:val="both"/>
        <w:rPr>
          <w:i/>
          <w:sz w:val="22"/>
          <w:szCs w:val="22"/>
        </w:rPr>
      </w:pPr>
      <w:r w:rsidRPr="00C65707">
        <w:rPr>
          <w:i/>
          <w:sz w:val="22"/>
          <w:szCs w:val="22"/>
        </w:rPr>
        <w:t>PBO      - Placebo</w:t>
      </w:r>
    </w:p>
    <w:p w14:paraId="551C729D" w14:textId="77777777" w:rsidR="00CC2B31" w:rsidRPr="002B3647" w:rsidRDefault="00CC2B31" w:rsidP="002B3647">
      <w:pPr>
        <w:pStyle w:val="Header"/>
        <w:widowControl w:val="0"/>
        <w:tabs>
          <w:tab w:val="left" w:pos="284"/>
        </w:tabs>
        <w:jc w:val="both"/>
        <w:rPr>
          <w:i/>
          <w:sz w:val="22"/>
          <w:szCs w:val="22"/>
        </w:rPr>
      </w:pPr>
      <w:r w:rsidRPr="002B3647">
        <w:rPr>
          <w:i/>
          <w:sz w:val="22"/>
          <w:szCs w:val="22"/>
        </w:rPr>
        <w:t>MTX     - Metotreksat</w:t>
      </w:r>
    </w:p>
    <w:p w14:paraId="3F65C15C" w14:textId="77777777" w:rsidR="00CC2B31" w:rsidRPr="00C65707" w:rsidRDefault="00CC2B31">
      <w:pPr>
        <w:pStyle w:val="Header"/>
        <w:widowControl w:val="0"/>
        <w:tabs>
          <w:tab w:val="left" w:pos="284"/>
        </w:tabs>
        <w:jc w:val="both"/>
        <w:rPr>
          <w:i/>
          <w:sz w:val="22"/>
          <w:szCs w:val="22"/>
        </w:rPr>
      </w:pPr>
      <w:r w:rsidRPr="00C65707">
        <w:rPr>
          <w:i/>
          <w:sz w:val="22"/>
          <w:szCs w:val="22"/>
        </w:rPr>
        <w:t>TCZ      - Tocilizumab</w:t>
      </w:r>
    </w:p>
    <w:p w14:paraId="3DB7B579" w14:textId="77777777" w:rsidR="00CC2B31" w:rsidRPr="00C65707" w:rsidRDefault="00CC2B31">
      <w:pPr>
        <w:pStyle w:val="Header"/>
        <w:widowControl w:val="0"/>
        <w:tabs>
          <w:tab w:val="left" w:pos="284"/>
        </w:tabs>
        <w:jc w:val="both"/>
        <w:rPr>
          <w:i/>
          <w:sz w:val="22"/>
          <w:szCs w:val="22"/>
        </w:rPr>
      </w:pPr>
      <w:r w:rsidRPr="00C65707">
        <w:rPr>
          <w:i/>
          <w:sz w:val="22"/>
          <w:szCs w:val="22"/>
        </w:rPr>
        <w:t>JSN       - Sužavanje prostora u zglobu</w:t>
      </w:r>
    </w:p>
    <w:p w14:paraId="4BB9AEA2" w14:textId="77777777" w:rsidR="00CC2B31" w:rsidRPr="00C65707" w:rsidRDefault="00CC2B31">
      <w:pPr>
        <w:pStyle w:val="Header"/>
        <w:widowControl w:val="0"/>
        <w:tabs>
          <w:tab w:val="left" w:pos="284"/>
        </w:tabs>
        <w:jc w:val="both"/>
        <w:rPr>
          <w:i/>
          <w:iCs/>
          <w:sz w:val="22"/>
          <w:szCs w:val="22"/>
        </w:rPr>
      </w:pPr>
      <w:r w:rsidRPr="00C65707">
        <w:rPr>
          <w:i/>
          <w:iCs/>
          <w:sz w:val="22"/>
          <w:szCs w:val="22"/>
        </w:rPr>
        <w:t>*</w:t>
      </w:r>
      <w:r w:rsidRPr="00C65707">
        <w:rPr>
          <w:i/>
          <w:iCs/>
          <w:sz w:val="22"/>
          <w:szCs w:val="22"/>
        </w:rPr>
        <w:tab/>
        <w:t xml:space="preserve">        - p≤ 0,0001, </w:t>
      </w:r>
      <w:r w:rsidRPr="00C65707">
        <w:rPr>
          <w:i/>
          <w:sz w:val="22"/>
          <w:szCs w:val="22"/>
        </w:rPr>
        <w:t>TCZ</w:t>
      </w:r>
      <w:r w:rsidRPr="00C65707">
        <w:rPr>
          <w:i/>
          <w:iCs/>
          <w:sz w:val="22"/>
          <w:szCs w:val="22"/>
        </w:rPr>
        <w:t xml:space="preserve"> prema </w:t>
      </w:r>
      <w:r w:rsidRPr="00C65707">
        <w:rPr>
          <w:i/>
          <w:sz w:val="22"/>
          <w:szCs w:val="22"/>
        </w:rPr>
        <w:t>PBO</w:t>
      </w:r>
      <w:r w:rsidRPr="00C65707">
        <w:rPr>
          <w:i/>
          <w:iCs/>
          <w:sz w:val="22"/>
          <w:szCs w:val="22"/>
        </w:rPr>
        <w:t xml:space="preserve"> + MTX</w:t>
      </w:r>
    </w:p>
    <w:p w14:paraId="2D6D683A" w14:textId="77777777" w:rsidR="00CC2B31" w:rsidRPr="00C65707" w:rsidRDefault="00CC2B31">
      <w:pPr>
        <w:pStyle w:val="Header"/>
        <w:widowControl w:val="0"/>
        <w:tabs>
          <w:tab w:val="left" w:pos="284"/>
        </w:tabs>
        <w:jc w:val="both"/>
        <w:rPr>
          <w:i/>
          <w:sz w:val="22"/>
          <w:szCs w:val="22"/>
        </w:rPr>
      </w:pPr>
      <w:r w:rsidRPr="00C65707">
        <w:rPr>
          <w:i/>
          <w:iCs/>
          <w:sz w:val="22"/>
          <w:szCs w:val="22"/>
        </w:rPr>
        <w:t xml:space="preserve">** </w:t>
      </w:r>
      <w:r w:rsidRPr="00C65707">
        <w:rPr>
          <w:i/>
          <w:iCs/>
          <w:sz w:val="22"/>
          <w:szCs w:val="22"/>
        </w:rPr>
        <w:tab/>
        <w:t xml:space="preserve">        - p&lt; 0,005, </w:t>
      </w:r>
      <w:r w:rsidRPr="00C65707">
        <w:rPr>
          <w:i/>
          <w:sz w:val="22"/>
          <w:szCs w:val="22"/>
        </w:rPr>
        <w:t>TCZ</w:t>
      </w:r>
      <w:r w:rsidRPr="00C65707">
        <w:rPr>
          <w:i/>
          <w:iCs/>
          <w:sz w:val="22"/>
          <w:szCs w:val="22"/>
        </w:rPr>
        <w:t xml:space="preserve"> prema </w:t>
      </w:r>
      <w:r w:rsidRPr="00C65707">
        <w:rPr>
          <w:i/>
          <w:sz w:val="22"/>
          <w:szCs w:val="22"/>
        </w:rPr>
        <w:t xml:space="preserve">PBO </w:t>
      </w:r>
      <w:r w:rsidRPr="00C65707">
        <w:rPr>
          <w:i/>
          <w:iCs/>
          <w:sz w:val="22"/>
          <w:szCs w:val="22"/>
        </w:rPr>
        <w:t>+ MTX</w:t>
      </w:r>
    </w:p>
    <w:p w14:paraId="594437B6" w14:textId="77777777" w:rsidR="00CC2B31" w:rsidRPr="00C65707" w:rsidRDefault="00CC2B31">
      <w:pPr>
        <w:pStyle w:val="Header"/>
        <w:widowControl w:val="0"/>
        <w:tabs>
          <w:tab w:val="left" w:pos="284"/>
        </w:tabs>
        <w:jc w:val="both"/>
        <w:rPr>
          <w:b/>
          <w:i/>
          <w:sz w:val="22"/>
          <w:szCs w:val="22"/>
        </w:rPr>
      </w:pPr>
    </w:p>
    <w:p w14:paraId="291A1543" w14:textId="68903B90" w:rsidR="00CC2B31" w:rsidRPr="00C65707" w:rsidRDefault="00CC2B31">
      <w:pPr>
        <w:widowControl w:val="0"/>
        <w:jc w:val="both"/>
        <w:rPr>
          <w:sz w:val="22"/>
          <w:szCs w:val="22"/>
        </w:rPr>
      </w:pPr>
      <w:r w:rsidRPr="00C65707">
        <w:rPr>
          <w:sz w:val="22"/>
          <w:szCs w:val="22"/>
        </w:rPr>
        <w:t xml:space="preserve">Nakon jednogodišnjeg liječenja </w:t>
      </w:r>
      <w:r w:rsidR="0052513E" w:rsidRPr="00C65707">
        <w:rPr>
          <w:sz w:val="22"/>
          <w:szCs w:val="22"/>
        </w:rPr>
        <w:t>tocilizumabom</w:t>
      </w:r>
      <w:r w:rsidRPr="00C65707">
        <w:rPr>
          <w:sz w:val="22"/>
          <w:szCs w:val="22"/>
        </w:rPr>
        <w:t xml:space="preserve"> u kombinaciji s MTX</w:t>
      </w:r>
      <w:r w:rsidR="0052513E" w:rsidRPr="00C65707">
        <w:rPr>
          <w:sz w:val="22"/>
          <w:szCs w:val="22"/>
        </w:rPr>
        <w:t>-om</w:t>
      </w:r>
      <w:r w:rsidRPr="00C65707">
        <w:rPr>
          <w:sz w:val="22"/>
          <w:szCs w:val="22"/>
        </w:rPr>
        <w:t xml:space="preserve">, kod 85% pacijenata (n=348) </w:t>
      </w:r>
      <w:r w:rsidRPr="00C65707">
        <w:rPr>
          <w:sz w:val="22"/>
          <w:szCs w:val="22"/>
        </w:rPr>
        <w:lastRenderedPageBreak/>
        <w:t>nije došlo do napredovanja strukturalnog oštećenja zglobova, definisano promjenom ukupnog rezultata po Šarp skali od nula ili manje, u poređenju sa 67% pacijenata liječenih placebom u kombinaciji sa MTX (n=290) (p </w:t>
      </w:r>
      <w:r w:rsidRPr="00C65707">
        <w:rPr>
          <w:sz w:val="22"/>
          <w:szCs w:val="22"/>
        </w:rPr>
        <w:sym w:font="Symbol" w:char="F0A3"/>
      </w:r>
      <w:r w:rsidRPr="00C65707">
        <w:rPr>
          <w:sz w:val="22"/>
          <w:szCs w:val="22"/>
        </w:rPr>
        <w:t> 0,001). Efekat je održan i nakon dvije godine liječenja (83%; n=353). U devedeset i tri posto (93%; n=271) pacijenata nije došlo do napredovanja između 52. i 104. nedjelje.</w:t>
      </w:r>
    </w:p>
    <w:p w14:paraId="68AE8481" w14:textId="77777777" w:rsidR="00CC2B31" w:rsidRPr="002B3647" w:rsidRDefault="00CC2B31">
      <w:pPr>
        <w:pStyle w:val="Header"/>
        <w:widowControl w:val="0"/>
        <w:tabs>
          <w:tab w:val="left" w:pos="284"/>
        </w:tabs>
        <w:jc w:val="both"/>
        <w:rPr>
          <w:i/>
          <w:sz w:val="22"/>
          <w:szCs w:val="22"/>
        </w:rPr>
      </w:pPr>
    </w:p>
    <w:p w14:paraId="0A1E288D" w14:textId="77777777" w:rsidR="00CC2B31" w:rsidRPr="00C65707" w:rsidRDefault="00CC2B31">
      <w:pPr>
        <w:pStyle w:val="Header"/>
        <w:widowControl w:val="0"/>
        <w:tabs>
          <w:tab w:val="left" w:pos="284"/>
        </w:tabs>
        <w:jc w:val="both"/>
        <w:rPr>
          <w:i/>
          <w:sz w:val="22"/>
          <w:szCs w:val="22"/>
          <w:u w:val="single"/>
        </w:rPr>
      </w:pPr>
      <w:r w:rsidRPr="00C65707">
        <w:rPr>
          <w:i/>
          <w:sz w:val="22"/>
          <w:szCs w:val="22"/>
          <w:u w:val="single"/>
        </w:rPr>
        <w:t>Ishodi povezani sa zdravljem i kvalitetom života</w:t>
      </w:r>
    </w:p>
    <w:p w14:paraId="42065AFA" w14:textId="6FD8E189" w:rsidR="00CC2B31" w:rsidRPr="00C65707" w:rsidRDefault="00CC2B31">
      <w:pPr>
        <w:widowControl w:val="0"/>
        <w:jc w:val="both"/>
        <w:rPr>
          <w:sz w:val="22"/>
          <w:szCs w:val="22"/>
        </w:rPr>
      </w:pPr>
      <w:r w:rsidRPr="00C65707">
        <w:rPr>
          <w:sz w:val="22"/>
          <w:szCs w:val="22"/>
        </w:rPr>
        <w:t xml:space="preserve">Pacijenti liječeni </w:t>
      </w:r>
      <w:r w:rsidR="0052513E" w:rsidRPr="00C65707">
        <w:rPr>
          <w:sz w:val="22"/>
          <w:szCs w:val="22"/>
        </w:rPr>
        <w:t>tocilizumabom</w:t>
      </w:r>
      <w:r w:rsidRPr="00C65707">
        <w:rPr>
          <w:sz w:val="22"/>
          <w:szCs w:val="22"/>
        </w:rPr>
        <w:t xml:space="preserve"> prijavili su poboljšanje u svim ishodima vezanim za procjenu samog pacijenta (Indeks po upitniku za procjenu zdravstvene onesposobljenosti</w:t>
      </w:r>
      <w:r w:rsidR="0052513E" w:rsidRPr="00C65707">
        <w:rPr>
          <w:sz w:val="22"/>
          <w:szCs w:val="22"/>
        </w:rPr>
        <w:t>,</w:t>
      </w:r>
      <w:r w:rsidRPr="00C65707">
        <w:rPr>
          <w:sz w:val="22"/>
          <w:szCs w:val="22"/>
        </w:rPr>
        <w:t xml:space="preserve"> </w:t>
      </w:r>
      <w:r w:rsidR="0052513E" w:rsidRPr="00C65707">
        <w:rPr>
          <w:sz w:val="22"/>
          <w:szCs w:val="22"/>
        </w:rPr>
        <w:t xml:space="preserve">engl. </w:t>
      </w:r>
      <w:r w:rsidR="0052513E" w:rsidRPr="00C65707">
        <w:rPr>
          <w:i/>
          <w:sz w:val="22"/>
          <w:szCs w:val="22"/>
        </w:rPr>
        <w:t>Health Assessment Questionnaire Disability Index</w:t>
      </w:r>
      <w:r w:rsidR="0052513E" w:rsidRPr="00C65707">
        <w:rPr>
          <w:sz w:val="22"/>
          <w:szCs w:val="22"/>
        </w:rPr>
        <w:t xml:space="preserve"> </w:t>
      </w:r>
      <w:r w:rsidRPr="00C65707">
        <w:rPr>
          <w:sz w:val="22"/>
          <w:szCs w:val="22"/>
        </w:rPr>
        <w:t>- HAQ-DI), i po Kratkoj formi-</w:t>
      </w:r>
      <w:r w:rsidR="0052513E" w:rsidRPr="00C65707">
        <w:rPr>
          <w:sz w:val="22"/>
          <w:szCs w:val="22"/>
        </w:rPr>
        <w:t>,,Upitnika-36”</w:t>
      </w:r>
      <w:r w:rsidR="0052513E" w:rsidRPr="00CE5678">
        <w:rPr>
          <w:sz w:val="22"/>
          <w:szCs w:val="22"/>
        </w:rPr>
        <w:t xml:space="preserve"> </w:t>
      </w:r>
      <w:r w:rsidR="0052513E" w:rsidRPr="00C65707">
        <w:rPr>
          <w:sz w:val="22"/>
          <w:szCs w:val="22"/>
        </w:rPr>
        <w:t>(SF-36 -</w:t>
      </w:r>
      <w:r w:rsidR="0052513E" w:rsidRPr="00C65707">
        <w:rPr>
          <w:i/>
          <w:sz w:val="22"/>
          <w:szCs w:val="22"/>
        </w:rPr>
        <w:t>Short form</w:t>
      </w:r>
      <w:r w:rsidR="0052513E" w:rsidRPr="00C65707">
        <w:rPr>
          <w:i/>
          <w:sz w:val="22"/>
          <w:szCs w:val="22"/>
        </w:rPr>
        <w:noBreakHyphen/>
      </w:r>
      <w:r w:rsidR="0052513E" w:rsidRPr="00C65707">
        <w:rPr>
          <w:sz w:val="22"/>
          <w:szCs w:val="22"/>
        </w:rPr>
        <w:t>36)</w:t>
      </w:r>
      <w:r w:rsidRPr="00C65707">
        <w:rPr>
          <w:sz w:val="22"/>
          <w:szCs w:val="22"/>
        </w:rPr>
        <w:t xml:space="preserve"> </w:t>
      </w:r>
      <w:r w:rsidR="0052513E" w:rsidRPr="002B3647">
        <w:rPr>
          <w:sz w:val="22"/>
          <w:szCs w:val="22"/>
        </w:rPr>
        <w:t xml:space="preserve">i Procjeni </w:t>
      </w:r>
      <w:r w:rsidRPr="00C65707">
        <w:rPr>
          <w:sz w:val="22"/>
          <w:szCs w:val="22"/>
        </w:rPr>
        <w:t>funkcionaln</w:t>
      </w:r>
      <w:r w:rsidR="0052513E" w:rsidRPr="00C65707">
        <w:rPr>
          <w:sz w:val="22"/>
          <w:szCs w:val="22"/>
        </w:rPr>
        <w:t xml:space="preserve">og statusa </w:t>
      </w:r>
      <w:r w:rsidRPr="00C65707">
        <w:rPr>
          <w:sz w:val="22"/>
          <w:szCs w:val="22"/>
        </w:rPr>
        <w:t xml:space="preserve"> terapije hroničnih bolesti</w:t>
      </w:r>
      <w:r w:rsidR="0052513E" w:rsidRPr="00C65707">
        <w:rPr>
          <w:sz w:val="22"/>
          <w:szCs w:val="22"/>
        </w:rPr>
        <w:t xml:space="preserve"> (engl. </w:t>
      </w:r>
      <w:r w:rsidR="0052513E" w:rsidRPr="00C65707">
        <w:rPr>
          <w:i/>
          <w:sz w:val="22"/>
          <w:szCs w:val="22"/>
        </w:rPr>
        <w:t xml:space="preserve">Functional Assessment of Chronic Illness Therapy, </w:t>
      </w:r>
      <w:r w:rsidR="0052513E" w:rsidRPr="00C65707">
        <w:rPr>
          <w:sz w:val="22"/>
          <w:szCs w:val="22"/>
        </w:rPr>
        <w:t>FACIT)</w:t>
      </w:r>
      <w:r w:rsidRPr="00C65707">
        <w:rPr>
          <w:sz w:val="22"/>
          <w:szCs w:val="22"/>
        </w:rPr>
        <w:t xml:space="preserve">. Statistički značajno poboljšanje skorova HAQ-DI zabilježeno je kod pacijenata koji su primali </w:t>
      </w:r>
      <w:r w:rsidR="0052513E" w:rsidRPr="00C65707">
        <w:rPr>
          <w:sz w:val="22"/>
          <w:szCs w:val="22"/>
        </w:rPr>
        <w:t>tocilizumab</w:t>
      </w:r>
      <w:r w:rsidRPr="00C65707">
        <w:rPr>
          <w:sz w:val="22"/>
          <w:szCs w:val="22"/>
        </w:rPr>
        <w:t xml:space="preserve"> u poređenju sa pacijentima liječenim DMARD. Tokom otvorene faze Studije II, poboljšanje funkcionalnog stanja održano je i do 2 godine. U 52. nedjelji srednja promjena prema HAQ-DI bila je -0,58 u grupi koja je primala </w:t>
      </w:r>
      <w:r w:rsidR="0052513E" w:rsidRPr="00C65707">
        <w:rPr>
          <w:sz w:val="22"/>
          <w:szCs w:val="22"/>
        </w:rPr>
        <w:t>tocilizumab</w:t>
      </w:r>
      <w:r w:rsidRPr="00C65707">
        <w:rPr>
          <w:sz w:val="22"/>
          <w:szCs w:val="22"/>
        </w:rPr>
        <w:t xml:space="preserve"> u dozi od 8 mg/kg u kombinaciji s MTX</w:t>
      </w:r>
      <w:r w:rsidR="0052513E" w:rsidRPr="00C65707">
        <w:rPr>
          <w:sz w:val="22"/>
          <w:szCs w:val="22"/>
        </w:rPr>
        <w:t>-om</w:t>
      </w:r>
      <w:r w:rsidRPr="00C65707">
        <w:rPr>
          <w:sz w:val="22"/>
          <w:szCs w:val="22"/>
        </w:rPr>
        <w:t>, u poređenju sa -0,39 u grupi koja je primala placebo u kombinaciji sa MTX</w:t>
      </w:r>
      <w:r w:rsidR="0052513E" w:rsidRPr="00C65707">
        <w:rPr>
          <w:sz w:val="22"/>
          <w:szCs w:val="22"/>
        </w:rPr>
        <w:t>-om</w:t>
      </w:r>
      <w:r w:rsidRPr="00C65707">
        <w:rPr>
          <w:sz w:val="22"/>
          <w:szCs w:val="22"/>
        </w:rPr>
        <w:t xml:space="preserve">. Srednja promjena prema HAQ-DI održana je u 104. nedjelji u grupi koja je primala </w:t>
      </w:r>
      <w:r w:rsidR="0052513E" w:rsidRPr="00C65707">
        <w:rPr>
          <w:sz w:val="22"/>
          <w:szCs w:val="22"/>
        </w:rPr>
        <w:t>tocilizumab</w:t>
      </w:r>
      <w:r w:rsidRPr="00C65707">
        <w:rPr>
          <w:sz w:val="22"/>
          <w:szCs w:val="22"/>
        </w:rPr>
        <w:t xml:space="preserve"> u dozi od 8 mg/kg u kombinaciji sa MTX</w:t>
      </w:r>
      <w:r w:rsidR="0052513E" w:rsidRPr="00C65707">
        <w:rPr>
          <w:sz w:val="22"/>
          <w:szCs w:val="22"/>
        </w:rPr>
        <w:t>-om</w:t>
      </w:r>
      <w:r w:rsidRPr="00C65707">
        <w:rPr>
          <w:sz w:val="22"/>
          <w:szCs w:val="22"/>
        </w:rPr>
        <w:t xml:space="preserve"> (-0,61).</w:t>
      </w:r>
    </w:p>
    <w:p w14:paraId="08DCF3AD" w14:textId="77777777" w:rsidR="00CC2B31" w:rsidRPr="00C65707" w:rsidRDefault="00CC2B31">
      <w:pPr>
        <w:pStyle w:val="Header"/>
        <w:widowControl w:val="0"/>
        <w:tabs>
          <w:tab w:val="left" w:pos="284"/>
        </w:tabs>
        <w:jc w:val="both"/>
        <w:rPr>
          <w:sz w:val="22"/>
          <w:szCs w:val="22"/>
        </w:rPr>
      </w:pPr>
    </w:p>
    <w:p w14:paraId="1F7CF8EF" w14:textId="77777777" w:rsidR="00CC2B31" w:rsidRPr="00C65707" w:rsidRDefault="00CC2B31">
      <w:pPr>
        <w:pStyle w:val="Header"/>
        <w:widowControl w:val="0"/>
        <w:tabs>
          <w:tab w:val="left" w:pos="284"/>
        </w:tabs>
        <w:jc w:val="both"/>
        <w:rPr>
          <w:i/>
          <w:sz w:val="22"/>
          <w:szCs w:val="22"/>
          <w:u w:val="single"/>
        </w:rPr>
      </w:pPr>
      <w:r w:rsidRPr="00C65707">
        <w:rPr>
          <w:i/>
          <w:sz w:val="22"/>
          <w:szCs w:val="22"/>
          <w:u w:val="single"/>
        </w:rPr>
        <w:t>Nivoi hemoglobina</w:t>
      </w:r>
    </w:p>
    <w:p w14:paraId="1866AE6F" w14:textId="3D6E4609" w:rsidR="00CC2B31" w:rsidRPr="00C65707" w:rsidRDefault="00F5542E">
      <w:pPr>
        <w:pStyle w:val="Header"/>
        <w:widowControl w:val="0"/>
        <w:tabs>
          <w:tab w:val="left" w:pos="284"/>
        </w:tabs>
        <w:jc w:val="both"/>
        <w:rPr>
          <w:sz w:val="22"/>
          <w:szCs w:val="22"/>
        </w:rPr>
      </w:pPr>
      <w:r w:rsidRPr="00C65707">
        <w:rPr>
          <w:sz w:val="22"/>
          <w:szCs w:val="22"/>
        </w:rPr>
        <w:t>Zabilježeno je</w:t>
      </w:r>
      <w:r w:rsidR="00CC2B31" w:rsidRPr="00C65707">
        <w:rPr>
          <w:sz w:val="22"/>
          <w:szCs w:val="22"/>
        </w:rPr>
        <w:t xml:space="preserve"> statistički značajno povećanje nivoa hemoglobina kod pacijenata koji su primali </w:t>
      </w:r>
      <w:r w:rsidR="0052513E" w:rsidRPr="00C65707">
        <w:rPr>
          <w:sz w:val="22"/>
          <w:szCs w:val="22"/>
        </w:rPr>
        <w:t>tocilizumab</w:t>
      </w:r>
      <w:r w:rsidR="00CC2B31" w:rsidRPr="00C65707">
        <w:rPr>
          <w:sz w:val="22"/>
          <w:szCs w:val="22"/>
        </w:rPr>
        <w:t xml:space="preserve"> u poređenju sa onima koji su primali DMARD (p&lt; 0,0001) 24. nedjelje. Srednji nivoi hemoglobina povećani do druge nedjelje ostali su u normalnom rasponu sve do 24. nedjelje.</w:t>
      </w:r>
    </w:p>
    <w:p w14:paraId="363EA859" w14:textId="77777777" w:rsidR="00CC2B31" w:rsidRPr="00C65707" w:rsidRDefault="00CC2B31">
      <w:pPr>
        <w:pStyle w:val="Header"/>
        <w:widowControl w:val="0"/>
        <w:tabs>
          <w:tab w:val="left" w:pos="284"/>
        </w:tabs>
        <w:jc w:val="both"/>
        <w:rPr>
          <w:sz w:val="22"/>
          <w:szCs w:val="22"/>
        </w:rPr>
      </w:pPr>
    </w:p>
    <w:p w14:paraId="1CCD37E0" w14:textId="6B397364" w:rsidR="00CC2B31" w:rsidRPr="00C65707" w:rsidRDefault="0052513E">
      <w:pPr>
        <w:widowControl w:val="0"/>
        <w:jc w:val="both"/>
        <w:rPr>
          <w:sz w:val="22"/>
          <w:szCs w:val="22"/>
          <w:u w:val="single"/>
        </w:rPr>
      </w:pPr>
      <w:r w:rsidRPr="00C65707">
        <w:rPr>
          <w:sz w:val="22"/>
          <w:szCs w:val="22"/>
        </w:rPr>
        <w:t>Tocilizumab</w:t>
      </w:r>
      <w:r w:rsidR="00CC2B31" w:rsidRPr="00C65707">
        <w:rPr>
          <w:i/>
          <w:sz w:val="22"/>
          <w:szCs w:val="22"/>
          <w:u w:val="single"/>
        </w:rPr>
        <w:t xml:space="preserve"> u poređenju sa adalimumabom u monoterapiji</w:t>
      </w:r>
    </w:p>
    <w:p w14:paraId="092473A7" w14:textId="144AABD4" w:rsidR="00CC2B31" w:rsidRPr="00C65707" w:rsidRDefault="00CC2B31">
      <w:pPr>
        <w:widowControl w:val="0"/>
        <w:jc w:val="both"/>
        <w:rPr>
          <w:sz w:val="22"/>
          <w:szCs w:val="22"/>
        </w:rPr>
      </w:pPr>
      <w:r w:rsidRPr="00C65707">
        <w:rPr>
          <w:sz w:val="22"/>
          <w:szCs w:val="22"/>
        </w:rPr>
        <w:t xml:space="preserve">U Studiji VI (WA19924), dvostruko slijepoj studiji u trajanju od 24 nedjelje u kojoj se poredila monoterapija </w:t>
      </w:r>
      <w:r w:rsidR="0052513E" w:rsidRPr="00C65707">
        <w:rPr>
          <w:sz w:val="22"/>
          <w:szCs w:val="22"/>
        </w:rPr>
        <w:t>tocilizumabom</w:t>
      </w:r>
      <w:r w:rsidRPr="00C65707">
        <w:rPr>
          <w:sz w:val="22"/>
          <w:szCs w:val="22"/>
        </w:rPr>
        <w:t xml:space="preserve"> sa monoterapijom adalimumabom, ocijenjeno je 326 pacijenata sa RA koji nijesu podnosili MTX ili kod kojih se nastavak liječenja MTX-om smatrao neprikladnim (uključujući pacijente sa neprimjerenim odgovorom na MTX). Pacijenti u grupi liječenoj </w:t>
      </w:r>
      <w:r w:rsidR="0052513E" w:rsidRPr="00C65707">
        <w:rPr>
          <w:sz w:val="22"/>
          <w:szCs w:val="22"/>
        </w:rPr>
        <w:t>tocilizumabom</w:t>
      </w:r>
      <w:r w:rsidRPr="00C65707">
        <w:rPr>
          <w:sz w:val="22"/>
          <w:szCs w:val="22"/>
        </w:rPr>
        <w:t xml:space="preserve"> primali su intravensku  infuziju </w:t>
      </w:r>
      <w:r w:rsidR="0052513E" w:rsidRPr="00C65707">
        <w:rPr>
          <w:sz w:val="22"/>
          <w:szCs w:val="22"/>
        </w:rPr>
        <w:t>tocilizumaba</w:t>
      </w:r>
      <w:r w:rsidRPr="00C65707">
        <w:rPr>
          <w:sz w:val="22"/>
          <w:szCs w:val="22"/>
        </w:rPr>
        <w:t xml:space="preserve"> (8 mg/kg) svake 4 nedjelje</w:t>
      </w:r>
      <w:r w:rsidR="002C0349" w:rsidRPr="00C65707">
        <w:rPr>
          <w:sz w:val="22"/>
          <w:szCs w:val="22"/>
        </w:rPr>
        <w:t xml:space="preserve"> i</w:t>
      </w:r>
      <w:r w:rsidRPr="00C65707">
        <w:rPr>
          <w:sz w:val="22"/>
          <w:szCs w:val="22"/>
        </w:rPr>
        <w:t xml:space="preserve"> subkutanu injekciju placeba svake 2 nedjelje. Pacijenti u adalimumab grupi primali su</w:t>
      </w:r>
      <w:r w:rsidR="002C0349" w:rsidRPr="00C65707">
        <w:rPr>
          <w:sz w:val="22"/>
          <w:szCs w:val="22"/>
        </w:rPr>
        <w:t xml:space="preserve"> su</w:t>
      </w:r>
      <w:r w:rsidR="00910BDC" w:rsidRPr="00C65707">
        <w:rPr>
          <w:sz w:val="22"/>
          <w:szCs w:val="22"/>
        </w:rPr>
        <w:t>b</w:t>
      </w:r>
      <w:r w:rsidR="002C0349" w:rsidRPr="00C65707">
        <w:rPr>
          <w:sz w:val="22"/>
          <w:szCs w:val="22"/>
        </w:rPr>
        <w:t>kutanu</w:t>
      </w:r>
      <w:r w:rsidRPr="00C65707">
        <w:rPr>
          <w:sz w:val="22"/>
          <w:szCs w:val="22"/>
        </w:rPr>
        <w:t xml:space="preserve">. injekciju adalimumaba (40 mg) svake 2 nedjelje </w:t>
      </w:r>
      <w:r w:rsidR="002C0349" w:rsidRPr="00C65707">
        <w:rPr>
          <w:sz w:val="22"/>
          <w:szCs w:val="22"/>
        </w:rPr>
        <w:t>i</w:t>
      </w:r>
      <w:r w:rsidRPr="00C65707">
        <w:rPr>
          <w:sz w:val="22"/>
          <w:szCs w:val="22"/>
        </w:rPr>
        <w:t>.</w:t>
      </w:r>
      <w:r w:rsidR="002C0349" w:rsidRPr="00C65707">
        <w:rPr>
          <w:sz w:val="22"/>
          <w:szCs w:val="22"/>
        </w:rPr>
        <w:t>intravensku</w:t>
      </w:r>
      <w:r w:rsidRPr="00C65707">
        <w:rPr>
          <w:sz w:val="22"/>
          <w:szCs w:val="22"/>
        </w:rPr>
        <w:t xml:space="preserve"> infuziju placeba svake 4 nedjelje. U poređenju s adalimumabom, liječenje </w:t>
      </w:r>
      <w:r w:rsidR="0052513E" w:rsidRPr="00C65707">
        <w:rPr>
          <w:sz w:val="22"/>
          <w:szCs w:val="22"/>
        </w:rPr>
        <w:t>tocilizumabom</w:t>
      </w:r>
      <w:r w:rsidRPr="00C65707">
        <w:rPr>
          <w:sz w:val="22"/>
          <w:szCs w:val="22"/>
        </w:rPr>
        <w:t xml:space="preserve"> imalo je statistički značajan superioran efekat na kontrolu aktivnosti bolesti od početka liječenja do 24. nedjelje za primarnu krajnju tačku – promjenu vrijednosti DAS28 – te za sve sekundarne krajnje tačke (Tabela </w:t>
      </w:r>
      <w:r w:rsidR="0052513E" w:rsidRPr="00C65707">
        <w:rPr>
          <w:sz w:val="22"/>
          <w:szCs w:val="22"/>
        </w:rPr>
        <w:t>7</w:t>
      </w:r>
      <w:r w:rsidRPr="00C65707">
        <w:rPr>
          <w:sz w:val="22"/>
          <w:szCs w:val="22"/>
        </w:rPr>
        <w:t xml:space="preserve">). </w:t>
      </w:r>
    </w:p>
    <w:p w14:paraId="56758125" w14:textId="77777777" w:rsidR="00CC2B31" w:rsidRPr="00C65707" w:rsidRDefault="00CC2B31">
      <w:pPr>
        <w:widowControl w:val="0"/>
        <w:jc w:val="both"/>
        <w:rPr>
          <w:sz w:val="22"/>
          <w:szCs w:val="22"/>
        </w:rPr>
      </w:pPr>
    </w:p>
    <w:p w14:paraId="74E8459D" w14:textId="1C31DE25" w:rsidR="00CC2B31" w:rsidRPr="00C65707" w:rsidRDefault="00CC2B31">
      <w:pPr>
        <w:widowControl w:val="0"/>
        <w:jc w:val="both"/>
        <w:rPr>
          <w:i/>
          <w:sz w:val="22"/>
          <w:szCs w:val="22"/>
        </w:rPr>
      </w:pPr>
      <w:r w:rsidRPr="00C65707">
        <w:rPr>
          <w:bCs/>
          <w:i/>
          <w:sz w:val="22"/>
          <w:szCs w:val="22"/>
        </w:rPr>
        <w:t xml:space="preserve">Tabela </w:t>
      </w:r>
      <w:r w:rsidR="002C0349" w:rsidRPr="00C65707">
        <w:rPr>
          <w:bCs/>
          <w:i/>
          <w:sz w:val="22"/>
          <w:szCs w:val="22"/>
        </w:rPr>
        <w:t>7</w:t>
      </w:r>
      <w:r w:rsidRPr="00C65707">
        <w:rPr>
          <w:bCs/>
          <w:i/>
          <w:sz w:val="22"/>
          <w:szCs w:val="22"/>
        </w:rPr>
        <w:t xml:space="preserve">: </w:t>
      </w:r>
      <w:r w:rsidRPr="00C65707">
        <w:rPr>
          <w:i/>
          <w:sz w:val="22"/>
          <w:szCs w:val="22"/>
        </w:rPr>
        <w:t>Rezultati efikasnosti za Studiju VI (WA19924)</w:t>
      </w:r>
    </w:p>
    <w:tbl>
      <w:tblPr>
        <w:tblW w:w="5000" w:type="pct"/>
        <w:tblCellMar>
          <w:left w:w="0" w:type="dxa"/>
          <w:right w:w="0" w:type="dxa"/>
        </w:tblCellMar>
        <w:tblLook w:val="04A0" w:firstRow="1" w:lastRow="0" w:firstColumn="1" w:lastColumn="0" w:noHBand="0" w:noVBand="1"/>
      </w:tblPr>
      <w:tblGrid>
        <w:gridCol w:w="3690"/>
        <w:gridCol w:w="214"/>
        <w:gridCol w:w="156"/>
        <w:gridCol w:w="1719"/>
        <w:gridCol w:w="1717"/>
        <w:gridCol w:w="1562"/>
      </w:tblGrid>
      <w:tr w:rsidR="00CC2B31" w:rsidRPr="00C65707" w14:paraId="58210450" w14:textId="77777777" w:rsidTr="00CE5678">
        <w:trPr>
          <w:cantSplit/>
        </w:trPr>
        <w:tc>
          <w:tcPr>
            <w:tcW w:w="2037" w:type="pct"/>
            <w:tcBorders>
              <w:top w:val="single" w:sz="8" w:space="0" w:color="auto"/>
              <w:left w:val="single" w:sz="4" w:space="0" w:color="auto"/>
              <w:bottom w:val="single" w:sz="8" w:space="0" w:color="auto"/>
              <w:right w:val="nil"/>
            </w:tcBorders>
            <w:tcMar>
              <w:top w:w="0" w:type="dxa"/>
              <w:left w:w="57" w:type="dxa"/>
              <w:bottom w:w="0" w:type="dxa"/>
              <w:right w:w="57" w:type="dxa"/>
            </w:tcMar>
            <w:vAlign w:val="bottom"/>
          </w:tcPr>
          <w:p w14:paraId="0DC3800A" w14:textId="77777777" w:rsidR="00CC2B31" w:rsidRPr="00C65707" w:rsidRDefault="00CC2B31">
            <w:pPr>
              <w:widowControl w:val="0"/>
              <w:jc w:val="both"/>
              <w:rPr>
                <w:sz w:val="22"/>
                <w:szCs w:val="22"/>
                <w:lang w:eastAsia="zh-TW"/>
              </w:rPr>
            </w:pPr>
          </w:p>
        </w:tc>
        <w:tc>
          <w:tcPr>
            <w:tcW w:w="1152" w:type="pct"/>
            <w:gridSpan w:val="3"/>
            <w:tcBorders>
              <w:top w:val="single" w:sz="8" w:space="0" w:color="auto"/>
              <w:left w:val="nil"/>
              <w:bottom w:val="single" w:sz="8" w:space="0" w:color="auto"/>
              <w:right w:val="nil"/>
            </w:tcBorders>
            <w:tcMar>
              <w:top w:w="0" w:type="dxa"/>
              <w:left w:w="57" w:type="dxa"/>
              <w:bottom w:w="0" w:type="dxa"/>
              <w:right w:w="57" w:type="dxa"/>
            </w:tcMar>
            <w:vAlign w:val="bottom"/>
          </w:tcPr>
          <w:p w14:paraId="2013B79B" w14:textId="77777777" w:rsidR="00CC2B31" w:rsidRPr="00C65707" w:rsidRDefault="00CC2B31">
            <w:pPr>
              <w:widowControl w:val="0"/>
              <w:spacing w:line="240" w:lineRule="exact"/>
              <w:jc w:val="both"/>
              <w:rPr>
                <w:rFonts w:eastAsia="SimSun"/>
                <w:b/>
                <w:sz w:val="22"/>
                <w:szCs w:val="22"/>
                <w:lang w:eastAsia="zh-CN"/>
              </w:rPr>
            </w:pPr>
            <w:r w:rsidRPr="00C65707">
              <w:rPr>
                <w:rFonts w:eastAsia="SimSun"/>
                <w:b/>
                <w:sz w:val="22"/>
                <w:szCs w:val="22"/>
                <w:lang w:eastAsia="zh-CN"/>
              </w:rPr>
              <w:t>ADA + Placebo (i.v.)</w:t>
            </w:r>
          </w:p>
          <w:p w14:paraId="2F778316" w14:textId="77777777" w:rsidR="00CC2B31" w:rsidRPr="00C65707" w:rsidRDefault="00CC2B31">
            <w:pPr>
              <w:widowControl w:val="0"/>
              <w:spacing w:line="240" w:lineRule="exact"/>
              <w:jc w:val="both"/>
              <w:rPr>
                <w:rFonts w:eastAsia="SimSun"/>
                <w:b/>
                <w:sz w:val="22"/>
                <w:szCs w:val="22"/>
                <w:lang w:eastAsia="zh-CN"/>
              </w:rPr>
            </w:pPr>
            <w:r w:rsidRPr="00C65707">
              <w:rPr>
                <w:rFonts w:eastAsia="SimSun"/>
                <w:b/>
                <w:sz w:val="22"/>
                <w:szCs w:val="22"/>
                <w:lang w:eastAsia="zh-CN"/>
              </w:rPr>
              <w:t>N = 162</w:t>
            </w:r>
          </w:p>
        </w:tc>
        <w:tc>
          <w:tcPr>
            <w:tcW w:w="948" w:type="pct"/>
            <w:tcBorders>
              <w:top w:val="single" w:sz="8" w:space="0" w:color="auto"/>
              <w:left w:val="nil"/>
              <w:bottom w:val="single" w:sz="8" w:space="0" w:color="auto"/>
              <w:right w:val="nil"/>
            </w:tcBorders>
            <w:tcMar>
              <w:top w:w="0" w:type="dxa"/>
              <w:left w:w="57" w:type="dxa"/>
              <w:bottom w:w="0" w:type="dxa"/>
              <w:right w:w="57" w:type="dxa"/>
            </w:tcMar>
            <w:vAlign w:val="bottom"/>
          </w:tcPr>
          <w:p w14:paraId="16ECAB4D" w14:textId="77777777" w:rsidR="00CC2B31" w:rsidRPr="00C65707" w:rsidRDefault="00CC2B31">
            <w:pPr>
              <w:widowControl w:val="0"/>
              <w:spacing w:line="240" w:lineRule="exact"/>
              <w:jc w:val="both"/>
              <w:rPr>
                <w:rFonts w:eastAsia="SimSun"/>
                <w:b/>
                <w:sz w:val="22"/>
                <w:szCs w:val="22"/>
                <w:lang w:eastAsia="zh-CN"/>
              </w:rPr>
            </w:pPr>
            <w:r w:rsidRPr="00C65707">
              <w:rPr>
                <w:rFonts w:eastAsia="SimSun"/>
                <w:b/>
                <w:sz w:val="22"/>
                <w:szCs w:val="22"/>
                <w:lang w:eastAsia="zh-CN"/>
              </w:rPr>
              <w:t>TCZ + Placebo (s.c.)</w:t>
            </w:r>
          </w:p>
          <w:p w14:paraId="10746751" w14:textId="77777777" w:rsidR="00CC2B31" w:rsidRPr="00C65707" w:rsidRDefault="00CC2B31">
            <w:pPr>
              <w:widowControl w:val="0"/>
              <w:spacing w:line="240" w:lineRule="exact"/>
              <w:jc w:val="both"/>
              <w:rPr>
                <w:rFonts w:eastAsia="SimSun"/>
                <w:b/>
                <w:sz w:val="22"/>
                <w:szCs w:val="22"/>
                <w:lang w:eastAsia="zh-CN"/>
              </w:rPr>
            </w:pPr>
            <w:r w:rsidRPr="00C65707">
              <w:rPr>
                <w:rFonts w:eastAsia="SimSun"/>
                <w:b/>
                <w:sz w:val="22"/>
                <w:szCs w:val="22"/>
                <w:lang w:eastAsia="zh-CN"/>
              </w:rPr>
              <w:t>N = 163</w:t>
            </w:r>
          </w:p>
        </w:tc>
        <w:tc>
          <w:tcPr>
            <w:tcW w:w="862" w:type="pct"/>
            <w:tcBorders>
              <w:top w:val="single" w:sz="8" w:space="0" w:color="auto"/>
              <w:left w:val="nil"/>
              <w:bottom w:val="single" w:sz="8" w:space="0" w:color="auto"/>
              <w:right w:val="single" w:sz="8" w:space="0" w:color="auto"/>
            </w:tcBorders>
            <w:tcMar>
              <w:top w:w="0" w:type="dxa"/>
              <w:left w:w="57" w:type="dxa"/>
              <w:bottom w:w="0" w:type="dxa"/>
              <w:right w:w="57" w:type="dxa"/>
            </w:tcMar>
            <w:vAlign w:val="bottom"/>
          </w:tcPr>
          <w:p w14:paraId="5CAC46B2" w14:textId="77777777" w:rsidR="00CC2B31" w:rsidRPr="00C65707" w:rsidRDefault="00CC2B31">
            <w:pPr>
              <w:widowControl w:val="0"/>
              <w:spacing w:line="240" w:lineRule="exact"/>
              <w:jc w:val="both"/>
              <w:rPr>
                <w:rFonts w:eastAsia="SimSun"/>
                <w:sz w:val="22"/>
                <w:szCs w:val="22"/>
                <w:lang w:eastAsia="zh-CN"/>
              </w:rPr>
            </w:pPr>
            <w:r w:rsidRPr="00C65707">
              <w:rPr>
                <w:rFonts w:eastAsia="SimSun"/>
                <w:sz w:val="22"/>
                <w:szCs w:val="22"/>
                <w:lang w:eastAsia="zh-CN"/>
              </w:rPr>
              <w:t>p-vrijednost</w:t>
            </w:r>
            <w:r w:rsidRPr="00C65707">
              <w:rPr>
                <w:rFonts w:eastAsia="SimSun"/>
                <w:b/>
                <w:sz w:val="22"/>
                <w:szCs w:val="22"/>
                <w:vertAlign w:val="superscript"/>
                <w:lang w:eastAsia="zh-CN"/>
              </w:rPr>
              <w:t>(a)</w:t>
            </w:r>
          </w:p>
        </w:tc>
      </w:tr>
      <w:tr w:rsidR="00CC2B31" w:rsidRPr="00C65707" w14:paraId="31800A17" w14:textId="77777777" w:rsidTr="00CE5678">
        <w:trPr>
          <w:cantSplit/>
        </w:trPr>
        <w:tc>
          <w:tcPr>
            <w:tcW w:w="5000" w:type="pct"/>
            <w:gridSpan w:val="6"/>
            <w:tcBorders>
              <w:top w:val="nil"/>
              <w:left w:val="single" w:sz="4" w:space="0" w:color="auto"/>
              <w:bottom w:val="nil"/>
              <w:right w:val="single" w:sz="8" w:space="0" w:color="auto"/>
            </w:tcBorders>
            <w:tcMar>
              <w:top w:w="0" w:type="dxa"/>
              <w:left w:w="57" w:type="dxa"/>
              <w:bottom w:w="0" w:type="dxa"/>
              <w:right w:w="57" w:type="dxa"/>
            </w:tcMar>
            <w:vAlign w:val="center"/>
          </w:tcPr>
          <w:p w14:paraId="05AF4F40" w14:textId="77777777" w:rsidR="00CC2B31" w:rsidRPr="00C65707" w:rsidRDefault="00CC2B31" w:rsidP="00C65707">
            <w:pPr>
              <w:widowControl w:val="0"/>
              <w:spacing w:line="240" w:lineRule="exact"/>
              <w:jc w:val="both"/>
              <w:rPr>
                <w:rFonts w:eastAsia="SimSun"/>
                <w:sz w:val="22"/>
                <w:szCs w:val="22"/>
                <w:lang w:eastAsia="zh-CN"/>
              </w:rPr>
            </w:pPr>
            <w:r w:rsidRPr="00C65707">
              <w:rPr>
                <w:rFonts w:eastAsia="SimSun"/>
                <w:b/>
                <w:sz w:val="22"/>
                <w:szCs w:val="22"/>
                <w:lang w:eastAsia="zh-CN"/>
              </w:rPr>
              <w:t>Primarna krajnja tačka – srednja promjena u odnosu na početne vrijednosti u 24. nedjelji</w:t>
            </w:r>
          </w:p>
        </w:tc>
      </w:tr>
      <w:tr w:rsidR="00CC2B31" w:rsidRPr="00C65707" w14:paraId="078391C4" w14:textId="77777777" w:rsidTr="00CE5678">
        <w:trPr>
          <w:cantSplit/>
        </w:trPr>
        <w:tc>
          <w:tcPr>
            <w:tcW w:w="2241" w:type="pct"/>
            <w:gridSpan w:val="3"/>
            <w:tcBorders>
              <w:top w:val="single" w:sz="4" w:space="0" w:color="auto"/>
              <w:left w:val="single" w:sz="4" w:space="0" w:color="auto"/>
              <w:bottom w:val="nil"/>
              <w:right w:val="nil"/>
            </w:tcBorders>
            <w:tcMar>
              <w:top w:w="0" w:type="dxa"/>
              <w:left w:w="57" w:type="dxa"/>
              <w:bottom w:w="0" w:type="dxa"/>
              <w:right w:w="57" w:type="dxa"/>
            </w:tcMar>
            <w:vAlign w:val="center"/>
          </w:tcPr>
          <w:p w14:paraId="180FE4E8" w14:textId="77777777" w:rsidR="00CC2B31" w:rsidRPr="00C65707" w:rsidRDefault="00CC2B31" w:rsidP="00C65707">
            <w:pPr>
              <w:widowControl w:val="0"/>
              <w:spacing w:line="240" w:lineRule="exact"/>
              <w:jc w:val="both"/>
              <w:rPr>
                <w:rFonts w:eastAsia="SimSun"/>
                <w:b/>
                <w:sz w:val="22"/>
                <w:szCs w:val="22"/>
                <w:lang w:eastAsia="zh-CN"/>
              </w:rPr>
            </w:pPr>
            <w:r w:rsidRPr="00C65707">
              <w:rPr>
                <w:rFonts w:eastAsia="SimSun"/>
                <w:b/>
                <w:sz w:val="22"/>
                <w:szCs w:val="22"/>
                <w:lang w:eastAsia="zh-CN"/>
              </w:rPr>
              <w:t xml:space="preserve">DAS28 (prilagođena srednja promjena) </w:t>
            </w:r>
          </w:p>
        </w:tc>
        <w:tc>
          <w:tcPr>
            <w:tcW w:w="948" w:type="pct"/>
            <w:tcBorders>
              <w:top w:val="single" w:sz="4" w:space="0" w:color="auto"/>
              <w:left w:val="nil"/>
              <w:bottom w:val="nil"/>
              <w:right w:val="nil"/>
            </w:tcBorders>
            <w:tcMar>
              <w:top w:w="0" w:type="dxa"/>
              <w:left w:w="57" w:type="dxa"/>
              <w:bottom w:w="0" w:type="dxa"/>
              <w:right w:w="57" w:type="dxa"/>
            </w:tcMar>
          </w:tcPr>
          <w:p w14:paraId="34CD55E0" w14:textId="77777777" w:rsidR="00CC2B31" w:rsidRPr="002B3647" w:rsidRDefault="00CC2B31" w:rsidP="002B3647">
            <w:pPr>
              <w:widowControl w:val="0"/>
              <w:spacing w:line="240" w:lineRule="exact"/>
              <w:jc w:val="both"/>
              <w:rPr>
                <w:rFonts w:eastAsia="SimSun"/>
                <w:b/>
                <w:sz w:val="22"/>
                <w:szCs w:val="22"/>
                <w:lang w:eastAsia="zh-CN"/>
              </w:rPr>
            </w:pPr>
            <w:r w:rsidRPr="002B3647">
              <w:rPr>
                <w:rFonts w:eastAsia="SimSun"/>
                <w:b/>
                <w:sz w:val="22"/>
                <w:szCs w:val="22"/>
                <w:lang w:eastAsia="zh-CN"/>
              </w:rPr>
              <w:t>-1,8</w:t>
            </w:r>
          </w:p>
        </w:tc>
        <w:tc>
          <w:tcPr>
            <w:tcW w:w="948" w:type="pct"/>
            <w:tcBorders>
              <w:top w:val="single" w:sz="4" w:space="0" w:color="auto"/>
              <w:left w:val="nil"/>
              <w:bottom w:val="nil"/>
              <w:right w:val="nil"/>
            </w:tcBorders>
            <w:tcMar>
              <w:top w:w="0" w:type="dxa"/>
              <w:left w:w="57" w:type="dxa"/>
              <w:bottom w:w="0" w:type="dxa"/>
              <w:right w:w="57" w:type="dxa"/>
            </w:tcMar>
          </w:tcPr>
          <w:p w14:paraId="446431B1" w14:textId="77777777" w:rsidR="00CC2B31" w:rsidRPr="00C65707" w:rsidRDefault="00CC2B31">
            <w:pPr>
              <w:widowControl w:val="0"/>
              <w:spacing w:line="240" w:lineRule="exact"/>
              <w:jc w:val="both"/>
              <w:rPr>
                <w:rFonts w:eastAsia="SimSun"/>
                <w:b/>
                <w:sz w:val="22"/>
                <w:szCs w:val="22"/>
                <w:lang w:eastAsia="zh-CN"/>
              </w:rPr>
            </w:pPr>
            <w:r w:rsidRPr="00C65707">
              <w:rPr>
                <w:rFonts w:eastAsia="SimSun"/>
                <w:b/>
                <w:sz w:val="22"/>
                <w:szCs w:val="22"/>
                <w:lang w:eastAsia="zh-CN"/>
              </w:rPr>
              <w:t xml:space="preserve">-3,3 </w:t>
            </w:r>
          </w:p>
        </w:tc>
        <w:tc>
          <w:tcPr>
            <w:tcW w:w="862" w:type="pct"/>
            <w:tcBorders>
              <w:top w:val="single" w:sz="4" w:space="0" w:color="auto"/>
              <w:left w:val="nil"/>
              <w:bottom w:val="nil"/>
              <w:right w:val="single" w:sz="8" w:space="0" w:color="auto"/>
            </w:tcBorders>
            <w:tcMar>
              <w:top w:w="0" w:type="dxa"/>
              <w:left w:w="57" w:type="dxa"/>
              <w:bottom w:w="0" w:type="dxa"/>
              <w:right w:w="57" w:type="dxa"/>
            </w:tcMar>
          </w:tcPr>
          <w:p w14:paraId="52D3196F" w14:textId="77777777" w:rsidR="00CC2B31" w:rsidRPr="00C65707" w:rsidRDefault="00CC2B31">
            <w:pPr>
              <w:widowControl w:val="0"/>
              <w:spacing w:line="240" w:lineRule="exact"/>
              <w:jc w:val="both"/>
              <w:rPr>
                <w:rFonts w:eastAsia="SimSun"/>
                <w:b/>
                <w:sz w:val="22"/>
                <w:szCs w:val="22"/>
                <w:lang w:eastAsia="zh-CN"/>
              </w:rPr>
            </w:pPr>
          </w:p>
        </w:tc>
      </w:tr>
      <w:tr w:rsidR="00CC2B31" w:rsidRPr="00C65707" w14:paraId="116C72F1" w14:textId="77777777" w:rsidTr="00CE5678">
        <w:trPr>
          <w:cantSplit/>
        </w:trPr>
        <w:tc>
          <w:tcPr>
            <w:tcW w:w="2241" w:type="pct"/>
            <w:gridSpan w:val="3"/>
            <w:tcBorders>
              <w:top w:val="nil"/>
              <w:left w:val="single" w:sz="4" w:space="0" w:color="auto"/>
              <w:bottom w:val="single" w:sz="4" w:space="0" w:color="auto"/>
              <w:right w:val="nil"/>
            </w:tcBorders>
            <w:tcMar>
              <w:top w:w="0" w:type="dxa"/>
              <w:left w:w="57" w:type="dxa"/>
              <w:bottom w:w="0" w:type="dxa"/>
              <w:right w:w="57" w:type="dxa"/>
            </w:tcMar>
            <w:vAlign w:val="center"/>
          </w:tcPr>
          <w:p w14:paraId="5D7BC8E5" w14:textId="77777777" w:rsidR="00CC2B31" w:rsidRPr="00C65707" w:rsidRDefault="00CC2B31" w:rsidP="00C65707">
            <w:pPr>
              <w:widowControl w:val="0"/>
              <w:spacing w:line="240" w:lineRule="exact"/>
              <w:jc w:val="both"/>
              <w:rPr>
                <w:rFonts w:eastAsia="SimSun"/>
                <w:b/>
                <w:sz w:val="22"/>
                <w:szCs w:val="22"/>
                <w:lang w:eastAsia="zh-CN"/>
              </w:rPr>
            </w:pPr>
            <w:r w:rsidRPr="00C65707">
              <w:rPr>
                <w:rFonts w:eastAsia="SimSun"/>
                <w:b/>
                <w:sz w:val="22"/>
                <w:szCs w:val="22"/>
                <w:lang w:eastAsia="zh-CN"/>
              </w:rPr>
              <w:t>Razlika u prilagođenoj srednjoj promjeni (95% CI)</w:t>
            </w:r>
          </w:p>
        </w:tc>
        <w:tc>
          <w:tcPr>
            <w:tcW w:w="1896" w:type="pct"/>
            <w:gridSpan w:val="2"/>
            <w:tcBorders>
              <w:top w:val="nil"/>
              <w:left w:val="nil"/>
              <w:bottom w:val="single" w:sz="4" w:space="0" w:color="auto"/>
              <w:right w:val="nil"/>
            </w:tcBorders>
            <w:tcMar>
              <w:top w:w="0" w:type="dxa"/>
              <w:left w:w="57" w:type="dxa"/>
              <w:bottom w:w="0" w:type="dxa"/>
              <w:right w:w="57" w:type="dxa"/>
            </w:tcMar>
          </w:tcPr>
          <w:p w14:paraId="70D6D7F9" w14:textId="77777777" w:rsidR="00CC2B31" w:rsidRPr="002B3647" w:rsidRDefault="00CC2B31" w:rsidP="002B3647">
            <w:pPr>
              <w:widowControl w:val="0"/>
              <w:spacing w:line="240" w:lineRule="exact"/>
              <w:jc w:val="both"/>
              <w:rPr>
                <w:rFonts w:eastAsia="SimSun"/>
                <w:b/>
                <w:sz w:val="22"/>
                <w:szCs w:val="22"/>
                <w:lang w:eastAsia="zh-CN"/>
              </w:rPr>
            </w:pPr>
            <w:r w:rsidRPr="002B3647">
              <w:rPr>
                <w:rFonts w:eastAsia="SimSun"/>
                <w:b/>
                <w:sz w:val="22"/>
                <w:szCs w:val="22"/>
                <w:lang w:eastAsia="zh-CN"/>
              </w:rPr>
              <w:t>-1,5 (-1,8, -1,1)</w:t>
            </w:r>
          </w:p>
        </w:tc>
        <w:tc>
          <w:tcPr>
            <w:tcW w:w="862" w:type="pct"/>
            <w:tcBorders>
              <w:top w:val="nil"/>
              <w:left w:val="nil"/>
              <w:bottom w:val="single" w:sz="4" w:space="0" w:color="auto"/>
              <w:right w:val="single" w:sz="8" w:space="0" w:color="auto"/>
            </w:tcBorders>
            <w:tcMar>
              <w:top w:w="0" w:type="dxa"/>
              <w:left w:w="57" w:type="dxa"/>
              <w:bottom w:w="0" w:type="dxa"/>
              <w:right w:w="57" w:type="dxa"/>
            </w:tcMar>
          </w:tcPr>
          <w:p w14:paraId="7D28630A" w14:textId="77777777" w:rsidR="00CC2B31" w:rsidRPr="00C65707" w:rsidRDefault="00CC2B31">
            <w:pPr>
              <w:widowControl w:val="0"/>
              <w:spacing w:line="240" w:lineRule="exact"/>
              <w:jc w:val="both"/>
              <w:rPr>
                <w:rFonts w:eastAsia="SimSun"/>
                <w:b/>
                <w:sz w:val="22"/>
                <w:szCs w:val="22"/>
                <w:lang w:eastAsia="zh-CN"/>
              </w:rPr>
            </w:pPr>
            <w:r w:rsidRPr="00C65707">
              <w:rPr>
                <w:rFonts w:eastAsia="SimSun"/>
                <w:b/>
                <w:sz w:val="22"/>
                <w:szCs w:val="22"/>
                <w:lang w:eastAsia="zh-CN"/>
              </w:rPr>
              <w:t>&lt;0,0001</w:t>
            </w:r>
          </w:p>
        </w:tc>
      </w:tr>
      <w:tr w:rsidR="00CC2B31" w:rsidRPr="00C65707" w14:paraId="09193675" w14:textId="77777777" w:rsidTr="00CE5678">
        <w:trPr>
          <w:cantSplit/>
        </w:trPr>
        <w:tc>
          <w:tcPr>
            <w:tcW w:w="5000" w:type="pct"/>
            <w:gridSpan w:val="6"/>
            <w:tcBorders>
              <w:top w:val="nil"/>
              <w:left w:val="single" w:sz="4" w:space="0" w:color="auto"/>
              <w:bottom w:val="single" w:sz="4" w:space="0" w:color="auto"/>
              <w:right w:val="single" w:sz="8" w:space="0" w:color="auto"/>
            </w:tcBorders>
            <w:tcMar>
              <w:top w:w="0" w:type="dxa"/>
              <w:left w:w="57" w:type="dxa"/>
              <w:bottom w:w="0" w:type="dxa"/>
              <w:right w:w="57" w:type="dxa"/>
            </w:tcMar>
          </w:tcPr>
          <w:p w14:paraId="08824838" w14:textId="77777777" w:rsidR="00CC2B31" w:rsidRPr="00C65707" w:rsidRDefault="00CC2B31" w:rsidP="00C65707">
            <w:pPr>
              <w:widowControl w:val="0"/>
              <w:spacing w:line="240" w:lineRule="exact"/>
              <w:jc w:val="both"/>
              <w:rPr>
                <w:rFonts w:eastAsia="SimSun"/>
                <w:sz w:val="22"/>
                <w:szCs w:val="22"/>
                <w:lang w:eastAsia="zh-CN"/>
              </w:rPr>
            </w:pPr>
            <w:r w:rsidRPr="00C65707">
              <w:rPr>
                <w:rFonts w:eastAsia="SimSun"/>
                <w:b/>
                <w:sz w:val="22"/>
                <w:szCs w:val="22"/>
                <w:lang w:eastAsia="zh-CN"/>
              </w:rPr>
              <w:t xml:space="preserve">Sekundarne krajnje tačke – procenat pacijenata sa odgovorom u 24. nedjelji </w:t>
            </w:r>
            <w:r w:rsidRPr="00C65707">
              <w:rPr>
                <w:rFonts w:eastAsia="SimSun"/>
                <w:b/>
                <w:sz w:val="22"/>
                <w:szCs w:val="22"/>
                <w:vertAlign w:val="superscript"/>
                <w:lang w:eastAsia="zh-CN"/>
              </w:rPr>
              <w:t>(b)</w:t>
            </w:r>
          </w:p>
        </w:tc>
      </w:tr>
      <w:tr w:rsidR="00CC2B31" w:rsidRPr="00C65707" w14:paraId="2D6A76FC" w14:textId="77777777" w:rsidTr="00CE5678">
        <w:trPr>
          <w:cantSplit/>
        </w:trPr>
        <w:tc>
          <w:tcPr>
            <w:tcW w:w="2155" w:type="pct"/>
            <w:gridSpan w:val="2"/>
            <w:tcBorders>
              <w:top w:val="single" w:sz="4" w:space="0" w:color="auto"/>
              <w:left w:val="single" w:sz="4" w:space="0" w:color="auto"/>
              <w:bottom w:val="nil"/>
              <w:right w:val="nil"/>
            </w:tcBorders>
            <w:tcMar>
              <w:top w:w="0" w:type="dxa"/>
              <w:left w:w="57" w:type="dxa"/>
              <w:bottom w:w="0" w:type="dxa"/>
              <w:right w:w="57" w:type="dxa"/>
            </w:tcMar>
            <w:vAlign w:val="center"/>
          </w:tcPr>
          <w:p w14:paraId="274ADD21" w14:textId="77777777" w:rsidR="00CC2B31" w:rsidRPr="00C65707" w:rsidRDefault="00CC2B31" w:rsidP="00C65707">
            <w:pPr>
              <w:widowControl w:val="0"/>
              <w:spacing w:line="240" w:lineRule="exact"/>
              <w:jc w:val="both"/>
              <w:rPr>
                <w:rFonts w:eastAsia="SimSun"/>
                <w:sz w:val="22"/>
                <w:szCs w:val="22"/>
                <w:lang w:eastAsia="zh-CN"/>
              </w:rPr>
            </w:pPr>
            <w:r w:rsidRPr="00C65707">
              <w:rPr>
                <w:rFonts w:eastAsia="SimSun"/>
                <w:sz w:val="22"/>
                <w:szCs w:val="22"/>
                <w:lang w:eastAsia="zh-CN"/>
              </w:rPr>
              <w:t>DAS28 &lt; 2,6, n (%)</w:t>
            </w:r>
          </w:p>
        </w:tc>
        <w:tc>
          <w:tcPr>
            <w:tcW w:w="1035" w:type="pct"/>
            <w:gridSpan w:val="2"/>
            <w:tcBorders>
              <w:top w:val="single" w:sz="4" w:space="0" w:color="auto"/>
              <w:left w:val="nil"/>
              <w:bottom w:val="nil"/>
              <w:right w:val="nil"/>
            </w:tcBorders>
            <w:tcMar>
              <w:top w:w="0" w:type="dxa"/>
              <w:left w:w="57" w:type="dxa"/>
              <w:bottom w:w="0" w:type="dxa"/>
              <w:right w:w="57" w:type="dxa"/>
            </w:tcMar>
          </w:tcPr>
          <w:p w14:paraId="7E11FE6C" w14:textId="77777777" w:rsidR="00CC2B31" w:rsidRPr="002B3647" w:rsidRDefault="00CC2B31" w:rsidP="002B3647">
            <w:pPr>
              <w:widowControl w:val="0"/>
              <w:spacing w:line="240" w:lineRule="exact"/>
              <w:jc w:val="both"/>
              <w:rPr>
                <w:rFonts w:eastAsia="SimSun"/>
                <w:sz w:val="22"/>
                <w:szCs w:val="22"/>
                <w:lang w:eastAsia="zh-CN"/>
              </w:rPr>
            </w:pPr>
            <w:r w:rsidRPr="002B3647">
              <w:rPr>
                <w:rFonts w:eastAsia="SimSun"/>
                <w:sz w:val="22"/>
                <w:szCs w:val="22"/>
                <w:lang w:eastAsia="zh-CN"/>
              </w:rPr>
              <w:t>17 (10,5)</w:t>
            </w:r>
          </w:p>
        </w:tc>
        <w:tc>
          <w:tcPr>
            <w:tcW w:w="948" w:type="pct"/>
            <w:tcBorders>
              <w:top w:val="single" w:sz="4" w:space="0" w:color="auto"/>
              <w:left w:val="nil"/>
              <w:bottom w:val="nil"/>
              <w:right w:val="nil"/>
            </w:tcBorders>
            <w:tcMar>
              <w:top w:w="0" w:type="dxa"/>
              <w:left w:w="57" w:type="dxa"/>
              <w:bottom w:w="0" w:type="dxa"/>
              <w:right w:w="57" w:type="dxa"/>
            </w:tcMar>
          </w:tcPr>
          <w:p w14:paraId="135A615C" w14:textId="77777777" w:rsidR="00CC2B31" w:rsidRPr="00C65707" w:rsidRDefault="00CC2B31">
            <w:pPr>
              <w:widowControl w:val="0"/>
              <w:spacing w:line="240" w:lineRule="exact"/>
              <w:jc w:val="both"/>
              <w:rPr>
                <w:rFonts w:eastAsia="SimSun"/>
                <w:sz w:val="22"/>
                <w:szCs w:val="22"/>
                <w:lang w:eastAsia="zh-CN"/>
              </w:rPr>
            </w:pPr>
            <w:r w:rsidRPr="00C65707">
              <w:rPr>
                <w:rFonts w:eastAsia="SimSun"/>
                <w:sz w:val="22"/>
                <w:szCs w:val="22"/>
                <w:lang w:eastAsia="zh-CN"/>
              </w:rPr>
              <w:t>65 (39,9)</w:t>
            </w:r>
          </w:p>
        </w:tc>
        <w:tc>
          <w:tcPr>
            <w:tcW w:w="862" w:type="pct"/>
            <w:tcBorders>
              <w:top w:val="single" w:sz="4" w:space="0" w:color="auto"/>
              <w:left w:val="nil"/>
              <w:bottom w:val="nil"/>
              <w:right w:val="single" w:sz="8" w:space="0" w:color="auto"/>
            </w:tcBorders>
            <w:tcMar>
              <w:top w:w="0" w:type="dxa"/>
              <w:left w:w="57" w:type="dxa"/>
              <w:bottom w:w="0" w:type="dxa"/>
              <w:right w:w="57" w:type="dxa"/>
            </w:tcMar>
          </w:tcPr>
          <w:p w14:paraId="0D55BE19" w14:textId="77777777" w:rsidR="00CC2B31" w:rsidRPr="00C65707" w:rsidRDefault="00CC2B31">
            <w:pPr>
              <w:widowControl w:val="0"/>
              <w:spacing w:line="240" w:lineRule="exact"/>
              <w:jc w:val="both"/>
              <w:rPr>
                <w:rFonts w:eastAsia="SimSun"/>
                <w:sz w:val="22"/>
                <w:szCs w:val="22"/>
                <w:lang w:eastAsia="zh-CN"/>
              </w:rPr>
            </w:pPr>
            <w:r w:rsidRPr="00C65707">
              <w:rPr>
                <w:rFonts w:eastAsia="SimSun"/>
                <w:sz w:val="22"/>
                <w:szCs w:val="22"/>
                <w:lang w:eastAsia="zh-CN"/>
              </w:rPr>
              <w:t>&lt;0,0001</w:t>
            </w:r>
          </w:p>
        </w:tc>
      </w:tr>
      <w:tr w:rsidR="00CC2B31" w:rsidRPr="00C65707" w14:paraId="6945185B" w14:textId="77777777" w:rsidTr="00CE5678">
        <w:trPr>
          <w:cantSplit/>
        </w:trPr>
        <w:tc>
          <w:tcPr>
            <w:tcW w:w="2155" w:type="pct"/>
            <w:gridSpan w:val="2"/>
            <w:tcBorders>
              <w:top w:val="nil"/>
              <w:left w:val="single" w:sz="4" w:space="0" w:color="auto"/>
              <w:bottom w:val="nil"/>
              <w:right w:val="nil"/>
            </w:tcBorders>
            <w:tcMar>
              <w:top w:w="0" w:type="dxa"/>
              <w:left w:w="57" w:type="dxa"/>
              <w:bottom w:w="0" w:type="dxa"/>
              <w:right w:w="57" w:type="dxa"/>
            </w:tcMar>
            <w:vAlign w:val="center"/>
          </w:tcPr>
          <w:p w14:paraId="68637A56" w14:textId="77777777" w:rsidR="00CC2B31" w:rsidRPr="00C65707" w:rsidRDefault="00CC2B31" w:rsidP="00C65707">
            <w:pPr>
              <w:widowControl w:val="0"/>
              <w:spacing w:line="240" w:lineRule="exact"/>
              <w:jc w:val="both"/>
              <w:rPr>
                <w:rFonts w:eastAsia="SimSun"/>
                <w:sz w:val="22"/>
                <w:szCs w:val="22"/>
                <w:lang w:eastAsia="zh-CN"/>
              </w:rPr>
            </w:pPr>
            <w:r w:rsidRPr="00C65707">
              <w:rPr>
                <w:rFonts w:eastAsia="SimSun"/>
                <w:sz w:val="22"/>
                <w:szCs w:val="22"/>
                <w:lang w:eastAsia="zh-CN"/>
              </w:rPr>
              <w:t xml:space="preserve">DAS28 ≤ 3,2, n (%) </w:t>
            </w:r>
          </w:p>
        </w:tc>
        <w:tc>
          <w:tcPr>
            <w:tcW w:w="1035" w:type="pct"/>
            <w:gridSpan w:val="2"/>
            <w:tcMar>
              <w:top w:w="0" w:type="dxa"/>
              <w:left w:w="57" w:type="dxa"/>
              <w:bottom w:w="0" w:type="dxa"/>
              <w:right w:w="57" w:type="dxa"/>
            </w:tcMar>
          </w:tcPr>
          <w:p w14:paraId="4B591872" w14:textId="77777777" w:rsidR="00CC2B31" w:rsidRPr="002B3647" w:rsidRDefault="00CC2B31" w:rsidP="002B3647">
            <w:pPr>
              <w:widowControl w:val="0"/>
              <w:spacing w:line="240" w:lineRule="exact"/>
              <w:jc w:val="both"/>
              <w:rPr>
                <w:rFonts w:eastAsia="SimSun"/>
                <w:sz w:val="22"/>
                <w:szCs w:val="22"/>
                <w:lang w:eastAsia="zh-CN"/>
              </w:rPr>
            </w:pPr>
            <w:r w:rsidRPr="002B3647">
              <w:rPr>
                <w:rFonts w:eastAsia="SimSun"/>
                <w:sz w:val="22"/>
                <w:szCs w:val="22"/>
                <w:lang w:eastAsia="zh-CN"/>
              </w:rPr>
              <w:t xml:space="preserve">32 (19,8) </w:t>
            </w:r>
          </w:p>
        </w:tc>
        <w:tc>
          <w:tcPr>
            <w:tcW w:w="948" w:type="pct"/>
            <w:tcMar>
              <w:top w:w="0" w:type="dxa"/>
              <w:left w:w="57" w:type="dxa"/>
              <w:bottom w:w="0" w:type="dxa"/>
              <w:right w:w="57" w:type="dxa"/>
            </w:tcMar>
          </w:tcPr>
          <w:p w14:paraId="340BBA23" w14:textId="77777777" w:rsidR="00CC2B31" w:rsidRPr="00C65707" w:rsidRDefault="00CC2B31">
            <w:pPr>
              <w:widowControl w:val="0"/>
              <w:spacing w:line="240" w:lineRule="exact"/>
              <w:jc w:val="both"/>
              <w:rPr>
                <w:rFonts w:eastAsia="SimSun"/>
                <w:sz w:val="22"/>
                <w:szCs w:val="22"/>
                <w:lang w:eastAsia="zh-CN"/>
              </w:rPr>
            </w:pPr>
            <w:r w:rsidRPr="00C65707">
              <w:rPr>
                <w:rFonts w:eastAsia="SimSun"/>
                <w:sz w:val="22"/>
                <w:szCs w:val="22"/>
                <w:lang w:eastAsia="zh-CN"/>
              </w:rPr>
              <w:t>84 (51,5)</w:t>
            </w:r>
          </w:p>
        </w:tc>
        <w:tc>
          <w:tcPr>
            <w:tcW w:w="862" w:type="pct"/>
            <w:tcBorders>
              <w:top w:val="nil"/>
              <w:left w:val="nil"/>
              <w:bottom w:val="nil"/>
              <w:right w:val="single" w:sz="8" w:space="0" w:color="auto"/>
            </w:tcBorders>
            <w:tcMar>
              <w:top w:w="0" w:type="dxa"/>
              <w:left w:w="57" w:type="dxa"/>
              <w:bottom w:w="0" w:type="dxa"/>
              <w:right w:w="57" w:type="dxa"/>
            </w:tcMar>
          </w:tcPr>
          <w:p w14:paraId="40F099B2" w14:textId="77777777" w:rsidR="00CC2B31" w:rsidRPr="00C65707" w:rsidRDefault="00CC2B31">
            <w:pPr>
              <w:widowControl w:val="0"/>
              <w:spacing w:line="240" w:lineRule="exact"/>
              <w:jc w:val="both"/>
              <w:rPr>
                <w:rFonts w:eastAsia="SimSun"/>
                <w:sz w:val="22"/>
                <w:szCs w:val="22"/>
                <w:lang w:eastAsia="zh-CN"/>
              </w:rPr>
            </w:pPr>
            <w:r w:rsidRPr="00C65707">
              <w:rPr>
                <w:rFonts w:eastAsia="SimSun"/>
                <w:sz w:val="22"/>
                <w:szCs w:val="22"/>
                <w:lang w:eastAsia="zh-CN"/>
              </w:rPr>
              <w:t>&lt;0,0001</w:t>
            </w:r>
          </w:p>
        </w:tc>
      </w:tr>
      <w:tr w:rsidR="00CC2B31" w:rsidRPr="00C65707" w14:paraId="2475ED1A" w14:textId="77777777" w:rsidTr="00CE5678">
        <w:trPr>
          <w:cantSplit/>
        </w:trPr>
        <w:tc>
          <w:tcPr>
            <w:tcW w:w="2155" w:type="pct"/>
            <w:gridSpan w:val="2"/>
            <w:tcBorders>
              <w:top w:val="nil"/>
              <w:left w:val="single" w:sz="4" w:space="0" w:color="auto"/>
              <w:bottom w:val="nil"/>
              <w:right w:val="nil"/>
            </w:tcBorders>
            <w:tcMar>
              <w:top w:w="0" w:type="dxa"/>
              <w:left w:w="57" w:type="dxa"/>
              <w:bottom w:w="0" w:type="dxa"/>
              <w:right w:w="57" w:type="dxa"/>
            </w:tcMar>
            <w:vAlign w:val="center"/>
          </w:tcPr>
          <w:p w14:paraId="1AC43AF8" w14:textId="77777777" w:rsidR="00CC2B31" w:rsidRPr="00C65707" w:rsidRDefault="00CC2B31" w:rsidP="00C65707">
            <w:pPr>
              <w:widowControl w:val="0"/>
              <w:spacing w:line="240" w:lineRule="exact"/>
              <w:jc w:val="both"/>
              <w:rPr>
                <w:rFonts w:eastAsia="SimSun"/>
                <w:sz w:val="22"/>
                <w:szCs w:val="22"/>
                <w:lang w:eastAsia="zh-CN"/>
              </w:rPr>
            </w:pPr>
            <w:r w:rsidRPr="00C65707">
              <w:rPr>
                <w:rFonts w:eastAsia="SimSun"/>
                <w:sz w:val="22"/>
                <w:szCs w:val="22"/>
                <w:lang w:eastAsia="zh-CN"/>
              </w:rPr>
              <w:t>odgovor ACR20, n (%)</w:t>
            </w:r>
          </w:p>
        </w:tc>
        <w:tc>
          <w:tcPr>
            <w:tcW w:w="1035" w:type="pct"/>
            <w:gridSpan w:val="2"/>
            <w:tcMar>
              <w:top w:w="0" w:type="dxa"/>
              <w:left w:w="57" w:type="dxa"/>
              <w:bottom w:w="0" w:type="dxa"/>
              <w:right w:w="57" w:type="dxa"/>
            </w:tcMar>
          </w:tcPr>
          <w:p w14:paraId="751702C0" w14:textId="77777777" w:rsidR="00CC2B31" w:rsidRPr="002B3647" w:rsidRDefault="00CC2B31" w:rsidP="002B3647">
            <w:pPr>
              <w:widowControl w:val="0"/>
              <w:spacing w:line="240" w:lineRule="exact"/>
              <w:jc w:val="both"/>
              <w:rPr>
                <w:rFonts w:eastAsia="SimSun"/>
                <w:sz w:val="22"/>
                <w:szCs w:val="22"/>
                <w:lang w:eastAsia="zh-CN"/>
              </w:rPr>
            </w:pPr>
            <w:r w:rsidRPr="002B3647">
              <w:rPr>
                <w:rFonts w:eastAsia="SimSun"/>
                <w:sz w:val="22"/>
                <w:szCs w:val="22"/>
                <w:lang w:eastAsia="zh-CN"/>
              </w:rPr>
              <w:t>80 (49,4)</w:t>
            </w:r>
          </w:p>
        </w:tc>
        <w:tc>
          <w:tcPr>
            <w:tcW w:w="948" w:type="pct"/>
            <w:tcMar>
              <w:top w:w="0" w:type="dxa"/>
              <w:left w:w="57" w:type="dxa"/>
              <w:bottom w:w="0" w:type="dxa"/>
              <w:right w:w="57" w:type="dxa"/>
            </w:tcMar>
          </w:tcPr>
          <w:p w14:paraId="0ED1649B" w14:textId="77777777" w:rsidR="00CC2B31" w:rsidRPr="00C65707" w:rsidRDefault="00CC2B31">
            <w:pPr>
              <w:widowControl w:val="0"/>
              <w:spacing w:line="240" w:lineRule="exact"/>
              <w:jc w:val="both"/>
              <w:rPr>
                <w:rFonts w:eastAsia="SimSun"/>
                <w:sz w:val="22"/>
                <w:szCs w:val="22"/>
                <w:lang w:eastAsia="zh-CN"/>
              </w:rPr>
            </w:pPr>
            <w:r w:rsidRPr="00C65707">
              <w:rPr>
                <w:rFonts w:eastAsia="SimSun"/>
                <w:sz w:val="22"/>
                <w:szCs w:val="22"/>
                <w:lang w:eastAsia="zh-CN"/>
              </w:rPr>
              <w:t>106 (65,0)</w:t>
            </w:r>
          </w:p>
        </w:tc>
        <w:tc>
          <w:tcPr>
            <w:tcW w:w="862" w:type="pct"/>
            <w:tcBorders>
              <w:top w:val="nil"/>
              <w:left w:val="nil"/>
              <w:bottom w:val="nil"/>
              <w:right w:val="single" w:sz="8" w:space="0" w:color="auto"/>
            </w:tcBorders>
            <w:tcMar>
              <w:top w:w="0" w:type="dxa"/>
              <w:left w:w="57" w:type="dxa"/>
              <w:bottom w:w="0" w:type="dxa"/>
              <w:right w:w="57" w:type="dxa"/>
            </w:tcMar>
          </w:tcPr>
          <w:p w14:paraId="120D54AB" w14:textId="77777777" w:rsidR="00CC2B31" w:rsidRPr="00C65707" w:rsidRDefault="00CC2B31">
            <w:pPr>
              <w:widowControl w:val="0"/>
              <w:spacing w:line="240" w:lineRule="exact"/>
              <w:jc w:val="both"/>
              <w:rPr>
                <w:rFonts w:eastAsia="SimSun"/>
                <w:sz w:val="22"/>
                <w:szCs w:val="22"/>
                <w:lang w:eastAsia="zh-CN"/>
              </w:rPr>
            </w:pPr>
            <w:r w:rsidRPr="00C65707">
              <w:rPr>
                <w:rFonts w:eastAsia="SimSun"/>
                <w:sz w:val="22"/>
                <w:szCs w:val="22"/>
                <w:lang w:eastAsia="zh-CN"/>
              </w:rPr>
              <w:t>0,0038</w:t>
            </w:r>
          </w:p>
        </w:tc>
      </w:tr>
      <w:tr w:rsidR="00CC2B31" w:rsidRPr="00C65707" w14:paraId="366ECBAB" w14:textId="77777777" w:rsidTr="00CE5678">
        <w:trPr>
          <w:cantSplit/>
        </w:trPr>
        <w:tc>
          <w:tcPr>
            <w:tcW w:w="2155" w:type="pct"/>
            <w:gridSpan w:val="2"/>
            <w:tcBorders>
              <w:top w:val="nil"/>
              <w:left w:val="single" w:sz="4" w:space="0" w:color="auto"/>
              <w:bottom w:val="nil"/>
              <w:right w:val="nil"/>
            </w:tcBorders>
            <w:tcMar>
              <w:top w:w="0" w:type="dxa"/>
              <w:left w:w="57" w:type="dxa"/>
              <w:bottom w:w="0" w:type="dxa"/>
              <w:right w:w="57" w:type="dxa"/>
            </w:tcMar>
            <w:vAlign w:val="center"/>
          </w:tcPr>
          <w:p w14:paraId="5B15D523" w14:textId="77777777" w:rsidR="00CC2B31" w:rsidRPr="00C65707" w:rsidRDefault="00CC2B31" w:rsidP="00C65707">
            <w:pPr>
              <w:widowControl w:val="0"/>
              <w:spacing w:line="240" w:lineRule="exact"/>
              <w:jc w:val="both"/>
              <w:rPr>
                <w:rFonts w:eastAsia="SimSun"/>
                <w:sz w:val="22"/>
                <w:szCs w:val="22"/>
                <w:lang w:eastAsia="zh-CN"/>
              </w:rPr>
            </w:pPr>
            <w:r w:rsidRPr="00C65707">
              <w:rPr>
                <w:rFonts w:eastAsia="SimSun"/>
                <w:sz w:val="22"/>
                <w:szCs w:val="22"/>
                <w:lang w:eastAsia="zh-CN"/>
              </w:rPr>
              <w:t>odgovor ACR50, n (%)</w:t>
            </w:r>
          </w:p>
        </w:tc>
        <w:tc>
          <w:tcPr>
            <w:tcW w:w="1035" w:type="pct"/>
            <w:gridSpan w:val="2"/>
            <w:tcMar>
              <w:top w:w="0" w:type="dxa"/>
              <w:left w:w="57" w:type="dxa"/>
              <w:bottom w:w="0" w:type="dxa"/>
              <w:right w:w="57" w:type="dxa"/>
            </w:tcMar>
          </w:tcPr>
          <w:p w14:paraId="6F9E7F9F" w14:textId="77777777" w:rsidR="00CC2B31" w:rsidRPr="002B3647" w:rsidRDefault="00CC2B31" w:rsidP="002B3647">
            <w:pPr>
              <w:widowControl w:val="0"/>
              <w:spacing w:line="240" w:lineRule="exact"/>
              <w:jc w:val="both"/>
              <w:rPr>
                <w:rFonts w:eastAsia="SimSun"/>
                <w:sz w:val="22"/>
                <w:szCs w:val="22"/>
                <w:lang w:eastAsia="zh-CN"/>
              </w:rPr>
            </w:pPr>
            <w:r w:rsidRPr="002B3647">
              <w:rPr>
                <w:rFonts w:eastAsia="SimSun"/>
                <w:sz w:val="22"/>
                <w:szCs w:val="22"/>
                <w:lang w:eastAsia="zh-CN"/>
              </w:rPr>
              <w:t>45 (27,8)</w:t>
            </w:r>
          </w:p>
        </w:tc>
        <w:tc>
          <w:tcPr>
            <w:tcW w:w="948" w:type="pct"/>
            <w:tcMar>
              <w:top w:w="0" w:type="dxa"/>
              <w:left w:w="57" w:type="dxa"/>
              <w:bottom w:w="0" w:type="dxa"/>
              <w:right w:w="57" w:type="dxa"/>
            </w:tcMar>
          </w:tcPr>
          <w:p w14:paraId="2E92E3C9" w14:textId="77777777" w:rsidR="00CC2B31" w:rsidRPr="00C65707" w:rsidRDefault="00CC2B31">
            <w:pPr>
              <w:widowControl w:val="0"/>
              <w:spacing w:line="240" w:lineRule="exact"/>
              <w:jc w:val="both"/>
              <w:rPr>
                <w:rFonts w:eastAsia="SimSun"/>
                <w:sz w:val="22"/>
                <w:szCs w:val="22"/>
                <w:lang w:eastAsia="zh-CN"/>
              </w:rPr>
            </w:pPr>
            <w:r w:rsidRPr="00C65707">
              <w:rPr>
                <w:rFonts w:eastAsia="SimSun"/>
                <w:sz w:val="22"/>
                <w:szCs w:val="22"/>
                <w:lang w:eastAsia="zh-CN"/>
              </w:rPr>
              <w:t>77 (47,2)</w:t>
            </w:r>
          </w:p>
        </w:tc>
        <w:tc>
          <w:tcPr>
            <w:tcW w:w="862" w:type="pct"/>
            <w:tcBorders>
              <w:top w:val="nil"/>
              <w:left w:val="nil"/>
              <w:bottom w:val="nil"/>
              <w:right w:val="single" w:sz="8" w:space="0" w:color="auto"/>
            </w:tcBorders>
            <w:tcMar>
              <w:top w:w="0" w:type="dxa"/>
              <w:left w:w="57" w:type="dxa"/>
              <w:bottom w:w="0" w:type="dxa"/>
              <w:right w:w="57" w:type="dxa"/>
            </w:tcMar>
          </w:tcPr>
          <w:p w14:paraId="54395495" w14:textId="77777777" w:rsidR="00CC2B31" w:rsidRPr="00C65707" w:rsidRDefault="00CC2B31">
            <w:pPr>
              <w:widowControl w:val="0"/>
              <w:spacing w:line="240" w:lineRule="exact"/>
              <w:jc w:val="both"/>
              <w:rPr>
                <w:rFonts w:eastAsia="SimSun"/>
                <w:sz w:val="22"/>
                <w:szCs w:val="22"/>
                <w:lang w:eastAsia="zh-CN"/>
              </w:rPr>
            </w:pPr>
            <w:r w:rsidRPr="00C65707">
              <w:rPr>
                <w:rFonts w:eastAsia="SimSun"/>
                <w:sz w:val="22"/>
                <w:szCs w:val="22"/>
                <w:lang w:eastAsia="zh-CN"/>
              </w:rPr>
              <w:t>0,0002</w:t>
            </w:r>
          </w:p>
        </w:tc>
      </w:tr>
      <w:tr w:rsidR="00CC2B31" w:rsidRPr="00C65707" w14:paraId="7C1C7C81" w14:textId="77777777" w:rsidTr="00CE5678">
        <w:trPr>
          <w:cantSplit/>
        </w:trPr>
        <w:tc>
          <w:tcPr>
            <w:tcW w:w="2155" w:type="pct"/>
            <w:gridSpan w:val="2"/>
            <w:tcBorders>
              <w:top w:val="nil"/>
              <w:left w:val="single" w:sz="4" w:space="0" w:color="auto"/>
              <w:bottom w:val="single" w:sz="4" w:space="0" w:color="auto"/>
              <w:right w:val="nil"/>
            </w:tcBorders>
            <w:tcMar>
              <w:top w:w="0" w:type="dxa"/>
              <w:left w:w="57" w:type="dxa"/>
              <w:bottom w:w="0" w:type="dxa"/>
              <w:right w:w="57" w:type="dxa"/>
            </w:tcMar>
            <w:vAlign w:val="center"/>
          </w:tcPr>
          <w:p w14:paraId="53883C68" w14:textId="77777777" w:rsidR="00CC2B31" w:rsidRPr="00C65707" w:rsidRDefault="00CC2B31" w:rsidP="00C65707">
            <w:pPr>
              <w:widowControl w:val="0"/>
              <w:spacing w:line="240" w:lineRule="exact"/>
              <w:jc w:val="both"/>
              <w:rPr>
                <w:rFonts w:eastAsia="SimSun"/>
                <w:sz w:val="22"/>
                <w:szCs w:val="22"/>
                <w:lang w:eastAsia="zh-CN"/>
              </w:rPr>
            </w:pPr>
            <w:r w:rsidRPr="00C65707">
              <w:rPr>
                <w:rFonts w:eastAsia="SimSun"/>
                <w:sz w:val="22"/>
                <w:szCs w:val="22"/>
                <w:lang w:eastAsia="zh-CN"/>
              </w:rPr>
              <w:t>odgovor ACR70, n (%)</w:t>
            </w:r>
          </w:p>
        </w:tc>
        <w:tc>
          <w:tcPr>
            <w:tcW w:w="1035" w:type="pct"/>
            <w:gridSpan w:val="2"/>
            <w:tcBorders>
              <w:top w:val="nil"/>
              <w:left w:val="nil"/>
              <w:bottom w:val="single" w:sz="4" w:space="0" w:color="auto"/>
              <w:right w:val="nil"/>
            </w:tcBorders>
            <w:tcMar>
              <w:top w:w="0" w:type="dxa"/>
              <w:left w:w="57" w:type="dxa"/>
              <w:bottom w:w="0" w:type="dxa"/>
              <w:right w:w="57" w:type="dxa"/>
            </w:tcMar>
          </w:tcPr>
          <w:p w14:paraId="2C824117" w14:textId="77777777" w:rsidR="00CC2B31" w:rsidRPr="002B3647" w:rsidRDefault="00CC2B31" w:rsidP="002B3647">
            <w:pPr>
              <w:widowControl w:val="0"/>
              <w:spacing w:line="240" w:lineRule="exact"/>
              <w:jc w:val="both"/>
              <w:rPr>
                <w:rFonts w:eastAsia="SimSun"/>
                <w:sz w:val="22"/>
                <w:szCs w:val="22"/>
                <w:lang w:eastAsia="zh-CN"/>
              </w:rPr>
            </w:pPr>
            <w:r w:rsidRPr="002B3647">
              <w:rPr>
                <w:rFonts w:eastAsia="SimSun"/>
                <w:sz w:val="22"/>
                <w:szCs w:val="22"/>
                <w:lang w:eastAsia="zh-CN"/>
              </w:rPr>
              <w:t>29 (17,9)</w:t>
            </w:r>
          </w:p>
        </w:tc>
        <w:tc>
          <w:tcPr>
            <w:tcW w:w="948" w:type="pct"/>
            <w:tcBorders>
              <w:top w:val="nil"/>
              <w:left w:val="nil"/>
              <w:bottom w:val="single" w:sz="4" w:space="0" w:color="auto"/>
              <w:right w:val="nil"/>
            </w:tcBorders>
            <w:tcMar>
              <w:top w:w="0" w:type="dxa"/>
              <w:left w:w="57" w:type="dxa"/>
              <w:bottom w:w="0" w:type="dxa"/>
              <w:right w:w="57" w:type="dxa"/>
            </w:tcMar>
          </w:tcPr>
          <w:p w14:paraId="1C07EAFF" w14:textId="77777777" w:rsidR="00CC2B31" w:rsidRPr="00C65707" w:rsidRDefault="00CC2B31">
            <w:pPr>
              <w:widowControl w:val="0"/>
              <w:spacing w:line="240" w:lineRule="exact"/>
              <w:jc w:val="both"/>
              <w:rPr>
                <w:rFonts w:eastAsia="SimSun"/>
                <w:sz w:val="22"/>
                <w:szCs w:val="22"/>
                <w:lang w:eastAsia="zh-CN"/>
              </w:rPr>
            </w:pPr>
            <w:r w:rsidRPr="00C65707">
              <w:rPr>
                <w:rFonts w:eastAsia="SimSun"/>
                <w:sz w:val="22"/>
                <w:szCs w:val="22"/>
                <w:lang w:eastAsia="zh-CN"/>
              </w:rPr>
              <w:t>53 (32,5)</w:t>
            </w:r>
          </w:p>
        </w:tc>
        <w:tc>
          <w:tcPr>
            <w:tcW w:w="862" w:type="pct"/>
            <w:tcBorders>
              <w:top w:val="nil"/>
              <w:left w:val="nil"/>
              <w:bottom w:val="single" w:sz="4" w:space="0" w:color="auto"/>
              <w:right w:val="single" w:sz="8" w:space="0" w:color="auto"/>
            </w:tcBorders>
            <w:tcMar>
              <w:top w:w="0" w:type="dxa"/>
              <w:left w:w="57" w:type="dxa"/>
              <w:bottom w:w="0" w:type="dxa"/>
              <w:right w:w="57" w:type="dxa"/>
            </w:tcMar>
          </w:tcPr>
          <w:p w14:paraId="76CEF1BB" w14:textId="77777777" w:rsidR="00CC2B31" w:rsidRPr="00C65707" w:rsidRDefault="00CC2B31">
            <w:pPr>
              <w:widowControl w:val="0"/>
              <w:spacing w:line="240" w:lineRule="exact"/>
              <w:jc w:val="both"/>
              <w:rPr>
                <w:rFonts w:eastAsia="SimSun"/>
                <w:sz w:val="22"/>
                <w:szCs w:val="22"/>
                <w:lang w:eastAsia="zh-CN"/>
              </w:rPr>
            </w:pPr>
            <w:r w:rsidRPr="00C65707">
              <w:rPr>
                <w:rFonts w:eastAsia="SimSun"/>
                <w:sz w:val="22"/>
                <w:szCs w:val="22"/>
                <w:lang w:eastAsia="zh-CN"/>
              </w:rPr>
              <w:t>0,0023</w:t>
            </w:r>
          </w:p>
        </w:tc>
      </w:tr>
    </w:tbl>
    <w:p w14:paraId="6BE15E84" w14:textId="77777777" w:rsidR="00CC2B31" w:rsidRPr="00CE5678" w:rsidRDefault="00CC2B31" w:rsidP="00C65707">
      <w:pPr>
        <w:widowControl w:val="0"/>
        <w:jc w:val="both"/>
        <w:rPr>
          <w:rFonts w:eastAsia="SimSun"/>
          <w:bCs/>
          <w:i/>
          <w:sz w:val="22"/>
          <w:szCs w:val="22"/>
          <w:lang w:eastAsia="zh-CN"/>
        </w:rPr>
      </w:pPr>
      <w:r w:rsidRPr="00CE5678">
        <w:rPr>
          <w:rFonts w:eastAsia="SimSun"/>
          <w:bCs/>
          <w:i/>
          <w:sz w:val="22"/>
          <w:szCs w:val="22"/>
          <w:vertAlign w:val="superscript"/>
          <w:lang w:eastAsia="zh-CN"/>
        </w:rPr>
        <w:t>a</w:t>
      </w:r>
      <w:r w:rsidRPr="00CE5678">
        <w:rPr>
          <w:rFonts w:eastAsia="SimSun"/>
          <w:bCs/>
          <w:i/>
          <w:sz w:val="22"/>
          <w:szCs w:val="22"/>
          <w:lang w:eastAsia="zh-CN"/>
        </w:rPr>
        <w:t>p-vrijednost je prilagođena prema području i trajanju RA za sve krajne tačke te dodatno za početnu vrijednost za sve sljedeće krajnje tačke</w:t>
      </w:r>
    </w:p>
    <w:p w14:paraId="3114C918" w14:textId="77777777" w:rsidR="002C0349" w:rsidRPr="00CE5678" w:rsidRDefault="00CC2B31" w:rsidP="00CE5678">
      <w:pPr>
        <w:widowControl w:val="0"/>
        <w:ind w:right="284"/>
        <w:jc w:val="both"/>
        <w:rPr>
          <w:bCs/>
          <w:iCs/>
          <w:sz w:val="22"/>
          <w:szCs w:val="22"/>
        </w:rPr>
      </w:pPr>
      <w:r w:rsidRPr="00CE5678">
        <w:rPr>
          <w:rFonts w:eastAsia="SimSun"/>
          <w:bCs/>
          <w:i/>
          <w:sz w:val="22"/>
          <w:szCs w:val="22"/>
          <w:vertAlign w:val="superscript"/>
          <w:lang w:eastAsia="zh-CN"/>
        </w:rPr>
        <w:t>b</w:t>
      </w:r>
      <w:r w:rsidRPr="00CE5678">
        <w:rPr>
          <w:rFonts w:eastAsia="SimSun"/>
          <w:bCs/>
          <w:i/>
          <w:sz w:val="22"/>
          <w:szCs w:val="22"/>
          <w:lang w:eastAsia="zh-CN"/>
        </w:rPr>
        <w:t xml:space="preserve"> Za podatke koji nedostaju imputiran je broj pacijenata bez odgovora. Za kontrolu multipliciteta koristila se Bonferroni</w:t>
      </w:r>
      <w:r w:rsidRPr="00CE5678">
        <w:rPr>
          <w:rFonts w:eastAsia="SimSun"/>
          <w:bCs/>
          <w:i/>
          <w:sz w:val="22"/>
          <w:szCs w:val="22"/>
          <w:lang w:eastAsia="zh-CN"/>
        </w:rPr>
        <w:noBreakHyphen/>
        <w:t>Holmova korekcija.</w:t>
      </w:r>
      <w:r w:rsidR="002C0349" w:rsidRPr="00CE5678">
        <w:rPr>
          <w:rFonts w:eastAsia="SimSun"/>
          <w:bCs/>
          <w:i/>
          <w:sz w:val="22"/>
          <w:szCs w:val="22"/>
          <w:lang w:eastAsia="zh-CN"/>
        </w:rPr>
        <w:br/>
      </w:r>
      <w:r w:rsidR="002C0349" w:rsidRPr="00CE5678">
        <w:rPr>
          <w:bCs/>
          <w:iCs/>
          <w:sz w:val="22"/>
          <w:szCs w:val="22"/>
        </w:rPr>
        <w:t>IV = intravenski</w:t>
      </w:r>
    </w:p>
    <w:p w14:paraId="057364E8" w14:textId="68C9B141" w:rsidR="002C0349" w:rsidRPr="00CE5678" w:rsidRDefault="002C0349" w:rsidP="00CE5678">
      <w:pPr>
        <w:widowControl w:val="0"/>
        <w:jc w:val="both"/>
        <w:rPr>
          <w:bCs/>
          <w:iCs/>
          <w:sz w:val="22"/>
          <w:szCs w:val="22"/>
        </w:rPr>
      </w:pPr>
      <w:r w:rsidRPr="00CE5678">
        <w:rPr>
          <w:bCs/>
          <w:iCs/>
          <w:sz w:val="22"/>
          <w:szCs w:val="22"/>
        </w:rPr>
        <w:t>SC = su</w:t>
      </w:r>
      <w:r w:rsidR="00910BDC" w:rsidRPr="00CE5678">
        <w:rPr>
          <w:bCs/>
          <w:iCs/>
          <w:sz w:val="22"/>
          <w:szCs w:val="22"/>
        </w:rPr>
        <w:t>b</w:t>
      </w:r>
      <w:r w:rsidRPr="00CE5678">
        <w:rPr>
          <w:bCs/>
          <w:iCs/>
          <w:sz w:val="22"/>
          <w:szCs w:val="22"/>
        </w:rPr>
        <w:t>kutano</w:t>
      </w:r>
    </w:p>
    <w:p w14:paraId="36F2BAD3" w14:textId="77777777" w:rsidR="002C0349" w:rsidRPr="00CE5678" w:rsidRDefault="002C0349" w:rsidP="00CE5678">
      <w:pPr>
        <w:widowControl w:val="0"/>
        <w:jc w:val="both"/>
        <w:rPr>
          <w:bCs/>
          <w:iCs/>
          <w:sz w:val="22"/>
          <w:szCs w:val="22"/>
        </w:rPr>
      </w:pPr>
      <w:r w:rsidRPr="00CE5678">
        <w:rPr>
          <w:bCs/>
          <w:iCs/>
          <w:sz w:val="22"/>
          <w:szCs w:val="22"/>
        </w:rPr>
        <w:t>ADA = adalimumab</w:t>
      </w:r>
    </w:p>
    <w:p w14:paraId="18F60061" w14:textId="77777777" w:rsidR="002C0349" w:rsidRPr="00CE5678" w:rsidRDefault="002C0349" w:rsidP="00CE5678">
      <w:pPr>
        <w:widowControl w:val="0"/>
        <w:jc w:val="both"/>
        <w:rPr>
          <w:bCs/>
          <w:iCs/>
          <w:sz w:val="22"/>
          <w:szCs w:val="22"/>
        </w:rPr>
      </w:pPr>
      <w:r w:rsidRPr="00CE5678">
        <w:rPr>
          <w:bCs/>
          <w:iCs/>
          <w:sz w:val="22"/>
          <w:szCs w:val="22"/>
        </w:rPr>
        <w:t>TCZ = tocilizumab</w:t>
      </w:r>
    </w:p>
    <w:p w14:paraId="09CB1FE3" w14:textId="77777777" w:rsidR="00CC2B31" w:rsidRPr="00C65707" w:rsidRDefault="00CC2B31" w:rsidP="002B3647">
      <w:pPr>
        <w:widowControl w:val="0"/>
        <w:jc w:val="both"/>
        <w:rPr>
          <w:sz w:val="22"/>
          <w:szCs w:val="22"/>
        </w:rPr>
      </w:pPr>
    </w:p>
    <w:p w14:paraId="50930BCC" w14:textId="53107F05" w:rsidR="00CC2B31" w:rsidRPr="00C65707" w:rsidRDefault="002C0349">
      <w:pPr>
        <w:widowControl w:val="0"/>
        <w:tabs>
          <w:tab w:val="left" w:pos="540"/>
          <w:tab w:val="left" w:pos="569"/>
        </w:tabs>
        <w:jc w:val="both"/>
        <w:rPr>
          <w:sz w:val="22"/>
          <w:szCs w:val="22"/>
        </w:rPr>
      </w:pPr>
      <w:r w:rsidRPr="00C65707">
        <w:rPr>
          <w:sz w:val="22"/>
          <w:szCs w:val="22"/>
        </w:rPr>
        <w:lastRenderedPageBreak/>
        <w:t>Tocilizumab</w:t>
      </w:r>
      <w:r w:rsidR="00CC2B31" w:rsidRPr="00C65707">
        <w:rPr>
          <w:sz w:val="22"/>
          <w:szCs w:val="22"/>
        </w:rPr>
        <w:t xml:space="preserve"> i adalimumab imali su sličan ukupan profil kliničkih neželjenih događaja. Udio pacijenata sa ozbiljnim neželjenim događajima bio je izjednačen između obije ispitivane grupe (</w:t>
      </w:r>
      <w:r w:rsidRPr="002B3647">
        <w:rPr>
          <w:sz w:val="22"/>
          <w:szCs w:val="22"/>
        </w:rPr>
        <w:t>tocilizumab</w:t>
      </w:r>
      <w:r w:rsidR="00CC2B31" w:rsidRPr="002B3647">
        <w:rPr>
          <w:sz w:val="22"/>
          <w:szCs w:val="22"/>
        </w:rPr>
        <w:t xml:space="preserve"> 11,7%, adalimumab 9,9%). Vrste neželjenih reakcija povezanih sa primjenom lijeka u grupi koja je primala </w:t>
      </w:r>
      <w:r w:rsidRPr="00C65707">
        <w:rPr>
          <w:sz w:val="22"/>
          <w:szCs w:val="22"/>
        </w:rPr>
        <w:t>tocilizumab</w:t>
      </w:r>
      <w:r w:rsidR="00CC2B31" w:rsidRPr="00C65707">
        <w:rPr>
          <w:sz w:val="22"/>
          <w:szCs w:val="22"/>
        </w:rPr>
        <w:t xml:space="preserve"> bile su u skladu sa poznatim profilom bezbjednosti, a NRL su prijavljivane sa sličnom učestalošću kao u Tabeli 1. Veća učestalost infekcija i infestacija prijavljena je u grupi koja je primala </w:t>
      </w:r>
      <w:r w:rsidRPr="00C65707">
        <w:rPr>
          <w:sz w:val="22"/>
          <w:szCs w:val="22"/>
        </w:rPr>
        <w:t>tocilizumab</w:t>
      </w:r>
      <w:r w:rsidR="00CC2B31" w:rsidRPr="00C65707">
        <w:rPr>
          <w:sz w:val="22"/>
          <w:szCs w:val="22"/>
        </w:rPr>
        <w:t xml:space="preserve"> (48% naspram 42%), a nije bilo razlike u učestalosti ozbiljnih infekcija (3,1%). Obije ispitivane grupe izazvale su isti obrazac promjena u laboratorijskim bezbjednosnim parametrima (smanjeni broj neutrofila i trombocita, povišene vrijednosti ALT</w:t>
      </w:r>
      <w:r w:rsidRPr="00C65707">
        <w:rPr>
          <w:sz w:val="22"/>
          <w:szCs w:val="22"/>
        </w:rPr>
        <w:t>-a</w:t>
      </w:r>
      <w:r w:rsidR="00CC2B31" w:rsidRPr="00C65707">
        <w:rPr>
          <w:sz w:val="22"/>
          <w:szCs w:val="22"/>
        </w:rPr>
        <w:t>, AST-</w:t>
      </w:r>
      <w:r w:rsidRPr="00C65707">
        <w:rPr>
          <w:sz w:val="22"/>
          <w:szCs w:val="22"/>
        </w:rPr>
        <w:t>a i</w:t>
      </w:r>
      <w:r w:rsidR="00CC2B31" w:rsidRPr="00C65707">
        <w:rPr>
          <w:sz w:val="22"/>
          <w:szCs w:val="22"/>
        </w:rPr>
        <w:t xml:space="preserve"> lipida). Međutim, veličina promjene i učestalost opaženih poremećenih vrijednosti bili su veći u grupi koja je primala </w:t>
      </w:r>
      <w:r w:rsidRPr="00C65707">
        <w:rPr>
          <w:sz w:val="22"/>
          <w:szCs w:val="22"/>
        </w:rPr>
        <w:t>tocilizumab</w:t>
      </w:r>
      <w:r w:rsidR="00CC2B31" w:rsidRPr="00C65707">
        <w:rPr>
          <w:sz w:val="22"/>
          <w:szCs w:val="22"/>
        </w:rPr>
        <w:t xml:space="preserve"> nego u onoj koja je primala adalimumab. Kod četiri (2,5%) pacijenta u grupi koja je primala </w:t>
      </w:r>
      <w:r w:rsidRPr="00C65707">
        <w:rPr>
          <w:sz w:val="22"/>
          <w:szCs w:val="22"/>
        </w:rPr>
        <w:t>tocilizumab</w:t>
      </w:r>
      <w:r w:rsidR="00CC2B31" w:rsidRPr="00C65707">
        <w:rPr>
          <w:sz w:val="22"/>
          <w:szCs w:val="22"/>
        </w:rPr>
        <w:t xml:space="preserve"> </w:t>
      </w:r>
      <w:r w:rsidRPr="00C65707">
        <w:rPr>
          <w:sz w:val="22"/>
          <w:szCs w:val="22"/>
        </w:rPr>
        <w:t xml:space="preserve">i </w:t>
      </w:r>
      <w:r w:rsidR="00CC2B31" w:rsidRPr="00C65707">
        <w:rPr>
          <w:sz w:val="22"/>
          <w:szCs w:val="22"/>
        </w:rPr>
        <w:t xml:space="preserve">kod dva (1,2%) pacijenta koja su primala adalimumab primijećen je smanjen broj neutrofila gradusa 3 ili 4 prema CTC. Kod jedanaest (6,8%) pacijenata koji su primali </w:t>
      </w:r>
      <w:r w:rsidRPr="00C65707">
        <w:rPr>
          <w:sz w:val="22"/>
          <w:szCs w:val="22"/>
        </w:rPr>
        <w:t>tocilizumab</w:t>
      </w:r>
      <w:r w:rsidR="00CC2B31" w:rsidRPr="00C65707">
        <w:rPr>
          <w:sz w:val="22"/>
          <w:szCs w:val="22"/>
        </w:rPr>
        <w:t xml:space="preserve"> </w:t>
      </w:r>
      <w:r w:rsidRPr="00C65707">
        <w:rPr>
          <w:sz w:val="22"/>
          <w:szCs w:val="22"/>
        </w:rPr>
        <w:t xml:space="preserve">i </w:t>
      </w:r>
      <w:r w:rsidR="00CC2B31" w:rsidRPr="00C65707">
        <w:rPr>
          <w:sz w:val="22"/>
          <w:szCs w:val="22"/>
        </w:rPr>
        <w:t>kod pet (3,1%) pacijenata koji su primali adalimumab primijećene su povišene vrijednosti ALT</w:t>
      </w:r>
      <w:r w:rsidRPr="00C65707">
        <w:rPr>
          <w:sz w:val="22"/>
          <w:szCs w:val="22"/>
        </w:rPr>
        <w:t xml:space="preserve">-a </w:t>
      </w:r>
      <w:r w:rsidR="00CC2B31" w:rsidRPr="00C65707">
        <w:rPr>
          <w:sz w:val="22"/>
          <w:szCs w:val="22"/>
        </w:rPr>
        <w:t>gradusa 2 ili više prema CTC</w:t>
      </w:r>
      <w:r w:rsidRPr="00C65707">
        <w:rPr>
          <w:sz w:val="22"/>
          <w:szCs w:val="22"/>
        </w:rPr>
        <w:t>-u</w:t>
      </w:r>
      <w:r w:rsidR="00CC2B31" w:rsidRPr="00C65707">
        <w:rPr>
          <w:sz w:val="22"/>
          <w:szCs w:val="22"/>
        </w:rPr>
        <w:t>. Srednje povišenje vrijednosti LDL</w:t>
      </w:r>
      <w:r w:rsidRPr="00C65707">
        <w:rPr>
          <w:sz w:val="22"/>
          <w:szCs w:val="22"/>
        </w:rPr>
        <w:t>-a</w:t>
      </w:r>
      <w:r w:rsidR="00CC2B31" w:rsidRPr="00C65707">
        <w:rPr>
          <w:sz w:val="22"/>
          <w:szCs w:val="22"/>
        </w:rPr>
        <w:t xml:space="preserve"> u odnosu na početnu vrijednost iznosilo je 0,64 mmol/l (25 mg/dl) kod pacijenata koji su primali </w:t>
      </w:r>
      <w:r w:rsidRPr="00C65707">
        <w:rPr>
          <w:sz w:val="22"/>
          <w:szCs w:val="22"/>
        </w:rPr>
        <w:t>tocilizumab</w:t>
      </w:r>
      <w:r w:rsidR="00CC2B31" w:rsidRPr="00C65707">
        <w:rPr>
          <w:sz w:val="22"/>
          <w:szCs w:val="22"/>
        </w:rPr>
        <w:t xml:space="preserve"> </w:t>
      </w:r>
      <w:r w:rsidRPr="00C65707">
        <w:rPr>
          <w:sz w:val="22"/>
          <w:szCs w:val="22"/>
        </w:rPr>
        <w:t>i</w:t>
      </w:r>
      <w:r w:rsidR="00CC2B31" w:rsidRPr="00C65707">
        <w:rPr>
          <w:sz w:val="22"/>
          <w:szCs w:val="22"/>
        </w:rPr>
        <w:t xml:space="preserve"> 0,19 mmol/l (7 mg/dl) kod pacijenata koji su primali adalimumab. Bezbjednost primijećena u grupi koja je primala tocilizumab bila je u skladu sa poznatim bezbjednosnim profilom </w:t>
      </w:r>
      <w:r w:rsidRPr="00C65707">
        <w:rPr>
          <w:sz w:val="22"/>
          <w:szCs w:val="22"/>
        </w:rPr>
        <w:t>tocilizumaba,</w:t>
      </w:r>
      <w:r w:rsidR="00CC2B31" w:rsidRPr="00C65707">
        <w:rPr>
          <w:sz w:val="22"/>
          <w:szCs w:val="22"/>
        </w:rPr>
        <w:t xml:space="preserve"> pa ni</w:t>
      </w:r>
      <w:r w:rsidR="000A085D" w:rsidRPr="00C65707">
        <w:rPr>
          <w:sz w:val="22"/>
          <w:szCs w:val="22"/>
        </w:rPr>
        <w:t>je</w:t>
      </w:r>
      <w:r w:rsidR="00CC2B31" w:rsidRPr="00C65707">
        <w:rPr>
          <w:sz w:val="22"/>
          <w:szCs w:val="22"/>
        </w:rPr>
        <w:t>su primijećene nove niti neočekivane neželjene reakcije na primjenu lijeka (vidjeti Tabelu 1).</w:t>
      </w:r>
    </w:p>
    <w:p w14:paraId="34388420" w14:textId="77777777" w:rsidR="00CC2B31" w:rsidRPr="00C65707" w:rsidRDefault="00CC2B31">
      <w:pPr>
        <w:widowControl w:val="0"/>
        <w:tabs>
          <w:tab w:val="left" w:pos="540"/>
          <w:tab w:val="left" w:pos="569"/>
        </w:tabs>
        <w:jc w:val="both"/>
        <w:rPr>
          <w:b/>
          <w:bCs/>
          <w:sz w:val="22"/>
          <w:szCs w:val="22"/>
        </w:rPr>
      </w:pPr>
    </w:p>
    <w:p w14:paraId="7731927E" w14:textId="77777777" w:rsidR="0072020E" w:rsidRPr="00C65707" w:rsidRDefault="0072020E" w:rsidP="00CE5678">
      <w:pPr>
        <w:widowControl w:val="0"/>
        <w:tabs>
          <w:tab w:val="left" w:pos="540"/>
          <w:tab w:val="left" w:pos="569"/>
        </w:tabs>
        <w:jc w:val="both"/>
        <w:rPr>
          <w:b/>
          <w:bCs/>
          <w:sz w:val="22"/>
          <w:szCs w:val="22"/>
        </w:rPr>
      </w:pPr>
      <w:r w:rsidRPr="00C65707">
        <w:rPr>
          <w:b/>
          <w:bCs/>
          <w:sz w:val="22"/>
          <w:szCs w:val="22"/>
        </w:rPr>
        <w:t xml:space="preserve">5.2. </w:t>
      </w:r>
      <w:r w:rsidR="00480FB1" w:rsidRPr="00C65707">
        <w:rPr>
          <w:b/>
          <w:bCs/>
          <w:sz w:val="22"/>
          <w:szCs w:val="22"/>
        </w:rPr>
        <w:tab/>
      </w:r>
      <w:r w:rsidRPr="00C65707">
        <w:rPr>
          <w:b/>
          <w:bCs/>
          <w:sz w:val="22"/>
          <w:szCs w:val="22"/>
        </w:rPr>
        <w:t>Farmakokinetički podaci</w:t>
      </w:r>
      <w:r w:rsidR="003A7059" w:rsidRPr="00C65707">
        <w:rPr>
          <w:b/>
          <w:bCs/>
          <w:sz w:val="22"/>
          <w:szCs w:val="22"/>
        </w:rPr>
        <w:t xml:space="preserve"> </w:t>
      </w:r>
    </w:p>
    <w:p w14:paraId="43CDE7EE" w14:textId="77777777" w:rsidR="00CC2B31" w:rsidRPr="00C65707" w:rsidRDefault="00CC2B31" w:rsidP="00CE5678">
      <w:pPr>
        <w:widowControl w:val="0"/>
        <w:tabs>
          <w:tab w:val="left" w:pos="540"/>
          <w:tab w:val="left" w:pos="569"/>
        </w:tabs>
        <w:jc w:val="both"/>
        <w:rPr>
          <w:b/>
          <w:bCs/>
          <w:sz w:val="22"/>
          <w:szCs w:val="22"/>
        </w:rPr>
      </w:pPr>
    </w:p>
    <w:p w14:paraId="4D476E8D" w14:textId="1A875E83" w:rsidR="00CC2B31" w:rsidRPr="00C65707" w:rsidRDefault="00CC2B31" w:rsidP="00C65707">
      <w:pPr>
        <w:pStyle w:val="Header"/>
        <w:widowControl w:val="0"/>
        <w:tabs>
          <w:tab w:val="left" w:pos="284"/>
        </w:tabs>
        <w:jc w:val="both"/>
        <w:rPr>
          <w:iCs/>
          <w:sz w:val="22"/>
          <w:szCs w:val="22"/>
        </w:rPr>
      </w:pPr>
      <w:r w:rsidRPr="00C65707">
        <w:rPr>
          <w:iCs/>
          <w:sz w:val="22"/>
          <w:szCs w:val="22"/>
        </w:rPr>
        <w:t xml:space="preserve">Farmakokinetiku </w:t>
      </w:r>
      <w:r w:rsidR="002C0349" w:rsidRPr="00C65707">
        <w:rPr>
          <w:sz w:val="22"/>
          <w:szCs w:val="22"/>
        </w:rPr>
        <w:t>tocilizumab</w:t>
      </w:r>
      <w:r w:rsidRPr="00C65707">
        <w:rPr>
          <w:iCs/>
          <w:sz w:val="22"/>
          <w:szCs w:val="22"/>
        </w:rPr>
        <w:t xml:space="preserve">a karakteriše nelinearna eliminacija koja je kombinacija linearnog klirensa i eliminacije prema Michaelis-Mentenovu modelu. Nelinearni dio eliminacije </w:t>
      </w:r>
      <w:r w:rsidR="002C0349" w:rsidRPr="00C65707">
        <w:rPr>
          <w:sz w:val="22"/>
          <w:szCs w:val="22"/>
        </w:rPr>
        <w:t>tocilizumab</w:t>
      </w:r>
      <w:r w:rsidRPr="00C65707">
        <w:rPr>
          <w:iCs/>
          <w:sz w:val="22"/>
          <w:szCs w:val="22"/>
        </w:rPr>
        <w:t xml:space="preserve">a dovodi do povećanja izloženosti koje je veće od proporcionale dozi. Farmakokinetički parametri </w:t>
      </w:r>
      <w:r w:rsidR="002C0349" w:rsidRPr="00C65707">
        <w:rPr>
          <w:sz w:val="22"/>
          <w:szCs w:val="22"/>
        </w:rPr>
        <w:t>tocilizumab</w:t>
      </w:r>
      <w:r w:rsidRPr="00C65707">
        <w:rPr>
          <w:iCs/>
          <w:sz w:val="22"/>
          <w:szCs w:val="22"/>
        </w:rPr>
        <w:t xml:space="preserve">a ne mijenjaju se s vremenom. Zbog zavisnosti ukupnog klirensa od serumskih koncentracija </w:t>
      </w:r>
      <w:r w:rsidR="002C0349" w:rsidRPr="00C65707">
        <w:rPr>
          <w:sz w:val="22"/>
          <w:szCs w:val="22"/>
        </w:rPr>
        <w:t>tocilizumaba</w:t>
      </w:r>
      <w:r w:rsidRPr="00C65707">
        <w:rPr>
          <w:iCs/>
          <w:sz w:val="22"/>
          <w:szCs w:val="22"/>
        </w:rPr>
        <w:t xml:space="preserve">, poluvrijeme </w:t>
      </w:r>
      <w:r w:rsidR="002C0349" w:rsidRPr="00C65707">
        <w:rPr>
          <w:sz w:val="22"/>
          <w:szCs w:val="22"/>
        </w:rPr>
        <w:t>tocilizumab</w:t>
      </w:r>
      <w:r w:rsidRPr="00C65707">
        <w:rPr>
          <w:iCs/>
          <w:sz w:val="22"/>
          <w:szCs w:val="22"/>
        </w:rPr>
        <w:t xml:space="preserve"> takođe zavisi od koncentracije i varira zavisno od serumskih koncentracija. Populacijske farmakokinetičke analize svih dosad ispitanih populacija pacijenata ni</w:t>
      </w:r>
      <w:r w:rsidR="000A085D" w:rsidRPr="00C65707">
        <w:rPr>
          <w:iCs/>
          <w:sz w:val="22"/>
          <w:szCs w:val="22"/>
        </w:rPr>
        <w:t>je</w:t>
      </w:r>
      <w:r w:rsidRPr="00C65707">
        <w:rPr>
          <w:iCs/>
          <w:sz w:val="22"/>
          <w:szCs w:val="22"/>
        </w:rPr>
        <w:t xml:space="preserve">su ukazale ni na kakvu vezu između prividnog klirensa i prisutnosti antitijela na lijek.  </w:t>
      </w:r>
    </w:p>
    <w:p w14:paraId="4868EFF0" w14:textId="77777777" w:rsidR="00CC2B31" w:rsidRPr="00C65707" w:rsidRDefault="00CC2B31" w:rsidP="002B3647">
      <w:pPr>
        <w:pStyle w:val="Header"/>
        <w:widowControl w:val="0"/>
        <w:tabs>
          <w:tab w:val="left" w:pos="284"/>
        </w:tabs>
        <w:jc w:val="both"/>
        <w:rPr>
          <w:iCs/>
          <w:sz w:val="22"/>
          <w:szCs w:val="22"/>
          <w:u w:val="single"/>
        </w:rPr>
      </w:pPr>
    </w:p>
    <w:p w14:paraId="7CC9A66C" w14:textId="77777777" w:rsidR="00CC2B31" w:rsidRPr="00C65707" w:rsidRDefault="00CC2B31">
      <w:pPr>
        <w:pStyle w:val="Header"/>
        <w:widowControl w:val="0"/>
        <w:tabs>
          <w:tab w:val="left" w:pos="284"/>
        </w:tabs>
        <w:jc w:val="both"/>
        <w:rPr>
          <w:b/>
          <w:iCs/>
          <w:sz w:val="22"/>
          <w:szCs w:val="22"/>
          <w:u w:val="single"/>
        </w:rPr>
      </w:pPr>
      <w:r w:rsidRPr="00C65707">
        <w:rPr>
          <w:b/>
          <w:iCs/>
          <w:sz w:val="22"/>
          <w:szCs w:val="22"/>
          <w:u w:val="single"/>
        </w:rPr>
        <w:t>RA</w:t>
      </w:r>
    </w:p>
    <w:p w14:paraId="5F026E13" w14:textId="77777777" w:rsidR="00CC2B31" w:rsidRPr="00C65707" w:rsidRDefault="00CC2B31">
      <w:pPr>
        <w:pStyle w:val="Header"/>
        <w:widowControl w:val="0"/>
        <w:tabs>
          <w:tab w:val="left" w:pos="284"/>
        </w:tabs>
        <w:jc w:val="both"/>
        <w:rPr>
          <w:b/>
          <w:iCs/>
          <w:sz w:val="22"/>
          <w:szCs w:val="22"/>
          <w:u w:val="single"/>
        </w:rPr>
      </w:pPr>
      <w:r w:rsidRPr="00C65707">
        <w:rPr>
          <w:b/>
          <w:iCs/>
          <w:sz w:val="22"/>
          <w:szCs w:val="22"/>
          <w:u w:val="single"/>
        </w:rPr>
        <w:t>Intravenska primjena</w:t>
      </w:r>
    </w:p>
    <w:p w14:paraId="7B45BE05" w14:textId="2AFB1740" w:rsidR="00CC2B31" w:rsidRPr="00C65707" w:rsidRDefault="00CC2B31">
      <w:pPr>
        <w:pStyle w:val="Header"/>
        <w:widowControl w:val="0"/>
        <w:tabs>
          <w:tab w:val="left" w:pos="284"/>
        </w:tabs>
        <w:jc w:val="both"/>
        <w:rPr>
          <w:iCs/>
          <w:sz w:val="22"/>
          <w:szCs w:val="22"/>
        </w:rPr>
      </w:pPr>
      <w:r w:rsidRPr="00C65707">
        <w:rPr>
          <w:iCs/>
          <w:sz w:val="22"/>
          <w:szCs w:val="22"/>
        </w:rPr>
        <w:t xml:space="preserve">Farmakokinetika </w:t>
      </w:r>
      <w:r w:rsidR="002C0349" w:rsidRPr="00C65707">
        <w:rPr>
          <w:sz w:val="22"/>
          <w:szCs w:val="22"/>
        </w:rPr>
        <w:t>tocilizumab</w:t>
      </w:r>
      <w:r w:rsidRPr="00C65707">
        <w:rPr>
          <w:iCs/>
          <w:sz w:val="22"/>
          <w:szCs w:val="22"/>
        </w:rPr>
        <w:t xml:space="preserve">a određivana je korišćenjem populacione farmakokinetičke analize po bazi podataka sastavljenoj od 3552 pacijenata sa RA koji su primali jednosatnu infuziju 4 ili 8 mg/kg </w:t>
      </w:r>
      <w:r w:rsidR="002C0349" w:rsidRPr="00C65707">
        <w:rPr>
          <w:sz w:val="22"/>
          <w:szCs w:val="22"/>
        </w:rPr>
        <w:t>tocilizumab</w:t>
      </w:r>
      <w:r w:rsidRPr="00C65707">
        <w:rPr>
          <w:iCs/>
          <w:sz w:val="22"/>
          <w:szCs w:val="22"/>
        </w:rPr>
        <w:t xml:space="preserve">a na svake 4 nedjelje tokom 24 nedjelje ili sa 162 mg tocilizumaba primjenjivanog subkutano jednom nedjeljno ili svake druge nedjelje tokom razdoblja od 24 nedjelje. </w:t>
      </w:r>
    </w:p>
    <w:p w14:paraId="3D97ADF8" w14:textId="77777777" w:rsidR="00CC2B31" w:rsidRPr="00C65707" w:rsidRDefault="00CC2B31">
      <w:pPr>
        <w:pStyle w:val="Header"/>
        <w:widowControl w:val="0"/>
        <w:tabs>
          <w:tab w:val="left" w:pos="284"/>
        </w:tabs>
        <w:jc w:val="both"/>
        <w:rPr>
          <w:iCs/>
          <w:sz w:val="22"/>
          <w:szCs w:val="22"/>
        </w:rPr>
      </w:pPr>
    </w:p>
    <w:p w14:paraId="7EF9C926" w14:textId="11FEA503" w:rsidR="00CC2B31" w:rsidRPr="00C65707" w:rsidRDefault="00CC2B31">
      <w:pPr>
        <w:widowControl w:val="0"/>
        <w:jc w:val="both"/>
        <w:rPr>
          <w:sz w:val="22"/>
          <w:szCs w:val="22"/>
        </w:rPr>
      </w:pPr>
      <w:r w:rsidRPr="00C65707">
        <w:rPr>
          <w:iCs/>
          <w:sz w:val="22"/>
          <w:szCs w:val="22"/>
        </w:rPr>
        <w:t xml:space="preserve">Sljedeći parametri (predviđena srednja vrijednost </w:t>
      </w:r>
      <w:r w:rsidRPr="00C65707">
        <w:rPr>
          <w:iCs/>
          <w:sz w:val="22"/>
          <w:szCs w:val="22"/>
        </w:rPr>
        <w:sym w:font="Symbol" w:char="F0B1"/>
      </w:r>
      <w:r w:rsidRPr="00C65707">
        <w:rPr>
          <w:iCs/>
          <w:sz w:val="22"/>
          <w:szCs w:val="22"/>
        </w:rPr>
        <w:t> SD) procjenjivani su za dozu od 8 mg/kg tocilizumaba koja se daje jednom u 4 nedjelje: površina ispod krive u stanju ravnoteže (AUC) = 38000 </w:t>
      </w:r>
      <w:r w:rsidRPr="00C65707">
        <w:rPr>
          <w:iCs/>
          <w:sz w:val="22"/>
          <w:szCs w:val="22"/>
        </w:rPr>
        <w:sym w:font="Symbol" w:char="F0B1"/>
      </w:r>
      <w:r w:rsidRPr="00C65707">
        <w:rPr>
          <w:iCs/>
          <w:sz w:val="22"/>
          <w:szCs w:val="22"/>
        </w:rPr>
        <w:t> 13000 h µg/</w:t>
      </w:r>
      <w:r w:rsidR="003F20A4" w:rsidRPr="00C65707">
        <w:rPr>
          <w:iCs/>
          <w:sz w:val="22"/>
          <w:szCs w:val="22"/>
        </w:rPr>
        <w:t>ml</w:t>
      </w:r>
      <w:r w:rsidRPr="00C65707">
        <w:rPr>
          <w:iCs/>
          <w:sz w:val="22"/>
          <w:szCs w:val="22"/>
        </w:rPr>
        <w:t>, minimalne koncentracije (pred narednu dozu) (C</w:t>
      </w:r>
      <w:r w:rsidRPr="00C65707">
        <w:rPr>
          <w:iCs/>
          <w:sz w:val="22"/>
          <w:szCs w:val="22"/>
          <w:vertAlign w:val="subscript"/>
        </w:rPr>
        <w:t>min</w:t>
      </w:r>
      <w:r w:rsidRPr="002B3647">
        <w:rPr>
          <w:iCs/>
          <w:sz w:val="22"/>
          <w:szCs w:val="22"/>
        </w:rPr>
        <w:t>) = 15,9 </w:t>
      </w:r>
      <w:r w:rsidRPr="00C65707">
        <w:rPr>
          <w:iCs/>
          <w:sz w:val="22"/>
          <w:szCs w:val="22"/>
        </w:rPr>
        <w:sym w:font="Symbol" w:char="F0B1"/>
      </w:r>
      <w:r w:rsidRPr="00C65707">
        <w:rPr>
          <w:iCs/>
          <w:sz w:val="22"/>
          <w:szCs w:val="22"/>
        </w:rPr>
        <w:t> 13,1 </w:t>
      </w:r>
      <w:r w:rsidRPr="00C65707">
        <w:rPr>
          <w:iCs/>
          <w:sz w:val="22"/>
          <w:szCs w:val="22"/>
        </w:rPr>
        <w:sym w:font="Symbol" w:char="F06D"/>
      </w:r>
      <w:r w:rsidRPr="00C65707">
        <w:rPr>
          <w:iCs/>
          <w:sz w:val="22"/>
          <w:szCs w:val="22"/>
        </w:rPr>
        <w:t>g/</w:t>
      </w:r>
      <w:r w:rsidR="003F20A4" w:rsidRPr="00C65707">
        <w:rPr>
          <w:iCs/>
          <w:sz w:val="22"/>
          <w:szCs w:val="22"/>
        </w:rPr>
        <w:t>ml</w:t>
      </w:r>
      <w:r w:rsidRPr="00C65707">
        <w:rPr>
          <w:iCs/>
          <w:sz w:val="22"/>
          <w:szCs w:val="22"/>
        </w:rPr>
        <w:t xml:space="preserve"> i maksimalne, vršne koncentracije (C</w:t>
      </w:r>
      <w:r w:rsidRPr="00C65707">
        <w:rPr>
          <w:iCs/>
          <w:sz w:val="22"/>
          <w:szCs w:val="22"/>
          <w:vertAlign w:val="subscript"/>
        </w:rPr>
        <w:t>max</w:t>
      </w:r>
      <w:r w:rsidRPr="002B3647">
        <w:rPr>
          <w:iCs/>
          <w:sz w:val="22"/>
          <w:szCs w:val="22"/>
        </w:rPr>
        <w:t>) = 182 </w:t>
      </w:r>
      <w:r w:rsidRPr="00C65707">
        <w:rPr>
          <w:iCs/>
          <w:sz w:val="22"/>
          <w:szCs w:val="22"/>
        </w:rPr>
        <w:sym w:font="Symbol" w:char="F0B1"/>
      </w:r>
      <w:r w:rsidRPr="00C65707">
        <w:rPr>
          <w:iCs/>
          <w:sz w:val="22"/>
          <w:szCs w:val="22"/>
        </w:rPr>
        <w:t> 50,4 µg/</w:t>
      </w:r>
      <w:r w:rsidR="003F20A4" w:rsidRPr="00C65707">
        <w:rPr>
          <w:iCs/>
          <w:sz w:val="22"/>
          <w:szCs w:val="22"/>
        </w:rPr>
        <w:t>ml</w:t>
      </w:r>
      <w:r w:rsidRPr="00C65707">
        <w:rPr>
          <w:iCs/>
          <w:sz w:val="22"/>
          <w:szCs w:val="22"/>
        </w:rPr>
        <w:t xml:space="preserve">, kao i koeficijenti </w:t>
      </w:r>
      <w:r w:rsidRPr="002B3647">
        <w:rPr>
          <w:iCs/>
          <w:sz w:val="22"/>
          <w:szCs w:val="22"/>
        </w:rPr>
        <w:t>akumulacije za AUC i C</w:t>
      </w:r>
      <w:r w:rsidRPr="002B3647">
        <w:rPr>
          <w:iCs/>
          <w:sz w:val="22"/>
          <w:szCs w:val="22"/>
          <w:vertAlign w:val="subscript"/>
        </w:rPr>
        <w:t>max</w:t>
      </w:r>
      <w:r w:rsidRPr="00C65707">
        <w:rPr>
          <w:iCs/>
          <w:sz w:val="22"/>
          <w:szCs w:val="22"/>
        </w:rPr>
        <w:t xml:space="preserve"> bili su mali, 1,32 odnosno 1,09. Koeficijent akumulacije bio je veći za C</w:t>
      </w:r>
      <w:r w:rsidRPr="00C65707">
        <w:rPr>
          <w:iCs/>
          <w:sz w:val="22"/>
          <w:szCs w:val="22"/>
          <w:vertAlign w:val="subscript"/>
        </w:rPr>
        <w:t>min</w:t>
      </w:r>
      <w:r w:rsidRPr="00C65707">
        <w:rPr>
          <w:iCs/>
          <w:sz w:val="22"/>
          <w:szCs w:val="22"/>
        </w:rPr>
        <w:t xml:space="preserve"> (2,49), što je bilo i očekivano na osnovu ne-linearnog klirensa za niže koncentracije. Stanje ravnoteže postizano je već po prvom davanju za C</w:t>
      </w:r>
      <w:r w:rsidRPr="00C65707">
        <w:rPr>
          <w:iCs/>
          <w:sz w:val="22"/>
          <w:szCs w:val="22"/>
          <w:vertAlign w:val="subscript"/>
        </w:rPr>
        <w:t>max</w:t>
      </w:r>
      <w:r w:rsidRPr="00C65707">
        <w:rPr>
          <w:iCs/>
          <w:sz w:val="22"/>
          <w:szCs w:val="22"/>
        </w:rPr>
        <w:t>, a poslije 8 i 20 nedjelja za AUC, odnosno C</w:t>
      </w:r>
      <w:r w:rsidRPr="00C65707">
        <w:rPr>
          <w:iCs/>
          <w:sz w:val="22"/>
          <w:szCs w:val="22"/>
          <w:vertAlign w:val="subscript"/>
        </w:rPr>
        <w:t>min</w:t>
      </w:r>
      <w:r w:rsidRPr="00C65707">
        <w:rPr>
          <w:iCs/>
          <w:sz w:val="22"/>
          <w:szCs w:val="22"/>
        </w:rPr>
        <w:t xml:space="preserve">. </w:t>
      </w:r>
      <w:r w:rsidRPr="00C65707">
        <w:rPr>
          <w:sz w:val="22"/>
          <w:szCs w:val="22"/>
        </w:rPr>
        <w:t xml:space="preserve">AUC, </w:t>
      </w:r>
      <w:r w:rsidRPr="00C65707">
        <w:rPr>
          <w:iCs/>
          <w:sz w:val="22"/>
          <w:szCs w:val="22"/>
        </w:rPr>
        <w:t>C</w:t>
      </w:r>
      <w:r w:rsidRPr="00C65707">
        <w:rPr>
          <w:iCs/>
          <w:sz w:val="22"/>
          <w:szCs w:val="22"/>
          <w:vertAlign w:val="subscript"/>
        </w:rPr>
        <w:t>min</w:t>
      </w:r>
      <w:r w:rsidRPr="00C65707">
        <w:rPr>
          <w:sz w:val="22"/>
          <w:szCs w:val="22"/>
        </w:rPr>
        <w:t xml:space="preserve"> i </w:t>
      </w:r>
      <w:r w:rsidRPr="00C65707">
        <w:rPr>
          <w:iCs/>
          <w:sz w:val="22"/>
          <w:szCs w:val="22"/>
        </w:rPr>
        <w:t>C</w:t>
      </w:r>
      <w:r w:rsidRPr="00C65707">
        <w:rPr>
          <w:iCs/>
          <w:sz w:val="22"/>
          <w:szCs w:val="22"/>
          <w:vertAlign w:val="subscript"/>
        </w:rPr>
        <w:t>max</w:t>
      </w:r>
      <w:r w:rsidRPr="00C65707">
        <w:rPr>
          <w:sz w:val="22"/>
          <w:szCs w:val="22"/>
        </w:rPr>
        <w:t xml:space="preserve"> </w:t>
      </w:r>
      <w:r w:rsidR="002C0349" w:rsidRPr="00C65707">
        <w:rPr>
          <w:sz w:val="22"/>
          <w:szCs w:val="22"/>
        </w:rPr>
        <w:t>tocilizumab</w:t>
      </w:r>
      <w:r w:rsidRPr="00C65707">
        <w:rPr>
          <w:sz w:val="22"/>
          <w:szCs w:val="22"/>
        </w:rPr>
        <w:t>a povećavali su se sa povećanjem tjelesne težine. Uz tjelesnu težinu ≥ 100 kg predviđene srednje vrijednosti (± SD) AUC</w:t>
      </w:r>
      <w:r w:rsidRPr="00C65707">
        <w:rPr>
          <w:sz w:val="22"/>
          <w:szCs w:val="22"/>
        </w:rPr>
        <w:noBreakHyphen/>
        <w:t xml:space="preserve">a, </w:t>
      </w:r>
      <w:r w:rsidRPr="00C65707">
        <w:rPr>
          <w:iCs/>
          <w:sz w:val="22"/>
          <w:szCs w:val="22"/>
        </w:rPr>
        <w:t>C</w:t>
      </w:r>
      <w:r w:rsidRPr="00C65707">
        <w:rPr>
          <w:iCs/>
          <w:sz w:val="22"/>
          <w:szCs w:val="22"/>
          <w:vertAlign w:val="subscript"/>
        </w:rPr>
        <w:t>min</w:t>
      </w:r>
      <w:r w:rsidRPr="00C65707">
        <w:rPr>
          <w:sz w:val="22"/>
          <w:szCs w:val="22"/>
        </w:rPr>
        <w:t xml:space="preserve"> odnosno </w:t>
      </w:r>
      <w:r w:rsidRPr="00C65707">
        <w:rPr>
          <w:iCs/>
          <w:sz w:val="22"/>
          <w:szCs w:val="22"/>
        </w:rPr>
        <w:t>C</w:t>
      </w:r>
      <w:r w:rsidRPr="00C65707">
        <w:rPr>
          <w:iCs/>
          <w:sz w:val="22"/>
          <w:szCs w:val="22"/>
          <w:vertAlign w:val="subscript"/>
        </w:rPr>
        <w:t>max</w:t>
      </w:r>
      <w:r w:rsidRPr="00C65707">
        <w:rPr>
          <w:sz w:val="22"/>
          <w:szCs w:val="22"/>
        </w:rPr>
        <w:t xml:space="preserve"> </w:t>
      </w:r>
      <w:r w:rsidR="002C0349" w:rsidRPr="00C65707">
        <w:rPr>
          <w:sz w:val="22"/>
          <w:szCs w:val="22"/>
        </w:rPr>
        <w:t>tocilizumab</w:t>
      </w:r>
      <w:r w:rsidRPr="00C65707">
        <w:rPr>
          <w:sz w:val="22"/>
          <w:szCs w:val="22"/>
        </w:rPr>
        <w:t>a u stanju dinamičke ravnoteže bile su 50000 ± 16800 μg•sat/</w:t>
      </w:r>
      <w:r w:rsidR="003F20A4" w:rsidRPr="00C65707">
        <w:rPr>
          <w:sz w:val="22"/>
          <w:szCs w:val="22"/>
        </w:rPr>
        <w:t>ml</w:t>
      </w:r>
      <w:r w:rsidRPr="00C65707">
        <w:rPr>
          <w:sz w:val="22"/>
          <w:szCs w:val="22"/>
        </w:rPr>
        <w:t>, 24,4 ± 17,5 μg/</w:t>
      </w:r>
      <w:r w:rsidR="003F20A4" w:rsidRPr="00C65707">
        <w:rPr>
          <w:sz w:val="22"/>
          <w:szCs w:val="22"/>
        </w:rPr>
        <w:t>ml</w:t>
      </w:r>
      <w:r w:rsidRPr="00C65707">
        <w:rPr>
          <w:sz w:val="22"/>
          <w:szCs w:val="22"/>
        </w:rPr>
        <w:t xml:space="preserve"> odnosno 226 ± 50,37 μg/</w:t>
      </w:r>
      <w:r w:rsidR="003F20A4" w:rsidRPr="00C65707">
        <w:rPr>
          <w:sz w:val="22"/>
          <w:szCs w:val="22"/>
        </w:rPr>
        <w:t>ml</w:t>
      </w:r>
      <w:r w:rsidRPr="00C65707">
        <w:rPr>
          <w:sz w:val="22"/>
          <w:szCs w:val="22"/>
        </w:rPr>
        <w:t xml:space="preserve">, što je veće od srednjih vrijednosti izloženosti za populaciju pacijenata (tj. sve tjelesne težine) gore navedenih. Kriva doza-odgovor za tocilizumab izjednačava se pri višoj izloženosti, što rezultira manjim povećanjem efikasnosti za svako dodatno povećanje koncentracije </w:t>
      </w:r>
      <w:r w:rsidR="002C0349" w:rsidRPr="00C65707">
        <w:rPr>
          <w:sz w:val="22"/>
          <w:szCs w:val="22"/>
        </w:rPr>
        <w:t>tocilizumab</w:t>
      </w:r>
      <w:r w:rsidRPr="00C65707">
        <w:rPr>
          <w:sz w:val="22"/>
          <w:szCs w:val="22"/>
        </w:rPr>
        <w:t>a tako da klinički značajna povećanja efikasnosti ni</w:t>
      </w:r>
      <w:r w:rsidR="000A085D" w:rsidRPr="00C65707">
        <w:rPr>
          <w:sz w:val="22"/>
          <w:szCs w:val="22"/>
        </w:rPr>
        <w:t>je</w:t>
      </w:r>
      <w:r w:rsidRPr="00C65707">
        <w:rPr>
          <w:sz w:val="22"/>
          <w:szCs w:val="22"/>
        </w:rPr>
        <w:t xml:space="preserve">su pokazana kod pacijenata liječenih sa više od 800 mg lijeka RoActemra. Stoga se doze </w:t>
      </w:r>
      <w:r w:rsidR="002C0349" w:rsidRPr="00C65707">
        <w:rPr>
          <w:sz w:val="22"/>
          <w:szCs w:val="22"/>
        </w:rPr>
        <w:t>tocilizumab</w:t>
      </w:r>
      <w:r w:rsidRPr="00C65707">
        <w:rPr>
          <w:sz w:val="22"/>
          <w:szCs w:val="22"/>
        </w:rPr>
        <w:t>a veće od 800 mg po infuziji ne preporučuju (vidjeti dio 4.2).</w:t>
      </w:r>
    </w:p>
    <w:p w14:paraId="4FA6B0A3" w14:textId="77777777" w:rsidR="00CC2B31" w:rsidRPr="00C65707" w:rsidRDefault="00CC2B31">
      <w:pPr>
        <w:pStyle w:val="Header"/>
        <w:widowControl w:val="0"/>
        <w:tabs>
          <w:tab w:val="left" w:pos="284"/>
        </w:tabs>
        <w:jc w:val="both"/>
        <w:rPr>
          <w:iCs/>
          <w:sz w:val="22"/>
          <w:szCs w:val="22"/>
        </w:rPr>
      </w:pPr>
    </w:p>
    <w:p w14:paraId="48D3448A" w14:textId="77777777" w:rsidR="00CC2B31" w:rsidRPr="00C65707" w:rsidRDefault="00CC2B31">
      <w:pPr>
        <w:pStyle w:val="Header"/>
        <w:widowControl w:val="0"/>
        <w:tabs>
          <w:tab w:val="left" w:pos="284"/>
        </w:tabs>
        <w:jc w:val="both"/>
        <w:rPr>
          <w:iCs/>
          <w:sz w:val="22"/>
          <w:szCs w:val="22"/>
          <w:u w:val="single"/>
        </w:rPr>
      </w:pPr>
      <w:r w:rsidRPr="00C65707">
        <w:rPr>
          <w:iCs/>
          <w:sz w:val="22"/>
          <w:szCs w:val="22"/>
          <w:u w:val="single"/>
        </w:rPr>
        <w:t>Distribucija</w:t>
      </w:r>
    </w:p>
    <w:p w14:paraId="6BF94E7A" w14:textId="07BB78FC" w:rsidR="00CC2B31" w:rsidRPr="00C65707" w:rsidRDefault="00CC2B31">
      <w:pPr>
        <w:pStyle w:val="Header"/>
        <w:widowControl w:val="0"/>
        <w:tabs>
          <w:tab w:val="left" w:pos="284"/>
        </w:tabs>
        <w:jc w:val="both"/>
        <w:rPr>
          <w:iCs/>
          <w:sz w:val="22"/>
          <w:szCs w:val="22"/>
        </w:rPr>
      </w:pPr>
      <w:r w:rsidRPr="00C65707">
        <w:rPr>
          <w:iCs/>
          <w:sz w:val="22"/>
          <w:szCs w:val="22"/>
        </w:rPr>
        <w:t xml:space="preserve">Kod pacijenata sa RA centralni volumen distribucije iznosio je 3,72 </w:t>
      </w:r>
      <w:r w:rsidR="00EB461E">
        <w:rPr>
          <w:iCs/>
          <w:sz w:val="22"/>
          <w:szCs w:val="22"/>
        </w:rPr>
        <w:t>l</w:t>
      </w:r>
      <w:r w:rsidRPr="00C65707">
        <w:rPr>
          <w:iCs/>
          <w:sz w:val="22"/>
          <w:szCs w:val="22"/>
        </w:rPr>
        <w:t xml:space="preserve">, periferni volumen distribucije iznosio je 3,35 </w:t>
      </w:r>
      <w:r w:rsidR="00EB461E">
        <w:rPr>
          <w:iCs/>
          <w:sz w:val="22"/>
          <w:szCs w:val="22"/>
        </w:rPr>
        <w:t>l</w:t>
      </w:r>
      <w:r w:rsidRPr="00C65707">
        <w:rPr>
          <w:iCs/>
          <w:sz w:val="22"/>
          <w:szCs w:val="22"/>
        </w:rPr>
        <w:t xml:space="preserve"> što je dovodilo do volumena distribucije u stanju ravnoteže od 7,07 </w:t>
      </w:r>
      <w:r w:rsidR="00EB461E">
        <w:rPr>
          <w:iCs/>
          <w:sz w:val="22"/>
          <w:szCs w:val="22"/>
        </w:rPr>
        <w:t>l</w:t>
      </w:r>
      <w:r w:rsidRPr="00C65707">
        <w:rPr>
          <w:iCs/>
          <w:sz w:val="22"/>
          <w:szCs w:val="22"/>
        </w:rPr>
        <w:t xml:space="preserve">. </w:t>
      </w:r>
    </w:p>
    <w:p w14:paraId="5644912F" w14:textId="77777777" w:rsidR="00CC2B31" w:rsidRPr="00C65707" w:rsidRDefault="00CC2B31">
      <w:pPr>
        <w:pStyle w:val="Header"/>
        <w:widowControl w:val="0"/>
        <w:tabs>
          <w:tab w:val="left" w:pos="284"/>
        </w:tabs>
        <w:jc w:val="both"/>
        <w:rPr>
          <w:iCs/>
          <w:sz w:val="22"/>
          <w:szCs w:val="22"/>
        </w:rPr>
      </w:pPr>
    </w:p>
    <w:p w14:paraId="1F82A373" w14:textId="77777777" w:rsidR="00CC2B31" w:rsidRPr="00C65707" w:rsidRDefault="00CC2B31">
      <w:pPr>
        <w:pStyle w:val="Header"/>
        <w:widowControl w:val="0"/>
        <w:tabs>
          <w:tab w:val="left" w:pos="284"/>
        </w:tabs>
        <w:jc w:val="both"/>
        <w:rPr>
          <w:iCs/>
          <w:sz w:val="22"/>
          <w:szCs w:val="22"/>
          <w:u w:val="single"/>
        </w:rPr>
      </w:pPr>
      <w:r w:rsidRPr="00C65707">
        <w:rPr>
          <w:iCs/>
          <w:sz w:val="22"/>
          <w:szCs w:val="22"/>
          <w:u w:val="single"/>
        </w:rPr>
        <w:t>Eliminacija</w:t>
      </w:r>
    </w:p>
    <w:p w14:paraId="71C5316A" w14:textId="3E1D044F" w:rsidR="00CC2B31" w:rsidRPr="00C65707" w:rsidRDefault="00CC2B31">
      <w:pPr>
        <w:pStyle w:val="Header"/>
        <w:widowControl w:val="0"/>
        <w:tabs>
          <w:tab w:val="left" w:pos="284"/>
        </w:tabs>
        <w:jc w:val="both"/>
        <w:rPr>
          <w:iCs/>
          <w:sz w:val="22"/>
          <w:szCs w:val="22"/>
        </w:rPr>
      </w:pPr>
      <w:r w:rsidRPr="00C65707">
        <w:rPr>
          <w:iCs/>
          <w:sz w:val="22"/>
          <w:szCs w:val="22"/>
        </w:rPr>
        <w:t xml:space="preserve">Po intravenskoj primjeni, </w:t>
      </w:r>
      <w:r w:rsidR="009C5005" w:rsidRPr="00C65707">
        <w:rPr>
          <w:sz w:val="22"/>
          <w:szCs w:val="22"/>
        </w:rPr>
        <w:t>tocilizumab</w:t>
      </w:r>
      <w:r w:rsidRPr="00C65707">
        <w:rPr>
          <w:iCs/>
          <w:sz w:val="22"/>
          <w:szCs w:val="22"/>
        </w:rPr>
        <w:t xml:space="preserve"> podliježe bi-faznoj eliminaciji iz cirkulacije. Ukupni klirens </w:t>
      </w:r>
      <w:r w:rsidR="009C5005" w:rsidRPr="00C65707">
        <w:rPr>
          <w:sz w:val="22"/>
          <w:szCs w:val="22"/>
        </w:rPr>
        <w:lastRenderedPageBreak/>
        <w:t>tocilizumab</w:t>
      </w:r>
      <w:r w:rsidRPr="00C65707">
        <w:rPr>
          <w:iCs/>
          <w:sz w:val="22"/>
          <w:szCs w:val="22"/>
        </w:rPr>
        <w:t>a zavisio je od koncentracije i predstavlja zbir linearnog i ne-linearnog klirensa. Linearni klirens je procjenjivan kao parametar u analizi populacione farmakokinetike, i iznosio je 9,5 </w:t>
      </w:r>
      <w:r w:rsidR="003F20A4" w:rsidRPr="00C65707">
        <w:rPr>
          <w:iCs/>
          <w:sz w:val="22"/>
          <w:szCs w:val="22"/>
        </w:rPr>
        <w:t>ml</w:t>
      </w:r>
      <w:r w:rsidRPr="00C65707">
        <w:rPr>
          <w:iCs/>
          <w:sz w:val="22"/>
          <w:szCs w:val="22"/>
        </w:rPr>
        <w:t xml:space="preserve">/h. Ne-linearni klirens koji zavisi od koncentracije igra važnu ulogu pri niskim koncentracijama </w:t>
      </w:r>
      <w:r w:rsidR="009C5005" w:rsidRPr="00C65707">
        <w:rPr>
          <w:sz w:val="22"/>
          <w:szCs w:val="22"/>
        </w:rPr>
        <w:t>tocilizumab</w:t>
      </w:r>
      <w:r w:rsidRPr="00C65707">
        <w:rPr>
          <w:iCs/>
          <w:sz w:val="22"/>
          <w:szCs w:val="22"/>
        </w:rPr>
        <w:t xml:space="preserve">a. Kada je nelinearni put klirensa zasićen, pri većim koncentracijama </w:t>
      </w:r>
      <w:r w:rsidR="009C5005" w:rsidRPr="00C65707">
        <w:rPr>
          <w:sz w:val="22"/>
          <w:szCs w:val="22"/>
        </w:rPr>
        <w:t>tocilizumaba</w:t>
      </w:r>
      <w:r w:rsidRPr="00C65707">
        <w:rPr>
          <w:iCs/>
          <w:sz w:val="22"/>
          <w:szCs w:val="22"/>
        </w:rPr>
        <w:t xml:space="preserve">, dalji klirens je uglavnom određen linearnim klirensom.  </w:t>
      </w:r>
    </w:p>
    <w:p w14:paraId="3505AA04" w14:textId="77777777" w:rsidR="00CC2B31" w:rsidRPr="00C65707" w:rsidRDefault="00CC2B31">
      <w:pPr>
        <w:pStyle w:val="Header"/>
        <w:widowControl w:val="0"/>
        <w:tabs>
          <w:tab w:val="left" w:pos="284"/>
        </w:tabs>
        <w:jc w:val="both"/>
        <w:rPr>
          <w:iCs/>
          <w:sz w:val="22"/>
          <w:szCs w:val="22"/>
        </w:rPr>
      </w:pPr>
    </w:p>
    <w:p w14:paraId="355834B2" w14:textId="30FFD468" w:rsidR="00CC2B31" w:rsidRPr="00C65707" w:rsidRDefault="00CC2B31">
      <w:pPr>
        <w:pStyle w:val="Header"/>
        <w:widowControl w:val="0"/>
        <w:tabs>
          <w:tab w:val="left" w:pos="284"/>
        </w:tabs>
        <w:jc w:val="both"/>
        <w:rPr>
          <w:iCs/>
          <w:sz w:val="22"/>
          <w:szCs w:val="22"/>
        </w:rPr>
      </w:pPr>
      <w:r w:rsidRPr="00C65707">
        <w:rPr>
          <w:iCs/>
          <w:sz w:val="22"/>
          <w:szCs w:val="22"/>
        </w:rPr>
        <w:t>Poluvrijeme eliminacije ( t</w:t>
      </w:r>
      <w:r w:rsidRPr="00C65707">
        <w:rPr>
          <w:iCs/>
          <w:sz w:val="22"/>
          <w:szCs w:val="22"/>
          <w:vertAlign w:val="subscript"/>
        </w:rPr>
        <w:t>1/2</w:t>
      </w:r>
      <w:r w:rsidRPr="00C65707">
        <w:rPr>
          <w:iCs/>
          <w:sz w:val="22"/>
          <w:szCs w:val="22"/>
        </w:rPr>
        <w:t xml:space="preserve"> ) </w:t>
      </w:r>
      <w:r w:rsidR="009C5005" w:rsidRPr="00C65707">
        <w:rPr>
          <w:sz w:val="22"/>
          <w:szCs w:val="22"/>
        </w:rPr>
        <w:t>tocilizumab</w:t>
      </w:r>
      <w:r w:rsidRPr="00C65707">
        <w:rPr>
          <w:iCs/>
          <w:sz w:val="22"/>
          <w:szCs w:val="22"/>
        </w:rPr>
        <w:t>a bilo je zavisno od koncentracije. U stanju ravnoteže po davanju doze od 8 mg/kg na svake 4 nedjelje, efektivno t</w:t>
      </w:r>
      <w:r w:rsidRPr="00C65707">
        <w:rPr>
          <w:iCs/>
          <w:sz w:val="22"/>
          <w:szCs w:val="22"/>
          <w:vertAlign w:val="subscript"/>
        </w:rPr>
        <w:t>1/2</w:t>
      </w:r>
      <w:r w:rsidRPr="00C65707">
        <w:rPr>
          <w:iCs/>
          <w:sz w:val="22"/>
          <w:szCs w:val="22"/>
        </w:rPr>
        <w:t xml:space="preserve"> opadalo je sa smanjenjem koncentracija u intervalu doziranja od 18 dana do 6 dana.</w:t>
      </w:r>
    </w:p>
    <w:p w14:paraId="13EA50F5" w14:textId="77777777" w:rsidR="00CC2B31" w:rsidRPr="00C65707" w:rsidRDefault="00CC2B31">
      <w:pPr>
        <w:pStyle w:val="Header"/>
        <w:widowControl w:val="0"/>
        <w:tabs>
          <w:tab w:val="left" w:pos="284"/>
        </w:tabs>
        <w:jc w:val="both"/>
        <w:rPr>
          <w:iCs/>
          <w:sz w:val="22"/>
          <w:szCs w:val="22"/>
        </w:rPr>
      </w:pPr>
    </w:p>
    <w:p w14:paraId="1F3074A3" w14:textId="77777777" w:rsidR="00CC2B31" w:rsidRPr="00C65707" w:rsidRDefault="00CC2B31">
      <w:pPr>
        <w:pStyle w:val="Header"/>
        <w:widowControl w:val="0"/>
        <w:tabs>
          <w:tab w:val="left" w:pos="284"/>
        </w:tabs>
        <w:jc w:val="both"/>
        <w:rPr>
          <w:sz w:val="22"/>
          <w:szCs w:val="22"/>
          <w:u w:val="single"/>
        </w:rPr>
      </w:pPr>
      <w:r w:rsidRPr="00C65707">
        <w:rPr>
          <w:sz w:val="22"/>
          <w:szCs w:val="22"/>
          <w:u w:val="single"/>
        </w:rPr>
        <w:t>Linearnost</w:t>
      </w:r>
    </w:p>
    <w:p w14:paraId="20F75C72" w14:textId="6184695A" w:rsidR="00CC2B31" w:rsidRPr="00C65707" w:rsidRDefault="00CC2B31">
      <w:pPr>
        <w:pStyle w:val="Header"/>
        <w:widowControl w:val="0"/>
        <w:tabs>
          <w:tab w:val="left" w:pos="284"/>
        </w:tabs>
        <w:jc w:val="both"/>
        <w:rPr>
          <w:iCs/>
          <w:sz w:val="22"/>
          <w:szCs w:val="22"/>
        </w:rPr>
      </w:pPr>
      <w:r w:rsidRPr="00C65707">
        <w:rPr>
          <w:iCs/>
          <w:sz w:val="22"/>
          <w:szCs w:val="22"/>
        </w:rPr>
        <w:t xml:space="preserve">Farmakokinetički parametri </w:t>
      </w:r>
      <w:r w:rsidR="009C5005" w:rsidRPr="00C65707">
        <w:rPr>
          <w:sz w:val="22"/>
          <w:szCs w:val="22"/>
        </w:rPr>
        <w:t>tocilizumab</w:t>
      </w:r>
      <w:r w:rsidRPr="00C65707">
        <w:rPr>
          <w:iCs/>
          <w:sz w:val="22"/>
          <w:szCs w:val="22"/>
        </w:rPr>
        <w:t>a nijesu se mijenjali s vremenom. Veće od dozno proporcionalnog povećanja AUC i C</w:t>
      </w:r>
      <w:r w:rsidRPr="00C65707">
        <w:rPr>
          <w:iCs/>
          <w:sz w:val="22"/>
          <w:szCs w:val="22"/>
          <w:vertAlign w:val="subscript"/>
        </w:rPr>
        <w:t>min</w:t>
      </w:r>
      <w:r w:rsidRPr="00C65707">
        <w:rPr>
          <w:iCs/>
          <w:sz w:val="22"/>
          <w:szCs w:val="22"/>
        </w:rPr>
        <w:t xml:space="preserve"> </w:t>
      </w:r>
      <w:r w:rsidRPr="00C65707">
        <w:rPr>
          <w:sz w:val="22"/>
          <w:szCs w:val="22"/>
        </w:rPr>
        <w:t>zabilježen</w:t>
      </w:r>
      <w:r w:rsidRPr="00C65707">
        <w:rPr>
          <w:iCs/>
          <w:sz w:val="22"/>
          <w:szCs w:val="22"/>
        </w:rPr>
        <w:t>o je za doze od 4 i 8 mg/kg na svake 4 nedjelje. C</w:t>
      </w:r>
      <w:r w:rsidRPr="00C65707">
        <w:rPr>
          <w:iCs/>
          <w:sz w:val="22"/>
          <w:szCs w:val="22"/>
          <w:vertAlign w:val="subscript"/>
        </w:rPr>
        <w:t>max</w:t>
      </w:r>
      <w:r w:rsidRPr="00C65707">
        <w:rPr>
          <w:iCs/>
          <w:sz w:val="22"/>
          <w:szCs w:val="22"/>
        </w:rPr>
        <w:t xml:space="preserve"> je povećavana proporcionalno dozi. U stanju ravnoteže, predviđene vrijednosti AUC i C</w:t>
      </w:r>
      <w:r w:rsidRPr="00C65707">
        <w:rPr>
          <w:iCs/>
          <w:sz w:val="22"/>
          <w:szCs w:val="22"/>
          <w:vertAlign w:val="subscript"/>
        </w:rPr>
        <w:t>min</w:t>
      </w:r>
      <w:r w:rsidRPr="00C65707">
        <w:rPr>
          <w:iCs/>
          <w:sz w:val="22"/>
          <w:szCs w:val="22"/>
        </w:rPr>
        <w:t xml:space="preserve"> bile su 3,2  odnosno 30 puta veće za dozu od 8 mg/kg u poređenju sa dozom od 4 mg/kg.</w:t>
      </w:r>
    </w:p>
    <w:p w14:paraId="4CA242FA" w14:textId="77777777" w:rsidR="00CC2B31" w:rsidRPr="00C65707" w:rsidRDefault="00CC2B31">
      <w:pPr>
        <w:pStyle w:val="Header"/>
        <w:widowControl w:val="0"/>
        <w:tabs>
          <w:tab w:val="left" w:pos="284"/>
        </w:tabs>
        <w:jc w:val="both"/>
        <w:rPr>
          <w:iCs/>
          <w:sz w:val="22"/>
          <w:szCs w:val="22"/>
        </w:rPr>
      </w:pPr>
    </w:p>
    <w:p w14:paraId="07F04831" w14:textId="3FBA4A41" w:rsidR="00CC2B31" w:rsidRPr="00C65707" w:rsidRDefault="00CC2B31">
      <w:pPr>
        <w:widowControl w:val="0"/>
        <w:jc w:val="both"/>
        <w:rPr>
          <w:b/>
          <w:iCs/>
          <w:sz w:val="22"/>
          <w:szCs w:val="22"/>
          <w:u w:val="single"/>
        </w:rPr>
      </w:pPr>
      <w:r w:rsidRPr="005B21F5">
        <w:rPr>
          <w:b/>
          <w:iCs/>
          <w:sz w:val="22"/>
          <w:szCs w:val="22"/>
          <w:u w:val="single"/>
        </w:rPr>
        <w:t>Subkutana primjena</w:t>
      </w:r>
    </w:p>
    <w:p w14:paraId="280E2B56" w14:textId="0B220CB2" w:rsidR="00CC2B31" w:rsidRPr="00C65707" w:rsidRDefault="00CC2B31">
      <w:pPr>
        <w:widowControl w:val="0"/>
        <w:jc w:val="both"/>
        <w:rPr>
          <w:iCs/>
          <w:sz w:val="22"/>
          <w:szCs w:val="22"/>
        </w:rPr>
      </w:pPr>
      <w:r w:rsidRPr="00C65707">
        <w:rPr>
          <w:iCs/>
          <w:sz w:val="22"/>
          <w:szCs w:val="22"/>
        </w:rPr>
        <w:t xml:space="preserve">Farmakokinetika </w:t>
      </w:r>
      <w:r w:rsidR="009C5005" w:rsidRPr="00C65707">
        <w:rPr>
          <w:sz w:val="22"/>
          <w:szCs w:val="22"/>
        </w:rPr>
        <w:t>tocilizumab</w:t>
      </w:r>
      <w:r w:rsidRPr="00C65707">
        <w:rPr>
          <w:iCs/>
          <w:sz w:val="22"/>
          <w:szCs w:val="22"/>
        </w:rPr>
        <w:t>a određivana je korišćenjem populacione farmakokinetičke analize iz baze podataka sastavljene od 3552 pacijenata sa RA liječenih subkutanom dozom od 162 mg jedanput nedjeljno, subkutanom dozom od 162 mg jedanput svake dvije nedjelje ili intravenskom dozom od ili 4 ili 8 mg/kg jedanput svake 4 nedjelje tokom perioda od 24 nedjelje.</w:t>
      </w:r>
    </w:p>
    <w:p w14:paraId="42A14A2C" w14:textId="77777777" w:rsidR="00CC2B31" w:rsidRPr="00C65707" w:rsidRDefault="00CC2B31">
      <w:pPr>
        <w:widowControl w:val="0"/>
        <w:jc w:val="both"/>
        <w:rPr>
          <w:iCs/>
          <w:sz w:val="22"/>
          <w:szCs w:val="22"/>
        </w:rPr>
      </w:pPr>
    </w:p>
    <w:p w14:paraId="40A76236" w14:textId="12CC69E0" w:rsidR="00CC2B31" w:rsidRPr="00C65707" w:rsidRDefault="00CC2B31">
      <w:pPr>
        <w:widowControl w:val="0"/>
        <w:jc w:val="both"/>
        <w:rPr>
          <w:iCs/>
          <w:sz w:val="22"/>
          <w:szCs w:val="22"/>
        </w:rPr>
      </w:pPr>
      <w:r w:rsidRPr="00C65707">
        <w:rPr>
          <w:iCs/>
          <w:sz w:val="22"/>
          <w:szCs w:val="22"/>
        </w:rPr>
        <w:t xml:space="preserve">Farmakokinetički parametri </w:t>
      </w:r>
      <w:r w:rsidR="009C5005" w:rsidRPr="00C65707">
        <w:rPr>
          <w:sz w:val="22"/>
          <w:szCs w:val="22"/>
        </w:rPr>
        <w:t>tocilizumab</w:t>
      </w:r>
      <w:r w:rsidRPr="00C65707">
        <w:rPr>
          <w:iCs/>
          <w:sz w:val="22"/>
          <w:szCs w:val="22"/>
        </w:rPr>
        <w:t>a nijesu se mijenjali sa vremenom. Pri dozi od 162 mg jedanput nedjeljno, predviđeni srednji (±SD) AUC</w:t>
      </w:r>
      <w:r w:rsidRPr="00C65707">
        <w:rPr>
          <w:iCs/>
          <w:sz w:val="22"/>
          <w:szCs w:val="22"/>
          <w:vertAlign w:val="subscript"/>
        </w:rPr>
        <w:t>1nedjelja</w:t>
      </w:r>
      <w:r w:rsidRPr="00C65707">
        <w:rPr>
          <w:iCs/>
          <w:sz w:val="22"/>
          <w:szCs w:val="22"/>
        </w:rPr>
        <w:t>, C</w:t>
      </w:r>
      <w:r w:rsidRPr="00C65707">
        <w:rPr>
          <w:iCs/>
          <w:sz w:val="22"/>
          <w:szCs w:val="22"/>
          <w:vertAlign w:val="subscript"/>
        </w:rPr>
        <w:t>min</w:t>
      </w:r>
      <w:r w:rsidRPr="00C65707">
        <w:rPr>
          <w:iCs/>
          <w:sz w:val="22"/>
          <w:szCs w:val="22"/>
        </w:rPr>
        <w:t xml:space="preserve"> odnosno C</w:t>
      </w:r>
      <w:r w:rsidRPr="00C65707">
        <w:rPr>
          <w:iCs/>
          <w:sz w:val="22"/>
          <w:szCs w:val="22"/>
          <w:vertAlign w:val="subscript"/>
        </w:rPr>
        <w:t>max</w:t>
      </w:r>
      <w:r w:rsidRPr="00C65707">
        <w:rPr>
          <w:iCs/>
          <w:sz w:val="22"/>
          <w:szCs w:val="22"/>
        </w:rPr>
        <w:t xml:space="preserve"> </w:t>
      </w:r>
      <w:r w:rsidR="009C5005" w:rsidRPr="00C65707">
        <w:rPr>
          <w:sz w:val="22"/>
          <w:szCs w:val="22"/>
        </w:rPr>
        <w:t>tocilizumab</w:t>
      </w:r>
      <w:r w:rsidRPr="00C65707">
        <w:rPr>
          <w:iCs/>
          <w:sz w:val="22"/>
          <w:szCs w:val="22"/>
        </w:rPr>
        <w:t>a u stanju dinamičke ravnoteže iznosili su 7970 ± 3432 μg•sat/</w:t>
      </w:r>
      <w:r w:rsidR="003F20A4" w:rsidRPr="00C65707">
        <w:rPr>
          <w:iCs/>
          <w:sz w:val="22"/>
          <w:szCs w:val="22"/>
        </w:rPr>
        <w:t>ml</w:t>
      </w:r>
      <w:r w:rsidRPr="00C65707">
        <w:rPr>
          <w:iCs/>
          <w:sz w:val="22"/>
          <w:szCs w:val="22"/>
        </w:rPr>
        <w:t>, 43,04 ± 19,8 μg/</w:t>
      </w:r>
      <w:r w:rsidR="003F20A4" w:rsidRPr="00C65707">
        <w:rPr>
          <w:iCs/>
          <w:sz w:val="22"/>
          <w:szCs w:val="22"/>
        </w:rPr>
        <w:t>ml</w:t>
      </w:r>
      <w:r w:rsidRPr="00C65707">
        <w:rPr>
          <w:iCs/>
          <w:sz w:val="22"/>
          <w:szCs w:val="22"/>
        </w:rPr>
        <w:t xml:space="preserve"> odnosno 49,8 ± 21,0 μg/</w:t>
      </w:r>
      <w:r w:rsidR="003F20A4" w:rsidRPr="00C65707">
        <w:rPr>
          <w:iCs/>
          <w:sz w:val="22"/>
          <w:szCs w:val="22"/>
        </w:rPr>
        <w:t>ml</w:t>
      </w:r>
      <w:r w:rsidRPr="00C65707">
        <w:rPr>
          <w:iCs/>
          <w:sz w:val="22"/>
          <w:szCs w:val="22"/>
        </w:rPr>
        <w:t>. Odnos kumulacije za AUC iznosio je 6,32, za Cmin 6,30, a za C</w:t>
      </w:r>
      <w:r w:rsidRPr="00C65707">
        <w:rPr>
          <w:iCs/>
          <w:sz w:val="22"/>
          <w:szCs w:val="22"/>
          <w:vertAlign w:val="subscript"/>
        </w:rPr>
        <w:t>max</w:t>
      </w:r>
      <w:r w:rsidRPr="00C65707">
        <w:rPr>
          <w:iCs/>
          <w:sz w:val="22"/>
          <w:szCs w:val="22"/>
        </w:rPr>
        <w:t xml:space="preserve"> 5,27. Stanje dinamičke ravnoteže za AUC, C</w:t>
      </w:r>
      <w:r w:rsidRPr="00C65707">
        <w:rPr>
          <w:iCs/>
          <w:sz w:val="22"/>
          <w:szCs w:val="22"/>
          <w:vertAlign w:val="subscript"/>
        </w:rPr>
        <w:t>min</w:t>
      </w:r>
      <w:r w:rsidRPr="00C65707">
        <w:rPr>
          <w:iCs/>
          <w:sz w:val="22"/>
          <w:szCs w:val="22"/>
        </w:rPr>
        <w:t xml:space="preserve"> i C</w:t>
      </w:r>
      <w:r w:rsidRPr="00C65707">
        <w:rPr>
          <w:iCs/>
          <w:sz w:val="22"/>
          <w:szCs w:val="22"/>
          <w:vertAlign w:val="subscript"/>
        </w:rPr>
        <w:t>max</w:t>
      </w:r>
      <w:r w:rsidRPr="00C65707">
        <w:rPr>
          <w:iCs/>
          <w:sz w:val="22"/>
          <w:szCs w:val="22"/>
        </w:rPr>
        <w:t xml:space="preserve"> postignuto je nakon 12 nedjelja.</w:t>
      </w:r>
    </w:p>
    <w:p w14:paraId="706F7E7E" w14:textId="77777777" w:rsidR="00CC2B31" w:rsidRPr="00C65707" w:rsidRDefault="00CC2B31">
      <w:pPr>
        <w:widowControl w:val="0"/>
        <w:jc w:val="both"/>
        <w:rPr>
          <w:iCs/>
          <w:sz w:val="22"/>
          <w:szCs w:val="22"/>
        </w:rPr>
      </w:pPr>
    </w:p>
    <w:p w14:paraId="00548F8E" w14:textId="34FDAA27" w:rsidR="00CC2B31" w:rsidRPr="00C65707" w:rsidRDefault="00CC2B31">
      <w:pPr>
        <w:widowControl w:val="0"/>
        <w:jc w:val="both"/>
        <w:rPr>
          <w:iCs/>
          <w:sz w:val="22"/>
          <w:szCs w:val="22"/>
        </w:rPr>
      </w:pPr>
      <w:r w:rsidRPr="00C65707">
        <w:rPr>
          <w:iCs/>
          <w:sz w:val="22"/>
          <w:szCs w:val="22"/>
        </w:rPr>
        <w:t>Pri dozi od 162 mg jedanput svake dvije nedjelje, predviđeni srednji (±SD) AUC</w:t>
      </w:r>
      <w:r w:rsidRPr="00C65707">
        <w:rPr>
          <w:iCs/>
          <w:sz w:val="22"/>
          <w:szCs w:val="22"/>
          <w:vertAlign w:val="subscript"/>
        </w:rPr>
        <w:t>2nedjelje</w:t>
      </w:r>
      <w:r w:rsidRPr="00C65707">
        <w:rPr>
          <w:iCs/>
          <w:sz w:val="22"/>
          <w:szCs w:val="22"/>
        </w:rPr>
        <w:t>, C</w:t>
      </w:r>
      <w:r w:rsidRPr="00C65707">
        <w:rPr>
          <w:iCs/>
          <w:sz w:val="22"/>
          <w:szCs w:val="22"/>
          <w:vertAlign w:val="subscript"/>
        </w:rPr>
        <w:t>min</w:t>
      </w:r>
      <w:r w:rsidRPr="00C65707">
        <w:rPr>
          <w:iCs/>
          <w:sz w:val="22"/>
          <w:szCs w:val="22"/>
        </w:rPr>
        <w:t xml:space="preserve"> odnosno C</w:t>
      </w:r>
      <w:r w:rsidRPr="00C65707">
        <w:rPr>
          <w:iCs/>
          <w:sz w:val="22"/>
          <w:szCs w:val="22"/>
          <w:vertAlign w:val="subscript"/>
        </w:rPr>
        <w:t>max</w:t>
      </w:r>
      <w:r w:rsidRPr="00C65707">
        <w:rPr>
          <w:iCs/>
          <w:sz w:val="22"/>
          <w:szCs w:val="22"/>
        </w:rPr>
        <w:t xml:space="preserve"> </w:t>
      </w:r>
      <w:r w:rsidR="009C5005" w:rsidRPr="00C65707">
        <w:rPr>
          <w:sz w:val="22"/>
          <w:szCs w:val="22"/>
        </w:rPr>
        <w:t>tocilizumab</w:t>
      </w:r>
      <w:r w:rsidRPr="00C65707">
        <w:rPr>
          <w:iCs/>
          <w:sz w:val="22"/>
          <w:szCs w:val="22"/>
        </w:rPr>
        <w:t>a u stanju dinamičke ravnoteže iznosili su 3430 ± 2660 μg•sat/</w:t>
      </w:r>
      <w:r w:rsidR="003F20A4" w:rsidRPr="00C65707">
        <w:rPr>
          <w:iCs/>
          <w:sz w:val="22"/>
          <w:szCs w:val="22"/>
        </w:rPr>
        <w:t>ml</w:t>
      </w:r>
      <w:r w:rsidRPr="00C65707">
        <w:rPr>
          <w:iCs/>
          <w:sz w:val="22"/>
          <w:szCs w:val="22"/>
        </w:rPr>
        <w:t>, 5,7 ± 6,8 μg/</w:t>
      </w:r>
      <w:r w:rsidR="003F20A4" w:rsidRPr="00C65707">
        <w:rPr>
          <w:iCs/>
          <w:sz w:val="22"/>
          <w:szCs w:val="22"/>
        </w:rPr>
        <w:t>ml</w:t>
      </w:r>
      <w:r w:rsidRPr="00C65707">
        <w:rPr>
          <w:iCs/>
          <w:sz w:val="22"/>
          <w:szCs w:val="22"/>
        </w:rPr>
        <w:t xml:space="preserve"> odnosno 13,2 ± 8,8 μg/</w:t>
      </w:r>
      <w:r w:rsidR="003F20A4" w:rsidRPr="00C65707">
        <w:rPr>
          <w:iCs/>
          <w:sz w:val="22"/>
          <w:szCs w:val="22"/>
        </w:rPr>
        <w:t>ml</w:t>
      </w:r>
      <w:r w:rsidRPr="00C65707">
        <w:rPr>
          <w:iCs/>
          <w:sz w:val="22"/>
          <w:szCs w:val="22"/>
        </w:rPr>
        <w:t>. Odnos kumulacije za AUC iznosio je 2,67, za C</w:t>
      </w:r>
      <w:r w:rsidRPr="00C65707">
        <w:rPr>
          <w:iCs/>
          <w:sz w:val="22"/>
          <w:szCs w:val="22"/>
          <w:vertAlign w:val="subscript"/>
        </w:rPr>
        <w:t>min</w:t>
      </w:r>
      <w:r w:rsidRPr="00C65707">
        <w:rPr>
          <w:iCs/>
          <w:sz w:val="22"/>
          <w:szCs w:val="22"/>
        </w:rPr>
        <w:t xml:space="preserve"> 6,02, a za C</w:t>
      </w:r>
      <w:r w:rsidRPr="00C65707">
        <w:rPr>
          <w:iCs/>
          <w:sz w:val="22"/>
          <w:szCs w:val="22"/>
          <w:vertAlign w:val="subscript"/>
        </w:rPr>
        <w:t xml:space="preserve">max </w:t>
      </w:r>
      <w:r w:rsidRPr="00C65707">
        <w:rPr>
          <w:iCs/>
          <w:sz w:val="22"/>
          <w:szCs w:val="22"/>
        </w:rPr>
        <w:t>2,12. Stanje dinamičke ravnoteže za AUC i C</w:t>
      </w:r>
      <w:r w:rsidRPr="00C65707">
        <w:rPr>
          <w:iCs/>
          <w:sz w:val="22"/>
          <w:szCs w:val="22"/>
          <w:vertAlign w:val="subscript"/>
        </w:rPr>
        <w:t>min</w:t>
      </w:r>
      <w:r w:rsidRPr="00C65707">
        <w:rPr>
          <w:iCs/>
          <w:sz w:val="22"/>
          <w:szCs w:val="22"/>
        </w:rPr>
        <w:t xml:space="preserve"> postignuto je nakon 12 nedjelja, a za C</w:t>
      </w:r>
      <w:r w:rsidRPr="00C65707">
        <w:rPr>
          <w:iCs/>
          <w:sz w:val="22"/>
          <w:szCs w:val="22"/>
          <w:vertAlign w:val="subscript"/>
        </w:rPr>
        <w:t>max</w:t>
      </w:r>
      <w:r w:rsidRPr="00C65707">
        <w:rPr>
          <w:iCs/>
          <w:sz w:val="22"/>
          <w:szCs w:val="22"/>
        </w:rPr>
        <w:t xml:space="preserve"> nakon 10 nedjelja.</w:t>
      </w:r>
    </w:p>
    <w:p w14:paraId="4713DDBA" w14:textId="77777777" w:rsidR="00CC2B31" w:rsidRPr="00C65707" w:rsidRDefault="00CC2B31">
      <w:pPr>
        <w:widowControl w:val="0"/>
        <w:jc w:val="both"/>
        <w:rPr>
          <w:iCs/>
          <w:sz w:val="22"/>
          <w:szCs w:val="22"/>
        </w:rPr>
      </w:pPr>
    </w:p>
    <w:p w14:paraId="602E09AD" w14:textId="77777777" w:rsidR="00CC2B31" w:rsidRPr="00C65707" w:rsidRDefault="00CC2B31">
      <w:pPr>
        <w:widowControl w:val="0"/>
        <w:jc w:val="both"/>
        <w:rPr>
          <w:iCs/>
          <w:sz w:val="22"/>
          <w:szCs w:val="22"/>
          <w:u w:val="single"/>
        </w:rPr>
      </w:pPr>
      <w:r w:rsidRPr="00C65707">
        <w:rPr>
          <w:iCs/>
          <w:sz w:val="22"/>
          <w:szCs w:val="22"/>
          <w:u w:val="single"/>
        </w:rPr>
        <w:t>Resorpcija</w:t>
      </w:r>
    </w:p>
    <w:p w14:paraId="613629A8" w14:textId="5461A167" w:rsidR="00CC2B31" w:rsidRPr="00C65707" w:rsidRDefault="00CC2B31">
      <w:pPr>
        <w:widowControl w:val="0"/>
        <w:jc w:val="both"/>
        <w:rPr>
          <w:iCs/>
          <w:sz w:val="22"/>
          <w:szCs w:val="22"/>
        </w:rPr>
      </w:pPr>
      <w:r w:rsidRPr="00C65707">
        <w:rPr>
          <w:iCs/>
          <w:sz w:val="22"/>
          <w:szCs w:val="22"/>
        </w:rPr>
        <w:t>Kod pacijenata sa RA centralni volumen distribucije (tmax) iznosio je 2,8 dana nakon subkutane primjene. Bioraspoloživost subkutane formulacije iznosila je 79%.</w:t>
      </w:r>
    </w:p>
    <w:p w14:paraId="75E8FCE0" w14:textId="77777777" w:rsidR="00CC2B31" w:rsidRPr="00C65707" w:rsidRDefault="00CC2B31">
      <w:pPr>
        <w:widowControl w:val="0"/>
        <w:jc w:val="both"/>
        <w:rPr>
          <w:iCs/>
          <w:sz w:val="22"/>
          <w:szCs w:val="22"/>
        </w:rPr>
      </w:pPr>
    </w:p>
    <w:p w14:paraId="063A1E55" w14:textId="77777777" w:rsidR="00CC2B31" w:rsidRPr="00C65707" w:rsidRDefault="00CC2B31">
      <w:pPr>
        <w:widowControl w:val="0"/>
        <w:jc w:val="both"/>
        <w:rPr>
          <w:iCs/>
          <w:sz w:val="22"/>
          <w:szCs w:val="22"/>
          <w:u w:val="single"/>
        </w:rPr>
      </w:pPr>
      <w:r w:rsidRPr="00C65707">
        <w:rPr>
          <w:iCs/>
          <w:sz w:val="22"/>
          <w:szCs w:val="22"/>
          <w:u w:val="single"/>
        </w:rPr>
        <w:t>Eliminacija</w:t>
      </w:r>
    </w:p>
    <w:p w14:paraId="7EAA4737" w14:textId="3733AD9D" w:rsidR="00CC2B31" w:rsidRPr="00C65707" w:rsidRDefault="00CC2B31">
      <w:pPr>
        <w:widowControl w:val="0"/>
        <w:jc w:val="both"/>
        <w:rPr>
          <w:sz w:val="22"/>
          <w:szCs w:val="22"/>
          <w:lang w:eastAsia="de-DE"/>
        </w:rPr>
      </w:pPr>
      <w:r w:rsidRPr="00C65707">
        <w:rPr>
          <w:iCs/>
          <w:sz w:val="22"/>
          <w:szCs w:val="22"/>
        </w:rPr>
        <w:t xml:space="preserve">Nakon subkutane primjene kod pacijenata sa RA, </w:t>
      </w:r>
      <w:r w:rsidRPr="00C65707">
        <w:rPr>
          <w:sz w:val="22"/>
          <w:szCs w:val="22"/>
          <w:lang w:eastAsia="de-DE"/>
        </w:rPr>
        <w:t xml:space="preserve">efektivno poluvrijeme eliminacije </w:t>
      </w:r>
      <w:r w:rsidRPr="00C65707">
        <w:rPr>
          <w:iCs/>
          <w:sz w:val="22"/>
          <w:szCs w:val="22"/>
        </w:rPr>
        <w:t>t</w:t>
      </w:r>
      <w:r w:rsidRPr="00C65707">
        <w:rPr>
          <w:iCs/>
          <w:sz w:val="22"/>
          <w:szCs w:val="22"/>
          <w:vertAlign w:val="subscript"/>
        </w:rPr>
        <w:t>1/2</w:t>
      </w:r>
      <w:r w:rsidRPr="00C65707">
        <w:rPr>
          <w:iCs/>
          <w:sz w:val="22"/>
          <w:szCs w:val="22"/>
        </w:rPr>
        <w:t xml:space="preserve"> iznosi najviše 13 dana</w:t>
      </w:r>
      <w:r w:rsidRPr="00C65707">
        <w:rPr>
          <w:sz w:val="22"/>
          <w:szCs w:val="22"/>
          <w:lang w:eastAsia="de-DE"/>
        </w:rPr>
        <w:t xml:space="preserve"> </w:t>
      </w:r>
      <w:r w:rsidRPr="00C65707">
        <w:rPr>
          <w:iCs/>
          <w:sz w:val="22"/>
          <w:szCs w:val="22"/>
        </w:rPr>
        <w:t xml:space="preserve">za dozu od 162 mg jedanput nedjeljno </w:t>
      </w:r>
      <w:r w:rsidR="009C5005" w:rsidRPr="00C65707">
        <w:rPr>
          <w:iCs/>
          <w:sz w:val="22"/>
          <w:szCs w:val="22"/>
        </w:rPr>
        <w:t xml:space="preserve">i </w:t>
      </w:r>
      <w:r w:rsidRPr="00C65707">
        <w:rPr>
          <w:iCs/>
          <w:sz w:val="22"/>
          <w:szCs w:val="22"/>
        </w:rPr>
        <w:t>5 dana za dozu od 162 mg jedanput svake dvije nedjelje.</w:t>
      </w:r>
      <w:r w:rsidRPr="00C65707">
        <w:rPr>
          <w:sz w:val="22"/>
          <w:szCs w:val="22"/>
          <w:lang w:eastAsia="de-DE"/>
        </w:rPr>
        <w:t xml:space="preserve"> </w:t>
      </w:r>
    </w:p>
    <w:p w14:paraId="657B0CDA" w14:textId="77777777" w:rsidR="00EA4C74" w:rsidRPr="00C65707" w:rsidRDefault="00EA4C74">
      <w:pPr>
        <w:widowControl w:val="0"/>
        <w:jc w:val="both"/>
        <w:rPr>
          <w:sz w:val="22"/>
          <w:szCs w:val="22"/>
          <w:lang w:eastAsia="de-DE"/>
        </w:rPr>
      </w:pPr>
    </w:p>
    <w:p w14:paraId="3CA8FB69" w14:textId="24DF8E67" w:rsidR="00CC2B31" w:rsidRPr="00C65707" w:rsidRDefault="009C5005">
      <w:pPr>
        <w:widowControl w:val="0"/>
        <w:jc w:val="both"/>
        <w:rPr>
          <w:b/>
          <w:iCs/>
          <w:sz w:val="22"/>
          <w:szCs w:val="22"/>
          <w:u w:val="single"/>
        </w:rPr>
      </w:pPr>
      <w:r w:rsidRPr="00C65707">
        <w:rPr>
          <w:b/>
          <w:iCs/>
          <w:sz w:val="22"/>
          <w:szCs w:val="22"/>
          <w:u w:val="single"/>
        </w:rPr>
        <w:t>Pacijenti s</w:t>
      </w:r>
      <w:r w:rsidR="00910BDC" w:rsidRPr="00C65707">
        <w:rPr>
          <w:b/>
          <w:iCs/>
          <w:sz w:val="22"/>
          <w:szCs w:val="22"/>
          <w:u w:val="single"/>
        </w:rPr>
        <w:t>a</w:t>
      </w:r>
      <w:r w:rsidRPr="00C65707">
        <w:rPr>
          <w:b/>
          <w:iCs/>
          <w:sz w:val="22"/>
          <w:szCs w:val="22"/>
          <w:u w:val="single"/>
        </w:rPr>
        <w:t xml:space="preserve"> </w:t>
      </w:r>
      <w:r w:rsidR="00CC2B31" w:rsidRPr="00C65707">
        <w:rPr>
          <w:b/>
          <w:iCs/>
          <w:sz w:val="22"/>
          <w:szCs w:val="22"/>
          <w:u w:val="single"/>
        </w:rPr>
        <w:t>sJIA</w:t>
      </w:r>
    </w:p>
    <w:p w14:paraId="39C1BA6B" w14:textId="3B64A9CE" w:rsidR="00EA4C74" w:rsidRPr="00C65707" w:rsidRDefault="00EA4C74">
      <w:pPr>
        <w:widowControl w:val="0"/>
        <w:jc w:val="both"/>
        <w:rPr>
          <w:b/>
          <w:iCs/>
          <w:sz w:val="22"/>
          <w:szCs w:val="22"/>
          <w:u w:val="single"/>
        </w:rPr>
      </w:pPr>
      <w:r w:rsidRPr="00C65707">
        <w:rPr>
          <w:b/>
          <w:iCs/>
          <w:sz w:val="22"/>
          <w:szCs w:val="22"/>
          <w:u w:val="single"/>
        </w:rPr>
        <w:t>Subkutana prim</w:t>
      </w:r>
      <w:r w:rsidR="000A085D" w:rsidRPr="00C65707">
        <w:rPr>
          <w:b/>
          <w:iCs/>
          <w:sz w:val="22"/>
          <w:szCs w:val="22"/>
          <w:u w:val="single"/>
        </w:rPr>
        <w:t>j</w:t>
      </w:r>
      <w:r w:rsidRPr="00C65707">
        <w:rPr>
          <w:b/>
          <w:iCs/>
          <w:sz w:val="22"/>
          <w:szCs w:val="22"/>
          <w:u w:val="single"/>
        </w:rPr>
        <w:t>ena</w:t>
      </w:r>
    </w:p>
    <w:p w14:paraId="58197B74" w14:textId="2BDDD794" w:rsidR="00CC2B31" w:rsidRPr="00C65707" w:rsidRDefault="00CC2B31">
      <w:pPr>
        <w:widowControl w:val="0"/>
        <w:jc w:val="both"/>
        <w:rPr>
          <w:iCs/>
          <w:sz w:val="22"/>
          <w:szCs w:val="22"/>
        </w:rPr>
      </w:pPr>
      <w:r w:rsidRPr="00C65707">
        <w:rPr>
          <w:iCs/>
          <w:sz w:val="22"/>
          <w:szCs w:val="22"/>
          <w:lang w:eastAsia="ja-JP"/>
        </w:rPr>
        <w:t xml:space="preserve">Farmakokinetika </w:t>
      </w:r>
      <w:r w:rsidR="009C5005" w:rsidRPr="00C65707">
        <w:rPr>
          <w:sz w:val="22"/>
          <w:szCs w:val="22"/>
        </w:rPr>
        <w:t>tocilizumab</w:t>
      </w:r>
      <w:r w:rsidRPr="00C65707">
        <w:rPr>
          <w:iCs/>
          <w:sz w:val="22"/>
          <w:szCs w:val="22"/>
          <w:lang w:eastAsia="ja-JP"/>
        </w:rPr>
        <w:t>a kod pacijenata sa sJIA opisana je u populacionoj farmakokinetičkoj analizi koja je obuhvatila 140 pacijenata l</w:t>
      </w:r>
      <w:r w:rsidRPr="00C65707">
        <w:rPr>
          <w:sz w:val="22"/>
          <w:szCs w:val="22"/>
        </w:rPr>
        <w:t>ij</w:t>
      </w:r>
      <w:r w:rsidRPr="00C65707">
        <w:rPr>
          <w:iCs/>
          <w:sz w:val="22"/>
          <w:szCs w:val="22"/>
          <w:lang w:eastAsia="ja-JP"/>
        </w:rPr>
        <w:t>ečenih intravenskom dozom od 8 mg/kg svake 2 ned</w:t>
      </w:r>
      <w:r w:rsidR="009C5005" w:rsidRPr="00C65707">
        <w:rPr>
          <w:iCs/>
          <w:sz w:val="22"/>
          <w:szCs w:val="22"/>
          <w:lang w:eastAsia="ja-JP"/>
        </w:rPr>
        <w:t>j</w:t>
      </w:r>
      <w:r w:rsidRPr="00C65707">
        <w:rPr>
          <w:iCs/>
          <w:sz w:val="22"/>
          <w:szCs w:val="22"/>
          <w:lang w:eastAsia="ja-JP"/>
        </w:rPr>
        <w:t>elje (pacijenti t</w:t>
      </w:r>
      <w:r w:rsidR="005B21F5">
        <w:rPr>
          <w:iCs/>
          <w:sz w:val="22"/>
          <w:szCs w:val="22"/>
          <w:lang w:eastAsia="ja-JP"/>
        </w:rPr>
        <w:t>j</w:t>
      </w:r>
      <w:r w:rsidRPr="00C65707">
        <w:rPr>
          <w:iCs/>
          <w:sz w:val="22"/>
          <w:szCs w:val="22"/>
          <w:lang w:eastAsia="ja-JP"/>
        </w:rPr>
        <w:t xml:space="preserve">elesne težine </w:t>
      </w:r>
      <w:r w:rsidRPr="00C65707">
        <w:rPr>
          <w:iCs/>
          <w:sz w:val="22"/>
          <w:szCs w:val="22"/>
        </w:rPr>
        <w:t>≥ 30 kg), intravenskom dozom od</w:t>
      </w:r>
      <w:r w:rsidRPr="00C65707">
        <w:rPr>
          <w:sz w:val="22"/>
          <w:szCs w:val="22"/>
        </w:rPr>
        <w:t xml:space="preserve"> </w:t>
      </w:r>
      <w:r w:rsidRPr="00C65707">
        <w:rPr>
          <w:iCs/>
          <w:sz w:val="22"/>
          <w:szCs w:val="22"/>
        </w:rPr>
        <w:t>12 mg/kg svake 2 ned</w:t>
      </w:r>
      <w:r w:rsidR="009C5005" w:rsidRPr="00C65707">
        <w:rPr>
          <w:iCs/>
          <w:sz w:val="22"/>
          <w:szCs w:val="22"/>
        </w:rPr>
        <w:t>j</w:t>
      </w:r>
      <w:r w:rsidRPr="00C65707">
        <w:rPr>
          <w:iCs/>
          <w:sz w:val="22"/>
          <w:szCs w:val="22"/>
        </w:rPr>
        <w:t>elje (pacijenti t</w:t>
      </w:r>
      <w:r w:rsidR="005B21F5">
        <w:rPr>
          <w:iCs/>
          <w:sz w:val="22"/>
          <w:szCs w:val="22"/>
        </w:rPr>
        <w:t>j</w:t>
      </w:r>
      <w:r w:rsidRPr="00C65707">
        <w:rPr>
          <w:iCs/>
          <w:sz w:val="22"/>
          <w:szCs w:val="22"/>
        </w:rPr>
        <w:t xml:space="preserve">elesne težine manje od 30 kg), </w:t>
      </w:r>
      <w:r w:rsidR="00910BDC" w:rsidRPr="00C65707">
        <w:rPr>
          <w:iCs/>
          <w:sz w:val="22"/>
          <w:szCs w:val="22"/>
        </w:rPr>
        <w:t xml:space="preserve">subkutanom </w:t>
      </w:r>
      <w:r w:rsidRPr="00C65707">
        <w:rPr>
          <w:iCs/>
          <w:sz w:val="22"/>
          <w:szCs w:val="22"/>
        </w:rPr>
        <w:t>dozom od 162 mg svake ned</w:t>
      </w:r>
      <w:r w:rsidR="009C5005" w:rsidRPr="00C65707">
        <w:rPr>
          <w:iCs/>
          <w:sz w:val="22"/>
          <w:szCs w:val="22"/>
        </w:rPr>
        <w:t>j</w:t>
      </w:r>
      <w:r w:rsidRPr="00C65707">
        <w:rPr>
          <w:iCs/>
          <w:sz w:val="22"/>
          <w:szCs w:val="22"/>
        </w:rPr>
        <w:t>elje (pacijenti t</w:t>
      </w:r>
      <w:r w:rsidR="005B21F5">
        <w:rPr>
          <w:iCs/>
          <w:sz w:val="22"/>
          <w:szCs w:val="22"/>
        </w:rPr>
        <w:t>j</w:t>
      </w:r>
      <w:r w:rsidRPr="00C65707">
        <w:rPr>
          <w:iCs/>
          <w:sz w:val="22"/>
          <w:szCs w:val="22"/>
        </w:rPr>
        <w:t xml:space="preserve">elesne težine ≥ 30 kg), </w:t>
      </w:r>
      <w:r w:rsidR="00910BDC" w:rsidRPr="00C65707">
        <w:rPr>
          <w:iCs/>
          <w:sz w:val="22"/>
          <w:szCs w:val="22"/>
        </w:rPr>
        <w:t xml:space="preserve">subkutanom </w:t>
      </w:r>
      <w:r w:rsidRPr="00C65707">
        <w:rPr>
          <w:iCs/>
          <w:sz w:val="22"/>
          <w:szCs w:val="22"/>
        </w:rPr>
        <w:t>dozom od 162 mg svakih 10 dana ili svake 2 ned</w:t>
      </w:r>
      <w:r w:rsidR="009C5005" w:rsidRPr="00C65707">
        <w:rPr>
          <w:iCs/>
          <w:sz w:val="22"/>
          <w:szCs w:val="22"/>
        </w:rPr>
        <w:t>j</w:t>
      </w:r>
      <w:r w:rsidRPr="00C65707">
        <w:rPr>
          <w:iCs/>
          <w:sz w:val="22"/>
          <w:szCs w:val="22"/>
        </w:rPr>
        <w:t>elje (pacijenti t</w:t>
      </w:r>
      <w:r w:rsidR="005B21F5">
        <w:rPr>
          <w:iCs/>
          <w:sz w:val="22"/>
          <w:szCs w:val="22"/>
        </w:rPr>
        <w:t>j</w:t>
      </w:r>
      <w:r w:rsidRPr="00C65707">
        <w:rPr>
          <w:iCs/>
          <w:sz w:val="22"/>
          <w:szCs w:val="22"/>
        </w:rPr>
        <w:t>elesne težine manje od 30 kg).</w:t>
      </w:r>
    </w:p>
    <w:p w14:paraId="64A1F026" w14:textId="77777777" w:rsidR="00CC2B31" w:rsidRPr="00C65707" w:rsidRDefault="00CC2B31">
      <w:pPr>
        <w:widowControl w:val="0"/>
        <w:jc w:val="both"/>
        <w:rPr>
          <w:iCs/>
          <w:sz w:val="22"/>
          <w:szCs w:val="22"/>
        </w:rPr>
      </w:pPr>
    </w:p>
    <w:p w14:paraId="3386C7EF" w14:textId="33EDFF08" w:rsidR="00CC2B31" w:rsidRPr="00C65707" w:rsidRDefault="00CC2B31">
      <w:pPr>
        <w:widowControl w:val="0"/>
        <w:jc w:val="both"/>
        <w:rPr>
          <w:iCs/>
          <w:sz w:val="22"/>
          <w:szCs w:val="22"/>
        </w:rPr>
      </w:pPr>
      <w:r w:rsidRPr="00C65707">
        <w:rPr>
          <w:iCs/>
          <w:sz w:val="22"/>
          <w:szCs w:val="22"/>
        </w:rPr>
        <w:t xml:space="preserve">Dostupni su ograničeni podaci o izloženosti nakon primjene </w:t>
      </w:r>
      <w:r w:rsidR="00910BDC" w:rsidRPr="00C65707">
        <w:rPr>
          <w:iCs/>
          <w:sz w:val="22"/>
          <w:szCs w:val="22"/>
        </w:rPr>
        <w:t xml:space="preserve">subkutane </w:t>
      </w:r>
      <w:r w:rsidRPr="00C65707">
        <w:rPr>
          <w:iCs/>
          <w:sz w:val="22"/>
          <w:szCs w:val="22"/>
        </w:rPr>
        <w:t xml:space="preserve">formulacije </w:t>
      </w:r>
      <w:r w:rsidR="009C5005" w:rsidRPr="00C65707">
        <w:rPr>
          <w:sz w:val="22"/>
          <w:szCs w:val="22"/>
        </w:rPr>
        <w:t>tocilizumab</w:t>
      </w:r>
      <w:r w:rsidRPr="00C65707">
        <w:rPr>
          <w:iCs/>
          <w:sz w:val="22"/>
          <w:szCs w:val="22"/>
        </w:rPr>
        <w:t>a kod pacijenata sa sJIA, uzrasta ispod 2 godine i t</w:t>
      </w:r>
      <w:r w:rsidR="00777E5D">
        <w:rPr>
          <w:iCs/>
          <w:sz w:val="22"/>
          <w:szCs w:val="22"/>
        </w:rPr>
        <w:t>j</w:t>
      </w:r>
      <w:r w:rsidRPr="00C65707">
        <w:rPr>
          <w:iCs/>
          <w:sz w:val="22"/>
          <w:szCs w:val="22"/>
        </w:rPr>
        <w:t>elesne težine manje od 10 kg.</w:t>
      </w:r>
    </w:p>
    <w:p w14:paraId="54B0E567" w14:textId="2FF4A0F6" w:rsidR="00CC2B31" w:rsidRPr="00C65707" w:rsidRDefault="00CC2B31">
      <w:pPr>
        <w:widowControl w:val="0"/>
        <w:jc w:val="both"/>
        <w:rPr>
          <w:iCs/>
          <w:sz w:val="22"/>
          <w:szCs w:val="22"/>
        </w:rPr>
      </w:pPr>
      <w:r w:rsidRPr="00C65707">
        <w:rPr>
          <w:iCs/>
          <w:sz w:val="22"/>
          <w:szCs w:val="22"/>
        </w:rPr>
        <w:t xml:space="preserve">Pacijenti sa sJIA moraju imati tjelesnu težinu najmanje 10 kg kada primaju </w:t>
      </w:r>
      <w:r w:rsidR="009C5005" w:rsidRPr="00C65707">
        <w:rPr>
          <w:sz w:val="22"/>
          <w:szCs w:val="22"/>
        </w:rPr>
        <w:t>tocilizumab</w:t>
      </w:r>
      <w:r w:rsidRPr="00C65707">
        <w:rPr>
          <w:iCs/>
          <w:sz w:val="22"/>
          <w:szCs w:val="22"/>
        </w:rPr>
        <w:t xml:space="preserve"> </w:t>
      </w:r>
      <w:r w:rsidR="00910BDC" w:rsidRPr="00C65707">
        <w:rPr>
          <w:iCs/>
          <w:sz w:val="22"/>
          <w:szCs w:val="22"/>
        </w:rPr>
        <w:t>subkutano</w:t>
      </w:r>
      <w:r w:rsidRPr="00C65707">
        <w:rPr>
          <w:iCs/>
          <w:sz w:val="22"/>
          <w:szCs w:val="22"/>
        </w:rPr>
        <w:t xml:space="preserve">. (videti </w:t>
      </w:r>
      <w:r w:rsidR="00107582" w:rsidRPr="00C65707">
        <w:rPr>
          <w:iCs/>
          <w:sz w:val="22"/>
          <w:szCs w:val="22"/>
        </w:rPr>
        <w:t xml:space="preserve">dio </w:t>
      </w:r>
      <w:r w:rsidRPr="00C65707">
        <w:rPr>
          <w:iCs/>
          <w:sz w:val="22"/>
          <w:szCs w:val="22"/>
        </w:rPr>
        <w:t>4.2)</w:t>
      </w:r>
    </w:p>
    <w:p w14:paraId="215D887F" w14:textId="45BFFBF1" w:rsidR="00777E5D" w:rsidRDefault="00777E5D">
      <w:pPr>
        <w:rPr>
          <w:iCs/>
          <w:sz w:val="22"/>
          <w:szCs w:val="22"/>
        </w:rPr>
      </w:pPr>
    </w:p>
    <w:p w14:paraId="1C4A2F14" w14:textId="56CFBD5B" w:rsidR="00CC2B31" w:rsidRPr="00C65707" w:rsidRDefault="00CC2B31">
      <w:pPr>
        <w:widowControl w:val="0"/>
        <w:jc w:val="both"/>
        <w:rPr>
          <w:i/>
          <w:iCs/>
          <w:sz w:val="22"/>
          <w:szCs w:val="22"/>
        </w:rPr>
      </w:pPr>
      <w:r w:rsidRPr="00C65707">
        <w:rPr>
          <w:i/>
          <w:iCs/>
          <w:sz w:val="22"/>
          <w:szCs w:val="22"/>
        </w:rPr>
        <w:t xml:space="preserve">Tabela 8. Predviđena srednja vrijednost ± SD farmakokinetičkih parametara u stanju ravnoteže nakon </w:t>
      </w:r>
      <w:r w:rsidR="00910BDC" w:rsidRPr="00C65707">
        <w:rPr>
          <w:i/>
          <w:iCs/>
          <w:sz w:val="22"/>
          <w:szCs w:val="22"/>
        </w:rPr>
        <w:t xml:space="preserve">subkutane </w:t>
      </w:r>
      <w:r w:rsidRPr="00C65707">
        <w:rPr>
          <w:i/>
          <w:iCs/>
          <w:sz w:val="22"/>
          <w:szCs w:val="22"/>
        </w:rPr>
        <w:t>primjene kod pacijenta sa sJIA</w:t>
      </w:r>
    </w:p>
    <w:p w14:paraId="2A74DE58" w14:textId="77777777" w:rsidR="009C5005" w:rsidRPr="00C65707" w:rsidRDefault="009C5005">
      <w:pPr>
        <w:widowControl w:val="0"/>
        <w:jc w:val="both"/>
        <w:rPr>
          <w:i/>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2984"/>
        <w:gridCol w:w="3078"/>
      </w:tblGrid>
      <w:tr w:rsidR="00CC2B31" w:rsidRPr="00C65707" w14:paraId="57F7EA49" w14:textId="77777777" w:rsidTr="00CE5678">
        <w:trPr>
          <w:cantSplit/>
          <w:trHeight w:val="452"/>
        </w:trPr>
        <w:tc>
          <w:tcPr>
            <w:tcW w:w="1656" w:type="pct"/>
            <w:tcBorders>
              <w:top w:val="single" w:sz="4" w:space="0" w:color="auto"/>
              <w:left w:val="single" w:sz="4" w:space="0" w:color="auto"/>
              <w:bottom w:val="single" w:sz="4" w:space="0" w:color="auto"/>
              <w:right w:val="single" w:sz="4" w:space="0" w:color="auto"/>
            </w:tcBorders>
            <w:hideMark/>
          </w:tcPr>
          <w:p w14:paraId="64FCDBEB" w14:textId="6D8CF235" w:rsidR="00CC2B31" w:rsidRPr="00C65707" w:rsidRDefault="00CC2B31">
            <w:pPr>
              <w:pStyle w:val="TextTi9"/>
              <w:widowControl w:val="0"/>
              <w:spacing w:after="0"/>
              <w:jc w:val="both"/>
              <w:rPr>
                <w:rFonts w:ascii="Times New Roman" w:hAnsi="Times New Roman"/>
                <w:sz w:val="22"/>
              </w:rPr>
            </w:pPr>
            <w:r w:rsidRPr="00C65707">
              <w:rPr>
                <w:rFonts w:ascii="Times New Roman" w:hAnsi="Times New Roman"/>
                <w:b/>
                <w:sz w:val="22"/>
              </w:rPr>
              <w:lastRenderedPageBreak/>
              <w:t xml:space="preserve">Farmakokinetički parametri </w:t>
            </w:r>
            <w:r w:rsidR="009C5005" w:rsidRPr="00C65707">
              <w:rPr>
                <w:rFonts w:ascii="Times New Roman" w:hAnsi="Times New Roman"/>
                <w:b/>
                <w:bCs/>
                <w:sz w:val="22"/>
              </w:rPr>
              <w:t>tocilizumab</w:t>
            </w:r>
            <w:r w:rsidRPr="00C65707">
              <w:rPr>
                <w:rFonts w:ascii="Times New Roman" w:hAnsi="Times New Roman"/>
                <w:b/>
                <w:sz w:val="22"/>
              </w:rPr>
              <w:t>a</w:t>
            </w:r>
          </w:p>
        </w:tc>
        <w:tc>
          <w:tcPr>
            <w:tcW w:w="1646" w:type="pct"/>
            <w:tcBorders>
              <w:top w:val="single" w:sz="4" w:space="0" w:color="auto"/>
              <w:left w:val="single" w:sz="4" w:space="0" w:color="auto"/>
              <w:bottom w:val="single" w:sz="4" w:space="0" w:color="auto"/>
              <w:right w:val="single" w:sz="4" w:space="0" w:color="auto"/>
            </w:tcBorders>
            <w:hideMark/>
          </w:tcPr>
          <w:p w14:paraId="538DB56A" w14:textId="5CDCB584" w:rsidR="00CC2B31" w:rsidRPr="00C65707" w:rsidRDefault="00CC2B31" w:rsidP="00CE5678">
            <w:pPr>
              <w:pStyle w:val="TextTi9"/>
              <w:widowControl w:val="0"/>
              <w:spacing w:after="0"/>
              <w:jc w:val="center"/>
              <w:rPr>
                <w:rFonts w:ascii="Times New Roman" w:hAnsi="Times New Roman"/>
                <w:b/>
                <w:sz w:val="22"/>
              </w:rPr>
            </w:pPr>
            <w:r w:rsidRPr="00C65707">
              <w:rPr>
                <w:rFonts w:ascii="Times New Roman" w:hAnsi="Times New Roman"/>
                <w:b/>
                <w:sz w:val="22"/>
              </w:rPr>
              <w:t>162 mg svake ned</w:t>
            </w:r>
            <w:r w:rsidR="009C5005" w:rsidRPr="00C65707">
              <w:rPr>
                <w:rFonts w:ascii="Times New Roman" w:hAnsi="Times New Roman"/>
                <w:b/>
                <w:sz w:val="22"/>
              </w:rPr>
              <w:t>j</w:t>
            </w:r>
            <w:r w:rsidRPr="00C65707">
              <w:rPr>
                <w:rFonts w:ascii="Times New Roman" w:hAnsi="Times New Roman"/>
                <w:b/>
                <w:sz w:val="22"/>
              </w:rPr>
              <w:t>elje</w:t>
            </w:r>
          </w:p>
          <w:p w14:paraId="7E7584B0" w14:textId="77777777" w:rsidR="00CC2B31" w:rsidRPr="00C65707" w:rsidRDefault="00CC2B31" w:rsidP="00CE5678">
            <w:pPr>
              <w:pStyle w:val="TextTi9"/>
              <w:widowControl w:val="0"/>
              <w:spacing w:after="0"/>
              <w:jc w:val="center"/>
              <w:rPr>
                <w:rFonts w:ascii="Times New Roman" w:hAnsi="Times New Roman"/>
                <w:b/>
                <w:sz w:val="22"/>
              </w:rPr>
            </w:pPr>
            <w:r w:rsidRPr="00C65707">
              <w:rPr>
                <w:rFonts w:ascii="Times New Roman" w:hAnsi="Times New Roman"/>
                <w:b/>
                <w:sz w:val="22"/>
              </w:rPr>
              <w:t>≥ 30 kg</w:t>
            </w:r>
          </w:p>
        </w:tc>
        <w:tc>
          <w:tcPr>
            <w:tcW w:w="1698" w:type="pct"/>
            <w:tcBorders>
              <w:top w:val="single" w:sz="4" w:space="0" w:color="auto"/>
              <w:left w:val="single" w:sz="4" w:space="0" w:color="auto"/>
              <w:bottom w:val="single" w:sz="4" w:space="0" w:color="auto"/>
              <w:right w:val="single" w:sz="4" w:space="0" w:color="auto"/>
            </w:tcBorders>
            <w:hideMark/>
          </w:tcPr>
          <w:p w14:paraId="7D704454" w14:textId="6752C97A" w:rsidR="00CC2B31" w:rsidRPr="00C65707" w:rsidRDefault="00CC2B31" w:rsidP="00CE5678">
            <w:pPr>
              <w:pStyle w:val="TextTi9"/>
              <w:widowControl w:val="0"/>
              <w:spacing w:after="0"/>
              <w:jc w:val="center"/>
              <w:rPr>
                <w:rFonts w:ascii="Times New Roman" w:hAnsi="Times New Roman"/>
                <w:b/>
                <w:sz w:val="22"/>
              </w:rPr>
            </w:pPr>
            <w:r w:rsidRPr="00C65707">
              <w:rPr>
                <w:rFonts w:ascii="Times New Roman" w:hAnsi="Times New Roman"/>
                <w:b/>
                <w:sz w:val="22"/>
              </w:rPr>
              <w:t>162 mg svake 2 ned</w:t>
            </w:r>
            <w:r w:rsidR="009C5005" w:rsidRPr="00C65707">
              <w:rPr>
                <w:rFonts w:ascii="Times New Roman" w:hAnsi="Times New Roman"/>
                <w:b/>
                <w:sz w:val="22"/>
              </w:rPr>
              <w:t>j</w:t>
            </w:r>
            <w:r w:rsidRPr="00C65707">
              <w:rPr>
                <w:rFonts w:ascii="Times New Roman" w:hAnsi="Times New Roman"/>
                <w:b/>
                <w:sz w:val="22"/>
              </w:rPr>
              <w:t>elje</w:t>
            </w:r>
          </w:p>
          <w:p w14:paraId="56FA3609" w14:textId="77777777" w:rsidR="00CC2B31" w:rsidRPr="00C65707" w:rsidRDefault="00CC2B31" w:rsidP="00CE5678">
            <w:pPr>
              <w:pStyle w:val="TextTi9"/>
              <w:widowControl w:val="0"/>
              <w:spacing w:after="0"/>
              <w:jc w:val="center"/>
              <w:rPr>
                <w:rFonts w:ascii="Times New Roman" w:hAnsi="Times New Roman"/>
                <w:b/>
                <w:sz w:val="22"/>
              </w:rPr>
            </w:pPr>
            <w:r w:rsidRPr="00C65707">
              <w:rPr>
                <w:rFonts w:ascii="Times New Roman" w:hAnsi="Times New Roman"/>
                <w:b/>
                <w:sz w:val="22"/>
              </w:rPr>
              <w:t>manje od 30 kg</w:t>
            </w:r>
          </w:p>
        </w:tc>
      </w:tr>
      <w:tr w:rsidR="00CC2B31" w:rsidRPr="00C65707" w14:paraId="2B62F68B" w14:textId="77777777" w:rsidTr="00CE5678">
        <w:trPr>
          <w:cantSplit/>
          <w:trHeight w:val="195"/>
        </w:trPr>
        <w:tc>
          <w:tcPr>
            <w:tcW w:w="1656" w:type="pct"/>
            <w:tcBorders>
              <w:top w:val="single" w:sz="4" w:space="0" w:color="auto"/>
              <w:left w:val="single" w:sz="4" w:space="0" w:color="auto"/>
              <w:bottom w:val="single" w:sz="4" w:space="0" w:color="auto"/>
              <w:right w:val="single" w:sz="4" w:space="0" w:color="auto"/>
            </w:tcBorders>
            <w:hideMark/>
          </w:tcPr>
          <w:p w14:paraId="5CE3C564" w14:textId="027559A3" w:rsidR="00CC2B31" w:rsidRPr="002B3647" w:rsidRDefault="00CC2B31" w:rsidP="00C65707">
            <w:pPr>
              <w:pStyle w:val="TextTi9"/>
              <w:widowControl w:val="0"/>
              <w:spacing w:after="0"/>
              <w:jc w:val="both"/>
              <w:rPr>
                <w:rFonts w:ascii="Times New Roman" w:hAnsi="Times New Roman"/>
                <w:sz w:val="22"/>
              </w:rPr>
            </w:pPr>
            <w:r w:rsidRPr="00C65707">
              <w:rPr>
                <w:rFonts w:ascii="Times New Roman" w:hAnsi="Times New Roman"/>
                <w:sz w:val="22"/>
              </w:rPr>
              <w:t>C</w:t>
            </w:r>
            <w:r w:rsidRPr="00C65707">
              <w:rPr>
                <w:rFonts w:ascii="Times New Roman" w:hAnsi="Times New Roman"/>
                <w:sz w:val="22"/>
                <w:vertAlign w:val="subscript"/>
              </w:rPr>
              <w:t>max</w:t>
            </w:r>
            <w:r w:rsidRPr="00C65707">
              <w:rPr>
                <w:rFonts w:ascii="Times New Roman" w:hAnsi="Times New Roman"/>
                <w:sz w:val="22"/>
              </w:rPr>
              <w:t xml:space="preserve"> (µg/</w:t>
            </w:r>
            <w:r w:rsidR="003F20A4" w:rsidRPr="00C65707">
              <w:rPr>
                <w:rFonts w:ascii="Times New Roman" w:hAnsi="Times New Roman"/>
                <w:sz w:val="22"/>
              </w:rPr>
              <w:t>ml</w:t>
            </w:r>
            <w:r w:rsidRPr="002B3647">
              <w:rPr>
                <w:rFonts w:ascii="Times New Roman" w:hAnsi="Times New Roman"/>
                <w:sz w:val="22"/>
              </w:rPr>
              <w:t>)</w:t>
            </w:r>
          </w:p>
        </w:tc>
        <w:tc>
          <w:tcPr>
            <w:tcW w:w="1646" w:type="pct"/>
            <w:tcBorders>
              <w:top w:val="single" w:sz="4" w:space="0" w:color="auto"/>
              <w:left w:val="single" w:sz="4" w:space="0" w:color="auto"/>
              <w:bottom w:val="single" w:sz="4" w:space="0" w:color="auto"/>
              <w:right w:val="single" w:sz="4" w:space="0" w:color="auto"/>
            </w:tcBorders>
            <w:hideMark/>
          </w:tcPr>
          <w:p w14:paraId="2918631F" w14:textId="77777777" w:rsidR="00CC2B31" w:rsidRPr="002B3647" w:rsidRDefault="00CC2B31">
            <w:pPr>
              <w:pStyle w:val="TextTi9"/>
              <w:widowControl w:val="0"/>
              <w:spacing w:after="0"/>
              <w:jc w:val="center"/>
              <w:rPr>
                <w:rFonts w:ascii="Times New Roman" w:hAnsi="Times New Roman"/>
                <w:sz w:val="22"/>
              </w:rPr>
            </w:pPr>
            <w:r w:rsidRPr="002B3647">
              <w:rPr>
                <w:rFonts w:ascii="Times New Roman" w:hAnsi="Times New Roman"/>
                <w:sz w:val="22"/>
              </w:rPr>
              <w:t>99.8 ± 46.2</w:t>
            </w:r>
          </w:p>
        </w:tc>
        <w:tc>
          <w:tcPr>
            <w:tcW w:w="1698" w:type="pct"/>
            <w:tcBorders>
              <w:top w:val="single" w:sz="4" w:space="0" w:color="auto"/>
              <w:left w:val="single" w:sz="4" w:space="0" w:color="auto"/>
              <w:bottom w:val="single" w:sz="4" w:space="0" w:color="auto"/>
              <w:right w:val="single" w:sz="4" w:space="0" w:color="auto"/>
            </w:tcBorders>
            <w:hideMark/>
          </w:tcPr>
          <w:p w14:paraId="279F7547" w14:textId="77777777" w:rsidR="00CC2B31" w:rsidRPr="00C65707" w:rsidRDefault="00CC2B31">
            <w:pPr>
              <w:pStyle w:val="TextTi9"/>
              <w:widowControl w:val="0"/>
              <w:spacing w:after="0"/>
              <w:jc w:val="center"/>
              <w:rPr>
                <w:rFonts w:ascii="Times New Roman" w:hAnsi="Times New Roman"/>
                <w:sz w:val="22"/>
              </w:rPr>
            </w:pPr>
            <w:r w:rsidRPr="00C65707">
              <w:rPr>
                <w:rFonts w:ascii="Times New Roman" w:hAnsi="Times New Roman"/>
                <w:sz w:val="22"/>
              </w:rPr>
              <w:t>134 ± 58.6</w:t>
            </w:r>
          </w:p>
        </w:tc>
      </w:tr>
      <w:tr w:rsidR="00CC2B31" w:rsidRPr="00C65707" w14:paraId="69FE831A" w14:textId="77777777" w:rsidTr="00CE5678">
        <w:trPr>
          <w:cantSplit/>
          <w:trHeight w:val="195"/>
        </w:trPr>
        <w:tc>
          <w:tcPr>
            <w:tcW w:w="1656" w:type="pct"/>
            <w:tcBorders>
              <w:top w:val="single" w:sz="4" w:space="0" w:color="auto"/>
              <w:left w:val="single" w:sz="4" w:space="0" w:color="auto"/>
              <w:bottom w:val="single" w:sz="4" w:space="0" w:color="auto"/>
              <w:right w:val="single" w:sz="4" w:space="0" w:color="auto"/>
            </w:tcBorders>
            <w:hideMark/>
          </w:tcPr>
          <w:p w14:paraId="0E98EC7E" w14:textId="6AFC6FEB" w:rsidR="00CC2B31" w:rsidRPr="002B3647" w:rsidRDefault="00CC2B31" w:rsidP="00C65707">
            <w:pPr>
              <w:pStyle w:val="TextTi9"/>
              <w:widowControl w:val="0"/>
              <w:spacing w:after="0"/>
              <w:jc w:val="both"/>
              <w:rPr>
                <w:rFonts w:ascii="Times New Roman" w:hAnsi="Times New Roman"/>
                <w:sz w:val="22"/>
              </w:rPr>
            </w:pPr>
            <w:r w:rsidRPr="00C65707">
              <w:rPr>
                <w:rFonts w:ascii="Times New Roman" w:hAnsi="Times New Roman"/>
                <w:sz w:val="22"/>
              </w:rPr>
              <w:t>C</w:t>
            </w:r>
            <w:r w:rsidRPr="00C65707">
              <w:rPr>
                <w:rFonts w:ascii="Times New Roman" w:hAnsi="Times New Roman"/>
                <w:sz w:val="22"/>
                <w:vertAlign w:val="subscript"/>
              </w:rPr>
              <w:t>min</w:t>
            </w:r>
            <w:r w:rsidRPr="00C65707">
              <w:rPr>
                <w:rFonts w:ascii="Times New Roman" w:hAnsi="Times New Roman"/>
                <w:sz w:val="22"/>
              </w:rPr>
              <w:t xml:space="preserve"> (µg/</w:t>
            </w:r>
            <w:r w:rsidR="003F20A4" w:rsidRPr="00C65707">
              <w:rPr>
                <w:rFonts w:ascii="Times New Roman" w:hAnsi="Times New Roman"/>
                <w:sz w:val="22"/>
              </w:rPr>
              <w:t>ml</w:t>
            </w:r>
            <w:r w:rsidRPr="002B3647">
              <w:rPr>
                <w:rFonts w:ascii="Times New Roman" w:hAnsi="Times New Roman"/>
                <w:sz w:val="22"/>
              </w:rPr>
              <w:t>)</w:t>
            </w:r>
          </w:p>
        </w:tc>
        <w:tc>
          <w:tcPr>
            <w:tcW w:w="1646" w:type="pct"/>
            <w:tcBorders>
              <w:top w:val="single" w:sz="4" w:space="0" w:color="auto"/>
              <w:left w:val="single" w:sz="4" w:space="0" w:color="auto"/>
              <w:bottom w:val="single" w:sz="4" w:space="0" w:color="auto"/>
              <w:right w:val="single" w:sz="4" w:space="0" w:color="auto"/>
            </w:tcBorders>
            <w:hideMark/>
          </w:tcPr>
          <w:p w14:paraId="1BB567E1" w14:textId="77777777" w:rsidR="00CC2B31" w:rsidRPr="002B3647" w:rsidRDefault="00CC2B31">
            <w:pPr>
              <w:pStyle w:val="TextTi9"/>
              <w:widowControl w:val="0"/>
              <w:spacing w:after="0"/>
              <w:jc w:val="center"/>
              <w:rPr>
                <w:rFonts w:ascii="Times New Roman" w:hAnsi="Times New Roman"/>
                <w:sz w:val="22"/>
              </w:rPr>
            </w:pPr>
            <w:r w:rsidRPr="002B3647">
              <w:rPr>
                <w:rFonts w:ascii="Times New Roman" w:hAnsi="Times New Roman"/>
                <w:sz w:val="22"/>
              </w:rPr>
              <w:t>79.2 ± 35.6</w:t>
            </w:r>
          </w:p>
        </w:tc>
        <w:tc>
          <w:tcPr>
            <w:tcW w:w="1698" w:type="pct"/>
            <w:tcBorders>
              <w:top w:val="single" w:sz="4" w:space="0" w:color="auto"/>
              <w:left w:val="single" w:sz="4" w:space="0" w:color="auto"/>
              <w:bottom w:val="single" w:sz="4" w:space="0" w:color="auto"/>
              <w:right w:val="single" w:sz="4" w:space="0" w:color="auto"/>
            </w:tcBorders>
            <w:hideMark/>
          </w:tcPr>
          <w:p w14:paraId="195EEEDE" w14:textId="77777777" w:rsidR="00CC2B31" w:rsidRPr="00C65707" w:rsidRDefault="00CC2B31">
            <w:pPr>
              <w:pStyle w:val="TextTi9"/>
              <w:widowControl w:val="0"/>
              <w:spacing w:after="0"/>
              <w:jc w:val="center"/>
              <w:rPr>
                <w:rFonts w:ascii="Times New Roman" w:hAnsi="Times New Roman"/>
                <w:sz w:val="22"/>
              </w:rPr>
            </w:pPr>
            <w:r w:rsidRPr="00C65707">
              <w:rPr>
                <w:rFonts w:ascii="Times New Roman" w:hAnsi="Times New Roman"/>
                <w:sz w:val="22"/>
              </w:rPr>
              <w:t>65.9 ± 31.3</w:t>
            </w:r>
          </w:p>
        </w:tc>
      </w:tr>
      <w:tr w:rsidR="00CC2B31" w:rsidRPr="00C65707" w14:paraId="1B46A625" w14:textId="77777777" w:rsidTr="00CE5678">
        <w:trPr>
          <w:cantSplit/>
          <w:trHeight w:val="324"/>
        </w:trPr>
        <w:tc>
          <w:tcPr>
            <w:tcW w:w="1656" w:type="pct"/>
            <w:tcBorders>
              <w:top w:val="single" w:sz="4" w:space="0" w:color="auto"/>
              <w:left w:val="single" w:sz="4" w:space="0" w:color="auto"/>
              <w:bottom w:val="single" w:sz="4" w:space="0" w:color="auto"/>
              <w:right w:val="single" w:sz="4" w:space="0" w:color="auto"/>
            </w:tcBorders>
            <w:hideMark/>
          </w:tcPr>
          <w:p w14:paraId="63F86F15" w14:textId="715E82EE" w:rsidR="00CC2B31" w:rsidRPr="002B3647" w:rsidRDefault="00CC2B31" w:rsidP="00C65707">
            <w:pPr>
              <w:pStyle w:val="TextTi9"/>
              <w:widowControl w:val="0"/>
              <w:spacing w:after="0"/>
              <w:jc w:val="both"/>
              <w:rPr>
                <w:rFonts w:ascii="Times New Roman" w:hAnsi="Times New Roman"/>
                <w:sz w:val="22"/>
              </w:rPr>
            </w:pPr>
            <w:r w:rsidRPr="00C65707">
              <w:rPr>
                <w:rFonts w:ascii="Times New Roman" w:hAnsi="Times New Roman"/>
                <w:sz w:val="22"/>
              </w:rPr>
              <w:t>C</w:t>
            </w:r>
            <w:r w:rsidRPr="00C65707">
              <w:rPr>
                <w:rFonts w:ascii="Times New Roman" w:hAnsi="Times New Roman"/>
                <w:sz w:val="22"/>
                <w:vertAlign w:val="subscript"/>
              </w:rPr>
              <w:t>avg</w:t>
            </w:r>
            <w:r w:rsidRPr="00C65707">
              <w:rPr>
                <w:rFonts w:ascii="Times New Roman" w:hAnsi="Times New Roman"/>
                <w:sz w:val="22"/>
              </w:rPr>
              <w:t xml:space="preserve"> (µg/</w:t>
            </w:r>
            <w:r w:rsidR="003F20A4" w:rsidRPr="00C65707">
              <w:rPr>
                <w:rFonts w:ascii="Times New Roman" w:hAnsi="Times New Roman"/>
                <w:sz w:val="22"/>
              </w:rPr>
              <w:t>ml</w:t>
            </w:r>
            <w:r w:rsidRPr="002B3647">
              <w:rPr>
                <w:rFonts w:ascii="Times New Roman" w:hAnsi="Times New Roman"/>
                <w:sz w:val="22"/>
              </w:rPr>
              <w:t>)</w:t>
            </w:r>
          </w:p>
        </w:tc>
        <w:tc>
          <w:tcPr>
            <w:tcW w:w="1646" w:type="pct"/>
            <w:tcBorders>
              <w:top w:val="single" w:sz="4" w:space="0" w:color="auto"/>
              <w:left w:val="single" w:sz="4" w:space="0" w:color="auto"/>
              <w:bottom w:val="single" w:sz="4" w:space="0" w:color="auto"/>
              <w:right w:val="single" w:sz="4" w:space="0" w:color="auto"/>
            </w:tcBorders>
            <w:hideMark/>
          </w:tcPr>
          <w:p w14:paraId="4CCA7562" w14:textId="77777777" w:rsidR="00CC2B31" w:rsidRPr="002B3647" w:rsidRDefault="00CC2B31">
            <w:pPr>
              <w:pStyle w:val="TextTi9"/>
              <w:widowControl w:val="0"/>
              <w:spacing w:after="0"/>
              <w:jc w:val="center"/>
              <w:rPr>
                <w:rFonts w:ascii="Times New Roman" w:hAnsi="Times New Roman"/>
                <w:sz w:val="22"/>
              </w:rPr>
            </w:pPr>
            <w:r w:rsidRPr="002B3647">
              <w:rPr>
                <w:rFonts w:ascii="Times New Roman" w:hAnsi="Times New Roman"/>
                <w:sz w:val="22"/>
              </w:rPr>
              <w:t>91.3 ± 40.4</w:t>
            </w:r>
          </w:p>
        </w:tc>
        <w:tc>
          <w:tcPr>
            <w:tcW w:w="1698" w:type="pct"/>
            <w:tcBorders>
              <w:top w:val="single" w:sz="4" w:space="0" w:color="auto"/>
              <w:left w:val="single" w:sz="4" w:space="0" w:color="auto"/>
              <w:bottom w:val="single" w:sz="4" w:space="0" w:color="auto"/>
              <w:right w:val="single" w:sz="4" w:space="0" w:color="auto"/>
            </w:tcBorders>
            <w:hideMark/>
          </w:tcPr>
          <w:p w14:paraId="0E061B01" w14:textId="77777777" w:rsidR="00CC2B31" w:rsidRPr="00C65707" w:rsidRDefault="00CC2B31">
            <w:pPr>
              <w:pStyle w:val="TextTi9"/>
              <w:widowControl w:val="0"/>
              <w:spacing w:after="0"/>
              <w:jc w:val="center"/>
              <w:rPr>
                <w:rFonts w:ascii="Times New Roman" w:hAnsi="Times New Roman"/>
                <w:sz w:val="22"/>
              </w:rPr>
            </w:pPr>
            <w:r w:rsidRPr="00C65707">
              <w:rPr>
                <w:rFonts w:ascii="Times New Roman" w:hAnsi="Times New Roman"/>
                <w:sz w:val="22"/>
              </w:rPr>
              <w:t>101 ± 43.2</w:t>
            </w:r>
          </w:p>
        </w:tc>
      </w:tr>
      <w:tr w:rsidR="00CC2B31" w:rsidRPr="00C65707" w14:paraId="12B46C50" w14:textId="77777777" w:rsidTr="00CE5678">
        <w:trPr>
          <w:cantSplit/>
          <w:trHeight w:val="324"/>
        </w:trPr>
        <w:tc>
          <w:tcPr>
            <w:tcW w:w="1656" w:type="pct"/>
            <w:tcBorders>
              <w:top w:val="single" w:sz="4" w:space="0" w:color="auto"/>
              <w:left w:val="single" w:sz="4" w:space="0" w:color="auto"/>
              <w:bottom w:val="single" w:sz="4" w:space="0" w:color="auto"/>
              <w:right w:val="single" w:sz="4" w:space="0" w:color="auto"/>
            </w:tcBorders>
            <w:hideMark/>
          </w:tcPr>
          <w:p w14:paraId="00609670" w14:textId="77777777" w:rsidR="00CC2B31" w:rsidRPr="00C65707" w:rsidRDefault="00CC2B31" w:rsidP="00C65707">
            <w:pPr>
              <w:pStyle w:val="TextTi9"/>
              <w:widowControl w:val="0"/>
              <w:spacing w:after="0"/>
              <w:jc w:val="both"/>
              <w:rPr>
                <w:rFonts w:ascii="Times New Roman" w:hAnsi="Times New Roman"/>
                <w:sz w:val="22"/>
              </w:rPr>
            </w:pPr>
            <w:r w:rsidRPr="00C65707">
              <w:rPr>
                <w:rFonts w:ascii="Times New Roman" w:hAnsi="Times New Roman"/>
                <w:sz w:val="22"/>
              </w:rPr>
              <w:t>Akumulacija pri C</w:t>
            </w:r>
            <w:r w:rsidRPr="00C65707">
              <w:rPr>
                <w:rFonts w:ascii="Times New Roman" w:hAnsi="Times New Roman"/>
                <w:sz w:val="22"/>
                <w:vertAlign w:val="subscript"/>
              </w:rPr>
              <w:t xml:space="preserve">max </w:t>
            </w:r>
          </w:p>
        </w:tc>
        <w:tc>
          <w:tcPr>
            <w:tcW w:w="1646" w:type="pct"/>
            <w:tcBorders>
              <w:top w:val="single" w:sz="4" w:space="0" w:color="auto"/>
              <w:left w:val="single" w:sz="4" w:space="0" w:color="auto"/>
              <w:bottom w:val="single" w:sz="4" w:space="0" w:color="auto"/>
              <w:right w:val="single" w:sz="4" w:space="0" w:color="auto"/>
            </w:tcBorders>
          </w:tcPr>
          <w:p w14:paraId="1477F49F" w14:textId="77777777" w:rsidR="00CC2B31" w:rsidRPr="00C65707" w:rsidRDefault="00CC2B31">
            <w:pPr>
              <w:pStyle w:val="TextTi9"/>
              <w:widowControl w:val="0"/>
              <w:spacing w:after="0"/>
              <w:jc w:val="center"/>
              <w:rPr>
                <w:rFonts w:ascii="Times New Roman" w:hAnsi="Times New Roman"/>
                <w:sz w:val="22"/>
              </w:rPr>
            </w:pPr>
            <w:r w:rsidRPr="00C65707">
              <w:rPr>
                <w:rFonts w:ascii="Times New Roman" w:hAnsi="Times New Roman"/>
                <w:sz w:val="22"/>
              </w:rPr>
              <w:t>3.66</w:t>
            </w:r>
          </w:p>
        </w:tc>
        <w:tc>
          <w:tcPr>
            <w:tcW w:w="1698" w:type="pct"/>
            <w:tcBorders>
              <w:top w:val="single" w:sz="4" w:space="0" w:color="auto"/>
              <w:left w:val="single" w:sz="4" w:space="0" w:color="auto"/>
              <w:bottom w:val="single" w:sz="4" w:space="0" w:color="auto"/>
              <w:right w:val="single" w:sz="4" w:space="0" w:color="auto"/>
            </w:tcBorders>
          </w:tcPr>
          <w:p w14:paraId="58F03880" w14:textId="77777777" w:rsidR="00CC2B31" w:rsidRPr="002B3647" w:rsidRDefault="00CC2B31">
            <w:pPr>
              <w:pStyle w:val="TextTi9"/>
              <w:widowControl w:val="0"/>
              <w:spacing w:after="0"/>
              <w:jc w:val="center"/>
              <w:rPr>
                <w:rFonts w:ascii="Times New Roman" w:hAnsi="Times New Roman"/>
                <w:sz w:val="22"/>
              </w:rPr>
            </w:pPr>
            <w:r w:rsidRPr="002B3647">
              <w:rPr>
                <w:rFonts w:ascii="Times New Roman" w:hAnsi="Times New Roman"/>
                <w:sz w:val="22"/>
              </w:rPr>
              <w:t>1,88</w:t>
            </w:r>
          </w:p>
        </w:tc>
      </w:tr>
      <w:tr w:rsidR="00CC2B31" w:rsidRPr="00C65707" w14:paraId="5A6B6FF9" w14:textId="77777777" w:rsidTr="00CE5678">
        <w:trPr>
          <w:cantSplit/>
          <w:trHeight w:val="331"/>
        </w:trPr>
        <w:tc>
          <w:tcPr>
            <w:tcW w:w="1656" w:type="pct"/>
            <w:tcBorders>
              <w:top w:val="single" w:sz="4" w:space="0" w:color="auto"/>
              <w:left w:val="single" w:sz="4" w:space="0" w:color="auto"/>
              <w:bottom w:val="single" w:sz="4" w:space="0" w:color="auto"/>
              <w:right w:val="single" w:sz="4" w:space="0" w:color="auto"/>
            </w:tcBorders>
            <w:hideMark/>
          </w:tcPr>
          <w:p w14:paraId="2EABEEA3" w14:textId="77777777" w:rsidR="00CC2B31" w:rsidRPr="00C65707" w:rsidRDefault="00CC2B31" w:rsidP="00C65707">
            <w:pPr>
              <w:pStyle w:val="TextTi9"/>
              <w:widowControl w:val="0"/>
              <w:spacing w:after="0"/>
              <w:jc w:val="both"/>
              <w:rPr>
                <w:rFonts w:ascii="Times New Roman" w:hAnsi="Times New Roman"/>
                <w:sz w:val="22"/>
              </w:rPr>
            </w:pPr>
            <w:r w:rsidRPr="00C65707">
              <w:rPr>
                <w:rFonts w:ascii="Times New Roman" w:hAnsi="Times New Roman"/>
                <w:sz w:val="22"/>
              </w:rPr>
              <w:t>Akumulacija pri C</w:t>
            </w:r>
            <w:r w:rsidRPr="00C65707">
              <w:rPr>
                <w:rFonts w:ascii="Times New Roman" w:hAnsi="Times New Roman"/>
                <w:sz w:val="22"/>
                <w:vertAlign w:val="subscript"/>
              </w:rPr>
              <w:t>min</w:t>
            </w:r>
            <w:r w:rsidRPr="00C65707">
              <w:rPr>
                <w:rFonts w:ascii="Times New Roman" w:hAnsi="Times New Roman"/>
                <w:sz w:val="22"/>
              </w:rPr>
              <w:t xml:space="preserve"> </w:t>
            </w:r>
          </w:p>
        </w:tc>
        <w:tc>
          <w:tcPr>
            <w:tcW w:w="1646" w:type="pct"/>
            <w:tcBorders>
              <w:top w:val="single" w:sz="4" w:space="0" w:color="auto"/>
              <w:left w:val="single" w:sz="4" w:space="0" w:color="auto"/>
              <w:bottom w:val="single" w:sz="4" w:space="0" w:color="auto"/>
              <w:right w:val="single" w:sz="4" w:space="0" w:color="auto"/>
            </w:tcBorders>
          </w:tcPr>
          <w:p w14:paraId="14EEB830" w14:textId="77777777" w:rsidR="00CC2B31" w:rsidRPr="002B3647" w:rsidRDefault="00CC2B31">
            <w:pPr>
              <w:pStyle w:val="TextTi9"/>
              <w:widowControl w:val="0"/>
              <w:spacing w:after="0"/>
              <w:jc w:val="center"/>
              <w:rPr>
                <w:rFonts w:ascii="Times New Roman" w:hAnsi="Times New Roman"/>
                <w:sz w:val="22"/>
              </w:rPr>
            </w:pPr>
            <w:r w:rsidRPr="00C65707">
              <w:rPr>
                <w:rFonts w:ascii="Times New Roman" w:hAnsi="Times New Roman"/>
                <w:sz w:val="22"/>
              </w:rPr>
              <w:t>4.39</w:t>
            </w:r>
          </w:p>
        </w:tc>
        <w:tc>
          <w:tcPr>
            <w:tcW w:w="1698" w:type="pct"/>
            <w:tcBorders>
              <w:top w:val="single" w:sz="4" w:space="0" w:color="auto"/>
              <w:left w:val="single" w:sz="4" w:space="0" w:color="auto"/>
              <w:bottom w:val="single" w:sz="4" w:space="0" w:color="auto"/>
              <w:right w:val="single" w:sz="4" w:space="0" w:color="auto"/>
            </w:tcBorders>
          </w:tcPr>
          <w:p w14:paraId="251CBC2A" w14:textId="77777777" w:rsidR="00CC2B31" w:rsidRPr="00C65707" w:rsidRDefault="00CC2B31">
            <w:pPr>
              <w:pStyle w:val="TextTi9"/>
              <w:widowControl w:val="0"/>
              <w:spacing w:after="0"/>
              <w:jc w:val="center"/>
              <w:rPr>
                <w:rFonts w:ascii="Times New Roman" w:hAnsi="Times New Roman"/>
                <w:sz w:val="22"/>
              </w:rPr>
            </w:pPr>
            <w:r w:rsidRPr="00C65707">
              <w:rPr>
                <w:rFonts w:ascii="Times New Roman" w:hAnsi="Times New Roman"/>
                <w:sz w:val="22"/>
              </w:rPr>
              <w:t>3,21</w:t>
            </w:r>
          </w:p>
        </w:tc>
      </w:tr>
      <w:tr w:rsidR="00CC2B31" w:rsidRPr="00C65707" w14:paraId="50C01493" w14:textId="77777777" w:rsidTr="00CE5678">
        <w:trPr>
          <w:cantSplit/>
          <w:trHeight w:val="331"/>
        </w:trPr>
        <w:tc>
          <w:tcPr>
            <w:tcW w:w="1656" w:type="pct"/>
            <w:tcBorders>
              <w:top w:val="single" w:sz="4" w:space="0" w:color="auto"/>
              <w:left w:val="single" w:sz="4" w:space="0" w:color="auto"/>
              <w:bottom w:val="single" w:sz="4" w:space="0" w:color="auto"/>
              <w:right w:val="single" w:sz="4" w:space="0" w:color="auto"/>
            </w:tcBorders>
          </w:tcPr>
          <w:p w14:paraId="66B37FB1" w14:textId="77777777" w:rsidR="00CC2B31" w:rsidRPr="002B3647" w:rsidRDefault="00CC2B31" w:rsidP="00C65707">
            <w:pPr>
              <w:pStyle w:val="TextTi9"/>
              <w:widowControl w:val="0"/>
              <w:spacing w:after="0"/>
              <w:jc w:val="both"/>
              <w:rPr>
                <w:rFonts w:ascii="Times New Roman" w:hAnsi="Times New Roman"/>
                <w:sz w:val="22"/>
              </w:rPr>
            </w:pPr>
            <w:r w:rsidRPr="00C65707">
              <w:rPr>
                <w:rFonts w:ascii="Times New Roman" w:hAnsi="Times New Roman"/>
                <w:sz w:val="22"/>
              </w:rPr>
              <w:t>Akumulacija pri C</w:t>
            </w:r>
            <w:r w:rsidRPr="00C65707">
              <w:rPr>
                <w:rFonts w:ascii="Times New Roman" w:hAnsi="Times New Roman"/>
                <w:sz w:val="22"/>
                <w:vertAlign w:val="subscript"/>
              </w:rPr>
              <w:t>avg</w:t>
            </w:r>
            <w:r w:rsidRPr="00C65707">
              <w:rPr>
                <w:rFonts w:ascii="Times New Roman" w:hAnsi="Times New Roman"/>
                <w:sz w:val="22"/>
              </w:rPr>
              <w:t xml:space="preserve"> AUC</w:t>
            </w:r>
            <w:r w:rsidRPr="00C65707">
              <w:rPr>
                <w:rFonts w:ascii="Times New Roman" w:hAnsi="Times New Roman"/>
                <w:sz w:val="22"/>
                <w:vertAlign w:val="subscript"/>
              </w:rPr>
              <w:t>τ</w:t>
            </w:r>
            <w:r w:rsidRPr="00C65707">
              <w:rPr>
                <w:rFonts w:ascii="Times New Roman" w:hAnsi="Times New Roman"/>
                <w:sz w:val="22"/>
              </w:rPr>
              <w:t xml:space="preserve"> *</w:t>
            </w:r>
          </w:p>
        </w:tc>
        <w:tc>
          <w:tcPr>
            <w:tcW w:w="1646" w:type="pct"/>
            <w:tcBorders>
              <w:top w:val="single" w:sz="4" w:space="0" w:color="auto"/>
              <w:left w:val="single" w:sz="4" w:space="0" w:color="auto"/>
              <w:bottom w:val="single" w:sz="4" w:space="0" w:color="auto"/>
              <w:right w:val="single" w:sz="4" w:space="0" w:color="auto"/>
            </w:tcBorders>
          </w:tcPr>
          <w:p w14:paraId="0F369A25" w14:textId="77777777" w:rsidR="00CC2B31" w:rsidRPr="002B3647" w:rsidRDefault="00CC2B31">
            <w:pPr>
              <w:pStyle w:val="TextTi9"/>
              <w:widowControl w:val="0"/>
              <w:spacing w:after="0"/>
              <w:jc w:val="center"/>
              <w:rPr>
                <w:rFonts w:ascii="Times New Roman" w:hAnsi="Times New Roman"/>
                <w:sz w:val="22"/>
              </w:rPr>
            </w:pPr>
            <w:r w:rsidRPr="002B3647">
              <w:rPr>
                <w:rFonts w:ascii="Times New Roman" w:hAnsi="Times New Roman"/>
                <w:sz w:val="22"/>
              </w:rPr>
              <w:t>4.28</w:t>
            </w:r>
          </w:p>
        </w:tc>
        <w:tc>
          <w:tcPr>
            <w:tcW w:w="1698" w:type="pct"/>
            <w:tcBorders>
              <w:top w:val="single" w:sz="4" w:space="0" w:color="auto"/>
              <w:left w:val="single" w:sz="4" w:space="0" w:color="auto"/>
              <w:bottom w:val="single" w:sz="4" w:space="0" w:color="auto"/>
              <w:right w:val="single" w:sz="4" w:space="0" w:color="auto"/>
            </w:tcBorders>
          </w:tcPr>
          <w:p w14:paraId="3CC4460C" w14:textId="77777777" w:rsidR="00CC2B31" w:rsidRPr="00C65707" w:rsidRDefault="00CC2B31">
            <w:pPr>
              <w:pStyle w:val="TextTi9"/>
              <w:widowControl w:val="0"/>
              <w:spacing w:after="0"/>
              <w:jc w:val="center"/>
              <w:rPr>
                <w:rFonts w:ascii="Times New Roman" w:hAnsi="Times New Roman"/>
                <w:sz w:val="22"/>
              </w:rPr>
            </w:pPr>
            <w:r w:rsidRPr="00C65707">
              <w:rPr>
                <w:rFonts w:ascii="Times New Roman" w:hAnsi="Times New Roman"/>
                <w:sz w:val="22"/>
              </w:rPr>
              <w:t>2,27</w:t>
            </w:r>
          </w:p>
        </w:tc>
      </w:tr>
    </w:tbl>
    <w:p w14:paraId="73E2198D" w14:textId="51D1DF45" w:rsidR="00CC2B31" w:rsidRPr="00CE5678" w:rsidRDefault="00CC2B31" w:rsidP="00C65707">
      <w:pPr>
        <w:widowControl w:val="0"/>
        <w:jc w:val="both"/>
        <w:rPr>
          <w:iCs/>
          <w:sz w:val="22"/>
          <w:szCs w:val="22"/>
        </w:rPr>
      </w:pPr>
      <w:r w:rsidRPr="00CE5678">
        <w:rPr>
          <w:iCs/>
          <w:sz w:val="22"/>
          <w:szCs w:val="22"/>
        </w:rPr>
        <w:t>*τ = 2 ned</w:t>
      </w:r>
      <w:r w:rsidR="000A085D" w:rsidRPr="00CE5678">
        <w:rPr>
          <w:iCs/>
          <w:sz w:val="22"/>
          <w:szCs w:val="22"/>
        </w:rPr>
        <w:t>j</w:t>
      </w:r>
      <w:r w:rsidRPr="00CE5678">
        <w:rPr>
          <w:iCs/>
          <w:sz w:val="22"/>
          <w:szCs w:val="22"/>
        </w:rPr>
        <w:t>elje ili 1 ned</w:t>
      </w:r>
      <w:r w:rsidR="000A085D" w:rsidRPr="00CE5678">
        <w:rPr>
          <w:iCs/>
          <w:sz w:val="22"/>
          <w:szCs w:val="22"/>
        </w:rPr>
        <w:t>j</w:t>
      </w:r>
      <w:r w:rsidRPr="00CE5678">
        <w:rPr>
          <w:iCs/>
          <w:sz w:val="22"/>
          <w:szCs w:val="22"/>
        </w:rPr>
        <w:t>elja za dva su</w:t>
      </w:r>
      <w:r w:rsidR="00777E5D">
        <w:rPr>
          <w:iCs/>
          <w:sz w:val="22"/>
          <w:szCs w:val="22"/>
        </w:rPr>
        <w:t>b</w:t>
      </w:r>
      <w:r w:rsidRPr="00CE5678">
        <w:rPr>
          <w:iCs/>
          <w:sz w:val="22"/>
          <w:szCs w:val="22"/>
        </w:rPr>
        <w:t>kutana režima</w:t>
      </w:r>
    </w:p>
    <w:p w14:paraId="43FB215F" w14:textId="77777777" w:rsidR="00CC2B31" w:rsidRPr="00C65707" w:rsidRDefault="00CC2B31" w:rsidP="002B3647">
      <w:pPr>
        <w:widowControl w:val="0"/>
        <w:jc w:val="both"/>
        <w:rPr>
          <w:iCs/>
          <w:sz w:val="22"/>
          <w:szCs w:val="22"/>
        </w:rPr>
      </w:pPr>
    </w:p>
    <w:p w14:paraId="143C09C3" w14:textId="0709D239" w:rsidR="00CC2B31" w:rsidRPr="00C65707" w:rsidRDefault="00CC2B31" w:rsidP="002B3647">
      <w:pPr>
        <w:widowControl w:val="0"/>
        <w:jc w:val="both"/>
        <w:rPr>
          <w:sz w:val="22"/>
          <w:szCs w:val="22"/>
        </w:rPr>
      </w:pPr>
      <w:r w:rsidRPr="00C65707">
        <w:rPr>
          <w:iCs/>
          <w:sz w:val="22"/>
          <w:szCs w:val="22"/>
        </w:rPr>
        <w:t xml:space="preserve">Nakon </w:t>
      </w:r>
      <w:r w:rsidR="00910BDC" w:rsidRPr="00C65707">
        <w:rPr>
          <w:iCs/>
          <w:sz w:val="22"/>
          <w:szCs w:val="22"/>
        </w:rPr>
        <w:t xml:space="preserve">subkutane </w:t>
      </w:r>
      <w:r w:rsidRPr="00C65707">
        <w:rPr>
          <w:iCs/>
          <w:sz w:val="22"/>
          <w:szCs w:val="22"/>
        </w:rPr>
        <w:t>primjene l</w:t>
      </w:r>
      <w:r w:rsidRPr="00C65707">
        <w:rPr>
          <w:sz w:val="22"/>
          <w:szCs w:val="22"/>
        </w:rPr>
        <w:t>ij</w:t>
      </w:r>
      <w:r w:rsidRPr="002B3647">
        <w:rPr>
          <w:iCs/>
          <w:sz w:val="22"/>
          <w:szCs w:val="22"/>
        </w:rPr>
        <w:t>eka približno 90% stanja dinamičke ravnoteže postignuto je do 12. ned</w:t>
      </w:r>
      <w:r w:rsidR="009C5005" w:rsidRPr="00C65707">
        <w:rPr>
          <w:iCs/>
          <w:sz w:val="22"/>
          <w:szCs w:val="22"/>
        </w:rPr>
        <w:t>j</w:t>
      </w:r>
      <w:r w:rsidRPr="00C65707">
        <w:rPr>
          <w:iCs/>
          <w:sz w:val="22"/>
          <w:szCs w:val="22"/>
        </w:rPr>
        <w:t xml:space="preserve">elje i uz režim </w:t>
      </w:r>
      <w:r w:rsidR="00910BDC" w:rsidRPr="00C65707">
        <w:rPr>
          <w:iCs/>
          <w:sz w:val="22"/>
          <w:szCs w:val="22"/>
        </w:rPr>
        <w:t xml:space="preserve">subkutane </w:t>
      </w:r>
      <w:r w:rsidRPr="00C65707">
        <w:rPr>
          <w:iCs/>
          <w:sz w:val="22"/>
          <w:szCs w:val="22"/>
        </w:rPr>
        <w:t>primjene doze od 162 mg svake ned</w:t>
      </w:r>
      <w:r w:rsidR="009C5005" w:rsidRPr="00C65707">
        <w:rPr>
          <w:iCs/>
          <w:sz w:val="22"/>
          <w:szCs w:val="22"/>
        </w:rPr>
        <w:t>j</w:t>
      </w:r>
      <w:r w:rsidRPr="00C65707">
        <w:rPr>
          <w:iCs/>
          <w:sz w:val="22"/>
          <w:szCs w:val="22"/>
        </w:rPr>
        <w:t>elje i uz režim prim</w:t>
      </w:r>
      <w:r w:rsidR="000A085D" w:rsidRPr="00C65707">
        <w:rPr>
          <w:iCs/>
          <w:sz w:val="22"/>
          <w:szCs w:val="22"/>
        </w:rPr>
        <w:t>j</w:t>
      </w:r>
      <w:r w:rsidRPr="00C65707">
        <w:rPr>
          <w:iCs/>
          <w:sz w:val="22"/>
          <w:szCs w:val="22"/>
        </w:rPr>
        <w:t>ene svake 2 ned</w:t>
      </w:r>
      <w:r w:rsidR="009C5005" w:rsidRPr="00C65707">
        <w:rPr>
          <w:iCs/>
          <w:sz w:val="22"/>
          <w:szCs w:val="22"/>
        </w:rPr>
        <w:t>j</w:t>
      </w:r>
      <w:r w:rsidRPr="00C65707">
        <w:rPr>
          <w:iCs/>
          <w:sz w:val="22"/>
          <w:szCs w:val="22"/>
        </w:rPr>
        <w:t>elje.</w:t>
      </w:r>
    </w:p>
    <w:p w14:paraId="5E4F45EB" w14:textId="77777777" w:rsidR="00CC2B31" w:rsidRPr="00C65707" w:rsidRDefault="00CC2B31">
      <w:pPr>
        <w:widowControl w:val="0"/>
        <w:jc w:val="both"/>
        <w:rPr>
          <w:iCs/>
          <w:sz w:val="22"/>
          <w:szCs w:val="22"/>
        </w:rPr>
      </w:pPr>
    </w:p>
    <w:p w14:paraId="223A3E89" w14:textId="77777777" w:rsidR="00CC2B31" w:rsidRPr="00C65707" w:rsidRDefault="00CC2B31">
      <w:pPr>
        <w:widowControl w:val="0"/>
        <w:jc w:val="both"/>
        <w:rPr>
          <w:iCs/>
          <w:sz w:val="22"/>
          <w:szCs w:val="22"/>
          <w:u w:val="single"/>
        </w:rPr>
      </w:pPr>
      <w:r w:rsidRPr="00C65707">
        <w:rPr>
          <w:iCs/>
          <w:sz w:val="22"/>
          <w:szCs w:val="22"/>
          <w:u w:val="single"/>
        </w:rPr>
        <w:t>Resorpcija</w:t>
      </w:r>
    </w:p>
    <w:p w14:paraId="2F7DD268" w14:textId="0F12757D" w:rsidR="00CC2B31" w:rsidRPr="00C65707" w:rsidRDefault="00CC2B31">
      <w:pPr>
        <w:widowControl w:val="0"/>
        <w:jc w:val="both"/>
        <w:rPr>
          <w:iCs/>
          <w:sz w:val="22"/>
          <w:szCs w:val="22"/>
          <w:lang w:eastAsia="de-DE"/>
        </w:rPr>
      </w:pPr>
      <w:r w:rsidRPr="00C65707">
        <w:rPr>
          <w:iCs/>
          <w:sz w:val="22"/>
          <w:szCs w:val="22"/>
          <w:lang w:eastAsia="de-DE"/>
        </w:rPr>
        <w:t xml:space="preserve">Nakon </w:t>
      </w:r>
      <w:r w:rsidR="00910BDC" w:rsidRPr="00C65707">
        <w:rPr>
          <w:iCs/>
          <w:sz w:val="22"/>
          <w:szCs w:val="22"/>
          <w:lang w:eastAsia="de-DE"/>
        </w:rPr>
        <w:t xml:space="preserve">subkutano </w:t>
      </w:r>
      <w:r w:rsidRPr="00C65707">
        <w:rPr>
          <w:iCs/>
          <w:sz w:val="22"/>
          <w:szCs w:val="22"/>
          <w:lang w:eastAsia="de-DE"/>
        </w:rPr>
        <w:t xml:space="preserve">primijenjene doze kod pacijenata sa sJIA, poluvrijeme resorpcije iznosilo je približno 2 dana, dok je bioraspoloživost </w:t>
      </w:r>
      <w:r w:rsidR="00910BDC" w:rsidRPr="00C65707">
        <w:rPr>
          <w:iCs/>
          <w:sz w:val="22"/>
          <w:szCs w:val="22"/>
          <w:lang w:eastAsia="de-DE"/>
        </w:rPr>
        <w:t xml:space="preserve">subkutane </w:t>
      </w:r>
      <w:r w:rsidRPr="00C65707">
        <w:rPr>
          <w:iCs/>
          <w:sz w:val="22"/>
          <w:szCs w:val="22"/>
          <w:lang w:eastAsia="de-DE"/>
        </w:rPr>
        <w:t>formulacije kod pacijenata sa sJIA iznosila 95%.</w:t>
      </w:r>
    </w:p>
    <w:p w14:paraId="08FDA1F2" w14:textId="77777777" w:rsidR="00CC2B31" w:rsidRPr="00C65707" w:rsidRDefault="00CC2B31">
      <w:pPr>
        <w:widowControl w:val="0"/>
        <w:jc w:val="both"/>
        <w:rPr>
          <w:iCs/>
          <w:sz w:val="22"/>
          <w:szCs w:val="22"/>
          <w:lang w:eastAsia="de-DE"/>
        </w:rPr>
      </w:pPr>
    </w:p>
    <w:p w14:paraId="053A834E" w14:textId="77777777" w:rsidR="00CC2B31" w:rsidRPr="00C65707" w:rsidRDefault="00CC2B31">
      <w:pPr>
        <w:widowControl w:val="0"/>
        <w:jc w:val="both"/>
        <w:rPr>
          <w:iCs/>
          <w:sz w:val="22"/>
          <w:szCs w:val="22"/>
          <w:u w:val="single"/>
          <w:lang w:eastAsia="de-DE"/>
        </w:rPr>
      </w:pPr>
      <w:r w:rsidRPr="00C65707">
        <w:rPr>
          <w:iCs/>
          <w:sz w:val="22"/>
          <w:szCs w:val="22"/>
          <w:u w:val="single"/>
          <w:lang w:eastAsia="de-DE"/>
        </w:rPr>
        <w:t>Distribucija</w:t>
      </w:r>
    </w:p>
    <w:p w14:paraId="30CBF844" w14:textId="1283AB9D" w:rsidR="00CC2B31" w:rsidRPr="00C65707" w:rsidRDefault="00CC2B31">
      <w:pPr>
        <w:widowControl w:val="0"/>
        <w:jc w:val="both"/>
        <w:rPr>
          <w:iCs/>
          <w:sz w:val="22"/>
          <w:szCs w:val="22"/>
          <w:lang w:eastAsia="de-DE"/>
        </w:rPr>
      </w:pPr>
      <w:r w:rsidRPr="00C65707">
        <w:rPr>
          <w:iCs/>
          <w:sz w:val="22"/>
          <w:szCs w:val="22"/>
          <w:lang w:eastAsia="de-DE"/>
        </w:rPr>
        <w:t xml:space="preserve">Kod pedijatrijskih pacijenata sa sJIA, srednji volumen distribucije iznosio je 1.87 </w:t>
      </w:r>
      <w:r w:rsidR="009C5005" w:rsidRPr="00C65707">
        <w:rPr>
          <w:iCs/>
          <w:sz w:val="22"/>
          <w:szCs w:val="22"/>
          <w:lang w:eastAsia="de-DE"/>
        </w:rPr>
        <w:t>l</w:t>
      </w:r>
      <w:r w:rsidRPr="00C65707">
        <w:rPr>
          <w:iCs/>
          <w:sz w:val="22"/>
          <w:szCs w:val="22"/>
          <w:lang w:eastAsia="de-DE"/>
        </w:rPr>
        <w:t xml:space="preserve">, periferni volumen distribucije 2.14 </w:t>
      </w:r>
      <w:r w:rsidR="009C5005" w:rsidRPr="00C65707">
        <w:rPr>
          <w:iCs/>
          <w:sz w:val="22"/>
          <w:szCs w:val="22"/>
          <w:lang w:eastAsia="de-DE"/>
        </w:rPr>
        <w:t>l</w:t>
      </w:r>
      <w:r w:rsidRPr="00C65707">
        <w:rPr>
          <w:iCs/>
          <w:sz w:val="22"/>
          <w:szCs w:val="22"/>
          <w:lang w:eastAsia="de-DE"/>
        </w:rPr>
        <w:t xml:space="preserve">, što čini volumen distribucije od 4.01 </w:t>
      </w:r>
      <w:r w:rsidR="009C5005" w:rsidRPr="00C65707">
        <w:rPr>
          <w:iCs/>
          <w:sz w:val="22"/>
          <w:szCs w:val="22"/>
          <w:lang w:eastAsia="de-DE"/>
        </w:rPr>
        <w:t xml:space="preserve">l </w:t>
      </w:r>
      <w:r w:rsidRPr="00C65707">
        <w:rPr>
          <w:iCs/>
          <w:sz w:val="22"/>
          <w:szCs w:val="22"/>
          <w:lang w:eastAsia="de-DE"/>
        </w:rPr>
        <w:t>u stanju ravnoteže.</w:t>
      </w:r>
    </w:p>
    <w:p w14:paraId="1C0013A2" w14:textId="77777777" w:rsidR="00CC2B31" w:rsidRPr="00C65707" w:rsidRDefault="00CC2B31">
      <w:pPr>
        <w:widowControl w:val="0"/>
        <w:jc w:val="both"/>
        <w:rPr>
          <w:iCs/>
          <w:sz w:val="22"/>
          <w:szCs w:val="22"/>
          <w:u w:val="single"/>
          <w:lang w:eastAsia="de-DE"/>
        </w:rPr>
      </w:pPr>
    </w:p>
    <w:p w14:paraId="49FDF9E7" w14:textId="77777777" w:rsidR="00CC2B31" w:rsidRPr="00C65707" w:rsidRDefault="00CC2B31">
      <w:pPr>
        <w:widowControl w:val="0"/>
        <w:jc w:val="both"/>
        <w:rPr>
          <w:iCs/>
          <w:sz w:val="22"/>
          <w:szCs w:val="22"/>
          <w:u w:val="single"/>
          <w:lang w:eastAsia="de-DE"/>
        </w:rPr>
      </w:pPr>
      <w:r w:rsidRPr="00C65707">
        <w:rPr>
          <w:iCs/>
          <w:sz w:val="22"/>
          <w:szCs w:val="22"/>
          <w:u w:val="single"/>
          <w:lang w:eastAsia="de-DE"/>
        </w:rPr>
        <w:t>Eliminacija</w:t>
      </w:r>
    </w:p>
    <w:p w14:paraId="2F68FAC5" w14:textId="7B6F28D0" w:rsidR="00CC2B31" w:rsidRPr="00C65707" w:rsidRDefault="00CC2B31">
      <w:pPr>
        <w:widowControl w:val="0"/>
        <w:jc w:val="both"/>
        <w:rPr>
          <w:iCs/>
          <w:sz w:val="22"/>
          <w:szCs w:val="22"/>
        </w:rPr>
      </w:pPr>
      <w:r w:rsidRPr="00C65707">
        <w:rPr>
          <w:iCs/>
          <w:sz w:val="22"/>
          <w:szCs w:val="22"/>
        </w:rPr>
        <w:t xml:space="preserve">Ukupan klirens </w:t>
      </w:r>
      <w:r w:rsidR="009C5005" w:rsidRPr="00C65707">
        <w:rPr>
          <w:sz w:val="22"/>
          <w:szCs w:val="22"/>
        </w:rPr>
        <w:t>tocilizumab</w:t>
      </w:r>
      <w:r w:rsidRPr="00C65707">
        <w:rPr>
          <w:iCs/>
          <w:sz w:val="22"/>
          <w:szCs w:val="22"/>
        </w:rPr>
        <w:t xml:space="preserve">a zavisio je od koncentracije i bio je jednak zbiru linearnog i nelinearnog klirensa. Linearni klirens ocenjivao se kao parametar u </w:t>
      </w:r>
      <w:r w:rsidRPr="00C65707">
        <w:rPr>
          <w:rFonts w:eastAsia="SimSun"/>
          <w:sz w:val="22"/>
          <w:szCs w:val="22"/>
          <w:lang w:eastAsia="zh-CN" w:bidi="th-TH"/>
        </w:rPr>
        <w:t>populacionoj farmakokinetičkoj analizi</w:t>
      </w:r>
      <w:r w:rsidRPr="00C65707">
        <w:rPr>
          <w:iCs/>
          <w:sz w:val="22"/>
          <w:szCs w:val="22"/>
        </w:rPr>
        <w:t xml:space="preserve"> i iznosio je 5,7 </w:t>
      </w:r>
      <w:r w:rsidR="003F20A4" w:rsidRPr="00C65707">
        <w:rPr>
          <w:iCs/>
          <w:sz w:val="22"/>
          <w:szCs w:val="22"/>
        </w:rPr>
        <w:t>ml</w:t>
      </w:r>
      <w:r w:rsidRPr="00C65707">
        <w:rPr>
          <w:iCs/>
          <w:sz w:val="22"/>
          <w:szCs w:val="22"/>
        </w:rPr>
        <w:t xml:space="preserve">/sat kod pacijenata sa sistemskim juvenilnim idiopatskim artritisom. Nakon </w:t>
      </w:r>
      <w:r w:rsidR="00910BDC" w:rsidRPr="00C65707">
        <w:rPr>
          <w:iCs/>
          <w:sz w:val="22"/>
          <w:szCs w:val="22"/>
        </w:rPr>
        <w:t xml:space="preserve">subkutane </w:t>
      </w:r>
      <w:r w:rsidRPr="00C65707">
        <w:rPr>
          <w:iCs/>
          <w:sz w:val="22"/>
          <w:szCs w:val="22"/>
        </w:rPr>
        <w:t>primjene efektivno poluvr</w:t>
      </w:r>
      <w:r w:rsidR="00777E5D">
        <w:rPr>
          <w:iCs/>
          <w:sz w:val="22"/>
          <w:szCs w:val="22"/>
        </w:rPr>
        <w:t>ij</w:t>
      </w:r>
      <w:r w:rsidRPr="00C65707">
        <w:rPr>
          <w:iCs/>
          <w:sz w:val="22"/>
          <w:szCs w:val="22"/>
        </w:rPr>
        <w:t xml:space="preserve">eme eliminacije </w:t>
      </w:r>
      <w:r w:rsidR="009C5005" w:rsidRPr="00C65707">
        <w:rPr>
          <w:sz w:val="22"/>
          <w:szCs w:val="22"/>
        </w:rPr>
        <w:t>tocilizumab</w:t>
      </w:r>
      <w:r w:rsidRPr="00C65707">
        <w:rPr>
          <w:iCs/>
          <w:sz w:val="22"/>
          <w:szCs w:val="22"/>
        </w:rPr>
        <w:t xml:space="preserve">a kod pacijenata sa sJIA iznosi do 14 dana za oba režima </w:t>
      </w:r>
      <w:r w:rsidR="00910BDC" w:rsidRPr="00C65707">
        <w:rPr>
          <w:iCs/>
          <w:sz w:val="22"/>
          <w:szCs w:val="22"/>
        </w:rPr>
        <w:t xml:space="preserve">subkutane </w:t>
      </w:r>
      <w:r w:rsidRPr="00C65707">
        <w:rPr>
          <w:iCs/>
          <w:sz w:val="22"/>
          <w:szCs w:val="22"/>
        </w:rPr>
        <w:t>prim</w:t>
      </w:r>
      <w:r w:rsidR="009C5005" w:rsidRPr="00C65707">
        <w:rPr>
          <w:iCs/>
          <w:sz w:val="22"/>
          <w:szCs w:val="22"/>
        </w:rPr>
        <w:t>j</w:t>
      </w:r>
      <w:r w:rsidRPr="00C65707">
        <w:rPr>
          <w:iCs/>
          <w:sz w:val="22"/>
          <w:szCs w:val="22"/>
        </w:rPr>
        <w:t>ene doze od 162 mg svake ned</w:t>
      </w:r>
      <w:r w:rsidR="009C5005" w:rsidRPr="00C65707">
        <w:rPr>
          <w:iCs/>
          <w:sz w:val="22"/>
          <w:szCs w:val="22"/>
        </w:rPr>
        <w:t>j</w:t>
      </w:r>
      <w:r w:rsidRPr="00C65707">
        <w:rPr>
          <w:iCs/>
          <w:sz w:val="22"/>
          <w:szCs w:val="22"/>
        </w:rPr>
        <w:t>elje</w:t>
      </w:r>
      <w:r w:rsidR="009C5005" w:rsidRPr="00C65707">
        <w:rPr>
          <w:iCs/>
          <w:sz w:val="22"/>
          <w:szCs w:val="22"/>
        </w:rPr>
        <w:t>,</w:t>
      </w:r>
      <w:r w:rsidRPr="00C65707">
        <w:rPr>
          <w:iCs/>
          <w:sz w:val="22"/>
          <w:szCs w:val="22"/>
        </w:rPr>
        <w:t xml:space="preserve"> odnosno svake dve ned</w:t>
      </w:r>
      <w:r w:rsidR="009C5005" w:rsidRPr="00C65707">
        <w:rPr>
          <w:iCs/>
          <w:sz w:val="22"/>
          <w:szCs w:val="22"/>
        </w:rPr>
        <w:t>j</w:t>
      </w:r>
      <w:r w:rsidRPr="00C65707">
        <w:rPr>
          <w:iCs/>
          <w:sz w:val="22"/>
          <w:szCs w:val="22"/>
        </w:rPr>
        <w:t>elje tokom intervala doziranja u stanju ravnoteže.</w:t>
      </w:r>
    </w:p>
    <w:p w14:paraId="696927F6" w14:textId="77777777" w:rsidR="00CC2B31" w:rsidRPr="00C65707" w:rsidRDefault="00CC2B31">
      <w:pPr>
        <w:widowControl w:val="0"/>
        <w:jc w:val="both"/>
        <w:rPr>
          <w:iCs/>
          <w:sz w:val="22"/>
          <w:szCs w:val="22"/>
        </w:rPr>
      </w:pPr>
    </w:p>
    <w:p w14:paraId="022F04C1" w14:textId="76B23B5E" w:rsidR="00CC2B31" w:rsidRPr="00C65707" w:rsidRDefault="009C5005">
      <w:pPr>
        <w:widowControl w:val="0"/>
        <w:jc w:val="both"/>
        <w:rPr>
          <w:b/>
          <w:iCs/>
          <w:sz w:val="22"/>
          <w:szCs w:val="22"/>
          <w:u w:val="single"/>
        </w:rPr>
      </w:pPr>
      <w:r w:rsidRPr="00C65707">
        <w:rPr>
          <w:b/>
          <w:iCs/>
          <w:sz w:val="22"/>
          <w:szCs w:val="22"/>
          <w:u w:val="single"/>
        </w:rPr>
        <w:t>Pacijenti s</w:t>
      </w:r>
      <w:r w:rsidR="00DF6615" w:rsidRPr="00C65707">
        <w:rPr>
          <w:b/>
          <w:iCs/>
          <w:sz w:val="22"/>
          <w:szCs w:val="22"/>
          <w:u w:val="single"/>
        </w:rPr>
        <w:t>a</w:t>
      </w:r>
      <w:r w:rsidRPr="00C65707">
        <w:rPr>
          <w:b/>
          <w:iCs/>
          <w:sz w:val="22"/>
          <w:szCs w:val="22"/>
          <w:u w:val="single"/>
        </w:rPr>
        <w:t xml:space="preserve"> </w:t>
      </w:r>
      <w:r w:rsidR="00CC2B31" w:rsidRPr="00C65707">
        <w:rPr>
          <w:b/>
          <w:iCs/>
          <w:sz w:val="22"/>
          <w:szCs w:val="22"/>
          <w:u w:val="single"/>
        </w:rPr>
        <w:t>pJIA</w:t>
      </w:r>
    </w:p>
    <w:p w14:paraId="60D6014E" w14:textId="13743622" w:rsidR="00CC2B31" w:rsidRPr="00C65707" w:rsidRDefault="00CC2B31">
      <w:pPr>
        <w:widowControl w:val="0"/>
        <w:jc w:val="both"/>
        <w:rPr>
          <w:b/>
          <w:iCs/>
          <w:sz w:val="22"/>
          <w:szCs w:val="22"/>
          <w:u w:val="single"/>
          <w:lang w:eastAsia="de-DE"/>
        </w:rPr>
      </w:pPr>
      <w:r w:rsidRPr="00C65707">
        <w:rPr>
          <w:b/>
          <w:iCs/>
          <w:sz w:val="22"/>
          <w:szCs w:val="22"/>
          <w:u w:val="single"/>
        </w:rPr>
        <w:t>Subkutana primjena</w:t>
      </w:r>
    </w:p>
    <w:p w14:paraId="0CFCF917" w14:textId="727DB017" w:rsidR="00CC2B31" w:rsidRPr="00C65707" w:rsidRDefault="00CC2B31">
      <w:pPr>
        <w:widowControl w:val="0"/>
        <w:jc w:val="both"/>
        <w:rPr>
          <w:iCs/>
          <w:sz w:val="22"/>
          <w:szCs w:val="22"/>
        </w:rPr>
      </w:pPr>
      <w:r w:rsidRPr="00C65707">
        <w:rPr>
          <w:iCs/>
          <w:sz w:val="22"/>
          <w:szCs w:val="22"/>
          <w:lang w:eastAsia="ja-JP"/>
        </w:rPr>
        <w:t xml:space="preserve">Farmakokinetika </w:t>
      </w:r>
      <w:r w:rsidR="009C5005" w:rsidRPr="00C65707">
        <w:rPr>
          <w:sz w:val="22"/>
          <w:szCs w:val="22"/>
        </w:rPr>
        <w:t>tocilizumab</w:t>
      </w:r>
      <w:r w:rsidRPr="00C65707">
        <w:rPr>
          <w:iCs/>
          <w:sz w:val="22"/>
          <w:szCs w:val="22"/>
          <w:lang w:eastAsia="ja-JP"/>
        </w:rPr>
        <w:t>a kod pacijenata sa pJIA opisana je u populacionoj farmakokinetičkoj analizi koja je obuhvatila 237 pacijenata l</w:t>
      </w:r>
      <w:r w:rsidRPr="00C65707">
        <w:rPr>
          <w:sz w:val="22"/>
          <w:szCs w:val="22"/>
        </w:rPr>
        <w:t>ij</w:t>
      </w:r>
      <w:r w:rsidRPr="00C65707">
        <w:rPr>
          <w:iCs/>
          <w:sz w:val="22"/>
          <w:szCs w:val="22"/>
          <w:lang w:eastAsia="ja-JP"/>
        </w:rPr>
        <w:t>ečenih intravenskom dozom od 8 mg/kg svake 4 ned</w:t>
      </w:r>
      <w:r w:rsidR="009C5005" w:rsidRPr="00C65707">
        <w:rPr>
          <w:iCs/>
          <w:sz w:val="22"/>
          <w:szCs w:val="22"/>
          <w:lang w:eastAsia="ja-JP"/>
        </w:rPr>
        <w:t>j</w:t>
      </w:r>
      <w:r w:rsidRPr="00C65707">
        <w:rPr>
          <w:iCs/>
          <w:sz w:val="22"/>
          <w:szCs w:val="22"/>
          <w:lang w:eastAsia="ja-JP"/>
        </w:rPr>
        <w:t xml:space="preserve">elje (pacijenti tjelesne težine </w:t>
      </w:r>
      <w:r w:rsidRPr="00C65707">
        <w:rPr>
          <w:iCs/>
          <w:sz w:val="22"/>
          <w:szCs w:val="22"/>
        </w:rPr>
        <w:t>≥ 30 kg), intravenskom dozom od</w:t>
      </w:r>
      <w:r w:rsidRPr="00C65707">
        <w:rPr>
          <w:sz w:val="22"/>
          <w:szCs w:val="22"/>
        </w:rPr>
        <w:t xml:space="preserve"> </w:t>
      </w:r>
      <w:r w:rsidRPr="00C65707">
        <w:rPr>
          <w:iCs/>
          <w:sz w:val="22"/>
          <w:szCs w:val="22"/>
        </w:rPr>
        <w:t>10 mg/kg svake 4 ned</w:t>
      </w:r>
      <w:r w:rsidR="009C5005" w:rsidRPr="00C65707">
        <w:rPr>
          <w:iCs/>
          <w:sz w:val="22"/>
          <w:szCs w:val="22"/>
        </w:rPr>
        <w:t>j</w:t>
      </w:r>
      <w:r w:rsidRPr="00C65707">
        <w:rPr>
          <w:iCs/>
          <w:sz w:val="22"/>
          <w:szCs w:val="22"/>
        </w:rPr>
        <w:t xml:space="preserve">elje (pacijenti tjelesne težine manje od 30 kg), </w:t>
      </w:r>
      <w:r w:rsidR="00910BDC" w:rsidRPr="00C65707">
        <w:rPr>
          <w:iCs/>
          <w:sz w:val="22"/>
          <w:szCs w:val="22"/>
        </w:rPr>
        <w:t xml:space="preserve">subkutanom </w:t>
      </w:r>
      <w:r w:rsidRPr="00C65707">
        <w:rPr>
          <w:iCs/>
          <w:sz w:val="22"/>
          <w:szCs w:val="22"/>
        </w:rPr>
        <w:t>dozom od 162 mg svake 2 ned</w:t>
      </w:r>
      <w:r w:rsidR="009C5005" w:rsidRPr="00C65707">
        <w:rPr>
          <w:iCs/>
          <w:sz w:val="22"/>
          <w:szCs w:val="22"/>
        </w:rPr>
        <w:t>j</w:t>
      </w:r>
      <w:r w:rsidRPr="00C65707">
        <w:rPr>
          <w:iCs/>
          <w:sz w:val="22"/>
          <w:szCs w:val="22"/>
        </w:rPr>
        <w:t xml:space="preserve">elje (pacijenti tjelesne težine ≥ 30 kg) ili </w:t>
      </w:r>
      <w:r w:rsidR="00910BDC" w:rsidRPr="00C65707">
        <w:rPr>
          <w:iCs/>
          <w:sz w:val="22"/>
          <w:szCs w:val="22"/>
        </w:rPr>
        <w:t xml:space="preserve">subkutanom </w:t>
      </w:r>
      <w:r w:rsidRPr="00C65707">
        <w:rPr>
          <w:iCs/>
          <w:sz w:val="22"/>
          <w:szCs w:val="22"/>
        </w:rPr>
        <w:t>dozom od 162 mg svake 3 ned</w:t>
      </w:r>
      <w:r w:rsidR="009C5005" w:rsidRPr="00C65707">
        <w:rPr>
          <w:iCs/>
          <w:sz w:val="22"/>
          <w:szCs w:val="22"/>
        </w:rPr>
        <w:t>j</w:t>
      </w:r>
      <w:r w:rsidRPr="00C65707">
        <w:rPr>
          <w:iCs/>
          <w:sz w:val="22"/>
          <w:szCs w:val="22"/>
        </w:rPr>
        <w:t>elje (pacijenti t</w:t>
      </w:r>
      <w:r w:rsidR="00777E5D">
        <w:rPr>
          <w:iCs/>
          <w:sz w:val="22"/>
          <w:szCs w:val="22"/>
        </w:rPr>
        <w:t>j</w:t>
      </w:r>
      <w:r w:rsidRPr="00C65707">
        <w:rPr>
          <w:iCs/>
          <w:sz w:val="22"/>
          <w:szCs w:val="22"/>
        </w:rPr>
        <w:t>elesne težine manje od 30 kg).</w:t>
      </w:r>
    </w:p>
    <w:p w14:paraId="5FEC931D" w14:textId="77777777" w:rsidR="00CC2B31" w:rsidRPr="00C65707" w:rsidRDefault="00CC2B31" w:rsidP="00CE5678">
      <w:pPr>
        <w:widowControl w:val="0"/>
        <w:jc w:val="both"/>
        <w:rPr>
          <w:iCs/>
          <w:sz w:val="22"/>
          <w:szCs w:val="22"/>
        </w:rPr>
      </w:pPr>
    </w:p>
    <w:p w14:paraId="11D49C60" w14:textId="40879862" w:rsidR="00CC2B31" w:rsidRPr="00C65707" w:rsidRDefault="00CC2B31" w:rsidP="00CE5678">
      <w:pPr>
        <w:widowControl w:val="0"/>
        <w:jc w:val="both"/>
        <w:rPr>
          <w:i/>
          <w:iCs/>
          <w:sz w:val="22"/>
          <w:szCs w:val="22"/>
        </w:rPr>
      </w:pPr>
      <w:r w:rsidRPr="00C65707">
        <w:rPr>
          <w:i/>
          <w:iCs/>
          <w:sz w:val="22"/>
          <w:szCs w:val="22"/>
        </w:rPr>
        <w:t xml:space="preserve">Tabela 9. Predviđena srednja vrijednost ± SD farmakokinetičkih parametara u stanju ravnoteže nakon </w:t>
      </w:r>
      <w:r w:rsidR="00910BDC" w:rsidRPr="00C65707">
        <w:rPr>
          <w:i/>
          <w:iCs/>
          <w:sz w:val="22"/>
          <w:szCs w:val="22"/>
        </w:rPr>
        <w:t xml:space="preserve">subkutane </w:t>
      </w:r>
      <w:r w:rsidRPr="00C65707">
        <w:rPr>
          <w:i/>
          <w:iCs/>
          <w:sz w:val="22"/>
          <w:szCs w:val="22"/>
        </w:rPr>
        <w:t>primjene kod pacijenta sa pJIA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2984"/>
        <w:gridCol w:w="3078"/>
      </w:tblGrid>
      <w:tr w:rsidR="00CC2B31" w:rsidRPr="00C65707" w14:paraId="105208CD" w14:textId="77777777" w:rsidTr="00CE5678">
        <w:trPr>
          <w:cantSplit/>
          <w:trHeight w:val="452"/>
        </w:trPr>
        <w:tc>
          <w:tcPr>
            <w:tcW w:w="1656" w:type="pct"/>
            <w:tcBorders>
              <w:top w:val="single" w:sz="4" w:space="0" w:color="auto"/>
              <w:left w:val="single" w:sz="4" w:space="0" w:color="auto"/>
              <w:bottom w:val="single" w:sz="4" w:space="0" w:color="auto"/>
              <w:right w:val="single" w:sz="4" w:space="0" w:color="auto"/>
            </w:tcBorders>
            <w:hideMark/>
          </w:tcPr>
          <w:p w14:paraId="247FC460" w14:textId="2CEDCB7C" w:rsidR="00CC2B31" w:rsidRPr="00C65707" w:rsidRDefault="00CC2B31" w:rsidP="00CE5678">
            <w:pPr>
              <w:pStyle w:val="TextTi9"/>
              <w:widowControl w:val="0"/>
              <w:spacing w:after="0"/>
              <w:jc w:val="both"/>
              <w:rPr>
                <w:rFonts w:ascii="Times New Roman" w:hAnsi="Times New Roman"/>
                <w:sz w:val="22"/>
              </w:rPr>
            </w:pPr>
            <w:r w:rsidRPr="00C65707">
              <w:rPr>
                <w:rFonts w:ascii="Times New Roman" w:hAnsi="Times New Roman"/>
                <w:b/>
                <w:sz w:val="22"/>
              </w:rPr>
              <w:t xml:space="preserve">Farmakokinetički parametri </w:t>
            </w:r>
            <w:r w:rsidR="009C5005" w:rsidRPr="00C65707">
              <w:rPr>
                <w:rFonts w:ascii="Times New Roman" w:hAnsi="Times New Roman"/>
                <w:b/>
                <w:bCs/>
                <w:sz w:val="22"/>
              </w:rPr>
              <w:t>tocilizumab</w:t>
            </w:r>
            <w:r w:rsidRPr="00C65707">
              <w:rPr>
                <w:rFonts w:ascii="Times New Roman" w:hAnsi="Times New Roman"/>
                <w:b/>
                <w:sz w:val="22"/>
              </w:rPr>
              <w:t>a</w:t>
            </w:r>
          </w:p>
        </w:tc>
        <w:tc>
          <w:tcPr>
            <w:tcW w:w="1646" w:type="pct"/>
            <w:tcBorders>
              <w:top w:val="single" w:sz="4" w:space="0" w:color="auto"/>
              <w:left w:val="single" w:sz="4" w:space="0" w:color="auto"/>
              <w:bottom w:val="single" w:sz="4" w:space="0" w:color="auto"/>
              <w:right w:val="single" w:sz="4" w:space="0" w:color="auto"/>
            </w:tcBorders>
            <w:hideMark/>
          </w:tcPr>
          <w:p w14:paraId="549D64E0" w14:textId="344A000B" w:rsidR="00CC2B31" w:rsidRPr="00C65707" w:rsidRDefault="00CC2B31">
            <w:pPr>
              <w:pStyle w:val="TextTi9"/>
              <w:widowControl w:val="0"/>
              <w:spacing w:after="0"/>
              <w:jc w:val="center"/>
              <w:rPr>
                <w:rFonts w:ascii="Times New Roman" w:hAnsi="Times New Roman"/>
                <w:b/>
                <w:sz w:val="22"/>
              </w:rPr>
            </w:pPr>
            <w:r w:rsidRPr="00C65707">
              <w:rPr>
                <w:rFonts w:ascii="Times New Roman" w:hAnsi="Times New Roman"/>
                <w:b/>
                <w:sz w:val="22"/>
              </w:rPr>
              <w:t>162 mg svake 2 ned</w:t>
            </w:r>
            <w:r w:rsidR="009C5005" w:rsidRPr="00C65707">
              <w:rPr>
                <w:rFonts w:ascii="Times New Roman" w:hAnsi="Times New Roman"/>
                <w:b/>
                <w:sz w:val="22"/>
              </w:rPr>
              <w:t>j</w:t>
            </w:r>
            <w:r w:rsidRPr="00C65707">
              <w:rPr>
                <w:rFonts w:ascii="Times New Roman" w:hAnsi="Times New Roman"/>
                <w:b/>
                <w:sz w:val="22"/>
              </w:rPr>
              <w:t>elje</w:t>
            </w:r>
          </w:p>
          <w:p w14:paraId="3533C296" w14:textId="77777777" w:rsidR="00CC2B31" w:rsidRPr="00C65707" w:rsidRDefault="00CC2B31">
            <w:pPr>
              <w:pStyle w:val="TextTi9"/>
              <w:widowControl w:val="0"/>
              <w:spacing w:after="0"/>
              <w:jc w:val="center"/>
              <w:rPr>
                <w:rFonts w:ascii="Times New Roman" w:hAnsi="Times New Roman"/>
                <w:b/>
                <w:sz w:val="22"/>
              </w:rPr>
            </w:pPr>
            <w:r w:rsidRPr="00C65707">
              <w:rPr>
                <w:rFonts w:ascii="Times New Roman" w:hAnsi="Times New Roman"/>
                <w:b/>
                <w:sz w:val="22"/>
              </w:rPr>
              <w:t>≥ 30 kg</w:t>
            </w:r>
          </w:p>
        </w:tc>
        <w:tc>
          <w:tcPr>
            <w:tcW w:w="1698" w:type="pct"/>
            <w:tcBorders>
              <w:top w:val="single" w:sz="4" w:space="0" w:color="auto"/>
              <w:left w:val="single" w:sz="4" w:space="0" w:color="auto"/>
              <w:bottom w:val="single" w:sz="4" w:space="0" w:color="auto"/>
              <w:right w:val="single" w:sz="4" w:space="0" w:color="auto"/>
            </w:tcBorders>
            <w:hideMark/>
          </w:tcPr>
          <w:p w14:paraId="1DBCCCD6" w14:textId="4DB5D8E2" w:rsidR="00CC2B31" w:rsidRPr="00C65707" w:rsidRDefault="00CC2B31">
            <w:pPr>
              <w:pStyle w:val="TextTi9"/>
              <w:widowControl w:val="0"/>
              <w:spacing w:after="0"/>
              <w:jc w:val="center"/>
              <w:rPr>
                <w:rFonts w:ascii="Times New Roman" w:hAnsi="Times New Roman"/>
                <w:b/>
                <w:sz w:val="22"/>
              </w:rPr>
            </w:pPr>
            <w:r w:rsidRPr="00C65707">
              <w:rPr>
                <w:rFonts w:ascii="Times New Roman" w:hAnsi="Times New Roman"/>
                <w:b/>
                <w:sz w:val="22"/>
              </w:rPr>
              <w:t>162 mg svake 3 ned</w:t>
            </w:r>
            <w:r w:rsidR="009C5005" w:rsidRPr="00C65707">
              <w:rPr>
                <w:rFonts w:ascii="Times New Roman" w:hAnsi="Times New Roman"/>
                <w:b/>
                <w:sz w:val="22"/>
              </w:rPr>
              <w:t>j</w:t>
            </w:r>
            <w:r w:rsidRPr="00C65707">
              <w:rPr>
                <w:rFonts w:ascii="Times New Roman" w:hAnsi="Times New Roman"/>
                <w:b/>
                <w:sz w:val="22"/>
              </w:rPr>
              <w:t>elje</w:t>
            </w:r>
          </w:p>
          <w:p w14:paraId="6F0AE722" w14:textId="77777777" w:rsidR="00CC2B31" w:rsidRPr="00C65707" w:rsidRDefault="00CC2B31">
            <w:pPr>
              <w:pStyle w:val="TextTi9"/>
              <w:widowControl w:val="0"/>
              <w:spacing w:after="0"/>
              <w:jc w:val="center"/>
              <w:rPr>
                <w:rFonts w:ascii="Times New Roman" w:hAnsi="Times New Roman"/>
                <w:b/>
                <w:sz w:val="22"/>
              </w:rPr>
            </w:pPr>
            <w:r w:rsidRPr="00C65707">
              <w:rPr>
                <w:rFonts w:ascii="Times New Roman" w:hAnsi="Times New Roman"/>
                <w:b/>
                <w:sz w:val="22"/>
              </w:rPr>
              <w:t>manje od 30 kg</w:t>
            </w:r>
          </w:p>
        </w:tc>
      </w:tr>
      <w:tr w:rsidR="00CC2B31" w:rsidRPr="00C65707" w14:paraId="4EBE8BA9" w14:textId="77777777" w:rsidTr="00CE5678">
        <w:trPr>
          <w:cantSplit/>
          <w:trHeight w:val="195"/>
        </w:trPr>
        <w:tc>
          <w:tcPr>
            <w:tcW w:w="1656" w:type="pct"/>
            <w:tcBorders>
              <w:top w:val="single" w:sz="4" w:space="0" w:color="auto"/>
              <w:left w:val="single" w:sz="4" w:space="0" w:color="auto"/>
              <w:bottom w:val="single" w:sz="4" w:space="0" w:color="auto"/>
              <w:right w:val="single" w:sz="4" w:space="0" w:color="auto"/>
            </w:tcBorders>
            <w:hideMark/>
          </w:tcPr>
          <w:p w14:paraId="36286748" w14:textId="5AD95E5C" w:rsidR="00CC2B31" w:rsidRPr="002B3647" w:rsidRDefault="00CC2B31" w:rsidP="00CE5678">
            <w:pPr>
              <w:pStyle w:val="TextTi9"/>
              <w:widowControl w:val="0"/>
              <w:spacing w:after="0"/>
              <w:jc w:val="both"/>
              <w:rPr>
                <w:rFonts w:ascii="Times New Roman" w:hAnsi="Times New Roman"/>
                <w:sz w:val="22"/>
              </w:rPr>
            </w:pPr>
            <w:r w:rsidRPr="00C65707">
              <w:rPr>
                <w:rFonts w:ascii="Times New Roman" w:hAnsi="Times New Roman"/>
                <w:sz w:val="22"/>
              </w:rPr>
              <w:t>C</w:t>
            </w:r>
            <w:r w:rsidRPr="00C65707">
              <w:rPr>
                <w:rFonts w:ascii="Times New Roman" w:hAnsi="Times New Roman"/>
                <w:sz w:val="22"/>
                <w:vertAlign w:val="subscript"/>
              </w:rPr>
              <w:t>max</w:t>
            </w:r>
            <w:r w:rsidRPr="00C65707">
              <w:rPr>
                <w:rFonts w:ascii="Times New Roman" w:hAnsi="Times New Roman"/>
                <w:sz w:val="22"/>
              </w:rPr>
              <w:t xml:space="preserve"> (µg/</w:t>
            </w:r>
            <w:r w:rsidR="003F20A4" w:rsidRPr="00C65707">
              <w:rPr>
                <w:rFonts w:ascii="Times New Roman" w:hAnsi="Times New Roman"/>
                <w:sz w:val="22"/>
              </w:rPr>
              <w:t>ml</w:t>
            </w:r>
            <w:r w:rsidRPr="00C65707">
              <w:rPr>
                <w:rFonts w:ascii="Times New Roman" w:hAnsi="Times New Roman"/>
                <w:sz w:val="22"/>
              </w:rPr>
              <w:t>)</w:t>
            </w:r>
          </w:p>
        </w:tc>
        <w:tc>
          <w:tcPr>
            <w:tcW w:w="1646" w:type="pct"/>
            <w:tcBorders>
              <w:top w:val="single" w:sz="4" w:space="0" w:color="auto"/>
              <w:left w:val="single" w:sz="4" w:space="0" w:color="auto"/>
              <w:bottom w:val="single" w:sz="4" w:space="0" w:color="auto"/>
              <w:right w:val="single" w:sz="4" w:space="0" w:color="auto"/>
            </w:tcBorders>
            <w:hideMark/>
          </w:tcPr>
          <w:p w14:paraId="470F0195" w14:textId="77777777" w:rsidR="00CC2B31" w:rsidRPr="00C65707" w:rsidRDefault="00CC2B31">
            <w:pPr>
              <w:pStyle w:val="TextTi9"/>
              <w:widowControl w:val="0"/>
              <w:spacing w:after="0"/>
              <w:jc w:val="center"/>
              <w:rPr>
                <w:rFonts w:ascii="Times New Roman" w:hAnsi="Times New Roman"/>
                <w:sz w:val="22"/>
              </w:rPr>
            </w:pPr>
            <w:r w:rsidRPr="00C65707">
              <w:rPr>
                <w:rFonts w:ascii="Times New Roman" w:hAnsi="Times New Roman"/>
                <w:sz w:val="22"/>
              </w:rPr>
              <w:t>29.4 ± 13.5</w:t>
            </w:r>
          </w:p>
        </w:tc>
        <w:tc>
          <w:tcPr>
            <w:tcW w:w="1698" w:type="pct"/>
            <w:tcBorders>
              <w:top w:val="single" w:sz="4" w:space="0" w:color="auto"/>
              <w:left w:val="single" w:sz="4" w:space="0" w:color="auto"/>
              <w:bottom w:val="single" w:sz="4" w:space="0" w:color="auto"/>
              <w:right w:val="single" w:sz="4" w:space="0" w:color="auto"/>
            </w:tcBorders>
            <w:hideMark/>
          </w:tcPr>
          <w:p w14:paraId="25BC9576" w14:textId="77777777" w:rsidR="00CC2B31" w:rsidRPr="00C65707" w:rsidRDefault="00CC2B31">
            <w:pPr>
              <w:pStyle w:val="TextTi9"/>
              <w:widowControl w:val="0"/>
              <w:spacing w:after="0"/>
              <w:jc w:val="center"/>
              <w:rPr>
                <w:rFonts w:ascii="Times New Roman" w:hAnsi="Times New Roman"/>
                <w:sz w:val="22"/>
              </w:rPr>
            </w:pPr>
            <w:r w:rsidRPr="00C65707">
              <w:rPr>
                <w:rFonts w:ascii="Times New Roman" w:hAnsi="Times New Roman"/>
                <w:sz w:val="22"/>
              </w:rPr>
              <w:t>75.5 ± 24.1</w:t>
            </w:r>
          </w:p>
        </w:tc>
      </w:tr>
      <w:tr w:rsidR="00CC2B31" w:rsidRPr="00C65707" w14:paraId="47735380" w14:textId="77777777" w:rsidTr="00CE5678">
        <w:trPr>
          <w:cantSplit/>
          <w:trHeight w:val="195"/>
        </w:trPr>
        <w:tc>
          <w:tcPr>
            <w:tcW w:w="1656" w:type="pct"/>
            <w:tcBorders>
              <w:top w:val="single" w:sz="4" w:space="0" w:color="auto"/>
              <w:left w:val="single" w:sz="4" w:space="0" w:color="auto"/>
              <w:bottom w:val="single" w:sz="4" w:space="0" w:color="auto"/>
              <w:right w:val="single" w:sz="4" w:space="0" w:color="auto"/>
            </w:tcBorders>
            <w:hideMark/>
          </w:tcPr>
          <w:p w14:paraId="7F00AA48" w14:textId="6005E0F0" w:rsidR="00CC2B31" w:rsidRPr="002B3647" w:rsidRDefault="00CC2B31" w:rsidP="00CE5678">
            <w:pPr>
              <w:pStyle w:val="TextTi9"/>
              <w:widowControl w:val="0"/>
              <w:spacing w:after="0"/>
              <w:jc w:val="both"/>
              <w:rPr>
                <w:rFonts w:ascii="Times New Roman" w:hAnsi="Times New Roman"/>
                <w:sz w:val="22"/>
              </w:rPr>
            </w:pPr>
            <w:r w:rsidRPr="00C65707">
              <w:rPr>
                <w:rFonts w:ascii="Times New Roman" w:hAnsi="Times New Roman"/>
                <w:sz w:val="22"/>
              </w:rPr>
              <w:t>C</w:t>
            </w:r>
            <w:r w:rsidRPr="00C65707">
              <w:rPr>
                <w:rFonts w:ascii="Times New Roman" w:hAnsi="Times New Roman"/>
                <w:sz w:val="22"/>
                <w:vertAlign w:val="subscript"/>
              </w:rPr>
              <w:t>min</w:t>
            </w:r>
            <w:r w:rsidRPr="00C65707">
              <w:rPr>
                <w:rFonts w:ascii="Times New Roman" w:hAnsi="Times New Roman"/>
                <w:sz w:val="22"/>
              </w:rPr>
              <w:t xml:space="preserve"> (µg/</w:t>
            </w:r>
            <w:r w:rsidR="003F20A4" w:rsidRPr="00C65707">
              <w:rPr>
                <w:rFonts w:ascii="Times New Roman" w:hAnsi="Times New Roman"/>
                <w:sz w:val="22"/>
              </w:rPr>
              <w:t>ml</w:t>
            </w:r>
            <w:r w:rsidRPr="00C65707">
              <w:rPr>
                <w:rFonts w:ascii="Times New Roman" w:hAnsi="Times New Roman"/>
                <w:sz w:val="22"/>
              </w:rPr>
              <w:t>)</w:t>
            </w:r>
          </w:p>
        </w:tc>
        <w:tc>
          <w:tcPr>
            <w:tcW w:w="1646" w:type="pct"/>
            <w:tcBorders>
              <w:top w:val="single" w:sz="4" w:space="0" w:color="auto"/>
              <w:left w:val="single" w:sz="4" w:space="0" w:color="auto"/>
              <w:bottom w:val="single" w:sz="4" w:space="0" w:color="auto"/>
              <w:right w:val="single" w:sz="4" w:space="0" w:color="auto"/>
            </w:tcBorders>
            <w:hideMark/>
          </w:tcPr>
          <w:p w14:paraId="57918ED4" w14:textId="77777777" w:rsidR="00CC2B31" w:rsidRPr="00C65707" w:rsidRDefault="00CC2B31">
            <w:pPr>
              <w:pStyle w:val="TextTi9"/>
              <w:widowControl w:val="0"/>
              <w:spacing w:after="0"/>
              <w:jc w:val="center"/>
              <w:rPr>
                <w:rFonts w:ascii="Times New Roman" w:hAnsi="Times New Roman"/>
                <w:sz w:val="22"/>
              </w:rPr>
            </w:pPr>
            <w:r w:rsidRPr="00C65707">
              <w:rPr>
                <w:rFonts w:ascii="Times New Roman" w:hAnsi="Times New Roman"/>
                <w:sz w:val="22"/>
              </w:rPr>
              <w:t>11.8 ± 7.08</w:t>
            </w:r>
          </w:p>
        </w:tc>
        <w:tc>
          <w:tcPr>
            <w:tcW w:w="1698" w:type="pct"/>
            <w:tcBorders>
              <w:top w:val="single" w:sz="4" w:space="0" w:color="auto"/>
              <w:left w:val="single" w:sz="4" w:space="0" w:color="auto"/>
              <w:bottom w:val="single" w:sz="4" w:space="0" w:color="auto"/>
              <w:right w:val="single" w:sz="4" w:space="0" w:color="auto"/>
            </w:tcBorders>
            <w:hideMark/>
          </w:tcPr>
          <w:p w14:paraId="062152D4" w14:textId="77777777" w:rsidR="00CC2B31" w:rsidRPr="00C65707" w:rsidRDefault="00CC2B31">
            <w:pPr>
              <w:pStyle w:val="TextTi9"/>
              <w:widowControl w:val="0"/>
              <w:spacing w:after="0"/>
              <w:jc w:val="center"/>
              <w:rPr>
                <w:rFonts w:ascii="Times New Roman" w:hAnsi="Times New Roman"/>
                <w:sz w:val="22"/>
              </w:rPr>
            </w:pPr>
            <w:r w:rsidRPr="00C65707">
              <w:rPr>
                <w:rFonts w:ascii="Times New Roman" w:hAnsi="Times New Roman"/>
                <w:sz w:val="22"/>
              </w:rPr>
              <w:t>18.4 ± 12.9</w:t>
            </w:r>
          </w:p>
        </w:tc>
      </w:tr>
      <w:tr w:rsidR="00CC2B31" w:rsidRPr="00C65707" w14:paraId="148D4254" w14:textId="77777777" w:rsidTr="00CE5678">
        <w:trPr>
          <w:cantSplit/>
          <w:trHeight w:val="324"/>
        </w:trPr>
        <w:tc>
          <w:tcPr>
            <w:tcW w:w="1656" w:type="pct"/>
            <w:tcBorders>
              <w:top w:val="single" w:sz="4" w:space="0" w:color="auto"/>
              <w:left w:val="single" w:sz="4" w:space="0" w:color="auto"/>
              <w:bottom w:val="single" w:sz="4" w:space="0" w:color="auto"/>
              <w:right w:val="single" w:sz="4" w:space="0" w:color="auto"/>
            </w:tcBorders>
            <w:hideMark/>
          </w:tcPr>
          <w:p w14:paraId="2E573017" w14:textId="5C933825" w:rsidR="00CC2B31" w:rsidRPr="002B3647" w:rsidRDefault="00CC2B31" w:rsidP="00CE5678">
            <w:pPr>
              <w:pStyle w:val="TextTi9"/>
              <w:widowControl w:val="0"/>
              <w:spacing w:after="0"/>
              <w:jc w:val="both"/>
              <w:rPr>
                <w:rFonts w:ascii="Times New Roman" w:hAnsi="Times New Roman"/>
                <w:sz w:val="22"/>
              </w:rPr>
            </w:pPr>
            <w:r w:rsidRPr="00C65707">
              <w:rPr>
                <w:rFonts w:ascii="Times New Roman" w:hAnsi="Times New Roman"/>
                <w:sz w:val="22"/>
              </w:rPr>
              <w:t>C</w:t>
            </w:r>
            <w:r w:rsidRPr="00C65707">
              <w:rPr>
                <w:rFonts w:ascii="Times New Roman" w:hAnsi="Times New Roman"/>
                <w:sz w:val="22"/>
                <w:vertAlign w:val="subscript"/>
              </w:rPr>
              <w:t>avg</w:t>
            </w:r>
            <w:r w:rsidRPr="00C65707">
              <w:rPr>
                <w:rFonts w:ascii="Times New Roman" w:hAnsi="Times New Roman"/>
                <w:sz w:val="22"/>
              </w:rPr>
              <w:t xml:space="preserve"> (µg/</w:t>
            </w:r>
            <w:r w:rsidR="003F20A4" w:rsidRPr="00C65707">
              <w:rPr>
                <w:rFonts w:ascii="Times New Roman" w:hAnsi="Times New Roman"/>
                <w:sz w:val="22"/>
              </w:rPr>
              <w:t>ml</w:t>
            </w:r>
            <w:r w:rsidRPr="00C65707">
              <w:rPr>
                <w:rFonts w:ascii="Times New Roman" w:hAnsi="Times New Roman"/>
                <w:sz w:val="22"/>
              </w:rPr>
              <w:t>)</w:t>
            </w:r>
          </w:p>
        </w:tc>
        <w:tc>
          <w:tcPr>
            <w:tcW w:w="1646" w:type="pct"/>
            <w:tcBorders>
              <w:top w:val="single" w:sz="4" w:space="0" w:color="auto"/>
              <w:left w:val="single" w:sz="4" w:space="0" w:color="auto"/>
              <w:bottom w:val="single" w:sz="4" w:space="0" w:color="auto"/>
              <w:right w:val="single" w:sz="4" w:space="0" w:color="auto"/>
            </w:tcBorders>
            <w:hideMark/>
          </w:tcPr>
          <w:p w14:paraId="61DCACFB" w14:textId="77777777" w:rsidR="00CC2B31" w:rsidRPr="00C65707" w:rsidRDefault="00CC2B31">
            <w:pPr>
              <w:pStyle w:val="TextTi9"/>
              <w:widowControl w:val="0"/>
              <w:spacing w:after="0"/>
              <w:jc w:val="center"/>
              <w:rPr>
                <w:rFonts w:ascii="Times New Roman" w:hAnsi="Times New Roman"/>
                <w:sz w:val="22"/>
              </w:rPr>
            </w:pPr>
            <w:r w:rsidRPr="00C65707">
              <w:rPr>
                <w:rFonts w:ascii="Times New Roman" w:hAnsi="Times New Roman"/>
                <w:sz w:val="22"/>
              </w:rPr>
              <w:t>21.7 ± 10.4</w:t>
            </w:r>
          </w:p>
        </w:tc>
        <w:tc>
          <w:tcPr>
            <w:tcW w:w="1698" w:type="pct"/>
            <w:tcBorders>
              <w:top w:val="single" w:sz="4" w:space="0" w:color="auto"/>
              <w:left w:val="single" w:sz="4" w:space="0" w:color="auto"/>
              <w:bottom w:val="single" w:sz="4" w:space="0" w:color="auto"/>
              <w:right w:val="single" w:sz="4" w:space="0" w:color="auto"/>
            </w:tcBorders>
            <w:hideMark/>
          </w:tcPr>
          <w:p w14:paraId="69E51616" w14:textId="77777777" w:rsidR="00CC2B31" w:rsidRPr="00C65707" w:rsidRDefault="00CC2B31">
            <w:pPr>
              <w:pStyle w:val="TextTi9"/>
              <w:widowControl w:val="0"/>
              <w:spacing w:after="0"/>
              <w:jc w:val="center"/>
              <w:rPr>
                <w:rFonts w:ascii="Times New Roman" w:hAnsi="Times New Roman"/>
                <w:sz w:val="22"/>
              </w:rPr>
            </w:pPr>
            <w:r w:rsidRPr="00C65707">
              <w:rPr>
                <w:rFonts w:ascii="Times New Roman" w:hAnsi="Times New Roman"/>
                <w:sz w:val="22"/>
              </w:rPr>
              <w:t>45.5 ± 19.8</w:t>
            </w:r>
          </w:p>
        </w:tc>
      </w:tr>
      <w:tr w:rsidR="00CC2B31" w:rsidRPr="00C65707" w14:paraId="17CFA9C7" w14:textId="77777777" w:rsidTr="00CE5678">
        <w:trPr>
          <w:cantSplit/>
          <w:trHeight w:val="324"/>
        </w:trPr>
        <w:tc>
          <w:tcPr>
            <w:tcW w:w="1656" w:type="pct"/>
            <w:tcBorders>
              <w:top w:val="single" w:sz="4" w:space="0" w:color="auto"/>
              <w:left w:val="single" w:sz="4" w:space="0" w:color="auto"/>
              <w:bottom w:val="single" w:sz="4" w:space="0" w:color="auto"/>
              <w:right w:val="single" w:sz="4" w:space="0" w:color="auto"/>
            </w:tcBorders>
            <w:hideMark/>
          </w:tcPr>
          <w:p w14:paraId="0A365F6B" w14:textId="77777777" w:rsidR="00CC2B31" w:rsidRPr="00C65707" w:rsidRDefault="00CC2B31" w:rsidP="00CE5678">
            <w:pPr>
              <w:pStyle w:val="TextTi9"/>
              <w:widowControl w:val="0"/>
              <w:spacing w:after="0"/>
              <w:jc w:val="both"/>
              <w:rPr>
                <w:rFonts w:ascii="Times New Roman" w:hAnsi="Times New Roman"/>
                <w:sz w:val="22"/>
              </w:rPr>
            </w:pPr>
            <w:r w:rsidRPr="00C65707">
              <w:rPr>
                <w:rFonts w:ascii="Times New Roman" w:hAnsi="Times New Roman"/>
                <w:sz w:val="22"/>
              </w:rPr>
              <w:t>Akumulacija pri C</w:t>
            </w:r>
            <w:r w:rsidRPr="00C65707">
              <w:rPr>
                <w:rFonts w:ascii="Times New Roman" w:hAnsi="Times New Roman"/>
                <w:sz w:val="22"/>
                <w:vertAlign w:val="subscript"/>
              </w:rPr>
              <w:t xml:space="preserve">max </w:t>
            </w:r>
          </w:p>
        </w:tc>
        <w:tc>
          <w:tcPr>
            <w:tcW w:w="1646" w:type="pct"/>
            <w:tcBorders>
              <w:top w:val="single" w:sz="4" w:space="0" w:color="auto"/>
              <w:left w:val="single" w:sz="4" w:space="0" w:color="auto"/>
              <w:bottom w:val="single" w:sz="4" w:space="0" w:color="auto"/>
              <w:right w:val="single" w:sz="4" w:space="0" w:color="auto"/>
            </w:tcBorders>
          </w:tcPr>
          <w:p w14:paraId="62F7499C" w14:textId="77777777" w:rsidR="00CC2B31" w:rsidRPr="002B3647" w:rsidRDefault="00CC2B31">
            <w:pPr>
              <w:pStyle w:val="TextTi9"/>
              <w:widowControl w:val="0"/>
              <w:spacing w:after="0"/>
              <w:jc w:val="center"/>
              <w:rPr>
                <w:rFonts w:ascii="Times New Roman" w:hAnsi="Times New Roman"/>
                <w:sz w:val="22"/>
              </w:rPr>
            </w:pPr>
            <w:r w:rsidRPr="002B3647">
              <w:rPr>
                <w:rFonts w:ascii="Times New Roman" w:hAnsi="Times New Roman"/>
                <w:sz w:val="22"/>
              </w:rPr>
              <w:t>1.72</w:t>
            </w:r>
          </w:p>
        </w:tc>
        <w:tc>
          <w:tcPr>
            <w:tcW w:w="1698" w:type="pct"/>
            <w:tcBorders>
              <w:top w:val="single" w:sz="4" w:space="0" w:color="auto"/>
              <w:left w:val="single" w:sz="4" w:space="0" w:color="auto"/>
              <w:bottom w:val="single" w:sz="4" w:space="0" w:color="auto"/>
              <w:right w:val="single" w:sz="4" w:space="0" w:color="auto"/>
            </w:tcBorders>
          </w:tcPr>
          <w:p w14:paraId="43CFD949" w14:textId="77777777" w:rsidR="00CC2B31" w:rsidRPr="00C65707" w:rsidRDefault="00CC2B31">
            <w:pPr>
              <w:pStyle w:val="TextTi9"/>
              <w:widowControl w:val="0"/>
              <w:spacing w:after="0"/>
              <w:jc w:val="center"/>
              <w:rPr>
                <w:rFonts w:ascii="Times New Roman" w:hAnsi="Times New Roman"/>
                <w:sz w:val="22"/>
              </w:rPr>
            </w:pPr>
            <w:r w:rsidRPr="00C65707">
              <w:rPr>
                <w:rFonts w:ascii="Times New Roman" w:hAnsi="Times New Roman"/>
                <w:sz w:val="22"/>
              </w:rPr>
              <w:t>1.32</w:t>
            </w:r>
          </w:p>
        </w:tc>
      </w:tr>
      <w:tr w:rsidR="00CC2B31" w:rsidRPr="00C65707" w14:paraId="6CC85D18" w14:textId="77777777" w:rsidTr="00CE5678">
        <w:trPr>
          <w:cantSplit/>
          <w:trHeight w:val="331"/>
        </w:trPr>
        <w:tc>
          <w:tcPr>
            <w:tcW w:w="1656" w:type="pct"/>
            <w:tcBorders>
              <w:top w:val="single" w:sz="4" w:space="0" w:color="auto"/>
              <w:left w:val="single" w:sz="4" w:space="0" w:color="auto"/>
              <w:bottom w:val="single" w:sz="4" w:space="0" w:color="auto"/>
              <w:right w:val="single" w:sz="4" w:space="0" w:color="auto"/>
            </w:tcBorders>
            <w:hideMark/>
          </w:tcPr>
          <w:p w14:paraId="14B0EC1F" w14:textId="77777777" w:rsidR="00CC2B31" w:rsidRPr="00C65707" w:rsidRDefault="00CC2B31" w:rsidP="00CE5678">
            <w:pPr>
              <w:pStyle w:val="TextTi9"/>
              <w:widowControl w:val="0"/>
              <w:spacing w:after="0"/>
              <w:jc w:val="both"/>
              <w:rPr>
                <w:rFonts w:ascii="Times New Roman" w:hAnsi="Times New Roman"/>
                <w:sz w:val="22"/>
              </w:rPr>
            </w:pPr>
            <w:r w:rsidRPr="00C65707">
              <w:rPr>
                <w:rFonts w:ascii="Times New Roman" w:hAnsi="Times New Roman"/>
                <w:sz w:val="22"/>
              </w:rPr>
              <w:t>Akumulacija pri C</w:t>
            </w:r>
            <w:r w:rsidRPr="00C65707">
              <w:rPr>
                <w:rFonts w:ascii="Times New Roman" w:hAnsi="Times New Roman"/>
                <w:sz w:val="22"/>
                <w:vertAlign w:val="subscript"/>
              </w:rPr>
              <w:t>min</w:t>
            </w:r>
            <w:r w:rsidRPr="00C65707">
              <w:rPr>
                <w:rFonts w:ascii="Times New Roman" w:hAnsi="Times New Roman"/>
                <w:sz w:val="22"/>
              </w:rPr>
              <w:t xml:space="preserve"> </w:t>
            </w:r>
          </w:p>
        </w:tc>
        <w:tc>
          <w:tcPr>
            <w:tcW w:w="1646" w:type="pct"/>
            <w:tcBorders>
              <w:top w:val="single" w:sz="4" w:space="0" w:color="auto"/>
              <w:left w:val="single" w:sz="4" w:space="0" w:color="auto"/>
              <w:bottom w:val="single" w:sz="4" w:space="0" w:color="auto"/>
              <w:right w:val="single" w:sz="4" w:space="0" w:color="auto"/>
            </w:tcBorders>
          </w:tcPr>
          <w:p w14:paraId="625F16E9" w14:textId="77777777" w:rsidR="00CC2B31" w:rsidRPr="002B3647" w:rsidRDefault="00CC2B31">
            <w:pPr>
              <w:pStyle w:val="TextTi9"/>
              <w:widowControl w:val="0"/>
              <w:spacing w:after="0"/>
              <w:jc w:val="center"/>
              <w:rPr>
                <w:rFonts w:ascii="Times New Roman" w:hAnsi="Times New Roman"/>
                <w:sz w:val="22"/>
              </w:rPr>
            </w:pPr>
            <w:r w:rsidRPr="002B3647">
              <w:rPr>
                <w:rFonts w:ascii="Times New Roman" w:hAnsi="Times New Roman"/>
                <w:sz w:val="22"/>
              </w:rPr>
              <w:t>3.58</w:t>
            </w:r>
          </w:p>
        </w:tc>
        <w:tc>
          <w:tcPr>
            <w:tcW w:w="1698" w:type="pct"/>
            <w:tcBorders>
              <w:top w:val="single" w:sz="4" w:space="0" w:color="auto"/>
              <w:left w:val="single" w:sz="4" w:space="0" w:color="auto"/>
              <w:bottom w:val="single" w:sz="4" w:space="0" w:color="auto"/>
              <w:right w:val="single" w:sz="4" w:space="0" w:color="auto"/>
            </w:tcBorders>
          </w:tcPr>
          <w:p w14:paraId="74FEC494" w14:textId="77777777" w:rsidR="00CC2B31" w:rsidRPr="00C65707" w:rsidRDefault="00CC2B31">
            <w:pPr>
              <w:pStyle w:val="TextTi9"/>
              <w:widowControl w:val="0"/>
              <w:spacing w:after="0"/>
              <w:jc w:val="center"/>
              <w:rPr>
                <w:rFonts w:ascii="Times New Roman" w:hAnsi="Times New Roman"/>
                <w:sz w:val="22"/>
              </w:rPr>
            </w:pPr>
            <w:r w:rsidRPr="00C65707">
              <w:rPr>
                <w:rFonts w:ascii="Times New Roman" w:hAnsi="Times New Roman"/>
                <w:sz w:val="22"/>
              </w:rPr>
              <w:t>2.08</w:t>
            </w:r>
          </w:p>
        </w:tc>
      </w:tr>
      <w:tr w:rsidR="00CC2B31" w:rsidRPr="00C65707" w14:paraId="505F6D7A" w14:textId="77777777" w:rsidTr="00CE5678">
        <w:trPr>
          <w:cantSplit/>
          <w:trHeight w:val="331"/>
        </w:trPr>
        <w:tc>
          <w:tcPr>
            <w:tcW w:w="1656" w:type="pct"/>
            <w:tcBorders>
              <w:top w:val="single" w:sz="4" w:space="0" w:color="auto"/>
              <w:left w:val="single" w:sz="4" w:space="0" w:color="auto"/>
              <w:bottom w:val="single" w:sz="4" w:space="0" w:color="auto"/>
              <w:right w:val="single" w:sz="4" w:space="0" w:color="auto"/>
            </w:tcBorders>
          </w:tcPr>
          <w:p w14:paraId="5DA86152" w14:textId="77777777" w:rsidR="00CC2B31" w:rsidRPr="00C65707" w:rsidRDefault="00CC2B31" w:rsidP="00CE5678">
            <w:pPr>
              <w:pStyle w:val="TextTi9"/>
              <w:widowControl w:val="0"/>
              <w:spacing w:after="0"/>
              <w:jc w:val="both"/>
              <w:rPr>
                <w:rFonts w:ascii="Times New Roman" w:hAnsi="Times New Roman"/>
                <w:sz w:val="22"/>
              </w:rPr>
            </w:pPr>
            <w:r w:rsidRPr="00C65707">
              <w:rPr>
                <w:rFonts w:ascii="Times New Roman" w:hAnsi="Times New Roman"/>
                <w:sz w:val="22"/>
              </w:rPr>
              <w:t>Akumulacija pri C</w:t>
            </w:r>
            <w:r w:rsidRPr="00C65707">
              <w:rPr>
                <w:rFonts w:ascii="Times New Roman" w:hAnsi="Times New Roman"/>
                <w:sz w:val="22"/>
                <w:vertAlign w:val="subscript"/>
              </w:rPr>
              <w:t>avg</w:t>
            </w:r>
            <w:r w:rsidRPr="00C65707">
              <w:rPr>
                <w:rFonts w:ascii="Times New Roman" w:hAnsi="Times New Roman"/>
                <w:sz w:val="22"/>
              </w:rPr>
              <w:t xml:space="preserve"> AUC</w:t>
            </w:r>
            <w:r w:rsidRPr="00C65707">
              <w:rPr>
                <w:rFonts w:ascii="Times New Roman" w:hAnsi="Times New Roman"/>
                <w:sz w:val="22"/>
                <w:vertAlign w:val="subscript"/>
              </w:rPr>
              <w:t>τ</w:t>
            </w:r>
            <w:r w:rsidRPr="00C65707">
              <w:rPr>
                <w:rFonts w:ascii="Times New Roman" w:hAnsi="Times New Roman"/>
                <w:sz w:val="22"/>
              </w:rPr>
              <w:t xml:space="preserve"> *</w:t>
            </w:r>
          </w:p>
        </w:tc>
        <w:tc>
          <w:tcPr>
            <w:tcW w:w="1646" w:type="pct"/>
            <w:tcBorders>
              <w:top w:val="single" w:sz="4" w:space="0" w:color="auto"/>
              <w:left w:val="single" w:sz="4" w:space="0" w:color="auto"/>
              <w:bottom w:val="single" w:sz="4" w:space="0" w:color="auto"/>
              <w:right w:val="single" w:sz="4" w:space="0" w:color="auto"/>
            </w:tcBorders>
          </w:tcPr>
          <w:p w14:paraId="1FAA6D85" w14:textId="77777777" w:rsidR="00CC2B31" w:rsidRPr="002B3647" w:rsidRDefault="00CC2B31">
            <w:pPr>
              <w:pStyle w:val="TextTi9"/>
              <w:widowControl w:val="0"/>
              <w:spacing w:after="0"/>
              <w:jc w:val="center"/>
              <w:rPr>
                <w:rFonts w:ascii="Times New Roman" w:hAnsi="Times New Roman"/>
                <w:sz w:val="22"/>
              </w:rPr>
            </w:pPr>
            <w:r w:rsidRPr="002B3647">
              <w:rPr>
                <w:rFonts w:ascii="Times New Roman" w:hAnsi="Times New Roman"/>
                <w:sz w:val="22"/>
              </w:rPr>
              <w:t>2.04</w:t>
            </w:r>
          </w:p>
        </w:tc>
        <w:tc>
          <w:tcPr>
            <w:tcW w:w="1698" w:type="pct"/>
            <w:tcBorders>
              <w:top w:val="single" w:sz="4" w:space="0" w:color="auto"/>
              <w:left w:val="single" w:sz="4" w:space="0" w:color="auto"/>
              <w:bottom w:val="single" w:sz="4" w:space="0" w:color="auto"/>
              <w:right w:val="single" w:sz="4" w:space="0" w:color="auto"/>
            </w:tcBorders>
          </w:tcPr>
          <w:p w14:paraId="68383BEA" w14:textId="77777777" w:rsidR="00CC2B31" w:rsidRPr="00C65707" w:rsidRDefault="00CC2B31">
            <w:pPr>
              <w:pStyle w:val="TextTi9"/>
              <w:widowControl w:val="0"/>
              <w:spacing w:after="0"/>
              <w:jc w:val="center"/>
              <w:rPr>
                <w:rFonts w:ascii="Times New Roman" w:hAnsi="Times New Roman"/>
                <w:sz w:val="22"/>
              </w:rPr>
            </w:pPr>
            <w:r w:rsidRPr="00C65707">
              <w:rPr>
                <w:rFonts w:ascii="Times New Roman" w:hAnsi="Times New Roman"/>
                <w:sz w:val="22"/>
              </w:rPr>
              <w:t>1.46</w:t>
            </w:r>
          </w:p>
        </w:tc>
      </w:tr>
    </w:tbl>
    <w:p w14:paraId="77F7C99E" w14:textId="16DDBEEF" w:rsidR="00CC2B31" w:rsidRPr="00CE5678" w:rsidRDefault="00CC2B31" w:rsidP="00CE5678">
      <w:pPr>
        <w:widowControl w:val="0"/>
        <w:jc w:val="both"/>
        <w:rPr>
          <w:iCs/>
          <w:sz w:val="22"/>
          <w:szCs w:val="22"/>
        </w:rPr>
      </w:pPr>
      <w:r w:rsidRPr="00CE5678">
        <w:rPr>
          <w:iCs/>
          <w:sz w:val="22"/>
          <w:szCs w:val="22"/>
        </w:rPr>
        <w:t>*τ = 2 ned</w:t>
      </w:r>
      <w:r w:rsidR="000A085D" w:rsidRPr="00CE5678">
        <w:rPr>
          <w:iCs/>
          <w:sz w:val="22"/>
          <w:szCs w:val="22"/>
        </w:rPr>
        <w:t>j</w:t>
      </w:r>
      <w:r w:rsidRPr="00CE5678">
        <w:rPr>
          <w:iCs/>
          <w:sz w:val="22"/>
          <w:szCs w:val="22"/>
        </w:rPr>
        <w:t>elj</w:t>
      </w:r>
      <w:r w:rsidR="000A085D" w:rsidRPr="00CE5678">
        <w:rPr>
          <w:iCs/>
          <w:sz w:val="22"/>
          <w:szCs w:val="22"/>
        </w:rPr>
        <w:t xml:space="preserve">a, </w:t>
      </w:r>
      <w:r w:rsidRPr="00CE5678">
        <w:rPr>
          <w:iCs/>
          <w:sz w:val="22"/>
          <w:szCs w:val="22"/>
        </w:rPr>
        <w:t>2 ili 3 ned</w:t>
      </w:r>
      <w:r w:rsidR="000A085D" w:rsidRPr="00CE5678">
        <w:rPr>
          <w:iCs/>
          <w:sz w:val="22"/>
          <w:szCs w:val="22"/>
        </w:rPr>
        <w:t>j</w:t>
      </w:r>
      <w:r w:rsidRPr="00CE5678">
        <w:rPr>
          <w:iCs/>
          <w:sz w:val="22"/>
          <w:szCs w:val="22"/>
        </w:rPr>
        <w:t>elje za dva su</w:t>
      </w:r>
      <w:r w:rsidR="00777E5D">
        <w:rPr>
          <w:iCs/>
          <w:sz w:val="22"/>
          <w:szCs w:val="22"/>
        </w:rPr>
        <w:t>b</w:t>
      </w:r>
      <w:r w:rsidRPr="00CE5678">
        <w:rPr>
          <w:iCs/>
          <w:sz w:val="22"/>
          <w:szCs w:val="22"/>
        </w:rPr>
        <w:t>kutana režima</w:t>
      </w:r>
    </w:p>
    <w:p w14:paraId="77FEAC9A" w14:textId="77777777" w:rsidR="00CC2B31" w:rsidRPr="00C65707" w:rsidRDefault="00CC2B31" w:rsidP="00CE5678">
      <w:pPr>
        <w:widowControl w:val="0"/>
        <w:jc w:val="both"/>
        <w:rPr>
          <w:iCs/>
          <w:sz w:val="22"/>
          <w:szCs w:val="22"/>
        </w:rPr>
      </w:pPr>
    </w:p>
    <w:p w14:paraId="00309A0B" w14:textId="20DC0C28" w:rsidR="00CC2B31" w:rsidRPr="00C65707" w:rsidRDefault="00CC2B31" w:rsidP="00CE5678">
      <w:pPr>
        <w:widowControl w:val="0"/>
        <w:jc w:val="both"/>
        <w:rPr>
          <w:iCs/>
          <w:sz w:val="22"/>
          <w:szCs w:val="22"/>
        </w:rPr>
      </w:pPr>
      <w:r w:rsidRPr="00C65707">
        <w:rPr>
          <w:iCs/>
          <w:sz w:val="22"/>
          <w:szCs w:val="22"/>
        </w:rPr>
        <w:t>Nakon intravenske primjene l</w:t>
      </w:r>
      <w:r w:rsidRPr="00C65707">
        <w:rPr>
          <w:sz w:val="22"/>
          <w:szCs w:val="22"/>
        </w:rPr>
        <w:t>ij</w:t>
      </w:r>
      <w:r w:rsidRPr="00C65707">
        <w:rPr>
          <w:iCs/>
          <w:sz w:val="22"/>
          <w:szCs w:val="22"/>
        </w:rPr>
        <w:t>eka približno 90% stanja dinamičke ravnoteže  postignuto je do 12. ned</w:t>
      </w:r>
      <w:r w:rsidR="009C5005" w:rsidRPr="002B3647">
        <w:rPr>
          <w:iCs/>
          <w:sz w:val="22"/>
          <w:szCs w:val="22"/>
        </w:rPr>
        <w:t>j</w:t>
      </w:r>
      <w:r w:rsidRPr="002B3647">
        <w:rPr>
          <w:iCs/>
          <w:sz w:val="22"/>
          <w:szCs w:val="22"/>
        </w:rPr>
        <w:t>elje uz dozu od 10 mg/kg (</w:t>
      </w:r>
      <w:r w:rsidR="009C5005" w:rsidRPr="00C65707">
        <w:rPr>
          <w:iCs/>
          <w:sz w:val="22"/>
          <w:szCs w:val="22"/>
        </w:rPr>
        <w:t>tjelesne težine </w:t>
      </w:r>
      <w:r w:rsidRPr="00C65707">
        <w:rPr>
          <w:iCs/>
          <w:sz w:val="22"/>
          <w:szCs w:val="22"/>
        </w:rPr>
        <w:t>&lt; 30 kg), odnosno do 16. ned</w:t>
      </w:r>
      <w:r w:rsidR="009C5005" w:rsidRPr="00C65707">
        <w:rPr>
          <w:iCs/>
          <w:sz w:val="22"/>
          <w:szCs w:val="22"/>
        </w:rPr>
        <w:t>j</w:t>
      </w:r>
      <w:r w:rsidRPr="00C65707">
        <w:rPr>
          <w:iCs/>
          <w:sz w:val="22"/>
          <w:szCs w:val="22"/>
        </w:rPr>
        <w:t>elje uz dozu od 8 mg/kg (</w:t>
      </w:r>
      <w:r w:rsidR="009C5005" w:rsidRPr="00C65707">
        <w:rPr>
          <w:iCs/>
          <w:sz w:val="22"/>
          <w:szCs w:val="22"/>
        </w:rPr>
        <w:t>tjelesne težine </w:t>
      </w:r>
      <w:r w:rsidRPr="00C65707">
        <w:rPr>
          <w:iCs/>
          <w:sz w:val="22"/>
          <w:szCs w:val="22"/>
        </w:rPr>
        <w:t xml:space="preserve">≥ 30 kg). Nakon </w:t>
      </w:r>
      <w:r w:rsidR="00910BDC" w:rsidRPr="00C65707">
        <w:rPr>
          <w:iCs/>
          <w:sz w:val="22"/>
          <w:szCs w:val="22"/>
        </w:rPr>
        <w:t xml:space="preserve">subkutane </w:t>
      </w:r>
      <w:r w:rsidRPr="00C65707">
        <w:rPr>
          <w:iCs/>
          <w:sz w:val="22"/>
          <w:szCs w:val="22"/>
        </w:rPr>
        <w:t>primjene l</w:t>
      </w:r>
      <w:r w:rsidRPr="00C65707">
        <w:rPr>
          <w:sz w:val="22"/>
          <w:szCs w:val="22"/>
        </w:rPr>
        <w:t>ij</w:t>
      </w:r>
      <w:r w:rsidRPr="00C65707">
        <w:rPr>
          <w:iCs/>
          <w:sz w:val="22"/>
          <w:szCs w:val="22"/>
        </w:rPr>
        <w:t>eka približno 90% stanja dinamičke ravnoteže postignuto je do 12. ned</w:t>
      </w:r>
      <w:r w:rsidR="009C5005" w:rsidRPr="00C65707">
        <w:rPr>
          <w:iCs/>
          <w:sz w:val="22"/>
          <w:szCs w:val="22"/>
        </w:rPr>
        <w:t>j</w:t>
      </w:r>
      <w:r w:rsidRPr="00C65707">
        <w:rPr>
          <w:iCs/>
          <w:sz w:val="22"/>
          <w:szCs w:val="22"/>
        </w:rPr>
        <w:t xml:space="preserve">elje i uz režim </w:t>
      </w:r>
      <w:r w:rsidR="00910BDC" w:rsidRPr="00C65707">
        <w:rPr>
          <w:iCs/>
          <w:sz w:val="22"/>
          <w:szCs w:val="22"/>
        </w:rPr>
        <w:t xml:space="preserve">subkutane </w:t>
      </w:r>
      <w:r w:rsidRPr="00C65707">
        <w:rPr>
          <w:iCs/>
          <w:sz w:val="22"/>
          <w:szCs w:val="22"/>
        </w:rPr>
        <w:t>primjene doze od 162 mg svake 2 ned</w:t>
      </w:r>
      <w:r w:rsidR="009C5005" w:rsidRPr="00C65707">
        <w:rPr>
          <w:iCs/>
          <w:sz w:val="22"/>
          <w:szCs w:val="22"/>
        </w:rPr>
        <w:t>j</w:t>
      </w:r>
      <w:r w:rsidRPr="00C65707">
        <w:rPr>
          <w:iCs/>
          <w:sz w:val="22"/>
          <w:szCs w:val="22"/>
        </w:rPr>
        <w:t>elje i uz režim primjene svake 3 ned</w:t>
      </w:r>
      <w:r w:rsidR="009C5005" w:rsidRPr="00C65707">
        <w:rPr>
          <w:iCs/>
          <w:sz w:val="22"/>
          <w:szCs w:val="22"/>
        </w:rPr>
        <w:t>j</w:t>
      </w:r>
      <w:r w:rsidRPr="00C65707">
        <w:rPr>
          <w:iCs/>
          <w:sz w:val="22"/>
          <w:szCs w:val="22"/>
        </w:rPr>
        <w:t>elje.</w:t>
      </w:r>
    </w:p>
    <w:p w14:paraId="6392427B" w14:textId="77777777" w:rsidR="00CC2B31" w:rsidRPr="00C65707" w:rsidRDefault="00CC2B31" w:rsidP="00CE5678">
      <w:pPr>
        <w:widowControl w:val="0"/>
        <w:jc w:val="both"/>
        <w:rPr>
          <w:iCs/>
          <w:sz w:val="22"/>
          <w:szCs w:val="22"/>
        </w:rPr>
      </w:pPr>
    </w:p>
    <w:p w14:paraId="7D0D4225" w14:textId="77777777" w:rsidR="00CC2B31" w:rsidRPr="00C65707" w:rsidRDefault="00CC2B31" w:rsidP="00CE5678">
      <w:pPr>
        <w:widowControl w:val="0"/>
        <w:jc w:val="both"/>
        <w:rPr>
          <w:iCs/>
          <w:sz w:val="22"/>
          <w:szCs w:val="22"/>
          <w:u w:val="single"/>
        </w:rPr>
      </w:pPr>
      <w:r w:rsidRPr="00C65707">
        <w:rPr>
          <w:iCs/>
          <w:sz w:val="22"/>
          <w:szCs w:val="22"/>
          <w:u w:val="single"/>
        </w:rPr>
        <w:t>Resorpcija</w:t>
      </w:r>
    </w:p>
    <w:p w14:paraId="00AF8F63" w14:textId="7220B821" w:rsidR="00CC2B31" w:rsidRPr="00C65707" w:rsidRDefault="00CC2B31" w:rsidP="00CE5678">
      <w:pPr>
        <w:widowControl w:val="0"/>
        <w:jc w:val="both"/>
        <w:rPr>
          <w:iCs/>
          <w:sz w:val="22"/>
          <w:szCs w:val="22"/>
          <w:lang w:eastAsia="de-DE"/>
        </w:rPr>
      </w:pPr>
      <w:r w:rsidRPr="00C65707">
        <w:rPr>
          <w:iCs/>
          <w:sz w:val="22"/>
          <w:szCs w:val="22"/>
          <w:lang w:eastAsia="de-DE"/>
        </w:rPr>
        <w:t xml:space="preserve">Nakon </w:t>
      </w:r>
      <w:r w:rsidR="00910BDC" w:rsidRPr="00C65707">
        <w:rPr>
          <w:iCs/>
          <w:sz w:val="22"/>
          <w:szCs w:val="22"/>
          <w:lang w:eastAsia="de-DE"/>
        </w:rPr>
        <w:t xml:space="preserve">subkutano </w:t>
      </w:r>
      <w:r w:rsidRPr="00C65707">
        <w:rPr>
          <w:iCs/>
          <w:sz w:val="22"/>
          <w:szCs w:val="22"/>
          <w:lang w:eastAsia="de-DE"/>
        </w:rPr>
        <w:t xml:space="preserve">primijenjene doze kod pacijenata sa pJIA, poluvrijeme resorpcije iznosilo je približno 2 dana, dok je bioraspoloživost </w:t>
      </w:r>
      <w:r w:rsidR="00910BDC" w:rsidRPr="00C65707">
        <w:rPr>
          <w:iCs/>
          <w:sz w:val="22"/>
          <w:szCs w:val="22"/>
          <w:lang w:eastAsia="de-DE"/>
        </w:rPr>
        <w:t xml:space="preserve">subkutane </w:t>
      </w:r>
      <w:r w:rsidRPr="00C65707">
        <w:rPr>
          <w:iCs/>
          <w:sz w:val="22"/>
          <w:szCs w:val="22"/>
          <w:lang w:eastAsia="de-DE"/>
        </w:rPr>
        <w:t>formulacije kod pacijenata sa pJIA iznosila 96%.</w:t>
      </w:r>
    </w:p>
    <w:p w14:paraId="6A1C8BE0" w14:textId="77777777" w:rsidR="00CC2B31" w:rsidRPr="00C65707" w:rsidRDefault="00CC2B31" w:rsidP="00CE5678">
      <w:pPr>
        <w:widowControl w:val="0"/>
        <w:jc w:val="both"/>
        <w:rPr>
          <w:iCs/>
          <w:sz w:val="22"/>
          <w:szCs w:val="22"/>
          <w:lang w:eastAsia="de-DE"/>
        </w:rPr>
      </w:pPr>
    </w:p>
    <w:p w14:paraId="642EF215" w14:textId="77777777" w:rsidR="00CC2B31" w:rsidRPr="00C65707" w:rsidRDefault="00CC2B31" w:rsidP="00CE5678">
      <w:pPr>
        <w:widowControl w:val="0"/>
        <w:jc w:val="both"/>
        <w:rPr>
          <w:iCs/>
          <w:sz w:val="22"/>
          <w:szCs w:val="22"/>
          <w:u w:val="single"/>
          <w:lang w:eastAsia="de-DE"/>
        </w:rPr>
      </w:pPr>
      <w:r w:rsidRPr="00C65707">
        <w:rPr>
          <w:iCs/>
          <w:sz w:val="22"/>
          <w:szCs w:val="22"/>
          <w:u w:val="single"/>
          <w:lang w:eastAsia="de-DE"/>
        </w:rPr>
        <w:t>Distribucija</w:t>
      </w:r>
    </w:p>
    <w:p w14:paraId="7809EF89" w14:textId="6EC8763A" w:rsidR="00CC2B31" w:rsidRPr="00C65707" w:rsidRDefault="00CC2B31" w:rsidP="00CE5678">
      <w:pPr>
        <w:widowControl w:val="0"/>
        <w:jc w:val="both"/>
        <w:rPr>
          <w:iCs/>
          <w:sz w:val="22"/>
          <w:szCs w:val="22"/>
          <w:lang w:eastAsia="de-DE"/>
        </w:rPr>
      </w:pPr>
      <w:r w:rsidRPr="00C65707">
        <w:rPr>
          <w:iCs/>
          <w:sz w:val="22"/>
          <w:szCs w:val="22"/>
          <w:lang w:eastAsia="de-DE"/>
        </w:rPr>
        <w:t xml:space="preserve">Kod pedijatrijskih pacijenata sa pJIA, srednji volumen distribucije iznosio je 1.97 </w:t>
      </w:r>
      <w:r w:rsidR="00633F4E" w:rsidRPr="00C65707">
        <w:rPr>
          <w:iCs/>
          <w:sz w:val="22"/>
          <w:szCs w:val="22"/>
          <w:lang w:eastAsia="de-DE"/>
        </w:rPr>
        <w:t>l</w:t>
      </w:r>
      <w:r w:rsidRPr="00C65707">
        <w:rPr>
          <w:iCs/>
          <w:sz w:val="22"/>
          <w:szCs w:val="22"/>
          <w:lang w:eastAsia="de-DE"/>
        </w:rPr>
        <w:t xml:space="preserve">, periferni volumen distribucije 2.03 </w:t>
      </w:r>
      <w:r w:rsidR="00633F4E" w:rsidRPr="00C65707">
        <w:rPr>
          <w:iCs/>
          <w:sz w:val="22"/>
          <w:szCs w:val="22"/>
          <w:lang w:eastAsia="de-DE"/>
        </w:rPr>
        <w:t>l</w:t>
      </w:r>
      <w:r w:rsidRPr="00C65707">
        <w:rPr>
          <w:iCs/>
          <w:sz w:val="22"/>
          <w:szCs w:val="22"/>
          <w:lang w:eastAsia="de-DE"/>
        </w:rPr>
        <w:t xml:space="preserve">, što čini volumen distribucije od 4.0 </w:t>
      </w:r>
      <w:r w:rsidR="00633F4E" w:rsidRPr="00C65707">
        <w:rPr>
          <w:iCs/>
          <w:sz w:val="22"/>
          <w:szCs w:val="22"/>
          <w:lang w:eastAsia="de-DE"/>
        </w:rPr>
        <w:t xml:space="preserve">l </w:t>
      </w:r>
      <w:r w:rsidRPr="00C65707">
        <w:rPr>
          <w:iCs/>
          <w:sz w:val="22"/>
          <w:szCs w:val="22"/>
          <w:lang w:eastAsia="de-DE"/>
        </w:rPr>
        <w:t>u stanju ravnoteže.</w:t>
      </w:r>
    </w:p>
    <w:p w14:paraId="303747CB" w14:textId="77777777" w:rsidR="00CC2B31" w:rsidRPr="00C65707" w:rsidRDefault="00CC2B31" w:rsidP="00CE5678">
      <w:pPr>
        <w:widowControl w:val="0"/>
        <w:jc w:val="both"/>
        <w:rPr>
          <w:iCs/>
          <w:sz w:val="22"/>
          <w:szCs w:val="22"/>
        </w:rPr>
      </w:pPr>
    </w:p>
    <w:p w14:paraId="53C9F54F" w14:textId="77777777" w:rsidR="00CC2B31" w:rsidRPr="00C65707" w:rsidRDefault="00CC2B31" w:rsidP="00CE5678">
      <w:pPr>
        <w:widowControl w:val="0"/>
        <w:jc w:val="both"/>
        <w:rPr>
          <w:iCs/>
          <w:sz w:val="22"/>
          <w:szCs w:val="22"/>
          <w:u w:val="single"/>
        </w:rPr>
      </w:pPr>
      <w:r w:rsidRPr="00C65707">
        <w:rPr>
          <w:iCs/>
          <w:sz w:val="22"/>
          <w:szCs w:val="22"/>
          <w:u w:val="single"/>
        </w:rPr>
        <w:t>Eliminacija</w:t>
      </w:r>
    </w:p>
    <w:p w14:paraId="05D4CB3E" w14:textId="77777777" w:rsidR="00CC2B31" w:rsidRPr="00C65707" w:rsidRDefault="00CC2B31" w:rsidP="00CE5678">
      <w:pPr>
        <w:widowControl w:val="0"/>
        <w:jc w:val="both"/>
        <w:rPr>
          <w:sz w:val="22"/>
          <w:szCs w:val="22"/>
          <w:lang w:eastAsia="de-DE"/>
        </w:rPr>
      </w:pPr>
      <w:r w:rsidRPr="00C65707">
        <w:rPr>
          <w:sz w:val="22"/>
          <w:szCs w:val="22"/>
          <w:lang w:eastAsia="de-DE"/>
        </w:rPr>
        <w:t>Populaciona farmakokinetička analiza podataka prikupljenih za pacijente sa pJIA pokazala je uticaj veličine tijela na linearni klirens, zbog čega bi trebalo razmotriti doziranje na osnovu tjelesne težine (videti Tabelu 9).</w:t>
      </w:r>
    </w:p>
    <w:p w14:paraId="4F85C072" w14:textId="77777777" w:rsidR="00CC2B31" w:rsidRPr="00C65707" w:rsidRDefault="00CC2B31" w:rsidP="00CE5678">
      <w:pPr>
        <w:widowControl w:val="0"/>
        <w:jc w:val="both"/>
        <w:rPr>
          <w:sz w:val="22"/>
          <w:szCs w:val="22"/>
          <w:lang w:eastAsia="de-DE"/>
        </w:rPr>
      </w:pPr>
    </w:p>
    <w:p w14:paraId="5934B4B9" w14:textId="0AED7E06" w:rsidR="00CC2B31" w:rsidRPr="00C65707" w:rsidRDefault="00CC2B31" w:rsidP="00CE5678">
      <w:pPr>
        <w:widowControl w:val="0"/>
        <w:jc w:val="both"/>
        <w:rPr>
          <w:iCs/>
          <w:sz w:val="22"/>
          <w:szCs w:val="22"/>
        </w:rPr>
      </w:pPr>
      <w:r w:rsidRPr="00C65707">
        <w:rPr>
          <w:iCs/>
          <w:sz w:val="22"/>
          <w:szCs w:val="22"/>
        </w:rPr>
        <w:t xml:space="preserve">Nakon </w:t>
      </w:r>
      <w:r w:rsidR="00910BDC" w:rsidRPr="00C65707">
        <w:rPr>
          <w:iCs/>
          <w:sz w:val="22"/>
          <w:szCs w:val="22"/>
        </w:rPr>
        <w:t xml:space="preserve">subkutane </w:t>
      </w:r>
      <w:r w:rsidRPr="00C65707">
        <w:rPr>
          <w:iCs/>
          <w:sz w:val="22"/>
          <w:szCs w:val="22"/>
        </w:rPr>
        <w:t xml:space="preserve">primjene efektivno poluvrijeme eliminacije </w:t>
      </w:r>
      <w:r w:rsidR="009C5005" w:rsidRPr="00C65707">
        <w:rPr>
          <w:sz w:val="22"/>
          <w:szCs w:val="22"/>
        </w:rPr>
        <w:t>tocilizumab</w:t>
      </w:r>
      <w:r w:rsidRPr="00C65707">
        <w:rPr>
          <w:iCs/>
          <w:sz w:val="22"/>
          <w:szCs w:val="22"/>
        </w:rPr>
        <w:t xml:space="preserve">a kod pacijenata sa pJIA iznosi do 10 dana za pacijente tjelesne težine &lt; 30 kg (162 mg </w:t>
      </w:r>
      <w:r w:rsidR="00910BDC" w:rsidRPr="00C65707">
        <w:rPr>
          <w:iCs/>
          <w:sz w:val="22"/>
          <w:szCs w:val="22"/>
        </w:rPr>
        <w:t xml:space="preserve">subkutano </w:t>
      </w:r>
      <w:r w:rsidRPr="00C65707">
        <w:rPr>
          <w:iCs/>
          <w:sz w:val="22"/>
          <w:szCs w:val="22"/>
        </w:rPr>
        <w:t>svake 3 ned</w:t>
      </w:r>
      <w:r w:rsidR="009C5005" w:rsidRPr="00C65707">
        <w:rPr>
          <w:iCs/>
          <w:sz w:val="22"/>
          <w:szCs w:val="22"/>
        </w:rPr>
        <w:t>j</w:t>
      </w:r>
      <w:r w:rsidRPr="00C65707">
        <w:rPr>
          <w:iCs/>
          <w:sz w:val="22"/>
          <w:szCs w:val="22"/>
        </w:rPr>
        <w:t xml:space="preserve">elje) i do 7 dana za pacijente tjelesne težine ≥ 30 kg (162 mg </w:t>
      </w:r>
      <w:r w:rsidR="00910BDC" w:rsidRPr="00C65707">
        <w:rPr>
          <w:iCs/>
          <w:sz w:val="22"/>
          <w:szCs w:val="22"/>
        </w:rPr>
        <w:t xml:space="preserve">subkutano </w:t>
      </w:r>
      <w:r w:rsidRPr="00C65707">
        <w:rPr>
          <w:iCs/>
          <w:sz w:val="22"/>
          <w:szCs w:val="22"/>
        </w:rPr>
        <w:t>svake 2 ned</w:t>
      </w:r>
      <w:r w:rsidR="009C5005" w:rsidRPr="00C65707">
        <w:rPr>
          <w:iCs/>
          <w:sz w:val="22"/>
          <w:szCs w:val="22"/>
        </w:rPr>
        <w:t>j</w:t>
      </w:r>
      <w:r w:rsidRPr="00C65707">
        <w:rPr>
          <w:iCs/>
          <w:sz w:val="22"/>
          <w:szCs w:val="22"/>
        </w:rPr>
        <w:t xml:space="preserve">elje) tokom intervala doziranja u stanju ravnoteže. Nakon intravenske primjene, </w:t>
      </w:r>
      <w:r w:rsidR="009C5005" w:rsidRPr="00C65707">
        <w:rPr>
          <w:sz w:val="22"/>
          <w:szCs w:val="22"/>
        </w:rPr>
        <w:t>tocilizumab</w:t>
      </w:r>
      <w:r w:rsidRPr="00C65707">
        <w:rPr>
          <w:iCs/>
          <w:sz w:val="22"/>
          <w:szCs w:val="22"/>
        </w:rPr>
        <w:t xml:space="preserve"> se eliminiše iz krvotoka u dvije faze. Ukupan klirens tocilizumaba zavisio je od koncentracije i bio je jednak zbiru linearnog i nelinearnog klirensa. Linearni klirens ocenjivao se kao parametar u </w:t>
      </w:r>
      <w:r w:rsidRPr="00C65707">
        <w:rPr>
          <w:rFonts w:eastAsia="SimSun"/>
          <w:sz w:val="22"/>
          <w:szCs w:val="22"/>
          <w:lang w:eastAsia="zh-CN" w:bidi="th-TH"/>
        </w:rPr>
        <w:t>populacionoj farmakokinetičkoj analizi</w:t>
      </w:r>
      <w:r w:rsidRPr="00C65707">
        <w:rPr>
          <w:iCs/>
          <w:sz w:val="22"/>
          <w:szCs w:val="22"/>
        </w:rPr>
        <w:t xml:space="preserve"> i iznosio je 6,25 </w:t>
      </w:r>
      <w:r w:rsidR="00633F4E" w:rsidRPr="00C65707">
        <w:rPr>
          <w:iCs/>
          <w:sz w:val="22"/>
          <w:szCs w:val="22"/>
        </w:rPr>
        <w:t>ml</w:t>
      </w:r>
      <w:r w:rsidRPr="00C65707">
        <w:rPr>
          <w:iCs/>
          <w:sz w:val="22"/>
          <w:szCs w:val="22"/>
        </w:rPr>
        <w:t xml:space="preserve">/sat. Nelinearni klirens zavisan od koncentracije igra veliku ulogu pri niskim koncentracijama </w:t>
      </w:r>
      <w:r w:rsidR="009C5005" w:rsidRPr="00C65707">
        <w:rPr>
          <w:sz w:val="22"/>
          <w:szCs w:val="22"/>
        </w:rPr>
        <w:t>tocilizumab</w:t>
      </w:r>
      <w:r w:rsidRPr="00C65707">
        <w:rPr>
          <w:iCs/>
          <w:sz w:val="22"/>
          <w:szCs w:val="22"/>
        </w:rPr>
        <w:t>a. Kad nastupi zasićenje nelinearnog puta klirensa, što se događa pri višim koncentracijama tocilizumaba, onda je klirens uglavnom određen linearnim klirensom.</w:t>
      </w:r>
    </w:p>
    <w:p w14:paraId="5605F8D8" w14:textId="77777777" w:rsidR="00CC2B31" w:rsidRPr="00C65707" w:rsidRDefault="00CC2B31" w:rsidP="00C65707">
      <w:pPr>
        <w:widowControl w:val="0"/>
        <w:jc w:val="both"/>
        <w:rPr>
          <w:iCs/>
          <w:sz w:val="22"/>
          <w:szCs w:val="22"/>
        </w:rPr>
      </w:pPr>
    </w:p>
    <w:p w14:paraId="3E2855EE" w14:textId="169E3871" w:rsidR="00CC2B31" w:rsidRPr="00C65707" w:rsidRDefault="009C5005" w:rsidP="002B3647">
      <w:pPr>
        <w:widowControl w:val="0"/>
        <w:jc w:val="both"/>
        <w:rPr>
          <w:b/>
          <w:iCs/>
          <w:sz w:val="22"/>
          <w:szCs w:val="22"/>
          <w:u w:val="single"/>
        </w:rPr>
      </w:pPr>
      <w:r w:rsidRPr="00C65707">
        <w:rPr>
          <w:b/>
          <w:iCs/>
          <w:sz w:val="22"/>
          <w:szCs w:val="22"/>
          <w:u w:val="single"/>
        </w:rPr>
        <w:t>Pacijenti s</w:t>
      </w:r>
      <w:r w:rsidR="00DF6615" w:rsidRPr="00C65707">
        <w:rPr>
          <w:b/>
          <w:iCs/>
          <w:sz w:val="22"/>
          <w:szCs w:val="22"/>
          <w:u w:val="single"/>
        </w:rPr>
        <w:t>a</w:t>
      </w:r>
      <w:r w:rsidRPr="00C65707">
        <w:rPr>
          <w:b/>
          <w:iCs/>
          <w:sz w:val="22"/>
          <w:szCs w:val="22"/>
          <w:u w:val="single"/>
        </w:rPr>
        <w:t xml:space="preserve"> </w:t>
      </w:r>
      <w:r w:rsidR="00CC2B31" w:rsidRPr="00C65707">
        <w:rPr>
          <w:b/>
          <w:iCs/>
          <w:sz w:val="22"/>
          <w:szCs w:val="22"/>
          <w:u w:val="single"/>
        </w:rPr>
        <w:t>GCA</w:t>
      </w:r>
    </w:p>
    <w:p w14:paraId="2C754EAC" w14:textId="7B0AC0B3" w:rsidR="00CC2B31" w:rsidRPr="00C65707" w:rsidRDefault="00CC2B31">
      <w:pPr>
        <w:widowControl w:val="0"/>
        <w:jc w:val="both"/>
        <w:rPr>
          <w:b/>
          <w:iCs/>
          <w:sz w:val="22"/>
          <w:szCs w:val="22"/>
          <w:u w:val="single"/>
        </w:rPr>
      </w:pPr>
      <w:r w:rsidRPr="00C65707">
        <w:rPr>
          <w:b/>
          <w:iCs/>
          <w:sz w:val="22"/>
          <w:szCs w:val="22"/>
          <w:u w:val="single"/>
        </w:rPr>
        <w:t>Subkutana primjena</w:t>
      </w:r>
    </w:p>
    <w:p w14:paraId="2B57F3B4" w14:textId="61E2AF56" w:rsidR="00CC2B31" w:rsidRPr="00C65707" w:rsidRDefault="00CC2B31">
      <w:pPr>
        <w:widowControl w:val="0"/>
        <w:jc w:val="both"/>
        <w:rPr>
          <w:iCs/>
          <w:sz w:val="22"/>
          <w:szCs w:val="22"/>
        </w:rPr>
      </w:pPr>
      <w:r w:rsidRPr="00C65707">
        <w:rPr>
          <w:iCs/>
          <w:sz w:val="22"/>
          <w:szCs w:val="22"/>
        </w:rPr>
        <w:t xml:space="preserve">Farmakokinetika </w:t>
      </w:r>
      <w:r w:rsidR="009C5005" w:rsidRPr="00C65707">
        <w:rPr>
          <w:sz w:val="22"/>
          <w:szCs w:val="22"/>
        </w:rPr>
        <w:t>tocilizumab</w:t>
      </w:r>
      <w:r w:rsidRPr="00C65707">
        <w:rPr>
          <w:iCs/>
          <w:sz w:val="22"/>
          <w:szCs w:val="22"/>
        </w:rPr>
        <w:t xml:space="preserve">a kod pacijenata sa GCA određivala se uz pomoć populacijskog farmakokinetičkog modela na osnovu analize skupa podataka prikupljenih kod 149 pacijenata sa GCA liječenih subkutanom dozom od 162 mg primijenjenom svaku nedjelju ili svaku drugu nedjelju. Razvijeni model imao je istu strukturu kao i populacijski farmakokinetički model razvijen ranije na osnovu podataka prikupljenih kod pacijenata sa RA (vidjeti Tabelu </w:t>
      </w:r>
      <w:r w:rsidR="009C5005" w:rsidRPr="00C65707">
        <w:rPr>
          <w:iCs/>
          <w:sz w:val="22"/>
          <w:szCs w:val="22"/>
        </w:rPr>
        <w:t>10</w:t>
      </w:r>
      <w:r w:rsidRPr="00C65707">
        <w:rPr>
          <w:iCs/>
          <w:sz w:val="22"/>
          <w:szCs w:val="22"/>
        </w:rPr>
        <w:t>).</w:t>
      </w:r>
    </w:p>
    <w:p w14:paraId="682D0459" w14:textId="77777777" w:rsidR="00CC2B31" w:rsidRPr="00C65707" w:rsidRDefault="00CC2B31">
      <w:pPr>
        <w:widowControl w:val="0"/>
        <w:jc w:val="both"/>
        <w:rPr>
          <w:iCs/>
          <w:sz w:val="22"/>
          <w:szCs w:val="22"/>
        </w:rPr>
      </w:pPr>
    </w:p>
    <w:p w14:paraId="220CC0DF" w14:textId="19716C01" w:rsidR="00CC2B31" w:rsidRPr="00C65707" w:rsidRDefault="00CC2B31">
      <w:pPr>
        <w:widowControl w:val="0"/>
        <w:jc w:val="both"/>
        <w:rPr>
          <w:i/>
          <w:iCs/>
          <w:sz w:val="22"/>
          <w:szCs w:val="22"/>
        </w:rPr>
      </w:pPr>
      <w:r w:rsidRPr="00C65707">
        <w:rPr>
          <w:i/>
          <w:iCs/>
          <w:sz w:val="22"/>
          <w:szCs w:val="22"/>
        </w:rPr>
        <w:t xml:space="preserve">Tabela </w:t>
      </w:r>
      <w:r w:rsidR="009C5005" w:rsidRPr="00C65707">
        <w:rPr>
          <w:i/>
          <w:iCs/>
          <w:sz w:val="22"/>
          <w:szCs w:val="22"/>
        </w:rPr>
        <w:t>10</w:t>
      </w:r>
      <w:r w:rsidRPr="00C65707">
        <w:rPr>
          <w:i/>
          <w:iCs/>
          <w:sz w:val="22"/>
          <w:szCs w:val="22"/>
        </w:rPr>
        <w:t>. Predviđena srednja vrijednost (± SD) farmakokinetičkih parametara u stanju dinamičke ravnoteže nakon subkutane primjene kod pacijenata sa GCA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7"/>
        <w:gridCol w:w="1524"/>
        <w:gridCol w:w="2672"/>
      </w:tblGrid>
      <w:tr w:rsidR="00CC2B31" w:rsidRPr="00C65707" w14:paraId="301ECE1F" w14:textId="77777777" w:rsidTr="00514374">
        <w:trPr>
          <w:cantSplit/>
          <w:trHeight w:val="128"/>
          <w:jc w:val="center"/>
        </w:trPr>
        <w:tc>
          <w:tcPr>
            <w:tcW w:w="2685" w:type="pct"/>
            <w:tcBorders>
              <w:top w:val="single" w:sz="4" w:space="0" w:color="auto"/>
              <w:left w:val="single" w:sz="4" w:space="0" w:color="auto"/>
              <w:bottom w:val="single" w:sz="4" w:space="0" w:color="auto"/>
              <w:right w:val="single" w:sz="4" w:space="0" w:color="auto"/>
            </w:tcBorders>
          </w:tcPr>
          <w:p w14:paraId="5E4FEC1F" w14:textId="77777777" w:rsidR="00CC2B31" w:rsidRPr="00C65707" w:rsidRDefault="00CC2B31" w:rsidP="00CE5678">
            <w:pPr>
              <w:widowControl w:val="0"/>
              <w:spacing w:line="280" w:lineRule="atLeast"/>
              <w:ind w:left="1701" w:hanging="1701"/>
              <w:jc w:val="both"/>
              <w:outlineLvl w:val="6"/>
              <w:rPr>
                <w:rFonts w:eastAsia="MS Mincho"/>
                <w:b/>
                <w:sz w:val="22"/>
                <w:szCs w:val="22"/>
              </w:rPr>
            </w:pPr>
          </w:p>
        </w:tc>
        <w:tc>
          <w:tcPr>
            <w:tcW w:w="2315" w:type="pct"/>
            <w:gridSpan w:val="2"/>
            <w:tcBorders>
              <w:top w:val="single" w:sz="4" w:space="0" w:color="auto"/>
              <w:left w:val="single" w:sz="4" w:space="0" w:color="auto"/>
              <w:bottom w:val="single" w:sz="4" w:space="0" w:color="auto"/>
              <w:right w:val="single" w:sz="4" w:space="0" w:color="auto"/>
            </w:tcBorders>
          </w:tcPr>
          <w:p w14:paraId="3B225B8C" w14:textId="44F615D9" w:rsidR="00CC2B31" w:rsidRPr="00C65707" w:rsidRDefault="00CC2B31">
            <w:pPr>
              <w:widowControl w:val="0"/>
              <w:jc w:val="center"/>
              <w:rPr>
                <w:rFonts w:eastAsia="PMingLiU"/>
                <w:b/>
                <w:sz w:val="22"/>
                <w:szCs w:val="22"/>
                <w:lang w:eastAsia="zh-TW"/>
              </w:rPr>
            </w:pPr>
            <w:r w:rsidRPr="00C65707">
              <w:rPr>
                <w:rFonts w:eastAsia="PMingLiU"/>
                <w:b/>
                <w:sz w:val="22"/>
                <w:szCs w:val="22"/>
                <w:lang w:eastAsia="zh-TW"/>
              </w:rPr>
              <w:t>Subkutana primjena</w:t>
            </w:r>
          </w:p>
        </w:tc>
      </w:tr>
      <w:tr w:rsidR="00CC2B31" w:rsidRPr="00C65707" w14:paraId="7A16EE90" w14:textId="77777777" w:rsidTr="009C5005">
        <w:trPr>
          <w:cantSplit/>
          <w:trHeight w:val="452"/>
          <w:jc w:val="center"/>
        </w:trPr>
        <w:tc>
          <w:tcPr>
            <w:tcW w:w="2685" w:type="pct"/>
            <w:tcBorders>
              <w:top w:val="single" w:sz="4" w:space="0" w:color="auto"/>
              <w:left w:val="single" w:sz="4" w:space="0" w:color="auto"/>
              <w:bottom w:val="single" w:sz="4" w:space="0" w:color="auto"/>
              <w:right w:val="single" w:sz="4" w:space="0" w:color="auto"/>
            </w:tcBorders>
          </w:tcPr>
          <w:p w14:paraId="28D640F2" w14:textId="77777777" w:rsidR="00CC2B31" w:rsidRPr="00C65707" w:rsidRDefault="00CC2B31" w:rsidP="00CE5678">
            <w:pPr>
              <w:widowControl w:val="0"/>
              <w:jc w:val="both"/>
              <w:rPr>
                <w:rFonts w:eastAsia="PMingLiU"/>
                <w:sz w:val="22"/>
                <w:szCs w:val="22"/>
                <w:lang w:eastAsia="zh-TW"/>
              </w:rPr>
            </w:pPr>
            <w:r w:rsidRPr="00C65707">
              <w:rPr>
                <w:rFonts w:eastAsia="PMingLiU"/>
                <w:b/>
                <w:sz w:val="22"/>
                <w:szCs w:val="22"/>
                <w:lang w:eastAsia="zh-TW"/>
              </w:rPr>
              <w:t>Farmakokinetički parametar tocilizumaba</w:t>
            </w:r>
          </w:p>
        </w:tc>
        <w:tc>
          <w:tcPr>
            <w:tcW w:w="841" w:type="pct"/>
            <w:tcBorders>
              <w:top w:val="single" w:sz="4" w:space="0" w:color="auto"/>
              <w:left w:val="single" w:sz="4" w:space="0" w:color="auto"/>
              <w:bottom w:val="single" w:sz="4" w:space="0" w:color="auto"/>
              <w:right w:val="single" w:sz="4" w:space="0" w:color="auto"/>
            </w:tcBorders>
          </w:tcPr>
          <w:p w14:paraId="3E865AE8" w14:textId="77777777" w:rsidR="00CC2B31" w:rsidRPr="002B3647" w:rsidRDefault="00CC2B31">
            <w:pPr>
              <w:widowControl w:val="0"/>
              <w:jc w:val="center"/>
              <w:rPr>
                <w:rFonts w:eastAsia="PMingLiU"/>
                <w:b/>
                <w:sz w:val="22"/>
                <w:szCs w:val="22"/>
                <w:lang w:eastAsia="zh-TW"/>
              </w:rPr>
            </w:pPr>
            <w:r w:rsidRPr="002B3647">
              <w:rPr>
                <w:rFonts w:eastAsia="PMingLiU"/>
                <w:b/>
                <w:sz w:val="22"/>
                <w:szCs w:val="22"/>
                <w:lang w:eastAsia="zh-TW"/>
              </w:rPr>
              <w:t>162 mg svaku drugu nedjelju</w:t>
            </w:r>
          </w:p>
        </w:tc>
        <w:tc>
          <w:tcPr>
            <w:tcW w:w="1474" w:type="pct"/>
            <w:tcBorders>
              <w:top w:val="single" w:sz="4" w:space="0" w:color="auto"/>
              <w:left w:val="single" w:sz="4" w:space="0" w:color="auto"/>
              <w:bottom w:val="single" w:sz="4" w:space="0" w:color="auto"/>
              <w:right w:val="single" w:sz="4" w:space="0" w:color="auto"/>
            </w:tcBorders>
          </w:tcPr>
          <w:p w14:paraId="435A4BB3" w14:textId="77777777" w:rsidR="00CC2B31" w:rsidRPr="00C65707" w:rsidRDefault="00CC2B31">
            <w:pPr>
              <w:widowControl w:val="0"/>
              <w:jc w:val="center"/>
              <w:rPr>
                <w:rFonts w:eastAsia="PMingLiU"/>
                <w:b/>
                <w:sz w:val="22"/>
                <w:szCs w:val="22"/>
                <w:lang w:eastAsia="zh-TW"/>
              </w:rPr>
            </w:pPr>
            <w:r w:rsidRPr="00C65707">
              <w:rPr>
                <w:rFonts w:eastAsia="PMingLiU"/>
                <w:b/>
                <w:sz w:val="22"/>
                <w:szCs w:val="22"/>
                <w:lang w:eastAsia="zh-TW"/>
              </w:rPr>
              <w:t>162 mg svaku nedjelju</w:t>
            </w:r>
          </w:p>
        </w:tc>
      </w:tr>
      <w:tr w:rsidR="00CC2B31" w:rsidRPr="00C65707" w14:paraId="0BDC4E29" w14:textId="77777777" w:rsidTr="009C5005">
        <w:trPr>
          <w:cantSplit/>
          <w:trHeight w:val="195"/>
          <w:jc w:val="center"/>
        </w:trPr>
        <w:tc>
          <w:tcPr>
            <w:tcW w:w="2685" w:type="pct"/>
            <w:tcBorders>
              <w:top w:val="single" w:sz="4" w:space="0" w:color="auto"/>
              <w:left w:val="single" w:sz="4" w:space="0" w:color="auto"/>
              <w:bottom w:val="single" w:sz="4" w:space="0" w:color="auto"/>
              <w:right w:val="single" w:sz="4" w:space="0" w:color="auto"/>
            </w:tcBorders>
          </w:tcPr>
          <w:p w14:paraId="5CCAF0AA" w14:textId="2F491278" w:rsidR="00CC2B31" w:rsidRPr="002B3647" w:rsidRDefault="00CC2B31" w:rsidP="00CE5678">
            <w:pPr>
              <w:widowControl w:val="0"/>
              <w:jc w:val="both"/>
              <w:rPr>
                <w:rFonts w:eastAsia="PMingLiU"/>
                <w:sz w:val="22"/>
                <w:szCs w:val="22"/>
                <w:lang w:eastAsia="zh-TW"/>
              </w:rPr>
            </w:pPr>
            <w:r w:rsidRPr="00C65707">
              <w:rPr>
                <w:rFonts w:eastAsia="PMingLiU"/>
                <w:sz w:val="22"/>
                <w:szCs w:val="22"/>
                <w:lang w:eastAsia="zh-TW"/>
              </w:rPr>
              <w:t>C</w:t>
            </w:r>
            <w:r w:rsidRPr="00C65707">
              <w:rPr>
                <w:rFonts w:eastAsia="PMingLiU"/>
                <w:sz w:val="22"/>
                <w:szCs w:val="22"/>
                <w:vertAlign w:val="subscript"/>
                <w:lang w:eastAsia="zh-TW"/>
              </w:rPr>
              <w:t>max</w:t>
            </w:r>
            <w:r w:rsidRPr="00C65707">
              <w:rPr>
                <w:rFonts w:eastAsia="PMingLiU"/>
                <w:sz w:val="22"/>
                <w:szCs w:val="22"/>
                <w:lang w:eastAsia="zh-TW"/>
              </w:rPr>
              <w:t xml:space="preserve"> (µg/</w:t>
            </w:r>
            <w:r w:rsidR="003F20A4" w:rsidRPr="00C65707">
              <w:rPr>
                <w:rFonts w:eastAsia="PMingLiU"/>
                <w:sz w:val="22"/>
                <w:szCs w:val="22"/>
                <w:lang w:eastAsia="zh-TW"/>
              </w:rPr>
              <w:t>ml</w:t>
            </w:r>
            <w:r w:rsidRPr="002B3647">
              <w:rPr>
                <w:rFonts w:eastAsia="PMingLiU"/>
                <w:sz w:val="22"/>
                <w:szCs w:val="22"/>
                <w:lang w:eastAsia="zh-TW"/>
              </w:rPr>
              <w:t>)</w:t>
            </w:r>
          </w:p>
        </w:tc>
        <w:tc>
          <w:tcPr>
            <w:tcW w:w="841" w:type="pct"/>
            <w:tcBorders>
              <w:top w:val="single" w:sz="4" w:space="0" w:color="auto"/>
              <w:left w:val="single" w:sz="4" w:space="0" w:color="auto"/>
              <w:bottom w:val="single" w:sz="4" w:space="0" w:color="auto"/>
              <w:right w:val="single" w:sz="4" w:space="0" w:color="auto"/>
            </w:tcBorders>
          </w:tcPr>
          <w:p w14:paraId="707F8864" w14:textId="77777777" w:rsidR="00CC2B31" w:rsidRPr="00C65707" w:rsidRDefault="00CC2B31">
            <w:pPr>
              <w:widowControl w:val="0"/>
              <w:jc w:val="center"/>
              <w:rPr>
                <w:rFonts w:eastAsia="PMingLiU"/>
                <w:sz w:val="22"/>
                <w:szCs w:val="22"/>
                <w:lang w:eastAsia="zh-TW"/>
              </w:rPr>
            </w:pPr>
            <w:r w:rsidRPr="00C65707">
              <w:rPr>
                <w:rFonts w:eastAsia="SimSun"/>
                <w:sz w:val="22"/>
                <w:szCs w:val="22"/>
                <w:lang w:eastAsia="zh-TW"/>
              </w:rPr>
              <w:t>19,3 ± 12,8</w:t>
            </w:r>
          </w:p>
        </w:tc>
        <w:tc>
          <w:tcPr>
            <w:tcW w:w="1474" w:type="pct"/>
            <w:tcBorders>
              <w:top w:val="single" w:sz="4" w:space="0" w:color="auto"/>
              <w:left w:val="single" w:sz="4" w:space="0" w:color="auto"/>
              <w:bottom w:val="single" w:sz="4" w:space="0" w:color="auto"/>
              <w:right w:val="single" w:sz="4" w:space="0" w:color="auto"/>
            </w:tcBorders>
          </w:tcPr>
          <w:p w14:paraId="67A04DFA" w14:textId="77777777" w:rsidR="00CC2B31" w:rsidRPr="00C65707" w:rsidRDefault="00CC2B31">
            <w:pPr>
              <w:widowControl w:val="0"/>
              <w:jc w:val="center"/>
              <w:rPr>
                <w:rFonts w:eastAsia="PMingLiU"/>
                <w:sz w:val="22"/>
                <w:szCs w:val="22"/>
                <w:lang w:eastAsia="zh-TW"/>
              </w:rPr>
            </w:pPr>
            <w:r w:rsidRPr="00C65707">
              <w:rPr>
                <w:rFonts w:eastAsia="PMingLiU"/>
                <w:sz w:val="22"/>
                <w:szCs w:val="22"/>
                <w:lang w:eastAsia="zh-TW"/>
              </w:rPr>
              <w:t>73 ± 30,4</w:t>
            </w:r>
          </w:p>
        </w:tc>
      </w:tr>
      <w:tr w:rsidR="00CC2B31" w:rsidRPr="00C65707" w14:paraId="6021EACF" w14:textId="77777777" w:rsidTr="009C5005">
        <w:trPr>
          <w:cantSplit/>
          <w:trHeight w:val="195"/>
          <w:jc w:val="center"/>
        </w:trPr>
        <w:tc>
          <w:tcPr>
            <w:tcW w:w="2685" w:type="pct"/>
            <w:tcBorders>
              <w:top w:val="single" w:sz="4" w:space="0" w:color="auto"/>
              <w:left w:val="single" w:sz="4" w:space="0" w:color="auto"/>
              <w:bottom w:val="single" w:sz="4" w:space="0" w:color="auto"/>
              <w:right w:val="single" w:sz="4" w:space="0" w:color="auto"/>
            </w:tcBorders>
          </w:tcPr>
          <w:p w14:paraId="1DAF224F" w14:textId="21565099" w:rsidR="00CC2B31" w:rsidRPr="002B3647" w:rsidRDefault="00CC2B31" w:rsidP="00CE5678">
            <w:pPr>
              <w:widowControl w:val="0"/>
              <w:jc w:val="both"/>
              <w:rPr>
                <w:rFonts w:eastAsia="PMingLiU"/>
                <w:sz w:val="22"/>
                <w:szCs w:val="22"/>
                <w:lang w:eastAsia="zh-TW"/>
              </w:rPr>
            </w:pPr>
            <w:r w:rsidRPr="00C65707">
              <w:rPr>
                <w:rFonts w:eastAsia="PMingLiU"/>
                <w:sz w:val="22"/>
                <w:szCs w:val="22"/>
                <w:lang w:eastAsia="zh-TW"/>
              </w:rPr>
              <w:t>C</w:t>
            </w:r>
            <w:r w:rsidRPr="00C65707">
              <w:rPr>
                <w:rFonts w:eastAsia="PMingLiU"/>
                <w:sz w:val="22"/>
                <w:szCs w:val="22"/>
                <w:vertAlign w:val="subscript"/>
                <w:lang w:eastAsia="zh-TW"/>
              </w:rPr>
              <w:t>min</w:t>
            </w:r>
            <w:r w:rsidRPr="00C65707">
              <w:rPr>
                <w:rFonts w:eastAsia="PMingLiU"/>
                <w:sz w:val="22"/>
                <w:szCs w:val="22"/>
                <w:lang w:eastAsia="zh-TW"/>
              </w:rPr>
              <w:t xml:space="preserve"> (µg/</w:t>
            </w:r>
            <w:r w:rsidR="003F20A4" w:rsidRPr="00C65707">
              <w:rPr>
                <w:rFonts w:eastAsia="PMingLiU"/>
                <w:sz w:val="22"/>
                <w:szCs w:val="22"/>
                <w:lang w:eastAsia="zh-TW"/>
              </w:rPr>
              <w:t>ml</w:t>
            </w:r>
            <w:r w:rsidRPr="002B3647">
              <w:rPr>
                <w:rFonts w:eastAsia="PMingLiU"/>
                <w:sz w:val="22"/>
                <w:szCs w:val="22"/>
                <w:lang w:eastAsia="zh-TW"/>
              </w:rPr>
              <w:t>)</w:t>
            </w:r>
          </w:p>
        </w:tc>
        <w:tc>
          <w:tcPr>
            <w:tcW w:w="841" w:type="pct"/>
            <w:tcBorders>
              <w:top w:val="single" w:sz="4" w:space="0" w:color="auto"/>
              <w:left w:val="single" w:sz="4" w:space="0" w:color="auto"/>
              <w:bottom w:val="single" w:sz="4" w:space="0" w:color="auto"/>
              <w:right w:val="single" w:sz="4" w:space="0" w:color="auto"/>
            </w:tcBorders>
          </w:tcPr>
          <w:p w14:paraId="62C3F901" w14:textId="77777777" w:rsidR="00CC2B31" w:rsidRPr="00C65707" w:rsidRDefault="00CC2B31">
            <w:pPr>
              <w:widowControl w:val="0"/>
              <w:jc w:val="center"/>
              <w:rPr>
                <w:rFonts w:eastAsia="PMingLiU"/>
                <w:sz w:val="22"/>
                <w:szCs w:val="22"/>
                <w:lang w:eastAsia="zh-TW"/>
              </w:rPr>
            </w:pPr>
            <w:r w:rsidRPr="00C65707">
              <w:rPr>
                <w:rFonts w:eastAsia="SimSun"/>
                <w:sz w:val="22"/>
                <w:szCs w:val="22"/>
                <w:lang w:eastAsia="zh-TW"/>
              </w:rPr>
              <w:t>11,1 ± 10,3</w:t>
            </w:r>
          </w:p>
        </w:tc>
        <w:tc>
          <w:tcPr>
            <w:tcW w:w="1474" w:type="pct"/>
            <w:tcBorders>
              <w:top w:val="single" w:sz="4" w:space="0" w:color="auto"/>
              <w:left w:val="single" w:sz="4" w:space="0" w:color="auto"/>
              <w:bottom w:val="single" w:sz="4" w:space="0" w:color="auto"/>
              <w:right w:val="single" w:sz="4" w:space="0" w:color="auto"/>
            </w:tcBorders>
          </w:tcPr>
          <w:p w14:paraId="13348012" w14:textId="77777777" w:rsidR="00CC2B31" w:rsidRPr="00C65707" w:rsidRDefault="00CC2B31">
            <w:pPr>
              <w:widowControl w:val="0"/>
              <w:jc w:val="center"/>
              <w:rPr>
                <w:rFonts w:eastAsia="PMingLiU"/>
                <w:sz w:val="22"/>
                <w:szCs w:val="22"/>
                <w:lang w:eastAsia="zh-TW"/>
              </w:rPr>
            </w:pPr>
            <w:r w:rsidRPr="00C65707">
              <w:rPr>
                <w:rFonts w:eastAsia="PMingLiU"/>
                <w:sz w:val="22"/>
                <w:szCs w:val="22"/>
                <w:lang w:eastAsia="zh-TW"/>
              </w:rPr>
              <w:t>68,1± 29,5</w:t>
            </w:r>
          </w:p>
        </w:tc>
      </w:tr>
      <w:tr w:rsidR="00CC2B31" w:rsidRPr="00C65707" w14:paraId="0A428B95" w14:textId="77777777" w:rsidTr="009C5005">
        <w:trPr>
          <w:cantSplit/>
          <w:trHeight w:val="324"/>
          <w:jc w:val="center"/>
        </w:trPr>
        <w:tc>
          <w:tcPr>
            <w:tcW w:w="2685" w:type="pct"/>
            <w:tcBorders>
              <w:top w:val="single" w:sz="4" w:space="0" w:color="auto"/>
              <w:left w:val="single" w:sz="4" w:space="0" w:color="auto"/>
              <w:bottom w:val="single" w:sz="4" w:space="0" w:color="auto"/>
              <w:right w:val="single" w:sz="4" w:space="0" w:color="auto"/>
            </w:tcBorders>
          </w:tcPr>
          <w:p w14:paraId="1039F0DA" w14:textId="075ED09B" w:rsidR="00CC2B31" w:rsidRPr="002B3647" w:rsidRDefault="00CC2B31" w:rsidP="00CE5678">
            <w:pPr>
              <w:widowControl w:val="0"/>
              <w:jc w:val="both"/>
              <w:rPr>
                <w:rFonts w:eastAsia="PMingLiU"/>
                <w:sz w:val="22"/>
                <w:szCs w:val="22"/>
                <w:lang w:eastAsia="zh-TW"/>
              </w:rPr>
            </w:pPr>
            <w:r w:rsidRPr="00C65707">
              <w:rPr>
                <w:rFonts w:eastAsia="PMingLiU"/>
                <w:sz w:val="22"/>
                <w:szCs w:val="22"/>
                <w:lang w:eastAsia="zh-TW"/>
              </w:rPr>
              <w:t>C</w:t>
            </w:r>
            <w:r w:rsidRPr="00C65707">
              <w:rPr>
                <w:rFonts w:eastAsia="PMingLiU"/>
                <w:sz w:val="22"/>
                <w:szCs w:val="22"/>
                <w:vertAlign w:val="subscript"/>
                <w:lang w:eastAsia="zh-TW"/>
              </w:rPr>
              <w:t>avg</w:t>
            </w:r>
            <w:r w:rsidRPr="00C65707">
              <w:rPr>
                <w:rFonts w:eastAsia="PMingLiU"/>
                <w:sz w:val="22"/>
                <w:szCs w:val="22"/>
                <w:lang w:eastAsia="zh-TW"/>
              </w:rPr>
              <w:t xml:space="preserve"> (µg/</w:t>
            </w:r>
            <w:r w:rsidR="003F20A4" w:rsidRPr="00C65707">
              <w:rPr>
                <w:rFonts w:eastAsia="PMingLiU"/>
                <w:sz w:val="22"/>
                <w:szCs w:val="22"/>
                <w:lang w:eastAsia="zh-TW"/>
              </w:rPr>
              <w:t>ml</w:t>
            </w:r>
            <w:r w:rsidRPr="002B3647">
              <w:rPr>
                <w:rFonts w:eastAsia="PMingLiU"/>
                <w:sz w:val="22"/>
                <w:szCs w:val="22"/>
                <w:lang w:eastAsia="zh-TW"/>
              </w:rPr>
              <w:t>)</w:t>
            </w:r>
          </w:p>
        </w:tc>
        <w:tc>
          <w:tcPr>
            <w:tcW w:w="841" w:type="pct"/>
            <w:tcBorders>
              <w:top w:val="single" w:sz="4" w:space="0" w:color="auto"/>
              <w:left w:val="single" w:sz="4" w:space="0" w:color="auto"/>
              <w:bottom w:val="single" w:sz="4" w:space="0" w:color="auto"/>
              <w:right w:val="single" w:sz="4" w:space="0" w:color="auto"/>
            </w:tcBorders>
          </w:tcPr>
          <w:p w14:paraId="19D99305" w14:textId="4010CA7C" w:rsidR="00CC2B31" w:rsidRPr="00C65707" w:rsidRDefault="00CC2B31">
            <w:pPr>
              <w:widowControl w:val="0"/>
              <w:jc w:val="center"/>
              <w:rPr>
                <w:rFonts w:eastAsia="PMingLiU"/>
                <w:sz w:val="22"/>
                <w:szCs w:val="22"/>
                <w:lang w:eastAsia="zh-TW"/>
              </w:rPr>
            </w:pPr>
            <w:r w:rsidRPr="00C65707">
              <w:rPr>
                <w:rFonts w:eastAsia="PMingLiU"/>
                <w:sz w:val="22"/>
                <w:szCs w:val="22"/>
                <w:lang w:eastAsia="zh-TW"/>
              </w:rPr>
              <w:t>16,2 ± 11,8</w:t>
            </w:r>
          </w:p>
        </w:tc>
        <w:tc>
          <w:tcPr>
            <w:tcW w:w="1474" w:type="pct"/>
            <w:tcBorders>
              <w:top w:val="single" w:sz="4" w:space="0" w:color="auto"/>
              <w:left w:val="single" w:sz="4" w:space="0" w:color="auto"/>
              <w:bottom w:val="single" w:sz="4" w:space="0" w:color="auto"/>
              <w:right w:val="single" w:sz="4" w:space="0" w:color="auto"/>
            </w:tcBorders>
          </w:tcPr>
          <w:p w14:paraId="4AE9E6A8" w14:textId="77777777" w:rsidR="00CC2B31" w:rsidRPr="00C65707" w:rsidRDefault="00CC2B31">
            <w:pPr>
              <w:widowControl w:val="0"/>
              <w:jc w:val="center"/>
              <w:rPr>
                <w:rFonts w:eastAsia="PMingLiU"/>
                <w:sz w:val="22"/>
                <w:szCs w:val="22"/>
                <w:lang w:eastAsia="zh-TW"/>
              </w:rPr>
            </w:pPr>
            <w:r w:rsidRPr="00C65707">
              <w:rPr>
                <w:rFonts w:eastAsia="PMingLiU"/>
                <w:sz w:val="22"/>
                <w:szCs w:val="22"/>
                <w:lang w:eastAsia="zh-TW"/>
              </w:rPr>
              <w:t>71,3 ± 30,1</w:t>
            </w:r>
          </w:p>
        </w:tc>
      </w:tr>
      <w:tr w:rsidR="00CC2B31" w:rsidRPr="00C65707" w14:paraId="080D4001" w14:textId="77777777" w:rsidTr="009C5005">
        <w:trPr>
          <w:cantSplit/>
          <w:trHeight w:val="324"/>
          <w:jc w:val="center"/>
        </w:trPr>
        <w:tc>
          <w:tcPr>
            <w:tcW w:w="2685" w:type="pct"/>
            <w:tcBorders>
              <w:top w:val="single" w:sz="4" w:space="0" w:color="auto"/>
              <w:left w:val="single" w:sz="4" w:space="0" w:color="auto"/>
              <w:bottom w:val="single" w:sz="4" w:space="0" w:color="auto"/>
              <w:right w:val="single" w:sz="4" w:space="0" w:color="auto"/>
            </w:tcBorders>
          </w:tcPr>
          <w:p w14:paraId="35F190B9" w14:textId="77777777" w:rsidR="00CC2B31" w:rsidRPr="00C65707" w:rsidRDefault="00CC2B31" w:rsidP="00CE5678">
            <w:pPr>
              <w:widowControl w:val="0"/>
              <w:jc w:val="both"/>
              <w:rPr>
                <w:rFonts w:eastAsia="PMingLiU"/>
                <w:sz w:val="22"/>
                <w:szCs w:val="22"/>
                <w:lang w:eastAsia="zh-TW"/>
              </w:rPr>
            </w:pPr>
            <w:r w:rsidRPr="00C65707">
              <w:rPr>
                <w:rFonts w:eastAsia="PMingLiU"/>
                <w:sz w:val="22"/>
                <w:szCs w:val="22"/>
                <w:lang w:eastAsia="zh-TW"/>
              </w:rPr>
              <w:t>C</w:t>
            </w:r>
            <w:r w:rsidRPr="00C65707">
              <w:rPr>
                <w:rFonts w:eastAsia="PMingLiU"/>
                <w:sz w:val="22"/>
                <w:szCs w:val="22"/>
                <w:vertAlign w:val="subscript"/>
                <w:lang w:eastAsia="zh-TW"/>
              </w:rPr>
              <w:t xml:space="preserve">max </w:t>
            </w:r>
            <w:r w:rsidRPr="00C65707">
              <w:rPr>
                <w:rFonts w:eastAsia="PMingLiU"/>
                <w:sz w:val="22"/>
                <w:szCs w:val="22"/>
                <w:lang w:eastAsia="zh-TW"/>
              </w:rPr>
              <w:t>akumulacije</w:t>
            </w:r>
          </w:p>
        </w:tc>
        <w:tc>
          <w:tcPr>
            <w:tcW w:w="841" w:type="pct"/>
            <w:tcBorders>
              <w:top w:val="single" w:sz="4" w:space="0" w:color="auto"/>
              <w:left w:val="single" w:sz="4" w:space="0" w:color="auto"/>
              <w:bottom w:val="single" w:sz="4" w:space="0" w:color="auto"/>
              <w:right w:val="single" w:sz="4" w:space="0" w:color="auto"/>
            </w:tcBorders>
          </w:tcPr>
          <w:p w14:paraId="0F49C886" w14:textId="77777777" w:rsidR="00CC2B31" w:rsidRPr="002B3647" w:rsidRDefault="00CC2B31">
            <w:pPr>
              <w:widowControl w:val="0"/>
              <w:jc w:val="center"/>
              <w:rPr>
                <w:rFonts w:eastAsia="PMingLiU"/>
                <w:sz w:val="22"/>
                <w:szCs w:val="22"/>
                <w:lang w:eastAsia="zh-TW"/>
              </w:rPr>
            </w:pPr>
            <w:r w:rsidRPr="002B3647">
              <w:rPr>
                <w:rFonts w:eastAsia="PMingLiU"/>
                <w:sz w:val="22"/>
                <w:szCs w:val="22"/>
                <w:lang w:eastAsia="zh-TW"/>
              </w:rPr>
              <w:t>2,18</w:t>
            </w:r>
          </w:p>
        </w:tc>
        <w:tc>
          <w:tcPr>
            <w:tcW w:w="1474" w:type="pct"/>
            <w:tcBorders>
              <w:top w:val="single" w:sz="4" w:space="0" w:color="auto"/>
              <w:left w:val="single" w:sz="4" w:space="0" w:color="auto"/>
              <w:bottom w:val="single" w:sz="4" w:space="0" w:color="auto"/>
              <w:right w:val="single" w:sz="4" w:space="0" w:color="auto"/>
            </w:tcBorders>
          </w:tcPr>
          <w:p w14:paraId="1C9E82D1" w14:textId="5F34C20C" w:rsidR="00CC2B31" w:rsidRPr="00C65707" w:rsidRDefault="00CC2B31">
            <w:pPr>
              <w:widowControl w:val="0"/>
              <w:jc w:val="center"/>
              <w:rPr>
                <w:rFonts w:eastAsia="PMingLiU"/>
                <w:sz w:val="22"/>
                <w:szCs w:val="22"/>
                <w:lang w:eastAsia="zh-TW"/>
              </w:rPr>
            </w:pPr>
            <w:r w:rsidRPr="00C65707">
              <w:rPr>
                <w:rFonts w:eastAsia="PMingLiU"/>
                <w:sz w:val="22"/>
                <w:szCs w:val="22"/>
                <w:lang w:eastAsia="zh-TW"/>
              </w:rPr>
              <w:t>8,88</w:t>
            </w:r>
          </w:p>
        </w:tc>
      </w:tr>
      <w:tr w:rsidR="00CC2B31" w:rsidRPr="00C65707" w14:paraId="05111D9D" w14:textId="77777777" w:rsidTr="009C5005">
        <w:trPr>
          <w:cantSplit/>
          <w:trHeight w:val="331"/>
          <w:jc w:val="center"/>
        </w:trPr>
        <w:tc>
          <w:tcPr>
            <w:tcW w:w="2685" w:type="pct"/>
            <w:tcBorders>
              <w:top w:val="single" w:sz="4" w:space="0" w:color="auto"/>
              <w:left w:val="single" w:sz="4" w:space="0" w:color="auto"/>
              <w:bottom w:val="single" w:sz="4" w:space="0" w:color="auto"/>
              <w:right w:val="single" w:sz="4" w:space="0" w:color="auto"/>
            </w:tcBorders>
          </w:tcPr>
          <w:p w14:paraId="7F5D230D" w14:textId="77777777" w:rsidR="00CC2B31" w:rsidRPr="00C65707" w:rsidRDefault="00CC2B31" w:rsidP="00CE5678">
            <w:pPr>
              <w:widowControl w:val="0"/>
              <w:jc w:val="both"/>
              <w:rPr>
                <w:rFonts w:eastAsia="PMingLiU"/>
                <w:sz w:val="22"/>
                <w:szCs w:val="22"/>
                <w:lang w:eastAsia="zh-TW"/>
              </w:rPr>
            </w:pPr>
            <w:r w:rsidRPr="00C65707">
              <w:rPr>
                <w:rFonts w:eastAsia="PMingLiU"/>
                <w:sz w:val="22"/>
                <w:szCs w:val="22"/>
                <w:lang w:eastAsia="zh-TW"/>
              </w:rPr>
              <w:t>C</w:t>
            </w:r>
            <w:r w:rsidRPr="00C65707">
              <w:rPr>
                <w:rFonts w:eastAsia="PMingLiU"/>
                <w:sz w:val="22"/>
                <w:szCs w:val="22"/>
                <w:vertAlign w:val="subscript"/>
                <w:lang w:eastAsia="zh-TW"/>
              </w:rPr>
              <w:t>min</w:t>
            </w:r>
            <w:r w:rsidRPr="00C65707">
              <w:rPr>
                <w:rFonts w:eastAsia="PMingLiU"/>
                <w:sz w:val="22"/>
                <w:szCs w:val="22"/>
                <w:lang w:eastAsia="zh-TW"/>
              </w:rPr>
              <w:t xml:space="preserve"> akumulacije</w:t>
            </w:r>
          </w:p>
        </w:tc>
        <w:tc>
          <w:tcPr>
            <w:tcW w:w="841" w:type="pct"/>
            <w:tcBorders>
              <w:top w:val="single" w:sz="4" w:space="0" w:color="auto"/>
              <w:left w:val="single" w:sz="4" w:space="0" w:color="auto"/>
              <w:bottom w:val="single" w:sz="4" w:space="0" w:color="auto"/>
              <w:right w:val="single" w:sz="4" w:space="0" w:color="auto"/>
            </w:tcBorders>
          </w:tcPr>
          <w:p w14:paraId="3316AEDF" w14:textId="77777777" w:rsidR="00CC2B31" w:rsidRPr="002B3647" w:rsidRDefault="00CC2B31">
            <w:pPr>
              <w:widowControl w:val="0"/>
              <w:jc w:val="center"/>
              <w:rPr>
                <w:rFonts w:eastAsia="PMingLiU"/>
                <w:sz w:val="22"/>
                <w:szCs w:val="22"/>
                <w:lang w:eastAsia="zh-TW"/>
              </w:rPr>
            </w:pPr>
            <w:r w:rsidRPr="002B3647">
              <w:rPr>
                <w:rFonts w:eastAsia="PMingLiU"/>
                <w:sz w:val="22"/>
                <w:szCs w:val="22"/>
                <w:lang w:eastAsia="zh-TW"/>
              </w:rPr>
              <w:t>5,61</w:t>
            </w:r>
          </w:p>
        </w:tc>
        <w:tc>
          <w:tcPr>
            <w:tcW w:w="1474" w:type="pct"/>
            <w:tcBorders>
              <w:top w:val="single" w:sz="4" w:space="0" w:color="auto"/>
              <w:left w:val="single" w:sz="4" w:space="0" w:color="auto"/>
              <w:bottom w:val="single" w:sz="4" w:space="0" w:color="auto"/>
              <w:right w:val="single" w:sz="4" w:space="0" w:color="auto"/>
            </w:tcBorders>
          </w:tcPr>
          <w:p w14:paraId="083F7250" w14:textId="77777777" w:rsidR="00CC2B31" w:rsidRPr="00C65707" w:rsidRDefault="00CC2B31">
            <w:pPr>
              <w:widowControl w:val="0"/>
              <w:jc w:val="center"/>
              <w:rPr>
                <w:rFonts w:eastAsia="PMingLiU"/>
                <w:sz w:val="22"/>
                <w:szCs w:val="22"/>
                <w:lang w:eastAsia="zh-TW"/>
              </w:rPr>
            </w:pPr>
            <w:r w:rsidRPr="00C65707">
              <w:rPr>
                <w:rFonts w:eastAsia="PMingLiU"/>
                <w:sz w:val="22"/>
                <w:szCs w:val="22"/>
                <w:lang w:eastAsia="zh-TW"/>
              </w:rPr>
              <w:t>9,59</w:t>
            </w:r>
          </w:p>
        </w:tc>
      </w:tr>
      <w:tr w:rsidR="00CC2B31" w:rsidRPr="00C65707" w14:paraId="3B00BD3C" w14:textId="77777777" w:rsidTr="009C5005">
        <w:trPr>
          <w:cantSplit/>
          <w:trHeight w:val="331"/>
          <w:jc w:val="center"/>
        </w:trPr>
        <w:tc>
          <w:tcPr>
            <w:tcW w:w="2685" w:type="pct"/>
            <w:tcBorders>
              <w:top w:val="single" w:sz="4" w:space="0" w:color="auto"/>
              <w:left w:val="single" w:sz="4" w:space="0" w:color="auto"/>
              <w:bottom w:val="single" w:sz="4" w:space="0" w:color="auto"/>
              <w:right w:val="single" w:sz="4" w:space="0" w:color="auto"/>
            </w:tcBorders>
          </w:tcPr>
          <w:p w14:paraId="7CA9CC80" w14:textId="77777777" w:rsidR="00CC2B31" w:rsidRPr="002B3647" w:rsidRDefault="00CC2B31" w:rsidP="00CE5678">
            <w:pPr>
              <w:widowControl w:val="0"/>
              <w:jc w:val="both"/>
              <w:rPr>
                <w:rFonts w:eastAsia="PMingLiU"/>
                <w:sz w:val="22"/>
                <w:szCs w:val="22"/>
                <w:lang w:eastAsia="zh-TW"/>
              </w:rPr>
            </w:pPr>
            <w:r w:rsidRPr="00C65707">
              <w:rPr>
                <w:sz w:val="22"/>
                <w:szCs w:val="22"/>
              </w:rPr>
              <w:t>C</w:t>
            </w:r>
            <w:r w:rsidRPr="00C65707">
              <w:rPr>
                <w:sz w:val="22"/>
                <w:szCs w:val="22"/>
                <w:vertAlign w:val="subscript"/>
              </w:rPr>
              <w:t>avg</w:t>
            </w:r>
            <w:r w:rsidRPr="00C65707">
              <w:rPr>
                <w:sz w:val="22"/>
                <w:szCs w:val="22"/>
              </w:rPr>
              <w:t xml:space="preserve"> ili AUC</w:t>
            </w:r>
            <w:r w:rsidRPr="00C65707">
              <w:rPr>
                <w:sz w:val="22"/>
                <w:szCs w:val="22"/>
                <w:vertAlign w:val="subscript"/>
              </w:rPr>
              <w:t>τ</w:t>
            </w:r>
            <w:r w:rsidRPr="00C65707">
              <w:rPr>
                <w:sz w:val="22"/>
                <w:szCs w:val="22"/>
              </w:rPr>
              <w:t xml:space="preserve"> akumulacije </w:t>
            </w:r>
          </w:p>
        </w:tc>
        <w:tc>
          <w:tcPr>
            <w:tcW w:w="841" w:type="pct"/>
            <w:tcBorders>
              <w:top w:val="single" w:sz="4" w:space="0" w:color="auto"/>
              <w:left w:val="single" w:sz="4" w:space="0" w:color="auto"/>
              <w:bottom w:val="single" w:sz="4" w:space="0" w:color="auto"/>
              <w:right w:val="single" w:sz="4" w:space="0" w:color="auto"/>
            </w:tcBorders>
          </w:tcPr>
          <w:p w14:paraId="19173ABF" w14:textId="77777777" w:rsidR="00CC2B31" w:rsidRPr="00C65707" w:rsidRDefault="00CC2B31">
            <w:pPr>
              <w:widowControl w:val="0"/>
              <w:jc w:val="center"/>
              <w:rPr>
                <w:rFonts w:eastAsia="PMingLiU"/>
                <w:sz w:val="22"/>
                <w:szCs w:val="22"/>
                <w:lang w:eastAsia="zh-TW"/>
              </w:rPr>
            </w:pPr>
            <w:r w:rsidRPr="00C65707">
              <w:rPr>
                <w:rFonts w:eastAsia="PMingLiU"/>
                <w:sz w:val="22"/>
                <w:szCs w:val="22"/>
                <w:lang w:eastAsia="zh-TW"/>
              </w:rPr>
              <w:t>2,81</w:t>
            </w:r>
          </w:p>
        </w:tc>
        <w:tc>
          <w:tcPr>
            <w:tcW w:w="1474" w:type="pct"/>
            <w:tcBorders>
              <w:top w:val="single" w:sz="4" w:space="0" w:color="auto"/>
              <w:left w:val="single" w:sz="4" w:space="0" w:color="auto"/>
              <w:bottom w:val="single" w:sz="4" w:space="0" w:color="auto"/>
              <w:right w:val="single" w:sz="4" w:space="0" w:color="auto"/>
            </w:tcBorders>
          </w:tcPr>
          <w:p w14:paraId="2B3568C3" w14:textId="77777777" w:rsidR="00CC2B31" w:rsidRPr="00C65707" w:rsidRDefault="00CC2B31">
            <w:pPr>
              <w:widowControl w:val="0"/>
              <w:jc w:val="center"/>
              <w:rPr>
                <w:rFonts w:eastAsia="PMingLiU"/>
                <w:sz w:val="22"/>
                <w:szCs w:val="22"/>
                <w:lang w:eastAsia="zh-TW"/>
              </w:rPr>
            </w:pPr>
            <w:r w:rsidRPr="00C65707">
              <w:rPr>
                <w:rFonts w:eastAsia="PMingLiU"/>
                <w:sz w:val="22"/>
                <w:szCs w:val="22"/>
                <w:lang w:eastAsia="zh-TW"/>
              </w:rPr>
              <w:t>10,91</w:t>
            </w:r>
          </w:p>
        </w:tc>
      </w:tr>
    </w:tbl>
    <w:p w14:paraId="56B8F439" w14:textId="74EA9B83" w:rsidR="009C5005" w:rsidRPr="00CE5678" w:rsidRDefault="009C5005" w:rsidP="00CE5678">
      <w:pPr>
        <w:widowControl w:val="0"/>
        <w:jc w:val="both"/>
        <w:rPr>
          <w:iCs/>
          <w:sz w:val="22"/>
          <w:szCs w:val="22"/>
        </w:rPr>
      </w:pPr>
      <w:r w:rsidRPr="00CE5678">
        <w:rPr>
          <w:iCs/>
          <w:sz w:val="22"/>
          <w:szCs w:val="22"/>
        </w:rPr>
        <w:t>*τ = 2</w:t>
      </w:r>
      <w:r w:rsidR="00AC41D3" w:rsidRPr="00CE5678">
        <w:rPr>
          <w:iCs/>
          <w:sz w:val="22"/>
          <w:szCs w:val="22"/>
        </w:rPr>
        <w:t xml:space="preserve"> nedjelje</w:t>
      </w:r>
      <w:r w:rsidRPr="00CE5678">
        <w:rPr>
          <w:iCs/>
          <w:sz w:val="22"/>
          <w:szCs w:val="22"/>
        </w:rPr>
        <w:t xml:space="preserve"> ili 1</w:t>
      </w:r>
      <w:r w:rsidR="00AC41D3" w:rsidRPr="00CE5678">
        <w:rPr>
          <w:iCs/>
          <w:sz w:val="22"/>
          <w:szCs w:val="22"/>
        </w:rPr>
        <w:t xml:space="preserve"> nedjelja</w:t>
      </w:r>
      <w:r w:rsidRPr="00CE5678">
        <w:rPr>
          <w:iCs/>
          <w:sz w:val="22"/>
          <w:szCs w:val="22"/>
        </w:rPr>
        <w:t xml:space="preserve"> za dva su</w:t>
      </w:r>
      <w:r w:rsidR="00910BDC" w:rsidRPr="00CE5678">
        <w:rPr>
          <w:iCs/>
          <w:sz w:val="22"/>
          <w:szCs w:val="22"/>
        </w:rPr>
        <w:t>b</w:t>
      </w:r>
      <w:r w:rsidRPr="00CE5678">
        <w:rPr>
          <w:iCs/>
          <w:sz w:val="22"/>
          <w:szCs w:val="22"/>
        </w:rPr>
        <w:t>kutana režima</w:t>
      </w:r>
    </w:p>
    <w:p w14:paraId="266869B6" w14:textId="77777777" w:rsidR="00CC2B31" w:rsidRPr="00C65707" w:rsidRDefault="00CC2B31" w:rsidP="00C65707">
      <w:pPr>
        <w:pStyle w:val="Header"/>
        <w:widowControl w:val="0"/>
        <w:tabs>
          <w:tab w:val="left" w:pos="284"/>
        </w:tabs>
        <w:jc w:val="both"/>
        <w:rPr>
          <w:sz w:val="22"/>
          <w:szCs w:val="22"/>
        </w:rPr>
      </w:pPr>
    </w:p>
    <w:p w14:paraId="0EAC2677" w14:textId="10DED6AD" w:rsidR="00CC2B31" w:rsidRPr="00C65707" w:rsidRDefault="00CC2B31" w:rsidP="00C65707">
      <w:pPr>
        <w:pStyle w:val="Header"/>
        <w:widowControl w:val="0"/>
        <w:tabs>
          <w:tab w:val="left" w:pos="284"/>
        </w:tabs>
        <w:jc w:val="both"/>
        <w:rPr>
          <w:sz w:val="22"/>
          <w:szCs w:val="22"/>
        </w:rPr>
      </w:pPr>
      <w:r w:rsidRPr="00C65707">
        <w:rPr>
          <w:sz w:val="22"/>
          <w:szCs w:val="22"/>
        </w:rPr>
        <w:t xml:space="preserve">Profil u stanju dinamičke ravnoteže nakon primjene </w:t>
      </w:r>
      <w:r w:rsidR="009C5005" w:rsidRPr="00C65707">
        <w:rPr>
          <w:sz w:val="22"/>
          <w:szCs w:val="22"/>
          <w:lang w:eastAsia="de-DE"/>
        </w:rPr>
        <w:t>tocilizumab</w:t>
      </w:r>
      <w:r w:rsidRPr="00C65707">
        <w:rPr>
          <w:sz w:val="22"/>
          <w:szCs w:val="22"/>
        </w:rPr>
        <w:t xml:space="preserve">a jednom nedjeljno gotovo je posve ravnomjeran, uz vrlo male fluktuacije između najnižih i najviših vrijednosti, dok su kod primjene </w:t>
      </w:r>
      <w:r w:rsidR="009C5005" w:rsidRPr="002B3647">
        <w:rPr>
          <w:sz w:val="22"/>
          <w:szCs w:val="22"/>
          <w:lang w:eastAsia="de-DE"/>
        </w:rPr>
        <w:t>tocilizumab</w:t>
      </w:r>
      <w:r w:rsidRPr="002B3647">
        <w:rPr>
          <w:sz w:val="22"/>
          <w:szCs w:val="22"/>
        </w:rPr>
        <w:t>a svake druge nedjelje zabilježene znatne fluktuacije. Približno 90% izlo</w:t>
      </w:r>
      <w:r w:rsidRPr="00C65707">
        <w:rPr>
          <w:sz w:val="22"/>
          <w:szCs w:val="22"/>
        </w:rPr>
        <w:t>ženosti u stanju dinamičke ravnoteže (AUCτ) postignuto je do 14. nedjelje u grupi koja je primala lijek svake druge nedjelje te do 17. nedjelje u grupi koja je primala lijek jednom nedjeljno.</w:t>
      </w:r>
    </w:p>
    <w:p w14:paraId="7D4C514F" w14:textId="77777777" w:rsidR="00CC2B31" w:rsidRPr="00C65707" w:rsidRDefault="00CC2B31" w:rsidP="002B3647">
      <w:pPr>
        <w:pStyle w:val="Header"/>
        <w:widowControl w:val="0"/>
        <w:tabs>
          <w:tab w:val="left" w:pos="284"/>
        </w:tabs>
        <w:jc w:val="both"/>
        <w:rPr>
          <w:sz w:val="22"/>
          <w:szCs w:val="22"/>
        </w:rPr>
      </w:pPr>
    </w:p>
    <w:p w14:paraId="73D838BC" w14:textId="4FDE7540" w:rsidR="00CC2B31" w:rsidRPr="00C65707" w:rsidRDefault="00CC2B31">
      <w:pPr>
        <w:pStyle w:val="Header"/>
        <w:widowControl w:val="0"/>
        <w:tabs>
          <w:tab w:val="left" w:pos="284"/>
        </w:tabs>
        <w:jc w:val="both"/>
        <w:rPr>
          <w:sz w:val="22"/>
          <w:szCs w:val="22"/>
        </w:rPr>
      </w:pPr>
      <w:r w:rsidRPr="00C65707">
        <w:rPr>
          <w:sz w:val="22"/>
          <w:szCs w:val="22"/>
        </w:rPr>
        <w:t xml:space="preserve">Prema trenutnoj karakterizaciji farmakokinetike, u ovoj populaciji su najniže koncentracije </w:t>
      </w:r>
      <w:r w:rsidR="009C5005" w:rsidRPr="00C65707">
        <w:rPr>
          <w:sz w:val="22"/>
          <w:szCs w:val="22"/>
          <w:lang w:eastAsia="de-DE"/>
        </w:rPr>
        <w:t>tocilizumab</w:t>
      </w:r>
      <w:r w:rsidRPr="00C65707">
        <w:rPr>
          <w:sz w:val="22"/>
          <w:szCs w:val="22"/>
        </w:rPr>
        <w:t>a zabilježene u stanju dinamičke ravnoteže 50% veće nego prosječne koncentracije u velikom skupu podataka prikupljenih u populaciji pacijenata sa RA. Uzrok tih razlika nije poznat. Farmakokinetičke razlike ni</w:t>
      </w:r>
      <w:r w:rsidR="009C5005" w:rsidRPr="00C65707">
        <w:rPr>
          <w:sz w:val="22"/>
          <w:szCs w:val="22"/>
        </w:rPr>
        <w:t>je</w:t>
      </w:r>
      <w:r w:rsidRPr="00C65707">
        <w:rPr>
          <w:sz w:val="22"/>
          <w:szCs w:val="22"/>
        </w:rPr>
        <w:t xml:space="preserve">su praćene izraženim razlikama među farmakodinamičkim parametrima, pa njihov klinički </w:t>
      </w:r>
      <w:r w:rsidRPr="00C65707">
        <w:rPr>
          <w:sz w:val="22"/>
          <w:szCs w:val="22"/>
        </w:rPr>
        <w:lastRenderedPageBreak/>
        <w:t xml:space="preserve">značaj nije poznat.  </w:t>
      </w:r>
    </w:p>
    <w:p w14:paraId="49057A02" w14:textId="77777777" w:rsidR="00CC2B31" w:rsidRPr="00C65707" w:rsidRDefault="00CC2B31">
      <w:pPr>
        <w:pStyle w:val="Header"/>
        <w:widowControl w:val="0"/>
        <w:tabs>
          <w:tab w:val="left" w:pos="284"/>
        </w:tabs>
        <w:jc w:val="both"/>
        <w:rPr>
          <w:sz w:val="22"/>
          <w:szCs w:val="22"/>
        </w:rPr>
      </w:pPr>
    </w:p>
    <w:p w14:paraId="7226865A" w14:textId="77777777" w:rsidR="00CC2B31" w:rsidRPr="00C65707" w:rsidRDefault="00CC2B31">
      <w:pPr>
        <w:pStyle w:val="Header"/>
        <w:widowControl w:val="0"/>
        <w:tabs>
          <w:tab w:val="left" w:pos="284"/>
        </w:tabs>
        <w:jc w:val="both"/>
        <w:rPr>
          <w:sz w:val="22"/>
          <w:szCs w:val="22"/>
        </w:rPr>
      </w:pPr>
      <w:r w:rsidRPr="00C65707">
        <w:rPr>
          <w:sz w:val="22"/>
          <w:szCs w:val="22"/>
        </w:rPr>
        <w:t>Među pacijentima sa GCA zapažena je viša izloženost kod pacijenata manje tjelesne težine. Kod primjene doze od 162 mg jednom nedjeljno C</w:t>
      </w:r>
      <w:r w:rsidRPr="00C65707">
        <w:rPr>
          <w:sz w:val="22"/>
          <w:szCs w:val="22"/>
          <w:vertAlign w:val="subscript"/>
        </w:rPr>
        <w:t>avg</w:t>
      </w:r>
      <w:r w:rsidRPr="00C65707">
        <w:rPr>
          <w:sz w:val="22"/>
          <w:szCs w:val="22"/>
        </w:rPr>
        <w:t xml:space="preserve"> u stanju dinamičke ravnoteže bio je 51% viši kod pacijenata tjelesne težine manje od 60 kg u odnosu na pacijente tjelesne težine između 60 i 100 kg. Kod primjene doze od 162 mg svaku drugu nedjelju C</w:t>
      </w:r>
      <w:r w:rsidRPr="00C65707">
        <w:rPr>
          <w:sz w:val="22"/>
          <w:szCs w:val="22"/>
          <w:vertAlign w:val="subscript"/>
        </w:rPr>
        <w:t>avg</w:t>
      </w:r>
      <w:r w:rsidRPr="00C65707">
        <w:rPr>
          <w:sz w:val="22"/>
          <w:szCs w:val="22"/>
        </w:rPr>
        <w:t xml:space="preserve"> u stanju dinamičke ravnoteže bio je 129% viši kod pacijenata tjelesne težine manje od 60 kg u odnosu na pacijente tjelesne težine između 60 i 100 kg. Podaci o pacijentima težim od 100 kg su ograničeni (n=7).</w:t>
      </w:r>
    </w:p>
    <w:p w14:paraId="4AFD0C8D" w14:textId="77777777" w:rsidR="00CC2B31" w:rsidRPr="00C65707" w:rsidRDefault="00CC2B31">
      <w:pPr>
        <w:pStyle w:val="Header"/>
        <w:widowControl w:val="0"/>
        <w:tabs>
          <w:tab w:val="left" w:pos="284"/>
        </w:tabs>
        <w:jc w:val="both"/>
        <w:rPr>
          <w:sz w:val="22"/>
          <w:szCs w:val="22"/>
          <w:u w:val="single"/>
        </w:rPr>
      </w:pPr>
    </w:p>
    <w:p w14:paraId="68D75FC0" w14:textId="77777777" w:rsidR="00CC2B31" w:rsidRPr="00C65707" w:rsidRDefault="00CC2B31">
      <w:pPr>
        <w:pStyle w:val="Header"/>
        <w:widowControl w:val="0"/>
        <w:tabs>
          <w:tab w:val="left" w:pos="284"/>
        </w:tabs>
        <w:jc w:val="both"/>
        <w:rPr>
          <w:sz w:val="22"/>
          <w:szCs w:val="22"/>
          <w:u w:val="single"/>
        </w:rPr>
      </w:pPr>
      <w:r w:rsidRPr="00C65707">
        <w:rPr>
          <w:sz w:val="22"/>
          <w:szCs w:val="22"/>
          <w:u w:val="single"/>
        </w:rPr>
        <w:t>Apsorpcija</w:t>
      </w:r>
    </w:p>
    <w:p w14:paraId="2981437C" w14:textId="77777777" w:rsidR="00CC2B31" w:rsidRPr="00C65707" w:rsidRDefault="00CC2B31">
      <w:pPr>
        <w:pStyle w:val="Header"/>
        <w:widowControl w:val="0"/>
        <w:tabs>
          <w:tab w:val="left" w:pos="284"/>
        </w:tabs>
        <w:jc w:val="both"/>
        <w:rPr>
          <w:sz w:val="22"/>
          <w:szCs w:val="22"/>
        </w:rPr>
      </w:pPr>
    </w:p>
    <w:p w14:paraId="5F06B3C0" w14:textId="24450041" w:rsidR="00CC2B31" w:rsidRPr="00C65707" w:rsidRDefault="00CC2B31">
      <w:pPr>
        <w:pStyle w:val="Header"/>
        <w:widowControl w:val="0"/>
        <w:tabs>
          <w:tab w:val="left" w:pos="284"/>
        </w:tabs>
        <w:jc w:val="both"/>
        <w:rPr>
          <w:sz w:val="22"/>
          <w:szCs w:val="22"/>
        </w:rPr>
      </w:pPr>
      <w:r w:rsidRPr="00C65707">
        <w:rPr>
          <w:sz w:val="22"/>
          <w:szCs w:val="22"/>
        </w:rPr>
        <w:t>Nakon subkutane primjene kod pacijenata sa GCA, poluvrijeme apsorpcije iznosilo je približno 4 dana. Bioraspoloživost subkutane formulacije iznosila je 0,8, dok je medijana vrijednosti T</w:t>
      </w:r>
      <w:r w:rsidRPr="00C65707">
        <w:rPr>
          <w:sz w:val="22"/>
          <w:szCs w:val="22"/>
          <w:vertAlign w:val="subscript"/>
        </w:rPr>
        <w:t>max</w:t>
      </w:r>
      <w:r w:rsidRPr="00C65707">
        <w:rPr>
          <w:sz w:val="22"/>
          <w:szCs w:val="22"/>
        </w:rPr>
        <w:t xml:space="preserve"> iznosila 3 dana uz primjenu </w:t>
      </w:r>
      <w:r w:rsidR="009C5005" w:rsidRPr="00C65707">
        <w:rPr>
          <w:sz w:val="22"/>
          <w:szCs w:val="22"/>
          <w:lang w:eastAsia="de-DE"/>
        </w:rPr>
        <w:t>tocilizumab</w:t>
      </w:r>
      <w:r w:rsidRPr="00C65707">
        <w:rPr>
          <w:sz w:val="22"/>
          <w:szCs w:val="22"/>
        </w:rPr>
        <w:t xml:space="preserve">a svaku nedjelju te 4,5 dana uz primjenu tocilizumaba svake druge nedjelje.  </w:t>
      </w:r>
    </w:p>
    <w:p w14:paraId="1F2AC670" w14:textId="77777777" w:rsidR="00CC2B31" w:rsidRPr="00C65707" w:rsidRDefault="00CC2B31">
      <w:pPr>
        <w:pStyle w:val="Header"/>
        <w:widowControl w:val="0"/>
        <w:tabs>
          <w:tab w:val="left" w:pos="284"/>
        </w:tabs>
        <w:jc w:val="both"/>
        <w:rPr>
          <w:sz w:val="22"/>
          <w:szCs w:val="22"/>
          <w:u w:val="single"/>
        </w:rPr>
      </w:pPr>
    </w:p>
    <w:p w14:paraId="470B6990" w14:textId="77777777" w:rsidR="00CC2B31" w:rsidRPr="00C65707" w:rsidRDefault="00CC2B31">
      <w:pPr>
        <w:pStyle w:val="Header"/>
        <w:widowControl w:val="0"/>
        <w:tabs>
          <w:tab w:val="left" w:pos="284"/>
        </w:tabs>
        <w:jc w:val="both"/>
        <w:rPr>
          <w:sz w:val="22"/>
          <w:szCs w:val="22"/>
          <w:u w:val="single"/>
        </w:rPr>
      </w:pPr>
      <w:r w:rsidRPr="00C65707">
        <w:rPr>
          <w:sz w:val="22"/>
          <w:szCs w:val="22"/>
          <w:u w:val="single"/>
        </w:rPr>
        <w:t>Distribucija</w:t>
      </w:r>
    </w:p>
    <w:p w14:paraId="1BDD9FF7" w14:textId="77777777" w:rsidR="00CC2B31" w:rsidRPr="00C65707" w:rsidRDefault="00CC2B31">
      <w:pPr>
        <w:pStyle w:val="Header"/>
        <w:widowControl w:val="0"/>
        <w:tabs>
          <w:tab w:val="left" w:pos="284"/>
        </w:tabs>
        <w:jc w:val="both"/>
        <w:rPr>
          <w:sz w:val="22"/>
          <w:szCs w:val="22"/>
        </w:rPr>
      </w:pPr>
    </w:p>
    <w:p w14:paraId="204E9ABA" w14:textId="77777777" w:rsidR="00CC2B31" w:rsidRPr="00C65707" w:rsidRDefault="00CC2B31">
      <w:pPr>
        <w:pStyle w:val="Header"/>
        <w:widowControl w:val="0"/>
        <w:tabs>
          <w:tab w:val="left" w:pos="284"/>
        </w:tabs>
        <w:jc w:val="both"/>
        <w:rPr>
          <w:sz w:val="22"/>
          <w:szCs w:val="22"/>
        </w:rPr>
      </w:pPr>
      <w:r w:rsidRPr="00C65707">
        <w:rPr>
          <w:sz w:val="22"/>
          <w:szCs w:val="22"/>
        </w:rPr>
        <w:t>Kod pacijenata sa GCA središnji volumen distribucije iznosio je 4,09 l, a periferni volumen distribucije 3,37 l, što je dovelo do volumena distribucije u stanju dinamičke ravnoteže od 7,46 l.</w:t>
      </w:r>
    </w:p>
    <w:p w14:paraId="02929CCD" w14:textId="77777777" w:rsidR="00CC2B31" w:rsidRPr="00C65707" w:rsidRDefault="00CC2B31">
      <w:pPr>
        <w:pStyle w:val="Header"/>
        <w:widowControl w:val="0"/>
        <w:tabs>
          <w:tab w:val="left" w:pos="284"/>
        </w:tabs>
        <w:jc w:val="both"/>
        <w:rPr>
          <w:sz w:val="22"/>
          <w:szCs w:val="22"/>
        </w:rPr>
      </w:pPr>
    </w:p>
    <w:p w14:paraId="4D962609" w14:textId="77777777" w:rsidR="00CC2B31" w:rsidRPr="00C65707" w:rsidRDefault="00CC2B31">
      <w:pPr>
        <w:pStyle w:val="Header"/>
        <w:widowControl w:val="0"/>
        <w:tabs>
          <w:tab w:val="left" w:pos="284"/>
        </w:tabs>
        <w:jc w:val="both"/>
        <w:rPr>
          <w:sz w:val="22"/>
          <w:szCs w:val="22"/>
          <w:u w:val="single"/>
        </w:rPr>
      </w:pPr>
      <w:r w:rsidRPr="00C65707">
        <w:rPr>
          <w:sz w:val="22"/>
          <w:szCs w:val="22"/>
          <w:u w:val="single"/>
        </w:rPr>
        <w:t>Eliminacija</w:t>
      </w:r>
    </w:p>
    <w:p w14:paraId="143DFEA4" w14:textId="77777777" w:rsidR="00CC2B31" w:rsidRPr="00C65707" w:rsidRDefault="00CC2B31">
      <w:pPr>
        <w:pStyle w:val="Header"/>
        <w:widowControl w:val="0"/>
        <w:tabs>
          <w:tab w:val="left" w:pos="284"/>
        </w:tabs>
        <w:jc w:val="both"/>
        <w:rPr>
          <w:sz w:val="22"/>
          <w:szCs w:val="22"/>
        </w:rPr>
      </w:pPr>
    </w:p>
    <w:p w14:paraId="295E9C1E" w14:textId="32D6C945" w:rsidR="00CC2B31" w:rsidRPr="00C65707" w:rsidRDefault="00CC2B31">
      <w:pPr>
        <w:pStyle w:val="Header"/>
        <w:widowControl w:val="0"/>
        <w:tabs>
          <w:tab w:val="left" w:pos="284"/>
        </w:tabs>
        <w:jc w:val="both"/>
        <w:rPr>
          <w:sz w:val="22"/>
          <w:szCs w:val="22"/>
        </w:rPr>
      </w:pPr>
      <w:r w:rsidRPr="00C65707">
        <w:rPr>
          <w:sz w:val="22"/>
          <w:szCs w:val="22"/>
        </w:rPr>
        <w:t xml:space="preserve">Ukupan klirens </w:t>
      </w:r>
      <w:r w:rsidR="009C5005" w:rsidRPr="00C65707">
        <w:rPr>
          <w:sz w:val="22"/>
          <w:szCs w:val="22"/>
          <w:lang w:eastAsia="de-DE"/>
        </w:rPr>
        <w:t>tocilizumab</w:t>
      </w:r>
      <w:r w:rsidRPr="00C65707">
        <w:rPr>
          <w:sz w:val="22"/>
          <w:szCs w:val="22"/>
        </w:rPr>
        <w:t>a zavisio je od koncentracije i bio je jednak zbiru linearnog i nelinearnog klirensa. Linearni klirens procjenjivao se kao jedan od parametara u populacijskoj farmakokinetičkoj analizi, a iznosio je 6,7 m</w:t>
      </w:r>
      <w:r w:rsidR="009C5005" w:rsidRPr="00C65707">
        <w:rPr>
          <w:sz w:val="22"/>
          <w:szCs w:val="22"/>
        </w:rPr>
        <w:t>l</w:t>
      </w:r>
      <w:r w:rsidRPr="00C65707">
        <w:rPr>
          <w:sz w:val="22"/>
          <w:szCs w:val="22"/>
        </w:rPr>
        <w:t>/h kod pacijenata sa GCA.</w:t>
      </w:r>
    </w:p>
    <w:p w14:paraId="2D97E9C4" w14:textId="77777777" w:rsidR="00CC2B31" w:rsidRPr="00C65707" w:rsidRDefault="00CC2B31">
      <w:pPr>
        <w:pStyle w:val="Header"/>
        <w:widowControl w:val="0"/>
        <w:tabs>
          <w:tab w:val="left" w:pos="284"/>
        </w:tabs>
        <w:jc w:val="both"/>
        <w:rPr>
          <w:sz w:val="22"/>
          <w:szCs w:val="22"/>
        </w:rPr>
      </w:pPr>
    </w:p>
    <w:p w14:paraId="37EFC6E4" w14:textId="5B7587AC" w:rsidR="00CC2B31" w:rsidRPr="00C65707" w:rsidRDefault="00CC2B31">
      <w:pPr>
        <w:pStyle w:val="Header"/>
        <w:widowControl w:val="0"/>
        <w:tabs>
          <w:tab w:val="left" w:pos="284"/>
        </w:tabs>
        <w:jc w:val="both"/>
        <w:rPr>
          <w:sz w:val="22"/>
          <w:szCs w:val="22"/>
        </w:rPr>
      </w:pPr>
      <w:r w:rsidRPr="00C65707">
        <w:rPr>
          <w:sz w:val="22"/>
          <w:szCs w:val="22"/>
        </w:rPr>
        <w:t>Efektivno poluvrijeme</w:t>
      </w:r>
      <w:r w:rsidR="009C5005" w:rsidRPr="00C65707">
        <w:rPr>
          <w:sz w:val="22"/>
          <w:szCs w:val="22"/>
        </w:rPr>
        <w:t xml:space="preserve"> eliminacije</w:t>
      </w:r>
      <w:r w:rsidRPr="00C65707">
        <w:rPr>
          <w:sz w:val="22"/>
          <w:szCs w:val="22"/>
        </w:rPr>
        <w:t xml:space="preserve"> </w:t>
      </w:r>
      <w:r w:rsidR="009C5005" w:rsidRPr="00C65707">
        <w:rPr>
          <w:sz w:val="22"/>
          <w:szCs w:val="22"/>
          <w:lang w:eastAsia="de-DE"/>
        </w:rPr>
        <w:t>tocilizumab</w:t>
      </w:r>
      <w:r w:rsidRPr="00C65707">
        <w:rPr>
          <w:sz w:val="22"/>
          <w:szCs w:val="22"/>
        </w:rPr>
        <w:t xml:space="preserve"> u stanju dinamičke ravnoteže kod pacijenata sa GCA varirao je između 18,3 i 18,9 dana uz primjenu doze od 162 mg jednom nedjeljno</w:t>
      </w:r>
      <w:r w:rsidR="009C5005" w:rsidRPr="00C65707">
        <w:rPr>
          <w:sz w:val="22"/>
          <w:szCs w:val="22"/>
        </w:rPr>
        <w:t>,</w:t>
      </w:r>
      <w:r w:rsidRPr="00C65707">
        <w:rPr>
          <w:sz w:val="22"/>
          <w:szCs w:val="22"/>
        </w:rPr>
        <w:t xml:space="preserve"> te između 4,2 i 7,9 dana uz primjenu doze od 162 mg svake druge nedjelje. Pri visokim serumskim koncentracijama, kada u ukupnom klirensu </w:t>
      </w:r>
      <w:r w:rsidR="00BA1325" w:rsidRPr="00C65707">
        <w:rPr>
          <w:sz w:val="22"/>
          <w:szCs w:val="22"/>
          <w:lang w:eastAsia="de-DE"/>
        </w:rPr>
        <w:t>tocilizumab</w:t>
      </w:r>
      <w:r w:rsidRPr="00C65707">
        <w:rPr>
          <w:sz w:val="22"/>
          <w:szCs w:val="22"/>
        </w:rPr>
        <w:t>a preovladava linearni klirens, na osnovu procijenjenih vrijednosti populacionih parametara utvrđeno je da efektivn</w:t>
      </w:r>
      <w:r w:rsidR="00646544">
        <w:rPr>
          <w:sz w:val="22"/>
          <w:szCs w:val="22"/>
        </w:rPr>
        <w:t>i</w:t>
      </w:r>
      <w:r w:rsidRPr="00C65707">
        <w:rPr>
          <w:sz w:val="22"/>
          <w:szCs w:val="22"/>
        </w:rPr>
        <w:t xml:space="preserve"> poluvijek iznosi približno 32 dana.</w:t>
      </w:r>
    </w:p>
    <w:p w14:paraId="04ADE5A2" w14:textId="77777777" w:rsidR="00CC2B31" w:rsidRPr="00C65707" w:rsidRDefault="00CC2B31">
      <w:pPr>
        <w:pStyle w:val="Header"/>
        <w:widowControl w:val="0"/>
        <w:tabs>
          <w:tab w:val="left" w:pos="284"/>
        </w:tabs>
        <w:jc w:val="both"/>
        <w:rPr>
          <w:sz w:val="22"/>
          <w:szCs w:val="22"/>
        </w:rPr>
      </w:pPr>
    </w:p>
    <w:p w14:paraId="1E4F324C" w14:textId="77777777" w:rsidR="00CC2B31" w:rsidRPr="00C65707" w:rsidRDefault="00CC2B31" w:rsidP="00CE5678">
      <w:pPr>
        <w:pStyle w:val="Header"/>
        <w:widowControl w:val="0"/>
        <w:tabs>
          <w:tab w:val="left" w:pos="284"/>
        </w:tabs>
        <w:spacing w:line="276" w:lineRule="auto"/>
        <w:jc w:val="both"/>
        <w:rPr>
          <w:sz w:val="22"/>
          <w:szCs w:val="22"/>
          <w:u w:val="single"/>
        </w:rPr>
      </w:pPr>
      <w:r w:rsidRPr="00C65707">
        <w:rPr>
          <w:sz w:val="22"/>
          <w:szCs w:val="22"/>
          <w:u w:val="single"/>
        </w:rPr>
        <w:t>Posebne populacije</w:t>
      </w:r>
    </w:p>
    <w:p w14:paraId="16A49CE6" w14:textId="77777777" w:rsidR="009759B0" w:rsidRPr="00C65707" w:rsidRDefault="00CC2B31" w:rsidP="00CE5678">
      <w:pPr>
        <w:pStyle w:val="Header"/>
        <w:widowControl w:val="0"/>
        <w:tabs>
          <w:tab w:val="left" w:pos="284"/>
        </w:tabs>
        <w:jc w:val="both"/>
        <w:rPr>
          <w:iCs/>
          <w:sz w:val="22"/>
          <w:szCs w:val="22"/>
        </w:rPr>
      </w:pPr>
      <w:r w:rsidRPr="00C65707">
        <w:rPr>
          <w:bCs/>
          <w:i/>
          <w:iCs/>
          <w:sz w:val="22"/>
          <w:szCs w:val="22"/>
        </w:rPr>
        <w:t>Bubrežna insuficijencija:</w:t>
      </w:r>
      <w:r w:rsidRPr="00C65707">
        <w:rPr>
          <w:iCs/>
          <w:sz w:val="22"/>
          <w:szCs w:val="22"/>
        </w:rPr>
        <w:t xml:space="preserve"> </w:t>
      </w:r>
    </w:p>
    <w:p w14:paraId="5F495B29" w14:textId="46E2C89F" w:rsidR="00CC2B31" w:rsidRPr="00C65707" w:rsidRDefault="00CC2B31" w:rsidP="00CE5678">
      <w:pPr>
        <w:pStyle w:val="Header"/>
        <w:widowControl w:val="0"/>
        <w:tabs>
          <w:tab w:val="left" w:pos="284"/>
        </w:tabs>
        <w:jc w:val="both"/>
        <w:rPr>
          <w:iCs/>
          <w:sz w:val="22"/>
          <w:szCs w:val="22"/>
        </w:rPr>
      </w:pPr>
      <w:r w:rsidRPr="00C65707">
        <w:rPr>
          <w:iCs/>
          <w:sz w:val="22"/>
          <w:szCs w:val="22"/>
        </w:rPr>
        <w:t xml:space="preserve">Nije sprovedena nijedna formalna studija da se ispita dejstvo bubrežne insuficijencije na farmakokinetiku </w:t>
      </w:r>
      <w:r w:rsidR="00BA1325" w:rsidRPr="00C65707">
        <w:rPr>
          <w:sz w:val="22"/>
          <w:szCs w:val="22"/>
          <w:lang w:eastAsia="de-DE"/>
        </w:rPr>
        <w:t>tocilizumab</w:t>
      </w:r>
      <w:r w:rsidRPr="00C65707">
        <w:rPr>
          <w:iCs/>
          <w:sz w:val="22"/>
          <w:szCs w:val="22"/>
        </w:rPr>
        <w:t xml:space="preserve">a. Većina pacijenata u analizama populacione farmakokinetike kod RA i GCA imala je normalnu ili blago oslabljenu bubrežnu funkciju. Blaga bubrežna insuficijencija (klirens kreatinina procijenjen na osnovu parametra Cockcroft-Gault) nije uticala na farmakokinetiku </w:t>
      </w:r>
      <w:r w:rsidR="00BA1325" w:rsidRPr="00C65707">
        <w:rPr>
          <w:sz w:val="22"/>
          <w:szCs w:val="22"/>
          <w:lang w:eastAsia="de-DE"/>
        </w:rPr>
        <w:t>tocilizumab</w:t>
      </w:r>
      <w:r w:rsidRPr="00C65707">
        <w:rPr>
          <w:iCs/>
          <w:sz w:val="22"/>
          <w:szCs w:val="22"/>
        </w:rPr>
        <w:t>a.</w:t>
      </w:r>
    </w:p>
    <w:p w14:paraId="1C3B0DA9" w14:textId="77777777" w:rsidR="00CC2B31" w:rsidRPr="00C65707" w:rsidRDefault="00CC2B31" w:rsidP="00C65707">
      <w:pPr>
        <w:widowControl w:val="0"/>
        <w:jc w:val="both"/>
        <w:rPr>
          <w:sz w:val="22"/>
          <w:szCs w:val="22"/>
        </w:rPr>
      </w:pPr>
    </w:p>
    <w:p w14:paraId="2087D71A" w14:textId="593F14AD" w:rsidR="00CC2B31" w:rsidRPr="00C65707" w:rsidRDefault="00CC2B31" w:rsidP="002B3647">
      <w:pPr>
        <w:widowControl w:val="0"/>
        <w:jc w:val="both"/>
        <w:rPr>
          <w:sz w:val="22"/>
          <w:szCs w:val="22"/>
        </w:rPr>
      </w:pPr>
      <w:r w:rsidRPr="00C65707">
        <w:rPr>
          <w:sz w:val="22"/>
          <w:szCs w:val="22"/>
        </w:rPr>
        <w:t xml:space="preserve">Približno jedna trećina pacijenata u studiji primjene kod GCA imala je umjereno oštećenje bubrežne funkcije na početku liječenja (procijenjeni klirens kreatinina: 30 – 59 </w:t>
      </w:r>
      <w:r w:rsidR="00BA1325" w:rsidRPr="00C65707">
        <w:rPr>
          <w:sz w:val="22"/>
          <w:szCs w:val="22"/>
        </w:rPr>
        <w:t>ml</w:t>
      </w:r>
      <w:r w:rsidRPr="00C65707">
        <w:rPr>
          <w:sz w:val="22"/>
          <w:szCs w:val="22"/>
        </w:rPr>
        <w:t xml:space="preserve">/min). Kod tih pacijenata nije primijećen uticaj na izloženost </w:t>
      </w:r>
      <w:r w:rsidR="00BA1325" w:rsidRPr="00C65707">
        <w:rPr>
          <w:sz w:val="22"/>
          <w:szCs w:val="22"/>
          <w:lang w:eastAsia="de-DE"/>
        </w:rPr>
        <w:t>tocilizumab</w:t>
      </w:r>
      <w:r w:rsidRPr="00C65707">
        <w:rPr>
          <w:sz w:val="22"/>
          <w:szCs w:val="22"/>
        </w:rPr>
        <w:t>a.</w:t>
      </w:r>
    </w:p>
    <w:p w14:paraId="1653B798" w14:textId="77777777" w:rsidR="00CC2B31" w:rsidRPr="00C65707" w:rsidRDefault="00CC2B31">
      <w:pPr>
        <w:pStyle w:val="Header"/>
        <w:widowControl w:val="0"/>
        <w:tabs>
          <w:tab w:val="left" w:pos="284"/>
        </w:tabs>
        <w:jc w:val="both"/>
        <w:rPr>
          <w:sz w:val="22"/>
          <w:szCs w:val="22"/>
        </w:rPr>
      </w:pPr>
    </w:p>
    <w:p w14:paraId="24B71012" w14:textId="77777777" w:rsidR="00CC2B31" w:rsidRPr="00C65707" w:rsidRDefault="00CC2B31">
      <w:pPr>
        <w:pStyle w:val="Header"/>
        <w:widowControl w:val="0"/>
        <w:tabs>
          <w:tab w:val="left" w:pos="284"/>
        </w:tabs>
        <w:jc w:val="both"/>
        <w:rPr>
          <w:sz w:val="22"/>
          <w:szCs w:val="22"/>
        </w:rPr>
      </w:pPr>
      <w:r w:rsidRPr="00C65707">
        <w:rPr>
          <w:sz w:val="22"/>
          <w:szCs w:val="22"/>
        </w:rPr>
        <w:t>Nije potrebno prilagođavati dozu kod pacijenata sa blagim ili umjerenim oštećenjem bubrežne funkcije.</w:t>
      </w:r>
    </w:p>
    <w:p w14:paraId="1DF051D1" w14:textId="77777777" w:rsidR="00CC2B31" w:rsidRPr="00C65707" w:rsidRDefault="00CC2B31">
      <w:pPr>
        <w:pStyle w:val="Header"/>
        <w:widowControl w:val="0"/>
        <w:tabs>
          <w:tab w:val="left" w:pos="284"/>
        </w:tabs>
        <w:jc w:val="both"/>
        <w:rPr>
          <w:sz w:val="22"/>
          <w:szCs w:val="22"/>
        </w:rPr>
      </w:pPr>
    </w:p>
    <w:p w14:paraId="735702E1" w14:textId="05374E43" w:rsidR="009759B0" w:rsidRPr="00C65707" w:rsidRDefault="00CC2B31" w:rsidP="00CE5678">
      <w:pPr>
        <w:pStyle w:val="Header"/>
        <w:widowControl w:val="0"/>
        <w:tabs>
          <w:tab w:val="left" w:pos="284"/>
        </w:tabs>
        <w:jc w:val="both"/>
        <w:rPr>
          <w:iCs/>
          <w:sz w:val="22"/>
          <w:szCs w:val="22"/>
        </w:rPr>
      </w:pPr>
      <w:r w:rsidRPr="00C65707">
        <w:rPr>
          <w:bCs/>
          <w:i/>
          <w:iCs/>
          <w:sz w:val="22"/>
          <w:szCs w:val="22"/>
        </w:rPr>
        <w:t>Disfunkcija jetre:</w:t>
      </w:r>
      <w:r w:rsidRPr="00C65707">
        <w:rPr>
          <w:iCs/>
          <w:sz w:val="22"/>
          <w:szCs w:val="22"/>
        </w:rPr>
        <w:t xml:space="preserve"> </w:t>
      </w:r>
    </w:p>
    <w:p w14:paraId="277F7926" w14:textId="268910D2" w:rsidR="00CC2B31" w:rsidRPr="00C65707" w:rsidRDefault="00CC2B31" w:rsidP="00CE5678">
      <w:pPr>
        <w:pStyle w:val="Header"/>
        <w:widowControl w:val="0"/>
        <w:tabs>
          <w:tab w:val="left" w:pos="284"/>
        </w:tabs>
        <w:jc w:val="both"/>
        <w:rPr>
          <w:bCs/>
          <w:i/>
          <w:iCs/>
          <w:sz w:val="22"/>
          <w:szCs w:val="22"/>
        </w:rPr>
      </w:pPr>
      <w:r w:rsidRPr="00C65707">
        <w:rPr>
          <w:iCs/>
          <w:sz w:val="22"/>
          <w:szCs w:val="22"/>
        </w:rPr>
        <w:t xml:space="preserve">Nije sprovedena nijedna formalna studija da se ispita dejstvo hepatičke disfunkcije  na farmakokinetiku </w:t>
      </w:r>
      <w:r w:rsidR="00BA1325" w:rsidRPr="00C65707">
        <w:rPr>
          <w:sz w:val="22"/>
          <w:szCs w:val="22"/>
          <w:lang w:eastAsia="de-DE"/>
        </w:rPr>
        <w:t>tocilizumab</w:t>
      </w:r>
      <w:r w:rsidRPr="00C65707">
        <w:rPr>
          <w:iCs/>
          <w:sz w:val="22"/>
          <w:szCs w:val="22"/>
        </w:rPr>
        <w:t xml:space="preserve">a. </w:t>
      </w:r>
    </w:p>
    <w:p w14:paraId="60575F73" w14:textId="77777777" w:rsidR="00CC2B31" w:rsidRPr="00C65707" w:rsidRDefault="00CC2B31" w:rsidP="00C65707">
      <w:pPr>
        <w:pStyle w:val="Header"/>
        <w:widowControl w:val="0"/>
        <w:tabs>
          <w:tab w:val="left" w:pos="284"/>
        </w:tabs>
        <w:jc w:val="both"/>
        <w:rPr>
          <w:bCs/>
          <w:i/>
          <w:iCs/>
          <w:sz w:val="22"/>
          <w:szCs w:val="22"/>
        </w:rPr>
      </w:pPr>
    </w:p>
    <w:p w14:paraId="1E03C712" w14:textId="35C2134B" w:rsidR="009759B0" w:rsidRPr="00C65707" w:rsidRDefault="00CC2B31" w:rsidP="00CE5678">
      <w:pPr>
        <w:pStyle w:val="Header"/>
        <w:widowControl w:val="0"/>
        <w:tabs>
          <w:tab w:val="left" w:pos="284"/>
        </w:tabs>
        <w:jc w:val="both"/>
        <w:rPr>
          <w:iCs/>
          <w:sz w:val="22"/>
          <w:szCs w:val="22"/>
        </w:rPr>
      </w:pPr>
      <w:r w:rsidRPr="00C65707">
        <w:rPr>
          <w:i/>
          <w:iCs/>
          <w:sz w:val="22"/>
          <w:szCs w:val="22"/>
        </w:rPr>
        <w:t>Starost, pol, etničko porijeklo:</w:t>
      </w:r>
    </w:p>
    <w:p w14:paraId="12F5A4E8" w14:textId="716AEB80" w:rsidR="00CC2B31" w:rsidRPr="00C65707" w:rsidRDefault="00CC2B31" w:rsidP="00CE5678">
      <w:pPr>
        <w:pStyle w:val="Header"/>
        <w:widowControl w:val="0"/>
        <w:tabs>
          <w:tab w:val="left" w:pos="284"/>
        </w:tabs>
        <w:jc w:val="both"/>
        <w:rPr>
          <w:iCs/>
          <w:sz w:val="22"/>
          <w:szCs w:val="22"/>
        </w:rPr>
      </w:pPr>
      <w:r w:rsidRPr="00C65707">
        <w:rPr>
          <w:iCs/>
          <w:sz w:val="22"/>
          <w:szCs w:val="22"/>
        </w:rPr>
        <w:t xml:space="preserve">Analize populacione farmakokinetike kod odraslih pacijenata sa RA i GCA, pokazale su da </w:t>
      </w:r>
      <w:r w:rsidRPr="00C65707">
        <w:rPr>
          <w:sz w:val="22"/>
          <w:szCs w:val="22"/>
        </w:rPr>
        <w:t xml:space="preserve">starost, pol, etničko porijeklo ne utiču na farmakokinetiku </w:t>
      </w:r>
      <w:r w:rsidR="00BA1325" w:rsidRPr="00C65707">
        <w:rPr>
          <w:sz w:val="22"/>
          <w:szCs w:val="22"/>
          <w:lang w:eastAsia="de-DE"/>
        </w:rPr>
        <w:t>tocilizumab</w:t>
      </w:r>
      <w:r w:rsidRPr="00C65707">
        <w:rPr>
          <w:iCs/>
          <w:sz w:val="22"/>
          <w:szCs w:val="22"/>
        </w:rPr>
        <w:t xml:space="preserve">a. </w:t>
      </w:r>
    </w:p>
    <w:p w14:paraId="74C421DC" w14:textId="77777777" w:rsidR="00CC2B31" w:rsidRPr="00C65707" w:rsidRDefault="00CC2B31" w:rsidP="00C65707">
      <w:pPr>
        <w:pStyle w:val="Header"/>
        <w:widowControl w:val="0"/>
        <w:tabs>
          <w:tab w:val="left" w:pos="284"/>
        </w:tabs>
        <w:jc w:val="both"/>
        <w:rPr>
          <w:iCs/>
          <w:sz w:val="22"/>
          <w:szCs w:val="22"/>
        </w:rPr>
      </w:pPr>
    </w:p>
    <w:p w14:paraId="2353DD00" w14:textId="19DA5EA4" w:rsidR="00CC2B31" w:rsidRPr="00C65707" w:rsidRDefault="00CC2B31" w:rsidP="002B3647">
      <w:pPr>
        <w:widowControl w:val="0"/>
        <w:tabs>
          <w:tab w:val="left" w:pos="540"/>
          <w:tab w:val="left" w:pos="569"/>
        </w:tabs>
        <w:jc w:val="both"/>
        <w:rPr>
          <w:b/>
          <w:bCs/>
          <w:sz w:val="22"/>
          <w:szCs w:val="22"/>
        </w:rPr>
      </w:pPr>
      <w:r w:rsidRPr="00C65707">
        <w:rPr>
          <w:sz w:val="22"/>
          <w:szCs w:val="22"/>
        </w:rPr>
        <w:t xml:space="preserve">Rezultati populacione farmakokinetičke analize podataka dobijenih za pacijente sa sJIA i pJIA potvrdili su da je veličina tijela jedina varijabla koja bitno utiče na farmakokinetiku </w:t>
      </w:r>
      <w:r w:rsidR="00BA1325" w:rsidRPr="00C65707">
        <w:rPr>
          <w:sz w:val="22"/>
          <w:szCs w:val="22"/>
          <w:lang w:eastAsia="de-DE"/>
        </w:rPr>
        <w:t>tocilizumab</w:t>
      </w:r>
      <w:r w:rsidRPr="00C65707">
        <w:rPr>
          <w:sz w:val="22"/>
          <w:szCs w:val="22"/>
        </w:rPr>
        <w:t>a, uključujući eliminaciju i resorpciju, te bi stoga trebalo razmotriti doziranje na osnovu tjelesne težine (vid</w:t>
      </w:r>
      <w:r w:rsidR="00BA1325" w:rsidRPr="00C65707">
        <w:rPr>
          <w:sz w:val="22"/>
          <w:szCs w:val="22"/>
        </w:rPr>
        <w:t>j</w:t>
      </w:r>
      <w:r w:rsidRPr="00C65707">
        <w:rPr>
          <w:sz w:val="22"/>
          <w:szCs w:val="22"/>
        </w:rPr>
        <w:t>eti Tabele 8 i 9).</w:t>
      </w:r>
    </w:p>
    <w:p w14:paraId="63520803" w14:textId="77777777" w:rsidR="00C40F7C" w:rsidRPr="00C65707" w:rsidRDefault="00C40F7C" w:rsidP="00CE5678">
      <w:pPr>
        <w:widowControl w:val="0"/>
        <w:tabs>
          <w:tab w:val="left" w:pos="540"/>
          <w:tab w:val="left" w:pos="569"/>
        </w:tabs>
        <w:jc w:val="both"/>
        <w:rPr>
          <w:b/>
          <w:bCs/>
          <w:sz w:val="22"/>
          <w:szCs w:val="22"/>
        </w:rPr>
      </w:pPr>
    </w:p>
    <w:p w14:paraId="5D0A5213" w14:textId="77777777" w:rsidR="00836B35" w:rsidRPr="00C65707" w:rsidRDefault="0072020E" w:rsidP="00CE5678">
      <w:pPr>
        <w:widowControl w:val="0"/>
        <w:tabs>
          <w:tab w:val="left" w:pos="540"/>
          <w:tab w:val="left" w:pos="569"/>
        </w:tabs>
        <w:jc w:val="both"/>
        <w:rPr>
          <w:b/>
          <w:bCs/>
          <w:sz w:val="22"/>
          <w:szCs w:val="22"/>
        </w:rPr>
      </w:pPr>
      <w:r w:rsidRPr="00C65707">
        <w:rPr>
          <w:b/>
          <w:bCs/>
          <w:sz w:val="22"/>
          <w:szCs w:val="22"/>
        </w:rPr>
        <w:t xml:space="preserve">5.3. </w:t>
      </w:r>
      <w:r w:rsidR="00480FB1" w:rsidRPr="00C65707">
        <w:rPr>
          <w:b/>
          <w:bCs/>
          <w:sz w:val="22"/>
          <w:szCs w:val="22"/>
        </w:rPr>
        <w:tab/>
      </w:r>
      <w:r w:rsidRPr="00C65707">
        <w:rPr>
          <w:b/>
          <w:bCs/>
          <w:sz w:val="22"/>
          <w:szCs w:val="22"/>
        </w:rPr>
        <w:t xml:space="preserve">Pretklinički podaci o bezbjednosti </w:t>
      </w:r>
    </w:p>
    <w:p w14:paraId="6FFB8DD3" w14:textId="77777777" w:rsidR="00C40F7C" w:rsidRPr="00C65707" w:rsidRDefault="00C40F7C" w:rsidP="00CE5678">
      <w:pPr>
        <w:pStyle w:val="Header"/>
        <w:widowControl w:val="0"/>
        <w:tabs>
          <w:tab w:val="left" w:pos="284"/>
        </w:tabs>
        <w:jc w:val="both"/>
        <w:rPr>
          <w:sz w:val="22"/>
          <w:szCs w:val="22"/>
        </w:rPr>
      </w:pPr>
    </w:p>
    <w:p w14:paraId="207CB936" w14:textId="77777777" w:rsidR="00C40F7C" w:rsidRPr="00C65707" w:rsidRDefault="00C40F7C" w:rsidP="00C65707">
      <w:pPr>
        <w:pStyle w:val="Header"/>
        <w:widowControl w:val="0"/>
        <w:tabs>
          <w:tab w:val="left" w:pos="284"/>
        </w:tabs>
        <w:jc w:val="both"/>
        <w:rPr>
          <w:bCs/>
          <w:sz w:val="22"/>
          <w:szCs w:val="22"/>
        </w:rPr>
      </w:pPr>
      <w:r w:rsidRPr="00C65707">
        <w:rPr>
          <w:sz w:val="22"/>
          <w:szCs w:val="22"/>
        </w:rPr>
        <w:t>Pretklinički podaci ne ukazuju na posebne opasnosti za ljude na osnovu konvencionalnih ispitivanja farmakološke bezbjednosti, toksičnosti ponovljenih doza, genotoksičnosti te reproduktivne i razvojne toksičnosti.</w:t>
      </w:r>
    </w:p>
    <w:p w14:paraId="6BDA1346" w14:textId="77777777" w:rsidR="00C40F7C" w:rsidRPr="00C65707" w:rsidRDefault="00C40F7C" w:rsidP="002B3647">
      <w:pPr>
        <w:pStyle w:val="Header"/>
        <w:widowControl w:val="0"/>
        <w:tabs>
          <w:tab w:val="left" w:pos="284"/>
        </w:tabs>
        <w:jc w:val="both"/>
        <w:rPr>
          <w:bCs/>
          <w:sz w:val="22"/>
          <w:szCs w:val="22"/>
        </w:rPr>
      </w:pPr>
    </w:p>
    <w:p w14:paraId="28224949" w14:textId="77777777" w:rsidR="00C40F7C" w:rsidRPr="00C65707" w:rsidRDefault="00C40F7C">
      <w:pPr>
        <w:pStyle w:val="Header"/>
        <w:widowControl w:val="0"/>
        <w:tabs>
          <w:tab w:val="left" w:pos="284"/>
        </w:tabs>
        <w:jc w:val="both"/>
        <w:rPr>
          <w:bCs/>
          <w:sz w:val="22"/>
          <w:szCs w:val="22"/>
        </w:rPr>
      </w:pPr>
      <w:r w:rsidRPr="00C65707">
        <w:rPr>
          <w:bCs/>
          <w:sz w:val="22"/>
          <w:szCs w:val="22"/>
        </w:rPr>
        <w:t>Ispitivanja karcinogenosti nijesu rađena sa tocilizumabom jer se za IgG1 monoklonsko antitijelo ne smatra da ima intrinzičan kancerogeni potencijal.</w:t>
      </w:r>
    </w:p>
    <w:p w14:paraId="46623BE1" w14:textId="77777777" w:rsidR="00C40F7C" w:rsidRPr="00C65707" w:rsidRDefault="00C40F7C">
      <w:pPr>
        <w:pStyle w:val="Header"/>
        <w:widowControl w:val="0"/>
        <w:tabs>
          <w:tab w:val="left" w:pos="284"/>
        </w:tabs>
        <w:jc w:val="both"/>
        <w:rPr>
          <w:sz w:val="22"/>
          <w:szCs w:val="22"/>
        </w:rPr>
      </w:pPr>
    </w:p>
    <w:p w14:paraId="419FEFB8" w14:textId="696D7FB5" w:rsidR="00C40F7C" w:rsidRPr="00C65707" w:rsidRDefault="00C40F7C">
      <w:pPr>
        <w:pStyle w:val="Header"/>
        <w:widowControl w:val="0"/>
        <w:tabs>
          <w:tab w:val="left" w:pos="284"/>
        </w:tabs>
        <w:jc w:val="both"/>
        <w:rPr>
          <w:sz w:val="22"/>
          <w:szCs w:val="22"/>
        </w:rPr>
      </w:pPr>
      <w:r w:rsidRPr="00C65707">
        <w:rPr>
          <w:sz w:val="22"/>
          <w:szCs w:val="22"/>
        </w:rPr>
        <w:t xml:space="preserve">Raspoloživi pretklinički podaci pokazali su dejstvo IL-6 na malignu progresiju i rezistenciju na apoptozu kod različitih vrsta raka. Ovi podaci ne ukazuju na relevantni rizik za iniciranje raka i njegovu progresiju tokom terapije </w:t>
      </w:r>
      <w:r w:rsidR="00BA1325" w:rsidRPr="00C65707">
        <w:rPr>
          <w:sz w:val="22"/>
          <w:szCs w:val="22"/>
          <w:lang w:eastAsia="de-DE"/>
        </w:rPr>
        <w:t>tocilizumabom</w:t>
      </w:r>
      <w:r w:rsidRPr="00C65707">
        <w:rPr>
          <w:sz w:val="22"/>
          <w:szCs w:val="22"/>
        </w:rPr>
        <w:t xml:space="preserve">. Uz to, proliferativne lezije nijesu zabilježene tokom šestomjesečnog ispitivanja toksičnosti kod </w:t>
      </w:r>
      <w:r w:rsidRPr="00C65707">
        <w:rPr>
          <w:i/>
          <w:iCs/>
          <w:sz w:val="22"/>
          <w:szCs w:val="22"/>
        </w:rPr>
        <w:t>cinomolgus</w:t>
      </w:r>
      <w:r w:rsidRPr="00C65707">
        <w:rPr>
          <w:sz w:val="22"/>
          <w:szCs w:val="22"/>
        </w:rPr>
        <w:t xml:space="preserve"> majmuna, ni kod miševa sa deficijencijom IL-6. </w:t>
      </w:r>
    </w:p>
    <w:p w14:paraId="2FBC3C89" w14:textId="77777777" w:rsidR="00C40F7C" w:rsidRPr="00C65707" w:rsidRDefault="00C40F7C">
      <w:pPr>
        <w:pStyle w:val="Header"/>
        <w:widowControl w:val="0"/>
        <w:tabs>
          <w:tab w:val="left" w:pos="284"/>
        </w:tabs>
        <w:jc w:val="both"/>
        <w:rPr>
          <w:sz w:val="22"/>
          <w:szCs w:val="22"/>
        </w:rPr>
      </w:pPr>
    </w:p>
    <w:p w14:paraId="636B33AD" w14:textId="22474F5D" w:rsidR="00C40F7C" w:rsidRPr="00C65707" w:rsidRDefault="00C40F7C">
      <w:pPr>
        <w:pStyle w:val="Header"/>
        <w:widowControl w:val="0"/>
        <w:tabs>
          <w:tab w:val="left" w:pos="284"/>
        </w:tabs>
        <w:jc w:val="both"/>
        <w:rPr>
          <w:sz w:val="22"/>
          <w:szCs w:val="22"/>
        </w:rPr>
      </w:pPr>
      <w:r w:rsidRPr="00C65707">
        <w:rPr>
          <w:sz w:val="22"/>
          <w:szCs w:val="22"/>
        </w:rPr>
        <w:t xml:space="preserve">Raspoloživi pretklinički podaci ne ukazuju ni na dejstvo terapije </w:t>
      </w:r>
      <w:r w:rsidR="00BA1325" w:rsidRPr="00C65707">
        <w:rPr>
          <w:sz w:val="22"/>
          <w:szCs w:val="22"/>
          <w:lang w:eastAsia="de-DE"/>
        </w:rPr>
        <w:t>tocilizumab</w:t>
      </w:r>
      <w:r w:rsidR="00B239C4" w:rsidRPr="00C65707">
        <w:rPr>
          <w:sz w:val="22"/>
          <w:szCs w:val="22"/>
        </w:rPr>
        <w:t xml:space="preserve">a </w:t>
      </w:r>
      <w:r w:rsidRPr="00C65707">
        <w:rPr>
          <w:sz w:val="22"/>
          <w:szCs w:val="22"/>
        </w:rPr>
        <w:t xml:space="preserve">na fertilnost. Dejstvo na endokrino aktivne organe i na reproduktivni sistem nije zabilježeno tokom ispitivanja hronične toksičnosti kod </w:t>
      </w:r>
      <w:r w:rsidRPr="00C65707">
        <w:rPr>
          <w:i/>
          <w:iCs/>
          <w:sz w:val="22"/>
          <w:szCs w:val="22"/>
        </w:rPr>
        <w:t>cinomolgus</w:t>
      </w:r>
      <w:r w:rsidRPr="00C65707">
        <w:rPr>
          <w:sz w:val="22"/>
          <w:szCs w:val="22"/>
        </w:rPr>
        <w:t xml:space="preserve"> majmuna, a reproduktivni učinak nije bio ugrožen ni kod</w:t>
      </w:r>
      <w:r w:rsidR="00045FBA" w:rsidRPr="00C65707">
        <w:rPr>
          <w:sz w:val="22"/>
          <w:szCs w:val="22"/>
        </w:rPr>
        <w:t xml:space="preserve"> miševa sa deficijencijom IL-6.</w:t>
      </w:r>
      <w:r w:rsidRPr="00C65707">
        <w:rPr>
          <w:sz w:val="22"/>
          <w:szCs w:val="22"/>
        </w:rPr>
        <w:t xml:space="preserve"> Pokazano je i da davanje </w:t>
      </w:r>
      <w:r w:rsidR="00BA1325" w:rsidRPr="00C65707">
        <w:rPr>
          <w:sz w:val="22"/>
          <w:szCs w:val="22"/>
          <w:lang w:eastAsia="de-DE"/>
        </w:rPr>
        <w:t>tocilizumab</w:t>
      </w:r>
      <w:r w:rsidRPr="00C65707">
        <w:rPr>
          <w:sz w:val="22"/>
          <w:szCs w:val="22"/>
        </w:rPr>
        <w:t xml:space="preserve">a </w:t>
      </w:r>
      <w:r w:rsidRPr="00C65707">
        <w:rPr>
          <w:i/>
          <w:iCs/>
          <w:sz w:val="22"/>
          <w:szCs w:val="22"/>
        </w:rPr>
        <w:t>cinomolgus</w:t>
      </w:r>
      <w:r w:rsidRPr="00C65707">
        <w:rPr>
          <w:sz w:val="22"/>
          <w:szCs w:val="22"/>
        </w:rPr>
        <w:t xml:space="preserve"> majmunima tokom rane gestacije nema ni direktnog,</w:t>
      </w:r>
      <w:r w:rsidR="00045FBA" w:rsidRPr="00C65707">
        <w:rPr>
          <w:sz w:val="22"/>
          <w:szCs w:val="22"/>
        </w:rPr>
        <w:t xml:space="preserve"> ni indirektnog štetnog dejstva</w:t>
      </w:r>
      <w:r w:rsidRPr="00C65707">
        <w:rPr>
          <w:sz w:val="22"/>
          <w:szCs w:val="22"/>
        </w:rPr>
        <w:t xml:space="preserve"> na bremenitost ili embrio-fetalni razvoj. Međutim, zabilježen je neznatni porast embrio-fetalne smrti pri visokom sistemskom izlaganju (&gt; 100 puta većem od kliničkog izlaganja ljudi) u grupi koja je primala 50 mg/kg/dan u poređenju sa placebom i drugim grup</w:t>
      </w:r>
      <w:r w:rsidR="00045FBA" w:rsidRPr="00C65707">
        <w:rPr>
          <w:sz w:val="22"/>
          <w:szCs w:val="22"/>
        </w:rPr>
        <w:t xml:space="preserve">ama koje su primale male doze. </w:t>
      </w:r>
      <w:r w:rsidRPr="00C65707">
        <w:rPr>
          <w:sz w:val="22"/>
          <w:szCs w:val="22"/>
        </w:rPr>
        <w:t>Iako izgleda da IL-6 nije kritični citokin za fetalni rast ili imunološku kontrolu materno-fetalnog i</w:t>
      </w:r>
      <w:r w:rsidR="00045FBA" w:rsidRPr="00C65707">
        <w:rPr>
          <w:sz w:val="22"/>
          <w:szCs w:val="22"/>
        </w:rPr>
        <w:t xml:space="preserve">nterfejsa, veza ovog nalaza sa </w:t>
      </w:r>
      <w:r w:rsidR="00BA1325" w:rsidRPr="00C65707">
        <w:rPr>
          <w:sz w:val="22"/>
          <w:szCs w:val="22"/>
          <w:lang w:eastAsia="de-DE"/>
        </w:rPr>
        <w:t>tocilizumabom</w:t>
      </w:r>
      <w:r w:rsidRPr="00C65707">
        <w:rPr>
          <w:sz w:val="22"/>
          <w:szCs w:val="22"/>
        </w:rPr>
        <w:t xml:space="preserve"> se ne može isključiti.</w:t>
      </w:r>
    </w:p>
    <w:p w14:paraId="22AA60DF" w14:textId="77777777" w:rsidR="00C40F7C" w:rsidRPr="00C65707" w:rsidRDefault="00C40F7C">
      <w:pPr>
        <w:pStyle w:val="Header"/>
        <w:widowControl w:val="0"/>
        <w:tabs>
          <w:tab w:val="left" w:pos="284"/>
        </w:tabs>
        <w:jc w:val="both"/>
        <w:rPr>
          <w:sz w:val="22"/>
          <w:szCs w:val="22"/>
        </w:rPr>
      </w:pPr>
    </w:p>
    <w:p w14:paraId="7D530980" w14:textId="77777777" w:rsidR="00C40F7C" w:rsidRPr="00C65707" w:rsidRDefault="00C40F7C">
      <w:pPr>
        <w:widowControl w:val="0"/>
        <w:jc w:val="both"/>
        <w:rPr>
          <w:sz w:val="22"/>
          <w:szCs w:val="22"/>
        </w:rPr>
      </w:pPr>
      <w:r w:rsidRPr="00C65707">
        <w:rPr>
          <w:sz w:val="22"/>
          <w:szCs w:val="22"/>
        </w:rPr>
        <w:t>Liječenje mišjim analogom nije izazvalo toksičnost kod mladih miševa. Tačnije, nijesu zabilježena oštećenja u rastu kostura, imunološkim funkcijama i polnom sazrijevanju.</w:t>
      </w:r>
    </w:p>
    <w:p w14:paraId="75A06011" w14:textId="77777777" w:rsidR="00C40F7C" w:rsidRPr="00C65707" w:rsidRDefault="00C40F7C">
      <w:pPr>
        <w:pStyle w:val="Header"/>
        <w:widowControl w:val="0"/>
        <w:tabs>
          <w:tab w:val="left" w:pos="284"/>
        </w:tabs>
        <w:jc w:val="both"/>
        <w:rPr>
          <w:sz w:val="22"/>
          <w:szCs w:val="22"/>
        </w:rPr>
      </w:pPr>
    </w:p>
    <w:p w14:paraId="24927406" w14:textId="24BC7402" w:rsidR="00C40F7C" w:rsidRPr="00C65707" w:rsidRDefault="00C40F7C">
      <w:pPr>
        <w:pStyle w:val="Header"/>
        <w:widowControl w:val="0"/>
        <w:tabs>
          <w:tab w:val="left" w:pos="284"/>
        </w:tabs>
        <w:jc w:val="both"/>
        <w:rPr>
          <w:sz w:val="22"/>
          <w:szCs w:val="22"/>
        </w:rPr>
      </w:pPr>
      <w:r w:rsidRPr="00C65707">
        <w:rPr>
          <w:sz w:val="22"/>
          <w:szCs w:val="22"/>
        </w:rPr>
        <w:t xml:space="preserve">Pretklinički bezbjednosni profil </w:t>
      </w:r>
      <w:r w:rsidR="00BA1325" w:rsidRPr="00C65707">
        <w:rPr>
          <w:sz w:val="22"/>
          <w:szCs w:val="22"/>
          <w:lang w:eastAsia="de-DE"/>
        </w:rPr>
        <w:t>tocilizumab</w:t>
      </w:r>
      <w:r w:rsidRPr="00C65707">
        <w:rPr>
          <w:sz w:val="22"/>
          <w:szCs w:val="22"/>
        </w:rPr>
        <w:t xml:space="preserve">a kod </w:t>
      </w:r>
      <w:r w:rsidRPr="00C65707">
        <w:rPr>
          <w:i/>
          <w:iCs/>
          <w:sz w:val="22"/>
          <w:szCs w:val="22"/>
        </w:rPr>
        <w:t>cinomolgus</w:t>
      </w:r>
      <w:r w:rsidRPr="00C65707">
        <w:rPr>
          <w:sz w:val="22"/>
          <w:szCs w:val="22"/>
        </w:rPr>
        <w:t xml:space="preserve"> majmuna ne ukazuje na razliku između intravenskog i subkutanog puta primjene.</w:t>
      </w:r>
    </w:p>
    <w:p w14:paraId="2179C9CC" w14:textId="447A9896" w:rsidR="00396DFD" w:rsidRPr="00C65707" w:rsidRDefault="00396DFD">
      <w:pPr>
        <w:widowControl w:val="0"/>
        <w:tabs>
          <w:tab w:val="left" w:pos="540"/>
          <w:tab w:val="left" w:pos="569"/>
        </w:tabs>
        <w:jc w:val="both"/>
        <w:rPr>
          <w:b/>
          <w:bCs/>
          <w:sz w:val="22"/>
          <w:szCs w:val="22"/>
        </w:rPr>
      </w:pPr>
    </w:p>
    <w:p w14:paraId="2E3C8FC8" w14:textId="77777777" w:rsidR="009759B0" w:rsidRPr="00C65707" w:rsidRDefault="009759B0">
      <w:pPr>
        <w:widowControl w:val="0"/>
        <w:tabs>
          <w:tab w:val="left" w:pos="540"/>
          <w:tab w:val="left" w:pos="569"/>
        </w:tabs>
        <w:jc w:val="both"/>
        <w:rPr>
          <w:b/>
          <w:bCs/>
          <w:sz w:val="22"/>
          <w:szCs w:val="22"/>
        </w:rPr>
      </w:pPr>
    </w:p>
    <w:p w14:paraId="583F52C0" w14:textId="77777777" w:rsidR="0072020E" w:rsidRPr="00C65707" w:rsidRDefault="0072020E">
      <w:pPr>
        <w:widowControl w:val="0"/>
        <w:tabs>
          <w:tab w:val="left" w:pos="540"/>
          <w:tab w:val="left" w:pos="569"/>
        </w:tabs>
        <w:jc w:val="both"/>
        <w:rPr>
          <w:b/>
          <w:bCs/>
          <w:sz w:val="22"/>
          <w:szCs w:val="22"/>
        </w:rPr>
      </w:pPr>
      <w:r w:rsidRPr="00C65707">
        <w:rPr>
          <w:b/>
          <w:bCs/>
          <w:sz w:val="22"/>
          <w:szCs w:val="22"/>
        </w:rPr>
        <w:t xml:space="preserve">6. </w:t>
      </w:r>
      <w:r w:rsidR="00480FB1" w:rsidRPr="00C65707">
        <w:rPr>
          <w:b/>
          <w:bCs/>
          <w:sz w:val="22"/>
          <w:szCs w:val="22"/>
        </w:rPr>
        <w:tab/>
      </w:r>
      <w:r w:rsidRPr="00C65707">
        <w:rPr>
          <w:b/>
          <w:bCs/>
          <w:sz w:val="22"/>
          <w:szCs w:val="22"/>
        </w:rPr>
        <w:t>FARMACEUTSKI PODACI</w:t>
      </w:r>
    </w:p>
    <w:p w14:paraId="10568012" w14:textId="77777777" w:rsidR="00836B35" w:rsidRPr="00C65707" w:rsidRDefault="00836B35" w:rsidP="00CE5678">
      <w:pPr>
        <w:widowControl w:val="0"/>
        <w:tabs>
          <w:tab w:val="left" w:pos="540"/>
          <w:tab w:val="left" w:pos="569"/>
        </w:tabs>
        <w:jc w:val="both"/>
        <w:rPr>
          <w:bCs/>
          <w:sz w:val="22"/>
          <w:szCs w:val="22"/>
        </w:rPr>
      </w:pPr>
    </w:p>
    <w:p w14:paraId="617BF0BA" w14:textId="77777777" w:rsidR="0072020E" w:rsidRPr="00C65707" w:rsidRDefault="0072020E" w:rsidP="00CE5678">
      <w:pPr>
        <w:widowControl w:val="0"/>
        <w:tabs>
          <w:tab w:val="left" w:pos="540"/>
          <w:tab w:val="left" w:pos="569"/>
        </w:tabs>
        <w:jc w:val="both"/>
        <w:rPr>
          <w:b/>
          <w:bCs/>
          <w:sz w:val="22"/>
          <w:szCs w:val="22"/>
        </w:rPr>
      </w:pPr>
      <w:r w:rsidRPr="00C65707">
        <w:rPr>
          <w:b/>
          <w:bCs/>
          <w:sz w:val="22"/>
          <w:szCs w:val="22"/>
        </w:rPr>
        <w:t xml:space="preserve">6.1. </w:t>
      </w:r>
      <w:r w:rsidR="00480FB1" w:rsidRPr="00C65707">
        <w:rPr>
          <w:b/>
          <w:bCs/>
          <w:sz w:val="22"/>
          <w:szCs w:val="22"/>
        </w:rPr>
        <w:tab/>
      </w:r>
      <w:r w:rsidRPr="00C65707">
        <w:rPr>
          <w:b/>
          <w:bCs/>
          <w:sz w:val="22"/>
          <w:szCs w:val="22"/>
        </w:rPr>
        <w:t>Lista pomoćnih supstanci</w:t>
      </w:r>
      <w:r w:rsidR="002E0135" w:rsidRPr="00C65707">
        <w:rPr>
          <w:b/>
          <w:bCs/>
          <w:sz w:val="22"/>
          <w:szCs w:val="22"/>
        </w:rPr>
        <w:t xml:space="preserve"> (ekscipijenasa)</w:t>
      </w:r>
    </w:p>
    <w:p w14:paraId="6ACF06A1" w14:textId="77777777" w:rsidR="00C40F7C" w:rsidRPr="00C65707" w:rsidRDefault="00C40F7C" w:rsidP="00CE5678">
      <w:pPr>
        <w:pStyle w:val="Header"/>
        <w:widowControl w:val="0"/>
        <w:tabs>
          <w:tab w:val="left" w:pos="284"/>
        </w:tabs>
        <w:jc w:val="both"/>
        <w:rPr>
          <w:bCs/>
          <w:sz w:val="22"/>
          <w:szCs w:val="22"/>
        </w:rPr>
      </w:pPr>
    </w:p>
    <w:p w14:paraId="233E4062" w14:textId="6CBB46AB" w:rsidR="00C40F7C" w:rsidRPr="00C65707" w:rsidRDefault="00BA1325" w:rsidP="00CE5678">
      <w:pPr>
        <w:widowControl w:val="0"/>
        <w:jc w:val="both"/>
        <w:rPr>
          <w:bCs/>
          <w:sz w:val="22"/>
          <w:szCs w:val="22"/>
        </w:rPr>
      </w:pPr>
      <w:r w:rsidRPr="00C65707">
        <w:rPr>
          <w:bCs/>
          <w:sz w:val="22"/>
          <w:szCs w:val="22"/>
        </w:rPr>
        <w:t>L-</w:t>
      </w:r>
      <w:r w:rsidR="00C40F7C" w:rsidRPr="00C65707">
        <w:rPr>
          <w:bCs/>
          <w:sz w:val="22"/>
          <w:szCs w:val="22"/>
        </w:rPr>
        <w:t>histidin</w:t>
      </w:r>
      <w:r w:rsidRPr="00C65707">
        <w:rPr>
          <w:bCs/>
          <w:sz w:val="22"/>
          <w:szCs w:val="22"/>
        </w:rPr>
        <w:t xml:space="preserve"> (za podešavanje pH)</w:t>
      </w:r>
    </w:p>
    <w:p w14:paraId="2638A6AD" w14:textId="6792F512" w:rsidR="00C40F7C" w:rsidRPr="00C65707" w:rsidRDefault="00BA1325" w:rsidP="00CE5678">
      <w:pPr>
        <w:widowControl w:val="0"/>
        <w:jc w:val="both"/>
        <w:rPr>
          <w:bCs/>
          <w:sz w:val="22"/>
          <w:szCs w:val="22"/>
        </w:rPr>
      </w:pPr>
      <w:r w:rsidRPr="00C65707">
        <w:rPr>
          <w:bCs/>
          <w:sz w:val="22"/>
          <w:szCs w:val="22"/>
        </w:rPr>
        <w:t>L-</w:t>
      </w:r>
      <w:r w:rsidR="00C40F7C" w:rsidRPr="00C65707">
        <w:rPr>
          <w:bCs/>
          <w:sz w:val="22"/>
          <w:szCs w:val="22"/>
        </w:rPr>
        <w:t>histidin hidrohlorid monohidrat</w:t>
      </w:r>
      <w:r w:rsidRPr="00C65707">
        <w:rPr>
          <w:bCs/>
          <w:sz w:val="22"/>
          <w:szCs w:val="22"/>
        </w:rPr>
        <w:t xml:space="preserve"> (za podešavanje pH)</w:t>
      </w:r>
    </w:p>
    <w:p w14:paraId="665F01BA" w14:textId="5E1F6DA1" w:rsidR="00C40F7C" w:rsidRPr="00C65707" w:rsidRDefault="00BA1325" w:rsidP="00CE5678">
      <w:pPr>
        <w:pStyle w:val="Header"/>
        <w:widowControl w:val="0"/>
        <w:tabs>
          <w:tab w:val="left" w:pos="284"/>
        </w:tabs>
        <w:jc w:val="both"/>
        <w:rPr>
          <w:bCs/>
          <w:sz w:val="22"/>
          <w:szCs w:val="22"/>
        </w:rPr>
      </w:pPr>
      <w:r w:rsidRPr="00C65707">
        <w:rPr>
          <w:bCs/>
          <w:sz w:val="22"/>
          <w:szCs w:val="22"/>
        </w:rPr>
        <w:t>L-</w:t>
      </w:r>
      <w:r w:rsidR="00C40F7C" w:rsidRPr="00C65707">
        <w:rPr>
          <w:bCs/>
          <w:sz w:val="22"/>
          <w:szCs w:val="22"/>
        </w:rPr>
        <w:t>arginin</w:t>
      </w:r>
      <w:r w:rsidRPr="00C65707">
        <w:rPr>
          <w:bCs/>
          <w:sz w:val="22"/>
          <w:szCs w:val="22"/>
        </w:rPr>
        <w:t>/L-arginin</w:t>
      </w:r>
      <w:r w:rsidR="00C40F7C" w:rsidRPr="00C65707">
        <w:rPr>
          <w:bCs/>
          <w:sz w:val="22"/>
          <w:szCs w:val="22"/>
        </w:rPr>
        <w:t>hidrohlorid</w:t>
      </w:r>
    </w:p>
    <w:p w14:paraId="65D23654" w14:textId="76BD9AAB" w:rsidR="00C40F7C" w:rsidRPr="00C65707" w:rsidRDefault="00BA1325" w:rsidP="00CE5678">
      <w:pPr>
        <w:pStyle w:val="Header"/>
        <w:widowControl w:val="0"/>
        <w:tabs>
          <w:tab w:val="left" w:pos="284"/>
        </w:tabs>
        <w:jc w:val="both"/>
        <w:rPr>
          <w:bCs/>
          <w:sz w:val="22"/>
          <w:szCs w:val="22"/>
        </w:rPr>
      </w:pPr>
      <w:r w:rsidRPr="00C65707">
        <w:rPr>
          <w:bCs/>
          <w:sz w:val="22"/>
          <w:szCs w:val="22"/>
        </w:rPr>
        <w:t>L-</w:t>
      </w:r>
      <w:r w:rsidR="00C40F7C" w:rsidRPr="00C65707">
        <w:rPr>
          <w:bCs/>
          <w:sz w:val="22"/>
          <w:szCs w:val="22"/>
        </w:rPr>
        <w:t>metionin</w:t>
      </w:r>
    </w:p>
    <w:p w14:paraId="4C7B14B9" w14:textId="62E38283" w:rsidR="00C40F7C" w:rsidRPr="00C65707" w:rsidRDefault="00F41579" w:rsidP="00CE5678">
      <w:pPr>
        <w:pStyle w:val="Header"/>
        <w:widowControl w:val="0"/>
        <w:tabs>
          <w:tab w:val="left" w:pos="284"/>
        </w:tabs>
        <w:jc w:val="both"/>
        <w:rPr>
          <w:bCs/>
          <w:sz w:val="22"/>
          <w:szCs w:val="22"/>
        </w:rPr>
      </w:pPr>
      <w:r w:rsidRPr="00C65707">
        <w:rPr>
          <w:bCs/>
          <w:sz w:val="22"/>
          <w:szCs w:val="22"/>
        </w:rPr>
        <w:t>P</w:t>
      </w:r>
      <w:r w:rsidR="00C40F7C" w:rsidRPr="00C65707">
        <w:rPr>
          <w:bCs/>
          <w:sz w:val="22"/>
          <w:szCs w:val="22"/>
        </w:rPr>
        <w:t>olisorbat 80</w:t>
      </w:r>
      <w:r w:rsidR="00DF6615" w:rsidRPr="00C65707">
        <w:rPr>
          <w:bCs/>
          <w:sz w:val="22"/>
          <w:szCs w:val="22"/>
        </w:rPr>
        <w:t xml:space="preserve"> (E 433)</w:t>
      </w:r>
    </w:p>
    <w:p w14:paraId="28D6DFBD" w14:textId="4D12C71D" w:rsidR="0072020E" w:rsidRPr="00C65707" w:rsidRDefault="00F41579" w:rsidP="00CE5678">
      <w:pPr>
        <w:widowControl w:val="0"/>
        <w:tabs>
          <w:tab w:val="left" w:pos="540"/>
          <w:tab w:val="left" w:pos="569"/>
        </w:tabs>
        <w:jc w:val="both"/>
        <w:rPr>
          <w:bCs/>
          <w:sz w:val="22"/>
          <w:szCs w:val="22"/>
        </w:rPr>
      </w:pPr>
      <w:r w:rsidRPr="00C65707">
        <w:rPr>
          <w:bCs/>
          <w:sz w:val="22"/>
          <w:szCs w:val="22"/>
        </w:rPr>
        <w:t>V</w:t>
      </w:r>
      <w:r w:rsidR="00C40F7C" w:rsidRPr="00C65707">
        <w:rPr>
          <w:bCs/>
          <w:sz w:val="22"/>
          <w:szCs w:val="22"/>
        </w:rPr>
        <w:t>oda za injekcije</w:t>
      </w:r>
    </w:p>
    <w:p w14:paraId="56522A07" w14:textId="77777777" w:rsidR="00C40F7C" w:rsidRPr="00C65707" w:rsidRDefault="00C40F7C" w:rsidP="00CE5678">
      <w:pPr>
        <w:widowControl w:val="0"/>
        <w:tabs>
          <w:tab w:val="left" w:pos="540"/>
          <w:tab w:val="left" w:pos="569"/>
        </w:tabs>
        <w:jc w:val="both"/>
        <w:rPr>
          <w:bCs/>
          <w:sz w:val="22"/>
          <w:szCs w:val="22"/>
        </w:rPr>
      </w:pPr>
    </w:p>
    <w:p w14:paraId="29233C9D" w14:textId="77777777" w:rsidR="0072020E" w:rsidRPr="00C65707" w:rsidRDefault="0072020E" w:rsidP="00CE5678">
      <w:pPr>
        <w:widowControl w:val="0"/>
        <w:tabs>
          <w:tab w:val="left" w:pos="540"/>
          <w:tab w:val="left" w:pos="569"/>
        </w:tabs>
        <w:jc w:val="both"/>
        <w:rPr>
          <w:b/>
          <w:bCs/>
          <w:sz w:val="22"/>
          <w:szCs w:val="22"/>
        </w:rPr>
      </w:pPr>
      <w:r w:rsidRPr="00C65707">
        <w:rPr>
          <w:b/>
          <w:bCs/>
          <w:sz w:val="22"/>
          <w:szCs w:val="22"/>
        </w:rPr>
        <w:t xml:space="preserve">6.2. </w:t>
      </w:r>
      <w:r w:rsidR="00480FB1" w:rsidRPr="00C65707">
        <w:rPr>
          <w:b/>
          <w:bCs/>
          <w:sz w:val="22"/>
          <w:szCs w:val="22"/>
        </w:rPr>
        <w:tab/>
      </w:r>
      <w:r w:rsidRPr="00C65707">
        <w:rPr>
          <w:b/>
          <w:bCs/>
          <w:sz w:val="22"/>
          <w:szCs w:val="22"/>
        </w:rPr>
        <w:t>Inkompatibilnost</w:t>
      </w:r>
      <w:r w:rsidR="002846DB" w:rsidRPr="00C65707">
        <w:rPr>
          <w:b/>
          <w:bCs/>
          <w:sz w:val="22"/>
          <w:szCs w:val="22"/>
        </w:rPr>
        <w:t>i</w:t>
      </w:r>
    </w:p>
    <w:p w14:paraId="47D9265B" w14:textId="77777777" w:rsidR="00C40F7C" w:rsidRPr="00C65707" w:rsidRDefault="00C40F7C" w:rsidP="00CE5678">
      <w:pPr>
        <w:widowControl w:val="0"/>
        <w:tabs>
          <w:tab w:val="left" w:pos="540"/>
          <w:tab w:val="left" w:pos="569"/>
        </w:tabs>
        <w:jc w:val="both"/>
        <w:rPr>
          <w:b/>
          <w:bCs/>
          <w:sz w:val="22"/>
          <w:szCs w:val="22"/>
        </w:rPr>
      </w:pPr>
    </w:p>
    <w:p w14:paraId="70A14A4C" w14:textId="77777777" w:rsidR="00C40F7C" w:rsidRPr="00C65707" w:rsidRDefault="00C40F7C" w:rsidP="00CE5678">
      <w:pPr>
        <w:pStyle w:val="Header"/>
        <w:widowControl w:val="0"/>
        <w:tabs>
          <w:tab w:val="left" w:pos="284"/>
        </w:tabs>
        <w:jc w:val="both"/>
        <w:rPr>
          <w:bCs/>
          <w:sz w:val="22"/>
          <w:szCs w:val="22"/>
        </w:rPr>
      </w:pPr>
      <w:r w:rsidRPr="00C65707">
        <w:rPr>
          <w:bCs/>
          <w:sz w:val="22"/>
          <w:szCs w:val="22"/>
        </w:rPr>
        <w:t>Zbog nedostataka studija kompatibilnosti ovaj lijek se ne smije miješati sa drugim ljekovima.</w:t>
      </w:r>
    </w:p>
    <w:p w14:paraId="76AC2C42" w14:textId="77777777" w:rsidR="00C40F7C" w:rsidRPr="00C65707" w:rsidRDefault="00C40F7C" w:rsidP="00CE5678">
      <w:pPr>
        <w:pStyle w:val="Header"/>
        <w:widowControl w:val="0"/>
        <w:tabs>
          <w:tab w:val="left" w:pos="284"/>
        </w:tabs>
        <w:jc w:val="both"/>
        <w:rPr>
          <w:b/>
          <w:sz w:val="22"/>
          <w:szCs w:val="22"/>
        </w:rPr>
      </w:pPr>
    </w:p>
    <w:p w14:paraId="462ADA7C" w14:textId="77777777" w:rsidR="0072020E" w:rsidRPr="00C65707" w:rsidRDefault="0072020E" w:rsidP="00CE5678">
      <w:pPr>
        <w:widowControl w:val="0"/>
        <w:tabs>
          <w:tab w:val="left" w:pos="540"/>
          <w:tab w:val="left" w:pos="569"/>
        </w:tabs>
        <w:jc w:val="both"/>
        <w:rPr>
          <w:b/>
          <w:bCs/>
          <w:sz w:val="22"/>
          <w:szCs w:val="22"/>
        </w:rPr>
      </w:pPr>
      <w:r w:rsidRPr="00C65707">
        <w:rPr>
          <w:b/>
          <w:bCs/>
          <w:sz w:val="22"/>
          <w:szCs w:val="22"/>
        </w:rPr>
        <w:t>6.3.</w:t>
      </w:r>
      <w:r w:rsidR="00C05DF8" w:rsidRPr="00C65707">
        <w:rPr>
          <w:b/>
          <w:bCs/>
          <w:sz w:val="22"/>
          <w:szCs w:val="22"/>
        </w:rPr>
        <w:t xml:space="preserve"> </w:t>
      </w:r>
      <w:r w:rsidR="00480FB1" w:rsidRPr="00C65707">
        <w:rPr>
          <w:b/>
          <w:bCs/>
          <w:sz w:val="22"/>
          <w:szCs w:val="22"/>
        </w:rPr>
        <w:tab/>
      </w:r>
      <w:r w:rsidRPr="00C65707">
        <w:rPr>
          <w:b/>
          <w:bCs/>
          <w:sz w:val="22"/>
          <w:szCs w:val="22"/>
        </w:rPr>
        <w:t>Rok upotrebe</w:t>
      </w:r>
    </w:p>
    <w:p w14:paraId="750CA049" w14:textId="77777777" w:rsidR="00CC2B31" w:rsidRPr="00C65707" w:rsidRDefault="00CC2B31" w:rsidP="00CE5678">
      <w:pPr>
        <w:widowControl w:val="0"/>
        <w:tabs>
          <w:tab w:val="left" w:pos="540"/>
          <w:tab w:val="left" w:pos="569"/>
        </w:tabs>
        <w:jc w:val="both"/>
        <w:rPr>
          <w:b/>
          <w:bCs/>
          <w:sz w:val="22"/>
          <w:szCs w:val="22"/>
        </w:rPr>
      </w:pPr>
    </w:p>
    <w:p w14:paraId="006DF72D" w14:textId="2E1A8B49" w:rsidR="00C40F7C" w:rsidRPr="00C65707" w:rsidRDefault="00464C82" w:rsidP="00C65707">
      <w:pPr>
        <w:pStyle w:val="Header"/>
        <w:widowControl w:val="0"/>
        <w:tabs>
          <w:tab w:val="left" w:pos="284"/>
        </w:tabs>
        <w:jc w:val="both"/>
        <w:rPr>
          <w:sz w:val="22"/>
          <w:szCs w:val="22"/>
        </w:rPr>
      </w:pPr>
      <w:r w:rsidRPr="00C65707">
        <w:rPr>
          <w:sz w:val="22"/>
          <w:szCs w:val="22"/>
        </w:rPr>
        <w:t>36</w:t>
      </w:r>
      <w:r w:rsidR="00C40F7C" w:rsidRPr="00C65707">
        <w:rPr>
          <w:sz w:val="22"/>
          <w:szCs w:val="22"/>
        </w:rPr>
        <w:t xml:space="preserve"> mjesec</w:t>
      </w:r>
      <w:r w:rsidRPr="00C65707">
        <w:rPr>
          <w:sz w:val="22"/>
          <w:szCs w:val="22"/>
        </w:rPr>
        <w:t>i</w:t>
      </w:r>
      <w:r w:rsidR="00C40F7C" w:rsidRPr="00C65707">
        <w:rPr>
          <w:sz w:val="22"/>
          <w:szCs w:val="22"/>
        </w:rPr>
        <w:t>.</w:t>
      </w:r>
    </w:p>
    <w:p w14:paraId="21D9F628" w14:textId="77777777" w:rsidR="00C40F7C" w:rsidRPr="00C65707" w:rsidRDefault="00C40F7C" w:rsidP="00CE5678">
      <w:pPr>
        <w:widowControl w:val="0"/>
        <w:tabs>
          <w:tab w:val="left" w:pos="540"/>
          <w:tab w:val="left" w:pos="569"/>
        </w:tabs>
        <w:jc w:val="both"/>
        <w:rPr>
          <w:bCs/>
          <w:sz w:val="22"/>
          <w:szCs w:val="22"/>
        </w:rPr>
      </w:pPr>
    </w:p>
    <w:p w14:paraId="41C5215A" w14:textId="77777777" w:rsidR="0072020E" w:rsidRPr="00C65707" w:rsidRDefault="0072020E" w:rsidP="00CE5678">
      <w:pPr>
        <w:widowControl w:val="0"/>
        <w:tabs>
          <w:tab w:val="left" w:pos="540"/>
          <w:tab w:val="left" w:pos="569"/>
        </w:tabs>
        <w:jc w:val="both"/>
        <w:rPr>
          <w:b/>
          <w:bCs/>
          <w:sz w:val="22"/>
          <w:szCs w:val="22"/>
        </w:rPr>
      </w:pPr>
      <w:r w:rsidRPr="00C65707">
        <w:rPr>
          <w:b/>
          <w:bCs/>
          <w:sz w:val="22"/>
          <w:szCs w:val="22"/>
        </w:rPr>
        <w:t xml:space="preserve">6.4. </w:t>
      </w:r>
      <w:r w:rsidR="00480FB1" w:rsidRPr="00C65707">
        <w:rPr>
          <w:b/>
          <w:bCs/>
          <w:sz w:val="22"/>
          <w:szCs w:val="22"/>
        </w:rPr>
        <w:tab/>
      </w:r>
      <w:r w:rsidRPr="00C65707">
        <w:rPr>
          <w:b/>
          <w:bCs/>
          <w:sz w:val="22"/>
          <w:szCs w:val="22"/>
        </w:rPr>
        <w:t>Posebne mjere upozorenja pri čuvanju</w:t>
      </w:r>
      <w:r w:rsidR="00F8570A" w:rsidRPr="00C65707">
        <w:rPr>
          <w:b/>
          <w:bCs/>
          <w:sz w:val="22"/>
          <w:szCs w:val="22"/>
        </w:rPr>
        <w:t xml:space="preserve"> lijeka</w:t>
      </w:r>
    </w:p>
    <w:p w14:paraId="429D6076" w14:textId="77777777" w:rsidR="00C40F7C" w:rsidRPr="00C65707" w:rsidRDefault="00C40F7C" w:rsidP="00CE5678">
      <w:pPr>
        <w:pStyle w:val="Header"/>
        <w:widowControl w:val="0"/>
        <w:tabs>
          <w:tab w:val="left" w:pos="284"/>
        </w:tabs>
        <w:jc w:val="both"/>
        <w:rPr>
          <w:sz w:val="22"/>
          <w:szCs w:val="22"/>
        </w:rPr>
      </w:pPr>
    </w:p>
    <w:p w14:paraId="2A8A5A19" w14:textId="01F478CE" w:rsidR="00C40F7C" w:rsidRPr="00C65707" w:rsidRDefault="00045FBA" w:rsidP="00CE5678">
      <w:pPr>
        <w:pStyle w:val="Header"/>
        <w:widowControl w:val="0"/>
        <w:tabs>
          <w:tab w:val="left" w:pos="284"/>
        </w:tabs>
        <w:jc w:val="both"/>
        <w:rPr>
          <w:sz w:val="22"/>
          <w:szCs w:val="22"/>
        </w:rPr>
      </w:pPr>
      <w:r w:rsidRPr="00C65707">
        <w:rPr>
          <w:sz w:val="22"/>
          <w:szCs w:val="22"/>
        </w:rPr>
        <w:t>Čuvati u frižideru</w:t>
      </w:r>
      <w:r w:rsidR="00C40F7C" w:rsidRPr="00C65707">
        <w:rPr>
          <w:sz w:val="22"/>
          <w:szCs w:val="22"/>
        </w:rPr>
        <w:t xml:space="preserve"> (2°C–8°C). Ne smije se zamrzavati. </w:t>
      </w:r>
      <w:r w:rsidR="00A952A2" w:rsidRPr="00C65707">
        <w:rPr>
          <w:sz w:val="22"/>
          <w:szCs w:val="22"/>
        </w:rPr>
        <w:t>Kada se izvadi iz frižidera, napunjeni injekcioni špric se može čuvati najviše 2 ned</w:t>
      </w:r>
      <w:r w:rsidR="000A085D" w:rsidRPr="00C65707">
        <w:rPr>
          <w:sz w:val="22"/>
          <w:szCs w:val="22"/>
        </w:rPr>
        <w:t>j</w:t>
      </w:r>
      <w:r w:rsidR="00A952A2" w:rsidRPr="00C65707">
        <w:rPr>
          <w:sz w:val="22"/>
          <w:szCs w:val="22"/>
        </w:rPr>
        <w:t>elje na temperaturi do 30°C.</w:t>
      </w:r>
    </w:p>
    <w:p w14:paraId="18AF32A6" w14:textId="77777777" w:rsidR="00C40F7C" w:rsidRPr="00C65707" w:rsidRDefault="00C40F7C" w:rsidP="00CE5678">
      <w:pPr>
        <w:pStyle w:val="Header"/>
        <w:widowControl w:val="0"/>
        <w:tabs>
          <w:tab w:val="left" w:pos="284"/>
        </w:tabs>
        <w:jc w:val="both"/>
        <w:rPr>
          <w:sz w:val="22"/>
          <w:szCs w:val="22"/>
        </w:rPr>
      </w:pPr>
    </w:p>
    <w:p w14:paraId="1436BB50" w14:textId="77777777" w:rsidR="00C40F7C" w:rsidRPr="00C65707" w:rsidRDefault="00C40F7C" w:rsidP="00CE5678">
      <w:pPr>
        <w:pStyle w:val="Header"/>
        <w:widowControl w:val="0"/>
        <w:tabs>
          <w:tab w:val="left" w:pos="284"/>
        </w:tabs>
        <w:jc w:val="both"/>
        <w:rPr>
          <w:sz w:val="22"/>
          <w:szCs w:val="22"/>
        </w:rPr>
      </w:pPr>
      <w:r w:rsidRPr="00C65707">
        <w:rPr>
          <w:sz w:val="22"/>
          <w:szCs w:val="22"/>
        </w:rPr>
        <w:t>Napunjeni injekcioni špric čuvati u spoljašnjem kartonskom pakovanju da se zaštite od svjetlosti i vlage.</w:t>
      </w:r>
    </w:p>
    <w:p w14:paraId="12BC9799" w14:textId="77777777" w:rsidR="00EC2532" w:rsidRPr="00C65707" w:rsidRDefault="00EC2532" w:rsidP="00CE5678">
      <w:pPr>
        <w:widowControl w:val="0"/>
        <w:tabs>
          <w:tab w:val="left" w:pos="540"/>
          <w:tab w:val="left" w:pos="569"/>
        </w:tabs>
        <w:jc w:val="both"/>
        <w:rPr>
          <w:bCs/>
          <w:sz w:val="22"/>
          <w:szCs w:val="22"/>
        </w:rPr>
      </w:pPr>
    </w:p>
    <w:p w14:paraId="68109083" w14:textId="77777777" w:rsidR="0072020E" w:rsidRPr="00C65707" w:rsidRDefault="0072020E" w:rsidP="00CE5678">
      <w:pPr>
        <w:widowControl w:val="0"/>
        <w:tabs>
          <w:tab w:val="left" w:pos="540"/>
          <w:tab w:val="left" w:pos="569"/>
        </w:tabs>
        <w:jc w:val="both"/>
        <w:rPr>
          <w:b/>
          <w:bCs/>
          <w:sz w:val="22"/>
          <w:szCs w:val="22"/>
        </w:rPr>
      </w:pPr>
      <w:r w:rsidRPr="00C65707">
        <w:rPr>
          <w:b/>
          <w:bCs/>
          <w:sz w:val="22"/>
          <w:szCs w:val="22"/>
        </w:rPr>
        <w:t xml:space="preserve">6.5. </w:t>
      </w:r>
      <w:r w:rsidR="00480FB1" w:rsidRPr="00C65707">
        <w:rPr>
          <w:b/>
          <w:bCs/>
          <w:sz w:val="22"/>
          <w:szCs w:val="22"/>
        </w:rPr>
        <w:tab/>
      </w:r>
      <w:r w:rsidR="002846DB" w:rsidRPr="00C65707">
        <w:rPr>
          <w:b/>
          <w:bCs/>
          <w:sz w:val="22"/>
          <w:szCs w:val="22"/>
        </w:rPr>
        <w:t xml:space="preserve">Vrsta i sadržaj </w:t>
      </w:r>
      <w:r w:rsidR="00F8570A" w:rsidRPr="00C65707">
        <w:rPr>
          <w:b/>
          <w:bCs/>
          <w:sz w:val="22"/>
          <w:szCs w:val="22"/>
        </w:rPr>
        <w:t>pakovanja</w:t>
      </w:r>
      <w:r w:rsidR="00C06864" w:rsidRPr="00C65707">
        <w:rPr>
          <w:b/>
          <w:bCs/>
          <w:sz w:val="22"/>
          <w:szCs w:val="22"/>
        </w:rPr>
        <w:t xml:space="preserve"> </w:t>
      </w:r>
    </w:p>
    <w:p w14:paraId="5E84D9D0" w14:textId="77777777" w:rsidR="00C40F7C" w:rsidRPr="00C65707" w:rsidRDefault="00C40F7C" w:rsidP="00CE5678">
      <w:pPr>
        <w:widowControl w:val="0"/>
        <w:tabs>
          <w:tab w:val="left" w:pos="540"/>
          <w:tab w:val="left" w:pos="569"/>
        </w:tabs>
        <w:jc w:val="both"/>
        <w:rPr>
          <w:b/>
          <w:bCs/>
          <w:sz w:val="22"/>
          <w:szCs w:val="22"/>
        </w:rPr>
      </w:pPr>
    </w:p>
    <w:p w14:paraId="29A4F3CE" w14:textId="2DD983BD" w:rsidR="00C40F7C" w:rsidRPr="00C65707" w:rsidRDefault="00C40F7C" w:rsidP="00C65707">
      <w:pPr>
        <w:widowControl w:val="0"/>
        <w:jc w:val="both"/>
        <w:rPr>
          <w:sz w:val="22"/>
          <w:szCs w:val="22"/>
        </w:rPr>
      </w:pPr>
      <w:r w:rsidRPr="00C65707">
        <w:rPr>
          <w:sz w:val="22"/>
          <w:szCs w:val="22"/>
        </w:rPr>
        <w:t>0,9 m</w:t>
      </w:r>
      <w:r w:rsidR="003F20A4" w:rsidRPr="00C65707">
        <w:rPr>
          <w:sz w:val="22"/>
          <w:szCs w:val="22"/>
        </w:rPr>
        <w:t>l</w:t>
      </w:r>
      <w:r w:rsidRPr="00C65707">
        <w:rPr>
          <w:sz w:val="22"/>
          <w:szCs w:val="22"/>
        </w:rPr>
        <w:t xml:space="preserve"> rastvora u napunjenom injekcionom špricu (staklo tipa I) sa pričvršćenom iglom. Injekcioni špric je zatvoren čvrstim zaštitnim pokrivačem za iglu (elastomerski zatvarač sa polipropilenskim zatvaračem) i čepom klipa (butilna guma obložena fluorosmolom).</w:t>
      </w:r>
    </w:p>
    <w:p w14:paraId="3829E740" w14:textId="77777777" w:rsidR="00C40F7C" w:rsidRPr="00C65707" w:rsidRDefault="00C40F7C" w:rsidP="002B3647">
      <w:pPr>
        <w:widowControl w:val="0"/>
        <w:jc w:val="both"/>
        <w:rPr>
          <w:sz w:val="22"/>
          <w:szCs w:val="22"/>
        </w:rPr>
      </w:pPr>
    </w:p>
    <w:p w14:paraId="3A994BAE" w14:textId="28154726" w:rsidR="00C40F7C" w:rsidRPr="00C65707" w:rsidRDefault="00C40F7C">
      <w:pPr>
        <w:widowControl w:val="0"/>
        <w:jc w:val="both"/>
        <w:rPr>
          <w:sz w:val="22"/>
          <w:szCs w:val="22"/>
        </w:rPr>
      </w:pPr>
      <w:r w:rsidRPr="00C65707">
        <w:rPr>
          <w:sz w:val="22"/>
          <w:szCs w:val="22"/>
        </w:rPr>
        <w:t>Dostupna su pakovanja sa 4 napunjena injekciona šprica.</w:t>
      </w:r>
    </w:p>
    <w:p w14:paraId="25F92C5A" w14:textId="77777777" w:rsidR="0072020E" w:rsidRPr="00C65707" w:rsidRDefault="0072020E" w:rsidP="00CE5678">
      <w:pPr>
        <w:widowControl w:val="0"/>
        <w:tabs>
          <w:tab w:val="left" w:pos="540"/>
          <w:tab w:val="left" w:pos="569"/>
        </w:tabs>
        <w:jc w:val="both"/>
        <w:rPr>
          <w:bCs/>
          <w:sz w:val="22"/>
          <w:szCs w:val="22"/>
        </w:rPr>
      </w:pPr>
    </w:p>
    <w:p w14:paraId="63273FE0" w14:textId="64A03A95" w:rsidR="002846DB" w:rsidRPr="00C65707" w:rsidRDefault="0072020E" w:rsidP="00CE5678">
      <w:pPr>
        <w:widowControl w:val="0"/>
        <w:tabs>
          <w:tab w:val="left" w:pos="540"/>
          <w:tab w:val="left" w:pos="569"/>
        </w:tabs>
        <w:jc w:val="both"/>
        <w:rPr>
          <w:b/>
          <w:bCs/>
          <w:sz w:val="22"/>
          <w:szCs w:val="22"/>
        </w:rPr>
      </w:pPr>
      <w:r w:rsidRPr="00C65707">
        <w:rPr>
          <w:b/>
          <w:bCs/>
          <w:sz w:val="22"/>
          <w:szCs w:val="22"/>
        </w:rPr>
        <w:t xml:space="preserve">6.6. </w:t>
      </w:r>
      <w:r w:rsidR="00480FB1" w:rsidRPr="00C65707">
        <w:rPr>
          <w:b/>
          <w:bCs/>
          <w:sz w:val="22"/>
          <w:szCs w:val="22"/>
        </w:rPr>
        <w:tab/>
      </w:r>
      <w:r w:rsidRPr="00C65707">
        <w:rPr>
          <w:b/>
          <w:bCs/>
          <w:color w:val="000000"/>
          <w:sz w:val="22"/>
          <w:szCs w:val="22"/>
        </w:rPr>
        <w:t xml:space="preserve">Posebne mjere opreza </w:t>
      </w:r>
      <w:r w:rsidR="00310F03" w:rsidRPr="00C65707">
        <w:rPr>
          <w:b/>
          <w:bCs/>
          <w:sz w:val="22"/>
          <w:szCs w:val="22"/>
        </w:rPr>
        <w:t>i druga uputsva za rukovanje lijekom</w:t>
      </w:r>
    </w:p>
    <w:p w14:paraId="73CA63A4" w14:textId="77777777" w:rsidR="00B66A70" w:rsidRPr="00C65707" w:rsidRDefault="00B66A70" w:rsidP="00CE5678">
      <w:pPr>
        <w:widowControl w:val="0"/>
        <w:tabs>
          <w:tab w:val="left" w:pos="540"/>
          <w:tab w:val="left" w:pos="569"/>
        </w:tabs>
        <w:jc w:val="both"/>
        <w:rPr>
          <w:b/>
          <w:bCs/>
          <w:sz w:val="22"/>
          <w:szCs w:val="22"/>
        </w:rPr>
      </w:pPr>
    </w:p>
    <w:p w14:paraId="365D80AB" w14:textId="1C7D26FC" w:rsidR="00C40F7C" w:rsidRPr="00C65707" w:rsidRDefault="00C40F7C" w:rsidP="00C65707">
      <w:pPr>
        <w:widowControl w:val="0"/>
        <w:jc w:val="both"/>
        <w:rPr>
          <w:sz w:val="22"/>
          <w:szCs w:val="22"/>
        </w:rPr>
      </w:pPr>
      <w:r w:rsidRPr="00C65707">
        <w:rPr>
          <w:sz w:val="22"/>
          <w:szCs w:val="22"/>
        </w:rPr>
        <w:t>RoActemra dolazi u napunjenom injekcionom špricu za jednokratnu upotrebu koja se nalazi u bezbjednosnom ure</w:t>
      </w:r>
      <w:r w:rsidR="003F20A4" w:rsidRPr="00C65707">
        <w:rPr>
          <w:sz w:val="22"/>
          <w:szCs w:val="22"/>
        </w:rPr>
        <w:t>đ</w:t>
      </w:r>
      <w:r w:rsidRPr="00C65707">
        <w:rPr>
          <w:sz w:val="22"/>
          <w:szCs w:val="22"/>
        </w:rPr>
        <w:t>aju za iglu. Kada se napunjeni injekcioni špric izvadi iz frižidera, treba sačekati najmanje 25</w:t>
      </w:r>
      <w:r w:rsidRPr="00C65707">
        <w:rPr>
          <w:sz w:val="22"/>
          <w:szCs w:val="22"/>
        </w:rPr>
        <w:noBreakHyphen/>
        <w:t xml:space="preserve">30 minuta prije primjene </w:t>
      </w:r>
      <w:r w:rsidR="00BA1325" w:rsidRPr="00C65707">
        <w:rPr>
          <w:sz w:val="22"/>
          <w:szCs w:val="22"/>
        </w:rPr>
        <w:t>injekcije</w:t>
      </w:r>
      <w:r w:rsidRPr="00C65707">
        <w:rPr>
          <w:sz w:val="22"/>
          <w:szCs w:val="22"/>
        </w:rPr>
        <w:t xml:space="preserve"> da se napunjeni injekcioni špric ugrije na sobnoj temperaturi (18°C do 28°C). Napunjeni injekcioni špric ne smije se tresti. Kada se skine zatvarač, primjena lijeka mora započeti u roku od 5 minuta, kako bi se spriječilo sušenje lijeka i začepljenje igle. Ako se napunjeni injekcioni špric ne upotrijebi u roku od 5 mi</w:t>
      </w:r>
      <w:r w:rsidR="00045FBA" w:rsidRPr="00C65707">
        <w:rPr>
          <w:sz w:val="22"/>
          <w:szCs w:val="22"/>
        </w:rPr>
        <w:t xml:space="preserve">nuta nakon skidanja zatvarača, </w:t>
      </w:r>
      <w:r w:rsidRPr="00C65707">
        <w:rPr>
          <w:sz w:val="22"/>
          <w:szCs w:val="22"/>
        </w:rPr>
        <w:t xml:space="preserve">morate </w:t>
      </w:r>
      <w:r w:rsidR="003F20A4" w:rsidRPr="00C65707">
        <w:rPr>
          <w:sz w:val="22"/>
          <w:szCs w:val="22"/>
        </w:rPr>
        <w:t>ga</w:t>
      </w:r>
      <w:r w:rsidRPr="00C65707">
        <w:rPr>
          <w:sz w:val="22"/>
          <w:szCs w:val="22"/>
        </w:rPr>
        <w:t xml:space="preserve"> odložit</w:t>
      </w:r>
      <w:r w:rsidR="003F20A4" w:rsidRPr="00C65707">
        <w:rPr>
          <w:sz w:val="22"/>
          <w:szCs w:val="22"/>
        </w:rPr>
        <w:t>i</w:t>
      </w:r>
      <w:r w:rsidRPr="00C65707">
        <w:rPr>
          <w:sz w:val="22"/>
          <w:szCs w:val="22"/>
        </w:rPr>
        <w:t xml:space="preserve"> u neprobojnu posudu za oštre predmete i upotrijebite novi napunjeni injekcioni špric.</w:t>
      </w:r>
    </w:p>
    <w:p w14:paraId="3C1DDDCA" w14:textId="77777777" w:rsidR="00C40F7C" w:rsidRPr="00C65707" w:rsidRDefault="00C40F7C" w:rsidP="002B3647">
      <w:pPr>
        <w:widowControl w:val="0"/>
        <w:jc w:val="both"/>
        <w:rPr>
          <w:sz w:val="22"/>
          <w:szCs w:val="22"/>
        </w:rPr>
      </w:pPr>
    </w:p>
    <w:p w14:paraId="60D254AA" w14:textId="77777777" w:rsidR="00C40F7C" w:rsidRPr="00C65707" w:rsidRDefault="00C40F7C">
      <w:pPr>
        <w:widowControl w:val="0"/>
        <w:jc w:val="both"/>
        <w:rPr>
          <w:sz w:val="22"/>
          <w:szCs w:val="22"/>
        </w:rPr>
      </w:pPr>
      <w:r w:rsidRPr="00C65707">
        <w:rPr>
          <w:sz w:val="22"/>
          <w:szCs w:val="22"/>
        </w:rPr>
        <w:t>Ako nakon uboda igle ne možete da pritisnete klip, morate da odložite napunjeni injekcioni špric u neprobojnu posudu za oštre predmete i upotrijebite novi napunjeni injekcioni špric.</w:t>
      </w:r>
    </w:p>
    <w:p w14:paraId="0006E623" w14:textId="77777777" w:rsidR="00C40F7C" w:rsidRPr="00C65707" w:rsidRDefault="00C40F7C">
      <w:pPr>
        <w:widowControl w:val="0"/>
        <w:jc w:val="both"/>
        <w:rPr>
          <w:sz w:val="22"/>
          <w:szCs w:val="22"/>
        </w:rPr>
      </w:pPr>
    </w:p>
    <w:p w14:paraId="23B7812B" w14:textId="77777777" w:rsidR="00C40F7C" w:rsidRPr="00C65707" w:rsidRDefault="00C40F7C">
      <w:pPr>
        <w:widowControl w:val="0"/>
        <w:jc w:val="both"/>
        <w:rPr>
          <w:sz w:val="22"/>
          <w:szCs w:val="22"/>
        </w:rPr>
      </w:pPr>
      <w:r w:rsidRPr="00C65707">
        <w:rPr>
          <w:sz w:val="22"/>
          <w:szCs w:val="22"/>
        </w:rPr>
        <w:t>Nemojte da primjenite lijek ako je mutan ili sadrži čestice, ako je bilo koje boje osim bezbojan do blijedo žućkast ili ako bilo koji dio napunjenog injekcionog šprica izgleda oštećen.</w:t>
      </w:r>
    </w:p>
    <w:p w14:paraId="51E307CB" w14:textId="77777777" w:rsidR="00C40F7C" w:rsidRPr="00C65707" w:rsidRDefault="00C40F7C">
      <w:pPr>
        <w:widowControl w:val="0"/>
        <w:jc w:val="both"/>
        <w:rPr>
          <w:sz w:val="22"/>
          <w:szCs w:val="22"/>
        </w:rPr>
      </w:pPr>
    </w:p>
    <w:p w14:paraId="0DAECE91" w14:textId="77777777" w:rsidR="00C40F7C" w:rsidRPr="00C65707" w:rsidRDefault="00C40F7C">
      <w:pPr>
        <w:widowControl w:val="0"/>
        <w:jc w:val="both"/>
        <w:rPr>
          <w:sz w:val="22"/>
          <w:szCs w:val="22"/>
        </w:rPr>
      </w:pPr>
      <w:r w:rsidRPr="00C65707">
        <w:rPr>
          <w:sz w:val="22"/>
          <w:szCs w:val="22"/>
        </w:rPr>
        <w:t>Detaljno uputstvo za primjenu lijeka RoActemra u napunjenom injekcionom špricu nalazi se u Uputstvu za pacijenta.</w:t>
      </w:r>
    </w:p>
    <w:p w14:paraId="06373FA9" w14:textId="77777777" w:rsidR="00C40F7C" w:rsidRPr="00C65707" w:rsidRDefault="00C40F7C">
      <w:pPr>
        <w:widowControl w:val="0"/>
        <w:jc w:val="both"/>
        <w:rPr>
          <w:sz w:val="22"/>
          <w:szCs w:val="22"/>
        </w:rPr>
      </w:pPr>
    </w:p>
    <w:p w14:paraId="1091E59A" w14:textId="77777777" w:rsidR="00C40F7C" w:rsidRPr="00C65707" w:rsidRDefault="00C40F7C">
      <w:pPr>
        <w:widowControl w:val="0"/>
        <w:jc w:val="both"/>
        <w:rPr>
          <w:sz w:val="22"/>
          <w:szCs w:val="22"/>
        </w:rPr>
      </w:pPr>
      <w:r w:rsidRPr="00C65707">
        <w:rPr>
          <w:sz w:val="22"/>
          <w:szCs w:val="22"/>
        </w:rPr>
        <w:t>Neiskorišćeni lijek ili otpadni materijal se uništava u skladu sa lokalnim propisima.</w:t>
      </w:r>
    </w:p>
    <w:p w14:paraId="4822090E" w14:textId="0B680441" w:rsidR="00C40F7C" w:rsidRPr="00C65707" w:rsidRDefault="00C40F7C">
      <w:pPr>
        <w:widowControl w:val="0"/>
        <w:jc w:val="both"/>
        <w:rPr>
          <w:sz w:val="22"/>
          <w:szCs w:val="22"/>
        </w:rPr>
      </w:pPr>
    </w:p>
    <w:p w14:paraId="3077F1E8" w14:textId="77777777" w:rsidR="009759B0" w:rsidRPr="00C65707" w:rsidRDefault="009759B0">
      <w:pPr>
        <w:widowControl w:val="0"/>
        <w:jc w:val="both"/>
        <w:rPr>
          <w:sz w:val="22"/>
          <w:szCs w:val="22"/>
        </w:rPr>
      </w:pPr>
    </w:p>
    <w:p w14:paraId="5CC23C32" w14:textId="77777777" w:rsidR="00F8570A" w:rsidRPr="00C65707" w:rsidRDefault="0072020E" w:rsidP="00CE5678">
      <w:pPr>
        <w:widowControl w:val="0"/>
        <w:tabs>
          <w:tab w:val="left" w:pos="540"/>
          <w:tab w:val="left" w:pos="569"/>
        </w:tabs>
        <w:jc w:val="both"/>
        <w:rPr>
          <w:b/>
          <w:bCs/>
          <w:sz w:val="22"/>
          <w:szCs w:val="22"/>
        </w:rPr>
      </w:pPr>
      <w:r w:rsidRPr="00C65707">
        <w:rPr>
          <w:b/>
          <w:bCs/>
          <w:sz w:val="22"/>
          <w:szCs w:val="22"/>
        </w:rPr>
        <w:t xml:space="preserve">7. </w:t>
      </w:r>
      <w:r w:rsidR="00480FB1" w:rsidRPr="00C65707">
        <w:rPr>
          <w:b/>
          <w:bCs/>
          <w:sz w:val="22"/>
          <w:szCs w:val="22"/>
        </w:rPr>
        <w:tab/>
      </w:r>
      <w:r w:rsidRPr="00C65707">
        <w:rPr>
          <w:b/>
          <w:bCs/>
          <w:sz w:val="22"/>
          <w:szCs w:val="22"/>
        </w:rPr>
        <w:t>NOSILAC DOZVOLE</w:t>
      </w:r>
      <w:r w:rsidR="00483928" w:rsidRPr="00C65707">
        <w:rPr>
          <w:b/>
          <w:bCs/>
          <w:sz w:val="22"/>
          <w:szCs w:val="22"/>
        </w:rPr>
        <w:t xml:space="preserve"> </w:t>
      </w:r>
    </w:p>
    <w:p w14:paraId="228C2966" w14:textId="77777777" w:rsidR="00C61BE0" w:rsidRPr="00C65707" w:rsidRDefault="00C61BE0" w:rsidP="00CE5678">
      <w:pPr>
        <w:widowControl w:val="0"/>
        <w:tabs>
          <w:tab w:val="left" w:pos="540"/>
          <w:tab w:val="left" w:pos="569"/>
        </w:tabs>
        <w:jc w:val="both"/>
        <w:rPr>
          <w:bCs/>
          <w:sz w:val="22"/>
          <w:szCs w:val="22"/>
        </w:rPr>
      </w:pPr>
    </w:p>
    <w:p w14:paraId="51FE56C9" w14:textId="084D40D5" w:rsidR="00C0104D" w:rsidRPr="00C65707" w:rsidRDefault="00C0104D" w:rsidP="002B3647">
      <w:pPr>
        <w:pStyle w:val="Header"/>
        <w:widowControl w:val="0"/>
        <w:tabs>
          <w:tab w:val="left" w:pos="284"/>
        </w:tabs>
        <w:jc w:val="both"/>
        <w:rPr>
          <w:sz w:val="22"/>
          <w:szCs w:val="22"/>
        </w:rPr>
      </w:pPr>
      <w:r w:rsidRPr="00C65707">
        <w:rPr>
          <w:sz w:val="22"/>
          <w:szCs w:val="22"/>
        </w:rPr>
        <w:t>Hoffmann-La Roche Ltd</w:t>
      </w:r>
      <w:r w:rsidR="009759B0" w:rsidRPr="00C65707">
        <w:rPr>
          <w:sz w:val="22"/>
          <w:szCs w:val="22"/>
        </w:rPr>
        <w:t xml:space="preserve">, </w:t>
      </w:r>
      <w:r w:rsidRPr="00C65707">
        <w:rPr>
          <w:sz w:val="22"/>
          <w:szCs w:val="22"/>
        </w:rPr>
        <w:t xml:space="preserve">Dio stranog društva Podgorica </w:t>
      </w:r>
    </w:p>
    <w:p w14:paraId="48414116" w14:textId="648802B5" w:rsidR="00C0104D" w:rsidRPr="00C65707" w:rsidRDefault="00C0104D">
      <w:pPr>
        <w:pStyle w:val="Header"/>
        <w:widowControl w:val="0"/>
        <w:tabs>
          <w:tab w:val="left" w:pos="284"/>
        </w:tabs>
        <w:jc w:val="both"/>
        <w:rPr>
          <w:sz w:val="22"/>
          <w:szCs w:val="22"/>
        </w:rPr>
      </w:pPr>
      <w:r w:rsidRPr="00C65707">
        <w:rPr>
          <w:sz w:val="22"/>
          <w:szCs w:val="22"/>
        </w:rPr>
        <w:t>Cetinjska br. 11</w:t>
      </w:r>
      <w:r w:rsidR="009759B0" w:rsidRPr="00C65707">
        <w:rPr>
          <w:sz w:val="22"/>
          <w:szCs w:val="22"/>
        </w:rPr>
        <w:t xml:space="preserve">, </w:t>
      </w:r>
      <w:r w:rsidRPr="00C65707">
        <w:rPr>
          <w:sz w:val="22"/>
          <w:szCs w:val="22"/>
        </w:rPr>
        <w:t>81000 Podgorica</w:t>
      </w:r>
      <w:r w:rsidR="009759B0" w:rsidRPr="00C65707">
        <w:rPr>
          <w:sz w:val="22"/>
          <w:szCs w:val="22"/>
        </w:rPr>
        <w:t xml:space="preserve">, </w:t>
      </w:r>
      <w:r w:rsidRPr="00C65707">
        <w:rPr>
          <w:sz w:val="22"/>
          <w:szCs w:val="22"/>
        </w:rPr>
        <w:t>Crna Gora</w:t>
      </w:r>
    </w:p>
    <w:p w14:paraId="0A6AB7AC" w14:textId="5A74D123" w:rsidR="00C37FD7" w:rsidRPr="00C65707" w:rsidRDefault="00C37FD7" w:rsidP="00CE5678">
      <w:pPr>
        <w:widowControl w:val="0"/>
        <w:tabs>
          <w:tab w:val="left" w:pos="540"/>
          <w:tab w:val="left" w:pos="569"/>
        </w:tabs>
        <w:jc w:val="both"/>
        <w:rPr>
          <w:bCs/>
          <w:sz w:val="22"/>
          <w:szCs w:val="22"/>
        </w:rPr>
      </w:pPr>
    </w:p>
    <w:p w14:paraId="4E8821A7" w14:textId="77777777" w:rsidR="009759B0" w:rsidRPr="00C65707" w:rsidRDefault="009759B0" w:rsidP="00CE5678">
      <w:pPr>
        <w:widowControl w:val="0"/>
        <w:tabs>
          <w:tab w:val="left" w:pos="540"/>
          <w:tab w:val="left" w:pos="569"/>
        </w:tabs>
        <w:jc w:val="both"/>
        <w:rPr>
          <w:bCs/>
          <w:sz w:val="22"/>
          <w:szCs w:val="22"/>
        </w:rPr>
      </w:pPr>
    </w:p>
    <w:p w14:paraId="3B14EA52" w14:textId="77777777" w:rsidR="0072020E" w:rsidRPr="00C65707" w:rsidRDefault="0072020E" w:rsidP="00CE5678">
      <w:pPr>
        <w:widowControl w:val="0"/>
        <w:tabs>
          <w:tab w:val="left" w:pos="540"/>
          <w:tab w:val="left" w:pos="569"/>
        </w:tabs>
        <w:jc w:val="both"/>
        <w:rPr>
          <w:b/>
          <w:bCs/>
          <w:sz w:val="22"/>
          <w:szCs w:val="22"/>
        </w:rPr>
      </w:pPr>
      <w:r w:rsidRPr="00C65707">
        <w:rPr>
          <w:b/>
          <w:bCs/>
          <w:sz w:val="22"/>
          <w:szCs w:val="22"/>
        </w:rPr>
        <w:t xml:space="preserve">8. </w:t>
      </w:r>
      <w:r w:rsidR="00480FB1" w:rsidRPr="00C65707">
        <w:rPr>
          <w:b/>
          <w:bCs/>
          <w:sz w:val="22"/>
          <w:szCs w:val="22"/>
        </w:rPr>
        <w:tab/>
      </w:r>
      <w:r w:rsidRPr="00C65707">
        <w:rPr>
          <w:b/>
          <w:bCs/>
          <w:sz w:val="22"/>
          <w:szCs w:val="22"/>
        </w:rPr>
        <w:t>BROJ DOZVOLE</w:t>
      </w:r>
      <w:r w:rsidR="008A6D43" w:rsidRPr="00C65707">
        <w:rPr>
          <w:b/>
          <w:bCs/>
          <w:sz w:val="22"/>
          <w:szCs w:val="22"/>
        </w:rPr>
        <w:t xml:space="preserve"> ZA STAVLJANJE LIJEKA U PROMET</w:t>
      </w:r>
    </w:p>
    <w:p w14:paraId="3B146762" w14:textId="4F30B3D3" w:rsidR="009759B0" w:rsidRPr="00C65707" w:rsidRDefault="009759B0" w:rsidP="00CE5678">
      <w:pPr>
        <w:widowControl w:val="0"/>
        <w:jc w:val="both"/>
        <w:rPr>
          <w:sz w:val="22"/>
          <w:szCs w:val="22"/>
        </w:rPr>
      </w:pPr>
    </w:p>
    <w:p w14:paraId="2C6E2568" w14:textId="0A034901" w:rsidR="00C0104D" w:rsidRPr="00C65707" w:rsidRDefault="00C0104D" w:rsidP="00CE5678">
      <w:pPr>
        <w:widowControl w:val="0"/>
        <w:jc w:val="both"/>
        <w:rPr>
          <w:sz w:val="22"/>
          <w:szCs w:val="22"/>
        </w:rPr>
      </w:pPr>
      <w:r w:rsidRPr="00C65707">
        <w:rPr>
          <w:sz w:val="22"/>
          <w:szCs w:val="22"/>
        </w:rPr>
        <w:t>2030/15/378 - 4815</w:t>
      </w:r>
    </w:p>
    <w:p w14:paraId="189DC38D" w14:textId="03F81B65" w:rsidR="00F45F77" w:rsidRPr="00C65707" w:rsidRDefault="00F45F77" w:rsidP="00CE5678">
      <w:pPr>
        <w:widowControl w:val="0"/>
        <w:tabs>
          <w:tab w:val="left" w:pos="540"/>
          <w:tab w:val="left" w:pos="569"/>
        </w:tabs>
        <w:jc w:val="both"/>
        <w:rPr>
          <w:bCs/>
          <w:sz w:val="22"/>
          <w:szCs w:val="22"/>
        </w:rPr>
      </w:pPr>
    </w:p>
    <w:p w14:paraId="603F9787" w14:textId="77777777" w:rsidR="009759B0" w:rsidRPr="00C65707" w:rsidRDefault="009759B0" w:rsidP="00CE5678">
      <w:pPr>
        <w:widowControl w:val="0"/>
        <w:tabs>
          <w:tab w:val="left" w:pos="540"/>
          <w:tab w:val="left" w:pos="569"/>
        </w:tabs>
        <w:jc w:val="both"/>
        <w:rPr>
          <w:bCs/>
          <w:sz w:val="22"/>
          <w:szCs w:val="22"/>
        </w:rPr>
      </w:pPr>
    </w:p>
    <w:p w14:paraId="7763B79C" w14:textId="77A681CB" w:rsidR="0072020E" w:rsidRPr="00C65707" w:rsidRDefault="0072020E" w:rsidP="00CE5678">
      <w:pPr>
        <w:widowControl w:val="0"/>
        <w:tabs>
          <w:tab w:val="left" w:pos="540"/>
          <w:tab w:val="left" w:pos="569"/>
        </w:tabs>
        <w:jc w:val="both"/>
        <w:rPr>
          <w:b/>
          <w:bCs/>
          <w:sz w:val="22"/>
          <w:szCs w:val="22"/>
        </w:rPr>
      </w:pPr>
      <w:r w:rsidRPr="00C65707">
        <w:rPr>
          <w:b/>
          <w:bCs/>
          <w:sz w:val="22"/>
          <w:szCs w:val="22"/>
        </w:rPr>
        <w:t xml:space="preserve">9. </w:t>
      </w:r>
      <w:r w:rsidR="00480FB1" w:rsidRPr="00C65707">
        <w:rPr>
          <w:b/>
          <w:bCs/>
          <w:sz w:val="22"/>
          <w:szCs w:val="22"/>
        </w:rPr>
        <w:tab/>
      </w:r>
      <w:r w:rsidRPr="00C65707">
        <w:rPr>
          <w:b/>
          <w:bCs/>
          <w:sz w:val="22"/>
          <w:szCs w:val="22"/>
        </w:rPr>
        <w:t xml:space="preserve">DATUM </w:t>
      </w:r>
      <w:r w:rsidR="00C05DF8" w:rsidRPr="00C65707">
        <w:rPr>
          <w:b/>
          <w:bCs/>
          <w:sz w:val="22"/>
          <w:szCs w:val="22"/>
        </w:rPr>
        <w:t xml:space="preserve">PRVE </w:t>
      </w:r>
      <w:r w:rsidR="008A6D43" w:rsidRPr="00C65707">
        <w:rPr>
          <w:b/>
          <w:bCs/>
          <w:sz w:val="22"/>
          <w:szCs w:val="22"/>
        </w:rPr>
        <w:t>DOZVOLE</w:t>
      </w:r>
      <w:r w:rsidR="00BA1325" w:rsidRPr="00C65707">
        <w:rPr>
          <w:b/>
          <w:bCs/>
          <w:sz w:val="22"/>
          <w:szCs w:val="22"/>
        </w:rPr>
        <w:t xml:space="preserve"> </w:t>
      </w:r>
      <w:r w:rsidR="00C05DF8" w:rsidRPr="00C65707">
        <w:rPr>
          <w:b/>
          <w:bCs/>
          <w:sz w:val="22"/>
          <w:szCs w:val="22"/>
        </w:rPr>
        <w:t>/</w:t>
      </w:r>
      <w:r w:rsidR="00BA1325" w:rsidRPr="00C65707">
        <w:rPr>
          <w:b/>
          <w:bCs/>
          <w:sz w:val="22"/>
          <w:szCs w:val="22"/>
        </w:rPr>
        <w:t xml:space="preserve"> </w:t>
      </w:r>
      <w:r w:rsidR="00C05DF8" w:rsidRPr="00C65707">
        <w:rPr>
          <w:b/>
          <w:bCs/>
          <w:sz w:val="22"/>
          <w:szCs w:val="22"/>
        </w:rPr>
        <w:t>OBNOVE DOZVOLE</w:t>
      </w:r>
      <w:r w:rsidR="008A6D43" w:rsidRPr="00C65707">
        <w:rPr>
          <w:b/>
          <w:bCs/>
          <w:sz w:val="22"/>
          <w:szCs w:val="22"/>
        </w:rPr>
        <w:t xml:space="preserve"> ZA STAVLJANJE LIJEKA U PROMET</w:t>
      </w:r>
    </w:p>
    <w:p w14:paraId="4787CF23" w14:textId="77777777" w:rsidR="0072020E" w:rsidRPr="00C65707" w:rsidRDefault="0072020E" w:rsidP="00CE5678">
      <w:pPr>
        <w:widowControl w:val="0"/>
        <w:tabs>
          <w:tab w:val="left" w:pos="540"/>
          <w:tab w:val="left" w:pos="569"/>
        </w:tabs>
        <w:jc w:val="both"/>
        <w:rPr>
          <w:bCs/>
          <w:sz w:val="22"/>
          <w:szCs w:val="22"/>
        </w:rPr>
      </w:pPr>
    </w:p>
    <w:p w14:paraId="4022481C" w14:textId="069C3B1E" w:rsidR="00C0104D" w:rsidRPr="00C65707" w:rsidRDefault="00C0104D" w:rsidP="00CE5678">
      <w:pPr>
        <w:widowControl w:val="0"/>
        <w:jc w:val="both"/>
        <w:rPr>
          <w:sz w:val="22"/>
          <w:szCs w:val="22"/>
        </w:rPr>
      </w:pPr>
      <w:r w:rsidRPr="00C65707">
        <w:rPr>
          <w:sz w:val="22"/>
          <w:szCs w:val="22"/>
        </w:rPr>
        <w:t>18.</w:t>
      </w:r>
      <w:r w:rsidR="00BA1325" w:rsidRPr="00C65707">
        <w:rPr>
          <w:sz w:val="22"/>
          <w:szCs w:val="22"/>
        </w:rPr>
        <w:t xml:space="preserve"> </w:t>
      </w:r>
      <w:r w:rsidRPr="00C65707">
        <w:rPr>
          <w:sz w:val="22"/>
          <w:szCs w:val="22"/>
        </w:rPr>
        <w:t>09.</w:t>
      </w:r>
      <w:r w:rsidR="00BA1325" w:rsidRPr="00C65707">
        <w:rPr>
          <w:sz w:val="22"/>
          <w:szCs w:val="22"/>
        </w:rPr>
        <w:t xml:space="preserve"> </w:t>
      </w:r>
      <w:r w:rsidRPr="00C65707">
        <w:rPr>
          <w:sz w:val="22"/>
          <w:szCs w:val="22"/>
        </w:rPr>
        <w:t>2015. godine</w:t>
      </w:r>
    </w:p>
    <w:p w14:paraId="7E351E34" w14:textId="734EDCEB" w:rsidR="00836B35" w:rsidRPr="00C65707" w:rsidRDefault="00836B35" w:rsidP="00CE5678">
      <w:pPr>
        <w:widowControl w:val="0"/>
        <w:tabs>
          <w:tab w:val="left" w:pos="540"/>
          <w:tab w:val="left" w:pos="569"/>
        </w:tabs>
        <w:jc w:val="both"/>
        <w:rPr>
          <w:bCs/>
          <w:sz w:val="22"/>
          <w:szCs w:val="22"/>
        </w:rPr>
      </w:pPr>
    </w:p>
    <w:p w14:paraId="337E2346" w14:textId="77777777" w:rsidR="009759B0" w:rsidRPr="00C65707" w:rsidRDefault="009759B0" w:rsidP="00CE5678">
      <w:pPr>
        <w:widowControl w:val="0"/>
        <w:tabs>
          <w:tab w:val="left" w:pos="540"/>
          <w:tab w:val="left" w:pos="569"/>
        </w:tabs>
        <w:jc w:val="both"/>
        <w:rPr>
          <w:bCs/>
          <w:sz w:val="22"/>
          <w:szCs w:val="22"/>
        </w:rPr>
      </w:pPr>
    </w:p>
    <w:p w14:paraId="56D4AE65" w14:textId="77777777" w:rsidR="003F6A59" w:rsidRPr="00C65707" w:rsidRDefault="0072020E" w:rsidP="00CE5678">
      <w:pPr>
        <w:widowControl w:val="0"/>
        <w:tabs>
          <w:tab w:val="left" w:pos="540"/>
          <w:tab w:val="left" w:pos="569"/>
        </w:tabs>
        <w:ind w:left="540" w:hanging="540"/>
        <w:jc w:val="both"/>
        <w:rPr>
          <w:bCs/>
          <w:sz w:val="22"/>
          <w:szCs w:val="22"/>
        </w:rPr>
      </w:pPr>
      <w:r w:rsidRPr="00C65707">
        <w:rPr>
          <w:b/>
          <w:bCs/>
          <w:sz w:val="22"/>
          <w:szCs w:val="22"/>
        </w:rPr>
        <w:t xml:space="preserve">10. </w:t>
      </w:r>
      <w:r w:rsidR="00480FB1" w:rsidRPr="00C65707">
        <w:rPr>
          <w:b/>
          <w:bCs/>
          <w:sz w:val="22"/>
          <w:szCs w:val="22"/>
        </w:rPr>
        <w:tab/>
      </w:r>
      <w:r w:rsidR="002846DB" w:rsidRPr="00C65707">
        <w:rPr>
          <w:b/>
          <w:bCs/>
          <w:sz w:val="22"/>
          <w:szCs w:val="22"/>
        </w:rPr>
        <w:t>D</w:t>
      </w:r>
      <w:r w:rsidR="00EC2532" w:rsidRPr="00C65707">
        <w:rPr>
          <w:b/>
          <w:bCs/>
          <w:sz w:val="22"/>
          <w:szCs w:val="22"/>
        </w:rPr>
        <w:t xml:space="preserve">ATUM REVIZIJE TEKSTA </w:t>
      </w:r>
    </w:p>
    <w:p w14:paraId="38333C1F" w14:textId="77777777" w:rsidR="003F6A59" w:rsidRPr="00C65707" w:rsidRDefault="003F6A59" w:rsidP="00CE5678">
      <w:pPr>
        <w:widowControl w:val="0"/>
        <w:tabs>
          <w:tab w:val="left" w:pos="540"/>
          <w:tab w:val="left" w:pos="569"/>
        </w:tabs>
        <w:jc w:val="both"/>
        <w:rPr>
          <w:bCs/>
          <w:sz w:val="22"/>
          <w:szCs w:val="22"/>
          <w:highlight w:val="yellow"/>
        </w:rPr>
      </w:pPr>
    </w:p>
    <w:p w14:paraId="20964C87" w14:textId="1BE80532" w:rsidR="00C0104D" w:rsidRPr="00C65707" w:rsidRDefault="0093644B" w:rsidP="00C65707">
      <w:pPr>
        <w:pStyle w:val="Header"/>
        <w:widowControl w:val="0"/>
        <w:tabs>
          <w:tab w:val="left" w:pos="284"/>
        </w:tabs>
        <w:jc w:val="both"/>
        <w:rPr>
          <w:sz w:val="22"/>
          <w:szCs w:val="22"/>
        </w:rPr>
      </w:pPr>
      <w:r>
        <w:rPr>
          <w:sz w:val="22"/>
          <w:szCs w:val="22"/>
        </w:rPr>
        <w:t>Jun</w:t>
      </w:r>
      <w:bookmarkStart w:id="3" w:name="_GoBack"/>
      <w:bookmarkEnd w:id="3"/>
      <w:r w:rsidR="00414E80" w:rsidRPr="00C65707">
        <w:rPr>
          <w:sz w:val="22"/>
          <w:szCs w:val="22"/>
        </w:rPr>
        <w:t>, 202</w:t>
      </w:r>
      <w:r w:rsidR="00BA1325" w:rsidRPr="00C65707">
        <w:rPr>
          <w:sz w:val="22"/>
          <w:szCs w:val="22"/>
        </w:rPr>
        <w:t>5</w:t>
      </w:r>
      <w:r w:rsidR="00414E80" w:rsidRPr="00C65707">
        <w:rPr>
          <w:sz w:val="22"/>
          <w:szCs w:val="22"/>
        </w:rPr>
        <w:t>. godine</w:t>
      </w:r>
    </w:p>
    <w:p w14:paraId="410293A9" w14:textId="0C04467D" w:rsidR="003F6A59" w:rsidRPr="00C65707" w:rsidRDefault="003F6A59" w:rsidP="00CE5678">
      <w:pPr>
        <w:widowControl w:val="0"/>
        <w:jc w:val="both"/>
        <w:rPr>
          <w:sz w:val="22"/>
          <w:szCs w:val="22"/>
        </w:rPr>
      </w:pPr>
    </w:p>
    <w:sectPr w:rsidR="003F6A59" w:rsidRPr="00C65707" w:rsidSect="00CE5678">
      <w:headerReference w:type="default" r:id="rId15"/>
      <w:footerReference w:type="default" r:id="rId16"/>
      <w:pgSz w:w="11909" w:h="16834" w:code="9"/>
      <w:pgMar w:top="851" w:right="1418" w:bottom="851"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8B0D1" w14:textId="77777777" w:rsidR="00BB1EE7" w:rsidRDefault="00BB1EE7">
      <w:r>
        <w:separator/>
      </w:r>
    </w:p>
  </w:endnote>
  <w:endnote w:type="continuationSeparator" w:id="0">
    <w:p w14:paraId="340B4B67" w14:textId="77777777" w:rsidR="00BB1EE7" w:rsidRDefault="00BB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521D2" w14:textId="22E7411C" w:rsidR="005B21F5" w:rsidRPr="00B23F69" w:rsidRDefault="005B21F5"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3644B">
      <w:rPr>
        <w:noProof/>
        <w:sz w:val="22"/>
        <w:szCs w:val="22"/>
      </w:rPr>
      <w:t>32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3644B">
      <w:rPr>
        <w:noProof/>
        <w:sz w:val="22"/>
        <w:szCs w:val="22"/>
      </w:rPr>
      <w:t>34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22FF8" w14:textId="77777777" w:rsidR="00BB1EE7" w:rsidRDefault="00BB1EE7">
      <w:r>
        <w:separator/>
      </w:r>
    </w:p>
  </w:footnote>
  <w:footnote w:type="continuationSeparator" w:id="0">
    <w:p w14:paraId="0FAD19C6" w14:textId="77777777" w:rsidR="00BB1EE7" w:rsidRDefault="00BB1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6C510" w14:textId="77777777" w:rsidR="005B21F5" w:rsidRDefault="005B21F5" w:rsidP="009759B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5.75pt;height:13.5pt;visibility:visible;mso-wrap-style:square" o:bullet="t">
        <v:imagedata r:id="rId1" o:title=""/>
      </v:shape>
    </w:pict>
  </w:numPicBullet>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869DA"/>
    <w:multiLevelType w:val="hybridMultilevel"/>
    <w:tmpl w:val="4A306642"/>
    <w:lvl w:ilvl="0" w:tplc="6788366A">
      <w:start w:val="1"/>
      <w:numFmt w:val="bullet"/>
      <w:lvlText w:val=""/>
      <w:lvlJc w:val="left"/>
      <w:pPr>
        <w:ind w:left="456" w:hanging="284"/>
      </w:pPr>
      <w:rPr>
        <w:rFonts w:ascii="Symbol" w:eastAsia="Symbol" w:hAnsi="Symbol" w:hint="default"/>
        <w:w w:val="76"/>
        <w:sz w:val="22"/>
        <w:szCs w:val="22"/>
      </w:rPr>
    </w:lvl>
    <w:lvl w:ilvl="1" w:tplc="F2EAB6D8">
      <w:start w:val="1"/>
      <w:numFmt w:val="bullet"/>
      <w:lvlText w:val=""/>
      <w:lvlJc w:val="left"/>
      <w:pPr>
        <w:ind w:left="456" w:hanging="140"/>
      </w:pPr>
      <w:rPr>
        <w:rFonts w:ascii="Symbol" w:eastAsia="Symbol" w:hAnsi="Symbol" w:hint="default"/>
        <w:w w:val="76"/>
        <w:sz w:val="22"/>
        <w:szCs w:val="22"/>
      </w:rPr>
    </w:lvl>
    <w:lvl w:ilvl="2" w:tplc="141E2590">
      <w:start w:val="1"/>
      <w:numFmt w:val="bullet"/>
      <w:lvlText w:val="•"/>
      <w:lvlJc w:val="left"/>
      <w:pPr>
        <w:ind w:left="1545" w:hanging="140"/>
      </w:pPr>
      <w:rPr>
        <w:rFonts w:hint="default"/>
      </w:rPr>
    </w:lvl>
    <w:lvl w:ilvl="3" w:tplc="8E7A8AB6">
      <w:start w:val="1"/>
      <w:numFmt w:val="bullet"/>
      <w:lvlText w:val="•"/>
      <w:lvlJc w:val="left"/>
      <w:pPr>
        <w:ind w:left="2634" w:hanging="140"/>
      </w:pPr>
      <w:rPr>
        <w:rFonts w:hint="default"/>
      </w:rPr>
    </w:lvl>
    <w:lvl w:ilvl="4" w:tplc="F7F07BEC">
      <w:start w:val="1"/>
      <w:numFmt w:val="bullet"/>
      <w:lvlText w:val="•"/>
      <w:lvlJc w:val="left"/>
      <w:pPr>
        <w:ind w:left="3724" w:hanging="140"/>
      </w:pPr>
      <w:rPr>
        <w:rFonts w:hint="default"/>
      </w:rPr>
    </w:lvl>
    <w:lvl w:ilvl="5" w:tplc="796C8A62">
      <w:start w:val="1"/>
      <w:numFmt w:val="bullet"/>
      <w:lvlText w:val="•"/>
      <w:lvlJc w:val="left"/>
      <w:pPr>
        <w:ind w:left="4813" w:hanging="140"/>
      </w:pPr>
      <w:rPr>
        <w:rFonts w:hint="default"/>
      </w:rPr>
    </w:lvl>
    <w:lvl w:ilvl="6" w:tplc="7AFA609E">
      <w:start w:val="1"/>
      <w:numFmt w:val="bullet"/>
      <w:lvlText w:val="•"/>
      <w:lvlJc w:val="left"/>
      <w:pPr>
        <w:ind w:left="5902" w:hanging="140"/>
      </w:pPr>
      <w:rPr>
        <w:rFonts w:hint="default"/>
      </w:rPr>
    </w:lvl>
    <w:lvl w:ilvl="7" w:tplc="F1D8B152">
      <w:start w:val="1"/>
      <w:numFmt w:val="bullet"/>
      <w:lvlText w:val="•"/>
      <w:lvlJc w:val="left"/>
      <w:pPr>
        <w:ind w:left="6992" w:hanging="140"/>
      </w:pPr>
      <w:rPr>
        <w:rFonts w:hint="default"/>
      </w:rPr>
    </w:lvl>
    <w:lvl w:ilvl="8" w:tplc="08562E5C">
      <w:start w:val="1"/>
      <w:numFmt w:val="bullet"/>
      <w:lvlText w:val="•"/>
      <w:lvlJc w:val="left"/>
      <w:pPr>
        <w:ind w:left="8081" w:hanging="140"/>
      </w:pPr>
      <w:rPr>
        <w:rFonts w:hint="default"/>
      </w:rPr>
    </w:lvl>
  </w:abstractNum>
  <w:abstractNum w:abstractNumId="1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C662CCA"/>
    <w:multiLevelType w:val="hybridMultilevel"/>
    <w:tmpl w:val="14A0C5EE"/>
    <w:lvl w:ilvl="0" w:tplc="C4C8D842">
      <w:start w:val="1"/>
      <w:numFmt w:val="bullet"/>
      <w:lvlText w:val=""/>
      <w:lvlPicBulletId w:val="0"/>
      <w:lvlJc w:val="left"/>
      <w:pPr>
        <w:tabs>
          <w:tab w:val="num" w:pos="720"/>
        </w:tabs>
        <w:ind w:left="720" w:hanging="360"/>
      </w:pPr>
      <w:rPr>
        <w:rFonts w:ascii="Symbol" w:hAnsi="Symbol" w:hint="default"/>
      </w:rPr>
    </w:lvl>
    <w:lvl w:ilvl="1" w:tplc="0868FF2A" w:tentative="1">
      <w:start w:val="1"/>
      <w:numFmt w:val="bullet"/>
      <w:lvlText w:val=""/>
      <w:lvlJc w:val="left"/>
      <w:pPr>
        <w:tabs>
          <w:tab w:val="num" w:pos="1440"/>
        </w:tabs>
        <w:ind w:left="1440" w:hanging="360"/>
      </w:pPr>
      <w:rPr>
        <w:rFonts w:ascii="Symbol" w:hAnsi="Symbol" w:hint="default"/>
      </w:rPr>
    </w:lvl>
    <w:lvl w:ilvl="2" w:tplc="A09E804A" w:tentative="1">
      <w:start w:val="1"/>
      <w:numFmt w:val="bullet"/>
      <w:lvlText w:val=""/>
      <w:lvlJc w:val="left"/>
      <w:pPr>
        <w:tabs>
          <w:tab w:val="num" w:pos="2160"/>
        </w:tabs>
        <w:ind w:left="2160" w:hanging="360"/>
      </w:pPr>
      <w:rPr>
        <w:rFonts w:ascii="Symbol" w:hAnsi="Symbol" w:hint="default"/>
      </w:rPr>
    </w:lvl>
    <w:lvl w:ilvl="3" w:tplc="17D6D150" w:tentative="1">
      <w:start w:val="1"/>
      <w:numFmt w:val="bullet"/>
      <w:lvlText w:val=""/>
      <w:lvlJc w:val="left"/>
      <w:pPr>
        <w:tabs>
          <w:tab w:val="num" w:pos="2880"/>
        </w:tabs>
        <w:ind w:left="2880" w:hanging="360"/>
      </w:pPr>
      <w:rPr>
        <w:rFonts w:ascii="Symbol" w:hAnsi="Symbol" w:hint="default"/>
      </w:rPr>
    </w:lvl>
    <w:lvl w:ilvl="4" w:tplc="8DF8CCCA" w:tentative="1">
      <w:start w:val="1"/>
      <w:numFmt w:val="bullet"/>
      <w:lvlText w:val=""/>
      <w:lvlJc w:val="left"/>
      <w:pPr>
        <w:tabs>
          <w:tab w:val="num" w:pos="3600"/>
        </w:tabs>
        <w:ind w:left="3600" w:hanging="360"/>
      </w:pPr>
      <w:rPr>
        <w:rFonts w:ascii="Symbol" w:hAnsi="Symbol" w:hint="default"/>
      </w:rPr>
    </w:lvl>
    <w:lvl w:ilvl="5" w:tplc="E15C078C" w:tentative="1">
      <w:start w:val="1"/>
      <w:numFmt w:val="bullet"/>
      <w:lvlText w:val=""/>
      <w:lvlJc w:val="left"/>
      <w:pPr>
        <w:tabs>
          <w:tab w:val="num" w:pos="4320"/>
        </w:tabs>
        <w:ind w:left="4320" w:hanging="360"/>
      </w:pPr>
      <w:rPr>
        <w:rFonts w:ascii="Symbol" w:hAnsi="Symbol" w:hint="default"/>
      </w:rPr>
    </w:lvl>
    <w:lvl w:ilvl="6" w:tplc="BEE851FE" w:tentative="1">
      <w:start w:val="1"/>
      <w:numFmt w:val="bullet"/>
      <w:lvlText w:val=""/>
      <w:lvlJc w:val="left"/>
      <w:pPr>
        <w:tabs>
          <w:tab w:val="num" w:pos="5040"/>
        </w:tabs>
        <w:ind w:left="5040" w:hanging="360"/>
      </w:pPr>
      <w:rPr>
        <w:rFonts w:ascii="Symbol" w:hAnsi="Symbol" w:hint="default"/>
      </w:rPr>
    </w:lvl>
    <w:lvl w:ilvl="7" w:tplc="F2CAF0A8" w:tentative="1">
      <w:start w:val="1"/>
      <w:numFmt w:val="bullet"/>
      <w:lvlText w:val=""/>
      <w:lvlJc w:val="left"/>
      <w:pPr>
        <w:tabs>
          <w:tab w:val="num" w:pos="5760"/>
        </w:tabs>
        <w:ind w:left="5760" w:hanging="360"/>
      </w:pPr>
      <w:rPr>
        <w:rFonts w:ascii="Symbol" w:hAnsi="Symbol" w:hint="default"/>
      </w:rPr>
    </w:lvl>
    <w:lvl w:ilvl="8" w:tplc="E5D6C55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40DE45DB"/>
    <w:multiLevelType w:val="hybridMultilevel"/>
    <w:tmpl w:val="9AAE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8"/>
  </w:num>
  <w:num w:numId="3">
    <w:abstractNumId w:val="11"/>
  </w:num>
  <w:num w:numId="4">
    <w:abstractNumId w:val="25"/>
  </w:num>
  <w:num w:numId="5">
    <w:abstractNumId w:val="16"/>
  </w:num>
  <w:num w:numId="6">
    <w:abstractNumId w:val="12"/>
  </w:num>
  <w:num w:numId="7">
    <w:abstractNumId w:val="24"/>
  </w:num>
  <w:num w:numId="8">
    <w:abstractNumId w:val="15"/>
  </w:num>
  <w:num w:numId="9">
    <w:abstractNumId w:val="20"/>
  </w:num>
  <w:num w:numId="10">
    <w:abstractNumId w:val="29"/>
  </w:num>
  <w:num w:numId="11">
    <w:abstractNumId w:val="17"/>
  </w:num>
  <w:num w:numId="12">
    <w:abstractNumId w:val="13"/>
  </w:num>
  <w:num w:numId="13">
    <w:abstractNumId w:val="22"/>
  </w:num>
  <w:num w:numId="14">
    <w:abstractNumId w:val="21"/>
  </w:num>
  <w:num w:numId="15">
    <w:abstractNumId w:val="23"/>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7"/>
  </w:num>
  <w:num w:numId="28">
    <w:abstractNumId w:val="19"/>
  </w:num>
  <w:num w:numId="29">
    <w:abstractNumId w:val="2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088E"/>
    <w:rsid w:val="00036FA0"/>
    <w:rsid w:val="0003793F"/>
    <w:rsid w:val="0004053E"/>
    <w:rsid w:val="00045FBA"/>
    <w:rsid w:val="00057E35"/>
    <w:rsid w:val="00076726"/>
    <w:rsid w:val="00080303"/>
    <w:rsid w:val="000849ED"/>
    <w:rsid w:val="000855CB"/>
    <w:rsid w:val="00087A53"/>
    <w:rsid w:val="000A085D"/>
    <w:rsid w:val="000A3F58"/>
    <w:rsid w:val="000C1B8F"/>
    <w:rsid w:val="000D2343"/>
    <w:rsid w:val="000D3449"/>
    <w:rsid w:val="000D425A"/>
    <w:rsid w:val="000D60CC"/>
    <w:rsid w:val="000E1123"/>
    <w:rsid w:val="000E2084"/>
    <w:rsid w:val="000E6F55"/>
    <w:rsid w:val="000F77FA"/>
    <w:rsid w:val="0010465D"/>
    <w:rsid w:val="00107582"/>
    <w:rsid w:val="00107BF7"/>
    <w:rsid w:val="00126F53"/>
    <w:rsid w:val="0014047C"/>
    <w:rsid w:val="0014766D"/>
    <w:rsid w:val="001536CC"/>
    <w:rsid w:val="00183B25"/>
    <w:rsid w:val="001A3FBA"/>
    <w:rsid w:val="001A5518"/>
    <w:rsid w:val="001B1C6A"/>
    <w:rsid w:val="001B62C4"/>
    <w:rsid w:val="001C1263"/>
    <w:rsid w:val="001C1417"/>
    <w:rsid w:val="001C1860"/>
    <w:rsid w:val="001C226D"/>
    <w:rsid w:val="001E390B"/>
    <w:rsid w:val="001F42FB"/>
    <w:rsid w:val="001F719A"/>
    <w:rsid w:val="002006FD"/>
    <w:rsid w:val="00201868"/>
    <w:rsid w:val="002031B3"/>
    <w:rsid w:val="00206485"/>
    <w:rsid w:val="00215931"/>
    <w:rsid w:val="00227BDB"/>
    <w:rsid w:val="00234CB1"/>
    <w:rsid w:val="002352F8"/>
    <w:rsid w:val="00244FB7"/>
    <w:rsid w:val="002467DE"/>
    <w:rsid w:val="002510A5"/>
    <w:rsid w:val="00254A0A"/>
    <w:rsid w:val="00260797"/>
    <w:rsid w:val="00266046"/>
    <w:rsid w:val="002846DB"/>
    <w:rsid w:val="00284CCD"/>
    <w:rsid w:val="00291079"/>
    <w:rsid w:val="002B1BAB"/>
    <w:rsid w:val="002B3647"/>
    <w:rsid w:val="002B4C6C"/>
    <w:rsid w:val="002C0349"/>
    <w:rsid w:val="002C6637"/>
    <w:rsid w:val="002E0135"/>
    <w:rsid w:val="002E37A5"/>
    <w:rsid w:val="00310F03"/>
    <w:rsid w:val="003247D2"/>
    <w:rsid w:val="0033340E"/>
    <w:rsid w:val="003445C1"/>
    <w:rsid w:val="00355B61"/>
    <w:rsid w:val="00362686"/>
    <w:rsid w:val="00371510"/>
    <w:rsid w:val="0038364E"/>
    <w:rsid w:val="00396DFD"/>
    <w:rsid w:val="00397DA8"/>
    <w:rsid w:val="003A7059"/>
    <w:rsid w:val="003B7A36"/>
    <w:rsid w:val="003C17AB"/>
    <w:rsid w:val="003C7823"/>
    <w:rsid w:val="003E1DCC"/>
    <w:rsid w:val="003E2174"/>
    <w:rsid w:val="003F20A4"/>
    <w:rsid w:val="003F2324"/>
    <w:rsid w:val="003F6A59"/>
    <w:rsid w:val="0040394C"/>
    <w:rsid w:val="004065C8"/>
    <w:rsid w:val="00411B4B"/>
    <w:rsid w:val="00414E80"/>
    <w:rsid w:val="00415BEE"/>
    <w:rsid w:val="00421653"/>
    <w:rsid w:val="00427F85"/>
    <w:rsid w:val="0043466A"/>
    <w:rsid w:val="00436F42"/>
    <w:rsid w:val="004378B4"/>
    <w:rsid w:val="00451314"/>
    <w:rsid w:val="00452E9D"/>
    <w:rsid w:val="004534C7"/>
    <w:rsid w:val="00464C82"/>
    <w:rsid w:val="004671AA"/>
    <w:rsid w:val="00475A2B"/>
    <w:rsid w:val="00480FB1"/>
    <w:rsid w:val="00483928"/>
    <w:rsid w:val="004D6103"/>
    <w:rsid w:val="004E3BCE"/>
    <w:rsid w:val="004E6E48"/>
    <w:rsid w:val="004F0E97"/>
    <w:rsid w:val="00514374"/>
    <w:rsid w:val="00515C21"/>
    <w:rsid w:val="00524FFF"/>
    <w:rsid w:val="0052513E"/>
    <w:rsid w:val="00530BD7"/>
    <w:rsid w:val="0053145F"/>
    <w:rsid w:val="00540EDC"/>
    <w:rsid w:val="00545CD2"/>
    <w:rsid w:val="005476F3"/>
    <w:rsid w:val="0055308E"/>
    <w:rsid w:val="005615F9"/>
    <w:rsid w:val="00563FBF"/>
    <w:rsid w:val="00570532"/>
    <w:rsid w:val="0057152A"/>
    <w:rsid w:val="00572527"/>
    <w:rsid w:val="00573E40"/>
    <w:rsid w:val="00576348"/>
    <w:rsid w:val="00576844"/>
    <w:rsid w:val="00583993"/>
    <w:rsid w:val="005848DC"/>
    <w:rsid w:val="005A0B2E"/>
    <w:rsid w:val="005A23D2"/>
    <w:rsid w:val="005A36CB"/>
    <w:rsid w:val="005A5186"/>
    <w:rsid w:val="005B21F5"/>
    <w:rsid w:val="005B49B8"/>
    <w:rsid w:val="005C0741"/>
    <w:rsid w:val="005C5EF4"/>
    <w:rsid w:val="005E2E0B"/>
    <w:rsid w:val="005E7A7D"/>
    <w:rsid w:val="006031B6"/>
    <w:rsid w:val="00633F4E"/>
    <w:rsid w:val="00644E2E"/>
    <w:rsid w:val="00646544"/>
    <w:rsid w:val="00646BD1"/>
    <w:rsid w:val="006561C2"/>
    <w:rsid w:val="00665FDA"/>
    <w:rsid w:val="00670792"/>
    <w:rsid w:val="00671CB3"/>
    <w:rsid w:val="00674BAF"/>
    <w:rsid w:val="0067727A"/>
    <w:rsid w:val="00682200"/>
    <w:rsid w:val="00696BBD"/>
    <w:rsid w:val="006A1497"/>
    <w:rsid w:val="006B0BD1"/>
    <w:rsid w:val="006C3BC4"/>
    <w:rsid w:val="006D20A5"/>
    <w:rsid w:val="006D37BF"/>
    <w:rsid w:val="00702E22"/>
    <w:rsid w:val="007160E4"/>
    <w:rsid w:val="0072020E"/>
    <w:rsid w:val="007348AE"/>
    <w:rsid w:val="00756FA3"/>
    <w:rsid w:val="007672D3"/>
    <w:rsid w:val="007722E1"/>
    <w:rsid w:val="007753E2"/>
    <w:rsid w:val="00777E5D"/>
    <w:rsid w:val="00786071"/>
    <w:rsid w:val="00791687"/>
    <w:rsid w:val="007A3ECB"/>
    <w:rsid w:val="007A7E92"/>
    <w:rsid w:val="007C10A9"/>
    <w:rsid w:val="007C6591"/>
    <w:rsid w:val="007D7ECA"/>
    <w:rsid w:val="00812A02"/>
    <w:rsid w:val="00817A5C"/>
    <w:rsid w:val="00824AB9"/>
    <w:rsid w:val="00836B35"/>
    <w:rsid w:val="00843BDE"/>
    <w:rsid w:val="00846B9B"/>
    <w:rsid w:val="00853F74"/>
    <w:rsid w:val="008654A1"/>
    <w:rsid w:val="00881327"/>
    <w:rsid w:val="00885C39"/>
    <w:rsid w:val="00893086"/>
    <w:rsid w:val="00894EA3"/>
    <w:rsid w:val="0089705C"/>
    <w:rsid w:val="0089712C"/>
    <w:rsid w:val="008A6D43"/>
    <w:rsid w:val="008B051F"/>
    <w:rsid w:val="008B491E"/>
    <w:rsid w:val="008C1A28"/>
    <w:rsid w:val="008C1AFD"/>
    <w:rsid w:val="008C2E98"/>
    <w:rsid w:val="008D13AB"/>
    <w:rsid w:val="008E438B"/>
    <w:rsid w:val="008E49BD"/>
    <w:rsid w:val="008E53E9"/>
    <w:rsid w:val="008E5771"/>
    <w:rsid w:val="008F510E"/>
    <w:rsid w:val="00910BDC"/>
    <w:rsid w:val="00912AC8"/>
    <w:rsid w:val="009232C5"/>
    <w:rsid w:val="0093644B"/>
    <w:rsid w:val="00940B9B"/>
    <w:rsid w:val="00950074"/>
    <w:rsid w:val="0095676E"/>
    <w:rsid w:val="00956983"/>
    <w:rsid w:val="00963CF0"/>
    <w:rsid w:val="00963F97"/>
    <w:rsid w:val="00964BB1"/>
    <w:rsid w:val="00966F0E"/>
    <w:rsid w:val="009746A7"/>
    <w:rsid w:val="009759B0"/>
    <w:rsid w:val="009775D9"/>
    <w:rsid w:val="00980B40"/>
    <w:rsid w:val="0098683D"/>
    <w:rsid w:val="00997175"/>
    <w:rsid w:val="009A1847"/>
    <w:rsid w:val="009B062A"/>
    <w:rsid w:val="009C135A"/>
    <w:rsid w:val="009C5005"/>
    <w:rsid w:val="009C6402"/>
    <w:rsid w:val="009E7C6F"/>
    <w:rsid w:val="009F0192"/>
    <w:rsid w:val="009F1793"/>
    <w:rsid w:val="009F2D23"/>
    <w:rsid w:val="009F7713"/>
    <w:rsid w:val="00A01D69"/>
    <w:rsid w:val="00A02335"/>
    <w:rsid w:val="00A275ED"/>
    <w:rsid w:val="00A35614"/>
    <w:rsid w:val="00A42A35"/>
    <w:rsid w:val="00A46C9A"/>
    <w:rsid w:val="00A619F3"/>
    <w:rsid w:val="00A62A73"/>
    <w:rsid w:val="00A87BC7"/>
    <w:rsid w:val="00A87FF6"/>
    <w:rsid w:val="00A908CE"/>
    <w:rsid w:val="00A952A2"/>
    <w:rsid w:val="00AA0A3B"/>
    <w:rsid w:val="00AA324E"/>
    <w:rsid w:val="00AB50CA"/>
    <w:rsid w:val="00AC41D3"/>
    <w:rsid w:val="00AC53CE"/>
    <w:rsid w:val="00AC6CD7"/>
    <w:rsid w:val="00AD2193"/>
    <w:rsid w:val="00AE71C3"/>
    <w:rsid w:val="00AF2AC7"/>
    <w:rsid w:val="00AF74CE"/>
    <w:rsid w:val="00B135CE"/>
    <w:rsid w:val="00B208DB"/>
    <w:rsid w:val="00B239C4"/>
    <w:rsid w:val="00B23F69"/>
    <w:rsid w:val="00B25F68"/>
    <w:rsid w:val="00B5021A"/>
    <w:rsid w:val="00B60619"/>
    <w:rsid w:val="00B66A70"/>
    <w:rsid w:val="00B67366"/>
    <w:rsid w:val="00B70AC9"/>
    <w:rsid w:val="00B80EE1"/>
    <w:rsid w:val="00B84135"/>
    <w:rsid w:val="00B9694B"/>
    <w:rsid w:val="00BA1325"/>
    <w:rsid w:val="00BB0387"/>
    <w:rsid w:val="00BB1EE7"/>
    <w:rsid w:val="00C0104D"/>
    <w:rsid w:val="00C04D34"/>
    <w:rsid w:val="00C05DF8"/>
    <w:rsid w:val="00C06864"/>
    <w:rsid w:val="00C10F54"/>
    <w:rsid w:val="00C23D8D"/>
    <w:rsid w:val="00C31E42"/>
    <w:rsid w:val="00C348D0"/>
    <w:rsid w:val="00C37AA3"/>
    <w:rsid w:val="00C37FD7"/>
    <w:rsid w:val="00C40F7C"/>
    <w:rsid w:val="00C43419"/>
    <w:rsid w:val="00C44CF3"/>
    <w:rsid w:val="00C6034E"/>
    <w:rsid w:val="00C61BE0"/>
    <w:rsid w:val="00C65707"/>
    <w:rsid w:val="00C70117"/>
    <w:rsid w:val="00C70B0E"/>
    <w:rsid w:val="00C773CA"/>
    <w:rsid w:val="00C815AF"/>
    <w:rsid w:val="00C83785"/>
    <w:rsid w:val="00C939BB"/>
    <w:rsid w:val="00C93C60"/>
    <w:rsid w:val="00C94C0D"/>
    <w:rsid w:val="00CA1FEB"/>
    <w:rsid w:val="00CA431F"/>
    <w:rsid w:val="00CB0EAF"/>
    <w:rsid w:val="00CB6A91"/>
    <w:rsid w:val="00CC2B31"/>
    <w:rsid w:val="00CC3F48"/>
    <w:rsid w:val="00CD4F85"/>
    <w:rsid w:val="00CD6F02"/>
    <w:rsid w:val="00CE246D"/>
    <w:rsid w:val="00CE2645"/>
    <w:rsid w:val="00CE30EF"/>
    <w:rsid w:val="00CE5678"/>
    <w:rsid w:val="00CF07A0"/>
    <w:rsid w:val="00CF3E03"/>
    <w:rsid w:val="00D0082A"/>
    <w:rsid w:val="00D03604"/>
    <w:rsid w:val="00D0520A"/>
    <w:rsid w:val="00D06496"/>
    <w:rsid w:val="00D16287"/>
    <w:rsid w:val="00D21455"/>
    <w:rsid w:val="00D27034"/>
    <w:rsid w:val="00D47634"/>
    <w:rsid w:val="00D709B3"/>
    <w:rsid w:val="00D74543"/>
    <w:rsid w:val="00D94DA6"/>
    <w:rsid w:val="00DA177F"/>
    <w:rsid w:val="00DA2ED6"/>
    <w:rsid w:val="00DB76B8"/>
    <w:rsid w:val="00DC2EA1"/>
    <w:rsid w:val="00DD6AAF"/>
    <w:rsid w:val="00DE3F5C"/>
    <w:rsid w:val="00DF1D20"/>
    <w:rsid w:val="00DF1D79"/>
    <w:rsid w:val="00DF6615"/>
    <w:rsid w:val="00E21324"/>
    <w:rsid w:val="00E246B9"/>
    <w:rsid w:val="00E31FEA"/>
    <w:rsid w:val="00E45169"/>
    <w:rsid w:val="00E47234"/>
    <w:rsid w:val="00E47787"/>
    <w:rsid w:val="00E51C30"/>
    <w:rsid w:val="00E567B5"/>
    <w:rsid w:val="00E63D63"/>
    <w:rsid w:val="00E64180"/>
    <w:rsid w:val="00E655B8"/>
    <w:rsid w:val="00E74AEE"/>
    <w:rsid w:val="00E8275F"/>
    <w:rsid w:val="00E8627D"/>
    <w:rsid w:val="00E868E5"/>
    <w:rsid w:val="00E9237A"/>
    <w:rsid w:val="00E939FA"/>
    <w:rsid w:val="00EA4C74"/>
    <w:rsid w:val="00EA4EFE"/>
    <w:rsid w:val="00EA5765"/>
    <w:rsid w:val="00EA5F6E"/>
    <w:rsid w:val="00EB372D"/>
    <w:rsid w:val="00EB461E"/>
    <w:rsid w:val="00EC2532"/>
    <w:rsid w:val="00ED72BA"/>
    <w:rsid w:val="00ED7812"/>
    <w:rsid w:val="00EF3B86"/>
    <w:rsid w:val="00EF6E89"/>
    <w:rsid w:val="00F040AB"/>
    <w:rsid w:val="00F317E9"/>
    <w:rsid w:val="00F34554"/>
    <w:rsid w:val="00F41579"/>
    <w:rsid w:val="00F43DAC"/>
    <w:rsid w:val="00F45F77"/>
    <w:rsid w:val="00F5167F"/>
    <w:rsid w:val="00F52258"/>
    <w:rsid w:val="00F5542E"/>
    <w:rsid w:val="00F63E8B"/>
    <w:rsid w:val="00F71861"/>
    <w:rsid w:val="00F72AA8"/>
    <w:rsid w:val="00F8570A"/>
    <w:rsid w:val="00F91C7B"/>
    <w:rsid w:val="00FA2C5D"/>
    <w:rsid w:val="00FB32B9"/>
    <w:rsid w:val="00FC1F9D"/>
    <w:rsid w:val="00FD4479"/>
    <w:rsid w:val="00FF3A36"/>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5C672"/>
  <w15:docId w15:val="{1BE55AED-E3C7-42DE-9A7C-074909AB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C40F7C"/>
    <w:pPr>
      <w:keepNext/>
      <w:spacing w:before="240" w:after="60"/>
      <w:outlineLvl w:val="0"/>
    </w:pPr>
    <w:rPr>
      <w:rFonts w:ascii="Cambria" w:hAnsi="Cambria"/>
      <w:b/>
      <w:bCs/>
      <w:noProof/>
      <w:kern w:val="32"/>
      <w:sz w:val="32"/>
      <w:szCs w:val="32"/>
    </w:rPr>
  </w:style>
  <w:style w:type="paragraph" w:styleId="Heading2">
    <w:name w:val="heading 2"/>
    <w:basedOn w:val="Normal"/>
    <w:next w:val="Normal"/>
    <w:link w:val="Heading2Char"/>
    <w:qFormat/>
    <w:rsid w:val="005A0B2E"/>
    <w:pPr>
      <w:keepNext/>
      <w:tabs>
        <w:tab w:val="left" w:pos="284"/>
      </w:tabs>
      <w:jc w:val="center"/>
      <w:outlineLvl w:val="1"/>
    </w:pPr>
    <w:rPr>
      <w:rFonts w:ascii="Arial" w:hAnsi="Arial" w:cs="Arial"/>
      <w:i/>
      <w:iCs/>
      <w:color w:val="999999"/>
      <w:sz w:val="18"/>
    </w:rPr>
  </w:style>
  <w:style w:type="paragraph" w:styleId="Heading8">
    <w:name w:val="heading 8"/>
    <w:basedOn w:val="Normal"/>
    <w:next w:val="Normal"/>
    <w:link w:val="Heading8Char"/>
    <w:qFormat/>
    <w:rsid w:val="00C40F7C"/>
    <w:pPr>
      <w:spacing w:before="240" w:after="60"/>
      <w:outlineLvl w:val="7"/>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Header Char1 Char Char,Header Char Char Char Char,Char Char Char Char Char,Char Char1 Char Char,Char Char Char,Char Char1,Header Char1 Char Char Char Char,Header Char Char Char Char Char Char,Char,Header Char1, Char"/>
    <w:basedOn w:val="Normal"/>
    <w:link w:val="HeaderChar"/>
    <w:rsid w:val="00E246B9"/>
    <w:pPr>
      <w:tabs>
        <w:tab w:val="center" w:pos="4320"/>
        <w:tab w:val="right" w:pos="8640"/>
      </w:tabs>
    </w:pPr>
  </w:style>
  <w:style w:type="paragraph" w:styleId="Footer">
    <w:name w:val="footer"/>
    <w:basedOn w:val="Normal"/>
    <w:link w:val="FooterChar"/>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link w:val="BalloonTextChar"/>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styleId="ListParagraph">
    <w:name w:val="List Paragraph"/>
    <w:basedOn w:val="Normal"/>
    <w:uiPriority w:val="34"/>
    <w:qFormat/>
    <w:rsid w:val="00EA5F6E"/>
    <w:pPr>
      <w:ind w:left="720"/>
      <w:contextualSpacing/>
    </w:p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Char Char,Header Char1 Char"/>
    <w:basedOn w:val="DefaultParagraphFont"/>
    <w:link w:val="Header"/>
    <w:locked/>
    <w:rsid w:val="00EA5F6E"/>
    <w:rPr>
      <w:sz w:val="24"/>
      <w:szCs w:val="24"/>
      <w:lang w:val="en-US" w:eastAsia="en-US"/>
    </w:rPr>
  </w:style>
  <w:style w:type="paragraph" w:styleId="BodyText">
    <w:name w:val="Body Text"/>
    <w:basedOn w:val="Normal"/>
    <w:link w:val="BodyTextChar"/>
    <w:rsid w:val="00C40F7C"/>
    <w:pPr>
      <w:spacing w:after="120"/>
    </w:pPr>
    <w:rPr>
      <w:noProof/>
      <w:sz w:val="20"/>
      <w:szCs w:val="20"/>
    </w:rPr>
  </w:style>
  <w:style w:type="character" w:customStyle="1" w:styleId="BodyTextChar">
    <w:name w:val="Body Text Char"/>
    <w:basedOn w:val="DefaultParagraphFont"/>
    <w:link w:val="BodyText"/>
    <w:rsid w:val="00C40F7C"/>
    <w:rPr>
      <w:noProof/>
      <w:lang w:eastAsia="en-US"/>
    </w:rPr>
  </w:style>
  <w:style w:type="character" w:customStyle="1" w:styleId="Heading1Char">
    <w:name w:val="Heading 1 Char"/>
    <w:basedOn w:val="DefaultParagraphFont"/>
    <w:link w:val="Heading1"/>
    <w:rsid w:val="00C40F7C"/>
    <w:rPr>
      <w:rFonts w:ascii="Cambria" w:hAnsi="Cambria"/>
      <w:b/>
      <w:bCs/>
      <w:noProof/>
      <w:kern w:val="32"/>
      <w:sz w:val="32"/>
      <w:szCs w:val="32"/>
      <w:lang w:eastAsia="en-US"/>
    </w:rPr>
  </w:style>
  <w:style w:type="character" w:customStyle="1" w:styleId="Heading8Char">
    <w:name w:val="Heading 8 Char"/>
    <w:basedOn w:val="DefaultParagraphFont"/>
    <w:link w:val="Heading8"/>
    <w:rsid w:val="00C40F7C"/>
    <w:rPr>
      <w:i/>
      <w:iCs/>
      <w:noProof/>
      <w:sz w:val="24"/>
      <w:szCs w:val="24"/>
      <w:lang w:eastAsia="en-US"/>
    </w:rPr>
  </w:style>
  <w:style w:type="character" w:customStyle="1" w:styleId="Heading2Char">
    <w:name w:val="Heading 2 Char"/>
    <w:basedOn w:val="DefaultParagraphFont"/>
    <w:link w:val="Heading2"/>
    <w:rsid w:val="00C40F7C"/>
    <w:rPr>
      <w:rFonts w:ascii="Arial" w:hAnsi="Arial" w:cs="Arial"/>
      <w:i/>
      <w:iCs/>
      <w:color w:val="999999"/>
      <w:sz w:val="18"/>
      <w:szCs w:val="24"/>
      <w:lang w:val="en-US" w:eastAsia="en-US"/>
    </w:rPr>
  </w:style>
  <w:style w:type="paragraph" w:styleId="Title">
    <w:name w:val="Title"/>
    <w:basedOn w:val="Normal"/>
    <w:link w:val="TitleChar"/>
    <w:qFormat/>
    <w:rsid w:val="00C40F7C"/>
    <w:pPr>
      <w:jc w:val="center"/>
    </w:pPr>
    <w:rPr>
      <w:b/>
      <w:noProof/>
    </w:rPr>
  </w:style>
  <w:style w:type="character" w:customStyle="1" w:styleId="TitleChar">
    <w:name w:val="Title Char"/>
    <w:basedOn w:val="DefaultParagraphFont"/>
    <w:link w:val="Title"/>
    <w:rsid w:val="00C40F7C"/>
    <w:rPr>
      <w:b/>
      <w:noProof/>
      <w:sz w:val="24"/>
      <w:szCs w:val="24"/>
      <w:lang w:eastAsia="en-US"/>
    </w:rPr>
  </w:style>
  <w:style w:type="character" w:customStyle="1" w:styleId="EndnoteTextChar">
    <w:name w:val="Endnote Text Char"/>
    <w:basedOn w:val="DefaultParagraphFont"/>
    <w:link w:val="EndnoteText"/>
    <w:rsid w:val="00C40F7C"/>
    <w:rPr>
      <w:rFonts w:ascii="TmsRmn 12pt" w:hAnsi="TmsRmn 12pt"/>
      <w:sz w:val="24"/>
      <w:szCs w:val="24"/>
    </w:rPr>
  </w:style>
  <w:style w:type="paragraph" w:styleId="EndnoteText">
    <w:name w:val="endnote text"/>
    <w:basedOn w:val="Normal"/>
    <w:link w:val="EndnoteTextChar"/>
    <w:rsid w:val="00C40F7C"/>
    <w:rPr>
      <w:rFonts w:ascii="TmsRmn 12pt" w:hAnsi="TmsRmn 12pt"/>
      <w:lang w:eastAsia="sr-Latn-ME"/>
    </w:rPr>
  </w:style>
  <w:style w:type="character" w:customStyle="1" w:styleId="EndnoteTextChar1">
    <w:name w:val="Endnote Text Char1"/>
    <w:basedOn w:val="DefaultParagraphFont"/>
    <w:rsid w:val="00C40F7C"/>
    <w:rPr>
      <w:lang w:val="en-US" w:eastAsia="en-US"/>
    </w:rPr>
  </w:style>
  <w:style w:type="paragraph" w:styleId="BodyTextIndent2">
    <w:name w:val="Body Text Indent 2"/>
    <w:basedOn w:val="Normal"/>
    <w:link w:val="BodyTextIndent2Char"/>
    <w:rsid w:val="00C40F7C"/>
    <w:pPr>
      <w:ind w:left="1440"/>
    </w:pPr>
    <w:rPr>
      <w:i/>
      <w:noProof/>
    </w:rPr>
  </w:style>
  <w:style w:type="character" w:customStyle="1" w:styleId="BodyTextIndent2Char">
    <w:name w:val="Body Text Indent 2 Char"/>
    <w:basedOn w:val="DefaultParagraphFont"/>
    <w:link w:val="BodyTextIndent2"/>
    <w:rsid w:val="00C40F7C"/>
    <w:rPr>
      <w:i/>
      <w:noProof/>
      <w:sz w:val="24"/>
      <w:szCs w:val="24"/>
      <w:lang w:eastAsia="en-US"/>
    </w:rPr>
  </w:style>
  <w:style w:type="paragraph" w:customStyle="1" w:styleId="TimesNewRoman">
    <w:name w:val="Times New Roman"/>
    <w:basedOn w:val="Normal"/>
    <w:rsid w:val="00C40F7C"/>
    <w:pPr>
      <w:jc w:val="both"/>
    </w:pPr>
    <w:rPr>
      <w:b/>
      <w:noProof/>
    </w:rPr>
  </w:style>
  <w:style w:type="character" w:customStyle="1" w:styleId="FooterChar">
    <w:name w:val="Footer Char"/>
    <w:basedOn w:val="DefaultParagraphFont"/>
    <w:link w:val="Footer"/>
    <w:rsid w:val="00C40F7C"/>
    <w:rPr>
      <w:sz w:val="24"/>
      <w:szCs w:val="24"/>
      <w:lang w:val="en-US" w:eastAsia="en-US"/>
    </w:rPr>
  </w:style>
  <w:style w:type="paragraph" w:styleId="BodyTextIndent3">
    <w:name w:val="Body Text Indent 3"/>
    <w:basedOn w:val="Normal"/>
    <w:link w:val="BodyTextIndent3Char"/>
    <w:rsid w:val="00C40F7C"/>
    <w:pPr>
      <w:spacing w:after="120"/>
      <w:ind w:left="360"/>
    </w:pPr>
    <w:rPr>
      <w:noProof/>
      <w:sz w:val="16"/>
      <w:szCs w:val="16"/>
    </w:rPr>
  </w:style>
  <w:style w:type="character" w:customStyle="1" w:styleId="BodyTextIndent3Char">
    <w:name w:val="Body Text Indent 3 Char"/>
    <w:basedOn w:val="DefaultParagraphFont"/>
    <w:link w:val="BodyTextIndent3"/>
    <w:rsid w:val="00C40F7C"/>
    <w:rPr>
      <w:noProof/>
      <w:sz w:val="16"/>
      <w:szCs w:val="16"/>
      <w:lang w:eastAsia="en-US"/>
    </w:rPr>
  </w:style>
  <w:style w:type="paragraph" w:styleId="BodyTextIndent">
    <w:name w:val="Body Text Indent"/>
    <w:basedOn w:val="Normal"/>
    <w:link w:val="BodyTextIndentChar"/>
    <w:rsid w:val="00C40F7C"/>
    <w:pPr>
      <w:spacing w:after="120"/>
      <w:ind w:left="360"/>
    </w:pPr>
    <w:rPr>
      <w:noProof/>
      <w:sz w:val="20"/>
      <w:szCs w:val="20"/>
    </w:rPr>
  </w:style>
  <w:style w:type="character" w:customStyle="1" w:styleId="BodyTextIndentChar">
    <w:name w:val="Body Text Indent Char"/>
    <w:basedOn w:val="DefaultParagraphFont"/>
    <w:link w:val="BodyTextIndent"/>
    <w:rsid w:val="00C40F7C"/>
    <w:rPr>
      <w:noProof/>
      <w:lang w:eastAsia="en-US"/>
    </w:rPr>
  </w:style>
  <w:style w:type="character" w:styleId="Strong">
    <w:name w:val="Strong"/>
    <w:qFormat/>
    <w:rsid w:val="00C40F7C"/>
    <w:rPr>
      <w:b/>
      <w:bCs w:val="0"/>
    </w:rPr>
  </w:style>
  <w:style w:type="character" w:customStyle="1" w:styleId="BalloonTextChar">
    <w:name w:val="Balloon Text Char"/>
    <w:basedOn w:val="DefaultParagraphFont"/>
    <w:link w:val="BalloonText"/>
    <w:rsid w:val="00C40F7C"/>
    <w:rPr>
      <w:rFonts w:ascii="Tahoma" w:hAnsi="Tahoma" w:cs="Tahoma"/>
      <w:sz w:val="16"/>
      <w:szCs w:val="16"/>
      <w:lang w:val="en-US" w:eastAsia="en-US"/>
    </w:rPr>
  </w:style>
  <w:style w:type="paragraph" w:customStyle="1" w:styleId="TableParagraph">
    <w:name w:val="Table Paragraph"/>
    <w:basedOn w:val="Normal"/>
    <w:uiPriority w:val="1"/>
    <w:qFormat/>
    <w:rsid w:val="00C40F7C"/>
    <w:pPr>
      <w:widowControl w:val="0"/>
    </w:pPr>
    <w:rPr>
      <w:rFonts w:ascii="Calibri" w:eastAsia="Calibri" w:hAnsi="Calibri"/>
      <w:noProof/>
      <w:sz w:val="22"/>
      <w:szCs w:val="22"/>
    </w:rPr>
  </w:style>
  <w:style w:type="character" w:styleId="Hyperlink">
    <w:name w:val="Hyperlink"/>
    <w:rsid w:val="00C40F7C"/>
    <w:rPr>
      <w:noProof/>
      <w:color w:val="0000FF"/>
      <w:u w:val="single"/>
    </w:rPr>
  </w:style>
  <w:style w:type="paragraph" w:customStyle="1" w:styleId="EMEAEnBodyText">
    <w:name w:val="EMEA En Body Text"/>
    <w:basedOn w:val="Normal"/>
    <w:rsid w:val="00C40F7C"/>
    <w:pPr>
      <w:spacing w:before="120" w:after="120"/>
      <w:jc w:val="both"/>
    </w:pPr>
    <w:rPr>
      <w:noProof/>
      <w:sz w:val="22"/>
      <w:szCs w:val="20"/>
      <w:lang w:eastAsia="ja-JP"/>
    </w:rPr>
  </w:style>
  <w:style w:type="paragraph" w:customStyle="1" w:styleId="TextTi9">
    <w:name w:val="Text:Ti9"/>
    <w:basedOn w:val="Normal"/>
    <w:rsid w:val="00C40F7C"/>
    <w:pPr>
      <w:spacing w:after="200"/>
    </w:pPr>
    <w:rPr>
      <w:rFonts w:ascii="Calibri" w:eastAsia="PMingLiU" w:hAnsi="Calibri"/>
      <w:sz w:val="18"/>
      <w:szCs w:val="22"/>
      <w:lang w:eastAsia="zh-TW"/>
    </w:rPr>
  </w:style>
  <w:style w:type="paragraph" w:customStyle="1" w:styleId="HdTab1">
    <w:name w:val="Hd:Tab:1"/>
    <w:basedOn w:val="Caption"/>
    <w:next w:val="Normal"/>
    <w:link w:val="HdTab1Char"/>
    <w:rsid w:val="00C40F7C"/>
    <w:pPr>
      <w:keepNext/>
      <w:spacing w:before="113" w:after="57" w:line="280" w:lineRule="atLeast"/>
      <w:ind w:left="1701" w:hanging="1701"/>
      <w:outlineLvl w:val="4"/>
    </w:pPr>
    <w:rPr>
      <w:rFonts w:ascii="Arial" w:hAnsi="Arial"/>
      <w:b/>
      <w:i w:val="0"/>
      <w:iCs w:val="0"/>
      <w:noProof w:val="0"/>
      <w:color w:val="auto"/>
      <w:sz w:val="24"/>
      <w:szCs w:val="20"/>
      <w:lang w:val="en-US" w:eastAsia="ja-JP"/>
    </w:rPr>
  </w:style>
  <w:style w:type="character" w:customStyle="1" w:styleId="HdTab1Char">
    <w:name w:val="Hd:Tab:1 Char"/>
    <w:link w:val="HdTab1"/>
    <w:rsid w:val="00C40F7C"/>
    <w:rPr>
      <w:rFonts w:ascii="Arial" w:hAnsi="Arial"/>
      <w:b/>
      <w:sz w:val="24"/>
      <w:lang w:val="en-US" w:eastAsia="ja-JP"/>
    </w:rPr>
  </w:style>
  <w:style w:type="paragraph" w:styleId="Caption">
    <w:name w:val="caption"/>
    <w:basedOn w:val="Normal"/>
    <w:next w:val="Normal"/>
    <w:uiPriority w:val="35"/>
    <w:semiHidden/>
    <w:unhideWhenUsed/>
    <w:qFormat/>
    <w:rsid w:val="00C40F7C"/>
    <w:pPr>
      <w:spacing w:after="200"/>
    </w:pPr>
    <w:rPr>
      <w:i/>
      <w:iCs/>
      <w:noProof/>
      <w:color w:val="44546A" w:themeColor="text2"/>
      <w:sz w:val="18"/>
      <w:szCs w:val="18"/>
    </w:rPr>
  </w:style>
  <w:style w:type="paragraph" w:styleId="Revision">
    <w:name w:val="Revision"/>
    <w:hidden/>
    <w:uiPriority w:val="99"/>
    <w:semiHidden/>
    <w:rsid w:val="00894EA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46039">
      <w:bodyDiv w:val="1"/>
      <w:marLeft w:val="0"/>
      <w:marRight w:val="0"/>
      <w:marTop w:val="0"/>
      <w:marBottom w:val="0"/>
      <w:divBdr>
        <w:top w:val="none" w:sz="0" w:space="0" w:color="auto"/>
        <w:left w:val="none" w:sz="0" w:space="0" w:color="auto"/>
        <w:bottom w:val="none" w:sz="0" w:space="0" w:color="auto"/>
        <w:right w:val="none" w:sz="0" w:space="0" w:color="auto"/>
      </w:divBdr>
    </w:div>
    <w:div w:id="489181283">
      <w:bodyDiv w:val="1"/>
      <w:marLeft w:val="0"/>
      <w:marRight w:val="0"/>
      <w:marTop w:val="0"/>
      <w:marBottom w:val="0"/>
      <w:divBdr>
        <w:top w:val="none" w:sz="0" w:space="0" w:color="auto"/>
        <w:left w:val="none" w:sz="0" w:space="0" w:color="auto"/>
        <w:bottom w:val="none" w:sz="0" w:space="0" w:color="auto"/>
        <w:right w:val="none" w:sz="0" w:space="0" w:color="auto"/>
      </w:divBdr>
    </w:div>
    <w:div w:id="1367439590">
      <w:bodyDiv w:val="1"/>
      <w:marLeft w:val="0"/>
      <w:marRight w:val="0"/>
      <w:marTop w:val="0"/>
      <w:marBottom w:val="0"/>
      <w:divBdr>
        <w:top w:val="none" w:sz="0" w:space="0" w:color="auto"/>
        <w:left w:val="none" w:sz="0" w:space="0" w:color="auto"/>
        <w:bottom w:val="none" w:sz="0" w:space="0" w:color="auto"/>
        <w:right w:val="none" w:sz="0" w:space="0" w:color="auto"/>
      </w:divBdr>
    </w:div>
    <w:div w:id="1409115730">
      <w:bodyDiv w:val="1"/>
      <w:marLeft w:val="0"/>
      <w:marRight w:val="0"/>
      <w:marTop w:val="0"/>
      <w:marBottom w:val="0"/>
      <w:divBdr>
        <w:top w:val="none" w:sz="0" w:space="0" w:color="auto"/>
        <w:left w:val="none" w:sz="0" w:space="0" w:color="auto"/>
        <w:bottom w:val="none" w:sz="0" w:space="0" w:color="auto"/>
        <w:right w:val="none" w:sz="0" w:space="0" w:color="auto"/>
      </w:divBdr>
    </w:div>
    <w:div w:id="1743795760">
      <w:bodyDiv w:val="1"/>
      <w:marLeft w:val="0"/>
      <w:marRight w:val="0"/>
      <w:marTop w:val="0"/>
      <w:marBottom w:val="0"/>
      <w:divBdr>
        <w:top w:val="none" w:sz="0" w:space="0" w:color="auto"/>
        <w:left w:val="none" w:sz="0" w:space="0" w:color="auto"/>
        <w:bottom w:val="none" w:sz="0" w:space="0" w:color="auto"/>
        <w:right w:val="none" w:sz="0" w:space="0" w:color="auto"/>
      </w:divBdr>
    </w:div>
    <w:div w:id="1895964448">
      <w:bodyDiv w:val="1"/>
      <w:marLeft w:val="0"/>
      <w:marRight w:val="0"/>
      <w:marTop w:val="0"/>
      <w:marBottom w:val="0"/>
      <w:divBdr>
        <w:top w:val="none" w:sz="0" w:space="0" w:color="auto"/>
        <w:left w:val="none" w:sz="0" w:space="0" w:color="auto"/>
        <w:bottom w:val="none" w:sz="0" w:space="0" w:color="auto"/>
        <w:right w:val="none" w:sz="0" w:space="0" w:color="auto"/>
      </w:divBdr>
    </w:div>
    <w:div w:id="19238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ExpireDate xmlns="http://schemas.microsoft.com/sharepoint/v3">2029-11-30T23:00:00+00:00</_dlc_ExpireDate>
    <TaxCatchAll xmlns="f191ad30-9ade-4f0c-b78e-cf30469879ae"/>
    <IconOverlay xmlns="http://schemas.microsoft.com/sharepoint/v4" xsi:nil="true"/>
    <TaxKeywordTaxHTField xmlns="35a8546d-9f91-45fa-a14e-0c4493b38db6">
      <Terms xmlns="http://schemas.microsoft.com/office/infopath/2007/PartnerControls"/>
    </TaxKeywordTaxHTField>
    <_dlc_ExpireDateSave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351063A9C658459944992FC5165942" ma:contentTypeVersion="8" ma:contentTypeDescription="Create a new document." ma:contentTypeScope="" ma:versionID="acabb834e45fa14419502decce5b3737">
  <xsd:schema xmlns:xsd="http://www.w3.org/2001/XMLSchema" xmlns:xs="http://www.w3.org/2001/XMLSchema" xmlns:p="http://schemas.microsoft.com/office/2006/metadata/properties" xmlns:ns1="http://schemas.microsoft.com/sharepoint/v3" xmlns:ns2="35a8546d-9f91-45fa-a14e-0c4493b38db6" xmlns:ns3="f191ad30-9ade-4f0c-b78e-cf30469879ae" xmlns:ns4="http://schemas.microsoft.com/sharepoint/v4" targetNamespace="http://schemas.microsoft.com/office/2006/metadata/properties" ma:root="true" ma:fieldsID="0ee48dc8ba83b8a378a4e67640f1dd2b" ns1:_="" ns2:_="" ns3:_="" ns4:_="">
    <xsd:import namespace="http://schemas.microsoft.com/sharepoint/v3"/>
    <xsd:import namespace="35a8546d-9f91-45fa-a14e-0c4493b38db6"/>
    <xsd:import namespace="f191ad30-9ade-4f0c-b78e-cf30469879ae"/>
    <xsd:import namespace="http://schemas.microsoft.com/sharepoint/v4"/>
    <xsd:element name="properties">
      <xsd:complexType>
        <xsd:sequence>
          <xsd:element name="documentManagement">
            <xsd:complexType>
              <xsd:all>
                <xsd:element ref="ns2:TaxKeywordTaxHTField" minOccurs="0"/>
                <xsd:element ref="ns3:TaxCatchAll" minOccurs="0"/>
                <xsd:element ref="ns1:_vti_ItemDeclaredRecord" minOccurs="0"/>
                <xsd:element ref="ns1:_dlc_Exempt" minOccurs="0"/>
                <xsd:element ref="ns1:_dlc_ExpireDateSaved" minOccurs="0"/>
                <xsd:element ref="ns1:_dlc_ExpireDate" minOccurs="0"/>
                <xsd:element ref="ns4:IconOverlay"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1" nillable="true" ma:displayName="Declared Record" ma:hidden="true" ma:internalName="_vti_ItemDeclaredRecord" ma:readOnly="true">
      <xsd:simpleType>
        <xsd:restriction base="dms:DateTime"/>
      </xsd:simpleType>
    </xsd:element>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a8546d-9f91-45fa-a14e-0c4493b38db6"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1ad30-9ade-4f0c-b78e-cf30469879a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39baccb-2c56-4335-83af-0e91367fb186}" ma:internalName="TaxCatchAll" ma:showField="CatchAllData" ma:web="35a8546d-9f91-45fa-a14e-0c4493b38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690FA-69DE-46EC-A702-71326423344E}">
  <ds:schemaRefs>
    <ds:schemaRef ds:uri="http://schemas.microsoft.com/office/2006/metadata/properties"/>
    <ds:schemaRef ds:uri="http://schemas.microsoft.com/office/infopath/2007/PartnerControls"/>
    <ds:schemaRef ds:uri="http://schemas.microsoft.com/sharepoint/v3"/>
    <ds:schemaRef ds:uri="f191ad30-9ade-4f0c-b78e-cf30469879ae"/>
    <ds:schemaRef ds:uri="http://schemas.microsoft.com/sharepoint/v4"/>
    <ds:schemaRef ds:uri="35a8546d-9f91-45fa-a14e-0c4493b38db6"/>
  </ds:schemaRefs>
</ds:datastoreItem>
</file>

<file path=customXml/itemProps2.xml><?xml version="1.0" encoding="utf-8"?>
<ds:datastoreItem xmlns:ds="http://schemas.openxmlformats.org/officeDocument/2006/customXml" ds:itemID="{CDE1A919-0EBF-4205-B8F3-E282CFF2A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a8546d-9f91-45fa-a14e-0c4493b38db6"/>
    <ds:schemaRef ds:uri="f191ad30-9ade-4f0c-b78e-cf30469879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8FA3D6-8263-4257-975E-438CF892604A}">
  <ds:schemaRefs>
    <ds:schemaRef ds:uri="http://schemas.microsoft.com/sharepoint/v3/contenttype/forms"/>
  </ds:schemaRefs>
</ds:datastoreItem>
</file>

<file path=customXml/itemProps4.xml><?xml version="1.0" encoding="utf-8"?>
<ds:datastoreItem xmlns:ds="http://schemas.openxmlformats.org/officeDocument/2006/customXml" ds:itemID="{5E54652D-8C2B-4F16-BE0F-FEA8FB418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34</Pages>
  <Words>16733</Words>
  <Characters>95382</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111892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creator>tatjana.bankovic</dc:creator>
  <cp:lastModifiedBy>Tamara Nikezić</cp:lastModifiedBy>
  <cp:revision>58</cp:revision>
  <cp:lastPrinted>2024-10-02T12:31:00Z</cp:lastPrinted>
  <dcterms:created xsi:type="dcterms:W3CDTF">2022-07-24T16:13:00Z</dcterms:created>
  <dcterms:modified xsi:type="dcterms:W3CDTF">2025-06-25T06:14:00Z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0x0101009A351063A9C658459944992FC5165942</vt:lpwstr>
  </property>
  <property fmtid="{D5CDD505-2E9C-101B-9397-08002B2CF9AE}" pid="4" name="TaxKeyword">
    <vt:lpwstr/>
  </property>
  <property fmtid="{D5CDD505-2E9C-101B-9397-08002B2CF9AE}" pid="5" name="_dlc_policyId">
    <vt:lpwstr>/team/2012035B/Medical</vt:lpwstr>
  </property>
  <property fmtid="{D5CDD505-2E9C-101B-9397-08002B2CF9AE}" pid="6" name="ItemRetentionFormula">
    <vt:lpwstr>&lt;formula id="Roche.Common.Coremap.ExpirationFormula" /&gt;</vt:lpwstr>
  </property>
</Properties>
</file>