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64B0" w14:textId="77777777" w:rsidR="002510A5" w:rsidRPr="00542633" w:rsidRDefault="002510A5" w:rsidP="00542633">
      <w:pPr>
        <w:widowControl w:val="0"/>
        <w:jc w:val="center"/>
        <w:rPr>
          <w:b/>
          <w:bCs/>
          <w:iCs/>
          <w:sz w:val="22"/>
          <w:szCs w:val="22"/>
          <w:u w:val="single"/>
          <w:lang w:val="sr-Latn-ME"/>
        </w:rPr>
      </w:pPr>
      <w:r w:rsidRPr="00542633">
        <w:rPr>
          <w:b/>
          <w:bCs/>
          <w:iCs/>
          <w:sz w:val="22"/>
          <w:szCs w:val="22"/>
          <w:u w:val="single"/>
          <w:lang w:val="sr-Latn-ME"/>
        </w:rPr>
        <w:t>SAŽETAK KARAKTERISTIKA LIJEKA</w:t>
      </w:r>
    </w:p>
    <w:p w14:paraId="0794B771" w14:textId="77777777" w:rsidR="003C17AB" w:rsidRPr="00542633" w:rsidRDefault="003C17AB" w:rsidP="00542633">
      <w:pPr>
        <w:widowControl w:val="0"/>
        <w:tabs>
          <w:tab w:val="left" w:pos="540"/>
          <w:tab w:val="left" w:pos="569"/>
        </w:tabs>
        <w:rPr>
          <w:sz w:val="22"/>
          <w:szCs w:val="22"/>
          <w:lang w:val="sr-Latn-ME"/>
        </w:rPr>
      </w:pPr>
    </w:p>
    <w:p w14:paraId="6F4E1522" w14:textId="77777777" w:rsidR="00C37FD7" w:rsidRPr="00542633" w:rsidRDefault="00C37FD7" w:rsidP="00542633">
      <w:pPr>
        <w:widowControl w:val="0"/>
        <w:tabs>
          <w:tab w:val="left" w:pos="540"/>
          <w:tab w:val="left" w:pos="569"/>
        </w:tabs>
        <w:rPr>
          <w:bCs/>
          <w:sz w:val="22"/>
          <w:szCs w:val="22"/>
          <w:lang w:val="sr-Latn-ME"/>
        </w:rPr>
      </w:pPr>
    </w:p>
    <w:p w14:paraId="218DA434" w14:textId="77777777" w:rsidR="00411B4B" w:rsidRPr="005A4F9F" w:rsidRDefault="00411B4B" w:rsidP="008B00DE">
      <w:pPr>
        <w:widowControl w:val="0"/>
        <w:tabs>
          <w:tab w:val="left" w:pos="540"/>
          <w:tab w:val="left" w:pos="569"/>
        </w:tabs>
        <w:jc w:val="both"/>
        <w:rPr>
          <w:b/>
          <w:bCs/>
          <w:sz w:val="22"/>
          <w:szCs w:val="22"/>
          <w:lang w:val="sr-Latn-ME"/>
        </w:rPr>
      </w:pPr>
      <w:r w:rsidRPr="005A4F9F">
        <w:rPr>
          <w:b/>
          <w:bCs/>
          <w:sz w:val="22"/>
          <w:szCs w:val="22"/>
          <w:lang w:val="sr-Latn-ME"/>
        </w:rPr>
        <w:t>1.</w:t>
      </w:r>
      <w:r w:rsidR="00F5167F" w:rsidRPr="005A4F9F">
        <w:rPr>
          <w:b/>
          <w:bCs/>
          <w:sz w:val="22"/>
          <w:szCs w:val="22"/>
          <w:lang w:val="sr-Latn-ME"/>
        </w:rPr>
        <w:tab/>
      </w:r>
      <w:r w:rsidR="002846DB" w:rsidRPr="005A4F9F">
        <w:rPr>
          <w:b/>
          <w:bCs/>
          <w:sz w:val="22"/>
          <w:szCs w:val="22"/>
          <w:lang w:val="sr-Latn-ME"/>
        </w:rPr>
        <w:t xml:space="preserve">NAZIV </w:t>
      </w:r>
      <w:r w:rsidRPr="005A4F9F">
        <w:rPr>
          <w:b/>
          <w:bCs/>
          <w:sz w:val="22"/>
          <w:szCs w:val="22"/>
          <w:lang w:val="sr-Latn-ME"/>
        </w:rPr>
        <w:t>LIJEKA</w:t>
      </w:r>
    </w:p>
    <w:p w14:paraId="51E11344" w14:textId="77777777" w:rsidR="00EC2532" w:rsidRPr="005A4F9F" w:rsidRDefault="00EC2532" w:rsidP="008B00DE">
      <w:pPr>
        <w:widowControl w:val="0"/>
        <w:jc w:val="both"/>
        <w:rPr>
          <w:sz w:val="22"/>
          <w:szCs w:val="22"/>
          <w:lang w:val="sr-Latn-ME"/>
        </w:rPr>
      </w:pPr>
    </w:p>
    <w:p w14:paraId="42ACF045" w14:textId="088F4634" w:rsidR="00F34A0E" w:rsidRPr="005A4F9F" w:rsidRDefault="00F34A0E" w:rsidP="008B00DE">
      <w:pPr>
        <w:pStyle w:val="Header"/>
        <w:widowControl w:val="0"/>
        <w:tabs>
          <w:tab w:val="left" w:pos="284"/>
        </w:tabs>
        <w:jc w:val="both"/>
        <w:rPr>
          <w:iCs/>
          <w:sz w:val="22"/>
          <w:szCs w:val="22"/>
          <w:lang w:val="sr-Latn-ME"/>
        </w:rPr>
      </w:pPr>
      <w:r w:rsidRPr="005A4F9F">
        <w:rPr>
          <w:iCs/>
          <w:sz w:val="22"/>
          <w:szCs w:val="22"/>
          <w:lang w:val="sr-Latn-ME"/>
        </w:rPr>
        <w:t>RoActemra 20 mg/</w:t>
      </w:r>
      <w:r w:rsidR="00542633" w:rsidRPr="005A4F9F">
        <w:rPr>
          <w:iCs/>
          <w:sz w:val="22"/>
          <w:szCs w:val="22"/>
          <w:lang w:val="sr-Latn-ME"/>
        </w:rPr>
        <w:t>ml</w:t>
      </w:r>
      <w:r w:rsidRPr="005A4F9F">
        <w:rPr>
          <w:iCs/>
          <w:sz w:val="22"/>
          <w:szCs w:val="22"/>
          <w:lang w:val="sr-Latn-ME"/>
        </w:rPr>
        <w:t xml:space="preserve"> koncentrat za rastvor za infuziju.</w:t>
      </w:r>
    </w:p>
    <w:p w14:paraId="7F8A555D" w14:textId="77777777" w:rsidR="000D425A" w:rsidRPr="005A4F9F" w:rsidRDefault="000D425A" w:rsidP="008B00DE">
      <w:pPr>
        <w:widowControl w:val="0"/>
        <w:jc w:val="both"/>
        <w:rPr>
          <w:bCs/>
          <w:sz w:val="22"/>
          <w:szCs w:val="22"/>
          <w:lang w:val="sr-Latn-ME"/>
        </w:rPr>
      </w:pPr>
    </w:p>
    <w:p w14:paraId="78F9C9DE" w14:textId="77777777" w:rsidR="006D20A5" w:rsidRPr="005A4F9F" w:rsidRDefault="006D20A5" w:rsidP="008B00DE">
      <w:pPr>
        <w:pStyle w:val="Header"/>
        <w:widowControl w:val="0"/>
        <w:tabs>
          <w:tab w:val="left" w:pos="284"/>
        </w:tabs>
        <w:jc w:val="both"/>
        <w:rPr>
          <w:sz w:val="22"/>
          <w:szCs w:val="22"/>
          <w:lang w:val="sr-Latn-ME"/>
        </w:rPr>
      </w:pPr>
      <w:r w:rsidRPr="005A4F9F">
        <w:rPr>
          <w:sz w:val="22"/>
          <w:szCs w:val="22"/>
          <w:lang w:val="sr-Latn-ME"/>
        </w:rPr>
        <w:t>INN:</w:t>
      </w:r>
      <w:r w:rsidR="00F34A0E" w:rsidRPr="005A4F9F">
        <w:rPr>
          <w:sz w:val="22"/>
          <w:szCs w:val="22"/>
          <w:lang w:val="sr-Latn-ME"/>
        </w:rPr>
        <w:t xml:space="preserve"> tocilizumab</w:t>
      </w:r>
    </w:p>
    <w:p w14:paraId="21C237DF" w14:textId="2F833272" w:rsidR="00530BD7" w:rsidRPr="005A4F9F" w:rsidRDefault="00530BD7" w:rsidP="008B00DE">
      <w:pPr>
        <w:widowControl w:val="0"/>
        <w:jc w:val="both"/>
        <w:rPr>
          <w:bCs/>
          <w:sz w:val="22"/>
          <w:szCs w:val="22"/>
          <w:lang w:val="sr-Latn-ME"/>
        </w:rPr>
      </w:pPr>
    </w:p>
    <w:p w14:paraId="57331A27" w14:textId="77777777" w:rsidR="00542633" w:rsidRPr="005A4F9F" w:rsidRDefault="00542633" w:rsidP="008B00DE">
      <w:pPr>
        <w:widowControl w:val="0"/>
        <w:jc w:val="both"/>
        <w:rPr>
          <w:bCs/>
          <w:sz w:val="22"/>
          <w:szCs w:val="22"/>
          <w:lang w:val="sr-Latn-ME"/>
        </w:rPr>
      </w:pPr>
    </w:p>
    <w:p w14:paraId="32E620FB" w14:textId="77777777" w:rsidR="00411B4B" w:rsidRPr="005A4F9F" w:rsidRDefault="00411B4B" w:rsidP="008B00DE">
      <w:pPr>
        <w:widowControl w:val="0"/>
        <w:tabs>
          <w:tab w:val="left" w:pos="540"/>
          <w:tab w:val="left" w:pos="569"/>
        </w:tabs>
        <w:jc w:val="both"/>
        <w:rPr>
          <w:b/>
          <w:bCs/>
          <w:sz w:val="22"/>
          <w:szCs w:val="22"/>
          <w:lang w:val="sr-Latn-ME"/>
        </w:rPr>
      </w:pPr>
      <w:r w:rsidRPr="005A4F9F">
        <w:rPr>
          <w:b/>
          <w:bCs/>
          <w:sz w:val="22"/>
          <w:szCs w:val="22"/>
          <w:lang w:val="sr-Latn-ME"/>
        </w:rPr>
        <w:t xml:space="preserve">2. </w:t>
      </w:r>
      <w:r w:rsidR="00F5167F" w:rsidRPr="005A4F9F">
        <w:rPr>
          <w:b/>
          <w:bCs/>
          <w:sz w:val="22"/>
          <w:szCs w:val="22"/>
          <w:lang w:val="sr-Latn-ME"/>
        </w:rPr>
        <w:tab/>
      </w:r>
      <w:r w:rsidRPr="005A4F9F">
        <w:rPr>
          <w:b/>
          <w:bCs/>
          <w:sz w:val="22"/>
          <w:szCs w:val="22"/>
          <w:lang w:val="sr-Latn-ME"/>
        </w:rPr>
        <w:t>KVALITATIVNI I KVANTITATIVNI SASTAV</w:t>
      </w:r>
    </w:p>
    <w:p w14:paraId="418C1526" w14:textId="77777777" w:rsidR="005A0B2E" w:rsidRPr="005A4F9F" w:rsidRDefault="005A0B2E" w:rsidP="008B00DE">
      <w:pPr>
        <w:widowControl w:val="0"/>
        <w:jc w:val="both"/>
        <w:rPr>
          <w:sz w:val="22"/>
          <w:szCs w:val="22"/>
          <w:lang w:val="sr-Latn-ME"/>
        </w:rPr>
      </w:pPr>
    </w:p>
    <w:p w14:paraId="36143616" w14:textId="37E7E73D"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 xml:space="preserve">Svaki </w:t>
      </w:r>
      <w:r w:rsidR="00542633" w:rsidRPr="005A4F9F">
        <w:rPr>
          <w:sz w:val="22"/>
          <w:szCs w:val="22"/>
          <w:lang w:val="sr-Latn-ME"/>
        </w:rPr>
        <w:t>ml</w:t>
      </w:r>
      <w:r w:rsidRPr="005A4F9F">
        <w:rPr>
          <w:sz w:val="22"/>
          <w:szCs w:val="22"/>
          <w:lang w:val="sr-Latn-ME"/>
        </w:rPr>
        <w:t xml:space="preserve"> koncentrata za rastvor za infuziju sadrži 20 mg tocilizumaba*.</w:t>
      </w:r>
    </w:p>
    <w:p w14:paraId="406BB752" w14:textId="77777777" w:rsidR="00F34A0E" w:rsidRPr="005A4F9F" w:rsidRDefault="00F34A0E" w:rsidP="008B00DE">
      <w:pPr>
        <w:pStyle w:val="Header"/>
        <w:widowControl w:val="0"/>
        <w:tabs>
          <w:tab w:val="left" w:pos="284"/>
        </w:tabs>
        <w:jc w:val="both"/>
        <w:rPr>
          <w:sz w:val="22"/>
          <w:szCs w:val="22"/>
          <w:lang w:val="sr-Latn-ME"/>
        </w:rPr>
      </w:pPr>
    </w:p>
    <w:p w14:paraId="7F6489A5" w14:textId="2ACD661F" w:rsidR="000C224B" w:rsidRPr="005A4F9F" w:rsidRDefault="000C224B" w:rsidP="008B00DE">
      <w:pPr>
        <w:pStyle w:val="Header"/>
        <w:widowControl w:val="0"/>
        <w:tabs>
          <w:tab w:val="left" w:pos="284"/>
        </w:tabs>
        <w:jc w:val="both"/>
        <w:rPr>
          <w:i/>
          <w:iCs/>
          <w:sz w:val="22"/>
          <w:szCs w:val="22"/>
          <w:lang w:val="sr-Latn-ME"/>
        </w:rPr>
      </w:pPr>
      <w:r w:rsidRPr="005A4F9F">
        <w:rPr>
          <w:i/>
          <w:iCs/>
          <w:sz w:val="22"/>
          <w:szCs w:val="22"/>
          <w:lang w:val="sr-Latn-ME"/>
        </w:rPr>
        <w:t>RoActemra 20 mg/</w:t>
      </w:r>
      <w:r w:rsidR="00542633" w:rsidRPr="005A4F9F">
        <w:rPr>
          <w:i/>
          <w:iCs/>
          <w:sz w:val="22"/>
          <w:szCs w:val="22"/>
          <w:lang w:val="sr-Latn-ME"/>
        </w:rPr>
        <w:t>ml</w:t>
      </w:r>
      <w:r w:rsidRPr="005A4F9F">
        <w:rPr>
          <w:i/>
          <w:iCs/>
          <w:sz w:val="22"/>
          <w:szCs w:val="22"/>
          <w:lang w:val="sr-Latn-ME"/>
        </w:rPr>
        <w:t xml:space="preserve"> koncentrat za rastvor za infuziju, 1x4 </w:t>
      </w:r>
      <w:r w:rsidR="00542633" w:rsidRPr="005A4F9F">
        <w:rPr>
          <w:i/>
          <w:iCs/>
          <w:sz w:val="22"/>
          <w:szCs w:val="22"/>
          <w:lang w:val="sr-Latn-ME"/>
        </w:rPr>
        <w:t>ml</w:t>
      </w:r>
    </w:p>
    <w:p w14:paraId="4F017C5F" w14:textId="383B36EE" w:rsidR="00F34A0E" w:rsidRPr="005A4F9F" w:rsidRDefault="00942687" w:rsidP="008B00DE">
      <w:pPr>
        <w:pStyle w:val="Header"/>
        <w:widowControl w:val="0"/>
        <w:tabs>
          <w:tab w:val="left" w:pos="284"/>
        </w:tabs>
        <w:jc w:val="both"/>
        <w:rPr>
          <w:sz w:val="22"/>
          <w:szCs w:val="22"/>
          <w:lang w:val="sr-Latn-ME"/>
        </w:rPr>
      </w:pPr>
      <w:r w:rsidRPr="005A4F9F">
        <w:rPr>
          <w:sz w:val="22"/>
          <w:szCs w:val="22"/>
          <w:lang w:val="sr-Latn-ME"/>
        </w:rPr>
        <w:t xml:space="preserve">Jedna </w:t>
      </w:r>
      <w:r w:rsidR="00F34A0E" w:rsidRPr="005A4F9F">
        <w:rPr>
          <w:sz w:val="22"/>
          <w:szCs w:val="22"/>
          <w:lang w:val="sr-Latn-ME"/>
        </w:rPr>
        <w:t xml:space="preserve">bočica </w:t>
      </w:r>
      <w:r w:rsidRPr="005A4F9F">
        <w:rPr>
          <w:sz w:val="22"/>
          <w:szCs w:val="22"/>
          <w:lang w:val="sr-Latn-ME"/>
        </w:rPr>
        <w:t xml:space="preserve">od 4 </w:t>
      </w:r>
      <w:r w:rsidR="00542633" w:rsidRPr="005A4F9F">
        <w:rPr>
          <w:sz w:val="22"/>
          <w:szCs w:val="22"/>
          <w:lang w:val="sr-Latn-ME"/>
        </w:rPr>
        <w:t>ml</w:t>
      </w:r>
      <w:r w:rsidRPr="005A4F9F">
        <w:rPr>
          <w:sz w:val="22"/>
          <w:szCs w:val="22"/>
          <w:lang w:val="sr-Latn-ME"/>
        </w:rPr>
        <w:t xml:space="preserve"> </w:t>
      </w:r>
      <w:r w:rsidR="00F34A0E" w:rsidRPr="005A4F9F">
        <w:rPr>
          <w:sz w:val="22"/>
          <w:szCs w:val="22"/>
          <w:lang w:val="sr-Latn-ME"/>
        </w:rPr>
        <w:t>sadrži 80 mg tocilizumaba* (20 mg/</w:t>
      </w:r>
      <w:r w:rsidR="00542633" w:rsidRPr="005A4F9F">
        <w:rPr>
          <w:sz w:val="22"/>
          <w:szCs w:val="22"/>
          <w:lang w:val="sr-Latn-ME"/>
        </w:rPr>
        <w:t>ml</w:t>
      </w:r>
      <w:r w:rsidR="00F34A0E" w:rsidRPr="005A4F9F">
        <w:rPr>
          <w:sz w:val="22"/>
          <w:szCs w:val="22"/>
          <w:lang w:val="sr-Latn-ME"/>
        </w:rPr>
        <w:t>).</w:t>
      </w:r>
    </w:p>
    <w:p w14:paraId="070D250D" w14:textId="5607DD04" w:rsidR="000C224B" w:rsidRPr="005A4F9F" w:rsidRDefault="000C224B" w:rsidP="008B00DE">
      <w:pPr>
        <w:pStyle w:val="Header"/>
        <w:widowControl w:val="0"/>
        <w:tabs>
          <w:tab w:val="left" w:pos="284"/>
        </w:tabs>
        <w:jc w:val="both"/>
        <w:rPr>
          <w:i/>
          <w:iCs/>
          <w:sz w:val="22"/>
          <w:szCs w:val="22"/>
          <w:lang w:val="sr-Latn-ME"/>
        </w:rPr>
      </w:pPr>
      <w:r w:rsidRPr="005A4F9F">
        <w:rPr>
          <w:i/>
          <w:iCs/>
          <w:sz w:val="22"/>
          <w:szCs w:val="22"/>
          <w:lang w:val="sr-Latn-ME"/>
        </w:rPr>
        <w:t>RoActemra 20 mg/</w:t>
      </w:r>
      <w:r w:rsidR="00542633" w:rsidRPr="005A4F9F">
        <w:rPr>
          <w:i/>
          <w:iCs/>
          <w:sz w:val="22"/>
          <w:szCs w:val="22"/>
          <w:lang w:val="sr-Latn-ME"/>
        </w:rPr>
        <w:t>ml</w:t>
      </w:r>
      <w:r w:rsidRPr="005A4F9F">
        <w:rPr>
          <w:i/>
          <w:iCs/>
          <w:sz w:val="22"/>
          <w:szCs w:val="22"/>
          <w:lang w:val="sr-Latn-ME"/>
        </w:rPr>
        <w:t xml:space="preserve"> koncentrat za rastvor za infuziju, 1x10 </w:t>
      </w:r>
      <w:r w:rsidR="00542633" w:rsidRPr="005A4F9F">
        <w:rPr>
          <w:i/>
          <w:iCs/>
          <w:sz w:val="22"/>
          <w:szCs w:val="22"/>
          <w:lang w:val="sr-Latn-ME"/>
        </w:rPr>
        <w:t>ml</w:t>
      </w:r>
    </w:p>
    <w:p w14:paraId="1E5323B7" w14:textId="2C06338C" w:rsidR="00F34A0E" w:rsidRPr="005A4F9F" w:rsidRDefault="00942687" w:rsidP="008B00DE">
      <w:pPr>
        <w:pStyle w:val="Header"/>
        <w:widowControl w:val="0"/>
        <w:tabs>
          <w:tab w:val="left" w:pos="284"/>
        </w:tabs>
        <w:jc w:val="both"/>
        <w:rPr>
          <w:sz w:val="22"/>
          <w:szCs w:val="22"/>
          <w:lang w:val="sr-Latn-ME"/>
        </w:rPr>
      </w:pPr>
      <w:r w:rsidRPr="005A4F9F">
        <w:rPr>
          <w:sz w:val="22"/>
          <w:szCs w:val="22"/>
          <w:lang w:val="sr-Latn-ME"/>
        </w:rPr>
        <w:t xml:space="preserve">Jedna </w:t>
      </w:r>
      <w:r w:rsidR="00F34A0E" w:rsidRPr="005A4F9F">
        <w:rPr>
          <w:sz w:val="22"/>
          <w:szCs w:val="22"/>
          <w:lang w:val="sr-Latn-ME"/>
        </w:rPr>
        <w:t xml:space="preserve"> bočica </w:t>
      </w:r>
      <w:r w:rsidRPr="005A4F9F">
        <w:rPr>
          <w:sz w:val="22"/>
          <w:szCs w:val="22"/>
          <w:lang w:val="sr-Latn-ME"/>
        </w:rPr>
        <w:t xml:space="preserve">od 10 mg </w:t>
      </w:r>
      <w:r w:rsidR="00F34A0E" w:rsidRPr="005A4F9F">
        <w:rPr>
          <w:sz w:val="22"/>
          <w:szCs w:val="22"/>
          <w:lang w:val="sr-Latn-ME"/>
        </w:rPr>
        <w:t>sadrži 200 mg tocilizumaba* (20 mg/</w:t>
      </w:r>
      <w:r w:rsidR="00542633" w:rsidRPr="005A4F9F">
        <w:rPr>
          <w:sz w:val="22"/>
          <w:szCs w:val="22"/>
          <w:lang w:val="sr-Latn-ME"/>
        </w:rPr>
        <w:t>ml</w:t>
      </w:r>
      <w:r w:rsidR="00F34A0E" w:rsidRPr="005A4F9F">
        <w:rPr>
          <w:sz w:val="22"/>
          <w:szCs w:val="22"/>
          <w:lang w:val="sr-Latn-ME"/>
        </w:rPr>
        <w:t xml:space="preserve">). </w:t>
      </w:r>
    </w:p>
    <w:p w14:paraId="768DDB99" w14:textId="2CA85CA0" w:rsidR="000C224B" w:rsidRPr="005A4F9F" w:rsidRDefault="000C224B" w:rsidP="008B00DE">
      <w:pPr>
        <w:pStyle w:val="Header"/>
        <w:widowControl w:val="0"/>
        <w:tabs>
          <w:tab w:val="left" w:pos="284"/>
        </w:tabs>
        <w:jc w:val="both"/>
        <w:rPr>
          <w:i/>
          <w:iCs/>
          <w:sz w:val="22"/>
          <w:szCs w:val="22"/>
          <w:lang w:val="sr-Latn-ME"/>
        </w:rPr>
      </w:pPr>
      <w:r w:rsidRPr="005A4F9F">
        <w:rPr>
          <w:i/>
          <w:iCs/>
          <w:sz w:val="22"/>
          <w:szCs w:val="22"/>
          <w:lang w:val="sr-Latn-ME"/>
        </w:rPr>
        <w:t>RoActemra 20 mg/</w:t>
      </w:r>
      <w:r w:rsidR="00542633" w:rsidRPr="005A4F9F">
        <w:rPr>
          <w:i/>
          <w:iCs/>
          <w:sz w:val="22"/>
          <w:szCs w:val="22"/>
          <w:lang w:val="sr-Latn-ME"/>
        </w:rPr>
        <w:t>ml</w:t>
      </w:r>
      <w:r w:rsidRPr="005A4F9F">
        <w:rPr>
          <w:i/>
          <w:iCs/>
          <w:sz w:val="22"/>
          <w:szCs w:val="22"/>
          <w:lang w:val="sr-Latn-ME"/>
        </w:rPr>
        <w:t xml:space="preserve"> koncentrat za rastvor za infuziju, 1x20 </w:t>
      </w:r>
      <w:r w:rsidR="00542633" w:rsidRPr="005A4F9F">
        <w:rPr>
          <w:i/>
          <w:iCs/>
          <w:sz w:val="22"/>
          <w:szCs w:val="22"/>
          <w:lang w:val="sr-Latn-ME"/>
        </w:rPr>
        <w:t>ml</w:t>
      </w:r>
    </w:p>
    <w:p w14:paraId="3B2E7EA8" w14:textId="6B8E401A" w:rsidR="00F34A0E" w:rsidRPr="005A4F9F" w:rsidRDefault="00942687" w:rsidP="008B00DE">
      <w:pPr>
        <w:pStyle w:val="Header"/>
        <w:widowControl w:val="0"/>
        <w:tabs>
          <w:tab w:val="left" w:pos="284"/>
        </w:tabs>
        <w:jc w:val="both"/>
        <w:rPr>
          <w:sz w:val="22"/>
          <w:szCs w:val="22"/>
          <w:lang w:val="sr-Latn-ME"/>
        </w:rPr>
      </w:pPr>
      <w:r w:rsidRPr="005A4F9F">
        <w:rPr>
          <w:sz w:val="22"/>
          <w:szCs w:val="22"/>
          <w:lang w:val="sr-Latn-ME"/>
        </w:rPr>
        <w:t>Jedna</w:t>
      </w:r>
      <w:r w:rsidR="00F34A0E" w:rsidRPr="005A4F9F">
        <w:rPr>
          <w:sz w:val="22"/>
          <w:szCs w:val="22"/>
          <w:lang w:val="sr-Latn-ME"/>
        </w:rPr>
        <w:t xml:space="preserve"> bočica </w:t>
      </w:r>
      <w:r w:rsidRPr="005A4F9F">
        <w:rPr>
          <w:sz w:val="22"/>
          <w:szCs w:val="22"/>
          <w:lang w:val="sr-Latn-ME"/>
        </w:rPr>
        <w:t xml:space="preserve">od 20 mg </w:t>
      </w:r>
      <w:r w:rsidR="00F34A0E" w:rsidRPr="005A4F9F">
        <w:rPr>
          <w:sz w:val="22"/>
          <w:szCs w:val="22"/>
          <w:lang w:val="sr-Latn-ME"/>
        </w:rPr>
        <w:t>sadrži 400 mg tocilizumaba*</w:t>
      </w:r>
      <w:r w:rsidR="00503D6F" w:rsidRPr="005A4F9F">
        <w:rPr>
          <w:sz w:val="22"/>
          <w:szCs w:val="22"/>
          <w:lang w:val="sr-Latn-ME"/>
        </w:rPr>
        <w:t xml:space="preserve"> </w:t>
      </w:r>
      <w:r w:rsidR="00F34A0E" w:rsidRPr="005A4F9F">
        <w:rPr>
          <w:sz w:val="22"/>
          <w:szCs w:val="22"/>
          <w:lang w:val="sr-Latn-ME"/>
        </w:rPr>
        <w:t>(20 mg/</w:t>
      </w:r>
      <w:r w:rsidR="00542633" w:rsidRPr="005A4F9F">
        <w:rPr>
          <w:sz w:val="22"/>
          <w:szCs w:val="22"/>
          <w:lang w:val="sr-Latn-ME"/>
        </w:rPr>
        <w:t>ml</w:t>
      </w:r>
      <w:r w:rsidR="00F34A0E" w:rsidRPr="005A4F9F">
        <w:rPr>
          <w:sz w:val="22"/>
          <w:szCs w:val="22"/>
          <w:lang w:val="sr-Latn-ME"/>
        </w:rPr>
        <w:t xml:space="preserve">). </w:t>
      </w:r>
    </w:p>
    <w:p w14:paraId="01BDD976" w14:textId="77777777" w:rsidR="00F34A0E" w:rsidRPr="005A4F9F" w:rsidRDefault="00F34A0E" w:rsidP="008B00DE">
      <w:pPr>
        <w:pStyle w:val="Header"/>
        <w:widowControl w:val="0"/>
        <w:tabs>
          <w:tab w:val="left" w:pos="284"/>
        </w:tabs>
        <w:jc w:val="both"/>
        <w:rPr>
          <w:sz w:val="22"/>
          <w:szCs w:val="22"/>
          <w:lang w:val="sr-Latn-ME"/>
        </w:rPr>
      </w:pPr>
    </w:p>
    <w:p w14:paraId="6B4C42F4" w14:textId="3095D117"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*Humanizovano IgG1 monoklonsko antitijelo proizvedeno u ćelijama jajnika kineskog hrčka (CHO) tehnologijom rekombina</w:t>
      </w:r>
      <w:r w:rsidR="00D62474" w:rsidRPr="005A4F9F">
        <w:rPr>
          <w:sz w:val="22"/>
          <w:szCs w:val="22"/>
          <w:lang w:val="sr-Latn-ME"/>
        </w:rPr>
        <w:t>ntne</w:t>
      </w:r>
      <w:r w:rsidRPr="005A4F9F">
        <w:rPr>
          <w:sz w:val="22"/>
          <w:szCs w:val="22"/>
          <w:lang w:val="sr-Latn-ME"/>
        </w:rPr>
        <w:t xml:space="preserve"> DN</w:t>
      </w:r>
      <w:r w:rsidR="004128CE" w:rsidRPr="005A4F9F">
        <w:rPr>
          <w:sz w:val="22"/>
          <w:szCs w:val="22"/>
          <w:lang w:val="sr-Latn-ME"/>
        </w:rPr>
        <w:t>A</w:t>
      </w:r>
      <w:r w:rsidRPr="005A4F9F">
        <w:rPr>
          <w:sz w:val="22"/>
          <w:szCs w:val="22"/>
          <w:lang w:val="sr-Latn-ME"/>
        </w:rPr>
        <w:t>.</w:t>
      </w:r>
    </w:p>
    <w:p w14:paraId="67B18898" w14:textId="77777777" w:rsidR="00F34A0E" w:rsidRPr="005A4F9F" w:rsidRDefault="00F34A0E" w:rsidP="008B00DE">
      <w:pPr>
        <w:pStyle w:val="Header"/>
        <w:widowControl w:val="0"/>
        <w:tabs>
          <w:tab w:val="left" w:pos="284"/>
        </w:tabs>
        <w:jc w:val="both"/>
        <w:rPr>
          <w:sz w:val="22"/>
          <w:szCs w:val="22"/>
          <w:lang w:val="sr-Latn-ME"/>
        </w:rPr>
      </w:pPr>
    </w:p>
    <w:p w14:paraId="20D22D07" w14:textId="77777777" w:rsidR="00F34A0E" w:rsidRPr="005A4F9F" w:rsidRDefault="00F34A0E" w:rsidP="008B00DE">
      <w:pPr>
        <w:pStyle w:val="Header"/>
        <w:widowControl w:val="0"/>
        <w:tabs>
          <w:tab w:val="left" w:pos="284"/>
        </w:tabs>
        <w:jc w:val="both"/>
        <w:rPr>
          <w:sz w:val="22"/>
          <w:szCs w:val="22"/>
          <w:lang w:val="sr-Latn-ME"/>
        </w:rPr>
      </w:pPr>
      <w:r w:rsidRPr="005A4F9F">
        <w:rPr>
          <w:sz w:val="22"/>
          <w:szCs w:val="22"/>
          <w:u w:val="single"/>
          <w:lang w:val="sr-Latn-ME"/>
        </w:rPr>
        <w:t>Pomoćne supstance sa poznatim efektom</w:t>
      </w:r>
      <w:r w:rsidRPr="005A4F9F">
        <w:rPr>
          <w:sz w:val="22"/>
          <w:szCs w:val="22"/>
          <w:lang w:val="sr-Latn-ME"/>
        </w:rPr>
        <w:t>:</w:t>
      </w:r>
    </w:p>
    <w:p w14:paraId="3A16180C" w14:textId="2A064554"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 xml:space="preserve">Svaka  bočica od </w:t>
      </w:r>
      <w:r w:rsidR="000C224B" w:rsidRPr="005A4F9F">
        <w:rPr>
          <w:sz w:val="22"/>
          <w:szCs w:val="22"/>
          <w:lang w:val="sr-Latn-ME"/>
        </w:rPr>
        <w:t xml:space="preserve">4 </w:t>
      </w:r>
      <w:r w:rsidR="00542633" w:rsidRPr="005A4F9F">
        <w:rPr>
          <w:sz w:val="22"/>
          <w:szCs w:val="22"/>
          <w:lang w:val="sr-Latn-ME"/>
        </w:rPr>
        <w:t>ml</w:t>
      </w:r>
      <w:r w:rsidRPr="005A4F9F">
        <w:rPr>
          <w:sz w:val="22"/>
          <w:szCs w:val="22"/>
          <w:lang w:val="sr-Latn-ME"/>
        </w:rPr>
        <w:t xml:space="preserve"> sadrži 0,10 mmol (2,21 mg) natrijuma</w:t>
      </w:r>
      <w:r w:rsidR="004128CE" w:rsidRPr="005A4F9F">
        <w:rPr>
          <w:sz w:val="22"/>
          <w:szCs w:val="22"/>
          <w:lang w:val="sr-Latn-ME"/>
        </w:rPr>
        <w:t xml:space="preserve"> i 2 mg (0,5 mg/</w:t>
      </w:r>
      <w:r w:rsidR="00542633" w:rsidRPr="005A4F9F">
        <w:rPr>
          <w:sz w:val="22"/>
          <w:szCs w:val="22"/>
          <w:lang w:val="sr-Latn-ME"/>
        </w:rPr>
        <w:t>ml</w:t>
      </w:r>
      <w:r w:rsidR="004128CE" w:rsidRPr="005A4F9F">
        <w:rPr>
          <w:sz w:val="22"/>
          <w:szCs w:val="22"/>
          <w:lang w:val="sr-Latn-ME"/>
        </w:rPr>
        <w:t>) polisorbata 80</w:t>
      </w:r>
      <w:r w:rsidRPr="005A4F9F">
        <w:rPr>
          <w:sz w:val="22"/>
          <w:szCs w:val="22"/>
          <w:lang w:val="sr-Latn-ME"/>
        </w:rPr>
        <w:t>.</w:t>
      </w:r>
    </w:p>
    <w:p w14:paraId="7CA5482B" w14:textId="3CE1285B"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 xml:space="preserve">Svaka bočica od </w:t>
      </w:r>
      <w:r w:rsidR="000C224B" w:rsidRPr="005A4F9F">
        <w:rPr>
          <w:sz w:val="22"/>
          <w:szCs w:val="22"/>
          <w:lang w:val="sr-Latn-ME"/>
        </w:rPr>
        <w:t xml:space="preserve">10 </w:t>
      </w:r>
      <w:r w:rsidR="00542633" w:rsidRPr="005A4F9F">
        <w:rPr>
          <w:sz w:val="22"/>
          <w:szCs w:val="22"/>
          <w:lang w:val="sr-Latn-ME"/>
        </w:rPr>
        <w:t>ml</w:t>
      </w:r>
      <w:r w:rsidR="000C224B" w:rsidRPr="005A4F9F">
        <w:rPr>
          <w:sz w:val="22"/>
          <w:szCs w:val="22"/>
          <w:lang w:val="sr-Latn-ME"/>
        </w:rPr>
        <w:t xml:space="preserve"> </w:t>
      </w:r>
      <w:r w:rsidRPr="005A4F9F">
        <w:rPr>
          <w:sz w:val="22"/>
          <w:szCs w:val="22"/>
          <w:lang w:val="sr-Latn-ME"/>
        </w:rPr>
        <w:t>sadrži 0,20 mmol (4,43 mg) natrijuma</w:t>
      </w:r>
      <w:r w:rsidR="004128CE" w:rsidRPr="005A4F9F">
        <w:rPr>
          <w:sz w:val="22"/>
          <w:szCs w:val="22"/>
          <w:lang w:val="sr-Latn-ME"/>
        </w:rPr>
        <w:t xml:space="preserve"> i 5 mg (0,5 mg/</w:t>
      </w:r>
      <w:r w:rsidR="00542633" w:rsidRPr="005A4F9F">
        <w:rPr>
          <w:sz w:val="22"/>
          <w:szCs w:val="22"/>
          <w:lang w:val="sr-Latn-ME"/>
        </w:rPr>
        <w:t>ml</w:t>
      </w:r>
      <w:r w:rsidR="004128CE" w:rsidRPr="005A4F9F">
        <w:rPr>
          <w:sz w:val="22"/>
          <w:szCs w:val="22"/>
          <w:lang w:val="sr-Latn-ME"/>
        </w:rPr>
        <w:t>) polisorbata 80.</w:t>
      </w:r>
    </w:p>
    <w:p w14:paraId="6BCE8238" w14:textId="3F2558A5"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 xml:space="preserve">Svaka bočica od </w:t>
      </w:r>
      <w:r w:rsidR="000C224B" w:rsidRPr="005A4F9F">
        <w:rPr>
          <w:sz w:val="22"/>
          <w:szCs w:val="22"/>
          <w:lang w:val="sr-Latn-ME"/>
        </w:rPr>
        <w:t xml:space="preserve">20 </w:t>
      </w:r>
      <w:r w:rsidR="00542633" w:rsidRPr="005A4F9F">
        <w:rPr>
          <w:sz w:val="22"/>
          <w:szCs w:val="22"/>
          <w:lang w:val="sr-Latn-ME"/>
        </w:rPr>
        <w:t>ml</w:t>
      </w:r>
      <w:r w:rsidRPr="005A4F9F">
        <w:rPr>
          <w:sz w:val="22"/>
          <w:szCs w:val="22"/>
          <w:lang w:val="sr-Latn-ME"/>
        </w:rPr>
        <w:t xml:space="preserve"> sadrži 0,39 mmol (8,85 mg) natrijuma</w:t>
      </w:r>
      <w:r w:rsidR="004128CE" w:rsidRPr="005A4F9F">
        <w:rPr>
          <w:sz w:val="22"/>
          <w:szCs w:val="22"/>
          <w:lang w:val="sr-Latn-ME"/>
        </w:rPr>
        <w:t xml:space="preserve"> i 10 mg (0,5 mg/</w:t>
      </w:r>
      <w:r w:rsidR="00542633" w:rsidRPr="005A4F9F">
        <w:rPr>
          <w:sz w:val="22"/>
          <w:szCs w:val="22"/>
          <w:lang w:val="sr-Latn-ME"/>
        </w:rPr>
        <w:t>ml</w:t>
      </w:r>
      <w:r w:rsidR="004128CE" w:rsidRPr="005A4F9F">
        <w:rPr>
          <w:sz w:val="22"/>
          <w:szCs w:val="22"/>
          <w:lang w:val="sr-Latn-ME"/>
        </w:rPr>
        <w:t>) polisorbata 80</w:t>
      </w:r>
      <w:r w:rsidRPr="005A4F9F">
        <w:rPr>
          <w:sz w:val="22"/>
          <w:szCs w:val="22"/>
          <w:lang w:val="sr-Latn-ME"/>
        </w:rPr>
        <w:t xml:space="preserve">. </w:t>
      </w:r>
    </w:p>
    <w:p w14:paraId="6C668E0F" w14:textId="77777777" w:rsidR="00F34A0E" w:rsidRPr="005A4F9F" w:rsidRDefault="00F34A0E" w:rsidP="008B00DE">
      <w:pPr>
        <w:pStyle w:val="Header"/>
        <w:widowControl w:val="0"/>
        <w:tabs>
          <w:tab w:val="left" w:pos="284"/>
        </w:tabs>
        <w:jc w:val="both"/>
        <w:rPr>
          <w:sz w:val="22"/>
          <w:szCs w:val="22"/>
          <w:lang w:val="sr-Latn-ME"/>
        </w:rPr>
      </w:pPr>
    </w:p>
    <w:p w14:paraId="3564CF0F" w14:textId="77777777" w:rsidR="0003793F" w:rsidRPr="005A4F9F" w:rsidRDefault="00F34A0E" w:rsidP="008B00DE">
      <w:pPr>
        <w:pStyle w:val="Header"/>
        <w:widowControl w:val="0"/>
        <w:tabs>
          <w:tab w:val="left" w:pos="284"/>
        </w:tabs>
        <w:jc w:val="both"/>
        <w:rPr>
          <w:sz w:val="22"/>
          <w:szCs w:val="22"/>
          <w:lang w:val="sr-Latn-ME"/>
        </w:rPr>
      </w:pPr>
      <w:r w:rsidRPr="005A4F9F">
        <w:rPr>
          <w:sz w:val="22"/>
          <w:szCs w:val="22"/>
          <w:lang w:val="sr-Latn-ME"/>
        </w:rPr>
        <w:t>Za kompletnu listu pomoćnih supstanci vidjeti dio 6.1.</w:t>
      </w:r>
    </w:p>
    <w:p w14:paraId="776844CB" w14:textId="35640BB9" w:rsidR="00C37FD7" w:rsidRPr="005A4F9F" w:rsidRDefault="00C37FD7" w:rsidP="008B00DE">
      <w:pPr>
        <w:widowControl w:val="0"/>
        <w:jc w:val="both"/>
        <w:rPr>
          <w:sz w:val="22"/>
          <w:szCs w:val="22"/>
          <w:lang w:val="sr-Latn-ME"/>
        </w:rPr>
      </w:pPr>
    </w:p>
    <w:p w14:paraId="5A228349" w14:textId="77777777" w:rsidR="00542633" w:rsidRPr="005A4F9F" w:rsidRDefault="00542633" w:rsidP="008B00DE">
      <w:pPr>
        <w:widowControl w:val="0"/>
        <w:jc w:val="both"/>
        <w:rPr>
          <w:sz w:val="22"/>
          <w:szCs w:val="22"/>
          <w:lang w:val="sr-Latn-ME"/>
        </w:rPr>
      </w:pPr>
    </w:p>
    <w:p w14:paraId="7624117C" w14:textId="77777777" w:rsidR="00411B4B" w:rsidRPr="005A4F9F" w:rsidRDefault="00411B4B" w:rsidP="008B00DE">
      <w:pPr>
        <w:widowControl w:val="0"/>
        <w:tabs>
          <w:tab w:val="left" w:pos="540"/>
          <w:tab w:val="left" w:pos="569"/>
        </w:tabs>
        <w:jc w:val="both"/>
        <w:rPr>
          <w:b/>
          <w:bCs/>
          <w:sz w:val="22"/>
          <w:szCs w:val="22"/>
          <w:lang w:val="sr-Latn-ME"/>
        </w:rPr>
      </w:pPr>
      <w:r w:rsidRPr="005A4F9F">
        <w:rPr>
          <w:b/>
          <w:bCs/>
          <w:sz w:val="22"/>
          <w:szCs w:val="22"/>
          <w:lang w:val="sr-Latn-ME"/>
        </w:rPr>
        <w:t xml:space="preserve">3. </w:t>
      </w:r>
      <w:r w:rsidR="00F5167F" w:rsidRPr="005A4F9F">
        <w:rPr>
          <w:b/>
          <w:bCs/>
          <w:sz w:val="22"/>
          <w:szCs w:val="22"/>
          <w:lang w:val="sr-Latn-ME"/>
        </w:rPr>
        <w:tab/>
      </w:r>
      <w:r w:rsidRPr="005A4F9F">
        <w:rPr>
          <w:b/>
          <w:bCs/>
          <w:sz w:val="22"/>
          <w:szCs w:val="22"/>
          <w:lang w:val="sr-Latn-ME"/>
        </w:rPr>
        <w:t>FARMACEUTSKI OBLIK</w:t>
      </w:r>
      <w:r w:rsidR="009F2D23" w:rsidRPr="005A4F9F">
        <w:rPr>
          <w:b/>
          <w:bCs/>
          <w:sz w:val="22"/>
          <w:szCs w:val="22"/>
          <w:lang w:val="sr-Latn-ME"/>
        </w:rPr>
        <w:t xml:space="preserve"> </w:t>
      </w:r>
    </w:p>
    <w:p w14:paraId="60BFB80F" w14:textId="77777777" w:rsidR="00411B4B" w:rsidRPr="005A4F9F" w:rsidRDefault="00411B4B" w:rsidP="008B00DE">
      <w:pPr>
        <w:widowControl w:val="0"/>
        <w:jc w:val="both"/>
        <w:rPr>
          <w:bCs/>
          <w:sz w:val="22"/>
          <w:szCs w:val="22"/>
          <w:lang w:val="sr-Latn-ME"/>
        </w:rPr>
      </w:pPr>
    </w:p>
    <w:p w14:paraId="3604F496" w14:textId="77777777" w:rsidR="00F34A0E" w:rsidRPr="005A4F9F" w:rsidRDefault="00F34A0E" w:rsidP="008B00DE">
      <w:pPr>
        <w:pStyle w:val="Header"/>
        <w:widowControl w:val="0"/>
        <w:tabs>
          <w:tab w:val="left" w:pos="284"/>
        </w:tabs>
        <w:jc w:val="both"/>
        <w:rPr>
          <w:sz w:val="22"/>
          <w:szCs w:val="22"/>
          <w:lang w:val="sr-Latn-ME"/>
        </w:rPr>
      </w:pPr>
      <w:r w:rsidRPr="005A4F9F">
        <w:rPr>
          <w:sz w:val="22"/>
          <w:szCs w:val="22"/>
          <w:lang w:val="sr-Latn-ME"/>
        </w:rPr>
        <w:t>Koncentrat za rastvor za infuziju (sterilni koncentrat).</w:t>
      </w:r>
    </w:p>
    <w:p w14:paraId="7727EFDC" w14:textId="77777777" w:rsidR="00F34A0E" w:rsidRPr="005A4F9F" w:rsidRDefault="00F34A0E" w:rsidP="008B00DE">
      <w:pPr>
        <w:pStyle w:val="Header"/>
        <w:widowControl w:val="0"/>
        <w:tabs>
          <w:tab w:val="left" w:pos="284"/>
        </w:tabs>
        <w:jc w:val="both"/>
        <w:rPr>
          <w:sz w:val="22"/>
          <w:szCs w:val="22"/>
          <w:lang w:val="sr-Latn-ME"/>
        </w:rPr>
      </w:pPr>
    </w:p>
    <w:p w14:paraId="026ADE52" w14:textId="1C83102B" w:rsidR="00E76DA4" w:rsidRPr="005A4F9F" w:rsidRDefault="00F34A0E" w:rsidP="008B00DE">
      <w:pPr>
        <w:widowControl w:val="0"/>
        <w:jc w:val="both"/>
        <w:rPr>
          <w:sz w:val="22"/>
          <w:szCs w:val="22"/>
          <w:lang w:val="sr-Latn-ME"/>
        </w:rPr>
      </w:pPr>
      <w:r w:rsidRPr="005A4F9F">
        <w:rPr>
          <w:sz w:val="22"/>
          <w:szCs w:val="22"/>
          <w:lang w:val="sr-Latn-ME"/>
        </w:rPr>
        <w:t>Bistar do zamućen, bezbojan do blijedo žuti rastvor</w:t>
      </w:r>
      <w:r w:rsidR="00E76DA4" w:rsidRPr="005A4F9F">
        <w:rPr>
          <w:sz w:val="22"/>
          <w:szCs w:val="22"/>
          <w:lang w:val="sr-Latn-ME"/>
        </w:rPr>
        <w:t>, koji ima pH vrijednosti 6,3 – 6,7 i osmolalnost 172 – 229 mOsm/kg.</w:t>
      </w:r>
    </w:p>
    <w:p w14:paraId="5229D52A" w14:textId="16C682A4" w:rsidR="00F34A0E" w:rsidRPr="005A4F9F" w:rsidRDefault="00F34A0E" w:rsidP="008B00DE">
      <w:pPr>
        <w:pStyle w:val="Header"/>
        <w:widowControl w:val="0"/>
        <w:tabs>
          <w:tab w:val="left" w:pos="284"/>
        </w:tabs>
        <w:jc w:val="both"/>
        <w:rPr>
          <w:sz w:val="22"/>
          <w:szCs w:val="22"/>
          <w:lang w:val="sr-Latn-ME"/>
        </w:rPr>
      </w:pPr>
    </w:p>
    <w:p w14:paraId="29E38B0B" w14:textId="77777777" w:rsidR="00EC2532" w:rsidRPr="005A4F9F" w:rsidRDefault="00EC2532" w:rsidP="008B00DE">
      <w:pPr>
        <w:widowControl w:val="0"/>
        <w:jc w:val="both"/>
        <w:rPr>
          <w:bCs/>
          <w:sz w:val="22"/>
          <w:szCs w:val="22"/>
          <w:lang w:val="sr-Latn-ME"/>
        </w:rPr>
      </w:pPr>
    </w:p>
    <w:p w14:paraId="1959F639" w14:textId="77777777" w:rsidR="00411B4B" w:rsidRPr="005A4F9F" w:rsidRDefault="00411B4B" w:rsidP="008B00DE">
      <w:pPr>
        <w:widowControl w:val="0"/>
        <w:tabs>
          <w:tab w:val="left" w:pos="540"/>
          <w:tab w:val="left" w:pos="569"/>
        </w:tabs>
        <w:jc w:val="both"/>
        <w:rPr>
          <w:b/>
          <w:bCs/>
          <w:sz w:val="22"/>
          <w:szCs w:val="22"/>
          <w:lang w:val="sr-Latn-ME"/>
        </w:rPr>
      </w:pPr>
      <w:r w:rsidRPr="005A4F9F">
        <w:rPr>
          <w:b/>
          <w:bCs/>
          <w:sz w:val="22"/>
          <w:szCs w:val="22"/>
          <w:lang w:val="sr-Latn-ME"/>
        </w:rPr>
        <w:t xml:space="preserve">4. </w:t>
      </w:r>
      <w:r w:rsidR="00480FB1" w:rsidRPr="005A4F9F">
        <w:rPr>
          <w:b/>
          <w:bCs/>
          <w:sz w:val="22"/>
          <w:szCs w:val="22"/>
          <w:lang w:val="sr-Latn-ME"/>
        </w:rPr>
        <w:tab/>
      </w:r>
      <w:r w:rsidRPr="005A4F9F">
        <w:rPr>
          <w:b/>
          <w:bCs/>
          <w:sz w:val="22"/>
          <w:szCs w:val="22"/>
          <w:lang w:val="sr-Latn-ME"/>
        </w:rPr>
        <w:t>KLINIČKI PODACI</w:t>
      </w:r>
    </w:p>
    <w:p w14:paraId="2B47984A" w14:textId="77777777" w:rsidR="00CD6F02" w:rsidRPr="005A4F9F" w:rsidRDefault="00CD6F02" w:rsidP="008B00DE">
      <w:pPr>
        <w:widowControl w:val="0"/>
        <w:tabs>
          <w:tab w:val="left" w:pos="540"/>
          <w:tab w:val="left" w:pos="569"/>
        </w:tabs>
        <w:jc w:val="both"/>
        <w:rPr>
          <w:bCs/>
          <w:sz w:val="22"/>
          <w:szCs w:val="22"/>
          <w:lang w:val="sr-Latn-ME"/>
        </w:rPr>
      </w:pPr>
    </w:p>
    <w:p w14:paraId="4C055828" w14:textId="71947E3E" w:rsidR="00542633" w:rsidRPr="005A4F9F" w:rsidRDefault="00411B4B">
      <w:pPr>
        <w:pStyle w:val="Header"/>
        <w:widowControl w:val="0"/>
        <w:tabs>
          <w:tab w:val="left" w:pos="284"/>
        </w:tabs>
        <w:jc w:val="both"/>
        <w:rPr>
          <w:b/>
          <w:bCs/>
          <w:sz w:val="22"/>
          <w:szCs w:val="22"/>
          <w:lang w:val="sr-Latn-ME"/>
        </w:rPr>
      </w:pPr>
      <w:r w:rsidRPr="005A4F9F">
        <w:rPr>
          <w:b/>
          <w:bCs/>
          <w:sz w:val="22"/>
          <w:szCs w:val="22"/>
          <w:lang w:val="sr-Latn-ME"/>
        </w:rPr>
        <w:t>4.1.</w:t>
      </w:r>
      <w:r w:rsidR="00542633" w:rsidRPr="005A4F9F">
        <w:rPr>
          <w:b/>
          <w:bCs/>
          <w:sz w:val="22"/>
          <w:szCs w:val="22"/>
          <w:lang w:val="sr-Latn-ME"/>
        </w:rPr>
        <w:t xml:space="preserve"> </w:t>
      </w:r>
      <w:r w:rsidRPr="005A4F9F">
        <w:rPr>
          <w:b/>
          <w:bCs/>
          <w:sz w:val="22"/>
          <w:szCs w:val="22"/>
          <w:lang w:val="sr-Latn-ME"/>
        </w:rPr>
        <w:t>Terapijske indikacije</w:t>
      </w:r>
    </w:p>
    <w:p w14:paraId="242881D8" w14:textId="68BBFDC4" w:rsidR="00542633" w:rsidRPr="005A4F9F" w:rsidRDefault="00542633">
      <w:pPr>
        <w:pStyle w:val="Header"/>
        <w:widowControl w:val="0"/>
        <w:tabs>
          <w:tab w:val="left" w:pos="284"/>
        </w:tabs>
        <w:jc w:val="both"/>
        <w:rPr>
          <w:sz w:val="22"/>
          <w:szCs w:val="22"/>
          <w:u w:val="single"/>
          <w:lang w:val="sr-Latn-ME"/>
        </w:rPr>
      </w:pPr>
    </w:p>
    <w:p w14:paraId="63D4B60C" w14:textId="2431C392" w:rsidR="00F34A0E" w:rsidRPr="008B00DE" w:rsidRDefault="00E76DA4">
      <w:pPr>
        <w:pStyle w:val="Header"/>
        <w:widowControl w:val="0"/>
        <w:tabs>
          <w:tab w:val="left" w:pos="284"/>
        </w:tabs>
        <w:jc w:val="both"/>
        <w:rPr>
          <w:b/>
          <w:bCs/>
          <w:sz w:val="22"/>
          <w:szCs w:val="22"/>
          <w:lang w:val="sr-Latn-ME"/>
        </w:rPr>
      </w:pPr>
      <w:r w:rsidRPr="005A4F9F">
        <w:rPr>
          <w:sz w:val="22"/>
          <w:szCs w:val="22"/>
          <w:u w:val="single"/>
          <w:lang w:val="sr-Latn-ME"/>
        </w:rPr>
        <w:t>Reumatoidni artritis (RA)</w:t>
      </w:r>
      <w:r w:rsidR="00F34A0E" w:rsidRPr="005A4F9F">
        <w:rPr>
          <w:sz w:val="22"/>
          <w:szCs w:val="22"/>
          <w:lang w:val="sr-Latn-ME"/>
        </w:rPr>
        <w:t>RoActemra, u kombinaciji sa metotreksatom (MTX</w:t>
      </w:r>
      <w:r w:rsidR="00735AD9" w:rsidRPr="005A4F9F">
        <w:rPr>
          <w:sz w:val="22"/>
          <w:szCs w:val="22"/>
          <w:lang w:val="sr-Latn-ME"/>
        </w:rPr>
        <w:t>-om</w:t>
      </w:r>
      <w:r w:rsidR="00F34A0E" w:rsidRPr="005A4F9F">
        <w:rPr>
          <w:sz w:val="22"/>
          <w:szCs w:val="22"/>
          <w:lang w:val="sr-Latn-ME"/>
        </w:rPr>
        <w:t>) indikovana je za:</w:t>
      </w:r>
    </w:p>
    <w:p w14:paraId="7258DAC0" w14:textId="77777777" w:rsidR="00F34A0E" w:rsidRPr="005A4F9F" w:rsidRDefault="00F34A0E">
      <w:pPr>
        <w:pStyle w:val="Header"/>
        <w:widowControl w:val="0"/>
        <w:tabs>
          <w:tab w:val="left" w:pos="284"/>
        </w:tabs>
        <w:jc w:val="both"/>
        <w:rPr>
          <w:sz w:val="22"/>
          <w:szCs w:val="22"/>
          <w:lang w:val="sr-Latn-ME"/>
        </w:rPr>
      </w:pPr>
    </w:p>
    <w:p w14:paraId="55CCE345" w14:textId="77777777" w:rsidR="00F34A0E" w:rsidRPr="005A4F9F" w:rsidRDefault="00F34A0E">
      <w:pPr>
        <w:pStyle w:val="Header"/>
        <w:widowControl w:val="0"/>
        <w:numPr>
          <w:ilvl w:val="0"/>
          <w:numId w:val="13"/>
        </w:numPr>
        <w:tabs>
          <w:tab w:val="left" w:pos="284"/>
        </w:tabs>
        <w:jc w:val="both"/>
        <w:rPr>
          <w:sz w:val="22"/>
          <w:szCs w:val="22"/>
          <w:lang w:val="sr-Latn-ME"/>
        </w:rPr>
      </w:pPr>
      <w:r w:rsidRPr="005A4F9F">
        <w:rPr>
          <w:sz w:val="22"/>
          <w:szCs w:val="22"/>
          <w:lang w:val="sr-Latn-ME"/>
        </w:rPr>
        <w:t>liječenje teškog oblika aktivnog i progresivnog reumatoidnog artritisa (RA) kod odraslih pacijenata koji prethodno nijesu liječeni MTX-om</w:t>
      </w:r>
    </w:p>
    <w:p w14:paraId="3037C115" w14:textId="77777777" w:rsidR="00F34A0E" w:rsidRPr="005A4F9F" w:rsidRDefault="00F34A0E">
      <w:pPr>
        <w:pStyle w:val="Header"/>
        <w:widowControl w:val="0"/>
        <w:numPr>
          <w:ilvl w:val="0"/>
          <w:numId w:val="13"/>
        </w:numPr>
        <w:tabs>
          <w:tab w:val="left" w:pos="284"/>
        </w:tabs>
        <w:jc w:val="both"/>
        <w:rPr>
          <w:sz w:val="22"/>
          <w:szCs w:val="22"/>
          <w:lang w:val="sr-Latn-ME"/>
        </w:rPr>
      </w:pPr>
      <w:r w:rsidRPr="005A4F9F">
        <w:rPr>
          <w:sz w:val="22"/>
          <w:szCs w:val="22"/>
          <w:lang w:val="sr-Latn-ME"/>
        </w:rPr>
        <w:t>liječenje umjerenog do teškog aktivnog RA kod odraslih pacijenata koji su ili neadekvatno reagovali ili ni</w:t>
      </w:r>
      <w:r w:rsidR="000C2B0E" w:rsidRPr="005A4F9F">
        <w:rPr>
          <w:sz w:val="22"/>
          <w:szCs w:val="22"/>
          <w:lang w:val="sr-Latn-ME"/>
        </w:rPr>
        <w:t>je</w:t>
      </w:r>
      <w:r w:rsidRPr="005A4F9F">
        <w:rPr>
          <w:sz w:val="22"/>
          <w:szCs w:val="22"/>
          <w:lang w:val="sr-Latn-ME"/>
        </w:rPr>
        <w:t xml:space="preserve">su podnosili prethodnu terapiju jednim ili većim brojem anti-reumatičnih ljekova koji modifikuju </w:t>
      </w:r>
      <w:r w:rsidR="000C2B0E" w:rsidRPr="005A4F9F">
        <w:rPr>
          <w:sz w:val="22"/>
          <w:szCs w:val="22"/>
          <w:lang w:val="sr-Latn-ME"/>
        </w:rPr>
        <w:t xml:space="preserve">tok </w:t>
      </w:r>
      <w:r w:rsidRPr="005A4F9F">
        <w:rPr>
          <w:sz w:val="22"/>
          <w:szCs w:val="22"/>
          <w:lang w:val="sr-Latn-ME"/>
        </w:rPr>
        <w:t>bolest</w:t>
      </w:r>
      <w:r w:rsidR="000C2B0E" w:rsidRPr="005A4F9F">
        <w:rPr>
          <w:sz w:val="22"/>
          <w:szCs w:val="22"/>
          <w:lang w:val="sr-Latn-ME"/>
        </w:rPr>
        <w:t>i</w:t>
      </w:r>
      <w:r w:rsidRPr="005A4F9F">
        <w:rPr>
          <w:sz w:val="22"/>
          <w:szCs w:val="22"/>
          <w:lang w:val="sr-Latn-ME"/>
        </w:rPr>
        <w:t xml:space="preserve"> (</w:t>
      </w:r>
      <w:r w:rsidR="000C2B0E" w:rsidRPr="005A4F9F">
        <w:rPr>
          <w:i/>
          <w:sz w:val="22"/>
          <w:szCs w:val="22"/>
          <w:lang w:val="sr-Latn-ME"/>
        </w:rPr>
        <w:t>engl. disease-modifying anti-rheumatic drug - DMARD</w:t>
      </w:r>
      <w:r w:rsidRPr="005A4F9F">
        <w:rPr>
          <w:sz w:val="22"/>
          <w:szCs w:val="22"/>
          <w:lang w:val="sr-Latn-ME"/>
        </w:rPr>
        <w:t xml:space="preserve">) ili antagonistima faktora nekroze tumora (TNF). </w:t>
      </w:r>
    </w:p>
    <w:p w14:paraId="65F7157F" w14:textId="77777777" w:rsidR="00F34A0E" w:rsidRPr="005A4F9F" w:rsidRDefault="00F34A0E">
      <w:pPr>
        <w:pStyle w:val="Header"/>
        <w:widowControl w:val="0"/>
        <w:tabs>
          <w:tab w:val="left" w:pos="284"/>
        </w:tabs>
        <w:jc w:val="both"/>
        <w:rPr>
          <w:sz w:val="22"/>
          <w:szCs w:val="22"/>
          <w:lang w:val="sr-Latn-ME"/>
        </w:rPr>
      </w:pPr>
    </w:p>
    <w:p w14:paraId="5300A54B" w14:textId="54AF14B2" w:rsidR="00F34A0E" w:rsidRPr="005A4F9F" w:rsidRDefault="00F34A0E">
      <w:pPr>
        <w:pStyle w:val="Header"/>
        <w:widowControl w:val="0"/>
        <w:tabs>
          <w:tab w:val="left" w:pos="284"/>
        </w:tabs>
        <w:jc w:val="both"/>
        <w:rPr>
          <w:sz w:val="22"/>
          <w:szCs w:val="22"/>
          <w:lang w:val="sr-Latn-ME"/>
        </w:rPr>
      </w:pPr>
      <w:r w:rsidRPr="005A4F9F">
        <w:rPr>
          <w:sz w:val="22"/>
          <w:szCs w:val="22"/>
          <w:lang w:val="sr-Latn-ME"/>
        </w:rPr>
        <w:t>Lijek RoActemra se može davati kao monoterapija u slučaju nepodnošljivosti MTX</w:t>
      </w:r>
      <w:r w:rsidR="00CE0C85" w:rsidRPr="005A4F9F">
        <w:rPr>
          <w:sz w:val="22"/>
          <w:szCs w:val="22"/>
          <w:lang w:val="sr-Latn-ME"/>
        </w:rPr>
        <w:t>-a</w:t>
      </w:r>
      <w:r w:rsidRPr="005A4F9F">
        <w:rPr>
          <w:sz w:val="22"/>
          <w:szCs w:val="22"/>
          <w:lang w:val="sr-Latn-ME"/>
        </w:rPr>
        <w:t>, ili tamo gdje je nastavak terapije MTX</w:t>
      </w:r>
      <w:r w:rsidR="00CE0C85" w:rsidRPr="005A4F9F">
        <w:rPr>
          <w:sz w:val="22"/>
          <w:szCs w:val="22"/>
          <w:lang w:val="sr-Latn-ME"/>
        </w:rPr>
        <w:t>-om</w:t>
      </w:r>
      <w:r w:rsidRPr="005A4F9F">
        <w:rPr>
          <w:sz w:val="22"/>
          <w:szCs w:val="22"/>
          <w:lang w:val="sr-Latn-ME"/>
        </w:rPr>
        <w:t xml:space="preserve"> neprimjeren.</w:t>
      </w:r>
    </w:p>
    <w:p w14:paraId="3CF8F50A" w14:textId="77777777" w:rsidR="00542633" w:rsidRPr="005A4F9F" w:rsidRDefault="00F34A0E">
      <w:pPr>
        <w:widowControl w:val="0"/>
        <w:jc w:val="both"/>
        <w:rPr>
          <w:rFonts w:eastAsia="SimSun"/>
          <w:sz w:val="22"/>
          <w:szCs w:val="22"/>
          <w:lang w:val="sr-Latn-ME" w:eastAsia="zh-CN" w:bidi="th-TH"/>
        </w:rPr>
      </w:pPr>
      <w:r w:rsidRPr="005A4F9F">
        <w:rPr>
          <w:sz w:val="22"/>
          <w:szCs w:val="22"/>
          <w:lang w:val="sr-Latn-ME"/>
        </w:rPr>
        <w:t xml:space="preserve">Na osnovu radioloških snimaka zglobova pokazano je da </w:t>
      </w:r>
      <w:r w:rsidRPr="005A4F9F">
        <w:rPr>
          <w:rFonts w:eastAsia="SimSun"/>
          <w:sz w:val="22"/>
          <w:szCs w:val="22"/>
          <w:lang w:val="sr-Latn-ME" w:eastAsia="zh-CN" w:bidi="th-TH"/>
        </w:rPr>
        <w:t xml:space="preserve">RoActemra u kombinaciji s </w:t>
      </w:r>
      <w:r w:rsidR="00F87613" w:rsidRPr="008B00DE">
        <w:rPr>
          <w:rFonts w:eastAsia="SimSun"/>
          <w:sz w:val="22"/>
          <w:szCs w:val="22"/>
          <w:lang w:val="sr-Latn-ME" w:eastAsia="zh-CN" w:bidi="th-TH"/>
        </w:rPr>
        <w:t>MTX</w:t>
      </w:r>
      <w:r w:rsidR="00F87613" w:rsidRPr="008B00DE">
        <w:rPr>
          <w:rFonts w:eastAsia="SimSun"/>
          <w:sz w:val="22"/>
          <w:szCs w:val="22"/>
          <w:lang w:val="sr-Latn-ME" w:eastAsia="zh-CN" w:bidi="th-TH"/>
        </w:rPr>
        <w:noBreakHyphen/>
        <w:t xml:space="preserve">om </w:t>
      </w:r>
      <w:r w:rsidRPr="005A4F9F">
        <w:rPr>
          <w:rFonts w:eastAsia="SimSun"/>
          <w:sz w:val="22"/>
          <w:szCs w:val="22"/>
          <w:lang w:val="sr-Latn-ME" w:eastAsia="zh-CN" w:bidi="th-TH"/>
        </w:rPr>
        <w:t>usporava progresiju oštećenja zglobova i poboljšava fizičku funkciju.</w:t>
      </w:r>
    </w:p>
    <w:p w14:paraId="5AD20742" w14:textId="0F03421D" w:rsidR="00F34A0E" w:rsidRPr="005A4F9F" w:rsidRDefault="00F34A0E">
      <w:pPr>
        <w:widowControl w:val="0"/>
        <w:jc w:val="both"/>
        <w:rPr>
          <w:rFonts w:eastAsia="SimSun"/>
          <w:sz w:val="22"/>
          <w:szCs w:val="22"/>
          <w:lang w:val="sr-Latn-ME" w:eastAsia="zh-CN" w:bidi="th-TH"/>
        </w:rPr>
      </w:pPr>
    </w:p>
    <w:p w14:paraId="466D6716" w14:textId="5E317017" w:rsidR="00FC079C" w:rsidRPr="008B00DE" w:rsidRDefault="00690E67" w:rsidP="008B00DE">
      <w:pPr>
        <w:widowControl w:val="0"/>
        <w:jc w:val="both"/>
        <w:rPr>
          <w:rFonts w:eastAsia="SimSun"/>
          <w:sz w:val="22"/>
          <w:szCs w:val="22"/>
          <w:u w:val="single"/>
          <w:lang w:val="sr-Latn-ME" w:eastAsia="zh-CN" w:bidi="th-TH"/>
        </w:rPr>
      </w:pPr>
      <w:r w:rsidRPr="008B00DE">
        <w:rPr>
          <w:rFonts w:eastAsia="SimSun"/>
          <w:sz w:val="22"/>
          <w:szCs w:val="22"/>
          <w:u w:val="single"/>
          <w:lang w:val="sr-Latn-ME" w:eastAsia="zh-CN" w:bidi="th-TH"/>
        </w:rPr>
        <w:lastRenderedPageBreak/>
        <w:t xml:space="preserve">Koronavirus </w:t>
      </w:r>
      <w:r w:rsidR="00AF6514" w:rsidRPr="008B00DE">
        <w:rPr>
          <w:rFonts w:eastAsia="SimSun"/>
          <w:sz w:val="22"/>
          <w:szCs w:val="22"/>
          <w:u w:val="single"/>
          <w:lang w:val="sr-Latn-ME" w:eastAsia="zh-CN" w:bidi="th-TH"/>
        </w:rPr>
        <w:t xml:space="preserve">infekcija </w:t>
      </w:r>
      <w:r w:rsidRPr="008B00DE">
        <w:rPr>
          <w:rFonts w:eastAsia="SimSun"/>
          <w:sz w:val="22"/>
          <w:szCs w:val="22"/>
          <w:u w:val="single"/>
          <w:lang w:val="sr-Latn-ME" w:eastAsia="zh-CN" w:bidi="th-TH"/>
        </w:rPr>
        <w:t>2019 (COVID</w:t>
      </w:r>
      <w:r w:rsidRPr="008B00DE">
        <w:rPr>
          <w:rFonts w:eastAsia="SimSun"/>
          <w:sz w:val="22"/>
          <w:szCs w:val="22"/>
          <w:u w:val="single"/>
          <w:lang w:val="sr-Latn-ME" w:eastAsia="zh-CN" w:bidi="th-TH"/>
        </w:rPr>
        <w:noBreakHyphen/>
        <w:t xml:space="preserve">19) </w:t>
      </w:r>
    </w:p>
    <w:p w14:paraId="6E189759" w14:textId="56D3C460" w:rsidR="00FC079C" w:rsidRPr="005A4F9F" w:rsidRDefault="00FC079C">
      <w:pPr>
        <w:widowControl w:val="0"/>
        <w:jc w:val="both"/>
        <w:rPr>
          <w:rFonts w:eastAsia="SimSun"/>
          <w:sz w:val="22"/>
          <w:szCs w:val="22"/>
          <w:lang w:val="sr-Latn-ME" w:eastAsia="zh-CN" w:bidi="th-TH"/>
        </w:rPr>
      </w:pPr>
      <w:r w:rsidRPr="005A4F9F">
        <w:rPr>
          <w:sz w:val="22"/>
          <w:szCs w:val="22"/>
          <w:lang w:val="sr-Latn-ME"/>
        </w:rPr>
        <w:t>Lijek RoActemra je indikovan za liječenje infekcije koronavirusom (COVID</w:t>
      </w:r>
      <w:r w:rsidR="000C2B0E" w:rsidRPr="005A4F9F">
        <w:rPr>
          <w:sz w:val="22"/>
          <w:szCs w:val="22"/>
          <w:lang w:val="sr-Latn-ME"/>
        </w:rPr>
        <w:t>-</w:t>
      </w:r>
      <w:r w:rsidRPr="005A4F9F">
        <w:rPr>
          <w:sz w:val="22"/>
          <w:szCs w:val="22"/>
          <w:lang w:val="sr-Latn-ME"/>
        </w:rPr>
        <w:t xml:space="preserve">19) kod </w:t>
      </w:r>
      <w:r w:rsidR="000C2B0E" w:rsidRPr="005A4F9F">
        <w:rPr>
          <w:sz w:val="22"/>
          <w:szCs w:val="22"/>
          <w:lang w:val="sr-Latn-ME"/>
        </w:rPr>
        <w:t xml:space="preserve">odraslih </w:t>
      </w:r>
      <w:r w:rsidRPr="005A4F9F">
        <w:rPr>
          <w:sz w:val="22"/>
          <w:szCs w:val="22"/>
          <w:lang w:val="sr-Latn-ME"/>
        </w:rPr>
        <w:t>pacijenata koji primaju sistemske kortikosteroide i kojima je potrebna supstituciona terapija kiseonikom ili mehanička ventilacija.</w:t>
      </w:r>
    </w:p>
    <w:p w14:paraId="4B4ACF63" w14:textId="77777777" w:rsidR="00690E67" w:rsidRPr="008B00DE" w:rsidRDefault="00690E67" w:rsidP="008B00DE">
      <w:pPr>
        <w:widowControl w:val="0"/>
        <w:jc w:val="both"/>
        <w:rPr>
          <w:rFonts w:eastAsia="SimSun"/>
          <w:sz w:val="22"/>
          <w:szCs w:val="22"/>
          <w:lang w:val="sr-Latn-ME" w:eastAsia="zh-CN" w:bidi="th-TH"/>
        </w:rPr>
      </w:pPr>
    </w:p>
    <w:p w14:paraId="407321CD" w14:textId="1002EA9A" w:rsidR="00F34A0E" w:rsidRPr="005A4F9F" w:rsidRDefault="00690E67">
      <w:pPr>
        <w:widowControl w:val="0"/>
        <w:jc w:val="both"/>
        <w:rPr>
          <w:sz w:val="22"/>
          <w:szCs w:val="22"/>
          <w:lang w:val="sr-Latn-ME"/>
        </w:rPr>
      </w:pPr>
      <w:r w:rsidRPr="008B00DE">
        <w:rPr>
          <w:rFonts w:eastAsia="SimSun"/>
          <w:sz w:val="22"/>
          <w:szCs w:val="22"/>
          <w:u w:val="single"/>
          <w:lang w:val="sr-Latn-ME" w:eastAsia="zh-CN" w:bidi="th-TH"/>
        </w:rPr>
        <w:t>Sistemski juvenilni idiopatski artritis (sJIA)</w:t>
      </w:r>
    </w:p>
    <w:p w14:paraId="6E490376" w14:textId="0B0C1A52" w:rsidR="00542633" w:rsidRPr="005A4F9F" w:rsidRDefault="00F34A0E">
      <w:pPr>
        <w:pStyle w:val="BodyText"/>
        <w:widowControl w:val="0"/>
        <w:spacing w:after="0"/>
        <w:jc w:val="both"/>
        <w:rPr>
          <w:sz w:val="22"/>
          <w:szCs w:val="22"/>
          <w:lang w:val="sr-Latn-ME"/>
        </w:rPr>
      </w:pPr>
      <w:r w:rsidRPr="005A4F9F">
        <w:rPr>
          <w:sz w:val="22"/>
          <w:szCs w:val="22"/>
          <w:lang w:val="sr-Latn-ME"/>
        </w:rPr>
        <w:t>RoActemra je indikovana za liječenje aktivnog sistemskog juvenilnog idiopatskog artritisa (</w:t>
      </w:r>
      <w:r w:rsidR="000C2B0E" w:rsidRPr="005A4F9F">
        <w:rPr>
          <w:i/>
          <w:sz w:val="22"/>
          <w:szCs w:val="22"/>
          <w:lang w:val="sr-Latn-ME"/>
        </w:rPr>
        <w:t>engl.</w:t>
      </w:r>
      <w:r w:rsidR="000C2B0E" w:rsidRPr="005A4F9F">
        <w:rPr>
          <w:i/>
          <w:sz w:val="22"/>
          <w:szCs w:val="22"/>
          <w:lang w:val="sr-Latn-ME"/>
        </w:rPr>
        <w:br/>
        <w:t>systemic juvenile idiopathic arthritis,</w:t>
      </w:r>
      <w:r w:rsidR="000C2B0E" w:rsidRPr="005A4F9F">
        <w:rPr>
          <w:sz w:val="22"/>
          <w:szCs w:val="22"/>
          <w:lang w:val="sr-Latn-ME"/>
        </w:rPr>
        <w:t xml:space="preserve"> sJIA</w:t>
      </w:r>
      <w:r w:rsidRPr="005A4F9F">
        <w:rPr>
          <w:sz w:val="22"/>
          <w:szCs w:val="22"/>
          <w:lang w:val="sr-Latn-ME"/>
        </w:rPr>
        <w:t xml:space="preserve">) kod pacijenata starih 2 godine i starijih koji nijesu adekvatno odgovorili na prethodnu terapiju </w:t>
      </w:r>
      <w:r w:rsidR="00690E67" w:rsidRPr="005A4F9F">
        <w:rPr>
          <w:sz w:val="22"/>
          <w:szCs w:val="22"/>
          <w:lang w:val="sr-Latn-ME"/>
        </w:rPr>
        <w:t>nesteroidnim antiinflamatornim ljekovima (</w:t>
      </w:r>
      <w:r w:rsidRPr="005A4F9F">
        <w:rPr>
          <w:sz w:val="22"/>
          <w:szCs w:val="22"/>
          <w:lang w:val="sr-Latn-ME"/>
        </w:rPr>
        <w:t>NSAIL</w:t>
      </w:r>
      <w:r w:rsidR="00690E67" w:rsidRPr="005A4F9F">
        <w:rPr>
          <w:sz w:val="22"/>
          <w:szCs w:val="22"/>
          <w:lang w:val="sr-Latn-ME"/>
        </w:rPr>
        <w:t>)</w:t>
      </w:r>
      <w:r w:rsidRPr="005A4F9F">
        <w:rPr>
          <w:sz w:val="22"/>
          <w:szCs w:val="22"/>
          <w:lang w:val="sr-Latn-ME"/>
        </w:rPr>
        <w:t xml:space="preserve"> i sistemskim kortikosteroidima. RoActemra se može davati kao monoterapija (u slučaju nepodnošljivosti </w:t>
      </w:r>
      <w:r w:rsidR="00690E67" w:rsidRPr="005A4F9F">
        <w:rPr>
          <w:sz w:val="22"/>
          <w:szCs w:val="22"/>
          <w:lang w:val="sr-Latn-ME"/>
        </w:rPr>
        <w:t>MTX</w:t>
      </w:r>
      <w:r w:rsidR="005F43EC" w:rsidRPr="005A4F9F">
        <w:rPr>
          <w:sz w:val="22"/>
          <w:szCs w:val="22"/>
          <w:lang w:val="sr-Latn-ME"/>
        </w:rPr>
        <w:t>-a</w:t>
      </w:r>
      <w:r w:rsidR="00690E67" w:rsidRPr="005A4F9F">
        <w:rPr>
          <w:sz w:val="22"/>
          <w:szCs w:val="22"/>
          <w:lang w:val="sr-Latn-ME"/>
        </w:rPr>
        <w:t xml:space="preserve"> </w:t>
      </w:r>
      <w:r w:rsidRPr="005A4F9F">
        <w:rPr>
          <w:sz w:val="22"/>
          <w:szCs w:val="22"/>
          <w:lang w:val="sr-Latn-ME"/>
        </w:rPr>
        <w:t xml:space="preserve">ili kad liječenje </w:t>
      </w:r>
      <w:r w:rsidR="00690E67" w:rsidRPr="005A4F9F">
        <w:rPr>
          <w:sz w:val="22"/>
          <w:szCs w:val="22"/>
          <w:lang w:val="sr-Latn-ME"/>
        </w:rPr>
        <w:t xml:space="preserve">MTX-om </w:t>
      </w:r>
      <w:r w:rsidRPr="005A4F9F">
        <w:rPr>
          <w:sz w:val="22"/>
          <w:szCs w:val="22"/>
          <w:lang w:val="sr-Latn-ME"/>
        </w:rPr>
        <w:t xml:space="preserve">nije primjereno) ili u kombinaciji sa </w:t>
      </w:r>
      <w:r w:rsidR="00690E67" w:rsidRPr="005A4F9F">
        <w:rPr>
          <w:sz w:val="22"/>
          <w:szCs w:val="22"/>
          <w:lang w:val="sr-Latn-ME"/>
        </w:rPr>
        <w:t>MTX-om</w:t>
      </w:r>
      <w:r w:rsidRPr="005A4F9F">
        <w:rPr>
          <w:sz w:val="22"/>
          <w:szCs w:val="22"/>
          <w:lang w:val="sr-Latn-ME"/>
        </w:rPr>
        <w:t>.</w:t>
      </w:r>
    </w:p>
    <w:p w14:paraId="0CB63373" w14:textId="77777777" w:rsidR="005F43EC" w:rsidRPr="005A4F9F" w:rsidRDefault="005F43EC">
      <w:pPr>
        <w:pStyle w:val="BodyText"/>
        <w:widowControl w:val="0"/>
        <w:spacing w:after="0"/>
        <w:jc w:val="both"/>
        <w:rPr>
          <w:sz w:val="22"/>
          <w:szCs w:val="22"/>
          <w:lang w:val="sr-Latn-ME"/>
        </w:rPr>
      </w:pPr>
    </w:p>
    <w:p w14:paraId="4EC41105" w14:textId="2985A242" w:rsidR="005F43EC" w:rsidRPr="008B00DE" w:rsidRDefault="005F43EC" w:rsidP="008B00DE">
      <w:pPr>
        <w:widowControl w:val="0"/>
        <w:jc w:val="both"/>
        <w:rPr>
          <w:rFonts w:eastAsia="SimSun"/>
          <w:sz w:val="22"/>
          <w:szCs w:val="22"/>
          <w:u w:val="single"/>
          <w:lang w:val="sr-Latn-ME" w:eastAsia="zh-CN" w:bidi="th-TH"/>
        </w:rPr>
      </w:pPr>
      <w:r w:rsidRPr="008B00DE">
        <w:rPr>
          <w:rFonts w:eastAsia="SimSun"/>
          <w:sz w:val="22"/>
          <w:szCs w:val="22"/>
          <w:u w:val="single"/>
          <w:lang w:val="sr-Latn-ME" w:eastAsia="zh-CN" w:bidi="th-TH"/>
        </w:rPr>
        <w:t>Juvenilni idiopatski poliartritis (pJIA)</w:t>
      </w:r>
    </w:p>
    <w:p w14:paraId="284F9946" w14:textId="64FB9E9A" w:rsidR="00F34A0E" w:rsidRPr="005A4F9F" w:rsidRDefault="00F34A0E">
      <w:pPr>
        <w:widowControl w:val="0"/>
        <w:jc w:val="both"/>
        <w:rPr>
          <w:rFonts w:eastAsia="SimSun"/>
          <w:sz w:val="22"/>
          <w:szCs w:val="22"/>
          <w:lang w:val="sr-Latn-ME" w:eastAsia="zh-CN" w:bidi="th-TH"/>
        </w:rPr>
      </w:pPr>
      <w:r w:rsidRPr="005A4F9F">
        <w:rPr>
          <w:rFonts w:eastAsia="SimSun"/>
          <w:sz w:val="22"/>
          <w:szCs w:val="22"/>
          <w:lang w:val="sr-Latn-ME" w:eastAsia="zh-CN" w:bidi="th-TH"/>
        </w:rPr>
        <w:t>RoActemra je u kombinaciji s MTX</w:t>
      </w:r>
      <w:r w:rsidR="005F43EC" w:rsidRPr="005A4F9F">
        <w:rPr>
          <w:rFonts w:eastAsia="SimSun"/>
          <w:sz w:val="22"/>
          <w:szCs w:val="22"/>
          <w:lang w:val="sr-Latn-ME" w:eastAsia="zh-CN" w:bidi="th-TH"/>
        </w:rPr>
        <w:t>-om</w:t>
      </w:r>
      <w:r w:rsidRPr="005A4F9F">
        <w:rPr>
          <w:rFonts w:eastAsia="SimSun"/>
          <w:sz w:val="22"/>
          <w:szCs w:val="22"/>
          <w:lang w:val="sr-Latn-ME" w:eastAsia="zh-CN" w:bidi="th-TH"/>
        </w:rPr>
        <w:t xml:space="preserve"> indikovana za liječenje pJIA</w:t>
      </w:r>
      <w:r w:rsidR="00890467" w:rsidRPr="005A4F9F">
        <w:rPr>
          <w:rFonts w:eastAsia="SimSun"/>
          <w:sz w:val="22"/>
          <w:szCs w:val="22"/>
          <w:lang w:val="sr-Latn-ME" w:eastAsia="zh-CN" w:bidi="th-TH"/>
        </w:rPr>
        <w:t>;</w:t>
      </w:r>
      <w:r w:rsidRPr="005A4F9F">
        <w:rPr>
          <w:rFonts w:eastAsia="SimSun"/>
          <w:sz w:val="22"/>
          <w:szCs w:val="22"/>
          <w:lang w:val="sr-Latn-ME" w:eastAsia="zh-CN" w:bidi="th-TH"/>
        </w:rPr>
        <w:t xml:space="preserve"> pozitivan ili negativan nalaz testa na reumatoidni faktor i prošireni oligoartritis kod pacijenata  starih  2 godine i starijih koji nijesu adekvatno odgovorili na prethodnu terapiju MTX</w:t>
      </w:r>
      <w:r w:rsidRPr="005A4F9F">
        <w:rPr>
          <w:rFonts w:eastAsia="SimSun"/>
          <w:sz w:val="22"/>
          <w:szCs w:val="22"/>
          <w:lang w:val="sr-Latn-ME" w:eastAsia="zh-CN" w:bidi="th-TH"/>
        </w:rPr>
        <w:noBreakHyphen/>
        <w:t>om. RoActemra se može davati kao monoterapija u slučaju nepodnošljivosti MTX</w:t>
      </w:r>
      <w:r w:rsidRPr="005A4F9F">
        <w:rPr>
          <w:rFonts w:eastAsia="SimSun"/>
          <w:sz w:val="22"/>
          <w:szCs w:val="22"/>
          <w:lang w:val="sr-Latn-ME" w:eastAsia="zh-CN" w:bidi="th-TH"/>
        </w:rPr>
        <w:noBreakHyphen/>
        <w:t>a ili kada dalje liječenje MTX</w:t>
      </w:r>
      <w:r w:rsidRPr="005A4F9F">
        <w:rPr>
          <w:rFonts w:eastAsia="SimSun"/>
          <w:sz w:val="22"/>
          <w:szCs w:val="22"/>
          <w:lang w:val="sr-Latn-ME" w:eastAsia="zh-CN" w:bidi="th-TH"/>
        </w:rPr>
        <w:noBreakHyphen/>
        <w:t>om  nije primjereno.</w:t>
      </w:r>
    </w:p>
    <w:p w14:paraId="10B7DA97" w14:textId="75B654E7" w:rsidR="004752D6" w:rsidRPr="005A4F9F" w:rsidRDefault="005F43EC" w:rsidP="008B00DE">
      <w:pPr>
        <w:widowControl w:val="0"/>
        <w:jc w:val="both"/>
        <w:rPr>
          <w:sz w:val="22"/>
          <w:szCs w:val="22"/>
          <w:u w:val="single"/>
          <w:lang w:val="sr-Latn-ME"/>
        </w:rPr>
      </w:pPr>
      <w:r w:rsidRPr="005A4F9F">
        <w:rPr>
          <w:rFonts w:eastAsia="SimSun"/>
          <w:sz w:val="22"/>
          <w:szCs w:val="22"/>
          <w:lang w:val="sr-Latn-ME" w:eastAsia="zh-CN" w:bidi="th-TH"/>
        </w:rPr>
        <w:br/>
      </w:r>
      <w:r w:rsidRPr="005A4F9F">
        <w:rPr>
          <w:sz w:val="22"/>
          <w:szCs w:val="22"/>
          <w:u w:val="single"/>
          <w:lang w:val="sr-Latn-ME"/>
        </w:rPr>
        <w:t>Sindrom otpuštanja citokina (</w:t>
      </w:r>
      <w:r w:rsidR="00D62474" w:rsidRPr="005A4F9F">
        <w:rPr>
          <w:sz w:val="22"/>
          <w:szCs w:val="22"/>
          <w:u w:val="single"/>
          <w:lang w:val="sr-Latn-ME"/>
        </w:rPr>
        <w:t>SOC</w:t>
      </w:r>
      <w:r w:rsidRPr="005A4F9F">
        <w:rPr>
          <w:sz w:val="22"/>
          <w:szCs w:val="22"/>
          <w:u w:val="single"/>
          <w:lang w:val="sr-Latn-ME"/>
        </w:rPr>
        <w:t>)</w:t>
      </w:r>
    </w:p>
    <w:p w14:paraId="78498342" w14:textId="240063BF" w:rsidR="00411B4B" w:rsidRPr="005A4F9F" w:rsidRDefault="004752D6" w:rsidP="008B00DE">
      <w:pPr>
        <w:widowControl w:val="0"/>
        <w:tabs>
          <w:tab w:val="left" w:pos="540"/>
          <w:tab w:val="left" w:pos="569"/>
        </w:tabs>
        <w:jc w:val="both"/>
        <w:rPr>
          <w:bCs/>
          <w:sz w:val="22"/>
          <w:szCs w:val="22"/>
          <w:lang w:val="sr-Latn-ME"/>
        </w:rPr>
      </w:pPr>
      <w:r w:rsidRPr="005A4F9F">
        <w:rPr>
          <w:sz w:val="22"/>
          <w:szCs w:val="22"/>
          <w:lang w:val="sr-Latn-ME"/>
        </w:rPr>
        <w:t>Lijek RoActemra je indikovan u terapiji ozbiljnog ili životno ugrožavajućeg sindroma oslobađanja citokina</w:t>
      </w:r>
      <w:r w:rsidR="009A5114" w:rsidRPr="005A4F9F">
        <w:rPr>
          <w:sz w:val="22"/>
          <w:szCs w:val="22"/>
          <w:lang w:val="sr-Latn-ME"/>
        </w:rPr>
        <w:t xml:space="preserve"> </w:t>
      </w:r>
      <w:r w:rsidRPr="005A4F9F">
        <w:rPr>
          <w:sz w:val="22"/>
          <w:szCs w:val="22"/>
          <w:lang w:val="sr-Latn-ME"/>
        </w:rPr>
        <w:t>(SOC) posredovanog himernim antigenskim receptorom (</w:t>
      </w:r>
      <w:r w:rsidR="00A8440B" w:rsidRPr="005A4F9F">
        <w:rPr>
          <w:sz w:val="22"/>
          <w:szCs w:val="22"/>
          <w:lang w:val="sr-Latn-ME"/>
        </w:rPr>
        <w:t>engl.</w:t>
      </w:r>
      <w:r w:rsidR="00A8440B" w:rsidRPr="005A4F9F">
        <w:rPr>
          <w:i/>
          <w:sz w:val="22"/>
          <w:szCs w:val="22"/>
          <w:lang w:val="sr-Latn-ME"/>
        </w:rPr>
        <w:t>chimeric antigen receptor</w:t>
      </w:r>
      <w:r w:rsidR="00A8440B" w:rsidRPr="005A4F9F">
        <w:rPr>
          <w:sz w:val="22"/>
          <w:szCs w:val="22"/>
          <w:lang w:val="sr-Latn-ME"/>
        </w:rPr>
        <w:t>,</w:t>
      </w:r>
      <w:r w:rsidRPr="005A4F9F">
        <w:rPr>
          <w:sz w:val="22"/>
          <w:szCs w:val="22"/>
          <w:lang w:val="sr-Latn-ME"/>
        </w:rPr>
        <w:t xml:space="preserve"> </w:t>
      </w:r>
      <w:r w:rsidRPr="005A4F9F">
        <w:rPr>
          <w:i/>
          <w:sz w:val="22"/>
          <w:szCs w:val="22"/>
          <w:lang w:val="sr-Latn-ME"/>
        </w:rPr>
        <w:t>CAR</w:t>
      </w:r>
      <w:r w:rsidRPr="005A4F9F">
        <w:rPr>
          <w:sz w:val="22"/>
          <w:szCs w:val="22"/>
          <w:lang w:val="sr-Latn-ME"/>
        </w:rPr>
        <w:t>) prisutnim na T-ćelijama, kod odraslih i pedijatrijskih pacijenata dobi od 2 godine i starijih.</w:t>
      </w:r>
    </w:p>
    <w:p w14:paraId="373D61DB" w14:textId="77777777" w:rsidR="00FC079C" w:rsidRPr="005A4F9F" w:rsidRDefault="00FC079C" w:rsidP="008B00DE">
      <w:pPr>
        <w:widowControl w:val="0"/>
        <w:tabs>
          <w:tab w:val="left" w:pos="540"/>
          <w:tab w:val="left" w:pos="569"/>
        </w:tabs>
        <w:jc w:val="both"/>
        <w:rPr>
          <w:b/>
          <w:bCs/>
          <w:sz w:val="22"/>
          <w:szCs w:val="22"/>
          <w:lang w:val="sr-Latn-ME"/>
        </w:rPr>
      </w:pPr>
    </w:p>
    <w:p w14:paraId="48DFD12B" w14:textId="77777777" w:rsidR="00411B4B" w:rsidRPr="005A4F9F" w:rsidRDefault="00411B4B">
      <w:pPr>
        <w:widowControl w:val="0"/>
        <w:tabs>
          <w:tab w:val="left" w:pos="540"/>
          <w:tab w:val="left" w:pos="569"/>
        </w:tabs>
        <w:jc w:val="both"/>
        <w:rPr>
          <w:b/>
          <w:bCs/>
          <w:sz w:val="22"/>
          <w:szCs w:val="22"/>
          <w:lang w:val="sr-Latn-ME"/>
        </w:rPr>
      </w:pPr>
      <w:r w:rsidRPr="005A4F9F">
        <w:rPr>
          <w:b/>
          <w:bCs/>
          <w:sz w:val="22"/>
          <w:szCs w:val="22"/>
          <w:lang w:val="sr-Latn-ME"/>
        </w:rPr>
        <w:t xml:space="preserve">4.2. </w:t>
      </w:r>
      <w:r w:rsidR="00480FB1" w:rsidRPr="005A4F9F">
        <w:rPr>
          <w:b/>
          <w:bCs/>
          <w:sz w:val="22"/>
          <w:szCs w:val="22"/>
          <w:lang w:val="sr-Latn-ME"/>
        </w:rPr>
        <w:tab/>
      </w:r>
      <w:r w:rsidRPr="005A4F9F">
        <w:rPr>
          <w:b/>
          <w:bCs/>
          <w:sz w:val="22"/>
          <w:szCs w:val="22"/>
          <w:lang w:val="sr-Latn-ME"/>
        </w:rPr>
        <w:t>Doziranje i način primjene</w:t>
      </w:r>
    </w:p>
    <w:p w14:paraId="4D684AD1" w14:textId="77777777" w:rsidR="0072020E" w:rsidRPr="005A4F9F" w:rsidRDefault="0072020E">
      <w:pPr>
        <w:widowControl w:val="0"/>
        <w:tabs>
          <w:tab w:val="left" w:pos="540"/>
          <w:tab w:val="left" w:pos="569"/>
        </w:tabs>
        <w:jc w:val="both"/>
        <w:rPr>
          <w:bCs/>
          <w:sz w:val="22"/>
          <w:szCs w:val="22"/>
          <w:lang w:val="sr-Latn-ME"/>
        </w:rPr>
      </w:pPr>
    </w:p>
    <w:p w14:paraId="350B18DB" w14:textId="77777777" w:rsidR="00CB4820"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Terapiju treba da započnu zdravstveni radnici koji su iskusni u dijagnostikovanju i terapiji RA, </w:t>
      </w:r>
      <w:r w:rsidR="00FC079C" w:rsidRPr="005A4F9F">
        <w:rPr>
          <w:sz w:val="22"/>
          <w:szCs w:val="22"/>
          <w:lang w:val="sr-Latn-ME"/>
        </w:rPr>
        <w:t>COVID-19 infekcije</w:t>
      </w:r>
      <w:r w:rsidR="00FC079C" w:rsidRPr="005A4F9F">
        <w:rPr>
          <w:bCs/>
          <w:sz w:val="22"/>
          <w:szCs w:val="22"/>
          <w:lang w:val="sr-Latn-ME"/>
        </w:rPr>
        <w:t xml:space="preserve">, </w:t>
      </w:r>
      <w:r w:rsidRPr="005A4F9F">
        <w:rPr>
          <w:bCs/>
          <w:sz w:val="22"/>
          <w:szCs w:val="22"/>
          <w:lang w:val="sr-Latn-ME"/>
        </w:rPr>
        <w:t>sJIA</w:t>
      </w:r>
      <w:r w:rsidR="00384BA3" w:rsidRPr="005A4F9F">
        <w:rPr>
          <w:bCs/>
          <w:sz w:val="22"/>
          <w:szCs w:val="22"/>
          <w:lang w:val="sr-Latn-ME"/>
        </w:rPr>
        <w:t>,</w:t>
      </w:r>
      <w:r w:rsidRPr="005A4F9F">
        <w:rPr>
          <w:bCs/>
          <w:sz w:val="22"/>
          <w:szCs w:val="22"/>
          <w:lang w:val="sr-Latn-ME"/>
        </w:rPr>
        <w:t xml:space="preserve"> pJIA</w:t>
      </w:r>
      <w:r w:rsidR="00384BA3" w:rsidRPr="005A4F9F">
        <w:rPr>
          <w:bCs/>
          <w:sz w:val="22"/>
          <w:szCs w:val="22"/>
          <w:lang w:val="sr-Latn-ME"/>
        </w:rPr>
        <w:t xml:space="preserve"> ili SOC</w:t>
      </w:r>
      <w:r w:rsidRPr="005A4F9F">
        <w:rPr>
          <w:bCs/>
          <w:sz w:val="22"/>
          <w:szCs w:val="22"/>
          <w:lang w:val="sr-Latn-ME"/>
        </w:rPr>
        <w:t xml:space="preserve">. </w:t>
      </w:r>
    </w:p>
    <w:p w14:paraId="05C556BD" w14:textId="04CDA1B8"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Svi pacijenti koji </w:t>
      </w:r>
      <w:r w:rsidR="00DB0B41" w:rsidRPr="005A4F9F">
        <w:rPr>
          <w:bCs/>
          <w:sz w:val="22"/>
          <w:szCs w:val="22"/>
          <w:lang w:val="sr-Latn-ME"/>
        </w:rPr>
        <w:t xml:space="preserve">su na terapiji </w:t>
      </w:r>
      <w:r w:rsidRPr="005A4F9F">
        <w:rPr>
          <w:bCs/>
          <w:sz w:val="22"/>
          <w:szCs w:val="22"/>
          <w:lang w:val="sr-Latn-ME"/>
        </w:rPr>
        <w:t>lijek</w:t>
      </w:r>
      <w:r w:rsidR="00DB0B41" w:rsidRPr="005A4F9F">
        <w:rPr>
          <w:bCs/>
          <w:sz w:val="22"/>
          <w:szCs w:val="22"/>
          <w:lang w:val="sr-Latn-ME"/>
        </w:rPr>
        <w:t>om</w:t>
      </w:r>
      <w:r w:rsidRPr="005A4F9F">
        <w:rPr>
          <w:bCs/>
          <w:sz w:val="22"/>
          <w:szCs w:val="22"/>
          <w:lang w:val="sr-Latn-ME"/>
        </w:rPr>
        <w:t xml:space="preserve">  RoActemra moraju dobiti od ljekara Karticu za pacijent</w:t>
      </w:r>
      <w:r w:rsidR="00CE0C85" w:rsidRPr="005A4F9F">
        <w:rPr>
          <w:bCs/>
          <w:sz w:val="22"/>
          <w:szCs w:val="22"/>
          <w:lang w:val="sr-Latn-ME"/>
        </w:rPr>
        <w:t>e</w:t>
      </w:r>
      <w:r w:rsidRPr="005A4F9F">
        <w:rPr>
          <w:bCs/>
          <w:sz w:val="22"/>
          <w:szCs w:val="22"/>
          <w:lang w:val="sr-Latn-ME"/>
        </w:rPr>
        <w:t>.</w:t>
      </w:r>
    </w:p>
    <w:p w14:paraId="7E9D4794" w14:textId="77777777" w:rsidR="00F34A0E" w:rsidRPr="005A4F9F" w:rsidRDefault="00F34A0E">
      <w:pPr>
        <w:widowControl w:val="0"/>
        <w:tabs>
          <w:tab w:val="left" w:pos="540"/>
          <w:tab w:val="left" w:pos="569"/>
        </w:tabs>
        <w:jc w:val="both"/>
        <w:rPr>
          <w:bCs/>
          <w:sz w:val="22"/>
          <w:szCs w:val="22"/>
          <w:lang w:val="sr-Latn-ME"/>
        </w:rPr>
      </w:pPr>
    </w:p>
    <w:p w14:paraId="72CFFE6F" w14:textId="77777777" w:rsidR="002B3FFC" w:rsidRPr="005A4F9F" w:rsidRDefault="00452E9D">
      <w:pPr>
        <w:widowControl w:val="0"/>
        <w:tabs>
          <w:tab w:val="left" w:pos="540"/>
          <w:tab w:val="left" w:pos="569"/>
        </w:tabs>
        <w:jc w:val="both"/>
        <w:rPr>
          <w:b/>
          <w:sz w:val="22"/>
          <w:szCs w:val="22"/>
          <w:u w:val="single"/>
          <w:lang w:val="sr-Latn-ME"/>
        </w:rPr>
      </w:pPr>
      <w:r w:rsidRPr="005A4F9F">
        <w:rPr>
          <w:b/>
          <w:sz w:val="22"/>
          <w:szCs w:val="22"/>
          <w:u w:val="single"/>
          <w:lang w:val="sr-Latn-ME"/>
        </w:rPr>
        <w:t>Doziranje</w:t>
      </w:r>
    </w:p>
    <w:p w14:paraId="3E79674C" w14:textId="77777777" w:rsidR="00F14A39" w:rsidRPr="005A4F9F" w:rsidRDefault="00F14A39">
      <w:pPr>
        <w:widowControl w:val="0"/>
        <w:tabs>
          <w:tab w:val="left" w:pos="540"/>
          <w:tab w:val="left" w:pos="569"/>
        </w:tabs>
        <w:jc w:val="both"/>
        <w:rPr>
          <w:bCs/>
          <w:sz w:val="22"/>
          <w:szCs w:val="22"/>
          <w:lang w:val="sr-Latn-ME"/>
        </w:rPr>
      </w:pPr>
    </w:p>
    <w:p w14:paraId="3060EA53" w14:textId="77777777" w:rsidR="002B3FFC" w:rsidRPr="005A4F9F" w:rsidRDefault="00CB4820">
      <w:pPr>
        <w:widowControl w:val="0"/>
        <w:tabs>
          <w:tab w:val="left" w:pos="540"/>
          <w:tab w:val="left" w:pos="569"/>
        </w:tabs>
        <w:jc w:val="both"/>
        <w:rPr>
          <w:bCs/>
          <w:sz w:val="22"/>
          <w:szCs w:val="22"/>
          <w:u w:val="single"/>
          <w:lang w:val="sr-Latn-ME"/>
        </w:rPr>
      </w:pPr>
      <w:r w:rsidRPr="005A4F9F">
        <w:rPr>
          <w:bCs/>
          <w:sz w:val="22"/>
          <w:szCs w:val="22"/>
          <w:u w:val="single"/>
          <w:lang w:val="sr-Latn-ME"/>
        </w:rPr>
        <w:t>Pacijenti s RA</w:t>
      </w:r>
    </w:p>
    <w:p w14:paraId="110A51B0" w14:textId="77777777" w:rsidR="002B3FFC" w:rsidRPr="005A4F9F" w:rsidRDefault="002B3FFC">
      <w:pPr>
        <w:widowControl w:val="0"/>
        <w:tabs>
          <w:tab w:val="left" w:pos="540"/>
          <w:tab w:val="left" w:pos="569"/>
        </w:tabs>
        <w:jc w:val="both"/>
        <w:rPr>
          <w:bCs/>
          <w:sz w:val="22"/>
          <w:szCs w:val="22"/>
          <w:lang w:val="sr-Latn-ME"/>
        </w:rPr>
      </w:pPr>
    </w:p>
    <w:p w14:paraId="53EC971E" w14:textId="77777777"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Preporučena doza je 8 mg/kg tjelesne težine, </w:t>
      </w:r>
      <w:r w:rsidR="00CB4820" w:rsidRPr="005A4F9F">
        <w:rPr>
          <w:bCs/>
          <w:sz w:val="22"/>
          <w:szCs w:val="22"/>
          <w:lang w:val="sr-Latn-ME"/>
        </w:rPr>
        <w:t xml:space="preserve">primijenjena </w:t>
      </w:r>
      <w:r w:rsidRPr="005A4F9F">
        <w:rPr>
          <w:bCs/>
          <w:sz w:val="22"/>
          <w:szCs w:val="22"/>
          <w:lang w:val="sr-Latn-ME"/>
        </w:rPr>
        <w:t>jednom u četiri ned</w:t>
      </w:r>
      <w:r w:rsidR="00CB4820" w:rsidRPr="005A4F9F">
        <w:rPr>
          <w:bCs/>
          <w:sz w:val="22"/>
          <w:szCs w:val="22"/>
          <w:lang w:val="sr-Latn-ME"/>
        </w:rPr>
        <w:t>j</w:t>
      </w:r>
      <w:r w:rsidRPr="005A4F9F">
        <w:rPr>
          <w:bCs/>
          <w:sz w:val="22"/>
          <w:szCs w:val="22"/>
          <w:lang w:val="sr-Latn-ME"/>
        </w:rPr>
        <w:t>elje.</w:t>
      </w:r>
    </w:p>
    <w:p w14:paraId="366E2CFF" w14:textId="54E8E3D9"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Za osobe čija je tjelesna težina veća od 100 kg, ne preporučuju se doze veće od 800 mg</w:t>
      </w:r>
      <w:r w:rsidR="00BA1741" w:rsidRPr="005A4F9F">
        <w:rPr>
          <w:bCs/>
          <w:sz w:val="22"/>
          <w:szCs w:val="22"/>
          <w:lang w:val="sr-Latn-ME"/>
        </w:rPr>
        <w:t xml:space="preserve"> po infuziji (vidjeti dio 5.2).</w:t>
      </w:r>
    </w:p>
    <w:p w14:paraId="14DC373C" w14:textId="77777777" w:rsidR="00542633"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U kliničkim studijama ni</w:t>
      </w:r>
      <w:r w:rsidR="00CB4820" w:rsidRPr="005A4F9F">
        <w:rPr>
          <w:bCs/>
          <w:sz w:val="22"/>
          <w:szCs w:val="22"/>
          <w:lang w:val="sr-Latn-ME"/>
        </w:rPr>
        <w:t>je</w:t>
      </w:r>
      <w:r w:rsidRPr="005A4F9F">
        <w:rPr>
          <w:bCs/>
          <w:sz w:val="22"/>
          <w:szCs w:val="22"/>
          <w:lang w:val="sr-Latn-ME"/>
        </w:rPr>
        <w:t>su ispitivane doze veće od 1,2 g (vidjeti dio 5.1).</w:t>
      </w:r>
    </w:p>
    <w:p w14:paraId="3BC0F6F9" w14:textId="6A5A6FB6" w:rsidR="00F34A0E" w:rsidRPr="005A4F9F" w:rsidRDefault="00F34A0E" w:rsidP="008B00DE">
      <w:pPr>
        <w:widowControl w:val="0"/>
        <w:tabs>
          <w:tab w:val="left" w:pos="540"/>
          <w:tab w:val="left" w:pos="569"/>
        </w:tabs>
        <w:jc w:val="both"/>
        <w:rPr>
          <w:bCs/>
          <w:sz w:val="22"/>
          <w:szCs w:val="22"/>
          <w:lang w:val="sr-Latn-ME"/>
        </w:rPr>
      </w:pPr>
    </w:p>
    <w:p w14:paraId="74CF7B1B" w14:textId="77777777" w:rsidR="00F34A0E" w:rsidRPr="005A4F9F" w:rsidRDefault="00F34A0E">
      <w:pPr>
        <w:widowControl w:val="0"/>
        <w:tabs>
          <w:tab w:val="left" w:pos="540"/>
          <w:tab w:val="left" w:pos="569"/>
        </w:tabs>
        <w:jc w:val="both"/>
        <w:rPr>
          <w:bCs/>
          <w:sz w:val="22"/>
          <w:szCs w:val="22"/>
          <w:lang w:val="sr-Latn-ME"/>
        </w:rPr>
      </w:pPr>
      <w:r w:rsidRPr="005A4F9F">
        <w:rPr>
          <w:bCs/>
          <w:sz w:val="22"/>
          <w:szCs w:val="22"/>
          <w:u w:val="single"/>
          <w:lang w:val="sr-Latn-ME"/>
        </w:rPr>
        <w:t xml:space="preserve">Podešavanje doze zbog laboratorijskih poremećaja  </w:t>
      </w:r>
      <w:r w:rsidRPr="005A4F9F">
        <w:rPr>
          <w:bCs/>
          <w:sz w:val="22"/>
          <w:szCs w:val="22"/>
          <w:lang w:val="sr-Latn-ME"/>
        </w:rPr>
        <w:t>(vidjeti dio 4.4).</w:t>
      </w:r>
    </w:p>
    <w:p w14:paraId="56B2B40B" w14:textId="77777777" w:rsidR="00F34A0E" w:rsidRPr="005A4F9F" w:rsidRDefault="00F34A0E">
      <w:pPr>
        <w:widowControl w:val="0"/>
        <w:tabs>
          <w:tab w:val="left" w:pos="540"/>
          <w:tab w:val="left" w:pos="569"/>
        </w:tabs>
        <w:jc w:val="both"/>
        <w:rPr>
          <w:bCs/>
          <w:sz w:val="22"/>
          <w:szCs w:val="22"/>
          <w:lang w:val="sr-Latn-ME"/>
        </w:rPr>
      </w:pPr>
    </w:p>
    <w:p w14:paraId="20B1DFF1" w14:textId="4E20EDC9" w:rsidR="00304B7D" w:rsidRPr="005A4F9F" w:rsidRDefault="00304B7D">
      <w:pPr>
        <w:pStyle w:val="ListParagraph"/>
        <w:widowControl w:val="0"/>
        <w:numPr>
          <w:ilvl w:val="0"/>
          <w:numId w:val="16"/>
        </w:numPr>
        <w:tabs>
          <w:tab w:val="left" w:pos="426"/>
          <w:tab w:val="left" w:pos="540"/>
        </w:tabs>
        <w:ind w:hanging="720"/>
        <w:jc w:val="both"/>
        <w:rPr>
          <w:bCs/>
          <w:sz w:val="22"/>
          <w:szCs w:val="22"/>
          <w:lang w:val="sr-Latn-ME"/>
        </w:rPr>
      </w:pPr>
      <w:r w:rsidRPr="005A4F9F">
        <w:rPr>
          <w:bCs/>
          <w:sz w:val="22"/>
          <w:szCs w:val="22"/>
          <w:lang w:val="sr-Latn-ME"/>
        </w:rPr>
        <w:t xml:space="preserve">Poremećaji </w:t>
      </w:r>
      <w:r w:rsidR="00CE0C85" w:rsidRPr="005A4F9F">
        <w:rPr>
          <w:bCs/>
          <w:sz w:val="22"/>
          <w:szCs w:val="22"/>
          <w:lang w:val="sr-Latn-ME"/>
        </w:rPr>
        <w:t xml:space="preserve">vrijednosti </w:t>
      </w:r>
      <w:r w:rsidRPr="005A4F9F">
        <w:rPr>
          <w:bCs/>
          <w:sz w:val="22"/>
          <w:szCs w:val="22"/>
          <w:lang w:val="sr-Latn-ME"/>
        </w:rPr>
        <w:t>enzima jetre</w:t>
      </w:r>
    </w:p>
    <w:p w14:paraId="62E8E123" w14:textId="77777777" w:rsidR="00304B7D" w:rsidRPr="005A4F9F" w:rsidRDefault="00304B7D">
      <w:pPr>
        <w:widowControl w:val="0"/>
        <w:tabs>
          <w:tab w:val="left" w:pos="540"/>
          <w:tab w:val="left" w:pos="569"/>
        </w:tabs>
        <w:jc w:val="both"/>
        <w:rPr>
          <w:bCs/>
          <w:sz w:val="22"/>
          <w:szCs w:val="22"/>
          <w:lang w:val="sr-Latn-ME"/>
        </w:rPr>
      </w:pPr>
    </w:p>
    <w:tbl>
      <w:tblPr>
        <w:tblStyle w:val="TableGrid1"/>
        <w:tblW w:w="9067" w:type="dxa"/>
        <w:tblLayout w:type="fixed"/>
        <w:tblLook w:val="04A0" w:firstRow="1" w:lastRow="0" w:firstColumn="1" w:lastColumn="0" w:noHBand="0" w:noVBand="1"/>
      </w:tblPr>
      <w:tblGrid>
        <w:gridCol w:w="4958"/>
        <w:gridCol w:w="4109"/>
      </w:tblGrid>
      <w:tr w:rsidR="00304B7D" w:rsidRPr="008F0857" w14:paraId="014EAB3A" w14:textId="77777777" w:rsidTr="00503D6F">
        <w:tc>
          <w:tcPr>
            <w:tcW w:w="4958" w:type="dxa"/>
          </w:tcPr>
          <w:p w14:paraId="1B11EB96" w14:textId="77777777" w:rsidR="00304B7D" w:rsidRPr="008F0857" w:rsidRDefault="00304B7D">
            <w:pPr>
              <w:widowControl w:val="0"/>
              <w:tabs>
                <w:tab w:val="left" w:pos="540"/>
                <w:tab w:val="left" w:pos="569"/>
              </w:tabs>
              <w:jc w:val="both"/>
              <w:rPr>
                <w:rFonts w:ascii="Times New Roman" w:eastAsia="Times New Roman" w:hAnsi="Times New Roman"/>
                <w:b/>
                <w:sz w:val="22"/>
                <w:szCs w:val="22"/>
                <w:lang w:val="sr-Latn-ME"/>
              </w:rPr>
            </w:pPr>
            <w:r w:rsidRPr="008F0857">
              <w:rPr>
                <w:rFonts w:ascii="Times New Roman" w:hAnsi="Times New Roman"/>
                <w:b/>
                <w:sz w:val="22"/>
                <w:szCs w:val="22"/>
                <w:lang w:val="sr-Latn-ME"/>
              </w:rPr>
              <w:t>Laboratorijska vrijednost</w:t>
            </w:r>
          </w:p>
        </w:tc>
        <w:tc>
          <w:tcPr>
            <w:tcW w:w="4109" w:type="dxa"/>
          </w:tcPr>
          <w:p w14:paraId="1987943D" w14:textId="77777777" w:rsidR="00304B7D" w:rsidRPr="008F0857" w:rsidRDefault="00304B7D">
            <w:pPr>
              <w:widowControl w:val="0"/>
              <w:tabs>
                <w:tab w:val="left" w:pos="540"/>
                <w:tab w:val="left" w:pos="569"/>
              </w:tabs>
              <w:jc w:val="both"/>
              <w:rPr>
                <w:rFonts w:ascii="Times New Roman" w:eastAsia="Times New Roman" w:hAnsi="Times New Roman"/>
                <w:b/>
                <w:sz w:val="22"/>
                <w:szCs w:val="22"/>
                <w:lang w:val="sr-Latn-ME"/>
              </w:rPr>
            </w:pPr>
            <w:r w:rsidRPr="008F0857">
              <w:rPr>
                <w:rFonts w:ascii="Times New Roman" w:hAnsi="Times New Roman"/>
                <w:b/>
                <w:sz w:val="22"/>
                <w:szCs w:val="22"/>
                <w:lang w:val="sr-Latn-ME"/>
              </w:rPr>
              <w:t>Postupanje</w:t>
            </w:r>
          </w:p>
        </w:tc>
      </w:tr>
      <w:tr w:rsidR="00304B7D" w:rsidRPr="008F0857" w14:paraId="346364B8" w14:textId="77777777" w:rsidTr="00503D6F">
        <w:tc>
          <w:tcPr>
            <w:tcW w:w="4958" w:type="dxa"/>
          </w:tcPr>
          <w:p w14:paraId="420B72FD" w14:textId="77777777"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&gt; 1 do 3 x gornja granica normale  (GGN)</w:t>
            </w:r>
          </w:p>
        </w:tc>
        <w:tc>
          <w:tcPr>
            <w:tcW w:w="4109" w:type="dxa"/>
          </w:tcPr>
          <w:p w14:paraId="4C47201D" w14:textId="2D458FD7" w:rsidR="00304B7D" w:rsidRPr="008F0857" w:rsidRDefault="00304B7D" w:rsidP="008B00DE">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sz w:val="22"/>
                <w:szCs w:val="22"/>
                <w:lang w:val="sr-Latn-ME"/>
              </w:rPr>
              <w:t>Podesiti dozu MTX</w:t>
            </w:r>
            <w:r w:rsidR="007B4C93" w:rsidRPr="008F0857">
              <w:rPr>
                <w:rFonts w:ascii="Times New Roman" w:hAnsi="Times New Roman"/>
                <w:sz w:val="22"/>
                <w:szCs w:val="22"/>
                <w:lang w:val="sr-Latn-ME"/>
              </w:rPr>
              <w:t>-a</w:t>
            </w:r>
            <w:r w:rsidRPr="008F0857">
              <w:rPr>
                <w:rFonts w:ascii="Times New Roman" w:hAnsi="Times New Roman"/>
                <w:sz w:val="22"/>
                <w:szCs w:val="22"/>
                <w:lang w:val="sr-Latn-ME"/>
              </w:rPr>
              <w:t xml:space="preserve"> koja se daje istovremeno, ako je moguće</w:t>
            </w:r>
            <w:r w:rsidRPr="008F0857">
              <w:rPr>
                <w:rFonts w:ascii="Times New Roman" w:hAnsi="Times New Roman"/>
                <w:bCs/>
                <w:sz w:val="22"/>
                <w:szCs w:val="22"/>
                <w:lang w:val="sr-Latn-ME"/>
              </w:rPr>
              <w:t>.</w:t>
            </w:r>
            <w:r w:rsidR="007B4C93" w:rsidRPr="008F0857">
              <w:rPr>
                <w:rFonts w:ascii="Times New Roman" w:hAnsi="Times New Roman"/>
                <w:bCs/>
                <w:sz w:val="22"/>
                <w:szCs w:val="22"/>
                <w:lang w:val="sr-Latn-ME"/>
              </w:rPr>
              <w:br/>
            </w:r>
          </w:p>
          <w:p w14:paraId="5FA7D36C" w14:textId="0F9F67C7" w:rsidR="00304B7D" w:rsidRPr="008F0857" w:rsidRDefault="00304B7D" w:rsidP="008B00DE">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U slučajevima perzistentnog porasta u ovom rasponu, smanjiti dozu</w:t>
            </w:r>
            <w:r w:rsidR="007B4C93" w:rsidRPr="008F0857">
              <w:rPr>
                <w:rFonts w:ascii="Times New Roman" w:hAnsi="Times New Roman"/>
                <w:bCs/>
                <w:sz w:val="22"/>
                <w:szCs w:val="22"/>
                <w:lang w:val="sr-Latn-ME"/>
              </w:rPr>
              <w:t xml:space="preserve"> </w:t>
            </w:r>
            <w:r w:rsidR="007B4C93" w:rsidRPr="008F0857">
              <w:rPr>
                <w:rFonts w:ascii="Times New Roman" w:hAnsi="Times New Roman"/>
                <w:sz w:val="22"/>
                <w:szCs w:val="22"/>
                <w:lang w:val="sr-Latn-ME"/>
              </w:rPr>
              <w:t>tocilizumaba</w:t>
            </w:r>
            <w:r w:rsidRPr="008F0857">
              <w:rPr>
                <w:rFonts w:ascii="Times New Roman" w:hAnsi="Times New Roman"/>
                <w:bCs/>
                <w:sz w:val="22"/>
                <w:szCs w:val="22"/>
                <w:lang w:val="sr-Latn-ME"/>
              </w:rPr>
              <w:t xml:space="preserve">na 4 mg/kg ili privremeno obustaviti </w:t>
            </w:r>
            <w:r w:rsidR="007B4C93" w:rsidRPr="008F0857">
              <w:rPr>
                <w:rFonts w:ascii="Times New Roman" w:hAnsi="Times New Roman"/>
                <w:bCs/>
                <w:sz w:val="22"/>
                <w:szCs w:val="22"/>
                <w:lang w:val="sr-Latn-ME"/>
              </w:rPr>
              <w:t>liječenje</w:t>
            </w:r>
            <w:r w:rsidR="00F14A39" w:rsidRPr="008F0857">
              <w:rPr>
                <w:rFonts w:ascii="Times New Roman" w:hAnsi="Times New Roman"/>
                <w:bCs/>
                <w:sz w:val="22"/>
                <w:szCs w:val="22"/>
                <w:lang w:val="sr-Latn-ME"/>
              </w:rPr>
              <w:t>,</w:t>
            </w:r>
            <w:r w:rsidRPr="008F0857">
              <w:rPr>
                <w:rFonts w:ascii="Times New Roman" w:hAnsi="Times New Roman"/>
                <w:bCs/>
                <w:sz w:val="22"/>
                <w:szCs w:val="22"/>
                <w:lang w:val="sr-Latn-ME"/>
              </w:rPr>
              <w:t xml:space="preserve"> sve dok se ne normalizuju vrijednosti alanin aminotransferaze (ALT) ili aspartat aminotransferaze (AST)</w:t>
            </w:r>
            <w:r w:rsidR="007B4C93" w:rsidRPr="008F0857">
              <w:rPr>
                <w:rFonts w:ascii="Times New Roman" w:hAnsi="Times New Roman"/>
                <w:bCs/>
                <w:sz w:val="22"/>
                <w:szCs w:val="22"/>
                <w:lang w:val="sr-Latn-ME"/>
              </w:rPr>
              <w:t>.</w:t>
            </w:r>
          </w:p>
          <w:p w14:paraId="25CE586B" w14:textId="77777777" w:rsidR="007B4C93" w:rsidRPr="008F0857" w:rsidRDefault="007B4C93">
            <w:pPr>
              <w:widowControl w:val="0"/>
              <w:tabs>
                <w:tab w:val="left" w:pos="540"/>
                <w:tab w:val="left" w:pos="569"/>
              </w:tabs>
              <w:jc w:val="both"/>
              <w:rPr>
                <w:rFonts w:ascii="Times New Roman" w:eastAsia="Times New Roman" w:hAnsi="Times New Roman"/>
                <w:bCs/>
                <w:sz w:val="22"/>
                <w:szCs w:val="22"/>
                <w:lang w:val="sr-Latn-ME"/>
              </w:rPr>
            </w:pPr>
          </w:p>
          <w:p w14:paraId="4466BCBD" w14:textId="7A8DC862"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Započeti ponovo sa dozama od 4 mg/kg ili 8 mg/kg, kako je klinički primjereno</w:t>
            </w:r>
            <w:r w:rsidR="007B4C93" w:rsidRPr="008F0857">
              <w:rPr>
                <w:rFonts w:ascii="Times New Roman" w:hAnsi="Times New Roman"/>
                <w:bCs/>
                <w:sz w:val="22"/>
                <w:szCs w:val="22"/>
                <w:lang w:val="sr-Latn-ME"/>
              </w:rPr>
              <w:t>.</w:t>
            </w:r>
          </w:p>
        </w:tc>
      </w:tr>
      <w:tr w:rsidR="00304B7D" w:rsidRPr="008F0857" w14:paraId="488E83D7" w14:textId="77777777" w:rsidTr="00503D6F">
        <w:tc>
          <w:tcPr>
            <w:tcW w:w="4958" w:type="dxa"/>
          </w:tcPr>
          <w:p w14:paraId="641BBA50" w14:textId="77777777"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&gt; 3 do 5 x GGN</w:t>
            </w:r>
          </w:p>
          <w:p w14:paraId="16C7763E" w14:textId="77777777"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(potvrđeno ponovljenim testiranjem, vidjeti dio 4.4).</w:t>
            </w:r>
          </w:p>
        </w:tc>
        <w:tc>
          <w:tcPr>
            <w:tcW w:w="4109" w:type="dxa"/>
          </w:tcPr>
          <w:p w14:paraId="7D0FE091" w14:textId="715CF483"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 xml:space="preserve">Privremeno prekinuti primjenu </w:t>
            </w:r>
            <w:r w:rsidR="007B4C93" w:rsidRPr="008F0857">
              <w:rPr>
                <w:rFonts w:ascii="Times New Roman" w:hAnsi="Times New Roman"/>
                <w:sz w:val="22"/>
                <w:szCs w:val="22"/>
                <w:lang w:val="sr-Latn-ME"/>
              </w:rPr>
              <w:t>tocilizumaba</w:t>
            </w:r>
            <w:r w:rsidRPr="008F0857">
              <w:rPr>
                <w:rFonts w:ascii="Times New Roman" w:hAnsi="Times New Roman"/>
                <w:bCs/>
                <w:sz w:val="22"/>
                <w:szCs w:val="22"/>
                <w:lang w:val="sr-Latn-ME"/>
              </w:rPr>
              <w:t xml:space="preserve">dok vrijednosti ne spadnu na  &lt; 3 x GGN i pratiti preporuke navedene </w:t>
            </w:r>
            <w:r w:rsidRPr="008F0857">
              <w:rPr>
                <w:rFonts w:ascii="Times New Roman" w:hAnsi="Times New Roman"/>
                <w:bCs/>
                <w:sz w:val="22"/>
                <w:szCs w:val="22"/>
                <w:lang w:val="sr-Latn-ME"/>
              </w:rPr>
              <w:lastRenderedPageBreak/>
              <w:t>iznad za vrijednost &gt; 1 do 3x iznad gornje granice uobičajenih vrijednosti (GGN).</w:t>
            </w:r>
          </w:p>
          <w:p w14:paraId="652715C8" w14:textId="77777777"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p>
          <w:p w14:paraId="277B8448" w14:textId="161D40C6"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 xml:space="preserve">U slučaju perzistentnog porasta na &gt; 3 x GGN, potpuno obustaviti </w:t>
            </w:r>
            <w:r w:rsidR="007B4C93" w:rsidRPr="008F0857">
              <w:rPr>
                <w:rFonts w:ascii="Times New Roman" w:hAnsi="Times New Roman"/>
                <w:bCs/>
                <w:sz w:val="22"/>
                <w:szCs w:val="22"/>
                <w:lang w:val="sr-Latn-ME"/>
              </w:rPr>
              <w:t>liječenje.</w:t>
            </w:r>
          </w:p>
        </w:tc>
      </w:tr>
      <w:tr w:rsidR="00304B7D" w:rsidRPr="008F0857" w14:paraId="6BB22509" w14:textId="77777777" w:rsidTr="00503D6F">
        <w:tc>
          <w:tcPr>
            <w:tcW w:w="4958" w:type="dxa"/>
          </w:tcPr>
          <w:p w14:paraId="1E64A619" w14:textId="77777777"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lastRenderedPageBreak/>
              <w:t>&gt; 5 x GGN</w:t>
            </w:r>
          </w:p>
        </w:tc>
        <w:tc>
          <w:tcPr>
            <w:tcW w:w="4109" w:type="dxa"/>
          </w:tcPr>
          <w:p w14:paraId="1644E281" w14:textId="7B4AB714" w:rsidR="00304B7D" w:rsidRPr="008F0857" w:rsidRDefault="00304B7D">
            <w:pPr>
              <w:widowControl w:val="0"/>
              <w:tabs>
                <w:tab w:val="left" w:pos="540"/>
                <w:tab w:val="left" w:pos="569"/>
              </w:tabs>
              <w:jc w:val="both"/>
              <w:rPr>
                <w:rFonts w:ascii="Times New Roman" w:eastAsia="Times New Roman" w:hAnsi="Times New Roman"/>
                <w:bCs/>
                <w:sz w:val="22"/>
                <w:szCs w:val="22"/>
                <w:lang w:val="sr-Latn-ME"/>
              </w:rPr>
            </w:pPr>
            <w:r w:rsidRPr="008F0857">
              <w:rPr>
                <w:rFonts w:ascii="Times New Roman" w:hAnsi="Times New Roman"/>
                <w:bCs/>
                <w:sz w:val="22"/>
                <w:szCs w:val="22"/>
                <w:lang w:val="sr-Latn-ME"/>
              </w:rPr>
              <w:t xml:space="preserve">Potpuno obustaviti </w:t>
            </w:r>
            <w:r w:rsidR="007B4C93" w:rsidRPr="008F0857">
              <w:rPr>
                <w:rFonts w:ascii="Times New Roman" w:hAnsi="Times New Roman"/>
                <w:bCs/>
                <w:sz w:val="22"/>
                <w:szCs w:val="22"/>
                <w:lang w:val="sr-Latn-ME"/>
              </w:rPr>
              <w:t>liječenje</w:t>
            </w:r>
            <w:r w:rsidR="002B2AE5" w:rsidRPr="008F0857">
              <w:rPr>
                <w:rFonts w:ascii="Times New Roman" w:hAnsi="Times New Roman"/>
                <w:bCs/>
                <w:sz w:val="22"/>
                <w:szCs w:val="22"/>
                <w:lang w:val="sr-Latn-ME"/>
              </w:rPr>
              <w:t>.</w:t>
            </w:r>
          </w:p>
        </w:tc>
      </w:tr>
    </w:tbl>
    <w:p w14:paraId="2C43B0A0" w14:textId="77777777" w:rsidR="00F34A0E" w:rsidRPr="005A4F9F" w:rsidRDefault="00F34A0E" w:rsidP="008B00DE">
      <w:pPr>
        <w:widowControl w:val="0"/>
        <w:tabs>
          <w:tab w:val="left" w:pos="540"/>
          <w:tab w:val="left" w:pos="569"/>
        </w:tabs>
        <w:jc w:val="both"/>
        <w:rPr>
          <w:bCs/>
          <w:sz w:val="22"/>
          <w:szCs w:val="22"/>
          <w:u w:val="single"/>
          <w:lang w:val="sr-Latn-ME"/>
        </w:rPr>
      </w:pPr>
      <w:r w:rsidRPr="005A4F9F">
        <w:rPr>
          <w:bCs/>
          <w:sz w:val="22"/>
          <w:szCs w:val="22"/>
          <w:lang w:val="sr-Latn-ME"/>
        </w:rPr>
        <w:tab/>
      </w:r>
    </w:p>
    <w:p w14:paraId="3BDBA266" w14:textId="509E3321" w:rsidR="00304B7D" w:rsidRPr="005A4F9F" w:rsidRDefault="00304B7D" w:rsidP="008B00DE">
      <w:pPr>
        <w:pStyle w:val="Header"/>
        <w:widowControl w:val="0"/>
        <w:tabs>
          <w:tab w:val="left" w:pos="284"/>
        </w:tabs>
        <w:jc w:val="both"/>
        <w:rPr>
          <w:bCs/>
          <w:sz w:val="22"/>
          <w:szCs w:val="22"/>
          <w:lang w:val="sr-Latn-ME"/>
        </w:rPr>
      </w:pPr>
      <w:r w:rsidRPr="005A4F9F">
        <w:rPr>
          <w:bCs/>
          <w:sz w:val="22"/>
          <w:szCs w:val="22"/>
          <w:lang w:val="sr-Latn-ME"/>
        </w:rPr>
        <w:t>•</w:t>
      </w:r>
      <w:r w:rsidRPr="005A4F9F">
        <w:rPr>
          <w:bCs/>
          <w:sz w:val="22"/>
          <w:szCs w:val="22"/>
          <w:lang w:val="sr-Latn-ME"/>
        </w:rPr>
        <w:tab/>
        <w:t>Nizak apsolutni broj neutrofila (A</w:t>
      </w:r>
      <w:r w:rsidR="00F23DB1" w:rsidRPr="005A4F9F">
        <w:rPr>
          <w:bCs/>
          <w:sz w:val="22"/>
          <w:szCs w:val="22"/>
          <w:lang w:val="sr-Latn-ME"/>
        </w:rPr>
        <w:t>BN</w:t>
      </w:r>
      <w:r w:rsidRPr="005A4F9F">
        <w:rPr>
          <w:bCs/>
          <w:sz w:val="22"/>
          <w:szCs w:val="22"/>
          <w:lang w:val="sr-Latn-ME"/>
        </w:rPr>
        <w:t>)</w:t>
      </w:r>
    </w:p>
    <w:p w14:paraId="73F1E656" w14:textId="77777777" w:rsidR="00304B7D" w:rsidRPr="005A4F9F" w:rsidRDefault="00304B7D" w:rsidP="008B00DE">
      <w:pPr>
        <w:pStyle w:val="Header"/>
        <w:widowControl w:val="0"/>
        <w:tabs>
          <w:tab w:val="left" w:pos="284"/>
        </w:tabs>
        <w:jc w:val="both"/>
        <w:rPr>
          <w:bCs/>
          <w:sz w:val="22"/>
          <w:szCs w:val="22"/>
          <w:lang w:val="sr-Latn-ME"/>
        </w:rPr>
      </w:pPr>
    </w:p>
    <w:p w14:paraId="221E75CB" w14:textId="3A7CD6DC" w:rsidR="00304B7D" w:rsidRPr="005A4F9F" w:rsidRDefault="00304B7D" w:rsidP="008B00DE">
      <w:pPr>
        <w:pStyle w:val="Header"/>
        <w:widowControl w:val="0"/>
        <w:tabs>
          <w:tab w:val="left" w:pos="284"/>
        </w:tabs>
        <w:jc w:val="both"/>
        <w:rPr>
          <w:bCs/>
          <w:sz w:val="22"/>
          <w:szCs w:val="22"/>
          <w:lang w:val="sr-Latn-ME"/>
        </w:rPr>
      </w:pPr>
      <w:r w:rsidRPr="005A4F9F">
        <w:rPr>
          <w:bCs/>
          <w:sz w:val="22"/>
          <w:szCs w:val="22"/>
          <w:lang w:val="sr-Latn-ME"/>
        </w:rPr>
        <w:t xml:space="preserve">Kod  pacijenata  koji  nijesu  prethodno  liječeni  </w:t>
      </w:r>
      <w:r w:rsidR="002B2AE5" w:rsidRPr="005A4F9F">
        <w:rPr>
          <w:sz w:val="22"/>
          <w:szCs w:val="22"/>
          <w:lang w:val="sr-Latn-ME"/>
        </w:rPr>
        <w:t>tocilizumabom</w:t>
      </w:r>
      <w:r w:rsidRPr="005A4F9F">
        <w:rPr>
          <w:bCs/>
          <w:sz w:val="22"/>
          <w:szCs w:val="22"/>
          <w:lang w:val="sr-Latn-ME"/>
        </w:rPr>
        <w:t>,  ne  preporučuje  se  započinjanje  terapije  ukoliko  je apsolutni broj neutrofila (A</w:t>
      </w:r>
      <w:r w:rsidR="00F23DB1" w:rsidRPr="005A4F9F">
        <w:rPr>
          <w:bCs/>
          <w:sz w:val="22"/>
          <w:szCs w:val="22"/>
          <w:lang w:val="sr-Latn-ME"/>
        </w:rPr>
        <w:t>BN</w:t>
      </w:r>
      <w:r w:rsidRPr="005A4F9F">
        <w:rPr>
          <w:bCs/>
          <w:sz w:val="22"/>
          <w:szCs w:val="22"/>
          <w:lang w:val="sr-Latn-ME"/>
        </w:rPr>
        <w:t>C) ispod 2</w:t>
      </w:r>
      <w:r w:rsidR="002B2AE5" w:rsidRPr="005A4F9F">
        <w:rPr>
          <w:bCs/>
          <w:sz w:val="22"/>
          <w:szCs w:val="22"/>
          <w:lang w:val="sr-Latn-ME"/>
        </w:rPr>
        <w:t xml:space="preserve"> </w:t>
      </w:r>
      <w:r w:rsidRPr="005A4F9F">
        <w:rPr>
          <w:bCs/>
          <w:sz w:val="22"/>
          <w:szCs w:val="22"/>
          <w:lang w:val="sr-Latn-ME"/>
        </w:rPr>
        <w:t>x 10</w:t>
      </w:r>
      <w:r w:rsidRPr="005A4F9F">
        <w:rPr>
          <w:bCs/>
          <w:sz w:val="22"/>
          <w:szCs w:val="22"/>
          <w:vertAlign w:val="superscript"/>
          <w:lang w:val="sr-Latn-ME"/>
        </w:rPr>
        <w:t>9</w:t>
      </w:r>
      <w:r w:rsidRPr="005A4F9F">
        <w:rPr>
          <w:bCs/>
          <w:sz w:val="22"/>
          <w:szCs w:val="22"/>
          <w:lang w:val="sr-Latn-ME"/>
        </w:rPr>
        <w:t>/l.</w:t>
      </w:r>
    </w:p>
    <w:p w14:paraId="0599ACAA" w14:textId="77777777" w:rsidR="00CB1C88" w:rsidRPr="005A4F9F" w:rsidRDefault="00CB1C88" w:rsidP="008B00DE">
      <w:pPr>
        <w:pStyle w:val="Header"/>
        <w:widowControl w:val="0"/>
        <w:tabs>
          <w:tab w:val="left" w:pos="284"/>
        </w:tabs>
        <w:jc w:val="both"/>
        <w:rPr>
          <w:bCs/>
          <w:sz w:val="22"/>
          <w:szCs w:val="22"/>
          <w:lang w:val="sr-Latn-ME"/>
        </w:rPr>
      </w:pPr>
    </w:p>
    <w:tbl>
      <w:tblPr>
        <w:tblStyle w:val="TableGrid2"/>
        <w:tblW w:w="9067" w:type="dxa"/>
        <w:tblLayout w:type="fixed"/>
        <w:tblLook w:val="04A0" w:firstRow="1" w:lastRow="0" w:firstColumn="1" w:lastColumn="0" w:noHBand="0" w:noVBand="1"/>
      </w:tblPr>
      <w:tblGrid>
        <w:gridCol w:w="4958"/>
        <w:gridCol w:w="4109"/>
      </w:tblGrid>
      <w:tr w:rsidR="00CB1C88" w:rsidRPr="005A4F9F" w14:paraId="55D0E672" w14:textId="77777777" w:rsidTr="00503D6F">
        <w:tc>
          <w:tcPr>
            <w:tcW w:w="4958" w:type="dxa"/>
          </w:tcPr>
          <w:p w14:paraId="7381A6E8" w14:textId="77777777"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
                <w:sz w:val="22"/>
                <w:szCs w:val="22"/>
                <w:lang w:val="sr-Latn-ME"/>
              </w:rPr>
              <w:t>Laboratorijska vrijednost</w:t>
            </w:r>
            <w:r w:rsidRPr="005A4F9F">
              <w:rPr>
                <w:bCs/>
                <w:sz w:val="22"/>
                <w:szCs w:val="22"/>
                <w:lang w:val="sr-Latn-ME"/>
              </w:rPr>
              <w:br/>
              <w:t>(broj ćelija x 10</w:t>
            </w:r>
            <w:r w:rsidRPr="005A4F9F">
              <w:rPr>
                <w:bCs/>
                <w:sz w:val="22"/>
                <w:szCs w:val="22"/>
                <w:vertAlign w:val="superscript"/>
                <w:lang w:val="sr-Latn-ME"/>
              </w:rPr>
              <w:t>9</w:t>
            </w:r>
            <w:r w:rsidRPr="005A4F9F">
              <w:rPr>
                <w:bCs/>
                <w:sz w:val="22"/>
                <w:szCs w:val="22"/>
                <w:lang w:val="sr-Latn-ME"/>
              </w:rPr>
              <w:t>/ l</w:t>
            </w:r>
            <w:r w:rsidRPr="005A4F9F" w:rsidDel="00B4080A">
              <w:rPr>
                <w:bCs/>
                <w:sz w:val="22"/>
                <w:szCs w:val="22"/>
                <w:lang w:val="sr-Latn-ME"/>
              </w:rPr>
              <w:t xml:space="preserve"> </w:t>
            </w:r>
            <w:r w:rsidRPr="005A4F9F">
              <w:rPr>
                <w:bCs/>
                <w:sz w:val="22"/>
                <w:szCs w:val="22"/>
                <w:lang w:val="sr-Latn-ME"/>
              </w:rPr>
              <w:t>)</w:t>
            </w:r>
          </w:p>
        </w:tc>
        <w:tc>
          <w:tcPr>
            <w:tcW w:w="4109" w:type="dxa"/>
          </w:tcPr>
          <w:p w14:paraId="4FED187A" w14:textId="77777777" w:rsidR="00CB1C88" w:rsidRPr="005A4F9F" w:rsidRDefault="00CB1C88" w:rsidP="008B00DE">
            <w:pPr>
              <w:pStyle w:val="Header"/>
              <w:widowControl w:val="0"/>
              <w:tabs>
                <w:tab w:val="left" w:pos="284"/>
              </w:tabs>
              <w:jc w:val="both"/>
              <w:rPr>
                <w:rFonts w:ascii="Times New Roman" w:eastAsia="Times New Roman" w:hAnsi="Times New Roman"/>
                <w:b/>
                <w:sz w:val="22"/>
                <w:szCs w:val="22"/>
                <w:lang w:val="sr-Latn-ME"/>
              </w:rPr>
            </w:pPr>
            <w:r w:rsidRPr="005A4F9F">
              <w:rPr>
                <w:b/>
                <w:sz w:val="22"/>
                <w:szCs w:val="22"/>
                <w:lang w:val="sr-Latn-ME"/>
              </w:rPr>
              <w:t>Postupanje</w:t>
            </w:r>
          </w:p>
        </w:tc>
      </w:tr>
      <w:tr w:rsidR="00CB1C88" w:rsidRPr="005A4F9F" w14:paraId="065FE7A9" w14:textId="77777777" w:rsidTr="00503D6F">
        <w:tc>
          <w:tcPr>
            <w:tcW w:w="4958" w:type="dxa"/>
          </w:tcPr>
          <w:p w14:paraId="4A25935B" w14:textId="624B8904"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A</w:t>
            </w:r>
            <w:r w:rsidR="00F23DB1" w:rsidRPr="005A4F9F">
              <w:rPr>
                <w:bCs/>
                <w:sz w:val="22"/>
                <w:szCs w:val="22"/>
                <w:lang w:val="sr-Latn-ME"/>
              </w:rPr>
              <w:t>BN</w:t>
            </w:r>
            <w:r w:rsidRPr="005A4F9F">
              <w:rPr>
                <w:bCs/>
                <w:sz w:val="22"/>
                <w:szCs w:val="22"/>
                <w:lang w:val="sr-Latn-ME"/>
              </w:rPr>
              <w:t xml:space="preserve"> &gt; 1</w:t>
            </w:r>
          </w:p>
        </w:tc>
        <w:tc>
          <w:tcPr>
            <w:tcW w:w="4109" w:type="dxa"/>
          </w:tcPr>
          <w:p w14:paraId="1E92F223" w14:textId="77777777"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Održavati postojeću dozu</w:t>
            </w:r>
          </w:p>
        </w:tc>
      </w:tr>
      <w:tr w:rsidR="00CB1C88" w:rsidRPr="005A4F9F" w14:paraId="093AC70F" w14:textId="77777777" w:rsidTr="00503D6F">
        <w:tc>
          <w:tcPr>
            <w:tcW w:w="4958" w:type="dxa"/>
          </w:tcPr>
          <w:p w14:paraId="2846E1B0" w14:textId="06D44928"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A</w:t>
            </w:r>
            <w:r w:rsidR="00F23DB1" w:rsidRPr="005A4F9F">
              <w:rPr>
                <w:bCs/>
                <w:sz w:val="22"/>
                <w:szCs w:val="22"/>
                <w:lang w:val="sr-Latn-ME"/>
              </w:rPr>
              <w:t>BN</w:t>
            </w:r>
            <w:r w:rsidRPr="005A4F9F">
              <w:rPr>
                <w:bCs/>
                <w:sz w:val="22"/>
                <w:szCs w:val="22"/>
                <w:lang w:val="sr-Latn-ME"/>
              </w:rPr>
              <w:t xml:space="preserve"> </w:t>
            </w:r>
            <w:r w:rsidR="00F14A39" w:rsidRPr="005A4F9F">
              <w:rPr>
                <w:bCs/>
                <w:sz w:val="22"/>
                <w:szCs w:val="22"/>
                <w:lang w:val="sr-Latn-ME"/>
              </w:rPr>
              <w:t xml:space="preserve">od </w:t>
            </w:r>
            <w:r w:rsidRPr="005A4F9F">
              <w:rPr>
                <w:bCs/>
                <w:sz w:val="22"/>
                <w:szCs w:val="22"/>
                <w:lang w:val="sr-Latn-ME"/>
              </w:rPr>
              <w:t>0,5 do 1</w:t>
            </w:r>
          </w:p>
        </w:tc>
        <w:tc>
          <w:tcPr>
            <w:tcW w:w="4109" w:type="dxa"/>
          </w:tcPr>
          <w:p w14:paraId="1B11BF95" w14:textId="42DC3029"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 xml:space="preserve">Privremeno prekinuti primjenu </w:t>
            </w:r>
            <w:r w:rsidR="002B2AE5" w:rsidRPr="005A4F9F">
              <w:rPr>
                <w:sz w:val="22"/>
                <w:szCs w:val="22"/>
                <w:lang w:val="sr-Latn-ME"/>
              </w:rPr>
              <w:t>tocilizumaba.</w:t>
            </w:r>
          </w:p>
          <w:p w14:paraId="12EF8129" w14:textId="2079BAF4"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Kada se vrijednost podigne do A</w:t>
            </w:r>
            <w:r w:rsidR="00F23DB1" w:rsidRPr="005A4F9F">
              <w:rPr>
                <w:bCs/>
                <w:sz w:val="22"/>
                <w:szCs w:val="22"/>
                <w:lang w:val="sr-Latn-ME"/>
              </w:rPr>
              <w:t>BN</w:t>
            </w:r>
            <w:r w:rsidRPr="005A4F9F">
              <w:rPr>
                <w:bCs/>
                <w:sz w:val="22"/>
                <w:szCs w:val="22"/>
                <w:lang w:val="sr-Latn-ME"/>
              </w:rPr>
              <w:t xml:space="preserve"> &gt; 1 x 10</w:t>
            </w:r>
            <w:r w:rsidRPr="005A4F9F">
              <w:rPr>
                <w:bCs/>
                <w:sz w:val="22"/>
                <w:szCs w:val="22"/>
                <w:vertAlign w:val="superscript"/>
                <w:lang w:val="sr-Latn-ME"/>
              </w:rPr>
              <w:t>9</w:t>
            </w:r>
            <w:r w:rsidRPr="005A4F9F">
              <w:rPr>
                <w:bCs/>
                <w:sz w:val="22"/>
                <w:szCs w:val="22"/>
                <w:lang w:val="sr-Latn-ME"/>
              </w:rPr>
              <w:t xml:space="preserve">/ l ponovo uvesti </w:t>
            </w:r>
            <w:r w:rsidR="002B2AE5" w:rsidRPr="005A4F9F">
              <w:rPr>
                <w:bCs/>
                <w:sz w:val="22"/>
                <w:szCs w:val="22"/>
                <w:lang w:val="sr-Latn-ME"/>
              </w:rPr>
              <w:t>liječenje</w:t>
            </w:r>
            <w:r w:rsidRPr="005A4F9F">
              <w:rPr>
                <w:bCs/>
                <w:sz w:val="22"/>
                <w:szCs w:val="22"/>
                <w:lang w:val="sr-Latn-ME"/>
              </w:rPr>
              <w:t>u dozi od 4 mg/kg , pa povećati na 8 mg/kg, kako je klinički primjereno</w:t>
            </w:r>
            <w:r w:rsidR="002B2AE5" w:rsidRPr="005A4F9F">
              <w:rPr>
                <w:bCs/>
                <w:sz w:val="22"/>
                <w:szCs w:val="22"/>
                <w:lang w:val="sr-Latn-ME"/>
              </w:rPr>
              <w:t>.</w:t>
            </w:r>
          </w:p>
        </w:tc>
      </w:tr>
      <w:tr w:rsidR="00CB1C88" w:rsidRPr="005A4F9F" w14:paraId="5DABEE4F" w14:textId="77777777" w:rsidTr="00503D6F">
        <w:tc>
          <w:tcPr>
            <w:tcW w:w="4958" w:type="dxa"/>
          </w:tcPr>
          <w:p w14:paraId="2EF330AA" w14:textId="7905F462"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A</w:t>
            </w:r>
            <w:r w:rsidR="00F23DB1" w:rsidRPr="005A4F9F">
              <w:rPr>
                <w:bCs/>
                <w:sz w:val="22"/>
                <w:szCs w:val="22"/>
                <w:lang w:val="sr-Latn-ME"/>
              </w:rPr>
              <w:t>BN</w:t>
            </w:r>
            <w:r w:rsidRPr="005A4F9F">
              <w:rPr>
                <w:bCs/>
                <w:sz w:val="22"/>
                <w:szCs w:val="22"/>
                <w:lang w:val="sr-Latn-ME"/>
              </w:rPr>
              <w:t xml:space="preserve"> &lt; 0,5</w:t>
            </w:r>
          </w:p>
        </w:tc>
        <w:tc>
          <w:tcPr>
            <w:tcW w:w="4109" w:type="dxa"/>
          </w:tcPr>
          <w:p w14:paraId="429EB5A9" w14:textId="747D5A52" w:rsidR="00CB1C88" w:rsidRPr="005A4F9F" w:rsidRDefault="00CB1C88"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 xml:space="preserve">Potpuno prekinuti </w:t>
            </w:r>
            <w:r w:rsidR="002B2AE5" w:rsidRPr="005A4F9F">
              <w:rPr>
                <w:bCs/>
                <w:sz w:val="22"/>
                <w:szCs w:val="22"/>
                <w:lang w:val="sr-Latn-ME"/>
              </w:rPr>
              <w:t>liječenje.</w:t>
            </w:r>
          </w:p>
        </w:tc>
      </w:tr>
    </w:tbl>
    <w:p w14:paraId="27E22557" w14:textId="77777777" w:rsidR="00304B7D" w:rsidRPr="005A4F9F" w:rsidRDefault="00304B7D" w:rsidP="008B00DE">
      <w:pPr>
        <w:pStyle w:val="Header"/>
        <w:widowControl w:val="0"/>
        <w:tabs>
          <w:tab w:val="left" w:pos="284"/>
        </w:tabs>
        <w:jc w:val="both"/>
        <w:rPr>
          <w:bCs/>
          <w:sz w:val="22"/>
          <w:szCs w:val="22"/>
          <w:lang w:val="sr-Latn-ME"/>
        </w:rPr>
      </w:pPr>
    </w:p>
    <w:p w14:paraId="29BF4FE0" w14:textId="77777777" w:rsidR="00234183" w:rsidRPr="005A4F9F" w:rsidRDefault="00234183" w:rsidP="008B00DE">
      <w:pPr>
        <w:pStyle w:val="Header"/>
        <w:widowControl w:val="0"/>
        <w:jc w:val="both"/>
        <w:rPr>
          <w:bCs/>
          <w:sz w:val="22"/>
          <w:szCs w:val="22"/>
          <w:lang w:val="sr-Latn-ME"/>
        </w:rPr>
      </w:pPr>
      <w:r w:rsidRPr="005A4F9F">
        <w:rPr>
          <w:bCs/>
          <w:sz w:val="22"/>
          <w:szCs w:val="22"/>
          <w:lang w:val="sr-Latn-ME"/>
        </w:rPr>
        <w:t>•  Nizak broj trombocita</w:t>
      </w:r>
    </w:p>
    <w:p w14:paraId="2B6812FA" w14:textId="77777777" w:rsidR="00234183" w:rsidRPr="005A4F9F" w:rsidRDefault="00234183" w:rsidP="008B00DE">
      <w:pPr>
        <w:pStyle w:val="Header"/>
        <w:widowControl w:val="0"/>
        <w:jc w:val="both"/>
        <w:rPr>
          <w:bCs/>
          <w:sz w:val="22"/>
          <w:szCs w:val="22"/>
          <w:lang w:val="sr-Latn-ME"/>
        </w:rPr>
      </w:pPr>
    </w:p>
    <w:tbl>
      <w:tblPr>
        <w:tblStyle w:val="TableGrid3"/>
        <w:tblW w:w="9067" w:type="dxa"/>
        <w:tblLayout w:type="fixed"/>
        <w:tblLook w:val="04A0" w:firstRow="1" w:lastRow="0" w:firstColumn="1" w:lastColumn="0" w:noHBand="0" w:noVBand="1"/>
      </w:tblPr>
      <w:tblGrid>
        <w:gridCol w:w="4958"/>
        <w:gridCol w:w="4109"/>
      </w:tblGrid>
      <w:tr w:rsidR="00234183" w:rsidRPr="005A4F9F" w14:paraId="136ECC43" w14:textId="77777777" w:rsidTr="00503D6F">
        <w:tc>
          <w:tcPr>
            <w:tcW w:w="4958" w:type="dxa"/>
          </w:tcPr>
          <w:p w14:paraId="52ACC90D" w14:textId="77777777"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
                <w:sz w:val="22"/>
                <w:szCs w:val="22"/>
                <w:lang w:val="sr-Latn-ME"/>
              </w:rPr>
              <w:t>Laboratorijska vrijednost</w:t>
            </w:r>
            <w:r w:rsidRPr="005A4F9F">
              <w:rPr>
                <w:b/>
                <w:sz w:val="22"/>
                <w:szCs w:val="22"/>
                <w:lang w:val="sr-Latn-ME"/>
              </w:rPr>
              <w:br/>
            </w:r>
            <w:r w:rsidRPr="005A4F9F">
              <w:rPr>
                <w:bCs/>
                <w:sz w:val="22"/>
                <w:szCs w:val="22"/>
                <w:lang w:val="sr-Latn-ME"/>
              </w:rPr>
              <w:t>(broj ćelija x 10</w:t>
            </w:r>
            <w:r w:rsidRPr="005A4F9F">
              <w:rPr>
                <w:bCs/>
                <w:sz w:val="22"/>
                <w:szCs w:val="22"/>
                <w:vertAlign w:val="superscript"/>
                <w:lang w:val="sr-Latn-ME"/>
              </w:rPr>
              <w:t>3</w:t>
            </w:r>
            <w:r w:rsidRPr="005A4F9F">
              <w:rPr>
                <w:bCs/>
                <w:sz w:val="22"/>
                <w:szCs w:val="22"/>
                <w:lang w:val="sr-Latn-ME"/>
              </w:rPr>
              <w:t>/ μL)</w:t>
            </w:r>
          </w:p>
        </w:tc>
        <w:tc>
          <w:tcPr>
            <w:tcW w:w="4109" w:type="dxa"/>
          </w:tcPr>
          <w:p w14:paraId="49A9D575" w14:textId="77777777" w:rsidR="00234183" w:rsidRPr="005A4F9F" w:rsidRDefault="00234183" w:rsidP="008B00DE">
            <w:pPr>
              <w:pStyle w:val="Header"/>
              <w:widowControl w:val="0"/>
              <w:tabs>
                <w:tab w:val="left" w:pos="284"/>
              </w:tabs>
              <w:jc w:val="both"/>
              <w:rPr>
                <w:rFonts w:ascii="Times New Roman" w:eastAsia="Times New Roman" w:hAnsi="Times New Roman"/>
                <w:b/>
                <w:sz w:val="22"/>
                <w:szCs w:val="22"/>
                <w:lang w:val="sr-Latn-ME"/>
              </w:rPr>
            </w:pPr>
            <w:r w:rsidRPr="005A4F9F">
              <w:rPr>
                <w:b/>
                <w:sz w:val="22"/>
                <w:szCs w:val="22"/>
                <w:lang w:val="sr-Latn-ME"/>
              </w:rPr>
              <w:t>Postupanje</w:t>
            </w:r>
          </w:p>
        </w:tc>
      </w:tr>
      <w:tr w:rsidR="00234183" w:rsidRPr="005A4F9F" w14:paraId="77B48756" w14:textId="77777777" w:rsidTr="00503D6F">
        <w:tc>
          <w:tcPr>
            <w:tcW w:w="4958" w:type="dxa"/>
          </w:tcPr>
          <w:p w14:paraId="1C9EE941" w14:textId="77777777"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50 do 100</w:t>
            </w:r>
          </w:p>
        </w:tc>
        <w:tc>
          <w:tcPr>
            <w:tcW w:w="4109" w:type="dxa"/>
          </w:tcPr>
          <w:p w14:paraId="17671DF6" w14:textId="07FEEC69"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 xml:space="preserve">Privremeno prekinuti primjenu </w:t>
            </w:r>
            <w:r w:rsidR="004A5276" w:rsidRPr="005A4F9F">
              <w:rPr>
                <w:sz w:val="22"/>
                <w:szCs w:val="22"/>
                <w:lang w:val="sr-Latn-ME"/>
              </w:rPr>
              <w:t>tocilizumaba.</w:t>
            </w:r>
          </w:p>
          <w:p w14:paraId="69F51472" w14:textId="77777777"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p>
          <w:p w14:paraId="7A1E4E73" w14:textId="59C02BEB"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Kada broj trombocita poraste na &gt; 100 x 10</w:t>
            </w:r>
            <w:r w:rsidRPr="005A4F9F">
              <w:rPr>
                <w:bCs/>
                <w:sz w:val="22"/>
                <w:szCs w:val="22"/>
                <w:vertAlign w:val="superscript"/>
                <w:lang w:val="sr-Latn-ME"/>
              </w:rPr>
              <w:t>3</w:t>
            </w:r>
            <w:r w:rsidRPr="005A4F9F">
              <w:rPr>
                <w:bCs/>
                <w:sz w:val="22"/>
                <w:szCs w:val="22"/>
                <w:lang w:val="sr-Latn-ME"/>
              </w:rPr>
              <w:t xml:space="preserve">/ μl ponovo uvesti </w:t>
            </w:r>
            <w:r w:rsidR="004A5276" w:rsidRPr="005A4F9F">
              <w:rPr>
                <w:bCs/>
                <w:sz w:val="22"/>
                <w:szCs w:val="22"/>
                <w:lang w:val="sr-Latn-ME"/>
              </w:rPr>
              <w:t>liječenje</w:t>
            </w:r>
            <w:r w:rsidRPr="005A4F9F">
              <w:rPr>
                <w:bCs/>
                <w:sz w:val="22"/>
                <w:szCs w:val="22"/>
                <w:lang w:val="sr-Latn-ME"/>
              </w:rPr>
              <w:t xml:space="preserve"> u dozi od 4 mg/kg, pa povećati na 8 mg/kg, kako je klinički primjereno</w:t>
            </w:r>
            <w:r w:rsidR="004A5276" w:rsidRPr="005A4F9F">
              <w:rPr>
                <w:bCs/>
                <w:sz w:val="22"/>
                <w:szCs w:val="22"/>
                <w:lang w:val="sr-Latn-ME"/>
              </w:rPr>
              <w:t>.</w:t>
            </w:r>
          </w:p>
        </w:tc>
      </w:tr>
      <w:tr w:rsidR="00234183" w:rsidRPr="005A4F9F" w14:paraId="6E95FA78" w14:textId="77777777" w:rsidTr="00503D6F">
        <w:trPr>
          <w:trHeight w:val="114"/>
        </w:trPr>
        <w:tc>
          <w:tcPr>
            <w:tcW w:w="4958" w:type="dxa"/>
          </w:tcPr>
          <w:p w14:paraId="63B8EE4B" w14:textId="77777777"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&lt; 50</w:t>
            </w:r>
          </w:p>
        </w:tc>
        <w:tc>
          <w:tcPr>
            <w:tcW w:w="4109" w:type="dxa"/>
          </w:tcPr>
          <w:p w14:paraId="489A9D6B" w14:textId="3C61C3EB" w:rsidR="00234183" w:rsidRPr="005A4F9F" w:rsidRDefault="00234183" w:rsidP="008B00DE">
            <w:pPr>
              <w:pStyle w:val="Header"/>
              <w:widowControl w:val="0"/>
              <w:tabs>
                <w:tab w:val="left" w:pos="284"/>
              </w:tabs>
              <w:jc w:val="both"/>
              <w:rPr>
                <w:rFonts w:ascii="Times New Roman" w:eastAsia="Times New Roman" w:hAnsi="Times New Roman"/>
                <w:bCs/>
                <w:sz w:val="22"/>
                <w:szCs w:val="22"/>
                <w:lang w:val="sr-Latn-ME"/>
              </w:rPr>
            </w:pPr>
            <w:r w:rsidRPr="005A4F9F">
              <w:rPr>
                <w:bCs/>
                <w:sz w:val="22"/>
                <w:szCs w:val="22"/>
                <w:lang w:val="sr-Latn-ME"/>
              </w:rPr>
              <w:t xml:space="preserve">Potpuno prekinuti </w:t>
            </w:r>
            <w:r w:rsidR="004A5276" w:rsidRPr="005A4F9F">
              <w:rPr>
                <w:bCs/>
                <w:sz w:val="22"/>
                <w:szCs w:val="22"/>
                <w:lang w:val="sr-Latn-ME"/>
              </w:rPr>
              <w:t>liječenje.</w:t>
            </w:r>
          </w:p>
        </w:tc>
      </w:tr>
    </w:tbl>
    <w:p w14:paraId="1F89794F" w14:textId="77777777" w:rsidR="00FC079C" w:rsidRPr="005A4F9F" w:rsidRDefault="00FC079C" w:rsidP="008B00DE">
      <w:pPr>
        <w:pStyle w:val="Header"/>
        <w:widowControl w:val="0"/>
        <w:tabs>
          <w:tab w:val="left" w:pos="284"/>
        </w:tabs>
        <w:jc w:val="both"/>
        <w:rPr>
          <w:bCs/>
          <w:sz w:val="22"/>
          <w:szCs w:val="22"/>
          <w:lang w:val="sr-Latn-ME"/>
        </w:rPr>
      </w:pPr>
    </w:p>
    <w:p w14:paraId="77FF9DF8" w14:textId="2E408E85" w:rsidR="00FC079C" w:rsidRPr="005A4F9F" w:rsidRDefault="00FC079C">
      <w:pPr>
        <w:widowControl w:val="0"/>
        <w:jc w:val="both"/>
        <w:rPr>
          <w:bCs/>
          <w:sz w:val="22"/>
          <w:szCs w:val="22"/>
          <w:u w:val="single"/>
          <w:lang w:val="sr-Latn-ME"/>
        </w:rPr>
      </w:pPr>
      <w:r w:rsidRPr="005A4F9F">
        <w:rPr>
          <w:bCs/>
          <w:sz w:val="22"/>
          <w:szCs w:val="22"/>
          <w:u w:val="single"/>
          <w:lang w:val="sr-Latn-ME"/>
        </w:rPr>
        <w:t xml:space="preserve">Pacijenti </w:t>
      </w:r>
      <w:r w:rsidR="006B1876" w:rsidRPr="005A4F9F">
        <w:rPr>
          <w:bCs/>
          <w:sz w:val="22"/>
          <w:szCs w:val="22"/>
          <w:u w:val="single"/>
          <w:lang w:val="sr-Latn-ME"/>
        </w:rPr>
        <w:t xml:space="preserve">s </w:t>
      </w:r>
      <w:r w:rsidRPr="005A4F9F">
        <w:rPr>
          <w:bCs/>
          <w:sz w:val="22"/>
          <w:szCs w:val="22"/>
          <w:u w:val="single"/>
          <w:lang w:val="sr-Latn-ME"/>
        </w:rPr>
        <w:t>COVID</w:t>
      </w:r>
      <w:r w:rsidRPr="005A4F9F">
        <w:rPr>
          <w:bCs/>
          <w:sz w:val="22"/>
          <w:szCs w:val="22"/>
          <w:u w:val="single"/>
          <w:lang w:val="sr-Latn-ME"/>
        </w:rPr>
        <w:noBreakHyphen/>
        <w:t>19</w:t>
      </w:r>
      <w:r w:rsidR="00CE0C85" w:rsidRPr="005A4F9F">
        <w:rPr>
          <w:bCs/>
          <w:sz w:val="22"/>
          <w:szCs w:val="22"/>
          <w:u w:val="single"/>
          <w:lang w:val="sr-Latn-ME"/>
        </w:rPr>
        <w:t xml:space="preserve"> infekcijom</w:t>
      </w:r>
    </w:p>
    <w:p w14:paraId="245C1DDE" w14:textId="77777777" w:rsidR="00FC079C" w:rsidRPr="005A4F9F" w:rsidRDefault="00FC079C">
      <w:pPr>
        <w:widowControl w:val="0"/>
        <w:jc w:val="both"/>
        <w:rPr>
          <w:bCs/>
          <w:sz w:val="22"/>
          <w:szCs w:val="22"/>
          <w:u w:val="single"/>
          <w:lang w:val="sr-Latn-ME"/>
        </w:rPr>
      </w:pPr>
    </w:p>
    <w:p w14:paraId="7CF2A157" w14:textId="2DFBC665" w:rsidR="00FC079C" w:rsidRPr="005A4F9F" w:rsidRDefault="00FC079C">
      <w:pPr>
        <w:widowControl w:val="0"/>
        <w:jc w:val="both"/>
        <w:rPr>
          <w:sz w:val="22"/>
          <w:szCs w:val="22"/>
          <w:lang w:val="sr-Latn-ME"/>
        </w:rPr>
      </w:pPr>
      <w:r w:rsidRPr="005A4F9F">
        <w:rPr>
          <w:sz w:val="22"/>
          <w:szCs w:val="22"/>
          <w:lang w:val="sr-Latn-ME"/>
        </w:rPr>
        <w:t>Preporučena doza za liječenje COVID</w:t>
      </w:r>
      <w:r w:rsidRPr="005A4F9F">
        <w:rPr>
          <w:sz w:val="22"/>
          <w:szCs w:val="22"/>
          <w:lang w:val="sr-Latn-ME"/>
        </w:rPr>
        <w:noBreakHyphen/>
        <w:t>19 infekcije iznosi 8 mg/kg</w:t>
      </w:r>
      <w:r w:rsidR="00895315" w:rsidRPr="005A4F9F">
        <w:rPr>
          <w:sz w:val="22"/>
          <w:szCs w:val="22"/>
          <w:lang w:val="sr-Latn-ME"/>
        </w:rPr>
        <w:t xml:space="preserve"> tjelesne težine</w:t>
      </w:r>
      <w:r w:rsidRPr="005A4F9F">
        <w:rPr>
          <w:sz w:val="22"/>
          <w:szCs w:val="22"/>
          <w:lang w:val="sr-Latn-ME"/>
        </w:rPr>
        <w:t xml:space="preserve"> primjenjeno jednokratnom intravenskom infuzijom u trajanju od 60 minuta kod pacijenata koji primaju </w:t>
      </w:r>
      <w:r w:rsidRPr="008B00DE">
        <w:rPr>
          <w:rFonts w:eastAsia="SimSun"/>
          <w:sz w:val="22"/>
          <w:szCs w:val="22"/>
          <w:lang w:val="sr-Latn-ME" w:eastAsia="zh-CN" w:bidi="th-TH"/>
        </w:rPr>
        <w:t xml:space="preserve">sistemske kortikosteroide i kojima je potrebna terapija kiseonikom ili mehanička ventilacija, vidjeti dio 5.1. Ako se klinički </w:t>
      </w:r>
      <w:r w:rsidR="00B34098" w:rsidRPr="008B00DE">
        <w:rPr>
          <w:rFonts w:eastAsia="SimSun"/>
          <w:sz w:val="22"/>
          <w:szCs w:val="22"/>
          <w:lang w:val="sr-Latn-ME" w:eastAsia="zh-CN" w:bidi="th-TH"/>
        </w:rPr>
        <w:t xml:space="preserve">znaci </w:t>
      </w:r>
      <w:r w:rsidRPr="008B00DE">
        <w:rPr>
          <w:rFonts w:eastAsia="SimSun"/>
          <w:sz w:val="22"/>
          <w:szCs w:val="22"/>
          <w:lang w:val="sr-Latn-ME" w:eastAsia="zh-CN" w:bidi="th-TH"/>
        </w:rPr>
        <w:t>ili simptomi pogoršaju ili se ne poboljšaju nakon prve doze, može se prim</w:t>
      </w:r>
      <w:r w:rsidR="006B1876" w:rsidRPr="008B00DE">
        <w:rPr>
          <w:rFonts w:eastAsia="SimSun"/>
          <w:sz w:val="22"/>
          <w:szCs w:val="22"/>
          <w:lang w:val="sr-Latn-ME" w:eastAsia="zh-CN" w:bidi="th-TH"/>
        </w:rPr>
        <w:t>i</w:t>
      </w:r>
      <w:r w:rsidR="00B34098" w:rsidRPr="008B00DE">
        <w:rPr>
          <w:rFonts w:eastAsia="SimSun"/>
          <w:sz w:val="22"/>
          <w:szCs w:val="22"/>
          <w:lang w:val="sr-Latn-ME" w:eastAsia="zh-CN" w:bidi="th-TH"/>
        </w:rPr>
        <w:t>j</w:t>
      </w:r>
      <w:r w:rsidRPr="008B00DE">
        <w:rPr>
          <w:rFonts w:eastAsia="SimSun"/>
          <w:sz w:val="22"/>
          <w:szCs w:val="22"/>
          <w:lang w:val="sr-Latn-ME" w:eastAsia="zh-CN" w:bidi="th-TH"/>
        </w:rPr>
        <w:t xml:space="preserve">eniti jedna dodatna infuzija </w:t>
      </w:r>
      <w:r w:rsidR="00895315" w:rsidRPr="005A4F9F">
        <w:rPr>
          <w:sz w:val="22"/>
          <w:szCs w:val="22"/>
          <w:lang w:val="sr-Latn-ME"/>
        </w:rPr>
        <w:t>tocilizumaba</w:t>
      </w:r>
      <w:r w:rsidRPr="005A4F9F">
        <w:rPr>
          <w:sz w:val="22"/>
          <w:szCs w:val="22"/>
          <w:lang w:val="sr-Latn-ME"/>
        </w:rPr>
        <w:t>u dozi od 8 mg/kg. Razmak između dvije infuzije mora biti najmanje 8 sati.</w:t>
      </w:r>
    </w:p>
    <w:p w14:paraId="032482B1" w14:textId="77777777" w:rsidR="00FC079C" w:rsidRPr="005A4F9F" w:rsidRDefault="00FC079C">
      <w:pPr>
        <w:widowControl w:val="0"/>
        <w:jc w:val="both"/>
        <w:rPr>
          <w:sz w:val="22"/>
          <w:szCs w:val="22"/>
          <w:lang w:val="sr-Latn-ME"/>
        </w:rPr>
      </w:pPr>
    </w:p>
    <w:p w14:paraId="2AB66BFC" w14:textId="77777777" w:rsidR="00FC079C" w:rsidRPr="005A4F9F" w:rsidRDefault="00FC079C">
      <w:pPr>
        <w:widowControl w:val="0"/>
        <w:jc w:val="both"/>
        <w:rPr>
          <w:sz w:val="22"/>
          <w:szCs w:val="22"/>
          <w:lang w:val="sr-Latn-ME"/>
        </w:rPr>
      </w:pPr>
      <w:r w:rsidRPr="005A4F9F">
        <w:rPr>
          <w:sz w:val="22"/>
          <w:szCs w:val="22"/>
          <w:lang w:val="sr-Latn-ME"/>
        </w:rPr>
        <w:t>Za osobe t</w:t>
      </w:r>
      <w:r w:rsidR="00B34098" w:rsidRPr="005A4F9F">
        <w:rPr>
          <w:sz w:val="22"/>
          <w:szCs w:val="22"/>
          <w:lang w:val="sr-Latn-ME"/>
        </w:rPr>
        <w:t>j</w:t>
      </w:r>
      <w:r w:rsidRPr="005A4F9F">
        <w:rPr>
          <w:sz w:val="22"/>
          <w:szCs w:val="22"/>
          <w:lang w:val="sr-Latn-ME"/>
        </w:rPr>
        <w:t>elesne težine veće od 100 kg ne preporučuju se doze veće od 800 mg po infuziji (vidjeti dio 5.2).</w:t>
      </w:r>
    </w:p>
    <w:p w14:paraId="3359786B" w14:textId="77777777" w:rsidR="00FC079C" w:rsidRPr="008B00DE" w:rsidRDefault="00FC079C">
      <w:pPr>
        <w:widowControl w:val="0"/>
        <w:jc w:val="both"/>
        <w:rPr>
          <w:rFonts w:eastAsia="SimSun"/>
          <w:sz w:val="22"/>
          <w:szCs w:val="22"/>
          <w:lang w:val="sr-Latn-ME" w:eastAsia="zh-CN" w:bidi="th-TH"/>
        </w:rPr>
      </w:pPr>
    </w:p>
    <w:p w14:paraId="0A6D717F" w14:textId="04DFECAC" w:rsidR="00FC079C" w:rsidRPr="005A4F9F" w:rsidRDefault="00FC079C">
      <w:pPr>
        <w:widowControl w:val="0"/>
        <w:jc w:val="both"/>
        <w:rPr>
          <w:bCs/>
          <w:sz w:val="22"/>
          <w:szCs w:val="22"/>
          <w:u w:val="single"/>
          <w:lang w:val="sr-Latn-ME"/>
        </w:rPr>
      </w:pPr>
      <w:r w:rsidRPr="005A4F9F">
        <w:rPr>
          <w:bCs/>
          <w:sz w:val="22"/>
          <w:szCs w:val="22"/>
          <w:u w:val="single"/>
          <w:lang w:val="sr-Latn-ME"/>
        </w:rPr>
        <w:t xml:space="preserve">Primjena </w:t>
      </w:r>
      <w:r w:rsidR="00895315" w:rsidRPr="005A4F9F">
        <w:rPr>
          <w:sz w:val="22"/>
          <w:szCs w:val="22"/>
          <w:lang w:val="sr-Latn-ME"/>
        </w:rPr>
        <w:t xml:space="preserve">tocilizumaba </w:t>
      </w:r>
      <w:r w:rsidRPr="005A4F9F">
        <w:rPr>
          <w:sz w:val="22"/>
          <w:szCs w:val="22"/>
          <w:u w:val="single"/>
          <w:lang w:val="sr-Latn-ME"/>
        </w:rPr>
        <w:t xml:space="preserve">ne preporučuje se kod pacijenata sa </w:t>
      </w:r>
      <w:r w:rsidRPr="005A4F9F">
        <w:rPr>
          <w:bCs/>
          <w:sz w:val="22"/>
          <w:szCs w:val="22"/>
          <w:u w:val="single"/>
          <w:lang w:val="sr-Latn-ME"/>
        </w:rPr>
        <w:t>COVID</w:t>
      </w:r>
      <w:r w:rsidRPr="005A4F9F">
        <w:rPr>
          <w:bCs/>
          <w:sz w:val="22"/>
          <w:szCs w:val="22"/>
          <w:u w:val="single"/>
          <w:lang w:val="sr-Latn-ME"/>
        </w:rPr>
        <w:noBreakHyphen/>
        <w:t>19 infekcijom koji imaju bilo koje od sljedećih odstupanja laboratorijskih vrijednosti:</w:t>
      </w:r>
    </w:p>
    <w:p w14:paraId="23A7D9B3" w14:textId="77777777" w:rsidR="00FC079C" w:rsidRPr="005A4F9F" w:rsidRDefault="00FC079C" w:rsidP="008B00DE">
      <w:pPr>
        <w:pStyle w:val="Standard1"/>
        <w:widowControl w:val="0"/>
        <w:jc w:val="both"/>
        <w:rPr>
          <w:szCs w:val="22"/>
          <w:u w:val="single"/>
          <w:lang w:val="sr-Latn-ME"/>
        </w:rPr>
      </w:pPr>
    </w:p>
    <w:tbl>
      <w:tblPr>
        <w:tblStyle w:val="TableGrid"/>
        <w:tblW w:w="0" w:type="auto"/>
        <w:tblLook w:val="04A0" w:firstRow="1" w:lastRow="0" w:firstColumn="1" w:lastColumn="0" w:noHBand="0" w:noVBand="1"/>
      </w:tblPr>
      <w:tblGrid>
        <w:gridCol w:w="3020"/>
        <w:gridCol w:w="3020"/>
        <w:gridCol w:w="3021"/>
      </w:tblGrid>
      <w:tr w:rsidR="00FC079C" w:rsidRPr="005A4F9F" w14:paraId="3F68F1E0" w14:textId="77777777" w:rsidTr="00FC079C">
        <w:tc>
          <w:tcPr>
            <w:tcW w:w="3020" w:type="dxa"/>
          </w:tcPr>
          <w:p w14:paraId="79576338" w14:textId="77777777" w:rsidR="00FC079C" w:rsidRPr="005A4F9F" w:rsidRDefault="00FC079C" w:rsidP="008B00DE">
            <w:pPr>
              <w:pStyle w:val="Standard1"/>
              <w:widowControl w:val="0"/>
              <w:jc w:val="both"/>
              <w:rPr>
                <w:b/>
                <w:bCs/>
                <w:szCs w:val="22"/>
                <w:u w:val="single"/>
                <w:lang w:val="sr-Latn-ME"/>
              </w:rPr>
            </w:pPr>
            <w:r w:rsidRPr="005A4F9F">
              <w:rPr>
                <w:b/>
                <w:bCs/>
                <w:szCs w:val="22"/>
                <w:u w:val="single"/>
                <w:lang w:val="sr-Latn-ME"/>
              </w:rPr>
              <w:t>Laboratorijski parametar</w:t>
            </w:r>
          </w:p>
        </w:tc>
        <w:tc>
          <w:tcPr>
            <w:tcW w:w="3020" w:type="dxa"/>
          </w:tcPr>
          <w:p w14:paraId="28864837" w14:textId="77777777" w:rsidR="00FC079C" w:rsidRPr="005A4F9F" w:rsidRDefault="00FC079C" w:rsidP="008B00DE">
            <w:pPr>
              <w:pStyle w:val="Standard1"/>
              <w:widowControl w:val="0"/>
              <w:jc w:val="both"/>
              <w:rPr>
                <w:b/>
                <w:bCs/>
                <w:szCs w:val="22"/>
                <w:u w:val="single"/>
                <w:lang w:val="sr-Latn-ME"/>
              </w:rPr>
            </w:pPr>
            <w:r w:rsidRPr="005A4F9F">
              <w:rPr>
                <w:rFonts w:eastAsia="MS Mincho"/>
                <w:b/>
                <w:bCs/>
                <w:szCs w:val="22"/>
                <w:u w:val="single"/>
                <w:lang w:val="sr-Latn-ME"/>
              </w:rPr>
              <w:t>Laboratorijska vrijednost</w:t>
            </w:r>
          </w:p>
        </w:tc>
        <w:tc>
          <w:tcPr>
            <w:tcW w:w="3021" w:type="dxa"/>
          </w:tcPr>
          <w:p w14:paraId="428D3CF9" w14:textId="77777777" w:rsidR="00FC079C" w:rsidRPr="005A4F9F" w:rsidRDefault="00FC079C" w:rsidP="008B00DE">
            <w:pPr>
              <w:pStyle w:val="Standard1"/>
              <w:widowControl w:val="0"/>
              <w:jc w:val="both"/>
              <w:rPr>
                <w:b/>
                <w:bCs/>
                <w:szCs w:val="22"/>
                <w:u w:val="single"/>
                <w:lang w:val="sr-Latn-ME"/>
              </w:rPr>
            </w:pPr>
            <w:r w:rsidRPr="005A4F9F">
              <w:rPr>
                <w:b/>
                <w:bCs/>
                <w:szCs w:val="22"/>
                <w:u w:val="single"/>
                <w:lang w:val="sr-Latn-ME"/>
              </w:rPr>
              <w:t>Postupak</w:t>
            </w:r>
          </w:p>
        </w:tc>
      </w:tr>
      <w:tr w:rsidR="00FC079C" w:rsidRPr="005A4F9F" w14:paraId="2A813DC2" w14:textId="77777777" w:rsidTr="00FC079C">
        <w:tc>
          <w:tcPr>
            <w:tcW w:w="3020" w:type="dxa"/>
          </w:tcPr>
          <w:p w14:paraId="3813FAEA" w14:textId="77777777" w:rsidR="00FC079C" w:rsidRPr="005A4F9F" w:rsidRDefault="00FC079C" w:rsidP="008B00DE">
            <w:pPr>
              <w:pStyle w:val="Standard1"/>
              <w:widowControl w:val="0"/>
              <w:jc w:val="both"/>
              <w:rPr>
                <w:szCs w:val="22"/>
                <w:u w:val="single"/>
                <w:lang w:val="sr-Latn-ME"/>
              </w:rPr>
            </w:pPr>
            <w:r w:rsidRPr="005A4F9F">
              <w:rPr>
                <w:szCs w:val="22"/>
                <w:lang w:val="sr-Latn-ME"/>
              </w:rPr>
              <w:t xml:space="preserve">Jetreni enzim </w:t>
            </w:r>
          </w:p>
        </w:tc>
        <w:tc>
          <w:tcPr>
            <w:tcW w:w="3020" w:type="dxa"/>
          </w:tcPr>
          <w:p w14:paraId="718DA2FE" w14:textId="77777777" w:rsidR="00FC079C" w:rsidRPr="005A4F9F" w:rsidRDefault="00FC079C" w:rsidP="008B00DE">
            <w:pPr>
              <w:pStyle w:val="Standard1"/>
              <w:widowControl w:val="0"/>
              <w:jc w:val="both"/>
              <w:rPr>
                <w:szCs w:val="22"/>
                <w:u w:val="single"/>
                <w:lang w:val="sr-Latn-ME"/>
              </w:rPr>
            </w:pPr>
            <w:r w:rsidRPr="005A4F9F">
              <w:rPr>
                <w:szCs w:val="22"/>
                <w:u w:val="single"/>
                <w:lang w:val="sr-Latn-ME"/>
              </w:rPr>
              <w:t>&gt; </w:t>
            </w:r>
            <w:r w:rsidRPr="005A4F9F">
              <w:rPr>
                <w:rFonts w:eastAsia="MS Mincho"/>
                <w:szCs w:val="22"/>
                <w:lang w:val="sr-Latn-ME"/>
              </w:rPr>
              <w:t>10 x GGN</w:t>
            </w:r>
          </w:p>
        </w:tc>
        <w:tc>
          <w:tcPr>
            <w:tcW w:w="3021" w:type="dxa"/>
            <w:vMerge w:val="restart"/>
          </w:tcPr>
          <w:p w14:paraId="61B2EF1F" w14:textId="3DC772F4" w:rsidR="00FC079C" w:rsidRPr="005A4F9F" w:rsidRDefault="00FC079C" w:rsidP="008B00DE">
            <w:pPr>
              <w:pStyle w:val="Standard1"/>
              <w:widowControl w:val="0"/>
              <w:jc w:val="both"/>
              <w:rPr>
                <w:szCs w:val="22"/>
                <w:u w:val="single"/>
                <w:lang w:val="sr-Latn-ME"/>
              </w:rPr>
            </w:pPr>
            <w:r w:rsidRPr="005A4F9F">
              <w:rPr>
                <w:szCs w:val="22"/>
                <w:u w:val="single"/>
                <w:lang w:val="sr-Latn-ME"/>
              </w:rPr>
              <w:t xml:space="preserve">Primjena </w:t>
            </w:r>
            <w:r w:rsidR="00895315" w:rsidRPr="005A4F9F">
              <w:rPr>
                <w:szCs w:val="22"/>
                <w:lang w:val="sr-Latn-ME"/>
              </w:rPr>
              <w:t>tocilizumaba</w:t>
            </w:r>
            <w:r w:rsidRPr="005A4F9F">
              <w:rPr>
                <w:szCs w:val="22"/>
                <w:u w:val="single"/>
                <w:lang w:val="sr-Latn-ME"/>
              </w:rPr>
              <w:t>se ne preporučuje</w:t>
            </w:r>
          </w:p>
          <w:p w14:paraId="288C540D" w14:textId="77777777" w:rsidR="00FC079C" w:rsidRPr="005A4F9F" w:rsidRDefault="00FC079C" w:rsidP="008B00DE">
            <w:pPr>
              <w:pStyle w:val="Standard1"/>
              <w:widowControl w:val="0"/>
              <w:jc w:val="both"/>
              <w:rPr>
                <w:szCs w:val="22"/>
                <w:u w:val="single"/>
                <w:lang w:val="sr-Latn-ME"/>
              </w:rPr>
            </w:pPr>
          </w:p>
        </w:tc>
      </w:tr>
      <w:tr w:rsidR="00FC079C" w:rsidRPr="005A4F9F" w14:paraId="359DDAB8" w14:textId="77777777" w:rsidTr="00FC079C">
        <w:tc>
          <w:tcPr>
            <w:tcW w:w="3020" w:type="dxa"/>
          </w:tcPr>
          <w:p w14:paraId="3B2AF672" w14:textId="77777777" w:rsidR="00FC079C" w:rsidRPr="005A4F9F" w:rsidRDefault="00FC079C" w:rsidP="008B00DE">
            <w:pPr>
              <w:pStyle w:val="Standard1"/>
              <w:widowControl w:val="0"/>
              <w:jc w:val="both"/>
              <w:rPr>
                <w:szCs w:val="22"/>
                <w:u w:val="single"/>
                <w:lang w:val="sr-Latn-ME"/>
              </w:rPr>
            </w:pPr>
            <w:r w:rsidRPr="005A4F9F">
              <w:rPr>
                <w:szCs w:val="22"/>
                <w:lang w:val="sr-Latn-ME"/>
              </w:rPr>
              <w:t xml:space="preserve">Apsolutni broj neutrofila </w:t>
            </w:r>
          </w:p>
        </w:tc>
        <w:tc>
          <w:tcPr>
            <w:tcW w:w="3020" w:type="dxa"/>
          </w:tcPr>
          <w:p w14:paraId="7A3D4B60" w14:textId="77777777" w:rsidR="00FC079C" w:rsidRPr="005A4F9F" w:rsidRDefault="00FC079C" w:rsidP="008B00DE">
            <w:pPr>
              <w:pStyle w:val="Standard1"/>
              <w:widowControl w:val="0"/>
              <w:jc w:val="both"/>
              <w:rPr>
                <w:szCs w:val="22"/>
                <w:u w:val="single"/>
                <w:lang w:val="sr-Latn-ME"/>
              </w:rPr>
            </w:pPr>
            <w:r w:rsidRPr="005A4F9F">
              <w:rPr>
                <w:szCs w:val="22"/>
                <w:lang w:val="sr-Latn-ME"/>
              </w:rPr>
              <w:t>&lt; 1 x 10</w:t>
            </w:r>
            <w:r w:rsidRPr="005A4F9F">
              <w:rPr>
                <w:szCs w:val="22"/>
                <w:vertAlign w:val="superscript"/>
                <w:lang w:val="sr-Latn-ME"/>
              </w:rPr>
              <w:t>9</w:t>
            </w:r>
            <w:r w:rsidRPr="005A4F9F">
              <w:rPr>
                <w:szCs w:val="22"/>
                <w:lang w:val="sr-Latn-ME"/>
              </w:rPr>
              <w:t>/l</w:t>
            </w:r>
          </w:p>
        </w:tc>
        <w:tc>
          <w:tcPr>
            <w:tcW w:w="3021" w:type="dxa"/>
            <w:vMerge/>
          </w:tcPr>
          <w:p w14:paraId="1C81AB85" w14:textId="77777777" w:rsidR="00FC079C" w:rsidRPr="005A4F9F" w:rsidRDefault="00FC079C" w:rsidP="008B00DE">
            <w:pPr>
              <w:pStyle w:val="Standard1"/>
              <w:widowControl w:val="0"/>
              <w:jc w:val="both"/>
              <w:rPr>
                <w:szCs w:val="22"/>
                <w:u w:val="single"/>
                <w:lang w:val="sr-Latn-ME"/>
              </w:rPr>
            </w:pPr>
          </w:p>
        </w:tc>
      </w:tr>
      <w:tr w:rsidR="00FC079C" w:rsidRPr="005A4F9F" w14:paraId="5AF37719" w14:textId="77777777" w:rsidTr="00FC079C">
        <w:trPr>
          <w:trHeight w:val="269"/>
        </w:trPr>
        <w:tc>
          <w:tcPr>
            <w:tcW w:w="3020" w:type="dxa"/>
          </w:tcPr>
          <w:p w14:paraId="03DC90AD" w14:textId="77777777" w:rsidR="00FC079C" w:rsidRPr="005A4F9F" w:rsidRDefault="00FC079C" w:rsidP="008B00DE">
            <w:pPr>
              <w:pStyle w:val="Standard1"/>
              <w:widowControl w:val="0"/>
              <w:jc w:val="both"/>
              <w:rPr>
                <w:szCs w:val="22"/>
                <w:lang w:val="sr-Latn-ME"/>
              </w:rPr>
            </w:pPr>
            <w:r w:rsidRPr="005A4F9F">
              <w:rPr>
                <w:szCs w:val="22"/>
                <w:lang w:val="sr-Latn-ME"/>
              </w:rPr>
              <w:t xml:space="preserve">Broj trombocita </w:t>
            </w:r>
          </w:p>
        </w:tc>
        <w:tc>
          <w:tcPr>
            <w:tcW w:w="3020" w:type="dxa"/>
          </w:tcPr>
          <w:p w14:paraId="3FA6E96E" w14:textId="77777777" w:rsidR="00FC079C" w:rsidRPr="005A4F9F" w:rsidRDefault="00FC079C" w:rsidP="008B00DE">
            <w:pPr>
              <w:pStyle w:val="Standard1"/>
              <w:widowControl w:val="0"/>
              <w:jc w:val="both"/>
              <w:rPr>
                <w:szCs w:val="22"/>
                <w:lang w:val="sr-Latn-ME"/>
              </w:rPr>
            </w:pPr>
            <w:r w:rsidRPr="005A4F9F">
              <w:rPr>
                <w:szCs w:val="22"/>
                <w:lang w:val="sr-Latn-ME"/>
              </w:rPr>
              <w:t>&lt; 50 x 10</w:t>
            </w:r>
            <w:r w:rsidRPr="005A4F9F">
              <w:rPr>
                <w:szCs w:val="22"/>
                <w:vertAlign w:val="superscript"/>
                <w:lang w:val="sr-Latn-ME"/>
              </w:rPr>
              <w:t>3</w:t>
            </w:r>
            <w:r w:rsidRPr="005A4F9F">
              <w:rPr>
                <w:szCs w:val="22"/>
                <w:lang w:val="sr-Latn-ME"/>
              </w:rPr>
              <w:t>/μl</w:t>
            </w:r>
          </w:p>
        </w:tc>
        <w:tc>
          <w:tcPr>
            <w:tcW w:w="3021" w:type="dxa"/>
            <w:vMerge/>
          </w:tcPr>
          <w:p w14:paraId="0155FDBA" w14:textId="77777777" w:rsidR="00FC079C" w:rsidRPr="005A4F9F" w:rsidRDefault="00FC079C" w:rsidP="008B00DE">
            <w:pPr>
              <w:pStyle w:val="Standard1"/>
              <w:widowControl w:val="0"/>
              <w:jc w:val="both"/>
              <w:rPr>
                <w:szCs w:val="22"/>
                <w:u w:val="single"/>
                <w:lang w:val="sr-Latn-ME"/>
              </w:rPr>
            </w:pPr>
          </w:p>
        </w:tc>
      </w:tr>
    </w:tbl>
    <w:p w14:paraId="4BC726AA" w14:textId="77777777" w:rsidR="00FC079C" w:rsidRPr="005A4F9F" w:rsidRDefault="00FC079C" w:rsidP="008B00DE">
      <w:pPr>
        <w:pStyle w:val="Header"/>
        <w:widowControl w:val="0"/>
        <w:tabs>
          <w:tab w:val="left" w:pos="284"/>
        </w:tabs>
        <w:jc w:val="both"/>
        <w:rPr>
          <w:bCs/>
          <w:sz w:val="22"/>
          <w:szCs w:val="22"/>
          <w:u w:val="single"/>
          <w:lang w:val="sr-Latn-ME"/>
        </w:rPr>
      </w:pPr>
    </w:p>
    <w:p w14:paraId="32232B6A" w14:textId="77777777" w:rsidR="004752D6" w:rsidRPr="005A4F9F" w:rsidRDefault="004752D6">
      <w:pPr>
        <w:pStyle w:val="Header"/>
        <w:widowControl w:val="0"/>
        <w:tabs>
          <w:tab w:val="left" w:pos="284"/>
        </w:tabs>
        <w:jc w:val="both"/>
        <w:rPr>
          <w:bCs/>
          <w:sz w:val="22"/>
          <w:szCs w:val="22"/>
          <w:u w:val="single"/>
          <w:lang w:val="sr-Latn-ME"/>
        </w:rPr>
      </w:pPr>
      <w:r w:rsidRPr="005A4F9F">
        <w:rPr>
          <w:bCs/>
          <w:sz w:val="22"/>
          <w:szCs w:val="22"/>
          <w:u w:val="single"/>
          <w:lang w:val="sr-Latn-ME"/>
        </w:rPr>
        <w:lastRenderedPageBreak/>
        <w:t>Sindrom oslobađanja citokina (SOC) (odrasli i pedijatrijska populacija)</w:t>
      </w:r>
    </w:p>
    <w:p w14:paraId="0A454B51" w14:textId="77777777" w:rsidR="00925B8F" w:rsidRPr="005A4F9F" w:rsidRDefault="00925B8F">
      <w:pPr>
        <w:pStyle w:val="Header"/>
        <w:widowControl w:val="0"/>
        <w:tabs>
          <w:tab w:val="left" w:pos="284"/>
        </w:tabs>
        <w:jc w:val="both"/>
        <w:rPr>
          <w:bCs/>
          <w:sz w:val="22"/>
          <w:szCs w:val="22"/>
          <w:u w:val="single"/>
          <w:lang w:val="sr-Latn-ME"/>
        </w:rPr>
      </w:pPr>
    </w:p>
    <w:p w14:paraId="1F6712AF" w14:textId="5340CA1F" w:rsidR="004752D6" w:rsidRPr="005A4F9F" w:rsidRDefault="004752D6">
      <w:pPr>
        <w:widowControl w:val="0"/>
        <w:tabs>
          <w:tab w:val="left" w:pos="284"/>
          <w:tab w:val="center" w:pos="4536"/>
          <w:tab w:val="right" w:pos="9072"/>
        </w:tabs>
        <w:jc w:val="both"/>
        <w:rPr>
          <w:bCs/>
          <w:sz w:val="22"/>
          <w:szCs w:val="22"/>
          <w:lang w:val="sr-Latn-ME"/>
        </w:rPr>
      </w:pPr>
      <w:r w:rsidRPr="005A4F9F">
        <w:rPr>
          <w:bCs/>
          <w:sz w:val="22"/>
          <w:szCs w:val="22"/>
          <w:lang w:val="sr-Latn-ME"/>
        </w:rPr>
        <w:t>Preporučeno doziranje za terapiju SOC je 8mg/kg t</w:t>
      </w:r>
      <w:r w:rsidR="00384BA3" w:rsidRPr="005A4F9F">
        <w:rPr>
          <w:bCs/>
          <w:sz w:val="22"/>
          <w:szCs w:val="22"/>
          <w:lang w:val="sr-Latn-ME"/>
        </w:rPr>
        <w:t>j</w:t>
      </w:r>
      <w:r w:rsidRPr="005A4F9F">
        <w:rPr>
          <w:bCs/>
          <w:sz w:val="22"/>
          <w:szCs w:val="22"/>
          <w:lang w:val="sr-Latn-ME"/>
        </w:rPr>
        <w:t>elesne mase u vidu 60-minutne intravenske infuzije kod pacijenata čija je t</w:t>
      </w:r>
      <w:r w:rsidR="00384BA3" w:rsidRPr="005A4F9F">
        <w:rPr>
          <w:bCs/>
          <w:sz w:val="22"/>
          <w:szCs w:val="22"/>
          <w:lang w:val="sr-Latn-ME"/>
        </w:rPr>
        <w:t>j</w:t>
      </w:r>
      <w:r w:rsidRPr="005A4F9F">
        <w:rPr>
          <w:bCs/>
          <w:sz w:val="22"/>
          <w:szCs w:val="22"/>
          <w:lang w:val="sr-Latn-ME"/>
        </w:rPr>
        <w:t>elesna masa jednaka ili veća od 30kg ili 12mg/kg kod pacij</w:t>
      </w:r>
      <w:r w:rsidR="00925B8F" w:rsidRPr="005A4F9F">
        <w:rPr>
          <w:bCs/>
          <w:sz w:val="22"/>
          <w:szCs w:val="22"/>
          <w:lang w:val="sr-Latn-ME"/>
        </w:rPr>
        <w:t>e</w:t>
      </w:r>
      <w:r w:rsidRPr="005A4F9F">
        <w:rPr>
          <w:bCs/>
          <w:sz w:val="22"/>
          <w:szCs w:val="22"/>
          <w:lang w:val="sr-Latn-ME"/>
        </w:rPr>
        <w:t>n</w:t>
      </w:r>
      <w:r w:rsidR="002E69F2" w:rsidRPr="005A4F9F">
        <w:rPr>
          <w:bCs/>
          <w:sz w:val="22"/>
          <w:szCs w:val="22"/>
          <w:lang w:val="sr-Latn-ME"/>
        </w:rPr>
        <w:t>a</w:t>
      </w:r>
      <w:r w:rsidRPr="005A4F9F">
        <w:rPr>
          <w:bCs/>
          <w:sz w:val="22"/>
          <w:szCs w:val="22"/>
          <w:lang w:val="sr-Latn-ME"/>
        </w:rPr>
        <w:t>ta čija je t</w:t>
      </w:r>
      <w:r w:rsidR="00384BA3" w:rsidRPr="005A4F9F">
        <w:rPr>
          <w:bCs/>
          <w:sz w:val="22"/>
          <w:szCs w:val="22"/>
          <w:lang w:val="sr-Latn-ME"/>
        </w:rPr>
        <w:t>j</w:t>
      </w:r>
      <w:r w:rsidRPr="005A4F9F">
        <w:rPr>
          <w:bCs/>
          <w:sz w:val="22"/>
          <w:szCs w:val="22"/>
          <w:lang w:val="sr-Latn-ME"/>
        </w:rPr>
        <w:t xml:space="preserve">elesna masa manja od 30kg. </w:t>
      </w:r>
      <w:r w:rsidR="00557ED1" w:rsidRPr="005A4F9F">
        <w:rPr>
          <w:sz w:val="22"/>
          <w:szCs w:val="22"/>
          <w:lang w:val="sr-Latn-ME"/>
        </w:rPr>
        <w:t>Tocilizumab</w:t>
      </w:r>
      <w:r w:rsidRPr="005A4F9F">
        <w:rPr>
          <w:bCs/>
          <w:sz w:val="22"/>
          <w:szCs w:val="22"/>
          <w:lang w:val="sr-Latn-ME"/>
        </w:rPr>
        <w:t xml:space="preserve"> se može davati kao monoterapija ili u kombinaciji sa kortikosteroidnim l</w:t>
      </w:r>
      <w:r w:rsidR="00E00BBA" w:rsidRPr="005A4F9F">
        <w:rPr>
          <w:bCs/>
          <w:sz w:val="22"/>
          <w:szCs w:val="22"/>
          <w:lang w:val="sr-Latn-ME"/>
        </w:rPr>
        <w:t>j</w:t>
      </w:r>
      <w:r w:rsidRPr="005A4F9F">
        <w:rPr>
          <w:bCs/>
          <w:sz w:val="22"/>
          <w:szCs w:val="22"/>
          <w:lang w:val="sr-Latn-ME"/>
        </w:rPr>
        <w:t>ekovima.</w:t>
      </w:r>
    </w:p>
    <w:p w14:paraId="50447626" w14:textId="77777777" w:rsidR="004752D6" w:rsidRPr="005A4F9F" w:rsidRDefault="004752D6">
      <w:pPr>
        <w:widowControl w:val="0"/>
        <w:tabs>
          <w:tab w:val="left" w:pos="284"/>
          <w:tab w:val="center" w:pos="4536"/>
          <w:tab w:val="right" w:pos="9072"/>
        </w:tabs>
        <w:jc w:val="both"/>
        <w:rPr>
          <w:bCs/>
          <w:sz w:val="22"/>
          <w:szCs w:val="22"/>
          <w:lang w:val="sr-Latn-ME"/>
        </w:rPr>
      </w:pPr>
    </w:p>
    <w:p w14:paraId="6D7580F2" w14:textId="2965CDF1" w:rsidR="004752D6" w:rsidRPr="005A4F9F" w:rsidRDefault="004752D6">
      <w:pPr>
        <w:widowControl w:val="0"/>
        <w:tabs>
          <w:tab w:val="left" w:pos="284"/>
          <w:tab w:val="center" w:pos="4536"/>
          <w:tab w:val="right" w:pos="9072"/>
        </w:tabs>
        <w:jc w:val="both"/>
        <w:rPr>
          <w:bCs/>
          <w:sz w:val="22"/>
          <w:szCs w:val="22"/>
          <w:lang w:val="sr-Latn-ME"/>
        </w:rPr>
      </w:pPr>
      <w:r w:rsidRPr="005A4F9F">
        <w:rPr>
          <w:bCs/>
          <w:sz w:val="22"/>
          <w:szCs w:val="22"/>
          <w:lang w:val="sr-Latn-ME"/>
        </w:rPr>
        <w:t>Ukoliko nema kliničkog poboljšanja znak</w:t>
      </w:r>
      <w:r w:rsidR="002E69F2" w:rsidRPr="005A4F9F">
        <w:rPr>
          <w:bCs/>
          <w:sz w:val="22"/>
          <w:szCs w:val="22"/>
          <w:lang w:val="sr-Latn-ME"/>
        </w:rPr>
        <w:t>ov</w:t>
      </w:r>
      <w:r w:rsidRPr="005A4F9F">
        <w:rPr>
          <w:bCs/>
          <w:sz w:val="22"/>
          <w:szCs w:val="22"/>
          <w:lang w:val="sr-Latn-ME"/>
        </w:rPr>
        <w:t>a i simptoma SOC nakon prim</w:t>
      </w:r>
      <w:r w:rsidR="00E00BBA" w:rsidRPr="005A4F9F">
        <w:rPr>
          <w:bCs/>
          <w:sz w:val="22"/>
          <w:szCs w:val="22"/>
          <w:lang w:val="sr-Latn-ME"/>
        </w:rPr>
        <w:t>j</w:t>
      </w:r>
      <w:r w:rsidRPr="005A4F9F">
        <w:rPr>
          <w:bCs/>
          <w:sz w:val="22"/>
          <w:szCs w:val="22"/>
          <w:lang w:val="sr-Latn-ME"/>
        </w:rPr>
        <w:t>ene prve doze, mogu se prim</w:t>
      </w:r>
      <w:r w:rsidR="00E00BBA" w:rsidRPr="005A4F9F">
        <w:rPr>
          <w:bCs/>
          <w:sz w:val="22"/>
          <w:szCs w:val="22"/>
          <w:lang w:val="sr-Latn-ME"/>
        </w:rPr>
        <w:t>ij</w:t>
      </w:r>
      <w:r w:rsidRPr="005A4F9F">
        <w:rPr>
          <w:bCs/>
          <w:sz w:val="22"/>
          <w:szCs w:val="22"/>
          <w:lang w:val="sr-Latn-ME"/>
        </w:rPr>
        <w:t xml:space="preserve">eniti </w:t>
      </w:r>
      <w:r w:rsidR="002E69F2" w:rsidRPr="005A4F9F">
        <w:rPr>
          <w:bCs/>
          <w:sz w:val="22"/>
          <w:szCs w:val="22"/>
          <w:lang w:val="sr-Latn-ME"/>
        </w:rPr>
        <w:t xml:space="preserve">do </w:t>
      </w:r>
      <w:r w:rsidRPr="005A4F9F">
        <w:rPr>
          <w:bCs/>
          <w:sz w:val="22"/>
          <w:szCs w:val="22"/>
          <w:lang w:val="sr-Latn-ME"/>
        </w:rPr>
        <w:t xml:space="preserve">tri dodatne doze </w:t>
      </w:r>
      <w:r w:rsidR="00695D66" w:rsidRPr="005A4F9F">
        <w:rPr>
          <w:sz w:val="22"/>
          <w:szCs w:val="22"/>
          <w:lang w:val="sr-Latn-ME"/>
        </w:rPr>
        <w:t>tocilizumaba</w:t>
      </w:r>
      <w:r w:rsidRPr="005A4F9F">
        <w:rPr>
          <w:bCs/>
          <w:sz w:val="22"/>
          <w:szCs w:val="22"/>
          <w:lang w:val="sr-Latn-ME"/>
        </w:rPr>
        <w:t>. Interval između uzastopnih doza bi trebao da bude najmanje 8 časova. Ne preporučuje se prim</w:t>
      </w:r>
      <w:r w:rsidR="00384BA3" w:rsidRPr="005A4F9F">
        <w:rPr>
          <w:bCs/>
          <w:sz w:val="22"/>
          <w:szCs w:val="22"/>
          <w:lang w:val="sr-Latn-ME"/>
        </w:rPr>
        <w:t>j</w:t>
      </w:r>
      <w:r w:rsidRPr="005A4F9F">
        <w:rPr>
          <w:bCs/>
          <w:sz w:val="22"/>
          <w:szCs w:val="22"/>
          <w:lang w:val="sr-Latn-ME"/>
        </w:rPr>
        <w:t>ena doza većih od 800mg putem infuzije kod pacijenata sa SOC.</w:t>
      </w:r>
    </w:p>
    <w:p w14:paraId="4FE0A864" w14:textId="77777777" w:rsidR="004752D6" w:rsidRPr="005A4F9F" w:rsidRDefault="004752D6">
      <w:pPr>
        <w:widowControl w:val="0"/>
        <w:tabs>
          <w:tab w:val="left" w:pos="284"/>
          <w:tab w:val="center" w:pos="4536"/>
          <w:tab w:val="right" w:pos="9072"/>
        </w:tabs>
        <w:jc w:val="both"/>
        <w:rPr>
          <w:bCs/>
          <w:sz w:val="22"/>
          <w:szCs w:val="22"/>
          <w:lang w:val="sr-Latn-ME"/>
        </w:rPr>
      </w:pPr>
    </w:p>
    <w:p w14:paraId="78A8F47E" w14:textId="77777777" w:rsidR="004752D6" w:rsidRPr="005A4F9F" w:rsidRDefault="004752D6">
      <w:pPr>
        <w:widowControl w:val="0"/>
        <w:tabs>
          <w:tab w:val="left" w:pos="284"/>
          <w:tab w:val="center" w:pos="4536"/>
          <w:tab w:val="right" w:pos="9072"/>
        </w:tabs>
        <w:jc w:val="both"/>
        <w:rPr>
          <w:bCs/>
          <w:sz w:val="22"/>
          <w:szCs w:val="22"/>
          <w:lang w:val="sr-Latn-ME"/>
        </w:rPr>
      </w:pPr>
      <w:r w:rsidRPr="005A4F9F">
        <w:rPr>
          <w:bCs/>
          <w:sz w:val="22"/>
          <w:szCs w:val="22"/>
          <w:lang w:val="sr-Latn-ME"/>
        </w:rPr>
        <w:t>Pacijenti sa ozbiljnim ili životno-ugrožavajućim SOC često imaju citopenije ili povišene vr</w:t>
      </w:r>
      <w:r w:rsidR="00384BA3" w:rsidRPr="005A4F9F">
        <w:rPr>
          <w:bCs/>
          <w:sz w:val="22"/>
          <w:szCs w:val="22"/>
          <w:lang w:val="sr-Latn-ME"/>
        </w:rPr>
        <w:t>ije</w:t>
      </w:r>
      <w:r w:rsidRPr="005A4F9F">
        <w:rPr>
          <w:bCs/>
          <w:sz w:val="22"/>
          <w:szCs w:val="22"/>
          <w:lang w:val="sr-Latn-ME"/>
        </w:rPr>
        <w:t>dnosti enzima ALT ili AST usl</w:t>
      </w:r>
      <w:r w:rsidR="00FC16AC" w:rsidRPr="005A4F9F">
        <w:rPr>
          <w:bCs/>
          <w:sz w:val="22"/>
          <w:szCs w:val="22"/>
          <w:lang w:val="sr-Latn-ME"/>
        </w:rPr>
        <w:t>j</w:t>
      </w:r>
      <w:r w:rsidRPr="005A4F9F">
        <w:rPr>
          <w:bCs/>
          <w:sz w:val="22"/>
          <w:szCs w:val="22"/>
          <w:lang w:val="sr-Latn-ME"/>
        </w:rPr>
        <w:t xml:space="preserve">ed postojećeg maligniteta, </w:t>
      </w:r>
      <w:r w:rsidR="00FC16AC" w:rsidRPr="005A4F9F">
        <w:rPr>
          <w:bCs/>
          <w:sz w:val="22"/>
          <w:szCs w:val="22"/>
          <w:lang w:val="sr-Latn-ME"/>
        </w:rPr>
        <w:t xml:space="preserve">prethodne </w:t>
      </w:r>
      <w:r w:rsidRPr="005A4F9F">
        <w:rPr>
          <w:bCs/>
          <w:sz w:val="22"/>
          <w:szCs w:val="22"/>
          <w:lang w:val="sr-Latn-ME"/>
        </w:rPr>
        <w:t>hemioterapije koja dovodi do limfocitne deplecije ili samog SOC.</w:t>
      </w:r>
    </w:p>
    <w:p w14:paraId="04B882C2" w14:textId="77777777" w:rsidR="004752D6" w:rsidRPr="005A4F9F" w:rsidRDefault="004752D6" w:rsidP="008B00DE">
      <w:pPr>
        <w:widowControl w:val="0"/>
        <w:tabs>
          <w:tab w:val="left" w:pos="540"/>
          <w:tab w:val="left" w:pos="569"/>
        </w:tabs>
        <w:jc w:val="both"/>
        <w:rPr>
          <w:bCs/>
          <w:sz w:val="22"/>
          <w:szCs w:val="22"/>
          <w:lang w:val="sr-Latn-ME"/>
        </w:rPr>
      </w:pPr>
    </w:p>
    <w:p w14:paraId="357CFF0E" w14:textId="77777777" w:rsidR="00F34A0E" w:rsidRPr="005A4F9F" w:rsidRDefault="00F34A0E">
      <w:pPr>
        <w:widowControl w:val="0"/>
        <w:tabs>
          <w:tab w:val="left" w:pos="540"/>
          <w:tab w:val="left" w:pos="569"/>
        </w:tabs>
        <w:jc w:val="both"/>
        <w:rPr>
          <w:bCs/>
          <w:sz w:val="22"/>
          <w:szCs w:val="22"/>
          <w:u w:val="single"/>
          <w:lang w:val="sr-Latn-ME"/>
        </w:rPr>
      </w:pPr>
      <w:r w:rsidRPr="005A4F9F">
        <w:rPr>
          <w:bCs/>
          <w:sz w:val="22"/>
          <w:szCs w:val="22"/>
          <w:u w:val="single"/>
          <w:lang w:val="sr-Latn-ME"/>
        </w:rPr>
        <w:t>Posebne populacije</w:t>
      </w:r>
    </w:p>
    <w:p w14:paraId="28198B74" w14:textId="77777777" w:rsidR="00695D66" w:rsidRPr="005A4F9F" w:rsidRDefault="00695D66">
      <w:pPr>
        <w:widowControl w:val="0"/>
        <w:tabs>
          <w:tab w:val="left" w:pos="540"/>
          <w:tab w:val="left" w:pos="569"/>
        </w:tabs>
        <w:jc w:val="both"/>
        <w:rPr>
          <w:bCs/>
          <w:sz w:val="22"/>
          <w:szCs w:val="22"/>
          <w:u w:val="single"/>
          <w:lang w:val="sr-Latn-ME"/>
        </w:rPr>
      </w:pPr>
    </w:p>
    <w:p w14:paraId="54306C16" w14:textId="77777777" w:rsidR="00695D66" w:rsidRPr="005A4F9F" w:rsidRDefault="00695D66" w:rsidP="008B00DE">
      <w:pPr>
        <w:widowControl w:val="0"/>
        <w:jc w:val="both"/>
        <w:rPr>
          <w:i/>
          <w:sz w:val="22"/>
          <w:szCs w:val="22"/>
          <w:lang w:val="sr-Latn-ME"/>
        </w:rPr>
      </w:pPr>
      <w:r w:rsidRPr="005A4F9F">
        <w:rPr>
          <w:i/>
          <w:sz w:val="22"/>
          <w:szCs w:val="22"/>
          <w:lang w:val="sr-Latn-ME"/>
        </w:rPr>
        <w:t>Starije osobe</w:t>
      </w:r>
    </w:p>
    <w:p w14:paraId="60AF6BB8" w14:textId="1BE190A1" w:rsidR="00695D66" w:rsidRPr="005A4F9F" w:rsidRDefault="00695D66" w:rsidP="008B00DE">
      <w:pPr>
        <w:widowControl w:val="0"/>
        <w:jc w:val="both"/>
        <w:rPr>
          <w:i/>
          <w:sz w:val="22"/>
          <w:szCs w:val="22"/>
          <w:lang w:val="sr-Latn-ME"/>
        </w:rPr>
      </w:pPr>
      <w:r w:rsidRPr="005A4F9F">
        <w:rPr>
          <w:sz w:val="22"/>
          <w:szCs w:val="22"/>
          <w:lang w:val="sr-Latn-ME"/>
        </w:rPr>
        <w:t>Nije potrebno prilagođavati dozu kod starijih pacijenata u dobi od &gt; 65 godina.</w:t>
      </w:r>
    </w:p>
    <w:p w14:paraId="44C468FB" w14:textId="77777777" w:rsidR="00695D66" w:rsidRPr="005A4F9F" w:rsidRDefault="00695D66" w:rsidP="008B00DE">
      <w:pPr>
        <w:widowControl w:val="0"/>
        <w:jc w:val="both"/>
        <w:rPr>
          <w:sz w:val="22"/>
          <w:szCs w:val="22"/>
          <w:lang w:val="sr-Latn-ME"/>
        </w:rPr>
      </w:pPr>
    </w:p>
    <w:p w14:paraId="3DFC37AE" w14:textId="77777777" w:rsidR="00695D66" w:rsidRPr="005A4F9F" w:rsidRDefault="00695D66" w:rsidP="008B00DE">
      <w:pPr>
        <w:widowControl w:val="0"/>
        <w:jc w:val="both"/>
        <w:rPr>
          <w:i/>
          <w:sz w:val="22"/>
          <w:szCs w:val="22"/>
          <w:lang w:val="sr-Latn-ME"/>
        </w:rPr>
      </w:pPr>
      <w:r w:rsidRPr="005A4F9F">
        <w:rPr>
          <w:i/>
          <w:sz w:val="22"/>
          <w:szCs w:val="22"/>
          <w:lang w:val="sr-Latn-ME"/>
        </w:rPr>
        <w:t>Oštećenje bubrežne funkcije</w:t>
      </w:r>
    </w:p>
    <w:p w14:paraId="0FF0E787" w14:textId="2EBF6938" w:rsidR="00695D66" w:rsidRPr="005A4F9F" w:rsidRDefault="00695D66" w:rsidP="008B00DE">
      <w:pPr>
        <w:widowControl w:val="0"/>
        <w:jc w:val="both"/>
        <w:rPr>
          <w:sz w:val="22"/>
          <w:szCs w:val="22"/>
          <w:lang w:val="sr-Latn-ME"/>
        </w:rPr>
      </w:pPr>
      <w:r w:rsidRPr="005A4F9F">
        <w:rPr>
          <w:sz w:val="22"/>
          <w:szCs w:val="22"/>
          <w:lang w:val="sr-Latn-ME"/>
        </w:rPr>
        <w:t>Nije potrebno prilagođavati dozu kod pacijenata s blagim oštećenjem bubrežne funkcije. Tocilizumab se nije ispitivao kod pacijenata s umjerenim do teškim oštećenjem bubrežne funkcije (vidjeti dio 5.2). Kod tih pacijenata se mora strogo nadzirati bubrežna funkcija.</w:t>
      </w:r>
    </w:p>
    <w:p w14:paraId="27EEED4D" w14:textId="77777777" w:rsidR="00695D66" w:rsidRPr="005A4F9F" w:rsidRDefault="00695D66" w:rsidP="008B00DE">
      <w:pPr>
        <w:widowControl w:val="0"/>
        <w:jc w:val="both"/>
        <w:rPr>
          <w:sz w:val="22"/>
          <w:szCs w:val="22"/>
          <w:lang w:val="sr-Latn-ME"/>
        </w:rPr>
      </w:pPr>
    </w:p>
    <w:p w14:paraId="141272D9" w14:textId="65711F74" w:rsidR="00695D66" w:rsidRPr="005A4F9F" w:rsidRDefault="00695D66" w:rsidP="008B00DE">
      <w:pPr>
        <w:widowControl w:val="0"/>
        <w:jc w:val="both"/>
        <w:rPr>
          <w:sz w:val="22"/>
          <w:szCs w:val="22"/>
          <w:lang w:val="sr-Latn-ME"/>
        </w:rPr>
      </w:pPr>
      <w:r w:rsidRPr="005A4F9F">
        <w:rPr>
          <w:i/>
          <w:sz w:val="22"/>
          <w:szCs w:val="22"/>
          <w:lang w:val="sr-Latn-ME"/>
        </w:rPr>
        <w:t>Oštećenje funkcije</w:t>
      </w:r>
      <w:r w:rsidR="00AF6514" w:rsidRPr="005A4F9F">
        <w:rPr>
          <w:i/>
          <w:sz w:val="22"/>
          <w:szCs w:val="22"/>
          <w:lang w:val="sr-Latn-ME"/>
        </w:rPr>
        <w:t xml:space="preserve"> jetre</w:t>
      </w:r>
    </w:p>
    <w:p w14:paraId="27C1CF77" w14:textId="4E039630" w:rsidR="00695D66" w:rsidRPr="005A4F9F" w:rsidRDefault="00695D66" w:rsidP="008B00DE">
      <w:pPr>
        <w:widowControl w:val="0"/>
        <w:jc w:val="both"/>
        <w:rPr>
          <w:sz w:val="22"/>
          <w:szCs w:val="22"/>
          <w:lang w:val="sr-Latn-ME"/>
        </w:rPr>
      </w:pPr>
      <w:r w:rsidRPr="005A4F9F">
        <w:rPr>
          <w:sz w:val="22"/>
          <w:szCs w:val="22"/>
          <w:lang w:val="sr-Latn-ME"/>
        </w:rPr>
        <w:t>Tocilizumab se nije ispitivao kod pacijenata s oštećenjem funkcije</w:t>
      </w:r>
      <w:r w:rsidR="00AF6514" w:rsidRPr="005A4F9F">
        <w:rPr>
          <w:sz w:val="22"/>
          <w:szCs w:val="22"/>
          <w:lang w:val="sr-Latn-ME"/>
        </w:rPr>
        <w:t xml:space="preserve"> jetre</w:t>
      </w:r>
      <w:r w:rsidRPr="005A4F9F">
        <w:rPr>
          <w:sz w:val="22"/>
          <w:szCs w:val="22"/>
          <w:lang w:val="sr-Latn-ME"/>
        </w:rPr>
        <w:t>, pa se ne mogu dati preporuke za doziranje.</w:t>
      </w:r>
    </w:p>
    <w:p w14:paraId="175186DE" w14:textId="77777777" w:rsidR="00D32668" w:rsidRPr="005A4F9F" w:rsidRDefault="00D32668">
      <w:pPr>
        <w:widowControl w:val="0"/>
        <w:tabs>
          <w:tab w:val="left" w:pos="540"/>
          <w:tab w:val="left" w:pos="569"/>
        </w:tabs>
        <w:jc w:val="both"/>
        <w:rPr>
          <w:bCs/>
          <w:sz w:val="22"/>
          <w:szCs w:val="22"/>
          <w:u w:val="single"/>
          <w:lang w:val="sr-Latn-ME"/>
        </w:rPr>
      </w:pPr>
    </w:p>
    <w:p w14:paraId="2DAFB0C4" w14:textId="5C8041E1" w:rsidR="00F34A0E" w:rsidRPr="005A4F9F" w:rsidRDefault="00F34A0E">
      <w:pPr>
        <w:widowControl w:val="0"/>
        <w:tabs>
          <w:tab w:val="left" w:pos="540"/>
          <w:tab w:val="left" w:pos="569"/>
        </w:tabs>
        <w:jc w:val="both"/>
        <w:rPr>
          <w:bCs/>
          <w:sz w:val="22"/>
          <w:szCs w:val="22"/>
          <w:u w:val="single"/>
          <w:lang w:val="sr-Latn-ME"/>
        </w:rPr>
      </w:pPr>
      <w:r w:rsidRPr="005A4F9F">
        <w:rPr>
          <w:bCs/>
          <w:sz w:val="22"/>
          <w:szCs w:val="22"/>
          <w:u w:val="single"/>
          <w:lang w:val="sr-Latn-ME"/>
        </w:rPr>
        <w:t>Pedijatrijsk</w:t>
      </w:r>
      <w:r w:rsidR="00695D66" w:rsidRPr="005A4F9F">
        <w:rPr>
          <w:bCs/>
          <w:sz w:val="22"/>
          <w:szCs w:val="22"/>
          <w:u w:val="single"/>
          <w:lang w:val="sr-Latn-ME"/>
        </w:rPr>
        <w:t>a</w:t>
      </w:r>
      <w:r w:rsidRPr="005A4F9F">
        <w:rPr>
          <w:bCs/>
          <w:sz w:val="22"/>
          <w:szCs w:val="22"/>
          <w:u w:val="single"/>
          <w:lang w:val="sr-Latn-ME"/>
        </w:rPr>
        <w:t xml:space="preserve"> </w:t>
      </w:r>
      <w:r w:rsidR="00695D66" w:rsidRPr="005A4F9F">
        <w:rPr>
          <w:bCs/>
          <w:sz w:val="22"/>
          <w:szCs w:val="22"/>
          <w:u w:val="single"/>
          <w:lang w:val="sr-Latn-ME"/>
        </w:rPr>
        <w:t>populacija</w:t>
      </w:r>
    </w:p>
    <w:p w14:paraId="481D18EF" w14:textId="77777777" w:rsidR="00F34A0E" w:rsidRPr="005A4F9F" w:rsidRDefault="00F34A0E">
      <w:pPr>
        <w:widowControl w:val="0"/>
        <w:tabs>
          <w:tab w:val="left" w:pos="540"/>
          <w:tab w:val="left" w:pos="569"/>
        </w:tabs>
        <w:jc w:val="both"/>
        <w:rPr>
          <w:bCs/>
          <w:sz w:val="22"/>
          <w:szCs w:val="22"/>
          <w:u w:val="single"/>
          <w:lang w:val="sr-Latn-ME"/>
        </w:rPr>
      </w:pPr>
    </w:p>
    <w:p w14:paraId="1F52587A" w14:textId="77777777" w:rsidR="00F34A0E" w:rsidRPr="005A4F9F" w:rsidRDefault="00D32668">
      <w:pPr>
        <w:widowControl w:val="0"/>
        <w:tabs>
          <w:tab w:val="left" w:pos="540"/>
          <w:tab w:val="left" w:pos="569"/>
        </w:tabs>
        <w:jc w:val="both"/>
        <w:rPr>
          <w:bCs/>
          <w:sz w:val="22"/>
          <w:szCs w:val="22"/>
          <w:u w:val="single"/>
          <w:lang w:val="sr-Latn-ME"/>
        </w:rPr>
      </w:pPr>
      <w:r w:rsidRPr="005A4F9F">
        <w:rPr>
          <w:bCs/>
          <w:sz w:val="22"/>
          <w:szCs w:val="22"/>
          <w:u w:val="single"/>
          <w:lang w:val="sr-Latn-ME"/>
        </w:rPr>
        <w:t>P</w:t>
      </w:r>
      <w:r w:rsidR="00F34A0E" w:rsidRPr="005A4F9F">
        <w:rPr>
          <w:bCs/>
          <w:sz w:val="22"/>
          <w:szCs w:val="22"/>
          <w:u w:val="single"/>
          <w:lang w:val="sr-Latn-ME"/>
        </w:rPr>
        <w:t>acijenti</w:t>
      </w:r>
      <w:r w:rsidRPr="005A4F9F">
        <w:rPr>
          <w:bCs/>
          <w:sz w:val="22"/>
          <w:szCs w:val="22"/>
          <w:u w:val="single"/>
          <w:lang w:val="sr-Latn-ME"/>
        </w:rPr>
        <w:t xml:space="preserve"> sa sJIA</w:t>
      </w:r>
    </w:p>
    <w:p w14:paraId="3518F705" w14:textId="77777777" w:rsidR="00F34A0E" w:rsidRPr="005A4F9F" w:rsidRDefault="00F34A0E">
      <w:pPr>
        <w:widowControl w:val="0"/>
        <w:tabs>
          <w:tab w:val="left" w:pos="540"/>
          <w:tab w:val="left" w:pos="569"/>
        </w:tabs>
        <w:jc w:val="both"/>
        <w:rPr>
          <w:bCs/>
          <w:sz w:val="22"/>
          <w:szCs w:val="22"/>
          <w:u w:val="single"/>
          <w:lang w:val="sr-Latn-ME"/>
        </w:rPr>
      </w:pPr>
    </w:p>
    <w:p w14:paraId="19C94539" w14:textId="2A490F45"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Preporučeno doziranje kod pacijenata starijih od 2 godine je 8mg/kg</w:t>
      </w:r>
      <w:r w:rsidR="00D32668" w:rsidRPr="005A4F9F">
        <w:rPr>
          <w:bCs/>
          <w:sz w:val="22"/>
          <w:szCs w:val="22"/>
          <w:lang w:val="sr-Latn-ME"/>
        </w:rPr>
        <w:t xml:space="preserve"> jedanput</w:t>
      </w:r>
      <w:r w:rsidRPr="005A4F9F">
        <w:rPr>
          <w:bCs/>
          <w:sz w:val="22"/>
          <w:szCs w:val="22"/>
          <w:lang w:val="sr-Latn-ME"/>
        </w:rPr>
        <w:t xml:space="preserve"> svake 2 ned</w:t>
      </w:r>
      <w:r w:rsidR="00D32668" w:rsidRPr="005A4F9F">
        <w:rPr>
          <w:bCs/>
          <w:sz w:val="22"/>
          <w:szCs w:val="22"/>
          <w:lang w:val="sr-Latn-ME"/>
        </w:rPr>
        <w:t>j</w:t>
      </w:r>
      <w:r w:rsidRPr="005A4F9F">
        <w:rPr>
          <w:bCs/>
          <w:sz w:val="22"/>
          <w:szCs w:val="22"/>
          <w:lang w:val="sr-Latn-ME"/>
        </w:rPr>
        <w:t xml:space="preserve">elje kod pacijenata sa tjelesnom </w:t>
      </w:r>
      <w:r w:rsidR="00D32668" w:rsidRPr="005A4F9F">
        <w:rPr>
          <w:bCs/>
          <w:sz w:val="22"/>
          <w:szCs w:val="22"/>
          <w:lang w:val="sr-Latn-ME"/>
        </w:rPr>
        <w:t xml:space="preserve">masom </w:t>
      </w:r>
      <w:r w:rsidRPr="005A4F9F">
        <w:rPr>
          <w:bCs/>
          <w:sz w:val="22"/>
          <w:szCs w:val="22"/>
          <w:lang w:val="sr-Latn-ME"/>
        </w:rPr>
        <w:t xml:space="preserve">od 30 kg i više, ili 12 mg/kg </w:t>
      </w:r>
      <w:r w:rsidR="00D32668" w:rsidRPr="005A4F9F">
        <w:rPr>
          <w:bCs/>
          <w:sz w:val="22"/>
          <w:szCs w:val="22"/>
          <w:lang w:val="sr-Latn-ME"/>
        </w:rPr>
        <w:t xml:space="preserve"> jedanput </w:t>
      </w:r>
      <w:r w:rsidRPr="005A4F9F">
        <w:rPr>
          <w:bCs/>
          <w:sz w:val="22"/>
          <w:szCs w:val="22"/>
          <w:lang w:val="sr-Latn-ME"/>
        </w:rPr>
        <w:t>svake 2 ned</w:t>
      </w:r>
      <w:r w:rsidR="00D32668" w:rsidRPr="005A4F9F">
        <w:rPr>
          <w:bCs/>
          <w:sz w:val="22"/>
          <w:szCs w:val="22"/>
          <w:lang w:val="sr-Latn-ME"/>
        </w:rPr>
        <w:t>j</w:t>
      </w:r>
      <w:r w:rsidRPr="005A4F9F">
        <w:rPr>
          <w:bCs/>
          <w:sz w:val="22"/>
          <w:szCs w:val="22"/>
          <w:lang w:val="sr-Latn-ME"/>
        </w:rPr>
        <w:t xml:space="preserve">elje kod pacijenata sa tjelesnom </w:t>
      </w:r>
      <w:r w:rsidR="000136BA" w:rsidRPr="005A4F9F">
        <w:rPr>
          <w:bCs/>
          <w:sz w:val="22"/>
          <w:szCs w:val="22"/>
          <w:lang w:val="sr-Latn-ME"/>
        </w:rPr>
        <w:t>masom</w:t>
      </w:r>
      <w:r w:rsidRPr="005A4F9F">
        <w:rPr>
          <w:bCs/>
          <w:sz w:val="22"/>
          <w:szCs w:val="22"/>
          <w:lang w:val="sr-Latn-ME"/>
        </w:rPr>
        <w:t xml:space="preserve"> manjom od 30 kg. Doz</w:t>
      </w:r>
      <w:r w:rsidR="00695D66" w:rsidRPr="005A4F9F">
        <w:rPr>
          <w:bCs/>
          <w:sz w:val="22"/>
          <w:szCs w:val="22"/>
          <w:lang w:val="sr-Latn-ME"/>
        </w:rPr>
        <w:t>a se mora</w:t>
      </w:r>
      <w:r w:rsidRPr="005A4F9F">
        <w:rPr>
          <w:bCs/>
          <w:sz w:val="22"/>
          <w:szCs w:val="22"/>
          <w:lang w:val="sr-Latn-ME"/>
        </w:rPr>
        <w:t xml:space="preserve"> izračunavati u skladu sa tjelesnom </w:t>
      </w:r>
      <w:r w:rsidR="000136BA" w:rsidRPr="005A4F9F">
        <w:rPr>
          <w:bCs/>
          <w:sz w:val="22"/>
          <w:szCs w:val="22"/>
          <w:lang w:val="sr-Latn-ME"/>
        </w:rPr>
        <w:t>masom</w:t>
      </w:r>
      <w:r w:rsidRPr="005A4F9F">
        <w:rPr>
          <w:bCs/>
          <w:sz w:val="22"/>
          <w:szCs w:val="22"/>
          <w:lang w:val="sr-Latn-ME"/>
        </w:rPr>
        <w:t xml:space="preserve"> pacijenta prilikom svake primjene lijeka. Promjene doze treba da su bazirane na održivoj promjeni tjelesne </w:t>
      </w:r>
      <w:r w:rsidR="000136BA" w:rsidRPr="005A4F9F">
        <w:rPr>
          <w:bCs/>
          <w:sz w:val="22"/>
          <w:szCs w:val="22"/>
          <w:lang w:val="sr-Latn-ME"/>
        </w:rPr>
        <w:t xml:space="preserve">mase </w:t>
      </w:r>
      <w:r w:rsidRPr="005A4F9F">
        <w:rPr>
          <w:bCs/>
          <w:sz w:val="22"/>
          <w:szCs w:val="22"/>
          <w:lang w:val="sr-Latn-ME"/>
        </w:rPr>
        <w:t>pacijenta tokom vremena.</w:t>
      </w:r>
    </w:p>
    <w:p w14:paraId="59715D58" w14:textId="77777777" w:rsidR="00BA1741" w:rsidRPr="005A4F9F" w:rsidRDefault="00BA1741">
      <w:pPr>
        <w:widowControl w:val="0"/>
        <w:tabs>
          <w:tab w:val="left" w:pos="540"/>
          <w:tab w:val="left" w:pos="569"/>
        </w:tabs>
        <w:jc w:val="both"/>
        <w:rPr>
          <w:bCs/>
          <w:sz w:val="22"/>
          <w:szCs w:val="22"/>
          <w:lang w:val="sr-Latn-ME"/>
        </w:rPr>
      </w:pPr>
    </w:p>
    <w:p w14:paraId="6D16D74D" w14:textId="2A7C949A"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Bezbjednost i efikasnost primjene </w:t>
      </w:r>
      <w:bookmarkStart w:id="0" w:name="_Hlk191043801"/>
      <w:r w:rsidR="00695D66" w:rsidRPr="005A4F9F">
        <w:rPr>
          <w:bCs/>
          <w:sz w:val="22"/>
          <w:szCs w:val="22"/>
          <w:lang w:val="sr-Latn-ME"/>
        </w:rPr>
        <w:t>tocilizumaba</w:t>
      </w:r>
      <w:bookmarkEnd w:id="0"/>
      <w:r w:rsidR="002B3FFC" w:rsidRPr="005A4F9F">
        <w:rPr>
          <w:bCs/>
          <w:sz w:val="22"/>
          <w:szCs w:val="22"/>
          <w:lang w:val="sr-Latn-ME"/>
        </w:rPr>
        <w:t>intravenskim putem</w:t>
      </w:r>
      <w:r w:rsidRPr="005A4F9F">
        <w:rPr>
          <w:bCs/>
          <w:sz w:val="22"/>
          <w:szCs w:val="22"/>
          <w:lang w:val="sr-Latn-ME"/>
        </w:rPr>
        <w:t xml:space="preserve"> kod pacijenata </w:t>
      </w:r>
      <w:r w:rsidR="00542633" w:rsidRPr="005A4F9F">
        <w:rPr>
          <w:bCs/>
          <w:sz w:val="22"/>
          <w:szCs w:val="22"/>
          <w:lang w:val="sr-Latn-ME"/>
        </w:rPr>
        <w:t>ml</w:t>
      </w:r>
      <w:r w:rsidRPr="005A4F9F">
        <w:rPr>
          <w:bCs/>
          <w:sz w:val="22"/>
          <w:szCs w:val="22"/>
          <w:lang w:val="sr-Latn-ME"/>
        </w:rPr>
        <w:t>ađih od 2 godine nije ustanovljena.</w:t>
      </w:r>
      <w:r w:rsidR="00695D66" w:rsidRPr="008B00DE">
        <w:rPr>
          <w:sz w:val="22"/>
          <w:szCs w:val="22"/>
          <w:lang w:val="sr-Latn-ME" w:bidi="hr-HR"/>
        </w:rPr>
        <w:t xml:space="preserve"> </w:t>
      </w:r>
      <w:r w:rsidR="00695D66" w:rsidRPr="005A4F9F">
        <w:rPr>
          <w:sz w:val="22"/>
          <w:szCs w:val="22"/>
          <w:lang w:val="sr-Latn-ME" w:bidi="hr-HR"/>
        </w:rPr>
        <w:t>Trenutno dostupni podaci su opisani u dijelovima 4.8, 5.1 i 5.2, međutim nije moguće dati preporuku o doziranju</w:t>
      </w:r>
    </w:p>
    <w:p w14:paraId="204E991D" w14:textId="77777777" w:rsidR="00BA1741" w:rsidRPr="005A4F9F" w:rsidRDefault="00BA1741">
      <w:pPr>
        <w:widowControl w:val="0"/>
        <w:tabs>
          <w:tab w:val="left" w:pos="540"/>
          <w:tab w:val="left" w:pos="569"/>
        </w:tabs>
        <w:jc w:val="both"/>
        <w:rPr>
          <w:bCs/>
          <w:sz w:val="22"/>
          <w:szCs w:val="22"/>
          <w:lang w:val="sr-Latn-ME"/>
        </w:rPr>
      </w:pPr>
    </w:p>
    <w:p w14:paraId="0254B5FF" w14:textId="7D05E1AA"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U donjim tabelama su prikazani preporučeni prekidi u liječenju sJIA pacijenata u zavisnosti od laboratorijskih vrijednosti. Ukoliko je podesno, doza </w:t>
      </w:r>
      <w:r w:rsidR="00695D66" w:rsidRPr="005A4F9F">
        <w:rPr>
          <w:bCs/>
          <w:sz w:val="22"/>
          <w:szCs w:val="22"/>
          <w:lang w:val="sr-Latn-ME"/>
        </w:rPr>
        <w:t xml:space="preserve">MTX-a </w:t>
      </w:r>
      <w:r w:rsidRPr="005A4F9F">
        <w:rPr>
          <w:bCs/>
          <w:sz w:val="22"/>
          <w:szCs w:val="22"/>
          <w:lang w:val="sr-Latn-ME"/>
        </w:rPr>
        <w:t>koji se primjenjuje istovremeno, i/ili drugih ljekova</w:t>
      </w:r>
      <w:r w:rsidR="00695D66" w:rsidRPr="005A4F9F">
        <w:rPr>
          <w:bCs/>
          <w:sz w:val="22"/>
          <w:szCs w:val="22"/>
          <w:lang w:val="sr-Latn-ME"/>
        </w:rPr>
        <w:t>,</w:t>
      </w:r>
      <w:r w:rsidRPr="005A4F9F">
        <w:rPr>
          <w:bCs/>
          <w:sz w:val="22"/>
          <w:szCs w:val="22"/>
          <w:lang w:val="sr-Latn-ME"/>
        </w:rPr>
        <w:t xml:space="preserve"> treba da se podesi, ili da se primjena ovih ljekova i tocilizumaba prekine dok se ne uradi procjena kliničkog stanja. S obzirom da brojni komorbiditeti mogu uticati na laboratorijske vrijednosti oboljelih od sJIA, odluka o obustavljanju terapije zbog poremećaja laboratorijskih rezultata treba da se zasniva na individualnoj medicinskoj procjeni svakog pacijenta.</w:t>
      </w:r>
    </w:p>
    <w:p w14:paraId="06D69D8E" w14:textId="77777777" w:rsidR="00F34A0E" w:rsidRPr="005A4F9F" w:rsidRDefault="00F34A0E" w:rsidP="008B00DE">
      <w:pPr>
        <w:widowControl w:val="0"/>
        <w:tabs>
          <w:tab w:val="left" w:pos="540"/>
          <w:tab w:val="left" w:pos="569"/>
        </w:tabs>
        <w:jc w:val="both"/>
        <w:rPr>
          <w:bCs/>
          <w:sz w:val="22"/>
          <w:szCs w:val="22"/>
          <w:u w:val="single"/>
          <w:lang w:val="sr-Latn-ME"/>
        </w:rPr>
      </w:pPr>
    </w:p>
    <w:p w14:paraId="7267009D" w14:textId="52CA8681"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 xml:space="preserve">Poremećaji </w:t>
      </w:r>
      <w:r w:rsidR="00AF6514" w:rsidRPr="005A4F9F">
        <w:rPr>
          <w:bCs/>
          <w:sz w:val="22"/>
          <w:szCs w:val="22"/>
          <w:lang w:val="sr-Latn-ME"/>
        </w:rPr>
        <w:t>vr</w:t>
      </w:r>
      <w:r w:rsidR="00CE0C85" w:rsidRPr="005A4F9F">
        <w:rPr>
          <w:bCs/>
          <w:sz w:val="22"/>
          <w:szCs w:val="22"/>
          <w:lang w:val="sr-Latn-ME"/>
        </w:rPr>
        <w:t>ij</w:t>
      </w:r>
      <w:r w:rsidR="00AF6514" w:rsidRPr="005A4F9F">
        <w:rPr>
          <w:bCs/>
          <w:sz w:val="22"/>
          <w:szCs w:val="22"/>
          <w:lang w:val="sr-Latn-ME"/>
        </w:rPr>
        <w:t xml:space="preserve">ednosti </w:t>
      </w:r>
      <w:r w:rsidRPr="005A4F9F">
        <w:rPr>
          <w:bCs/>
          <w:sz w:val="22"/>
          <w:szCs w:val="22"/>
          <w:lang w:val="sr-Latn-ME"/>
        </w:rPr>
        <w:t>enzima jetre</w:t>
      </w:r>
    </w:p>
    <w:p w14:paraId="748F886D" w14:textId="77777777" w:rsidR="00D62AD2" w:rsidRPr="005A4F9F" w:rsidRDefault="00D62AD2" w:rsidP="008B00DE">
      <w:pPr>
        <w:widowControl w:val="0"/>
        <w:tabs>
          <w:tab w:val="left" w:pos="540"/>
          <w:tab w:val="left" w:pos="569"/>
        </w:tabs>
        <w:jc w:val="both"/>
        <w:rPr>
          <w:bCs/>
          <w:sz w:val="22"/>
          <w:szCs w:val="22"/>
          <w:lang w:val="sr-Latn-ME"/>
        </w:rPr>
      </w:pPr>
    </w:p>
    <w:tbl>
      <w:tblPr>
        <w:tblW w:w="5000" w:type="pct"/>
        <w:tblLayout w:type="fixed"/>
        <w:tblCellMar>
          <w:left w:w="0" w:type="dxa"/>
          <w:right w:w="0" w:type="dxa"/>
        </w:tblCellMar>
        <w:tblLook w:val="01E0" w:firstRow="1" w:lastRow="1" w:firstColumn="1" w:lastColumn="1" w:noHBand="0" w:noVBand="0"/>
      </w:tblPr>
      <w:tblGrid>
        <w:gridCol w:w="1968"/>
        <w:gridCol w:w="7093"/>
      </w:tblGrid>
      <w:tr w:rsidR="00F34A0E" w:rsidRPr="005A4F9F" w14:paraId="3B33E310" w14:textId="77777777" w:rsidTr="008F0857">
        <w:tc>
          <w:tcPr>
            <w:tcW w:w="1968" w:type="dxa"/>
            <w:tcBorders>
              <w:top w:val="single" w:sz="5" w:space="0" w:color="000000"/>
              <w:left w:val="single" w:sz="5" w:space="0" w:color="000000"/>
              <w:bottom w:val="single" w:sz="5" w:space="0" w:color="000000"/>
              <w:right w:val="single" w:sz="5" w:space="0" w:color="000000"/>
            </w:tcBorders>
          </w:tcPr>
          <w:p w14:paraId="4171A2D3" w14:textId="77777777" w:rsidR="00F34A0E" w:rsidRPr="005A4F9F" w:rsidRDefault="00F34A0E" w:rsidP="008B00DE">
            <w:pPr>
              <w:widowControl w:val="0"/>
              <w:spacing w:line="239" w:lineRule="auto"/>
              <w:ind w:left="104"/>
              <w:jc w:val="both"/>
              <w:rPr>
                <w:b/>
                <w:bCs/>
                <w:sz w:val="22"/>
                <w:szCs w:val="22"/>
                <w:lang w:val="sr-Latn-ME"/>
              </w:rPr>
            </w:pPr>
            <w:r w:rsidRPr="005A4F9F">
              <w:rPr>
                <w:b/>
                <w:bCs/>
                <w:sz w:val="22"/>
                <w:szCs w:val="22"/>
                <w:lang w:val="sr-Latn-ME"/>
              </w:rPr>
              <w:t>Laboratorijska vrijednost</w:t>
            </w:r>
          </w:p>
        </w:tc>
        <w:tc>
          <w:tcPr>
            <w:tcW w:w="7093" w:type="dxa"/>
            <w:tcBorders>
              <w:top w:val="single" w:sz="5" w:space="0" w:color="000000"/>
              <w:left w:val="single" w:sz="5" w:space="0" w:color="000000"/>
              <w:bottom w:val="single" w:sz="5" w:space="0" w:color="000000"/>
              <w:right w:val="single" w:sz="5" w:space="0" w:color="000000"/>
            </w:tcBorders>
          </w:tcPr>
          <w:p w14:paraId="3F8061C7" w14:textId="77777777" w:rsidR="00F34A0E" w:rsidRPr="005A4F9F" w:rsidRDefault="00F34A0E" w:rsidP="008B00DE">
            <w:pPr>
              <w:widowControl w:val="0"/>
              <w:spacing w:line="246" w:lineRule="exact"/>
              <w:ind w:left="102"/>
              <w:jc w:val="both"/>
              <w:rPr>
                <w:b/>
                <w:bCs/>
                <w:sz w:val="22"/>
                <w:szCs w:val="22"/>
                <w:lang w:val="sr-Latn-ME"/>
              </w:rPr>
            </w:pPr>
            <w:r w:rsidRPr="005A4F9F">
              <w:rPr>
                <w:b/>
                <w:bCs/>
                <w:sz w:val="22"/>
                <w:szCs w:val="22"/>
                <w:lang w:val="sr-Latn-ME"/>
              </w:rPr>
              <w:t>Postupanje</w:t>
            </w:r>
          </w:p>
        </w:tc>
      </w:tr>
      <w:tr w:rsidR="00F34A0E" w:rsidRPr="005A4F9F" w14:paraId="24DE2C92" w14:textId="77777777" w:rsidTr="008F0857">
        <w:tc>
          <w:tcPr>
            <w:tcW w:w="1968" w:type="dxa"/>
            <w:tcBorders>
              <w:top w:val="single" w:sz="5" w:space="0" w:color="000000"/>
              <w:left w:val="single" w:sz="5" w:space="0" w:color="000000"/>
              <w:bottom w:val="single" w:sz="5" w:space="0" w:color="000000"/>
              <w:right w:val="single" w:sz="5" w:space="0" w:color="000000"/>
            </w:tcBorders>
          </w:tcPr>
          <w:p w14:paraId="509AB980" w14:textId="0DC26E5B" w:rsidR="00F34A0E" w:rsidRPr="005A4F9F" w:rsidRDefault="00F34A0E" w:rsidP="008B00DE">
            <w:pPr>
              <w:widowControl w:val="0"/>
              <w:spacing w:line="239" w:lineRule="auto"/>
              <w:ind w:left="104"/>
              <w:jc w:val="both"/>
              <w:rPr>
                <w:sz w:val="22"/>
                <w:szCs w:val="22"/>
                <w:lang w:val="sr-Latn-ME"/>
              </w:rPr>
            </w:pPr>
            <w:r w:rsidRPr="005A4F9F">
              <w:rPr>
                <w:sz w:val="22"/>
                <w:szCs w:val="22"/>
                <w:lang w:val="sr-Latn-ME"/>
              </w:rPr>
              <w:t>&gt; 1 do 3 x GGN</w:t>
            </w:r>
          </w:p>
        </w:tc>
        <w:tc>
          <w:tcPr>
            <w:tcW w:w="7093" w:type="dxa"/>
            <w:tcBorders>
              <w:top w:val="single" w:sz="5" w:space="0" w:color="000000"/>
              <w:left w:val="single" w:sz="5" w:space="0" w:color="000000"/>
              <w:bottom w:val="single" w:sz="5" w:space="0" w:color="000000"/>
              <w:right w:val="single" w:sz="5" w:space="0" w:color="000000"/>
            </w:tcBorders>
          </w:tcPr>
          <w:p w14:paraId="5ACB316D" w14:textId="722B17DD" w:rsidR="00F34A0E" w:rsidRPr="005A4F9F" w:rsidRDefault="00F34A0E">
            <w:pPr>
              <w:widowControl w:val="0"/>
              <w:spacing w:line="245" w:lineRule="exact"/>
              <w:ind w:left="102"/>
              <w:jc w:val="both"/>
              <w:rPr>
                <w:sz w:val="22"/>
                <w:szCs w:val="22"/>
                <w:lang w:val="sr-Latn-ME"/>
              </w:rPr>
            </w:pPr>
            <w:r w:rsidRPr="005A4F9F">
              <w:rPr>
                <w:sz w:val="22"/>
                <w:szCs w:val="22"/>
                <w:lang w:val="sr-Latn-ME"/>
              </w:rPr>
              <w:t>Podesiti dozu MTX</w:t>
            </w:r>
            <w:r w:rsidR="00F14A39" w:rsidRPr="005A4F9F">
              <w:rPr>
                <w:sz w:val="22"/>
                <w:szCs w:val="22"/>
                <w:lang w:val="sr-Latn-ME"/>
              </w:rPr>
              <w:t>-a</w:t>
            </w:r>
            <w:r w:rsidRPr="005A4F9F">
              <w:rPr>
                <w:sz w:val="22"/>
                <w:szCs w:val="22"/>
                <w:lang w:val="sr-Latn-ME"/>
              </w:rPr>
              <w:t xml:space="preserve"> koja se daje istovremeno, ako je primjereno.</w:t>
            </w:r>
            <w:r w:rsidR="00695D66" w:rsidRPr="005A4F9F">
              <w:rPr>
                <w:sz w:val="22"/>
                <w:szCs w:val="22"/>
                <w:lang w:val="sr-Latn-ME"/>
              </w:rPr>
              <w:br/>
            </w:r>
          </w:p>
          <w:p w14:paraId="4033F8D7" w14:textId="5EA0E20A" w:rsidR="00F34A0E" w:rsidRPr="005A4F9F" w:rsidRDefault="00F34A0E">
            <w:pPr>
              <w:widowControl w:val="0"/>
              <w:ind w:left="102"/>
              <w:jc w:val="both"/>
              <w:rPr>
                <w:sz w:val="22"/>
                <w:szCs w:val="22"/>
                <w:lang w:val="sr-Latn-ME"/>
              </w:rPr>
            </w:pPr>
            <w:r w:rsidRPr="005A4F9F">
              <w:rPr>
                <w:sz w:val="22"/>
                <w:szCs w:val="22"/>
                <w:lang w:val="sr-Latn-ME"/>
              </w:rPr>
              <w:t>U slučajevima perzistentnog porasta u ovom rasponu prekinuti</w:t>
            </w:r>
            <w:r w:rsidR="009D594E" w:rsidRPr="005A4F9F">
              <w:rPr>
                <w:sz w:val="22"/>
                <w:szCs w:val="22"/>
                <w:lang w:val="sr-Latn-ME"/>
              </w:rPr>
              <w:t xml:space="preserve"> ili</w:t>
            </w:r>
            <w:r w:rsidRPr="005A4F9F">
              <w:rPr>
                <w:sz w:val="22"/>
                <w:szCs w:val="22"/>
                <w:lang w:val="sr-Latn-ME"/>
              </w:rPr>
              <w:t xml:space="preserve"> obustaviti</w:t>
            </w:r>
            <w:r w:rsidR="00585E85" w:rsidRPr="005A4F9F">
              <w:rPr>
                <w:sz w:val="22"/>
                <w:szCs w:val="22"/>
                <w:lang w:val="sr-Latn-ME"/>
              </w:rPr>
              <w:t xml:space="preserve"> </w:t>
            </w:r>
            <w:r w:rsidR="00585E85" w:rsidRPr="005A4F9F">
              <w:rPr>
                <w:sz w:val="22"/>
                <w:szCs w:val="22"/>
                <w:lang w:val="sr-Latn-ME"/>
              </w:rPr>
              <w:lastRenderedPageBreak/>
              <w:t>primjenu</w:t>
            </w:r>
            <w:r w:rsidRPr="005A4F9F">
              <w:rPr>
                <w:sz w:val="22"/>
                <w:szCs w:val="22"/>
                <w:lang w:val="sr-Latn-ME"/>
              </w:rPr>
              <w:t xml:space="preserve"> </w:t>
            </w:r>
            <w:r w:rsidR="00695D66" w:rsidRPr="005A4F9F">
              <w:rPr>
                <w:bCs/>
                <w:sz w:val="22"/>
                <w:szCs w:val="22"/>
                <w:lang w:val="sr-Latn-ME"/>
              </w:rPr>
              <w:t>tocilizumaba</w:t>
            </w:r>
            <w:r w:rsidRPr="005A4F9F">
              <w:rPr>
                <w:sz w:val="22"/>
                <w:szCs w:val="22"/>
                <w:lang w:val="sr-Latn-ME"/>
              </w:rPr>
              <w:t xml:space="preserve"> sve dok se ne normalizuju vrijednosti ALT</w:t>
            </w:r>
            <w:r w:rsidR="004448FA" w:rsidRPr="005A4F9F">
              <w:rPr>
                <w:sz w:val="22"/>
                <w:szCs w:val="22"/>
                <w:lang w:val="sr-Latn-ME"/>
              </w:rPr>
              <w:t>/</w:t>
            </w:r>
            <w:r w:rsidRPr="005A4F9F">
              <w:rPr>
                <w:sz w:val="22"/>
                <w:szCs w:val="22"/>
                <w:lang w:val="sr-Latn-ME"/>
              </w:rPr>
              <w:t>AST</w:t>
            </w:r>
            <w:r w:rsidR="00695D66" w:rsidRPr="005A4F9F">
              <w:rPr>
                <w:sz w:val="22"/>
                <w:szCs w:val="22"/>
                <w:lang w:val="sr-Latn-ME"/>
              </w:rPr>
              <w:t>.</w:t>
            </w:r>
          </w:p>
        </w:tc>
      </w:tr>
      <w:tr w:rsidR="00F34A0E" w:rsidRPr="005A4F9F" w14:paraId="6BD25D2E" w14:textId="77777777" w:rsidTr="008F0857">
        <w:tc>
          <w:tcPr>
            <w:tcW w:w="1968" w:type="dxa"/>
            <w:tcBorders>
              <w:top w:val="single" w:sz="5" w:space="0" w:color="000000"/>
              <w:left w:val="single" w:sz="5" w:space="0" w:color="000000"/>
              <w:bottom w:val="single" w:sz="5" w:space="0" w:color="000000"/>
              <w:right w:val="single" w:sz="5" w:space="0" w:color="000000"/>
            </w:tcBorders>
          </w:tcPr>
          <w:p w14:paraId="7A60960E" w14:textId="77777777" w:rsidR="00F34A0E" w:rsidRPr="005A4F9F" w:rsidRDefault="00F34A0E" w:rsidP="008B00DE">
            <w:pPr>
              <w:widowControl w:val="0"/>
              <w:spacing w:line="239" w:lineRule="auto"/>
              <w:ind w:left="104"/>
              <w:jc w:val="both"/>
              <w:rPr>
                <w:sz w:val="22"/>
                <w:szCs w:val="22"/>
                <w:lang w:val="sr-Latn-ME"/>
              </w:rPr>
            </w:pPr>
            <w:r w:rsidRPr="005A4F9F">
              <w:rPr>
                <w:sz w:val="22"/>
                <w:szCs w:val="22"/>
                <w:lang w:val="sr-Latn-ME"/>
              </w:rPr>
              <w:lastRenderedPageBreak/>
              <w:t>&gt; 3 x GGN do 5 x GGN</w:t>
            </w:r>
          </w:p>
        </w:tc>
        <w:tc>
          <w:tcPr>
            <w:tcW w:w="7093" w:type="dxa"/>
            <w:tcBorders>
              <w:top w:val="single" w:sz="5" w:space="0" w:color="000000"/>
              <w:left w:val="single" w:sz="5" w:space="0" w:color="000000"/>
              <w:bottom w:val="single" w:sz="5" w:space="0" w:color="000000"/>
              <w:right w:val="single" w:sz="5" w:space="0" w:color="000000"/>
            </w:tcBorders>
          </w:tcPr>
          <w:p w14:paraId="6669A00E" w14:textId="17B1799A" w:rsidR="00F34A0E" w:rsidRPr="005A4F9F" w:rsidRDefault="00F34A0E">
            <w:pPr>
              <w:widowControl w:val="0"/>
              <w:spacing w:line="245" w:lineRule="exact"/>
              <w:ind w:left="102"/>
              <w:jc w:val="both"/>
              <w:rPr>
                <w:sz w:val="22"/>
                <w:szCs w:val="22"/>
                <w:lang w:val="sr-Latn-ME"/>
              </w:rPr>
            </w:pPr>
            <w:r w:rsidRPr="005A4F9F">
              <w:rPr>
                <w:sz w:val="22"/>
                <w:szCs w:val="22"/>
                <w:lang w:val="sr-Latn-ME"/>
              </w:rPr>
              <w:t>Podesiti dozu MTX</w:t>
            </w:r>
            <w:r w:rsidR="00F14A39" w:rsidRPr="005A4F9F">
              <w:rPr>
                <w:sz w:val="22"/>
                <w:szCs w:val="22"/>
                <w:lang w:val="sr-Latn-ME"/>
              </w:rPr>
              <w:t>-a</w:t>
            </w:r>
            <w:r w:rsidRPr="005A4F9F">
              <w:rPr>
                <w:sz w:val="22"/>
                <w:szCs w:val="22"/>
                <w:lang w:val="sr-Latn-ME"/>
              </w:rPr>
              <w:t xml:space="preserve"> koja se daje istovremeno, ako je primjereno.</w:t>
            </w:r>
            <w:r w:rsidR="00695D66" w:rsidRPr="005A4F9F">
              <w:rPr>
                <w:sz w:val="22"/>
                <w:szCs w:val="22"/>
                <w:lang w:val="sr-Latn-ME"/>
              </w:rPr>
              <w:br/>
            </w:r>
          </w:p>
          <w:p w14:paraId="7D2E146C" w14:textId="33589523" w:rsidR="00F34A0E" w:rsidRPr="005A4F9F" w:rsidRDefault="00F34A0E">
            <w:pPr>
              <w:widowControl w:val="0"/>
              <w:spacing w:line="252" w:lineRule="exact"/>
              <w:ind w:left="102"/>
              <w:jc w:val="both"/>
              <w:rPr>
                <w:sz w:val="22"/>
                <w:szCs w:val="22"/>
                <w:lang w:val="sr-Latn-ME"/>
              </w:rPr>
            </w:pPr>
            <w:r w:rsidRPr="005A4F9F">
              <w:rPr>
                <w:sz w:val="22"/>
                <w:szCs w:val="22"/>
                <w:lang w:val="sr-Latn-ME"/>
              </w:rPr>
              <w:t xml:space="preserve">Privremeno prekinuti </w:t>
            </w:r>
            <w:r w:rsidR="00585E85" w:rsidRPr="005A4F9F">
              <w:rPr>
                <w:sz w:val="22"/>
                <w:szCs w:val="22"/>
                <w:lang w:val="sr-Latn-ME"/>
              </w:rPr>
              <w:t xml:space="preserve">primjenu </w:t>
            </w:r>
            <w:r w:rsidR="00695D66" w:rsidRPr="005A4F9F">
              <w:rPr>
                <w:bCs/>
                <w:sz w:val="22"/>
                <w:szCs w:val="22"/>
                <w:lang w:val="sr-Latn-ME"/>
              </w:rPr>
              <w:t>tocilizumaba</w:t>
            </w:r>
            <w:r w:rsidRPr="005A4F9F">
              <w:rPr>
                <w:sz w:val="22"/>
                <w:szCs w:val="22"/>
                <w:lang w:val="sr-Latn-ME"/>
              </w:rPr>
              <w:t>dok vrijednosti ne spadnu na  &lt; 3 x GGN</w:t>
            </w:r>
            <w:r w:rsidR="00585E85" w:rsidRPr="005A4F9F">
              <w:rPr>
                <w:sz w:val="22"/>
                <w:szCs w:val="22"/>
                <w:lang w:val="sr-Latn-ME"/>
              </w:rPr>
              <w:t>, a zatim</w:t>
            </w:r>
            <w:r w:rsidRPr="005A4F9F">
              <w:rPr>
                <w:sz w:val="22"/>
                <w:szCs w:val="22"/>
                <w:lang w:val="sr-Latn-ME"/>
              </w:rPr>
              <w:t xml:space="preserve"> pratiti preporuke </w:t>
            </w:r>
            <w:r w:rsidR="00585E85" w:rsidRPr="005A4F9F">
              <w:rPr>
                <w:sz w:val="22"/>
                <w:szCs w:val="22"/>
                <w:lang w:val="sr-Latn-ME"/>
              </w:rPr>
              <w:t>gore navedene</w:t>
            </w:r>
            <w:r w:rsidRPr="005A4F9F">
              <w:rPr>
                <w:sz w:val="22"/>
                <w:szCs w:val="22"/>
                <w:lang w:val="sr-Latn-ME"/>
              </w:rPr>
              <w:t xml:space="preserve"> za vrijednosti  &gt; 1 do 3 x GGN</w:t>
            </w:r>
            <w:r w:rsidR="00695D66" w:rsidRPr="005A4F9F">
              <w:rPr>
                <w:sz w:val="22"/>
                <w:szCs w:val="22"/>
                <w:lang w:val="sr-Latn-ME"/>
              </w:rPr>
              <w:t>.</w:t>
            </w:r>
          </w:p>
        </w:tc>
      </w:tr>
      <w:tr w:rsidR="00F34A0E" w:rsidRPr="005A4F9F" w14:paraId="3DDBD93A" w14:textId="77777777" w:rsidTr="008F0857">
        <w:tc>
          <w:tcPr>
            <w:tcW w:w="1968" w:type="dxa"/>
            <w:tcBorders>
              <w:top w:val="single" w:sz="5" w:space="0" w:color="000000"/>
              <w:left w:val="single" w:sz="5" w:space="0" w:color="000000"/>
              <w:bottom w:val="single" w:sz="5" w:space="0" w:color="000000"/>
              <w:right w:val="single" w:sz="5" w:space="0" w:color="000000"/>
            </w:tcBorders>
          </w:tcPr>
          <w:p w14:paraId="004DA7EC" w14:textId="77777777" w:rsidR="00F34A0E" w:rsidRPr="005A4F9F" w:rsidRDefault="00F34A0E" w:rsidP="008B00DE">
            <w:pPr>
              <w:widowControl w:val="0"/>
              <w:spacing w:line="248" w:lineRule="exact"/>
              <w:ind w:left="104"/>
              <w:jc w:val="both"/>
              <w:rPr>
                <w:sz w:val="22"/>
                <w:szCs w:val="22"/>
                <w:lang w:val="sr-Latn-ME"/>
              </w:rPr>
            </w:pPr>
            <w:r w:rsidRPr="005A4F9F">
              <w:rPr>
                <w:sz w:val="22"/>
                <w:szCs w:val="22"/>
                <w:lang w:val="sr-Latn-ME"/>
              </w:rPr>
              <w:t>&gt; 5 x GGN</w:t>
            </w:r>
          </w:p>
        </w:tc>
        <w:tc>
          <w:tcPr>
            <w:tcW w:w="7093" w:type="dxa"/>
            <w:tcBorders>
              <w:top w:val="single" w:sz="5" w:space="0" w:color="000000"/>
              <w:left w:val="single" w:sz="5" w:space="0" w:color="000000"/>
              <w:bottom w:val="single" w:sz="5" w:space="0" w:color="000000"/>
              <w:right w:val="single" w:sz="5" w:space="0" w:color="000000"/>
            </w:tcBorders>
          </w:tcPr>
          <w:p w14:paraId="3E2FC61A" w14:textId="4A95BF31" w:rsidR="00F34A0E" w:rsidRPr="005A4F9F" w:rsidRDefault="00F34A0E">
            <w:pPr>
              <w:widowControl w:val="0"/>
              <w:spacing w:line="248" w:lineRule="exact"/>
              <w:ind w:left="102"/>
              <w:jc w:val="both"/>
              <w:rPr>
                <w:sz w:val="22"/>
                <w:szCs w:val="22"/>
                <w:lang w:val="sr-Latn-ME"/>
              </w:rPr>
            </w:pPr>
            <w:r w:rsidRPr="005A4F9F">
              <w:rPr>
                <w:sz w:val="22"/>
                <w:szCs w:val="22"/>
                <w:lang w:val="sr-Latn-ME"/>
              </w:rPr>
              <w:t xml:space="preserve">Potpuno </w:t>
            </w:r>
            <w:r w:rsidR="00585E85" w:rsidRPr="005A4F9F">
              <w:rPr>
                <w:sz w:val="22"/>
                <w:szCs w:val="22"/>
                <w:lang w:val="sr-Latn-ME"/>
              </w:rPr>
              <w:t>prekinuti</w:t>
            </w:r>
            <w:r w:rsidRPr="005A4F9F">
              <w:rPr>
                <w:sz w:val="22"/>
                <w:szCs w:val="22"/>
                <w:lang w:val="sr-Latn-ME"/>
              </w:rPr>
              <w:t xml:space="preserve"> </w:t>
            </w:r>
            <w:r w:rsidR="00585E85" w:rsidRPr="005A4F9F">
              <w:rPr>
                <w:sz w:val="22"/>
                <w:szCs w:val="22"/>
                <w:lang w:val="sr-Latn-ME"/>
              </w:rPr>
              <w:t>primjenu</w:t>
            </w:r>
            <w:r w:rsidR="00695D66" w:rsidRPr="005A4F9F">
              <w:rPr>
                <w:bCs/>
                <w:sz w:val="22"/>
                <w:szCs w:val="22"/>
                <w:lang w:val="sr-Latn-ME"/>
              </w:rPr>
              <w:t>tocilizumaba</w:t>
            </w:r>
            <w:r w:rsidRPr="005A4F9F">
              <w:rPr>
                <w:sz w:val="22"/>
                <w:szCs w:val="22"/>
                <w:lang w:val="sr-Latn-ME"/>
              </w:rPr>
              <w:t>.</w:t>
            </w:r>
            <w:r w:rsidR="00695D66" w:rsidRPr="005A4F9F">
              <w:rPr>
                <w:sz w:val="22"/>
                <w:szCs w:val="22"/>
                <w:lang w:val="sr-Latn-ME"/>
              </w:rPr>
              <w:br/>
            </w:r>
          </w:p>
          <w:p w14:paraId="49CFA438" w14:textId="0E0118A5" w:rsidR="00F34A0E" w:rsidRPr="005A4F9F" w:rsidRDefault="00F34A0E">
            <w:pPr>
              <w:widowControl w:val="0"/>
              <w:ind w:left="102"/>
              <w:jc w:val="both"/>
              <w:rPr>
                <w:sz w:val="22"/>
                <w:szCs w:val="22"/>
                <w:lang w:val="sr-Latn-ME"/>
              </w:rPr>
            </w:pPr>
            <w:r w:rsidRPr="005A4F9F">
              <w:rPr>
                <w:sz w:val="22"/>
                <w:szCs w:val="22"/>
                <w:lang w:val="sr-Latn-ME"/>
              </w:rPr>
              <w:t xml:space="preserve">Odluka o </w:t>
            </w:r>
            <w:r w:rsidR="00585E85" w:rsidRPr="005A4F9F">
              <w:rPr>
                <w:sz w:val="22"/>
                <w:szCs w:val="22"/>
                <w:lang w:val="sr-Latn-ME"/>
              </w:rPr>
              <w:t>prekidu</w:t>
            </w:r>
            <w:r w:rsidR="00695D66" w:rsidRPr="005A4F9F">
              <w:rPr>
                <w:sz w:val="22"/>
                <w:szCs w:val="22"/>
                <w:lang w:val="sr-Latn-ME"/>
              </w:rPr>
              <w:t xml:space="preserve"> liječenja</w:t>
            </w:r>
            <w:r w:rsidRPr="005A4F9F">
              <w:rPr>
                <w:sz w:val="22"/>
                <w:szCs w:val="22"/>
                <w:lang w:val="sr-Latn-ME"/>
              </w:rPr>
              <w:t xml:space="preserve"> kod </w:t>
            </w:r>
            <w:r w:rsidR="00585E85" w:rsidRPr="005A4F9F">
              <w:rPr>
                <w:sz w:val="22"/>
                <w:szCs w:val="22"/>
                <w:lang w:val="sr-Latn-ME"/>
              </w:rPr>
              <w:t xml:space="preserve">pacijenata sa </w:t>
            </w:r>
            <w:r w:rsidRPr="005A4F9F">
              <w:rPr>
                <w:sz w:val="22"/>
                <w:szCs w:val="22"/>
                <w:lang w:val="sr-Latn-ME"/>
              </w:rPr>
              <w:t xml:space="preserve">sJIA zbog poremećaja laboratorijskih rezultata </w:t>
            </w:r>
            <w:r w:rsidR="00D25617" w:rsidRPr="005A4F9F">
              <w:rPr>
                <w:sz w:val="22"/>
                <w:szCs w:val="22"/>
                <w:lang w:val="sr-Latn-ME"/>
              </w:rPr>
              <w:t xml:space="preserve">mora </w:t>
            </w:r>
            <w:r w:rsidRPr="005A4F9F">
              <w:rPr>
                <w:sz w:val="22"/>
                <w:szCs w:val="22"/>
                <w:lang w:val="sr-Latn-ME"/>
              </w:rPr>
              <w:t>da se zasniva na individualnoj medicinskoj procjeni svakog pacijenta</w:t>
            </w:r>
            <w:r w:rsidR="00585E85" w:rsidRPr="005A4F9F">
              <w:rPr>
                <w:sz w:val="22"/>
                <w:szCs w:val="22"/>
                <w:lang w:val="sr-Latn-ME"/>
              </w:rPr>
              <w:t xml:space="preserve"> pojedinačno</w:t>
            </w:r>
            <w:r w:rsidR="000D6BC7" w:rsidRPr="005A4F9F">
              <w:rPr>
                <w:sz w:val="22"/>
                <w:szCs w:val="22"/>
                <w:lang w:val="sr-Latn-ME"/>
              </w:rPr>
              <w:t>.</w:t>
            </w:r>
          </w:p>
        </w:tc>
      </w:tr>
    </w:tbl>
    <w:p w14:paraId="6E6F8193" w14:textId="77777777" w:rsidR="00D62AD2" w:rsidRPr="005A4F9F" w:rsidRDefault="00D62AD2" w:rsidP="008B00DE">
      <w:pPr>
        <w:widowControl w:val="0"/>
        <w:tabs>
          <w:tab w:val="left" w:pos="540"/>
          <w:tab w:val="left" w:pos="569"/>
        </w:tabs>
        <w:jc w:val="both"/>
        <w:rPr>
          <w:bCs/>
          <w:sz w:val="22"/>
          <w:szCs w:val="22"/>
          <w:u w:val="single"/>
          <w:lang w:val="sr-Latn-ME"/>
        </w:rPr>
      </w:pPr>
    </w:p>
    <w:p w14:paraId="46CAE4E7" w14:textId="3A29DA8C"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Nizak apsolutni broj neutrofila (A</w:t>
      </w:r>
      <w:r w:rsidR="00F23DB1" w:rsidRPr="005A4F9F">
        <w:rPr>
          <w:bCs/>
          <w:sz w:val="22"/>
          <w:szCs w:val="22"/>
          <w:lang w:val="sr-Latn-ME"/>
        </w:rPr>
        <w:t>BN</w:t>
      </w:r>
      <w:r w:rsidRPr="005A4F9F">
        <w:rPr>
          <w:bCs/>
          <w:sz w:val="22"/>
          <w:szCs w:val="22"/>
          <w:lang w:val="sr-Latn-ME"/>
        </w:rPr>
        <w:t>)</w:t>
      </w:r>
    </w:p>
    <w:p w14:paraId="70BC5F89" w14:textId="77777777" w:rsidR="00D62AD2" w:rsidRPr="005A4F9F" w:rsidRDefault="00D62AD2" w:rsidP="008B00DE">
      <w:pPr>
        <w:widowControl w:val="0"/>
        <w:tabs>
          <w:tab w:val="left" w:pos="540"/>
          <w:tab w:val="left" w:pos="569"/>
        </w:tabs>
        <w:jc w:val="both"/>
        <w:rPr>
          <w:bCs/>
          <w:sz w:val="22"/>
          <w:szCs w:val="22"/>
          <w:lang w:val="sr-Latn-ME"/>
        </w:rPr>
      </w:pPr>
    </w:p>
    <w:tbl>
      <w:tblPr>
        <w:tblW w:w="5000" w:type="pct"/>
        <w:tblLayout w:type="fixed"/>
        <w:tblCellMar>
          <w:left w:w="0" w:type="dxa"/>
          <w:right w:w="0" w:type="dxa"/>
        </w:tblCellMar>
        <w:tblLook w:val="01E0" w:firstRow="1" w:lastRow="1" w:firstColumn="1" w:lastColumn="1" w:noHBand="0" w:noVBand="0"/>
      </w:tblPr>
      <w:tblGrid>
        <w:gridCol w:w="2073"/>
        <w:gridCol w:w="6988"/>
      </w:tblGrid>
      <w:tr w:rsidR="00F34A0E" w:rsidRPr="005A4F9F" w14:paraId="28342347" w14:textId="77777777" w:rsidTr="008B00DE">
        <w:trPr>
          <w:trHeight w:hRule="exact" w:val="768"/>
        </w:trPr>
        <w:tc>
          <w:tcPr>
            <w:tcW w:w="1144" w:type="pct"/>
            <w:tcBorders>
              <w:top w:val="single" w:sz="5" w:space="0" w:color="000000"/>
              <w:left w:val="single" w:sz="5" w:space="0" w:color="000000"/>
              <w:bottom w:val="single" w:sz="5" w:space="0" w:color="000000"/>
              <w:right w:val="single" w:sz="5" w:space="0" w:color="000000"/>
            </w:tcBorders>
          </w:tcPr>
          <w:p w14:paraId="05AA0103" w14:textId="77777777" w:rsidR="00F34A0E" w:rsidRPr="005A4F9F" w:rsidRDefault="00F34A0E" w:rsidP="008B00DE">
            <w:pPr>
              <w:widowControl w:val="0"/>
              <w:spacing w:line="239" w:lineRule="auto"/>
              <w:ind w:left="104"/>
              <w:jc w:val="both"/>
              <w:rPr>
                <w:b/>
                <w:bCs/>
                <w:sz w:val="22"/>
                <w:szCs w:val="22"/>
                <w:lang w:val="sr-Latn-ME"/>
              </w:rPr>
            </w:pPr>
            <w:r w:rsidRPr="005A4F9F">
              <w:rPr>
                <w:b/>
                <w:bCs/>
                <w:sz w:val="22"/>
                <w:szCs w:val="22"/>
                <w:lang w:val="sr-Latn-ME"/>
              </w:rPr>
              <w:t>Laboratorijska vrijednost</w:t>
            </w:r>
          </w:p>
          <w:p w14:paraId="65F5757A" w14:textId="72B1F191" w:rsidR="00F34A0E" w:rsidRPr="005A4F9F" w:rsidRDefault="00F34A0E" w:rsidP="008B00DE">
            <w:pPr>
              <w:widowControl w:val="0"/>
              <w:spacing w:line="255" w:lineRule="exact"/>
              <w:ind w:left="104"/>
              <w:jc w:val="both"/>
              <w:rPr>
                <w:sz w:val="22"/>
                <w:szCs w:val="22"/>
                <w:lang w:val="sr-Latn-ME"/>
              </w:rPr>
            </w:pPr>
            <w:r w:rsidRPr="005A4F9F">
              <w:rPr>
                <w:sz w:val="22"/>
                <w:szCs w:val="22"/>
                <w:lang w:val="sr-Latn-ME"/>
              </w:rPr>
              <w:t>(</w:t>
            </w:r>
            <w:r w:rsidR="000D6BC7" w:rsidRPr="005A4F9F">
              <w:rPr>
                <w:sz w:val="22"/>
                <w:szCs w:val="22"/>
                <w:lang w:val="sr-Latn-ME"/>
              </w:rPr>
              <w:t xml:space="preserve">broj </w:t>
            </w:r>
            <w:r w:rsidRPr="005A4F9F">
              <w:rPr>
                <w:sz w:val="22"/>
                <w:szCs w:val="22"/>
                <w:lang w:val="sr-Latn-ME"/>
              </w:rPr>
              <w:t>ćelija x 10</w:t>
            </w:r>
            <w:r w:rsidRPr="005A4F9F">
              <w:rPr>
                <w:sz w:val="22"/>
                <w:szCs w:val="22"/>
                <w:vertAlign w:val="superscript"/>
                <w:lang w:val="sr-Latn-ME"/>
              </w:rPr>
              <w:t>9</w:t>
            </w:r>
            <w:r w:rsidRPr="005A4F9F">
              <w:rPr>
                <w:sz w:val="22"/>
                <w:szCs w:val="22"/>
                <w:lang w:val="sr-Latn-ME"/>
              </w:rPr>
              <w:t>/ l</w:t>
            </w:r>
            <w:r w:rsidR="000D6BC7" w:rsidRPr="005A4F9F">
              <w:rPr>
                <w:sz w:val="22"/>
                <w:szCs w:val="22"/>
                <w:lang w:val="sr-Latn-ME"/>
              </w:rPr>
              <w:t>)</w:t>
            </w:r>
            <w:r w:rsidRPr="005A4F9F">
              <w:rPr>
                <w:sz w:val="22"/>
                <w:szCs w:val="22"/>
                <w:lang w:val="sr-Latn-ME"/>
              </w:rPr>
              <w:t>)</w:t>
            </w:r>
          </w:p>
        </w:tc>
        <w:tc>
          <w:tcPr>
            <w:tcW w:w="3856" w:type="pct"/>
            <w:tcBorders>
              <w:top w:val="single" w:sz="5" w:space="0" w:color="000000"/>
              <w:left w:val="single" w:sz="5" w:space="0" w:color="000000"/>
              <w:bottom w:val="single" w:sz="5" w:space="0" w:color="000000"/>
              <w:right w:val="single" w:sz="5" w:space="0" w:color="000000"/>
            </w:tcBorders>
          </w:tcPr>
          <w:p w14:paraId="14A8BBAA" w14:textId="77777777" w:rsidR="00F34A0E" w:rsidRPr="005A4F9F" w:rsidRDefault="00F34A0E" w:rsidP="008B00DE">
            <w:pPr>
              <w:widowControl w:val="0"/>
              <w:spacing w:line="246" w:lineRule="exact"/>
              <w:ind w:left="104"/>
              <w:jc w:val="both"/>
              <w:rPr>
                <w:b/>
                <w:bCs/>
                <w:sz w:val="22"/>
                <w:szCs w:val="22"/>
                <w:lang w:val="sr-Latn-ME"/>
              </w:rPr>
            </w:pPr>
            <w:r w:rsidRPr="005A4F9F">
              <w:rPr>
                <w:b/>
                <w:bCs/>
                <w:sz w:val="22"/>
                <w:szCs w:val="22"/>
                <w:lang w:val="sr-Latn-ME"/>
              </w:rPr>
              <w:t>Postupanje</w:t>
            </w:r>
          </w:p>
        </w:tc>
      </w:tr>
      <w:tr w:rsidR="00F34A0E" w:rsidRPr="005A4F9F" w14:paraId="20BA1BE9" w14:textId="77777777" w:rsidTr="008B00DE">
        <w:trPr>
          <w:trHeight w:hRule="exact" w:val="264"/>
        </w:trPr>
        <w:tc>
          <w:tcPr>
            <w:tcW w:w="1144" w:type="pct"/>
            <w:tcBorders>
              <w:top w:val="single" w:sz="5" w:space="0" w:color="000000"/>
              <w:left w:val="single" w:sz="5" w:space="0" w:color="000000"/>
              <w:bottom w:val="single" w:sz="5" w:space="0" w:color="000000"/>
              <w:right w:val="single" w:sz="5" w:space="0" w:color="000000"/>
            </w:tcBorders>
          </w:tcPr>
          <w:p w14:paraId="733A2F4F" w14:textId="2F8D372C"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854C81" w:rsidRPr="005A4F9F">
              <w:rPr>
                <w:sz w:val="22"/>
                <w:szCs w:val="22"/>
                <w:lang w:val="sr-Latn-ME"/>
              </w:rPr>
              <w:t>BN</w:t>
            </w:r>
            <w:r w:rsidRPr="005A4F9F">
              <w:rPr>
                <w:sz w:val="22"/>
                <w:szCs w:val="22"/>
                <w:lang w:val="sr-Latn-ME"/>
              </w:rPr>
              <w:t xml:space="preserve"> &gt; 1</w:t>
            </w:r>
          </w:p>
        </w:tc>
        <w:tc>
          <w:tcPr>
            <w:tcW w:w="3856" w:type="pct"/>
            <w:tcBorders>
              <w:top w:val="single" w:sz="5" w:space="0" w:color="000000"/>
              <w:left w:val="single" w:sz="5" w:space="0" w:color="000000"/>
              <w:bottom w:val="single" w:sz="5" w:space="0" w:color="000000"/>
              <w:right w:val="single" w:sz="5" w:space="0" w:color="000000"/>
            </w:tcBorders>
          </w:tcPr>
          <w:p w14:paraId="1A35E5B5" w14:textId="183DFC10"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Održavati dozu</w:t>
            </w:r>
            <w:r w:rsidR="00B550CD" w:rsidRPr="005A4F9F">
              <w:rPr>
                <w:sz w:val="22"/>
                <w:szCs w:val="22"/>
                <w:lang w:val="sr-Latn-ME"/>
              </w:rPr>
              <w:t>.</w:t>
            </w:r>
          </w:p>
        </w:tc>
      </w:tr>
      <w:tr w:rsidR="00F34A0E" w:rsidRPr="005A4F9F" w14:paraId="0B4F5879" w14:textId="77777777" w:rsidTr="008B00DE">
        <w:trPr>
          <w:trHeight w:hRule="exact" w:val="869"/>
        </w:trPr>
        <w:tc>
          <w:tcPr>
            <w:tcW w:w="1144" w:type="pct"/>
            <w:tcBorders>
              <w:top w:val="single" w:sz="5" w:space="0" w:color="000000"/>
              <w:left w:val="single" w:sz="5" w:space="0" w:color="000000"/>
              <w:bottom w:val="single" w:sz="5" w:space="0" w:color="000000"/>
              <w:right w:val="single" w:sz="5" w:space="0" w:color="000000"/>
            </w:tcBorders>
          </w:tcPr>
          <w:p w14:paraId="1ECD743E" w14:textId="578A5140"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854C81" w:rsidRPr="005A4F9F">
              <w:rPr>
                <w:sz w:val="22"/>
                <w:szCs w:val="22"/>
                <w:lang w:val="sr-Latn-ME"/>
              </w:rPr>
              <w:t>BN</w:t>
            </w:r>
            <w:r w:rsidRPr="005A4F9F">
              <w:rPr>
                <w:sz w:val="22"/>
                <w:szCs w:val="22"/>
                <w:lang w:val="sr-Latn-ME"/>
              </w:rPr>
              <w:t xml:space="preserve">   0,5 do 1</w:t>
            </w:r>
          </w:p>
        </w:tc>
        <w:tc>
          <w:tcPr>
            <w:tcW w:w="3856" w:type="pct"/>
            <w:tcBorders>
              <w:top w:val="single" w:sz="5" w:space="0" w:color="000000"/>
              <w:left w:val="single" w:sz="5" w:space="0" w:color="000000"/>
              <w:bottom w:val="single" w:sz="5" w:space="0" w:color="000000"/>
              <w:right w:val="single" w:sz="5" w:space="0" w:color="000000"/>
            </w:tcBorders>
          </w:tcPr>
          <w:p w14:paraId="4AF123A6" w14:textId="705BDBEA" w:rsidR="00F34A0E" w:rsidRPr="005A4F9F" w:rsidRDefault="00F34A0E" w:rsidP="008B00DE">
            <w:pPr>
              <w:widowControl w:val="0"/>
              <w:spacing w:line="233" w:lineRule="exact"/>
              <w:ind w:left="104"/>
              <w:jc w:val="both"/>
              <w:rPr>
                <w:sz w:val="22"/>
                <w:szCs w:val="22"/>
                <w:lang w:val="sr-Latn-ME"/>
              </w:rPr>
            </w:pPr>
            <w:r w:rsidRPr="005A4F9F">
              <w:rPr>
                <w:sz w:val="22"/>
                <w:szCs w:val="22"/>
                <w:lang w:val="sr-Latn-ME"/>
              </w:rPr>
              <w:t xml:space="preserve">Privremeno prekinuti </w:t>
            </w:r>
            <w:r w:rsidR="00BF3808" w:rsidRPr="005A4F9F">
              <w:rPr>
                <w:sz w:val="22"/>
                <w:szCs w:val="22"/>
                <w:lang w:val="sr-Latn-ME"/>
              </w:rPr>
              <w:t xml:space="preserve">primjenu  </w:t>
            </w:r>
            <w:r w:rsidR="00F23DB1" w:rsidRPr="005A4F9F">
              <w:rPr>
                <w:bCs/>
                <w:sz w:val="22"/>
                <w:szCs w:val="22"/>
                <w:lang w:val="sr-Latn-ME"/>
              </w:rPr>
              <w:t>tocilizumaba</w:t>
            </w:r>
            <w:r w:rsidR="00F23DB1" w:rsidRPr="005A4F9F">
              <w:rPr>
                <w:sz w:val="22"/>
                <w:szCs w:val="22"/>
                <w:lang w:val="sr-Latn-ME"/>
              </w:rPr>
              <w:t>.</w:t>
            </w:r>
          </w:p>
          <w:p w14:paraId="1FF168D4" w14:textId="14787B89" w:rsidR="00F34A0E" w:rsidRPr="005A4F9F" w:rsidRDefault="00F34A0E" w:rsidP="008B00DE">
            <w:pPr>
              <w:widowControl w:val="0"/>
              <w:spacing w:line="265" w:lineRule="exact"/>
              <w:ind w:left="104"/>
              <w:jc w:val="both"/>
              <w:rPr>
                <w:sz w:val="22"/>
                <w:szCs w:val="22"/>
                <w:lang w:val="sr-Latn-ME"/>
              </w:rPr>
            </w:pPr>
            <w:r w:rsidRPr="005A4F9F">
              <w:rPr>
                <w:sz w:val="22"/>
                <w:szCs w:val="22"/>
                <w:lang w:val="sr-Latn-ME"/>
              </w:rPr>
              <w:t xml:space="preserve">Kada </w:t>
            </w:r>
            <w:r w:rsidR="00B550CD" w:rsidRPr="005A4F9F">
              <w:rPr>
                <w:sz w:val="22"/>
                <w:szCs w:val="22"/>
                <w:lang w:val="sr-Latn-ME"/>
              </w:rPr>
              <w:t>se</w:t>
            </w:r>
            <w:r w:rsidRPr="005A4F9F">
              <w:rPr>
                <w:sz w:val="22"/>
                <w:szCs w:val="22"/>
                <w:lang w:val="sr-Latn-ME"/>
              </w:rPr>
              <w:t xml:space="preserve"> vrijednost A</w:t>
            </w:r>
            <w:r w:rsidR="00F23DB1" w:rsidRPr="005A4F9F">
              <w:rPr>
                <w:sz w:val="22"/>
                <w:szCs w:val="22"/>
                <w:lang w:val="sr-Latn-ME"/>
              </w:rPr>
              <w:t>BN poveća na</w:t>
            </w:r>
            <w:r w:rsidRPr="005A4F9F">
              <w:rPr>
                <w:sz w:val="22"/>
                <w:szCs w:val="22"/>
                <w:lang w:val="sr-Latn-ME"/>
              </w:rPr>
              <w:t xml:space="preserve"> &gt; 1 x 10</w:t>
            </w:r>
            <w:r w:rsidR="00212923" w:rsidRPr="008B00DE">
              <w:rPr>
                <w:sz w:val="22"/>
                <w:szCs w:val="22"/>
                <w:vertAlign w:val="superscript"/>
                <w:lang w:val="sr-Latn-ME"/>
              </w:rPr>
              <w:t>9</w:t>
            </w:r>
            <w:r w:rsidRPr="005A4F9F">
              <w:rPr>
                <w:sz w:val="22"/>
                <w:szCs w:val="22"/>
                <w:lang w:val="sr-Latn-ME"/>
              </w:rPr>
              <w:t>/ l ponovo uvesti</w:t>
            </w:r>
            <w:r w:rsidR="00BF3808" w:rsidRPr="005A4F9F">
              <w:rPr>
                <w:sz w:val="22"/>
                <w:szCs w:val="22"/>
                <w:lang w:val="sr-Latn-ME"/>
              </w:rPr>
              <w:t xml:space="preserve"> </w:t>
            </w:r>
            <w:r w:rsidR="00F23DB1" w:rsidRPr="005A4F9F">
              <w:rPr>
                <w:sz w:val="22"/>
                <w:szCs w:val="22"/>
                <w:lang w:val="sr-Latn-ME"/>
              </w:rPr>
              <w:t>liječenje.</w:t>
            </w:r>
          </w:p>
        </w:tc>
      </w:tr>
      <w:tr w:rsidR="00F34A0E" w:rsidRPr="005A4F9F" w14:paraId="26CABD84" w14:textId="77777777" w:rsidTr="008B00DE">
        <w:trPr>
          <w:trHeight w:hRule="exact" w:val="1203"/>
        </w:trPr>
        <w:tc>
          <w:tcPr>
            <w:tcW w:w="1144" w:type="pct"/>
            <w:tcBorders>
              <w:top w:val="single" w:sz="5" w:space="0" w:color="000000"/>
              <w:left w:val="single" w:sz="5" w:space="0" w:color="000000"/>
              <w:bottom w:val="single" w:sz="5" w:space="0" w:color="000000"/>
              <w:right w:val="single" w:sz="5" w:space="0" w:color="000000"/>
            </w:tcBorders>
          </w:tcPr>
          <w:p w14:paraId="7E01CA0F" w14:textId="6D27EA3E"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854C81" w:rsidRPr="005A4F9F">
              <w:rPr>
                <w:sz w:val="22"/>
                <w:szCs w:val="22"/>
                <w:lang w:val="sr-Latn-ME"/>
              </w:rPr>
              <w:t>BN</w:t>
            </w:r>
            <w:r w:rsidR="00585E85" w:rsidRPr="005A4F9F">
              <w:rPr>
                <w:sz w:val="22"/>
                <w:szCs w:val="22"/>
                <w:lang w:val="sr-Latn-ME"/>
              </w:rPr>
              <w:t xml:space="preserve"> </w:t>
            </w:r>
            <w:r w:rsidRPr="005A4F9F">
              <w:rPr>
                <w:sz w:val="22"/>
                <w:szCs w:val="22"/>
                <w:lang w:val="sr-Latn-ME"/>
              </w:rPr>
              <w:t>&lt; 0,5</w:t>
            </w:r>
          </w:p>
        </w:tc>
        <w:tc>
          <w:tcPr>
            <w:tcW w:w="3856" w:type="pct"/>
            <w:tcBorders>
              <w:top w:val="single" w:sz="5" w:space="0" w:color="000000"/>
              <w:left w:val="single" w:sz="5" w:space="0" w:color="000000"/>
              <w:bottom w:val="single" w:sz="5" w:space="0" w:color="000000"/>
              <w:right w:val="single" w:sz="5" w:space="0" w:color="000000"/>
            </w:tcBorders>
          </w:tcPr>
          <w:p w14:paraId="25B192D1" w14:textId="2CE8C693" w:rsidR="00F34A0E" w:rsidRPr="005A4F9F" w:rsidRDefault="00F34A0E" w:rsidP="008B00DE">
            <w:pPr>
              <w:widowControl w:val="0"/>
              <w:spacing w:line="245" w:lineRule="exact"/>
              <w:ind w:left="104"/>
              <w:jc w:val="both"/>
              <w:rPr>
                <w:sz w:val="22"/>
                <w:szCs w:val="22"/>
                <w:lang w:val="sr-Latn-ME"/>
              </w:rPr>
            </w:pPr>
            <w:r w:rsidRPr="005A4F9F">
              <w:rPr>
                <w:sz w:val="22"/>
                <w:szCs w:val="22"/>
                <w:lang w:val="sr-Latn-ME"/>
              </w:rPr>
              <w:t xml:space="preserve">Potpuno obustaviti </w:t>
            </w:r>
            <w:r w:rsidR="00585E85" w:rsidRPr="005A4F9F">
              <w:rPr>
                <w:sz w:val="22"/>
                <w:szCs w:val="22"/>
                <w:lang w:val="sr-Latn-ME"/>
              </w:rPr>
              <w:t xml:space="preserve">primjenu </w:t>
            </w:r>
            <w:r w:rsidR="000D6BC7" w:rsidRPr="005A4F9F">
              <w:rPr>
                <w:bCs/>
                <w:sz w:val="22"/>
                <w:szCs w:val="22"/>
                <w:lang w:val="sr-Latn-ME"/>
              </w:rPr>
              <w:t>tocilizumaba</w:t>
            </w:r>
            <w:r w:rsidR="000D6BC7" w:rsidRPr="005A4F9F">
              <w:rPr>
                <w:sz w:val="22"/>
                <w:szCs w:val="22"/>
                <w:lang w:val="sr-Latn-ME"/>
              </w:rPr>
              <w:t>.</w:t>
            </w:r>
          </w:p>
          <w:p w14:paraId="285A2F06" w14:textId="7916B8E9" w:rsidR="00F34A0E" w:rsidRPr="005A4F9F" w:rsidRDefault="00F34A0E" w:rsidP="008B00DE">
            <w:pPr>
              <w:widowControl w:val="0"/>
              <w:ind w:left="104"/>
              <w:jc w:val="both"/>
              <w:rPr>
                <w:sz w:val="22"/>
                <w:szCs w:val="22"/>
                <w:lang w:val="sr-Latn-ME"/>
              </w:rPr>
            </w:pPr>
            <w:r w:rsidRPr="005A4F9F">
              <w:rPr>
                <w:sz w:val="22"/>
                <w:szCs w:val="22"/>
                <w:lang w:val="sr-Latn-ME"/>
              </w:rPr>
              <w:t xml:space="preserve">Odluka o obustavljanju terapije kod sJIA zbog poremećaja laboratorijskih rezultata </w:t>
            </w:r>
            <w:r w:rsidR="00D25617" w:rsidRPr="005A4F9F">
              <w:rPr>
                <w:sz w:val="22"/>
                <w:szCs w:val="22"/>
                <w:lang w:val="sr-Latn-ME"/>
              </w:rPr>
              <w:t xml:space="preserve">mora </w:t>
            </w:r>
            <w:r w:rsidRPr="005A4F9F">
              <w:rPr>
                <w:sz w:val="22"/>
                <w:szCs w:val="22"/>
                <w:lang w:val="sr-Latn-ME"/>
              </w:rPr>
              <w:t>da se zasniva na individualnoj medicinskoj procjeni svakog pacijenta.</w:t>
            </w:r>
          </w:p>
        </w:tc>
      </w:tr>
    </w:tbl>
    <w:p w14:paraId="4AD53D9B" w14:textId="77777777" w:rsidR="00F34A0E" w:rsidRPr="005A4F9F" w:rsidRDefault="00F34A0E" w:rsidP="008B00DE">
      <w:pPr>
        <w:widowControl w:val="0"/>
        <w:tabs>
          <w:tab w:val="left" w:pos="540"/>
          <w:tab w:val="left" w:pos="569"/>
        </w:tabs>
        <w:jc w:val="both"/>
        <w:rPr>
          <w:bCs/>
          <w:sz w:val="22"/>
          <w:szCs w:val="22"/>
          <w:u w:val="single"/>
          <w:lang w:val="sr-Latn-ME"/>
        </w:rPr>
      </w:pPr>
    </w:p>
    <w:p w14:paraId="71A9362D" w14:textId="77777777"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Nizak broj trombocita</w:t>
      </w:r>
    </w:p>
    <w:p w14:paraId="03905882" w14:textId="77777777" w:rsidR="00F34A0E" w:rsidRPr="005A4F9F" w:rsidRDefault="00F34A0E" w:rsidP="008B00DE">
      <w:pPr>
        <w:widowControl w:val="0"/>
        <w:tabs>
          <w:tab w:val="left" w:pos="540"/>
          <w:tab w:val="left" w:pos="569"/>
        </w:tabs>
        <w:jc w:val="both"/>
        <w:rPr>
          <w:bCs/>
          <w:sz w:val="22"/>
          <w:szCs w:val="22"/>
          <w:u w:val="single"/>
          <w:lang w:val="sr-Latn-ME"/>
        </w:rPr>
      </w:pPr>
    </w:p>
    <w:tbl>
      <w:tblPr>
        <w:tblW w:w="5000" w:type="pct"/>
        <w:tblLayout w:type="fixed"/>
        <w:tblCellMar>
          <w:left w:w="0" w:type="dxa"/>
          <w:right w:w="0" w:type="dxa"/>
        </w:tblCellMar>
        <w:tblLook w:val="01E0" w:firstRow="1" w:lastRow="1" w:firstColumn="1" w:lastColumn="1" w:noHBand="0" w:noVBand="0"/>
      </w:tblPr>
      <w:tblGrid>
        <w:gridCol w:w="2019"/>
        <w:gridCol w:w="7042"/>
      </w:tblGrid>
      <w:tr w:rsidR="00F34A0E" w:rsidRPr="005A4F9F" w14:paraId="4BEB7B16" w14:textId="77777777" w:rsidTr="008B00DE">
        <w:trPr>
          <w:trHeight w:hRule="exact" w:val="768"/>
        </w:trPr>
        <w:tc>
          <w:tcPr>
            <w:tcW w:w="1114" w:type="pct"/>
            <w:tcBorders>
              <w:top w:val="single" w:sz="5" w:space="0" w:color="000000"/>
              <w:left w:val="single" w:sz="5" w:space="0" w:color="000000"/>
              <w:bottom w:val="single" w:sz="5" w:space="0" w:color="000000"/>
              <w:right w:val="single" w:sz="5" w:space="0" w:color="000000"/>
            </w:tcBorders>
          </w:tcPr>
          <w:p w14:paraId="53A025F4" w14:textId="77777777" w:rsidR="00F34A0E" w:rsidRPr="005A4F9F" w:rsidRDefault="00F34A0E" w:rsidP="008B00DE">
            <w:pPr>
              <w:widowControl w:val="0"/>
              <w:spacing w:line="246" w:lineRule="exact"/>
              <w:ind w:left="104"/>
              <w:jc w:val="both"/>
              <w:rPr>
                <w:b/>
                <w:bCs/>
                <w:sz w:val="22"/>
                <w:szCs w:val="22"/>
                <w:lang w:val="sr-Latn-ME"/>
              </w:rPr>
            </w:pPr>
            <w:r w:rsidRPr="005A4F9F">
              <w:rPr>
                <w:b/>
                <w:bCs/>
                <w:sz w:val="22"/>
                <w:szCs w:val="22"/>
                <w:lang w:val="sr-Latn-ME"/>
              </w:rPr>
              <w:t>Laboratorijska vrijednost</w:t>
            </w:r>
          </w:p>
          <w:p w14:paraId="41DCDA5B" w14:textId="4215479D"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w:t>
            </w:r>
            <w:r w:rsidR="000D6BC7" w:rsidRPr="005A4F9F">
              <w:rPr>
                <w:sz w:val="22"/>
                <w:szCs w:val="22"/>
                <w:lang w:val="sr-Latn-ME"/>
              </w:rPr>
              <w:t xml:space="preserve">broj </w:t>
            </w:r>
            <w:r w:rsidRPr="005A4F9F">
              <w:rPr>
                <w:sz w:val="22"/>
                <w:szCs w:val="22"/>
                <w:lang w:val="sr-Latn-ME"/>
              </w:rPr>
              <w:t>ćelija x 10</w:t>
            </w:r>
            <w:r w:rsidRPr="005A4F9F">
              <w:rPr>
                <w:sz w:val="22"/>
                <w:szCs w:val="22"/>
                <w:vertAlign w:val="superscript"/>
                <w:lang w:val="sr-Latn-ME"/>
              </w:rPr>
              <w:t>3</w:t>
            </w:r>
            <w:r w:rsidRPr="005A4F9F">
              <w:rPr>
                <w:sz w:val="22"/>
                <w:szCs w:val="22"/>
                <w:lang w:val="sr-Latn-ME"/>
              </w:rPr>
              <w:t>/ µl)</w:t>
            </w:r>
          </w:p>
        </w:tc>
        <w:tc>
          <w:tcPr>
            <w:tcW w:w="3886" w:type="pct"/>
            <w:tcBorders>
              <w:top w:val="single" w:sz="5" w:space="0" w:color="000000"/>
              <w:left w:val="single" w:sz="5" w:space="0" w:color="000000"/>
              <w:bottom w:val="single" w:sz="5" w:space="0" w:color="000000"/>
              <w:right w:val="single" w:sz="5" w:space="0" w:color="000000"/>
            </w:tcBorders>
          </w:tcPr>
          <w:p w14:paraId="50B1B14B" w14:textId="77777777" w:rsidR="00F34A0E" w:rsidRPr="005A4F9F" w:rsidRDefault="00F34A0E" w:rsidP="008B00DE">
            <w:pPr>
              <w:widowControl w:val="0"/>
              <w:spacing w:line="246" w:lineRule="exact"/>
              <w:ind w:left="102"/>
              <w:jc w:val="both"/>
              <w:rPr>
                <w:b/>
                <w:bCs/>
                <w:sz w:val="22"/>
                <w:szCs w:val="22"/>
                <w:lang w:val="sr-Latn-ME"/>
              </w:rPr>
            </w:pPr>
            <w:r w:rsidRPr="005A4F9F">
              <w:rPr>
                <w:b/>
                <w:bCs/>
                <w:sz w:val="22"/>
                <w:szCs w:val="22"/>
                <w:lang w:val="sr-Latn-ME"/>
              </w:rPr>
              <w:t>Postupanje</w:t>
            </w:r>
          </w:p>
        </w:tc>
      </w:tr>
      <w:tr w:rsidR="00F34A0E" w:rsidRPr="005A4F9F" w14:paraId="735E01A5" w14:textId="77777777" w:rsidTr="008B00DE">
        <w:trPr>
          <w:trHeight w:hRule="exact" w:val="1076"/>
        </w:trPr>
        <w:tc>
          <w:tcPr>
            <w:tcW w:w="1114" w:type="pct"/>
            <w:tcBorders>
              <w:top w:val="single" w:sz="5" w:space="0" w:color="000000"/>
              <w:left w:val="single" w:sz="5" w:space="0" w:color="000000"/>
              <w:bottom w:val="single" w:sz="5" w:space="0" w:color="000000"/>
              <w:right w:val="single" w:sz="5" w:space="0" w:color="000000"/>
            </w:tcBorders>
          </w:tcPr>
          <w:p w14:paraId="23DDE9F7" w14:textId="77777777"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50 do 100</w:t>
            </w:r>
          </w:p>
        </w:tc>
        <w:tc>
          <w:tcPr>
            <w:tcW w:w="3886" w:type="pct"/>
            <w:tcBorders>
              <w:top w:val="single" w:sz="5" w:space="0" w:color="000000"/>
              <w:left w:val="single" w:sz="5" w:space="0" w:color="000000"/>
              <w:bottom w:val="single" w:sz="5" w:space="0" w:color="000000"/>
              <w:right w:val="single" w:sz="5" w:space="0" w:color="000000"/>
            </w:tcBorders>
          </w:tcPr>
          <w:p w14:paraId="13655C95" w14:textId="58967EA7"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Podesiti dozu MTX</w:t>
            </w:r>
            <w:r w:rsidR="000441FE" w:rsidRPr="005A4F9F">
              <w:rPr>
                <w:sz w:val="22"/>
                <w:szCs w:val="22"/>
                <w:lang w:val="sr-Latn-ME"/>
              </w:rPr>
              <w:t>-a</w:t>
            </w:r>
            <w:r w:rsidRPr="005A4F9F">
              <w:rPr>
                <w:sz w:val="22"/>
                <w:szCs w:val="22"/>
                <w:lang w:val="sr-Latn-ME"/>
              </w:rPr>
              <w:t xml:space="preserve"> koja se daje istovremeno, ako je primjereno. </w:t>
            </w:r>
          </w:p>
          <w:p w14:paraId="329D8E48" w14:textId="77C0CCBC"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 xml:space="preserve">Privremeno prekinuti </w:t>
            </w:r>
            <w:r w:rsidR="00BF3808" w:rsidRPr="005A4F9F">
              <w:rPr>
                <w:sz w:val="22"/>
                <w:szCs w:val="22"/>
                <w:lang w:val="sr-Latn-ME"/>
              </w:rPr>
              <w:t xml:space="preserve">primjenu </w:t>
            </w:r>
            <w:r w:rsidR="000D6BC7" w:rsidRPr="005A4F9F">
              <w:rPr>
                <w:bCs/>
                <w:sz w:val="22"/>
                <w:szCs w:val="22"/>
                <w:lang w:val="sr-Latn-ME"/>
              </w:rPr>
              <w:t>tocilizumaba</w:t>
            </w:r>
            <w:r w:rsidR="000D6BC7" w:rsidRPr="005A4F9F">
              <w:rPr>
                <w:sz w:val="22"/>
                <w:szCs w:val="22"/>
                <w:lang w:val="sr-Latn-ME"/>
              </w:rPr>
              <w:t>.</w:t>
            </w:r>
          </w:p>
          <w:p w14:paraId="616824F0" w14:textId="3A7B3F82"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 xml:space="preserve">Kada </w:t>
            </w:r>
            <w:r w:rsidR="00BF3808" w:rsidRPr="005A4F9F">
              <w:rPr>
                <w:sz w:val="22"/>
                <w:szCs w:val="22"/>
                <w:lang w:val="sr-Latn-ME"/>
              </w:rPr>
              <w:t>se</w:t>
            </w:r>
            <w:r w:rsidRPr="005A4F9F">
              <w:rPr>
                <w:sz w:val="22"/>
                <w:szCs w:val="22"/>
                <w:lang w:val="sr-Latn-ME"/>
              </w:rPr>
              <w:t xml:space="preserve"> vrijednost trombocita</w:t>
            </w:r>
            <w:r w:rsidR="00BF3808" w:rsidRPr="005A4F9F">
              <w:rPr>
                <w:sz w:val="22"/>
                <w:szCs w:val="22"/>
                <w:lang w:val="sr-Latn-ME"/>
              </w:rPr>
              <w:t xml:space="preserve"> poveća na</w:t>
            </w:r>
            <w:r w:rsidRPr="005A4F9F">
              <w:rPr>
                <w:sz w:val="22"/>
                <w:szCs w:val="22"/>
                <w:lang w:val="sr-Latn-ME"/>
              </w:rPr>
              <w:t xml:space="preserve"> &gt; 100 x 10</w:t>
            </w:r>
            <w:r w:rsidRPr="005A4F9F">
              <w:rPr>
                <w:sz w:val="22"/>
                <w:szCs w:val="22"/>
                <w:vertAlign w:val="superscript"/>
                <w:lang w:val="sr-Latn-ME"/>
              </w:rPr>
              <w:t>3</w:t>
            </w:r>
            <w:r w:rsidRPr="005A4F9F">
              <w:rPr>
                <w:sz w:val="22"/>
                <w:szCs w:val="22"/>
                <w:lang w:val="sr-Latn-ME"/>
              </w:rPr>
              <w:t xml:space="preserve">/ µl ponovo uvesti </w:t>
            </w:r>
            <w:r w:rsidR="000D6BC7" w:rsidRPr="005A4F9F">
              <w:rPr>
                <w:sz w:val="22"/>
                <w:szCs w:val="22"/>
                <w:lang w:val="sr-Latn-ME"/>
              </w:rPr>
              <w:t>liječenje.</w:t>
            </w:r>
          </w:p>
        </w:tc>
      </w:tr>
      <w:tr w:rsidR="00F34A0E" w:rsidRPr="005A4F9F" w14:paraId="4786593D" w14:textId="77777777" w:rsidTr="008B00DE">
        <w:trPr>
          <w:trHeight w:hRule="exact" w:val="1144"/>
        </w:trPr>
        <w:tc>
          <w:tcPr>
            <w:tcW w:w="1114" w:type="pct"/>
            <w:tcBorders>
              <w:top w:val="single" w:sz="5" w:space="0" w:color="000000"/>
              <w:left w:val="single" w:sz="5" w:space="0" w:color="000000"/>
              <w:bottom w:val="single" w:sz="5" w:space="0" w:color="000000"/>
              <w:right w:val="single" w:sz="5" w:space="0" w:color="000000"/>
            </w:tcBorders>
          </w:tcPr>
          <w:p w14:paraId="78721DCF" w14:textId="77777777"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&lt; 50</w:t>
            </w:r>
          </w:p>
        </w:tc>
        <w:tc>
          <w:tcPr>
            <w:tcW w:w="3886" w:type="pct"/>
            <w:tcBorders>
              <w:top w:val="single" w:sz="5" w:space="0" w:color="000000"/>
              <w:left w:val="single" w:sz="5" w:space="0" w:color="000000"/>
              <w:bottom w:val="single" w:sz="5" w:space="0" w:color="000000"/>
              <w:right w:val="single" w:sz="5" w:space="0" w:color="000000"/>
            </w:tcBorders>
          </w:tcPr>
          <w:p w14:paraId="4CEE8C9A" w14:textId="6F3A77A8" w:rsidR="00F34A0E" w:rsidRPr="005A4F9F" w:rsidRDefault="00F34A0E" w:rsidP="008B00DE">
            <w:pPr>
              <w:widowControl w:val="0"/>
              <w:spacing w:line="245" w:lineRule="exact"/>
              <w:ind w:left="104"/>
              <w:jc w:val="both"/>
              <w:rPr>
                <w:sz w:val="22"/>
                <w:szCs w:val="22"/>
                <w:lang w:val="sr-Latn-ME"/>
              </w:rPr>
            </w:pPr>
            <w:r w:rsidRPr="005A4F9F">
              <w:rPr>
                <w:sz w:val="22"/>
                <w:szCs w:val="22"/>
                <w:lang w:val="sr-Latn-ME"/>
              </w:rPr>
              <w:t xml:space="preserve">Potpuno </w:t>
            </w:r>
            <w:r w:rsidR="00BF3808" w:rsidRPr="005A4F9F">
              <w:rPr>
                <w:sz w:val="22"/>
                <w:szCs w:val="22"/>
                <w:lang w:val="sr-Latn-ME"/>
              </w:rPr>
              <w:t>obustaviti primjenu</w:t>
            </w:r>
            <w:r w:rsidRPr="005A4F9F">
              <w:rPr>
                <w:sz w:val="22"/>
                <w:szCs w:val="22"/>
                <w:lang w:val="sr-Latn-ME"/>
              </w:rPr>
              <w:t xml:space="preserve"> </w:t>
            </w:r>
            <w:r w:rsidR="000D6BC7" w:rsidRPr="005A4F9F">
              <w:rPr>
                <w:bCs/>
                <w:sz w:val="22"/>
                <w:szCs w:val="22"/>
                <w:lang w:val="sr-Latn-ME"/>
              </w:rPr>
              <w:t>tocilizumaba</w:t>
            </w:r>
            <w:r w:rsidRPr="005A4F9F">
              <w:rPr>
                <w:sz w:val="22"/>
                <w:szCs w:val="22"/>
                <w:lang w:val="sr-Latn-ME"/>
              </w:rPr>
              <w:t>.</w:t>
            </w:r>
          </w:p>
          <w:p w14:paraId="7694DA44" w14:textId="4DF14D1E"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 xml:space="preserve">Odluka o obustavljanju terapije  kod </w:t>
            </w:r>
            <w:r w:rsidR="000D6BC7" w:rsidRPr="005A4F9F">
              <w:rPr>
                <w:sz w:val="22"/>
                <w:szCs w:val="22"/>
                <w:lang w:val="sr-Latn-ME"/>
              </w:rPr>
              <w:t xml:space="preserve">pacijenata sa </w:t>
            </w:r>
            <w:r w:rsidRPr="005A4F9F">
              <w:rPr>
                <w:sz w:val="22"/>
                <w:szCs w:val="22"/>
                <w:lang w:val="sr-Latn-ME"/>
              </w:rPr>
              <w:t xml:space="preserve">sJIA  zbog poremećaja laboratorijskih rezultata </w:t>
            </w:r>
            <w:r w:rsidR="00D25617" w:rsidRPr="005A4F9F">
              <w:rPr>
                <w:sz w:val="22"/>
                <w:szCs w:val="22"/>
                <w:lang w:val="sr-Latn-ME"/>
              </w:rPr>
              <w:t xml:space="preserve">mora </w:t>
            </w:r>
            <w:r w:rsidRPr="005A4F9F">
              <w:rPr>
                <w:sz w:val="22"/>
                <w:szCs w:val="22"/>
                <w:lang w:val="sr-Latn-ME"/>
              </w:rPr>
              <w:t>da se zasniva na individualnoj medicinskoj procjeni svakog pacijenta</w:t>
            </w:r>
            <w:r w:rsidR="000D6BC7" w:rsidRPr="005A4F9F">
              <w:rPr>
                <w:sz w:val="22"/>
                <w:szCs w:val="22"/>
                <w:lang w:val="sr-Latn-ME"/>
              </w:rPr>
              <w:t>.</w:t>
            </w:r>
          </w:p>
        </w:tc>
      </w:tr>
    </w:tbl>
    <w:p w14:paraId="081A60CA" w14:textId="77777777" w:rsidR="00F34A0E" w:rsidRPr="005A4F9F" w:rsidRDefault="00F34A0E" w:rsidP="008B00DE">
      <w:pPr>
        <w:widowControl w:val="0"/>
        <w:tabs>
          <w:tab w:val="left" w:pos="540"/>
          <w:tab w:val="left" w:pos="569"/>
        </w:tabs>
        <w:jc w:val="both"/>
        <w:rPr>
          <w:bCs/>
          <w:sz w:val="22"/>
          <w:szCs w:val="22"/>
          <w:u w:val="single"/>
          <w:lang w:val="sr-Latn-ME"/>
        </w:rPr>
      </w:pPr>
    </w:p>
    <w:p w14:paraId="416150DE" w14:textId="77777777" w:rsidR="008F0857" w:rsidRDefault="00574C88" w:rsidP="008B00DE">
      <w:pPr>
        <w:widowControl w:val="0"/>
        <w:tabs>
          <w:tab w:val="left" w:pos="540"/>
          <w:tab w:val="left" w:pos="569"/>
        </w:tabs>
        <w:jc w:val="both"/>
        <w:rPr>
          <w:bCs/>
          <w:sz w:val="22"/>
          <w:szCs w:val="22"/>
          <w:lang w:val="sr-Latn-ME"/>
        </w:rPr>
      </w:pPr>
      <w:r w:rsidRPr="005A4F9F">
        <w:rPr>
          <w:bCs/>
          <w:sz w:val="22"/>
          <w:szCs w:val="22"/>
          <w:lang w:val="sr-Latn-ME"/>
        </w:rPr>
        <w:t>Nema dovoljno kliničkih podataka da bi se mogao procijeniti uticaj smanjenja</w:t>
      </w:r>
      <w:r w:rsidR="00F34A0E" w:rsidRPr="005A4F9F">
        <w:rPr>
          <w:bCs/>
          <w:sz w:val="22"/>
          <w:szCs w:val="22"/>
          <w:lang w:val="sr-Latn-ME"/>
        </w:rPr>
        <w:t xml:space="preserve"> doze tocilizumaba kod oboljelih od sJIA</w:t>
      </w:r>
      <w:r w:rsidRPr="005A4F9F">
        <w:rPr>
          <w:bCs/>
          <w:sz w:val="22"/>
          <w:szCs w:val="22"/>
          <w:lang w:val="sr-Latn-ME"/>
        </w:rPr>
        <w:t xml:space="preserve"> koji su imali poremećaj laboratorijskih rezultata</w:t>
      </w:r>
    </w:p>
    <w:p w14:paraId="76FFE0DF" w14:textId="178110DC" w:rsidR="00F34A0E" w:rsidRPr="005A4F9F" w:rsidRDefault="00F34A0E" w:rsidP="008B00DE">
      <w:pPr>
        <w:widowControl w:val="0"/>
        <w:tabs>
          <w:tab w:val="left" w:pos="540"/>
          <w:tab w:val="left" w:pos="569"/>
        </w:tabs>
        <w:jc w:val="both"/>
        <w:rPr>
          <w:bCs/>
          <w:sz w:val="22"/>
          <w:szCs w:val="22"/>
          <w:lang w:val="sr-Latn-ME"/>
        </w:rPr>
      </w:pPr>
    </w:p>
    <w:p w14:paraId="5162D3C1" w14:textId="4EC3521B"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Dostupni podaci ukaziju na to da je prim</w:t>
      </w:r>
      <w:r w:rsidR="00340525" w:rsidRPr="005A4F9F">
        <w:rPr>
          <w:bCs/>
          <w:sz w:val="22"/>
          <w:szCs w:val="22"/>
          <w:lang w:val="sr-Latn-ME"/>
        </w:rPr>
        <w:t>i</w:t>
      </w:r>
      <w:r w:rsidRPr="005A4F9F">
        <w:rPr>
          <w:bCs/>
          <w:sz w:val="22"/>
          <w:szCs w:val="22"/>
          <w:lang w:val="sr-Latn-ME"/>
        </w:rPr>
        <w:t>jećeno kliničko poboljšanje tokom 6 ned</w:t>
      </w:r>
      <w:r w:rsidR="00340525" w:rsidRPr="005A4F9F">
        <w:rPr>
          <w:bCs/>
          <w:sz w:val="22"/>
          <w:szCs w:val="22"/>
          <w:lang w:val="sr-Latn-ME"/>
        </w:rPr>
        <w:t>j</w:t>
      </w:r>
      <w:r w:rsidRPr="005A4F9F">
        <w:rPr>
          <w:bCs/>
          <w:sz w:val="22"/>
          <w:szCs w:val="22"/>
          <w:lang w:val="sr-Latn-ME"/>
        </w:rPr>
        <w:t xml:space="preserve">elja od početka terapije </w:t>
      </w:r>
      <w:r w:rsidR="00893790" w:rsidRPr="005A4F9F">
        <w:rPr>
          <w:bCs/>
          <w:sz w:val="22"/>
          <w:szCs w:val="22"/>
          <w:lang w:val="sr-Latn-ME"/>
        </w:rPr>
        <w:t>tocilizumabom</w:t>
      </w:r>
      <w:r w:rsidRPr="005A4F9F">
        <w:rPr>
          <w:bCs/>
          <w:sz w:val="22"/>
          <w:szCs w:val="22"/>
          <w:lang w:val="sr-Latn-ME"/>
        </w:rPr>
        <w:t xml:space="preserve">. Nastavak terapije </w:t>
      </w:r>
      <w:r w:rsidR="00893790" w:rsidRPr="005A4F9F">
        <w:rPr>
          <w:bCs/>
          <w:sz w:val="22"/>
          <w:szCs w:val="22"/>
          <w:lang w:val="sr-Latn-ME"/>
        </w:rPr>
        <w:t xml:space="preserve">se mora  </w:t>
      </w:r>
      <w:r w:rsidRPr="005A4F9F">
        <w:rPr>
          <w:bCs/>
          <w:sz w:val="22"/>
          <w:szCs w:val="22"/>
          <w:lang w:val="sr-Latn-ME"/>
        </w:rPr>
        <w:t>pažljivo razmotriti kod pacijenata kod kojih nije pokazano poboljšanje u ovom vremenskom periodu.</w:t>
      </w:r>
    </w:p>
    <w:p w14:paraId="57627FFC" w14:textId="77777777" w:rsidR="00BA1741" w:rsidRPr="005A4F9F" w:rsidRDefault="00BA1741">
      <w:pPr>
        <w:widowControl w:val="0"/>
        <w:tabs>
          <w:tab w:val="left" w:pos="540"/>
          <w:tab w:val="left" w:pos="569"/>
        </w:tabs>
        <w:jc w:val="both"/>
        <w:rPr>
          <w:bCs/>
          <w:sz w:val="22"/>
          <w:szCs w:val="22"/>
          <w:lang w:val="sr-Latn-ME"/>
        </w:rPr>
      </w:pPr>
    </w:p>
    <w:p w14:paraId="78D4BD76" w14:textId="77777777" w:rsidR="00F34A0E" w:rsidRPr="005A4F9F" w:rsidRDefault="00340525">
      <w:pPr>
        <w:widowControl w:val="0"/>
        <w:tabs>
          <w:tab w:val="left" w:pos="540"/>
          <w:tab w:val="left" w:pos="569"/>
        </w:tabs>
        <w:jc w:val="both"/>
        <w:rPr>
          <w:bCs/>
          <w:sz w:val="22"/>
          <w:szCs w:val="22"/>
          <w:u w:val="single"/>
          <w:lang w:val="sr-Latn-ME"/>
        </w:rPr>
      </w:pPr>
      <w:r w:rsidRPr="005A4F9F">
        <w:rPr>
          <w:bCs/>
          <w:sz w:val="22"/>
          <w:szCs w:val="22"/>
          <w:u w:val="single"/>
          <w:lang w:val="sr-Latn-ME"/>
        </w:rPr>
        <w:t>P</w:t>
      </w:r>
      <w:r w:rsidR="00F34A0E" w:rsidRPr="005A4F9F">
        <w:rPr>
          <w:bCs/>
          <w:sz w:val="22"/>
          <w:szCs w:val="22"/>
          <w:u w:val="single"/>
          <w:lang w:val="sr-Latn-ME"/>
        </w:rPr>
        <w:t>acijenti</w:t>
      </w:r>
      <w:r w:rsidRPr="005A4F9F">
        <w:rPr>
          <w:bCs/>
          <w:sz w:val="22"/>
          <w:szCs w:val="22"/>
          <w:u w:val="single"/>
          <w:lang w:val="sr-Latn-ME"/>
        </w:rPr>
        <w:t xml:space="preserve"> sa pJIA</w:t>
      </w:r>
    </w:p>
    <w:p w14:paraId="14754CAF" w14:textId="77777777" w:rsidR="00F34A0E" w:rsidRPr="005A4F9F" w:rsidRDefault="00F34A0E">
      <w:pPr>
        <w:widowControl w:val="0"/>
        <w:tabs>
          <w:tab w:val="left" w:pos="540"/>
          <w:tab w:val="left" w:pos="569"/>
        </w:tabs>
        <w:jc w:val="both"/>
        <w:rPr>
          <w:bCs/>
          <w:sz w:val="22"/>
          <w:szCs w:val="22"/>
          <w:lang w:val="sr-Latn-ME"/>
        </w:rPr>
      </w:pPr>
    </w:p>
    <w:p w14:paraId="730B8FF1" w14:textId="2ECF9B14"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Preporučeno doziranje kod pacijenata starijih od 2 godine je 8mg/kg </w:t>
      </w:r>
      <w:r w:rsidR="0008248D" w:rsidRPr="005A4F9F">
        <w:rPr>
          <w:bCs/>
          <w:sz w:val="22"/>
          <w:szCs w:val="22"/>
          <w:lang w:val="sr-Latn-ME"/>
        </w:rPr>
        <w:t xml:space="preserve">jedanput </w:t>
      </w:r>
      <w:r w:rsidRPr="005A4F9F">
        <w:rPr>
          <w:bCs/>
          <w:sz w:val="22"/>
          <w:szCs w:val="22"/>
          <w:lang w:val="sr-Latn-ME"/>
        </w:rPr>
        <w:t>svake 4 ned</w:t>
      </w:r>
      <w:r w:rsidR="0008248D" w:rsidRPr="005A4F9F">
        <w:rPr>
          <w:bCs/>
          <w:sz w:val="22"/>
          <w:szCs w:val="22"/>
          <w:lang w:val="sr-Latn-ME"/>
        </w:rPr>
        <w:t>j</w:t>
      </w:r>
      <w:r w:rsidRPr="005A4F9F">
        <w:rPr>
          <w:bCs/>
          <w:sz w:val="22"/>
          <w:szCs w:val="22"/>
          <w:lang w:val="sr-Latn-ME"/>
        </w:rPr>
        <w:t xml:space="preserve">elje kod pacijenata sa tjelesnom težinom od 30 kg i više, ili 10 mg/kg </w:t>
      </w:r>
      <w:r w:rsidR="0008248D" w:rsidRPr="005A4F9F">
        <w:rPr>
          <w:bCs/>
          <w:sz w:val="22"/>
          <w:szCs w:val="22"/>
          <w:lang w:val="sr-Latn-ME"/>
        </w:rPr>
        <w:t xml:space="preserve">jedanput </w:t>
      </w:r>
      <w:r w:rsidRPr="005A4F9F">
        <w:rPr>
          <w:bCs/>
          <w:sz w:val="22"/>
          <w:szCs w:val="22"/>
          <w:lang w:val="sr-Latn-ME"/>
        </w:rPr>
        <w:t>svake 4 ned</w:t>
      </w:r>
      <w:r w:rsidR="0008248D" w:rsidRPr="005A4F9F">
        <w:rPr>
          <w:bCs/>
          <w:sz w:val="22"/>
          <w:szCs w:val="22"/>
          <w:lang w:val="sr-Latn-ME"/>
        </w:rPr>
        <w:t>j</w:t>
      </w:r>
      <w:r w:rsidRPr="005A4F9F">
        <w:rPr>
          <w:bCs/>
          <w:sz w:val="22"/>
          <w:szCs w:val="22"/>
          <w:lang w:val="sr-Latn-ME"/>
        </w:rPr>
        <w:t>elje kod pacijenata sa tjelesnom težinom manjom od 30 kg. Doz</w:t>
      </w:r>
      <w:r w:rsidR="00AA645D" w:rsidRPr="005A4F9F">
        <w:rPr>
          <w:bCs/>
          <w:sz w:val="22"/>
          <w:szCs w:val="22"/>
          <w:lang w:val="sr-Latn-ME"/>
        </w:rPr>
        <w:t>a se</w:t>
      </w:r>
      <w:r w:rsidRPr="005A4F9F">
        <w:rPr>
          <w:bCs/>
          <w:sz w:val="22"/>
          <w:szCs w:val="22"/>
          <w:lang w:val="sr-Latn-ME"/>
        </w:rPr>
        <w:t xml:space="preserve"> </w:t>
      </w:r>
      <w:r w:rsidR="00AA645D" w:rsidRPr="005A4F9F">
        <w:rPr>
          <w:bCs/>
          <w:sz w:val="22"/>
          <w:szCs w:val="22"/>
          <w:lang w:val="sr-Latn-ME"/>
        </w:rPr>
        <w:t xml:space="preserve">mora </w:t>
      </w:r>
      <w:r w:rsidRPr="005A4F9F">
        <w:rPr>
          <w:bCs/>
          <w:sz w:val="22"/>
          <w:szCs w:val="22"/>
          <w:lang w:val="sr-Latn-ME"/>
        </w:rPr>
        <w:t>izračunavati u skladu sa tjelesnom težinom pacijenta prilikom svake primjene lijeka. Promjene doze treba da su bazirane na održivoj promjeni tjelesne težine pacijenta tokom vremena</w:t>
      </w:r>
      <w:r w:rsidR="0008248D" w:rsidRPr="005A4F9F">
        <w:rPr>
          <w:bCs/>
          <w:sz w:val="22"/>
          <w:szCs w:val="22"/>
          <w:lang w:val="sr-Latn-ME"/>
        </w:rPr>
        <w:t>.</w:t>
      </w:r>
    </w:p>
    <w:p w14:paraId="1D9DFD80" w14:textId="77777777" w:rsidR="00F34A0E" w:rsidRPr="005A4F9F" w:rsidRDefault="00F34A0E">
      <w:pPr>
        <w:widowControl w:val="0"/>
        <w:tabs>
          <w:tab w:val="left" w:pos="540"/>
          <w:tab w:val="left" w:pos="569"/>
        </w:tabs>
        <w:jc w:val="both"/>
        <w:rPr>
          <w:bCs/>
          <w:sz w:val="22"/>
          <w:szCs w:val="22"/>
          <w:lang w:val="sr-Latn-ME"/>
        </w:rPr>
      </w:pPr>
    </w:p>
    <w:p w14:paraId="735F1BE7" w14:textId="085D989D" w:rsidR="00AA645D" w:rsidRPr="005A4F9F" w:rsidRDefault="00F34A0E" w:rsidP="008B00DE">
      <w:pPr>
        <w:widowControl w:val="0"/>
        <w:jc w:val="both"/>
        <w:rPr>
          <w:sz w:val="22"/>
          <w:szCs w:val="22"/>
          <w:lang w:val="sr-Latn-ME"/>
        </w:rPr>
      </w:pPr>
      <w:r w:rsidRPr="005A4F9F">
        <w:rPr>
          <w:bCs/>
          <w:sz w:val="22"/>
          <w:szCs w:val="22"/>
          <w:lang w:val="sr-Latn-ME"/>
        </w:rPr>
        <w:t xml:space="preserve">Bezbjednost i efikasnost </w:t>
      </w:r>
      <w:r w:rsidR="00AA645D" w:rsidRPr="005A4F9F">
        <w:rPr>
          <w:bCs/>
          <w:sz w:val="22"/>
          <w:szCs w:val="22"/>
          <w:lang w:val="sr-Latn-ME"/>
        </w:rPr>
        <w:t>tocilizumaba</w:t>
      </w:r>
      <w:r w:rsidRPr="005A4F9F">
        <w:rPr>
          <w:bCs/>
          <w:sz w:val="22"/>
          <w:szCs w:val="22"/>
          <w:lang w:val="sr-Latn-ME"/>
        </w:rPr>
        <w:t xml:space="preserve"> </w:t>
      </w:r>
      <w:r w:rsidR="0008248D" w:rsidRPr="005A4F9F">
        <w:rPr>
          <w:bCs/>
          <w:sz w:val="22"/>
          <w:szCs w:val="22"/>
          <w:lang w:val="sr-Latn-ME"/>
        </w:rPr>
        <w:t xml:space="preserve">za </w:t>
      </w:r>
      <w:r w:rsidR="002B3FFC" w:rsidRPr="005A4F9F">
        <w:rPr>
          <w:bCs/>
          <w:sz w:val="22"/>
          <w:szCs w:val="22"/>
          <w:lang w:val="sr-Latn-ME"/>
        </w:rPr>
        <w:t>intravens</w:t>
      </w:r>
      <w:r w:rsidR="0008248D" w:rsidRPr="005A4F9F">
        <w:rPr>
          <w:bCs/>
          <w:sz w:val="22"/>
          <w:szCs w:val="22"/>
          <w:lang w:val="sr-Latn-ME"/>
        </w:rPr>
        <w:t xml:space="preserve">ku </w:t>
      </w:r>
      <w:r w:rsidR="002B3FFC" w:rsidRPr="005A4F9F">
        <w:rPr>
          <w:bCs/>
          <w:sz w:val="22"/>
          <w:szCs w:val="22"/>
          <w:lang w:val="sr-Latn-ME"/>
        </w:rPr>
        <w:t>p</w:t>
      </w:r>
      <w:r w:rsidR="0008248D" w:rsidRPr="005A4F9F">
        <w:rPr>
          <w:bCs/>
          <w:sz w:val="22"/>
          <w:szCs w:val="22"/>
          <w:lang w:val="sr-Latn-ME"/>
        </w:rPr>
        <w:t xml:space="preserve">rimjenu </w:t>
      </w:r>
      <w:r w:rsidRPr="005A4F9F">
        <w:rPr>
          <w:bCs/>
          <w:sz w:val="22"/>
          <w:szCs w:val="22"/>
          <w:lang w:val="sr-Latn-ME"/>
        </w:rPr>
        <w:t xml:space="preserve">kod pacijenata </w:t>
      </w:r>
      <w:r w:rsidR="00542633" w:rsidRPr="005A4F9F">
        <w:rPr>
          <w:bCs/>
          <w:sz w:val="22"/>
          <w:szCs w:val="22"/>
          <w:lang w:val="sr-Latn-ME"/>
        </w:rPr>
        <w:t>ml</w:t>
      </w:r>
      <w:r w:rsidRPr="005A4F9F">
        <w:rPr>
          <w:bCs/>
          <w:sz w:val="22"/>
          <w:szCs w:val="22"/>
          <w:lang w:val="sr-Latn-ME"/>
        </w:rPr>
        <w:t xml:space="preserve">ađih od 2 godine nije ustanovljena. </w:t>
      </w:r>
      <w:r w:rsidR="00AA645D" w:rsidRPr="005A4F9F">
        <w:rPr>
          <w:sz w:val="22"/>
          <w:szCs w:val="22"/>
          <w:lang w:val="sr-Latn-ME" w:bidi="hr-HR"/>
        </w:rPr>
        <w:t>Trenutno dostupni podaci opisani su u dijelovima 4.8, 5.1 i 5.2</w:t>
      </w:r>
      <w:r w:rsidR="00EA483D" w:rsidRPr="005A4F9F">
        <w:rPr>
          <w:sz w:val="22"/>
          <w:szCs w:val="22"/>
          <w:lang w:val="sr-Latn-ME" w:bidi="hr-HR"/>
        </w:rPr>
        <w:t>,</w:t>
      </w:r>
      <w:r w:rsidR="00AA645D" w:rsidRPr="005A4F9F">
        <w:rPr>
          <w:sz w:val="22"/>
          <w:szCs w:val="22"/>
          <w:lang w:val="sr-Latn-ME" w:bidi="hr-HR"/>
        </w:rPr>
        <w:t xml:space="preserve"> međutim nije moguće dati </w:t>
      </w:r>
      <w:r w:rsidR="00AA645D" w:rsidRPr="005A4F9F">
        <w:rPr>
          <w:sz w:val="22"/>
          <w:szCs w:val="22"/>
          <w:lang w:val="sr-Latn-ME" w:bidi="hr-HR"/>
        </w:rPr>
        <w:lastRenderedPageBreak/>
        <w:t>preporuku o doziranju.</w:t>
      </w:r>
    </w:p>
    <w:p w14:paraId="59A2A340" w14:textId="77777777" w:rsidR="00F34A0E" w:rsidRPr="005A4F9F" w:rsidRDefault="00F34A0E">
      <w:pPr>
        <w:widowControl w:val="0"/>
        <w:tabs>
          <w:tab w:val="left" w:pos="540"/>
          <w:tab w:val="left" w:pos="569"/>
        </w:tabs>
        <w:jc w:val="both"/>
        <w:rPr>
          <w:bCs/>
          <w:sz w:val="22"/>
          <w:szCs w:val="22"/>
          <w:lang w:val="sr-Latn-ME"/>
        </w:rPr>
      </w:pPr>
    </w:p>
    <w:p w14:paraId="4F5DA70A" w14:textId="77777777"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U </w:t>
      </w:r>
      <w:r w:rsidR="0008248D" w:rsidRPr="005A4F9F">
        <w:rPr>
          <w:bCs/>
          <w:sz w:val="22"/>
          <w:szCs w:val="22"/>
          <w:lang w:val="sr-Latn-ME"/>
        </w:rPr>
        <w:t>tabelama u nastavku prikazani su</w:t>
      </w:r>
      <w:r w:rsidRPr="005A4F9F">
        <w:rPr>
          <w:bCs/>
          <w:sz w:val="22"/>
          <w:szCs w:val="22"/>
          <w:lang w:val="sr-Latn-ME"/>
        </w:rPr>
        <w:t xml:space="preserve"> preporučeni privremeni prekidi u liječenj</w:t>
      </w:r>
      <w:r w:rsidR="0008248D" w:rsidRPr="005A4F9F">
        <w:rPr>
          <w:bCs/>
          <w:sz w:val="22"/>
          <w:szCs w:val="22"/>
          <w:lang w:val="sr-Latn-ME"/>
        </w:rPr>
        <w:t>u</w:t>
      </w:r>
      <w:r w:rsidRPr="005A4F9F">
        <w:rPr>
          <w:bCs/>
          <w:sz w:val="22"/>
          <w:szCs w:val="22"/>
          <w:lang w:val="sr-Latn-ME"/>
        </w:rPr>
        <w:t xml:space="preserve"> pacijenata</w:t>
      </w:r>
      <w:r w:rsidR="0008248D" w:rsidRPr="005A4F9F">
        <w:rPr>
          <w:bCs/>
          <w:sz w:val="22"/>
          <w:szCs w:val="22"/>
          <w:lang w:val="sr-Latn-ME"/>
        </w:rPr>
        <w:t xml:space="preserve"> sa pJIA</w:t>
      </w:r>
      <w:r w:rsidRPr="005A4F9F">
        <w:rPr>
          <w:bCs/>
          <w:sz w:val="22"/>
          <w:szCs w:val="22"/>
          <w:lang w:val="sr-Latn-ME"/>
        </w:rPr>
        <w:t xml:space="preserve"> u zavisnosti od laboratorijskih vrijednosti. Ukoliko je </w:t>
      </w:r>
      <w:r w:rsidR="005A67CF" w:rsidRPr="005A4F9F">
        <w:rPr>
          <w:bCs/>
          <w:sz w:val="22"/>
          <w:szCs w:val="22"/>
          <w:lang w:val="sr-Latn-ME"/>
        </w:rPr>
        <w:t>potrebno</w:t>
      </w:r>
      <w:r w:rsidRPr="005A4F9F">
        <w:rPr>
          <w:bCs/>
          <w:sz w:val="22"/>
          <w:szCs w:val="22"/>
          <w:lang w:val="sr-Latn-ME"/>
        </w:rPr>
        <w:t>, doza metotreksata koji se primjenjuje istovremeno, i/ili drugih ljekova treba da se podesi, ili da se primjena ovih ljekova i tocilizumaba prekine dok se ne uradi procjena kliničkog stanja. S obzirom da brojni komorbiditeti mogu uticati na laboratorijske vrijednosti oboljelih od pJIA, odluka o obustavljanju terapije zbog poremećaja laboratorijskih rezultata treba da se zasniva na individualnoj medicinskoj procjeni svakog pacijenta.</w:t>
      </w:r>
    </w:p>
    <w:p w14:paraId="7F1C1935" w14:textId="77777777" w:rsidR="00D62AD2" w:rsidRPr="005A4F9F" w:rsidRDefault="00D62AD2">
      <w:pPr>
        <w:widowControl w:val="0"/>
        <w:tabs>
          <w:tab w:val="left" w:pos="540"/>
          <w:tab w:val="left" w:pos="569"/>
        </w:tabs>
        <w:jc w:val="both"/>
        <w:rPr>
          <w:bCs/>
          <w:sz w:val="22"/>
          <w:szCs w:val="22"/>
          <w:lang w:val="sr-Latn-ME"/>
        </w:rPr>
      </w:pPr>
    </w:p>
    <w:p w14:paraId="7400034E" w14:textId="77B506E8"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 xml:space="preserve">Poremećaji </w:t>
      </w:r>
      <w:r w:rsidR="00AF6514" w:rsidRPr="005A4F9F">
        <w:rPr>
          <w:bCs/>
          <w:sz w:val="22"/>
          <w:szCs w:val="22"/>
          <w:lang w:val="sr-Latn-ME"/>
        </w:rPr>
        <w:t>vr</w:t>
      </w:r>
      <w:r w:rsidR="00EA483D" w:rsidRPr="005A4F9F">
        <w:rPr>
          <w:bCs/>
          <w:sz w:val="22"/>
          <w:szCs w:val="22"/>
          <w:lang w:val="sr-Latn-ME"/>
        </w:rPr>
        <w:t>ij</w:t>
      </w:r>
      <w:r w:rsidR="00AF6514" w:rsidRPr="005A4F9F">
        <w:rPr>
          <w:bCs/>
          <w:sz w:val="22"/>
          <w:szCs w:val="22"/>
          <w:lang w:val="sr-Latn-ME"/>
        </w:rPr>
        <w:t xml:space="preserve">ednosti </w:t>
      </w:r>
      <w:r w:rsidRPr="005A4F9F">
        <w:rPr>
          <w:bCs/>
          <w:sz w:val="22"/>
          <w:szCs w:val="22"/>
          <w:lang w:val="sr-Latn-ME"/>
        </w:rPr>
        <w:t>enzima jetre</w:t>
      </w:r>
    </w:p>
    <w:p w14:paraId="3F8BCDAF" w14:textId="77777777" w:rsidR="00F34A0E" w:rsidRPr="005A4F9F" w:rsidRDefault="00F34A0E" w:rsidP="008B00DE">
      <w:pPr>
        <w:widowControl w:val="0"/>
        <w:tabs>
          <w:tab w:val="left" w:pos="540"/>
          <w:tab w:val="left" w:pos="569"/>
        </w:tabs>
        <w:jc w:val="both"/>
        <w:rPr>
          <w:bCs/>
          <w:sz w:val="22"/>
          <w:szCs w:val="22"/>
          <w:lang w:val="sr-Latn-ME"/>
        </w:rPr>
      </w:pPr>
    </w:p>
    <w:tbl>
      <w:tblPr>
        <w:tblW w:w="9072" w:type="dxa"/>
        <w:tblInd w:w="-6" w:type="dxa"/>
        <w:tblLayout w:type="fixed"/>
        <w:tblCellMar>
          <w:left w:w="0" w:type="dxa"/>
          <w:right w:w="0" w:type="dxa"/>
        </w:tblCellMar>
        <w:tblLook w:val="01E0" w:firstRow="1" w:lastRow="1" w:firstColumn="1" w:lastColumn="1" w:noHBand="0" w:noVBand="0"/>
      </w:tblPr>
      <w:tblGrid>
        <w:gridCol w:w="2152"/>
        <w:gridCol w:w="6920"/>
      </w:tblGrid>
      <w:tr w:rsidR="00F34A0E" w:rsidRPr="005A4F9F" w14:paraId="33420BD0" w14:textId="77777777" w:rsidTr="006B57D8">
        <w:trPr>
          <w:trHeight w:hRule="exact" w:val="516"/>
        </w:trPr>
        <w:tc>
          <w:tcPr>
            <w:tcW w:w="2152" w:type="dxa"/>
            <w:tcBorders>
              <w:top w:val="single" w:sz="5" w:space="0" w:color="000000"/>
              <w:left w:val="single" w:sz="5" w:space="0" w:color="000000"/>
              <w:bottom w:val="single" w:sz="5" w:space="0" w:color="000000"/>
              <w:right w:val="single" w:sz="5" w:space="0" w:color="000000"/>
            </w:tcBorders>
          </w:tcPr>
          <w:p w14:paraId="715E8046" w14:textId="77777777" w:rsidR="00F34A0E" w:rsidRPr="005A4F9F" w:rsidRDefault="00F34A0E" w:rsidP="008B00DE">
            <w:pPr>
              <w:widowControl w:val="0"/>
              <w:spacing w:line="239" w:lineRule="auto"/>
              <w:ind w:left="104"/>
              <w:jc w:val="both"/>
              <w:rPr>
                <w:b/>
                <w:bCs/>
                <w:sz w:val="22"/>
                <w:szCs w:val="22"/>
                <w:lang w:val="sr-Latn-ME"/>
              </w:rPr>
            </w:pPr>
            <w:r w:rsidRPr="005A4F9F">
              <w:rPr>
                <w:b/>
                <w:bCs/>
                <w:sz w:val="22"/>
                <w:szCs w:val="22"/>
                <w:lang w:val="sr-Latn-ME"/>
              </w:rPr>
              <w:t>Laboratorijska vrijednost</w:t>
            </w:r>
          </w:p>
        </w:tc>
        <w:tc>
          <w:tcPr>
            <w:tcW w:w="6920" w:type="dxa"/>
            <w:tcBorders>
              <w:top w:val="single" w:sz="5" w:space="0" w:color="000000"/>
              <w:left w:val="single" w:sz="5" w:space="0" w:color="000000"/>
              <w:bottom w:val="single" w:sz="5" w:space="0" w:color="000000"/>
              <w:right w:val="single" w:sz="5" w:space="0" w:color="000000"/>
            </w:tcBorders>
          </w:tcPr>
          <w:p w14:paraId="516BE521" w14:textId="77777777" w:rsidR="00F34A0E" w:rsidRPr="005A4F9F" w:rsidRDefault="00F34A0E" w:rsidP="008B00DE">
            <w:pPr>
              <w:widowControl w:val="0"/>
              <w:spacing w:line="246" w:lineRule="exact"/>
              <w:ind w:left="102"/>
              <w:jc w:val="both"/>
              <w:rPr>
                <w:b/>
                <w:bCs/>
                <w:sz w:val="22"/>
                <w:szCs w:val="22"/>
                <w:lang w:val="sr-Latn-ME"/>
              </w:rPr>
            </w:pPr>
            <w:r w:rsidRPr="005A4F9F">
              <w:rPr>
                <w:b/>
                <w:bCs/>
                <w:sz w:val="22"/>
                <w:szCs w:val="22"/>
                <w:lang w:val="sr-Latn-ME"/>
              </w:rPr>
              <w:t>Postupanje</w:t>
            </w:r>
          </w:p>
        </w:tc>
      </w:tr>
      <w:tr w:rsidR="00F34A0E" w:rsidRPr="005A4F9F" w14:paraId="031AFA90" w14:textId="77777777" w:rsidTr="006B57D8">
        <w:trPr>
          <w:trHeight w:hRule="exact" w:val="1366"/>
        </w:trPr>
        <w:tc>
          <w:tcPr>
            <w:tcW w:w="2152" w:type="dxa"/>
            <w:tcBorders>
              <w:top w:val="single" w:sz="5" w:space="0" w:color="000000"/>
              <w:left w:val="single" w:sz="5" w:space="0" w:color="000000"/>
              <w:bottom w:val="single" w:sz="5" w:space="0" w:color="000000"/>
              <w:right w:val="single" w:sz="5" w:space="0" w:color="000000"/>
            </w:tcBorders>
          </w:tcPr>
          <w:p w14:paraId="07CC08D3" w14:textId="17E112C7" w:rsidR="00F34A0E" w:rsidRPr="005A4F9F" w:rsidRDefault="00F34A0E" w:rsidP="008B00DE">
            <w:pPr>
              <w:widowControl w:val="0"/>
              <w:spacing w:line="239" w:lineRule="auto"/>
              <w:ind w:left="104"/>
              <w:jc w:val="both"/>
              <w:rPr>
                <w:sz w:val="22"/>
                <w:szCs w:val="22"/>
                <w:lang w:val="sr-Latn-ME"/>
              </w:rPr>
            </w:pPr>
            <w:r w:rsidRPr="005A4F9F">
              <w:rPr>
                <w:sz w:val="22"/>
                <w:szCs w:val="22"/>
                <w:lang w:val="sr-Latn-ME"/>
              </w:rPr>
              <w:t>&gt; 1 do 3 x GGN</w:t>
            </w:r>
          </w:p>
        </w:tc>
        <w:tc>
          <w:tcPr>
            <w:tcW w:w="6920" w:type="dxa"/>
            <w:tcBorders>
              <w:top w:val="single" w:sz="5" w:space="0" w:color="000000"/>
              <w:left w:val="single" w:sz="5" w:space="0" w:color="000000"/>
              <w:bottom w:val="single" w:sz="5" w:space="0" w:color="000000"/>
              <w:right w:val="single" w:sz="5" w:space="0" w:color="000000"/>
            </w:tcBorders>
          </w:tcPr>
          <w:p w14:paraId="397B4D76" w14:textId="68B92FB0" w:rsidR="00F34A0E" w:rsidRPr="005A4F9F" w:rsidRDefault="00F34A0E">
            <w:pPr>
              <w:widowControl w:val="0"/>
              <w:spacing w:line="245" w:lineRule="exact"/>
              <w:ind w:left="102"/>
              <w:jc w:val="both"/>
              <w:rPr>
                <w:sz w:val="22"/>
                <w:szCs w:val="22"/>
                <w:lang w:val="sr-Latn-ME"/>
              </w:rPr>
            </w:pPr>
            <w:r w:rsidRPr="005A4F9F">
              <w:rPr>
                <w:sz w:val="22"/>
                <w:szCs w:val="22"/>
                <w:lang w:val="sr-Latn-ME"/>
              </w:rPr>
              <w:t>Podesiti dozu MTX</w:t>
            </w:r>
            <w:r w:rsidR="00CE0C85" w:rsidRPr="005A4F9F">
              <w:rPr>
                <w:sz w:val="22"/>
                <w:szCs w:val="22"/>
                <w:lang w:val="sr-Latn-ME"/>
              </w:rPr>
              <w:t>-a</w:t>
            </w:r>
            <w:r w:rsidRPr="005A4F9F">
              <w:rPr>
                <w:sz w:val="22"/>
                <w:szCs w:val="22"/>
                <w:lang w:val="sr-Latn-ME"/>
              </w:rPr>
              <w:t xml:space="preserve"> koja se daje istovremeno, ako je primjereno.</w:t>
            </w:r>
          </w:p>
          <w:p w14:paraId="4A57744B" w14:textId="77777777" w:rsidR="00F34A0E" w:rsidRPr="005A4F9F" w:rsidRDefault="00F34A0E">
            <w:pPr>
              <w:widowControl w:val="0"/>
              <w:spacing w:line="245" w:lineRule="exact"/>
              <w:ind w:left="102"/>
              <w:jc w:val="both"/>
              <w:rPr>
                <w:sz w:val="22"/>
                <w:szCs w:val="22"/>
                <w:lang w:val="sr-Latn-ME"/>
              </w:rPr>
            </w:pPr>
          </w:p>
          <w:p w14:paraId="18154594" w14:textId="1AB1D0E5" w:rsidR="00F34A0E" w:rsidRPr="005A4F9F" w:rsidRDefault="00F34A0E">
            <w:pPr>
              <w:widowControl w:val="0"/>
              <w:ind w:left="102"/>
              <w:jc w:val="both"/>
              <w:rPr>
                <w:sz w:val="22"/>
                <w:szCs w:val="22"/>
                <w:lang w:val="sr-Latn-ME"/>
              </w:rPr>
            </w:pPr>
            <w:r w:rsidRPr="005A4F9F">
              <w:rPr>
                <w:sz w:val="22"/>
                <w:szCs w:val="22"/>
                <w:lang w:val="sr-Latn-ME"/>
              </w:rPr>
              <w:t>U slučajevima perzistentnog porasta u ovom rasponu obustaviti</w:t>
            </w:r>
            <w:r w:rsidR="005A67CF" w:rsidRPr="005A4F9F">
              <w:rPr>
                <w:sz w:val="22"/>
                <w:szCs w:val="22"/>
                <w:lang w:val="sr-Latn-ME"/>
              </w:rPr>
              <w:t xml:space="preserve"> primjenu</w:t>
            </w:r>
            <w:r w:rsidRPr="005A4F9F">
              <w:rPr>
                <w:sz w:val="22"/>
                <w:szCs w:val="22"/>
                <w:lang w:val="sr-Latn-ME"/>
              </w:rPr>
              <w:t xml:space="preserve"> </w:t>
            </w:r>
            <w:r w:rsidR="00AA645D" w:rsidRPr="005A4F9F">
              <w:rPr>
                <w:sz w:val="22"/>
                <w:szCs w:val="22"/>
                <w:lang w:val="sr-Latn-ME"/>
              </w:rPr>
              <w:t>tocilizumaba</w:t>
            </w:r>
            <w:r w:rsidRPr="005A4F9F">
              <w:rPr>
                <w:sz w:val="22"/>
                <w:szCs w:val="22"/>
                <w:lang w:val="sr-Latn-ME"/>
              </w:rPr>
              <w:t>sve dok se ne normalizuju vrijednosti ALT</w:t>
            </w:r>
            <w:r w:rsidR="00854C81" w:rsidRPr="005A4F9F">
              <w:rPr>
                <w:sz w:val="22"/>
                <w:szCs w:val="22"/>
                <w:lang w:val="sr-Latn-ME"/>
              </w:rPr>
              <w:t>/</w:t>
            </w:r>
            <w:r w:rsidRPr="005A4F9F">
              <w:rPr>
                <w:sz w:val="22"/>
                <w:szCs w:val="22"/>
                <w:lang w:val="sr-Latn-ME"/>
              </w:rPr>
              <w:t>AST</w:t>
            </w:r>
            <w:r w:rsidR="00AA645D" w:rsidRPr="005A4F9F">
              <w:rPr>
                <w:sz w:val="22"/>
                <w:szCs w:val="22"/>
                <w:lang w:val="sr-Latn-ME"/>
              </w:rPr>
              <w:t>.</w:t>
            </w:r>
          </w:p>
        </w:tc>
      </w:tr>
      <w:tr w:rsidR="00F34A0E" w:rsidRPr="005A4F9F" w14:paraId="0E257F45" w14:textId="77777777" w:rsidTr="006B57D8">
        <w:trPr>
          <w:trHeight w:hRule="exact" w:val="1342"/>
        </w:trPr>
        <w:tc>
          <w:tcPr>
            <w:tcW w:w="2152" w:type="dxa"/>
            <w:tcBorders>
              <w:top w:val="single" w:sz="5" w:space="0" w:color="000000"/>
              <w:left w:val="single" w:sz="5" w:space="0" w:color="000000"/>
              <w:bottom w:val="single" w:sz="5" w:space="0" w:color="000000"/>
              <w:right w:val="single" w:sz="5" w:space="0" w:color="000000"/>
            </w:tcBorders>
          </w:tcPr>
          <w:p w14:paraId="3D0B17D7" w14:textId="77777777" w:rsidR="00F34A0E" w:rsidRPr="005A4F9F" w:rsidRDefault="00F34A0E" w:rsidP="008B00DE">
            <w:pPr>
              <w:widowControl w:val="0"/>
              <w:spacing w:line="239" w:lineRule="auto"/>
              <w:ind w:left="104"/>
              <w:jc w:val="both"/>
              <w:rPr>
                <w:sz w:val="22"/>
                <w:szCs w:val="22"/>
                <w:lang w:val="sr-Latn-ME"/>
              </w:rPr>
            </w:pPr>
            <w:r w:rsidRPr="005A4F9F">
              <w:rPr>
                <w:sz w:val="22"/>
                <w:szCs w:val="22"/>
                <w:lang w:val="sr-Latn-ME"/>
              </w:rPr>
              <w:t>&gt; 3 x GGN do 5 x GGN</w:t>
            </w:r>
          </w:p>
        </w:tc>
        <w:tc>
          <w:tcPr>
            <w:tcW w:w="6920" w:type="dxa"/>
            <w:tcBorders>
              <w:top w:val="single" w:sz="5" w:space="0" w:color="000000"/>
              <w:left w:val="single" w:sz="5" w:space="0" w:color="000000"/>
              <w:bottom w:val="single" w:sz="5" w:space="0" w:color="000000"/>
              <w:right w:val="single" w:sz="5" w:space="0" w:color="000000"/>
            </w:tcBorders>
          </w:tcPr>
          <w:p w14:paraId="6D9E6F6B" w14:textId="426618C5" w:rsidR="00F34A0E" w:rsidRPr="005A4F9F" w:rsidRDefault="00F34A0E" w:rsidP="008B00DE">
            <w:pPr>
              <w:widowControl w:val="0"/>
              <w:spacing w:line="245" w:lineRule="exact"/>
              <w:ind w:left="102"/>
              <w:jc w:val="both"/>
              <w:rPr>
                <w:sz w:val="22"/>
                <w:szCs w:val="22"/>
                <w:lang w:val="sr-Latn-ME"/>
              </w:rPr>
            </w:pPr>
            <w:r w:rsidRPr="005A4F9F">
              <w:rPr>
                <w:sz w:val="22"/>
                <w:szCs w:val="22"/>
                <w:lang w:val="sr-Latn-ME"/>
              </w:rPr>
              <w:t>Podesiti dozu MTX</w:t>
            </w:r>
            <w:r w:rsidR="00F40543" w:rsidRPr="005A4F9F">
              <w:rPr>
                <w:sz w:val="22"/>
                <w:szCs w:val="22"/>
                <w:lang w:val="sr-Latn-ME"/>
              </w:rPr>
              <w:t xml:space="preserve">-a </w:t>
            </w:r>
            <w:r w:rsidRPr="005A4F9F">
              <w:rPr>
                <w:sz w:val="22"/>
                <w:szCs w:val="22"/>
                <w:lang w:val="sr-Latn-ME"/>
              </w:rPr>
              <w:t xml:space="preserve"> koja se daje istovremeno, ako je primjereno.</w:t>
            </w:r>
          </w:p>
          <w:p w14:paraId="72254452" w14:textId="77777777" w:rsidR="00F34A0E" w:rsidRPr="005A4F9F" w:rsidRDefault="00F34A0E" w:rsidP="008B00DE">
            <w:pPr>
              <w:widowControl w:val="0"/>
              <w:spacing w:line="245" w:lineRule="exact"/>
              <w:ind w:left="102"/>
              <w:jc w:val="both"/>
              <w:rPr>
                <w:sz w:val="22"/>
                <w:szCs w:val="22"/>
                <w:lang w:val="sr-Latn-ME"/>
              </w:rPr>
            </w:pPr>
          </w:p>
          <w:p w14:paraId="1ABADFB9" w14:textId="66912128" w:rsidR="00F34A0E" w:rsidRPr="005A4F9F" w:rsidRDefault="00F34A0E" w:rsidP="008B00DE">
            <w:pPr>
              <w:widowControl w:val="0"/>
              <w:spacing w:line="252" w:lineRule="exact"/>
              <w:ind w:left="102"/>
              <w:jc w:val="both"/>
              <w:rPr>
                <w:sz w:val="22"/>
                <w:szCs w:val="22"/>
                <w:lang w:val="sr-Latn-ME"/>
              </w:rPr>
            </w:pPr>
            <w:r w:rsidRPr="005A4F9F">
              <w:rPr>
                <w:sz w:val="22"/>
                <w:szCs w:val="22"/>
                <w:lang w:val="sr-Latn-ME"/>
              </w:rPr>
              <w:t xml:space="preserve">Privremeno prekinuti </w:t>
            </w:r>
            <w:r w:rsidR="005A67CF" w:rsidRPr="005A4F9F">
              <w:rPr>
                <w:sz w:val="22"/>
                <w:szCs w:val="22"/>
                <w:lang w:val="sr-Latn-ME"/>
              </w:rPr>
              <w:t xml:space="preserve">primjenu </w:t>
            </w:r>
            <w:r w:rsidR="00AA645D" w:rsidRPr="005A4F9F">
              <w:rPr>
                <w:sz w:val="22"/>
                <w:szCs w:val="22"/>
                <w:lang w:val="sr-Latn-ME"/>
              </w:rPr>
              <w:t>tocilizumaba</w:t>
            </w:r>
            <w:r w:rsidR="00F40543" w:rsidRPr="005A4F9F">
              <w:rPr>
                <w:sz w:val="22"/>
                <w:szCs w:val="22"/>
                <w:lang w:val="sr-Latn-ME"/>
              </w:rPr>
              <w:t xml:space="preserve">, </w:t>
            </w:r>
            <w:r w:rsidRPr="005A4F9F">
              <w:rPr>
                <w:sz w:val="22"/>
                <w:szCs w:val="22"/>
                <w:lang w:val="sr-Latn-ME"/>
              </w:rPr>
              <w:t>dok vrijednosti ne spadnu na  &lt; 3 x GGN</w:t>
            </w:r>
            <w:r w:rsidR="005A67CF" w:rsidRPr="005A4F9F">
              <w:rPr>
                <w:sz w:val="22"/>
                <w:szCs w:val="22"/>
                <w:lang w:val="sr-Latn-ME"/>
              </w:rPr>
              <w:t xml:space="preserve">, a zatim </w:t>
            </w:r>
            <w:r w:rsidRPr="005A4F9F">
              <w:rPr>
                <w:sz w:val="22"/>
                <w:szCs w:val="22"/>
                <w:lang w:val="sr-Latn-ME"/>
              </w:rPr>
              <w:t>pratiti preporuke navedene iznad za vrijednosti  &gt; 1 do 3 x GGN</w:t>
            </w:r>
            <w:r w:rsidR="00AA645D" w:rsidRPr="005A4F9F">
              <w:rPr>
                <w:sz w:val="22"/>
                <w:szCs w:val="22"/>
                <w:lang w:val="sr-Latn-ME"/>
              </w:rPr>
              <w:t>.</w:t>
            </w:r>
          </w:p>
        </w:tc>
      </w:tr>
      <w:tr w:rsidR="00F34A0E" w:rsidRPr="005A4F9F" w14:paraId="1F113A8F" w14:textId="77777777" w:rsidTr="006B57D8">
        <w:trPr>
          <w:trHeight w:hRule="exact" w:val="1386"/>
        </w:trPr>
        <w:tc>
          <w:tcPr>
            <w:tcW w:w="2152" w:type="dxa"/>
            <w:tcBorders>
              <w:top w:val="single" w:sz="5" w:space="0" w:color="000000"/>
              <w:left w:val="single" w:sz="5" w:space="0" w:color="000000"/>
              <w:bottom w:val="single" w:sz="5" w:space="0" w:color="000000"/>
              <w:right w:val="single" w:sz="5" w:space="0" w:color="000000"/>
            </w:tcBorders>
          </w:tcPr>
          <w:p w14:paraId="4F904358" w14:textId="77777777" w:rsidR="00F34A0E" w:rsidRPr="005A4F9F" w:rsidRDefault="00F34A0E" w:rsidP="008B00DE">
            <w:pPr>
              <w:widowControl w:val="0"/>
              <w:spacing w:line="248" w:lineRule="exact"/>
              <w:ind w:left="104"/>
              <w:jc w:val="both"/>
              <w:rPr>
                <w:sz w:val="22"/>
                <w:szCs w:val="22"/>
                <w:lang w:val="sr-Latn-ME"/>
              </w:rPr>
            </w:pPr>
            <w:r w:rsidRPr="005A4F9F">
              <w:rPr>
                <w:sz w:val="22"/>
                <w:szCs w:val="22"/>
                <w:lang w:val="sr-Latn-ME"/>
              </w:rPr>
              <w:t>&gt; 5 x GGN</w:t>
            </w:r>
          </w:p>
        </w:tc>
        <w:tc>
          <w:tcPr>
            <w:tcW w:w="6920" w:type="dxa"/>
            <w:tcBorders>
              <w:top w:val="single" w:sz="5" w:space="0" w:color="000000"/>
              <w:left w:val="single" w:sz="5" w:space="0" w:color="000000"/>
              <w:bottom w:val="single" w:sz="5" w:space="0" w:color="000000"/>
              <w:right w:val="single" w:sz="5" w:space="0" w:color="000000"/>
            </w:tcBorders>
          </w:tcPr>
          <w:p w14:paraId="6C747988" w14:textId="648BE27C" w:rsidR="00F34A0E" w:rsidRPr="005A4F9F" w:rsidRDefault="00F34A0E" w:rsidP="008B00DE">
            <w:pPr>
              <w:widowControl w:val="0"/>
              <w:spacing w:line="248" w:lineRule="exact"/>
              <w:ind w:left="102"/>
              <w:jc w:val="both"/>
              <w:rPr>
                <w:sz w:val="22"/>
                <w:szCs w:val="22"/>
                <w:lang w:val="sr-Latn-ME"/>
              </w:rPr>
            </w:pPr>
            <w:r w:rsidRPr="005A4F9F">
              <w:rPr>
                <w:sz w:val="22"/>
                <w:szCs w:val="22"/>
                <w:lang w:val="sr-Latn-ME"/>
              </w:rPr>
              <w:t>Potpuno obustaviti</w:t>
            </w:r>
            <w:r w:rsidR="005A67CF" w:rsidRPr="005A4F9F">
              <w:rPr>
                <w:sz w:val="22"/>
                <w:szCs w:val="22"/>
                <w:lang w:val="sr-Latn-ME"/>
              </w:rPr>
              <w:t xml:space="preserve"> primjenu</w:t>
            </w:r>
            <w:r w:rsidRPr="005A4F9F">
              <w:rPr>
                <w:sz w:val="22"/>
                <w:szCs w:val="22"/>
                <w:lang w:val="sr-Latn-ME"/>
              </w:rPr>
              <w:t xml:space="preserve"> </w:t>
            </w:r>
            <w:r w:rsidR="00AA645D" w:rsidRPr="005A4F9F">
              <w:rPr>
                <w:sz w:val="22"/>
                <w:szCs w:val="22"/>
                <w:lang w:val="sr-Latn-ME"/>
              </w:rPr>
              <w:t>tocilizumaba</w:t>
            </w:r>
            <w:r w:rsidRPr="005A4F9F">
              <w:rPr>
                <w:sz w:val="22"/>
                <w:szCs w:val="22"/>
                <w:lang w:val="sr-Latn-ME"/>
              </w:rPr>
              <w:t>.</w:t>
            </w:r>
          </w:p>
          <w:p w14:paraId="4B674C31" w14:textId="77777777" w:rsidR="00F34A0E" w:rsidRPr="005A4F9F" w:rsidRDefault="00F34A0E" w:rsidP="008B00DE">
            <w:pPr>
              <w:widowControl w:val="0"/>
              <w:spacing w:line="248" w:lineRule="exact"/>
              <w:ind w:left="102"/>
              <w:jc w:val="both"/>
              <w:rPr>
                <w:sz w:val="22"/>
                <w:szCs w:val="22"/>
                <w:lang w:val="sr-Latn-ME"/>
              </w:rPr>
            </w:pPr>
          </w:p>
          <w:p w14:paraId="54E2E252" w14:textId="75CFFBCE" w:rsidR="00F34A0E" w:rsidRPr="005A4F9F" w:rsidRDefault="00F34A0E" w:rsidP="008B00DE">
            <w:pPr>
              <w:widowControl w:val="0"/>
              <w:ind w:left="102"/>
              <w:jc w:val="both"/>
              <w:rPr>
                <w:sz w:val="22"/>
                <w:szCs w:val="22"/>
                <w:lang w:val="sr-Latn-ME"/>
              </w:rPr>
            </w:pPr>
            <w:r w:rsidRPr="005A4F9F">
              <w:rPr>
                <w:sz w:val="22"/>
                <w:szCs w:val="22"/>
                <w:lang w:val="sr-Latn-ME"/>
              </w:rPr>
              <w:t>Odluka o obustavljanju terapije</w:t>
            </w:r>
            <w:r w:rsidR="00AA645D" w:rsidRPr="005A4F9F">
              <w:rPr>
                <w:sz w:val="22"/>
                <w:szCs w:val="22"/>
                <w:lang w:val="sr-Latn-ME"/>
              </w:rPr>
              <w:t xml:space="preserve"> </w:t>
            </w:r>
            <w:r w:rsidR="005A67CF" w:rsidRPr="005A4F9F">
              <w:rPr>
                <w:sz w:val="22"/>
                <w:szCs w:val="22"/>
                <w:lang w:val="sr-Latn-ME"/>
              </w:rPr>
              <w:t xml:space="preserve"> </w:t>
            </w:r>
            <w:r w:rsidRPr="005A4F9F">
              <w:rPr>
                <w:sz w:val="22"/>
                <w:szCs w:val="22"/>
                <w:lang w:val="sr-Latn-ME"/>
              </w:rPr>
              <w:t xml:space="preserve">kod </w:t>
            </w:r>
            <w:r w:rsidR="005A67CF" w:rsidRPr="005A4F9F">
              <w:rPr>
                <w:sz w:val="22"/>
                <w:szCs w:val="22"/>
                <w:lang w:val="sr-Latn-ME"/>
              </w:rPr>
              <w:t xml:space="preserve">pacijenata sa </w:t>
            </w:r>
            <w:r w:rsidRPr="005A4F9F">
              <w:rPr>
                <w:sz w:val="22"/>
                <w:szCs w:val="22"/>
                <w:lang w:val="sr-Latn-ME"/>
              </w:rPr>
              <w:t>pJIA zbog poremećaja laboratorijskih rezultata treba da se zasniva na individualnoj medicinskoj procjeni svakog pacijenta.</w:t>
            </w:r>
          </w:p>
        </w:tc>
      </w:tr>
    </w:tbl>
    <w:p w14:paraId="6BB5D7C4" w14:textId="77777777" w:rsidR="00BA1741" w:rsidRPr="005A4F9F" w:rsidRDefault="00BA1741" w:rsidP="008B00DE">
      <w:pPr>
        <w:widowControl w:val="0"/>
        <w:tabs>
          <w:tab w:val="left" w:pos="540"/>
          <w:tab w:val="left" w:pos="569"/>
        </w:tabs>
        <w:jc w:val="both"/>
        <w:rPr>
          <w:bCs/>
          <w:sz w:val="22"/>
          <w:szCs w:val="22"/>
          <w:u w:val="single"/>
          <w:lang w:val="sr-Latn-ME"/>
        </w:rPr>
      </w:pPr>
    </w:p>
    <w:p w14:paraId="3A235F6F" w14:textId="46FC1023" w:rsidR="00BA1741"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Nizak apsolutni broj neutrofila (A</w:t>
      </w:r>
      <w:r w:rsidR="006C7F5F" w:rsidRPr="005A4F9F">
        <w:rPr>
          <w:bCs/>
          <w:sz w:val="22"/>
          <w:szCs w:val="22"/>
          <w:lang w:val="sr-Latn-ME"/>
        </w:rPr>
        <w:t>BN</w:t>
      </w:r>
      <w:r w:rsidRPr="005A4F9F">
        <w:rPr>
          <w:bCs/>
          <w:sz w:val="22"/>
          <w:szCs w:val="22"/>
          <w:lang w:val="sr-Latn-ME"/>
        </w:rPr>
        <w:t>)</w:t>
      </w:r>
    </w:p>
    <w:p w14:paraId="7A10E815" w14:textId="77777777" w:rsidR="00BA1741" w:rsidRPr="005A4F9F" w:rsidRDefault="00BA1741" w:rsidP="008B00DE">
      <w:pPr>
        <w:widowControl w:val="0"/>
        <w:tabs>
          <w:tab w:val="left" w:pos="540"/>
          <w:tab w:val="left" w:pos="569"/>
        </w:tabs>
        <w:jc w:val="both"/>
        <w:rPr>
          <w:bCs/>
          <w:sz w:val="22"/>
          <w:szCs w:val="22"/>
          <w:lang w:val="sr-Latn-ME"/>
        </w:rPr>
      </w:pPr>
    </w:p>
    <w:tbl>
      <w:tblPr>
        <w:tblW w:w="9072" w:type="dxa"/>
        <w:tblInd w:w="-6" w:type="dxa"/>
        <w:tblLayout w:type="fixed"/>
        <w:tblCellMar>
          <w:left w:w="0" w:type="dxa"/>
          <w:right w:w="0" w:type="dxa"/>
        </w:tblCellMar>
        <w:tblLook w:val="01E0" w:firstRow="1" w:lastRow="1" w:firstColumn="1" w:lastColumn="1" w:noHBand="0" w:noVBand="0"/>
      </w:tblPr>
      <w:tblGrid>
        <w:gridCol w:w="2217"/>
        <w:gridCol w:w="6855"/>
      </w:tblGrid>
      <w:tr w:rsidR="00F34A0E" w:rsidRPr="005A4F9F" w14:paraId="6C2B1BFC" w14:textId="77777777" w:rsidTr="006B57D8">
        <w:trPr>
          <w:trHeight w:hRule="exact" w:val="768"/>
        </w:trPr>
        <w:tc>
          <w:tcPr>
            <w:tcW w:w="2217" w:type="dxa"/>
            <w:tcBorders>
              <w:top w:val="single" w:sz="5" w:space="0" w:color="000000"/>
              <w:left w:val="single" w:sz="5" w:space="0" w:color="000000"/>
              <w:bottom w:val="single" w:sz="5" w:space="0" w:color="000000"/>
              <w:right w:val="single" w:sz="5" w:space="0" w:color="000000"/>
            </w:tcBorders>
          </w:tcPr>
          <w:p w14:paraId="75A467C2" w14:textId="77777777" w:rsidR="00F34A0E" w:rsidRPr="005A4F9F" w:rsidRDefault="00F34A0E" w:rsidP="008B00DE">
            <w:pPr>
              <w:widowControl w:val="0"/>
              <w:spacing w:line="239" w:lineRule="auto"/>
              <w:ind w:left="104"/>
              <w:jc w:val="both"/>
              <w:rPr>
                <w:b/>
                <w:bCs/>
                <w:sz w:val="22"/>
                <w:szCs w:val="22"/>
                <w:lang w:val="sr-Latn-ME"/>
              </w:rPr>
            </w:pPr>
            <w:r w:rsidRPr="005A4F9F">
              <w:rPr>
                <w:b/>
                <w:bCs/>
                <w:sz w:val="22"/>
                <w:szCs w:val="22"/>
                <w:lang w:val="sr-Latn-ME"/>
              </w:rPr>
              <w:t>Laboratorijska vrijednost</w:t>
            </w:r>
          </w:p>
          <w:p w14:paraId="3F2D80AD" w14:textId="22FBA68D" w:rsidR="00F34A0E" w:rsidRPr="005A4F9F" w:rsidRDefault="00F34A0E" w:rsidP="008B00DE">
            <w:pPr>
              <w:widowControl w:val="0"/>
              <w:spacing w:line="255" w:lineRule="exact"/>
              <w:ind w:left="104"/>
              <w:jc w:val="both"/>
              <w:rPr>
                <w:sz w:val="22"/>
                <w:szCs w:val="22"/>
                <w:lang w:val="sr-Latn-ME"/>
              </w:rPr>
            </w:pPr>
            <w:r w:rsidRPr="005A4F9F">
              <w:rPr>
                <w:sz w:val="22"/>
                <w:szCs w:val="22"/>
                <w:lang w:val="sr-Latn-ME"/>
              </w:rPr>
              <w:t>(</w:t>
            </w:r>
            <w:r w:rsidR="006C7F5F" w:rsidRPr="005A4F9F">
              <w:rPr>
                <w:sz w:val="22"/>
                <w:szCs w:val="22"/>
                <w:lang w:val="sr-Latn-ME"/>
              </w:rPr>
              <w:t xml:space="preserve">broj </w:t>
            </w:r>
            <w:r w:rsidRPr="005A4F9F">
              <w:rPr>
                <w:sz w:val="22"/>
                <w:szCs w:val="22"/>
                <w:lang w:val="sr-Latn-ME"/>
              </w:rPr>
              <w:t>ćelija x 10</w:t>
            </w:r>
            <w:r w:rsidRPr="005A4F9F">
              <w:rPr>
                <w:sz w:val="22"/>
                <w:szCs w:val="22"/>
                <w:vertAlign w:val="superscript"/>
                <w:lang w:val="sr-Latn-ME"/>
              </w:rPr>
              <w:t>9</w:t>
            </w:r>
            <w:r w:rsidRPr="005A4F9F">
              <w:rPr>
                <w:sz w:val="22"/>
                <w:szCs w:val="22"/>
                <w:lang w:val="sr-Latn-ME"/>
              </w:rPr>
              <w:t>/ l )</w:t>
            </w:r>
          </w:p>
        </w:tc>
        <w:tc>
          <w:tcPr>
            <w:tcW w:w="6855" w:type="dxa"/>
            <w:tcBorders>
              <w:top w:val="single" w:sz="5" w:space="0" w:color="000000"/>
              <w:left w:val="single" w:sz="5" w:space="0" w:color="000000"/>
              <w:bottom w:val="single" w:sz="5" w:space="0" w:color="000000"/>
              <w:right w:val="single" w:sz="5" w:space="0" w:color="000000"/>
            </w:tcBorders>
          </w:tcPr>
          <w:p w14:paraId="4FAE48C9" w14:textId="77777777" w:rsidR="00F34A0E" w:rsidRPr="005A4F9F" w:rsidRDefault="00F34A0E" w:rsidP="008B00DE">
            <w:pPr>
              <w:widowControl w:val="0"/>
              <w:spacing w:line="246" w:lineRule="exact"/>
              <w:ind w:left="104"/>
              <w:jc w:val="both"/>
              <w:rPr>
                <w:b/>
                <w:bCs/>
                <w:sz w:val="22"/>
                <w:szCs w:val="22"/>
                <w:lang w:val="sr-Latn-ME"/>
              </w:rPr>
            </w:pPr>
            <w:r w:rsidRPr="005A4F9F">
              <w:rPr>
                <w:b/>
                <w:bCs/>
                <w:sz w:val="22"/>
                <w:szCs w:val="22"/>
                <w:lang w:val="sr-Latn-ME"/>
              </w:rPr>
              <w:t>Postupanje</w:t>
            </w:r>
          </w:p>
        </w:tc>
      </w:tr>
      <w:tr w:rsidR="00F34A0E" w:rsidRPr="005A4F9F" w14:paraId="33A74297" w14:textId="77777777" w:rsidTr="006B57D8">
        <w:trPr>
          <w:trHeight w:hRule="exact" w:val="264"/>
        </w:trPr>
        <w:tc>
          <w:tcPr>
            <w:tcW w:w="2217" w:type="dxa"/>
            <w:tcBorders>
              <w:top w:val="single" w:sz="5" w:space="0" w:color="000000"/>
              <w:left w:val="single" w:sz="5" w:space="0" w:color="000000"/>
              <w:bottom w:val="single" w:sz="5" w:space="0" w:color="000000"/>
              <w:right w:val="single" w:sz="5" w:space="0" w:color="000000"/>
            </w:tcBorders>
          </w:tcPr>
          <w:p w14:paraId="4CDD9200" w14:textId="4F03E3C2"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6C7F5F" w:rsidRPr="005A4F9F">
              <w:rPr>
                <w:sz w:val="22"/>
                <w:szCs w:val="22"/>
                <w:lang w:val="sr-Latn-ME"/>
              </w:rPr>
              <w:t>BN</w:t>
            </w:r>
            <w:r w:rsidRPr="005A4F9F">
              <w:rPr>
                <w:sz w:val="22"/>
                <w:szCs w:val="22"/>
                <w:lang w:val="sr-Latn-ME"/>
              </w:rPr>
              <w:t xml:space="preserve"> &gt; 1</w:t>
            </w:r>
          </w:p>
        </w:tc>
        <w:tc>
          <w:tcPr>
            <w:tcW w:w="6855" w:type="dxa"/>
            <w:tcBorders>
              <w:top w:val="single" w:sz="5" w:space="0" w:color="000000"/>
              <w:left w:val="single" w:sz="5" w:space="0" w:color="000000"/>
              <w:bottom w:val="single" w:sz="5" w:space="0" w:color="000000"/>
              <w:right w:val="single" w:sz="5" w:space="0" w:color="000000"/>
            </w:tcBorders>
          </w:tcPr>
          <w:p w14:paraId="6B36E2CA" w14:textId="77777777"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Održavati dozu</w:t>
            </w:r>
          </w:p>
        </w:tc>
      </w:tr>
      <w:tr w:rsidR="00F34A0E" w:rsidRPr="005A4F9F" w14:paraId="6C091E5B" w14:textId="77777777" w:rsidTr="006B57D8">
        <w:trPr>
          <w:trHeight w:hRule="exact" w:val="516"/>
        </w:trPr>
        <w:tc>
          <w:tcPr>
            <w:tcW w:w="2217" w:type="dxa"/>
            <w:tcBorders>
              <w:top w:val="single" w:sz="5" w:space="0" w:color="000000"/>
              <w:left w:val="single" w:sz="5" w:space="0" w:color="000000"/>
              <w:bottom w:val="single" w:sz="5" w:space="0" w:color="000000"/>
              <w:right w:val="single" w:sz="5" w:space="0" w:color="000000"/>
            </w:tcBorders>
          </w:tcPr>
          <w:p w14:paraId="32B26137" w14:textId="63456988"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6C7F5F" w:rsidRPr="005A4F9F">
              <w:rPr>
                <w:sz w:val="22"/>
                <w:szCs w:val="22"/>
                <w:lang w:val="sr-Latn-ME"/>
              </w:rPr>
              <w:t>BN</w:t>
            </w:r>
            <w:r w:rsidRPr="005A4F9F">
              <w:rPr>
                <w:sz w:val="22"/>
                <w:szCs w:val="22"/>
                <w:lang w:val="sr-Latn-ME"/>
              </w:rPr>
              <w:t xml:space="preserve">  0 ,5 do 1</w:t>
            </w:r>
          </w:p>
        </w:tc>
        <w:tc>
          <w:tcPr>
            <w:tcW w:w="6855" w:type="dxa"/>
            <w:tcBorders>
              <w:top w:val="single" w:sz="5" w:space="0" w:color="000000"/>
              <w:left w:val="single" w:sz="5" w:space="0" w:color="000000"/>
              <w:bottom w:val="single" w:sz="5" w:space="0" w:color="000000"/>
              <w:right w:val="single" w:sz="5" w:space="0" w:color="000000"/>
            </w:tcBorders>
          </w:tcPr>
          <w:p w14:paraId="004843F7" w14:textId="78EE815C" w:rsidR="00F34A0E" w:rsidRPr="005A4F9F" w:rsidRDefault="00F34A0E" w:rsidP="008B00DE">
            <w:pPr>
              <w:widowControl w:val="0"/>
              <w:spacing w:line="233" w:lineRule="exact"/>
              <w:ind w:left="104"/>
              <w:jc w:val="both"/>
              <w:rPr>
                <w:sz w:val="22"/>
                <w:szCs w:val="22"/>
                <w:lang w:val="sr-Latn-ME"/>
              </w:rPr>
            </w:pPr>
            <w:r w:rsidRPr="005A4F9F">
              <w:rPr>
                <w:sz w:val="22"/>
                <w:szCs w:val="22"/>
                <w:lang w:val="sr-Latn-ME"/>
              </w:rPr>
              <w:t xml:space="preserve">Privremeno prekinuti </w:t>
            </w:r>
            <w:r w:rsidR="005A67CF" w:rsidRPr="005A4F9F">
              <w:rPr>
                <w:sz w:val="22"/>
                <w:szCs w:val="22"/>
                <w:lang w:val="sr-Latn-ME"/>
              </w:rPr>
              <w:t xml:space="preserve">primjenu </w:t>
            </w:r>
            <w:r w:rsidR="006C7F5F" w:rsidRPr="005A4F9F">
              <w:rPr>
                <w:sz w:val="22"/>
                <w:szCs w:val="22"/>
                <w:lang w:val="sr-Latn-ME"/>
              </w:rPr>
              <w:t>tocilizumaba.</w:t>
            </w:r>
          </w:p>
          <w:p w14:paraId="6F640B0F" w14:textId="35A07503" w:rsidR="00F34A0E" w:rsidRPr="005A4F9F" w:rsidRDefault="00F34A0E" w:rsidP="008B00DE">
            <w:pPr>
              <w:widowControl w:val="0"/>
              <w:spacing w:line="265" w:lineRule="exact"/>
              <w:ind w:left="104"/>
              <w:jc w:val="both"/>
              <w:rPr>
                <w:sz w:val="22"/>
                <w:szCs w:val="22"/>
                <w:lang w:val="sr-Latn-ME"/>
              </w:rPr>
            </w:pPr>
            <w:r w:rsidRPr="005A4F9F">
              <w:rPr>
                <w:sz w:val="22"/>
                <w:szCs w:val="22"/>
                <w:lang w:val="sr-Latn-ME"/>
              </w:rPr>
              <w:t xml:space="preserve">Kada </w:t>
            </w:r>
            <w:r w:rsidR="005A67CF" w:rsidRPr="005A4F9F">
              <w:rPr>
                <w:sz w:val="22"/>
                <w:szCs w:val="22"/>
                <w:lang w:val="sr-Latn-ME"/>
              </w:rPr>
              <w:t>se</w:t>
            </w:r>
            <w:r w:rsidRPr="005A4F9F">
              <w:rPr>
                <w:sz w:val="22"/>
                <w:szCs w:val="22"/>
                <w:lang w:val="sr-Latn-ME"/>
              </w:rPr>
              <w:t xml:space="preserve"> vrijednost A</w:t>
            </w:r>
            <w:r w:rsidR="006C7F5F" w:rsidRPr="005A4F9F">
              <w:rPr>
                <w:sz w:val="22"/>
                <w:szCs w:val="22"/>
                <w:lang w:val="sr-Latn-ME"/>
              </w:rPr>
              <w:t>BN</w:t>
            </w:r>
            <w:r w:rsidRPr="005A4F9F">
              <w:rPr>
                <w:sz w:val="22"/>
                <w:szCs w:val="22"/>
                <w:lang w:val="sr-Latn-ME"/>
              </w:rPr>
              <w:t>&gt; 1 x 10</w:t>
            </w:r>
            <w:r w:rsidRPr="005A4F9F">
              <w:rPr>
                <w:sz w:val="22"/>
                <w:szCs w:val="22"/>
                <w:vertAlign w:val="superscript"/>
                <w:lang w:val="sr-Latn-ME"/>
              </w:rPr>
              <w:t>9</w:t>
            </w:r>
            <w:r w:rsidRPr="005A4F9F">
              <w:rPr>
                <w:sz w:val="22"/>
                <w:szCs w:val="22"/>
                <w:lang w:val="sr-Latn-ME"/>
              </w:rPr>
              <w:t>/ l</w:t>
            </w:r>
            <w:r w:rsidR="005A67CF" w:rsidRPr="005A4F9F">
              <w:rPr>
                <w:sz w:val="22"/>
                <w:szCs w:val="22"/>
                <w:lang w:val="sr-Latn-ME"/>
              </w:rPr>
              <w:t xml:space="preserve">, </w:t>
            </w:r>
            <w:r w:rsidRPr="005A4F9F">
              <w:rPr>
                <w:sz w:val="22"/>
                <w:szCs w:val="22"/>
                <w:lang w:val="sr-Latn-ME"/>
              </w:rPr>
              <w:t xml:space="preserve">ponovo uvesti </w:t>
            </w:r>
            <w:r w:rsidR="006C7F5F" w:rsidRPr="005A4F9F">
              <w:rPr>
                <w:sz w:val="22"/>
                <w:szCs w:val="22"/>
                <w:lang w:val="sr-Latn-ME"/>
              </w:rPr>
              <w:t>liječenje.</w:t>
            </w:r>
          </w:p>
        </w:tc>
      </w:tr>
      <w:tr w:rsidR="00F34A0E" w:rsidRPr="005A4F9F" w14:paraId="1B2D9ED3" w14:textId="77777777" w:rsidTr="006B57D8">
        <w:trPr>
          <w:trHeight w:hRule="exact" w:val="1006"/>
        </w:trPr>
        <w:tc>
          <w:tcPr>
            <w:tcW w:w="2217" w:type="dxa"/>
            <w:tcBorders>
              <w:top w:val="single" w:sz="5" w:space="0" w:color="000000"/>
              <w:left w:val="single" w:sz="5" w:space="0" w:color="000000"/>
              <w:bottom w:val="single" w:sz="5" w:space="0" w:color="000000"/>
              <w:right w:val="single" w:sz="5" w:space="0" w:color="000000"/>
            </w:tcBorders>
          </w:tcPr>
          <w:p w14:paraId="34DE8477" w14:textId="67B5CE87"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A</w:t>
            </w:r>
            <w:r w:rsidR="006C7F5F" w:rsidRPr="005A4F9F">
              <w:rPr>
                <w:sz w:val="22"/>
                <w:szCs w:val="22"/>
                <w:lang w:val="sr-Latn-ME"/>
              </w:rPr>
              <w:t>BN</w:t>
            </w:r>
            <w:r w:rsidRPr="005A4F9F">
              <w:rPr>
                <w:sz w:val="22"/>
                <w:szCs w:val="22"/>
                <w:lang w:val="sr-Latn-ME"/>
              </w:rPr>
              <w:t xml:space="preserve"> &lt; 0,5</w:t>
            </w:r>
          </w:p>
        </w:tc>
        <w:tc>
          <w:tcPr>
            <w:tcW w:w="6855" w:type="dxa"/>
            <w:tcBorders>
              <w:top w:val="single" w:sz="5" w:space="0" w:color="000000"/>
              <w:left w:val="single" w:sz="5" w:space="0" w:color="000000"/>
              <w:bottom w:val="single" w:sz="5" w:space="0" w:color="000000"/>
              <w:right w:val="single" w:sz="5" w:space="0" w:color="000000"/>
            </w:tcBorders>
          </w:tcPr>
          <w:p w14:paraId="578CA95D" w14:textId="6328B2DE" w:rsidR="00F34A0E" w:rsidRPr="005A4F9F" w:rsidRDefault="00F34A0E" w:rsidP="008B00DE">
            <w:pPr>
              <w:widowControl w:val="0"/>
              <w:spacing w:line="245" w:lineRule="exact"/>
              <w:ind w:left="104"/>
              <w:jc w:val="both"/>
              <w:rPr>
                <w:sz w:val="22"/>
                <w:szCs w:val="22"/>
                <w:lang w:val="sr-Latn-ME"/>
              </w:rPr>
            </w:pPr>
            <w:r w:rsidRPr="005A4F9F">
              <w:rPr>
                <w:sz w:val="22"/>
                <w:szCs w:val="22"/>
                <w:lang w:val="sr-Latn-ME"/>
              </w:rPr>
              <w:t>Potpuno obustaviti</w:t>
            </w:r>
            <w:r w:rsidR="005A67CF" w:rsidRPr="005A4F9F">
              <w:rPr>
                <w:sz w:val="22"/>
                <w:szCs w:val="22"/>
                <w:lang w:val="sr-Latn-ME"/>
              </w:rPr>
              <w:t xml:space="preserve"> primjenu</w:t>
            </w:r>
            <w:r w:rsidRPr="005A4F9F">
              <w:rPr>
                <w:sz w:val="22"/>
                <w:szCs w:val="22"/>
                <w:lang w:val="sr-Latn-ME"/>
              </w:rPr>
              <w:t xml:space="preserve"> </w:t>
            </w:r>
            <w:r w:rsidR="006C7F5F" w:rsidRPr="005A4F9F">
              <w:rPr>
                <w:sz w:val="22"/>
                <w:szCs w:val="22"/>
                <w:lang w:val="sr-Latn-ME"/>
              </w:rPr>
              <w:t>tocilizumaba.</w:t>
            </w:r>
          </w:p>
          <w:p w14:paraId="4A4A3059" w14:textId="1C35999A" w:rsidR="00F34A0E" w:rsidRPr="005A4F9F" w:rsidRDefault="00F34A0E" w:rsidP="008B00DE">
            <w:pPr>
              <w:widowControl w:val="0"/>
              <w:ind w:left="104"/>
              <w:jc w:val="both"/>
              <w:rPr>
                <w:sz w:val="22"/>
                <w:szCs w:val="22"/>
                <w:lang w:val="sr-Latn-ME"/>
              </w:rPr>
            </w:pPr>
            <w:r w:rsidRPr="005A4F9F">
              <w:rPr>
                <w:sz w:val="22"/>
                <w:szCs w:val="22"/>
                <w:lang w:val="sr-Latn-ME"/>
              </w:rPr>
              <w:t xml:space="preserve">Odluka o obustavljanju terapije kod </w:t>
            </w:r>
            <w:r w:rsidR="006C7F5F" w:rsidRPr="005A4F9F">
              <w:rPr>
                <w:sz w:val="22"/>
                <w:szCs w:val="22"/>
                <w:lang w:val="sr-Latn-ME"/>
              </w:rPr>
              <w:t xml:space="preserve">pacijenata sa </w:t>
            </w:r>
            <w:r w:rsidRPr="005A4F9F">
              <w:rPr>
                <w:sz w:val="22"/>
                <w:szCs w:val="22"/>
                <w:lang w:val="sr-Latn-ME"/>
              </w:rPr>
              <w:t>pJIA zbog poremećaja laboratorijskih rezultata treba da se zasniva na individualnoj medicinskoj procjeni svakog pacijenta.</w:t>
            </w:r>
          </w:p>
        </w:tc>
      </w:tr>
    </w:tbl>
    <w:p w14:paraId="4032CBFC" w14:textId="77777777" w:rsidR="00F34A0E" w:rsidRPr="005A4F9F" w:rsidRDefault="00F34A0E" w:rsidP="008B00DE">
      <w:pPr>
        <w:widowControl w:val="0"/>
        <w:tabs>
          <w:tab w:val="left" w:pos="540"/>
          <w:tab w:val="left" w:pos="569"/>
        </w:tabs>
        <w:jc w:val="both"/>
        <w:rPr>
          <w:bCs/>
          <w:sz w:val="22"/>
          <w:szCs w:val="22"/>
          <w:u w:val="single"/>
          <w:lang w:val="sr-Latn-ME"/>
        </w:rPr>
      </w:pPr>
    </w:p>
    <w:p w14:paraId="77C85963" w14:textId="77777777" w:rsidR="00F34A0E" w:rsidRPr="005A4F9F" w:rsidRDefault="00F34A0E" w:rsidP="008B00DE">
      <w:pPr>
        <w:widowControl w:val="0"/>
        <w:tabs>
          <w:tab w:val="left" w:pos="540"/>
          <w:tab w:val="left" w:pos="569"/>
        </w:tabs>
        <w:jc w:val="both"/>
        <w:rPr>
          <w:bCs/>
          <w:sz w:val="22"/>
          <w:szCs w:val="22"/>
          <w:lang w:val="sr-Latn-ME"/>
        </w:rPr>
      </w:pPr>
      <w:r w:rsidRPr="005A4F9F">
        <w:rPr>
          <w:bCs/>
          <w:sz w:val="22"/>
          <w:szCs w:val="22"/>
          <w:lang w:val="sr-Latn-ME"/>
        </w:rPr>
        <w:t>•</w:t>
      </w:r>
      <w:r w:rsidRPr="005A4F9F">
        <w:rPr>
          <w:bCs/>
          <w:sz w:val="22"/>
          <w:szCs w:val="22"/>
          <w:lang w:val="sr-Latn-ME"/>
        </w:rPr>
        <w:tab/>
        <w:t>Nizak broj trombocita</w:t>
      </w:r>
    </w:p>
    <w:p w14:paraId="5C1A18CF" w14:textId="77777777" w:rsidR="00BA1741" w:rsidRPr="005A4F9F" w:rsidRDefault="00BA1741" w:rsidP="008B00DE">
      <w:pPr>
        <w:widowControl w:val="0"/>
        <w:tabs>
          <w:tab w:val="left" w:pos="540"/>
          <w:tab w:val="left" w:pos="569"/>
        </w:tabs>
        <w:jc w:val="both"/>
        <w:rPr>
          <w:bCs/>
          <w:sz w:val="22"/>
          <w:szCs w:val="22"/>
          <w:lang w:val="sr-Latn-ME"/>
        </w:rPr>
      </w:pPr>
    </w:p>
    <w:tbl>
      <w:tblPr>
        <w:tblW w:w="9072" w:type="dxa"/>
        <w:tblInd w:w="-6" w:type="dxa"/>
        <w:tblLayout w:type="fixed"/>
        <w:tblCellMar>
          <w:left w:w="0" w:type="dxa"/>
          <w:right w:w="0" w:type="dxa"/>
        </w:tblCellMar>
        <w:tblLook w:val="01E0" w:firstRow="1" w:lastRow="1" w:firstColumn="1" w:lastColumn="1" w:noHBand="0" w:noVBand="0"/>
      </w:tblPr>
      <w:tblGrid>
        <w:gridCol w:w="2159"/>
        <w:gridCol w:w="6913"/>
      </w:tblGrid>
      <w:tr w:rsidR="00F34A0E" w:rsidRPr="005A4F9F" w14:paraId="0AA01CA0" w14:textId="77777777" w:rsidTr="008F0857">
        <w:tc>
          <w:tcPr>
            <w:tcW w:w="2159" w:type="dxa"/>
            <w:tcBorders>
              <w:top w:val="single" w:sz="5" w:space="0" w:color="000000"/>
              <w:left w:val="single" w:sz="5" w:space="0" w:color="000000"/>
              <w:bottom w:val="single" w:sz="5" w:space="0" w:color="000000"/>
              <w:right w:val="single" w:sz="5" w:space="0" w:color="000000"/>
            </w:tcBorders>
          </w:tcPr>
          <w:p w14:paraId="7036A220" w14:textId="77777777" w:rsidR="00F34A0E" w:rsidRPr="005A4F9F" w:rsidRDefault="00F34A0E" w:rsidP="008B00DE">
            <w:pPr>
              <w:widowControl w:val="0"/>
              <w:spacing w:line="246" w:lineRule="exact"/>
              <w:ind w:left="104"/>
              <w:jc w:val="both"/>
              <w:rPr>
                <w:b/>
                <w:bCs/>
                <w:sz w:val="22"/>
                <w:szCs w:val="22"/>
                <w:lang w:val="sr-Latn-ME"/>
              </w:rPr>
            </w:pPr>
            <w:r w:rsidRPr="005A4F9F">
              <w:rPr>
                <w:b/>
                <w:bCs/>
                <w:sz w:val="22"/>
                <w:szCs w:val="22"/>
                <w:lang w:val="sr-Latn-ME"/>
              </w:rPr>
              <w:t>Laboratorijska vrijednost</w:t>
            </w:r>
          </w:p>
          <w:p w14:paraId="7AF69929" w14:textId="04352709" w:rsidR="00F34A0E" w:rsidRPr="005A4F9F" w:rsidRDefault="00F34A0E" w:rsidP="008B00DE">
            <w:pPr>
              <w:widowControl w:val="0"/>
              <w:spacing w:line="246" w:lineRule="exact"/>
              <w:ind w:left="104"/>
              <w:jc w:val="both"/>
              <w:rPr>
                <w:sz w:val="22"/>
                <w:szCs w:val="22"/>
                <w:lang w:val="sr-Latn-ME"/>
              </w:rPr>
            </w:pPr>
            <w:r w:rsidRPr="005A4F9F">
              <w:rPr>
                <w:sz w:val="22"/>
                <w:szCs w:val="22"/>
                <w:lang w:val="sr-Latn-ME"/>
              </w:rPr>
              <w:t>(</w:t>
            </w:r>
            <w:r w:rsidR="006C7F5F" w:rsidRPr="005A4F9F">
              <w:rPr>
                <w:sz w:val="22"/>
                <w:szCs w:val="22"/>
                <w:lang w:val="sr-Latn-ME"/>
              </w:rPr>
              <w:t xml:space="preserve">broj </w:t>
            </w:r>
            <w:r w:rsidRPr="005A4F9F">
              <w:rPr>
                <w:sz w:val="22"/>
                <w:szCs w:val="22"/>
                <w:lang w:val="sr-Latn-ME"/>
              </w:rPr>
              <w:t>ćelija x 10</w:t>
            </w:r>
            <w:r w:rsidRPr="005A4F9F">
              <w:rPr>
                <w:sz w:val="22"/>
                <w:szCs w:val="22"/>
                <w:vertAlign w:val="superscript"/>
                <w:lang w:val="sr-Latn-ME"/>
              </w:rPr>
              <w:t>3</w:t>
            </w:r>
            <w:r w:rsidRPr="005A4F9F">
              <w:rPr>
                <w:sz w:val="22"/>
                <w:szCs w:val="22"/>
                <w:lang w:val="sr-Latn-ME"/>
              </w:rPr>
              <w:t>/ µl)</w:t>
            </w:r>
          </w:p>
        </w:tc>
        <w:tc>
          <w:tcPr>
            <w:tcW w:w="6913" w:type="dxa"/>
            <w:tcBorders>
              <w:top w:val="single" w:sz="5" w:space="0" w:color="000000"/>
              <w:left w:val="single" w:sz="5" w:space="0" w:color="000000"/>
              <w:bottom w:val="single" w:sz="5" w:space="0" w:color="000000"/>
              <w:right w:val="single" w:sz="5" w:space="0" w:color="000000"/>
            </w:tcBorders>
          </w:tcPr>
          <w:p w14:paraId="615EBDB1" w14:textId="77777777" w:rsidR="00F34A0E" w:rsidRPr="005A4F9F" w:rsidRDefault="00F34A0E" w:rsidP="008B00DE">
            <w:pPr>
              <w:widowControl w:val="0"/>
              <w:spacing w:line="246" w:lineRule="exact"/>
              <w:ind w:left="102"/>
              <w:jc w:val="both"/>
              <w:rPr>
                <w:b/>
                <w:bCs/>
                <w:sz w:val="22"/>
                <w:szCs w:val="22"/>
                <w:lang w:val="sr-Latn-ME"/>
              </w:rPr>
            </w:pPr>
            <w:r w:rsidRPr="005A4F9F">
              <w:rPr>
                <w:b/>
                <w:bCs/>
                <w:sz w:val="22"/>
                <w:szCs w:val="22"/>
                <w:lang w:val="sr-Latn-ME"/>
              </w:rPr>
              <w:t>Postupanje</w:t>
            </w:r>
          </w:p>
        </w:tc>
      </w:tr>
      <w:tr w:rsidR="00F34A0E" w:rsidRPr="005A4F9F" w14:paraId="1C8ECF03" w14:textId="77777777" w:rsidTr="008F0857">
        <w:tc>
          <w:tcPr>
            <w:tcW w:w="2159" w:type="dxa"/>
            <w:tcBorders>
              <w:top w:val="single" w:sz="5" w:space="0" w:color="000000"/>
              <w:left w:val="single" w:sz="5" w:space="0" w:color="000000"/>
              <w:bottom w:val="single" w:sz="5" w:space="0" w:color="000000"/>
              <w:right w:val="single" w:sz="5" w:space="0" w:color="000000"/>
            </w:tcBorders>
          </w:tcPr>
          <w:p w14:paraId="3B76DA20" w14:textId="77777777"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50 do 100</w:t>
            </w:r>
          </w:p>
        </w:tc>
        <w:tc>
          <w:tcPr>
            <w:tcW w:w="6913" w:type="dxa"/>
            <w:tcBorders>
              <w:top w:val="single" w:sz="5" w:space="0" w:color="000000"/>
              <w:left w:val="single" w:sz="5" w:space="0" w:color="000000"/>
              <w:bottom w:val="single" w:sz="5" w:space="0" w:color="000000"/>
              <w:right w:val="single" w:sz="5" w:space="0" w:color="000000"/>
            </w:tcBorders>
          </w:tcPr>
          <w:p w14:paraId="599AD9B6" w14:textId="0D16F552"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Podesiti dozu MTX</w:t>
            </w:r>
            <w:r w:rsidR="00F40543" w:rsidRPr="005A4F9F">
              <w:rPr>
                <w:sz w:val="22"/>
                <w:szCs w:val="22"/>
                <w:lang w:val="sr-Latn-ME"/>
              </w:rPr>
              <w:t>-a</w:t>
            </w:r>
            <w:r w:rsidRPr="005A4F9F">
              <w:rPr>
                <w:sz w:val="22"/>
                <w:szCs w:val="22"/>
                <w:lang w:val="sr-Latn-ME"/>
              </w:rPr>
              <w:t xml:space="preserve"> koja se daje istovremeno, ako je primjereno. </w:t>
            </w:r>
          </w:p>
          <w:p w14:paraId="249EFE06" w14:textId="2B62EAF5"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 xml:space="preserve">Privremeno prekinuti </w:t>
            </w:r>
            <w:r w:rsidR="005A67CF" w:rsidRPr="005A4F9F">
              <w:rPr>
                <w:sz w:val="22"/>
                <w:szCs w:val="22"/>
                <w:lang w:val="sr-Latn-ME"/>
              </w:rPr>
              <w:t xml:space="preserve">primjenu </w:t>
            </w:r>
            <w:r w:rsidR="006C7F5F" w:rsidRPr="005A4F9F">
              <w:rPr>
                <w:sz w:val="22"/>
                <w:szCs w:val="22"/>
                <w:lang w:val="sr-Latn-ME"/>
              </w:rPr>
              <w:t>tocilizumaba.</w:t>
            </w:r>
          </w:p>
          <w:p w14:paraId="0283FD08" w14:textId="63E3EB50"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Kada je vrijednost trombocita &gt; 100 x 10</w:t>
            </w:r>
            <w:r w:rsidRPr="005A4F9F">
              <w:rPr>
                <w:sz w:val="22"/>
                <w:szCs w:val="22"/>
                <w:vertAlign w:val="superscript"/>
                <w:lang w:val="sr-Latn-ME"/>
              </w:rPr>
              <w:t>3</w:t>
            </w:r>
            <w:r w:rsidRPr="005A4F9F">
              <w:rPr>
                <w:sz w:val="22"/>
                <w:szCs w:val="22"/>
                <w:lang w:val="sr-Latn-ME"/>
              </w:rPr>
              <w:t xml:space="preserve">/ µl ponovo uvesti </w:t>
            </w:r>
            <w:r w:rsidR="006C7F5F" w:rsidRPr="005A4F9F">
              <w:rPr>
                <w:sz w:val="22"/>
                <w:szCs w:val="22"/>
                <w:lang w:val="sr-Latn-ME"/>
              </w:rPr>
              <w:t>liječenje.</w:t>
            </w:r>
          </w:p>
        </w:tc>
      </w:tr>
      <w:tr w:rsidR="00F34A0E" w:rsidRPr="005A4F9F" w14:paraId="50E8D34B" w14:textId="77777777" w:rsidTr="008F0857">
        <w:tc>
          <w:tcPr>
            <w:tcW w:w="2159" w:type="dxa"/>
            <w:tcBorders>
              <w:top w:val="single" w:sz="5" w:space="0" w:color="000000"/>
              <w:left w:val="single" w:sz="5" w:space="0" w:color="000000"/>
              <w:bottom w:val="single" w:sz="5" w:space="0" w:color="000000"/>
              <w:right w:val="single" w:sz="5" w:space="0" w:color="000000"/>
            </w:tcBorders>
          </w:tcPr>
          <w:p w14:paraId="2DA854EC" w14:textId="77777777"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&lt; 50</w:t>
            </w:r>
          </w:p>
        </w:tc>
        <w:tc>
          <w:tcPr>
            <w:tcW w:w="6913" w:type="dxa"/>
            <w:tcBorders>
              <w:top w:val="single" w:sz="5" w:space="0" w:color="000000"/>
              <w:left w:val="single" w:sz="5" w:space="0" w:color="000000"/>
              <w:bottom w:val="single" w:sz="5" w:space="0" w:color="000000"/>
              <w:right w:val="single" w:sz="5" w:space="0" w:color="000000"/>
            </w:tcBorders>
          </w:tcPr>
          <w:p w14:paraId="2DCEC05F" w14:textId="1B503FB8" w:rsidR="00F34A0E" w:rsidRPr="005A4F9F" w:rsidRDefault="00F34A0E" w:rsidP="008B00DE">
            <w:pPr>
              <w:widowControl w:val="0"/>
              <w:spacing w:line="245" w:lineRule="exact"/>
              <w:ind w:left="104"/>
              <w:jc w:val="both"/>
              <w:rPr>
                <w:sz w:val="22"/>
                <w:szCs w:val="22"/>
                <w:lang w:val="sr-Latn-ME"/>
              </w:rPr>
            </w:pPr>
            <w:r w:rsidRPr="005A4F9F">
              <w:rPr>
                <w:sz w:val="22"/>
                <w:szCs w:val="22"/>
                <w:lang w:val="sr-Latn-ME"/>
              </w:rPr>
              <w:t xml:space="preserve">Potpuno obustaviti </w:t>
            </w:r>
            <w:r w:rsidR="005A67CF" w:rsidRPr="005A4F9F">
              <w:rPr>
                <w:sz w:val="22"/>
                <w:szCs w:val="22"/>
                <w:lang w:val="sr-Latn-ME"/>
              </w:rPr>
              <w:t xml:space="preserve">primjenu </w:t>
            </w:r>
            <w:r w:rsidR="006C7F5F" w:rsidRPr="005A4F9F">
              <w:rPr>
                <w:sz w:val="22"/>
                <w:szCs w:val="22"/>
                <w:lang w:val="sr-Latn-ME"/>
              </w:rPr>
              <w:t>tocilizumaba</w:t>
            </w:r>
            <w:r w:rsidRPr="005A4F9F">
              <w:rPr>
                <w:sz w:val="22"/>
                <w:szCs w:val="22"/>
                <w:lang w:val="sr-Latn-ME"/>
              </w:rPr>
              <w:t>.</w:t>
            </w:r>
          </w:p>
          <w:p w14:paraId="6FB6BFCB" w14:textId="70A9348E" w:rsidR="00F34A0E" w:rsidRPr="005A4F9F" w:rsidRDefault="00F34A0E" w:rsidP="008B00DE">
            <w:pPr>
              <w:widowControl w:val="0"/>
              <w:spacing w:line="246" w:lineRule="exact"/>
              <w:ind w:left="102"/>
              <w:jc w:val="both"/>
              <w:rPr>
                <w:sz w:val="22"/>
                <w:szCs w:val="22"/>
                <w:lang w:val="sr-Latn-ME"/>
              </w:rPr>
            </w:pPr>
            <w:r w:rsidRPr="005A4F9F">
              <w:rPr>
                <w:sz w:val="22"/>
                <w:szCs w:val="22"/>
                <w:lang w:val="sr-Latn-ME"/>
              </w:rPr>
              <w:t xml:space="preserve">Odluka o obustavljanju terapije kod </w:t>
            </w:r>
            <w:r w:rsidR="005A67CF" w:rsidRPr="005A4F9F">
              <w:rPr>
                <w:sz w:val="22"/>
                <w:szCs w:val="22"/>
                <w:lang w:val="sr-Latn-ME"/>
              </w:rPr>
              <w:t xml:space="preserve">pacijenata sa </w:t>
            </w:r>
            <w:r w:rsidRPr="005A4F9F">
              <w:rPr>
                <w:sz w:val="22"/>
                <w:szCs w:val="22"/>
                <w:lang w:val="sr-Latn-ME"/>
              </w:rPr>
              <w:t>pJIA  zbog poremećaja laboratorijskih rezultata treba da se zasniva na individualnoj medicinskoj procjeni svakog pacijenta</w:t>
            </w:r>
            <w:r w:rsidR="009009D6" w:rsidRPr="005A4F9F">
              <w:rPr>
                <w:sz w:val="22"/>
                <w:szCs w:val="22"/>
                <w:lang w:val="sr-Latn-ME"/>
              </w:rPr>
              <w:t>.</w:t>
            </w:r>
          </w:p>
        </w:tc>
      </w:tr>
    </w:tbl>
    <w:p w14:paraId="0EFECA87" w14:textId="77777777" w:rsidR="00F34A0E" w:rsidRPr="005A4F9F" w:rsidRDefault="00F34A0E" w:rsidP="008B00DE">
      <w:pPr>
        <w:widowControl w:val="0"/>
        <w:tabs>
          <w:tab w:val="left" w:pos="540"/>
          <w:tab w:val="left" w:pos="569"/>
        </w:tabs>
        <w:jc w:val="both"/>
        <w:rPr>
          <w:bCs/>
          <w:sz w:val="22"/>
          <w:szCs w:val="22"/>
          <w:u w:val="single"/>
          <w:lang w:val="sr-Latn-ME"/>
        </w:rPr>
      </w:pPr>
    </w:p>
    <w:p w14:paraId="5A0409E4" w14:textId="77777777" w:rsidR="008F0857" w:rsidRDefault="00F34A0E" w:rsidP="008B00DE">
      <w:pPr>
        <w:widowControl w:val="0"/>
        <w:tabs>
          <w:tab w:val="left" w:pos="540"/>
          <w:tab w:val="left" w:pos="569"/>
        </w:tabs>
        <w:jc w:val="both"/>
        <w:rPr>
          <w:bCs/>
          <w:sz w:val="22"/>
          <w:szCs w:val="22"/>
          <w:lang w:val="sr-Latn-ME"/>
        </w:rPr>
      </w:pPr>
      <w:r w:rsidRPr="005A4F9F">
        <w:rPr>
          <w:bCs/>
          <w:sz w:val="22"/>
          <w:szCs w:val="22"/>
          <w:lang w:val="sr-Latn-ME"/>
        </w:rPr>
        <w:t>Redukcija doze tocilizumaba usljed poremećaja laboratorijskih rezultata nije proučavana kod oboljelih od pJIA.</w:t>
      </w:r>
    </w:p>
    <w:p w14:paraId="5FAC4E32" w14:textId="659DFDA2" w:rsidR="00F34A0E" w:rsidRPr="005A4F9F" w:rsidRDefault="00F34A0E" w:rsidP="008B00DE">
      <w:pPr>
        <w:widowControl w:val="0"/>
        <w:tabs>
          <w:tab w:val="left" w:pos="540"/>
          <w:tab w:val="left" w:pos="569"/>
        </w:tabs>
        <w:jc w:val="both"/>
        <w:rPr>
          <w:bCs/>
          <w:sz w:val="22"/>
          <w:szCs w:val="22"/>
          <w:lang w:val="sr-Latn-ME"/>
        </w:rPr>
      </w:pPr>
    </w:p>
    <w:p w14:paraId="7040B3FF" w14:textId="399793DB"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Dostupni podaci ukaziju na to da je primjećeno kliničko poboljšanje tokom 12 ned</w:t>
      </w:r>
      <w:r w:rsidR="004E742E" w:rsidRPr="005A4F9F">
        <w:rPr>
          <w:bCs/>
          <w:sz w:val="22"/>
          <w:szCs w:val="22"/>
          <w:lang w:val="sr-Latn-ME"/>
        </w:rPr>
        <w:t>j</w:t>
      </w:r>
      <w:r w:rsidRPr="005A4F9F">
        <w:rPr>
          <w:bCs/>
          <w:sz w:val="22"/>
          <w:szCs w:val="22"/>
          <w:lang w:val="sr-Latn-ME"/>
        </w:rPr>
        <w:t xml:space="preserve">elja od početka terapije </w:t>
      </w:r>
      <w:r w:rsidR="006C7F5F" w:rsidRPr="005A4F9F">
        <w:rPr>
          <w:bCs/>
          <w:sz w:val="22"/>
          <w:szCs w:val="22"/>
          <w:lang w:val="sr-Latn-ME"/>
        </w:rPr>
        <w:t>tocilizumabom</w:t>
      </w:r>
      <w:r w:rsidRPr="005A4F9F">
        <w:rPr>
          <w:bCs/>
          <w:sz w:val="22"/>
          <w:szCs w:val="22"/>
          <w:lang w:val="sr-Latn-ME"/>
        </w:rPr>
        <w:t xml:space="preserve">. Nastavak terapije </w:t>
      </w:r>
      <w:r w:rsidR="006C7F5F" w:rsidRPr="005A4F9F">
        <w:rPr>
          <w:bCs/>
          <w:sz w:val="22"/>
          <w:szCs w:val="22"/>
          <w:lang w:val="sr-Latn-ME"/>
        </w:rPr>
        <w:t>se mora</w:t>
      </w:r>
      <w:r w:rsidRPr="005A4F9F">
        <w:rPr>
          <w:bCs/>
          <w:sz w:val="22"/>
          <w:szCs w:val="22"/>
          <w:lang w:val="sr-Latn-ME"/>
        </w:rPr>
        <w:t xml:space="preserve"> pažljivo razmotriti kod pacijenata kod kojih nije pokazano poboljšanje u ovom vremenskom periodu.</w:t>
      </w:r>
    </w:p>
    <w:p w14:paraId="7D4623B0" w14:textId="77777777" w:rsidR="00F34A0E" w:rsidRPr="005A4F9F" w:rsidRDefault="00F34A0E">
      <w:pPr>
        <w:widowControl w:val="0"/>
        <w:tabs>
          <w:tab w:val="left" w:pos="540"/>
          <w:tab w:val="left" w:pos="569"/>
        </w:tabs>
        <w:jc w:val="both"/>
        <w:rPr>
          <w:bCs/>
          <w:sz w:val="22"/>
          <w:szCs w:val="22"/>
          <w:lang w:val="sr-Latn-ME"/>
        </w:rPr>
      </w:pPr>
    </w:p>
    <w:p w14:paraId="14F450D7" w14:textId="79A966A8" w:rsidR="006C7F5F" w:rsidRPr="005A4F9F" w:rsidRDefault="002D3A2F" w:rsidP="008B00DE">
      <w:pPr>
        <w:widowControl w:val="0"/>
        <w:jc w:val="both"/>
        <w:rPr>
          <w:i/>
          <w:sz w:val="22"/>
          <w:szCs w:val="22"/>
          <w:u w:val="single"/>
          <w:lang w:val="sr-Latn-ME"/>
        </w:rPr>
      </w:pPr>
      <w:r w:rsidRPr="005A4F9F">
        <w:rPr>
          <w:i/>
          <w:sz w:val="22"/>
          <w:szCs w:val="22"/>
          <w:u w:val="single"/>
          <w:lang w:val="sr-Latn-ME"/>
        </w:rPr>
        <w:t>SOC</w:t>
      </w:r>
    </w:p>
    <w:p w14:paraId="7BCE0851" w14:textId="799DCCEA" w:rsidR="006C7F5F" w:rsidRPr="005A4F9F" w:rsidRDefault="006C7F5F" w:rsidP="008B00DE">
      <w:pPr>
        <w:widowControl w:val="0"/>
        <w:jc w:val="both"/>
        <w:rPr>
          <w:sz w:val="22"/>
          <w:szCs w:val="22"/>
          <w:lang w:val="sr-Latn-ME"/>
        </w:rPr>
      </w:pPr>
      <w:r w:rsidRPr="005A4F9F">
        <w:rPr>
          <w:sz w:val="22"/>
          <w:szCs w:val="22"/>
          <w:lang w:val="sr-Latn-ME"/>
        </w:rPr>
        <w:t xml:space="preserve">Tocilizumab se može primjenjivati kod pedijatrijskih pacijenata (u dobi od 2 godine i starijih) prema istom režimu doziranja kao i kod odraslih pacijenata s </w:t>
      </w:r>
      <w:r w:rsidR="00F40543" w:rsidRPr="005A4F9F">
        <w:rPr>
          <w:sz w:val="22"/>
          <w:szCs w:val="22"/>
          <w:lang w:val="sr-Latn-ME"/>
        </w:rPr>
        <w:t>SOC</w:t>
      </w:r>
      <w:r w:rsidRPr="005A4F9F">
        <w:rPr>
          <w:sz w:val="22"/>
          <w:szCs w:val="22"/>
          <w:lang w:val="sr-Latn-ME"/>
        </w:rPr>
        <w:noBreakHyphen/>
        <w:t>om. Vidjeti dio 4.2 Doziranje i način primjene, odlomak Sindrom otpuštanja citokina (</w:t>
      </w:r>
      <w:r w:rsidR="002D3A2F" w:rsidRPr="005A4F9F">
        <w:rPr>
          <w:sz w:val="22"/>
          <w:szCs w:val="22"/>
          <w:lang w:val="sr-Latn-ME"/>
        </w:rPr>
        <w:t>SOC</w:t>
      </w:r>
      <w:r w:rsidRPr="005A4F9F">
        <w:rPr>
          <w:sz w:val="22"/>
          <w:szCs w:val="22"/>
          <w:lang w:val="sr-Latn-ME"/>
        </w:rPr>
        <w:t xml:space="preserve">) (odrasli i </w:t>
      </w:r>
      <w:r w:rsidR="00AF6514" w:rsidRPr="005A4F9F">
        <w:rPr>
          <w:sz w:val="22"/>
          <w:szCs w:val="22"/>
          <w:lang w:val="sr-Latn-ME"/>
        </w:rPr>
        <w:t>pedijatrijska populacija</w:t>
      </w:r>
      <w:r w:rsidRPr="005A4F9F">
        <w:rPr>
          <w:sz w:val="22"/>
          <w:szCs w:val="22"/>
          <w:lang w:val="sr-Latn-ME"/>
        </w:rPr>
        <w:t>).</w:t>
      </w:r>
    </w:p>
    <w:p w14:paraId="42E1E4A0" w14:textId="77777777" w:rsidR="00F34A0E" w:rsidRPr="005A4F9F" w:rsidRDefault="00F34A0E">
      <w:pPr>
        <w:widowControl w:val="0"/>
        <w:tabs>
          <w:tab w:val="left" w:pos="540"/>
          <w:tab w:val="left" w:pos="569"/>
        </w:tabs>
        <w:jc w:val="both"/>
        <w:rPr>
          <w:bCs/>
          <w:sz w:val="22"/>
          <w:szCs w:val="22"/>
          <w:lang w:val="sr-Latn-ME"/>
        </w:rPr>
      </w:pPr>
    </w:p>
    <w:p w14:paraId="4B3F6785" w14:textId="77777777" w:rsidR="00542633" w:rsidRPr="005A4F9F" w:rsidRDefault="004752D6" w:rsidP="008B00DE">
      <w:pPr>
        <w:widowControl w:val="0"/>
        <w:tabs>
          <w:tab w:val="left" w:pos="540"/>
          <w:tab w:val="left" w:pos="569"/>
        </w:tabs>
        <w:jc w:val="both"/>
        <w:rPr>
          <w:b/>
          <w:sz w:val="22"/>
          <w:szCs w:val="22"/>
          <w:u w:val="single"/>
          <w:lang w:val="sr-Latn-ME"/>
        </w:rPr>
      </w:pPr>
      <w:r w:rsidRPr="005A4F9F">
        <w:rPr>
          <w:b/>
          <w:sz w:val="22"/>
          <w:szCs w:val="22"/>
          <w:u w:val="single"/>
          <w:lang w:val="sr-Latn-ME"/>
        </w:rPr>
        <w:t>Način primjene</w:t>
      </w:r>
    </w:p>
    <w:p w14:paraId="6F0CAB2F" w14:textId="09B46926" w:rsidR="004752D6" w:rsidRPr="005A4F9F" w:rsidRDefault="004752D6" w:rsidP="008B00DE">
      <w:pPr>
        <w:widowControl w:val="0"/>
        <w:tabs>
          <w:tab w:val="left" w:pos="540"/>
          <w:tab w:val="left" w:pos="569"/>
        </w:tabs>
        <w:jc w:val="both"/>
        <w:rPr>
          <w:b/>
          <w:sz w:val="22"/>
          <w:szCs w:val="22"/>
          <w:u w:val="single"/>
          <w:lang w:val="sr-Latn-ME"/>
        </w:rPr>
      </w:pPr>
    </w:p>
    <w:p w14:paraId="5A4BDED1" w14:textId="6D461A8A" w:rsidR="00016901" w:rsidRPr="005A4F9F" w:rsidRDefault="00F34A0E" w:rsidP="008B00DE">
      <w:pPr>
        <w:widowControl w:val="0"/>
        <w:jc w:val="both"/>
        <w:rPr>
          <w:sz w:val="22"/>
          <w:szCs w:val="22"/>
          <w:lang w:val="sr-Latn-ME"/>
        </w:rPr>
      </w:pPr>
      <w:r w:rsidRPr="005A4F9F">
        <w:rPr>
          <w:bCs/>
          <w:sz w:val="22"/>
          <w:szCs w:val="22"/>
          <w:lang w:val="sr-Latn-ME"/>
        </w:rPr>
        <w:t xml:space="preserve">Po razblaživanju, </w:t>
      </w:r>
      <w:r w:rsidR="00016901" w:rsidRPr="005A4F9F">
        <w:rPr>
          <w:bCs/>
          <w:sz w:val="22"/>
          <w:szCs w:val="22"/>
          <w:lang w:val="sr-Latn-ME"/>
        </w:rPr>
        <w:t xml:space="preserve">ovaj lijek se primjenjuje </w:t>
      </w:r>
      <w:r w:rsidRPr="005A4F9F">
        <w:rPr>
          <w:bCs/>
          <w:sz w:val="22"/>
          <w:szCs w:val="22"/>
          <w:lang w:val="sr-Latn-ME"/>
        </w:rPr>
        <w:t>u vidu intravenske infuzije tokom perioda od 1 sata.</w:t>
      </w:r>
      <w:r w:rsidR="00016901" w:rsidRPr="005A4F9F">
        <w:rPr>
          <w:bCs/>
          <w:sz w:val="22"/>
          <w:szCs w:val="22"/>
          <w:lang w:val="sr-Latn-ME"/>
        </w:rPr>
        <w:t xml:space="preserve"> </w:t>
      </w:r>
      <w:r w:rsidR="00016901" w:rsidRPr="005A4F9F">
        <w:rPr>
          <w:color w:val="000000"/>
          <w:sz w:val="22"/>
          <w:szCs w:val="22"/>
          <w:lang w:val="sr-Latn-ME"/>
        </w:rPr>
        <w:t xml:space="preserve">Ako se pojave znakovi i simptomi reakcije na infuziju, potrebno je smanjiti brzinu ili prekinuti primjenu infuzije i odmah primjeniti odgovarajući lijek/potpornu </w:t>
      </w:r>
      <w:r w:rsidR="00840A67" w:rsidRPr="005A4F9F">
        <w:rPr>
          <w:color w:val="000000"/>
          <w:sz w:val="22"/>
          <w:szCs w:val="22"/>
          <w:lang w:val="sr-Latn-ME"/>
        </w:rPr>
        <w:t>n</w:t>
      </w:r>
      <w:r w:rsidR="00D25617" w:rsidRPr="005A4F9F">
        <w:rPr>
          <w:color w:val="000000"/>
          <w:sz w:val="22"/>
          <w:szCs w:val="22"/>
          <w:lang w:val="sr-Latn-ME"/>
        </w:rPr>
        <w:t>j</w:t>
      </w:r>
      <w:r w:rsidR="00840A67" w:rsidRPr="005A4F9F">
        <w:rPr>
          <w:color w:val="000000"/>
          <w:sz w:val="22"/>
          <w:szCs w:val="22"/>
          <w:lang w:val="sr-Latn-ME"/>
        </w:rPr>
        <w:t>egu</w:t>
      </w:r>
      <w:r w:rsidR="00016901" w:rsidRPr="005A4F9F">
        <w:rPr>
          <w:color w:val="000000"/>
          <w:sz w:val="22"/>
          <w:szCs w:val="22"/>
          <w:lang w:val="sr-Latn-ME"/>
        </w:rPr>
        <w:t xml:space="preserve"> (vidjeti dio 4.4).</w:t>
      </w:r>
    </w:p>
    <w:p w14:paraId="08E2922F" w14:textId="77777777" w:rsidR="00F34A0E" w:rsidRPr="005A4F9F" w:rsidRDefault="00F34A0E">
      <w:pPr>
        <w:widowControl w:val="0"/>
        <w:tabs>
          <w:tab w:val="left" w:pos="540"/>
          <w:tab w:val="left" w:pos="569"/>
        </w:tabs>
        <w:jc w:val="both"/>
        <w:rPr>
          <w:bCs/>
          <w:sz w:val="22"/>
          <w:szCs w:val="22"/>
          <w:lang w:val="sr-Latn-ME"/>
        </w:rPr>
      </w:pPr>
    </w:p>
    <w:p w14:paraId="770ED403" w14:textId="66AEB449" w:rsidR="00F34A0E" w:rsidRPr="005A4F9F" w:rsidRDefault="0011016C">
      <w:pPr>
        <w:widowControl w:val="0"/>
        <w:tabs>
          <w:tab w:val="left" w:pos="540"/>
          <w:tab w:val="left" w:pos="569"/>
        </w:tabs>
        <w:jc w:val="both"/>
        <w:rPr>
          <w:bCs/>
          <w:i/>
          <w:iCs/>
          <w:sz w:val="22"/>
          <w:szCs w:val="22"/>
          <w:lang w:val="sr-Latn-ME"/>
        </w:rPr>
      </w:pPr>
      <w:r w:rsidRPr="005A4F9F">
        <w:rPr>
          <w:bCs/>
          <w:i/>
          <w:iCs/>
          <w:sz w:val="22"/>
          <w:szCs w:val="22"/>
          <w:lang w:val="sr-Latn-ME"/>
        </w:rPr>
        <w:t xml:space="preserve">Pacijenti sa </w:t>
      </w:r>
      <w:r w:rsidR="00F34A0E" w:rsidRPr="005A4F9F">
        <w:rPr>
          <w:bCs/>
          <w:i/>
          <w:iCs/>
          <w:sz w:val="22"/>
          <w:szCs w:val="22"/>
          <w:lang w:val="sr-Latn-ME"/>
        </w:rPr>
        <w:t>RA , sJIA</w:t>
      </w:r>
      <w:r w:rsidR="004752D6" w:rsidRPr="005A4F9F">
        <w:rPr>
          <w:bCs/>
          <w:i/>
          <w:iCs/>
          <w:sz w:val="22"/>
          <w:szCs w:val="22"/>
          <w:lang w:val="sr-Latn-ME"/>
        </w:rPr>
        <w:t xml:space="preserve">, </w:t>
      </w:r>
      <w:r w:rsidR="00F34A0E" w:rsidRPr="005A4F9F">
        <w:rPr>
          <w:bCs/>
          <w:i/>
          <w:iCs/>
          <w:sz w:val="22"/>
          <w:szCs w:val="22"/>
          <w:lang w:val="sr-Latn-ME"/>
        </w:rPr>
        <w:t>pJIA</w:t>
      </w:r>
      <w:r w:rsidR="00D97476" w:rsidRPr="005A4F9F">
        <w:rPr>
          <w:bCs/>
          <w:i/>
          <w:iCs/>
          <w:sz w:val="22"/>
          <w:szCs w:val="22"/>
          <w:lang w:val="sr-Latn-ME"/>
        </w:rPr>
        <w:t>,</w:t>
      </w:r>
      <w:r w:rsidR="004752D6" w:rsidRPr="005A4F9F">
        <w:rPr>
          <w:bCs/>
          <w:i/>
          <w:iCs/>
          <w:sz w:val="22"/>
          <w:szCs w:val="22"/>
          <w:lang w:val="sr-Latn-ME"/>
        </w:rPr>
        <w:t xml:space="preserve"> SOC</w:t>
      </w:r>
      <w:r w:rsidR="00F34A0E" w:rsidRPr="005A4F9F">
        <w:rPr>
          <w:bCs/>
          <w:i/>
          <w:iCs/>
          <w:sz w:val="22"/>
          <w:szCs w:val="22"/>
          <w:lang w:val="sr-Latn-ME"/>
        </w:rPr>
        <w:t xml:space="preserve"> </w:t>
      </w:r>
      <w:r w:rsidRPr="005A4F9F">
        <w:rPr>
          <w:bCs/>
          <w:i/>
          <w:iCs/>
          <w:sz w:val="22"/>
          <w:szCs w:val="22"/>
          <w:lang w:val="sr-Latn-ME"/>
        </w:rPr>
        <w:t xml:space="preserve"> </w:t>
      </w:r>
      <w:r w:rsidR="00D97476" w:rsidRPr="005A4F9F">
        <w:rPr>
          <w:bCs/>
          <w:i/>
          <w:iCs/>
          <w:sz w:val="22"/>
          <w:szCs w:val="22"/>
          <w:lang w:val="sr-Latn-ME"/>
        </w:rPr>
        <w:t xml:space="preserve">i bolešću COVID-19 </w:t>
      </w:r>
      <w:r w:rsidRPr="005A4F9F">
        <w:rPr>
          <w:bCs/>
          <w:i/>
          <w:iCs/>
          <w:sz w:val="22"/>
          <w:szCs w:val="22"/>
          <w:lang w:val="sr-Latn-ME"/>
        </w:rPr>
        <w:t xml:space="preserve">tjelesne mase </w:t>
      </w:r>
      <w:r w:rsidR="00F34A0E" w:rsidRPr="005A4F9F">
        <w:rPr>
          <w:bCs/>
          <w:i/>
          <w:iCs/>
          <w:sz w:val="22"/>
          <w:szCs w:val="22"/>
          <w:lang w:val="sr-Latn-ME"/>
        </w:rPr>
        <w:t>≥ 30 kg</w:t>
      </w:r>
    </w:p>
    <w:p w14:paraId="6F51E89D" w14:textId="440F5786" w:rsidR="00542633" w:rsidRPr="005A4F9F" w:rsidRDefault="004E2E0C">
      <w:pPr>
        <w:widowControl w:val="0"/>
        <w:tabs>
          <w:tab w:val="left" w:pos="540"/>
          <w:tab w:val="left" w:pos="569"/>
        </w:tabs>
        <w:jc w:val="both"/>
        <w:rPr>
          <w:bCs/>
          <w:sz w:val="22"/>
          <w:szCs w:val="22"/>
          <w:lang w:val="sr-Latn-ME"/>
        </w:rPr>
      </w:pPr>
      <w:r w:rsidRPr="005A4F9F">
        <w:rPr>
          <w:bCs/>
          <w:sz w:val="22"/>
          <w:szCs w:val="22"/>
          <w:lang w:val="sr-Latn-ME"/>
        </w:rPr>
        <w:t>Ovaj lijek</w:t>
      </w:r>
      <w:r w:rsidR="00F34A0E" w:rsidRPr="005A4F9F">
        <w:rPr>
          <w:bCs/>
          <w:sz w:val="22"/>
          <w:szCs w:val="22"/>
          <w:lang w:val="sr-Latn-ME"/>
        </w:rPr>
        <w:t xml:space="preserve"> treba razblažiti do finalne zapremine od 100 </w:t>
      </w:r>
      <w:r w:rsidR="00542633" w:rsidRPr="005A4F9F">
        <w:rPr>
          <w:bCs/>
          <w:sz w:val="22"/>
          <w:szCs w:val="22"/>
          <w:lang w:val="sr-Latn-ME"/>
        </w:rPr>
        <w:t>ml</w:t>
      </w:r>
      <w:r w:rsidR="00F34A0E" w:rsidRPr="005A4F9F">
        <w:rPr>
          <w:bCs/>
          <w:sz w:val="22"/>
          <w:szCs w:val="22"/>
          <w:lang w:val="sr-Latn-ME"/>
        </w:rPr>
        <w:t xml:space="preserve"> sterilnim apirogenim rastvorom natrijum hlorida 9 mg/</w:t>
      </w:r>
      <w:r w:rsidR="00542633" w:rsidRPr="005A4F9F">
        <w:rPr>
          <w:bCs/>
          <w:sz w:val="22"/>
          <w:szCs w:val="22"/>
          <w:lang w:val="sr-Latn-ME"/>
        </w:rPr>
        <w:t>ml</w:t>
      </w:r>
      <w:r w:rsidR="00F34A0E" w:rsidRPr="005A4F9F">
        <w:rPr>
          <w:bCs/>
          <w:sz w:val="22"/>
          <w:szCs w:val="22"/>
          <w:lang w:val="sr-Latn-ME"/>
        </w:rPr>
        <w:t xml:space="preserve"> (0,9%) za injekcije, korišćenjem aseptične tehnike.</w:t>
      </w:r>
    </w:p>
    <w:p w14:paraId="0EE8671C" w14:textId="1B9D80FB" w:rsidR="00F34A0E" w:rsidRPr="005A4F9F" w:rsidRDefault="00F34A0E">
      <w:pPr>
        <w:widowControl w:val="0"/>
        <w:tabs>
          <w:tab w:val="left" w:pos="540"/>
          <w:tab w:val="left" w:pos="569"/>
        </w:tabs>
        <w:jc w:val="both"/>
        <w:rPr>
          <w:bCs/>
          <w:sz w:val="22"/>
          <w:szCs w:val="22"/>
          <w:lang w:val="sr-Latn-ME"/>
        </w:rPr>
      </w:pPr>
    </w:p>
    <w:p w14:paraId="04C865EE" w14:textId="77777777" w:rsidR="00F34A0E"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Za dodatne informacije o razblaživanju </w:t>
      </w:r>
      <w:r w:rsidR="00007500" w:rsidRPr="005A4F9F">
        <w:rPr>
          <w:bCs/>
          <w:sz w:val="22"/>
          <w:szCs w:val="22"/>
          <w:lang w:val="sr-Latn-ME"/>
        </w:rPr>
        <w:t xml:space="preserve">lijeka </w:t>
      </w:r>
      <w:r w:rsidRPr="005A4F9F">
        <w:rPr>
          <w:bCs/>
          <w:sz w:val="22"/>
          <w:szCs w:val="22"/>
          <w:lang w:val="sr-Latn-ME"/>
        </w:rPr>
        <w:t xml:space="preserve">prije </w:t>
      </w:r>
      <w:r w:rsidR="0011016C" w:rsidRPr="005A4F9F">
        <w:rPr>
          <w:bCs/>
          <w:sz w:val="22"/>
          <w:szCs w:val="22"/>
          <w:lang w:val="sr-Latn-ME"/>
        </w:rPr>
        <w:t>primjene</w:t>
      </w:r>
      <w:r w:rsidRPr="005A4F9F">
        <w:rPr>
          <w:bCs/>
          <w:sz w:val="22"/>
          <w:szCs w:val="22"/>
          <w:lang w:val="sr-Latn-ME"/>
        </w:rPr>
        <w:t>, vidjeti dio 6.6.</w:t>
      </w:r>
    </w:p>
    <w:p w14:paraId="16FB1D40" w14:textId="77777777" w:rsidR="00FC079C" w:rsidRPr="005A4F9F" w:rsidRDefault="00FC079C">
      <w:pPr>
        <w:widowControl w:val="0"/>
        <w:tabs>
          <w:tab w:val="left" w:pos="540"/>
          <w:tab w:val="left" w:pos="569"/>
        </w:tabs>
        <w:jc w:val="both"/>
        <w:rPr>
          <w:bCs/>
          <w:sz w:val="22"/>
          <w:szCs w:val="22"/>
          <w:lang w:val="sr-Latn-ME"/>
        </w:rPr>
      </w:pPr>
    </w:p>
    <w:p w14:paraId="3A9DE629" w14:textId="77777777" w:rsidR="00F34A0E" w:rsidRPr="005A4F9F" w:rsidRDefault="0011016C">
      <w:pPr>
        <w:widowControl w:val="0"/>
        <w:tabs>
          <w:tab w:val="left" w:pos="540"/>
          <w:tab w:val="left" w:pos="569"/>
        </w:tabs>
        <w:jc w:val="both"/>
        <w:rPr>
          <w:bCs/>
          <w:i/>
          <w:iCs/>
          <w:sz w:val="22"/>
          <w:szCs w:val="22"/>
          <w:lang w:val="sr-Latn-ME"/>
        </w:rPr>
      </w:pPr>
      <w:r w:rsidRPr="005A4F9F">
        <w:rPr>
          <w:bCs/>
          <w:i/>
          <w:iCs/>
          <w:sz w:val="22"/>
          <w:szCs w:val="22"/>
          <w:lang w:val="sr-Latn-ME"/>
        </w:rPr>
        <w:t xml:space="preserve">Pacijenti sa </w:t>
      </w:r>
      <w:r w:rsidR="00F34A0E" w:rsidRPr="005A4F9F">
        <w:rPr>
          <w:bCs/>
          <w:i/>
          <w:iCs/>
          <w:sz w:val="22"/>
          <w:szCs w:val="22"/>
          <w:lang w:val="sr-Latn-ME"/>
        </w:rPr>
        <w:t>sJIA</w:t>
      </w:r>
      <w:r w:rsidR="004752D6" w:rsidRPr="005A4F9F">
        <w:rPr>
          <w:bCs/>
          <w:i/>
          <w:iCs/>
          <w:sz w:val="22"/>
          <w:szCs w:val="22"/>
          <w:lang w:val="sr-Latn-ME"/>
        </w:rPr>
        <w:t>,</w:t>
      </w:r>
      <w:r w:rsidR="00F34A0E" w:rsidRPr="005A4F9F">
        <w:rPr>
          <w:bCs/>
          <w:i/>
          <w:iCs/>
          <w:sz w:val="22"/>
          <w:szCs w:val="22"/>
          <w:lang w:val="sr-Latn-ME"/>
        </w:rPr>
        <w:t xml:space="preserve"> pJIA </w:t>
      </w:r>
      <w:r w:rsidR="004752D6" w:rsidRPr="005A4F9F">
        <w:rPr>
          <w:bCs/>
          <w:i/>
          <w:iCs/>
          <w:sz w:val="22"/>
          <w:szCs w:val="22"/>
          <w:lang w:val="sr-Latn-ME"/>
        </w:rPr>
        <w:t>i SOC</w:t>
      </w:r>
      <w:r w:rsidRPr="005A4F9F">
        <w:rPr>
          <w:bCs/>
          <w:i/>
          <w:iCs/>
          <w:sz w:val="22"/>
          <w:szCs w:val="22"/>
          <w:lang w:val="sr-Latn-ME"/>
        </w:rPr>
        <w:t xml:space="preserve"> tjelesne mase</w:t>
      </w:r>
      <w:r w:rsidR="004752D6" w:rsidRPr="005A4F9F">
        <w:rPr>
          <w:bCs/>
          <w:i/>
          <w:iCs/>
          <w:sz w:val="22"/>
          <w:szCs w:val="22"/>
          <w:lang w:val="sr-Latn-ME"/>
        </w:rPr>
        <w:t xml:space="preserve"> </w:t>
      </w:r>
      <w:r w:rsidR="00F34A0E" w:rsidRPr="005A4F9F">
        <w:rPr>
          <w:bCs/>
          <w:i/>
          <w:iCs/>
          <w:sz w:val="22"/>
          <w:szCs w:val="22"/>
          <w:lang w:val="sr-Latn-ME"/>
        </w:rPr>
        <w:t>&lt; 30 kg</w:t>
      </w:r>
    </w:p>
    <w:p w14:paraId="5693786D" w14:textId="05C62F5E" w:rsidR="00F34A0E" w:rsidRPr="005A4F9F" w:rsidRDefault="004E2E0C">
      <w:pPr>
        <w:widowControl w:val="0"/>
        <w:tabs>
          <w:tab w:val="left" w:pos="540"/>
          <w:tab w:val="left" w:pos="569"/>
        </w:tabs>
        <w:jc w:val="both"/>
        <w:rPr>
          <w:bCs/>
          <w:sz w:val="22"/>
          <w:szCs w:val="22"/>
          <w:lang w:val="sr-Latn-ME"/>
        </w:rPr>
      </w:pPr>
      <w:r w:rsidRPr="005A4F9F">
        <w:rPr>
          <w:bCs/>
          <w:sz w:val="22"/>
          <w:szCs w:val="22"/>
          <w:lang w:val="sr-Latn-ME"/>
        </w:rPr>
        <w:t>Ovaj lijek</w:t>
      </w:r>
      <w:r w:rsidR="00F34A0E" w:rsidRPr="005A4F9F">
        <w:rPr>
          <w:bCs/>
          <w:sz w:val="22"/>
          <w:szCs w:val="22"/>
          <w:lang w:val="sr-Latn-ME"/>
        </w:rPr>
        <w:t xml:space="preserve"> treba razblažiti do finalne zapremine od 50 </w:t>
      </w:r>
      <w:r w:rsidR="00542633" w:rsidRPr="005A4F9F">
        <w:rPr>
          <w:bCs/>
          <w:sz w:val="22"/>
          <w:szCs w:val="22"/>
          <w:lang w:val="sr-Latn-ME"/>
        </w:rPr>
        <w:t>ml</w:t>
      </w:r>
      <w:r w:rsidR="00F34A0E" w:rsidRPr="005A4F9F">
        <w:rPr>
          <w:bCs/>
          <w:sz w:val="22"/>
          <w:szCs w:val="22"/>
          <w:lang w:val="sr-Latn-ME"/>
        </w:rPr>
        <w:t xml:space="preserve"> sterilnim apirogenim rastvorom natrijum hlorida 9 mg/</w:t>
      </w:r>
      <w:r w:rsidR="00542633" w:rsidRPr="005A4F9F">
        <w:rPr>
          <w:bCs/>
          <w:sz w:val="22"/>
          <w:szCs w:val="22"/>
          <w:lang w:val="sr-Latn-ME"/>
        </w:rPr>
        <w:t>ml</w:t>
      </w:r>
      <w:r w:rsidR="00F34A0E" w:rsidRPr="005A4F9F">
        <w:rPr>
          <w:bCs/>
          <w:sz w:val="22"/>
          <w:szCs w:val="22"/>
          <w:lang w:val="sr-Latn-ME"/>
        </w:rPr>
        <w:t xml:space="preserve"> (0,9%) za injekcije, korišćenjem aseptične tehnike.</w:t>
      </w:r>
    </w:p>
    <w:p w14:paraId="727FDD03" w14:textId="77777777" w:rsidR="00F34A0E" w:rsidRPr="005A4F9F" w:rsidRDefault="00F34A0E">
      <w:pPr>
        <w:widowControl w:val="0"/>
        <w:tabs>
          <w:tab w:val="left" w:pos="540"/>
          <w:tab w:val="left" w:pos="569"/>
        </w:tabs>
        <w:jc w:val="both"/>
        <w:rPr>
          <w:bCs/>
          <w:sz w:val="22"/>
          <w:szCs w:val="22"/>
          <w:lang w:val="sr-Latn-ME"/>
        </w:rPr>
      </w:pPr>
    </w:p>
    <w:p w14:paraId="2E4EC01D" w14:textId="77777777" w:rsidR="00BA1741" w:rsidRPr="005A4F9F" w:rsidRDefault="00F34A0E">
      <w:pPr>
        <w:widowControl w:val="0"/>
        <w:tabs>
          <w:tab w:val="left" w:pos="540"/>
          <w:tab w:val="left" w:pos="569"/>
        </w:tabs>
        <w:jc w:val="both"/>
        <w:rPr>
          <w:bCs/>
          <w:sz w:val="22"/>
          <w:szCs w:val="22"/>
          <w:lang w:val="sr-Latn-ME"/>
        </w:rPr>
      </w:pPr>
      <w:r w:rsidRPr="005A4F9F">
        <w:rPr>
          <w:bCs/>
          <w:sz w:val="22"/>
          <w:szCs w:val="22"/>
          <w:lang w:val="sr-Latn-ME"/>
        </w:rPr>
        <w:t xml:space="preserve">Za dodatne informacije o razblaživanju </w:t>
      </w:r>
      <w:r w:rsidR="00007500" w:rsidRPr="005A4F9F">
        <w:rPr>
          <w:bCs/>
          <w:sz w:val="22"/>
          <w:szCs w:val="22"/>
          <w:lang w:val="sr-Latn-ME"/>
        </w:rPr>
        <w:t xml:space="preserve">lijeka </w:t>
      </w:r>
      <w:r w:rsidRPr="005A4F9F">
        <w:rPr>
          <w:bCs/>
          <w:sz w:val="22"/>
          <w:szCs w:val="22"/>
          <w:lang w:val="sr-Latn-ME"/>
        </w:rPr>
        <w:t xml:space="preserve">prije </w:t>
      </w:r>
      <w:r w:rsidR="0011016C" w:rsidRPr="005A4F9F">
        <w:rPr>
          <w:bCs/>
          <w:sz w:val="22"/>
          <w:szCs w:val="22"/>
          <w:lang w:val="sr-Latn-ME"/>
        </w:rPr>
        <w:t>primjene</w:t>
      </w:r>
      <w:r w:rsidRPr="005A4F9F">
        <w:rPr>
          <w:bCs/>
          <w:sz w:val="22"/>
          <w:szCs w:val="22"/>
          <w:lang w:val="sr-Latn-ME"/>
        </w:rPr>
        <w:t>, vidjeti dio 6.6.</w:t>
      </w:r>
    </w:p>
    <w:p w14:paraId="7B634F2F" w14:textId="77777777" w:rsidR="00452E9D" w:rsidRPr="005A4F9F" w:rsidRDefault="00452E9D" w:rsidP="008B00DE">
      <w:pPr>
        <w:widowControl w:val="0"/>
        <w:tabs>
          <w:tab w:val="left" w:pos="540"/>
          <w:tab w:val="left" w:pos="569"/>
        </w:tabs>
        <w:jc w:val="both"/>
        <w:rPr>
          <w:bCs/>
          <w:sz w:val="22"/>
          <w:szCs w:val="22"/>
          <w:lang w:val="sr-Latn-ME"/>
        </w:rPr>
      </w:pPr>
    </w:p>
    <w:p w14:paraId="2BE1BD27" w14:textId="77777777" w:rsidR="00411B4B" w:rsidRPr="005A4F9F" w:rsidRDefault="00411B4B">
      <w:pPr>
        <w:widowControl w:val="0"/>
        <w:tabs>
          <w:tab w:val="left" w:pos="540"/>
          <w:tab w:val="left" w:pos="569"/>
        </w:tabs>
        <w:jc w:val="both"/>
        <w:rPr>
          <w:b/>
          <w:bCs/>
          <w:sz w:val="22"/>
          <w:szCs w:val="22"/>
          <w:lang w:val="sr-Latn-ME"/>
        </w:rPr>
      </w:pPr>
      <w:r w:rsidRPr="005A4F9F">
        <w:rPr>
          <w:b/>
          <w:bCs/>
          <w:sz w:val="22"/>
          <w:szCs w:val="22"/>
          <w:lang w:val="sr-Latn-ME"/>
        </w:rPr>
        <w:t xml:space="preserve">4.3. </w:t>
      </w:r>
      <w:r w:rsidR="00480FB1" w:rsidRPr="005A4F9F">
        <w:rPr>
          <w:b/>
          <w:bCs/>
          <w:sz w:val="22"/>
          <w:szCs w:val="22"/>
          <w:lang w:val="sr-Latn-ME"/>
        </w:rPr>
        <w:tab/>
      </w:r>
      <w:r w:rsidRPr="005A4F9F">
        <w:rPr>
          <w:b/>
          <w:bCs/>
          <w:sz w:val="22"/>
          <w:szCs w:val="22"/>
          <w:lang w:val="sr-Latn-ME"/>
        </w:rPr>
        <w:t>Kontraindikacije</w:t>
      </w:r>
    </w:p>
    <w:p w14:paraId="0E225D68" w14:textId="77777777" w:rsidR="00F34A0E" w:rsidRPr="005A4F9F" w:rsidRDefault="00F34A0E">
      <w:pPr>
        <w:widowControl w:val="0"/>
        <w:tabs>
          <w:tab w:val="left" w:pos="540"/>
          <w:tab w:val="left" w:pos="569"/>
        </w:tabs>
        <w:jc w:val="both"/>
        <w:rPr>
          <w:b/>
          <w:bCs/>
          <w:sz w:val="22"/>
          <w:szCs w:val="22"/>
          <w:lang w:val="sr-Latn-ME"/>
        </w:rPr>
      </w:pPr>
    </w:p>
    <w:p w14:paraId="57662942" w14:textId="77777777" w:rsidR="00F34A0E" w:rsidRPr="005A4F9F" w:rsidRDefault="00F34A0E">
      <w:pPr>
        <w:widowControl w:val="0"/>
        <w:tabs>
          <w:tab w:val="left" w:pos="284"/>
          <w:tab w:val="center" w:pos="4320"/>
          <w:tab w:val="right" w:pos="8640"/>
        </w:tabs>
        <w:jc w:val="both"/>
        <w:rPr>
          <w:sz w:val="22"/>
          <w:szCs w:val="22"/>
          <w:lang w:val="sr-Latn-ME"/>
        </w:rPr>
      </w:pPr>
      <w:r w:rsidRPr="005A4F9F">
        <w:rPr>
          <w:sz w:val="22"/>
          <w:szCs w:val="22"/>
          <w:lang w:val="sr-Latn-ME"/>
        </w:rPr>
        <w:t>Preosjetljivost na aktivn</w:t>
      </w:r>
      <w:r w:rsidR="00CA50A1" w:rsidRPr="005A4F9F">
        <w:rPr>
          <w:sz w:val="22"/>
          <w:szCs w:val="22"/>
          <w:lang w:val="sr-Latn-ME"/>
        </w:rPr>
        <w:t>u</w:t>
      </w:r>
      <w:r w:rsidRPr="005A4F9F">
        <w:rPr>
          <w:sz w:val="22"/>
          <w:szCs w:val="22"/>
          <w:lang w:val="sr-Latn-ME"/>
        </w:rPr>
        <w:t xml:space="preserve"> supstanc</w:t>
      </w:r>
      <w:r w:rsidR="00CA50A1" w:rsidRPr="005A4F9F">
        <w:rPr>
          <w:sz w:val="22"/>
          <w:szCs w:val="22"/>
          <w:lang w:val="sr-Latn-ME"/>
        </w:rPr>
        <w:t>u</w:t>
      </w:r>
      <w:r w:rsidRPr="005A4F9F">
        <w:rPr>
          <w:sz w:val="22"/>
          <w:szCs w:val="22"/>
          <w:lang w:val="sr-Latn-ME"/>
        </w:rPr>
        <w:t xml:space="preserve"> ili bilo koj</w:t>
      </w:r>
      <w:r w:rsidR="00CA50A1" w:rsidRPr="005A4F9F">
        <w:rPr>
          <w:sz w:val="22"/>
          <w:szCs w:val="22"/>
          <w:lang w:val="sr-Latn-ME"/>
        </w:rPr>
        <w:t>u</w:t>
      </w:r>
      <w:r w:rsidRPr="005A4F9F">
        <w:rPr>
          <w:sz w:val="22"/>
          <w:szCs w:val="22"/>
          <w:lang w:val="sr-Latn-ME"/>
        </w:rPr>
        <w:t xml:space="preserve"> od  pomoćnih supstanci navedenih u dijelu 6.1.</w:t>
      </w:r>
    </w:p>
    <w:p w14:paraId="0549B7F3" w14:textId="77777777" w:rsidR="00F34A0E" w:rsidRPr="005A4F9F" w:rsidRDefault="00F34A0E">
      <w:pPr>
        <w:widowControl w:val="0"/>
        <w:tabs>
          <w:tab w:val="left" w:pos="284"/>
          <w:tab w:val="center" w:pos="4320"/>
          <w:tab w:val="right" w:pos="8640"/>
        </w:tabs>
        <w:jc w:val="both"/>
        <w:rPr>
          <w:sz w:val="22"/>
          <w:szCs w:val="22"/>
          <w:lang w:val="sr-Latn-ME"/>
        </w:rPr>
      </w:pPr>
      <w:r w:rsidRPr="005A4F9F">
        <w:rPr>
          <w:sz w:val="22"/>
          <w:szCs w:val="22"/>
          <w:lang w:val="sr-Latn-ME"/>
        </w:rPr>
        <w:t>Aktivne, teške infekcije</w:t>
      </w:r>
      <w:r w:rsidR="00FC079C" w:rsidRPr="005A4F9F">
        <w:rPr>
          <w:sz w:val="22"/>
          <w:szCs w:val="22"/>
          <w:lang w:val="sr-Latn-ME"/>
        </w:rPr>
        <w:t>, izuzev COVID-19 infekcije</w:t>
      </w:r>
      <w:r w:rsidRPr="005A4F9F">
        <w:rPr>
          <w:sz w:val="22"/>
          <w:szCs w:val="22"/>
          <w:lang w:val="sr-Latn-ME"/>
        </w:rPr>
        <w:t xml:space="preserve"> (vidjeti </w:t>
      </w:r>
      <w:r w:rsidR="00CA50A1" w:rsidRPr="005A4F9F">
        <w:rPr>
          <w:sz w:val="22"/>
          <w:szCs w:val="22"/>
          <w:lang w:val="sr-Latn-ME"/>
        </w:rPr>
        <w:t xml:space="preserve">dio </w:t>
      </w:r>
      <w:r w:rsidRPr="005A4F9F">
        <w:rPr>
          <w:sz w:val="22"/>
          <w:szCs w:val="22"/>
          <w:lang w:val="sr-Latn-ME"/>
        </w:rPr>
        <w:t>4.4).</w:t>
      </w:r>
    </w:p>
    <w:p w14:paraId="78229920" w14:textId="77777777" w:rsidR="0072020E" w:rsidRPr="005A4F9F" w:rsidRDefault="0072020E">
      <w:pPr>
        <w:widowControl w:val="0"/>
        <w:tabs>
          <w:tab w:val="left" w:pos="540"/>
          <w:tab w:val="left" w:pos="569"/>
        </w:tabs>
        <w:jc w:val="both"/>
        <w:rPr>
          <w:bCs/>
          <w:sz w:val="22"/>
          <w:szCs w:val="22"/>
          <w:lang w:val="sr-Latn-ME"/>
        </w:rPr>
      </w:pPr>
    </w:p>
    <w:p w14:paraId="7006C647" w14:textId="77777777" w:rsidR="00542633" w:rsidRPr="005A4F9F" w:rsidRDefault="00411B4B" w:rsidP="008B00DE">
      <w:pPr>
        <w:widowControl w:val="0"/>
        <w:jc w:val="both"/>
        <w:rPr>
          <w:b/>
          <w:bCs/>
          <w:sz w:val="22"/>
          <w:szCs w:val="22"/>
          <w:lang w:val="sr-Latn-ME"/>
        </w:rPr>
      </w:pPr>
      <w:r w:rsidRPr="005A4F9F">
        <w:rPr>
          <w:b/>
          <w:bCs/>
          <w:sz w:val="22"/>
          <w:szCs w:val="22"/>
          <w:lang w:val="sr-Latn-ME"/>
        </w:rPr>
        <w:t xml:space="preserve">4.4. </w:t>
      </w:r>
      <w:r w:rsidR="00480FB1" w:rsidRPr="005A4F9F">
        <w:rPr>
          <w:b/>
          <w:bCs/>
          <w:sz w:val="22"/>
          <w:szCs w:val="22"/>
          <w:lang w:val="sr-Latn-ME"/>
        </w:rPr>
        <w:tab/>
      </w:r>
      <w:r w:rsidRPr="005A4F9F">
        <w:rPr>
          <w:b/>
          <w:bCs/>
          <w:sz w:val="22"/>
          <w:szCs w:val="22"/>
          <w:lang w:val="sr-Latn-ME"/>
        </w:rPr>
        <w:t>Posebna upozorenja i mjere opreza pri upotrebi lijeka</w:t>
      </w:r>
    </w:p>
    <w:p w14:paraId="5E1F9ECE" w14:textId="77777777" w:rsidR="00542633" w:rsidRPr="005A4F9F" w:rsidRDefault="00542633" w:rsidP="008B00DE">
      <w:pPr>
        <w:widowControl w:val="0"/>
        <w:jc w:val="both"/>
        <w:rPr>
          <w:b/>
          <w:bCs/>
          <w:sz w:val="22"/>
          <w:szCs w:val="22"/>
          <w:lang w:val="sr-Latn-ME"/>
        </w:rPr>
      </w:pPr>
    </w:p>
    <w:p w14:paraId="78197F0E" w14:textId="08B68BD8" w:rsidR="00A0123F" w:rsidRPr="005A4F9F" w:rsidRDefault="00A0123F" w:rsidP="008B00DE">
      <w:pPr>
        <w:widowControl w:val="0"/>
        <w:jc w:val="both"/>
        <w:rPr>
          <w:iCs/>
          <w:sz w:val="22"/>
          <w:szCs w:val="22"/>
          <w:u w:val="single"/>
          <w:lang w:val="sr-Latn-ME"/>
        </w:rPr>
      </w:pPr>
      <w:r w:rsidRPr="005A4F9F">
        <w:rPr>
          <w:iCs/>
          <w:sz w:val="22"/>
          <w:szCs w:val="22"/>
          <w:u w:val="single"/>
          <w:lang w:val="sr-Latn-ME"/>
        </w:rPr>
        <w:t xml:space="preserve">Sljedivost </w:t>
      </w:r>
    </w:p>
    <w:p w14:paraId="0E4B0676" w14:textId="7D29D00C" w:rsidR="00A0123F" w:rsidRPr="005A4F9F" w:rsidRDefault="00A0123F" w:rsidP="008B00DE">
      <w:pPr>
        <w:widowControl w:val="0"/>
        <w:jc w:val="both"/>
        <w:rPr>
          <w:sz w:val="22"/>
          <w:szCs w:val="22"/>
          <w:lang w:val="sr-Latn-ME"/>
        </w:rPr>
      </w:pPr>
      <w:r w:rsidRPr="005A4F9F">
        <w:rPr>
          <w:sz w:val="22"/>
          <w:szCs w:val="22"/>
          <w:lang w:val="sr-Latn-ME"/>
        </w:rPr>
        <w:t>Kako bi se poboljšala sljedivost bioloških ljekova, naziv i broj serije primijenjenog lijeka potrebno je jasno evidentirati.</w:t>
      </w:r>
    </w:p>
    <w:p w14:paraId="40134A00" w14:textId="77777777" w:rsidR="00FC079C" w:rsidRPr="005A4F9F" w:rsidRDefault="00FC079C">
      <w:pPr>
        <w:widowControl w:val="0"/>
        <w:tabs>
          <w:tab w:val="left" w:pos="284"/>
          <w:tab w:val="center" w:pos="4320"/>
          <w:tab w:val="right" w:pos="8640"/>
        </w:tabs>
        <w:jc w:val="both"/>
        <w:rPr>
          <w:i/>
          <w:sz w:val="22"/>
          <w:szCs w:val="22"/>
          <w:lang w:val="sr-Latn-ME"/>
        </w:rPr>
      </w:pPr>
    </w:p>
    <w:p w14:paraId="3F0ABA6A" w14:textId="2E5DBFE8" w:rsidR="00C66563" w:rsidRPr="005A4F9F" w:rsidRDefault="00A0123F" w:rsidP="008B00DE">
      <w:pPr>
        <w:widowControl w:val="0"/>
        <w:tabs>
          <w:tab w:val="left" w:pos="284"/>
          <w:tab w:val="center" w:pos="4320"/>
          <w:tab w:val="right" w:pos="7797"/>
        </w:tabs>
        <w:ind w:right="6521"/>
        <w:jc w:val="both"/>
        <w:rPr>
          <w:i/>
          <w:sz w:val="22"/>
          <w:szCs w:val="22"/>
          <w:lang w:val="sr-Latn-ME"/>
        </w:rPr>
      </w:pPr>
      <w:r w:rsidRPr="005A4F9F">
        <w:rPr>
          <w:sz w:val="22"/>
          <w:szCs w:val="22"/>
          <w:u w:val="single"/>
          <w:lang w:val="sr-Latn-ME"/>
        </w:rPr>
        <w:t>Pacijenti sa RA, pJIA i sJIA</w:t>
      </w:r>
      <w:r w:rsidRPr="005A4F9F">
        <w:rPr>
          <w:sz w:val="22"/>
          <w:szCs w:val="22"/>
          <w:u w:val="single"/>
          <w:lang w:val="sr-Latn-ME"/>
        </w:rPr>
        <w:br/>
      </w:r>
      <w:r w:rsidRPr="005A4F9F">
        <w:rPr>
          <w:i/>
          <w:sz w:val="22"/>
          <w:szCs w:val="22"/>
          <w:lang w:val="sr-Latn-ME"/>
        </w:rPr>
        <w:br/>
      </w:r>
      <w:r w:rsidR="00C66563" w:rsidRPr="005A4F9F">
        <w:rPr>
          <w:i/>
          <w:sz w:val="22"/>
          <w:szCs w:val="22"/>
          <w:lang w:val="sr-Latn-ME"/>
        </w:rPr>
        <w:t>Infekcije</w:t>
      </w:r>
    </w:p>
    <w:p w14:paraId="199E5B3D" w14:textId="55926030"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Prijavljeni su slučajevi ozbiljnih i fatalnih infekcija kod pacijenata koji su primali imunosupresivne agense, uključujući i </w:t>
      </w:r>
      <w:r w:rsidR="00A0123F" w:rsidRPr="005A4F9F">
        <w:rPr>
          <w:sz w:val="22"/>
          <w:szCs w:val="22"/>
          <w:lang w:val="sr-Latn-ME"/>
        </w:rPr>
        <w:t>tocilizumab</w:t>
      </w:r>
      <w:r w:rsidRPr="005A4F9F">
        <w:rPr>
          <w:sz w:val="22"/>
          <w:szCs w:val="22"/>
          <w:lang w:val="sr-Latn-ME"/>
        </w:rPr>
        <w:t xml:space="preserve"> (vidjeti dio 4.8).</w:t>
      </w:r>
      <w:r w:rsidR="00177192" w:rsidRPr="005A4F9F">
        <w:rPr>
          <w:sz w:val="22"/>
          <w:szCs w:val="22"/>
          <w:lang w:val="sr-Latn-ME"/>
        </w:rPr>
        <w:t xml:space="preserve"> </w:t>
      </w:r>
      <w:r w:rsidRPr="005A4F9F">
        <w:rPr>
          <w:sz w:val="22"/>
          <w:szCs w:val="22"/>
          <w:lang w:val="sr-Latn-ME"/>
        </w:rPr>
        <w:t>Terapij</w:t>
      </w:r>
      <w:r w:rsidR="00177192" w:rsidRPr="005A4F9F">
        <w:rPr>
          <w:sz w:val="22"/>
          <w:szCs w:val="22"/>
          <w:lang w:val="sr-Latn-ME"/>
        </w:rPr>
        <w:t>a</w:t>
      </w:r>
      <w:r w:rsidRPr="005A4F9F">
        <w:rPr>
          <w:sz w:val="22"/>
          <w:szCs w:val="22"/>
          <w:lang w:val="sr-Latn-ME"/>
        </w:rPr>
        <w:t xml:space="preserve"> </w:t>
      </w:r>
      <w:r w:rsidR="00A0123F" w:rsidRPr="005A4F9F">
        <w:rPr>
          <w:sz w:val="22"/>
          <w:szCs w:val="22"/>
          <w:lang w:val="sr-Latn-ME"/>
        </w:rPr>
        <w:t>se</w:t>
      </w:r>
      <w:r w:rsidRPr="005A4F9F">
        <w:rPr>
          <w:sz w:val="22"/>
          <w:szCs w:val="22"/>
          <w:lang w:val="sr-Latn-ME"/>
        </w:rPr>
        <w:t xml:space="preserve"> ne smije započinjati kod pacijenata sa aktivnim infekcijama (vidjeti dio 4.3). </w:t>
      </w:r>
      <w:r w:rsidR="00177192" w:rsidRPr="005A4F9F">
        <w:rPr>
          <w:sz w:val="22"/>
          <w:szCs w:val="22"/>
          <w:lang w:val="sr-Latn-ME"/>
        </w:rPr>
        <w:t xml:space="preserve">Primjena </w:t>
      </w:r>
      <w:r w:rsidR="00A0123F" w:rsidRPr="005A4F9F">
        <w:rPr>
          <w:sz w:val="22"/>
          <w:szCs w:val="22"/>
          <w:lang w:val="sr-Latn-ME"/>
        </w:rPr>
        <w:t>tocilizumaba</w:t>
      </w:r>
      <w:r w:rsidRPr="005A4F9F">
        <w:rPr>
          <w:sz w:val="22"/>
          <w:szCs w:val="22"/>
          <w:lang w:val="sr-Latn-ME"/>
        </w:rPr>
        <w:t xml:space="preserve"> </w:t>
      </w:r>
      <w:r w:rsidR="00177192" w:rsidRPr="005A4F9F">
        <w:rPr>
          <w:sz w:val="22"/>
          <w:szCs w:val="22"/>
          <w:lang w:val="sr-Latn-ME"/>
        </w:rPr>
        <w:t xml:space="preserve">se </w:t>
      </w:r>
      <w:r w:rsidR="00A0123F" w:rsidRPr="005A4F9F">
        <w:rPr>
          <w:sz w:val="22"/>
          <w:szCs w:val="22"/>
          <w:lang w:val="sr-Latn-ME"/>
        </w:rPr>
        <w:t>mora</w:t>
      </w:r>
      <w:r w:rsidRPr="005A4F9F">
        <w:rPr>
          <w:sz w:val="22"/>
          <w:szCs w:val="22"/>
          <w:lang w:val="sr-Latn-ME"/>
        </w:rPr>
        <w:t xml:space="preserve"> obustaviti ako pacijent razvije </w:t>
      </w:r>
      <w:r w:rsidR="00FC079C" w:rsidRPr="005A4F9F">
        <w:rPr>
          <w:sz w:val="22"/>
          <w:szCs w:val="22"/>
          <w:lang w:val="sr-Latn-ME"/>
        </w:rPr>
        <w:t xml:space="preserve">ozbiljnu </w:t>
      </w:r>
      <w:r w:rsidRPr="005A4F9F">
        <w:rPr>
          <w:sz w:val="22"/>
          <w:szCs w:val="22"/>
          <w:lang w:val="sr-Latn-ME"/>
        </w:rPr>
        <w:t xml:space="preserve">infekciju sve dok infekcija </w:t>
      </w:r>
      <w:r w:rsidR="00177192" w:rsidRPr="005A4F9F">
        <w:rPr>
          <w:sz w:val="22"/>
          <w:szCs w:val="22"/>
          <w:lang w:val="sr-Latn-ME"/>
        </w:rPr>
        <w:t>ne bude</w:t>
      </w:r>
      <w:r w:rsidRPr="005A4F9F">
        <w:rPr>
          <w:sz w:val="22"/>
          <w:szCs w:val="22"/>
          <w:lang w:val="sr-Latn-ME"/>
        </w:rPr>
        <w:t xml:space="preserve"> </w:t>
      </w:r>
      <w:r w:rsidR="00177192" w:rsidRPr="005A4F9F">
        <w:rPr>
          <w:sz w:val="22"/>
          <w:szCs w:val="22"/>
          <w:lang w:val="sr-Latn-ME"/>
        </w:rPr>
        <w:t xml:space="preserve">pod </w:t>
      </w:r>
      <w:r w:rsidRPr="005A4F9F">
        <w:rPr>
          <w:sz w:val="22"/>
          <w:szCs w:val="22"/>
          <w:lang w:val="sr-Latn-ME"/>
        </w:rPr>
        <w:t>kontrol</w:t>
      </w:r>
      <w:r w:rsidR="00177192" w:rsidRPr="005A4F9F">
        <w:rPr>
          <w:sz w:val="22"/>
          <w:szCs w:val="22"/>
          <w:lang w:val="sr-Latn-ME"/>
        </w:rPr>
        <w:t>om</w:t>
      </w:r>
      <w:r w:rsidRPr="005A4F9F">
        <w:rPr>
          <w:sz w:val="22"/>
          <w:szCs w:val="22"/>
          <w:lang w:val="sr-Latn-ME"/>
        </w:rPr>
        <w:t xml:space="preserve"> (vidjeti dio 4.8). Ljekari treba da budu oprezni kada razmišljaju o </w:t>
      </w:r>
      <w:r w:rsidR="0083323C" w:rsidRPr="005A4F9F">
        <w:rPr>
          <w:sz w:val="22"/>
          <w:szCs w:val="22"/>
          <w:lang w:val="sr-Latn-ME"/>
        </w:rPr>
        <w:t xml:space="preserve">primjeni </w:t>
      </w:r>
      <w:r w:rsidR="00A0123F" w:rsidRPr="005A4F9F">
        <w:rPr>
          <w:sz w:val="22"/>
          <w:szCs w:val="22"/>
          <w:lang w:val="sr-Latn-ME"/>
        </w:rPr>
        <w:t xml:space="preserve">ovog </w:t>
      </w:r>
      <w:r w:rsidRPr="005A4F9F">
        <w:rPr>
          <w:sz w:val="22"/>
          <w:szCs w:val="22"/>
          <w:lang w:val="sr-Latn-ME"/>
        </w:rPr>
        <w:t xml:space="preserve">lijeka kod pacijenata sa istorijom </w:t>
      </w:r>
      <w:r w:rsidR="0083323C" w:rsidRPr="005A4F9F">
        <w:rPr>
          <w:sz w:val="22"/>
          <w:szCs w:val="22"/>
          <w:lang w:val="sr-Latn-ME"/>
        </w:rPr>
        <w:t xml:space="preserve">rekurentnih </w:t>
      </w:r>
      <w:r w:rsidRPr="005A4F9F">
        <w:rPr>
          <w:sz w:val="22"/>
          <w:szCs w:val="22"/>
          <w:lang w:val="sr-Latn-ME"/>
        </w:rPr>
        <w:t xml:space="preserve">ili hroničnih infekcija ili drugim osnovnim stanjima (npr.  divertikulitis, dijabetes i intersticijalna bolest pluća) koji </w:t>
      </w:r>
      <w:r w:rsidR="0083323C" w:rsidRPr="005A4F9F">
        <w:rPr>
          <w:sz w:val="22"/>
          <w:szCs w:val="22"/>
          <w:lang w:val="sr-Latn-ME"/>
        </w:rPr>
        <w:t>kod pacijenata stvaraju predispoziciju za infekcije</w:t>
      </w:r>
      <w:r w:rsidRPr="005A4F9F">
        <w:rPr>
          <w:sz w:val="22"/>
          <w:szCs w:val="22"/>
          <w:lang w:val="sr-Latn-ME"/>
        </w:rPr>
        <w:t>.</w:t>
      </w:r>
    </w:p>
    <w:p w14:paraId="6B1EE7C2" w14:textId="77777777" w:rsidR="00C66563" w:rsidRPr="005A4F9F" w:rsidRDefault="00C66563">
      <w:pPr>
        <w:widowControl w:val="0"/>
        <w:tabs>
          <w:tab w:val="left" w:pos="284"/>
          <w:tab w:val="center" w:pos="4320"/>
          <w:tab w:val="right" w:pos="8640"/>
        </w:tabs>
        <w:jc w:val="both"/>
        <w:rPr>
          <w:sz w:val="22"/>
          <w:szCs w:val="22"/>
          <w:lang w:val="sr-Latn-ME"/>
        </w:rPr>
      </w:pPr>
    </w:p>
    <w:p w14:paraId="1BADEAF3" w14:textId="1F13E58B"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Potrebna je posebna </w:t>
      </w:r>
      <w:r w:rsidR="0083323C" w:rsidRPr="005A4F9F">
        <w:rPr>
          <w:sz w:val="22"/>
          <w:szCs w:val="22"/>
          <w:lang w:val="sr-Latn-ME"/>
        </w:rPr>
        <w:t>pažnja</w:t>
      </w:r>
      <w:r w:rsidRPr="005A4F9F">
        <w:rPr>
          <w:sz w:val="22"/>
          <w:szCs w:val="22"/>
          <w:lang w:val="sr-Latn-ME"/>
        </w:rPr>
        <w:t xml:space="preserve"> da se identifikuju teške infekcije kod pacijenata koji primaju biološku terapiju jer znaci i simptomi akutne inflamacije mogu biti umanjeni, oslabljeni i povezani sa supresijom reakcije akutne faze. Dejstvo tocilizumaba na C</w:t>
      </w:r>
      <w:r w:rsidRPr="005A4F9F">
        <w:rPr>
          <w:sz w:val="22"/>
          <w:szCs w:val="22"/>
          <w:lang w:val="sr-Latn-ME"/>
        </w:rPr>
        <w:noBreakHyphen/>
        <w:t xml:space="preserve">reaktivni protein (CRP), neutrofile i znake i simptome infekcije </w:t>
      </w:r>
      <w:r w:rsidR="00A0123F" w:rsidRPr="005A4F9F">
        <w:rPr>
          <w:sz w:val="22"/>
          <w:szCs w:val="22"/>
          <w:lang w:val="sr-Latn-ME"/>
        </w:rPr>
        <w:t>se mora</w:t>
      </w:r>
      <w:r w:rsidRPr="005A4F9F">
        <w:rPr>
          <w:sz w:val="22"/>
          <w:szCs w:val="22"/>
          <w:lang w:val="sr-Latn-ME"/>
        </w:rPr>
        <w:t xml:space="preserve"> uvijek uzimati u obzir kada se pacijent </w:t>
      </w:r>
      <w:r w:rsidR="0083323C" w:rsidRPr="005A4F9F">
        <w:rPr>
          <w:sz w:val="22"/>
          <w:szCs w:val="22"/>
          <w:lang w:val="sr-Latn-ME"/>
        </w:rPr>
        <w:t xml:space="preserve">pregleda na prisustvo </w:t>
      </w:r>
      <w:r w:rsidRPr="005A4F9F">
        <w:rPr>
          <w:sz w:val="22"/>
          <w:szCs w:val="22"/>
          <w:lang w:val="sr-Latn-ME"/>
        </w:rPr>
        <w:t>potencijaln</w:t>
      </w:r>
      <w:r w:rsidR="0083323C" w:rsidRPr="005A4F9F">
        <w:rPr>
          <w:sz w:val="22"/>
          <w:szCs w:val="22"/>
          <w:lang w:val="sr-Latn-ME"/>
        </w:rPr>
        <w:t>e</w:t>
      </w:r>
      <w:r w:rsidRPr="005A4F9F">
        <w:rPr>
          <w:sz w:val="22"/>
          <w:szCs w:val="22"/>
          <w:lang w:val="sr-Latn-ME"/>
        </w:rPr>
        <w:t xml:space="preserve"> infekcij</w:t>
      </w:r>
      <w:r w:rsidR="0083323C" w:rsidRPr="005A4F9F">
        <w:rPr>
          <w:sz w:val="22"/>
          <w:szCs w:val="22"/>
          <w:lang w:val="sr-Latn-ME"/>
        </w:rPr>
        <w:t>e</w:t>
      </w:r>
      <w:r w:rsidRPr="005A4F9F">
        <w:rPr>
          <w:sz w:val="22"/>
          <w:szCs w:val="22"/>
          <w:lang w:val="sr-Latn-ME"/>
        </w:rPr>
        <w:t xml:space="preserve">. Pacijente (uključujći i </w:t>
      </w:r>
      <w:r w:rsidR="00542633" w:rsidRPr="005A4F9F">
        <w:rPr>
          <w:sz w:val="22"/>
          <w:szCs w:val="22"/>
          <w:lang w:val="sr-Latn-ME"/>
        </w:rPr>
        <w:t>ml</w:t>
      </w:r>
      <w:r w:rsidRPr="005A4F9F">
        <w:rPr>
          <w:sz w:val="22"/>
          <w:szCs w:val="22"/>
          <w:lang w:val="sr-Latn-ME"/>
        </w:rPr>
        <w:t xml:space="preserve">ađu djecu </w:t>
      </w:r>
      <w:r w:rsidR="0083323C" w:rsidRPr="005A4F9F">
        <w:rPr>
          <w:sz w:val="22"/>
          <w:szCs w:val="22"/>
          <w:lang w:val="sr-Latn-ME"/>
        </w:rPr>
        <w:t>sa</w:t>
      </w:r>
      <w:r w:rsidRPr="005A4F9F">
        <w:rPr>
          <w:sz w:val="22"/>
          <w:szCs w:val="22"/>
          <w:lang w:val="sr-Latn-ME"/>
        </w:rPr>
        <w:t xml:space="preserve"> sJIA ili pJIA koja mogu biti manje sposobna da objasne svoje simptome ) i roditelje/staratelje pacijenata </w:t>
      </w:r>
      <w:r w:rsidR="0083323C" w:rsidRPr="005A4F9F">
        <w:rPr>
          <w:sz w:val="22"/>
          <w:szCs w:val="22"/>
          <w:lang w:val="sr-Latn-ME"/>
        </w:rPr>
        <w:t>sa</w:t>
      </w:r>
      <w:r w:rsidRPr="005A4F9F">
        <w:rPr>
          <w:sz w:val="22"/>
          <w:szCs w:val="22"/>
          <w:lang w:val="sr-Latn-ME"/>
        </w:rPr>
        <w:t xml:space="preserve"> sJIA, treba upozoriti da je potrebno da se odmah obrate svom ljekaru u slučaju pojave bilo kakvih znakova koji ukazuju na infekciju </w:t>
      </w:r>
      <w:r w:rsidR="0083323C" w:rsidRPr="005A4F9F">
        <w:rPr>
          <w:sz w:val="22"/>
          <w:szCs w:val="22"/>
          <w:lang w:val="sr-Latn-ME"/>
        </w:rPr>
        <w:t xml:space="preserve">kako </w:t>
      </w:r>
      <w:r w:rsidRPr="005A4F9F">
        <w:rPr>
          <w:sz w:val="22"/>
          <w:szCs w:val="22"/>
          <w:lang w:val="sr-Latn-ME"/>
        </w:rPr>
        <w:t>bi se obezbijedila brza procjena i odgovarajuća terapija.</w:t>
      </w:r>
    </w:p>
    <w:p w14:paraId="7A1B2E49" w14:textId="77777777" w:rsidR="00C66563" w:rsidRPr="005A4F9F" w:rsidRDefault="00C66563">
      <w:pPr>
        <w:widowControl w:val="0"/>
        <w:tabs>
          <w:tab w:val="left" w:pos="284"/>
          <w:tab w:val="center" w:pos="4320"/>
          <w:tab w:val="right" w:pos="8640"/>
        </w:tabs>
        <w:jc w:val="both"/>
        <w:rPr>
          <w:sz w:val="22"/>
          <w:szCs w:val="22"/>
          <w:lang w:val="sr-Latn-ME"/>
        </w:rPr>
      </w:pPr>
    </w:p>
    <w:p w14:paraId="7FCBA7B1" w14:textId="65D021C0"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Tuberkuloza</w:t>
      </w:r>
      <w:r w:rsidR="005B212D" w:rsidRPr="005A4F9F">
        <w:rPr>
          <w:i/>
          <w:sz w:val="22"/>
          <w:szCs w:val="22"/>
          <w:lang w:val="sr-Latn-ME"/>
        </w:rPr>
        <w:t xml:space="preserve"> (TB)</w:t>
      </w:r>
    </w:p>
    <w:p w14:paraId="1DED322B" w14:textId="14C5CE9C" w:rsidR="00542633" w:rsidRPr="005A4F9F" w:rsidRDefault="00C66563">
      <w:pPr>
        <w:widowControl w:val="0"/>
        <w:jc w:val="both"/>
        <w:rPr>
          <w:sz w:val="22"/>
          <w:szCs w:val="22"/>
          <w:lang w:val="sr-Latn-ME"/>
        </w:rPr>
      </w:pPr>
      <w:r w:rsidRPr="005A4F9F">
        <w:rPr>
          <w:sz w:val="22"/>
          <w:szCs w:val="22"/>
          <w:lang w:val="sr-Latn-ME"/>
        </w:rPr>
        <w:t xml:space="preserve">Kao što se preporučuje i za druge biološke terapije RA, </w:t>
      </w:r>
      <w:r w:rsidR="00A0123F" w:rsidRPr="005A4F9F">
        <w:rPr>
          <w:sz w:val="22"/>
          <w:szCs w:val="22"/>
          <w:lang w:val="sr-Latn-ME"/>
        </w:rPr>
        <w:t>p</w:t>
      </w:r>
      <w:r w:rsidRPr="005A4F9F">
        <w:rPr>
          <w:sz w:val="22"/>
          <w:szCs w:val="22"/>
          <w:lang w:val="sr-Latn-ME"/>
        </w:rPr>
        <w:t xml:space="preserve">JIA i </w:t>
      </w:r>
      <w:r w:rsidR="00A0123F" w:rsidRPr="005A4F9F">
        <w:rPr>
          <w:sz w:val="22"/>
          <w:szCs w:val="22"/>
          <w:lang w:val="sr-Latn-ME"/>
        </w:rPr>
        <w:t>s</w:t>
      </w:r>
      <w:r w:rsidRPr="005A4F9F">
        <w:rPr>
          <w:sz w:val="22"/>
          <w:szCs w:val="22"/>
          <w:lang w:val="sr-Latn-ME"/>
        </w:rPr>
        <w:t>JIA pacijente treba ispitati na latentnu infekciju tuberkulozom (TB) prije nego što se započne terapija</w:t>
      </w:r>
      <w:r w:rsidR="00AB1A37">
        <w:rPr>
          <w:sz w:val="22"/>
          <w:szCs w:val="22"/>
          <w:lang w:val="sr-Latn-ME"/>
        </w:rPr>
        <w:t xml:space="preserve"> </w:t>
      </w:r>
      <w:r w:rsidR="00A0123F" w:rsidRPr="005A4F9F">
        <w:rPr>
          <w:sz w:val="22"/>
          <w:szCs w:val="22"/>
          <w:lang w:val="sr-Latn-ME"/>
        </w:rPr>
        <w:t>tocilizumabom</w:t>
      </w:r>
      <w:r w:rsidRPr="005A4F9F">
        <w:rPr>
          <w:sz w:val="22"/>
          <w:szCs w:val="22"/>
          <w:lang w:val="sr-Latn-ME"/>
        </w:rPr>
        <w:t>. Pacijent</w:t>
      </w:r>
      <w:r w:rsidR="00A0123F" w:rsidRPr="005A4F9F">
        <w:rPr>
          <w:sz w:val="22"/>
          <w:szCs w:val="22"/>
          <w:lang w:val="sr-Latn-ME"/>
        </w:rPr>
        <w:t>i</w:t>
      </w:r>
      <w:r w:rsidRPr="005A4F9F">
        <w:rPr>
          <w:sz w:val="22"/>
          <w:szCs w:val="22"/>
          <w:lang w:val="sr-Latn-ME"/>
        </w:rPr>
        <w:t xml:space="preserve"> sa latentnom TB </w:t>
      </w:r>
      <w:r w:rsidR="00A0123F" w:rsidRPr="005A4F9F">
        <w:rPr>
          <w:sz w:val="22"/>
          <w:szCs w:val="22"/>
          <w:lang w:val="sr-Latn-ME"/>
        </w:rPr>
        <w:t>se moraju</w:t>
      </w:r>
      <w:r w:rsidRPr="005A4F9F">
        <w:rPr>
          <w:sz w:val="22"/>
          <w:szCs w:val="22"/>
          <w:lang w:val="sr-Latn-ME"/>
        </w:rPr>
        <w:t xml:space="preserve"> liječiti standardn</w:t>
      </w:r>
      <w:r w:rsidR="00EE355B" w:rsidRPr="005A4F9F">
        <w:rPr>
          <w:sz w:val="22"/>
          <w:szCs w:val="22"/>
          <w:lang w:val="sr-Latn-ME"/>
        </w:rPr>
        <w:t xml:space="preserve">im antituberkuloticima (antimikobakterijskim ljekovima) </w:t>
      </w:r>
      <w:r w:rsidRPr="005A4F9F">
        <w:rPr>
          <w:sz w:val="22"/>
          <w:szCs w:val="22"/>
          <w:lang w:val="sr-Latn-ME"/>
        </w:rPr>
        <w:t xml:space="preserve">prije uvođenja lijeka RoActemra. Ljekare koji propisuju lijek </w:t>
      </w:r>
      <w:r w:rsidR="00EE355B" w:rsidRPr="005A4F9F">
        <w:rPr>
          <w:sz w:val="22"/>
          <w:szCs w:val="22"/>
          <w:lang w:val="sr-Latn-ME"/>
        </w:rPr>
        <w:t xml:space="preserve">treba podsjetiti </w:t>
      </w:r>
      <w:r w:rsidRPr="005A4F9F">
        <w:rPr>
          <w:sz w:val="22"/>
          <w:szCs w:val="22"/>
          <w:lang w:val="sr-Latn-ME"/>
        </w:rPr>
        <w:t>na rizik od lažno negativnog nalaza kožnog tuberkulinskog testa te krvnog testa otpuštanja gama interferona, posebno kod teško bolesnih ili imunokompromitovanih pacijenata.</w:t>
      </w:r>
    </w:p>
    <w:p w14:paraId="42ED3733" w14:textId="5959C868" w:rsidR="00C66563" w:rsidRPr="005A4F9F" w:rsidRDefault="00C66563">
      <w:pPr>
        <w:widowControl w:val="0"/>
        <w:jc w:val="both"/>
        <w:rPr>
          <w:sz w:val="22"/>
          <w:szCs w:val="22"/>
          <w:lang w:val="sr-Latn-ME"/>
        </w:rPr>
      </w:pPr>
    </w:p>
    <w:p w14:paraId="216B69C9" w14:textId="646A1F7C" w:rsidR="00C66563" w:rsidRPr="005A4F9F" w:rsidRDefault="00C66563">
      <w:pPr>
        <w:widowControl w:val="0"/>
        <w:jc w:val="both"/>
        <w:rPr>
          <w:sz w:val="22"/>
          <w:szCs w:val="22"/>
          <w:lang w:val="sr-Latn-ME"/>
        </w:rPr>
      </w:pPr>
      <w:r w:rsidRPr="005A4F9F">
        <w:rPr>
          <w:sz w:val="22"/>
          <w:szCs w:val="22"/>
          <w:lang w:val="sr-Latn-ME"/>
        </w:rPr>
        <w:t xml:space="preserve">Pacijente treba uputiti da se jave ljekaru ako se tokom ili nakon liječenja </w:t>
      </w:r>
      <w:r w:rsidR="00A0123F" w:rsidRPr="005A4F9F">
        <w:rPr>
          <w:sz w:val="22"/>
          <w:szCs w:val="22"/>
          <w:lang w:val="sr-Latn-ME"/>
        </w:rPr>
        <w:t xml:space="preserve">ovim </w:t>
      </w:r>
      <w:r w:rsidRPr="005A4F9F">
        <w:rPr>
          <w:sz w:val="22"/>
          <w:szCs w:val="22"/>
          <w:lang w:val="sr-Latn-ME"/>
        </w:rPr>
        <w:t>lijekom pojave znaci/simptomi koji bi mogli ukazivati na tuberkulozu (npr. uporan kašalj, gubitak tjelesne težine, subfebrilnost).</w:t>
      </w:r>
    </w:p>
    <w:p w14:paraId="30C5F7B9" w14:textId="77777777" w:rsidR="00C66563" w:rsidRPr="005A4F9F" w:rsidRDefault="00C66563">
      <w:pPr>
        <w:widowControl w:val="0"/>
        <w:tabs>
          <w:tab w:val="left" w:pos="284"/>
          <w:tab w:val="center" w:pos="4320"/>
          <w:tab w:val="right" w:pos="8640"/>
        </w:tabs>
        <w:jc w:val="both"/>
        <w:rPr>
          <w:sz w:val="22"/>
          <w:szCs w:val="22"/>
          <w:lang w:val="sr-Latn-ME"/>
        </w:rPr>
      </w:pPr>
    </w:p>
    <w:p w14:paraId="35BD346C" w14:textId="77777777" w:rsidR="00C66563" w:rsidRPr="005A4F9F" w:rsidRDefault="00C66563">
      <w:pPr>
        <w:widowControl w:val="0"/>
        <w:jc w:val="both"/>
        <w:rPr>
          <w:i/>
          <w:sz w:val="22"/>
          <w:szCs w:val="22"/>
          <w:lang w:val="sr-Latn-ME"/>
        </w:rPr>
      </w:pPr>
      <w:r w:rsidRPr="005A4F9F">
        <w:rPr>
          <w:i/>
          <w:sz w:val="22"/>
          <w:szCs w:val="22"/>
          <w:lang w:val="sr-Latn-ME"/>
        </w:rPr>
        <w:t>Reaktivacija virusa</w:t>
      </w:r>
    </w:p>
    <w:p w14:paraId="3690E043" w14:textId="77777777" w:rsidR="00C66563" w:rsidRPr="005A4F9F" w:rsidRDefault="00C66563">
      <w:pPr>
        <w:widowControl w:val="0"/>
        <w:jc w:val="both"/>
        <w:rPr>
          <w:sz w:val="22"/>
          <w:szCs w:val="22"/>
          <w:lang w:val="sr-Latn-ME"/>
        </w:rPr>
      </w:pPr>
      <w:r w:rsidRPr="005A4F9F">
        <w:rPr>
          <w:sz w:val="22"/>
          <w:szCs w:val="22"/>
          <w:lang w:val="sr-Latn-ME"/>
        </w:rPr>
        <w:t>Pri liječenju RA biološkim ljekovima prijavljena je reaktivacija virusa (npr.</w:t>
      </w:r>
      <w:r w:rsidR="00F15CCA" w:rsidRPr="005A4F9F">
        <w:rPr>
          <w:sz w:val="22"/>
          <w:szCs w:val="22"/>
          <w:lang w:val="sr-Latn-ME"/>
        </w:rPr>
        <w:t xml:space="preserve"> </w:t>
      </w:r>
      <w:r w:rsidRPr="005A4F9F">
        <w:rPr>
          <w:sz w:val="22"/>
          <w:szCs w:val="22"/>
          <w:lang w:val="sr-Latn-ME"/>
        </w:rPr>
        <w:t>virusa hepatitisa B). U kliničk</w:t>
      </w:r>
      <w:r w:rsidR="00F15CCA" w:rsidRPr="005A4F9F">
        <w:rPr>
          <w:sz w:val="22"/>
          <w:szCs w:val="22"/>
          <w:lang w:val="sr-Latn-ME"/>
        </w:rPr>
        <w:t>im</w:t>
      </w:r>
      <w:r w:rsidRPr="005A4F9F">
        <w:rPr>
          <w:sz w:val="22"/>
          <w:szCs w:val="22"/>
          <w:lang w:val="sr-Latn-ME"/>
        </w:rPr>
        <w:t xml:space="preserve"> ispitivanj</w:t>
      </w:r>
      <w:r w:rsidR="00F15CCA" w:rsidRPr="005A4F9F">
        <w:rPr>
          <w:sz w:val="22"/>
          <w:szCs w:val="22"/>
          <w:lang w:val="sr-Latn-ME"/>
        </w:rPr>
        <w:t>im</w:t>
      </w:r>
      <w:r w:rsidRPr="005A4F9F">
        <w:rPr>
          <w:sz w:val="22"/>
          <w:szCs w:val="22"/>
          <w:lang w:val="sr-Latn-ME"/>
        </w:rPr>
        <w:t xml:space="preserve"> sa tocilizumabom ni</w:t>
      </w:r>
      <w:r w:rsidR="00F15CCA" w:rsidRPr="005A4F9F">
        <w:rPr>
          <w:sz w:val="22"/>
          <w:szCs w:val="22"/>
          <w:lang w:val="sr-Latn-ME"/>
        </w:rPr>
        <w:t>je</w:t>
      </w:r>
      <w:r w:rsidRPr="005A4F9F">
        <w:rPr>
          <w:sz w:val="22"/>
          <w:szCs w:val="22"/>
          <w:lang w:val="sr-Latn-ME"/>
        </w:rPr>
        <w:t>su bili uključeni pacijenti koji su bili pozitivni na hepatitis.</w:t>
      </w:r>
    </w:p>
    <w:p w14:paraId="6EF839B0" w14:textId="77777777" w:rsidR="00C66563" w:rsidRPr="005A4F9F" w:rsidRDefault="00C66563">
      <w:pPr>
        <w:widowControl w:val="0"/>
        <w:tabs>
          <w:tab w:val="left" w:pos="284"/>
          <w:tab w:val="center" w:pos="4320"/>
          <w:tab w:val="right" w:pos="8640"/>
        </w:tabs>
        <w:jc w:val="both"/>
        <w:rPr>
          <w:sz w:val="22"/>
          <w:szCs w:val="22"/>
          <w:lang w:val="sr-Latn-ME"/>
        </w:rPr>
      </w:pPr>
    </w:p>
    <w:p w14:paraId="43C9FC7D"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Komplikacije divertikulitisa</w:t>
      </w:r>
    </w:p>
    <w:p w14:paraId="36E82273" w14:textId="3136253D"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Povremeno se bilježi komplikacija terapije </w:t>
      </w:r>
      <w:r w:rsidR="00A0123F" w:rsidRPr="005A4F9F">
        <w:rPr>
          <w:sz w:val="22"/>
          <w:szCs w:val="22"/>
          <w:lang w:val="sr-Latn-ME"/>
        </w:rPr>
        <w:t>tocilizumabom</w:t>
      </w:r>
      <w:r w:rsidRPr="005A4F9F">
        <w:rPr>
          <w:sz w:val="22"/>
          <w:szCs w:val="22"/>
          <w:lang w:val="sr-Latn-ME"/>
        </w:rPr>
        <w:t xml:space="preserve"> u vidu divertikularne perforacije ili divertikulitisa kod RA pacijenata (vidjeti dio 4.8).</w:t>
      </w:r>
      <w:r w:rsidR="00A0123F" w:rsidRPr="005A4F9F">
        <w:rPr>
          <w:sz w:val="22"/>
          <w:szCs w:val="22"/>
          <w:lang w:val="sr-Latn-ME"/>
        </w:rPr>
        <w:t xml:space="preserve"> Ovaj lijek</w:t>
      </w:r>
      <w:r w:rsidRPr="005A4F9F">
        <w:rPr>
          <w:sz w:val="22"/>
          <w:szCs w:val="22"/>
          <w:lang w:val="sr-Latn-ME"/>
        </w:rPr>
        <w:t xml:space="preserve"> treba pažljivo koristiti  kod pacijenata koji su ranije imali intestinalne ulceracije ili divertikulitis. Pacijente koji ispolje simptome koji potencijalno ukazuju na komplikovani divertikulitis, kao što su bol u trbuhu, krvarenje i/ili neobjašnjena promjena pražnjenja crijeva sa povišenom tjelesnom temperaturom, </w:t>
      </w:r>
      <w:r w:rsidR="00D25617" w:rsidRPr="005A4F9F">
        <w:rPr>
          <w:sz w:val="22"/>
          <w:szCs w:val="22"/>
          <w:lang w:val="sr-Latn-ME"/>
        </w:rPr>
        <w:t xml:space="preserve">moraju se </w:t>
      </w:r>
      <w:r w:rsidRPr="005A4F9F">
        <w:rPr>
          <w:sz w:val="22"/>
          <w:szCs w:val="22"/>
          <w:lang w:val="sr-Latn-ME"/>
        </w:rPr>
        <w:t>odmah ispitati da bi rano bio otkriven eventualni divertikulitis koji može da bude povezan sa gastrointestinalnom perforacijom.</w:t>
      </w:r>
    </w:p>
    <w:p w14:paraId="027E63DB" w14:textId="77777777" w:rsidR="00C66563" w:rsidRPr="005A4F9F" w:rsidRDefault="00C66563">
      <w:pPr>
        <w:widowControl w:val="0"/>
        <w:tabs>
          <w:tab w:val="left" w:pos="284"/>
          <w:tab w:val="center" w:pos="4320"/>
          <w:tab w:val="right" w:pos="8640"/>
        </w:tabs>
        <w:jc w:val="both"/>
        <w:rPr>
          <w:bCs/>
          <w:sz w:val="22"/>
          <w:szCs w:val="22"/>
          <w:lang w:val="sr-Latn-ME"/>
        </w:rPr>
      </w:pPr>
    </w:p>
    <w:p w14:paraId="45C98660" w14:textId="77777777" w:rsidR="00C66563" w:rsidRPr="005A4F9F" w:rsidRDefault="00C66563">
      <w:pPr>
        <w:widowControl w:val="0"/>
        <w:tabs>
          <w:tab w:val="left" w:pos="284"/>
          <w:tab w:val="center" w:pos="4320"/>
          <w:tab w:val="right" w:pos="8640"/>
        </w:tabs>
        <w:jc w:val="both"/>
        <w:rPr>
          <w:bCs/>
          <w:i/>
          <w:sz w:val="22"/>
          <w:szCs w:val="22"/>
          <w:lang w:val="sr-Latn-ME"/>
        </w:rPr>
      </w:pPr>
      <w:r w:rsidRPr="005A4F9F">
        <w:rPr>
          <w:i/>
          <w:sz w:val="22"/>
          <w:szCs w:val="22"/>
          <w:lang w:val="sr-Latn-ME"/>
        </w:rPr>
        <w:t>Reakcije preosjetljivosti</w:t>
      </w:r>
    </w:p>
    <w:p w14:paraId="5F34E518" w14:textId="0F123653" w:rsidR="00C66563" w:rsidRPr="005A4F9F" w:rsidRDefault="00C66563">
      <w:pPr>
        <w:widowControl w:val="0"/>
        <w:jc w:val="both"/>
        <w:rPr>
          <w:sz w:val="22"/>
          <w:szCs w:val="22"/>
          <w:lang w:val="sr-Latn-ME"/>
        </w:rPr>
      </w:pPr>
      <w:r w:rsidRPr="005A4F9F">
        <w:rPr>
          <w:sz w:val="22"/>
          <w:szCs w:val="22"/>
          <w:lang w:val="sr-Latn-ME"/>
        </w:rPr>
        <w:t xml:space="preserve">Prijavljivane su ozbiljne reakcije preosjetljivosti povezane sa primjenom </w:t>
      </w:r>
      <w:r w:rsidR="00A0123F" w:rsidRPr="005A4F9F">
        <w:rPr>
          <w:sz w:val="22"/>
          <w:szCs w:val="22"/>
          <w:lang w:val="sr-Latn-ME"/>
        </w:rPr>
        <w:t>tocilizumaba</w:t>
      </w:r>
      <w:r w:rsidRPr="005A4F9F">
        <w:rPr>
          <w:sz w:val="22"/>
          <w:szCs w:val="22"/>
          <w:lang w:val="sr-Latn-ME"/>
        </w:rPr>
        <w:t xml:space="preserve"> (vidjeti dio 4.8). Takve reakcije mogu biti vrlo ozbiljne i potencijalno fatalne kod pacijenata koji su doživjeli reakciju preosjetljivosti tokom prethodnih infuzija, iako su primili steroide i antihistaminike kao premedikaciju. Tokom liječenja mora se pri ruci imati odgovarajuća terapija za slučaj pojave anafilaktičke reakcije. Ako dođe do pojave anafilaktičke reakcije ili druge ozbiljne reakcije preosjetljivosti ili ozbiljne </w:t>
      </w:r>
      <w:r w:rsidR="00C70BE5" w:rsidRPr="005A4F9F">
        <w:rPr>
          <w:sz w:val="22"/>
          <w:szCs w:val="22"/>
          <w:lang w:val="sr-Latn-ME"/>
        </w:rPr>
        <w:t>reakcije povezane sa infuzijom</w:t>
      </w:r>
      <w:r w:rsidRPr="005A4F9F">
        <w:rPr>
          <w:sz w:val="22"/>
          <w:szCs w:val="22"/>
          <w:lang w:val="sr-Latn-ME"/>
        </w:rPr>
        <w:t xml:space="preserve">, </w:t>
      </w:r>
      <w:r w:rsidR="00D25617" w:rsidRPr="005A4F9F">
        <w:rPr>
          <w:sz w:val="22"/>
          <w:szCs w:val="22"/>
          <w:lang w:val="sr-Latn-ME"/>
        </w:rPr>
        <w:t>mora se</w:t>
      </w:r>
      <w:r w:rsidR="00501BDE" w:rsidRPr="005A4F9F">
        <w:rPr>
          <w:sz w:val="22"/>
          <w:szCs w:val="22"/>
          <w:lang w:val="sr-Latn-ME"/>
        </w:rPr>
        <w:t xml:space="preserve"> odmah zaustaviti </w:t>
      </w:r>
      <w:r w:rsidR="00D25617" w:rsidRPr="005A4F9F">
        <w:rPr>
          <w:sz w:val="22"/>
          <w:szCs w:val="22"/>
          <w:lang w:val="sr-Latn-ME"/>
        </w:rPr>
        <w:t xml:space="preserve">infuzija </w:t>
      </w:r>
      <w:r w:rsidR="00A0123F" w:rsidRPr="005A4F9F">
        <w:rPr>
          <w:sz w:val="22"/>
          <w:szCs w:val="22"/>
          <w:lang w:val="sr-Latn-ME"/>
        </w:rPr>
        <w:t>tocilizumaba</w:t>
      </w:r>
      <w:r w:rsidRPr="005A4F9F">
        <w:rPr>
          <w:sz w:val="22"/>
          <w:szCs w:val="22"/>
          <w:lang w:val="sr-Latn-ME"/>
        </w:rPr>
        <w:t xml:space="preserve">i trajno </w:t>
      </w:r>
      <w:r w:rsidR="00A0123F" w:rsidRPr="005A4F9F">
        <w:rPr>
          <w:sz w:val="22"/>
          <w:szCs w:val="22"/>
          <w:lang w:val="sr-Latn-ME"/>
        </w:rPr>
        <w:t>prekinuti liječenje</w:t>
      </w:r>
      <w:r w:rsidRPr="005A4F9F">
        <w:rPr>
          <w:sz w:val="22"/>
          <w:szCs w:val="22"/>
          <w:lang w:val="sr-Latn-ME"/>
        </w:rPr>
        <w:t>.</w:t>
      </w:r>
    </w:p>
    <w:p w14:paraId="6C27593F" w14:textId="77777777" w:rsidR="00A0123F" w:rsidRPr="005A4F9F" w:rsidRDefault="00A0123F">
      <w:pPr>
        <w:widowControl w:val="0"/>
        <w:jc w:val="both"/>
        <w:rPr>
          <w:sz w:val="22"/>
          <w:szCs w:val="22"/>
          <w:lang w:val="sr-Latn-ME"/>
        </w:rPr>
      </w:pPr>
    </w:p>
    <w:p w14:paraId="0B45C0DC"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Aktivno oboljenje jetre i insuficijencija jetre</w:t>
      </w:r>
    </w:p>
    <w:p w14:paraId="0E04640F" w14:textId="48BAB843"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Terapija </w:t>
      </w:r>
      <w:r w:rsidR="00A0123F" w:rsidRPr="005A4F9F">
        <w:rPr>
          <w:sz w:val="22"/>
          <w:szCs w:val="22"/>
          <w:lang w:val="sr-Latn-ME"/>
        </w:rPr>
        <w:t>tocilizumabom</w:t>
      </w:r>
      <w:r w:rsidRPr="005A4F9F">
        <w:rPr>
          <w:sz w:val="22"/>
          <w:szCs w:val="22"/>
          <w:lang w:val="sr-Latn-ME"/>
        </w:rPr>
        <w:t xml:space="preserve">, posebno kada se daje uz MTX, može da bude povezana sa povišenim </w:t>
      </w:r>
      <w:r w:rsidR="007E06FB" w:rsidRPr="005A4F9F">
        <w:rPr>
          <w:sz w:val="22"/>
          <w:szCs w:val="22"/>
          <w:lang w:val="sr-Latn-ME"/>
        </w:rPr>
        <w:t xml:space="preserve">vrijednostima </w:t>
      </w:r>
      <w:r w:rsidRPr="005A4F9F">
        <w:rPr>
          <w:sz w:val="22"/>
          <w:szCs w:val="22"/>
          <w:lang w:val="sr-Latn-ME"/>
        </w:rPr>
        <w:t>transaminaza</w:t>
      </w:r>
      <w:r w:rsidR="007E06FB" w:rsidRPr="005A4F9F">
        <w:rPr>
          <w:sz w:val="22"/>
          <w:szCs w:val="22"/>
          <w:lang w:val="sr-Latn-ME"/>
        </w:rPr>
        <w:t xml:space="preserve"> </w:t>
      </w:r>
      <w:r w:rsidRPr="005A4F9F">
        <w:rPr>
          <w:sz w:val="22"/>
          <w:szCs w:val="22"/>
          <w:lang w:val="sr-Latn-ME"/>
        </w:rPr>
        <w:t>jetre (vidjeti dio 4.8). Prema tome, potreban je oprez kada se razmatra terapija pacijenata sa aktivnim oboljenjem jetre ili insuficijencijom jetre (vidjeti dio 4.2 i 4.8).</w:t>
      </w:r>
    </w:p>
    <w:p w14:paraId="597F4666" w14:textId="77777777" w:rsidR="00C66563" w:rsidRPr="005A4F9F" w:rsidRDefault="00C66563">
      <w:pPr>
        <w:widowControl w:val="0"/>
        <w:tabs>
          <w:tab w:val="left" w:pos="284"/>
          <w:tab w:val="center" w:pos="4320"/>
          <w:tab w:val="right" w:pos="8640"/>
        </w:tabs>
        <w:jc w:val="both"/>
        <w:rPr>
          <w:sz w:val="22"/>
          <w:szCs w:val="22"/>
          <w:lang w:val="sr-Latn-ME"/>
        </w:rPr>
      </w:pPr>
    </w:p>
    <w:p w14:paraId="02BCA4AE" w14:textId="77777777" w:rsidR="00C66563" w:rsidRPr="005A4F9F" w:rsidRDefault="00A30E1F">
      <w:pPr>
        <w:widowControl w:val="0"/>
        <w:tabs>
          <w:tab w:val="left" w:pos="284"/>
          <w:tab w:val="center" w:pos="4320"/>
          <w:tab w:val="right" w:pos="8640"/>
        </w:tabs>
        <w:jc w:val="both"/>
        <w:rPr>
          <w:i/>
          <w:sz w:val="22"/>
          <w:szCs w:val="22"/>
          <w:lang w:val="sr-Latn-ME"/>
        </w:rPr>
      </w:pPr>
      <w:r w:rsidRPr="005A4F9F">
        <w:rPr>
          <w:i/>
          <w:sz w:val="22"/>
          <w:szCs w:val="22"/>
          <w:lang w:val="sr-Latn-ME"/>
        </w:rPr>
        <w:t>Hepatotoksičnost</w:t>
      </w:r>
    </w:p>
    <w:p w14:paraId="1A0650B9" w14:textId="04CB0105" w:rsidR="00F76E4A" w:rsidRPr="005A4F9F" w:rsidRDefault="00A30E1F">
      <w:pPr>
        <w:widowControl w:val="0"/>
        <w:jc w:val="both"/>
        <w:rPr>
          <w:sz w:val="22"/>
          <w:szCs w:val="22"/>
          <w:lang w:val="sr-Latn-ME"/>
        </w:rPr>
      </w:pPr>
      <w:r w:rsidRPr="005A4F9F">
        <w:rPr>
          <w:sz w:val="22"/>
          <w:szCs w:val="22"/>
          <w:lang w:val="sr-Latn-ME"/>
        </w:rPr>
        <w:t>Tokom liječenja</w:t>
      </w:r>
      <w:r w:rsidR="00C66563" w:rsidRPr="005A4F9F">
        <w:rPr>
          <w:sz w:val="22"/>
          <w:szCs w:val="22"/>
          <w:lang w:val="sr-Latn-ME"/>
        </w:rPr>
        <w:t xml:space="preserve"> </w:t>
      </w:r>
      <w:r w:rsidR="00A0123F" w:rsidRPr="005A4F9F">
        <w:rPr>
          <w:sz w:val="22"/>
          <w:szCs w:val="22"/>
          <w:lang w:val="sr-Latn-ME"/>
        </w:rPr>
        <w:t>tocilizumabom</w:t>
      </w:r>
      <w:r w:rsidR="00C66563" w:rsidRPr="005A4F9F">
        <w:rPr>
          <w:sz w:val="22"/>
          <w:szCs w:val="22"/>
          <w:lang w:val="sr-Latn-ME"/>
        </w:rPr>
        <w:t xml:space="preserve"> često se bilježi prolazno ili </w:t>
      </w:r>
      <w:r w:rsidR="00501BDE" w:rsidRPr="005A4F9F">
        <w:rPr>
          <w:sz w:val="22"/>
          <w:szCs w:val="22"/>
          <w:lang w:val="sr-Latn-ME"/>
        </w:rPr>
        <w:t xml:space="preserve">povremeno </w:t>
      </w:r>
      <w:r w:rsidR="00C66563" w:rsidRPr="005A4F9F">
        <w:rPr>
          <w:sz w:val="22"/>
          <w:szCs w:val="22"/>
          <w:lang w:val="sr-Latn-ME"/>
        </w:rPr>
        <w:t xml:space="preserve">blago do umjereno povećanje transaminaza jetre (vidjeti dio 4.8). Povećana učestalost ovih dogadjaja zabilježena je kada se potencijalno hepatotoksični lijekovi (npr. MTX) koriste u kombinaciji sa </w:t>
      </w:r>
      <w:r w:rsidR="00A0123F" w:rsidRPr="005A4F9F">
        <w:rPr>
          <w:sz w:val="22"/>
          <w:szCs w:val="22"/>
          <w:lang w:val="sr-Latn-ME"/>
        </w:rPr>
        <w:t>tocilizumabom</w:t>
      </w:r>
      <w:r w:rsidR="00C66563" w:rsidRPr="005A4F9F">
        <w:rPr>
          <w:sz w:val="22"/>
          <w:szCs w:val="22"/>
          <w:lang w:val="sr-Latn-ME"/>
        </w:rPr>
        <w:t xml:space="preserve">. Kad je klinički </w:t>
      </w:r>
      <w:r w:rsidR="00B4767B" w:rsidRPr="005A4F9F">
        <w:rPr>
          <w:sz w:val="22"/>
          <w:szCs w:val="22"/>
          <w:lang w:val="sr-Latn-ME"/>
        </w:rPr>
        <w:t>opravdano</w:t>
      </w:r>
      <w:r w:rsidR="00C66563" w:rsidRPr="005A4F9F">
        <w:rPr>
          <w:sz w:val="22"/>
          <w:szCs w:val="22"/>
          <w:lang w:val="sr-Latn-ME"/>
        </w:rPr>
        <w:t>, t</w:t>
      </w:r>
      <w:r w:rsidR="00B1573E" w:rsidRPr="005A4F9F">
        <w:rPr>
          <w:sz w:val="22"/>
          <w:szCs w:val="22"/>
          <w:lang w:val="sr-Latn-ME"/>
        </w:rPr>
        <w:t>r</w:t>
      </w:r>
      <w:r w:rsidR="00C66563" w:rsidRPr="005A4F9F">
        <w:rPr>
          <w:sz w:val="22"/>
          <w:szCs w:val="22"/>
          <w:lang w:val="sr-Latn-ME"/>
        </w:rPr>
        <w:t>eba razmotriti i drug</w:t>
      </w:r>
      <w:r w:rsidR="00A0123F" w:rsidRPr="005A4F9F">
        <w:rPr>
          <w:sz w:val="22"/>
          <w:szCs w:val="22"/>
          <w:lang w:val="sr-Latn-ME"/>
        </w:rPr>
        <w:t>i</w:t>
      </w:r>
      <w:r w:rsidR="00C66563" w:rsidRPr="005A4F9F">
        <w:rPr>
          <w:sz w:val="22"/>
          <w:szCs w:val="22"/>
          <w:lang w:val="sr-Latn-ME"/>
        </w:rPr>
        <w:t xml:space="preserve"> testov</w:t>
      </w:r>
      <w:r w:rsidR="00A0123F" w:rsidRPr="005A4F9F">
        <w:rPr>
          <w:sz w:val="22"/>
          <w:szCs w:val="22"/>
          <w:lang w:val="sr-Latn-ME"/>
        </w:rPr>
        <w:t>i</w:t>
      </w:r>
      <w:r w:rsidR="00C66563" w:rsidRPr="005A4F9F">
        <w:rPr>
          <w:sz w:val="22"/>
          <w:szCs w:val="22"/>
          <w:lang w:val="sr-Latn-ME"/>
        </w:rPr>
        <w:t xml:space="preserve"> funkcije jetre uključujući i bilirubin.</w:t>
      </w:r>
    </w:p>
    <w:p w14:paraId="7F5394CF" w14:textId="297B2DF4" w:rsidR="00A30E1F" w:rsidRPr="005A4F9F" w:rsidRDefault="00A30E1F">
      <w:pPr>
        <w:widowControl w:val="0"/>
        <w:jc w:val="both"/>
        <w:rPr>
          <w:sz w:val="22"/>
          <w:szCs w:val="22"/>
          <w:lang w:val="sr-Latn-ME" w:eastAsia="ja-JP"/>
        </w:rPr>
      </w:pPr>
      <w:r w:rsidRPr="005A4F9F">
        <w:rPr>
          <w:sz w:val="22"/>
          <w:szCs w:val="22"/>
          <w:lang w:val="sr-Latn-ME" w:eastAsia="ja-JP"/>
        </w:rPr>
        <w:t xml:space="preserve">Tokom liječenja </w:t>
      </w:r>
      <w:r w:rsidR="00A0123F" w:rsidRPr="005A4F9F">
        <w:rPr>
          <w:sz w:val="22"/>
          <w:szCs w:val="22"/>
          <w:lang w:val="sr-Latn-ME" w:eastAsia="ja-JP"/>
        </w:rPr>
        <w:t>tocilizumabom</w:t>
      </w:r>
      <w:r w:rsidRPr="005A4F9F">
        <w:rPr>
          <w:sz w:val="22"/>
          <w:szCs w:val="22"/>
          <w:lang w:val="sr-Latn-ME" w:eastAsia="ja-JP"/>
        </w:rPr>
        <w:t xml:space="preserve"> zabilježeno je ozbiljno oštećenje jetre izazvano primjenom lijeka, uključujući akutnu insuficijenciju jetre, hepatitis i žuticu (vidjeti dio 4.8). Ozbiljno oštećenje jetre zabilježeno je u periodu od 2 nedjelje do više od 5 godina nakon započinjanja liječenja. Zabilježeni su i slučajevi insuficijencije jetre koji su zaht</w:t>
      </w:r>
      <w:r w:rsidR="00C71637" w:rsidRPr="005A4F9F">
        <w:rPr>
          <w:sz w:val="22"/>
          <w:szCs w:val="22"/>
          <w:lang w:val="sr-Latn-ME" w:eastAsia="ja-JP"/>
        </w:rPr>
        <w:t>ij</w:t>
      </w:r>
      <w:r w:rsidRPr="005A4F9F">
        <w:rPr>
          <w:sz w:val="22"/>
          <w:szCs w:val="22"/>
          <w:lang w:val="sr-Latn-ME" w:eastAsia="ja-JP"/>
        </w:rPr>
        <w:t xml:space="preserve">evali transplantaciju jetre. Pacijenti </w:t>
      </w:r>
      <w:r w:rsidR="00A0123F" w:rsidRPr="005A4F9F">
        <w:rPr>
          <w:sz w:val="22"/>
          <w:szCs w:val="22"/>
          <w:lang w:val="sr-Latn-ME" w:eastAsia="ja-JP"/>
        </w:rPr>
        <w:t>se moraju</w:t>
      </w:r>
      <w:r w:rsidRPr="005A4F9F">
        <w:rPr>
          <w:sz w:val="22"/>
          <w:szCs w:val="22"/>
          <w:lang w:val="sr-Latn-ME" w:eastAsia="ja-JP"/>
        </w:rPr>
        <w:t xml:space="preserve"> savjetovati da odmah potraže ljekarsku pomoć ako prim</w:t>
      </w:r>
      <w:r w:rsidR="00C71637" w:rsidRPr="005A4F9F">
        <w:rPr>
          <w:sz w:val="22"/>
          <w:szCs w:val="22"/>
          <w:lang w:val="sr-Latn-ME" w:eastAsia="ja-JP"/>
        </w:rPr>
        <w:t>i</w:t>
      </w:r>
      <w:r w:rsidRPr="005A4F9F">
        <w:rPr>
          <w:sz w:val="22"/>
          <w:szCs w:val="22"/>
          <w:lang w:val="sr-Latn-ME" w:eastAsia="ja-JP"/>
        </w:rPr>
        <w:t>jete znake i simptome oštećenja jetre.</w:t>
      </w:r>
    </w:p>
    <w:p w14:paraId="4480C49B" w14:textId="77777777" w:rsidR="00A30E1F" w:rsidRPr="005A4F9F" w:rsidRDefault="00A30E1F">
      <w:pPr>
        <w:widowControl w:val="0"/>
        <w:tabs>
          <w:tab w:val="left" w:pos="284"/>
          <w:tab w:val="center" w:pos="4320"/>
          <w:tab w:val="right" w:pos="8640"/>
        </w:tabs>
        <w:jc w:val="both"/>
        <w:rPr>
          <w:sz w:val="22"/>
          <w:szCs w:val="22"/>
          <w:lang w:val="sr-Latn-ME"/>
        </w:rPr>
      </w:pPr>
    </w:p>
    <w:p w14:paraId="1B034E72" w14:textId="5646D2DA" w:rsidR="00F34A0E"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Treba biti na oprezu kada se razmišlja o uvođenju terapije kod pacijenata kod kojih postoji povećanje ALT ili AST &gt; 1.5 x</w:t>
      </w:r>
      <w:r w:rsidR="002613C8" w:rsidRPr="005A4F9F">
        <w:rPr>
          <w:sz w:val="22"/>
          <w:szCs w:val="22"/>
          <w:lang w:val="sr-Latn-ME"/>
        </w:rPr>
        <w:t xml:space="preserve"> </w:t>
      </w:r>
      <w:r w:rsidRPr="005A4F9F">
        <w:rPr>
          <w:sz w:val="22"/>
          <w:szCs w:val="22"/>
          <w:lang w:val="sr-Latn-ME"/>
        </w:rPr>
        <w:t>GGN. Kod pacijenata</w:t>
      </w:r>
      <w:r w:rsidR="00FC079C" w:rsidRPr="005A4F9F">
        <w:rPr>
          <w:sz w:val="22"/>
          <w:szCs w:val="22"/>
          <w:lang w:val="sr-Latn-ME"/>
        </w:rPr>
        <w:t xml:space="preserve"> sa RA, pJIA i sJIA</w:t>
      </w:r>
      <w:r w:rsidRPr="005A4F9F">
        <w:rPr>
          <w:sz w:val="22"/>
          <w:szCs w:val="22"/>
          <w:lang w:val="sr-Latn-ME"/>
        </w:rPr>
        <w:t xml:space="preserve"> kod kojih je vrijednost  ALT ili  AST &gt; 5 x GGN prije uvođenja terapije, ovu terapiju ne treba ni započinjati.</w:t>
      </w:r>
    </w:p>
    <w:p w14:paraId="2D793F40" w14:textId="77777777" w:rsidR="00CE0C85" w:rsidRPr="005A4F9F" w:rsidRDefault="00CE0C85">
      <w:pPr>
        <w:widowControl w:val="0"/>
        <w:tabs>
          <w:tab w:val="left" w:pos="284"/>
          <w:tab w:val="center" w:pos="4320"/>
          <w:tab w:val="right" w:pos="8640"/>
        </w:tabs>
        <w:jc w:val="both"/>
        <w:rPr>
          <w:b/>
          <w:bCs/>
          <w:sz w:val="22"/>
          <w:szCs w:val="22"/>
          <w:lang w:val="sr-Latn-ME"/>
        </w:rPr>
      </w:pPr>
    </w:p>
    <w:p w14:paraId="68E5209C" w14:textId="7613EA3B"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Kod</w:t>
      </w:r>
      <w:r w:rsidR="00815EFF" w:rsidRPr="005A4F9F">
        <w:rPr>
          <w:sz w:val="22"/>
          <w:szCs w:val="22"/>
          <w:lang w:val="sr-Latn-ME"/>
        </w:rPr>
        <w:t xml:space="preserve"> pacijenata sa</w:t>
      </w:r>
      <w:r w:rsidRPr="005A4F9F">
        <w:rPr>
          <w:sz w:val="22"/>
          <w:szCs w:val="22"/>
          <w:lang w:val="sr-Latn-ME"/>
        </w:rPr>
        <w:t xml:space="preserve"> RA</w:t>
      </w:r>
      <w:r w:rsidR="00A30E1F" w:rsidRPr="005A4F9F">
        <w:rPr>
          <w:sz w:val="22"/>
          <w:szCs w:val="22"/>
          <w:lang w:val="sr-Latn-ME"/>
        </w:rPr>
        <w:t>, pJIA i sJIA</w:t>
      </w:r>
      <w:r w:rsidRPr="005A4F9F">
        <w:rPr>
          <w:sz w:val="22"/>
          <w:szCs w:val="22"/>
          <w:lang w:val="sr-Latn-ME"/>
        </w:rPr>
        <w:t>,</w:t>
      </w:r>
      <w:r w:rsidR="00A30E1F" w:rsidRPr="005A4F9F">
        <w:rPr>
          <w:sz w:val="22"/>
          <w:szCs w:val="22"/>
          <w:lang w:val="sr-Latn-ME"/>
        </w:rPr>
        <w:t xml:space="preserve"> </w:t>
      </w:r>
      <w:r w:rsidRPr="005A4F9F">
        <w:rPr>
          <w:sz w:val="22"/>
          <w:szCs w:val="22"/>
          <w:lang w:val="sr-Latn-ME"/>
        </w:rPr>
        <w:t>ALT</w:t>
      </w:r>
      <w:r w:rsidR="00A30E1F" w:rsidRPr="005A4F9F">
        <w:rPr>
          <w:sz w:val="22"/>
          <w:szCs w:val="22"/>
          <w:lang w:val="sr-Latn-ME"/>
        </w:rPr>
        <w:t>/</w:t>
      </w:r>
      <w:r w:rsidRPr="005A4F9F">
        <w:rPr>
          <w:sz w:val="22"/>
          <w:szCs w:val="22"/>
          <w:lang w:val="sr-Latn-ME"/>
        </w:rPr>
        <w:t>AST treba kontrolisati u intervalima od 4 do 8 ned</w:t>
      </w:r>
      <w:r w:rsidR="00280B47" w:rsidRPr="005A4F9F">
        <w:rPr>
          <w:sz w:val="22"/>
          <w:szCs w:val="22"/>
          <w:lang w:val="sr-Latn-ME"/>
        </w:rPr>
        <w:t>j</w:t>
      </w:r>
      <w:r w:rsidRPr="005A4F9F">
        <w:rPr>
          <w:sz w:val="22"/>
          <w:szCs w:val="22"/>
          <w:lang w:val="sr-Latn-ME"/>
        </w:rPr>
        <w:t>elja u prvih 6 mjeseci terapije i na svakih 12 nedjelja poslije toga. Za preporučen</w:t>
      </w:r>
      <w:r w:rsidR="00A30E1F" w:rsidRPr="005A4F9F">
        <w:rPr>
          <w:sz w:val="22"/>
          <w:szCs w:val="22"/>
          <w:lang w:val="sr-Latn-ME"/>
        </w:rPr>
        <w:t>a</w:t>
      </w:r>
      <w:r w:rsidRPr="005A4F9F">
        <w:rPr>
          <w:sz w:val="22"/>
          <w:szCs w:val="22"/>
          <w:lang w:val="sr-Latn-ME"/>
        </w:rPr>
        <w:t xml:space="preserve"> </w:t>
      </w:r>
      <w:r w:rsidR="00A30E1F" w:rsidRPr="005A4F9F">
        <w:rPr>
          <w:sz w:val="22"/>
          <w:szCs w:val="22"/>
          <w:lang w:val="sr-Latn-ME"/>
        </w:rPr>
        <w:t>prilagođavanja doze, uključujući prekid liječenja</w:t>
      </w:r>
      <w:r w:rsidR="00237FF5" w:rsidRPr="005A4F9F">
        <w:rPr>
          <w:sz w:val="22"/>
          <w:szCs w:val="22"/>
          <w:lang w:val="sr-Latn-ME"/>
        </w:rPr>
        <w:t xml:space="preserve"> tocilizumabom</w:t>
      </w:r>
      <w:r w:rsidR="00A30E1F" w:rsidRPr="005A4F9F">
        <w:rPr>
          <w:sz w:val="22"/>
          <w:szCs w:val="22"/>
          <w:lang w:val="sr-Latn-ME"/>
        </w:rPr>
        <w:t>, na osnovu</w:t>
      </w:r>
      <w:r w:rsidRPr="005A4F9F">
        <w:rPr>
          <w:sz w:val="22"/>
          <w:szCs w:val="22"/>
          <w:lang w:val="sr-Latn-ME"/>
        </w:rPr>
        <w:t xml:space="preserve"> nivoa transaminaza</w:t>
      </w:r>
      <w:r w:rsidR="0002109F" w:rsidRPr="005A4F9F">
        <w:rPr>
          <w:sz w:val="22"/>
          <w:szCs w:val="22"/>
          <w:lang w:val="sr-Latn-ME"/>
        </w:rPr>
        <w:t>,</w:t>
      </w:r>
      <w:r w:rsidRPr="005A4F9F">
        <w:rPr>
          <w:sz w:val="22"/>
          <w:szCs w:val="22"/>
          <w:lang w:val="sr-Latn-ME"/>
        </w:rPr>
        <w:t xml:space="preserve"> vidjeti dio 4.2. Kada su vrijednosti ALT ili AST &gt; 3–5 x GGN, što se potvrđuje ponovljenim testiranjem, terapij</w:t>
      </w:r>
      <w:r w:rsidR="00237FF5" w:rsidRPr="005A4F9F">
        <w:rPr>
          <w:sz w:val="22"/>
          <w:szCs w:val="22"/>
          <w:lang w:val="sr-Latn-ME"/>
        </w:rPr>
        <w:t>a</w:t>
      </w:r>
      <w:r w:rsidRPr="005A4F9F">
        <w:rPr>
          <w:sz w:val="22"/>
          <w:szCs w:val="22"/>
          <w:lang w:val="sr-Latn-ME"/>
        </w:rPr>
        <w:t xml:space="preserve"> </w:t>
      </w:r>
      <w:r w:rsidR="00237FF5" w:rsidRPr="005A4F9F">
        <w:rPr>
          <w:sz w:val="22"/>
          <w:szCs w:val="22"/>
          <w:lang w:val="sr-Latn-ME"/>
        </w:rPr>
        <w:t>tocilizumabom se mora</w:t>
      </w:r>
      <w:r w:rsidRPr="005A4F9F">
        <w:rPr>
          <w:sz w:val="22"/>
          <w:szCs w:val="22"/>
          <w:lang w:val="sr-Latn-ME"/>
        </w:rPr>
        <w:t xml:space="preserve"> obustaviti.</w:t>
      </w:r>
    </w:p>
    <w:p w14:paraId="3920FF87" w14:textId="77777777" w:rsidR="00C66563" w:rsidRPr="005A4F9F" w:rsidRDefault="00C66563">
      <w:pPr>
        <w:widowControl w:val="0"/>
        <w:tabs>
          <w:tab w:val="left" w:pos="284"/>
          <w:tab w:val="center" w:pos="4320"/>
          <w:tab w:val="right" w:pos="8640"/>
        </w:tabs>
        <w:jc w:val="both"/>
        <w:rPr>
          <w:sz w:val="22"/>
          <w:szCs w:val="22"/>
          <w:lang w:val="sr-Latn-ME"/>
        </w:rPr>
      </w:pPr>
    </w:p>
    <w:p w14:paraId="41F7A560" w14:textId="77777777" w:rsidR="00C66563" w:rsidRPr="005A4F9F" w:rsidRDefault="00C66563">
      <w:pPr>
        <w:widowControl w:val="0"/>
        <w:jc w:val="both"/>
        <w:rPr>
          <w:i/>
          <w:sz w:val="22"/>
          <w:szCs w:val="22"/>
          <w:lang w:val="sr-Latn-ME"/>
        </w:rPr>
      </w:pPr>
      <w:r w:rsidRPr="005A4F9F">
        <w:rPr>
          <w:i/>
          <w:sz w:val="22"/>
          <w:szCs w:val="22"/>
          <w:lang w:val="sr-Latn-ME"/>
        </w:rPr>
        <w:t xml:space="preserve">Hematološki poremećaji </w:t>
      </w:r>
    </w:p>
    <w:p w14:paraId="54902AB7"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Po terapiji tocilizumabom u dozi od 8 mg/kg u kombinaciji sa MTX (vidjeti dio 4.8) dolazilo je do smanjenja broja neutrofila i trombocita. Kod pacijenata prethodno liječenih antagonistima TNF</w:t>
      </w:r>
      <w:r w:rsidR="006F28A4" w:rsidRPr="005A4F9F">
        <w:rPr>
          <w:sz w:val="22"/>
          <w:szCs w:val="22"/>
          <w:lang w:val="sr-Latn-ME"/>
        </w:rPr>
        <w:t xml:space="preserve"> može</w:t>
      </w:r>
      <w:r w:rsidRPr="005A4F9F">
        <w:rPr>
          <w:sz w:val="22"/>
          <w:szCs w:val="22"/>
          <w:lang w:val="sr-Latn-ME"/>
        </w:rPr>
        <w:t xml:space="preserve"> postoj</w:t>
      </w:r>
      <w:r w:rsidR="006F28A4" w:rsidRPr="005A4F9F">
        <w:rPr>
          <w:sz w:val="22"/>
          <w:szCs w:val="22"/>
          <w:lang w:val="sr-Latn-ME"/>
        </w:rPr>
        <w:t>ati</w:t>
      </w:r>
      <w:r w:rsidRPr="005A4F9F">
        <w:rPr>
          <w:sz w:val="22"/>
          <w:szCs w:val="22"/>
          <w:lang w:val="sr-Latn-ME"/>
        </w:rPr>
        <w:t xml:space="preserve"> </w:t>
      </w:r>
      <w:r w:rsidR="00F76E4A" w:rsidRPr="005A4F9F">
        <w:rPr>
          <w:sz w:val="22"/>
          <w:szCs w:val="22"/>
          <w:lang w:val="sr-Latn-ME"/>
        </w:rPr>
        <w:t>povećan</w:t>
      </w:r>
      <w:r w:rsidR="006F28A4" w:rsidRPr="005A4F9F">
        <w:rPr>
          <w:sz w:val="22"/>
          <w:szCs w:val="22"/>
          <w:lang w:val="sr-Latn-ME"/>
        </w:rPr>
        <w:t xml:space="preserve"> </w:t>
      </w:r>
      <w:r w:rsidR="00F76E4A" w:rsidRPr="005A4F9F">
        <w:rPr>
          <w:sz w:val="22"/>
          <w:szCs w:val="22"/>
          <w:lang w:val="sr-Latn-ME"/>
        </w:rPr>
        <w:t>rizik od neutropenije.</w:t>
      </w:r>
    </w:p>
    <w:p w14:paraId="39C39C53" w14:textId="77777777" w:rsidR="00F76E4A" w:rsidRPr="005A4F9F" w:rsidRDefault="00F76E4A">
      <w:pPr>
        <w:widowControl w:val="0"/>
        <w:tabs>
          <w:tab w:val="left" w:pos="284"/>
          <w:tab w:val="center" w:pos="4320"/>
          <w:tab w:val="right" w:pos="8640"/>
        </w:tabs>
        <w:jc w:val="both"/>
        <w:rPr>
          <w:sz w:val="22"/>
          <w:szCs w:val="22"/>
          <w:lang w:val="sr-Latn-ME"/>
        </w:rPr>
      </w:pPr>
    </w:p>
    <w:p w14:paraId="205100EF" w14:textId="2DCAE654" w:rsidR="00C66563" w:rsidRPr="005A4F9F" w:rsidRDefault="00C66563">
      <w:pPr>
        <w:widowControl w:val="0"/>
        <w:jc w:val="both"/>
        <w:rPr>
          <w:sz w:val="22"/>
          <w:szCs w:val="22"/>
          <w:lang w:val="sr-Latn-ME"/>
        </w:rPr>
      </w:pPr>
      <w:r w:rsidRPr="005A4F9F">
        <w:rPr>
          <w:sz w:val="22"/>
          <w:szCs w:val="22"/>
          <w:lang w:val="sr-Latn-ME"/>
        </w:rPr>
        <w:t xml:space="preserve">Kod pacijenata koji nijesu prethodno liječeni </w:t>
      </w:r>
      <w:r w:rsidR="00237FF5" w:rsidRPr="005A4F9F">
        <w:rPr>
          <w:sz w:val="22"/>
          <w:szCs w:val="22"/>
          <w:lang w:val="sr-Latn-ME"/>
        </w:rPr>
        <w:t>tocilizumabom</w:t>
      </w:r>
      <w:r w:rsidRPr="005A4F9F">
        <w:rPr>
          <w:sz w:val="22"/>
          <w:szCs w:val="22"/>
          <w:lang w:val="sr-Latn-ME"/>
        </w:rPr>
        <w:t>, ne preporučuje se započinjanje terapije ukoliko  je A</w:t>
      </w:r>
      <w:r w:rsidR="00237FF5" w:rsidRPr="005A4F9F">
        <w:rPr>
          <w:sz w:val="22"/>
          <w:szCs w:val="22"/>
          <w:lang w:val="sr-Latn-ME"/>
        </w:rPr>
        <w:t>BN</w:t>
      </w:r>
      <w:r w:rsidRPr="005A4F9F">
        <w:rPr>
          <w:sz w:val="22"/>
          <w:szCs w:val="22"/>
          <w:lang w:val="sr-Latn-ME"/>
        </w:rPr>
        <w:t xml:space="preserve"> ispod 2x 10</w:t>
      </w:r>
      <w:r w:rsidRPr="005A4F9F">
        <w:rPr>
          <w:sz w:val="22"/>
          <w:szCs w:val="22"/>
          <w:vertAlign w:val="superscript"/>
          <w:lang w:val="sr-Latn-ME"/>
        </w:rPr>
        <w:t>9</w:t>
      </w:r>
      <w:r w:rsidRPr="005A4F9F">
        <w:rPr>
          <w:sz w:val="22"/>
          <w:szCs w:val="22"/>
          <w:lang w:val="sr-Latn-ME"/>
        </w:rPr>
        <w:t>/l.</w:t>
      </w:r>
      <w:r w:rsidR="006F28A4" w:rsidRPr="005A4F9F">
        <w:rPr>
          <w:sz w:val="22"/>
          <w:szCs w:val="22"/>
          <w:lang w:val="sr-Latn-ME"/>
        </w:rPr>
        <w:t xml:space="preserve"> Potreban je</w:t>
      </w:r>
      <w:r w:rsidRPr="005A4F9F">
        <w:rPr>
          <w:sz w:val="22"/>
          <w:szCs w:val="22"/>
          <w:lang w:val="sr-Latn-ME"/>
        </w:rPr>
        <w:t xml:space="preserve"> oprez kada se razmišlja o uvođenju terapije kod pacijenata sa niskim brojem trombocita (broj trombocita ispod 100 x 10</w:t>
      </w:r>
      <w:r w:rsidRPr="005A4F9F">
        <w:rPr>
          <w:sz w:val="22"/>
          <w:szCs w:val="22"/>
          <w:vertAlign w:val="superscript"/>
          <w:lang w:val="sr-Latn-ME"/>
        </w:rPr>
        <w:t>3</w:t>
      </w:r>
      <w:r w:rsidRPr="005A4F9F">
        <w:rPr>
          <w:sz w:val="22"/>
          <w:szCs w:val="22"/>
          <w:lang w:val="sr-Latn-ME"/>
        </w:rPr>
        <w:t>/ µ</w:t>
      </w:r>
      <w:r w:rsidR="009C207F">
        <w:rPr>
          <w:sz w:val="22"/>
          <w:szCs w:val="22"/>
          <w:lang w:val="sr-Latn-ME"/>
        </w:rPr>
        <w:t>l</w:t>
      </w:r>
      <w:r w:rsidRPr="005A4F9F">
        <w:rPr>
          <w:sz w:val="22"/>
          <w:szCs w:val="22"/>
          <w:lang w:val="sr-Latn-ME"/>
        </w:rPr>
        <w:t>). Nastavak terapije se ne preporučuje kod pacijenata</w:t>
      </w:r>
      <w:r w:rsidR="00FC079C" w:rsidRPr="005A4F9F">
        <w:rPr>
          <w:sz w:val="22"/>
          <w:szCs w:val="22"/>
          <w:lang w:val="sr-Latn-ME"/>
        </w:rPr>
        <w:t xml:space="preserve"> sa RA, pJIA i sJIA</w:t>
      </w:r>
      <w:r w:rsidRPr="005A4F9F">
        <w:rPr>
          <w:sz w:val="22"/>
          <w:szCs w:val="22"/>
          <w:lang w:val="sr-Latn-ME"/>
        </w:rPr>
        <w:t xml:space="preserve"> koji razviju A</w:t>
      </w:r>
      <w:r w:rsidR="00053C2C" w:rsidRPr="005A4F9F">
        <w:rPr>
          <w:sz w:val="22"/>
          <w:szCs w:val="22"/>
          <w:lang w:val="sr-Latn-ME"/>
        </w:rPr>
        <w:t>BN</w:t>
      </w:r>
      <w:r w:rsidRPr="005A4F9F">
        <w:rPr>
          <w:sz w:val="22"/>
          <w:szCs w:val="22"/>
          <w:lang w:val="sr-Latn-ME"/>
        </w:rPr>
        <w:t xml:space="preserve"> &lt; 0.5 x 10</w:t>
      </w:r>
      <w:r w:rsidRPr="005A4F9F">
        <w:rPr>
          <w:sz w:val="22"/>
          <w:szCs w:val="22"/>
          <w:vertAlign w:val="superscript"/>
          <w:lang w:val="sr-Latn-ME"/>
        </w:rPr>
        <w:t>9</w:t>
      </w:r>
      <w:r w:rsidRPr="005A4F9F">
        <w:rPr>
          <w:sz w:val="22"/>
          <w:szCs w:val="22"/>
          <w:lang w:val="sr-Latn-ME"/>
        </w:rPr>
        <w:t>/ l ili</w:t>
      </w:r>
      <w:r w:rsidR="00FC079C" w:rsidRPr="005A4F9F">
        <w:rPr>
          <w:sz w:val="22"/>
          <w:szCs w:val="22"/>
          <w:lang w:val="sr-Latn-ME"/>
        </w:rPr>
        <w:t xml:space="preserve"> im je</w:t>
      </w:r>
      <w:r w:rsidRPr="005A4F9F">
        <w:rPr>
          <w:sz w:val="22"/>
          <w:szCs w:val="22"/>
          <w:lang w:val="sr-Latn-ME"/>
        </w:rPr>
        <w:t xml:space="preserve"> broj trombocita &lt; 50 x 10</w:t>
      </w:r>
      <w:r w:rsidRPr="005A4F9F">
        <w:rPr>
          <w:sz w:val="22"/>
          <w:szCs w:val="22"/>
          <w:vertAlign w:val="superscript"/>
          <w:lang w:val="sr-Latn-ME"/>
        </w:rPr>
        <w:t>3</w:t>
      </w:r>
      <w:r w:rsidRPr="005A4F9F">
        <w:rPr>
          <w:sz w:val="22"/>
          <w:szCs w:val="22"/>
          <w:lang w:val="sr-Latn-ME"/>
        </w:rPr>
        <w:t>/ µ</w:t>
      </w:r>
      <w:r w:rsidR="009C207F">
        <w:rPr>
          <w:sz w:val="22"/>
          <w:szCs w:val="22"/>
          <w:lang w:val="sr-Latn-ME"/>
        </w:rPr>
        <w:t>l</w:t>
      </w:r>
      <w:r w:rsidRPr="005A4F9F">
        <w:rPr>
          <w:sz w:val="22"/>
          <w:szCs w:val="22"/>
          <w:lang w:val="sr-Latn-ME"/>
        </w:rPr>
        <w:t>.</w:t>
      </w:r>
      <w:r w:rsidR="00237FF5" w:rsidRPr="005A4F9F">
        <w:rPr>
          <w:sz w:val="22"/>
          <w:szCs w:val="22"/>
          <w:lang w:val="sr-Latn-ME"/>
        </w:rPr>
        <w:br/>
      </w:r>
    </w:p>
    <w:p w14:paraId="5E9D9010" w14:textId="37545FFD" w:rsidR="00C66563" w:rsidRPr="005A4F9F" w:rsidRDefault="00C66563">
      <w:pPr>
        <w:widowControl w:val="0"/>
        <w:jc w:val="both"/>
        <w:rPr>
          <w:sz w:val="22"/>
          <w:szCs w:val="22"/>
          <w:lang w:val="sr-Latn-ME"/>
        </w:rPr>
      </w:pPr>
      <w:r w:rsidRPr="005A4F9F">
        <w:rPr>
          <w:sz w:val="22"/>
          <w:szCs w:val="22"/>
          <w:lang w:val="sr-Latn-ME"/>
        </w:rPr>
        <w:t xml:space="preserve">Teška neutropenija može biti povezana s povećanim rizikom od ozbiljnih infekcija, premda do sada nije bilo jasne povezanosti između smanjenja broja neutrofila i pojave ozbiljnih infekcija u kliničkim ispitivanjima </w:t>
      </w:r>
      <w:r w:rsidR="00237FF5" w:rsidRPr="005A4F9F">
        <w:rPr>
          <w:sz w:val="22"/>
          <w:szCs w:val="22"/>
          <w:lang w:val="sr-Latn-ME"/>
        </w:rPr>
        <w:t>tocilizumaba</w:t>
      </w:r>
      <w:r w:rsidRPr="005A4F9F">
        <w:rPr>
          <w:sz w:val="22"/>
          <w:szCs w:val="22"/>
          <w:lang w:val="sr-Latn-ME"/>
        </w:rPr>
        <w:t>.</w:t>
      </w:r>
    </w:p>
    <w:p w14:paraId="5DAC9B57" w14:textId="3AF33584" w:rsidR="00C66563" w:rsidRPr="005A4F9F" w:rsidRDefault="00C66563" w:rsidP="008B00DE">
      <w:pPr>
        <w:widowControl w:val="0"/>
        <w:tabs>
          <w:tab w:val="left" w:pos="284"/>
          <w:tab w:val="center" w:pos="4320"/>
          <w:tab w:val="right" w:pos="8640"/>
        </w:tabs>
        <w:jc w:val="both"/>
        <w:rPr>
          <w:sz w:val="22"/>
          <w:szCs w:val="22"/>
          <w:lang w:val="sr-Latn-ME"/>
        </w:rPr>
      </w:pPr>
      <w:r w:rsidRPr="005A4F9F">
        <w:rPr>
          <w:sz w:val="22"/>
          <w:szCs w:val="22"/>
          <w:lang w:val="sr-Latn-ME"/>
        </w:rPr>
        <w:t>Kod</w:t>
      </w:r>
      <w:r w:rsidR="006F28A4" w:rsidRPr="005A4F9F">
        <w:rPr>
          <w:sz w:val="22"/>
          <w:szCs w:val="22"/>
          <w:lang w:val="sr-Latn-ME"/>
        </w:rPr>
        <w:t xml:space="preserve"> </w:t>
      </w:r>
      <w:r w:rsidRPr="005A4F9F">
        <w:rPr>
          <w:sz w:val="22"/>
          <w:szCs w:val="22"/>
          <w:lang w:val="sr-Latn-ME"/>
        </w:rPr>
        <w:t>pacijenata</w:t>
      </w:r>
      <w:r w:rsidR="006F28A4" w:rsidRPr="005A4F9F">
        <w:rPr>
          <w:sz w:val="22"/>
          <w:szCs w:val="22"/>
          <w:lang w:val="sr-Latn-ME"/>
        </w:rPr>
        <w:t xml:space="preserve"> sa RA</w:t>
      </w:r>
      <w:r w:rsidRPr="005A4F9F">
        <w:rPr>
          <w:sz w:val="22"/>
          <w:szCs w:val="22"/>
          <w:lang w:val="sr-Latn-ME"/>
        </w:rPr>
        <w:t xml:space="preserve">, broj neutrofila i trombocita treba </w:t>
      </w:r>
      <w:r w:rsidR="006F28A4" w:rsidRPr="005A4F9F">
        <w:rPr>
          <w:sz w:val="22"/>
          <w:szCs w:val="22"/>
          <w:lang w:val="sr-Latn-ME"/>
        </w:rPr>
        <w:t xml:space="preserve">pratiti </w:t>
      </w:r>
      <w:r w:rsidRPr="005A4F9F">
        <w:rPr>
          <w:sz w:val="22"/>
          <w:szCs w:val="22"/>
          <w:lang w:val="sr-Latn-ME"/>
        </w:rPr>
        <w:t>u intervalima od 4 do 8 ned</w:t>
      </w:r>
      <w:r w:rsidR="006F28A4" w:rsidRPr="005A4F9F">
        <w:rPr>
          <w:sz w:val="22"/>
          <w:szCs w:val="22"/>
          <w:lang w:val="sr-Latn-ME"/>
        </w:rPr>
        <w:t>j</w:t>
      </w:r>
      <w:r w:rsidRPr="005A4F9F">
        <w:rPr>
          <w:sz w:val="22"/>
          <w:szCs w:val="22"/>
          <w:lang w:val="sr-Latn-ME"/>
        </w:rPr>
        <w:t xml:space="preserve">elja po započinjanju terapije, i potom u skladu sa standardnom kliničkom praksom. Za preporučene modifikacije doze na osnovu vrijednosti </w:t>
      </w:r>
      <w:r w:rsidR="00053C2C" w:rsidRPr="005A4F9F">
        <w:rPr>
          <w:sz w:val="22"/>
          <w:szCs w:val="22"/>
          <w:lang w:val="sr-Latn-ME"/>
        </w:rPr>
        <w:t xml:space="preserve">ABN </w:t>
      </w:r>
      <w:r w:rsidRPr="005A4F9F">
        <w:rPr>
          <w:sz w:val="22"/>
          <w:szCs w:val="22"/>
          <w:lang w:val="sr-Latn-ME"/>
        </w:rPr>
        <w:t>i trombocita, vidjeti dio 4.2.</w:t>
      </w:r>
      <w:r w:rsidR="00237FF5" w:rsidRPr="005A4F9F">
        <w:rPr>
          <w:sz w:val="22"/>
          <w:szCs w:val="22"/>
          <w:lang w:val="sr-Latn-ME"/>
        </w:rPr>
        <w:br/>
      </w:r>
    </w:p>
    <w:p w14:paraId="41D0372A" w14:textId="300FB6C6" w:rsidR="00C66563" w:rsidRPr="005A4F9F" w:rsidRDefault="00C66563">
      <w:pPr>
        <w:widowControl w:val="0"/>
        <w:jc w:val="both"/>
        <w:rPr>
          <w:sz w:val="22"/>
          <w:szCs w:val="22"/>
          <w:lang w:val="sr-Latn-ME"/>
        </w:rPr>
      </w:pPr>
      <w:r w:rsidRPr="005A4F9F">
        <w:rPr>
          <w:sz w:val="22"/>
          <w:szCs w:val="22"/>
          <w:lang w:val="sr-Latn-ME"/>
        </w:rPr>
        <w:t xml:space="preserve">Kod pacijenata sa </w:t>
      </w:r>
      <w:r w:rsidR="00237FF5" w:rsidRPr="005A4F9F">
        <w:rPr>
          <w:sz w:val="22"/>
          <w:szCs w:val="22"/>
          <w:lang w:val="sr-Latn-ME"/>
        </w:rPr>
        <w:t>p</w:t>
      </w:r>
      <w:r w:rsidRPr="005A4F9F">
        <w:rPr>
          <w:sz w:val="22"/>
          <w:szCs w:val="22"/>
          <w:lang w:val="sr-Latn-ME"/>
        </w:rPr>
        <w:t xml:space="preserve">JIA i </w:t>
      </w:r>
      <w:r w:rsidR="00237FF5" w:rsidRPr="005A4F9F">
        <w:rPr>
          <w:sz w:val="22"/>
          <w:szCs w:val="22"/>
          <w:lang w:val="sr-Latn-ME"/>
        </w:rPr>
        <w:t>s</w:t>
      </w:r>
      <w:r w:rsidRPr="005A4F9F">
        <w:rPr>
          <w:sz w:val="22"/>
          <w:szCs w:val="22"/>
          <w:lang w:val="sr-Latn-ME"/>
        </w:rPr>
        <w:t>JIA broj neutrofila i trombocita treba pratiti tokom druge infuzije, a nakon toga u skladu sa dobrom kliničkom praksom, vidjeti dio 4.2.</w:t>
      </w:r>
    </w:p>
    <w:p w14:paraId="6BE128F0" w14:textId="77777777" w:rsidR="00C66563" w:rsidRPr="005A4F9F" w:rsidRDefault="00C66563">
      <w:pPr>
        <w:widowControl w:val="0"/>
        <w:tabs>
          <w:tab w:val="left" w:pos="284"/>
          <w:tab w:val="center" w:pos="4320"/>
          <w:tab w:val="right" w:pos="8640"/>
        </w:tabs>
        <w:jc w:val="both"/>
        <w:rPr>
          <w:sz w:val="22"/>
          <w:szCs w:val="22"/>
          <w:lang w:val="sr-Latn-ME"/>
        </w:rPr>
      </w:pPr>
    </w:p>
    <w:p w14:paraId="37EC617F"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Parametri lipida</w:t>
      </w:r>
    </w:p>
    <w:p w14:paraId="0265049B"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Kod pacijenata koji primaju tocilizumab zabilježeno je povećanje parametara lipida uključujući povišeni ukupni holesterol, lipoproteine niske gustine (LDL), lipoproteine visoke gustine (HDL) i trigliceride (vidjeti dio 4.8). Kod većine pacijenata nije bilo povećanja indeksa aterogenosti, a povećani nivo ukupnog holesterola reagovao je na terapiju agensima za snižavanje lipida.</w:t>
      </w:r>
    </w:p>
    <w:p w14:paraId="786E5C03" w14:textId="77777777" w:rsidR="00C66563" w:rsidRPr="005A4F9F" w:rsidRDefault="00C66563">
      <w:pPr>
        <w:widowControl w:val="0"/>
        <w:tabs>
          <w:tab w:val="left" w:pos="284"/>
          <w:tab w:val="center" w:pos="4320"/>
          <w:tab w:val="right" w:pos="8640"/>
        </w:tabs>
        <w:jc w:val="both"/>
        <w:rPr>
          <w:sz w:val="22"/>
          <w:szCs w:val="22"/>
          <w:lang w:val="sr-Latn-ME"/>
        </w:rPr>
      </w:pPr>
    </w:p>
    <w:p w14:paraId="3CCCD7A7" w14:textId="442C4D78"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Kod </w:t>
      </w:r>
      <w:r w:rsidR="00EB3937" w:rsidRPr="005A4F9F">
        <w:rPr>
          <w:sz w:val="22"/>
          <w:szCs w:val="22"/>
          <w:lang w:val="sr-Latn-ME"/>
        </w:rPr>
        <w:t xml:space="preserve">pacijenata sa </w:t>
      </w:r>
      <w:r w:rsidR="00237FF5" w:rsidRPr="005A4F9F">
        <w:rPr>
          <w:sz w:val="22"/>
          <w:szCs w:val="22"/>
          <w:lang w:val="sr-Latn-ME"/>
        </w:rPr>
        <w:t>RA</w:t>
      </w:r>
      <w:r w:rsidRPr="005A4F9F">
        <w:rPr>
          <w:sz w:val="22"/>
          <w:szCs w:val="22"/>
          <w:lang w:val="sr-Latn-ME"/>
        </w:rPr>
        <w:t xml:space="preserve">, pJIA i </w:t>
      </w:r>
      <w:r w:rsidR="00237FF5" w:rsidRPr="005A4F9F">
        <w:rPr>
          <w:sz w:val="22"/>
          <w:szCs w:val="22"/>
          <w:lang w:val="sr-Latn-ME"/>
        </w:rPr>
        <w:t>sJIA</w:t>
      </w:r>
      <w:r w:rsidRPr="005A4F9F">
        <w:rPr>
          <w:sz w:val="22"/>
          <w:szCs w:val="22"/>
          <w:lang w:val="sr-Latn-ME"/>
        </w:rPr>
        <w:t xml:space="preserve"> kontrolu parametara lipida treba raditi  u intervalima od 4 do 8 ned</w:t>
      </w:r>
      <w:r w:rsidR="00EB3937" w:rsidRPr="005A4F9F">
        <w:rPr>
          <w:sz w:val="22"/>
          <w:szCs w:val="22"/>
          <w:lang w:val="sr-Latn-ME"/>
        </w:rPr>
        <w:t>j</w:t>
      </w:r>
      <w:r w:rsidRPr="005A4F9F">
        <w:rPr>
          <w:sz w:val="22"/>
          <w:szCs w:val="22"/>
          <w:lang w:val="sr-Latn-ME"/>
        </w:rPr>
        <w:t xml:space="preserve">elja po uvođenju terapije. Pacijente treba </w:t>
      </w:r>
      <w:r w:rsidR="00EB3937" w:rsidRPr="005A4F9F">
        <w:rPr>
          <w:sz w:val="22"/>
          <w:szCs w:val="22"/>
          <w:lang w:val="sr-Latn-ME"/>
        </w:rPr>
        <w:t xml:space="preserve">liječiti </w:t>
      </w:r>
      <w:r w:rsidRPr="005A4F9F">
        <w:rPr>
          <w:sz w:val="22"/>
          <w:szCs w:val="22"/>
          <w:lang w:val="sr-Latn-ME"/>
        </w:rPr>
        <w:t xml:space="preserve">u skladu sa lokalnim </w:t>
      </w:r>
      <w:r w:rsidR="00EB3937" w:rsidRPr="005A4F9F">
        <w:rPr>
          <w:sz w:val="22"/>
          <w:szCs w:val="22"/>
          <w:lang w:val="sr-Latn-ME"/>
        </w:rPr>
        <w:t xml:space="preserve">kliničkim </w:t>
      </w:r>
      <w:r w:rsidRPr="005A4F9F">
        <w:rPr>
          <w:sz w:val="22"/>
          <w:szCs w:val="22"/>
          <w:lang w:val="sr-Latn-ME"/>
        </w:rPr>
        <w:t xml:space="preserve">smjernicama za </w:t>
      </w:r>
      <w:r w:rsidR="00EB3937" w:rsidRPr="005A4F9F">
        <w:rPr>
          <w:sz w:val="22"/>
          <w:szCs w:val="22"/>
          <w:lang w:val="sr-Latn-ME"/>
        </w:rPr>
        <w:t xml:space="preserve">liječenje </w:t>
      </w:r>
      <w:r w:rsidRPr="005A4F9F">
        <w:rPr>
          <w:sz w:val="22"/>
          <w:szCs w:val="22"/>
          <w:lang w:val="sr-Latn-ME"/>
        </w:rPr>
        <w:t>hiperlipidemije.</w:t>
      </w:r>
    </w:p>
    <w:p w14:paraId="1979F61D" w14:textId="77777777" w:rsidR="00C66563" w:rsidRPr="005A4F9F" w:rsidRDefault="00C66563">
      <w:pPr>
        <w:widowControl w:val="0"/>
        <w:tabs>
          <w:tab w:val="left" w:pos="284"/>
          <w:tab w:val="center" w:pos="4320"/>
          <w:tab w:val="right" w:pos="8640"/>
        </w:tabs>
        <w:jc w:val="both"/>
        <w:rPr>
          <w:sz w:val="22"/>
          <w:szCs w:val="22"/>
          <w:lang w:val="sr-Latn-ME"/>
        </w:rPr>
      </w:pPr>
    </w:p>
    <w:p w14:paraId="76E38535"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Neurološki poremećaji</w:t>
      </w:r>
    </w:p>
    <w:p w14:paraId="117A37D2" w14:textId="72A4DED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Ljekari treba da pažljivo prate eventualnu pojavu simptoma koji mogu da ukažu na početak centralnih demijelinizirajućih poremećaja. U ovom trenutku nije poznat potencijal </w:t>
      </w:r>
      <w:r w:rsidR="00237FF5" w:rsidRPr="005A4F9F">
        <w:rPr>
          <w:sz w:val="22"/>
          <w:szCs w:val="22"/>
          <w:lang w:val="sr-Latn-ME"/>
        </w:rPr>
        <w:t>tocilizumaba</w:t>
      </w:r>
      <w:r w:rsidRPr="005A4F9F">
        <w:rPr>
          <w:sz w:val="22"/>
          <w:szCs w:val="22"/>
          <w:lang w:val="sr-Latn-ME"/>
        </w:rPr>
        <w:t>za demijelinizaciju.</w:t>
      </w:r>
      <w:r w:rsidR="00237FF5" w:rsidRPr="005A4F9F">
        <w:rPr>
          <w:rFonts w:eastAsia="SimSun"/>
          <w:sz w:val="22"/>
          <w:szCs w:val="22"/>
          <w:lang w:val="sr-Latn-ME" w:eastAsia="zh-CN"/>
        </w:rPr>
        <w:t xml:space="preserve"> </w:t>
      </w:r>
    </w:p>
    <w:p w14:paraId="18BC269E" w14:textId="77777777" w:rsidR="00C66563" w:rsidRPr="005A4F9F" w:rsidRDefault="00C66563">
      <w:pPr>
        <w:widowControl w:val="0"/>
        <w:tabs>
          <w:tab w:val="left" w:pos="284"/>
          <w:tab w:val="center" w:pos="4320"/>
          <w:tab w:val="right" w:pos="8640"/>
        </w:tabs>
        <w:jc w:val="both"/>
        <w:rPr>
          <w:sz w:val="22"/>
          <w:szCs w:val="22"/>
          <w:lang w:val="sr-Latn-ME"/>
        </w:rPr>
      </w:pPr>
    </w:p>
    <w:p w14:paraId="05223F23"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Maligniteti</w:t>
      </w:r>
    </w:p>
    <w:p w14:paraId="0DDCDCFD" w14:textId="146D591A"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Kod pacijenata sa RA postoji  povećan rizik od maligniteta. Imunomodulatorni ljekovi mogu da povećaju rizik od pojave maligniteta.</w:t>
      </w:r>
      <w:r w:rsidR="00237FF5" w:rsidRPr="005A4F9F">
        <w:rPr>
          <w:sz w:val="22"/>
          <w:szCs w:val="22"/>
          <w:lang w:val="sr-Latn-ME"/>
        </w:rPr>
        <w:t xml:space="preserve"> </w:t>
      </w:r>
      <w:r w:rsidR="00237FF5" w:rsidRPr="005A4F9F">
        <w:rPr>
          <w:rFonts w:eastAsia="SimSun"/>
          <w:sz w:val="22"/>
          <w:szCs w:val="22"/>
          <w:lang w:val="sr-Latn-ME" w:eastAsia="zh-CN"/>
        </w:rPr>
        <w:t>Nema dovoljno kliničkih podataka da bi se mogla procijeniti potencijalna incidencija malignih bolesti nakon izlaganja tocilizumabu. Trenutno se sprovode ispitivanja sigurnosti dugoročne primjene.</w:t>
      </w:r>
    </w:p>
    <w:p w14:paraId="6D167D05" w14:textId="77777777" w:rsidR="00C66563" w:rsidRPr="005A4F9F" w:rsidRDefault="00C66563">
      <w:pPr>
        <w:widowControl w:val="0"/>
        <w:tabs>
          <w:tab w:val="left" w:pos="284"/>
          <w:tab w:val="center" w:pos="4320"/>
          <w:tab w:val="right" w:pos="8640"/>
        </w:tabs>
        <w:jc w:val="both"/>
        <w:rPr>
          <w:sz w:val="22"/>
          <w:szCs w:val="22"/>
          <w:lang w:val="sr-Latn-ME"/>
        </w:rPr>
      </w:pPr>
    </w:p>
    <w:p w14:paraId="12C721FB"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Vakcinacije</w:t>
      </w:r>
    </w:p>
    <w:p w14:paraId="7C6F42B7" w14:textId="43F157E0" w:rsidR="00C66563" w:rsidRPr="005A4F9F" w:rsidRDefault="00FE6A31">
      <w:pPr>
        <w:widowControl w:val="0"/>
        <w:tabs>
          <w:tab w:val="left" w:pos="284"/>
          <w:tab w:val="center" w:pos="4320"/>
          <w:tab w:val="right" w:pos="8640"/>
        </w:tabs>
        <w:jc w:val="both"/>
        <w:rPr>
          <w:sz w:val="22"/>
          <w:szCs w:val="22"/>
          <w:lang w:val="sr-Latn-ME"/>
        </w:rPr>
      </w:pPr>
      <w:r w:rsidRPr="005A4F9F">
        <w:rPr>
          <w:sz w:val="22"/>
          <w:szCs w:val="22"/>
          <w:lang w:val="sr-Latn-ME"/>
        </w:rPr>
        <w:t>Za vrijeme liječenja</w:t>
      </w:r>
      <w:r w:rsidR="00C66563" w:rsidRPr="005A4F9F">
        <w:rPr>
          <w:sz w:val="22"/>
          <w:szCs w:val="22"/>
          <w:lang w:val="sr-Latn-ME"/>
        </w:rPr>
        <w:t xml:space="preserve"> </w:t>
      </w:r>
      <w:r w:rsidR="00237FF5" w:rsidRPr="005A4F9F">
        <w:rPr>
          <w:sz w:val="22"/>
          <w:szCs w:val="22"/>
          <w:lang w:val="sr-Latn-ME"/>
        </w:rPr>
        <w:t>ovim lijekom</w:t>
      </w:r>
      <w:r w:rsidR="00C66563" w:rsidRPr="005A4F9F">
        <w:rPr>
          <w:sz w:val="22"/>
          <w:szCs w:val="22"/>
          <w:lang w:val="sr-Latn-ME"/>
        </w:rPr>
        <w:t xml:space="preserve"> se ne smiju davati ni žive, ni </w:t>
      </w:r>
      <w:r w:rsidR="00B1573E" w:rsidRPr="005A4F9F">
        <w:rPr>
          <w:sz w:val="22"/>
          <w:szCs w:val="22"/>
          <w:lang w:val="sr-Latn-ME"/>
        </w:rPr>
        <w:t>atenuisane</w:t>
      </w:r>
      <w:r w:rsidR="00C66563" w:rsidRPr="005A4F9F">
        <w:rPr>
          <w:sz w:val="22"/>
          <w:szCs w:val="22"/>
          <w:lang w:val="sr-Latn-ME"/>
        </w:rPr>
        <w:t xml:space="preserve"> vakcine, jer nije utvrđena klinička bezbjednost ove kombinacije. U randomizovanoj otvorenoj studiji, odrasli RA pacijenti liječeni </w:t>
      </w:r>
      <w:r w:rsidR="00237FF5" w:rsidRPr="005A4F9F">
        <w:rPr>
          <w:sz w:val="22"/>
          <w:szCs w:val="22"/>
          <w:lang w:val="sr-Latn-ME"/>
        </w:rPr>
        <w:t>tocilizumabom</w:t>
      </w:r>
      <w:r w:rsidR="00C66563" w:rsidRPr="005A4F9F">
        <w:rPr>
          <w:sz w:val="22"/>
          <w:szCs w:val="22"/>
          <w:lang w:val="sr-Latn-ME"/>
        </w:rPr>
        <w:t xml:space="preserve"> i MTX</w:t>
      </w:r>
      <w:r w:rsidR="00C66563" w:rsidRPr="005A4F9F">
        <w:rPr>
          <w:sz w:val="22"/>
          <w:szCs w:val="22"/>
          <w:lang w:val="sr-Latn-ME"/>
        </w:rPr>
        <w:noBreakHyphen/>
        <w:t>om uspjeli su postići efikasan odgovor i na 23</w:t>
      </w:r>
      <w:r w:rsidR="00C66563" w:rsidRPr="005A4F9F">
        <w:rPr>
          <w:sz w:val="22"/>
          <w:szCs w:val="22"/>
          <w:lang w:val="sr-Latn-ME"/>
        </w:rPr>
        <w:noBreakHyphen/>
        <w:t>valentnu pneumokoknu polisaharidnu vakcinu i na vakcine koje sadrž</w:t>
      </w:r>
      <w:r w:rsidRPr="005A4F9F">
        <w:rPr>
          <w:sz w:val="22"/>
          <w:szCs w:val="22"/>
          <w:lang w:val="sr-Latn-ME"/>
        </w:rPr>
        <w:t xml:space="preserve">e </w:t>
      </w:r>
      <w:r w:rsidR="00C66563" w:rsidRPr="005A4F9F">
        <w:rPr>
          <w:sz w:val="22"/>
          <w:szCs w:val="22"/>
          <w:lang w:val="sr-Latn-ME"/>
        </w:rPr>
        <w:t>toksoid tetanusa, koji je bio uporediv sa odgovorom primjećenim kod pacijenata liječenih samo MTX</w:t>
      </w:r>
      <w:r w:rsidR="00C66563" w:rsidRPr="005A4F9F">
        <w:rPr>
          <w:sz w:val="22"/>
          <w:szCs w:val="22"/>
          <w:lang w:val="sr-Latn-ME"/>
        </w:rPr>
        <w:noBreakHyphen/>
        <w:t>om</w:t>
      </w:r>
      <w:r w:rsidR="002C230C" w:rsidRPr="005A4F9F">
        <w:rPr>
          <w:sz w:val="22"/>
          <w:szCs w:val="22"/>
          <w:lang w:val="sr-Latn-ME"/>
        </w:rPr>
        <w:t xml:space="preserve">. </w:t>
      </w:r>
      <w:r w:rsidR="00C66563" w:rsidRPr="005A4F9F">
        <w:rPr>
          <w:sz w:val="22"/>
          <w:szCs w:val="22"/>
          <w:lang w:val="sr-Latn-ME"/>
        </w:rPr>
        <w:t xml:space="preserve">Preporučuje se da svi pacijenti, naročito oboljeli od </w:t>
      </w:r>
      <w:r w:rsidR="00237FF5" w:rsidRPr="005A4F9F">
        <w:rPr>
          <w:sz w:val="22"/>
          <w:szCs w:val="22"/>
          <w:lang w:val="sr-Latn-ME"/>
        </w:rPr>
        <w:t>p</w:t>
      </w:r>
      <w:r w:rsidR="00C66563" w:rsidRPr="005A4F9F">
        <w:rPr>
          <w:sz w:val="22"/>
          <w:szCs w:val="22"/>
          <w:lang w:val="sr-Latn-ME"/>
        </w:rPr>
        <w:t xml:space="preserve">JIA i </w:t>
      </w:r>
      <w:r w:rsidR="00237FF5" w:rsidRPr="005A4F9F">
        <w:rPr>
          <w:sz w:val="22"/>
          <w:szCs w:val="22"/>
          <w:lang w:val="sr-Latn-ME"/>
        </w:rPr>
        <w:t>s</w:t>
      </w:r>
      <w:r w:rsidR="00C66563" w:rsidRPr="005A4F9F">
        <w:rPr>
          <w:sz w:val="22"/>
          <w:szCs w:val="22"/>
          <w:lang w:val="sr-Latn-ME"/>
        </w:rPr>
        <w:t xml:space="preserve">JIA, </w:t>
      </w:r>
      <w:r w:rsidR="002C230C" w:rsidRPr="005A4F9F">
        <w:rPr>
          <w:sz w:val="22"/>
          <w:szCs w:val="22"/>
          <w:lang w:val="sr-Latn-ME"/>
        </w:rPr>
        <w:t>prime sve vakcine predviđene trenutnim smjernicama za</w:t>
      </w:r>
      <w:r w:rsidR="00C66563" w:rsidRPr="005A4F9F">
        <w:rPr>
          <w:sz w:val="22"/>
          <w:szCs w:val="22"/>
          <w:lang w:val="sr-Latn-ME"/>
        </w:rPr>
        <w:t xml:space="preserve"> imunizacij</w:t>
      </w:r>
      <w:r w:rsidR="002C230C" w:rsidRPr="005A4F9F">
        <w:rPr>
          <w:sz w:val="22"/>
          <w:szCs w:val="22"/>
          <w:lang w:val="sr-Latn-ME"/>
        </w:rPr>
        <w:t>u</w:t>
      </w:r>
      <w:r w:rsidR="00C66563" w:rsidRPr="005A4F9F">
        <w:rPr>
          <w:sz w:val="22"/>
          <w:szCs w:val="22"/>
          <w:lang w:val="sr-Latn-ME"/>
        </w:rPr>
        <w:t xml:space="preserve">, prije započinjanja terapije. Interval između vakcinacije živim vakcinama i započinjanja terapije </w:t>
      </w:r>
      <w:r w:rsidR="00237FF5" w:rsidRPr="005A4F9F">
        <w:rPr>
          <w:sz w:val="22"/>
          <w:szCs w:val="22"/>
          <w:lang w:val="sr-Latn-ME"/>
        </w:rPr>
        <w:t>tocilizumabom</w:t>
      </w:r>
      <w:r w:rsidR="00C66563" w:rsidRPr="005A4F9F">
        <w:rPr>
          <w:sz w:val="22"/>
          <w:szCs w:val="22"/>
          <w:lang w:val="sr-Latn-ME"/>
        </w:rPr>
        <w:t xml:space="preserve"> treba da bude u skladu sa važećim vodičima za vakcinaciju </w:t>
      </w:r>
      <w:r w:rsidR="002C230C" w:rsidRPr="005A4F9F">
        <w:rPr>
          <w:sz w:val="22"/>
          <w:szCs w:val="22"/>
          <w:lang w:val="sr-Latn-ME"/>
        </w:rPr>
        <w:t>koje se odnose na primjenu</w:t>
      </w:r>
      <w:r w:rsidR="00F76E4A" w:rsidRPr="005A4F9F">
        <w:rPr>
          <w:sz w:val="22"/>
          <w:szCs w:val="22"/>
          <w:lang w:val="sr-Latn-ME"/>
        </w:rPr>
        <w:t xml:space="preserve"> imunosupresivnih </w:t>
      </w:r>
      <w:r w:rsidR="002C230C" w:rsidRPr="005A4F9F">
        <w:rPr>
          <w:sz w:val="22"/>
          <w:szCs w:val="22"/>
          <w:lang w:val="sr-Latn-ME"/>
        </w:rPr>
        <w:t>ljekova</w:t>
      </w:r>
      <w:r w:rsidR="00F76E4A" w:rsidRPr="005A4F9F">
        <w:rPr>
          <w:sz w:val="22"/>
          <w:szCs w:val="22"/>
          <w:lang w:val="sr-Latn-ME"/>
        </w:rPr>
        <w:t>.</w:t>
      </w:r>
    </w:p>
    <w:p w14:paraId="535F70F2" w14:textId="77777777" w:rsidR="00C66563" w:rsidRPr="005A4F9F" w:rsidRDefault="00C66563">
      <w:pPr>
        <w:widowControl w:val="0"/>
        <w:tabs>
          <w:tab w:val="left" w:pos="284"/>
          <w:tab w:val="center" w:pos="4320"/>
          <w:tab w:val="right" w:pos="8640"/>
        </w:tabs>
        <w:jc w:val="both"/>
        <w:rPr>
          <w:sz w:val="22"/>
          <w:szCs w:val="22"/>
          <w:lang w:val="sr-Latn-ME"/>
        </w:rPr>
      </w:pPr>
    </w:p>
    <w:p w14:paraId="0F7CE788"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Kardiovaskularni rizik</w:t>
      </w:r>
    </w:p>
    <w:p w14:paraId="45CB0A4C" w14:textId="1CC4F8F4" w:rsidR="00C66563" w:rsidRPr="005A4F9F" w:rsidRDefault="00C66563">
      <w:pPr>
        <w:pStyle w:val="Header"/>
        <w:widowControl w:val="0"/>
        <w:tabs>
          <w:tab w:val="left" w:pos="284"/>
        </w:tabs>
        <w:jc w:val="both"/>
        <w:rPr>
          <w:sz w:val="22"/>
          <w:szCs w:val="22"/>
          <w:lang w:val="sr-Latn-ME"/>
        </w:rPr>
      </w:pPr>
      <w:r w:rsidRPr="005A4F9F">
        <w:rPr>
          <w:sz w:val="22"/>
          <w:szCs w:val="22"/>
          <w:lang w:val="sr-Latn-ME"/>
        </w:rPr>
        <w:t xml:space="preserve">Pacijenti sa RA imaju povećani rizik za kardiovaskularne poremećaje, i ti rizici  (npr. hipertenzija, hiperlipidemija) se </w:t>
      </w:r>
      <w:r w:rsidR="00B1573E" w:rsidRPr="005A4F9F">
        <w:rPr>
          <w:sz w:val="22"/>
          <w:szCs w:val="22"/>
          <w:lang w:val="sr-Latn-ME"/>
        </w:rPr>
        <w:t xml:space="preserve">moraju liječiti </w:t>
      </w:r>
      <w:r w:rsidRPr="005A4F9F">
        <w:rPr>
          <w:sz w:val="22"/>
          <w:szCs w:val="22"/>
          <w:lang w:val="sr-Latn-ME"/>
        </w:rPr>
        <w:t>u skladu sa standardnim principima.</w:t>
      </w:r>
    </w:p>
    <w:p w14:paraId="1956E0CD" w14:textId="77777777" w:rsidR="00C66563" w:rsidRPr="005A4F9F" w:rsidRDefault="00C66563">
      <w:pPr>
        <w:widowControl w:val="0"/>
        <w:tabs>
          <w:tab w:val="left" w:pos="284"/>
          <w:tab w:val="center" w:pos="4320"/>
          <w:tab w:val="right" w:pos="8640"/>
        </w:tabs>
        <w:jc w:val="both"/>
        <w:rPr>
          <w:sz w:val="22"/>
          <w:szCs w:val="22"/>
          <w:lang w:val="sr-Latn-ME"/>
        </w:rPr>
      </w:pPr>
    </w:p>
    <w:p w14:paraId="34FACE1F"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lastRenderedPageBreak/>
        <w:t xml:space="preserve">Kombinacija sa antagonistima TNF </w:t>
      </w:r>
    </w:p>
    <w:p w14:paraId="14C25734" w14:textId="57D99A49"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Nema iskustava sa upotrebom </w:t>
      </w:r>
      <w:r w:rsidR="001E575E" w:rsidRPr="005A4F9F">
        <w:rPr>
          <w:sz w:val="22"/>
          <w:szCs w:val="22"/>
          <w:lang w:val="sr-Latn-ME"/>
        </w:rPr>
        <w:t>tocilizumaba</w:t>
      </w:r>
      <w:r w:rsidRPr="005A4F9F">
        <w:rPr>
          <w:sz w:val="22"/>
          <w:szCs w:val="22"/>
          <w:lang w:val="sr-Latn-ME"/>
        </w:rPr>
        <w:t xml:space="preserve"> uz antagoniste TNF ili druge biološke terapije za RA, </w:t>
      </w:r>
      <w:r w:rsidR="001E575E" w:rsidRPr="005A4F9F">
        <w:rPr>
          <w:sz w:val="22"/>
          <w:szCs w:val="22"/>
          <w:lang w:val="sr-Latn-ME"/>
        </w:rPr>
        <w:t>p</w:t>
      </w:r>
      <w:r w:rsidRPr="005A4F9F">
        <w:rPr>
          <w:sz w:val="22"/>
          <w:szCs w:val="22"/>
          <w:lang w:val="sr-Latn-ME"/>
        </w:rPr>
        <w:t xml:space="preserve">JIA i </w:t>
      </w:r>
      <w:r w:rsidR="001E575E" w:rsidRPr="005A4F9F">
        <w:rPr>
          <w:sz w:val="22"/>
          <w:szCs w:val="22"/>
          <w:lang w:val="sr-Latn-ME"/>
        </w:rPr>
        <w:t>s</w:t>
      </w:r>
      <w:r w:rsidRPr="005A4F9F">
        <w:rPr>
          <w:sz w:val="22"/>
          <w:szCs w:val="22"/>
          <w:lang w:val="sr-Latn-ME"/>
        </w:rPr>
        <w:t xml:space="preserve">JIA pacijente. Ne preporučuje se </w:t>
      </w:r>
      <w:r w:rsidR="00864A34" w:rsidRPr="005A4F9F">
        <w:rPr>
          <w:sz w:val="22"/>
          <w:szCs w:val="22"/>
          <w:lang w:val="sr-Latn-ME"/>
        </w:rPr>
        <w:t xml:space="preserve">primjena </w:t>
      </w:r>
      <w:r w:rsidR="001E575E" w:rsidRPr="005A4F9F">
        <w:rPr>
          <w:sz w:val="22"/>
          <w:szCs w:val="22"/>
          <w:lang w:val="sr-Latn-ME"/>
        </w:rPr>
        <w:t xml:space="preserve">ovog </w:t>
      </w:r>
      <w:r w:rsidRPr="005A4F9F">
        <w:rPr>
          <w:sz w:val="22"/>
          <w:szCs w:val="22"/>
          <w:lang w:val="sr-Latn-ME"/>
        </w:rPr>
        <w:t xml:space="preserve">lijeka uz  druge biološke agense. </w:t>
      </w:r>
    </w:p>
    <w:p w14:paraId="7E98147E" w14:textId="77777777" w:rsidR="00C66563" w:rsidRPr="005A4F9F" w:rsidRDefault="00C66563">
      <w:pPr>
        <w:widowControl w:val="0"/>
        <w:tabs>
          <w:tab w:val="left" w:pos="284"/>
          <w:tab w:val="center" w:pos="4320"/>
          <w:tab w:val="right" w:pos="8640"/>
        </w:tabs>
        <w:jc w:val="both"/>
        <w:rPr>
          <w:sz w:val="22"/>
          <w:szCs w:val="22"/>
          <w:lang w:val="sr-Latn-ME"/>
        </w:rPr>
      </w:pPr>
    </w:p>
    <w:p w14:paraId="2B57253A" w14:textId="77777777" w:rsidR="00C66563" w:rsidRPr="005A4F9F" w:rsidRDefault="00C66563">
      <w:pPr>
        <w:widowControl w:val="0"/>
        <w:tabs>
          <w:tab w:val="left" w:pos="284"/>
          <w:tab w:val="center" w:pos="4320"/>
          <w:tab w:val="right" w:pos="8640"/>
        </w:tabs>
        <w:jc w:val="both"/>
        <w:rPr>
          <w:i/>
          <w:sz w:val="22"/>
          <w:szCs w:val="22"/>
          <w:lang w:val="sr-Latn-ME"/>
        </w:rPr>
      </w:pPr>
      <w:r w:rsidRPr="005A4F9F">
        <w:rPr>
          <w:i/>
          <w:sz w:val="22"/>
          <w:szCs w:val="22"/>
          <w:lang w:val="sr-Latn-ME"/>
        </w:rPr>
        <w:t>Natrijum</w:t>
      </w:r>
    </w:p>
    <w:p w14:paraId="1D2BA1AD" w14:textId="77777777" w:rsidR="00542633" w:rsidRPr="005A4F9F" w:rsidRDefault="001E575E" w:rsidP="008B00DE">
      <w:pPr>
        <w:widowControl w:val="0"/>
        <w:jc w:val="both"/>
        <w:rPr>
          <w:sz w:val="22"/>
          <w:szCs w:val="22"/>
          <w:lang w:val="sr-Latn-ME"/>
        </w:rPr>
      </w:pPr>
      <w:r w:rsidRPr="005A4F9F">
        <w:rPr>
          <w:sz w:val="22"/>
          <w:szCs w:val="22"/>
          <w:lang w:val="sr-Latn-ME"/>
        </w:rPr>
        <w:t>Nakon raz</w:t>
      </w:r>
      <w:r w:rsidR="00F23AEF" w:rsidRPr="005A4F9F">
        <w:rPr>
          <w:sz w:val="22"/>
          <w:szCs w:val="22"/>
          <w:lang w:val="sr-Latn-ME"/>
        </w:rPr>
        <w:t>blaživanja</w:t>
      </w:r>
      <w:r w:rsidRPr="005A4F9F">
        <w:rPr>
          <w:sz w:val="22"/>
          <w:szCs w:val="22"/>
          <w:lang w:val="sr-Latn-ME"/>
        </w:rPr>
        <w:t xml:space="preserve"> sa 0,9%-tnim rastvorom natrijum hlorida ovaj lijek sadrži 230.6 mg natrijuma u maksimalnoj dozi od 800 mg, što odgovara 11,5% maksimalnog dnevnog unosa od 2g natrijuma prema preporukama SZO za odraslu osobu.</w:t>
      </w:r>
    </w:p>
    <w:p w14:paraId="7DA4A996" w14:textId="5BF2E853" w:rsidR="001E575E" w:rsidRPr="005A4F9F" w:rsidRDefault="001E575E" w:rsidP="008B00DE">
      <w:pPr>
        <w:widowControl w:val="0"/>
        <w:jc w:val="both"/>
        <w:rPr>
          <w:i/>
          <w:sz w:val="22"/>
          <w:szCs w:val="22"/>
          <w:lang w:val="sr-Latn-ME"/>
        </w:rPr>
      </w:pPr>
      <w:r w:rsidRPr="005A4F9F">
        <w:rPr>
          <w:sz w:val="22"/>
          <w:szCs w:val="22"/>
          <w:lang w:val="sr-Latn-ME"/>
        </w:rPr>
        <w:br/>
      </w:r>
      <w:r w:rsidRPr="005A4F9F">
        <w:rPr>
          <w:i/>
          <w:sz w:val="22"/>
          <w:szCs w:val="22"/>
          <w:lang w:val="sr-Latn-ME"/>
        </w:rPr>
        <w:t>Polisorbat</w:t>
      </w:r>
    </w:p>
    <w:p w14:paraId="493BFADC" w14:textId="10C7A0C1" w:rsidR="00C66563" w:rsidRPr="005A4F9F" w:rsidRDefault="001E575E" w:rsidP="008B00DE">
      <w:pPr>
        <w:widowControl w:val="0"/>
        <w:jc w:val="both"/>
        <w:rPr>
          <w:sz w:val="22"/>
          <w:szCs w:val="22"/>
          <w:lang w:val="sr-Latn-ME"/>
        </w:rPr>
      </w:pPr>
      <w:r w:rsidRPr="005A4F9F">
        <w:rPr>
          <w:sz w:val="22"/>
          <w:szCs w:val="22"/>
          <w:lang w:val="sr-Latn-ME"/>
        </w:rPr>
        <w:t>Ovaj lijek sadrži 2 mg polisorbata 80 u jednoj bočici od 80 mg, 5 mg polisorbata 80 u jednoj bočici od 200 mg i 10 mg polisorbata 80 u jednoj bočici od 400 mg</w:t>
      </w:r>
      <w:r w:rsidR="00B1573E" w:rsidRPr="005A4F9F">
        <w:rPr>
          <w:sz w:val="22"/>
          <w:szCs w:val="22"/>
          <w:lang w:val="sr-Latn-ME"/>
        </w:rPr>
        <w:t>, što predstavlja ekvivalentnu koncentraciju od 0,5 mg/</w:t>
      </w:r>
      <w:r w:rsidR="00542633" w:rsidRPr="005A4F9F">
        <w:rPr>
          <w:sz w:val="22"/>
          <w:szCs w:val="22"/>
          <w:lang w:val="sr-Latn-ME"/>
        </w:rPr>
        <w:t>ml</w:t>
      </w:r>
      <w:r w:rsidRPr="005A4F9F">
        <w:rPr>
          <w:sz w:val="22"/>
          <w:szCs w:val="22"/>
          <w:lang w:val="sr-Latn-ME"/>
        </w:rPr>
        <w:t>. Polisorbati mogu uzrokovati alergijske reakcije. Treba uzeti u obzir poznate alergije pacijenta.</w:t>
      </w:r>
    </w:p>
    <w:p w14:paraId="1D13AD21" w14:textId="77777777" w:rsidR="00FC079C" w:rsidRPr="005A4F9F" w:rsidRDefault="00FC079C">
      <w:pPr>
        <w:widowControl w:val="0"/>
        <w:tabs>
          <w:tab w:val="left" w:pos="284"/>
          <w:tab w:val="center" w:pos="4320"/>
          <w:tab w:val="right" w:pos="8640"/>
        </w:tabs>
        <w:jc w:val="both"/>
        <w:rPr>
          <w:sz w:val="22"/>
          <w:szCs w:val="22"/>
          <w:lang w:val="sr-Latn-ME"/>
        </w:rPr>
      </w:pPr>
    </w:p>
    <w:p w14:paraId="16E59159" w14:textId="77777777" w:rsidR="00FC079C" w:rsidRPr="005A4F9F" w:rsidRDefault="00FC079C">
      <w:pPr>
        <w:widowControl w:val="0"/>
        <w:jc w:val="both"/>
        <w:rPr>
          <w:bCs/>
          <w:sz w:val="22"/>
          <w:szCs w:val="22"/>
          <w:u w:val="single"/>
          <w:lang w:val="sr-Latn-ME"/>
        </w:rPr>
      </w:pPr>
      <w:r w:rsidRPr="005A4F9F">
        <w:rPr>
          <w:bCs/>
          <w:sz w:val="22"/>
          <w:szCs w:val="22"/>
          <w:u w:val="single"/>
          <w:lang w:val="sr-Latn-ME"/>
        </w:rPr>
        <w:t>Pacijenti sa COVID-19 infekcijom</w:t>
      </w:r>
    </w:p>
    <w:p w14:paraId="0005CC51" w14:textId="77777777" w:rsidR="00FC079C" w:rsidRPr="005A4F9F" w:rsidRDefault="00FC079C">
      <w:pPr>
        <w:pStyle w:val="Standard1"/>
        <w:widowControl w:val="0"/>
        <w:jc w:val="both"/>
        <w:rPr>
          <w:szCs w:val="22"/>
          <w:lang w:val="sr-Latn-ME"/>
        </w:rPr>
      </w:pPr>
    </w:p>
    <w:p w14:paraId="797BEFC0" w14:textId="5C4A8B1D" w:rsidR="00FC079C" w:rsidRPr="005A4F9F" w:rsidRDefault="00FC079C">
      <w:pPr>
        <w:pStyle w:val="Standard1"/>
        <w:widowControl w:val="0"/>
        <w:numPr>
          <w:ilvl w:val="0"/>
          <w:numId w:val="14"/>
        </w:numPr>
        <w:jc w:val="both"/>
        <w:rPr>
          <w:szCs w:val="22"/>
          <w:lang w:val="sr-Latn-ME"/>
        </w:rPr>
      </w:pPr>
      <w:r w:rsidRPr="005A4F9F">
        <w:rPr>
          <w:szCs w:val="22"/>
          <w:lang w:val="sr-Latn-ME"/>
        </w:rPr>
        <w:t xml:space="preserve">Nije ustanovljena </w:t>
      </w:r>
      <w:r w:rsidR="00823B18" w:rsidRPr="005A4F9F">
        <w:rPr>
          <w:szCs w:val="22"/>
          <w:lang w:val="sr-Latn-ME"/>
        </w:rPr>
        <w:t xml:space="preserve">efikasnost </w:t>
      </w:r>
      <w:r w:rsidR="00B4674F" w:rsidRPr="005A4F9F">
        <w:rPr>
          <w:szCs w:val="22"/>
          <w:lang w:val="sr-Latn-ME"/>
        </w:rPr>
        <w:t xml:space="preserve">ovog </w:t>
      </w:r>
      <w:r w:rsidRPr="005A4F9F">
        <w:rPr>
          <w:szCs w:val="22"/>
          <w:lang w:val="sr-Latn-ME"/>
        </w:rPr>
        <w:t>lijeka u liječenju pacijenata sa COVID</w:t>
      </w:r>
      <w:r w:rsidRPr="005A4F9F">
        <w:rPr>
          <w:szCs w:val="22"/>
          <w:lang w:val="sr-Latn-ME"/>
        </w:rPr>
        <w:noBreakHyphen/>
        <w:t>19 infekcijom koji nemaju povišene vrednosti CRP-a, vid</w:t>
      </w:r>
      <w:r w:rsidR="00B34098" w:rsidRPr="005A4F9F">
        <w:rPr>
          <w:szCs w:val="22"/>
          <w:lang w:val="sr-Latn-ME"/>
        </w:rPr>
        <w:t>j</w:t>
      </w:r>
      <w:r w:rsidRPr="005A4F9F">
        <w:rPr>
          <w:szCs w:val="22"/>
          <w:lang w:val="sr-Latn-ME"/>
        </w:rPr>
        <w:t>eti dio 5.1.</w:t>
      </w:r>
    </w:p>
    <w:p w14:paraId="22A99F06" w14:textId="227B16D2" w:rsidR="00FC079C" w:rsidRPr="005A4F9F" w:rsidRDefault="00B4674F">
      <w:pPr>
        <w:pStyle w:val="Standard1"/>
        <w:widowControl w:val="0"/>
        <w:numPr>
          <w:ilvl w:val="0"/>
          <w:numId w:val="14"/>
        </w:numPr>
        <w:jc w:val="both"/>
        <w:rPr>
          <w:szCs w:val="22"/>
          <w:lang w:val="sr-Latn-ME"/>
        </w:rPr>
      </w:pPr>
      <w:r w:rsidRPr="005A4F9F">
        <w:rPr>
          <w:szCs w:val="22"/>
          <w:lang w:val="sr-Latn-ME"/>
        </w:rPr>
        <w:t>Ovaj lijek</w:t>
      </w:r>
      <w:r w:rsidR="00FC079C" w:rsidRPr="005A4F9F">
        <w:rPr>
          <w:szCs w:val="22"/>
          <w:lang w:val="sr-Latn-ME"/>
        </w:rPr>
        <w:t xml:space="preserve"> se ne smje primjeniti kod pacijenata sa COVID-19 infekcijom koji ne primaju sistemske kortikosteroide budući da u se ovoj podgrupi povećanje smrtnosti ne može isključiti, vid</w:t>
      </w:r>
      <w:r w:rsidR="005A4F97">
        <w:rPr>
          <w:szCs w:val="22"/>
          <w:lang w:val="sr-Latn-ME"/>
        </w:rPr>
        <w:t>j</w:t>
      </w:r>
      <w:r w:rsidR="00FC079C" w:rsidRPr="005A4F9F">
        <w:rPr>
          <w:szCs w:val="22"/>
          <w:lang w:val="sr-Latn-ME"/>
        </w:rPr>
        <w:t>eti dio 5.1.</w:t>
      </w:r>
    </w:p>
    <w:p w14:paraId="60467DC6" w14:textId="77777777" w:rsidR="00FC079C" w:rsidRPr="005A4F9F" w:rsidRDefault="00FC079C">
      <w:pPr>
        <w:pStyle w:val="Standard1"/>
        <w:widowControl w:val="0"/>
        <w:jc w:val="both"/>
        <w:rPr>
          <w:szCs w:val="22"/>
          <w:lang w:val="sr-Latn-ME"/>
        </w:rPr>
      </w:pPr>
    </w:p>
    <w:p w14:paraId="0B53F18B" w14:textId="77777777" w:rsidR="00FC079C" w:rsidRPr="005A4F9F" w:rsidRDefault="00FC079C">
      <w:pPr>
        <w:widowControl w:val="0"/>
        <w:jc w:val="both"/>
        <w:rPr>
          <w:i/>
          <w:sz w:val="22"/>
          <w:szCs w:val="22"/>
          <w:lang w:val="sr-Latn-ME"/>
        </w:rPr>
      </w:pPr>
      <w:r w:rsidRPr="005A4F9F">
        <w:rPr>
          <w:i/>
          <w:sz w:val="22"/>
          <w:szCs w:val="22"/>
          <w:lang w:val="sr-Latn-ME"/>
        </w:rPr>
        <w:t>Infekcije</w:t>
      </w:r>
    </w:p>
    <w:p w14:paraId="2E662874" w14:textId="48F8A92C" w:rsidR="00FC079C" w:rsidRPr="005A4F9F" w:rsidRDefault="00FC079C">
      <w:pPr>
        <w:widowControl w:val="0"/>
        <w:jc w:val="both"/>
        <w:rPr>
          <w:sz w:val="22"/>
          <w:szCs w:val="22"/>
          <w:lang w:val="sr-Latn-ME"/>
        </w:rPr>
      </w:pPr>
      <w:r w:rsidRPr="005A4F9F">
        <w:rPr>
          <w:sz w:val="22"/>
          <w:szCs w:val="22"/>
          <w:lang w:val="sr-Latn-ME"/>
        </w:rPr>
        <w:t>Kod pacijenata sa COVID</w:t>
      </w:r>
      <w:r w:rsidRPr="005A4F9F">
        <w:rPr>
          <w:sz w:val="22"/>
          <w:szCs w:val="22"/>
          <w:lang w:val="sr-Latn-ME"/>
        </w:rPr>
        <w:noBreakHyphen/>
        <w:t xml:space="preserve">19 infekcijom </w:t>
      </w:r>
      <w:r w:rsidR="00B4674F" w:rsidRPr="005A4F9F">
        <w:rPr>
          <w:sz w:val="22"/>
          <w:szCs w:val="22"/>
          <w:lang w:val="sr-Latn-ME"/>
        </w:rPr>
        <w:t>ovaj lijek</w:t>
      </w:r>
      <w:r w:rsidRPr="005A4F9F">
        <w:rPr>
          <w:sz w:val="22"/>
          <w:szCs w:val="22"/>
          <w:lang w:val="sr-Latn-ME"/>
        </w:rPr>
        <w:t xml:space="preserve"> se ne sm</w:t>
      </w:r>
      <w:r w:rsidR="005A4F97">
        <w:rPr>
          <w:sz w:val="22"/>
          <w:szCs w:val="22"/>
          <w:lang w:val="sr-Latn-ME"/>
        </w:rPr>
        <w:t>i</w:t>
      </w:r>
      <w:r w:rsidRPr="005A4F9F">
        <w:rPr>
          <w:sz w:val="22"/>
          <w:szCs w:val="22"/>
          <w:lang w:val="sr-Latn-ME"/>
        </w:rPr>
        <w:t>je primjeniti ako istovremeno imaju drugu tešku aktivnu infekciju. Ljekarima se savjetuje oprez prilikom razmatranja odluke o prim</w:t>
      </w:r>
      <w:r w:rsidR="00B34098" w:rsidRPr="005A4F9F">
        <w:rPr>
          <w:sz w:val="22"/>
          <w:szCs w:val="22"/>
          <w:lang w:val="sr-Latn-ME"/>
        </w:rPr>
        <w:t>j</w:t>
      </w:r>
      <w:r w:rsidRPr="005A4F9F">
        <w:rPr>
          <w:sz w:val="22"/>
          <w:szCs w:val="22"/>
          <w:lang w:val="sr-Latn-ME"/>
        </w:rPr>
        <w:t xml:space="preserve">eni </w:t>
      </w:r>
      <w:r w:rsidR="00B4674F" w:rsidRPr="005A4F9F">
        <w:rPr>
          <w:sz w:val="22"/>
          <w:szCs w:val="22"/>
          <w:lang w:val="sr-Latn-ME"/>
        </w:rPr>
        <w:t>tocilizumaba</w:t>
      </w:r>
      <w:r w:rsidRPr="005A4F9F">
        <w:rPr>
          <w:sz w:val="22"/>
          <w:szCs w:val="22"/>
          <w:lang w:val="sr-Latn-ME"/>
        </w:rPr>
        <w:t xml:space="preserve"> kod pacijenata s rekurentnim ili hroničnim infekcijama u anamnezi ili nekom drugom osnovnom bolešću (npr. divertikulitis, dijabetes i intersticijska bolest pluća) koja kod pacijenata stvara predispoziciju za infekcije.</w:t>
      </w:r>
    </w:p>
    <w:p w14:paraId="202AC482" w14:textId="77777777" w:rsidR="00FC079C" w:rsidRPr="005A4F9F" w:rsidRDefault="00FC079C">
      <w:pPr>
        <w:pStyle w:val="Standard1"/>
        <w:widowControl w:val="0"/>
        <w:jc w:val="both"/>
        <w:rPr>
          <w:szCs w:val="22"/>
          <w:highlight w:val="cyan"/>
          <w:lang w:val="sr-Latn-ME"/>
        </w:rPr>
      </w:pPr>
    </w:p>
    <w:p w14:paraId="23C164F4" w14:textId="77777777" w:rsidR="00FC079C" w:rsidRPr="005A4F9F" w:rsidRDefault="00FC079C">
      <w:pPr>
        <w:widowControl w:val="0"/>
        <w:jc w:val="both"/>
        <w:rPr>
          <w:i/>
          <w:sz w:val="22"/>
          <w:szCs w:val="22"/>
          <w:lang w:val="sr-Latn-ME"/>
        </w:rPr>
      </w:pPr>
      <w:r w:rsidRPr="005A4F9F">
        <w:rPr>
          <w:i/>
          <w:sz w:val="22"/>
          <w:szCs w:val="22"/>
          <w:lang w:val="sr-Latn-ME"/>
        </w:rPr>
        <w:t>Hepatotoksičnost</w:t>
      </w:r>
    </w:p>
    <w:p w14:paraId="4D4AA12F" w14:textId="2A56E414" w:rsidR="00FC079C" w:rsidRPr="005A4F9F" w:rsidRDefault="00FC079C">
      <w:pPr>
        <w:widowControl w:val="0"/>
        <w:jc w:val="both"/>
        <w:rPr>
          <w:sz w:val="22"/>
          <w:szCs w:val="22"/>
          <w:lang w:val="sr-Latn-ME"/>
        </w:rPr>
      </w:pPr>
      <w:r w:rsidRPr="005A4F9F">
        <w:rPr>
          <w:sz w:val="22"/>
          <w:szCs w:val="22"/>
          <w:lang w:val="sr-Latn-ME"/>
        </w:rPr>
        <w:t>Pacijenti koji su hospitalizovani zbog COVID</w:t>
      </w:r>
      <w:r w:rsidRPr="005A4F9F">
        <w:rPr>
          <w:sz w:val="22"/>
          <w:szCs w:val="22"/>
          <w:lang w:val="sr-Latn-ME"/>
        </w:rPr>
        <w:noBreakHyphen/>
        <w:t>19 infekcije mogu imati povišene vrednosti ALT</w:t>
      </w:r>
      <w:r w:rsidRPr="005A4F9F">
        <w:rPr>
          <w:sz w:val="22"/>
          <w:szCs w:val="22"/>
          <w:lang w:val="sr-Latn-ME"/>
        </w:rPr>
        <w:noBreakHyphen/>
        <w:t>a ili AST</w:t>
      </w:r>
      <w:r w:rsidRPr="005A4F9F">
        <w:rPr>
          <w:sz w:val="22"/>
          <w:szCs w:val="22"/>
          <w:lang w:val="sr-Latn-ME"/>
        </w:rPr>
        <w:noBreakHyphen/>
        <w:t>a. Multisistemsko otkazivanje organa koje uključuje jetru poznata je komplikacija teškog oblika COVID</w:t>
      </w:r>
      <w:r w:rsidRPr="005A4F9F">
        <w:rPr>
          <w:sz w:val="22"/>
          <w:szCs w:val="22"/>
          <w:lang w:val="sr-Latn-ME"/>
        </w:rPr>
        <w:noBreakHyphen/>
        <w:t>19 infekcije. Kod odluke o primjeni tocilizumaba potrebno je procjeniti moguće koristi liječenja COVID</w:t>
      </w:r>
      <w:r w:rsidRPr="005A4F9F">
        <w:rPr>
          <w:sz w:val="22"/>
          <w:szCs w:val="22"/>
          <w:lang w:val="sr-Latn-ME"/>
        </w:rPr>
        <w:noBreakHyphen/>
        <w:t>19 infekcije u odnosu na moguće rizike akutnog liječenja lijekom tocilizumab. Kod pacijenata sa COVID</w:t>
      </w:r>
      <w:r w:rsidRPr="005A4F9F">
        <w:rPr>
          <w:sz w:val="22"/>
          <w:szCs w:val="22"/>
          <w:lang w:val="sr-Latn-ME"/>
        </w:rPr>
        <w:noBreakHyphen/>
        <w:t>19 infekcijom i povišenim vrijednostima ALT</w:t>
      </w:r>
      <w:r w:rsidRPr="005A4F9F">
        <w:rPr>
          <w:sz w:val="22"/>
          <w:szCs w:val="22"/>
          <w:lang w:val="sr-Latn-ME"/>
        </w:rPr>
        <w:noBreakHyphen/>
        <w:t>a ili AST</w:t>
      </w:r>
      <w:r w:rsidRPr="005A4F9F">
        <w:rPr>
          <w:sz w:val="22"/>
          <w:szCs w:val="22"/>
          <w:lang w:val="sr-Latn-ME"/>
        </w:rPr>
        <w:noBreakHyphen/>
        <w:t xml:space="preserve">a &gt; 10 x iznad gornje granice normale liječenje </w:t>
      </w:r>
      <w:r w:rsidR="00B4674F" w:rsidRPr="005A4F9F">
        <w:rPr>
          <w:sz w:val="22"/>
          <w:szCs w:val="22"/>
          <w:lang w:val="sr-Latn-ME"/>
        </w:rPr>
        <w:t>tocilizumabom</w:t>
      </w:r>
      <w:r w:rsidRPr="005A4F9F">
        <w:rPr>
          <w:sz w:val="22"/>
          <w:szCs w:val="22"/>
          <w:lang w:val="sr-Latn-ME"/>
        </w:rPr>
        <w:t xml:space="preserve"> se ne preporučuje. Kod pacijenata sa COVID</w:t>
      </w:r>
      <w:r w:rsidRPr="005A4F9F">
        <w:rPr>
          <w:sz w:val="22"/>
          <w:szCs w:val="22"/>
          <w:lang w:val="sr-Latn-ME"/>
        </w:rPr>
        <w:noBreakHyphen/>
        <w:t>19 infekcijom potrebno je pratiti vrijednosti ALT</w:t>
      </w:r>
      <w:r w:rsidRPr="005A4F9F">
        <w:rPr>
          <w:sz w:val="22"/>
          <w:szCs w:val="22"/>
          <w:lang w:val="sr-Latn-ME"/>
        </w:rPr>
        <w:noBreakHyphen/>
        <w:t>a ili AST</w:t>
      </w:r>
      <w:r w:rsidRPr="005A4F9F">
        <w:rPr>
          <w:sz w:val="22"/>
          <w:szCs w:val="22"/>
          <w:lang w:val="sr-Latn-ME"/>
        </w:rPr>
        <w:noBreakHyphen/>
        <w:t>a u skladu s trenutnom standardnom kliničkom praksom.</w:t>
      </w:r>
    </w:p>
    <w:p w14:paraId="431658EC" w14:textId="77777777" w:rsidR="00FC079C" w:rsidRPr="005A4F9F" w:rsidRDefault="00FC079C">
      <w:pPr>
        <w:widowControl w:val="0"/>
        <w:jc w:val="both"/>
        <w:rPr>
          <w:sz w:val="22"/>
          <w:szCs w:val="22"/>
          <w:lang w:val="sr-Latn-ME"/>
        </w:rPr>
      </w:pPr>
    </w:p>
    <w:p w14:paraId="4B5E2F33" w14:textId="77777777" w:rsidR="00FC079C" w:rsidRPr="005A4F9F" w:rsidRDefault="00FC079C">
      <w:pPr>
        <w:widowControl w:val="0"/>
        <w:jc w:val="both"/>
        <w:rPr>
          <w:i/>
          <w:sz w:val="22"/>
          <w:szCs w:val="22"/>
          <w:lang w:val="sr-Latn-ME"/>
        </w:rPr>
      </w:pPr>
      <w:r w:rsidRPr="005A4F9F">
        <w:rPr>
          <w:i/>
          <w:sz w:val="22"/>
          <w:szCs w:val="22"/>
          <w:lang w:val="sr-Latn-ME"/>
        </w:rPr>
        <w:t>Hematološki poremećaji</w:t>
      </w:r>
    </w:p>
    <w:p w14:paraId="77458CB8" w14:textId="58661731" w:rsidR="00FC079C" w:rsidRPr="005A4F9F" w:rsidRDefault="00FC079C">
      <w:pPr>
        <w:widowControl w:val="0"/>
        <w:tabs>
          <w:tab w:val="left" w:pos="284"/>
          <w:tab w:val="center" w:pos="4320"/>
          <w:tab w:val="right" w:pos="8640"/>
        </w:tabs>
        <w:jc w:val="both"/>
        <w:rPr>
          <w:sz w:val="22"/>
          <w:szCs w:val="22"/>
          <w:lang w:val="sr-Latn-ME"/>
        </w:rPr>
      </w:pPr>
      <w:r w:rsidRPr="005A4F9F">
        <w:rPr>
          <w:bCs/>
          <w:sz w:val="22"/>
          <w:szCs w:val="22"/>
          <w:lang w:val="sr-Latn-ME"/>
        </w:rPr>
        <w:t>L</w:t>
      </w:r>
      <w:r w:rsidR="000868CE" w:rsidRPr="005A4F9F">
        <w:rPr>
          <w:bCs/>
          <w:sz w:val="22"/>
          <w:szCs w:val="22"/>
          <w:lang w:val="sr-Latn-ME"/>
        </w:rPr>
        <w:t>i</w:t>
      </w:r>
      <w:r w:rsidRPr="005A4F9F">
        <w:rPr>
          <w:bCs/>
          <w:sz w:val="22"/>
          <w:szCs w:val="22"/>
          <w:lang w:val="sr-Latn-ME"/>
        </w:rPr>
        <w:t xml:space="preserve">ječenje se ne preporučuje kod </w:t>
      </w:r>
      <w:r w:rsidRPr="005A4F9F">
        <w:rPr>
          <w:sz w:val="22"/>
          <w:szCs w:val="22"/>
          <w:lang w:val="sr-Latn-ME"/>
        </w:rPr>
        <w:t>pacijenata sa COVID</w:t>
      </w:r>
      <w:r w:rsidRPr="005A4F9F">
        <w:rPr>
          <w:sz w:val="22"/>
          <w:szCs w:val="22"/>
          <w:lang w:val="sr-Latn-ME"/>
        </w:rPr>
        <w:noBreakHyphen/>
        <w:t xml:space="preserve">19 infekcijom </w:t>
      </w:r>
      <w:r w:rsidRPr="005A4F9F">
        <w:rPr>
          <w:bCs/>
          <w:sz w:val="22"/>
          <w:szCs w:val="22"/>
          <w:lang w:val="sr-Latn-ME"/>
        </w:rPr>
        <w:t>koji imaju A</w:t>
      </w:r>
      <w:r w:rsidR="00B4674F" w:rsidRPr="005A4F9F">
        <w:rPr>
          <w:bCs/>
          <w:sz w:val="22"/>
          <w:szCs w:val="22"/>
          <w:lang w:val="sr-Latn-ME"/>
        </w:rPr>
        <w:t>BN</w:t>
      </w:r>
      <w:r w:rsidRPr="005A4F9F">
        <w:rPr>
          <w:bCs/>
          <w:sz w:val="22"/>
          <w:szCs w:val="22"/>
          <w:lang w:val="sr-Latn-ME"/>
        </w:rPr>
        <w:t xml:space="preserve"> </w:t>
      </w:r>
      <w:r w:rsidRPr="005A4F9F">
        <w:rPr>
          <w:sz w:val="22"/>
          <w:szCs w:val="22"/>
          <w:lang w:val="sr-Latn-ME"/>
        </w:rPr>
        <w:t>&lt; 1 x</w:t>
      </w:r>
      <w:r w:rsidRPr="005A4F9F">
        <w:rPr>
          <w:bCs/>
          <w:sz w:val="22"/>
          <w:szCs w:val="22"/>
          <w:lang w:val="sr-Latn-ME"/>
        </w:rPr>
        <w:t> 10</w:t>
      </w:r>
      <w:r w:rsidRPr="005A4F9F">
        <w:rPr>
          <w:bCs/>
          <w:sz w:val="22"/>
          <w:szCs w:val="22"/>
          <w:vertAlign w:val="superscript"/>
          <w:lang w:val="sr-Latn-ME"/>
        </w:rPr>
        <w:t>9</w:t>
      </w:r>
      <w:r w:rsidRPr="005A4F9F">
        <w:rPr>
          <w:bCs/>
          <w:sz w:val="22"/>
          <w:szCs w:val="22"/>
          <w:lang w:val="sr-Latn-ME"/>
        </w:rPr>
        <w:t xml:space="preserve">/l ili </w:t>
      </w:r>
      <w:r w:rsidRPr="005A4F9F">
        <w:rPr>
          <w:sz w:val="22"/>
          <w:szCs w:val="22"/>
          <w:lang w:val="sr-Latn-ME"/>
        </w:rPr>
        <w:t>broj trombocita &lt; 50 x 10</w:t>
      </w:r>
      <w:r w:rsidRPr="005A4F9F">
        <w:rPr>
          <w:sz w:val="22"/>
          <w:szCs w:val="22"/>
          <w:vertAlign w:val="superscript"/>
          <w:lang w:val="sr-Latn-ME"/>
        </w:rPr>
        <w:t>3</w:t>
      </w:r>
      <w:r w:rsidRPr="005A4F9F">
        <w:rPr>
          <w:sz w:val="22"/>
          <w:szCs w:val="22"/>
          <w:lang w:val="sr-Latn-ME"/>
        </w:rPr>
        <w:t>/μl</w:t>
      </w:r>
      <w:r w:rsidRPr="005A4F9F">
        <w:rPr>
          <w:bCs/>
          <w:sz w:val="22"/>
          <w:szCs w:val="22"/>
          <w:lang w:val="sr-Latn-ME"/>
        </w:rPr>
        <w:t xml:space="preserve">. </w:t>
      </w:r>
      <w:r w:rsidRPr="005A4F9F">
        <w:rPr>
          <w:sz w:val="22"/>
          <w:szCs w:val="22"/>
          <w:lang w:val="sr-Latn-ME"/>
        </w:rPr>
        <w:t xml:space="preserve">Potrebno je pratiti </w:t>
      </w:r>
      <w:r w:rsidRPr="005A4F9F">
        <w:rPr>
          <w:bCs/>
          <w:sz w:val="22"/>
          <w:szCs w:val="22"/>
          <w:lang w:val="sr-Latn-ME"/>
        </w:rPr>
        <w:t xml:space="preserve">broj neutrofila i trombocita </w:t>
      </w:r>
      <w:r w:rsidRPr="005A4F9F">
        <w:rPr>
          <w:sz w:val="22"/>
          <w:szCs w:val="22"/>
          <w:lang w:val="sr-Latn-ME"/>
        </w:rPr>
        <w:t>u skladu s trenutnom standardnom kliničkom praksom</w:t>
      </w:r>
      <w:r w:rsidRPr="005A4F9F">
        <w:rPr>
          <w:bCs/>
          <w:sz w:val="22"/>
          <w:szCs w:val="22"/>
          <w:lang w:val="sr-Latn-ME"/>
        </w:rPr>
        <w:t>, vid</w:t>
      </w:r>
      <w:r w:rsidR="005A4F97">
        <w:rPr>
          <w:bCs/>
          <w:sz w:val="22"/>
          <w:szCs w:val="22"/>
          <w:lang w:val="sr-Latn-ME"/>
        </w:rPr>
        <w:t>j</w:t>
      </w:r>
      <w:r w:rsidRPr="005A4F9F">
        <w:rPr>
          <w:bCs/>
          <w:sz w:val="22"/>
          <w:szCs w:val="22"/>
          <w:lang w:val="sr-Latn-ME"/>
        </w:rPr>
        <w:t>eti dio 4.2.</w:t>
      </w:r>
    </w:p>
    <w:p w14:paraId="0D68A5B7" w14:textId="32C6F2A6" w:rsidR="005A4F97" w:rsidRDefault="005A4F97">
      <w:pPr>
        <w:rPr>
          <w:b/>
          <w:bCs/>
          <w:sz w:val="22"/>
          <w:szCs w:val="22"/>
          <w:lang w:val="sr-Latn-ME"/>
        </w:rPr>
      </w:pPr>
    </w:p>
    <w:p w14:paraId="02AA1CA6" w14:textId="77777777" w:rsidR="00C66563" w:rsidRPr="005A4F9F" w:rsidRDefault="00057E35">
      <w:pPr>
        <w:widowControl w:val="0"/>
        <w:tabs>
          <w:tab w:val="left" w:pos="540"/>
          <w:tab w:val="left" w:pos="569"/>
        </w:tabs>
        <w:jc w:val="both"/>
        <w:rPr>
          <w:sz w:val="22"/>
          <w:szCs w:val="22"/>
          <w:u w:val="single"/>
          <w:lang w:val="sr-Latn-ME"/>
        </w:rPr>
      </w:pPr>
      <w:r w:rsidRPr="005A4F9F">
        <w:rPr>
          <w:sz w:val="22"/>
          <w:szCs w:val="22"/>
          <w:u w:val="single"/>
          <w:lang w:val="sr-Latn-ME"/>
        </w:rPr>
        <w:t>Pedijatrijska populacija</w:t>
      </w:r>
    </w:p>
    <w:p w14:paraId="5319C480" w14:textId="77777777" w:rsidR="00C66563" w:rsidRPr="005A4F9F" w:rsidRDefault="00C66563">
      <w:pPr>
        <w:widowControl w:val="0"/>
        <w:tabs>
          <w:tab w:val="left" w:pos="284"/>
          <w:tab w:val="center" w:pos="4320"/>
          <w:tab w:val="right" w:pos="8640"/>
        </w:tabs>
        <w:jc w:val="both"/>
        <w:rPr>
          <w:sz w:val="22"/>
          <w:szCs w:val="22"/>
          <w:lang w:val="sr-Latn-ME"/>
        </w:rPr>
      </w:pPr>
    </w:p>
    <w:p w14:paraId="1E94452F" w14:textId="77777777" w:rsidR="00C66563" w:rsidRPr="005A4F9F" w:rsidRDefault="000868CE">
      <w:pPr>
        <w:widowControl w:val="0"/>
        <w:tabs>
          <w:tab w:val="left" w:pos="284"/>
          <w:tab w:val="center" w:pos="4320"/>
          <w:tab w:val="right" w:pos="8640"/>
        </w:tabs>
        <w:jc w:val="both"/>
        <w:rPr>
          <w:i/>
          <w:sz w:val="22"/>
          <w:szCs w:val="22"/>
          <w:lang w:val="sr-Latn-ME"/>
        </w:rPr>
      </w:pPr>
      <w:r w:rsidRPr="005A4F9F">
        <w:rPr>
          <w:i/>
          <w:sz w:val="22"/>
          <w:szCs w:val="22"/>
          <w:lang w:val="sr-Latn-ME"/>
        </w:rPr>
        <w:t xml:space="preserve">Pacijenti sa </w:t>
      </w:r>
      <w:r w:rsidR="00C66563" w:rsidRPr="005A4F9F">
        <w:rPr>
          <w:i/>
          <w:sz w:val="22"/>
          <w:szCs w:val="22"/>
          <w:lang w:val="sr-Latn-ME"/>
        </w:rPr>
        <w:t xml:space="preserve">sJIA </w:t>
      </w:r>
    </w:p>
    <w:p w14:paraId="392EEF05" w14:textId="6A9120C4" w:rsidR="00057E35" w:rsidRPr="005A4F9F" w:rsidRDefault="00C66563">
      <w:pPr>
        <w:widowControl w:val="0"/>
        <w:jc w:val="both"/>
        <w:rPr>
          <w:sz w:val="22"/>
          <w:szCs w:val="22"/>
          <w:lang w:val="sr-Latn-ME"/>
        </w:rPr>
      </w:pPr>
      <w:r w:rsidRPr="005A4F9F">
        <w:rPr>
          <w:sz w:val="22"/>
          <w:szCs w:val="22"/>
          <w:lang w:val="sr-Latn-ME"/>
        </w:rPr>
        <w:t>Sindrom aktivacije makrofaga (</w:t>
      </w:r>
      <w:r w:rsidR="000868CE" w:rsidRPr="005A4F9F">
        <w:rPr>
          <w:sz w:val="22"/>
          <w:szCs w:val="22"/>
          <w:lang w:val="sr-Latn-ME"/>
        </w:rPr>
        <w:t xml:space="preserve">engl. </w:t>
      </w:r>
      <w:r w:rsidR="000868CE" w:rsidRPr="005A4F9F">
        <w:rPr>
          <w:i/>
          <w:sz w:val="22"/>
          <w:szCs w:val="22"/>
          <w:lang w:val="sr-Latn-ME"/>
        </w:rPr>
        <w:t>Macrophage-activation syndrome</w:t>
      </w:r>
      <w:r w:rsidR="000868CE" w:rsidRPr="005A4F9F">
        <w:rPr>
          <w:sz w:val="22"/>
          <w:szCs w:val="22"/>
          <w:lang w:val="sr-Latn-ME"/>
        </w:rPr>
        <w:t xml:space="preserve">, </w:t>
      </w:r>
      <w:r w:rsidRPr="005A4F9F">
        <w:rPr>
          <w:sz w:val="22"/>
          <w:szCs w:val="22"/>
          <w:lang w:val="sr-Latn-ME"/>
        </w:rPr>
        <w:t>MAS) je ozbiljan</w:t>
      </w:r>
      <w:r w:rsidR="000868CE" w:rsidRPr="005A4F9F">
        <w:rPr>
          <w:sz w:val="22"/>
          <w:szCs w:val="22"/>
          <w:lang w:val="sr-Latn-ME"/>
        </w:rPr>
        <w:t xml:space="preserve"> </w:t>
      </w:r>
      <w:r w:rsidRPr="005A4F9F">
        <w:rPr>
          <w:sz w:val="22"/>
          <w:szCs w:val="22"/>
          <w:lang w:val="sr-Latn-ME"/>
        </w:rPr>
        <w:t>poremećaj koji ugrožava život, a koji se može razviti kod oboljelih od sJIA. U kliničkim studijama, tocilizumab nije ispitivan kod pacijenata tokom epizode aktivnog MAS</w:t>
      </w:r>
      <w:r w:rsidR="00B4674F" w:rsidRPr="005A4F9F">
        <w:rPr>
          <w:sz w:val="22"/>
          <w:szCs w:val="22"/>
          <w:lang w:val="sr-Latn-ME"/>
        </w:rPr>
        <w:t>-a</w:t>
      </w:r>
      <w:r w:rsidRPr="005A4F9F">
        <w:rPr>
          <w:sz w:val="22"/>
          <w:szCs w:val="22"/>
          <w:lang w:val="sr-Latn-ME"/>
        </w:rPr>
        <w:t>.</w:t>
      </w:r>
    </w:p>
    <w:p w14:paraId="58946F94" w14:textId="77777777" w:rsidR="00D62AD2" w:rsidRPr="005A4F9F" w:rsidRDefault="00D62AD2">
      <w:pPr>
        <w:widowControl w:val="0"/>
        <w:jc w:val="both"/>
        <w:rPr>
          <w:sz w:val="22"/>
          <w:szCs w:val="22"/>
          <w:lang w:val="sr-Latn-ME"/>
        </w:rPr>
      </w:pPr>
    </w:p>
    <w:p w14:paraId="518955A9" w14:textId="77777777" w:rsidR="00411B4B" w:rsidRPr="005A4F9F" w:rsidRDefault="00411B4B">
      <w:pPr>
        <w:widowControl w:val="0"/>
        <w:tabs>
          <w:tab w:val="left" w:pos="540"/>
          <w:tab w:val="left" w:pos="569"/>
        </w:tabs>
        <w:jc w:val="both"/>
        <w:rPr>
          <w:b/>
          <w:bCs/>
          <w:sz w:val="22"/>
          <w:szCs w:val="22"/>
          <w:lang w:val="sr-Latn-ME"/>
        </w:rPr>
      </w:pPr>
      <w:r w:rsidRPr="005A4F9F">
        <w:rPr>
          <w:b/>
          <w:bCs/>
          <w:sz w:val="22"/>
          <w:szCs w:val="22"/>
          <w:lang w:val="sr-Latn-ME"/>
        </w:rPr>
        <w:t>4.5.</w:t>
      </w:r>
      <w:r w:rsidR="000D60CC" w:rsidRPr="005A4F9F">
        <w:rPr>
          <w:b/>
          <w:bCs/>
          <w:sz w:val="22"/>
          <w:szCs w:val="22"/>
          <w:lang w:val="sr-Latn-ME"/>
        </w:rPr>
        <w:tab/>
      </w:r>
      <w:r w:rsidRPr="005A4F9F">
        <w:rPr>
          <w:b/>
          <w:bCs/>
          <w:sz w:val="22"/>
          <w:szCs w:val="22"/>
          <w:lang w:val="sr-Latn-ME"/>
        </w:rPr>
        <w:t>Interakcije sa drugim ljekovima i druge vrste interakcija</w:t>
      </w:r>
    </w:p>
    <w:p w14:paraId="1CA80685" w14:textId="77777777" w:rsidR="0072020E" w:rsidRPr="005A4F9F" w:rsidRDefault="0072020E">
      <w:pPr>
        <w:widowControl w:val="0"/>
        <w:tabs>
          <w:tab w:val="left" w:pos="540"/>
          <w:tab w:val="left" w:pos="569"/>
        </w:tabs>
        <w:jc w:val="both"/>
        <w:rPr>
          <w:bCs/>
          <w:sz w:val="22"/>
          <w:szCs w:val="22"/>
          <w:lang w:val="sr-Latn-ME"/>
        </w:rPr>
      </w:pPr>
    </w:p>
    <w:p w14:paraId="750ED2C9" w14:textId="77777777" w:rsidR="00C66563" w:rsidRPr="008B00DE" w:rsidRDefault="00C66563">
      <w:pPr>
        <w:pStyle w:val="Header"/>
        <w:widowControl w:val="0"/>
        <w:tabs>
          <w:tab w:val="left" w:pos="284"/>
        </w:tabs>
        <w:jc w:val="both"/>
        <w:rPr>
          <w:sz w:val="22"/>
          <w:szCs w:val="22"/>
          <w:lang w:val="sr-Latn-ME"/>
        </w:rPr>
      </w:pPr>
      <w:r w:rsidRPr="005A4F9F">
        <w:rPr>
          <w:sz w:val="22"/>
          <w:szCs w:val="22"/>
          <w:lang w:val="sr-Latn-ME"/>
        </w:rPr>
        <w:t>Interakcijska ispitivanja su samo rađena kod odraslih osoba.</w:t>
      </w:r>
    </w:p>
    <w:p w14:paraId="54B96B3E" w14:textId="62A4534B"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Istovremeno davanje pojedinačne doze od 10 mg/kg tocilizumaba sa 10-25 mg MTX</w:t>
      </w:r>
      <w:r w:rsidR="00CE0C85" w:rsidRPr="005A4F9F">
        <w:rPr>
          <w:sz w:val="22"/>
          <w:szCs w:val="22"/>
          <w:lang w:val="sr-Latn-ME"/>
        </w:rPr>
        <w:t>-a</w:t>
      </w:r>
      <w:r w:rsidRPr="005A4F9F">
        <w:rPr>
          <w:sz w:val="22"/>
          <w:szCs w:val="22"/>
          <w:lang w:val="sr-Latn-ME"/>
        </w:rPr>
        <w:t xml:space="preserve"> jednom ned</w:t>
      </w:r>
      <w:r w:rsidR="00E43D78" w:rsidRPr="005A4F9F">
        <w:rPr>
          <w:sz w:val="22"/>
          <w:szCs w:val="22"/>
          <w:lang w:val="sr-Latn-ME"/>
        </w:rPr>
        <w:t>j</w:t>
      </w:r>
      <w:r w:rsidRPr="005A4F9F">
        <w:rPr>
          <w:sz w:val="22"/>
          <w:szCs w:val="22"/>
          <w:lang w:val="sr-Latn-ME"/>
        </w:rPr>
        <w:t>eljno nema klinički značajnog dejstva na izlaganje MTX</w:t>
      </w:r>
      <w:r w:rsidR="00CE0C85" w:rsidRPr="005A4F9F">
        <w:rPr>
          <w:sz w:val="22"/>
          <w:szCs w:val="22"/>
          <w:lang w:val="sr-Latn-ME"/>
        </w:rPr>
        <w:t>-u</w:t>
      </w:r>
      <w:r w:rsidRPr="005A4F9F">
        <w:rPr>
          <w:sz w:val="22"/>
          <w:szCs w:val="22"/>
          <w:lang w:val="sr-Latn-ME"/>
        </w:rPr>
        <w:t>.</w:t>
      </w:r>
    </w:p>
    <w:p w14:paraId="68541E09" w14:textId="2A5FAC9B"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Analize populacione farmakokinetike</w:t>
      </w:r>
      <w:r w:rsidR="00E43D78" w:rsidRPr="005A4F9F">
        <w:rPr>
          <w:sz w:val="22"/>
          <w:szCs w:val="22"/>
          <w:lang w:val="sr-Latn-ME"/>
        </w:rPr>
        <w:t xml:space="preserve"> </w:t>
      </w:r>
      <w:r w:rsidRPr="005A4F9F">
        <w:rPr>
          <w:sz w:val="22"/>
          <w:szCs w:val="22"/>
          <w:lang w:val="sr-Latn-ME"/>
        </w:rPr>
        <w:t>ni</w:t>
      </w:r>
      <w:r w:rsidR="00E43D78" w:rsidRPr="005A4F9F">
        <w:rPr>
          <w:sz w:val="22"/>
          <w:szCs w:val="22"/>
          <w:lang w:val="sr-Latn-ME"/>
        </w:rPr>
        <w:t>je</w:t>
      </w:r>
      <w:r w:rsidRPr="005A4F9F">
        <w:rPr>
          <w:sz w:val="22"/>
          <w:szCs w:val="22"/>
          <w:lang w:val="sr-Latn-ME"/>
        </w:rPr>
        <w:t>su otkrile nikakvo dejstvo MTX</w:t>
      </w:r>
      <w:r w:rsidR="00CE0C85" w:rsidRPr="005A4F9F">
        <w:rPr>
          <w:sz w:val="22"/>
          <w:szCs w:val="22"/>
          <w:lang w:val="sr-Latn-ME"/>
        </w:rPr>
        <w:t>-a</w:t>
      </w:r>
      <w:r w:rsidRPr="005A4F9F">
        <w:rPr>
          <w:sz w:val="22"/>
          <w:szCs w:val="22"/>
          <w:lang w:val="sr-Latn-ME"/>
        </w:rPr>
        <w:t>, NSAIL</w:t>
      </w:r>
      <w:r w:rsidR="005B212D" w:rsidRPr="005A4F9F">
        <w:rPr>
          <w:sz w:val="22"/>
          <w:szCs w:val="22"/>
          <w:lang w:val="sr-Latn-ME"/>
        </w:rPr>
        <w:t>-a</w:t>
      </w:r>
      <w:r w:rsidRPr="005A4F9F">
        <w:rPr>
          <w:sz w:val="22"/>
          <w:szCs w:val="22"/>
          <w:lang w:val="sr-Latn-ME"/>
        </w:rPr>
        <w:t xml:space="preserve"> ili kortikosteroida na klirens tocilizumaba.</w:t>
      </w:r>
    </w:p>
    <w:p w14:paraId="7E112A6A" w14:textId="77777777" w:rsidR="00C66563" w:rsidRPr="005A4F9F" w:rsidRDefault="00C66563">
      <w:pPr>
        <w:widowControl w:val="0"/>
        <w:tabs>
          <w:tab w:val="left" w:pos="284"/>
          <w:tab w:val="center" w:pos="4320"/>
          <w:tab w:val="right" w:pos="8640"/>
        </w:tabs>
        <w:jc w:val="both"/>
        <w:rPr>
          <w:sz w:val="22"/>
          <w:szCs w:val="22"/>
          <w:lang w:val="sr-Latn-ME"/>
        </w:rPr>
      </w:pPr>
    </w:p>
    <w:p w14:paraId="73951AF7"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Citokini, kao što je IL</w:t>
      </w:r>
      <w:r w:rsidRPr="005A4F9F">
        <w:rPr>
          <w:sz w:val="22"/>
          <w:szCs w:val="22"/>
          <w:lang w:val="sr-Latn-ME"/>
        </w:rPr>
        <w:noBreakHyphen/>
        <w:t>6 koji stimulišu hroničnu inflamaciju, suprimiraju ekspresiju hepatičkih CYP450 enzima. Prema tome, terapija koja snažno inhibira citokine, kao što je  tocilizumab, može da pojača ekspresiju CYP450.</w:t>
      </w:r>
    </w:p>
    <w:p w14:paraId="3A387CAD" w14:textId="77777777" w:rsidR="00C66563" w:rsidRPr="005A4F9F" w:rsidRDefault="00C66563">
      <w:pPr>
        <w:widowControl w:val="0"/>
        <w:tabs>
          <w:tab w:val="left" w:pos="284"/>
          <w:tab w:val="center" w:pos="4320"/>
          <w:tab w:val="right" w:pos="8640"/>
        </w:tabs>
        <w:jc w:val="both"/>
        <w:rPr>
          <w:sz w:val="22"/>
          <w:szCs w:val="22"/>
          <w:lang w:val="sr-Latn-ME"/>
        </w:rPr>
      </w:pPr>
    </w:p>
    <w:p w14:paraId="2413D7EF" w14:textId="77777777" w:rsidR="00C66563" w:rsidRPr="005A4F9F" w:rsidRDefault="00C66563">
      <w:pPr>
        <w:widowControl w:val="0"/>
        <w:tabs>
          <w:tab w:val="left" w:pos="284"/>
          <w:tab w:val="center" w:pos="4320"/>
          <w:tab w:val="right" w:pos="8640"/>
        </w:tabs>
        <w:jc w:val="both"/>
        <w:rPr>
          <w:sz w:val="22"/>
          <w:szCs w:val="22"/>
          <w:lang w:val="sr-Latn-ME"/>
        </w:rPr>
      </w:pPr>
      <w:r w:rsidRPr="005A4F9F">
        <w:rPr>
          <w:i/>
          <w:iCs/>
          <w:sz w:val="22"/>
          <w:szCs w:val="22"/>
          <w:lang w:val="sr-Latn-ME"/>
        </w:rPr>
        <w:t>In vitro</w:t>
      </w:r>
      <w:r w:rsidRPr="005A4F9F">
        <w:rPr>
          <w:sz w:val="22"/>
          <w:szCs w:val="22"/>
          <w:lang w:val="sr-Latn-ME"/>
        </w:rPr>
        <w:t xml:space="preserve"> ispitivanja humanih hepatocita pokazala su da IL-6 dovodi do smanjenja ekspresije enzima CYP1A2, CYP2C9, CYP2C19 i CYP3A4. Tocilizumab normalizuje ekspresiju ovih enzima.</w:t>
      </w:r>
    </w:p>
    <w:p w14:paraId="284FB28F" w14:textId="77777777" w:rsidR="00C66563" w:rsidRPr="005A4F9F" w:rsidRDefault="00C66563">
      <w:pPr>
        <w:widowControl w:val="0"/>
        <w:tabs>
          <w:tab w:val="left" w:pos="284"/>
          <w:tab w:val="center" w:pos="4320"/>
          <w:tab w:val="right" w:pos="8640"/>
        </w:tabs>
        <w:jc w:val="both"/>
        <w:rPr>
          <w:sz w:val="22"/>
          <w:szCs w:val="22"/>
          <w:lang w:val="sr-Latn-ME"/>
        </w:rPr>
      </w:pPr>
    </w:p>
    <w:p w14:paraId="1481DD69" w14:textId="77777777" w:rsidR="00C66563" w:rsidRPr="005A4F9F" w:rsidRDefault="00C66563">
      <w:pPr>
        <w:widowControl w:val="0"/>
        <w:jc w:val="both"/>
        <w:rPr>
          <w:sz w:val="22"/>
          <w:szCs w:val="22"/>
          <w:lang w:val="sr-Latn-ME"/>
        </w:rPr>
      </w:pPr>
      <w:r w:rsidRPr="005A4F9F">
        <w:rPr>
          <w:sz w:val="22"/>
          <w:szCs w:val="22"/>
          <w:lang w:val="sr-Latn-ME"/>
        </w:rPr>
        <w:t>U ispitivanju pacijenata sa RA, ned</w:t>
      </w:r>
      <w:r w:rsidR="00E43D78" w:rsidRPr="005A4F9F">
        <w:rPr>
          <w:sz w:val="22"/>
          <w:szCs w:val="22"/>
          <w:lang w:val="sr-Latn-ME"/>
        </w:rPr>
        <w:t>j</w:t>
      </w:r>
      <w:r w:rsidRPr="005A4F9F">
        <w:rPr>
          <w:sz w:val="22"/>
          <w:szCs w:val="22"/>
          <w:lang w:val="sr-Latn-ME"/>
        </w:rPr>
        <w:t>elju dana nakon primjene jedne doze tocilizumaba nivoi simvastatina (CYP3A4) bili su sniženi za 57% i dostigli su nivo sličan ili malo viši  od onog zapaženog kod zdravih ispitanika.</w:t>
      </w:r>
    </w:p>
    <w:p w14:paraId="5517C73B" w14:textId="77777777" w:rsidR="00C66563" w:rsidRPr="005A4F9F" w:rsidRDefault="00C66563">
      <w:pPr>
        <w:widowControl w:val="0"/>
        <w:tabs>
          <w:tab w:val="left" w:pos="284"/>
          <w:tab w:val="center" w:pos="4320"/>
          <w:tab w:val="right" w:pos="8640"/>
        </w:tabs>
        <w:jc w:val="both"/>
        <w:rPr>
          <w:sz w:val="22"/>
          <w:szCs w:val="22"/>
          <w:lang w:val="sr-Latn-ME"/>
        </w:rPr>
      </w:pPr>
    </w:p>
    <w:p w14:paraId="0C430438" w14:textId="336D732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Kada se započinje ili prekida terapija tocilizumabom, pacijenti koji uzimaju ljekove koji se individualno podešavaju i metabolišu putem CYP450, CYP3A4, CYP1A2 ili CYP2C9</w:t>
      </w:r>
      <w:r w:rsidR="00D62714" w:rsidRPr="005A4F9F">
        <w:rPr>
          <w:sz w:val="22"/>
          <w:szCs w:val="22"/>
          <w:lang w:val="sr-Latn-ME"/>
        </w:rPr>
        <w:t xml:space="preserve"> (npr.</w:t>
      </w:r>
      <w:r w:rsidR="00D62714" w:rsidRPr="005A4F9F">
        <w:rPr>
          <w:sz w:val="22"/>
          <w:szCs w:val="22"/>
          <w:lang w:val="sr-Latn-ME"/>
        </w:rPr>
        <w:br/>
        <w:t>metilprednizolon, deksametazon (</w:t>
      </w:r>
      <w:r w:rsidR="00AD5D5C" w:rsidRPr="005A4F9F">
        <w:rPr>
          <w:sz w:val="22"/>
          <w:szCs w:val="22"/>
          <w:lang w:val="sr-Latn-ME"/>
        </w:rPr>
        <w:t xml:space="preserve">uz </w:t>
      </w:r>
      <w:r w:rsidR="00D62714" w:rsidRPr="005A4F9F">
        <w:rPr>
          <w:sz w:val="22"/>
          <w:szCs w:val="22"/>
          <w:lang w:val="sr-Latn-ME"/>
        </w:rPr>
        <w:t xml:space="preserve">mogućnost </w:t>
      </w:r>
      <w:r w:rsidR="00AD5D5C" w:rsidRPr="005A4F9F">
        <w:rPr>
          <w:sz w:val="22"/>
          <w:szCs w:val="22"/>
          <w:lang w:val="sr-Latn-ME"/>
        </w:rPr>
        <w:t>pojave</w:t>
      </w:r>
      <w:r w:rsidR="00D62714" w:rsidRPr="005A4F9F">
        <w:rPr>
          <w:sz w:val="22"/>
          <w:szCs w:val="22"/>
          <w:lang w:val="sr-Latn-ME"/>
        </w:rPr>
        <w:t xml:space="preserve"> </w:t>
      </w:r>
      <w:r w:rsidR="00AD5D5C" w:rsidRPr="005A4F9F">
        <w:rPr>
          <w:sz w:val="22"/>
          <w:szCs w:val="22"/>
          <w:lang w:val="sr-Latn-ME"/>
        </w:rPr>
        <w:t>,,sindroma obustave”</w:t>
      </w:r>
      <w:r w:rsidR="00D62714" w:rsidRPr="005A4F9F">
        <w:rPr>
          <w:sz w:val="22"/>
          <w:szCs w:val="22"/>
          <w:lang w:val="sr-Latn-ME"/>
        </w:rPr>
        <w:t xml:space="preserve"> </w:t>
      </w:r>
      <w:r w:rsidR="00AD5D5C" w:rsidRPr="005A4F9F">
        <w:rPr>
          <w:sz w:val="22"/>
          <w:szCs w:val="22"/>
          <w:lang w:val="sr-Latn-ME"/>
        </w:rPr>
        <w:t>nakon prekida terapije oralnim glukokortikoidima</w:t>
      </w:r>
      <w:r w:rsidR="00D62714" w:rsidRPr="005A4F9F">
        <w:rPr>
          <w:sz w:val="22"/>
          <w:szCs w:val="22"/>
          <w:lang w:val="sr-Latn-ME"/>
        </w:rPr>
        <w:t xml:space="preserve">), </w:t>
      </w:r>
      <w:r w:rsidRPr="005A4F9F">
        <w:rPr>
          <w:sz w:val="22"/>
          <w:szCs w:val="22"/>
          <w:lang w:val="sr-Latn-ME"/>
        </w:rPr>
        <w:t xml:space="preserve">atorvastatin, blokatori kalcijumskih kanala, teofilin, varfarin, fenprokumon, fenitoin, ciklosporin, ili benzodiazepini </w:t>
      </w:r>
      <w:r w:rsidR="00B4674F" w:rsidRPr="005A4F9F">
        <w:rPr>
          <w:sz w:val="22"/>
          <w:szCs w:val="22"/>
          <w:lang w:val="sr-Latn-ME"/>
        </w:rPr>
        <w:t>moraju</w:t>
      </w:r>
      <w:r w:rsidRPr="005A4F9F">
        <w:rPr>
          <w:sz w:val="22"/>
          <w:szCs w:val="22"/>
          <w:lang w:val="sr-Latn-ME"/>
        </w:rPr>
        <w:t xml:space="preserve"> da budu pažljivo kontrolisani jer je moguće da doze treba povećati da se održi terapijsko dejstvo. Zbog njegovog dugog polu</w:t>
      </w:r>
      <w:r w:rsidR="00D62714" w:rsidRPr="005A4F9F">
        <w:rPr>
          <w:sz w:val="22"/>
          <w:szCs w:val="22"/>
          <w:lang w:val="sr-Latn-ME"/>
        </w:rPr>
        <w:t>vremena</w:t>
      </w:r>
      <w:r w:rsidRPr="005A4F9F">
        <w:rPr>
          <w:sz w:val="22"/>
          <w:szCs w:val="22"/>
          <w:lang w:val="sr-Latn-ME"/>
        </w:rPr>
        <w:t xml:space="preserve"> eliminacije </w:t>
      </w:r>
      <w:r w:rsidRPr="005A4F9F">
        <w:rPr>
          <w:iCs/>
          <w:sz w:val="22"/>
          <w:szCs w:val="22"/>
          <w:lang w:val="sr-Latn-ME"/>
        </w:rPr>
        <w:t>(t</w:t>
      </w:r>
      <w:r w:rsidRPr="005A4F9F">
        <w:rPr>
          <w:iCs/>
          <w:sz w:val="22"/>
          <w:szCs w:val="22"/>
          <w:vertAlign w:val="subscript"/>
          <w:lang w:val="sr-Latn-ME"/>
        </w:rPr>
        <w:t>1/2</w:t>
      </w:r>
      <w:r w:rsidRPr="005A4F9F">
        <w:rPr>
          <w:iCs/>
          <w:sz w:val="22"/>
          <w:szCs w:val="22"/>
          <w:lang w:val="sr-Latn-ME"/>
        </w:rPr>
        <w:t>)</w:t>
      </w:r>
      <w:r w:rsidRPr="005A4F9F">
        <w:rPr>
          <w:sz w:val="22"/>
          <w:szCs w:val="22"/>
          <w:lang w:val="sr-Latn-ME"/>
        </w:rPr>
        <w:t>, dejstvo tocilizumaba na aktivnost enzima CYP450 može da se produži i nekoliko ned</w:t>
      </w:r>
      <w:r w:rsidR="00D62714" w:rsidRPr="005A4F9F">
        <w:rPr>
          <w:sz w:val="22"/>
          <w:szCs w:val="22"/>
          <w:lang w:val="sr-Latn-ME"/>
        </w:rPr>
        <w:t>j</w:t>
      </w:r>
      <w:r w:rsidR="00F76E4A" w:rsidRPr="005A4F9F">
        <w:rPr>
          <w:sz w:val="22"/>
          <w:szCs w:val="22"/>
          <w:lang w:val="sr-Latn-ME"/>
        </w:rPr>
        <w:t>elja po obustavljanju terapije.</w:t>
      </w:r>
    </w:p>
    <w:p w14:paraId="02058D66" w14:textId="77777777" w:rsidR="00C66563" w:rsidRPr="005A4F9F" w:rsidRDefault="00C66563">
      <w:pPr>
        <w:widowControl w:val="0"/>
        <w:tabs>
          <w:tab w:val="left" w:pos="540"/>
          <w:tab w:val="left" w:pos="569"/>
        </w:tabs>
        <w:jc w:val="both"/>
        <w:rPr>
          <w:bCs/>
          <w:sz w:val="22"/>
          <w:szCs w:val="22"/>
          <w:lang w:val="sr-Latn-ME"/>
        </w:rPr>
      </w:pPr>
    </w:p>
    <w:p w14:paraId="2A0E263F" w14:textId="77777777" w:rsidR="0072020E" w:rsidRPr="005A4F9F" w:rsidRDefault="0072020E">
      <w:pPr>
        <w:widowControl w:val="0"/>
        <w:tabs>
          <w:tab w:val="left" w:pos="540"/>
          <w:tab w:val="left" w:pos="569"/>
        </w:tabs>
        <w:jc w:val="both"/>
        <w:rPr>
          <w:b/>
          <w:sz w:val="22"/>
          <w:szCs w:val="22"/>
          <w:lang w:val="sr-Latn-ME"/>
        </w:rPr>
      </w:pPr>
      <w:r w:rsidRPr="005A4F9F">
        <w:rPr>
          <w:b/>
          <w:bCs/>
          <w:sz w:val="22"/>
          <w:szCs w:val="22"/>
          <w:lang w:val="sr-Latn-ME"/>
        </w:rPr>
        <w:t xml:space="preserve">4.6. </w:t>
      </w:r>
      <w:r w:rsidR="00480FB1" w:rsidRPr="005A4F9F">
        <w:rPr>
          <w:b/>
          <w:bCs/>
          <w:sz w:val="22"/>
          <w:szCs w:val="22"/>
          <w:lang w:val="sr-Latn-ME"/>
        </w:rPr>
        <w:tab/>
      </w:r>
      <w:r w:rsidR="006D20A5" w:rsidRPr="005A4F9F">
        <w:rPr>
          <w:b/>
          <w:sz w:val="22"/>
          <w:szCs w:val="22"/>
          <w:lang w:val="sr-Latn-ME"/>
        </w:rPr>
        <w:t>Plodnost, trudnoća i dojenje</w:t>
      </w:r>
    </w:p>
    <w:p w14:paraId="7BDE0E76" w14:textId="77777777" w:rsidR="00C66563" w:rsidRPr="005A4F9F" w:rsidRDefault="00C66563">
      <w:pPr>
        <w:widowControl w:val="0"/>
        <w:tabs>
          <w:tab w:val="left" w:pos="540"/>
          <w:tab w:val="left" w:pos="569"/>
        </w:tabs>
        <w:jc w:val="both"/>
        <w:rPr>
          <w:b/>
          <w:sz w:val="22"/>
          <w:szCs w:val="22"/>
          <w:lang w:val="sr-Latn-ME"/>
        </w:rPr>
      </w:pPr>
    </w:p>
    <w:p w14:paraId="10DDB1F7" w14:textId="77777777" w:rsidR="00C66563" w:rsidRPr="005A4F9F" w:rsidRDefault="00C665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Žene u reproduktivnom periodu</w:t>
      </w:r>
    </w:p>
    <w:p w14:paraId="60B5E94C" w14:textId="5A353D81" w:rsidR="00C66563" w:rsidRPr="008B00DE" w:rsidRDefault="00C66563" w:rsidP="008B00DE">
      <w:pPr>
        <w:widowControl w:val="0"/>
        <w:tabs>
          <w:tab w:val="left" w:pos="284"/>
          <w:tab w:val="center" w:pos="4320"/>
          <w:tab w:val="right" w:pos="8640"/>
        </w:tabs>
        <w:jc w:val="both"/>
        <w:rPr>
          <w:sz w:val="22"/>
          <w:szCs w:val="22"/>
          <w:lang w:val="sr-Latn-ME"/>
        </w:rPr>
      </w:pPr>
      <w:r w:rsidRPr="005A4F9F">
        <w:rPr>
          <w:sz w:val="22"/>
          <w:szCs w:val="22"/>
          <w:lang w:val="sr-Latn-ME"/>
        </w:rPr>
        <w:t>Žene u reproduktivnom periodu moraju da koriste djelotvorna sredstva za zaštitu od trudnoće tokom liječenja i do 3 mjeseca po prestanku liječenja.</w:t>
      </w:r>
    </w:p>
    <w:p w14:paraId="3DC3F987" w14:textId="77777777" w:rsidR="002031B3" w:rsidRPr="005A4F9F" w:rsidRDefault="002031B3">
      <w:pPr>
        <w:widowControl w:val="0"/>
        <w:tabs>
          <w:tab w:val="left" w:pos="540"/>
          <w:tab w:val="left" w:pos="569"/>
        </w:tabs>
        <w:jc w:val="both"/>
        <w:rPr>
          <w:sz w:val="22"/>
          <w:szCs w:val="22"/>
          <w:u w:val="single"/>
          <w:lang w:val="sr-Latn-ME"/>
        </w:rPr>
      </w:pPr>
    </w:p>
    <w:p w14:paraId="22487F9E" w14:textId="77777777" w:rsidR="007A3ECB" w:rsidRPr="005A4F9F" w:rsidRDefault="007A3ECB">
      <w:pPr>
        <w:widowControl w:val="0"/>
        <w:tabs>
          <w:tab w:val="left" w:pos="540"/>
          <w:tab w:val="left" w:pos="569"/>
        </w:tabs>
        <w:jc w:val="both"/>
        <w:rPr>
          <w:sz w:val="22"/>
          <w:szCs w:val="22"/>
          <w:u w:val="single"/>
          <w:lang w:val="sr-Latn-ME"/>
        </w:rPr>
      </w:pPr>
      <w:r w:rsidRPr="005A4F9F">
        <w:rPr>
          <w:sz w:val="22"/>
          <w:szCs w:val="22"/>
          <w:u w:val="single"/>
          <w:lang w:val="sr-Latn-ME"/>
        </w:rPr>
        <w:t>Trudnoća</w:t>
      </w:r>
    </w:p>
    <w:p w14:paraId="5254A67E" w14:textId="77777777" w:rsidR="00C66563" w:rsidRPr="005A4F9F" w:rsidRDefault="00C66563">
      <w:pPr>
        <w:pStyle w:val="Header"/>
        <w:widowControl w:val="0"/>
        <w:tabs>
          <w:tab w:val="left" w:pos="284"/>
        </w:tabs>
        <w:jc w:val="both"/>
        <w:rPr>
          <w:sz w:val="22"/>
          <w:szCs w:val="22"/>
          <w:lang w:val="sr-Latn-ME"/>
        </w:rPr>
      </w:pPr>
      <w:r w:rsidRPr="005A4F9F">
        <w:rPr>
          <w:sz w:val="22"/>
          <w:szCs w:val="22"/>
          <w:lang w:val="sr-Latn-ME"/>
        </w:rPr>
        <w:t>Nema odgovarajućih podataka o upotrebi tocilizumaba kod trudnica. Jedno ispitivanje na životinjama pokazalo je povećani rizik od spontanih pobačaja/embrio</w:t>
      </w:r>
      <w:r w:rsidRPr="005A4F9F">
        <w:rPr>
          <w:sz w:val="22"/>
          <w:szCs w:val="22"/>
          <w:lang w:val="sr-Latn-ME"/>
        </w:rPr>
        <w:noBreakHyphen/>
        <w:t xml:space="preserve">fetalne smrti pri visokoj dozi (vidjeti dio 5.3). Potencijalni rizik za humanu populaciju nije poznat. </w:t>
      </w:r>
    </w:p>
    <w:p w14:paraId="1483FE4D" w14:textId="77777777" w:rsidR="00C66563" w:rsidRPr="005A4F9F" w:rsidRDefault="00C66563">
      <w:pPr>
        <w:pStyle w:val="Header"/>
        <w:widowControl w:val="0"/>
        <w:tabs>
          <w:tab w:val="left" w:pos="284"/>
        </w:tabs>
        <w:jc w:val="both"/>
        <w:rPr>
          <w:sz w:val="22"/>
          <w:szCs w:val="22"/>
          <w:lang w:val="sr-Latn-ME"/>
        </w:rPr>
      </w:pPr>
    </w:p>
    <w:p w14:paraId="26BF913D"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RoActemra se ne smije koristiti tokom trudnoće</w:t>
      </w:r>
      <w:r w:rsidR="00AF66C4" w:rsidRPr="005A4F9F">
        <w:rPr>
          <w:sz w:val="22"/>
          <w:szCs w:val="22"/>
          <w:lang w:val="sr-Latn-ME"/>
        </w:rPr>
        <w:t>, osim ako je to</w:t>
      </w:r>
      <w:r w:rsidRPr="005A4F9F">
        <w:rPr>
          <w:sz w:val="22"/>
          <w:szCs w:val="22"/>
          <w:lang w:val="sr-Latn-ME"/>
        </w:rPr>
        <w:t xml:space="preserve"> neophodno.</w:t>
      </w:r>
    </w:p>
    <w:p w14:paraId="1E338CA8" w14:textId="77777777" w:rsidR="002031B3" w:rsidRPr="005A4F9F" w:rsidRDefault="002031B3">
      <w:pPr>
        <w:widowControl w:val="0"/>
        <w:tabs>
          <w:tab w:val="left" w:pos="540"/>
          <w:tab w:val="left" w:pos="569"/>
        </w:tabs>
        <w:jc w:val="both"/>
        <w:rPr>
          <w:sz w:val="22"/>
          <w:szCs w:val="22"/>
          <w:u w:val="single"/>
          <w:lang w:val="sr-Latn-ME"/>
        </w:rPr>
      </w:pPr>
    </w:p>
    <w:p w14:paraId="3AA7C50D" w14:textId="77777777" w:rsidR="0072020E" w:rsidRPr="005A4F9F" w:rsidRDefault="007A3ECB">
      <w:pPr>
        <w:widowControl w:val="0"/>
        <w:tabs>
          <w:tab w:val="left" w:pos="540"/>
          <w:tab w:val="left" w:pos="569"/>
        </w:tabs>
        <w:jc w:val="both"/>
        <w:rPr>
          <w:sz w:val="22"/>
          <w:szCs w:val="22"/>
          <w:u w:val="single"/>
          <w:lang w:val="sr-Latn-ME"/>
        </w:rPr>
      </w:pPr>
      <w:r w:rsidRPr="005A4F9F">
        <w:rPr>
          <w:sz w:val="22"/>
          <w:szCs w:val="22"/>
          <w:u w:val="single"/>
          <w:lang w:val="sr-Latn-ME"/>
        </w:rPr>
        <w:t xml:space="preserve">Dojenje </w:t>
      </w:r>
    </w:p>
    <w:p w14:paraId="2E74F991" w14:textId="64AA21B8" w:rsidR="00B4674F" w:rsidRPr="005A4F9F" w:rsidRDefault="00C66563" w:rsidP="008B00DE">
      <w:pPr>
        <w:widowControl w:val="0"/>
        <w:jc w:val="both"/>
        <w:rPr>
          <w:sz w:val="22"/>
          <w:szCs w:val="22"/>
          <w:lang w:val="sr-Latn-ME"/>
        </w:rPr>
      </w:pPr>
      <w:r w:rsidRPr="005A4F9F">
        <w:rPr>
          <w:sz w:val="22"/>
          <w:szCs w:val="22"/>
          <w:lang w:val="sr-Latn-ME"/>
        </w:rPr>
        <w:t xml:space="preserve">Nije poznato da li se tocilizumab izlučuje u </w:t>
      </w:r>
      <w:r w:rsidR="00542633" w:rsidRPr="005A4F9F">
        <w:rPr>
          <w:sz w:val="22"/>
          <w:szCs w:val="22"/>
          <w:lang w:val="sr-Latn-ME"/>
        </w:rPr>
        <w:t>ml</w:t>
      </w:r>
      <w:r w:rsidRPr="005A4F9F">
        <w:rPr>
          <w:sz w:val="22"/>
          <w:szCs w:val="22"/>
          <w:lang w:val="sr-Latn-ME"/>
        </w:rPr>
        <w:t xml:space="preserve">ijeku majki dojilja.  Izlučivanje tocilizumaba u </w:t>
      </w:r>
      <w:r w:rsidR="00542633" w:rsidRPr="005A4F9F">
        <w:rPr>
          <w:sz w:val="22"/>
          <w:szCs w:val="22"/>
          <w:lang w:val="sr-Latn-ME"/>
        </w:rPr>
        <w:t>ml</w:t>
      </w:r>
      <w:r w:rsidRPr="005A4F9F">
        <w:rPr>
          <w:sz w:val="22"/>
          <w:szCs w:val="22"/>
          <w:lang w:val="sr-Latn-ME"/>
        </w:rPr>
        <w:t xml:space="preserve">ijeku životinja nije ispitivano. </w:t>
      </w:r>
      <w:r w:rsidR="00B4674F" w:rsidRPr="008B00DE">
        <w:rPr>
          <w:sz w:val="22"/>
          <w:szCs w:val="22"/>
          <w:lang w:val="sr-Latn-ME"/>
        </w:rPr>
        <w:t xml:space="preserve"> </w:t>
      </w:r>
      <w:r w:rsidR="00B4674F" w:rsidRPr="005A4F9F">
        <w:rPr>
          <w:sz w:val="22"/>
          <w:szCs w:val="22"/>
          <w:lang w:val="sr-Latn-ME"/>
        </w:rPr>
        <w:t>Potrebno je odlučiti da li prekinuti dojenje ili prekinuti liječenje/suzdržati se od liječenja lijekom RoActemra uzimajući u obzir korist dojenja za dijete i korist liječenja za ženu.</w:t>
      </w:r>
      <w:r w:rsidR="00B4674F" w:rsidRPr="005A4F9F">
        <w:rPr>
          <w:sz w:val="22"/>
          <w:szCs w:val="22"/>
          <w:lang w:val="sr-Latn-ME"/>
        </w:rPr>
        <w:br/>
      </w:r>
      <w:r w:rsidR="00B4674F" w:rsidRPr="005A4F9F">
        <w:rPr>
          <w:sz w:val="22"/>
          <w:szCs w:val="22"/>
          <w:lang w:val="sr-Latn-ME"/>
        </w:rPr>
        <w:br/>
      </w:r>
      <w:r w:rsidR="00B4674F" w:rsidRPr="005A4F9F">
        <w:rPr>
          <w:sz w:val="22"/>
          <w:szCs w:val="22"/>
          <w:u w:val="single"/>
          <w:lang w:val="sr-Latn-ME"/>
        </w:rPr>
        <w:t>Plodnost</w:t>
      </w:r>
    </w:p>
    <w:p w14:paraId="5896F2A9" w14:textId="77777777" w:rsidR="00B4674F" w:rsidRPr="005A4F9F" w:rsidRDefault="00B4674F" w:rsidP="008B00DE">
      <w:pPr>
        <w:widowControl w:val="0"/>
        <w:jc w:val="both"/>
        <w:rPr>
          <w:sz w:val="22"/>
          <w:szCs w:val="22"/>
          <w:lang w:val="sr-Latn-ME"/>
        </w:rPr>
      </w:pPr>
      <w:r w:rsidRPr="005A4F9F">
        <w:rPr>
          <w:sz w:val="22"/>
          <w:szCs w:val="22"/>
          <w:lang w:val="sr-Latn-ME"/>
        </w:rPr>
        <w:t>Dostupni neklinički podaci ne ukazuju ni na kakve učinke liječenja tocilizumabom na plodnost.</w:t>
      </w:r>
    </w:p>
    <w:p w14:paraId="32426D20" w14:textId="77777777" w:rsidR="008F0857" w:rsidRDefault="008F0857">
      <w:pPr>
        <w:widowControl w:val="0"/>
        <w:tabs>
          <w:tab w:val="left" w:pos="540"/>
          <w:tab w:val="left" w:pos="569"/>
        </w:tabs>
        <w:jc w:val="both"/>
        <w:rPr>
          <w:b/>
          <w:bCs/>
          <w:sz w:val="22"/>
          <w:szCs w:val="22"/>
          <w:lang w:val="sr-Latn-ME"/>
        </w:rPr>
      </w:pPr>
    </w:p>
    <w:p w14:paraId="75DB3140" w14:textId="6D13F8F3" w:rsidR="0072020E"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4.7. </w:t>
      </w:r>
      <w:r w:rsidR="00480FB1" w:rsidRPr="005A4F9F">
        <w:rPr>
          <w:b/>
          <w:bCs/>
          <w:sz w:val="22"/>
          <w:szCs w:val="22"/>
          <w:lang w:val="sr-Latn-ME"/>
        </w:rPr>
        <w:tab/>
      </w:r>
      <w:r w:rsidRPr="005A4F9F">
        <w:rPr>
          <w:b/>
          <w:bCs/>
          <w:sz w:val="22"/>
          <w:szCs w:val="22"/>
          <w:lang w:val="sr-Latn-ME"/>
        </w:rPr>
        <w:t xml:space="preserve">Uticaj na </w:t>
      </w:r>
      <w:r w:rsidR="002031B3" w:rsidRPr="005A4F9F">
        <w:rPr>
          <w:b/>
          <w:bCs/>
          <w:sz w:val="22"/>
          <w:szCs w:val="22"/>
          <w:lang w:val="sr-Latn-ME"/>
        </w:rPr>
        <w:t xml:space="preserve">sposobnost </w:t>
      </w:r>
      <w:r w:rsidR="00F34554" w:rsidRPr="005A4F9F">
        <w:rPr>
          <w:b/>
          <w:bCs/>
          <w:sz w:val="22"/>
          <w:szCs w:val="22"/>
          <w:lang w:val="sr-Latn-ME"/>
        </w:rPr>
        <w:t>upravljanja vozili</w:t>
      </w:r>
      <w:r w:rsidRPr="005A4F9F">
        <w:rPr>
          <w:b/>
          <w:bCs/>
          <w:sz w:val="22"/>
          <w:szCs w:val="22"/>
          <w:lang w:val="sr-Latn-ME"/>
        </w:rPr>
        <w:t>m</w:t>
      </w:r>
      <w:r w:rsidR="00F34554" w:rsidRPr="005A4F9F">
        <w:rPr>
          <w:b/>
          <w:bCs/>
          <w:sz w:val="22"/>
          <w:szCs w:val="22"/>
          <w:lang w:val="sr-Latn-ME"/>
        </w:rPr>
        <w:t>a</w:t>
      </w:r>
      <w:r w:rsidRPr="005A4F9F">
        <w:rPr>
          <w:b/>
          <w:bCs/>
          <w:sz w:val="22"/>
          <w:szCs w:val="22"/>
          <w:lang w:val="sr-Latn-ME"/>
        </w:rPr>
        <w:t xml:space="preserve"> i </w:t>
      </w:r>
      <w:r w:rsidR="000D3449" w:rsidRPr="005A4F9F">
        <w:rPr>
          <w:b/>
          <w:bCs/>
          <w:sz w:val="22"/>
          <w:szCs w:val="22"/>
          <w:lang w:val="sr-Latn-ME"/>
        </w:rPr>
        <w:t xml:space="preserve">rukovanje </w:t>
      </w:r>
      <w:r w:rsidRPr="005A4F9F">
        <w:rPr>
          <w:b/>
          <w:bCs/>
          <w:sz w:val="22"/>
          <w:szCs w:val="22"/>
          <w:lang w:val="sr-Latn-ME"/>
        </w:rPr>
        <w:t>mašinama</w:t>
      </w:r>
    </w:p>
    <w:p w14:paraId="74FD6AE5" w14:textId="77777777" w:rsidR="00C66563" w:rsidRPr="005A4F9F" w:rsidRDefault="00C66563">
      <w:pPr>
        <w:widowControl w:val="0"/>
        <w:tabs>
          <w:tab w:val="left" w:pos="540"/>
          <w:tab w:val="left" w:pos="569"/>
        </w:tabs>
        <w:ind w:left="540" w:hanging="540"/>
        <w:jc w:val="both"/>
        <w:rPr>
          <w:b/>
          <w:bCs/>
          <w:sz w:val="22"/>
          <w:szCs w:val="22"/>
          <w:lang w:val="sr-Latn-ME"/>
        </w:rPr>
      </w:pPr>
    </w:p>
    <w:p w14:paraId="38FABCC4" w14:textId="1CE32B65" w:rsidR="00C66563" w:rsidRPr="005A4F9F" w:rsidRDefault="00C66563">
      <w:pPr>
        <w:widowControl w:val="0"/>
        <w:jc w:val="both"/>
        <w:rPr>
          <w:sz w:val="22"/>
          <w:szCs w:val="22"/>
          <w:lang w:val="sr-Latn-ME"/>
        </w:rPr>
      </w:pPr>
      <w:r w:rsidRPr="005A4F9F">
        <w:rPr>
          <w:sz w:val="22"/>
          <w:szCs w:val="22"/>
          <w:lang w:val="sr-Latn-ME"/>
        </w:rPr>
        <w:t xml:space="preserve">RoActemra </w:t>
      </w:r>
      <w:r w:rsidR="00AF66C4" w:rsidRPr="005A4F9F">
        <w:rPr>
          <w:sz w:val="22"/>
          <w:szCs w:val="22"/>
          <w:lang w:val="sr-Latn-ME"/>
        </w:rPr>
        <w:t xml:space="preserve">ima neznatan uticaj na sposobnost </w:t>
      </w:r>
      <w:r w:rsidRPr="005A4F9F">
        <w:rPr>
          <w:sz w:val="22"/>
          <w:szCs w:val="22"/>
          <w:lang w:val="sr-Latn-ME"/>
        </w:rPr>
        <w:t xml:space="preserve">upravljanja motornim vozilima i rukovanja mašinama </w:t>
      </w:r>
      <w:r w:rsidR="00B4674F" w:rsidRPr="005A4F9F">
        <w:rPr>
          <w:sz w:val="22"/>
          <w:szCs w:val="22"/>
          <w:lang w:val="sr-Latn-ME"/>
        </w:rPr>
        <w:t xml:space="preserve">, npr. </w:t>
      </w:r>
      <w:r w:rsidR="00F23AEF" w:rsidRPr="005A4F9F">
        <w:rPr>
          <w:sz w:val="22"/>
          <w:szCs w:val="22"/>
          <w:lang w:val="sr-Latn-ME"/>
        </w:rPr>
        <w:t>v</w:t>
      </w:r>
      <w:r w:rsidR="00B4674F" w:rsidRPr="005A4F9F">
        <w:rPr>
          <w:sz w:val="22"/>
          <w:szCs w:val="22"/>
          <w:lang w:val="sr-Latn-ME"/>
        </w:rPr>
        <w:t xml:space="preserve">rtoglavica </w:t>
      </w:r>
      <w:r w:rsidRPr="005A4F9F">
        <w:rPr>
          <w:sz w:val="22"/>
          <w:szCs w:val="22"/>
          <w:lang w:val="sr-Latn-ME"/>
        </w:rPr>
        <w:t xml:space="preserve">(vidjeti dio 4.8). </w:t>
      </w:r>
    </w:p>
    <w:p w14:paraId="06288280" w14:textId="77777777" w:rsidR="0072020E" w:rsidRPr="005A4F9F" w:rsidRDefault="0072020E">
      <w:pPr>
        <w:widowControl w:val="0"/>
        <w:tabs>
          <w:tab w:val="left" w:pos="540"/>
          <w:tab w:val="left" w:pos="569"/>
        </w:tabs>
        <w:jc w:val="both"/>
        <w:rPr>
          <w:b/>
          <w:bCs/>
          <w:sz w:val="22"/>
          <w:szCs w:val="22"/>
          <w:lang w:val="sr-Latn-ME"/>
        </w:rPr>
      </w:pPr>
    </w:p>
    <w:p w14:paraId="76D009EC" w14:textId="77777777" w:rsidR="005A4F97" w:rsidRDefault="0072020E" w:rsidP="008B00DE">
      <w:pPr>
        <w:widowControl w:val="0"/>
        <w:jc w:val="both"/>
        <w:rPr>
          <w:b/>
          <w:bCs/>
          <w:sz w:val="22"/>
          <w:szCs w:val="22"/>
          <w:lang w:val="sr-Latn-ME"/>
        </w:rPr>
      </w:pPr>
      <w:r w:rsidRPr="005A4F9F">
        <w:rPr>
          <w:b/>
          <w:bCs/>
          <w:sz w:val="22"/>
          <w:szCs w:val="22"/>
          <w:lang w:val="sr-Latn-ME"/>
        </w:rPr>
        <w:t xml:space="preserve">4.8. </w:t>
      </w:r>
      <w:r w:rsidR="00480FB1" w:rsidRPr="005A4F9F">
        <w:rPr>
          <w:b/>
          <w:bCs/>
          <w:sz w:val="22"/>
          <w:szCs w:val="22"/>
          <w:lang w:val="sr-Latn-ME"/>
        </w:rPr>
        <w:tab/>
      </w:r>
      <w:r w:rsidRPr="005A4F9F">
        <w:rPr>
          <w:b/>
          <w:bCs/>
          <w:sz w:val="22"/>
          <w:szCs w:val="22"/>
          <w:lang w:val="sr-Latn-ME"/>
        </w:rPr>
        <w:t>Neželjena dejstva</w:t>
      </w:r>
      <w:r w:rsidR="005A4F97">
        <w:rPr>
          <w:b/>
          <w:bCs/>
          <w:sz w:val="22"/>
          <w:szCs w:val="22"/>
          <w:lang w:val="sr-Latn-ME"/>
        </w:rPr>
        <w:t xml:space="preserve">    </w:t>
      </w:r>
    </w:p>
    <w:p w14:paraId="58D895CF" w14:textId="77777777" w:rsidR="005A4F97" w:rsidRDefault="005A4F97" w:rsidP="008B00DE">
      <w:pPr>
        <w:widowControl w:val="0"/>
        <w:jc w:val="both"/>
        <w:rPr>
          <w:b/>
          <w:bCs/>
          <w:sz w:val="22"/>
          <w:szCs w:val="22"/>
          <w:lang w:val="sr-Latn-ME"/>
        </w:rPr>
      </w:pPr>
    </w:p>
    <w:p w14:paraId="5A2CDF76" w14:textId="2BB4F99C" w:rsidR="005B212D" w:rsidRPr="005A4F9F" w:rsidRDefault="00C66563" w:rsidP="008B00DE">
      <w:pPr>
        <w:widowControl w:val="0"/>
        <w:jc w:val="both"/>
        <w:rPr>
          <w:sz w:val="22"/>
          <w:szCs w:val="22"/>
          <w:u w:val="single"/>
          <w:lang w:val="sr-Latn-ME"/>
        </w:rPr>
      </w:pPr>
      <w:r w:rsidRPr="005A4F9F">
        <w:rPr>
          <w:sz w:val="22"/>
          <w:szCs w:val="22"/>
          <w:u w:val="single"/>
          <w:lang w:val="sr-Latn-ME"/>
        </w:rPr>
        <w:t>Sažetak bezbjednosnog profila</w:t>
      </w:r>
    </w:p>
    <w:p w14:paraId="58D6C5EB" w14:textId="7D010BE0" w:rsidR="00C66563" w:rsidRPr="005A4F9F" w:rsidRDefault="00B4674F" w:rsidP="008B00DE">
      <w:pPr>
        <w:widowControl w:val="0"/>
        <w:jc w:val="both"/>
        <w:rPr>
          <w:i/>
          <w:iCs/>
          <w:sz w:val="22"/>
          <w:szCs w:val="22"/>
          <w:lang w:val="sr-Latn-ME"/>
        </w:rPr>
      </w:pPr>
      <w:r w:rsidRPr="005A4F9F">
        <w:rPr>
          <w:sz w:val="22"/>
          <w:szCs w:val="22"/>
          <w:u w:val="single"/>
          <w:lang w:val="sr-Latn-ME"/>
        </w:rPr>
        <w:br/>
      </w:r>
      <w:r w:rsidRPr="005A4F9F">
        <w:rPr>
          <w:i/>
          <w:iCs/>
          <w:sz w:val="22"/>
          <w:szCs w:val="22"/>
          <w:lang w:val="sr-Latn-ME"/>
        </w:rPr>
        <w:t xml:space="preserve">RA, sJIA, pJIA i </w:t>
      </w:r>
      <w:r w:rsidR="005B212D" w:rsidRPr="005A4F9F">
        <w:rPr>
          <w:i/>
          <w:iCs/>
          <w:sz w:val="22"/>
          <w:szCs w:val="22"/>
          <w:lang w:val="sr-Latn-ME"/>
        </w:rPr>
        <w:t>SOC</w:t>
      </w:r>
    </w:p>
    <w:p w14:paraId="3BD67112" w14:textId="1D05F830" w:rsidR="00C66563" w:rsidRPr="005A4F9F" w:rsidRDefault="00C66563">
      <w:pPr>
        <w:widowControl w:val="0"/>
        <w:jc w:val="both"/>
        <w:rPr>
          <w:sz w:val="22"/>
          <w:szCs w:val="22"/>
          <w:lang w:val="sr-Latn-ME"/>
        </w:rPr>
      </w:pPr>
      <w:r w:rsidRPr="005A4F9F">
        <w:rPr>
          <w:sz w:val="22"/>
          <w:szCs w:val="22"/>
          <w:lang w:val="sr-Latn-ME"/>
        </w:rPr>
        <w:t>Najčešće prijavljena neželjena dejstva  su infekcije gornjih disajnih puteva, nazofaringitis, glavobolja, hipertenzija i povišene vrijednosti ALT</w:t>
      </w:r>
      <w:r w:rsidRPr="005A4F9F">
        <w:rPr>
          <w:sz w:val="22"/>
          <w:szCs w:val="22"/>
          <w:lang w:val="sr-Latn-ME"/>
        </w:rPr>
        <w:noBreakHyphen/>
        <w:t>a.Najozbiljnija neželjena dejstva su ozbiljne infekcije, komplikacije divertikulitisa i reakcije preosjetljivosti.</w:t>
      </w:r>
    </w:p>
    <w:p w14:paraId="2CBC8500" w14:textId="6B2C12F1" w:rsidR="00FC079C" w:rsidRPr="005A4F9F" w:rsidRDefault="00B4674F">
      <w:pPr>
        <w:widowControl w:val="0"/>
        <w:jc w:val="both"/>
        <w:rPr>
          <w:i/>
          <w:iCs/>
          <w:sz w:val="22"/>
          <w:szCs w:val="22"/>
          <w:lang w:val="sr-Latn-ME"/>
        </w:rPr>
      </w:pPr>
      <w:r w:rsidRPr="005A4F9F">
        <w:rPr>
          <w:sz w:val="22"/>
          <w:szCs w:val="22"/>
          <w:lang w:val="sr-Latn-ME"/>
        </w:rPr>
        <w:br/>
      </w:r>
      <w:r w:rsidRPr="005A4F9F">
        <w:rPr>
          <w:i/>
          <w:iCs/>
          <w:sz w:val="22"/>
          <w:szCs w:val="22"/>
          <w:lang w:val="sr-Latn-ME"/>
        </w:rPr>
        <w:t>COVID-19</w:t>
      </w:r>
    </w:p>
    <w:p w14:paraId="57471316" w14:textId="2130285C" w:rsidR="00FC079C" w:rsidRPr="005A4F9F" w:rsidRDefault="00FC079C">
      <w:pPr>
        <w:widowControl w:val="0"/>
        <w:jc w:val="both"/>
        <w:rPr>
          <w:sz w:val="22"/>
          <w:szCs w:val="22"/>
          <w:lang w:val="sr-Latn-ME"/>
        </w:rPr>
      </w:pPr>
      <w:r w:rsidRPr="005A4F9F">
        <w:rPr>
          <w:sz w:val="22"/>
          <w:szCs w:val="22"/>
          <w:lang w:val="sr-Latn-ME"/>
        </w:rPr>
        <w:t>Najčešće prijavljena neželjena dejstva su povišene vr</w:t>
      </w:r>
      <w:r w:rsidR="00B34098" w:rsidRPr="005A4F9F">
        <w:rPr>
          <w:sz w:val="22"/>
          <w:szCs w:val="22"/>
          <w:lang w:val="sr-Latn-ME"/>
        </w:rPr>
        <w:t>ij</w:t>
      </w:r>
      <w:r w:rsidRPr="005A4F9F">
        <w:rPr>
          <w:sz w:val="22"/>
          <w:szCs w:val="22"/>
          <w:lang w:val="sr-Latn-ME"/>
        </w:rPr>
        <w:t xml:space="preserve">ednosti jetrenih transaminaza, konstipacija i </w:t>
      </w:r>
      <w:r w:rsidRPr="005A4F9F">
        <w:rPr>
          <w:sz w:val="22"/>
          <w:szCs w:val="22"/>
          <w:lang w:val="sr-Latn-ME"/>
        </w:rPr>
        <w:lastRenderedPageBreak/>
        <w:t xml:space="preserve">infekcije urinarnog trakta. </w:t>
      </w:r>
    </w:p>
    <w:p w14:paraId="5CB414C6" w14:textId="718C84A7" w:rsidR="00FC079C" w:rsidRPr="005A4F9F" w:rsidRDefault="00B4674F">
      <w:pPr>
        <w:widowControl w:val="0"/>
        <w:jc w:val="both"/>
        <w:rPr>
          <w:sz w:val="22"/>
          <w:szCs w:val="22"/>
          <w:lang w:val="sr-Latn-ME"/>
        </w:rPr>
      </w:pPr>
      <w:r w:rsidRPr="005A4F9F">
        <w:rPr>
          <w:sz w:val="22"/>
          <w:szCs w:val="22"/>
          <w:lang w:val="sr-Latn-ME"/>
        </w:rPr>
        <w:br/>
        <w:t>Tab</w:t>
      </w:r>
      <w:r w:rsidR="008B3674" w:rsidRPr="005A4F9F">
        <w:rPr>
          <w:sz w:val="22"/>
          <w:szCs w:val="22"/>
          <w:lang w:val="sr-Latn-ME"/>
        </w:rPr>
        <w:t>elarni</w:t>
      </w:r>
      <w:r w:rsidRPr="005A4F9F">
        <w:rPr>
          <w:sz w:val="22"/>
          <w:szCs w:val="22"/>
          <w:lang w:val="sr-Latn-ME"/>
        </w:rPr>
        <w:t xml:space="preserve"> prikazi neželjenih dejstava</w:t>
      </w:r>
    </w:p>
    <w:p w14:paraId="038DCB59" w14:textId="6D52965A" w:rsidR="00FC079C" w:rsidRPr="005A4F9F" w:rsidRDefault="00FC079C">
      <w:pPr>
        <w:widowControl w:val="0"/>
        <w:jc w:val="both"/>
        <w:rPr>
          <w:sz w:val="22"/>
          <w:szCs w:val="22"/>
          <w:lang w:val="sr-Latn-ME"/>
        </w:rPr>
      </w:pPr>
      <w:r w:rsidRPr="005A4F9F">
        <w:rPr>
          <w:sz w:val="22"/>
          <w:szCs w:val="22"/>
          <w:lang w:val="sr-Latn-ME"/>
        </w:rPr>
        <w:t xml:space="preserve">Neželjena dejstva </w:t>
      </w:r>
      <w:r w:rsidR="00B4674F" w:rsidRPr="005A4F9F">
        <w:rPr>
          <w:sz w:val="22"/>
          <w:szCs w:val="22"/>
          <w:lang w:val="sr-Latn-ME"/>
        </w:rPr>
        <w:t>tocilizumaba</w:t>
      </w:r>
      <w:r w:rsidRPr="005A4F9F">
        <w:rPr>
          <w:sz w:val="22"/>
          <w:szCs w:val="22"/>
          <w:lang w:val="sr-Latn-ME"/>
        </w:rPr>
        <w:t xml:space="preserve"> zabelježena u kliničkim ispitivanjima i/ili nakon stavljanja lijeka u promet na bazi spontano prijavljenih slučajeva, slučajeva opisanih u literaturi i slučajeva zabelježenih u sklopu programa neintervencijskih ispitivanja navedene su u Tabeli 1 i Tabeli 2 prema MedDRA klasifikaciji organskih sistema. Odgovarajuća kategorija učestalosti za svako neželjeno dejstvo definisana je kao: veoma često (≥ 1/10); često (≥ 1/100 i &lt; 1/10), povremeno (≥ 1/1000 i &lt; 1/100), rijetko (&gt;1/10 000 i &lt; 1/1000)</w:t>
      </w:r>
      <w:r w:rsidR="00B4674F" w:rsidRPr="005A4F9F">
        <w:rPr>
          <w:sz w:val="22"/>
          <w:szCs w:val="22"/>
          <w:lang w:val="sr-Latn-ME"/>
        </w:rPr>
        <w:t>,</w:t>
      </w:r>
      <w:r w:rsidRPr="005A4F9F">
        <w:rPr>
          <w:sz w:val="22"/>
          <w:szCs w:val="22"/>
          <w:lang w:val="sr-Latn-ME"/>
        </w:rPr>
        <w:t xml:space="preserve"> veoma rijetko (&lt;1/10 000)</w:t>
      </w:r>
      <w:r w:rsidR="00B4674F" w:rsidRPr="005A4F9F">
        <w:rPr>
          <w:sz w:val="22"/>
          <w:szCs w:val="22"/>
          <w:lang w:val="sr-Latn-ME"/>
        </w:rPr>
        <w:t xml:space="preserve">  i nepoznato (učestalost se ne može procijeniti na osnovu dostupnih podataka)</w:t>
      </w:r>
      <w:r w:rsidRPr="005A4F9F">
        <w:rPr>
          <w:sz w:val="22"/>
          <w:szCs w:val="22"/>
          <w:lang w:val="sr-Latn-ME"/>
        </w:rPr>
        <w:t>. Unutar svake grupe učestalosti neželjenih dejstava su prikazane u padajućem nizu prema ozbiljnosti.</w:t>
      </w:r>
    </w:p>
    <w:p w14:paraId="71BEB985" w14:textId="77777777" w:rsidR="00C66563" w:rsidRPr="005A4F9F" w:rsidRDefault="00C66563">
      <w:pPr>
        <w:widowControl w:val="0"/>
        <w:jc w:val="both"/>
        <w:rPr>
          <w:sz w:val="22"/>
          <w:szCs w:val="22"/>
          <w:lang w:val="sr-Latn-ME"/>
        </w:rPr>
      </w:pPr>
    </w:p>
    <w:p w14:paraId="3CE01941" w14:textId="77777777" w:rsidR="00C66563" w:rsidRPr="005A4F9F" w:rsidRDefault="00C66563">
      <w:pPr>
        <w:widowControl w:val="0"/>
        <w:tabs>
          <w:tab w:val="left" w:pos="540"/>
          <w:tab w:val="left" w:pos="569"/>
        </w:tabs>
        <w:jc w:val="both"/>
        <w:rPr>
          <w:i/>
          <w:iCs/>
          <w:sz w:val="22"/>
          <w:szCs w:val="22"/>
          <w:u w:val="single"/>
          <w:lang w:val="sr-Latn-ME"/>
        </w:rPr>
      </w:pPr>
      <w:r w:rsidRPr="005A4F9F">
        <w:rPr>
          <w:i/>
          <w:iCs/>
          <w:sz w:val="22"/>
          <w:szCs w:val="22"/>
          <w:u w:val="single"/>
          <w:lang w:val="sr-Latn-ME"/>
        </w:rPr>
        <w:t>RA pacijenti</w:t>
      </w:r>
    </w:p>
    <w:p w14:paraId="666B386C" w14:textId="5E45D51F" w:rsidR="00C66563" w:rsidRPr="005A4F9F" w:rsidRDefault="00C66563">
      <w:pPr>
        <w:widowControl w:val="0"/>
        <w:tabs>
          <w:tab w:val="left" w:pos="8931"/>
        </w:tabs>
        <w:jc w:val="both"/>
        <w:rPr>
          <w:i/>
          <w:sz w:val="22"/>
          <w:szCs w:val="22"/>
          <w:lang w:val="sr-Latn-ME"/>
        </w:rPr>
      </w:pPr>
      <w:r w:rsidRPr="005A4F9F">
        <w:rPr>
          <w:i/>
          <w:sz w:val="22"/>
          <w:szCs w:val="22"/>
          <w:lang w:val="sr-Latn-ME"/>
        </w:rPr>
        <w:t xml:space="preserve">Tabela 1. </w:t>
      </w:r>
      <w:r w:rsidR="002B3FFC" w:rsidRPr="005A4F9F">
        <w:rPr>
          <w:i/>
          <w:sz w:val="22"/>
          <w:szCs w:val="22"/>
          <w:lang w:val="sr-Latn-ME"/>
        </w:rPr>
        <w:t xml:space="preserve">Spisak </w:t>
      </w:r>
      <w:r w:rsidR="00AF66C4" w:rsidRPr="005A4F9F">
        <w:rPr>
          <w:i/>
          <w:sz w:val="22"/>
          <w:szCs w:val="22"/>
          <w:lang w:val="sr-Latn-ME"/>
        </w:rPr>
        <w:t xml:space="preserve">neželjenih dejstava </w:t>
      </w:r>
      <w:r w:rsidRPr="005A4F9F">
        <w:rPr>
          <w:i/>
          <w:sz w:val="22"/>
          <w:szCs w:val="22"/>
          <w:lang w:val="sr-Latn-ME"/>
        </w:rPr>
        <w:t>koj</w:t>
      </w:r>
      <w:r w:rsidR="00AF66C4" w:rsidRPr="005A4F9F">
        <w:rPr>
          <w:i/>
          <w:sz w:val="22"/>
          <w:szCs w:val="22"/>
          <w:lang w:val="sr-Latn-ME"/>
        </w:rPr>
        <w:t>a</w:t>
      </w:r>
      <w:r w:rsidRPr="005A4F9F">
        <w:rPr>
          <w:i/>
          <w:sz w:val="22"/>
          <w:szCs w:val="22"/>
          <w:lang w:val="sr-Latn-ME"/>
        </w:rPr>
        <w:t xml:space="preserve"> se javljaju kod pacijenata sa RA koji primaju tocilizumab kao monoterapiju ili u kombinaciji sa  MTX</w:t>
      </w:r>
      <w:r w:rsidR="00B4674F" w:rsidRPr="005A4F9F">
        <w:rPr>
          <w:i/>
          <w:sz w:val="22"/>
          <w:szCs w:val="22"/>
          <w:lang w:val="sr-Latn-ME"/>
        </w:rPr>
        <w:t>-om</w:t>
      </w:r>
      <w:r w:rsidRPr="005A4F9F">
        <w:rPr>
          <w:i/>
          <w:sz w:val="22"/>
          <w:szCs w:val="22"/>
          <w:lang w:val="sr-Latn-ME"/>
        </w:rPr>
        <w:t xml:space="preserve"> ili drugim DMARD u dvostruko slijepom kontrolisanom periodu</w:t>
      </w:r>
      <w:r w:rsidR="00890190" w:rsidRPr="005A4F9F">
        <w:rPr>
          <w:i/>
          <w:sz w:val="22"/>
          <w:szCs w:val="22"/>
          <w:lang w:val="sr-Latn-ME"/>
        </w:rPr>
        <w:t xml:space="preserve"> ili tokom postmarketinškog iskustva</w:t>
      </w:r>
    </w:p>
    <w:p w14:paraId="3A60838B" w14:textId="77777777" w:rsidR="00BF249E" w:rsidRPr="005A4F9F" w:rsidRDefault="00BF249E" w:rsidP="008B00DE">
      <w:pPr>
        <w:widowControl w:val="0"/>
        <w:jc w:val="both"/>
        <w:rPr>
          <w:i/>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07"/>
        <w:gridCol w:w="1708"/>
        <w:gridCol w:w="1718"/>
        <w:gridCol w:w="1115"/>
        <w:gridCol w:w="1234"/>
      </w:tblGrid>
      <w:tr w:rsidR="00FE073E" w:rsidRPr="005A4F9F" w14:paraId="158A008F" w14:textId="77777777" w:rsidTr="008B00DE">
        <w:trPr>
          <w:jc w:val="center"/>
        </w:trPr>
        <w:tc>
          <w:tcPr>
            <w:tcW w:w="817" w:type="pct"/>
            <w:vMerge w:val="restart"/>
          </w:tcPr>
          <w:p w14:paraId="23A32C16" w14:textId="77777777" w:rsidR="00BF249E" w:rsidRPr="005A4F9F" w:rsidRDefault="00BF249E" w:rsidP="008B00DE">
            <w:pPr>
              <w:widowControl w:val="0"/>
              <w:tabs>
                <w:tab w:val="left" w:pos="284"/>
                <w:tab w:val="center" w:pos="4536"/>
                <w:tab w:val="right" w:pos="9072"/>
              </w:tabs>
              <w:jc w:val="both"/>
              <w:rPr>
                <w:b/>
                <w:sz w:val="22"/>
                <w:szCs w:val="22"/>
                <w:lang w:val="sr-Latn-ME"/>
              </w:rPr>
            </w:pPr>
          </w:p>
          <w:p w14:paraId="45DF117F"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MedDRA klasa sistema organa</w:t>
            </w:r>
          </w:p>
        </w:tc>
        <w:tc>
          <w:tcPr>
            <w:tcW w:w="3502" w:type="pct"/>
            <w:gridSpan w:val="4"/>
          </w:tcPr>
          <w:p w14:paraId="19AF163F"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Kategorije učestalosti sa preporučenim terminima</w:t>
            </w:r>
          </w:p>
        </w:tc>
        <w:tc>
          <w:tcPr>
            <w:tcW w:w="681" w:type="pct"/>
          </w:tcPr>
          <w:p w14:paraId="6CF531F2" w14:textId="77777777" w:rsidR="00BF249E" w:rsidRPr="005A4F9F" w:rsidRDefault="00BF249E" w:rsidP="008B00DE">
            <w:pPr>
              <w:widowControl w:val="0"/>
              <w:tabs>
                <w:tab w:val="left" w:pos="284"/>
                <w:tab w:val="center" w:pos="4536"/>
                <w:tab w:val="right" w:pos="9072"/>
              </w:tabs>
              <w:ind w:left="380"/>
              <w:jc w:val="both"/>
              <w:rPr>
                <w:b/>
                <w:sz w:val="22"/>
                <w:szCs w:val="22"/>
                <w:lang w:val="sr-Latn-ME"/>
              </w:rPr>
            </w:pPr>
          </w:p>
        </w:tc>
      </w:tr>
      <w:tr w:rsidR="00FE073E" w:rsidRPr="005A4F9F" w14:paraId="402D0F2C" w14:textId="77777777" w:rsidTr="008B00DE">
        <w:trPr>
          <w:jc w:val="center"/>
        </w:trPr>
        <w:tc>
          <w:tcPr>
            <w:tcW w:w="817" w:type="pct"/>
            <w:vMerge/>
          </w:tcPr>
          <w:p w14:paraId="6A443A4D" w14:textId="77777777" w:rsidR="00BF249E" w:rsidRPr="005A4F9F" w:rsidRDefault="00BF249E" w:rsidP="008B00DE">
            <w:pPr>
              <w:widowControl w:val="0"/>
              <w:tabs>
                <w:tab w:val="left" w:pos="284"/>
                <w:tab w:val="center" w:pos="4536"/>
                <w:tab w:val="right" w:pos="9072"/>
              </w:tabs>
              <w:jc w:val="both"/>
              <w:rPr>
                <w:b/>
                <w:sz w:val="22"/>
                <w:szCs w:val="22"/>
                <w:lang w:val="sr-Latn-ME"/>
              </w:rPr>
            </w:pPr>
          </w:p>
        </w:tc>
        <w:tc>
          <w:tcPr>
            <w:tcW w:w="997" w:type="pct"/>
          </w:tcPr>
          <w:p w14:paraId="567D7955"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Veoma čest</w:t>
            </w:r>
            <w:r w:rsidR="00AF66C4" w:rsidRPr="005A4F9F">
              <w:rPr>
                <w:b/>
                <w:sz w:val="22"/>
                <w:szCs w:val="22"/>
                <w:lang w:val="sr-Latn-ME"/>
              </w:rPr>
              <w:t>o</w:t>
            </w:r>
          </w:p>
        </w:tc>
        <w:tc>
          <w:tcPr>
            <w:tcW w:w="942" w:type="pct"/>
          </w:tcPr>
          <w:p w14:paraId="26A49828"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Čest</w:t>
            </w:r>
            <w:r w:rsidR="00AF66C4" w:rsidRPr="005A4F9F">
              <w:rPr>
                <w:b/>
                <w:sz w:val="22"/>
                <w:szCs w:val="22"/>
                <w:lang w:val="sr-Latn-ME"/>
              </w:rPr>
              <w:t>o</w:t>
            </w:r>
          </w:p>
        </w:tc>
        <w:tc>
          <w:tcPr>
            <w:tcW w:w="948" w:type="pct"/>
          </w:tcPr>
          <w:p w14:paraId="136E0E0D"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Povremen</w:t>
            </w:r>
            <w:r w:rsidR="00AF66C4" w:rsidRPr="005A4F9F">
              <w:rPr>
                <w:b/>
                <w:sz w:val="22"/>
                <w:szCs w:val="22"/>
                <w:lang w:val="sr-Latn-ME"/>
              </w:rPr>
              <w:t>o</w:t>
            </w:r>
          </w:p>
        </w:tc>
        <w:tc>
          <w:tcPr>
            <w:tcW w:w="615" w:type="pct"/>
          </w:tcPr>
          <w:p w14:paraId="001DC232"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Rijetk</w:t>
            </w:r>
            <w:r w:rsidR="00AF66C4" w:rsidRPr="005A4F9F">
              <w:rPr>
                <w:b/>
                <w:sz w:val="22"/>
                <w:szCs w:val="22"/>
                <w:lang w:val="sr-Latn-ME"/>
              </w:rPr>
              <w:t>o</w:t>
            </w:r>
          </w:p>
        </w:tc>
        <w:tc>
          <w:tcPr>
            <w:tcW w:w="681" w:type="pct"/>
          </w:tcPr>
          <w:p w14:paraId="10AFB7DB" w14:textId="77777777" w:rsidR="00BF249E" w:rsidRPr="005A4F9F" w:rsidRDefault="00BF249E" w:rsidP="008B00DE">
            <w:pPr>
              <w:widowControl w:val="0"/>
              <w:tabs>
                <w:tab w:val="left" w:pos="284"/>
                <w:tab w:val="center" w:pos="4536"/>
                <w:tab w:val="right" w:pos="9072"/>
              </w:tabs>
              <w:jc w:val="both"/>
              <w:rPr>
                <w:b/>
                <w:sz w:val="22"/>
                <w:szCs w:val="22"/>
                <w:lang w:val="sr-Latn-ME"/>
              </w:rPr>
            </w:pPr>
            <w:r w:rsidRPr="005A4F9F">
              <w:rPr>
                <w:b/>
                <w:sz w:val="22"/>
                <w:szCs w:val="22"/>
                <w:lang w:val="sr-Latn-ME"/>
              </w:rPr>
              <w:t>Veoma rijetk</w:t>
            </w:r>
            <w:r w:rsidR="00AF66C4" w:rsidRPr="005A4F9F">
              <w:rPr>
                <w:b/>
                <w:sz w:val="22"/>
                <w:szCs w:val="22"/>
                <w:lang w:val="sr-Latn-ME"/>
              </w:rPr>
              <w:t>o</w:t>
            </w:r>
          </w:p>
        </w:tc>
      </w:tr>
      <w:tr w:rsidR="00FE073E" w:rsidRPr="005A4F9F" w14:paraId="3366E5F5" w14:textId="77777777" w:rsidTr="008B00DE">
        <w:trPr>
          <w:jc w:val="center"/>
        </w:trPr>
        <w:tc>
          <w:tcPr>
            <w:tcW w:w="817" w:type="pct"/>
          </w:tcPr>
          <w:p w14:paraId="1BABDF30"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Infekcije i infestacije</w:t>
            </w:r>
          </w:p>
        </w:tc>
        <w:tc>
          <w:tcPr>
            <w:tcW w:w="997" w:type="pct"/>
          </w:tcPr>
          <w:p w14:paraId="2B9DF614"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Infekcije gornjih disajnih puteva</w:t>
            </w:r>
          </w:p>
        </w:tc>
        <w:tc>
          <w:tcPr>
            <w:tcW w:w="942" w:type="pct"/>
          </w:tcPr>
          <w:p w14:paraId="65F6153C"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Celulitis, pneumonija, oralni herpes simplex, herpes zoster</w:t>
            </w:r>
          </w:p>
        </w:tc>
        <w:tc>
          <w:tcPr>
            <w:tcW w:w="948" w:type="pct"/>
          </w:tcPr>
          <w:p w14:paraId="2C9992F0"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Divertikulitis</w:t>
            </w:r>
          </w:p>
        </w:tc>
        <w:tc>
          <w:tcPr>
            <w:tcW w:w="615" w:type="pct"/>
          </w:tcPr>
          <w:p w14:paraId="1AA6C97F"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0B8CCB7B" w14:textId="77777777" w:rsidR="00BF249E" w:rsidRPr="005A4F9F" w:rsidRDefault="00BF249E" w:rsidP="008B00DE">
            <w:pPr>
              <w:widowControl w:val="0"/>
              <w:tabs>
                <w:tab w:val="left" w:pos="284"/>
                <w:tab w:val="center" w:pos="4536"/>
                <w:tab w:val="right" w:pos="9072"/>
              </w:tabs>
              <w:ind w:left="385" w:hanging="40"/>
              <w:jc w:val="both"/>
              <w:rPr>
                <w:sz w:val="22"/>
                <w:szCs w:val="22"/>
                <w:lang w:val="sr-Latn-ME"/>
              </w:rPr>
            </w:pPr>
          </w:p>
        </w:tc>
      </w:tr>
      <w:tr w:rsidR="00FE073E" w:rsidRPr="005A4F9F" w14:paraId="6CDCB2F0" w14:textId="77777777" w:rsidTr="008B00DE">
        <w:trPr>
          <w:jc w:val="center"/>
        </w:trPr>
        <w:tc>
          <w:tcPr>
            <w:tcW w:w="817" w:type="pct"/>
          </w:tcPr>
          <w:p w14:paraId="0D90AB4B"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krvi i limf</w:t>
            </w:r>
            <w:r w:rsidR="00AF66C4" w:rsidRPr="005A4F9F">
              <w:rPr>
                <w:sz w:val="22"/>
                <w:szCs w:val="22"/>
                <w:lang w:val="sr-Latn-ME"/>
              </w:rPr>
              <w:t xml:space="preserve">nog </w:t>
            </w:r>
            <w:r w:rsidRPr="005A4F9F">
              <w:rPr>
                <w:sz w:val="22"/>
                <w:szCs w:val="22"/>
                <w:lang w:val="sr-Latn-ME"/>
              </w:rPr>
              <w:t xml:space="preserve"> sistema</w:t>
            </w:r>
          </w:p>
        </w:tc>
        <w:tc>
          <w:tcPr>
            <w:tcW w:w="997" w:type="pct"/>
          </w:tcPr>
          <w:p w14:paraId="02081412"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0AF6B662"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 xml:space="preserve">Leukopenija, </w:t>
            </w:r>
          </w:p>
          <w:p w14:paraId="35BF77CA"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Neutropenija,</w:t>
            </w:r>
          </w:p>
          <w:p w14:paraId="36BF7B6C" w14:textId="6DDC887A"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Hipofibrinogenemija</w:t>
            </w:r>
          </w:p>
        </w:tc>
        <w:tc>
          <w:tcPr>
            <w:tcW w:w="948" w:type="pct"/>
          </w:tcPr>
          <w:p w14:paraId="6AEEA317"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15" w:type="pct"/>
          </w:tcPr>
          <w:p w14:paraId="5FF3A6C9"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2152498F"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4A858869" w14:textId="77777777" w:rsidTr="008B00DE">
        <w:trPr>
          <w:jc w:val="center"/>
        </w:trPr>
        <w:tc>
          <w:tcPr>
            <w:tcW w:w="817" w:type="pct"/>
          </w:tcPr>
          <w:p w14:paraId="69C97FAB"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imun</w:t>
            </w:r>
            <w:r w:rsidR="00AF66C4" w:rsidRPr="005A4F9F">
              <w:rPr>
                <w:sz w:val="22"/>
                <w:szCs w:val="22"/>
                <w:lang w:val="sr-Latn-ME"/>
              </w:rPr>
              <w:t>o</w:t>
            </w:r>
            <w:r w:rsidRPr="005A4F9F">
              <w:rPr>
                <w:sz w:val="22"/>
                <w:szCs w:val="22"/>
                <w:lang w:val="sr-Latn-ME"/>
              </w:rPr>
              <w:t>g sistema</w:t>
            </w:r>
          </w:p>
        </w:tc>
        <w:tc>
          <w:tcPr>
            <w:tcW w:w="997" w:type="pct"/>
          </w:tcPr>
          <w:p w14:paraId="7233C545"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4723D576"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8" w:type="pct"/>
          </w:tcPr>
          <w:p w14:paraId="44C0F133"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15" w:type="pct"/>
          </w:tcPr>
          <w:p w14:paraId="38F2097E"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Anafilaksa (sa smrtnim ishodom)</w:t>
            </w:r>
            <w:r w:rsidRPr="005A4F9F">
              <w:rPr>
                <w:sz w:val="22"/>
                <w:szCs w:val="22"/>
                <w:vertAlign w:val="superscript"/>
                <w:lang w:val="sr-Latn-ME"/>
              </w:rPr>
              <w:t>1,2,3</w:t>
            </w:r>
          </w:p>
        </w:tc>
        <w:tc>
          <w:tcPr>
            <w:tcW w:w="681" w:type="pct"/>
          </w:tcPr>
          <w:p w14:paraId="38630A0E"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3162686E" w14:textId="77777777" w:rsidTr="008B00DE">
        <w:trPr>
          <w:jc w:val="center"/>
        </w:trPr>
        <w:tc>
          <w:tcPr>
            <w:tcW w:w="817" w:type="pct"/>
          </w:tcPr>
          <w:p w14:paraId="7FCF0F5D"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8B00DE">
              <w:rPr>
                <w:sz w:val="22"/>
                <w:szCs w:val="22"/>
                <w:lang w:val="sr-Latn-ME"/>
              </w:rPr>
              <w:t>Endokrinološki poremećaji</w:t>
            </w:r>
          </w:p>
        </w:tc>
        <w:tc>
          <w:tcPr>
            <w:tcW w:w="997" w:type="pct"/>
          </w:tcPr>
          <w:p w14:paraId="458D6037"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5BB0FA84"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8" w:type="pct"/>
          </w:tcPr>
          <w:p w14:paraId="2F87804E"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8B00DE">
              <w:rPr>
                <w:sz w:val="22"/>
                <w:szCs w:val="22"/>
                <w:lang w:val="sr-Latn-ME"/>
              </w:rPr>
              <w:t>Hipotireoidizam</w:t>
            </w:r>
          </w:p>
        </w:tc>
        <w:tc>
          <w:tcPr>
            <w:tcW w:w="615" w:type="pct"/>
          </w:tcPr>
          <w:p w14:paraId="7C520ED1"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730F6A00"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593A2A26" w14:textId="77777777" w:rsidTr="008B00DE">
        <w:trPr>
          <w:jc w:val="center"/>
        </w:trPr>
        <w:tc>
          <w:tcPr>
            <w:tcW w:w="817" w:type="pct"/>
          </w:tcPr>
          <w:p w14:paraId="274D0321"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metabolizma i ishrane</w:t>
            </w:r>
          </w:p>
        </w:tc>
        <w:tc>
          <w:tcPr>
            <w:tcW w:w="997" w:type="pct"/>
          </w:tcPr>
          <w:p w14:paraId="507DC12F"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Hiperholesterolemija*</w:t>
            </w:r>
          </w:p>
        </w:tc>
        <w:tc>
          <w:tcPr>
            <w:tcW w:w="942" w:type="pct"/>
          </w:tcPr>
          <w:p w14:paraId="03690AC2"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8" w:type="pct"/>
          </w:tcPr>
          <w:p w14:paraId="6FCE706B"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Hipertrigliceridemija</w:t>
            </w:r>
          </w:p>
        </w:tc>
        <w:tc>
          <w:tcPr>
            <w:tcW w:w="615" w:type="pct"/>
          </w:tcPr>
          <w:p w14:paraId="5DBB9EB2"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01C40D2D"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0281F5B0" w14:textId="77777777" w:rsidTr="008B00DE">
        <w:trPr>
          <w:jc w:val="center"/>
        </w:trPr>
        <w:tc>
          <w:tcPr>
            <w:tcW w:w="817" w:type="pct"/>
          </w:tcPr>
          <w:p w14:paraId="276FD37E"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nervnog sistema</w:t>
            </w:r>
          </w:p>
        </w:tc>
        <w:tc>
          <w:tcPr>
            <w:tcW w:w="997" w:type="pct"/>
          </w:tcPr>
          <w:p w14:paraId="08115188"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1B719032"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Glavobolja, vrtoglavica</w:t>
            </w:r>
          </w:p>
        </w:tc>
        <w:tc>
          <w:tcPr>
            <w:tcW w:w="948" w:type="pct"/>
          </w:tcPr>
          <w:p w14:paraId="6EB59412"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15" w:type="pct"/>
          </w:tcPr>
          <w:p w14:paraId="46FE6270"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28132BBF"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6956914C" w14:textId="77777777" w:rsidTr="008B00DE">
        <w:trPr>
          <w:jc w:val="center"/>
        </w:trPr>
        <w:tc>
          <w:tcPr>
            <w:tcW w:w="817" w:type="pct"/>
          </w:tcPr>
          <w:p w14:paraId="4EBB165C"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o</w:t>
            </w:r>
            <w:r w:rsidR="0064575C" w:rsidRPr="005A4F9F">
              <w:rPr>
                <w:sz w:val="22"/>
                <w:szCs w:val="22"/>
                <w:lang w:val="sr-Latn-ME"/>
              </w:rPr>
              <w:t>ka</w:t>
            </w:r>
          </w:p>
        </w:tc>
        <w:tc>
          <w:tcPr>
            <w:tcW w:w="997" w:type="pct"/>
          </w:tcPr>
          <w:p w14:paraId="7A55B4D1"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4506AE43"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Konjunktivitis</w:t>
            </w:r>
          </w:p>
        </w:tc>
        <w:tc>
          <w:tcPr>
            <w:tcW w:w="948" w:type="pct"/>
          </w:tcPr>
          <w:p w14:paraId="2C580F64"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15" w:type="pct"/>
          </w:tcPr>
          <w:p w14:paraId="49533B01"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190B80BD"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3BDF6863" w14:textId="77777777" w:rsidTr="008B00DE">
        <w:trPr>
          <w:jc w:val="center"/>
        </w:trPr>
        <w:tc>
          <w:tcPr>
            <w:tcW w:w="817" w:type="pct"/>
          </w:tcPr>
          <w:p w14:paraId="39110B1E"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Vaskularni poremećaji</w:t>
            </w:r>
          </w:p>
          <w:p w14:paraId="5DE45710"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97" w:type="pct"/>
          </w:tcPr>
          <w:p w14:paraId="1BECE080"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942" w:type="pct"/>
          </w:tcPr>
          <w:p w14:paraId="696D4040"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Hipertenzija</w:t>
            </w:r>
          </w:p>
        </w:tc>
        <w:tc>
          <w:tcPr>
            <w:tcW w:w="948" w:type="pct"/>
          </w:tcPr>
          <w:p w14:paraId="1F46C878"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15" w:type="pct"/>
          </w:tcPr>
          <w:p w14:paraId="798568AD" w14:textId="77777777" w:rsidR="00BF249E" w:rsidRPr="005A4F9F" w:rsidRDefault="00BF249E" w:rsidP="008B00DE">
            <w:pPr>
              <w:widowControl w:val="0"/>
              <w:tabs>
                <w:tab w:val="left" w:pos="284"/>
                <w:tab w:val="center" w:pos="4536"/>
                <w:tab w:val="right" w:pos="9072"/>
              </w:tabs>
              <w:jc w:val="both"/>
              <w:rPr>
                <w:sz w:val="22"/>
                <w:szCs w:val="22"/>
                <w:lang w:val="sr-Latn-ME"/>
              </w:rPr>
            </w:pPr>
          </w:p>
        </w:tc>
        <w:tc>
          <w:tcPr>
            <w:tcW w:w="681" w:type="pct"/>
          </w:tcPr>
          <w:p w14:paraId="0E0DA0D3" w14:textId="77777777" w:rsidR="00BF249E" w:rsidRPr="005A4F9F" w:rsidRDefault="00BF249E" w:rsidP="008B00DE">
            <w:pPr>
              <w:widowControl w:val="0"/>
              <w:tabs>
                <w:tab w:val="left" w:pos="284"/>
                <w:tab w:val="center" w:pos="4536"/>
                <w:tab w:val="right" w:pos="9072"/>
              </w:tabs>
              <w:jc w:val="both"/>
              <w:rPr>
                <w:sz w:val="22"/>
                <w:szCs w:val="22"/>
                <w:lang w:val="sr-Latn-ME"/>
              </w:rPr>
            </w:pPr>
          </w:p>
        </w:tc>
      </w:tr>
      <w:tr w:rsidR="00FE073E" w:rsidRPr="005A4F9F" w14:paraId="315A4F84" w14:textId="77777777" w:rsidTr="008B00DE">
        <w:trPr>
          <w:jc w:val="center"/>
        </w:trPr>
        <w:tc>
          <w:tcPr>
            <w:tcW w:w="817" w:type="pct"/>
          </w:tcPr>
          <w:p w14:paraId="04B47E7A"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Respiratorni,</w:t>
            </w:r>
          </w:p>
          <w:p w14:paraId="1B64C000"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grudni i</w:t>
            </w:r>
          </w:p>
          <w:p w14:paraId="032683E4" w14:textId="77777777" w:rsidR="00BF249E" w:rsidRPr="005A4F9F" w:rsidRDefault="0064575C" w:rsidP="008B00DE">
            <w:pPr>
              <w:widowControl w:val="0"/>
              <w:tabs>
                <w:tab w:val="left" w:pos="284"/>
                <w:tab w:val="center" w:pos="4536"/>
                <w:tab w:val="right" w:pos="9072"/>
              </w:tabs>
              <w:jc w:val="both"/>
              <w:rPr>
                <w:sz w:val="22"/>
                <w:szCs w:val="22"/>
                <w:lang w:val="sr-Latn-ME"/>
              </w:rPr>
            </w:pPr>
            <w:r w:rsidRPr="005A4F9F">
              <w:rPr>
                <w:sz w:val="22"/>
                <w:szCs w:val="22"/>
                <w:lang w:val="sr-Latn-ME"/>
              </w:rPr>
              <w:t xml:space="preserve">medijastinalni poremećaji </w:t>
            </w:r>
          </w:p>
        </w:tc>
        <w:tc>
          <w:tcPr>
            <w:tcW w:w="997" w:type="pct"/>
          </w:tcPr>
          <w:p w14:paraId="779E64AB"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1288DFB9"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Kašalj, dispne</w:t>
            </w:r>
            <w:r w:rsidR="0064575C" w:rsidRPr="005A4F9F">
              <w:rPr>
                <w:sz w:val="22"/>
                <w:szCs w:val="22"/>
                <w:lang w:val="sr-Latn-ME"/>
              </w:rPr>
              <w:t>j</w:t>
            </w:r>
            <w:r w:rsidRPr="005A4F9F">
              <w:rPr>
                <w:sz w:val="22"/>
                <w:szCs w:val="22"/>
                <w:lang w:val="sr-Latn-ME"/>
              </w:rPr>
              <w:t>a</w:t>
            </w:r>
          </w:p>
        </w:tc>
        <w:tc>
          <w:tcPr>
            <w:tcW w:w="948" w:type="pct"/>
          </w:tcPr>
          <w:p w14:paraId="27FB8078" w14:textId="77777777" w:rsidR="00BF249E" w:rsidRPr="005A4F9F" w:rsidRDefault="00BF249E">
            <w:pPr>
              <w:widowControl w:val="0"/>
              <w:tabs>
                <w:tab w:val="left" w:pos="284"/>
                <w:tab w:val="center" w:pos="4536"/>
                <w:tab w:val="right" w:pos="9072"/>
              </w:tabs>
              <w:jc w:val="both"/>
              <w:rPr>
                <w:strike/>
                <w:sz w:val="22"/>
                <w:szCs w:val="22"/>
                <w:lang w:val="sr-Latn-ME"/>
              </w:rPr>
            </w:pPr>
          </w:p>
        </w:tc>
        <w:tc>
          <w:tcPr>
            <w:tcW w:w="615" w:type="pct"/>
          </w:tcPr>
          <w:p w14:paraId="767C4146" w14:textId="77777777" w:rsidR="00BF249E" w:rsidRPr="005A4F9F" w:rsidRDefault="00BF249E">
            <w:pPr>
              <w:widowControl w:val="0"/>
              <w:tabs>
                <w:tab w:val="left" w:pos="284"/>
                <w:tab w:val="center" w:pos="4536"/>
                <w:tab w:val="right" w:pos="9072"/>
              </w:tabs>
              <w:jc w:val="both"/>
              <w:rPr>
                <w:strike/>
                <w:sz w:val="22"/>
                <w:szCs w:val="22"/>
                <w:lang w:val="sr-Latn-ME"/>
              </w:rPr>
            </w:pPr>
          </w:p>
        </w:tc>
        <w:tc>
          <w:tcPr>
            <w:tcW w:w="681" w:type="pct"/>
          </w:tcPr>
          <w:p w14:paraId="17E117CA" w14:textId="77777777" w:rsidR="00BF249E" w:rsidRPr="005A4F9F" w:rsidRDefault="00BF249E">
            <w:pPr>
              <w:widowControl w:val="0"/>
              <w:tabs>
                <w:tab w:val="left" w:pos="284"/>
                <w:tab w:val="center" w:pos="4536"/>
                <w:tab w:val="right" w:pos="9072"/>
              </w:tabs>
              <w:jc w:val="both"/>
              <w:rPr>
                <w:strike/>
                <w:sz w:val="22"/>
                <w:szCs w:val="22"/>
                <w:lang w:val="sr-Latn-ME"/>
              </w:rPr>
            </w:pPr>
          </w:p>
        </w:tc>
      </w:tr>
      <w:tr w:rsidR="00FE073E" w:rsidRPr="005A4F9F" w14:paraId="754D9C47" w14:textId="77777777" w:rsidTr="008B00DE">
        <w:trPr>
          <w:jc w:val="center"/>
        </w:trPr>
        <w:tc>
          <w:tcPr>
            <w:tcW w:w="817" w:type="pct"/>
          </w:tcPr>
          <w:p w14:paraId="70A93818"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Gastrointestinalni poremećaji</w:t>
            </w:r>
          </w:p>
        </w:tc>
        <w:tc>
          <w:tcPr>
            <w:tcW w:w="997" w:type="pct"/>
          </w:tcPr>
          <w:p w14:paraId="26D9D2F4"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0D7E9337"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Abdominalni bol, ulceracije u ustima, gastritis</w:t>
            </w:r>
          </w:p>
        </w:tc>
        <w:tc>
          <w:tcPr>
            <w:tcW w:w="948" w:type="pct"/>
          </w:tcPr>
          <w:p w14:paraId="4BE25DC7" w14:textId="77777777" w:rsidR="00BF249E" w:rsidRPr="005A4F9F" w:rsidRDefault="00BF249E">
            <w:pPr>
              <w:widowControl w:val="0"/>
              <w:tabs>
                <w:tab w:val="left" w:pos="284"/>
                <w:tab w:val="center" w:pos="4536"/>
                <w:tab w:val="right" w:pos="9072"/>
              </w:tabs>
              <w:jc w:val="both"/>
              <w:rPr>
                <w:strike/>
                <w:sz w:val="22"/>
                <w:szCs w:val="22"/>
                <w:lang w:val="sr-Latn-ME"/>
              </w:rPr>
            </w:pPr>
            <w:r w:rsidRPr="005A4F9F">
              <w:rPr>
                <w:sz w:val="22"/>
                <w:szCs w:val="22"/>
                <w:lang w:val="sr-Latn-ME"/>
              </w:rPr>
              <w:t>Stomatitis,</w:t>
            </w:r>
            <w:r w:rsidRPr="008B00DE">
              <w:rPr>
                <w:sz w:val="22"/>
                <w:szCs w:val="22"/>
                <w:lang w:val="sr-Latn-ME"/>
              </w:rPr>
              <w:t xml:space="preserve"> </w:t>
            </w:r>
            <w:r w:rsidRPr="005A4F9F">
              <w:rPr>
                <w:sz w:val="22"/>
                <w:szCs w:val="22"/>
                <w:lang w:val="sr-Latn-ME"/>
              </w:rPr>
              <w:t>gastrične ulceracije</w:t>
            </w:r>
          </w:p>
        </w:tc>
        <w:tc>
          <w:tcPr>
            <w:tcW w:w="615" w:type="pct"/>
          </w:tcPr>
          <w:p w14:paraId="463468FE" w14:textId="77777777" w:rsidR="00BF249E" w:rsidRPr="005A4F9F" w:rsidRDefault="00BF249E">
            <w:pPr>
              <w:widowControl w:val="0"/>
              <w:tabs>
                <w:tab w:val="left" w:pos="284"/>
                <w:tab w:val="center" w:pos="4536"/>
                <w:tab w:val="right" w:pos="9072"/>
              </w:tabs>
              <w:jc w:val="both"/>
              <w:rPr>
                <w:strike/>
                <w:sz w:val="22"/>
                <w:szCs w:val="22"/>
                <w:lang w:val="sr-Latn-ME"/>
              </w:rPr>
            </w:pPr>
          </w:p>
        </w:tc>
        <w:tc>
          <w:tcPr>
            <w:tcW w:w="681" w:type="pct"/>
          </w:tcPr>
          <w:p w14:paraId="63ACBFF9" w14:textId="77777777" w:rsidR="00BF249E" w:rsidRPr="005A4F9F" w:rsidRDefault="00BF249E">
            <w:pPr>
              <w:widowControl w:val="0"/>
              <w:tabs>
                <w:tab w:val="left" w:pos="284"/>
                <w:tab w:val="center" w:pos="4536"/>
                <w:tab w:val="right" w:pos="9072"/>
              </w:tabs>
              <w:jc w:val="both"/>
              <w:rPr>
                <w:strike/>
                <w:sz w:val="22"/>
                <w:szCs w:val="22"/>
                <w:lang w:val="sr-Latn-ME"/>
              </w:rPr>
            </w:pPr>
          </w:p>
        </w:tc>
      </w:tr>
      <w:tr w:rsidR="00FE073E" w:rsidRPr="005A4F9F" w14:paraId="208B97C8" w14:textId="77777777" w:rsidTr="008B00DE">
        <w:trPr>
          <w:jc w:val="center"/>
        </w:trPr>
        <w:tc>
          <w:tcPr>
            <w:tcW w:w="817" w:type="pct"/>
          </w:tcPr>
          <w:p w14:paraId="3D71546B"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Hepatobilijarni poremećaji</w:t>
            </w:r>
          </w:p>
        </w:tc>
        <w:tc>
          <w:tcPr>
            <w:tcW w:w="997" w:type="pct"/>
          </w:tcPr>
          <w:p w14:paraId="3FC053D4"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505CC661" w14:textId="77777777" w:rsidR="00BF249E" w:rsidRPr="005A4F9F" w:rsidRDefault="00BF249E">
            <w:pPr>
              <w:widowControl w:val="0"/>
              <w:tabs>
                <w:tab w:val="left" w:pos="284"/>
                <w:tab w:val="center" w:pos="4536"/>
                <w:tab w:val="right" w:pos="9072"/>
              </w:tabs>
              <w:jc w:val="both"/>
              <w:rPr>
                <w:sz w:val="22"/>
                <w:szCs w:val="22"/>
                <w:lang w:val="sr-Latn-ME"/>
              </w:rPr>
            </w:pPr>
          </w:p>
        </w:tc>
        <w:tc>
          <w:tcPr>
            <w:tcW w:w="948" w:type="pct"/>
          </w:tcPr>
          <w:p w14:paraId="12335354" w14:textId="77777777" w:rsidR="00BF249E" w:rsidRPr="005A4F9F" w:rsidRDefault="00BF249E">
            <w:pPr>
              <w:widowControl w:val="0"/>
              <w:tabs>
                <w:tab w:val="left" w:pos="284"/>
                <w:tab w:val="center" w:pos="4536"/>
                <w:tab w:val="right" w:pos="9072"/>
              </w:tabs>
              <w:jc w:val="both"/>
              <w:rPr>
                <w:sz w:val="22"/>
                <w:szCs w:val="22"/>
                <w:lang w:val="sr-Latn-ME"/>
              </w:rPr>
            </w:pPr>
          </w:p>
        </w:tc>
        <w:tc>
          <w:tcPr>
            <w:tcW w:w="615" w:type="pct"/>
          </w:tcPr>
          <w:p w14:paraId="56107A0F"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Oštećenje jetre</w:t>
            </w:r>
          </w:p>
          <w:p w14:paraId="5127624C"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lastRenderedPageBreak/>
              <w:t>izazvano</w:t>
            </w:r>
          </w:p>
          <w:p w14:paraId="6EF2D712"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primjenom lijeka,</w:t>
            </w:r>
          </w:p>
          <w:p w14:paraId="7531C918"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hepatitis, žutica</w:t>
            </w:r>
          </w:p>
        </w:tc>
        <w:tc>
          <w:tcPr>
            <w:tcW w:w="681" w:type="pct"/>
          </w:tcPr>
          <w:p w14:paraId="11FC8BCB" w14:textId="77777777" w:rsidR="00BF249E" w:rsidRPr="005A4F9F" w:rsidRDefault="00BF249E">
            <w:pPr>
              <w:widowControl w:val="0"/>
              <w:tabs>
                <w:tab w:val="left" w:pos="284"/>
                <w:tab w:val="center" w:pos="4536"/>
                <w:tab w:val="right" w:pos="9072"/>
              </w:tabs>
              <w:jc w:val="both"/>
              <w:rPr>
                <w:strike/>
                <w:sz w:val="22"/>
                <w:szCs w:val="22"/>
                <w:lang w:val="sr-Latn-ME"/>
              </w:rPr>
            </w:pPr>
            <w:r w:rsidRPr="005A4F9F">
              <w:rPr>
                <w:sz w:val="22"/>
                <w:szCs w:val="22"/>
                <w:lang w:val="sr-Latn-ME"/>
              </w:rPr>
              <w:lastRenderedPageBreak/>
              <w:t>Insuficijencija jetre</w:t>
            </w:r>
          </w:p>
        </w:tc>
      </w:tr>
      <w:tr w:rsidR="00FE073E" w:rsidRPr="005A4F9F" w14:paraId="2173A7B2" w14:textId="77777777" w:rsidTr="008B00DE">
        <w:trPr>
          <w:jc w:val="center"/>
        </w:trPr>
        <w:tc>
          <w:tcPr>
            <w:tcW w:w="817" w:type="pct"/>
          </w:tcPr>
          <w:p w14:paraId="264A8D81"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Poremećaji kože i potkožnog tkiva</w:t>
            </w:r>
          </w:p>
        </w:tc>
        <w:tc>
          <w:tcPr>
            <w:tcW w:w="997" w:type="pct"/>
          </w:tcPr>
          <w:p w14:paraId="15234A09"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05DBE948"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Os</w:t>
            </w:r>
            <w:r w:rsidR="0064575C" w:rsidRPr="005A4F9F">
              <w:rPr>
                <w:sz w:val="22"/>
                <w:szCs w:val="22"/>
                <w:lang w:val="sr-Latn-ME"/>
              </w:rPr>
              <w:t>ip</w:t>
            </w:r>
            <w:r w:rsidRPr="005A4F9F">
              <w:rPr>
                <w:sz w:val="22"/>
                <w:szCs w:val="22"/>
                <w:lang w:val="sr-Latn-ME"/>
              </w:rPr>
              <w:t>,</w:t>
            </w:r>
            <w:r w:rsidR="0064575C" w:rsidRPr="005A4F9F">
              <w:rPr>
                <w:sz w:val="22"/>
                <w:szCs w:val="22"/>
                <w:lang w:val="sr-Latn-ME"/>
              </w:rPr>
              <w:t xml:space="preserve"> </w:t>
            </w:r>
            <w:r w:rsidRPr="005A4F9F">
              <w:rPr>
                <w:sz w:val="22"/>
                <w:szCs w:val="22"/>
                <w:lang w:val="sr-Latn-ME"/>
              </w:rPr>
              <w:t>pruritus, urtikarija</w:t>
            </w:r>
          </w:p>
        </w:tc>
        <w:tc>
          <w:tcPr>
            <w:tcW w:w="948" w:type="pct"/>
          </w:tcPr>
          <w:p w14:paraId="6091107F" w14:textId="77777777" w:rsidR="00BF249E" w:rsidRPr="005A4F9F" w:rsidRDefault="00BF249E">
            <w:pPr>
              <w:widowControl w:val="0"/>
              <w:tabs>
                <w:tab w:val="left" w:pos="284"/>
                <w:tab w:val="center" w:pos="4536"/>
                <w:tab w:val="right" w:pos="9072"/>
              </w:tabs>
              <w:jc w:val="both"/>
              <w:rPr>
                <w:strike/>
                <w:sz w:val="22"/>
                <w:szCs w:val="22"/>
                <w:lang w:val="sr-Latn-ME"/>
              </w:rPr>
            </w:pPr>
          </w:p>
        </w:tc>
        <w:tc>
          <w:tcPr>
            <w:tcW w:w="615" w:type="pct"/>
          </w:tcPr>
          <w:p w14:paraId="3832D1D2" w14:textId="77777777" w:rsidR="00BF249E" w:rsidRPr="005A4F9F" w:rsidRDefault="00BF249E">
            <w:pPr>
              <w:widowControl w:val="0"/>
              <w:tabs>
                <w:tab w:val="left" w:pos="284"/>
                <w:tab w:val="center" w:pos="4536"/>
                <w:tab w:val="right" w:pos="9072"/>
              </w:tabs>
              <w:jc w:val="both"/>
              <w:rPr>
                <w:strike/>
                <w:sz w:val="22"/>
                <w:szCs w:val="22"/>
                <w:lang w:val="sr-Latn-ME"/>
              </w:rPr>
            </w:pPr>
            <w:r w:rsidRPr="008B00DE">
              <w:rPr>
                <w:sz w:val="22"/>
                <w:szCs w:val="22"/>
                <w:lang w:val="sr-Latn-ME"/>
              </w:rPr>
              <w:t>Stevens-Johnsonov sindrom</w:t>
            </w:r>
            <w:r w:rsidRPr="008B00DE">
              <w:rPr>
                <w:sz w:val="22"/>
                <w:szCs w:val="22"/>
                <w:vertAlign w:val="superscript"/>
                <w:lang w:val="sr-Latn-ME"/>
              </w:rPr>
              <w:t>3</w:t>
            </w:r>
          </w:p>
        </w:tc>
        <w:tc>
          <w:tcPr>
            <w:tcW w:w="681" w:type="pct"/>
          </w:tcPr>
          <w:p w14:paraId="10A83E88" w14:textId="77777777" w:rsidR="00BF249E" w:rsidRPr="005A4F9F" w:rsidRDefault="00BF249E">
            <w:pPr>
              <w:widowControl w:val="0"/>
              <w:tabs>
                <w:tab w:val="left" w:pos="284"/>
                <w:tab w:val="center" w:pos="4536"/>
                <w:tab w:val="right" w:pos="9072"/>
              </w:tabs>
              <w:jc w:val="both"/>
              <w:rPr>
                <w:strike/>
                <w:sz w:val="22"/>
                <w:szCs w:val="22"/>
                <w:lang w:val="sr-Latn-ME"/>
              </w:rPr>
            </w:pPr>
          </w:p>
        </w:tc>
      </w:tr>
      <w:tr w:rsidR="00FE073E" w:rsidRPr="005A4F9F" w14:paraId="0BB021CD" w14:textId="77777777" w:rsidTr="008B00DE">
        <w:trPr>
          <w:jc w:val="center"/>
        </w:trPr>
        <w:tc>
          <w:tcPr>
            <w:tcW w:w="817" w:type="pct"/>
          </w:tcPr>
          <w:p w14:paraId="6CF52BA8"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Poremećaji bubrega i urinarnog sistema</w:t>
            </w:r>
          </w:p>
        </w:tc>
        <w:tc>
          <w:tcPr>
            <w:tcW w:w="997" w:type="pct"/>
          </w:tcPr>
          <w:p w14:paraId="1498BDA0"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42AF64B0" w14:textId="77777777" w:rsidR="00BF249E" w:rsidRPr="005A4F9F" w:rsidRDefault="00BF249E">
            <w:pPr>
              <w:widowControl w:val="0"/>
              <w:tabs>
                <w:tab w:val="left" w:pos="284"/>
                <w:tab w:val="center" w:pos="4536"/>
                <w:tab w:val="right" w:pos="9072"/>
              </w:tabs>
              <w:jc w:val="both"/>
              <w:rPr>
                <w:sz w:val="22"/>
                <w:szCs w:val="22"/>
                <w:lang w:val="sr-Latn-ME"/>
              </w:rPr>
            </w:pPr>
          </w:p>
        </w:tc>
        <w:tc>
          <w:tcPr>
            <w:tcW w:w="948" w:type="pct"/>
          </w:tcPr>
          <w:p w14:paraId="5DB68B4D"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Nefrolitijaza</w:t>
            </w:r>
          </w:p>
        </w:tc>
        <w:tc>
          <w:tcPr>
            <w:tcW w:w="615" w:type="pct"/>
          </w:tcPr>
          <w:p w14:paraId="3F0B013C" w14:textId="77777777" w:rsidR="00BF249E" w:rsidRPr="005A4F9F" w:rsidRDefault="00BF249E">
            <w:pPr>
              <w:widowControl w:val="0"/>
              <w:tabs>
                <w:tab w:val="left" w:pos="284"/>
                <w:tab w:val="center" w:pos="4536"/>
                <w:tab w:val="right" w:pos="9072"/>
              </w:tabs>
              <w:jc w:val="both"/>
              <w:rPr>
                <w:sz w:val="22"/>
                <w:szCs w:val="22"/>
                <w:lang w:val="sr-Latn-ME"/>
              </w:rPr>
            </w:pPr>
          </w:p>
        </w:tc>
        <w:tc>
          <w:tcPr>
            <w:tcW w:w="681" w:type="pct"/>
          </w:tcPr>
          <w:p w14:paraId="243B22BB" w14:textId="77777777" w:rsidR="00BF249E" w:rsidRPr="005A4F9F" w:rsidRDefault="00BF249E">
            <w:pPr>
              <w:widowControl w:val="0"/>
              <w:tabs>
                <w:tab w:val="left" w:pos="284"/>
                <w:tab w:val="center" w:pos="4536"/>
                <w:tab w:val="right" w:pos="9072"/>
              </w:tabs>
              <w:jc w:val="both"/>
              <w:rPr>
                <w:sz w:val="22"/>
                <w:szCs w:val="22"/>
                <w:lang w:val="sr-Latn-ME"/>
              </w:rPr>
            </w:pPr>
          </w:p>
        </w:tc>
      </w:tr>
      <w:tr w:rsidR="00FE073E" w:rsidRPr="005A4F9F" w14:paraId="7D44947E" w14:textId="77777777" w:rsidTr="008B00DE">
        <w:trPr>
          <w:jc w:val="center"/>
        </w:trPr>
        <w:tc>
          <w:tcPr>
            <w:tcW w:w="817" w:type="pct"/>
          </w:tcPr>
          <w:p w14:paraId="7F0D5BFB" w14:textId="74969D7B"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Opšti poremećaji i reakcije na mestu prim</w:t>
            </w:r>
            <w:r w:rsidR="00053C2C" w:rsidRPr="005A4F9F">
              <w:rPr>
                <w:sz w:val="22"/>
                <w:szCs w:val="22"/>
                <w:lang w:val="sr-Latn-ME"/>
              </w:rPr>
              <w:t>j</w:t>
            </w:r>
            <w:r w:rsidRPr="005A4F9F">
              <w:rPr>
                <w:sz w:val="22"/>
                <w:szCs w:val="22"/>
                <w:lang w:val="sr-Latn-ME"/>
              </w:rPr>
              <w:t>ene</w:t>
            </w:r>
          </w:p>
        </w:tc>
        <w:tc>
          <w:tcPr>
            <w:tcW w:w="997" w:type="pct"/>
          </w:tcPr>
          <w:p w14:paraId="3E8EBA53"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048ECBA9" w14:textId="77777777" w:rsidR="00BF249E" w:rsidRPr="005A4F9F" w:rsidRDefault="00BF249E" w:rsidP="008B00DE">
            <w:pPr>
              <w:widowControl w:val="0"/>
              <w:tabs>
                <w:tab w:val="left" w:pos="284"/>
                <w:tab w:val="center" w:pos="4536"/>
                <w:tab w:val="right" w:pos="9072"/>
              </w:tabs>
              <w:jc w:val="both"/>
              <w:rPr>
                <w:sz w:val="22"/>
                <w:szCs w:val="22"/>
                <w:lang w:val="sr-Latn-ME"/>
              </w:rPr>
            </w:pPr>
            <w:r w:rsidRPr="005A4F9F">
              <w:rPr>
                <w:sz w:val="22"/>
                <w:szCs w:val="22"/>
                <w:lang w:val="sr-Latn-ME"/>
              </w:rPr>
              <w:t xml:space="preserve">Periferni </w:t>
            </w:r>
            <w:r w:rsidR="0064575C" w:rsidRPr="005A4F9F">
              <w:rPr>
                <w:sz w:val="22"/>
                <w:szCs w:val="22"/>
                <w:lang w:val="sr-Latn-ME"/>
              </w:rPr>
              <w:t>edem</w:t>
            </w:r>
            <w:r w:rsidRPr="005A4F9F">
              <w:rPr>
                <w:sz w:val="22"/>
                <w:szCs w:val="22"/>
                <w:lang w:val="sr-Latn-ME"/>
              </w:rPr>
              <w:t>, reakcije preosjetljivosti</w:t>
            </w:r>
          </w:p>
        </w:tc>
        <w:tc>
          <w:tcPr>
            <w:tcW w:w="948" w:type="pct"/>
          </w:tcPr>
          <w:p w14:paraId="7527CD23" w14:textId="77777777" w:rsidR="00BF249E" w:rsidRPr="005A4F9F" w:rsidRDefault="00BF249E">
            <w:pPr>
              <w:widowControl w:val="0"/>
              <w:tabs>
                <w:tab w:val="left" w:pos="284"/>
                <w:tab w:val="center" w:pos="4536"/>
                <w:tab w:val="right" w:pos="9072"/>
              </w:tabs>
              <w:jc w:val="both"/>
              <w:rPr>
                <w:sz w:val="22"/>
                <w:szCs w:val="22"/>
                <w:lang w:val="sr-Latn-ME"/>
              </w:rPr>
            </w:pPr>
          </w:p>
        </w:tc>
        <w:tc>
          <w:tcPr>
            <w:tcW w:w="615" w:type="pct"/>
          </w:tcPr>
          <w:p w14:paraId="12F5A124" w14:textId="77777777" w:rsidR="00BF249E" w:rsidRPr="005A4F9F" w:rsidRDefault="00BF249E">
            <w:pPr>
              <w:widowControl w:val="0"/>
              <w:tabs>
                <w:tab w:val="left" w:pos="284"/>
                <w:tab w:val="center" w:pos="4536"/>
                <w:tab w:val="right" w:pos="9072"/>
              </w:tabs>
              <w:jc w:val="both"/>
              <w:rPr>
                <w:sz w:val="22"/>
                <w:szCs w:val="22"/>
                <w:lang w:val="sr-Latn-ME"/>
              </w:rPr>
            </w:pPr>
          </w:p>
        </w:tc>
        <w:tc>
          <w:tcPr>
            <w:tcW w:w="681" w:type="pct"/>
          </w:tcPr>
          <w:p w14:paraId="7433AB6E" w14:textId="77777777" w:rsidR="00BF249E" w:rsidRPr="005A4F9F" w:rsidRDefault="00BF249E">
            <w:pPr>
              <w:widowControl w:val="0"/>
              <w:tabs>
                <w:tab w:val="left" w:pos="284"/>
                <w:tab w:val="center" w:pos="4536"/>
                <w:tab w:val="right" w:pos="9072"/>
              </w:tabs>
              <w:jc w:val="both"/>
              <w:rPr>
                <w:sz w:val="22"/>
                <w:szCs w:val="22"/>
                <w:lang w:val="sr-Latn-ME"/>
              </w:rPr>
            </w:pPr>
          </w:p>
        </w:tc>
      </w:tr>
      <w:tr w:rsidR="00FE073E" w:rsidRPr="005A4F9F" w14:paraId="2BBA77D4" w14:textId="77777777" w:rsidTr="008B00DE">
        <w:trPr>
          <w:jc w:val="center"/>
        </w:trPr>
        <w:tc>
          <w:tcPr>
            <w:tcW w:w="817" w:type="pct"/>
          </w:tcPr>
          <w:p w14:paraId="4B019797"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Analize</w:t>
            </w:r>
          </w:p>
        </w:tc>
        <w:tc>
          <w:tcPr>
            <w:tcW w:w="997" w:type="pct"/>
          </w:tcPr>
          <w:p w14:paraId="17215267" w14:textId="77777777" w:rsidR="00BF249E" w:rsidRPr="005A4F9F" w:rsidRDefault="00BF249E">
            <w:pPr>
              <w:widowControl w:val="0"/>
              <w:tabs>
                <w:tab w:val="left" w:pos="284"/>
                <w:tab w:val="center" w:pos="4536"/>
                <w:tab w:val="right" w:pos="9072"/>
              </w:tabs>
              <w:jc w:val="both"/>
              <w:rPr>
                <w:sz w:val="22"/>
                <w:szCs w:val="22"/>
                <w:lang w:val="sr-Latn-ME"/>
              </w:rPr>
            </w:pPr>
          </w:p>
        </w:tc>
        <w:tc>
          <w:tcPr>
            <w:tcW w:w="942" w:type="pct"/>
          </w:tcPr>
          <w:p w14:paraId="7462E506"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Povećane</w:t>
            </w:r>
          </w:p>
          <w:p w14:paraId="10F90C72"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transaminaze jetre,</w:t>
            </w:r>
          </w:p>
          <w:p w14:paraId="3D5F2F3B"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Povećanje tjelesne</w:t>
            </w:r>
          </w:p>
          <w:p w14:paraId="07A3BEA8"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težine, povećan</w:t>
            </w:r>
          </w:p>
          <w:p w14:paraId="2FD5ECCD" w14:textId="77777777" w:rsidR="00BF249E" w:rsidRPr="005A4F9F" w:rsidRDefault="00BF249E">
            <w:pPr>
              <w:widowControl w:val="0"/>
              <w:tabs>
                <w:tab w:val="left" w:pos="284"/>
                <w:tab w:val="center" w:pos="4536"/>
                <w:tab w:val="right" w:pos="9072"/>
              </w:tabs>
              <w:jc w:val="both"/>
              <w:rPr>
                <w:sz w:val="22"/>
                <w:szCs w:val="22"/>
                <w:lang w:val="sr-Latn-ME"/>
              </w:rPr>
            </w:pPr>
            <w:r w:rsidRPr="005A4F9F">
              <w:rPr>
                <w:sz w:val="22"/>
                <w:szCs w:val="22"/>
                <w:lang w:val="sr-Latn-ME"/>
              </w:rPr>
              <w:t>ukupan bilirubin*</w:t>
            </w:r>
          </w:p>
        </w:tc>
        <w:tc>
          <w:tcPr>
            <w:tcW w:w="948" w:type="pct"/>
          </w:tcPr>
          <w:p w14:paraId="3CEA5009" w14:textId="77777777" w:rsidR="00BF249E" w:rsidRPr="005A4F9F" w:rsidRDefault="00BF249E">
            <w:pPr>
              <w:widowControl w:val="0"/>
              <w:tabs>
                <w:tab w:val="left" w:pos="284"/>
                <w:tab w:val="center" w:pos="4536"/>
                <w:tab w:val="right" w:pos="9072"/>
              </w:tabs>
              <w:jc w:val="both"/>
              <w:rPr>
                <w:sz w:val="22"/>
                <w:szCs w:val="22"/>
                <w:lang w:val="sr-Latn-ME"/>
              </w:rPr>
            </w:pPr>
          </w:p>
        </w:tc>
        <w:tc>
          <w:tcPr>
            <w:tcW w:w="615" w:type="pct"/>
          </w:tcPr>
          <w:p w14:paraId="040D41C4" w14:textId="77777777" w:rsidR="00BF249E" w:rsidRPr="005A4F9F" w:rsidRDefault="00BF249E">
            <w:pPr>
              <w:widowControl w:val="0"/>
              <w:tabs>
                <w:tab w:val="left" w:pos="284"/>
                <w:tab w:val="center" w:pos="4536"/>
                <w:tab w:val="right" w:pos="9072"/>
              </w:tabs>
              <w:jc w:val="both"/>
              <w:rPr>
                <w:sz w:val="22"/>
                <w:szCs w:val="22"/>
                <w:lang w:val="sr-Latn-ME"/>
              </w:rPr>
            </w:pPr>
          </w:p>
        </w:tc>
        <w:tc>
          <w:tcPr>
            <w:tcW w:w="681" w:type="pct"/>
          </w:tcPr>
          <w:p w14:paraId="0BA09D2D" w14:textId="77777777" w:rsidR="00BF249E" w:rsidRPr="005A4F9F" w:rsidRDefault="00BF249E">
            <w:pPr>
              <w:widowControl w:val="0"/>
              <w:tabs>
                <w:tab w:val="left" w:pos="284"/>
                <w:tab w:val="center" w:pos="4536"/>
                <w:tab w:val="right" w:pos="9072"/>
              </w:tabs>
              <w:jc w:val="both"/>
              <w:rPr>
                <w:sz w:val="22"/>
                <w:szCs w:val="22"/>
                <w:lang w:val="sr-Latn-ME"/>
              </w:rPr>
            </w:pPr>
          </w:p>
        </w:tc>
      </w:tr>
    </w:tbl>
    <w:p w14:paraId="5F5937EA" w14:textId="77777777" w:rsidR="00C66563" w:rsidRPr="005A4F9F" w:rsidRDefault="00C66563">
      <w:pPr>
        <w:widowControl w:val="0"/>
        <w:spacing w:line="246" w:lineRule="exact"/>
        <w:jc w:val="both"/>
        <w:rPr>
          <w:sz w:val="22"/>
          <w:szCs w:val="22"/>
          <w:lang w:val="sr-Latn-ME"/>
        </w:rPr>
      </w:pPr>
      <w:r w:rsidRPr="005A4F9F">
        <w:rPr>
          <w:sz w:val="22"/>
          <w:szCs w:val="22"/>
          <w:lang w:val="sr-Latn-ME"/>
        </w:rPr>
        <w:t>*Uključuje slučajeve prikupljene kao dio rutiskog nadzora laboratorijskih analiza (vidjeti tekst ispod)</w:t>
      </w:r>
    </w:p>
    <w:p w14:paraId="7CC2F19B" w14:textId="77777777" w:rsidR="005B315C" w:rsidRPr="008B00DE" w:rsidRDefault="005B315C">
      <w:pPr>
        <w:widowControl w:val="0"/>
        <w:jc w:val="both"/>
        <w:rPr>
          <w:sz w:val="22"/>
          <w:szCs w:val="22"/>
          <w:lang w:val="sr-Latn-ME" w:eastAsia="ja-JP"/>
        </w:rPr>
      </w:pPr>
      <w:r w:rsidRPr="008B00DE">
        <w:rPr>
          <w:sz w:val="22"/>
          <w:szCs w:val="22"/>
          <w:vertAlign w:val="superscript"/>
          <w:lang w:val="sr-Latn-ME" w:eastAsia="ja-JP"/>
        </w:rPr>
        <w:t>1</w:t>
      </w:r>
      <w:r w:rsidRPr="008B00DE">
        <w:rPr>
          <w:sz w:val="22"/>
          <w:szCs w:val="22"/>
          <w:vertAlign w:val="superscript"/>
          <w:lang w:val="sr-Latn-ME" w:eastAsia="ja-JP"/>
        </w:rPr>
        <w:tab/>
      </w:r>
      <w:r w:rsidRPr="008B00DE">
        <w:rPr>
          <w:sz w:val="22"/>
          <w:szCs w:val="22"/>
          <w:lang w:val="sr-Latn-ME" w:eastAsia="ja-JP"/>
        </w:rPr>
        <w:t>Vid</w:t>
      </w:r>
      <w:r w:rsidR="0081385C" w:rsidRPr="008B00DE">
        <w:rPr>
          <w:sz w:val="22"/>
          <w:szCs w:val="22"/>
          <w:lang w:val="sr-Latn-ME" w:eastAsia="ja-JP"/>
        </w:rPr>
        <w:t>j</w:t>
      </w:r>
      <w:r w:rsidRPr="008B00DE">
        <w:rPr>
          <w:sz w:val="22"/>
          <w:szCs w:val="22"/>
          <w:lang w:val="sr-Latn-ME" w:eastAsia="ja-JP"/>
        </w:rPr>
        <w:t>eti dio 4.3</w:t>
      </w:r>
    </w:p>
    <w:p w14:paraId="5DBBD333" w14:textId="77777777" w:rsidR="005B315C" w:rsidRPr="008B00DE" w:rsidRDefault="005B315C">
      <w:pPr>
        <w:widowControl w:val="0"/>
        <w:jc w:val="both"/>
        <w:rPr>
          <w:sz w:val="22"/>
          <w:szCs w:val="22"/>
          <w:lang w:val="sr-Latn-ME" w:eastAsia="ja-JP"/>
        </w:rPr>
      </w:pPr>
      <w:r w:rsidRPr="008B00DE">
        <w:rPr>
          <w:sz w:val="22"/>
          <w:szCs w:val="22"/>
          <w:vertAlign w:val="superscript"/>
          <w:lang w:val="sr-Latn-ME" w:eastAsia="ja-JP"/>
        </w:rPr>
        <w:t>2</w:t>
      </w:r>
      <w:r w:rsidRPr="008B00DE">
        <w:rPr>
          <w:sz w:val="22"/>
          <w:szCs w:val="22"/>
          <w:vertAlign w:val="superscript"/>
          <w:lang w:val="sr-Latn-ME" w:eastAsia="ja-JP"/>
        </w:rPr>
        <w:tab/>
      </w:r>
      <w:r w:rsidRPr="008B00DE">
        <w:rPr>
          <w:sz w:val="22"/>
          <w:szCs w:val="22"/>
          <w:lang w:val="sr-Latn-ME" w:eastAsia="ja-JP"/>
        </w:rPr>
        <w:t>Vid</w:t>
      </w:r>
      <w:r w:rsidR="0081385C" w:rsidRPr="008B00DE">
        <w:rPr>
          <w:sz w:val="22"/>
          <w:szCs w:val="22"/>
          <w:lang w:val="sr-Latn-ME" w:eastAsia="ja-JP"/>
        </w:rPr>
        <w:t>j</w:t>
      </w:r>
      <w:r w:rsidRPr="008B00DE">
        <w:rPr>
          <w:sz w:val="22"/>
          <w:szCs w:val="22"/>
          <w:lang w:val="sr-Latn-ME" w:eastAsia="ja-JP"/>
        </w:rPr>
        <w:t>eti dio 4.4</w:t>
      </w:r>
    </w:p>
    <w:p w14:paraId="09A22A2A" w14:textId="77777777" w:rsidR="005B315C" w:rsidRPr="008B00DE" w:rsidRDefault="005B315C">
      <w:pPr>
        <w:widowControl w:val="0"/>
        <w:jc w:val="both"/>
        <w:rPr>
          <w:sz w:val="22"/>
          <w:szCs w:val="22"/>
          <w:lang w:val="sr-Latn-ME" w:eastAsia="ja-JP"/>
        </w:rPr>
      </w:pPr>
      <w:r w:rsidRPr="008B00DE">
        <w:rPr>
          <w:sz w:val="22"/>
          <w:szCs w:val="22"/>
          <w:vertAlign w:val="superscript"/>
          <w:lang w:val="sr-Latn-ME" w:eastAsia="ja-JP"/>
        </w:rPr>
        <w:t>3</w:t>
      </w:r>
      <w:r w:rsidRPr="008B00DE">
        <w:rPr>
          <w:sz w:val="22"/>
          <w:szCs w:val="22"/>
          <w:vertAlign w:val="superscript"/>
          <w:lang w:val="sr-Latn-ME" w:eastAsia="ja-JP"/>
        </w:rPr>
        <w:tab/>
      </w:r>
      <w:r w:rsidRPr="008B00DE">
        <w:rPr>
          <w:sz w:val="22"/>
          <w:szCs w:val="22"/>
          <w:lang w:val="sr-Latn-ME" w:eastAsia="ja-JP"/>
        </w:rPr>
        <w:t>Ova neželjena reakcija je utvrđena tokom postmarketinškog praćenja, ali nije uočena u kontrolisanim kliničkim ispitivanjima. Kategorija učestalosti proc</w:t>
      </w:r>
      <w:r w:rsidR="0081385C" w:rsidRPr="008B00DE">
        <w:rPr>
          <w:sz w:val="22"/>
          <w:szCs w:val="22"/>
          <w:lang w:val="sr-Latn-ME" w:eastAsia="ja-JP"/>
        </w:rPr>
        <w:t>ij</w:t>
      </w:r>
      <w:r w:rsidRPr="008B00DE">
        <w:rPr>
          <w:sz w:val="22"/>
          <w:szCs w:val="22"/>
          <w:lang w:val="sr-Latn-ME" w:eastAsia="ja-JP"/>
        </w:rPr>
        <w:t>enjena je kao gornja granica intervala poverenja od 95% izračunata na osnovu ukupnog broja pacijenata izloženih tocilizumabu u kliničkim ispitivanjima.</w:t>
      </w:r>
    </w:p>
    <w:p w14:paraId="41190E05" w14:textId="77777777" w:rsidR="0066374C" w:rsidRPr="008B00DE" w:rsidRDefault="0066374C">
      <w:pPr>
        <w:widowControl w:val="0"/>
        <w:jc w:val="both"/>
        <w:rPr>
          <w:b/>
          <w:bCs/>
          <w:sz w:val="22"/>
          <w:szCs w:val="22"/>
          <w:lang w:val="sr-Latn-ME" w:eastAsia="ja-JP"/>
        </w:rPr>
      </w:pPr>
    </w:p>
    <w:p w14:paraId="23C2C607" w14:textId="652A4AED" w:rsidR="0066374C" w:rsidRPr="005A4F9F" w:rsidRDefault="0066374C" w:rsidP="008B00DE">
      <w:pPr>
        <w:widowControl w:val="0"/>
        <w:jc w:val="both"/>
        <w:rPr>
          <w:b/>
          <w:bCs/>
          <w:i/>
          <w:iCs/>
          <w:sz w:val="22"/>
          <w:szCs w:val="22"/>
          <w:lang w:val="sr-Latn-ME"/>
        </w:rPr>
      </w:pPr>
      <w:r w:rsidRPr="005A4F9F">
        <w:rPr>
          <w:b/>
          <w:bCs/>
          <w:i/>
          <w:iCs/>
          <w:sz w:val="22"/>
          <w:szCs w:val="22"/>
          <w:lang w:val="sr-Latn-ME"/>
        </w:rPr>
        <w:t>Bolesnici s COVID-19 infekcijom</w:t>
      </w:r>
    </w:p>
    <w:p w14:paraId="0233B152" w14:textId="406C9B18" w:rsidR="0066374C" w:rsidRPr="005A4F9F" w:rsidRDefault="0066374C" w:rsidP="008B00DE">
      <w:pPr>
        <w:widowControl w:val="0"/>
        <w:jc w:val="both"/>
        <w:rPr>
          <w:sz w:val="22"/>
          <w:szCs w:val="22"/>
          <w:lang w:val="sr-Latn-ME"/>
        </w:rPr>
      </w:pPr>
      <w:r w:rsidRPr="005A4F9F">
        <w:rPr>
          <w:sz w:val="22"/>
          <w:szCs w:val="22"/>
          <w:lang w:val="sr-Latn-ME"/>
        </w:rPr>
        <w:t xml:space="preserve">Procjena sigurnosti ovog lijeka kod pacijenata s COVID-19 infekcijom </w:t>
      </w:r>
      <w:r w:rsidR="008B3674" w:rsidRPr="005A4F9F">
        <w:rPr>
          <w:sz w:val="22"/>
          <w:szCs w:val="22"/>
          <w:lang w:val="sr-Latn-ME"/>
        </w:rPr>
        <w:t>zasnovala</w:t>
      </w:r>
      <w:r w:rsidRPr="005A4F9F">
        <w:rPr>
          <w:sz w:val="22"/>
          <w:szCs w:val="22"/>
          <w:lang w:val="sr-Latn-ME"/>
        </w:rPr>
        <w:t xml:space="preserve"> se na 3 randomiz</w:t>
      </w:r>
      <w:r w:rsidR="008B3674" w:rsidRPr="005A4F9F">
        <w:rPr>
          <w:sz w:val="22"/>
          <w:szCs w:val="22"/>
          <w:lang w:val="sr-Latn-ME"/>
        </w:rPr>
        <w:t>ovana</w:t>
      </w:r>
      <w:r w:rsidRPr="005A4F9F">
        <w:rPr>
          <w:sz w:val="22"/>
          <w:szCs w:val="22"/>
          <w:lang w:val="sr-Latn-ME"/>
        </w:rPr>
        <w:t xml:space="preserve">, dvostruko slijepa, placebom kontrolisana ispitivanja (ispitivanja </w:t>
      </w:r>
      <w:r w:rsidR="00542633" w:rsidRPr="005A4F9F">
        <w:rPr>
          <w:sz w:val="22"/>
          <w:szCs w:val="22"/>
          <w:lang w:val="sr-Latn-ME"/>
        </w:rPr>
        <w:t>ML</w:t>
      </w:r>
      <w:r w:rsidRPr="005A4F9F">
        <w:rPr>
          <w:sz w:val="22"/>
          <w:szCs w:val="22"/>
          <w:lang w:val="sr-Latn-ME"/>
        </w:rPr>
        <w:t>42528, WA42380 i WA42511). U tim ispitivanjima su ukupno 974 pacijenta bila izložena tocilizumabu. Prikupljanje podataka o sigurnosti primjene iz ispitivanja RECOVERY bilo je ograničeno i oni ni</w:t>
      </w:r>
      <w:r w:rsidR="00A563B1" w:rsidRPr="005A4F9F">
        <w:rPr>
          <w:sz w:val="22"/>
          <w:szCs w:val="22"/>
          <w:lang w:val="sr-Latn-ME"/>
        </w:rPr>
        <w:t>je</w:t>
      </w:r>
      <w:r w:rsidRPr="005A4F9F">
        <w:rPr>
          <w:sz w:val="22"/>
          <w:szCs w:val="22"/>
          <w:lang w:val="sr-Latn-ME"/>
        </w:rPr>
        <w:t xml:space="preserve">su ovdje prikazani. </w:t>
      </w:r>
    </w:p>
    <w:p w14:paraId="142641CD" w14:textId="77777777" w:rsidR="0066374C" w:rsidRPr="005A4F9F" w:rsidRDefault="0066374C" w:rsidP="008B00DE">
      <w:pPr>
        <w:widowControl w:val="0"/>
        <w:jc w:val="both"/>
        <w:rPr>
          <w:sz w:val="22"/>
          <w:szCs w:val="22"/>
          <w:lang w:val="sr-Latn-ME"/>
        </w:rPr>
      </w:pPr>
    </w:p>
    <w:p w14:paraId="7D96094E" w14:textId="2186BB6A" w:rsidR="0066374C" w:rsidRPr="005A4F9F" w:rsidRDefault="0066374C" w:rsidP="008B00DE">
      <w:pPr>
        <w:widowControl w:val="0"/>
        <w:jc w:val="both"/>
        <w:rPr>
          <w:sz w:val="22"/>
          <w:szCs w:val="22"/>
          <w:lang w:val="sr-Latn-ME"/>
        </w:rPr>
      </w:pPr>
      <w:r w:rsidRPr="005A4F9F">
        <w:rPr>
          <w:sz w:val="22"/>
          <w:szCs w:val="22"/>
          <w:lang w:val="sr-Latn-ME"/>
        </w:rPr>
        <w:t xml:space="preserve">Sljedeća neželjena dejstva, navedena u Tabeli 2 prema MedDRA klasifikaciji sistema organa, potvrđena su na osnovu događaja koji su nastupili u najmanje 3% pacijenata liječenih tocilizumabom i češće nego kod pacijenata koji su primili placebo u objedinjenoj populaciji pogodnoj za ocjenu sigurnosti iz kliničkih ispitivanja </w:t>
      </w:r>
      <w:r w:rsidR="00542633" w:rsidRPr="005A4F9F">
        <w:rPr>
          <w:sz w:val="22"/>
          <w:szCs w:val="22"/>
          <w:lang w:val="sr-Latn-ME"/>
        </w:rPr>
        <w:t>ML</w:t>
      </w:r>
      <w:r w:rsidRPr="005A4F9F">
        <w:rPr>
          <w:sz w:val="22"/>
          <w:szCs w:val="22"/>
          <w:lang w:val="sr-Latn-ME"/>
        </w:rPr>
        <w:t>42528, WA42380 i WA42511.</w:t>
      </w:r>
    </w:p>
    <w:p w14:paraId="790A7327" w14:textId="77777777" w:rsidR="0066374C" w:rsidRPr="005A4F9F" w:rsidRDefault="0066374C" w:rsidP="008B00DE">
      <w:pPr>
        <w:widowControl w:val="0"/>
        <w:jc w:val="both"/>
        <w:rPr>
          <w:sz w:val="22"/>
          <w:szCs w:val="22"/>
          <w:lang w:val="sr-Latn-ME"/>
        </w:rPr>
      </w:pPr>
    </w:p>
    <w:p w14:paraId="24DC044F" w14:textId="4784932A" w:rsidR="0066374C" w:rsidRPr="005A4F9F" w:rsidRDefault="0066374C" w:rsidP="008B00DE">
      <w:pPr>
        <w:widowControl w:val="0"/>
        <w:jc w:val="both"/>
        <w:rPr>
          <w:i/>
          <w:sz w:val="22"/>
          <w:szCs w:val="22"/>
          <w:lang w:val="sr-Latn-ME"/>
        </w:rPr>
      </w:pPr>
      <w:r w:rsidRPr="005A4F9F">
        <w:rPr>
          <w:i/>
          <w:sz w:val="22"/>
          <w:szCs w:val="22"/>
          <w:lang w:val="sr-Latn-ME"/>
        </w:rPr>
        <w:t>Tabela 2.</w:t>
      </w:r>
      <w:r w:rsidRPr="005A4F9F">
        <w:rPr>
          <w:i/>
          <w:sz w:val="22"/>
          <w:szCs w:val="22"/>
          <w:vertAlign w:val="superscript"/>
          <w:lang w:val="sr-Latn-ME"/>
        </w:rPr>
        <w:t xml:space="preserve"> </w:t>
      </w:r>
      <w:r w:rsidRPr="005A4F9F">
        <w:rPr>
          <w:bCs/>
          <w:i/>
          <w:sz w:val="22"/>
          <w:szCs w:val="22"/>
          <w:lang w:val="sr-Latn-ME"/>
        </w:rPr>
        <w:t>Spisak neželjenih dejstava</w:t>
      </w:r>
      <w:r w:rsidRPr="005A4F9F">
        <w:rPr>
          <w:bCs/>
          <w:i/>
          <w:sz w:val="22"/>
          <w:szCs w:val="22"/>
          <w:vertAlign w:val="superscript"/>
          <w:lang w:val="sr-Latn-ME"/>
        </w:rPr>
        <w:t>1</w:t>
      </w:r>
      <w:r w:rsidRPr="005A4F9F">
        <w:rPr>
          <w:bCs/>
          <w:i/>
          <w:sz w:val="22"/>
          <w:szCs w:val="22"/>
          <w:lang w:val="sr-Latn-ME"/>
        </w:rPr>
        <w:t xml:space="preserve"> utvrđenih u objedinjenoj populaciji pogodnoj za ocjenu sigurnosti iz kliničkih ispitivanja tocilizumaba</w:t>
      </w:r>
      <w:r w:rsidRPr="005A4F9F">
        <w:rPr>
          <w:i/>
          <w:sz w:val="22"/>
          <w:szCs w:val="22"/>
          <w:lang w:val="sr-Latn-ME"/>
        </w:rPr>
        <w:t xml:space="preserve"> kod pacijenata s COVID-19 infekcijom</w:t>
      </w:r>
      <w:r w:rsidRPr="005A4F9F">
        <w:rPr>
          <w:i/>
          <w:sz w:val="22"/>
          <w:szCs w:val="22"/>
          <w:vertAlign w:val="superscript"/>
          <w:lang w:val="sr-Latn-ME"/>
        </w:rPr>
        <w:t>2</w:t>
      </w:r>
      <w:r w:rsidRPr="005A4F9F">
        <w:rPr>
          <w:i/>
          <w:sz w:val="22"/>
          <w:szCs w:val="22"/>
          <w:lang w:val="sr-Latn-ME"/>
        </w:rPr>
        <w:t xml:space="preserve"> </w:t>
      </w:r>
    </w:p>
    <w:p w14:paraId="279E20DE" w14:textId="77777777" w:rsidR="0066374C" w:rsidRPr="005A4F9F" w:rsidRDefault="0066374C" w:rsidP="008B00DE">
      <w:pPr>
        <w:widowControl w:val="0"/>
        <w:jc w:val="both"/>
        <w:rPr>
          <w:i/>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622"/>
      </w:tblGrid>
      <w:tr w:rsidR="0066374C" w:rsidRPr="005A4F9F" w14:paraId="1A9A7049" w14:textId="77777777" w:rsidTr="008B00DE">
        <w:tc>
          <w:tcPr>
            <w:tcW w:w="0" w:type="auto"/>
            <w:shd w:val="clear" w:color="auto" w:fill="auto"/>
          </w:tcPr>
          <w:p w14:paraId="785FBA23" w14:textId="205B3A8D" w:rsidR="0066374C" w:rsidRPr="005A4F9F" w:rsidRDefault="0066374C" w:rsidP="008B00DE">
            <w:pPr>
              <w:widowControl w:val="0"/>
              <w:jc w:val="both"/>
              <w:rPr>
                <w:sz w:val="22"/>
                <w:szCs w:val="22"/>
                <w:lang w:val="sr-Latn-ME"/>
              </w:rPr>
            </w:pPr>
            <w:r w:rsidRPr="005A4F9F">
              <w:rPr>
                <w:b/>
                <w:sz w:val="22"/>
                <w:szCs w:val="22"/>
                <w:lang w:val="sr-Latn-ME"/>
              </w:rPr>
              <w:t>MedDRA klasifikacija sistema organa</w:t>
            </w:r>
          </w:p>
        </w:tc>
        <w:tc>
          <w:tcPr>
            <w:tcW w:w="0" w:type="auto"/>
            <w:shd w:val="clear" w:color="auto" w:fill="auto"/>
          </w:tcPr>
          <w:p w14:paraId="0B74DA96" w14:textId="77777777" w:rsidR="0066374C" w:rsidRPr="005A4F9F" w:rsidRDefault="0066374C" w:rsidP="008B00DE">
            <w:pPr>
              <w:widowControl w:val="0"/>
              <w:jc w:val="both"/>
              <w:rPr>
                <w:b/>
                <w:sz w:val="22"/>
                <w:szCs w:val="22"/>
                <w:lang w:val="sr-Latn-ME"/>
              </w:rPr>
            </w:pPr>
            <w:r w:rsidRPr="005A4F9F">
              <w:rPr>
                <w:b/>
                <w:sz w:val="22"/>
                <w:szCs w:val="22"/>
                <w:lang w:val="sr-Latn-ME"/>
              </w:rPr>
              <w:t>Preporučeni pojmovi i učestalost</w:t>
            </w:r>
          </w:p>
          <w:p w14:paraId="1CF2685D" w14:textId="77777777" w:rsidR="0066374C" w:rsidRPr="005A4F9F" w:rsidRDefault="0066374C" w:rsidP="008B00DE">
            <w:pPr>
              <w:widowControl w:val="0"/>
              <w:jc w:val="both"/>
              <w:rPr>
                <w:b/>
                <w:sz w:val="22"/>
                <w:szCs w:val="22"/>
                <w:lang w:val="sr-Latn-ME"/>
              </w:rPr>
            </w:pPr>
            <w:r w:rsidRPr="005A4F9F">
              <w:rPr>
                <w:b/>
                <w:sz w:val="22"/>
                <w:szCs w:val="22"/>
                <w:lang w:val="sr-Latn-ME"/>
              </w:rPr>
              <w:t>Često</w:t>
            </w:r>
          </w:p>
        </w:tc>
      </w:tr>
      <w:tr w:rsidR="0066374C" w:rsidRPr="005A4F9F" w14:paraId="682FA97E" w14:textId="77777777" w:rsidTr="008B00DE">
        <w:tc>
          <w:tcPr>
            <w:tcW w:w="0" w:type="auto"/>
            <w:shd w:val="clear" w:color="auto" w:fill="auto"/>
          </w:tcPr>
          <w:p w14:paraId="31D25259" w14:textId="77777777" w:rsidR="0066374C" w:rsidRPr="005A4F9F" w:rsidRDefault="0066374C" w:rsidP="008B00DE">
            <w:pPr>
              <w:widowControl w:val="0"/>
              <w:jc w:val="both"/>
              <w:rPr>
                <w:b/>
                <w:sz w:val="22"/>
                <w:szCs w:val="22"/>
                <w:lang w:val="sr-Latn-ME"/>
              </w:rPr>
            </w:pPr>
            <w:r w:rsidRPr="005A4F9F">
              <w:rPr>
                <w:sz w:val="22"/>
                <w:szCs w:val="22"/>
                <w:lang w:val="sr-Latn-ME"/>
              </w:rPr>
              <w:t>Infekcije i infestacije</w:t>
            </w:r>
          </w:p>
        </w:tc>
        <w:tc>
          <w:tcPr>
            <w:tcW w:w="0" w:type="auto"/>
            <w:shd w:val="clear" w:color="auto" w:fill="auto"/>
          </w:tcPr>
          <w:p w14:paraId="6CADF227" w14:textId="1569D198" w:rsidR="0066374C" w:rsidRPr="005A4F9F" w:rsidRDefault="000D3978" w:rsidP="008B00DE">
            <w:pPr>
              <w:widowControl w:val="0"/>
              <w:jc w:val="both"/>
              <w:rPr>
                <w:sz w:val="22"/>
                <w:szCs w:val="22"/>
                <w:lang w:val="sr-Latn-ME"/>
              </w:rPr>
            </w:pPr>
            <w:r w:rsidRPr="005A4F9F">
              <w:rPr>
                <w:sz w:val="22"/>
                <w:szCs w:val="22"/>
                <w:lang w:val="sr-Latn-ME"/>
              </w:rPr>
              <w:t>i</w:t>
            </w:r>
            <w:r w:rsidR="0066374C" w:rsidRPr="005A4F9F">
              <w:rPr>
                <w:sz w:val="22"/>
                <w:szCs w:val="22"/>
                <w:lang w:val="sr-Latn-ME"/>
              </w:rPr>
              <w:t>nfekcija</w:t>
            </w:r>
            <w:r w:rsidRPr="005A4F9F">
              <w:rPr>
                <w:sz w:val="22"/>
                <w:szCs w:val="22"/>
                <w:lang w:val="sr-Latn-ME"/>
              </w:rPr>
              <w:t xml:space="preserve"> urinarnog sistema</w:t>
            </w:r>
          </w:p>
        </w:tc>
      </w:tr>
      <w:tr w:rsidR="0066374C" w:rsidRPr="005A4F9F" w14:paraId="7E91A606" w14:textId="77777777" w:rsidTr="008B00DE">
        <w:tc>
          <w:tcPr>
            <w:tcW w:w="0" w:type="auto"/>
            <w:shd w:val="clear" w:color="auto" w:fill="auto"/>
          </w:tcPr>
          <w:p w14:paraId="07863333" w14:textId="20E1CFD1" w:rsidR="0066374C" w:rsidRPr="005A4F9F" w:rsidRDefault="0066374C" w:rsidP="008B00DE">
            <w:pPr>
              <w:widowControl w:val="0"/>
              <w:jc w:val="both"/>
              <w:rPr>
                <w:b/>
                <w:sz w:val="22"/>
                <w:szCs w:val="22"/>
                <w:lang w:val="sr-Latn-ME"/>
              </w:rPr>
            </w:pPr>
            <w:r w:rsidRPr="005A4F9F">
              <w:rPr>
                <w:sz w:val="22"/>
                <w:szCs w:val="22"/>
                <w:lang w:val="sr-Latn-ME"/>
              </w:rPr>
              <w:t>Poremećaji metabolizma i ishrane</w:t>
            </w:r>
          </w:p>
        </w:tc>
        <w:tc>
          <w:tcPr>
            <w:tcW w:w="0" w:type="auto"/>
            <w:shd w:val="clear" w:color="auto" w:fill="auto"/>
          </w:tcPr>
          <w:p w14:paraId="4266D8A2" w14:textId="77777777" w:rsidR="0066374C" w:rsidRPr="005A4F9F" w:rsidRDefault="0066374C" w:rsidP="008B00DE">
            <w:pPr>
              <w:widowControl w:val="0"/>
              <w:jc w:val="both"/>
              <w:rPr>
                <w:sz w:val="22"/>
                <w:szCs w:val="22"/>
                <w:lang w:val="sr-Latn-ME"/>
              </w:rPr>
            </w:pPr>
            <w:r w:rsidRPr="005A4F9F">
              <w:rPr>
                <w:sz w:val="22"/>
                <w:szCs w:val="22"/>
                <w:lang w:val="sr-Latn-ME"/>
              </w:rPr>
              <w:t>hipokalijemija</w:t>
            </w:r>
          </w:p>
        </w:tc>
      </w:tr>
      <w:tr w:rsidR="0066374C" w:rsidRPr="005A4F9F" w14:paraId="7F424325" w14:textId="77777777" w:rsidTr="008B00DE">
        <w:tc>
          <w:tcPr>
            <w:tcW w:w="0" w:type="auto"/>
            <w:shd w:val="clear" w:color="auto" w:fill="auto"/>
          </w:tcPr>
          <w:p w14:paraId="349B38F4" w14:textId="77777777" w:rsidR="0066374C" w:rsidRPr="005A4F9F" w:rsidRDefault="0066374C" w:rsidP="008B00DE">
            <w:pPr>
              <w:widowControl w:val="0"/>
              <w:jc w:val="both"/>
              <w:rPr>
                <w:b/>
                <w:sz w:val="22"/>
                <w:szCs w:val="22"/>
                <w:lang w:val="sr-Latn-ME"/>
              </w:rPr>
            </w:pPr>
            <w:r w:rsidRPr="005A4F9F">
              <w:rPr>
                <w:sz w:val="22"/>
                <w:szCs w:val="22"/>
                <w:lang w:val="sr-Latn-ME"/>
              </w:rPr>
              <w:t>Psihijatrijski poremećaji</w:t>
            </w:r>
          </w:p>
        </w:tc>
        <w:tc>
          <w:tcPr>
            <w:tcW w:w="0" w:type="auto"/>
            <w:shd w:val="clear" w:color="auto" w:fill="auto"/>
          </w:tcPr>
          <w:p w14:paraId="41E4BD62" w14:textId="77777777" w:rsidR="0066374C" w:rsidRPr="005A4F9F" w:rsidRDefault="0066374C" w:rsidP="008B00DE">
            <w:pPr>
              <w:widowControl w:val="0"/>
              <w:jc w:val="both"/>
              <w:rPr>
                <w:sz w:val="22"/>
                <w:szCs w:val="22"/>
                <w:lang w:val="sr-Latn-ME"/>
              </w:rPr>
            </w:pPr>
            <w:r w:rsidRPr="005A4F9F">
              <w:rPr>
                <w:sz w:val="22"/>
                <w:szCs w:val="22"/>
                <w:lang w:val="sr-Latn-ME"/>
              </w:rPr>
              <w:t>anksioznost, nesanica</w:t>
            </w:r>
          </w:p>
        </w:tc>
      </w:tr>
      <w:tr w:rsidR="0066374C" w:rsidRPr="005A4F9F" w14:paraId="48803CE5" w14:textId="77777777" w:rsidTr="008B00DE">
        <w:tc>
          <w:tcPr>
            <w:tcW w:w="0" w:type="auto"/>
            <w:shd w:val="clear" w:color="auto" w:fill="auto"/>
          </w:tcPr>
          <w:p w14:paraId="2C16EDE2" w14:textId="4132F851" w:rsidR="0066374C" w:rsidRPr="005A4F9F" w:rsidRDefault="0066374C" w:rsidP="008B00DE">
            <w:pPr>
              <w:widowControl w:val="0"/>
              <w:jc w:val="both"/>
              <w:rPr>
                <w:b/>
                <w:sz w:val="22"/>
                <w:szCs w:val="22"/>
                <w:lang w:val="sr-Latn-ME"/>
              </w:rPr>
            </w:pPr>
            <w:r w:rsidRPr="005A4F9F">
              <w:rPr>
                <w:sz w:val="22"/>
                <w:szCs w:val="22"/>
                <w:lang w:val="sr-Latn-ME"/>
              </w:rPr>
              <w:t>Vaskularni poremećaji</w:t>
            </w:r>
          </w:p>
        </w:tc>
        <w:tc>
          <w:tcPr>
            <w:tcW w:w="0" w:type="auto"/>
            <w:shd w:val="clear" w:color="auto" w:fill="auto"/>
          </w:tcPr>
          <w:p w14:paraId="06B0D24B" w14:textId="77777777" w:rsidR="0066374C" w:rsidRPr="005A4F9F" w:rsidRDefault="0066374C" w:rsidP="008B00DE">
            <w:pPr>
              <w:widowControl w:val="0"/>
              <w:jc w:val="both"/>
              <w:rPr>
                <w:sz w:val="22"/>
                <w:szCs w:val="22"/>
                <w:lang w:val="sr-Latn-ME"/>
              </w:rPr>
            </w:pPr>
            <w:r w:rsidRPr="005A4F9F">
              <w:rPr>
                <w:sz w:val="22"/>
                <w:szCs w:val="22"/>
                <w:lang w:val="sr-Latn-ME"/>
              </w:rPr>
              <w:t>hipertenzija</w:t>
            </w:r>
          </w:p>
        </w:tc>
      </w:tr>
      <w:tr w:rsidR="0066374C" w:rsidRPr="005A4F9F" w14:paraId="60AEFF3E" w14:textId="77777777" w:rsidTr="008B00DE">
        <w:tc>
          <w:tcPr>
            <w:tcW w:w="0" w:type="auto"/>
            <w:shd w:val="clear" w:color="auto" w:fill="auto"/>
          </w:tcPr>
          <w:p w14:paraId="7AACF920" w14:textId="5EF4CF1D" w:rsidR="0066374C" w:rsidRPr="005A4F9F" w:rsidRDefault="0066374C" w:rsidP="008B00DE">
            <w:pPr>
              <w:widowControl w:val="0"/>
              <w:jc w:val="both"/>
              <w:rPr>
                <w:sz w:val="22"/>
                <w:szCs w:val="22"/>
                <w:lang w:val="sr-Latn-ME"/>
              </w:rPr>
            </w:pPr>
            <w:r w:rsidRPr="005A4F9F">
              <w:rPr>
                <w:sz w:val="22"/>
                <w:szCs w:val="22"/>
                <w:lang w:val="sr-Latn-ME"/>
              </w:rPr>
              <w:t>Gastrointestinalni poremećaji</w:t>
            </w:r>
          </w:p>
        </w:tc>
        <w:tc>
          <w:tcPr>
            <w:tcW w:w="0" w:type="auto"/>
            <w:shd w:val="clear" w:color="auto" w:fill="auto"/>
          </w:tcPr>
          <w:p w14:paraId="58DE3BF5" w14:textId="136173C9" w:rsidR="0066374C" w:rsidRPr="005A4F9F" w:rsidRDefault="0066374C" w:rsidP="008B00DE">
            <w:pPr>
              <w:widowControl w:val="0"/>
              <w:jc w:val="both"/>
              <w:rPr>
                <w:sz w:val="22"/>
                <w:szCs w:val="22"/>
                <w:lang w:val="sr-Latn-ME"/>
              </w:rPr>
            </w:pPr>
            <w:r w:rsidRPr="005A4F9F">
              <w:rPr>
                <w:sz w:val="22"/>
                <w:szCs w:val="22"/>
                <w:lang w:val="sr-Latn-ME"/>
              </w:rPr>
              <w:t>konstipacija, dijareja, mučnina</w:t>
            </w:r>
          </w:p>
        </w:tc>
      </w:tr>
      <w:tr w:rsidR="0066374C" w:rsidRPr="005A4F9F" w14:paraId="561E7932" w14:textId="77777777" w:rsidTr="008B00DE">
        <w:tc>
          <w:tcPr>
            <w:tcW w:w="0" w:type="auto"/>
            <w:shd w:val="clear" w:color="auto" w:fill="auto"/>
          </w:tcPr>
          <w:p w14:paraId="3482D42D" w14:textId="037997BC" w:rsidR="0066374C" w:rsidRPr="005A4F9F" w:rsidRDefault="0066374C" w:rsidP="008B00DE">
            <w:pPr>
              <w:widowControl w:val="0"/>
              <w:jc w:val="both"/>
              <w:rPr>
                <w:sz w:val="22"/>
                <w:szCs w:val="22"/>
                <w:lang w:val="sr-Latn-ME"/>
              </w:rPr>
            </w:pPr>
            <w:r w:rsidRPr="005A4F9F">
              <w:rPr>
                <w:sz w:val="22"/>
                <w:szCs w:val="22"/>
                <w:lang w:val="sr-Latn-ME"/>
              </w:rPr>
              <w:t>Hepatobilijarni poremećaji</w:t>
            </w:r>
          </w:p>
        </w:tc>
        <w:tc>
          <w:tcPr>
            <w:tcW w:w="0" w:type="auto"/>
            <w:shd w:val="clear" w:color="auto" w:fill="auto"/>
          </w:tcPr>
          <w:p w14:paraId="1A129658" w14:textId="77777777" w:rsidR="0066374C" w:rsidRPr="005A4F9F" w:rsidRDefault="0066374C" w:rsidP="008B00DE">
            <w:pPr>
              <w:widowControl w:val="0"/>
              <w:jc w:val="both"/>
              <w:rPr>
                <w:sz w:val="22"/>
                <w:szCs w:val="22"/>
                <w:lang w:val="sr-Latn-ME"/>
              </w:rPr>
            </w:pPr>
            <w:r w:rsidRPr="005A4F9F">
              <w:rPr>
                <w:sz w:val="22"/>
                <w:szCs w:val="22"/>
                <w:lang w:val="sr-Latn-ME"/>
              </w:rPr>
              <w:t>povišene vrijednosti jetrenih transaminaza</w:t>
            </w:r>
          </w:p>
        </w:tc>
      </w:tr>
    </w:tbl>
    <w:p w14:paraId="6A1C5B16" w14:textId="168A010A" w:rsidR="0066374C" w:rsidRPr="008B00DE" w:rsidRDefault="0066374C" w:rsidP="008B00DE">
      <w:pPr>
        <w:widowControl w:val="0"/>
        <w:jc w:val="both"/>
        <w:rPr>
          <w:sz w:val="22"/>
          <w:szCs w:val="22"/>
          <w:lang w:val="sr-Latn-ME"/>
        </w:rPr>
      </w:pPr>
      <w:r w:rsidRPr="008B00DE">
        <w:rPr>
          <w:sz w:val="22"/>
          <w:szCs w:val="22"/>
          <w:vertAlign w:val="superscript"/>
          <w:lang w:val="sr-Latn-ME"/>
        </w:rPr>
        <w:lastRenderedPageBreak/>
        <w:t>1</w:t>
      </w:r>
      <w:r w:rsidRPr="008B00DE">
        <w:rPr>
          <w:sz w:val="22"/>
          <w:szCs w:val="22"/>
          <w:lang w:val="sr-Latn-ME"/>
        </w:rPr>
        <w:t xml:space="preserve"> </w:t>
      </w:r>
      <w:r w:rsidR="004577B6" w:rsidRPr="008B00DE">
        <w:rPr>
          <w:sz w:val="22"/>
          <w:szCs w:val="22"/>
          <w:lang w:val="sr-Latn-ME"/>
        </w:rPr>
        <w:t>Pacijenti</w:t>
      </w:r>
      <w:r w:rsidRPr="008B00DE">
        <w:rPr>
          <w:sz w:val="22"/>
          <w:szCs w:val="22"/>
          <w:lang w:val="sr-Latn-ME"/>
        </w:rPr>
        <w:t xml:space="preserve"> su u</w:t>
      </w:r>
      <w:r w:rsidR="004577B6" w:rsidRPr="008B00DE">
        <w:rPr>
          <w:sz w:val="22"/>
          <w:szCs w:val="22"/>
          <w:lang w:val="sr-Latn-ME"/>
        </w:rPr>
        <w:t>ključeni</w:t>
      </w:r>
      <w:r w:rsidRPr="008B00DE">
        <w:rPr>
          <w:sz w:val="22"/>
          <w:szCs w:val="22"/>
          <w:lang w:val="sr-Latn-ME"/>
        </w:rPr>
        <w:t xml:space="preserve"> samo jednom u svaku kategoriju bez obzira na broj događaja</w:t>
      </w:r>
    </w:p>
    <w:p w14:paraId="5CDF58B8" w14:textId="48D0A73A" w:rsidR="0066374C" w:rsidRPr="008B00DE" w:rsidRDefault="0066374C" w:rsidP="008B00DE">
      <w:pPr>
        <w:widowControl w:val="0"/>
        <w:jc w:val="both"/>
        <w:rPr>
          <w:sz w:val="22"/>
          <w:szCs w:val="22"/>
          <w:lang w:val="sr-Latn-ME"/>
        </w:rPr>
      </w:pPr>
      <w:r w:rsidRPr="008B00DE">
        <w:rPr>
          <w:sz w:val="22"/>
          <w:szCs w:val="22"/>
          <w:vertAlign w:val="superscript"/>
          <w:lang w:val="sr-Latn-ME"/>
        </w:rPr>
        <w:t xml:space="preserve">2 </w:t>
      </w:r>
      <w:r w:rsidRPr="008B00DE">
        <w:rPr>
          <w:sz w:val="22"/>
          <w:szCs w:val="22"/>
          <w:lang w:val="sr-Latn-ME"/>
        </w:rPr>
        <w:t>Uključuje potvrđen</w:t>
      </w:r>
      <w:r w:rsidR="004577B6" w:rsidRPr="008B00DE">
        <w:rPr>
          <w:sz w:val="22"/>
          <w:szCs w:val="22"/>
          <w:lang w:val="sr-Latn-ME"/>
        </w:rPr>
        <w:t>a neželjena dejstva</w:t>
      </w:r>
      <w:r w:rsidRPr="008B00DE">
        <w:rPr>
          <w:sz w:val="22"/>
          <w:szCs w:val="22"/>
          <w:lang w:val="sr-Latn-ME"/>
        </w:rPr>
        <w:t xml:space="preserve"> prijavljen</w:t>
      </w:r>
      <w:r w:rsidR="004577B6" w:rsidRPr="008B00DE">
        <w:rPr>
          <w:sz w:val="22"/>
          <w:szCs w:val="22"/>
          <w:lang w:val="sr-Latn-ME"/>
        </w:rPr>
        <w:t>a</w:t>
      </w:r>
      <w:r w:rsidRPr="008B00DE">
        <w:rPr>
          <w:sz w:val="22"/>
          <w:szCs w:val="22"/>
          <w:lang w:val="sr-Latn-ME"/>
        </w:rPr>
        <w:t xml:space="preserve"> u ispitivanjima WA42511, WA42380 i </w:t>
      </w:r>
      <w:r w:rsidR="00542633" w:rsidRPr="008B00DE">
        <w:rPr>
          <w:sz w:val="22"/>
          <w:szCs w:val="22"/>
          <w:lang w:val="sr-Latn-ME"/>
        </w:rPr>
        <w:t>ML</w:t>
      </w:r>
      <w:r w:rsidRPr="008B00DE">
        <w:rPr>
          <w:sz w:val="22"/>
          <w:szCs w:val="22"/>
          <w:lang w:val="sr-Latn-ME"/>
        </w:rPr>
        <w:t xml:space="preserve">42528 </w:t>
      </w:r>
    </w:p>
    <w:p w14:paraId="7F5B831A" w14:textId="77777777" w:rsidR="0066374C" w:rsidRPr="005A4F9F" w:rsidRDefault="0066374C" w:rsidP="008B00DE">
      <w:pPr>
        <w:widowControl w:val="0"/>
        <w:jc w:val="both"/>
        <w:rPr>
          <w:b/>
          <w:bCs/>
          <w:sz w:val="22"/>
          <w:szCs w:val="22"/>
          <w:u w:val="single"/>
          <w:lang w:val="sr-Latn-ME"/>
        </w:rPr>
      </w:pPr>
    </w:p>
    <w:p w14:paraId="74C16ABD" w14:textId="72632C3A" w:rsidR="0066374C" w:rsidRPr="005A4F9F" w:rsidRDefault="004577B6" w:rsidP="008B00DE">
      <w:pPr>
        <w:widowControl w:val="0"/>
        <w:jc w:val="both"/>
        <w:rPr>
          <w:rFonts w:eastAsia="SimSun"/>
          <w:b/>
          <w:bCs/>
          <w:i/>
          <w:iCs/>
          <w:sz w:val="22"/>
          <w:szCs w:val="22"/>
          <w:u w:val="single"/>
          <w:lang w:val="sr-Latn-ME" w:eastAsia="zh-CN"/>
        </w:rPr>
      </w:pPr>
      <w:r w:rsidRPr="005A4F9F">
        <w:rPr>
          <w:rFonts w:eastAsia="SimSun"/>
          <w:b/>
          <w:bCs/>
          <w:i/>
          <w:iCs/>
          <w:sz w:val="22"/>
          <w:szCs w:val="22"/>
          <w:u w:val="single"/>
          <w:lang w:val="sr-Latn-ME" w:eastAsia="zh-CN"/>
        </w:rPr>
        <w:t>Pacijenti</w:t>
      </w:r>
      <w:r w:rsidR="0066374C" w:rsidRPr="005A4F9F">
        <w:rPr>
          <w:rFonts w:eastAsia="SimSun"/>
          <w:b/>
          <w:bCs/>
          <w:i/>
          <w:iCs/>
          <w:sz w:val="22"/>
          <w:szCs w:val="22"/>
          <w:u w:val="single"/>
          <w:lang w:val="sr-Latn-ME" w:eastAsia="zh-CN"/>
        </w:rPr>
        <w:t xml:space="preserve"> sa sJIA i pJIA</w:t>
      </w:r>
    </w:p>
    <w:p w14:paraId="3B28BCE3" w14:textId="386E4E8C" w:rsidR="0066374C" w:rsidRPr="005A4F9F" w:rsidRDefault="0066374C" w:rsidP="008B00DE">
      <w:pPr>
        <w:widowControl w:val="0"/>
        <w:jc w:val="both"/>
        <w:rPr>
          <w:rFonts w:eastAsia="SimSun"/>
          <w:sz w:val="22"/>
          <w:szCs w:val="22"/>
          <w:lang w:val="sr-Latn-ME" w:eastAsia="zh-CN"/>
        </w:rPr>
      </w:pPr>
      <w:r w:rsidRPr="005A4F9F">
        <w:rPr>
          <w:rFonts w:eastAsia="SimSun"/>
          <w:sz w:val="22"/>
          <w:szCs w:val="22"/>
          <w:lang w:val="sr-Latn-ME" w:eastAsia="zh-CN"/>
        </w:rPr>
        <w:t>N</w:t>
      </w:r>
      <w:r w:rsidR="004577B6" w:rsidRPr="005A4F9F">
        <w:rPr>
          <w:rFonts w:eastAsia="SimSun"/>
          <w:sz w:val="22"/>
          <w:szCs w:val="22"/>
          <w:lang w:val="sr-Latn-ME" w:eastAsia="zh-CN"/>
        </w:rPr>
        <w:t>eželjeni efekti</w:t>
      </w:r>
      <w:r w:rsidRPr="005A4F9F">
        <w:rPr>
          <w:rFonts w:eastAsia="SimSun"/>
          <w:sz w:val="22"/>
          <w:szCs w:val="22"/>
          <w:lang w:val="sr-Latn-ME" w:eastAsia="zh-CN"/>
        </w:rPr>
        <w:t xml:space="preserve"> kod </w:t>
      </w:r>
      <w:r w:rsidR="004577B6" w:rsidRPr="005A4F9F">
        <w:rPr>
          <w:rFonts w:eastAsia="SimSun"/>
          <w:sz w:val="22"/>
          <w:szCs w:val="22"/>
          <w:lang w:val="sr-Latn-ME" w:eastAsia="zh-CN"/>
        </w:rPr>
        <w:t>pacijenata</w:t>
      </w:r>
      <w:r w:rsidRPr="005A4F9F">
        <w:rPr>
          <w:rFonts w:eastAsia="SimSun"/>
          <w:sz w:val="22"/>
          <w:szCs w:val="22"/>
          <w:lang w:val="sr-Latn-ME" w:eastAsia="zh-CN"/>
        </w:rPr>
        <w:t xml:space="preserve"> sa sJIA i pJIA liječenih tocilizumabom naveden</w:t>
      </w:r>
      <w:r w:rsidR="004577B6" w:rsidRPr="005A4F9F">
        <w:rPr>
          <w:rFonts w:eastAsia="SimSun"/>
          <w:sz w:val="22"/>
          <w:szCs w:val="22"/>
          <w:lang w:val="sr-Latn-ME" w:eastAsia="zh-CN"/>
        </w:rPr>
        <w:t>i</w:t>
      </w:r>
      <w:r w:rsidRPr="005A4F9F">
        <w:rPr>
          <w:rFonts w:eastAsia="SimSun"/>
          <w:sz w:val="22"/>
          <w:szCs w:val="22"/>
          <w:lang w:val="sr-Latn-ME" w:eastAsia="zh-CN"/>
        </w:rPr>
        <w:t xml:space="preserve"> su u Tab</w:t>
      </w:r>
      <w:r w:rsidR="004577B6" w:rsidRPr="005A4F9F">
        <w:rPr>
          <w:rFonts w:eastAsia="SimSun"/>
          <w:sz w:val="22"/>
          <w:szCs w:val="22"/>
          <w:lang w:val="sr-Latn-ME" w:eastAsia="zh-CN"/>
        </w:rPr>
        <w:t>eli</w:t>
      </w:r>
      <w:r w:rsidRPr="005A4F9F">
        <w:rPr>
          <w:rFonts w:eastAsia="SimSun"/>
          <w:sz w:val="22"/>
          <w:szCs w:val="22"/>
          <w:lang w:val="sr-Latn-ME" w:eastAsia="zh-CN"/>
        </w:rPr>
        <w:t> 3 i prikazan</w:t>
      </w:r>
      <w:r w:rsidR="004577B6" w:rsidRPr="005A4F9F">
        <w:rPr>
          <w:rFonts w:eastAsia="SimSun"/>
          <w:sz w:val="22"/>
          <w:szCs w:val="22"/>
          <w:lang w:val="sr-Latn-ME" w:eastAsia="zh-CN"/>
        </w:rPr>
        <w:t>i</w:t>
      </w:r>
      <w:r w:rsidRPr="005A4F9F">
        <w:rPr>
          <w:rFonts w:eastAsia="SimSun"/>
          <w:sz w:val="22"/>
          <w:szCs w:val="22"/>
          <w:lang w:val="sr-Latn-ME" w:eastAsia="zh-CN"/>
        </w:rPr>
        <w:t xml:space="preserve"> prema MedDRA klasifikaciji </w:t>
      </w:r>
      <w:r w:rsidR="004577B6" w:rsidRPr="005A4F9F">
        <w:rPr>
          <w:rFonts w:eastAsia="SimSun"/>
          <w:sz w:val="22"/>
          <w:szCs w:val="22"/>
          <w:lang w:val="sr-Latn-ME" w:eastAsia="zh-CN"/>
        </w:rPr>
        <w:t>sistema organa</w:t>
      </w:r>
      <w:r w:rsidRPr="005A4F9F">
        <w:rPr>
          <w:rFonts w:eastAsia="SimSun"/>
          <w:sz w:val="22"/>
          <w:szCs w:val="22"/>
          <w:lang w:val="sr-Latn-ME" w:eastAsia="zh-CN"/>
        </w:rPr>
        <w:t>. Odgovarajuća učestalost za svak</w:t>
      </w:r>
      <w:r w:rsidR="004577B6" w:rsidRPr="005A4F9F">
        <w:rPr>
          <w:rFonts w:eastAsia="SimSun"/>
          <w:sz w:val="22"/>
          <w:szCs w:val="22"/>
          <w:lang w:val="sr-Latn-ME" w:eastAsia="zh-CN"/>
        </w:rPr>
        <w:t>i</w:t>
      </w:r>
      <w:r w:rsidRPr="005A4F9F">
        <w:rPr>
          <w:rFonts w:eastAsia="SimSun"/>
          <w:sz w:val="22"/>
          <w:szCs w:val="22"/>
          <w:lang w:val="sr-Latn-ME" w:eastAsia="zh-CN"/>
        </w:rPr>
        <w:t xml:space="preserve"> n</w:t>
      </w:r>
      <w:r w:rsidR="004577B6" w:rsidRPr="005A4F9F">
        <w:rPr>
          <w:rFonts w:eastAsia="SimSun"/>
          <w:sz w:val="22"/>
          <w:szCs w:val="22"/>
          <w:lang w:val="sr-Latn-ME" w:eastAsia="zh-CN"/>
        </w:rPr>
        <w:t>eželjeni efekat</w:t>
      </w:r>
      <w:r w:rsidRPr="005A4F9F">
        <w:rPr>
          <w:rFonts w:eastAsia="SimSun"/>
          <w:sz w:val="22"/>
          <w:szCs w:val="22"/>
          <w:lang w:val="sr-Latn-ME" w:eastAsia="zh-CN"/>
        </w:rPr>
        <w:t xml:space="preserve"> defini</w:t>
      </w:r>
      <w:r w:rsidR="004577B6" w:rsidRPr="005A4F9F">
        <w:rPr>
          <w:rFonts w:eastAsia="SimSun"/>
          <w:sz w:val="22"/>
          <w:szCs w:val="22"/>
          <w:lang w:val="sr-Latn-ME" w:eastAsia="zh-CN"/>
        </w:rPr>
        <w:t>še</w:t>
      </w:r>
      <w:r w:rsidRPr="005A4F9F">
        <w:rPr>
          <w:rFonts w:eastAsia="SimSun"/>
          <w:sz w:val="22"/>
          <w:szCs w:val="22"/>
          <w:lang w:val="sr-Latn-ME" w:eastAsia="zh-CN"/>
        </w:rPr>
        <w:t xml:space="preserve"> se sljedećim kategorijama: vrlo često (</w:t>
      </w:r>
      <w:r w:rsidRPr="005A4F9F">
        <w:rPr>
          <w:rFonts w:eastAsia="SimSun" w:hint="eastAsia"/>
          <w:sz w:val="22"/>
          <w:szCs w:val="22"/>
          <w:lang w:val="sr-Latn-ME" w:eastAsia="zh-CN"/>
        </w:rPr>
        <w:t>≥</w:t>
      </w:r>
      <w:r w:rsidRPr="005A4F9F">
        <w:rPr>
          <w:rFonts w:eastAsia="SimSun" w:hint="eastAsia"/>
          <w:sz w:val="22"/>
          <w:szCs w:val="22"/>
          <w:lang w:val="sr-Latn-ME" w:eastAsia="zh-CN"/>
        </w:rPr>
        <w:t> </w:t>
      </w:r>
      <w:r w:rsidRPr="005A4F9F">
        <w:rPr>
          <w:rFonts w:eastAsia="SimSun"/>
          <w:sz w:val="22"/>
          <w:szCs w:val="22"/>
          <w:lang w:val="sr-Latn-ME" w:eastAsia="zh-CN"/>
        </w:rPr>
        <w:t>1/10); često (</w:t>
      </w:r>
      <w:r w:rsidRPr="005A4F9F">
        <w:rPr>
          <w:rFonts w:eastAsia="SimSun" w:hint="eastAsia"/>
          <w:sz w:val="22"/>
          <w:szCs w:val="22"/>
          <w:lang w:val="sr-Latn-ME" w:eastAsia="zh-CN"/>
        </w:rPr>
        <w:t>≥</w:t>
      </w:r>
      <w:r w:rsidRPr="005A4F9F">
        <w:rPr>
          <w:rFonts w:eastAsia="SimSun" w:hint="eastAsia"/>
          <w:sz w:val="22"/>
          <w:szCs w:val="22"/>
          <w:lang w:val="sr-Latn-ME" w:eastAsia="zh-CN"/>
        </w:rPr>
        <w:t> </w:t>
      </w:r>
      <w:r w:rsidRPr="005A4F9F">
        <w:rPr>
          <w:rFonts w:eastAsia="SimSun"/>
          <w:sz w:val="22"/>
          <w:szCs w:val="22"/>
          <w:lang w:val="sr-Latn-ME" w:eastAsia="zh-CN"/>
        </w:rPr>
        <w:t>1/100 i &lt; 1/10) ili manje često (</w:t>
      </w:r>
      <w:r w:rsidRPr="005A4F9F">
        <w:rPr>
          <w:rFonts w:eastAsia="SimSun" w:hint="eastAsia"/>
          <w:sz w:val="22"/>
          <w:szCs w:val="22"/>
          <w:lang w:val="sr-Latn-ME" w:eastAsia="zh-CN"/>
        </w:rPr>
        <w:t>≥</w:t>
      </w:r>
      <w:r w:rsidRPr="005A4F9F">
        <w:rPr>
          <w:rFonts w:eastAsia="SimSun" w:hint="eastAsia"/>
          <w:sz w:val="22"/>
          <w:szCs w:val="22"/>
          <w:lang w:val="sr-Latn-ME" w:eastAsia="zh-CN"/>
        </w:rPr>
        <w:t> </w:t>
      </w:r>
      <w:r w:rsidRPr="005A4F9F">
        <w:rPr>
          <w:rFonts w:eastAsia="SimSun"/>
          <w:sz w:val="22"/>
          <w:szCs w:val="22"/>
          <w:lang w:val="sr-Latn-ME" w:eastAsia="zh-CN"/>
        </w:rPr>
        <w:t>1/1000 i &lt; 1/100).</w:t>
      </w:r>
    </w:p>
    <w:p w14:paraId="1D94C995" w14:textId="77777777" w:rsidR="0066374C" w:rsidRPr="005A4F9F" w:rsidRDefault="0066374C" w:rsidP="008B00DE">
      <w:pPr>
        <w:widowControl w:val="0"/>
        <w:jc w:val="both"/>
        <w:rPr>
          <w:rFonts w:eastAsia="SimSun"/>
          <w:sz w:val="22"/>
          <w:szCs w:val="22"/>
          <w:lang w:val="sr-Latn-ME" w:eastAsia="zh-CN"/>
        </w:rPr>
      </w:pPr>
    </w:p>
    <w:p w14:paraId="37EC5A41" w14:textId="74E2AB39" w:rsidR="0066374C" w:rsidRPr="005A4F9F" w:rsidRDefault="0066374C" w:rsidP="008B00DE">
      <w:pPr>
        <w:widowControl w:val="0"/>
        <w:autoSpaceDE w:val="0"/>
        <w:autoSpaceDN w:val="0"/>
        <w:adjustRightInd w:val="0"/>
        <w:jc w:val="both"/>
        <w:rPr>
          <w:i/>
          <w:sz w:val="22"/>
          <w:szCs w:val="22"/>
          <w:lang w:val="sr-Latn-ME" w:eastAsia="ja-JP"/>
        </w:rPr>
      </w:pPr>
      <w:r w:rsidRPr="005A4F9F">
        <w:rPr>
          <w:i/>
          <w:sz w:val="22"/>
          <w:szCs w:val="22"/>
          <w:lang w:val="sr-Latn-ME" w:eastAsia="ja-JP"/>
        </w:rPr>
        <w:t xml:space="preserve">Tabela 3. </w:t>
      </w:r>
      <w:r w:rsidR="008B3674" w:rsidRPr="005A4F9F">
        <w:rPr>
          <w:i/>
          <w:sz w:val="22"/>
          <w:szCs w:val="22"/>
          <w:lang w:val="sr-Latn-ME" w:eastAsia="ja-JP"/>
        </w:rPr>
        <w:t>Spisak</w:t>
      </w:r>
      <w:r w:rsidRPr="005A4F9F">
        <w:rPr>
          <w:i/>
          <w:sz w:val="22"/>
          <w:szCs w:val="22"/>
          <w:lang w:val="sr-Latn-ME" w:eastAsia="ja-JP"/>
        </w:rPr>
        <w:t xml:space="preserve"> n</w:t>
      </w:r>
      <w:r w:rsidR="008B3674" w:rsidRPr="005A4F9F">
        <w:rPr>
          <w:i/>
          <w:sz w:val="22"/>
          <w:szCs w:val="22"/>
          <w:lang w:val="sr-Latn-ME" w:eastAsia="ja-JP"/>
        </w:rPr>
        <w:t>eželjenih dejstava</w:t>
      </w:r>
      <w:r w:rsidRPr="005A4F9F">
        <w:rPr>
          <w:i/>
          <w:sz w:val="22"/>
          <w:szCs w:val="22"/>
          <w:lang w:val="sr-Latn-ME" w:eastAsia="ja-JP"/>
        </w:rPr>
        <w:t xml:space="preserve"> koje su se javil</w:t>
      </w:r>
      <w:r w:rsidR="008B3674" w:rsidRPr="005A4F9F">
        <w:rPr>
          <w:i/>
          <w:sz w:val="22"/>
          <w:szCs w:val="22"/>
          <w:lang w:val="sr-Latn-ME" w:eastAsia="ja-JP"/>
        </w:rPr>
        <w:t>a</w:t>
      </w:r>
      <w:r w:rsidRPr="005A4F9F">
        <w:rPr>
          <w:i/>
          <w:sz w:val="22"/>
          <w:szCs w:val="22"/>
          <w:lang w:val="sr-Latn-ME" w:eastAsia="ja-JP"/>
        </w:rPr>
        <w:t xml:space="preserve"> u kliničkim ispitivanjima </w:t>
      </w:r>
      <w:r w:rsidR="008B3674" w:rsidRPr="005A4F9F">
        <w:rPr>
          <w:i/>
          <w:sz w:val="22"/>
          <w:szCs w:val="22"/>
          <w:lang w:val="sr-Latn-ME" w:eastAsia="ja-JP"/>
        </w:rPr>
        <w:t>pacijenata</w:t>
      </w:r>
      <w:r w:rsidRPr="005A4F9F">
        <w:rPr>
          <w:i/>
          <w:sz w:val="22"/>
          <w:szCs w:val="22"/>
          <w:lang w:val="sr-Latn-ME" w:eastAsia="ja-JP"/>
        </w:rPr>
        <w:t xml:space="preserve"> sa sJIA ili pJIA lječenih tocilizumabom u monoterapiji ili u kombinaciji s MTX</w:t>
      </w:r>
      <w:r w:rsidRPr="005A4F9F">
        <w:rPr>
          <w:i/>
          <w:sz w:val="22"/>
          <w:szCs w:val="22"/>
          <w:lang w:val="sr-Latn-ME" w:eastAsia="ja-JP"/>
        </w:rPr>
        <w:noBreakHyphen/>
        <w:t xml:space="preserve">om </w:t>
      </w:r>
    </w:p>
    <w:p w14:paraId="014F34ED" w14:textId="77777777" w:rsidR="0066374C" w:rsidRPr="005A4F9F" w:rsidRDefault="0066374C" w:rsidP="008B00DE">
      <w:pPr>
        <w:widowControl w:val="0"/>
        <w:autoSpaceDE w:val="0"/>
        <w:autoSpaceDN w:val="0"/>
        <w:adjustRightInd w:val="0"/>
        <w:jc w:val="both"/>
        <w:rPr>
          <w:i/>
          <w:sz w:val="22"/>
          <w:szCs w:val="22"/>
          <w:lang w:val="sr-Latn-ME"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183"/>
        <w:gridCol w:w="1740"/>
        <w:gridCol w:w="1701"/>
        <w:gridCol w:w="1559"/>
      </w:tblGrid>
      <w:tr w:rsidR="0066374C" w:rsidRPr="005A4F9F" w14:paraId="4AAE3B95" w14:textId="77777777" w:rsidTr="00DB6E73">
        <w:tc>
          <w:tcPr>
            <w:tcW w:w="1884" w:type="dxa"/>
            <w:shd w:val="clear" w:color="auto" w:fill="auto"/>
          </w:tcPr>
          <w:p w14:paraId="56AE1C3F" w14:textId="733A6171" w:rsidR="0066374C" w:rsidRPr="005A4F9F" w:rsidRDefault="0066374C" w:rsidP="008B00DE">
            <w:pPr>
              <w:widowControl w:val="0"/>
              <w:autoSpaceDE w:val="0"/>
              <w:autoSpaceDN w:val="0"/>
              <w:adjustRightInd w:val="0"/>
              <w:jc w:val="both"/>
              <w:rPr>
                <w:b/>
                <w:sz w:val="22"/>
                <w:szCs w:val="22"/>
                <w:lang w:val="sr-Latn-ME" w:eastAsia="ja-JP"/>
              </w:rPr>
            </w:pPr>
            <w:r w:rsidRPr="005A4F9F">
              <w:rPr>
                <w:b/>
                <w:sz w:val="22"/>
                <w:szCs w:val="22"/>
                <w:lang w:val="sr-Latn-ME"/>
              </w:rPr>
              <w:t xml:space="preserve">MedDRA klasifikacija </w:t>
            </w:r>
            <w:r w:rsidR="004577B6" w:rsidRPr="005A4F9F">
              <w:rPr>
                <w:b/>
                <w:sz w:val="22"/>
                <w:szCs w:val="22"/>
                <w:lang w:val="sr-Latn-ME"/>
              </w:rPr>
              <w:t>sistema organa</w:t>
            </w:r>
          </w:p>
        </w:tc>
        <w:tc>
          <w:tcPr>
            <w:tcW w:w="2183" w:type="dxa"/>
            <w:shd w:val="clear" w:color="auto" w:fill="auto"/>
          </w:tcPr>
          <w:p w14:paraId="707E86E9" w14:textId="77777777" w:rsidR="0066374C" w:rsidRPr="005A4F9F" w:rsidRDefault="0066374C" w:rsidP="008B00DE">
            <w:pPr>
              <w:widowControl w:val="0"/>
              <w:autoSpaceDE w:val="0"/>
              <w:autoSpaceDN w:val="0"/>
              <w:adjustRightInd w:val="0"/>
              <w:jc w:val="both"/>
              <w:rPr>
                <w:b/>
                <w:sz w:val="22"/>
                <w:szCs w:val="22"/>
                <w:lang w:val="sr-Latn-ME" w:eastAsia="ja-JP"/>
              </w:rPr>
            </w:pPr>
            <w:r w:rsidRPr="005A4F9F">
              <w:rPr>
                <w:b/>
                <w:sz w:val="22"/>
                <w:szCs w:val="22"/>
                <w:lang w:val="sr-Latn-ME" w:eastAsia="ja-JP"/>
              </w:rPr>
              <w:t>Preporučeni izraz</w:t>
            </w:r>
          </w:p>
        </w:tc>
        <w:tc>
          <w:tcPr>
            <w:tcW w:w="5000" w:type="dxa"/>
            <w:gridSpan w:val="3"/>
            <w:shd w:val="clear" w:color="auto" w:fill="auto"/>
          </w:tcPr>
          <w:p w14:paraId="410A7EC6" w14:textId="77777777" w:rsidR="0066374C" w:rsidRPr="005A4F9F" w:rsidRDefault="0066374C" w:rsidP="008B00DE">
            <w:pPr>
              <w:widowControl w:val="0"/>
              <w:autoSpaceDE w:val="0"/>
              <w:autoSpaceDN w:val="0"/>
              <w:adjustRightInd w:val="0"/>
              <w:jc w:val="both"/>
              <w:rPr>
                <w:b/>
                <w:sz w:val="22"/>
                <w:szCs w:val="22"/>
                <w:lang w:val="sr-Latn-ME" w:eastAsia="ja-JP"/>
              </w:rPr>
            </w:pPr>
            <w:r w:rsidRPr="005A4F9F">
              <w:rPr>
                <w:b/>
                <w:sz w:val="22"/>
                <w:szCs w:val="22"/>
                <w:lang w:val="sr-Latn-ME" w:eastAsia="ja-JP"/>
              </w:rPr>
              <w:t>Učestalost</w:t>
            </w:r>
          </w:p>
        </w:tc>
      </w:tr>
      <w:tr w:rsidR="0066374C" w:rsidRPr="005A4F9F" w14:paraId="6EFA5297" w14:textId="77777777" w:rsidTr="00DB6E73">
        <w:tc>
          <w:tcPr>
            <w:tcW w:w="4067" w:type="dxa"/>
            <w:gridSpan w:val="2"/>
            <w:shd w:val="clear" w:color="auto" w:fill="auto"/>
          </w:tcPr>
          <w:p w14:paraId="1930B22D"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Infekcije i infestacije</w:t>
            </w:r>
          </w:p>
        </w:tc>
        <w:tc>
          <w:tcPr>
            <w:tcW w:w="1740" w:type="dxa"/>
            <w:shd w:val="clear" w:color="auto" w:fill="auto"/>
          </w:tcPr>
          <w:p w14:paraId="7C30232A"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vrlo često</w:t>
            </w:r>
          </w:p>
        </w:tc>
        <w:tc>
          <w:tcPr>
            <w:tcW w:w="1701" w:type="dxa"/>
            <w:shd w:val="clear" w:color="auto" w:fill="auto"/>
          </w:tcPr>
          <w:p w14:paraId="5DC1F2A6"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često</w:t>
            </w:r>
          </w:p>
        </w:tc>
        <w:tc>
          <w:tcPr>
            <w:tcW w:w="1559" w:type="dxa"/>
            <w:shd w:val="clear" w:color="auto" w:fill="auto"/>
          </w:tcPr>
          <w:p w14:paraId="7486B5D3"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manje često</w:t>
            </w:r>
          </w:p>
        </w:tc>
      </w:tr>
      <w:tr w:rsidR="0066374C" w:rsidRPr="005A4F9F" w14:paraId="3F06B659" w14:textId="77777777" w:rsidTr="00DB6E73">
        <w:tc>
          <w:tcPr>
            <w:tcW w:w="1884" w:type="dxa"/>
            <w:shd w:val="clear" w:color="auto" w:fill="auto"/>
          </w:tcPr>
          <w:p w14:paraId="143F5D46"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5DEA07FE" w14:textId="35708F28"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infekcije gornj</w:t>
            </w:r>
            <w:r w:rsidR="004577B6" w:rsidRPr="005A4F9F">
              <w:rPr>
                <w:sz w:val="22"/>
                <w:szCs w:val="22"/>
                <w:lang w:val="sr-Latn-ME" w:eastAsia="ja-JP"/>
              </w:rPr>
              <w:t xml:space="preserve">ih </w:t>
            </w:r>
            <w:r w:rsidRPr="005A4F9F">
              <w:rPr>
                <w:sz w:val="22"/>
                <w:szCs w:val="22"/>
                <w:lang w:val="sr-Latn-ME" w:eastAsia="ja-JP"/>
              </w:rPr>
              <w:t>d</w:t>
            </w:r>
            <w:r w:rsidR="004577B6" w:rsidRPr="005A4F9F">
              <w:rPr>
                <w:sz w:val="22"/>
                <w:szCs w:val="22"/>
                <w:lang w:val="sr-Latn-ME" w:eastAsia="ja-JP"/>
              </w:rPr>
              <w:t>isajnih puteva</w:t>
            </w:r>
          </w:p>
        </w:tc>
        <w:tc>
          <w:tcPr>
            <w:tcW w:w="1740" w:type="dxa"/>
            <w:shd w:val="clear" w:color="auto" w:fill="auto"/>
          </w:tcPr>
          <w:p w14:paraId="764172A3"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 sJIA</w:t>
            </w:r>
          </w:p>
        </w:tc>
        <w:tc>
          <w:tcPr>
            <w:tcW w:w="1701" w:type="dxa"/>
            <w:shd w:val="clear" w:color="auto" w:fill="auto"/>
          </w:tcPr>
          <w:p w14:paraId="47D7CF79"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3D3F4354"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4EEFAD7A" w14:textId="77777777" w:rsidTr="00DB6E73">
        <w:tc>
          <w:tcPr>
            <w:tcW w:w="1884" w:type="dxa"/>
            <w:shd w:val="clear" w:color="auto" w:fill="auto"/>
          </w:tcPr>
          <w:p w14:paraId="7F8E3D15"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0ECA5D25"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nazofaringitis</w:t>
            </w:r>
          </w:p>
        </w:tc>
        <w:tc>
          <w:tcPr>
            <w:tcW w:w="1740" w:type="dxa"/>
            <w:shd w:val="clear" w:color="auto" w:fill="auto"/>
          </w:tcPr>
          <w:p w14:paraId="04641A81"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 sJIA</w:t>
            </w:r>
          </w:p>
        </w:tc>
        <w:tc>
          <w:tcPr>
            <w:tcW w:w="1701" w:type="dxa"/>
            <w:shd w:val="clear" w:color="auto" w:fill="auto"/>
          </w:tcPr>
          <w:p w14:paraId="0F5973F9"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75C2D844"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6753A514" w14:textId="77777777" w:rsidTr="00DB6E73">
        <w:tc>
          <w:tcPr>
            <w:tcW w:w="4067" w:type="dxa"/>
            <w:gridSpan w:val="2"/>
            <w:shd w:val="clear" w:color="auto" w:fill="auto"/>
          </w:tcPr>
          <w:p w14:paraId="5BDEF610" w14:textId="42083F96"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 xml:space="preserve">Poremećaji </w:t>
            </w:r>
            <w:r w:rsidR="004577B6" w:rsidRPr="005A4F9F">
              <w:rPr>
                <w:sz w:val="22"/>
                <w:szCs w:val="22"/>
                <w:lang w:val="sr-Latn-ME" w:eastAsia="ja-JP"/>
              </w:rPr>
              <w:t>nervnog sistema</w:t>
            </w:r>
          </w:p>
        </w:tc>
        <w:tc>
          <w:tcPr>
            <w:tcW w:w="1740" w:type="dxa"/>
            <w:shd w:val="clear" w:color="auto" w:fill="auto"/>
          </w:tcPr>
          <w:p w14:paraId="1392AE5D"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7D37E47F"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6445DD9C"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3934953C" w14:textId="77777777" w:rsidTr="00DB6E73">
        <w:tc>
          <w:tcPr>
            <w:tcW w:w="1884" w:type="dxa"/>
            <w:shd w:val="clear" w:color="auto" w:fill="auto"/>
          </w:tcPr>
          <w:p w14:paraId="0EF0D054"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4774D4BF"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glavobolja</w:t>
            </w:r>
          </w:p>
        </w:tc>
        <w:tc>
          <w:tcPr>
            <w:tcW w:w="1740" w:type="dxa"/>
            <w:shd w:val="clear" w:color="auto" w:fill="auto"/>
          </w:tcPr>
          <w:p w14:paraId="68127FFF"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c>
          <w:tcPr>
            <w:tcW w:w="1701" w:type="dxa"/>
            <w:shd w:val="clear" w:color="auto" w:fill="auto"/>
          </w:tcPr>
          <w:p w14:paraId="28C546F5"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sJIA</w:t>
            </w:r>
          </w:p>
        </w:tc>
        <w:tc>
          <w:tcPr>
            <w:tcW w:w="1559" w:type="dxa"/>
            <w:shd w:val="clear" w:color="auto" w:fill="auto"/>
          </w:tcPr>
          <w:p w14:paraId="333FFF5E"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0FEBAC80" w14:textId="77777777" w:rsidTr="00DB6E73">
        <w:tc>
          <w:tcPr>
            <w:tcW w:w="4067" w:type="dxa"/>
            <w:gridSpan w:val="2"/>
            <w:shd w:val="clear" w:color="auto" w:fill="auto"/>
          </w:tcPr>
          <w:p w14:paraId="314E01B4" w14:textId="5AC8F6C8"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 xml:space="preserve">Poremećaji </w:t>
            </w:r>
            <w:r w:rsidR="004577B6" w:rsidRPr="005A4F9F">
              <w:rPr>
                <w:sz w:val="22"/>
                <w:szCs w:val="22"/>
                <w:lang w:val="sr-Latn-ME" w:eastAsia="ja-JP"/>
              </w:rPr>
              <w:t>gastrointestinalnog sistema</w:t>
            </w:r>
          </w:p>
        </w:tc>
        <w:tc>
          <w:tcPr>
            <w:tcW w:w="1740" w:type="dxa"/>
            <w:shd w:val="clear" w:color="auto" w:fill="auto"/>
          </w:tcPr>
          <w:p w14:paraId="18A4273E"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6C82289F"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585D5751"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443548F6" w14:textId="77777777" w:rsidTr="00DB6E73">
        <w:tc>
          <w:tcPr>
            <w:tcW w:w="1884" w:type="dxa"/>
            <w:shd w:val="clear" w:color="auto" w:fill="auto"/>
          </w:tcPr>
          <w:p w14:paraId="5F455775"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0238FCBF"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mučnina</w:t>
            </w:r>
          </w:p>
        </w:tc>
        <w:tc>
          <w:tcPr>
            <w:tcW w:w="1740" w:type="dxa"/>
            <w:shd w:val="clear" w:color="auto" w:fill="auto"/>
          </w:tcPr>
          <w:p w14:paraId="5F44EBAC"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72121FD8"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c>
          <w:tcPr>
            <w:tcW w:w="1559" w:type="dxa"/>
            <w:shd w:val="clear" w:color="auto" w:fill="auto"/>
          </w:tcPr>
          <w:p w14:paraId="3C5C83B3"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78041EE4" w14:textId="77777777" w:rsidTr="00DB6E73">
        <w:tc>
          <w:tcPr>
            <w:tcW w:w="1884" w:type="dxa"/>
            <w:shd w:val="clear" w:color="auto" w:fill="auto"/>
          </w:tcPr>
          <w:p w14:paraId="4B3CE487"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7A17DCBE" w14:textId="11E23601" w:rsidR="0066374C" w:rsidRPr="005A4F9F" w:rsidRDefault="004577B6" w:rsidP="008B00DE">
            <w:pPr>
              <w:widowControl w:val="0"/>
              <w:autoSpaceDE w:val="0"/>
              <w:autoSpaceDN w:val="0"/>
              <w:adjustRightInd w:val="0"/>
              <w:jc w:val="both"/>
              <w:rPr>
                <w:sz w:val="22"/>
                <w:szCs w:val="22"/>
                <w:lang w:val="sr-Latn-ME" w:eastAsia="ja-JP"/>
              </w:rPr>
            </w:pPr>
            <w:r w:rsidRPr="005A4F9F">
              <w:rPr>
                <w:sz w:val="22"/>
                <w:szCs w:val="22"/>
                <w:lang w:val="sr-Latn-ME" w:eastAsia="ja-JP"/>
              </w:rPr>
              <w:t>dijareja</w:t>
            </w:r>
          </w:p>
        </w:tc>
        <w:tc>
          <w:tcPr>
            <w:tcW w:w="1740" w:type="dxa"/>
            <w:shd w:val="clear" w:color="auto" w:fill="auto"/>
          </w:tcPr>
          <w:p w14:paraId="007C4CBA"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3B983E08"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 sJIA</w:t>
            </w:r>
          </w:p>
        </w:tc>
        <w:tc>
          <w:tcPr>
            <w:tcW w:w="1559" w:type="dxa"/>
            <w:shd w:val="clear" w:color="auto" w:fill="auto"/>
          </w:tcPr>
          <w:p w14:paraId="5A90972A"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129A22E7" w14:textId="77777777" w:rsidTr="00DB6E73">
        <w:tc>
          <w:tcPr>
            <w:tcW w:w="4067" w:type="dxa"/>
            <w:gridSpan w:val="2"/>
            <w:shd w:val="clear" w:color="auto" w:fill="auto"/>
          </w:tcPr>
          <w:p w14:paraId="5121FB9A" w14:textId="48B5E9F3"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Op</w:t>
            </w:r>
            <w:r w:rsidR="004577B6" w:rsidRPr="005A4F9F">
              <w:rPr>
                <w:sz w:val="22"/>
                <w:szCs w:val="22"/>
                <w:lang w:val="sr-Latn-ME" w:eastAsia="ja-JP"/>
              </w:rPr>
              <w:t>šti</w:t>
            </w:r>
            <w:r w:rsidRPr="005A4F9F">
              <w:rPr>
                <w:sz w:val="22"/>
                <w:szCs w:val="22"/>
                <w:lang w:val="sr-Latn-ME" w:eastAsia="ja-JP"/>
              </w:rPr>
              <w:t xml:space="preserve"> poremećaji i reakcije na mjestu primjene</w:t>
            </w:r>
          </w:p>
        </w:tc>
        <w:tc>
          <w:tcPr>
            <w:tcW w:w="1740" w:type="dxa"/>
            <w:shd w:val="clear" w:color="auto" w:fill="auto"/>
          </w:tcPr>
          <w:p w14:paraId="1FBE16A4"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5A77674B"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31C2A0A8"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270AFB94" w14:textId="77777777" w:rsidTr="00DB6E73">
        <w:tc>
          <w:tcPr>
            <w:tcW w:w="1884" w:type="dxa"/>
            <w:shd w:val="clear" w:color="auto" w:fill="auto"/>
          </w:tcPr>
          <w:p w14:paraId="3E39B18A"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465CC8C2"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reakcije povezane s infuzijom</w:t>
            </w:r>
          </w:p>
        </w:tc>
        <w:tc>
          <w:tcPr>
            <w:tcW w:w="1740" w:type="dxa"/>
            <w:shd w:val="clear" w:color="auto" w:fill="auto"/>
          </w:tcPr>
          <w:p w14:paraId="708E9B35"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29E52D34"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r w:rsidRPr="005A4F9F">
              <w:rPr>
                <w:sz w:val="22"/>
                <w:szCs w:val="22"/>
                <w:vertAlign w:val="superscript"/>
                <w:lang w:val="sr-Latn-ME" w:eastAsia="ja-JP"/>
              </w:rPr>
              <w:t>1</w:t>
            </w:r>
            <w:r w:rsidRPr="005A4F9F">
              <w:rPr>
                <w:sz w:val="22"/>
                <w:szCs w:val="22"/>
                <w:lang w:val="sr-Latn-ME" w:eastAsia="ja-JP"/>
              </w:rPr>
              <w:t>, sJIA</w:t>
            </w:r>
            <w:r w:rsidRPr="005A4F9F">
              <w:rPr>
                <w:sz w:val="22"/>
                <w:szCs w:val="22"/>
                <w:vertAlign w:val="superscript"/>
                <w:lang w:val="sr-Latn-ME" w:eastAsia="ja-JP"/>
              </w:rPr>
              <w:t>2</w:t>
            </w:r>
          </w:p>
        </w:tc>
        <w:tc>
          <w:tcPr>
            <w:tcW w:w="1559" w:type="dxa"/>
            <w:shd w:val="clear" w:color="auto" w:fill="auto"/>
          </w:tcPr>
          <w:p w14:paraId="5803DB90"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1B8F7914" w14:textId="77777777" w:rsidTr="00DB6E73">
        <w:tc>
          <w:tcPr>
            <w:tcW w:w="4067" w:type="dxa"/>
            <w:gridSpan w:val="2"/>
            <w:shd w:val="clear" w:color="auto" w:fill="auto"/>
          </w:tcPr>
          <w:p w14:paraId="6B62358E"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Pretrage</w:t>
            </w:r>
          </w:p>
        </w:tc>
        <w:tc>
          <w:tcPr>
            <w:tcW w:w="1740" w:type="dxa"/>
            <w:shd w:val="clear" w:color="auto" w:fill="auto"/>
          </w:tcPr>
          <w:p w14:paraId="31AD6BCB"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650D111A"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559" w:type="dxa"/>
            <w:shd w:val="clear" w:color="auto" w:fill="auto"/>
          </w:tcPr>
          <w:p w14:paraId="415601CA"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35FCD332" w14:textId="77777777" w:rsidTr="00DB6E73">
        <w:tc>
          <w:tcPr>
            <w:tcW w:w="1884" w:type="dxa"/>
            <w:shd w:val="clear" w:color="auto" w:fill="auto"/>
          </w:tcPr>
          <w:p w14:paraId="6A24ADCF"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1C2CCB39"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povišene vrijednosti jetrenih transaminaza</w:t>
            </w:r>
          </w:p>
        </w:tc>
        <w:tc>
          <w:tcPr>
            <w:tcW w:w="1740" w:type="dxa"/>
            <w:shd w:val="clear" w:color="auto" w:fill="auto"/>
          </w:tcPr>
          <w:p w14:paraId="7D7D0832"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40B052BC"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c>
          <w:tcPr>
            <w:tcW w:w="1559" w:type="dxa"/>
            <w:shd w:val="clear" w:color="auto" w:fill="auto"/>
          </w:tcPr>
          <w:p w14:paraId="4762D7C7"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364B5D53" w14:textId="77777777" w:rsidTr="00DB6E73">
        <w:tc>
          <w:tcPr>
            <w:tcW w:w="1884" w:type="dxa"/>
            <w:shd w:val="clear" w:color="auto" w:fill="auto"/>
          </w:tcPr>
          <w:p w14:paraId="3F3F0034"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6EF798F7"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smanjen broj neutrofila</w:t>
            </w:r>
          </w:p>
        </w:tc>
        <w:tc>
          <w:tcPr>
            <w:tcW w:w="1740" w:type="dxa"/>
            <w:shd w:val="clear" w:color="auto" w:fill="auto"/>
          </w:tcPr>
          <w:p w14:paraId="2BB41FE9"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sJIA</w:t>
            </w:r>
          </w:p>
        </w:tc>
        <w:tc>
          <w:tcPr>
            <w:tcW w:w="1701" w:type="dxa"/>
            <w:shd w:val="clear" w:color="auto" w:fill="auto"/>
          </w:tcPr>
          <w:p w14:paraId="383901F1"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c>
          <w:tcPr>
            <w:tcW w:w="1559" w:type="dxa"/>
            <w:shd w:val="clear" w:color="auto" w:fill="auto"/>
          </w:tcPr>
          <w:p w14:paraId="7E0C3B49" w14:textId="77777777" w:rsidR="0066374C" w:rsidRPr="005A4F9F" w:rsidRDefault="0066374C" w:rsidP="008B00DE">
            <w:pPr>
              <w:widowControl w:val="0"/>
              <w:autoSpaceDE w:val="0"/>
              <w:autoSpaceDN w:val="0"/>
              <w:adjustRightInd w:val="0"/>
              <w:jc w:val="both"/>
              <w:rPr>
                <w:sz w:val="22"/>
                <w:szCs w:val="22"/>
                <w:lang w:val="sr-Latn-ME" w:eastAsia="ja-JP"/>
              </w:rPr>
            </w:pPr>
          </w:p>
        </w:tc>
      </w:tr>
      <w:tr w:rsidR="0066374C" w:rsidRPr="005A4F9F" w14:paraId="43E0EF47" w14:textId="77777777" w:rsidTr="00DB6E73">
        <w:tc>
          <w:tcPr>
            <w:tcW w:w="1884" w:type="dxa"/>
            <w:shd w:val="clear" w:color="auto" w:fill="auto"/>
          </w:tcPr>
          <w:p w14:paraId="04481219"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5BEAED7F"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smanjen broj trombocita</w:t>
            </w:r>
          </w:p>
        </w:tc>
        <w:tc>
          <w:tcPr>
            <w:tcW w:w="1740" w:type="dxa"/>
            <w:shd w:val="clear" w:color="auto" w:fill="auto"/>
          </w:tcPr>
          <w:p w14:paraId="5EA6059D"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22324821"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sJIA</w:t>
            </w:r>
          </w:p>
        </w:tc>
        <w:tc>
          <w:tcPr>
            <w:tcW w:w="1559" w:type="dxa"/>
            <w:shd w:val="clear" w:color="auto" w:fill="auto"/>
          </w:tcPr>
          <w:p w14:paraId="7E05E9A2"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r>
      <w:tr w:rsidR="0066374C" w:rsidRPr="005A4F9F" w14:paraId="15244212" w14:textId="77777777" w:rsidTr="00DB6E73">
        <w:tc>
          <w:tcPr>
            <w:tcW w:w="1884" w:type="dxa"/>
            <w:shd w:val="clear" w:color="auto" w:fill="auto"/>
          </w:tcPr>
          <w:p w14:paraId="27484159"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2183" w:type="dxa"/>
            <w:shd w:val="clear" w:color="auto" w:fill="auto"/>
          </w:tcPr>
          <w:p w14:paraId="19FFC2E9" w14:textId="39C57E5E"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 xml:space="preserve">povišene vrijednosti </w:t>
            </w:r>
            <w:r w:rsidR="004577B6" w:rsidRPr="005A4F9F">
              <w:rPr>
                <w:sz w:val="22"/>
                <w:szCs w:val="22"/>
                <w:lang w:val="sr-Latn-ME" w:eastAsia="ja-JP"/>
              </w:rPr>
              <w:t>h</w:t>
            </w:r>
            <w:r w:rsidRPr="005A4F9F">
              <w:rPr>
                <w:sz w:val="22"/>
                <w:szCs w:val="22"/>
                <w:lang w:val="sr-Latn-ME" w:eastAsia="ja-JP"/>
              </w:rPr>
              <w:t>olesterola</w:t>
            </w:r>
          </w:p>
        </w:tc>
        <w:tc>
          <w:tcPr>
            <w:tcW w:w="1740" w:type="dxa"/>
            <w:shd w:val="clear" w:color="auto" w:fill="auto"/>
          </w:tcPr>
          <w:p w14:paraId="03E51461" w14:textId="77777777" w:rsidR="0066374C" w:rsidRPr="005A4F9F" w:rsidRDefault="0066374C" w:rsidP="008B00DE">
            <w:pPr>
              <w:widowControl w:val="0"/>
              <w:autoSpaceDE w:val="0"/>
              <w:autoSpaceDN w:val="0"/>
              <w:adjustRightInd w:val="0"/>
              <w:jc w:val="both"/>
              <w:rPr>
                <w:sz w:val="22"/>
                <w:szCs w:val="22"/>
                <w:lang w:val="sr-Latn-ME" w:eastAsia="ja-JP"/>
              </w:rPr>
            </w:pPr>
          </w:p>
        </w:tc>
        <w:tc>
          <w:tcPr>
            <w:tcW w:w="1701" w:type="dxa"/>
            <w:shd w:val="clear" w:color="auto" w:fill="auto"/>
          </w:tcPr>
          <w:p w14:paraId="064B7567"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sJIA</w:t>
            </w:r>
          </w:p>
        </w:tc>
        <w:tc>
          <w:tcPr>
            <w:tcW w:w="1559" w:type="dxa"/>
            <w:shd w:val="clear" w:color="auto" w:fill="auto"/>
          </w:tcPr>
          <w:p w14:paraId="17E3B1AF" w14:textId="77777777" w:rsidR="0066374C" w:rsidRPr="005A4F9F" w:rsidRDefault="0066374C" w:rsidP="008B00DE">
            <w:pPr>
              <w:widowControl w:val="0"/>
              <w:autoSpaceDE w:val="0"/>
              <w:autoSpaceDN w:val="0"/>
              <w:adjustRightInd w:val="0"/>
              <w:jc w:val="both"/>
              <w:rPr>
                <w:sz w:val="22"/>
                <w:szCs w:val="22"/>
                <w:lang w:val="sr-Latn-ME" w:eastAsia="ja-JP"/>
              </w:rPr>
            </w:pPr>
            <w:r w:rsidRPr="005A4F9F">
              <w:rPr>
                <w:sz w:val="22"/>
                <w:szCs w:val="22"/>
                <w:lang w:val="sr-Latn-ME" w:eastAsia="ja-JP"/>
              </w:rPr>
              <w:t>pJIA</w:t>
            </w:r>
          </w:p>
        </w:tc>
      </w:tr>
    </w:tbl>
    <w:p w14:paraId="2B07688F" w14:textId="59B73DC8" w:rsidR="0066374C" w:rsidRPr="008B00DE" w:rsidRDefault="0066374C" w:rsidP="008B00DE">
      <w:pPr>
        <w:widowControl w:val="0"/>
        <w:autoSpaceDE w:val="0"/>
        <w:autoSpaceDN w:val="0"/>
        <w:adjustRightInd w:val="0"/>
        <w:jc w:val="both"/>
        <w:rPr>
          <w:sz w:val="22"/>
          <w:szCs w:val="22"/>
          <w:lang w:val="sr-Latn-ME" w:eastAsia="de-DE"/>
        </w:rPr>
      </w:pPr>
      <w:r w:rsidRPr="008B00DE">
        <w:rPr>
          <w:sz w:val="22"/>
          <w:szCs w:val="22"/>
          <w:lang w:val="sr-Latn-ME" w:eastAsia="de-DE"/>
        </w:rPr>
        <w:t xml:space="preserve">1. Reakcije povezane s infuzijom kod </w:t>
      </w:r>
      <w:r w:rsidR="004577B6" w:rsidRPr="008B00DE">
        <w:rPr>
          <w:sz w:val="22"/>
          <w:szCs w:val="22"/>
          <w:lang w:val="sr-Latn-ME" w:eastAsia="de-DE"/>
        </w:rPr>
        <w:t>pacijenata</w:t>
      </w:r>
      <w:r w:rsidRPr="008B00DE">
        <w:rPr>
          <w:sz w:val="22"/>
          <w:szCs w:val="22"/>
          <w:lang w:val="sr-Latn-ME" w:eastAsia="de-DE"/>
        </w:rPr>
        <w:t xml:space="preserve"> s pJIA obuhva</w:t>
      </w:r>
      <w:r w:rsidR="004577B6" w:rsidRPr="008B00DE">
        <w:rPr>
          <w:sz w:val="22"/>
          <w:szCs w:val="22"/>
          <w:lang w:val="sr-Latn-ME" w:eastAsia="de-DE"/>
        </w:rPr>
        <w:t>t</w:t>
      </w:r>
      <w:r w:rsidRPr="008B00DE">
        <w:rPr>
          <w:sz w:val="22"/>
          <w:szCs w:val="22"/>
          <w:lang w:val="sr-Latn-ME" w:eastAsia="de-DE"/>
        </w:rPr>
        <w:t>ale su, uz ostalo, glavobolju, mučninu i hipotenziju</w:t>
      </w:r>
    </w:p>
    <w:p w14:paraId="5642FC61" w14:textId="23CD3A15" w:rsidR="0066374C" w:rsidRPr="008B00DE" w:rsidRDefault="0066374C" w:rsidP="008B00DE">
      <w:pPr>
        <w:widowControl w:val="0"/>
        <w:autoSpaceDE w:val="0"/>
        <w:autoSpaceDN w:val="0"/>
        <w:adjustRightInd w:val="0"/>
        <w:jc w:val="both"/>
        <w:rPr>
          <w:sz w:val="22"/>
          <w:szCs w:val="22"/>
          <w:lang w:val="sr-Latn-ME" w:eastAsia="ja-JP"/>
        </w:rPr>
      </w:pPr>
      <w:r w:rsidRPr="008B00DE">
        <w:rPr>
          <w:sz w:val="22"/>
          <w:szCs w:val="22"/>
          <w:lang w:val="sr-Latn-ME" w:eastAsia="ja-JP"/>
        </w:rPr>
        <w:t xml:space="preserve">2. </w:t>
      </w:r>
      <w:r w:rsidRPr="008B00DE">
        <w:rPr>
          <w:sz w:val="22"/>
          <w:szCs w:val="22"/>
          <w:lang w:val="sr-Latn-ME" w:eastAsia="de-DE"/>
        </w:rPr>
        <w:t xml:space="preserve">Reakcije </w:t>
      </w:r>
      <w:r w:rsidRPr="008B00DE">
        <w:rPr>
          <w:sz w:val="22"/>
          <w:szCs w:val="22"/>
          <w:lang w:val="sr-Latn-ME" w:eastAsia="ja-JP"/>
        </w:rPr>
        <w:t xml:space="preserve">povezane s infuzijom kod </w:t>
      </w:r>
      <w:r w:rsidR="004577B6" w:rsidRPr="008B00DE">
        <w:rPr>
          <w:sz w:val="22"/>
          <w:szCs w:val="22"/>
          <w:lang w:val="sr-Latn-ME" w:eastAsia="ja-JP"/>
        </w:rPr>
        <w:t>pacijenat</w:t>
      </w:r>
      <w:r w:rsidRPr="008B00DE">
        <w:rPr>
          <w:sz w:val="22"/>
          <w:szCs w:val="22"/>
          <w:lang w:val="sr-Latn-ME" w:eastAsia="ja-JP"/>
        </w:rPr>
        <w:t>a sa sJIA obuhva</w:t>
      </w:r>
      <w:r w:rsidR="004577B6" w:rsidRPr="008B00DE">
        <w:rPr>
          <w:sz w:val="22"/>
          <w:szCs w:val="22"/>
          <w:lang w:val="sr-Latn-ME" w:eastAsia="ja-JP"/>
        </w:rPr>
        <w:t>t</w:t>
      </w:r>
      <w:r w:rsidRPr="008B00DE">
        <w:rPr>
          <w:sz w:val="22"/>
          <w:szCs w:val="22"/>
          <w:lang w:val="sr-Latn-ME" w:eastAsia="ja-JP"/>
        </w:rPr>
        <w:t xml:space="preserve">ale su, uz ostalo, osip, urtikariju, </w:t>
      </w:r>
      <w:r w:rsidR="004577B6" w:rsidRPr="008B00DE">
        <w:rPr>
          <w:sz w:val="22"/>
          <w:szCs w:val="22"/>
          <w:lang w:val="sr-Latn-ME" w:eastAsia="ja-JP"/>
        </w:rPr>
        <w:t>dijareju</w:t>
      </w:r>
      <w:r w:rsidRPr="008B00DE">
        <w:rPr>
          <w:sz w:val="22"/>
          <w:szCs w:val="22"/>
          <w:lang w:val="sr-Latn-ME" w:eastAsia="ja-JP"/>
        </w:rPr>
        <w:t>, nelagodu u epigastriju, artralgiju i glavobolju</w:t>
      </w:r>
    </w:p>
    <w:p w14:paraId="51FA634A" w14:textId="77777777" w:rsidR="0066374C" w:rsidRPr="005A4F9F" w:rsidRDefault="0066374C" w:rsidP="008B00DE">
      <w:pPr>
        <w:widowControl w:val="0"/>
        <w:jc w:val="both"/>
        <w:rPr>
          <w:sz w:val="22"/>
          <w:szCs w:val="22"/>
          <w:lang w:val="sr-Latn-ME"/>
        </w:rPr>
      </w:pPr>
    </w:p>
    <w:p w14:paraId="4E033DCB" w14:textId="77777777" w:rsidR="00542633" w:rsidRPr="005A4F9F" w:rsidRDefault="0066374C">
      <w:pPr>
        <w:pStyle w:val="Header"/>
        <w:widowControl w:val="0"/>
        <w:tabs>
          <w:tab w:val="left" w:pos="284"/>
        </w:tabs>
        <w:jc w:val="both"/>
        <w:rPr>
          <w:b/>
          <w:bCs/>
          <w:sz w:val="22"/>
          <w:szCs w:val="22"/>
          <w:lang w:val="sr-Latn-ME"/>
        </w:rPr>
      </w:pPr>
      <w:r w:rsidRPr="005A4F9F">
        <w:rPr>
          <w:b/>
          <w:bCs/>
          <w:sz w:val="22"/>
          <w:szCs w:val="22"/>
          <w:lang w:val="sr-Latn-ME"/>
        </w:rPr>
        <w:t>Opis odabranih neželjenih efekata</w:t>
      </w:r>
    </w:p>
    <w:p w14:paraId="19834A1B" w14:textId="07AC2E1F" w:rsidR="00542633" w:rsidRPr="005A4F9F" w:rsidRDefault="0066374C">
      <w:pPr>
        <w:pStyle w:val="Header"/>
        <w:widowControl w:val="0"/>
        <w:tabs>
          <w:tab w:val="left" w:pos="284"/>
        </w:tabs>
        <w:jc w:val="both"/>
        <w:rPr>
          <w:sz w:val="22"/>
          <w:szCs w:val="22"/>
          <w:lang w:val="sr-Latn-ME"/>
        </w:rPr>
      </w:pPr>
      <w:r w:rsidRPr="005A4F9F">
        <w:rPr>
          <w:sz w:val="22"/>
          <w:szCs w:val="22"/>
          <w:lang w:val="sr-Latn-ME"/>
        </w:rPr>
        <w:t>Bolesnici s RA</w:t>
      </w:r>
    </w:p>
    <w:p w14:paraId="6476C2AE" w14:textId="555ADAA8" w:rsidR="00C66563" w:rsidRPr="008B00DE" w:rsidRDefault="00C66563">
      <w:pPr>
        <w:pStyle w:val="Header"/>
        <w:widowControl w:val="0"/>
        <w:tabs>
          <w:tab w:val="left" w:pos="284"/>
        </w:tabs>
        <w:jc w:val="both"/>
        <w:rPr>
          <w:sz w:val="22"/>
          <w:szCs w:val="22"/>
          <w:lang w:val="sr-Latn-ME"/>
        </w:rPr>
      </w:pPr>
      <w:r w:rsidRPr="005A4F9F">
        <w:rPr>
          <w:i/>
          <w:sz w:val="22"/>
          <w:szCs w:val="22"/>
          <w:u w:val="single"/>
          <w:lang w:val="sr-Latn-ME"/>
        </w:rPr>
        <w:t>Infekcije</w:t>
      </w:r>
    </w:p>
    <w:p w14:paraId="3B17736A" w14:textId="193F5765" w:rsidR="00C66563" w:rsidRPr="005A4F9F" w:rsidRDefault="00C66563">
      <w:pPr>
        <w:pStyle w:val="Header"/>
        <w:widowControl w:val="0"/>
        <w:tabs>
          <w:tab w:val="left" w:pos="284"/>
        </w:tabs>
        <w:jc w:val="both"/>
        <w:rPr>
          <w:sz w:val="22"/>
          <w:szCs w:val="22"/>
          <w:lang w:val="sr-Latn-ME"/>
        </w:rPr>
      </w:pPr>
      <w:r w:rsidRPr="005A4F9F">
        <w:rPr>
          <w:sz w:val="22"/>
          <w:szCs w:val="22"/>
          <w:lang w:val="sr-Latn-ME"/>
        </w:rPr>
        <w:t>U šestomjesečnim kontrolisanim studijama stopa svih infekcija zabilježenih</w:t>
      </w:r>
      <w:r w:rsidR="0064575C" w:rsidRPr="005A4F9F">
        <w:rPr>
          <w:sz w:val="22"/>
          <w:szCs w:val="22"/>
          <w:lang w:val="sr-Latn-ME"/>
        </w:rPr>
        <w:t xml:space="preserve"> tokom liječenja </w:t>
      </w:r>
      <w:r w:rsidRPr="005A4F9F">
        <w:rPr>
          <w:sz w:val="22"/>
          <w:szCs w:val="22"/>
          <w:lang w:val="sr-Latn-ME"/>
        </w:rPr>
        <w:t>tocilizumabom</w:t>
      </w:r>
      <w:r w:rsidR="0064575C" w:rsidRPr="005A4F9F">
        <w:rPr>
          <w:sz w:val="22"/>
          <w:szCs w:val="22"/>
          <w:lang w:val="sr-Latn-ME"/>
        </w:rPr>
        <w:t xml:space="preserve"> u dozi od</w:t>
      </w:r>
      <w:r w:rsidRPr="005A4F9F">
        <w:rPr>
          <w:sz w:val="22"/>
          <w:szCs w:val="22"/>
          <w:lang w:val="sr-Latn-ME"/>
        </w:rPr>
        <w:t xml:space="preserve"> 8 mg/kg </w:t>
      </w:r>
      <w:r w:rsidR="0064575C" w:rsidRPr="005A4F9F">
        <w:rPr>
          <w:sz w:val="22"/>
          <w:szCs w:val="22"/>
          <w:lang w:val="sr-Latn-ME"/>
        </w:rPr>
        <w:t>u kombinaciji sa</w:t>
      </w:r>
      <w:r w:rsidRPr="005A4F9F">
        <w:rPr>
          <w:sz w:val="22"/>
          <w:szCs w:val="22"/>
          <w:lang w:val="sr-Latn-ME"/>
        </w:rPr>
        <w:t xml:space="preserve"> DMARD iznosila je 127 događaja na 100 pacijent godina, u poređenju sa 112 događaja na 100 pacijent godina u grupi koja je primala placebo </w:t>
      </w:r>
      <w:r w:rsidR="0064575C" w:rsidRPr="005A4F9F">
        <w:rPr>
          <w:sz w:val="22"/>
          <w:szCs w:val="22"/>
          <w:lang w:val="sr-Latn-ME"/>
        </w:rPr>
        <w:t xml:space="preserve">i  </w:t>
      </w:r>
      <w:r w:rsidRPr="005A4F9F">
        <w:rPr>
          <w:sz w:val="22"/>
          <w:szCs w:val="22"/>
          <w:lang w:val="sr-Latn-ME"/>
        </w:rPr>
        <w:t>DMARD. U dugoroč</w:t>
      </w:r>
      <w:r w:rsidR="0064575C" w:rsidRPr="005A4F9F">
        <w:rPr>
          <w:sz w:val="22"/>
          <w:szCs w:val="22"/>
          <w:lang w:val="sr-Latn-ME"/>
        </w:rPr>
        <w:t xml:space="preserve">noj izloženosti pacijenata, ukupna stopa infekcija u grupi koja je primala </w:t>
      </w:r>
      <w:r w:rsidR="002B004B" w:rsidRPr="005A4F9F">
        <w:rPr>
          <w:sz w:val="22"/>
          <w:szCs w:val="22"/>
          <w:lang w:val="sr-Latn-ME"/>
        </w:rPr>
        <w:t>tocilizumab</w:t>
      </w:r>
      <w:r w:rsidR="0064575C" w:rsidRPr="005A4F9F">
        <w:rPr>
          <w:sz w:val="22"/>
          <w:szCs w:val="22"/>
          <w:lang w:val="sr-Latn-ME"/>
        </w:rPr>
        <w:t xml:space="preserve"> iznosila je </w:t>
      </w:r>
      <w:r w:rsidRPr="005A4F9F">
        <w:rPr>
          <w:sz w:val="22"/>
          <w:szCs w:val="22"/>
          <w:lang w:val="sr-Latn-ME"/>
        </w:rPr>
        <w:t xml:space="preserve"> 108 događaja na izlaganje od 100 pacijent godina.</w:t>
      </w:r>
    </w:p>
    <w:p w14:paraId="0DB37A0F" w14:textId="77777777" w:rsidR="00C66563" w:rsidRPr="005A4F9F" w:rsidRDefault="00C66563">
      <w:pPr>
        <w:pStyle w:val="Header"/>
        <w:widowControl w:val="0"/>
        <w:tabs>
          <w:tab w:val="left" w:pos="284"/>
        </w:tabs>
        <w:jc w:val="both"/>
        <w:rPr>
          <w:sz w:val="22"/>
          <w:szCs w:val="22"/>
          <w:lang w:val="sr-Latn-ME"/>
        </w:rPr>
      </w:pPr>
    </w:p>
    <w:p w14:paraId="395E4F0A" w14:textId="18096C58" w:rsidR="00C66563" w:rsidRPr="005A4F9F" w:rsidRDefault="00C66563">
      <w:pPr>
        <w:pStyle w:val="Header"/>
        <w:widowControl w:val="0"/>
        <w:tabs>
          <w:tab w:val="left" w:pos="284"/>
        </w:tabs>
        <w:jc w:val="both"/>
        <w:rPr>
          <w:sz w:val="22"/>
          <w:szCs w:val="22"/>
          <w:lang w:val="sr-Latn-ME"/>
        </w:rPr>
      </w:pPr>
      <w:r w:rsidRPr="005A4F9F">
        <w:rPr>
          <w:sz w:val="22"/>
          <w:szCs w:val="22"/>
          <w:lang w:val="sr-Latn-ME"/>
        </w:rPr>
        <w:t>U šestomjesečnim kontrolisanim kliničkim studijama stopa ozbiljnih infekcija sa tocilizumabom</w:t>
      </w:r>
      <w:r w:rsidR="00CE0C85" w:rsidRPr="005A4F9F">
        <w:rPr>
          <w:sz w:val="22"/>
          <w:szCs w:val="22"/>
          <w:lang w:val="sr-Latn-ME"/>
        </w:rPr>
        <w:t xml:space="preserve"> u dozi od </w:t>
      </w:r>
      <w:r w:rsidRPr="005A4F9F">
        <w:rPr>
          <w:sz w:val="22"/>
          <w:szCs w:val="22"/>
          <w:lang w:val="sr-Latn-ME"/>
        </w:rPr>
        <w:t xml:space="preserve"> 8 mg/kg </w:t>
      </w:r>
      <w:r w:rsidR="00CE0C85" w:rsidRPr="005A4F9F">
        <w:rPr>
          <w:sz w:val="22"/>
          <w:szCs w:val="22"/>
          <w:lang w:val="sr-Latn-ME"/>
        </w:rPr>
        <w:t xml:space="preserve">u kombinaciji sa  </w:t>
      </w:r>
      <w:r w:rsidRPr="005A4F9F">
        <w:rPr>
          <w:sz w:val="22"/>
          <w:szCs w:val="22"/>
          <w:lang w:val="sr-Latn-ME"/>
        </w:rPr>
        <w:t xml:space="preserve">a DMARD iznosila je 5,3 događaja na izlaganje od 100 pacijent godina u poređenju sa 3,9 događaja na izlaganje od 100 pacijent godina u grupi koja je primala placebo plus DMARD.  U ispitivanjima sa monoterapijom stopa ozbiljnih  infekcija iznosila je 3,6 događaja na izlaganje od 100 pacijent godina u grupi koja je primala tocilizumab, a 1,5 događaja na izlaganje od 100 pacijent godina u grupi koja je primala MTX. </w:t>
      </w:r>
    </w:p>
    <w:p w14:paraId="720B184F" w14:textId="77777777" w:rsidR="00F76E4A" w:rsidRPr="005A4F9F" w:rsidRDefault="00F76E4A">
      <w:pPr>
        <w:pStyle w:val="Header"/>
        <w:widowControl w:val="0"/>
        <w:tabs>
          <w:tab w:val="left" w:pos="284"/>
        </w:tabs>
        <w:jc w:val="both"/>
        <w:rPr>
          <w:sz w:val="22"/>
          <w:szCs w:val="22"/>
          <w:lang w:val="sr-Latn-ME"/>
        </w:rPr>
      </w:pPr>
    </w:p>
    <w:p w14:paraId="2EB07B32" w14:textId="3C8E243E" w:rsidR="00C66563" w:rsidRPr="005A4F9F" w:rsidRDefault="00C66563">
      <w:pPr>
        <w:pStyle w:val="BodyText"/>
        <w:widowControl w:val="0"/>
        <w:spacing w:after="0" w:line="252" w:lineRule="exact"/>
        <w:jc w:val="both"/>
        <w:rPr>
          <w:sz w:val="22"/>
          <w:szCs w:val="22"/>
          <w:lang w:val="sr-Latn-ME"/>
        </w:rPr>
      </w:pPr>
      <w:r w:rsidRPr="005A4F9F">
        <w:rPr>
          <w:sz w:val="22"/>
          <w:szCs w:val="22"/>
          <w:lang w:val="sr-Latn-ME"/>
        </w:rPr>
        <w:t>U dugoročnoj izloženosti populacije ukupna stopa  ozbiljnih  infekcija (bakterijske, virusne i gljivične)  iznosila je</w:t>
      </w:r>
      <w:r w:rsidR="00162152" w:rsidRPr="005A4F9F">
        <w:rPr>
          <w:sz w:val="22"/>
          <w:szCs w:val="22"/>
          <w:lang w:val="sr-Latn-ME"/>
        </w:rPr>
        <w:t xml:space="preserve"> </w:t>
      </w:r>
      <w:r w:rsidRPr="005A4F9F">
        <w:rPr>
          <w:sz w:val="22"/>
          <w:szCs w:val="22"/>
          <w:lang w:val="sr-Latn-ME"/>
        </w:rPr>
        <w:t>7 događaja na 100 pacijent godina. Zabilježene ozbiljne infekcije (neke sa fatalnim ishodom) uključile su aktivnu tuberkulozu, koja se može javiti kao plućno ili vanplućno oboljenje, invazivne plućne infekcije, uključujući kandidijazu, aspergilozu kokcidio</w:t>
      </w:r>
      <w:r w:rsidR="00162152" w:rsidRPr="005A4F9F">
        <w:rPr>
          <w:sz w:val="22"/>
          <w:szCs w:val="22"/>
          <w:lang w:val="sr-Latn-ME"/>
        </w:rPr>
        <w:t>ido</w:t>
      </w:r>
      <w:r w:rsidRPr="005A4F9F">
        <w:rPr>
          <w:sz w:val="22"/>
          <w:szCs w:val="22"/>
          <w:lang w:val="sr-Latn-ME"/>
        </w:rPr>
        <w:t>miko</w:t>
      </w:r>
      <w:r w:rsidR="00162152" w:rsidRPr="005A4F9F">
        <w:rPr>
          <w:sz w:val="22"/>
          <w:szCs w:val="22"/>
          <w:lang w:val="sr-Latn-ME"/>
        </w:rPr>
        <w:t>zni</w:t>
      </w:r>
      <w:r w:rsidRPr="005A4F9F">
        <w:rPr>
          <w:sz w:val="22"/>
          <w:szCs w:val="22"/>
          <w:lang w:val="sr-Latn-ME"/>
        </w:rPr>
        <w:t xml:space="preserve"> pneumocistis jirovecii, pneumoniju, celulitis, herpes zoster, gastroenteritis, divertikulitis, sepsu i bakterijski artritis. Zabilježeni su i slučajevi oportunističkih infekcija.</w:t>
      </w:r>
    </w:p>
    <w:p w14:paraId="4F3511E7" w14:textId="77777777" w:rsidR="002B004B" w:rsidRPr="005A4F9F" w:rsidRDefault="002B004B">
      <w:pPr>
        <w:widowControl w:val="0"/>
        <w:jc w:val="both"/>
        <w:rPr>
          <w:i/>
          <w:sz w:val="22"/>
          <w:szCs w:val="22"/>
          <w:lang w:val="sr-Latn-ME"/>
        </w:rPr>
      </w:pPr>
    </w:p>
    <w:p w14:paraId="4373079A" w14:textId="70001BBD" w:rsidR="00C66563" w:rsidRPr="005A4F9F" w:rsidRDefault="00C66563">
      <w:pPr>
        <w:widowControl w:val="0"/>
        <w:jc w:val="both"/>
        <w:rPr>
          <w:i/>
          <w:sz w:val="22"/>
          <w:szCs w:val="22"/>
          <w:u w:val="single"/>
          <w:lang w:val="sr-Latn-ME"/>
        </w:rPr>
      </w:pPr>
      <w:r w:rsidRPr="005A4F9F">
        <w:rPr>
          <w:i/>
          <w:sz w:val="22"/>
          <w:szCs w:val="22"/>
          <w:u w:val="single"/>
          <w:lang w:val="sr-Latn-ME"/>
        </w:rPr>
        <w:t>Intersticijska bolest pluća</w:t>
      </w:r>
    </w:p>
    <w:p w14:paraId="2EF78200" w14:textId="77777777" w:rsidR="00C66563" w:rsidRPr="005A4F9F" w:rsidRDefault="00C66563">
      <w:pPr>
        <w:widowControl w:val="0"/>
        <w:jc w:val="both"/>
        <w:rPr>
          <w:sz w:val="22"/>
          <w:szCs w:val="22"/>
          <w:lang w:val="sr-Latn-ME"/>
        </w:rPr>
      </w:pPr>
      <w:r w:rsidRPr="005A4F9F">
        <w:rPr>
          <w:sz w:val="22"/>
          <w:szCs w:val="22"/>
          <w:lang w:val="sr-Latn-ME"/>
        </w:rPr>
        <w:t>Oštećena funkcija pluća može povećati rizik od razvoja infekcija. Nakon stavljanja lijeka u promet prijavljeni su slučajevi intersticijske bolesti pluća (uključujući pneumonitis i pulmonalnu fibrozu), od kojih su neki imali smrtni ishod.</w:t>
      </w:r>
    </w:p>
    <w:p w14:paraId="684318C8" w14:textId="77777777" w:rsidR="00C66563" w:rsidRPr="005A4F9F" w:rsidRDefault="00C66563">
      <w:pPr>
        <w:pStyle w:val="Header"/>
        <w:widowControl w:val="0"/>
        <w:tabs>
          <w:tab w:val="left" w:pos="284"/>
        </w:tabs>
        <w:jc w:val="both"/>
        <w:rPr>
          <w:sz w:val="22"/>
          <w:szCs w:val="22"/>
          <w:lang w:val="sr-Latn-ME"/>
        </w:rPr>
      </w:pPr>
    </w:p>
    <w:p w14:paraId="711AA83D" w14:textId="77777777" w:rsidR="00C66563" w:rsidRPr="005A4F9F" w:rsidRDefault="00C66563">
      <w:pPr>
        <w:widowControl w:val="0"/>
        <w:jc w:val="both"/>
        <w:rPr>
          <w:i/>
          <w:sz w:val="22"/>
          <w:szCs w:val="22"/>
          <w:u w:val="single"/>
          <w:lang w:val="sr-Latn-ME"/>
        </w:rPr>
      </w:pPr>
      <w:r w:rsidRPr="005A4F9F">
        <w:rPr>
          <w:i/>
          <w:sz w:val="22"/>
          <w:szCs w:val="22"/>
          <w:u w:val="single"/>
          <w:lang w:val="sr-Latn-ME"/>
        </w:rPr>
        <w:t>Gastrointestinalne perforacije</w:t>
      </w:r>
    </w:p>
    <w:p w14:paraId="26B52878" w14:textId="341121CF" w:rsidR="00C66563" w:rsidRPr="005A4F9F" w:rsidRDefault="00C66563">
      <w:pPr>
        <w:widowControl w:val="0"/>
        <w:jc w:val="both"/>
        <w:rPr>
          <w:sz w:val="22"/>
          <w:szCs w:val="22"/>
          <w:lang w:val="sr-Latn-ME"/>
        </w:rPr>
      </w:pPr>
      <w:r w:rsidRPr="005A4F9F">
        <w:rPr>
          <w:sz w:val="22"/>
          <w:szCs w:val="22"/>
          <w:lang w:val="sr-Latn-ME"/>
        </w:rPr>
        <w:t xml:space="preserve">Tokom 6 mjeseci kontrolisanih kliničkih ispitivanja ukupna stopa </w:t>
      </w:r>
      <w:r w:rsidR="000B661E" w:rsidRPr="005A4F9F">
        <w:rPr>
          <w:sz w:val="22"/>
          <w:szCs w:val="22"/>
          <w:lang w:val="sr-Latn-ME"/>
        </w:rPr>
        <w:t>gastrointestinalnih perforacija</w:t>
      </w:r>
      <w:r w:rsidRPr="005A4F9F">
        <w:rPr>
          <w:sz w:val="22"/>
          <w:szCs w:val="22"/>
          <w:lang w:val="sr-Latn-ME"/>
        </w:rPr>
        <w:t xml:space="preserve"> bila je 0,26 na 100 pacijenata-godina izloženosti terapiji tocilizumabom. U populaciji sa dugotrajnom izloženošću ukupna stopa perforacija u probavnom sistemu bila je 0,28 na 100 pacijenata-godina izloženosti. Slučajevi perforacije u probavnom sistemu pri liječenju bili su u prvom redu prijavljeni kao komplikacije divertikulitisa, uključujući generalizovani purulentni peritonitis, perforacije donjeg dijela gastrointestinalnog sistema, fistule i apsces. </w:t>
      </w:r>
    </w:p>
    <w:p w14:paraId="0EDE4443" w14:textId="77777777" w:rsidR="00C66563" w:rsidRPr="005A4F9F" w:rsidRDefault="00C66563">
      <w:pPr>
        <w:pStyle w:val="Header"/>
        <w:widowControl w:val="0"/>
        <w:tabs>
          <w:tab w:val="left" w:pos="284"/>
        </w:tabs>
        <w:jc w:val="both"/>
        <w:rPr>
          <w:sz w:val="22"/>
          <w:szCs w:val="22"/>
          <w:lang w:val="sr-Latn-ME"/>
        </w:rPr>
      </w:pPr>
    </w:p>
    <w:p w14:paraId="7FED6872" w14:textId="77777777" w:rsidR="00C66563" w:rsidRPr="005A4F9F" w:rsidRDefault="00C66563">
      <w:pPr>
        <w:pStyle w:val="Header"/>
        <w:widowControl w:val="0"/>
        <w:tabs>
          <w:tab w:val="left" w:pos="284"/>
        </w:tabs>
        <w:jc w:val="both"/>
        <w:rPr>
          <w:i/>
          <w:sz w:val="22"/>
          <w:szCs w:val="22"/>
          <w:u w:val="single"/>
          <w:lang w:val="sr-Latn-ME"/>
        </w:rPr>
      </w:pPr>
      <w:r w:rsidRPr="005A4F9F">
        <w:rPr>
          <w:i/>
          <w:sz w:val="22"/>
          <w:szCs w:val="22"/>
          <w:u w:val="single"/>
          <w:lang w:val="sr-Latn-ME"/>
        </w:rPr>
        <w:t xml:space="preserve">Reakcije </w:t>
      </w:r>
      <w:r w:rsidR="00BF249E" w:rsidRPr="005A4F9F">
        <w:rPr>
          <w:i/>
          <w:sz w:val="22"/>
          <w:szCs w:val="22"/>
          <w:u w:val="single"/>
          <w:lang w:val="sr-Latn-ME"/>
        </w:rPr>
        <w:t>povezane sa infuzijom</w:t>
      </w:r>
    </w:p>
    <w:p w14:paraId="51CCE0C3" w14:textId="095175AC" w:rsidR="00C66563" w:rsidRPr="005A4F9F" w:rsidRDefault="00C66563">
      <w:pPr>
        <w:pStyle w:val="Header"/>
        <w:widowControl w:val="0"/>
        <w:tabs>
          <w:tab w:val="left" w:pos="284"/>
        </w:tabs>
        <w:jc w:val="both"/>
        <w:rPr>
          <w:sz w:val="22"/>
          <w:szCs w:val="22"/>
          <w:lang w:val="sr-Latn-ME"/>
        </w:rPr>
      </w:pPr>
      <w:r w:rsidRPr="005A4F9F">
        <w:rPr>
          <w:sz w:val="22"/>
          <w:szCs w:val="22"/>
          <w:lang w:val="sr-Latn-ME"/>
        </w:rPr>
        <w:t>Tokom šest mjeseci kontrolisanih ispitivanja neželjeni događaji povezani sa infuzijom (odabrani događaji koji se javljaju tokom ili u roku od 24 časa po davanju infuzije) zabilježeni su kod 6,9% pacijenata koji su primali tocilizumab 8 mg/kg plus DMARD, odnosno kod 5,1% pacijenata koji su primali placebo plus DMARD. Događaji zabilježeni tokom infuzije prvenstveno su bili  epizode hipertenzije; događaji zabilježeni u roku od 24 časa po okončanju infuzije uglavnom su uključivali glavobolju i reakcije na koži (os</w:t>
      </w:r>
      <w:r w:rsidR="00117940" w:rsidRPr="005A4F9F">
        <w:rPr>
          <w:sz w:val="22"/>
          <w:szCs w:val="22"/>
          <w:lang w:val="sr-Latn-ME"/>
        </w:rPr>
        <w:t>ip</w:t>
      </w:r>
      <w:r w:rsidRPr="005A4F9F">
        <w:rPr>
          <w:sz w:val="22"/>
          <w:szCs w:val="22"/>
          <w:lang w:val="sr-Latn-ME"/>
        </w:rPr>
        <w:t>, urtikarija). Ovi događaji ni</w:t>
      </w:r>
      <w:r w:rsidR="00A563B1" w:rsidRPr="005A4F9F">
        <w:rPr>
          <w:sz w:val="22"/>
          <w:szCs w:val="22"/>
          <w:lang w:val="sr-Latn-ME"/>
        </w:rPr>
        <w:t>je</w:t>
      </w:r>
      <w:r w:rsidRPr="005A4F9F">
        <w:rPr>
          <w:sz w:val="22"/>
          <w:szCs w:val="22"/>
          <w:lang w:val="sr-Latn-ME"/>
        </w:rPr>
        <w:t>su ograničavali terapiju.</w:t>
      </w:r>
    </w:p>
    <w:p w14:paraId="3BD782B7" w14:textId="77777777" w:rsidR="00C66563" w:rsidRPr="005A4F9F" w:rsidRDefault="00C66563">
      <w:pPr>
        <w:pStyle w:val="Header"/>
        <w:widowControl w:val="0"/>
        <w:tabs>
          <w:tab w:val="left" w:pos="284"/>
        </w:tabs>
        <w:jc w:val="both"/>
        <w:rPr>
          <w:sz w:val="22"/>
          <w:szCs w:val="22"/>
          <w:lang w:val="sr-Latn-ME"/>
        </w:rPr>
      </w:pPr>
    </w:p>
    <w:p w14:paraId="55BE7335" w14:textId="104AE063" w:rsidR="00C66563" w:rsidRPr="005A4F9F" w:rsidRDefault="00C66563">
      <w:pPr>
        <w:pStyle w:val="BodyText"/>
        <w:widowControl w:val="0"/>
        <w:spacing w:after="0"/>
        <w:jc w:val="both"/>
        <w:rPr>
          <w:sz w:val="22"/>
          <w:szCs w:val="22"/>
          <w:lang w:val="sr-Latn-ME"/>
        </w:rPr>
      </w:pPr>
      <w:r w:rsidRPr="005A4F9F">
        <w:rPr>
          <w:sz w:val="22"/>
          <w:szCs w:val="22"/>
          <w:lang w:val="sr-Latn-ME"/>
        </w:rPr>
        <w:t xml:space="preserve">Stopa anafilaktičkih reakcija (koje su se javile kod  8/4009 pacijenata, 0,2%) bila je nekoliko puta veća sa  dozom od 4 mg/kg , nego sa dozom od 8 mg/kg. Klinički značajne reakcije preosjetljivosti povezane sa </w:t>
      </w:r>
      <w:r w:rsidR="00117940" w:rsidRPr="005A4F9F">
        <w:rPr>
          <w:sz w:val="22"/>
          <w:szCs w:val="22"/>
          <w:lang w:val="sr-Latn-ME"/>
        </w:rPr>
        <w:t xml:space="preserve">primjenom </w:t>
      </w:r>
      <w:r w:rsidRPr="005A4F9F">
        <w:rPr>
          <w:sz w:val="22"/>
          <w:szCs w:val="22"/>
          <w:lang w:val="sr-Latn-ME"/>
        </w:rPr>
        <w:t xml:space="preserve">tocilizumaba koje su </w:t>
      </w:r>
      <w:r w:rsidR="00117940" w:rsidRPr="005A4F9F">
        <w:rPr>
          <w:sz w:val="22"/>
          <w:szCs w:val="22"/>
          <w:lang w:val="sr-Latn-ME"/>
        </w:rPr>
        <w:t xml:space="preserve">zahtijevale  </w:t>
      </w:r>
      <w:r w:rsidRPr="005A4F9F">
        <w:rPr>
          <w:sz w:val="22"/>
          <w:szCs w:val="22"/>
          <w:lang w:val="sr-Latn-ME"/>
        </w:rPr>
        <w:t>prekid terapije zabilježene su kod ukupno 56 od 4009 </w:t>
      </w:r>
      <w:r w:rsidR="002B004B" w:rsidRPr="005A4F9F">
        <w:rPr>
          <w:sz w:val="22"/>
          <w:szCs w:val="22"/>
          <w:lang w:val="sr-Latn-ME"/>
        </w:rPr>
        <w:t xml:space="preserve">liječenih </w:t>
      </w:r>
      <w:r w:rsidRPr="005A4F9F">
        <w:rPr>
          <w:sz w:val="22"/>
          <w:szCs w:val="22"/>
          <w:lang w:val="sr-Latn-ME"/>
        </w:rPr>
        <w:t xml:space="preserve">pacijenata (1,4%)tokom kontrolisanih i otvorenih kliničkih ispitivanja. Ove reakcije su se po pravilu javljale </w:t>
      </w:r>
      <w:r w:rsidR="00117940" w:rsidRPr="005A4F9F">
        <w:rPr>
          <w:sz w:val="22"/>
          <w:szCs w:val="22"/>
          <w:lang w:val="sr-Latn-ME"/>
        </w:rPr>
        <w:t xml:space="preserve">između  </w:t>
      </w:r>
      <w:r w:rsidRPr="005A4F9F">
        <w:rPr>
          <w:sz w:val="22"/>
          <w:szCs w:val="22"/>
          <w:lang w:val="sr-Latn-ME"/>
        </w:rPr>
        <w:t xml:space="preserve">druge </w:t>
      </w:r>
      <w:r w:rsidR="00117940" w:rsidRPr="005A4F9F">
        <w:rPr>
          <w:sz w:val="22"/>
          <w:szCs w:val="22"/>
          <w:lang w:val="sr-Latn-ME"/>
        </w:rPr>
        <w:t>i</w:t>
      </w:r>
      <w:r w:rsidRPr="005A4F9F">
        <w:rPr>
          <w:sz w:val="22"/>
          <w:szCs w:val="22"/>
          <w:lang w:val="sr-Latn-ME"/>
        </w:rPr>
        <w:t xml:space="preserve"> pete infuzije tocilizumaba (vidjeti dio 4.4). Prijavljen je slučaj fatalne anafilakse tokom liječenja tocilizumabom nakon stavljanja lijeka u promet (vidi dio 4.4).</w:t>
      </w:r>
    </w:p>
    <w:p w14:paraId="06569219" w14:textId="77777777" w:rsidR="00C66563" w:rsidRPr="005A4F9F" w:rsidRDefault="00C66563">
      <w:pPr>
        <w:pStyle w:val="Header"/>
        <w:widowControl w:val="0"/>
        <w:tabs>
          <w:tab w:val="left" w:pos="284"/>
        </w:tabs>
        <w:jc w:val="both"/>
        <w:rPr>
          <w:i/>
          <w:sz w:val="22"/>
          <w:szCs w:val="22"/>
          <w:u w:val="single"/>
          <w:lang w:val="sr-Latn-ME"/>
        </w:rPr>
      </w:pPr>
      <w:r w:rsidRPr="005A4F9F">
        <w:rPr>
          <w:i/>
          <w:sz w:val="22"/>
          <w:szCs w:val="22"/>
          <w:u w:val="single"/>
          <w:lang w:val="sr-Latn-ME"/>
        </w:rPr>
        <w:t>Imunogenost</w:t>
      </w:r>
    </w:p>
    <w:p w14:paraId="422F7464" w14:textId="77777777" w:rsidR="00C66563" w:rsidRPr="005A4F9F" w:rsidRDefault="00C66563">
      <w:pPr>
        <w:pStyle w:val="Header"/>
        <w:widowControl w:val="0"/>
        <w:tabs>
          <w:tab w:val="left" w:pos="284"/>
        </w:tabs>
        <w:jc w:val="both"/>
        <w:rPr>
          <w:sz w:val="22"/>
          <w:szCs w:val="22"/>
          <w:lang w:val="sr-Latn-ME"/>
        </w:rPr>
      </w:pPr>
      <w:r w:rsidRPr="005A4F9F">
        <w:rPr>
          <w:sz w:val="22"/>
          <w:szCs w:val="22"/>
          <w:lang w:val="sr-Latn-ME"/>
        </w:rPr>
        <w:t xml:space="preserve">U šestomjesečnim kontrolisanim kliničkim studijama, ukupno 2876 pacijenata je testirano na anti-tocilizumab antitijela. Od 46 pacijenata (1,6%) kod kojih su se razvila anti-tocilizumab antitijela, 6 su imali povezanu medicinski signifikantnu reakciju preosjetljivosti, od kojih je to kod 5 dovelo do trajnog prekida terapije. Kod 30 pacijenata (1,1%) </w:t>
      </w:r>
      <w:r w:rsidR="00117940" w:rsidRPr="005A4F9F">
        <w:rPr>
          <w:sz w:val="22"/>
          <w:szCs w:val="22"/>
          <w:lang w:val="sr-Latn-ME"/>
        </w:rPr>
        <w:t>razvila su se</w:t>
      </w:r>
      <w:r w:rsidRPr="005A4F9F">
        <w:rPr>
          <w:sz w:val="22"/>
          <w:szCs w:val="22"/>
          <w:lang w:val="sr-Latn-ME"/>
        </w:rPr>
        <w:t xml:space="preserve"> neutralizijuća antitijela.</w:t>
      </w:r>
    </w:p>
    <w:p w14:paraId="21C8D612" w14:textId="238EF5CE" w:rsidR="00C66563" w:rsidRPr="005A4F9F" w:rsidRDefault="00C66563">
      <w:pPr>
        <w:pStyle w:val="Header"/>
        <w:widowControl w:val="0"/>
        <w:tabs>
          <w:tab w:val="left" w:pos="284"/>
        </w:tabs>
        <w:jc w:val="both"/>
        <w:rPr>
          <w:i/>
          <w:sz w:val="22"/>
          <w:szCs w:val="22"/>
          <w:lang w:val="sr-Latn-ME"/>
        </w:rPr>
      </w:pPr>
    </w:p>
    <w:p w14:paraId="30C93C4B" w14:textId="77777777" w:rsidR="00C66563" w:rsidRPr="005A4F9F" w:rsidRDefault="00C66563">
      <w:pPr>
        <w:pStyle w:val="Header"/>
        <w:widowControl w:val="0"/>
        <w:tabs>
          <w:tab w:val="left" w:pos="284"/>
        </w:tabs>
        <w:jc w:val="both"/>
        <w:rPr>
          <w:i/>
          <w:sz w:val="22"/>
          <w:szCs w:val="22"/>
          <w:u w:val="single"/>
          <w:lang w:val="sr-Latn-ME"/>
        </w:rPr>
      </w:pPr>
      <w:r w:rsidRPr="005A4F9F">
        <w:rPr>
          <w:i/>
          <w:sz w:val="22"/>
          <w:szCs w:val="22"/>
          <w:u w:val="single"/>
          <w:lang w:val="sr-Latn-ME"/>
        </w:rPr>
        <w:t>Neutrofili</w:t>
      </w:r>
    </w:p>
    <w:p w14:paraId="331AD539" w14:textId="3E78B062" w:rsidR="00C66563" w:rsidRPr="005A4F9F" w:rsidRDefault="00C66563">
      <w:pPr>
        <w:pStyle w:val="BodyText"/>
        <w:widowControl w:val="0"/>
        <w:spacing w:after="0"/>
        <w:jc w:val="both"/>
        <w:rPr>
          <w:sz w:val="22"/>
          <w:szCs w:val="22"/>
          <w:lang w:val="sr-Latn-ME"/>
        </w:rPr>
      </w:pPr>
      <w:r w:rsidRPr="005A4F9F">
        <w:rPr>
          <w:sz w:val="22"/>
          <w:szCs w:val="22"/>
          <w:lang w:val="sr-Latn-ME"/>
        </w:rPr>
        <w:t>U šestomjesečnim kontrolisanim kliničkim studijama broj neutrofila smanjen na nivo ispod 1 x 10</w:t>
      </w:r>
      <w:r w:rsidRPr="005A4F9F">
        <w:rPr>
          <w:sz w:val="22"/>
          <w:szCs w:val="22"/>
          <w:vertAlign w:val="superscript"/>
          <w:lang w:val="sr-Latn-ME"/>
        </w:rPr>
        <w:t>9</w:t>
      </w:r>
      <w:r w:rsidRPr="005A4F9F">
        <w:rPr>
          <w:sz w:val="22"/>
          <w:szCs w:val="22"/>
          <w:lang w:val="sr-Latn-ME"/>
        </w:rPr>
        <w:t>/ l zabilježen je kod 3.4% pacijenata koji su primali tocilizumab 8 mg/kg plus DMARD u poređenju sa &lt; 0,1% pacijenata koji su primali placebo plus DMARD. Približno polovina pacijenata kod kojih je zabilježena vrijednost A</w:t>
      </w:r>
      <w:r w:rsidR="008B3674" w:rsidRPr="005A4F9F">
        <w:rPr>
          <w:sz w:val="22"/>
          <w:szCs w:val="22"/>
          <w:lang w:val="sr-Latn-ME"/>
        </w:rPr>
        <w:t>BN</w:t>
      </w:r>
      <w:r w:rsidRPr="005A4F9F">
        <w:rPr>
          <w:sz w:val="22"/>
          <w:szCs w:val="22"/>
          <w:lang w:val="sr-Latn-ME"/>
        </w:rPr>
        <w:t xml:space="preserve"> &lt; 1 x 10</w:t>
      </w:r>
      <w:r w:rsidRPr="005A4F9F">
        <w:rPr>
          <w:sz w:val="22"/>
          <w:szCs w:val="22"/>
          <w:vertAlign w:val="superscript"/>
          <w:lang w:val="sr-Latn-ME"/>
        </w:rPr>
        <w:t>9</w:t>
      </w:r>
      <w:r w:rsidRPr="005A4F9F">
        <w:rPr>
          <w:sz w:val="22"/>
          <w:szCs w:val="22"/>
          <w:lang w:val="sr-Latn-ME"/>
        </w:rPr>
        <w:t>/ l ova pojava se razvila u roku od 8 ned</w:t>
      </w:r>
      <w:r w:rsidR="00A563B1" w:rsidRPr="005A4F9F">
        <w:rPr>
          <w:sz w:val="22"/>
          <w:szCs w:val="22"/>
          <w:lang w:val="sr-Latn-ME"/>
        </w:rPr>
        <w:t>j</w:t>
      </w:r>
      <w:r w:rsidRPr="005A4F9F">
        <w:rPr>
          <w:sz w:val="22"/>
          <w:szCs w:val="22"/>
          <w:lang w:val="sr-Latn-ME"/>
        </w:rPr>
        <w:t>elja po započinjanju terapije. Smanjenje na nivo ispod 0,5 x 10</w:t>
      </w:r>
      <w:r w:rsidRPr="005A4F9F">
        <w:rPr>
          <w:sz w:val="22"/>
          <w:szCs w:val="22"/>
          <w:vertAlign w:val="superscript"/>
          <w:lang w:val="sr-Latn-ME"/>
        </w:rPr>
        <w:t>9</w:t>
      </w:r>
      <w:r w:rsidRPr="005A4F9F">
        <w:rPr>
          <w:sz w:val="22"/>
          <w:szCs w:val="22"/>
          <w:lang w:val="sr-Latn-ME"/>
        </w:rPr>
        <w:t xml:space="preserve">/ zabilježeno je kod 0,3% pacijenata koji su primali tocilizumab 8 mg/kg plus DMARD. Prijavljene su infekcije </w:t>
      </w:r>
      <w:r w:rsidR="00117940" w:rsidRPr="005A4F9F">
        <w:rPr>
          <w:sz w:val="22"/>
          <w:szCs w:val="22"/>
          <w:lang w:val="sr-Latn-ME"/>
        </w:rPr>
        <w:t xml:space="preserve">koje su uključivale neutropeniju. </w:t>
      </w:r>
    </w:p>
    <w:p w14:paraId="2772CC97" w14:textId="3713838F" w:rsidR="00C66563" w:rsidRPr="005A4F9F" w:rsidRDefault="00C66563">
      <w:pPr>
        <w:pStyle w:val="BodyText"/>
        <w:widowControl w:val="0"/>
        <w:spacing w:after="0"/>
        <w:jc w:val="both"/>
        <w:rPr>
          <w:sz w:val="22"/>
          <w:szCs w:val="22"/>
          <w:lang w:val="sr-Latn-ME"/>
        </w:rPr>
      </w:pPr>
      <w:r w:rsidRPr="005A4F9F">
        <w:rPr>
          <w:sz w:val="22"/>
          <w:szCs w:val="22"/>
          <w:lang w:val="sr-Latn-ME"/>
        </w:rPr>
        <w:t xml:space="preserve">Tokom </w:t>
      </w:r>
      <w:r w:rsidR="00117940" w:rsidRPr="005A4F9F">
        <w:rPr>
          <w:sz w:val="22"/>
          <w:szCs w:val="22"/>
          <w:lang w:val="sr-Latn-ME"/>
        </w:rPr>
        <w:t>dvostruko</w:t>
      </w:r>
      <w:r w:rsidRPr="005A4F9F">
        <w:rPr>
          <w:sz w:val="22"/>
          <w:szCs w:val="22"/>
          <w:lang w:val="sr-Latn-ME"/>
        </w:rPr>
        <w:t>-slijepog kontrolisanog perioda i dugotrajne izloženosti, model i incidenca smanjenja neutrofila ostala je ista kao što je  uočeno u šestomjesečnim kontrolisanim kliničkim studijama.</w:t>
      </w:r>
    </w:p>
    <w:p w14:paraId="7A1F915F" w14:textId="77777777" w:rsidR="00D62AD2" w:rsidRPr="005A4F9F" w:rsidRDefault="00D62AD2">
      <w:pPr>
        <w:widowControl w:val="0"/>
        <w:tabs>
          <w:tab w:val="left" w:pos="284"/>
          <w:tab w:val="center" w:pos="4320"/>
          <w:tab w:val="right" w:pos="8640"/>
        </w:tabs>
        <w:jc w:val="both"/>
        <w:rPr>
          <w:i/>
          <w:sz w:val="22"/>
          <w:szCs w:val="22"/>
          <w:lang w:val="sr-Latn-ME"/>
        </w:rPr>
      </w:pPr>
    </w:p>
    <w:p w14:paraId="2818E585" w14:textId="77777777" w:rsidR="00C66563" w:rsidRPr="005A4F9F" w:rsidRDefault="00C66563">
      <w:pPr>
        <w:widowControl w:val="0"/>
        <w:tabs>
          <w:tab w:val="left" w:pos="284"/>
          <w:tab w:val="center" w:pos="4320"/>
          <w:tab w:val="right" w:pos="8640"/>
        </w:tabs>
        <w:jc w:val="both"/>
        <w:rPr>
          <w:i/>
          <w:sz w:val="22"/>
          <w:szCs w:val="22"/>
          <w:u w:val="single"/>
          <w:lang w:val="sr-Latn-ME"/>
        </w:rPr>
      </w:pPr>
      <w:r w:rsidRPr="005A4F9F">
        <w:rPr>
          <w:i/>
          <w:sz w:val="22"/>
          <w:szCs w:val="22"/>
          <w:u w:val="single"/>
          <w:lang w:val="sr-Latn-ME"/>
        </w:rPr>
        <w:t>Trombociti</w:t>
      </w:r>
    </w:p>
    <w:p w14:paraId="5E29EA78" w14:textId="0D32FEF1"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U šestomjesečnim kontrolisanim studijama smanjenje broja trombocita na nivo ispod 100 </w:t>
      </w:r>
      <w:r w:rsidRPr="005A4F9F">
        <w:rPr>
          <w:bCs/>
          <w:sz w:val="22"/>
          <w:szCs w:val="22"/>
          <w:lang w:val="sr-Latn-ME"/>
        </w:rPr>
        <w:t>x 10</w:t>
      </w:r>
      <w:r w:rsidRPr="005A4F9F">
        <w:rPr>
          <w:bCs/>
          <w:sz w:val="22"/>
          <w:szCs w:val="22"/>
          <w:vertAlign w:val="superscript"/>
          <w:lang w:val="sr-Latn-ME"/>
        </w:rPr>
        <w:t>3</w:t>
      </w:r>
      <w:r w:rsidRPr="005A4F9F">
        <w:rPr>
          <w:bCs/>
          <w:sz w:val="22"/>
          <w:szCs w:val="22"/>
          <w:lang w:val="sr-Latn-ME"/>
        </w:rPr>
        <w:t>/ </w:t>
      </w:r>
      <w:r w:rsidRPr="005A4F9F">
        <w:rPr>
          <w:sz w:val="22"/>
          <w:szCs w:val="22"/>
          <w:lang w:val="sr-Latn-ME"/>
        </w:rPr>
        <w:t>μ</w:t>
      </w:r>
      <w:r w:rsidR="00380496" w:rsidRPr="005A4F9F">
        <w:rPr>
          <w:sz w:val="22"/>
          <w:szCs w:val="22"/>
          <w:lang w:val="sr-Latn-ME"/>
        </w:rPr>
        <w:t>L</w:t>
      </w:r>
      <w:r w:rsidRPr="005A4F9F">
        <w:rPr>
          <w:sz w:val="22"/>
          <w:szCs w:val="22"/>
          <w:lang w:val="sr-Latn-ME"/>
        </w:rPr>
        <w:t xml:space="preserve"> zabilježeno je kod 1,7% pacijenata koji su primali tocilizumab 8 mg/kg plus DMARD u poređenju sa &lt; 1%  kod onih koji su primali placebo plus DMARD. Ova smanjenja ni</w:t>
      </w:r>
      <w:r w:rsidR="00A563B1" w:rsidRPr="005A4F9F">
        <w:rPr>
          <w:sz w:val="22"/>
          <w:szCs w:val="22"/>
          <w:lang w:val="sr-Latn-ME"/>
        </w:rPr>
        <w:t>je</w:t>
      </w:r>
      <w:r w:rsidRPr="005A4F9F">
        <w:rPr>
          <w:sz w:val="22"/>
          <w:szCs w:val="22"/>
          <w:lang w:val="sr-Latn-ME"/>
        </w:rPr>
        <w:t>su bila praćena pojavama krvarenja.</w:t>
      </w:r>
    </w:p>
    <w:p w14:paraId="0914DE8E" w14:textId="77777777" w:rsidR="00C66563" w:rsidRPr="005A4F9F" w:rsidRDefault="00C66563">
      <w:pPr>
        <w:widowControl w:val="0"/>
        <w:tabs>
          <w:tab w:val="left" w:pos="284"/>
          <w:tab w:val="center" w:pos="4320"/>
          <w:tab w:val="right" w:pos="8640"/>
        </w:tabs>
        <w:jc w:val="both"/>
        <w:rPr>
          <w:sz w:val="22"/>
          <w:szCs w:val="22"/>
          <w:lang w:val="sr-Latn-ME"/>
        </w:rPr>
      </w:pPr>
    </w:p>
    <w:p w14:paraId="00AAA2B7" w14:textId="77777777" w:rsidR="00C66563" w:rsidRPr="005A4F9F" w:rsidRDefault="00C66563">
      <w:pPr>
        <w:widowControl w:val="0"/>
        <w:jc w:val="both"/>
        <w:rPr>
          <w:sz w:val="22"/>
          <w:szCs w:val="22"/>
          <w:lang w:val="sr-Latn-ME"/>
        </w:rPr>
      </w:pPr>
      <w:r w:rsidRPr="005A4F9F">
        <w:rPr>
          <w:sz w:val="22"/>
          <w:szCs w:val="22"/>
          <w:lang w:val="sr-Latn-ME"/>
        </w:rPr>
        <w:t>Tokom d</w:t>
      </w:r>
      <w:r w:rsidR="00E30DE1" w:rsidRPr="005A4F9F">
        <w:rPr>
          <w:sz w:val="22"/>
          <w:szCs w:val="22"/>
          <w:lang w:val="sr-Latn-ME"/>
        </w:rPr>
        <w:t>vostruko</w:t>
      </w:r>
      <w:r w:rsidRPr="005A4F9F">
        <w:rPr>
          <w:sz w:val="22"/>
          <w:szCs w:val="22"/>
          <w:lang w:val="sr-Latn-ME"/>
        </w:rPr>
        <w:t xml:space="preserve">-slijepog kontrolisanog perioda i dugotrajne izloženosti, model i incidenca smanjenja </w:t>
      </w:r>
      <w:r w:rsidRPr="005A4F9F">
        <w:rPr>
          <w:sz w:val="22"/>
          <w:szCs w:val="22"/>
          <w:lang w:val="sr-Latn-ME"/>
        </w:rPr>
        <w:lastRenderedPageBreak/>
        <w:t>trombocita ostala je ista kao što je viđeno u šestomjesečnim kontrolisanim kliničkim studijama.</w:t>
      </w:r>
    </w:p>
    <w:p w14:paraId="2D30F1A4" w14:textId="77777777" w:rsidR="00C66563" w:rsidRPr="005A4F9F" w:rsidRDefault="00C66563">
      <w:pPr>
        <w:widowControl w:val="0"/>
        <w:jc w:val="both"/>
        <w:rPr>
          <w:sz w:val="22"/>
          <w:szCs w:val="22"/>
          <w:lang w:val="sr-Latn-ME"/>
        </w:rPr>
      </w:pPr>
      <w:r w:rsidRPr="005A4F9F">
        <w:rPr>
          <w:sz w:val="22"/>
          <w:szCs w:val="22"/>
          <w:lang w:val="sr-Latn-ME"/>
        </w:rPr>
        <w:t xml:space="preserve">Veoma rijetki slučajevi pancitopenije su se dogodili </w:t>
      </w:r>
      <w:r w:rsidR="00117940" w:rsidRPr="005A4F9F">
        <w:rPr>
          <w:sz w:val="22"/>
          <w:szCs w:val="22"/>
          <w:lang w:val="sr-Latn-ME"/>
        </w:rPr>
        <w:t xml:space="preserve">nakon stavljanja lijeka u promet. </w:t>
      </w:r>
    </w:p>
    <w:p w14:paraId="44CD3363" w14:textId="77777777" w:rsidR="002B004B" w:rsidRPr="005A4F9F" w:rsidRDefault="002B004B">
      <w:pPr>
        <w:widowControl w:val="0"/>
        <w:jc w:val="both"/>
        <w:rPr>
          <w:sz w:val="22"/>
          <w:szCs w:val="22"/>
          <w:lang w:val="sr-Latn-ME"/>
        </w:rPr>
      </w:pPr>
    </w:p>
    <w:p w14:paraId="49B2EC08" w14:textId="77777777" w:rsidR="00C66563" w:rsidRPr="005A4F9F" w:rsidRDefault="00C66563">
      <w:pPr>
        <w:widowControl w:val="0"/>
        <w:tabs>
          <w:tab w:val="left" w:pos="284"/>
          <w:tab w:val="center" w:pos="4320"/>
          <w:tab w:val="right" w:pos="8640"/>
        </w:tabs>
        <w:jc w:val="both"/>
        <w:rPr>
          <w:i/>
          <w:sz w:val="22"/>
          <w:szCs w:val="22"/>
          <w:u w:val="single"/>
          <w:lang w:val="sr-Latn-ME"/>
        </w:rPr>
      </w:pPr>
      <w:r w:rsidRPr="005A4F9F">
        <w:rPr>
          <w:i/>
          <w:sz w:val="22"/>
          <w:szCs w:val="22"/>
          <w:u w:val="single"/>
          <w:lang w:val="sr-Latn-ME"/>
        </w:rPr>
        <w:t>Povećanje nivoa transaminaza jetre</w:t>
      </w:r>
    </w:p>
    <w:p w14:paraId="7015D0DF"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Tokom šestomjesečnih kontrolisanih ispitivanja prolazna povećanja ALT/AST &gt; 3 x GGN zabilježena su kod  2,1% pacijenata koji su primali tocilizumab 8 mg/kg u poređenju sa 4,9% pacijenata koji su primali MTX, odnosno 6,5% pacijenata koji su primali 8 mg/kg tocilizumaba plus DMARD u poređenju sa 1,5% pacijenata na terapiji placebo plus DMARD.</w:t>
      </w:r>
    </w:p>
    <w:p w14:paraId="0FFAFAFE" w14:textId="77777777" w:rsidR="00C66563" w:rsidRPr="005A4F9F" w:rsidRDefault="00C66563">
      <w:pPr>
        <w:widowControl w:val="0"/>
        <w:tabs>
          <w:tab w:val="left" w:pos="284"/>
          <w:tab w:val="center" w:pos="4320"/>
          <w:tab w:val="right" w:pos="8640"/>
        </w:tabs>
        <w:jc w:val="both"/>
        <w:rPr>
          <w:sz w:val="22"/>
          <w:szCs w:val="22"/>
          <w:lang w:val="sr-Latn-ME"/>
        </w:rPr>
      </w:pPr>
    </w:p>
    <w:p w14:paraId="2A7B9F0B" w14:textId="6E0E1AE0" w:rsidR="00C66563" w:rsidRPr="005A4F9F" w:rsidRDefault="00C66563">
      <w:pPr>
        <w:widowControl w:val="0"/>
        <w:jc w:val="both"/>
        <w:rPr>
          <w:sz w:val="22"/>
          <w:szCs w:val="22"/>
          <w:lang w:val="sr-Latn-ME"/>
        </w:rPr>
      </w:pPr>
      <w:r w:rsidRPr="005A4F9F">
        <w:rPr>
          <w:sz w:val="22"/>
          <w:szCs w:val="22"/>
          <w:lang w:val="sr-Latn-ME"/>
        </w:rPr>
        <w:t>Dodavanje potencijalno hepatotoksičnih ljekova (npr. MTX) monoterapiji tocilizumabom dovodilo je do povećanja učestalosti ovih povećanja. Povećanje ALT</w:t>
      </w:r>
      <w:r w:rsidR="008B3674" w:rsidRPr="005A4F9F">
        <w:rPr>
          <w:sz w:val="22"/>
          <w:szCs w:val="22"/>
          <w:lang w:val="sr-Latn-ME"/>
        </w:rPr>
        <w:t>-a</w:t>
      </w:r>
      <w:r w:rsidRPr="005A4F9F">
        <w:rPr>
          <w:sz w:val="22"/>
          <w:szCs w:val="22"/>
          <w:lang w:val="sr-Latn-ME"/>
        </w:rPr>
        <w:t>/AST</w:t>
      </w:r>
      <w:r w:rsidR="008B3674" w:rsidRPr="005A4F9F">
        <w:rPr>
          <w:sz w:val="22"/>
          <w:szCs w:val="22"/>
          <w:lang w:val="sr-Latn-ME"/>
        </w:rPr>
        <w:t>-a</w:t>
      </w:r>
      <w:r w:rsidRPr="005A4F9F">
        <w:rPr>
          <w:sz w:val="22"/>
          <w:szCs w:val="22"/>
          <w:lang w:val="sr-Latn-ME"/>
        </w:rPr>
        <w:t xml:space="preserve"> &gt; 5 x GGN zabilježeno je kod  0,7% pacijenata na monoterapiji tocilizumabom, i kod 1,4% pacijenata koji su primali tocilizumab plus DMARD, od kojih je većini trajno obustavljena terapija tocilizumabom. Tokom d</w:t>
      </w:r>
      <w:r w:rsidR="00117940" w:rsidRPr="005A4F9F">
        <w:rPr>
          <w:sz w:val="22"/>
          <w:szCs w:val="22"/>
          <w:lang w:val="sr-Latn-ME"/>
        </w:rPr>
        <w:t>vostruko</w:t>
      </w:r>
      <w:r w:rsidRPr="005A4F9F">
        <w:rPr>
          <w:sz w:val="22"/>
          <w:szCs w:val="22"/>
          <w:lang w:val="sr-Latn-ME"/>
        </w:rPr>
        <w:t xml:space="preserve">-slijepog kontrolisanog perioda , učestalost povišenog nivoa indirektnog bilirubina od gornje normalne granice, prikupljenog kao rutinski laboratorijski parametar, je 6.2 % kod pacijenata liječenih tocilizumabom u dozi od 8 mg/kg + DMARD. Ukupno 5.8% pacijenata je iskusilo povećanje indirektnog bilirubina &gt; 1 do 2 x GGN </w:t>
      </w:r>
      <w:r w:rsidR="00117940" w:rsidRPr="005A4F9F">
        <w:rPr>
          <w:sz w:val="22"/>
          <w:szCs w:val="22"/>
          <w:lang w:val="sr-Latn-ME"/>
        </w:rPr>
        <w:t>a</w:t>
      </w:r>
      <w:r w:rsidRPr="005A4F9F">
        <w:rPr>
          <w:sz w:val="22"/>
          <w:szCs w:val="22"/>
          <w:lang w:val="sr-Latn-ME"/>
        </w:rPr>
        <w:t xml:space="preserve"> 0.4% je imalo povećanje &gt; 2</w:t>
      </w:r>
      <w:r w:rsidR="002B004B" w:rsidRPr="005A4F9F">
        <w:rPr>
          <w:sz w:val="22"/>
          <w:szCs w:val="22"/>
          <w:lang w:val="sr-Latn-ME"/>
        </w:rPr>
        <w:t xml:space="preserve"> </w:t>
      </w:r>
      <w:r w:rsidRPr="005A4F9F">
        <w:rPr>
          <w:sz w:val="22"/>
          <w:szCs w:val="22"/>
          <w:lang w:val="sr-Latn-ME"/>
        </w:rPr>
        <w:t>x</w:t>
      </w:r>
      <w:r w:rsidR="002B004B" w:rsidRPr="005A4F9F">
        <w:rPr>
          <w:sz w:val="22"/>
          <w:szCs w:val="22"/>
          <w:lang w:val="sr-Latn-ME"/>
        </w:rPr>
        <w:t xml:space="preserve"> </w:t>
      </w:r>
      <w:r w:rsidRPr="005A4F9F">
        <w:rPr>
          <w:sz w:val="22"/>
          <w:szCs w:val="22"/>
          <w:lang w:val="sr-Latn-ME"/>
        </w:rPr>
        <w:t>GGN..</w:t>
      </w:r>
    </w:p>
    <w:p w14:paraId="63912862" w14:textId="77777777" w:rsidR="00C66563" w:rsidRPr="005A4F9F" w:rsidRDefault="00C66563">
      <w:pPr>
        <w:widowControl w:val="0"/>
        <w:jc w:val="both"/>
        <w:rPr>
          <w:sz w:val="22"/>
          <w:szCs w:val="22"/>
          <w:lang w:val="sr-Latn-ME"/>
        </w:rPr>
      </w:pPr>
      <w:r w:rsidRPr="005A4F9F">
        <w:rPr>
          <w:sz w:val="22"/>
          <w:szCs w:val="22"/>
          <w:lang w:val="sr-Latn-ME"/>
        </w:rPr>
        <w:t>Tokom dvostruko slijepog kontrolisanog perioda te tokom dugotrajne izloženosti, obrazac i učestalost  povišenja vrijednosti ALT</w:t>
      </w:r>
      <w:r w:rsidRPr="005A4F9F">
        <w:rPr>
          <w:sz w:val="22"/>
          <w:szCs w:val="22"/>
          <w:lang w:val="sr-Latn-ME"/>
        </w:rPr>
        <w:noBreakHyphen/>
        <w:t>a/AST</w:t>
      </w:r>
      <w:r w:rsidRPr="005A4F9F">
        <w:rPr>
          <w:sz w:val="22"/>
          <w:szCs w:val="22"/>
          <w:lang w:val="sr-Latn-ME"/>
        </w:rPr>
        <w:noBreakHyphen/>
        <w:t>a u skladu su sa onim što je uočeno u 6-mjesečnim kontrolisanim kliničkim ispitivanjima.</w:t>
      </w:r>
    </w:p>
    <w:p w14:paraId="52C72B11" w14:textId="77777777" w:rsidR="00C66563" w:rsidRPr="005A4F9F" w:rsidRDefault="00C66563">
      <w:pPr>
        <w:widowControl w:val="0"/>
        <w:spacing w:line="240" w:lineRule="exact"/>
        <w:jc w:val="both"/>
        <w:rPr>
          <w:sz w:val="22"/>
          <w:szCs w:val="22"/>
          <w:lang w:val="sr-Latn-ME"/>
        </w:rPr>
      </w:pPr>
    </w:p>
    <w:p w14:paraId="3DCC017E" w14:textId="77777777" w:rsidR="00C66563" w:rsidRPr="005A4F9F" w:rsidRDefault="00C66563">
      <w:pPr>
        <w:widowControl w:val="0"/>
        <w:tabs>
          <w:tab w:val="left" w:pos="284"/>
          <w:tab w:val="center" w:pos="4320"/>
          <w:tab w:val="right" w:pos="8640"/>
        </w:tabs>
        <w:jc w:val="both"/>
        <w:rPr>
          <w:i/>
          <w:sz w:val="22"/>
          <w:szCs w:val="22"/>
          <w:u w:val="single"/>
          <w:lang w:val="sr-Latn-ME"/>
        </w:rPr>
      </w:pPr>
      <w:r w:rsidRPr="005A4F9F">
        <w:rPr>
          <w:i/>
          <w:sz w:val="22"/>
          <w:szCs w:val="22"/>
          <w:u w:val="single"/>
          <w:lang w:val="sr-Latn-ME"/>
        </w:rPr>
        <w:t>Parametri lipida</w:t>
      </w:r>
    </w:p>
    <w:p w14:paraId="56622234" w14:textId="02AAC445"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Tokom šest mjeseci kontrolisanih ispitivanja, povećanje parametara lipida kao što su ukupni holesterol, trigliceridi, LDL holesterol, i/ili HDL holesterol bil</w:t>
      </w:r>
      <w:r w:rsidR="005C6684" w:rsidRPr="005A4F9F">
        <w:rPr>
          <w:sz w:val="22"/>
          <w:szCs w:val="22"/>
          <w:lang w:val="sr-Latn-ME"/>
        </w:rPr>
        <w:t>a</w:t>
      </w:r>
      <w:r w:rsidRPr="005A4F9F">
        <w:rPr>
          <w:sz w:val="22"/>
          <w:szCs w:val="22"/>
          <w:lang w:val="sr-Latn-ME"/>
        </w:rPr>
        <w:t xml:space="preserve"> je česta pojava. Sa rutinskim laboratorijskim praćenjem približno 24% pacijenata koji su primali </w:t>
      </w:r>
      <w:r w:rsidR="002B004B" w:rsidRPr="005A4F9F">
        <w:rPr>
          <w:sz w:val="22"/>
          <w:szCs w:val="22"/>
          <w:lang w:val="sr-Latn-ME"/>
        </w:rPr>
        <w:t>tocilizumab</w:t>
      </w:r>
      <w:r w:rsidRPr="005A4F9F">
        <w:rPr>
          <w:sz w:val="22"/>
          <w:szCs w:val="22"/>
          <w:lang w:val="sr-Latn-ME"/>
        </w:rPr>
        <w:t xml:space="preserve"> u kliničkim ispitivanjima imali su održano povećanje ukupnog holesterola ≥ 6.2 mmol/ l, a 15% su imali </w:t>
      </w:r>
      <w:r w:rsidR="005C6684" w:rsidRPr="005A4F9F">
        <w:rPr>
          <w:sz w:val="22"/>
          <w:szCs w:val="22"/>
          <w:lang w:val="sr-Latn-ME"/>
        </w:rPr>
        <w:t xml:space="preserve">trajno </w:t>
      </w:r>
      <w:r w:rsidRPr="005A4F9F">
        <w:rPr>
          <w:sz w:val="22"/>
          <w:szCs w:val="22"/>
          <w:lang w:val="sr-Latn-ME"/>
        </w:rPr>
        <w:t xml:space="preserve">povećanje LDL </w:t>
      </w:r>
      <w:r w:rsidR="005C6684" w:rsidRPr="005A4F9F">
        <w:rPr>
          <w:sz w:val="22"/>
          <w:szCs w:val="22"/>
          <w:lang w:val="sr-Latn-ME"/>
        </w:rPr>
        <w:t xml:space="preserve">na </w:t>
      </w:r>
      <w:r w:rsidRPr="005A4F9F">
        <w:rPr>
          <w:sz w:val="22"/>
          <w:szCs w:val="22"/>
          <w:lang w:val="sr-Latn-ME"/>
        </w:rPr>
        <w:t xml:space="preserve">≥ 4.1 mmol/ l. Povećanje parametara lipida reagovalo je na primjenu agenasa za snižavanje nivoa lipida.  </w:t>
      </w:r>
    </w:p>
    <w:p w14:paraId="0DC70028" w14:textId="77777777" w:rsidR="00C66563" w:rsidRPr="005A4F9F" w:rsidRDefault="00C66563">
      <w:pPr>
        <w:widowControl w:val="0"/>
        <w:tabs>
          <w:tab w:val="left" w:pos="284"/>
          <w:tab w:val="center" w:pos="4320"/>
          <w:tab w:val="right" w:pos="8640"/>
        </w:tabs>
        <w:jc w:val="both"/>
        <w:rPr>
          <w:sz w:val="22"/>
          <w:szCs w:val="22"/>
          <w:lang w:val="sr-Latn-ME"/>
        </w:rPr>
      </w:pPr>
    </w:p>
    <w:p w14:paraId="265DBB26" w14:textId="77777777" w:rsidR="00C66563" w:rsidRPr="005A4F9F" w:rsidRDefault="00C66563">
      <w:pPr>
        <w:widowControl w:val="0"/>
        <w:jc w:val="both"/>
        <w:rPr>
          <w:rFonts w:eastAsia="PMingLiU"/>
          <w:sz w:val="22"/>
          <w:szCs w:val="22"/>
          <w:lang w:val="sr-Latn-ME"/>
        </w:rPr>
      </w:pPr>
      <w:r w:rsidRPr="005A4F9F">
        <w:rPr>
          <w:sz w:val="22"/>
          <w:szCs w:val="22"/>
          <w:lang w:val="sr-Latn-ME"/>
        </w:rPr>
        <w:t>Tokom dvostruko slijepog kontrolisanog perioda te tokom dugotrajne izloženosti, obrazac i učestalost povećanja lipidnih parametara u skladu su sa onim što je uočeno u 6-mjesečnim kontrolisanim kliničkim ispitivanjima.</w:t>
      </w:r>
    </w:p>
    <w:p w14:paraId="3F5AF338" w14:textId="77777777" w:rsidR="00C66563" w:rsidRPr="005A4F9F" w:rsidRDefault="00C66563">
      <w:pPr>
        <w:widowControl w:val="0"/>
        <w:tabs>
          <w:tab w:val="left" w:pos="284"/>
          <w:tab w:val="center" w:pos="4320"/>
          <w:tab w:val="right" w:pos="8640"/>
        </w:tabs>
        <w:jc w:val="both"/>
        <w:rPr>
          <w:sz w:val="22"/>
          <w:szCs w:val="22"/>
          <w:u w:val="single"/>
          <w:lang w:val="sr-Latn-ME"/>
        </w:rPr>
      </w:pPr>
    </w:p>
    <w:p w14:paraId="1F318556" w14:textId="77777777" w:rsidR="00C66563" w:rsidRPr="005A4F9F" w:rsidRDefault="00C66563">
      <w:pPr>
        <w:widowControl w:val="0"/>
        <w:tabs>
          <w:tab w:val="left" w:pos="284"/>
          <w:tab w:val="center" w:pos="4320"/>
          <w:tab w:val="right" w:pos="8640"/>
        </w:tabs>
        <w:jc w:val="both"/>
        <w:rPr>
          <w:i/>
          <w:sz w:val="22"/>
          <w:szCs w:val="22"/>
          <w:u w:val="single"/>
          <w:lang w:val="sr-Latn-ME"/>
        </w:rPr>
      </w:pPr>
      <w:r w:rsidRPr="005A4F9F">
        <w:rPr>
          <w:i/>
          <w:sz w:val="22"/>
          <w:szCs w:val="22"/>
          <w:u w:val="single"/>
          <w:lang w:val="sr-Latn-ME"/>
        </w:rPr>
        <w:t>Kožne reakcije</w:t>
      </w:r>
    </w:p>
    <w:p w14:paraId="49D4ED7D" w14:textId="77777777" w:rsidR="00C66563" w:rsidRPr="005A4F9F" w:rsidRDefault="005B315C">
      <w:pPr>
        <w:widowControl w:val="0"/>
        <w:tabs>
          <w:tab w:val="left" w:pos="284"/>
          <w:tab w:val="center" w:pos="4320"/>
          <w:tab w:val="right" w:pos="8640"/>
        </w:tabs>
        <w:jc w:val="both"/>
        <w:rPr>
          <w:sz w:val="22"/>
          <w:szCs w:val="22"/>
          <w:lang w:val="sr-Latn-ME"/>
        </w:rPr>
      </w:pPr>
      <w:r w:rsidRPr="005A4F9F">
        <w:rPr>
          <w:sz w:val="22"/>
          <w:szCs w:val="22"/>
          <w:lang w:val="sr-Latn-ME"/>
        </w:rPr>
        <w:t>R</w:t>
      </w:r>
      <w:r w:rsidR="00C66563" w:rsidRPr="005A4F9F">
        <w:rPr>
          <w:sz w:val="22"/>
          <w:szCs w:val="22"/>
          <w:lang w:val="sr-Latn-ME"/>
        </w:rPr>
        <w:t>ijetki slučajevi Stevens-Johnsonov</w:t>
      </w:r>
      <w:r w:rsidR="005C6684" w:rsidRPr="005A4F9F">
        <w:rPr>
          <w:sz w:val="22"/>
          <w:szCs w:val="22"/>
          <w:lang w:val="sr-Latn-ME"/>
        </w:rPr>
        <w:t>og</w:t>
      </w:r>
      <w:r w:rsidR="00C66563" w:rsidRPr="005A4F9F">
        <w:rPr>
          <w:sz w:val="22"/>
          <w:szCs w:val="22"/>
          <w:lang w:val="sr-Latn-ME"/>
        </w:rPr>
        <w:t xml:space="preserve"> sindroma su zabilježeni nakon stavljanja lijeka u promet.  </w:t>
      </w:r>
    </w:p>
    <w:p w14:paraId="0F73BA26" w14:textId="77777777" w:rsidR="00BF249E" w:rsidRPr="008B00DE" w:rsidRDefault="00BF249E">
      <w:pPr>
        <w:pStyle w:val="Paragraph"/>
        <w:widowControl w:val="0"/>
        <w:spacing w:after="0"/>
        <w:jc w:val="both"/>
        <w:rPr>
          <w:rFonts w:ascii="Times New Roman" w:eastAsiaTheme="minorHAnsi" w:hAnsi="Times New Roman"/>
          <w:sz w:val="22"/>
          <w:szCs w:val="22"/>
          <w:lang w:val="sr-Latn-ME" w:eastAsia="en-US"/>
        </w:rPr>
      </w:pPr>
    </w:p>
    <w:p w14:paraId="2CE9EEFD" w14:textId="7BC52F57" w:rsidR="00BF249E" w:rsidRPr="005A4F9F" w:rsidRDefault="002B004B">
      <w:pPr>
        <w:widowControl w:val="0"/>
        <w:autoSpaceDE w:val="0"/>
        <w:autoSpaceDN w:val="0"/>
        <w:adjustRightInd w:val="0"/>
        <w:jc w:val="both"/>
        <w:rPr>
          <w:i/>
          <w:sz w:val="22"/>
          <w:szCs w:val="22"/>
          <w:u w:val="single"/>
          <w:lang w:val="sr-Latn-ME"/>
        </w:rPr>
      </w:pPr>
      <w:r w:rsidRPr="005A4F9F">
        <w:rPr>
          <w:i/>
          <w:sz w:val="22"/>
          <w:szCs w:val="22"/>
          <w:u w:val="single"/>
          <w:lang w:val="sr-Latn-ME"/>
        </w:rPr>
        <w:t>Pacijenti sa COVID-19 infekcijom</w:t>
      </w:r>
    </w:p>
    <w:p w14:paraId="2582224C" w14:textId="77777777" w:rsidR="00BF249E" w:rsidRPr="005A4F9F" w:rsidRDefault="00BF249E">
      <w:pPr>
        <w:widowControl w:val="0"/>
        <w:autoSpaceDE w:val="0"/>
        <w:autoSpaceDN w:val="0"/>
        <w:adjustRightInd w:val="0"/>
        <w:jc w:val="both"/>
        <w:rPr>
          <w:i/>
          <w:sz w:val="22"/>
          <w:szCs w:val="22"/>
          <w:u w:val="single"/>
          <w:lang w:val="sr-Latn-ME"/>
        </w:rPr>
      </w:pPr>
      <w:r w:rsidRPr="005A4F9F">
        <w:rPr>
          <w:i/>
          <w:sz w:val="22"/>
          <w:szCs w:val="22"/>
          <w:u w:val="single"/>
          <w:lang w:val="sr-Latn-ME"/>
        </w:rPr>
        <w:t>Infekcije</w:t>
      </w:r>
    </w:p>
    <w:p w14:paraId="0C6A94E8" w14:textId="73720AC3" w:rsidR="00BF249E" w:rsidRPr="005A4F9F" w:rsidRDefault="00BF249E">
      <w:pPr>
        <w:widowControl w:val="0"/>
        <w:autoSpaceDE w:val="0"/>
        <w:autoSpaceDN w:val="0"/>
        <w:adjustRightInd w:val="0"/>
        <w:jc w:val="both"/>
        <w:rPr>
          <w:sz w:val="22"/>
          <w:szCs w:val="22"/>
          <w:lang w:val="sr-Latn-ME"/>
        </w:rPr>
      </w:pPr>
      <w:r w:rsidRPr="005A4F9F">
        <w:rPr>
          <w:sz w:val="22"/>
          <w:szCs w:val="22"/>
          <w:lang w:val="sr-Latn-ME"/>
        </w:rPr>
        <w:t>U c</w:t>
      </w:r>
      <w:r w:rsidR="00B34098" w:rsidRPr="005A4F9F">
        <w:rPr>
          <w:sz w:val="22"/>
          <w:szCs w:val="22"/>
          <w:lang w:val="sr-Latn-ME"/>
        </w:rPr>
        <w:t>j</w:t>
      </w:r>
      <w:r w:rsidRPr="005A4F9F">
        <w:rPr>
          <w:sz w:val="22"/>
          <w:szCs w:val="22"/>
          <w:lang w:val="sr-Latn-ME"/>
        </w:rPr>
        <w:t xml:space="preserve">elokupnoj populaciji pogodnoj za procjenu bezbjednosti iz ispitivanja </w:t>
      </w:r>
      <w:r w:rsidR="00542633" w:rsidRPr="008B00DE">
        <w:rPr>
          <w:rFonts w:eastAsiaTheme="minorHAnsi"/>
          <w:sz w:val="22"/>
          <w:szCs w:val="22"/>
          <w:lang w:val="sr-Latn-ME"/>
        </w:rPr>
        <w:t>ML</w:t>
      </w:r>
      <w:r w:rsidRPr="008B00DE">
        <w:rPr>
          <w:rFonts w:eastAsiaTheme="minorHAnsi"/>
          <w:sz w:val="22"/>
          <w:szCs w:val="22"/>
          <w:lang w:val="sr-Latn-ME"/>
        </w:rPr>
        <w:t xml:space="preserve">42528, WA42380 i WA42511 stope događaja infekcije/ozbiljne infekcije bile su ujednačene kod pacijenata sa </w:t>
      </w:r>
      <w:r w:rsidRPr="005A4F9F">
        <w:rPr>
          <w:sz w:val="22"/>
          <w:szCs w:val="22"/>
          <w:lang w:val="sr-Latn-ME"/>
        </w:rPr>
        <w:t xml:space="preserve">COVID-19 infekcijom koji su primili tocilizumab (30,3%/18,6%, n=974) i onih koji su primili placebo (32,1%/22,8%, n=483). </w:t>
      </w:r>
    </w:p>
    <w:p w14:paraId="6FDF2CD8" w14:textId="77777777" w:rsidR="00BF249E" w:rsidRPr="005A4F9F" w:rsidRDefault="00BF249E">
      <w:pPr>
        <w:widowControl w:val="0"/>
        <w:autoSpaceDE w:val="0"/>
        <w:autoSpaceDN w:val="0"/>
        <w:adjustRightInd w:val="0"/>
        <w:jc w:val="both"/>
        <w:rPr>
          <w:sz w:val="22"/>
          <w:szCs w:val="22"/>
          <w:u w:val="single"/>
          <w:lang w:val="sr-Latn-ME"/>
        </w:rPr>
      </w:pPr>
    </w:p>
    <w:p w14:paraId="5FC84CE2" w14:textId="1A427CA8" w:rsidR="00BF249E" w:rsidRPr="005A4F9F" w:rsidRDefault="00BF249E">
      <w:pPr>
        <w:widowControl w:val="0"/>
        <w:jc w:val="both"/>
        <w:rPr>
          <w:sz w:val="22"/>
          <w:szCs w:val="22"/>
          <w:lang w:val="sr-Latn-ME"/>
        </w:rPr>
      </w:pPr>
      <w:r w:rsidRPr="005A4F9F">
        <w:rPr>
          <w:sz w:val="22"/>
          <w:szCs w:val="22"/>
          <w:lang w:val="sr-Latn-ME"/>
        </w:rPr>
        <w:t xml:space="preserve">Bezbjednosni profil zapažen u grupi koja je na početku ispitivanja primala sistemske kortikosteroide bio je u skladu sa bezbednosnim profilom tocilizumaba u ukupnoj populaciji prikazanoj u Tabeli 2. U ovoj podgrupi su se infekcije i ozbiljne infekcije javile u 27,8% odnosno 18,1% pacijenata lječenih </w:t>
      </w:r>
      <w:r w:rsidR="002B004B" w:rsidRPr="005A4F9F">
        <w:rPr>
          <w:sz w:val="22"/>
          <w:szCs w:val="22"/>
          <w:lang w:val="sr-Latn-ME"/>
        </w:rPr>
        <w:t>intravenskom</w:t>
      </w:r>
      <w:r w:rsidRPr="005A4F9F">
        <w:rPr>
          <w:sz w:val="22"/>
          <w:szCs w:val="22"/>
          <w:lang w:val="sr-Latn-ME"/>
        </w:rPr>
        <w:t xml:space="preserve"> primjenom tocilizumaba u odnosu na 30,5% odnosno 22,9% pacijenata koji su primili placebo.</w:t>
      </w:r>
    </w:p>
    <w:p w14:paraId="223A6207" w14:textId="77777777" w:rsidR="00F03D29" w:rsidRPr="005A4F9F" w:rsidRDefault="00F03D29">
      <w:pPr>
        <w:widowControl w:val="0"/>
        <w:jc w:val="both"/>
        <w:rPr>
          <w:sz w:val="22"/>
          <w:szCs w:val="22"/>
          <w:lang w:val="sr-Latn-ME"/>
        </w:rPr>
      </w:pPr>
    </w:p>
    <w:p w14:paraId="34CF7DE9" w14:textId="77777777" w:rsidR="00BF249E" w:rsidRPr="005A4F9F" w:rsidRDefault="00BF249E">
      <w:pPr>
        <w:widowControl w:val="0"/>
        <w:jc w:val="both"/>
        <w:rPr>
          <w:i/>
          <w:sz w:val="22"/>
          <w:szCs w:val="22"/>
          <w:u w:val="single"/>
          <w:lang w:val="sr-Latn-ME"/>
        </w:rPr>
      </w:pPr>
      <w:r w:rsidRPr="005A4F9F">
        <w:rPr>
          <w:i/>
          <w:sz w:val="22"/>
          <w:szCs w:val="22"/>
          <w:u w:val="single"/>
          <w:lang w:val="sr-Latn-ME"/>
        </w:rPr>
        <w:t>Odstupanja laboratorijskih vrijednosti</w:t>
      </w:r>
    </w:p>
    <w:p w14:paraId="171E258B" w14:textId="282B9767" w:rsidR="00BF249E" w:rsidRPr="005A4F9F" w:rsidRDefault="00BF249E">
      <w:pPr>
        <w:widowControl w:val="0"/>
        <w:jc w:val="both"/>
        <w:rPr>
          <w:sz w:val="22"/>
          <w:szCs w:val="22"/>
          <w:lang w:val="sr-Latn-ME"/>
        </w:rPr>
      </w:pPr>
      <w:r w:rsidRPr="005A4F9F">
        <w:rPr>
          <w:sz w:val="22"/>
          <w:szCs w:val="22"/>
          <w:lang w:val="sr-Latn-ME"/>
        </w:rPr>
        <w:t xml:space="preserve">Incidenca odstupanja vrijednosti laboratorijskih parametara generalno je bila slična kod pacijenata </w:t>
      </w:r>
      <w:r w:rsidRPr="008B00DE">
        <w:rPr>
          <w:rFonts w:eastAsiaTheme="minorHAnsi"/>
          <w:sz w:val="22"/>
          <w:szCs w:val="22"/>
          <w:lang w:val="sr-Latn-ME"/>
        </w:rPr>
        <w:t>sa  COVID</w:t>
      </w:r>
      <w:r w:rsidRPr="008B00DE">
        <w:rPr>
          <w:rFonts w:eastAsiaTheme="minorHAnsi"/>
          <w:sz w:val="22"/>
          <w:szCs w:val="22"/>
          <w:lang w:val="sr-Latn-ME"/>
        </w:rPr>
        <w:noBreakHyphen/>
        <w:t xml:space="preserve">19 infekcijom koji su </w:t>
      </w:r>
      <w:r w:rsidRPr="005A4F9F">
        <w:rPr>
          <w:sz w:val="22"/>
          <w:szCs w:val="22"/>
          <w:lang w:val="sr-Latn-ME"/>
        </w:rPr>
        <w:t>u randomiz</w:t>
      </w:r>
      <w:r w:rsidR="00300472" w:rsidRPr="005A4F9F">
        <w:rPr>
          <w:sz w:val="22"/>
          <w:szCs w:val="22"/>
          <w:lang w:val="sr-Latn-ME"/>
        </w:rPr>
        <w:t>ovanim</w:t>
      </w:r>
      <w:r w:rsidRPr="005A4F9F">
        <w:rPr>
          <w:sz w:val="22"/>
          <w:szCs w:val="22"/>
          <w:lang w:val="sr-Latn-ME"/>
        </w:rPr>
        <w:t xml:space="preserve">, dvostruko slijepim, placebom kontrolisanim ispitivanjima </w:t>
      </w:r>
      <w:r w:rsidRPr="008B00DE">
        <w:rPr>
          <w:rFonts w:eastAsiaTheme="minorHAnsi"/>
          <w:sz w:val="22"/>
          <w:szCs w:val="22"/>
          <w:lang w:val="sr-Latn-ME"/>
        </w:rPr>
        <w:t>primili jednu ili dv</w:t>
      </w:r>
      <w:r w:rsidR="00300472" w:rsidRPr="008B00DE">
        <w:rPr>
          <w:rFonts w:eastAsiaTheme="minorHAnsi"/>
          <w:sz w:val="22"/>
          <w:szCs w:val="22"/>
          <w:lang w:val="sr-Latn-ME"/>
        </w:rPr>
        <w:t>ij</w:t>
      </w:r>
      <w:r w:rsidRPr="008B00DE">
        <w:rPr>
          <w:rFonts w:eastAsiaTheme="minorHAnsi"/>
          <w:sz w:val="22"/>
          <w:szCs w:val="22"/>
          <w:lang w:val="sr-Latn-ME"/>
        </w:rPr>
        <w:t>e</w:t>
      </w:r>
      <w:r w:rsidR="002B004B" w:rsidRPr="008B00DE">
        <w:rPr>
          <w:rFonts w:eastAsiaTheme="minorHAnsi"/>
          <w:sz w:val="22"/>
          <w:szCs w:val="22"/>
          <w:lang w:val="sr-Latn-ME"/>
        </w:rPr>
        <w:t>intravenske</w:t>
      </w:r>
      <w:r w:rsidRPr="008B00DE">
        <w:rPr>
          <w:rFonts w:eastAsiaTheme="minorHAnsi"/>
          <w:sz w:val="22"/>
          <w:szCs w:val="22"/>
          <w:lang w:val="sr-Latn-ME"/>
        </w:rPr>
        <w:t xml:space="preserve">. doze </w:t>
      </w:r>
      <w:r w:rsidR="002B004B" w:rsidRPr="008B00DE">
        <w:rPr>
          <w:rFonts w:eastAsiaTheme="minorHAnsi"/>
          <w:sz w:val="22"/>
          <w:szCs w:val="22"/>
          <w:lang w:val="sr-Latn-ME"/>
        </w:rPr>
        <w:t xml:space="preserve">tocilizumaba </w:t>
      </w:r>
      <w:r w:rsidRPr="005A4F9F">
        <w:rPr>
          <w:sz w:val="22"/>
          <w:szCs w:val="22"/>
          <w:lang w:val="sr-Latn-ME"/>
        </w:rPr>
        <w:t>i onih koji su primili placebo, uz malobrojne izuzetke. Smanjenje broja trombocita i neutrofila kao i povišenja vrijednosti ALT</w:t>
      </w:r>
      <w:r w:rsidRPr="005A4F9F">
        <w:rPr>
          <w:sz w:val="22"/>
          <w:szCs w:val="22"/>
          <w:lang w:val="sr-Latn-ME"/>
        </w:rPr>
        <w:noBreakHyphen/>
        <w:t>a i AST</w:t>
      </w:r>
      <w:r w:rsidRPr="005A4F9F">
        <w:rPr>
          <w:sz w:val="22"/>
          <w:szCs w:val="22"/>
          <w:lang w:val="sr-Latn-ME"/>
        </w:rPr>
        <w:noBreakHyphen/>
        <w:t xml:space="preserve">a bila su češća kod pacijenata koji su intravenski primili </w:t>
      </w:r>
      <w:r w:rsidR="002B004B" w:rsidRPr="005A4F9F">
        <w:rPr>
          <w:sz w:val="22"/>
          <w:szCs w:val="22"/>
          <w:lang w:val="sr-Latn-ME"/>
        </w:rPr>
        <w:t>tocilizumab</w:t>
      </w:r>
      <w:r w:rsidRPr="005A4F9F">
        <w:rPr>
          <w:sz w:val="22"/>
          <w:szCs w:val="22"/>
          <w:lang w:val="sr-Latn-ME"/>
        </w:rPr>
        <w:t xml:space="preserve"> nego kod onih koji su primili placebo (videti dijelove 4.2 i 4.4).</w:t>
      </w:r>
    </w:p>
    <w:p w14:paraId="7A930D6D" w14:textId="77777777" w:rsidR="00C66563" w:rsidRPr="005A4F9F" w:rsidRDefault="00C66563">
      <w:pPr>
        <w:widowControl w:val="0"/>
        <w:tabs>
          <w:tab w:val="left" w:pos="284"/>
          <w:tab w:val="center" w:pos="4320"/>
          <w:tab w:val="right" w:pos="8640"/>
        </w:tabs>
        <w:jc w:val="both"/>
        <w:rPr>
          <w:sz w:val="22"/>
          <w:szCs w:val="22"/>
          <w:lang w:val="sr-Latn-ME"/>
        </w:rPr>
      </w:pPr>
    </w:p>
    <w:p w14:paraId="7676F6D2" w14:textId="009FA528" w:rsidR="00C66563" w:rsidRPr="005A4F9F" w:rsidRDefault="002B004B">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Pedijatrijska populacija</w:t>
      </w:r>
    </w:p>
    <w:p w14:paraId="2EA5534F" w14:textId="77777777" w:rsidR="008F0857" w:rsidRDefault="00300472" w:rsidP="008B00DE">
      <w:pPr>
        <w:widowControl w:val="0"/>
        <w:jc w:val="both"/>
        <w:rPr>
          <w:rFonts w:eastAsia="SimSun"/>
          <w:sz w:val="22"/>
          <w:szCs w:val="22"/>
          <w:lang w:val="sr-Latn-ME" w:eastAsia="zh-CN"/>
        </w:rPr>
      </w:pPr>
      <w:r w:rsidRPr="005A4F9F">
        <w:rPr>
          <w:rFonts w:eastAsia="SimSun"/>
          <w:sz w:val="22"/>
          <w:szCs w:val="22"/>
          <w:lang w:val="sr-Latn-ME" w:eastAsia="zh-CN"/>
        </w:rPr>
        <w:t>Neželjena dejstva</w:t>
      </w:r>
      <w:r w:rsidR="00C66563" w:rsidRPr="005A4F9F">
        <w:rPr>
          <w:rFonts w:eastAsia="SimSun"/>
          <w:sz w:val="22"/>
          <w:szCs w:val="22"/>
          <w:lang w:val="sr-Latn-ME" w:eastAsia="zh-CN"/>
        </w:rPr>
        <w:t xml:space="preserve"> kod pacijenata sa pJIA i sJIA generalno su bil</w:t>
      </w:r>
      <w:r w:rsidRPr="005A4F9F">
        <w:rPr>
          <w:rFonts w:eastAsia="SimSun"/>
          <w:sz w:val="22"/>
          <w:szCs w:val="22"/>
          <w:lang w:val="sr-Latn-ME" w:eastAsia="zh-CN"/>
        </w:rPr>
        <w:t>a</w:t>
      </w:r>
      <w:r w:rsidR="00C66563" w:rsidRPr="005A4F9F">
        <w:rPr>
          <w:rFonts w:eastAsia="SimSun"/>
          <w:sz w:val="22"/>
          <w:szCs w:val="22"/>
          <w:lang w:val="sr-Latn-ME" w:eastAsia="zh-CN"/>
        </w:rPr>
        <w:t xml:space="preserve"> sličn</w:t>
      </w:r>
      <w:r w:rsidRPr="005A4F9F">
        <w:rPr>
          <w:rFonts w:eastAsia="SimSun"/>
          <w:sz w:val="22"/>
          <w:szCs w:val="22"/>
          <w:lang w:val="sr-Latn-ME" w:eastAsia="zh-CN"/>
        </w:rPr>
        <w:t>a</w:t>
      </w:r>
      <w:r w:rsidR="00C66563" w:rsidRPr="005A4F9F">
        <w:rPr>
          <w:rFonts w:eastAsia="SimSun"/>
          <w:sz w:val="22"/>
          <w:szCs w:val="22"/>
          <w:lang w:val="sr-Latn-ME" w:eastAsia="zh-CN"/>
        </w:rPr>
        <w:t xml:space="preserve"> onima zabilježenim kod </w:t>
      </w:r>
      <w:r w:rsidR="00C66563" w:rsidRPr="005A4F9F">
        <w:rPr>
          <w:rFonts w:eastAsia="SimSun"/>
          <w:sz w:val="22"/>
          <w:szCs w:val="22"/>
          <w:lang w:val="sr-Latn-ME" w:eastAsia="zh-CN"/>
        </w:rPr>
        <w:lastRenderedPageBreak/>
        <w:t>pacijenata sa RA, vidjeti dio 4.8.</w:t>
      </w:r>
      <w:r w:rsidR="00F76E4A" w:rsidRPr="005A4F9F">
        <w:rPr>
          <w:rFonts w:eastAsia="SimSun"/>
          <w:sz w:val="22"/>
          <w:szCs w:val="22"/>
          <w:lang w:val="sr-Latn-ME" w:eastAsia="zh-CN"/>
        </w:rPr>
        <w:t xml:space="preserve"> </w:t>
      </w:r>
    </w:p>
    <w:p w14:paraId="38AD85EE" w14:textId="534BE37F" w:rsidR="00C66563" w:rsidRPr="005A4F9F" w:rsidRDefault="00C66563" w:rsidP="008B00DE">
      <w:pPr>
        <w:widowControl w:val="0"/>
        <w:jc w:val="both"/>
        <w:rPr>
          <w:i/>
          <w:sz w:val="22"/>
          <w:szCs w:val="22"/>
          <w:lang w:val="sr-Latn-ME"/>
        </w:rPr>
      </w:pPr>
    </w:p>
    <w:p w14:paraId="73F7DA2B" w14:textId="356E69CF" w:rsidR="00C66563" w:rsidRPr="005A4F9F" w:rsidRDefault="002B004B">
      <w:pPr>
        <w:widowControl w:val="0"/>
        <w:jc w:val="both"/>
        <w:rPr>
          <w:rFonts w:eastAsia="SimSun"/>
          <w:b/>
          <w:bCs/>
          <w:i/>
          <w:sz w:val="22"/>
          <w:szCs w:val="22"/>
          <w:lang w:val="sr-Latn-ME" w:eastAsia="zh-CN"/>
        </w:rPr>
      </w:pPr>
      <w:r w:rsidRPr="005A4F9F">
        <w:rPr>
          <w:rFonts w:eastAsia="SimSun"/>
          <w:b/>
          <w:bCs/>
          <w:i/>
          <w:sz w:val="22"/>
          <w:szCs w:val="22"/>
          <w:lang w:val="sr-Latn-ME" w:eastAsia="zh-CN"/>
        </w:rPr>
        <w:t xml:space="preserve">Opis odabranih neželjenih efekata kod pacijenata s </w:t>
      </w:r>
      <w:r w:rsidR="000F0228" w:rsidRPr="005A4F9F">
        <w:rPr>
          <w:rFonts w:eastAsia="SimSun"/>
          <w:b/>
          <w:bCs/>
          <w:i/>
          <w:sz w:val="22"/>
          <w:szCs w:val="22"/>
          <w:lang w:val="sr-Latn-ME" w:eastAsia="zh-CN"/>
        </w:rPr>
        <w:t>pJIA</w:t>
      </w:r>
    </w:p>
    <w:p w14:paraId="0679943E" w14:textId="064C8FAD"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Bezbjednos</w:t>
      </w:r>
      <w:r w:rsidR="00380496" w:rsidRPr="005A4F9F">
        <w:rPr>
          <w:rFonts w:eastAsia="SimSun"/>
          <w:sz w:val="22"/>
          <w:szCs w:val="22"/>
          <w:lang w:val="sr-Latn-ME" w:eastAsia="zh-CN"/>
        </w:rPr>
        <w:t>ni profil intravenske</w:t>
      </w:r>
      <w:r w:rsidRPr="005A4F9F">
        <w:rPr>
          <w:rFonts w:eastAsia="SimSun"/>
          <w:sz w:val="22"/>
          <w:szCs w:val="22"/>
          <w:lang w:val="sr-Latn-ME" w:eastAsia="zh-CN"/>
        </w:rPr>
        <w:t xml:space="preserve"> primjene </w:t>
      </w:r>
      <w:r w:rsidR="002B004B" w:rsidRPr="005A4F9F">
        <w:rPr>
          <w:rFonts w:eastAsia="SimSun"/>
          <w:sz w:val="22"/>
          <w:szCs w:val="22"/>
          <w:lang w:val="sr-Latn-ME" w:eastAsia="zh-CN"/>
        </w:rPr>
        <w:t>tocilizumaba</w:t>
      </w:r>
      <w:r w:rsidRPr="005A4F9F">
        <w:rPr>
          <w:rFonts w:eastAsia="SimSun"/>
          <w:sz w:val="22"/>
          <w:szCs w:val="22"/>
          <w:lang w:val="sr-Latn-ME" w:eastAsia="zh-CN"/>
        </w:rPr>
        <w:t xml:space="preserve"> u pJIA ispitan je kod 188 pacijenata u uzrastu od 2 do 17 godina. Ukupna izloženost pacijenata iznosila je 184,4 pacijent-godina. Učestalost neželjenih dejstava  kod pacijenata sa pJIA prikazana je u Tabeli </w:t>
      </w:r>
      <w:r w:rsidR="000F0228" w:rsidRPr="005A4F9F">
        <w:rPr>
          <w:rFonts w:eastAsia="SimSun"/>
          <w:sz w:val="22"/>
          <w:szCs w:val="22"/>
          <w:lang w:val="sr-Latn-ME" w:eastAsia="zh-CN"/>
        </w:rPr>
        <w:t>3</w:t>
      </w:r>
      <w:r w:rsidRPr="005A4F9F">
        <w:rPr>
          <w:rFonts w:eastAsia="SimSun"/>
          <w:sz w:val="22"/>
          <w:szCs w:val="22"/>
          <w:lang w:val="sr-Latn-ME" w:eastAsia="zh-CN"/>
        </w:rPr>
        <w:t>. Vrste neželjenih dejstava kod pacijenata sa pJIA bile su slične onima zabilježenim kod pacijenata sa RA i sJIA. Epizode nazofaringitisa, glavobolje, mučnine i smanjenog broja neutrofila prijavljene su češće u populaciji sa pJIA nego u odrasloj populaciji sa RA. Povišene vrijednosti holesterola prijavljene su manje često u populaciji sa pJIA nego u odrasloj populaciji sa RA.</w:t>
      </w:r>
    </w:p>
    <w:p w14:paraId="0138C24E" w14:textId="77777777" w:rsidR="00C66563" w:rsidRPr="005A4F9F" w:rsidRDefault="00C66563">
      <w:pPr>
        <w:widowControl w:val="0"/>
        <w:jc w:val="both"/>
        <w:rPr>
          <w:rFonts w:eastAsia="SimSun"/>
          <w:sz w:val="22"/>
          <w:szCs w:val="22"/>
          <w:lang w:val="sr-Latn-ME" w:eastAsia="zh-CN"/>
        </w:rPr>
      </w:pPr>
    </w:p>
    <w:p w14:paraId="7982CB27" w14:textId="77777777" w:rsidR="00C66563"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Infekcije</w:t>
      </w:r>
    </w:p>
    <w:p w14:paraId="29B88670" w14:textId="77777777"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Stopa infekcija u cjelokupnoj populaciji izloženoj tocilizumabu iznosila je 163,7 na 100 pacijent</w:t>
      </w:r>
      <w:r w:rsidRPr="005A4F9F">
        <w:rPr>
          <w:rFonts w:eastAsia="SimSun"/>
          <w:sz w:val="22"/>
          <w:szCs w:val="22"/>
          <w:lang w:val="sr-Latn-ME" w:eastAsia="zh-CN"/>
        </w:rPr>
        <w:noBreakHyphen/>
        <w:t xml:space="preserve">godina. Najčešće </w:t>
      </w:r>
      <w:r w:rsidR="000F0228" w:rsidRPr="005A4F9F">
        <w:rPr>
          <w:rFonts w:eastAsia="SimSun"/>
          <w:sz w:val="22"/>
          <w:szCs w:val="22"/>
          <w:lang w:val="sr-Latn-ME" w:eastAsia="zh-CN"/>
        </w:rPr>
        <w:t xml:space="preserve">zabilježeni </w:t>
      </w:r>
      <w:r w:rsidRPr="005A4F9F">
        <w:rPr>
          <w:rFonts w:eastAsia="SimSun"/>
          <w:sz w:val="22"/>
          <w:szCs w:val="22"/>
          <w:lang w:val="sr-Latn-ME" w:eastAsia="zh-CN"/>
        </w:rPr>
        <w:t>događaji bili su nazofaringitis te infekcije gornjih disajnih puteva. Stopa ozbiljnih infekcija bila je brojčano viša kod pacijenata tjelesne težine &lt; 30 kg liječenih tocilizumabom u dozi od 10 mg/kg (12,2 na 100 pacijent</w:t>
      </w:r>
      <w:r w:rsidRPr="005A4F9F">
        <w:rPr>
          <w:rFonts w:eastAsia="SimSun"/>
          <w:sz w:val="22"/>
          <w:szCs w:val="22"/>
          <w:lang w:val="sr-Latn-ME" w:eastAsia="zh-CN"/>
        </w:rPr>
        <w:noBreakHyphen/>
        <w:t xml:space="preserve">godina) nego kod bolesnika tjelesne težine </w:t>
      </w:r>
      <w:r w:rsidRPr="005A4F9F">
        <w:rPr>
          <w:rFonts w:eastAsia="SimSun" w:hint="eastAsia"/>
          <w:sz w:val="22"/>
          <w:szCs w:val="22"/>
          <w:lang w:val="sr-Latn-ME" w:eastAsia="zh-CN"/>
        </w:rPr>
        <w:t>≥</w:t>
      </w:r>
      <w:r w:rsidRPr="005A4F9F">
        <w:rPr>
          <w:rFonts w:eastAsia="SimSun" w:hint="eastAsia"/>
          <w:sz w:val="22"/>
          <w:szCs w:val="22"/>
          <w:lang w:val="sr-Latn-ME" w:eastAsia="zh-CN"/>
        </w:rPr>
        <w:t> 30 kg</w:t>
      </w:r>
      <w:r w:rsidRPr="005A4F9F">
        <w:rPr>
          <w:rFonts w:eastAsia="SimSun"/>
          <w:sz w:val="22"/>
          <w:szCs w:val="22"/>
          <w:lang w:val="sr-Latn-ME" w:eastAsia="zh-CN"/>
        </w:rPr>
        <w:t xml:space="preserve"> liječenih tocilizumabom u dozi od 8 mg/kg (4,0 na 100 pacijent</w:t>
      </w:r>
      <w:r w:rsidRPr="005A4F9F">
        <w:rPr>
          <w:rFonts w:eastAsia="SimSun"/>
          <w:sz w:val="22"/>
          <w:szCs w:val="22"/>
          <w:lang w:val="sr-Latn-ME" w:eastAsia="zh-CN"/>
        </w:rPr>
        <w:noBreakHyphen/>
        <w:t xml:space="preserve">godina). Učestalost infekcija koje su dovele do prekida liječenja takođe je bila brojčano viša kod pacijenata tjelesne težine &lt; 30 kg liječenih tocilizumabom u dozi od 10 mg/kg (21,4%) nego kod pacijenata tjelesne težine </w:t>
      </w:r>
      <w:r w:rsidRPr="005A4F9F">
        <w:rPr>
          <w:rFonts w:eastAsia="SimSun" w:hint="eastAsia"/>
          <w:sz w:val="22"/>
          <w:szCs w:val="22"/>
          <w:lang w:val="sr-Latn-ME" w:eastAsia="zh-CN"/>
        </w:rPr>
        <w:t>≥</w:t>
      </w:r>
      <w:r w:rsidRPr="005A4F9F">
        <w:rPr>
          <w:rFonts w:eastAsia="SimSun" w:hint="eastAsia"/>
          <w:sz w:val="22"/>
          <w:szCs w:val="22"/>
          <w:lang w:val="sr-Latn-ME" w:eastAsia="zh-CN"/>
        </w:rPr>
        <w:t> 30 kg</w:t>
      </w:r>
      <w:r w:rsidRPr="005A4F9F">
        <w:rPr>
          <w:rFonts w:eastAsia="SimSun"/>
          <w:sz w:val="22"/>
          <w:szCs w:val="22"/>
          <w:lang w:val="sr-Latn-ME" w:eastAsia="zh-CN"/>
        </w:rPr>
        <w:t xml:space="preserve"> liječenih tocilizumabom u dozi od 8 mg/kg (7,6%).</w:t>
      </w:r>
    </w:p>
    <w:p w14:paraId="270A5207" w14:textId="77777777" w:rsidR="00BF249E" w:rsidRPr="005A4F9F" w:rsidRDefault="00BF249E">
      <w:pPr>
        <w:widowControl w:val="0"/>
        <w:jc w:val="both"/>
        <w:rPr>
          <w:rFonts w:eastAsia="SimSun"/>
          <w:i/>
          <w:sz w:val="22"/>
          <w:szCs w:val="22"/>
          <w:lang w:val="sr-Latn-ME" w:eastAsia="zh-CN"/>
        </w:rPr>
      </w:pPr>
    </w:p>
    <w:p w14:paraId="51F99A21" w14:textId="77777777" w:rsidR="00BF249E"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 xml:space="preserve">Reakcije </w:t>
      </w:r>
      <w:r w:rsidR="00BF249E" w:rsidRPr="005A4F9F">
        <w:rPr>
          <w:rFonts w:eastAsia="SimSun"/>
          <w:i/>
          <w:sz w:val="22"/>
          <w:szCs w:val="22"/>
          <w:u w:val="single"/>
          <w:lang w:val="sr-Latn-ME" w:eastAsia="zh-CN"/>
        </w:rPr>
        <w:t>povezane sa infuzijom</w:t>
      </w:r>
    </w:p>
    <w:p w14:paraId="6F9AB7AE" w14:textId="5C9C284E"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 xml:space="preserve">Kod pacijenata sa pJIA reakcije povezane sa infuzijom definišu se kao svi događaji koji se pojavljuju tokom infuzije ili u roku od 24 sata nakon infuzije. U cjelokupnoj populaciji izloženoj tocilizumabu, kod 11 su se pacijenata (5,9%) reakcije na infuziju javile tokom infuzije, a kod njih 38 (20,2%) unutar 24 sata nakon infuzije. Najčešći događaji koji su se javljali tokom infuzije bili su glavobolja, mučnina i hipotenzija, a unutar 24 sata nakon infuzije vrtoglavica i hipotenzija. </w:t>
      </w:r>
      <w:r w:rsidR="000F0228" w:rsidRPr="005A4F9F">
        <w:rPr>
          <w:rFonts w:eastAsia="SimSun"/>
          <w:sz w:val="22"/>
          <w:szCs w:val="22"/>
          <w:lang w:val="sr-Latn-ME" w:eastAsia="zh-CN"/>
        </w:rPr>
        <w:t>Neželjene reakcije</w:t>
      </w:r>
      <w:r w:rsidRPr="005A4F9F">
        <w:rPr>
          <w:rFonts w:eastAsia="SimSun"/>
          <w:sz w:val="22"/>
          <w:szCs w:val="22"/>
          <w:lang w:val="sr-Latn-ME" w:eastAsia="zh-CN"/>
        </w:rPr>
        <w:t xml:space="preserve">  primijećene tokom ili unutar 24 sata nakon infekcije generalno su bile slične po prirodi kao one zabilježene kod pacijenata sa RA i sJIA, vidjeti dio 4.8.</w:t>
      </w:r>
    </w:p>
    <w:p w14:paraId="1D858A4B" w14:textId="77777777" w:rsidR="00C66563" w:rsidRPr="005A4F9F" w:rsidRDefault="00C66563">
      <w:pPr>
        <w:widowControl w:val="0"/>
        <w:jc w:val="both"/>
        <w:rPr>
          <w:rFonts w:eastAsia="SimSun"/>
          <w:sz w:val="22"/>
          <w:szCs w:val="22"/>
          <w:lang w:val="sr-Latn-ME" w:eastAsia="zh-CN"/>
        </w:rPr>
      </w:pPr>
    </w:p>
    <w:p w14:paraId="2717314B" w14:textId="77777777"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Ni</w:t>
      </w:r>
      <w:r w:rsidR="000F0228" w:rsidRPr="005A4F9F">
        <w:rPr>
          <w:rFonts w:eastAsia="SimSun"/>
          <w:sz w:val="22"/>
          <w:szCs w:val="22"/>
          <w:lang w:val="sr-Latn-ME" w:eastAsia="zh-CN"/>
        </w:rPr>
        <w:t>je</w:t>
      </w:r>
      <w:r w:rsidRPr="005A4F9F">
        <w:rPr>
          <w:rFonts w:eastAsia="SimSun"/>
          <w:sz w:val="22"/>
          <w:szCs w:val="22"/>
          <w:lang w:val="sr-Latn-ME" w:eastAsia="zh-CN"/>
        </w:rPr>
        <w:t>su prijavljene klinički značajne reakcije preosjetljivosti povezane sa tocilizumabom koje bi zaht</w:t>
      </w:r>
      <w:r w:rsidR="000F0228" w:rsidRPr="005A4F9F">
        <w:rPr>
          <w:rFonts w:eastAsia="SimSun"/>
          <w:sz w:val="22"/>
          <w:szCs w:val="22"/>
          <w:lang w:val="sr-Latn-ME" w:eastAsia="zh-CN"/>
        </w:rPr>
        <w:t>i</w:t>
      </w:r>
      <w:r w:rsidRPr="005A4F9F">
        <w:rPr>
          <w:rFonts w:eastAsia="SimSun"/>
          <w:sz w:val="22"/>
          <w:szCs w:val="22"/>
          <w:lang w:val="sr-Latn-ME" w:eastAsia="zh-CN"/>
        </w:rPr>
        <w:t>jevale prekid liječenja.</w:t>
      </w:r>
    </w:p>
    <w:p w14:paraId="3FCAE01D" w14:textId="77777777" w:rsidR="00C66563" w:rsidRPr="005A4F9F" w:rsidRDefault="00C66563">
      <w:pPr>
        <w:widowControl w:val="0"/>
        <w:jc w:val="both"/>
        <w:rPr>
          <w:i/>
          <w:sz w:val="22"/>
          <w:szCs w:val="22"/>
          <w:u w:val="single"/>
          <w:lang w:val="sr-Latn-ME"/>
        </w:rPr>
      </w:pPr>
    </w:p>
    <w:p w14:paraId="65049884" w14:textId="77777777" w:rsidR="00C66563" w:rsidRPr="005A4F9F" w:rsidRDefault="00C66563">
      <w:pPr>
        <w:widowControl w:val="0"/>
        <w:jc w:val="both"/>
        <w:rPr>
          <w:i/>
          <w:sz w:val="22"/>
          <w:szCs w:val="22"/>
          <w:u w:val="single"/>
          <w:lang w:val="sr-Latn-ME"/>
        </w:rPr>
      </w:pPr>
      <w:r w:rsidRPr="005A4F9F">
        <w:rPr>
          <w:i/>
          <w:sz w:val="22"/>
          <w:szCs w:val="22"/>
          <w:u w:val="single"/>
          <w:lang w:val="sr-Latn-ME"/>
        </w:rPr>
        <w:t>Imunogenost</w:t>
      </w:r>
    </w:p>
    <w:p w14:paraId="7C5BF3F0" w14:textId="77777777"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Kod jednog pacijenta u grupi tjelesne težine &lt; 30 kg koji je primao dozu od 10 mg/kg razvila su se pozitivna antitijela na tocilizumab, ali se pritom nije pojavila reakcija preosjetljivosti; pacijent se nakon toga povukao iz ispitivanja.</w:t>
      </w:r>
    </w:p>
    <w:p w14:paraId="6EAA4548" w14:textId="77777777" w:rsidR="00C66563" w:rsidRPr="005A4F9F" w:rsidRDefault="00C66563">
      <w:pPr>
        <w:widowControl w:val="0"/>
        <w:jc w:val="both"/>
        <w:rPr>
          <w:rFonts w:eastAsia="SimSun"/>
          <w:sz w:val="22"/>
          <w:szCs w:val="22"/>
          <w:lang w:val="sr-Latn-ME" w:eastAsia="zh-CN"/>
        </w:rPr>
      </w:pPr>
    </w:p>
    <w:p w14:paraId="1530C82E" w14:textId="77777777" w:rsidR="00C66563"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Neutrofili</w:t>
      </w:r>
    </w:p>
    <w:p w14:paraId="0B7C4B48" w14:textId="77777777"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 xml:space="preserve">Prilikom rutinskog laboratorijskog praćenja cjelokupne populacije izložene tocilizumabu, kod 3,7% pacijenata </w:t>
      </w:r>
      <w:r w:rsidR="002D1083" w:rsidRPr="005A4F9F">
        <w:rPr>
          <w:rFonts w:eastAsia="SimSun"/>
          <w:sz w:val="22"/>
          <w:szCs w:val="22"/>
          <w:lang w:val="sr-Latn-ME" w:eastAsia="zh-CN"/>
        </w:rPr>
        <w:t xml:space="preserve">uočeno </w:t>
      </w:r>
      <w:r w:rsidRPr="005A4F9F">
        <w:rPr>
          <w:rFonts w:eastAsia="SimSun"/>
          <w:sz w:val="22"/>
          <w:szCs w:val="22"/>
          <w:lang w:val="sr-Latn-ME" w:eastAsia="zh-CN"/>
        </w:rPr>
        <w:t>je smanjenje broja neutrofila na nivo niži od 1 x 10</w:t>
      </w:r>
      <w:r w:rsidRPr="005A4F9F">
        <w:rPr>
          <w:rFonts w:eastAsia="SimSun"/>
          <w:sz w:val="22"/>
          <w:szCs w:val="22"/>
          <w:vertAlign w:val="superscript"/>
          <w:lang w:val="sr-Latn-ME" w:eastAsia="zh-CN"/>
        </w:rPr>
        <w:t>9</w:t>
      </w:r>
      <w:r w:rsidRPr="005A4F9F">
        <w:rPr>
          <w:rFonts w:eastAsia="SimSun"/>
          <w:sz w:val="22"/>
          <w:szCs w:val="22"/>
          <w:lang w:val="sr-Latn-ME" w:eastAsia="zh-CN"/>
        </w:rPr>
        <w:t>/l.</w:t>
      </w:r>
    </w:p>
    <w:p w14:paraId="3A60AFF8" w14:textId="77777777" w:rsidR="00C66563" w:rsidRPr="005A4F9F" w:rsidRDefault="00C66563">
      <w:pPr>
        <w:widowControl w:val="0"/>
        <w:jc w:val="both"/>
        <w:rPr>
          <w:rFonts w:eastAsia="SimSun"/>
          <w:sz w:val="22"/>
          <w:szCs w:val="22"/>
          <w:lang w:val="sr-Latn-ME" w:eastAsia="zh-CN"/>
        </w:rPr>
      </w:pPr>
    </w:p>
    <w:p w14:paraId="2A4B9A62" w14:textId="77777777" w:rsidR="00C66563"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Trombociti</w:t>
      </w:r>
    </w:p>
    <w:p w14:paraId="316E5A8C" w14:textId="5C636A58"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 xml:space="preserve">Prilikom rutinskog laboratorijskog praćenja cjelokupne populacije izložene tocilizumabu, kod 1% pacijenata primjećeno je smanjenje broja trombocita na </w:t>
      </w:r>
      <w:r w:rsidRPr="005A4F9F">
        <w:rPr>
          <w:rFonts w:eastAsia="SimSun" w:hint="eastAsia"/>
          <w:sz w:val="22"/>
          <w:szCs w:val="22"/>
          <w:lang w:val="sr-Latn-ME" w:eastAsia="zh-CN"/>
        </w:rPr>
        <w:t>≤</w:t>
      </w:r>
      <w:r w:rsidRPr="005A4F9F">
        <w:rPr>
          <w:rFonts w:eastAsia="SimSun"/>
          <w:sz w:val="22"/>
          <w:szCs w:val="22"/>
          <w:lang w:val="sr-Latn-ME" w:eastAsia="zh-CN"/>
        </w:rPr>
        <w:t xml:space="preserve"> 50 x 10</w:t>
      </w:r>
      <w:r w:rsidRPr="005A4F9F">
        <w:rPr>
          <w:rFonts w:eastAsia="SimSun"/>
          <w:sz w:val="22"/>
          <w:szCs w:val="22"/>
          <w:vertAlign w:val="superscript"/>
          <w:lang w:val="sr-Latn-ME" w:eastAsia="zh-CN"/>
        </w:rPr>
        <w:t>3</w:t>
      </w:r>
      <w:r w:rsidRPr="005A4F9F">
        <w:rPr>
          <w:rFonts w:eastAsia="SimSun"/>
          <w:sz w:val="22"/>
          <w:szCs w:val="22"/>
          <w:lang w:val="sr-Latn-ME" w:eastAsia="zh-CN"/>
        </w:rPr>
        <w:t>/µl, ali ni</w:t>
      </w:r>
      <w:r w:rsidR="00A563B1" w:rsidRPr="005A4F9F">
        <w:rPr>
          <w:rFonts w:eastAsia="SimSun"/>
          <w:sz w:val="22"/>
          <w:szCs w:val="22"/>
          <w:lang w:val="sr-Latn-ME" w:eastAsia="zh-CN"/>
        </w:rPr>
        <w:t>je</w:t>
      </w:r>
      <w:r w:rsidRPr="005A4F9F">
        <w:rPr>
          <w:rFonts w:eastAsia="SimSun"/>
          <w:sz w:val="22"/>
          <w:szCs w:val="22"/>
          <w:lang w:val="sr-Latn-ME" w:eastAsia="zh-CN"/>
        </w:rPr>
        <w:t>su zabilježeni povezani događaji krvarenja.</w:t>
      </w:r>
    </w:p>
    <w:p w14:paraId="7194887E" w14:textId="77777777" w:rsidR="00C66563" w:rsidRPr="005A4F9F" w:rsidRDefault="00C66563">
      <w:pPr>
        <w:widowControl w:val="0"/>
        <w:jc w:val="both"/>
        <w:rPr>
          <w:rFonts w:eastAsia="SimSun"/>
          <w:sz w:val="22"/>
          <w:szCs w:val="22"/>
          <w:lang w:val="sr-Latn-ME" w:eastAsia="zh-CN"/>
        </w:rPr>
      </w:pPr>
    </w:p>
    <w:p w14:paraId="6A454F98" w14:textId="4A03C3C9" w:rsidR="00C66563"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 xml:space="preserve">Povišene </w:t>
      </w:r>
      <w:r w:rsidR="002B004B" w:rsidRPr="005A4F9F">
        <w:rPr>
          <w:rFonts w:eastAsia="SimSun"/>
          <w:i/>
          <w:sz w:val="22"/>
          <w:szCs w:val="22"/>
          <w:u w:val="single"/>
          <w:lang w:val="sr-Latn-ME" w:eastAsia="zh-CN"/>
        </w:rPr>
        <w:t xml:space="preserve">vrijednosti </w:t>
      </w:r>
      <w:r w:rsidRPr="005A4F9F">
        <w:rPr>
          <w:rFonts w:eastAsia="SimSun"/>
          <w:i/>
          <w:sz w:val="22"/>
          <w:szCs w:val="22"/>
          <w:u w:val="single"/>
          <w:lang w:val="sr-Latn-ME" w:eastAsia="zh-CN"/>
        </w:rPr>
        <w:t xml:space="preserve">transaminaze jetre </w:t>
      </w:r>
    </w:p>
    <w:p w14:paraId="000B63F2" w14:textId="77777777" w:rsidR="00C66563"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 xml:space="preserve">Prilikom rutinskog laboratorijskog praćenja cjelokupne populacije izložene tocilizumabu primijećen je povišen nivo ALT-a odnosno AST-a </w:t>
      </w:r>
      <w:r w:rsidRPr="005A4F9F">
        <w:rPr>
          <w:rFonts w:eastAsia="SimSun" w:hint="eastAsia"/>
          <w:sz w:val="22"/>
          <w:szCs w:val="22"/>
          <w:lang w:val="sr-Latn-ME" w:eastAsia="zh-CN"/>
        </w:rPr>
        <w:t>≥</w:t>
      </w:r>
      <w:r w:rsidRPr="005A4F9F">
        <w:rPr>
          <w:rFonts w:eastAsia="SimSun" w:hint="eastAsia"/>
          <w:sz w:val="22"/>
          <w:szCs w:val="22"/>
          <w:lang w:val="sr-Latn-ME" w:eastAsia="zh-CN"/>
        </w:rPr>
        <w:t> 3 x iznad</w:t>
      </w:r>
      <w:r w:rsidRPr="005A4F9F">
        <w:rPr>
          <w:rFonts w:eastAsia="SimSun"/>
          <w:sz w:val="22"/>
          <w:szCs w:val="22"/>
          <w:lang w:val="sr-Latn-ME" w:eastAsia="zh-CN"/>
        </w:rPr>
        <w:t xml:space="preserve"> gornje granice normale u 3,7% odnosno &lt; 1% pacijenata.</w:t>
      </w:r>
    </w:p>
    <w:p w14:paraId="5005F9B4" w14:textId="77777777" w:rsidR="00C66563" w:rsidRPr="005A4F9F" w:rsidRDefault="00C66563">
      <w:pPr>
        <w:widowControl w:val="0"/>
        <w:jc w:val="both"/>
        <w:rPr>
          <w:rFonts w:eastAsia="SimSun"/>
          <w:sz w:val="22"/>
          <w:szCs w:val="22"/>
          <w:lang w:val="sr-Latn-ME" w:eastAsia="zh-CN"/>
        </w:rPr>
      </w:pPr>
    </w:p>
    <w:p w14:paraId="1049507A" w14:textId="77777777" w:rsidR="00C66563" w:rsidRPr="005A4F9F" w:rsidRDefault="00C66563">
      <w:pPr>
        <w:widowControl w:val="0"/>
        <w:jc w:val="both"/>
        <w:rPr>
          <w:rFonts w:eastAsia="SimSun"/>
          <w:i/>
          <w:sz w:val="22"/>
          <w:szCs w:val="22"/>
          <w:u w:val="single"/>
          <w:lang w:val="sr-Latn-ME" w:eastAsia="zh-CN"/>
        </w:rPr>
      </w:pPr>
      <w:r w:rsidRPr="005A4F9F">
        <w:rPr>
          <w:rFonts w:eastAsia="SimSun"/>
          <w:i/>
          <w:sz w:val="22"/>
          <w:szCs w:val="22"/>
          <w:u w:val="single"/>
          <w:lang w:val="sr-Latn-ME" w:eastAsia="zh-CN"/>
        </w:rPr>
        <w:t>Vrijednosti lipida</w:t>
      </w:r>
    </w:p>
    <w:p w14:paraId="67A11084" w14:textId="2BA657F0" w:rsidR="004C5A7C" w:rsidRPr="005A4F9F" w:rsidRDefault="00C66563">
      <w:pPr>
        <w:widowControl w:val="0"/>
        <w:jc w:val="both"/>
        <w:rPr>
          <w:rFonts w:eastAsia="SimSun"/>
          <w:sz w:val="22"/>
          <w:szCs w:val="22"/>
          <w:lang w:val="sr-Latn-ME" w:eastAsia="zh-CN"/>
        </w:rPr>
      </w:pPr>
      <w:r w:rsidRPr="005A4F9F">
        <w:rPr>
          <w:rFonts w:eastAsia="SimSun"/>
          <w:sz w:val="22"/>
          <w:szCs w:val="22"/>
          <w:lang w:val="sr-Latn-ME" w:eastAsia="zh-CN"/>
        </w:rPr>
        <w:t>Prilikom rutinskog laboratorijskog praćenja</w:t>
      </w:r>
      <w:r w:rsidR="00380496" w:rsidRPr="005A4F9F">
        <w:rPr>
          <w:rFonts w:eastAsia="SimSun"/>
          <w:sz w:val="22"/>
          <w:szCs w:val="22"/>
          <w:lang w:val="sr-Latn-ME" w:eastAsia="zh-CN"/>
        </w:rPr>
        <w:t xml:space="preserve"> intravenske prim</w:t>
      </w:r>
      <w:r w:rsidR="00346212" w:rsidRPr="005A4F9F">
        <w:rPr>
          <w:rFonts w:eastAsia="SimSun"/>
          <w:sz w:val="22"/>
          <w:szCs w:val="22"/>
          <w:lang w:val="sr-Latn-ME" w:eastAsia="zh-CN"/>
        </w:rPr>
        <w:t>j</w:t>
      </w:r>
      <w:r w:rsidR="00380496" w:rsidRPr="005A4F9F">
        <w:rPr>
          <w:rFonts w:eastAsia="SimSun"/>
          <w:sz w:val="22"/>
          <w:szCs w:val="22"/>
          <w:lang w:val="sr-Latn-ME" w:eastAsia="zh-CN"/>
        </w:rPr>
        <w:t xml:space="preserve">ene </w:t>
      </w:r>
      <w:r w:rsidR="002B004B" w:rsidRPr="005A4F9F">
        <w:rPr>
          <w:rFonts w:eastAsia="SimSun"/>
          <w:sz w:val="22"/>
          <w:szCs w:val="22"/>
          <w:lang w:val="sr-Latn-ME" w:eastAsia="zh-CN"/>
        </w:rPr>
        <w:t>tocilizumaba</w:t>
      </w:r>
      <w:r w:rsidR="00380496" w:rsidRPr="005A4F9F">
        <w:rPr>
          <w:rFonts w:eastAsia="SimSun"/>
          <w:sz w:val="22"/>
          <w:szCs w:val="22"/>
          <w:lang w:val="sr-Latn-ME" w:eastAsia="zh-CN"/>
        </w:rPr>
        <w:t xml:space="preserve"> u studiji WA19977, </w:t>
      </w:r>
      <w:r w:rsidR="004C5A7C" w:rsidRPr="005A4F9F">
        <w:rPr>
          <w:rFonts w:eastAsia="SimSun"/>
          <w:sz w:val="22"/>
          <w:szCs w:val="22"/>
          <w:lang w:val="sr-Latn-ME" w:eastAsia="zh-CN"/>
        </w:rPr>
        <w:t xml:space="preserve">kod </w:t>
      </w:r>
      <w:r w:rsidR="00380496" w:rsidRPr="005A4F9F">
        <w:rPr>
          <w:rFonts w:eastAsia="SimSun"/>
          <w:sz w:val="22"/>
          <w:szCs w:val="22"/>
          <w:lang w:val="sr-Latn-ME" w:eastAsia="zh-CN"/>
        </w:rPr>
        <w:t>3</w:t>
      </w:r>
      <w:r w:rsidR="002D1083" w:rsidRPr="005A4F9F">
        <w:rPr>
          <w:rFonts w:eastAsia="SimSun"/>
          <w:sz w:val="22"/>
          <w:szCs w:val="22"/>
          <w:lang w:val="sr-Latn-ME" w:eastAsia="zh-CN"/>
        </w:rPr>
        <w:t>,</w:t>
      </w:r>
      <w:r w:rsidR="00380496" w:rsidRPr="005A4F9F">
        <w:rPr>
          <w:rFonts w:eastAsia="SimSun"/>
          <w:sz w:val="22"/>
          <w:szCs w:val="22"/>
          <w:lang w:val="sr-Latn-ME" w:eastAsia="zh-CN"/>
        </w:rPr>
        <w:t xml:space="preserve">4% </w:t>
      </w:r>
      <w:r w:rsidR="004C5A7C" w:rsidRPr="005A4F9F">
        <w:rPr>
          <w:rFonts w:eastAsia="SimSun"/>
          <w:sz w:val="22"/>
          <w:szCs w:val="22"/>
          <w:lang w:val="sr-Latn-ME" w:eastAsia="zh-CN"/>
        </w:rPr>
        <w:t>i</w:t>
      </w:r>
      <w:r w:rsidR="00380496" w:rsidRPr="005A4F9F">
        <w:rPr>
          <w:rFonts w:eastAsia="SimSun"/>
          <w:sz w:val="22"/>
          <w:szCs w:val="22"/>
          <w:lang w:val="sr-Latn-ME" w:eastAsia="zh-CN"/>
        </w:rPr>
        <w:t xml:space="preserve"> 10</w:t>
      </w:r>
      <w:r w:rsidR="002D1083" w:rsidRPr="005A4F9F">
        <w:rPr>
          <w:rFonts w:eastAsia="SimSun"/>
          <w:sz w:val="22"/>
          <w:szCs w:val="22"/>
          <w:lang w:val="sr-Latn-ME" w:eastAsia="zh-CN"/>
        </w:rPr>
        <w:t>,</w:t>
      </w:r>
      <w:r w:rsidR="00380496" w:rsidRPr="005A4F9F">
        <w:rPr>
          <w:rFonts w:eastAsia="SimSun"/>
          <w:sz w:val="22"/>
          <w:szCs w:val="22"/>
          <w:lang w:val="sr-Latn-ME" w:eastAsia="zh-CN"/>
        </w:rPr>
        <w:t xml:space="preserve">4% pacijenata je </w:t>
      </w:r>
      <w:r w:rsidR="004C5A7C" w:rsidRPr="005A4F9F">
        <w:rPr>
          <w:rFonts w:eastAsia="SimSun"/>
          <w:sz w:val="22"/>
          <w:szCs w:val="22"/>
          <w:lang w:val="sr-Latn-ME" w:eastAsia="zh-CN"/>
        </w:rPr>
        <w:t>prim</w:t>
      </w:r>
      <w:r w:rsidR="00346212" w:rsidRPr="005A4F9F">
        <w:rPr>
          <w:rFonts w:eastAsia="SimSun"/>
          <w:sz w:val="22"/>
          <w:szCs w:val="22"/>
          <w:lang w:val="sr-Latn-ME" w:eastAsia="zh-CN"/>
        </w:rPr>
        <w:t>ij</w:t>
      </w:r>
      <w:r w:rsidR="004C5A7C" w:rsidRPr="005A4F9F">
        <w:rPr>
          <w:rFonts w:eastAsia="SimSun"/>
          <w:sz w:val="22"/>
          <w:szCs w:val="22"/>
          <w:lang w:val="sr-Latn-ME" w:eastAsia="zh-CN"/>
        </w:rPr>
        <w:t>ećeno povišenje</w:t>
      </w:r>
      <w:r w:rsidR="00380496" w:rsidRPr="005A4F9F">
        <w:rPr>
          <w:rFonts w:eastAsia="SimSun"/>
          <w:sz w:val="22"/>
          <w:szCs w:val="22"/>
          <w:lang w:val="sr-Latn-ME" w:eastAsia="zh-CN"/>
        </w:rPr>
        <w:t xml:space="preserve"> vr</w:t>
      </w:r>
      <w:r w:rsidR="00346212" w:rsidRPr="005A4F9F">
        <w:rPr>
          <w:rFonts w:eastAsia="SimSun"/>
          <w:sz w:val="22"/>
          <w:szCs w:val="22"/>
          <w:lang w:val="sr-Latn-ME" w:eastAsia="zh-CN"/>
        </w:rPr>
        <w:t>ij</w:t>
      </w:r>
      <w:r w:rsidR="00380496" w:rsidRPr="005A4F9F">
        <w:rPr>
          <w:rFonts w:eastAsia="SimSun"/>
          <w:sz w:val="22"/>
          <w:szCs w:val="22"/>
          <w:lang w:val="sr-Latn-ME" w:eastAsia="zh-CN"/>
        </w:rPr>
        <w:t xml:space="preserve">ednosti LDL holesterola </w:t>
      </w:r>
      <w:r w:rsidR="004C5A7C" w:rsidRPr="005A4F9F">
        <w:rPr>
          <w:rFonts w:eastAsia="SimSun" w:hint="eastAsia"/>
          <w:sz w:val="22"/>
          <w:szCs w:val="22"/>
          <w:lang w:val="sr-Latn-ME" w:eastAsia="zh-CN"/>
        </w:rPr>
        <w:t>≥</w:t>
      </w:r>
      <w:r w:rsidR="004C5A7C" w:rsidRPr="005A4F9F">
        <w:rPr>
          <w:rFonts w:eastAsia="SimSun"/>
          <w:sz w:val="22"/>
          <w:szCs w:val="22"/>
          <w:lang w:val="sr-Latn-ME" w:eastAsia="zh-CN"/>
        </w:rPr>
        <w:t xml:space="preserve"> 130 mg/d</w:t>
      </w:r>
      <w:r w:rsidR="002D1083" w:rsidRPr="005A4F9F">
        <w:rPr>
          <w:rFonts w:eastAsia="SimSun"/>
          <w:sz w:val="22"/>
          <w:szCs w:val="22"/>
          <w:lang w:val="sr-Latn-ME" w:eastAsia="zh-CN"/>
        </w:rPr>
        <w:t>l</w:t>
      </w:r>
      <w:r w:rsidR="004C5A7C" w:rsidRPr="005A4F9F">
        <w:rPr>
          <w:rFonts w:eastAsia="SimSun"/>
          <w:sz w:val="22"/>
          <w:szCs w:val="22"/>
          <w:lang w:val="sr-Latn-ME" w:eastAsia="zh-CN"/>
        </w:rPr>
        <w:t xml:space="preserve"> u odnosu na početne vr</w:t>
      </w:r>
      <w:r w:rsidR="00346212" w:rsidRPr="005A4F9F">
        <w:rPr>
          <w:rFonts w:eastAsia="SimSun"/>
          <w:sz w:val="22"/>
          <w:szCs w:val="22"/>
          <w:lang w:val="sr-Latn-ME" w:eastAsia="zh-CN"/>
        </w:rPr>
        <w:t>ij</w:t>
      </w:r>
      <w:r w:rsidR="004C5A7C" w:rsidRPr="005A4F9F">
        <w:rPr>
          <w:rFonts w:eastAsia="SimSun"/>
          <w:sz w:val="22"/>
          <w:szCs w:val="22"/>
          <w:lang w:val="sr-Latn-ME" w:eastAsia="zh-CN"/>
        </w:rPr>
        <w:t>ednosti i vr</w:t>
      </w:r>
      <w:r w:rsidR="00346212" w:rsidRPr="005A4F9F">
        <w:rPr>
          <w:rFonts w:eastAsia="SimSun"/>
          <w:sz w:val="22"/>
          <w:szCs w:val="22"/>
          <w:lang w:val="sr-Latn-ME" w:eastAsia="zh-CN"/>
        </w:rPr>
        <w:t>ij</w:t>
      </w:r>
      <w:r w:rsidR="004C5A7C" w:rsidRPr="005A4F9F">
        <w:rPr>
          <w:rFonts w:eastAsia="SimSun"/>
          <w:sz w:val="22"/>
          <w:szCs w:val="22"/>
          <w:lang w:val="sr-Latn-ME" w:eastAsia="zh-CN"/>
        </w:rPr>
        <w:t xml:space="preserve">ednosti ukupnog holesterola </w:t>
      </w:r>
      <w:r w:rsidR="004C5A7C" w:rsidRPr="005A4F9F">
        <w:rPr>
          <w:rFonts w:eastAsia="SimSun" w:hint="eastAsia"/>
          <w:sz w:val="22"/>
          <w:szCs w:val="22"/>
          <w:lang w:val="sr-Latn-ME" w:eastAsia="zh-CN"/>
        </w:rPr>
        <w:t>≥</w:t>
      </w:r>
      <w:r w:rsidR="004C5A7C" w:rsidRPr="005A4F9F">
        <w:rPr>
          <w:rFonts w:eastAsia="SimSun"/>
          <w:sz w:val="22"/>
          <w:szCs w:val="22"/>
          <w:lang w:val="sr-Latn-ME" w:eastAsia="zh-CN"/>
        </w:rPr>
        <w:t xml:space="preserve"> 200 mg/d</w:t>
      </w:r>
      <w:r w:rsidR="002D1083" w:rsidRPr="005A4F9F">
        <w:rPr>
          <w:rFonts w:eastAsia="SimSun"/>
          <w:sz w:val="22"/>
          <w:szCs w:val="22"/>
          <w:lang w:val="sr-Latn-ME" w:eastAsia="zh-CN"/>
        </w:rPr>
        <w:t>l</w:t>
      </w:r>
      <w:r w:rsidR="004C5A7C" w:rsidRPr="005A4F9F">
        <w:rPr>
          <w:rFonts w:eastAsia="SimSun"/>
          <w:sz w:val="22"/>
          <w:szCs w:val="22"/>
          <w:lang w:val="sr-Latn-ME" w:eastAsia="zh-CN"/>
        </w:rPr>
        <w:t xml:space="preserve"> u bilo kom trenutku tokom trajanja studije</w:t>
      </w:r>
      <w:r w:rsidR="002D1083" w:rsidRPr="005A4F9F">
        <w:rPr>
          <w:rFonts w:eastAsia="SimSun"/>
          <w:sz w:val="22"/>
          <w:szCs w:val="22"/>
          <w:lang w:val="sr-Latn-ME" w:eastAsia="zh-CN"/>
        </w:rPr>
        <w:t>.</w:t>
      </w:r>
    </w:p>
    <w:p w14:paraId="29037AA3" w14:textId="77777777" w:rsidR="00380496" w:rsidRPr="005A4F9F" w:rsidRDefault="00380496">
      <w:pPr>
        <w:widowControl w:val="0"/>
        <w:jc w:val="both"/>
        <w:rPr>
          <w:rFonts w:eastAsia="SimSun"/>
          <w:sz w:val="22"/>
          <w:szCs w:val="22"/>
          <w:lang w:val="sr-Latn-ME" w:eastAsia="zh-CN"/>
        </w:rPr>
      </w:pPr>
    </w:p>
    <w:p w14:paraId="05847B29" w14:textId="5467FDCC" w:rsidR="00C66563" w:rsidRPr="005A4F9F" w:rsidRDefault="002B004B">
      <w:pPr>
        <w:pStyle w:val="Header"/>
        <w:widowControl w:val="0"/>
        <w:tabs>
          <w:tab w:val="left" w:pos="284"/>
        </w:tabs>
        <w:jc w:val="both"/>
        <w:rPr>
          <w:i/>
          <w:sz w:val="22"/>
          <w:szCs w:val="22"/>
          <w:u w:val="single"/>
          <w:lang w:val="sr-Latn-ME"/>
        </w:rPr>
      </w:pPr>
      <w:r w:rsidRPr="005A4F9F">
        <w:rPr>
          <w:rFonts w:eastAsia="SimSun"/>
          <w:b/>
          <w:bCs/>
          <w:i/>
          <w:sz w:val="22"/>
          <w:szCs w:val="22"/>
          <w:lang w:val="sr-Latn-ME" w:eastAsia="zh-CN"/>
        </w:rPr>
        <w:t xml:space="preserve">Opis odabranih neželjenih </w:t>
      </w:r>
      <w:r w:rsidR="008B3674" w:rsidRPr="005A4F9F">
        <w:rPr>
          <w:rFonts w:eastAsia="SimSun"/>
          <w:b/>
          <w:bCs/>
          <w:i/>
          <w:sz w:val="22"/>
          <w:szCs w:val="22"/>
          <w:lang w:val="sr-Latn-ME" w:eastAsia="zh-CN"/>
        </w:rPr>
        <w:t>dejstava</w:t>
      </w:r>
      <w:r w:rsidRPr="005A4F9F">
        <w:rPr>
          <w:rFonts w:eastAsia="SimSun"/>
          <w:b/>
          <w:bCs/>
          <w:i/>
          <w:sz w:val="22"/>
          <w:szCs w:val="22"/>
          <w:lang w:val="sr-Latn-ME" w:eastAsia="zh-CN"/>
        </w:rPr>
        <w:t xml:space="preserve"> kod pacijenata s</w:t>
      </w:r>
      <w:r w:rsidRPr="005A4F9F" w:rsidDel="002B004B">
        <w:rPr>
          <w:b/>
          <w:i/>
          <w:sz w:val="22"/>
          <w:szCs w:val="22"/>
          <w:lang w:val="sr-Latn-ME"/>
        </w:rPr>
        <w:t xml:space="preserve"> </w:t>
      </w:r>
      <w:r w:rsidR="002D1083" w:rsidRPr="005A4F9F">
        <w:rPr>
          <w:b/>
          <w:i/>
          <w:sz w:val="22"/>
          <w:szCs w:val="22"/>
          <w:u w:val="single"/>
          <w:lang w:val="sr-Latn-ME"/>
        </w:rPr>
        <w:t>sJIA</w:t>
      </w:r>
    </w:p>
    <w:p w14:paraId="4675935C" w14:textId="0F123965" w:rsidR="00C66563" w:rsidRPr="005A4F9F" w:rsidRDefault="00C66563">
      <w:pPr>
        <w:pStyle w:val="BodyText"/>
        <w:widowControl w:val="0"/>
        <w:spacing w:after="0"/>
        <w:jc w:val="both"/>
        <w:rPr>
          <w:sz w:val="22"/>
          <w:szCs w:val="22"/>
          <w:lang w:val="sr-Latn-ME"/>
        </w:rPr>
      </w:pPr>
      <w:r w:rsidRPr="005A4F9F">
        <w:rPr>
          <w:sz w:val="22"/>
          <w:szCs w:val="22"/>
          <w:lang w:val="sr-Latn-ME"/>
        </w:rPr>
        <w:t>Bezbjednos</w:t>
      </w:r>
      <w:r w:rsidR="00380496" w:rsidRPr="005A4F9F">
        <w:rPr>
          <w:sz w:val="22"/>
          <w:szCs w:val="22"/>
          <w:lang w:val="sr-Latn-ME"/>
        </w:rPr>
        <w:t>ni profil intravenske</w:t>
      </w:r>
      <w:r w:rsidRPr="005A4F9F">
        <w:rPr>
          <w:sz w:val="22"/>
          <w:szCs w:val="22"/>
          <w:lang w:val="sr-Latn-ME"/>
        </w:rPr>
        <w:t xml:space="preserve"> primjene </w:t>
      </w:r>
      <w:r w:rsidR="002B004B" w:rsidRPr="005A4F9F">
        <w:rPr>
          <w:sz w:val="22"/>
          <w:szCs w:val="22"/>
          <w:lang w:val="sr-Latn-ME"/>
        </w:rPr>
        <w:t>tocilizumaba</w:t>
      </w:r>
      <w:r w:rsidRPr="005A4F9F">
        <w:rPr>
          <w:sz w:val="22"/>
          <w:szCs w:val="22"/>
          <w:lang w:val="sr-Latn-ME"/>
        </w:rPr>
        <w:t xml:space="preserve">kod sJIA je ispitivana </w:t>
      </w:r>
      <w:r w:rsidR="002D1083" w:rsidRPr="005A4F9F">
        <w:rPr>
          <w:sz w:val="22"/>
          <w:szCs w:val="22"/>
          <w:lang w:val="sr-Latn-ME"/>
        </w:rPr>
        <w:t>kod</w:t>
      </w:r>
      <w:r w:rsidRPr="005A4F9F">
        <w:rPr>
          <w:sz w:val="22"/>
          <w:szCs w:val="22"/>
          <w:lang w:val="sr-Latn-ME"/>
        </w:rPr>
        <w:t xml:space="preserve"> 112 pacijenata starosti od 2 do 17 godina. U dvostruko slijepoj kontrolisanoj studijii</w:t>
      </w:r>
      <w:r w:rsidR="002D1083" w:rsidRPr="005A4F9F">
        <w:rPr>
          <w:sz w:val="22"/>
          <w:szCs w:val="22"/>
          <w:lang w:val="sr-Latn-ME"/>
        </w:rPr>
        <w:t xml:space="preserve"> koja je trajala 12 nedjelja</w:t>
      </w:r>
      <w:r w:rsidRPr="005A4F9F">
        <w:rPr>
          <w:sz w:val="22"/>
          <w:szCs w:val="22"/>
          <w:lang w:val="sr-Latn-ME"/>
        </w:rPr>
        <w:t xml:space="preserve">, 75 pacijenata primilo terapiju </w:t>
      </w:r>
      <w:r w:rsidR="002D1083" w:rsidRPr="005A4F9F">
        <w:rPr>
          <w:sz w:val="22"/>
          <w:szCs w:val="22"/>
          <w:lang w:val="sr-Latn-ME"/>
        </w:rPr>
        <w:t xml:space="preserve">je </w:t>
      </w:r>
      <w:r w:rsidRPr="005A4F9F">
        <w:rPr>
          <w:sz w:val="22"/>
          <w:szCs w:val="22"/>
          <w:lang w:val="sr-Latn-ME"/>
        </w:rPr>
        <w:t>tocilizumabom (8mg/kg ili 12 mg/kg na osnovu tjelesne težine). Nakon 12 ned</w:t>
      </w:r>
      <w:r w:rsidR="00A563B1" w:rsidRPr="005A4F9F">
        <w:rPr>
          <w:sz w:val="22"/>
          <w:szCs w:val="22"/>
          <w:lang w:val="sr-Latn-ME"/>
        </w:rPr>
        <w:t>j</w:t>
      </w:r>
      <w:r w:rsidRPr="005A4F9F">
        <w:rPr>
          <w:sz w:val="22"/>
          <w:szCs w:val="22"/>
          <w:lang w:val="sr-Latn-ME"/>
        </w:rPr>
        <w:t xml:space="preserve">elja ili u vrijeme prelaska </w:t>
      </w:r>
      <w:r w:rsidR="002B004B" w:rsidRPr="005A4F9F">
        <w:rPr>
          <w:sz w:val="22"/>
          <w:szCs w:val="22"/>
          <w:lang w:val="sr-Latn-ME"/>
        </w:rPr>
        <w:t xml:space="preserve">s placeba </w:t>
      </w:r>
      <w:r w:rsidRPr="005A4F9F">
        <w:rPr>
          <w:sz w:val="22"/>
          <w:szCs w:val="22"/>
          <w:lang w:val="sr-Latn-ME"/>
        </w:rPr>
        <w:t xml:space="preserve">na </w:t>
      </w:r>
      <w:r w:rsidR="002B004B" w:rsidRPr="005A4F9F">
        <w:rPr>
          <w:sz w:val="22"/>
          <w:szCs w:val="22"/>
          <w:lang w:val="sr-Latn-ME"/>
        </w:rPr>
        <w:t>tocilizuimab</w:t>
      </w:r>
      <w:r w:rsidRPr="005A4F9F">
        <w:rPr>
          <w:sz w:val="22"/>
          <w:szCs w:val="22"/>
          <w:lang w:val="sr-Latn-ME"/>
        </w:rPr>
        <w:t>, zbog pogoršanja bolesti, pacijenti su nastavljali liječenje u otvorenom produžetku studije.</w:t>
      </w:r>
    </w:p>
    <w:p w14:paraId="27A3047E" w14:textId="654CEEDF" w:rsidR="00C66563" w:rsidRPr="005A4F9F" w:rsidRDefault="00C66563">
      <w:pPr>
        <w:widowControl w:val="0"/>
        <w:jc w:val="both"/>
        <w:rPr>
          <w:rFonts w:eastAsia="SimSun"/>
          <w:sz w:val="22"/>
          <w:szCs w:val="22"/>
          <w:lang w:val="sr-Latn-ME" w:eastAsia="zh-CN"/>
        </w:rPr>
      </w:pPr>
      <w:r w:rsidRPr="005A4F9F">
        <w:rPr>
          <w:sz w:val="22"/>
          <w:szCs w:val="22"/>
          <w:lang w:val="sr-Latn-ME"/>
        </w:rPr>
        <w:t xml:space="preserve">Generalno, neželjenje reakcije kod oboljelih od sJIA bile su sličnog tipa kao kod oboljelih od RA. </w:t>
      </w:r>
      <w:r w:rsidRPr="005A4F9F">
        <w:rPr>
          <w:rFonts w:eastAsia="SimSun"/>
          <w:sz w:val="22"/>
          <w:szCs w:val="22"/>
          <w:lang w:val="sr-Latn-ME" w:eastAsia="zh-CN"/>
        </w:rPr>
        <w:t>Učestalost NRL kod pacijenata sa sJIA prikazana je u Tabeli </w:t>
      </w:r>
      <w:r w:rsidR="009943D6" w:rsidRPr="005A4F9F">
        <w:rPr>
          <w:rFonts w:eastAsia="SimSun"/>
          <w:sz w:val="22"/>
          <w:szCs w:val="22"/>
          <w:lang w:val="sr-Latn-ME" w:eastAsia="zh-CN"/>
        </w:rPr>
        <w:t>3</w:t>
      </w:r>
      <w:r w:rsidRPr="005A4F9F">
        <w:rPr>
          <w:rFonts w:eastAsia="SimSun"/>
          <w:sz w:val="22"/>
          <w:szCs w:val="22"/>
          <w:lang w:val="sr-Latn-ME" w:eastAsia="zh-CN"/>
        </w:rPr>
        <w:t>. U poređenju sa odraslom populacijom sa RA, kod pacijenata sa sJIA češće su se javljali nazofaringitis, smanjen broj neutrofila, povišene vrijednosti jetrenih transaminaza i dijareja. Povišene vrijednosti holesterola manje su često prijavljivane kod populacije sa sJIA nego kod odrasle populacije sa RA.</w:t>
      </w:r>
    </w:p>
    <w:p w14:paraId="33F027F9" w14:textId="77777777" w:rsidR="00C66563" w:rsidRPr="005A4F9F" w:rsidRDefault="00C66563">
      <w:pPr>
        <w:pStyle w:val="Header"/>
        <w:widowControl w:val="0"/>
        <w:tabs>
          <w:tab w:val="left" w:pos="284"/>
        </w:tabs>
        <w:jc w:val="both"/>
        <w:rPr>
          <w:sz w:val="22"/>
          <w:szCs w:val="22"/>
          <w:lang w:val="sr-Latn-ME"/>
        </w:rPr>
      </w:pPr>
    </w:p>
    <w:p w14:paraId="1F3A38E7" w14:textId="77777777" w:rsidR="00C66563" w:rsidRPr="005A4F9F" w:rsidRDefault="00C66563">
      <w:pPr>
        <w:widowControl w:val="0"/>
        <w:spacing w:line="252" w:lineRule="exact"/>
        <w:jc w:val="both"/>
        <w:rPr>
          <w:i/>
          <w:sz w:val="22"/>
          <w:szCs w:val="22"/>
          <w:u w:val="single"/>
          <w:lang w:val="sr-Latn-ME"/>
        </w:rPr>
      </w:pPr>
      <w:r w:rsidRPr="005A4F9F">
        <w:rPr>
          <w:i/>
          <w:sz w:val="22"/>
          <w:szCs w:val="22"/>
          <w:u w:val="single"/>
          <w:lang w:val="sr-Latn-ME"/>
        </w:rPr>
        <w:t>Infekcije</w:t>
      </w:r>
    </w:p>
    <w:p w14:paraId="17A5A74C" w14:textId="76BBDA69" w:rsidR="00C66563" w:rsidRPr="005A4F9F" w:rsidRDefault="00FC04B8">
      <w:pPr>
        <w:pStyle w:val="BodyText"/>
        <w:widowControl w:val="0"/>
        <w:spacing w:after="0"/>
        <w:jc w:val="both"/>
        <w:rPr>
          <w:sz w:val="22"/>
          <w:szCs w:val="22"/>
          <w:lang w:val="sr-Latn-ME"/>
        </w:rPr>
      </w:pPr>
      <w:r w:rsidRPr="005A4F9F">
        <w:rPr>
          <w:sz w:val="22"/>
          <w:szCs w:val="22"/>
          <w:lang w:val="sr-Latn-ME"/>
        </w:rPr>
        <w:t>Tokom</w:t>
      </w:r>
      <w:r w:rsidR="00C66563" w:rsidRPr="005A4F9F">
        <w:rPr>
          <w:sz w:val="22"/>
          <w:szCs w:val="22"/>
          <w:lang w:val="sr-Latn-ME"/>
        </w:rPr>
        <w:t xml:space="preserve"> 12- to ned</w:t>
      </w:r>
      <w:r w:rsidR="00A563B1" w:rsidRPr="005A4F9F">
        <w:rPr>
          <w:sz w:val="22"/>
          <w:szCs w:val="22"/>
          <w:lang w:val="sr-Latn-ME"/>
        </w:rPr>
        <w:t>j</w:t>
      </w:r>
      <w:r w:rsidR="00C66563" w:rsidRPr="005A4F9F">
        <w:rPr>
          <w:sz w:val="22"/>
          <w:szCs w:val="22"/>
          <w:lang w:val="sr-Latn-ME"/>
        </w:rPr>
        <w:t>elj</w:t>
      </w:r>
      <w:r w:rsidRPr="005A4F9F">
        <w:rPr>
          <w:sz w:val="22"/>
          <w:szCs w:val="22"/>
          <w:lang w:val="sr-Latn-ME"/>
        </w:rPr>
        <w:t>e</w:t>
      </w:r>
      <w:r w:rsidR="00C66563" w:rsidRPr="005A4F9F">
        <w:rPr>
          <w:sz w:val="22"/>
          <w:szCs w:val="22"/>
          <w:lang w:val="sr-Latn-ME"/>
        </w:rPr>
        <w:t xml:space="preserve"> kontrolisan</w:t>
      </w:r>
      <w:r w:rsidRPr="005A4F9F">
        <w:rPr>
          <w:sz w:val="22"/>
          <w:szCs w:val="22"/>
          <w:lang w:val="sr-Latn-ME"/>
        </w:rPr>
        <w:t>e</w:t>
      </w:r>
      <w:r w:rsidR="002B004B" w:rsidRPr="005A4F9F">
        <w:rPr>
          <w:sz w:val="22"/>
          <w:szCs w:val="22"/>
          <w:lang w:val="sr-Latn-ME"/>
        </w:rPr>
        <w:t xml:space="preserve"> </w:t>
      </w:r>
      <w:r w:rsidR="00C66563" w:rsidRPr="005A4F9F">
        <w:rPr>
          <w:sz w:val="22"/>
          <w:szCs w:val="22"/>
          <w:lang w:val="sr-Latn-ME"/>
        </w:rPr>
        <w:t>studij</w:t>
      </w:r>
      <w:r w:rsidR="002B004B" w:rsidRPr="005A4F9F">
        <w:rPr>
          <w:sz w:val="22"/>
          <w:szCs w:val="22"/>
          <w:lang w:val="sr-Latn-ME"/>
        </w:rPr>
        <w:t>e</w:t>
      </w:r>
      <w:r w:rsidR="00C66563" w:rsidRPr="005A4F9F">
        <w:rPr>
          <w:sz w:val="22"/>
          <w:szCs w:val="22"/>
          <w:lang w:val="sr-Latn-ME"/>
        </w:rPr>
        <w:t xml:space="preserve">, učestalost svih infekcija u grupi pacijenata koji su primali </w:t>
      </w:r>
      <w:r w:rsidR="002B004B" w:rsidRPr="005A4F9F">
        <w:rPr>
          <w:sz w:val="22"/>
          <w:szCs w:val="22"/>
          <w:lang w:val="sr-Latn-ME"/>
        </w:rPr>
        <w:t>tocilizumab</w:t>
      </w:r>
      <w:r w:rsidR="00380496" w:rsidRPr="005A4F9F">
        <w:rPr>
          <w:sz w:val="22"/>
          <w:szCs w:val="22"/>
          <w:lang w:val="sr-Latn-ME"/>
        </w:rPr>
        <w:t xml:space="preserve"> intravenskim putem</w:t>
      </w:r>
      <w:r w:rsidR="00C66563" w:rsidRPr="005A4F9F">
        <w:rPr>
          <w:sz w:val="22"/>
          <w:szCs w:val="22"/>
          <w:lang w:val="sr-Latn-ME"/>
        </w:rPr>
        <w:t xml:space="preserve"> je bila 344</w:t>
      </w:r>
      <w:r w:rsidRPr="005A4F9F">
        <w:rPr>
          <w:sz w:val="22"/>
          <w:szCs w:val="22"/>
          <w:lang w:val="sr-Latn-ME"/>
        </w:rPr>
        <w:t>,</w:t>
      </w:r>
      <w:r w:rsidR="00C66563" w:rsidRPr="005A4F9F">
        <w:rPr>
          <w:sz w:val="22"/>
          <w:szCs w:val="22"/>
          <w:lang w:val="sr-Latn-ME"/>
        </w:rPr>
        <w:t>7 na 100 pacijent godina, u poređenju sa 287</w:t>
      </w:r>
      <w:r w:rsidRPr="005A4F9F">
        <w:rPr>
          <w:sz w:val="22"/>
          <w:szCs w:val="22"/>
          <w:lang w:val="sr-Latn-ME"/>
        </w:rPr>
        <w:t>,</w:t>
      </w:r>
      <w:r w:rsidR="00C66563" w:rsidRPr="005A4F9F">
        <w:rPr>
          <w:sz w:val="22"/>
          <w:szCs w:val="22"/>
          <w:lang w:val="sr-Latn-ME"/>
        </w:rPr>
        <w:t xml:space="preserve">0 na 100 pacijent godina u grupi koja je primala placebo. </w:t>
      </w:r>
      <w:r w:rsidRPr="005A4F9F">
        <w:rPr>
          <w:sz w:val="22"/>
          <w:szCs w:val="22"/>
          <w:lang w:val="sr-Latn-ME"/>
        </w:rPr>
        <w:t>Tokom otvorene faze</w:t>
      </w:r>
      <w:r w:rsidR="00C66563" w:rsidRPr="005A4F9F">
        <w:rPr>
          <w:sz w:val="22"/>
          <w:szCs w:val="22"/>
          <w:lang w:val="sr-Latn-ME"/>
        </w:rPr>
        <w:t xml:space="preserve"> produžetk</w:t>
      </w:r>
      <w:r w:rsidRPr="005A4F9F">
        <w:rPr>
          <w:sz w:val="22"/>
          <w:szCs w:val="22"/>
          <w:lang w:val="sr-Latn-ME"/>
        </w:rPr>
        <w:t>a</w:t>
      </w:r>
      <w:r w:rsidR="00C66563" w:rsidRPr="005A4F9F">
        <w:rPr>
          <w:sz w:val="22"/>
          <w:szCs w:val="22"/>
          <w:lang w:val="sr-Latn-ME"/>
        </w:rPr>
        <w:t xml:space="preserve"> studije (</w:t>
      </w:r>
      <w:r w:rsidRPr="005A4F9F">
        <w:rPr>
          <w:sz w:val="22"/>
          <w:szCs w:val="22"/>
          <w:lang w:val="sr-Latn-ME"/>
        </w:rPr>
        <w:t xml:space="preserve">dijela </w:t>
      </w:r>
      <w:r w:rsidR="00C66563" w:rsidRPr="005A4F9F">
        <w:rPr>
          <w:sz w:val="22"/>
          <w:szCs w:val="22"/>
          <w:lang w:val="sr-Latn-ME"/>
        </w:rPr>
        <w:t>II), ukupna stopa infekcija je ostala slična, sa 306</w:t>
      </w:r>
      <w:r w:rsidRPr="005A4F9F">
        <w:rPr>
          <w:sz w:val="22"/>
          <w:szCs w:val="22"/>
          <w:lang w:val="sr-Latn-ME"/>
        </w:rPr>
        <w:t>,</w:t>
      </w:r>
      <w:r w:rsidR="00C66563" w:rsidRPr="005A4F9F">
        <w:rPr>
          <w:sz w:val="22"/>
          <w:szCs w:val="22"/>
          <w:lang w:val="sr-Latn-ME"/>
        </w:rPr>
        <w:t>6 na 100 pacijent godina.</w:t>
      </w:r>
    </w:p>
    <w:p w14:paraId="490FDCFC" w14:textId="1FB6D27A" w:rsidR="00C66563" w:rsidRPr="005A4F9F" w:rsidRDefault="00FC04B8">
      <w:pPr>
        <w:pStyle w:val="BodyText"/>
        <w:widowControl w:val="0"/>
        <w:spacing w:after="0"/>
        <w:jc w:val="both"/>
        <w:rPr>
          <w:sz w:val="22"/>
          <w:szCs w:val="22"/>
          <w:lang w:val="sr-Latn-ME"/>
        </w:rPr>
      </w:pPr>
      <w:r w:rsidRPr="005A4F9F">
        <w:rPr>
          <w:sz w:val="22"/>
          <w:szCs w:val="22"/>
          <w:lang w:val="sr-Latn-ME"/>
        </w:rPr>
        <w:t>Tokom</w:t>
      </w:r>
      <w:r w:rsidR="00C66563" w:rsidRPr="005A4F9F">
        <w:rPr>
          <w:sz w:val="22"/>
          <w:szCs w:val="22"/>
          <w:lang w:val="sr-Latn-ME"/>
        </w:rPr>
        <w:t xml:space="preserve"> 12- to ned</w:t>
      </w:r>
      <w:r w:rsidR="00A563B1" w:rsidRPr="005A4F9F">
        <w:rPr>
          <w:sz w:val="22"/>
          <w:szCs w:val="22"/>
          <w:lang w:val="sr-Latn-ME"/>
        </w:rPr>
        <w:t>j</w:t>
      </w:r>
      <w:r w:rsidR="00C66563" w:rsidRPr="005A4F9F">
        <w:rPr>
          <w:sz w:val="22"/>
          <w:szCs w:val="22"/>
          <w:lang w:val="sr-Latn-ME"/>
        </w:rPr>
        <w:t>eljn</w:t>
      </w:r>
      <w:r w:rsidRPr="005A4F9F">
        <w:rPr>
          <w:sz w:val="22"/>
          <w:szCs w:val="22"/>
          <w:lang w:val="sr-Latn-ME"/>
        </w:rPr>
        <w:t>e</w:t>
      </w:r>
      <w:r w:rsidR="00C66563" w:rsidRPr="005A4F9F">
        <w:rPr>
          <w:sz w:val="22"/>
          <w:szCs w:val="22"/>
          <w:lang w:val="sr-Latn-ME"/>
        </w:rPr>
        <w:t xml:space="preserve"> kontrolisan</w:t>
      </w:r>
      <w:r w:rsidRPr="005A4F9F">
        <w:rPr>
          <w:sz w:val="22"/>
          <w:szCs w:val="22"/>
          <w:lang w:val="sr-Latn-ME"/>
        </w:rPr>
        <w:t>e</w:t>
      </w:r>
      <w:r w:rsidR="00C66563" w:rsidRPr="005A4F9F">
        <w:rPr>
          <w:sz w:val="22"/>
          <w:szCs w:val="22"/>
          <w:lang w:val="sr-Latn-ME"/>
        </w:rPr>
        <w:t xml:space="preserve"> studij</w:t>
      </w:r>
      <w:r w:rsidRPr="005A4F9F">
        <w:rPr>
          <w:sz w:val="22"/>
          <w:szCs w:val="22"/>
          <w:lang w:val="sr-Latn-ME"/>
        </w:rPr>
        <w:t>e</w:t>
      </w:r>
      <w:r w:rsidR="00C66563" w:rsidRPr="005A4F9F">
        <w:rPr>
          <w:sz w:val="22"/>
          <w:szCs w:val="22"/>
          <w:lang w:val="sr-Latn-ME"/>
        </w:rPr>
        <w:t xml:space="preserve">, učestalost ozbiljnih infekcija u grupi pacijenata koja je primala </w:t>
      </w:r>
      <w:r w:rsidR="002B004B" w:rsidRPr="005A4F9F">
        <w:rPr>
          <w:sz w:val="22"/>
          <w:szCs w:val="22"/>
          <w:lang w:val="sr-Latn-ME"/>
        </w:rPr>
        <w:t>tocilizumab</w:t>
      </w:r>
      <w:r w:rsidR="00380496" w:rsidRPr="005A4F9F">
        <w:rPr>
          <w:sz w:val="22"/>
          <w:szCs w:val="22"/>
          <w:lang w:val="sr-Latn-ME"/>
        </w:rPr>
        <w:t xml:space="preserve"> intravenskim putem </w:t>
      </w:r>
      <w:r w:rsidR="00C66563" w:rsidRPr="005A4F9F">
        <w:rPr>
          <w:sz w:val="22"/>
          <w:szCs w:val="22"/>
          <w:lang w:val="sr-Latn-ME"/>
        </w:rPr>
        <w:t xml:space="preserve">je bila 11.5 na 100 pacijent godina. Tokom jedne godine otvorenog produžetka studije, ukupna učestalost ozbilnih infekcija je ostala </w:t>
      </w:r>
      <w:r w:rsidRPr="005A4F9F">
        <w:rPr>
          <w:sz w:val="22"/>
          <w:szCs w:val="22"/>
          <w:lang w:val="sr-Latn-ME"/>
        </w:rPr>
        <w:t xml:space="preserve">na </w:t>
      </w:r>
      <w:r w:rsidR="00C66563" w:rsidRPr="005A4F9F">
        <w:rPr>
          <w:sz w:val="22"/>
          <w:szCs w:val="22"/>
          <w:lang w:val="sr-Latn-ME"/>
        </w:rPr>
        <w:t>stabiln</w:t>
      </w:r>
      <w:r w:rsidRPr="005A4F9F">
        <w:rPr>
          <w:sz w:val="22"/>
          <w:szCs w:val="22"/>
          <w:lang w:val="sr-Latn-ME"/>
        </w:rPr>
        <w:t xml:space="preserve">om nivou </w:t>
      </w:r>
      <w:r w:rsidR="00C66563" w:rsidRPr="005A4F9F">
        <w:rPr>
          <w:sz w:val="22"/>
          <w:szCs w:val="22"/>
          <w:lang w:val="sr-Latn-ME"/>
        </w:rPr>
        <w:t>sa 11.3 na 100 pacijent godina. Prijavljene ozbiljne infekcije su bile slične kao kod oboljelih od RA, uz dodatnu pojavu varičele i zapaljenja srednjeg uha.</w:t>
      </w:r>
    </w:p>
    <w:p w14:paraId="1D9EC925" w14:textId="77777777" w:rsidR="00542633" w:rsidRPr="005A4F9F" w:rsidRDefault="00542633">
      <w:pPr>
        <w:widowControl w:val="0"/>
        <w:jc w:val="both"/>
        <w:rPr>
          <w:i/>
          <w:sz w:val="22"/>
          <w:szCs w:val="22"/>
          <w:u w:val="single"/>
          <w:lang w:val="sr-Latn-ME"/>
        </w:rPr>
      </w:pPr>
    </w:p>
    <w:p w14:paraId="009D893E" w14:textId="62101266" w:rsidR="00C66563" w:rsidRPr="005A4F9F" w:rsidRDefault="00C66563">
      <w:pPr>
        <w:widowControl w:val="0"/>
        <w:jc w:val="both"/>
        <w:rPr>
          <w:i/>
          <w:sz w:val="22"/>
          <w:szCs w:val="22"/>
          <w:u w:val="single"/>
          <w:lang w:val="sr-Latn-ME"/>
        </w:rPr>
      </w:pPr>
      <w:r w:rsidRPr="005A4F9F">
        <w:rPr>
          <w:i/>
          <w:sz w:val="22"/>
          <w:szCs w:val="22"/>
          <w:u w:val="single"/>
          <w:lang w:val="sr-Latn-ME"/>
        </w:rPr>
        <w:t xml:space="preserve">Reakcije </w:t>
      </w:r>
      <w:r w:rsidR="00BF249E" w:rsidRPr="005A4F9F">
        <w:rPr>
          <w:i/>
          <w:sz w:val="22"/>
          <w:szCs w:val="22"/>
          <w:u w:val="single"/>
          <w:lang w:val="sr-Latn-ME"/>
        </w:rPr>
        <w:t>povezane sa infuzijom</w:t>
      </w:r>
    </w:p>
    <w:p w14:paraId="36A6ACE5" w14:textId="723B89CF" w:rsidR="00C66563" w:rsidRPr="005A4F9F" w:rsidRDefault="00C66563">
      <w:pPr>
        <w:pStyle w:val="BodyText"/>
        <w:widowControl w:val="0"/>
        <w:spacing w:after="0"/>
        <w:jc w:val="both"/>
        <w:rPr>
          <w:sz w:val="22"/>
          <w:szCs w:val="22"/>
          <w:lang w:val="sr-Latn-ME"/>
        </w:rPr>
      </w:pPr>
      <w:r w:rsidRPr="005A4F9F">
        <w:rPr>
          <w:sz w:val="22"/>
          <w:szCs w:val="22"/>
          <w:lang w:val="sr-Latn-ME"/>
        </w:rPr>
        <w:t xml:space="preserve">Reakcije povezane sa infuzijom se definišu kao svi događaji koji se pojave </w:t>
      </w:r>
      <w:r w:rsidR="00D850C8" w:rsidRPr="005A4F9F">
        <w:rPr>
          <w:sz w:val="22"/>
          <w:szCs w:val="22"/>
          <w:lang w:val="sr-Latn-ME"/>
        </w:rPr>
        <w:t xml:space="preserve">tokom infuzije ili u roku od </w:t>
      </w:r>
      <w:r w:rsidRPr="005A4F9F">
        <w:rPr>
          <w:sz w:val="22"/>
          <w:szCs w:val="22"/>
          <w:lang w:val="sr-Latn-ME"/>
        </w:rPr>
        <w:t>24 sata nakon infuzije. U 12- to ned</w:t>
      </w:r>
      <w:r w:rsidR="00A563B1" w:rsidRPr="005A4F9F">
        <w:rPr>
          <w:sz w:val="22"/>
          <w:szCs w:val="22"/>
          <w:lang w:val="sr-Latn-ME"/>
        </w:rPr>
        <w:t>j</w:t>
      </w:r>
      <w:r w:rsidRPr="005A4F9F">
        <w:rPr>
          <w:sz w:val="22"/>
          <w:szCs w:val="22"/>
          <w:lang w:val="sr-Latn-ME"/>
        </w:rPr>
        <w:t>eljnoj kontrolisanoj studiji, 4% pacijenata iz grupe koja je primala tocilizumab imala je pomenute događaje koji su se javili tokom infuzije. Jedan događaj (angioedem) je smatran ozbiljnim i životno ugrožavajućim i pacijent je isključen iz studije.</w:t>
      </w:r>
    </w:p>
    <w:p w14:paraId="3343AED3" w14:textId="7927C2C0" w:rsidR="00C66563" w:rsidRPr="005A4F9F" w:rsidRDefault="00C66563">
      <w:pPr>
        <w:pStyle w:val="BodyText"/>
        <w:widowControl w:val="0"/>
        <w:spacing w:after="0"/>
        <w:jc w:val="both"/>
        <w:rPr>
          <w:sz w:val="22"/>
          <w:szCs w:val="22"/>
          <w:lang w:val="sr-Latn-ME"/>
        </w:rPr>
      </w:pPr>
      <w:r w:rsidRPr="005A4F9F">
        <w:rPr>
          <w:sz w:val="22"/>
          <w:szCs w:val="22"/>
          <w:lang w:val="sr-Latn-ME"/>
        </w:rPr>
        <w:t>U 12- to ned</w:t>
      </w:r>
      <w:r w:rsidR="00A563B1" w:rsidRPr="005A4F9F">
        <w:rPr>
          <w:sz w:val="22"/>
          <w:szCs w:val="22"/>
          <w:lang w:val="sr-Latn-ME"/>
        </w:rPr>
        <w:t>j</w:t>
      </w:r>
      <w:r w:rsidRPr="005A4F9F">
        <w:rPr>
          <w:sz w:val="22"/>
          <w:szCs w:val="22"/>
          <w:lang w:val="sr-Latn-ME"/>
        </w:rPr>
        <w:t xml:space="preserve">eljnoj kontrolisanoj studiji, 16% pacijenata iz grupe koja je primala tocilizumab i 5.4% pacijenata iz grupe koja je primala placebo, imala je događaje koji su se javili 24 sata nakon infuzije. U grupi koja je primala tocilizumab </w:t>
      </w:r>
      <w:r w:rsidR="00D850C8" w:rsidRPr="005A4F9F">
        <w:rPr>
          <w:sz w:val="22"/>
          <w:szCs w:val="22"/>
          <w:lang w:val="sr-Latn-ME"/>
        </w:rPr>
        <w:t xml:space="preserve">neželjeni </w:t>
      </w:r>
      <w:r w:rsidRPr="005A4F9F">
        <w:rPr>
          <w:sz w:val="22"/>
          <w:szCs w:val="22"/>
          <w:lang w:val="sr-Latn-ME"/>
        </w:rPr>
        <w:t xml:space="preserve">događaji su uključivali, </w:t>
      </w:r>
      <w:r w:rsidR="00D850C8" w:rsidRPr="005A4F9F">
        <w:rPr>
          <w:sz w:val="22"/>
          <w:szCs w:val="22"/>
          <w:lang w:val="sr-Latn-ME"/>
        </w:rPr>
        <w:t>uz ostala</w:t>
      </w:r>
      <w:r w:rsidRPr="005A4F9F">
        <w:rPr>
          <w:sz w:val="22"/>
          <w:szCs w:val="22"/>
          <w:lang w:val="sr-Latn-ME"/>
        </w:rPr>
        <w:t xml:space="preserve"> osip, urtikariju, dijareju, neprijatan osećaj u epigastrijumu, artralgiju i glavobolju. Jedan od ovih </w:t>
      </w:r>
      <w:r w:rsidR="00D850C8" w:rsidRPr="005A4F9F">
        <w:rPr>
          <w:sz w:val="22"/>
          <w:szCs w:val="22"/>
          <w:lang w:val="sr-Latn-ME"/>
        </w:rPr>
        <w:t xml:space="preserve">neželjenih </w:t>
      </w:r>
      <w:r w:rsidRPr="005A4F9F">
        <w:rPr>
          <w:sz w:val="22"/>
          <w:szCs w:val="22"/>
          <w:lang w:val="sr-Latn-ME"/>
        </w:rPr>
        <w:t>događaja, urtikarija, se smatra ozbiljnim.</w:t>
      </w:r>
    </w:p>
    <w:p w14:paraId="4696AD98" w14:textId="77777777" w:rsidR="00C66563" w:rsidRPr="005A4F9F" w:rsidRDefault="00C66563">
      <w:pPr>
        <w:pStyle w:val="BodyText"/>
        <w:widowControl w:val="0"/>
        <w:spacing w:after="0"/>
        <w:jc w:val="both"/>
        <w:rPr>
          <w:sz w:val="22"/>
          <w:szCs w:val="22"/>
          <w:lang w:val="sr-Latn-ME"/>
        </w:rPr>
      </w:pPr>
      <w:r w:rsidRPr="005A4F9F">
        <w:rPr>
          <w:sz w:val="22"/>
          <w:szCs w:val="22"/>
          <w:lang w:val="sr-Latn-ME"/>
        </w:rPr>
        <w:t>Klinički značajne reakcije hipersenzitivnosti povezane sa prim</w:t>
      </w:r>
      <w:r w:rsidR="00D850C8" w:rsidRPr="005A4F9F">
        <w:rPr>
          <w:sz w:val="22"/>
          <w:szCs w:val="22"/>
          <w:lang w:val="sr-Latn-ME"/>
        </w:rPr>
        <w:t>j</w:t>
      </w:r>
      <w:r w:rsidRPr="005A4F9F">
        <w:rPr>
          <w:sz w:val="22"/>
          <w:szCs w:val="22"/>
          <w:lang w:val="sr-Latn-ME"/>
        </w:rPr>
        <w:t>enom tocilizumaba, koje su zaht</w:t>
      </w:r>
      <w:r w:rsidR="00D850C8" w:rsidRPr="005A4F9F">
        <w:rPr>
          <w:sz w:val="22"/>
          <w:szCs w:val="22"/>
          <w:lang w:val="sr-Latn-ME"/>
        </w:rPr>
        <w:t>i</w:t>
      </w:r>
      <w:r w:rsidRPr="005A4F9F">
        <w:rPr>
          <w:sz w:val="22"/>
          <w:szCs w:val="22"/>
          <w:lang w:val="sr-Latn-ME"/>
        </w:rPr>
        <w:t>jevale obustavu terapije, prijavljene su kod 1 od 112 pacijenata (&lt; 1%) koji su primali tocilizumab tokom kontrolisane studije, uključujući i otvoreni produžetak studije.</w:t>
      </w:r>
    </w:p>
    <w:p w14:paraId="56300AE2" w14:textId="77777777" w:rsidR="00542633" w:rsidRPr="005A4F9F" w:rsidRDefault="00542633">
      <w:pPr>
        <w:widowControl w:val="0"/>
        <w:jc w:val="both"/>
        <w:rPr>
          <w:i/>
          <w:sz w:val="22"/>
          <w:szCs w:val="22"/>
          <w:u w:val="single"/>
          <w:lang w:val="sr-Latn-ME"/>
        </w:rPr>
      </w:pPr>
    </w:p>
    <w:p w14:paraId="1D8E6B00" w14:textId="06506B46" w:rsidR="00C66563" w:rsidRPr="005A4F9F" w:rsidRDefault="00C66563">
      <w:pPr>
        <w:widowControl w:val="0"/>
        <w:jc w:val="both"/>
        <w:rPr>
          <w:i/>
          <w:sz w:val="22"/>
          <w:szCs w:val="22"/>
          <w:u w:val="single"/>
          <w:lang w:val="sr-Latn-ME"/>
        </w:rPr>
      </w:pPr>
      <w:r w:rsidRPr="005A4F9F">
        <w:rPr>
          <w:i/>
          <w:sz w:val="22"/>
          <w:szCs w:val="22"/>
          <w:u w:val="single"/>
          <w:lang w:val="sr-Latn-ME"/>
        </w:rPr>
        <w:t>Imunogenost</w:t>
      </w:r>
    </w:p>
    <w:p w14:paraId="7BAB9D1D" w14:textId="43B54E30" w:rsidR="00C66563" w:rsidRPr="005A4F9F" w:rsidRDefault="00C66563">
      <w:pPr>
        <w:pStyle w:val="BodyText"/>
        <w:widowControl w:val="0"/>
        <w:spacing w:after="0"/>
        <w:jc w:val="both"/>
        <w:rPr>
          <w:sz w:val="22"/>
          <w:szCs w:val="22"/>
          <w:lang w:val="sr-Latn-ME"/>
        </w:rPr>
      </w:pPr>
      <w:r w:rsidRPr="005A4F9F">
        <w:rPr>
          <w:sz w:val="22"/>
          <w:szCs w:val="22"/>
          <w:lang w:val="sr-Latn-ME"/>
        </w:rPr>
        <w:t xml:space="preserve">Svih 112 pacijenata je na početku testirano na anti-tocilizumab antitjela. Dva pacijenta su razvila anti- tocilizumab antitijela, a jedan od ovih pacijenata je imao hipersenzitivnu reakciju, koja je dovela do isključenja terapije. Moguće je da je incidencija pojave anti- tocilizumab antitijela potcijenjena, zbog toga što tocilizumab ometa ispitivanje, i zbog viših koncentracija </w:t>
      </w:r>
      <w:r w:rsidR="002B004B" w:rsidRPr="005A4F9F">
        <w:rPr>
          <w:sz w:val="22"/>
          <w:szCs w:val="22"/>
          <w:lang w:val="sr-Latn-ME"/>
        </w:rPr>
        <w:t>tocilizumaba</w:t>
      </w:r>
      <w:r w:rsidRPr="005A4F9F">
        <w:rPr>
          <w:sz w:val="22"/>
          <w:szCs w:val="22"/>
          <w:lang w:val="sr-Latn-ME"/>
        </w:rPr>
        <w:t xml:space="preserve"> kod djece u odnosu na odrasle.</w:t>
      </w:r>
    </w:p>
    <w:p w14:paraId="7F1F5EEF" w14:textId="77777777" w:rsidR="00542633" w:rsidRPr="005A4F9F" w:rsidRDefault="00542633">
      <w:pPr>
        <w:widowControl w:val="0"/>
        <w:spacing w:line="252" w:lineRule="exact"/>
        <w:jc w:val="both"/>
        <w:rPr>
          <w:i/>
          <w:sz w:val="22"/>
          <w:szCs w:val="22"/>
          <w:u w:val="single"/>
          <w:lang w:val="sr-Latn-ME"/>
        </w:rPr>
      </w:pPr>
    </w:p>
    <w:p w14:paraId="01B751A2" w14:textId="05573F2D" w:rsidR="00C66563" w:rsidRPr="005A4F9F" w:rsidRDefault="00C66563">
      <w:pPr>
        <w:widowControl w:val="0"/>
        <w:spacing w:line="252" w:lineRule="exact"/>
        <w:jc w:val="both"/>
        <w:rPr>
          <w:i/>
          <w:sz w:val="22"/>
          <w:szCs w:val="22"/>
          <w:u w:val="single"/>
          <w:lang w:val="sr-Latn-ME"/>
        </w:rPr>
      </w:pPr>
      <w:r w:rsidRPr="005A4F9F">
        <w:rPr>
          <w:i/>
          <w:sz w:val="22"/>
          <w:szCs w:val="22"/>
          <w:u w:val="single"/>
          <w:lang w:val="sr-Latn-ME"/>
        </w:rPr>
        <w:t>Neutrofili</w:t>
      </w:r>
    </w:p>
    <w:p w14:paraId="70C35D22" w14:textId="4AB21FCF" w:rsidR="00C66563" w:rsidRPr="005A4F9F" w:rsidRDefault="00C66563">
      <w:pPr>
        <w:pStyle w:val="BodyText"/>
        <w:widowControl w:val="0"/>
        <w:spacing w:after="0" w:line="228" w:lineRule="auto"/>
        <w:jc w:val="both"/>
        <w:rPr>
          <w:sz w:val="22"/>
          <w:szCs w:val="22"/>
          <w:lang w:val="sr-Latn-ME"/>
        </w:rPr>
      </w:pPr>
      <w:r w:rsidRPr="005A4F9F">
        <w:rPr>
          <w:sz w:val="22"/>
          <w:szCs w:val="22"/>
          <w:lang w:val="sr-Latn-ME"/>
        </w:rPr>
        <w:t>Tokom rutinskog praćenja laboratorijskih rezultata u 12-to ned</w:t>
      </w:r>
      <w:r w:rsidR="00A563B1" w:rsidRPr="005A4F9F">
        <w:rPr>
          <w:sz w:val="22"/>
          <w:szCs w:val="22"/>
          <w:lang w:val="sr-Latn-ME"/>
        </w:rPr>
        <w:t>j</w:t>
      </w:r>
      <w:r w:rsidRPr="005A4F9F">
        <w:rPr>
          <w:sz w:val="22"/>
          <w:szCs w:val="22"/>
          <w:lang w:val="sr-Latn-ME"/>
        </w:rPr>
        <w:t>eljnoj kontrolisanoj studiji, primijećeno je smanjenje broja neutrofila ispod 1x10</w:t>
      </w:r>
      <w:r w:rsidRPr="005A4F9F">
        <w:rPr>
          <w:sz w:val="22"/>
          <w:szCs w:val="22"/>
          <w:vertAlign w:val="superscript"/>
          <w:lang w:val="sr-Latn-ME"/>
        </w:rPr>
        <w:t>9</w:t>
      </w:r>
      <w:r w:rsidRPr="005A4F9F">
        <w:rPr>
          <w:sz w:val="22"/>
          <w:szCs w:val="22"/>
          <w:lang w:val="sr-Latn-ME"/>
        </w:rPr>
        <w:t>/l kod 7% pacijenata u grupi koja je primala tocilizumab, a nije bilo smanjenja u grupi koja je primala placebo.</w:t>
      </w:r>
    </w:p>
    <w:p w14:paraId="11D8E4C8" w14:textId="77777777" w:rsidR="00C66563" w:rsidRPr="005A4F9F" w:rsidRDefault="00C66563">
      <w:pPr>
        <w:pStyle w:val="BodyText"/>
        <w:widowControl w:val="0"/>
        <w:spacing w:after="0" w:line="228" w:lineRule="auto"/>
        <w:jc w:val="both"/>
        <w:rPr>
          <w:sz w:val="22"/>
          <w:szCs w:val="22"/>
          <w:lang w:val="sr-Latn-ME"/>
        </w:rPr>
      </w:pPr>
      <w:r w:rsidRPr="005A4F9F">
        <w:rPr>
          <w:sz w:val="22"/>
          <w:szCs w:val="22"/>
          <w:lang w:val="sr-Latn-ME"/>
        </w:rPr>
        <w:t>U otvorenom produžetku studije, primijećeno je smanjenje broja neutrofila ispod 1x10</w:t>
      </w:r>
      <w:r w:rsidRPr="005A4F9F">
        <w:rPr>
          <w:sz w:val="22"/>
          <w:szCs w:val="22"/>
          <w:vertAlign w:val="superscript"/>
          <w:lang w:val="sr-Latn-ME"/>
        </w:rPr>
        <w:t>9</w:t>
      </w:r>
      <w:r w:rsidRPr="005A4F9F">
        <w:rPr>
          <w:sz w:val="22"/>
          <w:szCs w:val="22"/>
          <w:lang w:val="sr-Latn-ME"/>
        </w:rPr>
        <w:t xml:space="preserve">/l kod 15% pacijenata u grupi koja je primala tocilizumab. </w:t>
      </w:r>
    </w:p>
    <w:p w14:paraId="59C63947" w14:textId="77777777" w:rsidR="00542633" w:rsidRPr="005A4F9F" w:rsidRDefault="00542633">
      <w:pPr>
        <w:widowControl w:val="0"/>
        <w:jc w:val="both"/>
        <w:rPr>
          <w:i/>
          <w:sz w:val="22"/>
          <w:szCs w:val="22"/>
          <w:u w:val="single"/>
          <w:lang w:val="sr-Latn-ME"/>
        </w:rPr>
      </w:pPr>
    </w:p>
    <w:p w14:paraId="48CD87C6" w14:textId="0E9A8AA9" w:rsidR="00C66563" w:rsidRPr="005A4F9F" w:rsidRDefault="00C66563">
      <w:pPr>
        <w:widowControl w:val="0"/>
        <w:jc w:val="both"/>
        <w:rPr>
          <w:i/>
          <w:sz w:val="22"/>
          <w:szCs w:val="22"/>
          <w:u w:val="single"/>
          <w:lang w:val="sr-Latn-ME"/>
        </w:rPr>
      </w:pPr>
      <w:r w:rsidRPr="005A4F9F">
        <w:rPr>
          <w:i/>
          <w:sz w:val="22"/>
          <w:szCs w:val="22"/>
          <w:u w:val="single"/>
          <w:lang w:val="sr-Latn-ME"/>
        </w:rPr>
        <w:t>Trombociti</w:t>
      </w:r>
    </w:p>
    <w:p w14:paraId="0FDE9CD6" w14:textId="151BAB64" w:rsidR="00C66563" w:rsidRPr="005A4F9F" w:rsidRDefault="00C66563">
      <w:pPr>
        <w:pStyle w:val="BodyText"/>
        <w:widowControl w:val="0"/>
        <w:spacing w:after="0"/>
        <w:jc w:val="both"/>
        <w:rPr>
          <w:sz w:val="22"/>
          <w:szCs w:val="22"/>
          <w:lang w:val="sr-Latn-ME"/>
        </w:rPr>
      </w:pPr>
      <w:r w:rsidRPr="005A4F9F">
        <w:rPr>
          <w:sz w:val="22"/>
          <w:szCs w:val="22"/>
          <w:lang w:val="sr-Latn-ME"/>
        </w:rPr>
        <w:t>Tokom rutinskog praćenja laboratorijskih rezultata u 12-to ned</w:t>
      </w:r>
      <w:r w:rsidR="00A563B1" w:rsidRPr="005A4F9F">
        <w:rPr>
          <w:sz w:val="22"/>
          <w:szCs w:val="22"/>
          <w:lang w:val="sr-Latn-ME"/>
        </w:rPr>
        <w:t>j</w:t>
      </w:r>
      <w:r w:rsidRPr="005A4F9F">
        <w:rPr>
          <w:sz w:val="22"/>
          <w:szCs w:val="22"/>
          <w:lang w:val="sr-Latn-ME"/>
        </w:rPr>
        <w:t>eljnoj kontrolisanoj studiji, 3% pacijenata u grupi koja je primala placebo i 1% pacijenata u grupi koja je primala tocilizumab imalo je smanjenje broja trombocita za ≤ 100 x 103/</w:t>
      </w:r>
      <w:r w:rsidRPr="005A4F9F">
        <w:rPr>
          <w:spacing w:val="-3"/>
          <w:sz w:val="22"/>
          <w:szCs w:val="22"/>
          <w:lang w:val="sr-Latn-ME"/>
        </w:rPr>
        <w:t xml:space="preserve"> </w:t>
      </w:r>
      <w:r w:rsidRPr="005A4F9F">
        <w:rPr>
          <w:spacing w:val="5"/>
          <w:sz w:val="22"/>
          <w:szCs w:val="22"/>
          <w:lang w:val="sr-Latn-ME"/>
        </w:rPr>
        <w:t>µl</w:t>
      </w:r>
      <w:r w:rsidR="00FC0C8D" w:rsidRPr="005A4F9F">
        <w:rPr>
          <w:spacing w:val="5"/>
          <w:sz w:val="22"/>
          <w:szCs w:val="22"/>
          <w:lang w:val="sr-Latn-ME"/>
        </w:rPr>
        <w:t>.</w:t>
      </w:r>
    </w:p>
    <w:p w14:paraId="6A33726A" w14:textId="77777777" w:rsidR="00C66563" w:rsidRPr="005A4F9F" w:rsidRDefault="00C66563">
      <w:pPr>
        <w:pStyle w:val="BodyText"/>
        <w:widowControl w:val="0"/>
        <w:spacing w:after="0"/>
        <w:jc w:val="both"/>
        <w:rPr>
          <w:sz w:val="22"/>
          <w:szCs w:val="22"/>
          <w:lang w:val="sr-Latn-ME"/>
        </w:rPr>
      </w:pPr>
      <w:r w:rsidRPr="005A4F9F">
        <w:rPr>
          <w:sz w:val="22"/>
          <w:szCs w:val="22"/>
          <w:lang w:val="sr-Latn-ME"/>
        </w:rPr>
        <w:t>U otvorenom produžetku studije, smanjenja u broju trombocita ispod 100 x 10</w:t>
      </w:r>
      <w:r w:rsidRPr="005A4F9F">
        <w:rPr>
          <w:sz w:val="22"/>
          <w:szCs w:val="22"/>
          <w:vertAlign w:val="superscript"/>
          <w:lang w:val="sr-Latn-ME"/>
        </w:rPr>
        <w:t>3</w:t>
      </w:r>
      <w:r w:rsidRPr="005A4F9F">
        <w:rPr>
          <w:sz w:val="22"/>
          <w:szCs w:val="22"/>
          <w:lang w:val="sr-Latn-ME"/>
        </w:rPr>
        <w:t>/ µl javilo se kod</w:t>
      </w:r>
      <w:r w:rsidR="00965C22" w:rsidRPr="005A4F9F">
        <w:rPr>
          <w:sz w:val="22"/>
          <w:szCs w:val="22"/>
          <w:lang w:val="sr-Latn-ME"/>
        </w:rPr>
        <w:t xml:space="preserve"> </w:t>
      </w:r>
      <w:r w:rsidRPr="005A4F9F">
        <w:rPr>
          <w:sz w:val="22"/>
          <w:szCs w:val="22"/>
          <w:lang w:val="sr-Latn-ME"/>
        </w:rPr>
        <w:t>3% pacijenata u grupi koja je primala tocilizumab, bez prateće pojave krvarenja.</w:t>
      </w:r>
    </w:p>
    <w:p w14:paraId="6B643E35" w14:textId="77777777" w:rsidR="00542633" w:rsidRPr="005A4F9F" w:rsidRDefault="00542633">
      <w:pPr>
        <w:widowControl w:val="0"/>
        <w:spacing w:line="252" w:lineRule="exact"/>
        <w:jc w:val="both"/>
        <w:rPr>
          <w:i/>
          <w:sz w:val="22"/>
          <w:szCs w:val="22"/>
          <w:u w:val="single"/>
          <w:lang w:val="sr-Latn-ME"/>
        </w:rPr>
      </w:pPr>
    </w:p>
    <w:p w14:paraId="52B940F2" w14:textId="6BF32F23" w:rsidR="00C66563" w:rsidRPr="005A4F9F" w:rsidRDefault="00C66563">
      <w:pPr>
        <w:widowControl w:val="0"/>
        <w:spacing w:line="252" w:lineRule="exact"/>
        <w:jc w:val="both"/>
        <w:rPr>
          <w:i/>
          <w:sz w:val="22"/>
          <w:szCs w:val="22"/>
          <w:u w:val="single"/>
          <w:lang w:val="sr-Latn-ME"/>
        </w:rPr>
      </w:pPr>
      <w:r w:rsidRPr="005A4F9F">
        <w:rPr>
          <w:i/>
          <w:sz w:val="22"/>
          <w:szCs w:val="22"/>
          <w:u w:val="single"/>
          <w:lang w:val="sr-Latn-ME"/>
        </w:rPr>
        <w:t>Povećanje vrijednosti transaminaza jetre</w:t>
      </w:r>
    </w:p>
    <w:p w14:paraId="27FD6818" w14:textId="58B66BF3" w:rsidR="00C66563" w:rsidRPr="005A4F9F" w:rsidRDefault="00C66563">
      <w:pPr>
        <w:pStyle w:val="BodyText"/>
        <w:widowControl w:val="0"/>
        <w:spacing w:after="0"/>
        <w:jc w:val="both"/>
        <w:rPr>
          <w:sz w:val="22"/>
          <w:szCs w:val="22"/>
          <w:lang w:val="sr-Latn-ME"/>
        </w:rPr>
      </w:pPr>
      <w:r w:rsidRPr="005A4F9F">
        <w:rPr>
          <w:sz w:val="22"/>
          <w:szCs w:val="22"/>
          <w:lang w:val="sr-Latn-ME"/>
        </w:rPr>
        <w:t>Tokom rutinskog praćenja laboratorijskih rezultata u 12-</w:t>
      </w:r>
      <w:r w:rsidR="00FC0C8D" w:rsidRPr="005A4F9F">
        <w:rPr>
          <w:sz w:val="22"/>
          <w:szCs w:val="22"/>
          <w:lang w:val="sr-Latn-ME"/>
        </w:rPr>
        <w:t xml:space="preserve"> </w:t>
      </w:r>
      <w:r w:rsidRPr="005A4F9F">
        <w:rPr>
          <w:sz w:val="22"/>
          <w:szCs w:val="22"/>
          <w:lang w:val="sr-Latn-ME"/>
        </w:rPr>
        <w:t>to ned</w:t>
      </w:r>
      <w:r w:rsidR="00A563B1" w:rsidRPr="005A4F9F">
        <w:rPr>
          <w:sz w:val="22"/>
          <w:szCs w:val="22"/>
          <w:lang w:val="sr-Latn-ME"/>
        </w:rPr>
        <w:t>j</w:t>
      </w:r>
      <w:r w:rsidRPr="005A4F9F">
        <w:rPr>
          <w:sz w:val="22"/>
          <w:szCs w:val="22"/>
          <w:lang w:val="sr-Latn-ME"/>
        </w:rPr>
        <w:t>eljnoj kontrolisanoj fazi, povišen nivo ALT i AST &gt;</w:t>
      </w:r>
      <w:r w:rsidR="002B004B" w:rsidRPr="005A4F9F">
        <w:rPr>
          <w:sz w:val="22"/>
          <w:szCs w:val="22"/>
          <w:lang w:val="sr-Latn-ME"/>
        </w:rPr>
        <w:t xml:space="preserve"> </w:t>
      </w:r>
      <w:r w:rsidRPr="005A4F9F">
        <w:rPr>
          <w:sz w:val="22"/>
          <w:szCs w:val="22"/>
          <w:lang w:val="sr-Latn-ME"/>
        </w:rPr>
        <w:t xml:space="preserve">3 x iznad gornje granice javilo se kod 5% </w:t>
      </w:r>
      <w:r w:rsidR="00FC0C8D" w:rsidRPr="005A4F9F">
        <w:rPr>
          <w:sz w:val="22"/>
          <w:szCs w:val="22"/>
          <w:lang w:val="sr-Latn-ME"/>
        </w:rPr>
        <w:t>tj</w:t>
      </w:r>
      <w:r w:rsidRPr="005A4F9F">
        <w:rPr>
          <w:sz w:val="22"/>
          <w:szCs w:val="22"/>
          <w:lang w:val="sr-Latn-ME"/>
        </w:rPr>
        <w:t xml:space="preserve"> 3 % pacijenata, </w:t>
      </w:r>
      <w:r w:rsidR="00FC0C8D" w:rsidRPr="005A4F9F">
        <w:rPr>
          <w:sz w:val="22"/>
          <w:szCs w:val="22"/>
          <w:lang w:val="sr-Latn-ME"/>
        </w:rPr>
        <w:t>redom</w:t>
      </w:r>
      <w:r w:rsidRPr="005A4F9F">
        <w:rPr>
          <w:sz w:val="22"/>
          <w:szCs w:val="22"/>
          <w:lang w:val="sr-Latn-ME"/>
        </w:rPr>
        <w:t>, u grupi koja je primala tocilizumab i kod 0% u grupi koja je primala placebo.</w:t>
      </w:r>
    </w:p>
    <w:p w14:paraId="3F8F34F0" w14:textId="49270E31" w:rsidR="00C66563" w:rsidRPr="005A4F9F" w:rsidRDefault="00C66563">
      <w:pPr>
        <w:pStyle w:val="BodyText"/>
        <w:widowControl w:val="0"/>
        <w:spacing w:after="0"/>
        <w:jc w:val="both"/>
        <w:rPr>
          <w:sz w:val="22"/>
          <w:szCs w:val="22"/>
          <w:lang w:val="sr-Latn-ME"/>
        </w:rPr>
      </w:pPr>
      <w:r w:rsidRPr="005A4F9F">
        <w:rPr>
          <w:sz w:val="22"/>
          <w:szCs w:val="22"/>
          <w:lang w:val="sr-Latn-ME"/>
        </w:rPr>
        <w:t>U otvorenom produžetku studije povišen nivo ALT i AST &gt;</w:t>
      </w:r>
      <w:r w:rsidR="002B004B" w:rsidRPr="005A4F9F">
        <w:rPr>
          <w:sz w:val="22"/>
          <w:szCs w:val="22"/>
          <w:lang w:val="sr-Latn-ME"/>
        </w:rPr>
        <w:t xml:space="preserve"> </w:t>
      </w:r>
      <w:r w:rsidRPr="005A4F9F">
        <w:rPr>
          <w:sz w:val="22"/>
          <w:szCs w:val="22"/>
          <w:lang w:val="sr-Latn-ME"/>
        </w:rPr>
        <w:t xml:space="preserve">3 x iznad gornje granice javilo se kod 12% tj 4 % pacijenata, </w:t>
      </w:r>
      <w:r w:rsidR="00FC0C8D" w:rsidRPr="005A4F9F">
        <w:rPr>
          <w:sz w:val="22"/>
          <w:szCs w:val="22"/>
          <w:lang w:val="sr-Latn-ME"/>
        </w:rPr>
        <w:t>redom</w:t>
      </w:r>
      <w:r w:rsidRPr="005A4F9F">
        <w:rPr>
          <w:sz w:val="22"/>
          <w:szCs w:val="22"/>
          <w:lang w:val="sr-Latn-ME"/>
        </w:rPr>
        <w:t>, u grupi koja je primala tocilizumab.</w:t>
      </w:r>
    </w:p>
    <w:p w14:paraId="5A7C4EAD" w14:textId="77777777" w:rsidR="00542633" w:rsidRPr="005A4F9F" w:rsidRDefault="00542633">
      <w:pPr>
        <w:widowControl w:val="0"/>
        <w:jc w:val="both"/>
        <w:rPr>
          <w:i/>
          <w:sz w:val="22"/>
          <w:szCs w:val="22"/>
          <w:u w:val="single"/>
          <w:lang w:val="sr-Latn-ME"/>
        </w:rPr>
      </w:pPr>
    </w:p>
    <w:p w14:paraId="73EEBB51" w14:textId="40280609" w:rsidR="00C66563" w:rsidRPr="005A4F9F" w:rsidRDefault="00C66563">
      <w:pPr>
        <w:widowControl w:val="0"/>
        <w:jc w:val="both"/>
        <w:rPr>
          <w:i/>
          <w:sz w:val="22"/>
          <w:szCs w:val="22"/>
          <w:u w:val="single"/>
          <w:lang w:val="sr-Latn-ME"/>
        </w:rPr>
      </w:pPr>
      <w:r w:rsidRPr="005A4F9F">
        <w:rPr>
          <w:i/>
          <w:sz w:val="22"/>
          <w:szCs w:val="22"/>
          <w:u w:val="single"/>
          <w:lang w:val="sr-Latn-ME"/>
        </w:rPr>
        <w:t>Imunoglobulin G</w:t>
      </w:r>
    </w:p>
    <w:p w14:paraId="2895145A" w14:textId="77777777" w:rsidR="00C66563" w:rsidRPr="005A4F9F" w:rsidRDefault="00C66563">
      <w:pPr>
        <w:pStyle w:val="BodyText"/>
        <w:widowControl w:val="0"/>
        <w:spacing w:after="0"/>
        <w:jc w:val="both"/>
        <w:rPr>
          <w:sz w:val="22"/>
          <w:szCs w:val="22"/>
          <w:lang w:val="sr-Latn-ME"/>
        </w:rPr>
      </w:pPr>
      <w:r w:rsidRPr="005A4F9F">
        <w:rPr>
          <w:sz w:val="22"/>
          <w:szCs w:val="22"/>
          <w:lang w:val="sr-Latn-ME"/>
        </w:rPr>
        <w:t>Nivo</w:t>
      </w:r>
      <w:r w:rsidR="00FC0C8D" w:rsidRPr="005A4F9F">
        <w:rPr>
          <w:sz w:val="22"/>
          <w:szCs w:val="22"/>
          <w:lang w:val="sr-Latn-ME"/>
        </w:rPr>
        <w:t xml:space="preserve"> </w:t>
      </w:r>
      <w:r w:rsidRPr="005A4F9F">
        <w:rPr>
          <w:sz w:val="22"/>
          <w:szCs w:val="22"/>
          <w:lang w:val="sr-Latn-ME"/>
        </w:rPr>
        <w:t>IgG se smanjuje tokom terapije. Smanjenje vrijednosti do donje granice normalnog se javilo kod 15 pacijenata u nekom trenutku u studiji.</w:t>
      </w:r>
    </w:p>
    <w:p w14:paraId="4910EF83" w14:textId="77777777" w:rsidR="00542633" w:rsidRPr="005A4F9F" w:rsidRDefault="00542633">
      <w:pPr>
        <w:widowControl w:val="0"/>
        <w:spacing w:line="252" w:lineRule="exact"/>
        <w:jc w:val="both"/>
        <w:rPr>
          <w:i/>
          <w:sz w:val="22"/>
          <w:szCs w:val="22"/>
          <w:u w:val="single"/>
          <w:lang w:val="sr-Latn-ME"/>
        </w:rPr>
      </w:pPr>
    </w:p>
    <w:p w14:paraId="7A3A9955" w14:textId="18D546FC" w:rsidR="00C66563" w:rsidRPr="005A4F9F" w:rsidRDefault="00C66563">
      <w:pPr>
        <w:widowControl w:val="0"/>
        <w:spacing w:line="252" w:lineRule="exact"/>
        <w:jc w:val="both"/>
        <w:rPr>
          <w:i/>
          <w:sz w:val="22"/>
          <w:szCs w:val="22"/>
          <w:u w:val="single"/>
          <w:lang w:val="sr-Latn-ME"/>
        </w:rPr>
      </w:pPr>
      <w:r w:rsidRPr="005A4F9F">
        <w:rPr>
          <w:i/>
          <w:sz w:val="22"/>
          <w:szCs w:val="22"/>
          <w:u w:val="single"/>
          <w:lang w:val="sr-Latn-ME"/>
        </w:rPr>
        <w:t>Parametri lipida</w:t>
      </w:r>
    </w:p>
    <w:p w14:paraId="35194D83" w14:textId="180DACAE" w:rsidR="000F0EE3" w:rsidRPr="005A4F9F" w:rsidRDefault="00C66563">
      <w:pPr>
        <w:widowControl w:val="0"/>
        <w:tabs>
          <w:tab w:val="left" w:pos="540"/>
          <w:tab w:val="left" w:pos="569"/>
        </w:tabs>
        <w:jc w:val="both"/>
        <w:rPr>
          <w:sz w:val="22"/>
          <w:szCs w:val="22"/>
          <w:lang w:val="sr-Latn-ME"/>
        </w:rPr>
      </w:pPr>
      <w:r w:rsidRPr="005A4F9F">
        <w:rPr>
          <w:sz w:val="22"/>
          <w:szCs w:val="22"/>
          <w:lang w:val="sr-Latn-ME"/>
        </w:rPr>
        <w:t>Tokom rutinskog praćenja laboratorijskih rezultata u 12- to ned</w:t>
      </w:r>
      <w:r w:rsidR="00A563B1" w:rsidRPr="005A4F9F">
        <w:rPr>
          <w:sz w:val="22"/>
          <w:szCs w:val="22"/>
          <w:lang w:val="sr-Latn-ME"/>
        </w:rPr>
        <w:t>j</w:t>
      </w:r>
      <w:r w:rsidRPr="005A4F9F">
        <w:rPr>
          <w:sz w:val="22"/>
          <w:szCs w:val="22"/>
          <w:lang w:val="sr-Latn-ME"/>
        </w:rPr>
        <w:t>eljnoj kontrolisanoj studiji</w:t>
      </w:r>
      <w:r w:rsidR="00A14D1F" w:rsidRPr="005A4F9F">
        <w:rPr>
          <w:sz w:val="22"/>
          <w:szCs w:val="22"/>
          <w:lang w:val="sr-Latn-ME"/>
        </w:rPr>
        <w:t xml:space="preserve"> (studija protokola WA18221)</w:t>
      </w:r>
      <w:r w:rsidRPr="005A4F9F">
        <w:rPr>
          <w:sz w:val="22"/>
          <w:szCs w:val="22"/>
          <w:lang w:val="sr-Latn-ME"/>
        </w:rPr>
        <w:t xml:space="preserve">, </w:t>
      </w:r>
      <w:r w:rsidR="00012846" w:rsidRPr="005A4F9F">
        <w:rPr>
          <w:sz w:val="22"/>
          <w:szCs w:val="22"/>
          <w:lang w:val="sr-Latn-ME"/>
        </w:rPr>
        <w:t>kod 13,4% pacijenata je prim</w:t>
      </w:r>
      <w:r w:rsidR="00346212" w:rsidRPr="005A4F9F">
        <w:rPr>
          <w:sz w:val="22"/>
          <w:szCs w:val="22"/>
          <w:lang w:val="sr-Latn-ME"/>
        </w:rPr>
        <w:t>ij</w:t>
      </w:r>
      <w:r w:rsidR="00012846" w:rsidRPr="005A4F9F">
        <w:rPr>
          <w:sz w:val="22"/>
          <w:szCs w:val="22"/>
          <w:lang w:val="sr-Latn-ME"/>
        </w:rPr>
        <w:t>ećeno povišenje vr</w:t>
      </w:r>
      <w:r w:rsidR="00346212" w:rsidRPr="005A4F9F">
        <w:rPr>
          <w:sz w:val="22"/>
          <w:szCs w:val="22"/>
          <w:lang w:val="sr-Latn-ME"/>
        </w:rPr>
        <w:t>ij</w:t>
      </w:r>
      <w:r w:rsidR="00012846" w:rsidRPr="005A4F9F">
        <w:rPr>
          <w:sz w:val="22"/>
          <w:szCs w:val="22"/>
          <w:lang w:val="sr-Latn-ME"/>
        </w:rPr>
        <w:t>ednosti LDL holesterola ≥ 130 mg/d</w:t>
      </w:r>
      <w:r w:rsidR="000F0EE3" w:rsidRPr="005A4F9F">
        <w:rPr>
          <w:sz w:val="22"/>
          <w:szCs w:val="22"/>
          <w:lang w:val="sr-Latn-ME"/>
        </w:rPr>
        <w:t>l, a kod njih 33.3%</w:t>
      </w:r>
      <w:r w:rsidR="00012846" w:rsidRPr="005A4F9F">
        <w:rPr>
          <w:sz w:val="22"/>
          <w:szCs w:val="22"/>
          <w:lang w:val="sr-Latn-ME"/>
        </w:rPr>
        <w:t xml:space="preserve"> </w:t>
      </w:r>
      <w:r w:rsidR="000F0EE3" w:rsidRPr="005A4F9F">
        <w:rPr>
          <w:sz w:val="22"/>
          <w:szCs w:val="22"/>
          <w:lang w:val="sr-Latn-ME"/>
        </w:rPr>
        <w:t>povišenje</w:t>
      </w:r>
      <w:r w:rsidR="00012846" w:rsidRPr="005A4F9F">
        <w:rPr>
          <w:sz w:val="22"/>
          <w:szCs w:val="22"/>
          <w:lang w:val="sr-Latn-ME"/>
        </w:rPr>
        <w:t xml:space="preserve"> vr</w:t>
      </w:r>
      <w:r w:rsidR="00346212" w:rsidRPr="005A4F9F">
        <w:rPr>
          <w:sz w:val="22"/>
          <w:szCs w:val="22"/>
          <w:lang w:val="sr-Latn-ME"/>
        </w:rPr>
        <w:t>ij</w:t>
      </w:r>
      <w:r w:rsidR="00012846" w:rsidRPr="005A4F9F">
        <w:rPr>
          <w:sz w:val="22"/>
          <w:szCs w:val="22"/>
          <w:lang w:val="sr-Latn-ME"/>
        </w:rPr>
        <w:t>ednosti ukupnog holesterola ≥ 200 mg/d</w:t>
      </w:r>
      <w:r w:rsidR="000F0EE3" w:rsidRPr="005A4F9F">
        <w:rPr>
          <w:sz w:val="22"/>
          <w:szCs w:val="22"/>
          <w:lang w:val="sr-Latn-ME"/>
        </w:rPr>
        <w:t>l</w:t>
      </w:r>
      <w:r w:rsidR="00012846" w:rsidRPr="005A4F9F">
        <w:rPr>
          <w:sz w:val="22"/>
          <w:szCs w:val="22"/>
          <w:lang w:val="sr-Latn-ME"/>
        </w:rPr>
        <w:t xml:space="preserve"> u bilo kom trenutku tokom </w:t>
      </w:r>
      <w:r w:rsidR="000F0EE3" w:rsidRPr="005A4F9F">
        <w:rPr>
          <w:sz w:val="22"/>
          <w:szCs w:val="22"/>
          <w:lang w:val="sr-Latn-ME"/>
        </w:rPr>
        <w:t>liječenja ispitivanim lijekom</w:t>
      </w:r>
      <w:r w:rsidR="00012846" w:rsidRPr="005A4F9F">
        <w:rPr>
          <w:sz w:val="22"/>
          <w:szCs w:val="22"/>
          <w:lang w:val="sr-Latn-ME"/>
        </w:rPr>
        <w:t>.</w:t>
      </w:r>
      <w:r w:rsidR="000F0EE3" w:rsidRPr="005A4F9F">
        <w:rPr>
          <w:sz w:val="22"/>
          <w:szCs w:val="22"/>
          <w:lang w:val="sr-Latn-ME"/>
        </w:rPr>
        <w:t xml:space="preserve"> </w:t>
      </w:r>
    </w:p>
    <w:p w14:paraId="26BF6957" w14:textId="77777777" w:rsidR="00C66563" w:rsidRPr="005A4F9F" w:rsidRDefault="000F0EE3">
      <w:pPr>
        <w:widowControl w:val="0"/>
        <w:tabs>
          <w:tab w:val="left" w:pos="540"/>
          <w:tab w:val="left" w:pos="569"/>
        </w:tabs>
        <w:jc w:val="both"/>
        <w:rPr>
          <w:sz w:val="22"/>
          <w:szCs w:val="22"/>
          <w:lang w:val="sr-Latn-ME"/>
        </w:rPr>
      </w:pPr>
      <w:r w:rsidRPr="005A4F9F">
        <w:rPr>
          <w:sz w:val="22"/>
          <w:szCs w:val="22"/>
          <w:lang w:val="sr-Latn-ME"/>
        </w:rPr>
        <w:t>Tokom otvorene faze</w:t>
      </w:r>
      <w:r w:rsidR="00C66563" w:rsidRPr="005A4F9F">
        <w:rPr>
          <w:sz w:val="22"/>
          <w:szCs w:val="22"/>
          <w:lang w:val="sr-Latn-ME"/>
        </w:rPr>
        <w:t xml:space="preserve"> produžetk</w:t>
      </w:r>
      <w:r w:rsidRPr="005A4F9F">
        <w:rPr>
          <w:sz w:val="22"/>
          <w:szCs w:val="22"/>
          <w:lang w:val="sr-Latn-ME"/>
        </w:rPr>
        <w:t>a</w:t>
      </w:r>
      <w:r w:rsidR="00C66563" w:rsidRPr="005A4F9F">
        <w:rPr>
          <w:sz w:val="22"/>
          <w:szCs w:val="22"/>
          <w:lang w:val="sr-Latn-ME"/>
        </w:rPr>
        <w:t xml:space="preserve"> studije</w:t>
      </w:r>
      <w:r w:rsidR="00012846" w:rsidRPr="005A4F9F">
        <w:rPr>
          <w:sz w:val="22"/>
          <w:szCs w:val="22"/>
          <w:lang w:val="sr-Latn-ME"/>
        </w:rPr>
        <w:t xml:space="preserve"> WA18221</w:t>
      </w:r>
      <w:r w:rsidR="00C66563" w:rsidRPr="005A4F9F">
        <w:rPr>
          <w:sz w:val="22"/>
          <w:szCs w:val="22"/>
          <w:lang w:val="sr-Latn-ME"/>
        </w:rPr>
        <w:t>,</w:t>
      </w:r>
      <w:r w:rsidRPr="005A4F9F">
        <w:rPr>
          <w:sz w:val="22"/>
          <w:szCs w:val="22"/>
          <w:lang w:val="sr-Latn-ME"/>
        </w:rPr>
        <w:t xml:space="preserve"> </w:t>
      </w:r>
      <w:r w:rsidR="00012846" w:rsidRPr="005A4F9F">
        <w:rPr>
          <w:sz w:val="22"/>
          <w:szCs w:val="22"/>
          <w:lang w:val="sr-Latn-ME"/>
        </w:rPr>
        <w:t>kod 13,2% pacijenata je</w:t>
      </w:r>
      <w:r w:rsidRPr="005A4F9F">
        <w:rPr>
          <w:sz w:val="22"/>
          <w:szCs w:val="22"/>
          <w:lang w:val="sr-Latn-ME"/>
        </w:rPr>
        <w:t xml:space="preserve"> nakon početka liječenja</w:t>
      </w:r>
      <w:r w:rsidR="00012846" w:rsidRPr="005A4F9F">
        <w:rPr>
          <w:sz w:val="22"/>
          <w:szCs w:val="22"/>
          <w:lang w:val="sr-Latn-ME"/>
        </w:rPr>
        <w:t xml:space="preserve"> </w:t>
      </w:r>
      <w:r w:rsidRPr="005A4F9F">
        <w:rPr>
          <w:sz w:val="22"/>
          <w:szCs w:val="22"/>
          <w:lang w:val="sr-Latn-ME"/>
        </w:rPr>
        <w:t xml:space="preserve">zabilježeno </w:t>
      </w:r>
      <w:r w:rsidR="00012846" w:rsidRPr="005A4F9F">
        <w:rPr>
          <w:sz w:val="22"/>
          <w:szCs w:val="22"/>
          <w:lang w:val="sr-Latn-ME"/>
        </w:rPr>
        <w:t>povišenje vr</w:t>
      </w:r>
      <w:r w:rsidR="00346212" w:rsidRPr="005A4F9F">
        <w:rPr>
          <w:sz w:val="22"/>
          <w:szCs w:val="22"/>
          <w:lang w:val="sr-Latn-ME"/>
        </w:rPr>
        <w:t>ij</w:t>
      </w:r>
      <w:r w:rsidR="00012846" w:rsidRPr="005A4F9F">
        <w:rPr>
          <w:sz w:val="22"/>
          <w:szCs w:val="22"/>
          <w:lang w:val="sr-Latn-ME"/>
        </w:rPr>
        <w:t xml:space="preserve">ednosti LDL holesterola </w:t>
      </w:r>
      <w:r w:rsidRPr="005A4F9F">
        <w:rPr>
          <w:sz w:val="22"/>
          <w:szCs w:val="22"/>
          <w:lang w:val="sr-Latn-ME"/>
        </w:rPr>
        <w:t xml:space="preserve">na </w:t>
      </w:r>
      <w:r w:rsidR="00012846" w:rsidRPr="005A4F9F">
        <w:rPr>
          <w:sz w:val="22"/>
          <w:szCs w:val="22"/>
          <w:lang w:val="sr-Latn-ME"/>
        </w:rPr>
        <w:t>≥ 130 mg/d</w:t>
      </w:r>
      <w:r w:rsidRPr="005A4F9F">
        <w:rPr>
          <w:sz w:val="22"/>
          <w:szCs w:val="22"/>
          <w:lang w:val="sr-Latn-ME"/>
        </w:rPr>
        <w:t xml:space="preserve">l, dok je kod 27,7 pacijenata došlo do povećanja </w:t>
      </w:r>
      <w:r w:rsidR="00012846" w:rsidRPr="005A4F9F">
        <w:rPr>
          <w:sz w:val="22"/>
          <w:szCs w:val="22"/>
          <w:lang w:val="sr-Latn-ME"/>
        </w:rPr>
        <w:t>vr</w:t>
      </w:r>
      <w:r w:rsidR="00346212" w:rsidRPr="005A4F9F">
        <w:rPr>
          <w:sz w:val="22"/>
          <w:szCs w:val="22"/>
          <w:lang w:val="sr-Latn-ME"/>
        </w:rPr>
        <w:t>ij</w:t>
      </w:r>
      <w:r w:rsidR="00012846" w:rsidRPr="005A4F9F">
        <w:rPr>
          <w:sz w:val="22"/>
          <w:szCs w:val="22"/>
          <w:lang w:val="sr-Latn-ME"/>
        </w:rPr>
        <w:t>ednosti ukupnog holesterola</w:t>
      </w:r>
      <w:r w:rsidRPr="005A4F9F">
        <w:rPr>
          <w:sz w:val="22"/>
          <w:szCs w:val="22"/>
          <w:lang w:val="sr-Latn-ME"/>
        </w:rPr>
        <w:t xml:space="preserve"> na </w:t>
      </w:r>
      <w:r w:rsidR="00012846" w:rsidRPr="005A4F9F">
        <w:rPr>
          <w:sz w:val="22"/>
          <w:szCs w:val="22"/>
          <w:lang w:val="sr-Latn-ME"/>
        </w:rPr>
        <w:t xml:space="preserve"> ≥ 200 mg/d</w:t>
      </w:r>
      <w:r w:rsidRPr="005A4F9F">
        <w:rPr>
          <w:sz w:val="22"/>
          <w:szCs w:val="22"/>
          <w:lang w:val="sr-Latn-ME"/>
        </w:rPr>
        <w:t>l</w:t>
      </w:r>
      <w:r w:rsidR="00012846" w:rsidRPr="005A4F9F">
        <w:rPr>
          <w:sz w:val="22"/>
          <w:szCs w:val="22"/>
          <w:lang w:val="sr-Latn-ME"/>
        </w:rPr>
        <w:t xml:space="preserve"> u bilo kom trenutku tokom trajanja studije.</w:t>
      </w:r>
    </w:p>
    <w:p w14:paraId="183904C7" w14:textId="77777777" w:rsidR="004752D6" w:rsidRPr="005A4F9F" w:rsidRDefault="004752D6">
      <w:pPr>
        <w:widowControl w:val="0"/>
        <w:tabs>
          <w:tab w:val="left" w:pos="540"/>
          <w:tab w:val="left" w:pos="569"/>
        </w:tabs>
        <w:jc w:val="both"/>
        <w:rPr>
          <w:b/>
          <w:bCs/>
          <w:sz w:val="22"/>
          <w:szCs w:val="22"/>
          <w:lang w:val="sr-Latn-ME"/>
        </w:rPr>
      </w:pPr>
    </w:p>
    <w:p w14:paraId="5E78F56C" w14:textId="77777777" w:rsidR="004752D6" w:rsidRPr="005A4F9F" w:rsidRDefault="004752D6">
      <w:pPr>
        <w:widowControl w:val="0"/>
        <w:tabs>
          <w:tab w:val="left" w:pos="284"/>
        </w:tabs>
        <w:jc w:val="both"/>
        <w:rPr>
          <w:i/>
          <w:sz w:val="22"/>
          <w:szCs w:val="22"/>
          <w:u w:val="single"/>
          <w:lang w:val="sr-Latn-ME"/>
        </w:rPr>
      </w:pPr>
      <w:r w:rsidRPr="005A4F9F">
        <w:rPr>
          <w:i/>
          <w:sz w:val="22"/>
          <w:szCs w:val="22"/>
          <w:u w:val="single"/>
          <w:lang w:val="sr-Latn-ME"/>
        </w:rPr>
        <w:t>Pacijenti sa SOC</w:t>
      </w:r>
    </w:p>
    <w:p w14:paraId="616C13BD" w14:textId="77777777" w:rsidR="004752D6" w:rsidRPr="005A4F9F" w:rsidRDefault="004752D6">
      <w:pPr>
        <w:widowControl w:val="0"/>
        <w:tabs>
          <w:tab w:val="left" w:pos="284"/>
        </w:tabs>
        <w:jc w:val="both"/>
        <w:rPr>
          <w:sz w:val="22"/>
          <w:szCs w:val="22"/>
          <w:lang w:val="sr-Latn-ME"/>
        </w:rPr>
      </w:pPr>
      <w:r w:rsidRPr="005A4F9F">
        <w:rPr>
          <w:sz w:val="22"/>
          <w:szCs w:val="22"/>
          <w:lang w:val="sr-Latn-ME"/>
        </w:rPr>
        <w:t>Bezbjednost primjene tocilizumaba kod pacijenata sa SOC je proc</w:t>
      </w:r>
      <w:r w:rsidR="000F0EE3" w:rsidRPr="005A4F9F">
        <w:rPr>
          <w:sz w:val="22"/>
          <w:szCs w:val="22"/>
          <w:lang w:val="sr-Latn-ME"/>
        </w:rPr>
        <w:t>i</w:t>
      </w:r>
      <w:r w:rsidRPr="005A4F9F">
        <w:rPr>
          <w:sz w:val="22"/>
          <w:szCs w:val="22"/>
          <w:lang w:val="sr-Latn-ME"/>
        </w:rPr>
        <w:t>jenjena kroz retrospektivnu analizu podataka iz kliničkih studija gd</w:t>
      </w:r>
      <w:r w:rsidR="00E00BBA" w:rsidRPr="005A4F9F">
        <w:rPr>
          <w:sz w:val="22"/>
          <w:szCs w:val="22"/>
          <w:lang w:val="sr-Latn-ME"/>
        </w:rPr>
        <w:t>j</w:t>
      </w:r>
      <w:r w:rsidRPr="005A4F9F">
        <w:rPr>
          <w:sz w:val="22"/>
          <w:szCs w:val="22"/>
          <w:lang w:val="sr-Latn-ME"/>
        </w:rPr>
        <w:t>e je 51 pacijent bio na terapiji intravenskim tocilizumabom u dozi od 8mg/kg (12mg/kg za pacijente čija je tjelesna masa manja od 30kg) sa ili bez dodatka visokih doza kortikosteroidnih ljekova za ozbiljni ili životno-ugrožavajući SOC posredovan himernim antigenskim T-ćelijskim receptorom. Medijana broja doza tocilizumaba koja je bila prim</w:t>
      </w:r>
      <w:r w:rsidR="00E00BBA" w:rsidRPr="005A4F9F">
        <w:rPr>
          <w:sz w:val="22"/>
          <w:szCs w:val="22"/>
          <w:lang w:val="sr-Latn-ME"/>
        </w:rPr>
        <w:t>ij</w:t>
      </w:r>
      <w:r w:rsidRPr="005A4F9F">
        <w:rPr>
          <w:sz w:val="22"/>
          <w:szCs w:val="22"/>
          <w:lang w:val="sr-Latn-ME"/>
        </w:rPr>
        <w:t>enjena je 1 (opseg: 1-4 doze).</w:t>
      </w:r>
    </w:p>
    <w:p w14:paraId="0A3E1BE5" w14:textId="77777777" w:rsidR="00C66563" w:rsidRPr="005A4F9F" w:rsidRDefault="00C66563" w:rsidP="008B00DE">
      <w:pPr>
        <w:widowControl w:val="0"/>
        <w:tabs>
          <w:tab w:val="left" w:pos="540"/>
          <w:tab w:val="left" w:pos="569"/>
        </w:tabs>
        <w:jc w:val="both"/>
        <w:rPr>
          <w:b/>
          <w:bCs/>
          <w:sz w:val="22"/>
          <w:szCs w:val="22"/>
          <w:lang w:val="sr-Latn-ME"/>
        </w:rPr>
      </w:pPr>
    </w:p>
    <w:p w14:paraId="0BC0D8B1" w14:textId="77777777" w:rsidR="00AF66C4" w:rsidRPr="005A4F9F" w:rsidRDefault="00AF66C4" w:rsidP="008B00DE">
      <w:pPr>
        <w:widowControl w:val="0"/>
        <w:spacing w:line="276" w:lineRule="auto"/>
        <w:jc w:val="both"/>
        <w:rPr>
          <w:rFonts w:eastAsia="Calibri"/>
          <w:sz w:val="22"/>
          <w:szCs w:val="22"/>
          <w:u w:val="single"/>
          <w:lang w:val="sr-Latn-ME"/>
        </w:rPr>
      </w:pPr>
      <w:r w:rsidRPr="005A4F9F">
        <w:rPr>
          <w:rFonts w:eastAsia="Calibri"/>
          <w:sz w:val="22"/>
          <w:szCs w:val="22"/>
          <w:u w:val="single"/>
          <w:lang w:val="sr-Latn-ME"/>
        </w:rPr>
        <w:t>Prijavljivanje sumnji na neželjena dejstva</w:t>
      </w:r>
    </w:p>
    <w:p w14:paraId="0045B022" w14:textId="77777777" w:rsidR="00AF66C4" w:rsidRPr="005A4F9F" w:rsidRDefault="00AF66C4">
      <w:pPr>
        <w:widowControl w:val="0"/>
        <w:jc w:val="both"/>
        <w:rPr>
          <w:rFonts w:eastAsia="Calibri"/>
          <w:sz w:val="22"/>
          <w:szCs w:val="22"/>
          <w:lang w:val="sr-Latn-ME"/>
        </w:rPr>
      </w:pPr>
      <w:r w:rsidRPr="005A4F9F">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C82B3D0"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 xml:space="preserve">Institut za ljekove i medicinska sredstva </w:t>
      </w:r>
    </w:p>
    <w:p w14:paraId="0D38F388"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Odjeljenje za farmakovigilancu</w:t>
      </w:r>
    </w:p>
    <w:p w14:paraId="5CE35667"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Bulevar Ivana Crnojevića 64a, 81000 Podgorica</w:t>
      </w:r>
    </w:p>
    <w:p w14:paraId="18768C3C" w14:textId="77777777" w:rsidR="00AF66C4" w:rsidRPr="005A4F9F" w:rsidRDefault="00AF66C4" w:rsidP="008B00DE">
      <w:pPr>
        <w:pStyle w:val="NoSpacing"/>
        <w:widowControl w:val="0"/>
        <w:jc w:val="both"/>
        <w:rPr>
          <w:rFonts w:eastAsia="Calibri"/>
          <w:sz w:val="22"/>
          <w:szCs w:val="22"/>
          <w:lang w:val="sr-Latn-ME"/>
        </w:rPr>
      </w:pPr>
    </w:p>
    <w:p w14:paraId="16EE8C14"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tel: +382 (0) 20 310 280</w:t>
      </w:r>
    </w:p>
    <w:p w14:paraId="58808A2B"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fax: +382 (0) 20 310 581</w:t>
      </w:r>
    </w:p>
    <w:p w14:paraId="56418895" w14:textId="77777777" w:rsidR="00AF66C4" w:rsidRPr="005A4F9F" w:rsidRDefault="00FC3AE4">
      <w:pPr>
        <w:pStyle w:val="NoSpacing"/>
        <w:widowControl w:val="0"/>
        <w:jc w:val="both"/>
        <w:rPr>
          <w:rFonts w:eastAsia="Calibri"/>
          <w:sz w:val="22"/>
          <w:szCs w:val="22"/>
          <w:lang w:val="sr-Latn-ME"/>
        </w:rPr>
      </w:pPr>
      <w:hyperlink r:id="rId11" w:history="1">
        <w:r w:rsidR="00AF66C4" w:rsidRPr="005A4F9F">
          <w:rPr>
            <w:rStyle w:val="Hyperlink"/>
            <w:rFonts w:eastAsia="Calibri"/>
            <w:sz w:val="22"/>
            <w:szCs w:val="22"/>
            <w:lang w:val="sr-Latn-ME"/>
          </w:rPr>
          <w:t>www.cinmed.me</w:t>
        </w:r>
      </w:hyperlink>
    </w:p>
    <w:p w14:paraId="2B21AABA" w14:textId="77777777" w:rsidR="00AF66C4" w:rsidRPr="005A4F9F" w:rsidRDefault="00FC3AE4">
      <w:pPr>
        <w:pStyle w:val="NoSpacing"/>
        <w:widowControl w:val="0"/>
        <w:jc w:val="both"/>
        <w:rPr>
          <w:rFonts w:eastAsia="Calibri"/>
          <w:color w:val="0000FF"/>
          <w:sz w:val="22"/>
          <w:szCs w:val="22"/>
          <w:u w:val="single"/>
          <w:lang w:val="sr-Latn-ME"/>
        </w:rPr>
      </w:pPr>
      <w:hyperlink r:id="rId12" w:history="1">
        <w:r w:rsidR="00AF66C4" w:rsidRPr="005A4F9F">
          <w:rPr>
            <w:rStyle w:val="Hyperlink"/>
            <w:rFonts w:eastAsia="Calibri"/>
            <w:sz w:val="22"/>
            <w:szCs w:val="22"/>
            <w:lang w:val="sr-Latn-ME"/>
          </w:rPr>
          <w:t>nezeljenadejstva@cinmed.me</w:t>
        </w:r>
      </w:hyperlink>
    </w:p>
    <w:p w14:paraId="459F58F1" w14:textId="77777777" w:rsidR="00AF66C4" w:rsidRPr="005A4F9F" w:rsidRDefault="00AF66C4">
      <w:pPr>
        <w:pStyle w:val="NoSpacing"/>
        <w:widowControl w:val="0"/>
        <w:jc w:val="both"/>
        <w:rPr>
          <w:rFonts w:eastAsia="Calibri"/>
          <w:sz w:val="22"/>
          <w:szCs w:val="22"/>
          <w:lang w:val="sr-Latn-ME"/>
        </w:rPr>
      </w:pPr>
      <w:r w:rsidRPr="005A4F9F">
        <w:rPr>
          <w:rFonts w:eastAsia="Calibri"/>
          <w:sz w:val="22"/>
          <w:szCs w:val="22"/>
          <w:lang w:val="sr-Latn-ME"/>
        </w:rPr>
        <w:t>putem IS zdravstvene zaštite</w:t>
      </w:r>
    </w:p>
    <w:p w14:paraId="0D23F84F" w14:textId="77777777" w:rsidR="00CA1487" w:rsidRPr="005A4F9F" w:rsidRDefault="00CA1487">
      <w:pPr>
        <w:pStyle w:val="NoSpacing"/>
        <w:widowControl w:val="0"/>
        <w:jc w:val="both"/>
        <w:rPr>
          <w:rFonts w:eastAsia="Calibri"/>
          <w:sz w:val="22"/>
          <w:szCs w:val="22"/>
          <w:lang w:val="sr-Latn-ME"/>
        </w:rPr>
      </w:pPr>
      <w:r w:rsidRPr="005A4F9F">
        <w:rPr>
          <w:rFonts w:eastAsia="Calibri"/>
          <w:sz w:val="22"/>
          <w:szCs w:val="22"/>
          <w:lang w:val="sr-Latn-ME"/>
        </w:rPr>
        <w:t>QR kod za online prijavu sumnje na neželjeno dejstvo lijeka:</w:t>
      </w:r>
    </w:p>
    <w:p w14:paraId="37F9B19C" w14:textId="77777777" w:rsidR="00CA1487" w:rsidRPr="005A4F9F" w:rsidRDefault="00CA1487">
      <w:pPr>
        <w:pStyle w:val="NoSpacing"/>
        <w:widowControl w:val="0"/>
        <w:jc w:val="both"/>
        <w:rPr>
          <w:rFonts w:eastAsia="Calibri"/>
          <w:sz w:val="22"/>
          <w:szCs w:val="22"/>
          <w:lang w:val="sr-Latn-ME"/>
        </w:rPr>
      </w:pPr>
    </w:p>
    <w:p w14:paraId="011F8F62" w14:textId="77777777" w:rsidR="00CA1487" w:rsidRPr="005A4F9F" w:rsidRDefault="009505C8">
      <w:pPr>
        <w:pStyle w:val="NoSpacing"/>
        <w:widowControl w:val="0"/>
        <w:jc w:val="both"/>
        <w:rPr>
          <w:rFonts w:eastAsia="Calibri"/>
          <w:sz w:val="22"/>
          <w:szCs w:val="22"/>
          <w:lang w:val="sr-Latn-ME"/>
        </w:rPr>
      </w:pPr>
      <w:r w:rsidRPr="008B00DE">
        <w:rPr>
          <w:b/>
          <w:bCs/>
          <w:noProof/>
          <w:sz w:val="22"/>
          <w:szCs w:val="22"/>
          <w:lang w:val="sr-Latn-ME" w:eastAsia="sr-Latn-ME"/>
        </w:rPr>
        <w:drawing>
          <wp:inline distT="0" distB="0" distL="0" distR="0" wp14:anchorId="1DA58476" wp14:editId="0AAC997F">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CC50AF" w14:textId="77777777" w:rsidR="00836B35" w:rsidRPr="005A4F9F" w:rsidRDefault="00836B35" w:rsidP="008B00DE">
      <w:pPr>
        <w:widowControl w:val="0"/>
        <w:tabs>
          <w:tab w:val="left" w:pos="540"/>
          <w:tab w:val="left" w:pos="569"/>
        </w:tabs>
        <w:jc w:val="both"/>
        <w:rPr>
          <w:b/>
          <w:bCs/>
          <w:sz w:val="22"/>
          <w:szCs w:val="22"/>
          <w:lang w:val="sr-Latn-ME"/>
        </w:rPr>
      </w:pPr>
    </w:p>
    <w:p w14:paraId="63401840" w14:textId="77777777" w:rsidR="00CD6F02"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4.9. </w:t>
      </w:r>
      <w:r w:rsidR="00480FB1" w:rsidRPr="005A4F9F">
        <w:rPr>
          <w:b/>
          <w:bCs/>
          <w:sz w:val="22"/>
          <w:szCs w:val="22"/>
          <w:lang w:val="sr-Latn-ME"/>
        </w:rPr>
        <w:tab/>
      </w:r>
      <w:r w:rsidRPr="005A4F9F">
        <w:rPr>
          <w:b/>
          <w:bCs/>
          <w:sz w:val="22"/>
          <w:szCs w:val="22"/>
          <w:lang w:val="sr-Latn-ME"/>
        </w:rPr>
        <w:t>Predoziranje</w:t>
      </w:r>
      <w:r w:rsidR="002846DB" w:rsidRPr="005A4F9F">
        <w:rPr>
          <w:b/>
          <w:bCs/>
          <w:sz w:val="22"/>
          <w:szCs w:val="22"/>
          <w:lang w:val="sr-Latn-ME"/>
        </w:rPr>
        <w:t xml:space="preserve"> </w:t>
      </w:r>
    </w:p>
    <w:p w14:paraId="2CEF29F4" w14:textId="77777777" w:rsidR="00CD6F02" w:rsidRPr="005A4F9F" w:rsidRDefault="00CD6F02">
      <w:pPr>
        <w:widowControl w:val="0"/>
        <w:tabs>
          <w:tab w:val="left" w:pos="540"/>
          <w:tab w:val="left" w:pos="569"/>
        </w:tabs>
        <w:jc w:val="both"/>
        <w:rPr>
          <w:b/>
          <w:bCs/>
          <w:sz w:val="22"/>
          <w:szCs w:val="22"/>
          <w:lang w:val="sr-Latn-ME"/>
        </w:rPr>
      </w:pPr>
    </w:p>
    <w:p w14:paraId="6E293793" w14:textId="1D85664D" w:rsidR="00C66563" w:rsidRPr="005A4F9F" w:rsidRDefault="00C66563">
      <w:pPr>
        <w:widowControl w:val="0"/>
        <w:jc w:val="both"/>
        <w:rPr>
          <w:sz w:val="22"/>
          <w:szCs w:val="22"/>
          <w:lang w:val="sr-Latn-ME"/>
        </w:rPr>
      </w:pPr>
      <w:r w:rsidRPr="005A4F9F">
        <w:rPr>
          <w:sz w:val="22"/>
          <w:szCs w:val="22"/>
          <w:lang w:val="sr-Latn-ME"/>
        </w:rPr>
        <w:t xml:space="preserve">Podaci o predoziranju </w:t>
      </w:r>
      <w:r w:rsidR="002B004B" w:rsidRPr="005A4F9F">
        <w:rPr>
          <w:sz w:val="22"/>
          <w:szCs w:val="22"/>
          <w:lang w:val="sr-Latn-ME"/>
        </w:rPr>
        <w:t>tocilizumabom</w:t>
      </w:r>
      <w:r w:rsidRPr="005A4F9F">
        <w:rPr>
          <w:sz w:val="22"/>
          <w:szCs w:val="22"/>
          <w:lang w:val="sr-Latn-ME"/>
        </w:rPr>
        <w:t>su ograničeni. Jedan slučaj nehotičnog predoziranja zabilježen je kod  pacijenta sa multiplim mijelomom koji je primio dozu od 40 mg/kg. Ni</w:t>
      </w:r>
      <w:r w:rsidR="00A563B1" w:rsidRPr="005A4F9F">
        <w:rPr>
          <w:sz w:val="22"/>
          <w:szCs w:val="22"/>
          <w:lang w:val="sr-Latn-ME"/>
        </w:rPr>
        <w:t>je</w:t>
      </w:r>
      <w:r w:rsidRPr="005A4F9F">
        <w:rPr>
          <w:sz w:val="22"/>
          <w:szCs w:val="22"/>
          <w:lang w:val="sr-Latn-ME"/>
        </w:rPr>
        <w:t>su zabilježene nikakve neželjene reakcije.</w:t>
      </w:r>
    </w:p>
    <w:p w14:paraId="3E45FC9C" w14:textId="77777777" w:rsidR="00C66563" w:rsidRPr="005A4F9F" w:rsidRDefault="00C66563">
      <w:pPr>
        <w:widowControl w:val="0"/>
        <w:jc w:val="both"/>
        <w:rPr>
          <w:sz w:val="22"/>
          <w:szCs w:val="22"/>
          <w:lang w:val="sr-Latn-ME"/>
        </w:rPr>
      </w:pPr>
    </w:p>
    <w:p w14:paraId="1DF8D067" w14:textId="64B3E18D" w:rsidR="00C66563" w:rsidRPr="005A4F9F" w:rsidRDefault="00C66563">
      <w:pPr>
        <w:widowControl w:val="0"/>
        <w:jc w:val="both"/>
        <w:rPr>
          <w:sz w:val="22"/>
          <w:szCs w:val="22"/>
          <w:lang w:val="sr-Latn-ME"/>
        </w:rPr>
      </w:pPr>
      <w:r w:rsidRPr="005A4F9F">
        <w:rPr>
          <w:sz w:val="22"/>
          <w:szCs w:val="22"/>
          <w:lang w:val="sr-Latn-ME"/>
        </w:rPr>
        <w:t>Ni</w:t>
      </w:r>
      <w:r w:rsidR="00A563B1" w:rsidRPr="005A4F9F">
        <w:rPr>
          <w:sz w:val="22"/>
          <w:szCs w:val="22"/>
          <w:lang w:val="sr-Latn-ME"/>
        </w:rPr>
        <w:t>je</w:t>
      </w:r>
      <w:r w:rsidRPr="005A4F9F">
        <w:rPr>
          <w:sz w:val="22"/>
          <w:szCs w:val="22"/>
          <w:lang w:val="sr-Latn-ME"/>
        </w:rPr>
        <w:t xml:space="preserve">su zabilježene nikakve teške neželjene reakcije kod zdravih dobrovoljaca  koji su primali </w:t>
      </w:r>
      <w:r w:rsidRPr="005A4F9F">
        <w:rPr>
          <w:sz w:val="22"/>
          <w:szCs w:val="22"/>
          <w:lang w:val="sr-Latn-ME"/>
        </w:rPr>
        <w:lastRenderedPageBreak/>
        <w:t xml:space="preserve">pojedinačne doze </w:t>
      </w:r>
      <w:r w:rsidR="000B331D" w:rsidRPr="005A4F9F">
        <w:rPr>
          <w:sz w:val="22"/>
          <w:szCs w:val="22"/>
          <w:lang w:val="sr-Latn-ME"/>
        </w:rPr>
        <w:t xml:space="preserve">najviše </w:t>
      </w:r>
      <w:r w:rsidRPr="005A4F9F">
        <w:rPr>
          <w:sz w:val="22"/>
          <w:szCs w:val="22"/>
          <w:lang w:val="sr-Latn-ME"/>
        </w:rPr>
        <w:t>do</w:t>
      </w:r>
      <w:r w:rsidR="000B331D" w:rsidRPr="005A4F9F">
        <w:rPr>
          <w:sz w:val="22"/>
          <w:szCs w:val="22"/>
          <w:lang w:val="sr-Latn-ME"/>
        </w:rPr>
        <w:t xml:space="preserve"> </w:t>
      </w:r>
      <w:r w:rsidRPr="005A4F9F">
        <w:rPr>
          <w:sz w:val="22"/>
          <w:szCs w:val="22"/>
          <w:lang w:val="sr-Latn-ME"/>
        </w:rPr>
        <w:t>28 mg/kg, iako je primjećena pojava neutropenije koja ograničava dozu.</w:t>
      </w:r>
    </w:p>
    <w:p w14:paraId="6D5FD030" w14:textId="77777777" w:rsidR="00C66563" w:rsidRPr="005A4F9F" w:rsidRDefault="00C66563">
      <w:pPr>
        <w:widowControl w:val="0"/>
        <w:jc w:val="both"/>
        <w:rPr>
          <w:sz w:val="22"/>
          <w:szCs w:val="22"/>
          <w:lang w:val="sr-Latn-ME"/>
        </w:rPr>
      </w:pPr>
    </w:p>
    <w:p w14:paraId="417ED9D3" w14:textId="77777777" w:rsidR="00227BDB" w:rsidRPr="005A4F9F" w:rsidRDefault="00227BDB">
      <w:pPr>
        <w:widowControl w:val="0"/>
        <w:tabs>
          <w:tab w:val="left" w:pos="540"/>
          <w:tab w:val="left" w:pos="569"/>
        </w:tabs>
        <w:jc w:val="both"/>
        <w:rPr>
          <w:b/>
          <w:bCs/>
          <w:sz w:val="22"/>
          <w:szCs w:val="22"/>
          <w:lang w:val="sr-Latn-ME"/>
        </w:rPr>
      </w:pPr>
    </w:p>
    <w:p w14:paraId="3A773FB5" w14:textId="77777777" w:rsidR="0072020E"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5. </w:t>
      </w:r>
      <w:r w:rsidR="00480FB1" w:rsidRPr="005A4F9F">
        <w:rPr>
          <w:b/>
          <w:bCs/>
          <w:sz w:val="22"/>
          <w:szCs w:val="22"/>
          <w:lang w:val="sr-Latn-ME"/>
        </w:rPr>
        <w:tab/>
      </w:r>
      <w:r w:rsidRPr="005A4F9F">
        <w:rPr>
          <w:b/>
          <w:bCs/>
          <w:sz w:val="22"/>
          <w:szCs w:val="22"/>
          <w:lang w:val="sr-Latn-ME"/>
        </w:rPr>
        <w:t>FARMAKOLOŠK</w:t>
      </w:r>
      <w:r w:rsidR="000D425A" w:rsidRPr="005A4F9F">
        <w:rPr>
          <w:b/>
          <w:bCs/>
          <w:sz w:val="22"/>
          <w:szCs w:val="22"/>
          <w:lang w:val="sr-Latn-ME"/>
        </w:rPr>
        <w:t>I</w:t>
      </w:r>
      <w:r w:rsidRPr="005A4F9F">
        <w:rPr>
          <w:b/>
          <w:bCs/>
          <w:sz w:val="22"/>
          <w:szCs w:val="22"/>
          <w:lang w:val="sr-Latn-ME"/>
        </w:rPr>
        <w:t xml:space="preserve"> PODACI</w:t>
      </w:r>
    </w:p>
    <w:p w14:paraId="0BD3C43F" w14:textId="77777777" w:rsidR="0072020E" w:rsidRPr="005A4F9F" w:rsidRDefault="0072020E">
      <w:pPr>
        <w:widowControl w:val="0"/>
        <w:tabs>
          <w:tab w:val="left" w:pos="540"/>
          <w:tab w:val="left" w:pos="569"/>
        </w:tabs>
        <w:jc w:val="both"/>
        <w:rPr>
          <w:b/>
          <w:bCs/>
          <w:sz w:val="22"/>
          <w:szCs w:val="22"/>
          <w:lang w:val="sr-Latn-ME"/>
        </w:rPr>
      </w:pPr>
    </w:p>
    <w:p w14:paraId="561C4EEC" w14:textId="77777777" w:rsidR="0072020E"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5.1. </w:t>
      </w:r>
      <w:r w:rsidR="00480FB1" w:rsidRPr="005A4F9F">
        <w:rPr>
          <w:b/>
          <w:bCs/>
          <w:sz w:val="22"/>
          <w:szCs w:val="22"/>
          <w:lang w:val="sr-Latn-ME"/>
        </w:rPr>
        <w:tab/>
      </w:r>
      <w:r w:rsidRPr="005A4F9F">
        <w:rPr>
          <w:b/>
          <w:bCs/>
          <w:sz w:val="22"/>
          <w:szCs w:val="22"/>
          <w:lang w:val="sr-Latn-ME"/>
        </w:rPr>
        <w:t>Farmakodinamski podaci</w:t>
      </w:r>
      <w:r w:rsidR="003A7059" w:rsidRPr="005A4F9F">
        <w:rPr>
          <w:b/>
          <w:bCs/>
          <w:sz w:val="22"/>
          <w:szCs w:val="22"/>
          <w:lang w:val="sr-Latn-ME"/>
        </w:rPr>
        <w:t xml:space="preserve"> </w:t>
      </w:r>
    </w:p>
    <w:p w14:paraId="170C89C1" w14:textId="77777777" w:rsidR="00F45F77" w:rsidRPr="005A4F9F" w:rsidRDefault="00F45F77">
      <w:pPr>
        <w:widowControl w:val="0"/>
        <w:tabs>
          <w:tab w:val="left" w:pos="540"/>
          <w:tab w:val="left" w:pos="569"/>
        </w:tabs>
        <w:jc w:val="both"/>
        <w:rPr>
          <w:b/>
          <w:bCs/>
          <w:sz w:val="22"/>
          <w:szCs w:val="22"/>
          <w:lang w:val="sr-Latn-ME"/>
        </w:rPr>
      </w:pPr>
    </w:p>
    <w:p w14:paraId="570D78AB" w14:textId="77777777" w:rsidR="0072020E" w:rsidRPr="005A4F9F" w:rsidRDefault="0072020E">
      <w:pPr>
        <w:widowControl w:val="0"/>
        <w:tabs>
          <w:tab w:val="left" w:pos="540"/>
          <w:tab w:val="left" w:pos="569"/>
        </w:tabs>
        <w:jc w:val="both"/>
        <w:rPr>
          <w:bCs/>
          <w:sz w:val="22"/>
          <w:szCs w:val="22"/>
          <w:lang w:val="sr-Latn-ME"/>
        </w:rPr>
      </w:pPr>
      <w:r w:rsidRPr="005A4F9F">
        <w:rPr>
          <w:bCs/>
          <w:sz w:val="22"/>
          <w:szCs w:val="22"/>
          <w:lang w:val="sr-Latn-ME"/>
        </w:rPr>
        <w:t>Farmakoterapijska grupa:</w:t>
      </w:r>
      <w:r w:rsidR="00C66563" w:rsidRPr="005A4F9F">
        <w:rPr>
          <w:bCs/>
          <w:sz w:val="22"/>
          <w:szCs w:val="22"/>
          <w:lang w:val="sr-Latn-ME"/>
        </w:rPr>
        <w:t xml:space="preserve"> </w:t>
      </w:r>
      <w:r w:rsidR="00C66563" w:rsidRPr="005A4F9F">
        <w:rPr>
          <w:sz w:val="22"/>
          <w:szCs w:val="22"/>
          <w:lang w:val="sr-Latn-ME"/>
        </w:rPr>
        <w:t>Imunosupresivi, inhibitori interleukina</w:t>
      </w:r>
    </w:p>
    <w:p w14:paraId="3ADB23DE" w14:textId="77777777" w:rsidR="0072020E" w:rsidRPr="005A4F9F" w:rsidRDefault="0072020E">
      <w:pPr>
        <w:widowControl w:val="0"/>
        <w:tabs>
          <w:tab w:val="left" w:pos="540"/>
          <w:tab w:val="left" w:pos="569"/>
        </w:tabs>
        <w:jc w:val="both"/>
        <w:rPr>
          <w:bCs/>
          <w:sz w:val="22"/>
          <w:szCs w:val="22"/>
          <w:lang w:val="sr-Latn-ME"/>
        </w:rPr>
      </w:pPr>
    </w:p>
    <w:p w14:paraId="03FBDD22" w14:textId="77777777" w:rsidR="0072020E" w:rsidRPr="005A4F9F" w:rsidRDefault="0072020E">
      <w:pPr>
        <w:widowControl w:val="0"/>
        <w:tabs>
          <w:tab w:val="left" w:pos="540"/>
          <w:tab w:val="left" w:pos="569"/>
        </w:tabs>
        <w:jc w:val="both"/>
        <w:rPr>
          <w:sz w:val="22"/>
          <w:szCs w:val="22"/>
          <w:lang w:val="sr-Latn-ME"/>
        </w:rPr>
      </w:pPr>
      <w:r w:rsidRPr="005A4F9F">
        <w:rPr>
          <w:bCs/>
          <w:sz w:val="22"/>
          <w:szCs w:val="22"/>
          <w:lang w:val="sr-Latn-ME"/>
        </w:rPr>
        <w:t>ATC kod:</w:t>
      </w:r>
      <w:r w:rsidR="00C66563" w:rsidRPr="005A4F9F">
        <w:rPr>
          <w:sz w:val="22"/>
          <w:szCs w:val="22"/>
          <w:lang w:val="sr-Latn-ME"/>
        </w:rPr>
        <w:t xml:space="preserve"> L04AC07</w:t>
      </w:r>
    </w:p>
    <w:p w14:paraId="705F20E3" w14:textId="77777777" w:rsidR="00C66563" w:rsidRPr="005A4F9F" w:rsidRDefault="00C66563">
      <w:pPr>
        <w:widowControl w:val="0"/>
        <w:tabs>
          <w:tab w:val="left" w:pos="540"/>
          <w:tab w:val="left" w:pos="569"/>
        </w:tabs>
        <w:jc w:val="both"/>
        <w:rPr>
          <w:sz w:val="22"/>
          <w:szCs w:val="22"/>
          <w:lang w:val="sr-Latn-ME"/>
        </w:rPr>
      </w:pPr>
    </w:p>
    <w:p w14:paraId="0C7DA5DF" w14:textId="77777777" w:rsidR="00C66563" w:rsidRPr="005A4F9F" w:rsidRDefault="00C665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Mehanizam dejstva</w:t>
      </w:r>
    </w:p>
    <w:p w14:paraId="4B5103CC"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Tocilizumab se specifično vezuje za  IL</w:t>
      </w:r>
      <w:r w:rsidRPr="005A4F9F">
        <w:rPr>
          <w:sz w:val="22"/>
          <w:szCs w:val="22"/>
          <w:lang w:val="sr-Latn-ME"/>
        </w:rPr>
        <w:noBreakHyphen/>
        <w:t>6 receptore (sIL</w:t>
      </w:r>
      <w:r w:rsidRPr="005A4F9F">
        <w:rPr>
          <w:sz w:val="22"/>
          <w:szCs w:val="22"/>
          <w:lang w:val="sr-Latn-ME"/>
        </w:rPr>
        <w:noBreakHyphen/>
        <w:t>6R i mIL</w:t>
      </w:r>
      <w:r w:rsidRPr="005A4F9F">
        <w:rPr>
          <w:sz w:val="22"/>
          <w:szCs w:val="22"/>
          <w:lang w:val="sr-Latn-ME"/>
        </w:rPr>
        <w:noBreakHyphen/>
        <w:t xml:space="preserve">6R) i solubilne i one vezane za membranu. Pokazano je da tocilizumab </w:t>
      </w:r>
      <w:r w:rsidRPr="005A4F9F">
        <w:rPr>
          <w:iCs/>
          <w:sz w:val="22"/>
          <w:szCs w:val="22"/>
          <w:lang w:val="sr-Latn-ME"/>
        </w:rPr>
        <w:t>inhibira signaliziranje posredovano preko sIL</w:t>
      </w:r>
      <w:r w:rsidRPr="005A4F9F">
        <w:rPr>
          <w:iCs/>
          <w:sz w:val="22"/>
          <w:szCs w:val="22"/>
          <w:lang w:val="sr-Latn-ME"/>
        </w:rPr>
        <w:noBreakHyphen/>
        <w:t xml:space="preserve">6R i </w:t>
      </w:r>
      <w:r w:rsidRPr="005A4F9F">
        <w:rPr>
          <w:sz w:val="22"/>
          <w:szCs w:val="22"/>
          <w:lang w:val="sr-Latn-ME"/>
        </w:rPr>
        <w:t>mIL</w:t>
      </w:r>
      <w:r w:rsidRPr="005A4F9F">
        <w:rPr>
          <w:sz w:val="22"/>
          <w:szCs w:val="22"/>
          <w:lang w:val="sr-Latn-ME"/>
        </w:rPr>
        <w:noBreakHyphen/>
        <w:t xml:space="preserve">6R. IL-6 je pleiotropni pro-inflamatorni citokin koji proizvodi veliki broj ćelija, uključujući i T- i B-ćelije, monocite i fibroblaste. IL-6 je uključen u različite fiziološke procese kao što je aktivacija T-ćelija, indukcija sekrecije imunoglobulina, indukcija sinteze proteina u akutnoj hepatičkoj fazi i stimulacija hemopoeze. IL-6 je doveden u vezu i sa patogenezom bolesti koje uključuju zapaljenske bolesti, osteoporozu i neoplazije. </w:t>
      </w:r>
    </w:p>
    <w:p w14:paraId="7E0B9441" w14:textId="77777777" w:rsidR="00C66563" w:rsidRPr="005A4F9F" w:rsidRDefault="00C66563">
      <w:pPr>
        <w:widowControl w:val="0"/>
        <w:tabs>
          <w:tab w:val="left" w:pos="284"/>
          <w:tab w:val="center" w:pos="4320"/>
          <w:tab w:val="right" w:pos="8640"/>
        </w:tabs>
        <w:jc w:val="both"/>
        <w:rPr>
          <w:sz w:val="22"/>
          <w:szCs w:val="22"/>
          <w:lang w:val="sr-Latn-ME"/>
        </w:rPr>
      </w:pPr>
    </w:p>
    <w:p w14:paraId="1D437814"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u w:val="single"/>
          <w:lang w:val="sr-Latn-ME"/>
        </w:rPr>
        <w:t>Farmakodinam</w:t>
      </w:r>
      <w:r w:rsidR="007D0977" w:rsidRPr="005A4F9F">
        <w:rPr>
          <w:sz w:val="22"/>
          <w:szCs w:val="22"/>
          <w:u w:val="single"/>
          <w:lang w:val="sr-Latn-ME"/>
        </w:rPr>
        <w:t>ički efekti</w:t>
      </w:r>
    </w:p>
    <w:p w14:paraId="4062517C" w14:textId="5A989EEF" w:rsidR="00C66563" w:rsidRPr="005A4F9F" w:rsidRDefault="00C66563">
      <w:pPr>
        <w:widowControl w:val="0"/>
        <w:tabs>
          <w:tab w:val="left" w:pos="284"/>
          <w:tab w:val="center" w:pos="4320"/>
          <w:tab w:val="right" w:pos="8640"/>
        </w:tabs>
        <w:jc w:val="both"/>
        <w:rPr>
          <w:sz w:val="22"/>
          <w:szCs w:val="22"/>
          <w:lang w:val="sr-Latn-ME"/>
        </w:rPr>
      </w:pPr>
      <w:r w:rsidRPr="005A4F9F">
        <w:rPr>
          <w:bCs/>
          <w:sz w:val="22"/>
          <w:szCs w:val="22"/>
          <w:lang w:val="sr-Latn-ME"/>
        </w:rPr>
        <w:t>U kliničkim ispitivanjima sa tocilizumabom</w:t>
      </w:r>
      <w:r w:rsidR="00BF249E" w:rsidRPr="005A4F9F">
        <w:rPr>
          <w:bCs/>
          <w:sz w:val="22"/>
          <w:szCs w:val="22"/>
          <w:lang w:val="sr-Latn-ME"/>
        </w:rPr>
        <w:t xml:space="preserve"> kod pacijenata sa RA</w:t>
      </w:r>
      <w:r w:rsidRPr="005A4F9F">
        <w:rPr>
          <w:bCs/>
          <w:sz w:val="22"/>
          <w:szCs w:val="22"/>
          <w:lang w:val="sr-Latn-ME"/>
        </w:rPr>
        <w:t>, primijećeni su brzi pad CRP, brzine sedimentacije eritrocita</w:t>
      </w:r>
      <w:r w:rsidR="00890190" w:rsidRPr="005A4F9F">
        <w:rPr>
          <w:bCs/>
          <w:sz w:val="22"/>
          <w:szCs w:val="22"/>
          <w:lang w:val="sr-Latn-ME"/>
        </w:rPr>
        <w:t xml:space="preserve"> </w:t>
      </w:r>
      <w:r w:rsidRPr="005A4F9F">
        <w:rPr>
          <w:bCs/>
          <w:sz w:val="22"/>
          <w:szCs w:val="22"/>
          <w:lang w:val="sr-Latn-ME"/>
        </w:rPr>
        <w:t xml:space="preserve">serumskog amiloida </w:t>
      </w:r>
      <w:r w:rsidRPr="005A4F9F">
        <w:rPr>
          <w:sz w:val="22"/>
          <w:szCs w:val="22"/>
          <w:lang w:val="sr-Latn-ME"/>
        </w:rPr>
        <w:t>A (SAA)</w:t>
      </w:r>
      <w:r w:rsidR="00890190" w:rsidRPr="005A4F9F">
        <w:rPr>
          <w:sz w:val="22"/>
          <w:szCs w:val="22"/>
          <w:lang w:val="sr-Latn-ME"/>
        </w:rPr>
        <w:t xml:space="preserve"> i fibrinogena</w:t>
      </w:r>
      <w:r w:rsidRPr="005A4F9F">
        <w:rPr>
          <w:bCs/>
          <w:sz w:val="22"/>
          <w:szCs w:val="22"/>
          <w:lang w:val="sr-Latn-ME"/>
        </w:rPr>
        <w:t xml:space="preserve">. U skladu sa dejstvom  na reaktante akutne faze, terapija tocilizumabom  povezana je i sa smanjenjem broj trombocita u normalnim okvirima. </w:t>
      </w:r>
      <w:r w:rsidRPr="005A4F9F">
        <w:rPr>
          <w:sz w:val="22"/>
          <w:szCs w:val="22"/>
          <w:lang w:val="sr-Latn-ME"/>
        </w:rPr>
        <w:t>Zabilježen</w:t>
      </w:r>
      <w:r w:rsidRPr="005A4F9F">
        <w:rPr>
          <w:bCs/>
          <w:sz w:val="22"/>
          <w:szCs w:val="22"/>
          <w:lang w:val="sr-Latn-ME"/>
        </w:rPr>
        <w:t xml:space="preserve"> je i porast nivoa </w:t>
      </w:r>
      <w:r w:rsidRPr="005A4F9F">
        <w:rPr>
          <w:sz w:val="22"/>
          <w:szCs w:val="22"/>
          <w:lang w:val="sr-Latn-ME"/>
        </w:rPr>
        <w:t xml:space="preserve">hemoglobina, tako što tocilizumab smanjuje dejstvo IL-6 na produkciju hepcidina i tako povećava raspoloživost gvožđa. Kod </w:t>
      </w:r>
      <w:r w:rsidR="002B004B" w:rsidRPr="005A4F9F">
        <w:rPr>
          <w:sz w:val="22"/>
          <w:szCs w:val="22"/>
          <w:lang w:val="sr-Latn-ME"/>
        </w:rPr>
        <w:t xml:space="preserve">liječenja </w:t>
      </w:r>
      <w:r w:rsidRPr="005A4F9F">
        <w:rPr>
          <w:sz w:val="22"/>
          <w:szCs w:val="22"/>
          <w:lang w:val="sr-Latn-ME"/>
        </w:rPr>
        <w:t>pacijenata</w:t>
      </w:r>
      <w:r w:rsidR="002B004B" w:rsidRPr="005A4F9F">
        <w:rPr>
          <w:sz w:val="22"/>
          <w:szCs w:val="22"/>
          <w:lang w:val="sr-Latn-ME"/>
        </w:rPr>
        <w:t>,</w:t>
      </w:r>
      <w:r w:rsidRPr="005A4F9F">
        <w:rPr>
          <w:sz w:val="22"/>
          <w:szCs w:val="22"/>
          <w:lang w:val="sr-Latn-ME"/>
        </w:rPr>
        <w:t xml:space="preserve"> do smanjenja </w:t>
      </w:r>
      <w:r w:rsidR="000B331D" w:rsidRPr="005A4F9F">
        <w:rPr>
          <w:sz w:val="22"/>
          <w:szCs w:val="22"/>
          <w:lang w:val="sr-Latn-ME"/>
        </w:rPr>
        <w:t>vrijednosti</w:t>
      </w:r>
      <w:r w:rsidRPr="005A4F9F">
        <w:rPr>
          <w:sz w:val="22"/>
          <w:szCs w:val="22"/>
          <w:lang w:val="sr-Latn-ME"/>
        </w:rPr>
        <w:t xml:space="preserve"> CRP</w:t>
      </w:r>
      <w:r w:rsidR="002B004B" w:rsidRPr="005A4F9F">
        <w:rPr>
          <w:sz w:val="22"/>
          <w:szCs w:val="22"/>
          <w:lang w:val="sr-Latn-ME"/>
        </w:rPr>
        <w:t>-a</w:t>
      </w:r>
      <w:r w:rsidRPr="005A4F9F">
        <w:rPr>
          <w:sz w:val="22"/>
          <w:szCs w:val="22"/>
          <w:lang w:val="sr-Latn-ME"/>
        </w:rPr>
        <w:t xml:space="preserve"> </w:t>
      </w:r>
      <w:r w:rsidR="002B004B" w:rsidRPr="005A4F9F">
        <w:rPr>
          <w:sz w:val="22"/>
          <w:szCs w:val="22"/>
          <w:lang w:val="sr-Latn-ME"/>
        </w:rPr>
        <w:t>u</w:t>
      </w:r>
      <w:r w:rsidR="007D6E02" w:rsidRPr="005A4F9F">
        <w:rPr>
          <w:sz w:val="22"/>
          <w:szCs w:val="22"/>
          <w:lang w:val="sr-Latn-ME"/>
        </w:rPr>
        <w:t xml:space="preserve"> granicama normale</w:t>
      </w:r>
      <w:r w:rsidR="002B004B" w:rsidRPr="005A4F9F">
        <w:rPr>
          <w:sz w:val="22"/>
          <w:szCs w:val="22"/>
          <w:lang w:val="sr-Latn-ME"/>
        </w:rPr>
        <w:t>,</w:t>
      </w:r>
      <w:r w:rsidRPr="005A4F9F">
        <w:rPr>
          <w:sz w:val="22"/>
          <w:szCs w:val="22"/>
          <w:lang w:val="sr-Latn-ME"/>
        </w:rPr>
        <w:t xml:space="preserve"> dolazilo je već tokom druge ned</w:t>
      </w:r>
      <w:r w:rsidR="000B331D" w:rsidRPr="005A4F9F">
        <w:rPr>
          <w:sz w:val="22"/>
          <w:szCs w:val="22"/>
          <w:lang w:val="sr-Latn-ME"/>
        </w:rPr>
        <w:t>j</w:t>
      </w:r>
      <w:r w:rsidRPr="005A4F9F">
        <w:rPr>
          <w:sz w:val="22"/>
          <w:szCs w:val="22"/>
          <w:lang w:val="sr-Latn-ME"/>
        </w:rPr>
        <w:t>elje, a ovo smanjenje je održavano tokom cijelog trajanja terapije.</w:t>
      </w:r>
    </w:p>
    <w:p w14:paraId="16DCE10F" w14:textId="77777777" w:rsidR="00C66563" w:rsidRPr="005A4F9F" w:rsidRDefault="00C66563">
      <w:pPr>
        <w:widowControl w:val="0"/>
        <w:tabs>
          <w:tab w:val="left" w:pos="284"/>
          <w:tab w:val="center" w:pos="4320"/>
          <w:tab w:val="right" w:pos="8640"/>
        </w:tabs>
        <w:jc w:val="both"/>
        <w:rPr>
          <w:sz w:val="22"/>
          <w:szCs w:val="22"/>
          <w:lang w:val="sr-Latn-ME"/>
        </w:rPr>
      </w:pPr>
    </w:p>
    <w:p w14:paraId="32B2BC37" w14:textId="77777777" w:rsidR="00C66563" w:rsidRPr="005A4F9F" w:rsidRDefault="00C66563">
      <w:pPr>
        <w:widowControl w:val="0"/>
        <w:jc w:val="both"/>
        <w:rPr>
          <w:sz w:val="22"/>
          <w:szCs w:val="22"/>
          <w:lang w:val="sr-Latn-ME"/>
        </w:rPr>
      </w:pPr>
      <w:r w:rsidRPr="005A4F9F">
        <w:rPr>
          <w:sz w:val="22"/>
          <w:szCs w:val="22"/>
          <w:lang w:val="sr-Latn-ME"/>
        </w:rPr>
        <w:t xml:space="preserve">Kod zdravih ispitanika koji su primali tocilizumab u dozama od 2 do 28 mg/kg apsolutni broj neutrofila smanjio se na najnižu vrijednost 3 do 5 dana nakon primjene. Nakon toga neutrofili su se ponovo približavali početnoj vrijednosti, pri čemu je porast zavisio od doze. Kod pacijenata sa reumatoidnim artritisom primijećen je sličan obrazac apsolutnog broja neutrofila nakon primjene tocilizumaba (vidjeti dio 4.8). </w:t>
      </w:r>
    </w:p>
    <w:p w14:paraId="0DEB5390" w14:textId="77777777" w:rsidR="00BF249E" w:rsidRPr="005A4F9F" w:rsidRDefault="00BF249E">
      <w:pPr>
        <w:widowControl w:val="0"/>
        <w:jc w:val="both"/>
        <w:rPr>
          <w:sz w:val="22"/>
          <w:szCs w:val="22"/>
          <w:lang w:val="sr-Latn-ME"/>
        </w:rPr>
      </w:pPr>
    </w:p>
    <w:p w14:paraId="17F17D07" w14:textId="77777777" w:rsidR="00BF249E" w:rsidRPr="005A4F9F" w:rsidRDefault="00BF249E">
      <w:pPr>
        <w:widowControl w:val="0"/>
        <w:jc w:val="both"/>
        <w:rPr>
          <w:sz w:val="22"/>
          <w:szCs w:val="22"/>
          <w:lang w:val="sr-Latn-ME"/>
        </w:rPr>
      </w:pPr>
      <w:r w:rsidRPr="005A4F9F">
        <w:rPr>
          <w:sz w:val="22"/>
          <w:szCs w:val="22"/>
          <w:lang w:val="sr-Latn-ME"/>
        </w:rPr>
        <w:t>Kod pacijenata sa COVID</w:t>
      </w:r>
      <w:r w:rsidR="000B331D" w:rsidRPr="005A4F9F">
        <w:rPr>
          <w:sz w:val="22"/>
          <w:szCs w:val="22"/>
          <w:lang w:val="sr-Latn-ME"/>
        </w:rPr>
        <w:t>-</w:t>
      </w:r>
      <w:r w:rsidRPr="005A4F9F">
        <w:rPr>
          <w:sz w:val="22"/>
          <w:szCs w:val="22"/>
          <w:lang w:val="sr-Latn-ME"/>
        </w:rPr>
        <w:t>19 infekcijom koji su primili jednu intravensku dozu tocilizumaba od 8 mg/kg, smanjenja vrijednosti CRP  do onih u normalnom rasponu bila su vidljiva već sedmog dana.</w:t>
      </w:r>
    </w:p>
    <w:p w14:paraId="2656347C" w14:textId="77777777" w:rsidR="00BF249E" w:rsidRPr="005A4F9F" w:rsidRDefault="00BF249E">
      <w:pPr>
        <w:widowControl w:val="0"/>
        <w:tabs>
          <w:tab w:val="left" w:pos="284"/>
          <w:tab w:val="center" w:pos="4320"/>
          <w:tab w:val="right" w:pos="8640"/>
        </w:tabs>
        <w:jc w:val="both"/>
        <w:rPr>
          <w:sz w:val="22"/>
          <w:szCs w:val="22"/>
          <w:lang w:val="sr-Latn-ME"/>
        </w:rPr>
      </w:pPr>
    </w:p>
    <w:p w14:paraId="542842B3" w14:textId="77777777" w:rsidR="00BF249E" w:rsidRPr="005A4F9F" w:rsidRDefault="00BF249E">
      <w:pPr>
        <w:widowControl w:val="0"/>
        <w:tabs>
          <w:tab w:val="left" w:pos="284"/>
          <w:tab w:val="center" w:pos="4320"/>
          <w:tab w:val="right" w:pos="8640"/>
        </w:tabs>
        <w:jc w:val="both"/>
        <w:rPr>
          <w:b/>
          <w:sz w:val="22"/>
          <w:szCs w:val="22"/>
          <w:u w:val="single"/>
          <w:lang w:val="sr-Latn-ME"/>
        </w:rPr>
      </w:pPr>
      <w:r w:rsidRPr="005A4F9F">
        <w:rPr>
          <w:b/>
          <w:sz w:val="22"/>
          <w:szCs w:val="22"/>
          <w:u w:val="single"/>
          <w:lang w:val="sr-Latn-ME"/>
        </w:rPr>
        <w:t>RA pacijenti</w:t>
      </w:r>
    </w:p>
    <w:p w14:paraId="2793BC13" w14:textId="77777777" w:rsidR="00BF249E" w:rsidRPr="005A4F9F" w:rsidRDefault="00BF249E">
      <w:pPr>
        <w:widowControl w:val="0"/>
        <w:tabs>
          <w:tab w:val="left" w:pos="284"/>
          <w:tab w:val="center" w:pos="4320"/>
          <w:tab w:val="right" w:pos="8640"/>
        </w:tabs>
        <w:jc w:val="both"/>
        <w:rPr>
          <w:sz w:val="22"/>
          <w:szCs w:val="22"/>
          <w:lang w:val="sr-Latn-ME"/>
        </w:rPr>
      </w:pPr>
    </w:p>
    <w:p w14:paraId="69A2DFB8" w14:textId="77777777" w:rsidR="00C66563" w:rsidRPr="005A4F9F" w:rsidRDefault="00C665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 xml:space="preserve">Klinička efikasnost i bezbjednost </w:t>
      </w:r>
    </w:p>
    <w:p w14:paraId="286D863D"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Efikasnost tocilizumaba za ublažavanje znakova i simptoma RA proc</w:t>
      </w:r>
      <w:r w:rsidR="00AA10D0" w:rsidRPr="005A4F9F">
        <w:rPr>
          <w:sz w:val="22"/>
          <w:szCs w:val="22"/>
          <w:lang w:val="sr-Latn-ME"/>
        </w:rPr>
        <w:t>i</w:t>
      </w:r>
      <w:r w:rsidRPr="005A4F9F">
        <w:rPr>
          <w:sz w:val="22"/>
          <w:szCs w:val="22"/>
          <w:lang w:val="sr-Latn-ME"/>
        </w:rPr>
        <w:t xml:space="preserve">jenjivana je u pet randomiziranih, dvostruko-slijepih, multicentričnih studija. U studije I-V uključeni su pacijenti uzrasta  </w:t>
      </w:r>
      <w:r w:rsidRPr="005A4F9F">
        <w:rPr>
          <w:sz w:val="22"/>
          <w:szCs w:val="22"/>
          <w:lang w:val="sr-Latn-ME"/>
        </w:rPr>
        <w:sym w:font="Symbol" w:char="F0B3"/>
      </w:r>
      <w:r w:rsidRPr="005A4F9F">
        <w:rPr>
          <w:sz w:val="22"/>
          <w:szCs w:val="22"/>
          <w:lang w:val="sr-Latn-ME"/>
        </w:rPr>
        <w:t xml:space="preserve"> 18 godina kod kojih je aktivni RA dijagnostikovan po kriterijumima Američkog koledža za reumatologiju (ACR) i koji su prije uvođenja terapije (bazalni nivo) imali najmanje osam osjetljivih i šest otečenih zglobova. </w:t>
      </w:r>
    </w:p>
    <w:p w14:paraId="0CC39753" w14:textId="77777777" w:rsidR="00C66563" w:rsidRPr="005A4F9F" w:rsidRDefault="00C66563">
      <w:pPr>
        <w:widowControl w:val="0"/>
        <w:tabs>
          <w:tab w:val="left" w:pos="284"/>
          <w:tab w:val="center" w:pos="4320"/>
          <w:tab w:val="right" w:pos="8640"/>
        </w:tabs>
        <w:jc w:val="both"/>
        <w:rPr>
          <w:sz w:val="22"/>
          <w:szCs w:val="22"/>
          <w:lang w:val="sr-Latn-ME"/>
        </w:rPr>
      </w:pPr>
    </w:p>
    <w:p w14:paraId="4690F15E" w14:textId="6CA58725"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U studiji I, tocilizumab je davan intravenski jednom u četiri ned</w:t>
      </w:r>
      <w:r w:rsidR="00AA10D0" w:rsidRPr="005A4F9F">
        <w:rPr>
          <w:sz w:val="22"/>
          <w:szCs w:val="22"/>
          <w:lang w:val="sr-Latn-ME"/>
        </w:rPr>
        <w:t>j</w:t>
      </w:r>
      <w:r w:rsidRPr="005A4F9F">
        <w:rPr>
          <w:sz w:val="22"/>
          <w:szCs w:val="22"/>
          <w:lang w:val="sr-Latn-ME"/>
        </w:rPr>
        <w:t>elje kao monoterapija. U studijama II, III i V, tocilizumab je davan intravenski jednom u četiri ned</w:t>
      </w:r>
      <w:r w:rsidR="00AA10D0" w:rsidRPr="005A4F9F">
        <w:rPr>
          <w:sz w:val="22"/>
          <w:szCs w:val="22"/>
          <w:lang w:val="sr-Latn-ME"/>
        </w:rPr>
        <w:t>j</w:t>
      </w:r>
      <w:r w:rsidRPr="005A4F9F">
        <w:rPr>
          <w:sz w:val="22"/>
          <w:szCs w:val="22"/>
          <w:lang w:val="sr-Latn-ME"/>
        </w:rPr>
        <w:t>elje u kombinaciji sa  MTX</w:t>
      </w:r>
      <w:r w:rsidR="00CE0C85" w:rsidRPr="005A4F9F">
        <w:rPr>
          <w:sz w:val="22"/>
          <w:szCs w:val="22"/>
          <w:lang w:val="sr-Latn-ME"/>
        </w:rPr>
        <w:t>-om</w:t>
      </w:r>
      <w:r w:rsidRPr="005A4F9F">
        <w:rPr>
          <w:sz w:val="22"/>
          <w:szCs w:val="22"/>
          <w:lang w:val="sr-Latn-ME"/>
        </w:rPr>
        <w:t xml:space="preserve">  u poređenju sa grupama koje su primale placebo i MTX. U studiji IV, tocilizumab je davan intravenski jednom u četiri ned</w:t>
      </w:r>
      <w:r w:rsidR="00AA10D0" w:rsidRPr="005A4F9F">
        <w:rPr>
          <w:sz w:val="22"/>
          <w:szCs w:val="22"/>
          <w:lang w:val="sr-Latn-ME"/>
        </w:rPr>
        <w:t>j</w:t>
      </w:r>
      <w:r w:rsidRPr="005A4F9F">
        <w:rPr>
          <w:sz w:val="22"/>
          <w:szCs w:val="22"/>
          <w:lang w:val="sr-Latn-ME"/>
        </w:rPr>
        <w:t>elje u kombinaciji sa drugim DMARD u poređenju sa grupama koje su primale placebo i druge DMARD.  Primarna krajnja tačka u svakoj od ovih pet studija bio je procenat pacijenata koji su postigli odgovor ACR20 posle 24 ned</w:t>
      </w:r>
      <w:r w:rsidR="00AA10D0" w:rsidRPr="005A4F9F">
        <w:rPr>
          <w:sz w:val="22"/>
          <w:szCs w:val="22"/>
          <w:lang w:val="sr-Latn-ME"/>
        </w:rPr>
        <w:t>j</w:t>
      </w:r>
      <w:r w:rsidRPr="005A4F9F">
        <w:rPr>
          <w:sz w:val="22"/>
          <w:szCs w:val="22"/>
          <w:lang w:val="sr-Latn-ME"/>
        </w:rPr>
        <w:t xml:space="preserve">elje. </w:t>
      </w:r>
    </w:p>
    <w:p w14:paraId="41886F0D" w14:textId="77777777" w:rsidR="00C66563" w:rsidRPr="005A4F9F" w:rsidRDefault="00C66563">
      <w:pPr>
        <w:widowControl w:val="0"/>
        <w:tabs>
          <w:tab w:val="left" w:pos="284"/>
          <w:tab w:val="center" w:pos="4320"/>
          <w:tab w:val="right" w:pos="8640"/>
        </w:tabs>
        <w:jc w:val="both"/>
        <w:rPr>
          <w:sz w:val="22"/>
          <w:szCs w:val="22"/>
          <w:lang w:val="sr-Latn-ME"/>
        </w:rPr>
      </w:pPr>
    </w:p>
    <w:p w14:paraId="2A191FA3" w14:textId="619BFCF3"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Studijom I obuhvaćeno je 673 pacijenata koji ni</w:t>
      </w:r>
      <w:r w:rsidR="00A563B1" w:rsidRPr="005A4F9F">
        <w:rPr>
          <w:sz w:val="22"/>
          <w:szCs w:val="22"/>
          <w:lang w:val="sr-Latn-ME"/>
        </w:rPr>
        <w:t>je</w:t>
      </w:r>
      <w:r w:rsidRPr="005A4F9F">
        <w:rPr>
          <w:sz w:val="22"/>
          <w:szCs w:val="22"/>
          <w:lang w:val="sr-Latn-ME"/>
        </w:rPr>
        <w:t>su primali MTX u periodu od šest mjeseci  prije randomizacije i kojima terapija  MTX nije obustavljena kao rezultat klinički važnih toksičnih dejstava ili odsustva odgovora. Većina ovih pacijenata (67%) ranije nikada ni</w:t>
      </w:r>
      <w:r w:rsidR="00AA10D0" w:rsidRPr="005A4F9F">
        <w:rPr>
          <w:sz w:val="22"/>
          <w:szCs w:val="22"/>
          <w:lang w:val="sr-Latn-ME"/>
        </w:rPr>
        <w:t>je</w:t>
      </w:r>
      <w:r w:rsidRPr="005A4F9F">
        <w:rPr>
          <w:sz w:val="22"/>
          <w:szCs w:val="22"/>
          <w:lang w:val="sr-Latn-ME"/>
        </w:rPr>
        <w:t>su primali MTX. Primjenjivane su doze od 8 mg/kg tocilizumaba jednom u četiri ned</w:t>
      </w:r>
      <w:r w:rsidR="00A563B1" w:rsidRPr="005A4F9F">
        <w:rPr>
          <w:sz w:val="22"/>
          <w:szCs w:val="22"/>
          <w:lang w:val="sr-Latn-ME"/>
        </w:rPr>
        <w:t>j</w:t>
      </w:r>
      <w:r w:rsidRPr="005A4F9F">
        <w:rPr>
          <w:sz w:val="22"/>
          <w:szCs w:val="22"/>
          <w:lang w:val="sr-Latn-ME"/>
        </w:rPr>
        <w:t>elje, kao monoterapija. Poredbena grupa primala je MTX jednom ned</w:t>
      </w:r>
      <w:r w:rsidR="00A563B1" w:rsidRPr="005A4F9F">
        <w:rPr>
          <w:sz w:val="22"/>
          <w:szCs w:val="22"/>
          <w:lang w:val="sr-Latn-ME"/>
        </w:rPr>
        <w:t>j</w:t>
      </w:r>
      <w:r w:rsidRPr="005A4F9F">
        <w:rPr>
          <w:sz w:val="22"/>
          <w:szCs w:val="22"/>
          <w:lang w:val="sr-Latn-ME"/>
        </w:rPr>
        <w:t>eljno (doza titrirana od 7,5 mg do maksimalnih 20 mg ned</w:t>
      </w:r>
      <w:r w:rsidR="00AA10D0" w:rsidRPr="005A4F9F">
        <w:rPr>
          <w:sz w:val="22"/>
          <w:szCs w:val="22"/>
          <w:lang w:val="sr-Latn-ME"/>
        </w:rPr>
        <w:t>j</w:t>
      </w:r>
      <w:r w:rsidRPr="005A4F9F">
        <w:rPr>
          <w:sz w:val="22"/>
          <w:szCs w:val="22"/>
          <w:lang w:val="sr-Latn-ME"/>
        </w:rPr>
        <w:t xml:space="preserve">eljno tokom perioda od </w:t>
      </w:r>
      <w:r w:rsidRPr="005A4F9F">
        <w:rPr>
          <w:sz w:val="22"/>
          <w:szCs w:val="22"/>
          <w:lang w:val="sr-Latn-ME"/>
        </w:rPr>
        <w:lastRenderedPageBreak/>
        <w:t>osam ned</w:t>
      </w:r>
      <w:r w:rsidR="00AA10D0" w:rsidRPr="005A4F9F">
        <w:rPr>
          <w:sz w:val="22"/>
          <w:szCs w:val="22"/>
          <w:lang w:val="sr-Latn-ME"/>
        </w:rPr>
        <w:t>j</w:t>
      </w:r>
      <w:r w:rsidRPr="005A4F9F">
        <w:rPr>
          <w:sz w:val="22"/>
          <w:szCs w:val="22"/>
          <w:lang w:val="sr-Latn-ME"/>
        </w:rPr>
        <w:t xml:space="preserve">elja). </w:t>
      </w:r>
    </w:p>
    <w:p w14:paraId="20DF88DB" w14:textId="77777777" w:rsidR="00C66563" w:rsidRPr="005A4F9F" w:rsidRDefault="00C66563">
      <w:pPr>
        <w:widowControl w:val="0"/>
        <w:tabs>
          <w:tab w:val="left" w:pos="284"/>
          <w:tab w:val="center" w:pos="4320"/>
          <w:tab w:val="right" w:pos="8640"/>
        </w:tabs>
        <w:jc w:val="both"/>
        <w:rPr>
          <w:sz w:val="22"/>
          <w:szCs w:val="22"/>
          <w:lang w:val="sr-Latn-ME"/>
        </w:rPr>
      </w:pPr>
    </w:p>
    <w:p w14:paraId="3A920ED4" w14:textId="54326EAB"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Studijom II, koja je trajala dvije godine i imala planirane analize 24. , 52. ned</w:t>
      </w:r>
      <w:r w:rsidR="00A563B1" w:rsidRPr="005A4F9F">
        <w:rPr>
          <w:sz w:val="22"/>
          <w:szCs w:val="22"/>
          <w:lang w:val="sr-Latn-ME"/>
        </w:rPr>
        <w:t>j</w:t>
      </w:r>
      <w:r w:rsidRPr="005A4F9F">
        <w:rPr>
          <w:sz w:val="22"/>
          <w:szCs w:val="22"/>
          <w:lang w:val="sr-Latn-ME"/>
        </w:rPr>
        <w:t>elje i 104. ned</w:t>
      </w:r>
      <w:r w:rsidR="00A563B1" w:rsidRPr="005A4F9F">
        <w:rPr>
          <w:sz w:val="22"/>
          <w:szCs w:val="22"/>
          <w:lang w:val="sr-Latn-ME"/>
        </w:rPr>
        <w:t>j</w:t>
      </w:r>
      <w:r w:rsidRPr="005A4F9F">
        <w:rPr>
          <w:sz w:val="22"/>
          <w:szCs w:val="22"/>
          <w:lang w:val="sr-Latn-ME"/>
        </w:rPr>
        <w:t>elje, obuhvaćeno je 1196 pacijenata čiji klinički odgovor na MTX nije bio adekvatan. Doze od 4 ili 8 mg/kg tocilizumaba ili placebo davane su  jednom u četiri ned</w:t>
      </w:r>
      <w:r w:rsidR="00AA10D0" w:rsidRPr="005A4F9F">
        <w:rPr>
          <w:sz w:val="22"/>
          <w:szCs w:val="22"/>
          <w:lang w:val="sr-Latn-ME"/>
        </w:rPr>
        <w:t>j</w:t>
      </w:r>
      <w:r w:rsidRPr="005A4F9F">
        <w:rPr>
          <w:sz w:val="22"/>
          <w:szCs w:val="22"/>
          <w:lang w:val="sr-Latn-ME"/>
        </w:rPr>
        <w:t>elje, koristeći „slijepu“ metodu, tokom 52 ned</w:t>
      </w:r>
      <w:r w:rsidR="00AA10D0" w:rsidRPr="005A4F9F">
        <w:rPr>
          <w:sz w:val="22"/>
          <w:szCs w:val="22"/>
          <w:lang w:val="sr-Latn-ME"/>
        </w:rPr>
        <w:t>j</w:t>
      </w:r>
      <w:r w:rsidRPr="005A4F9F">
        <w:rPr>
          <w:sz w:val="22"/>
          <w:szCs w:val="22"/>
          <w:lang w:val="sr-Latn-ME"/>
        </w:rPr>
        <w:t>elje u kombinaciji sa stabilnim MTX</w:t>
      </w:r>
      <w:r w:rsidR="00CE0C85" w:rsidRPr="005A4F9F">
        <w:rPr>
          <w:sz w:val="22"/>
          <w:szCs w:val="22"/>
          <w:lang w:val="sr-Latn-ME"/>
        </w:rPr>
        <w:t>-om</w:t>
      </w:r>
      <w:r w:rsidRPr="005A4F9F">
        <w:rPr>
          <w:sz w:val="22"/>
          <w:szCs w:val="22"/>
          <w:lang w:val="sr-Latn-ME"/>
        </w:rPr>
        <w:t xml:space="preserve"> (10 mg do 25 mg ned</w:t>
      </w:r>
      <w:r w:rsidR="00AA10D0" w:rsidRPr="005A4F9F">
        <w:rPr>
          <w:sz w:val="22"/>
          <w:szCs w:val="22"/>
          <w:lang w:val="sr-Latn-ME"/>
        </w:rPr>
        <w:t>j</w:t>
      </w:r>
      <w:r w:rsidRPr="005A4F9F">
        <w:rPr>
          <w:sz w:val="22"/>
          <w:szCs w:val="22"/>
          <w:lang w:val="sr-Latn-ME"/>
        </w:rPr>
        <w:t>eljno). Nakon 52. ned</w:t>
      </w:r>
      <w:r w:rsidR="00AA10D0" w:rsidRPr="005A4F9F">
        <w:rPr>
          <w:sz w:val="22"/>
          <w:szCs w:val="22"/>
          <w:lang w:val="sr-Latn-ME"/>
        </w:rPr>
        <w:t>j</w:t>
      </w:r>
      <w:r w:rsidRPr="005A4F9F">
        <w:rPr>
          <w:sz w:val="22"/>
          <w:szCs w:val="22"/>
          <w:lang w:val="sr-Latn-ME"/>
        </w:rPr>
        <w:t>elje, u otvorenoj fazi ispitivanja svi su pacijenti mogli primati tocilizumab u dozi od 8 mg/kg. Od pacijenata koji su dovršili ispitivanje i koji su prvobitno randomizovani za placebo + MTX, njih 86% primalo je u drugoj godini u otvorenoj fazi ispitivanja tocilizumab u dozi od 8 mg/kg. Primarna  krajnja tačka</w:t>
      </w:r>
      <w:r w:rsidR="00AA10D0" w:rsidRPr="005A4F9F">
        <w:rPr>
          <w:sz w:val="22"/>
          <w:szCs w:val="22"/>
          <w:lang w:val="sr-Latn-ME"/>
        </w:rPr>
        <w:t xml:space="preserve"> </w:t>
      </w:r>
      <w:r w:rsidRPr="005A4F9F">
        <w:rPr>
          <w:sz w:val="22"/>
          <w:szCs w:val="22"/>
          <w:lang w:val="sr-Latn-ME"/>
        </w:rPr>
        <w:t>24. ned</w:t>
      </w:r>
      <w:r w:rsidR="00A563B1" w:rsidRPr="005A4F9F">
        <w:rPr>
          <w:sz w:val="22"/>
          <w:szCs w:val="22"/>
          <w:lang w:val="sr-Latn-ME"/>
        </w:rPr>
        <w:t>j</w:t>
      </w:r>
      <w:r w:rsidRPr="005A4F9F">
        <w:rPr>
          <w:sz w:val="22"/>
          <w:szCs w:val="22"/>
          <w:lang w:val="sr-Latn-ME"/>
        </w:rPr>
        <w:t>elje bio je procenat pacijenata koji su postigli odgovor ACR 20. Poslije 52 ned</w:t>
      </w:r>
      <w:r w:rsidR="00AA10D0" w:rsidRPr="005A4F9F">
        <w:rPr>
          <w:sz w:val="22"/>
          <w:szCs w:val="22"/>
          <w:lang w:val="sr-Latn-ME"/>
        </w:rPr>
        <w:t>k</w:t>
      </w:r>
      <w:r w:rsidRPr="005A4F9F">
        <w:rPr>
          <w:sz w:val="22"/>
          <w:szCs w:val="22"/>
          <w:lang w:val="sr-Latn-ME"/>
        </w:rPr>
        <w:t>elje, ko-primarne krajnje tačke bile su prevencija oštećenja zglobova i poboljšanje fizičke funkcije.</w:t>
      </w:r>
    </w:p>
    <w:p w14:paraId="104FA99E" w14:textId="77777777" w:rsidR="00C66563" w:rsidRPr="005A4F9F" w:rsidRDefault="00C66563">
      <w:pPr>
        <w:widowControl w:val="0"/>
        <w:tabs>
          <w:tab w:val="left" w:pos="284"/>
          <w:tab w:val="center" w:pos="4320"/>
          <w:tab w:val="right" w:pos="8640"/>
        </w:tabs>
        <w:jc w:val="both"/>
        <w:rPr>
          <w:sz w:val="22"/>
          <w:szCs w:val="22"/>
          <w:lang w:val="sr-Latn-ME"/>
        </w:rPr>
      </w:pPr>
    </w:p>
    <w:p w14:paraId="5B2ADAA1" w14:textId="77D2EB9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Studijom  III obuhvaćeno je 623 pacijenata koji su imali neadekvatan  klinički odgovor na MTX. Doze od 4 ili 8 mg/kg tocilizumaba ili placebo davane su  jednom u četiri ned</w:t>
      </w:r>
      <w:r w:rsidR="00AA10D0" w:rsidRPr="005A4F9F">
        <w:rPr>
          <w:sz w:val="22"/>
          <w:szCs w:val="22"/>
          <w:lang w:val="sr-Latn-ME"/>
        </w:rPr>
        <w:t>j</w:t>
      </w:r>
      <w:r w:rsidRPr="005A4F9F">
        <w:rPr>
          <w:sz w:val="22"/>
          <w:szCs w:val="22"/>
          <w:lang w:val="sr-Latn-ME"/>
        </w:rPr>
        <w:t>elje u kombinaciji sa stabilnim MTX</w:t>
      </w:r>
      <w:r w:rsidR="00CE0C85" w:rsidRPr="005A4F9F">
        <w:rPr>
          <w:sz w:val="22"/>
          <w:szCs w:val="22"/>
          <w:lang w:val="sr-Latn-ME"/>
        </w:rPr>
        <w:t>-om</w:t>
      </w:r>
      <w:r w:rsidRPr="005A4F9F">
        <w:rPr>
          <w:sz w:val="22"/>
          <w:szCs w:val="22"/>
          <w:lang w:val="sr-Latn-ME"/>
        </w:rPr>
        <w:t xml:space="preserve"> (10 mg do 25 mg ned</w:t>
      </w:r>
      <w:r w:rsidR="00A563B1" w:rsidRPr="005A4F9F">
        <w:rPr>
          <w:sz w:val="22"/>
          <w:szCs w:val="22"/>
          <w:lang w:val="sr-Latn-ME"/>
        </w:rPr>
        <w:t>j</w:t>
      </w:r>
      <w:r w:rsidRPr="005A4F9F">
        <w:rPr>
          <w:sz w:val="22"/>
          <w:szCs w:val="22"/>
          <w:lang w:val="sr-Latn-ME"/>
        </w:rPr>
        <w:t xml:space="preserve">eljno). </w:t>
      </w:r>
    </w:p>
    <w:p w14:paraId="1612303A" w14:textId="77777777" w:rsidR="00C66563" w:rsidRPr="005A4F9F" w:rsidRDefault="00C66563">
      <w:pPr>
        <w:widowControl w:val="0"/>
        <w:tabs>
          <w:tab w:val="left" w:pos="284"/>
          <w:tab w:val="center" w:pos="4320"/>
          <w:tab w:val="right" w:pos="8640"/>
        </w:tabs>
        <w:jc w:val="both"/>
        <w:rPr>
          <w:sz w:val="22"/>
          <w:szCs w:val="22"/>
          <w:lang w:val="sr-Latn-ME"/>
        </w:rPr>
      </w:pPr>
    </w:p>
    <w:p w14:paraId="52D0DD76"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Studijom IV obuhvaćeno je 1220 pacijenata koji su imali neadekvatan odgovor na tekuću reumatološku terapiju uključujući i jedan ili više DMARD. Doze od 8 mg/kg tocilizumaba ili placebo davane su jednom u četiri ned</w:t>
      </w:r>
      <w:r w:rsidR="00AA10D0" w:rsidRPr="005A4F9F">
        <w:rPr>
          <w:sz w:val="22"/>
          <w:szCs w:val="22"/>
          <w:lang w:val="sr-Latn-ME"/>
        </w:rPr>
        <w:t>j</w:t>
      </w:r>
      <w:r w:rsidRPr="005A4F9F">
        <w:rPr>
          <w:sz w:val="22"/>
          <w:szCs w:val="22"/>
          <w:lang w:val="sr-Latn-ME"/>
        </w:rPr>
        <w:t xml:space="preserve">elje u kombinaciji sa stabilnim DMARD. </w:t>
      </w:r>
    </w:p>
    <w:p w14:paraId="31CCE125" w14:textId="77777777" w:rsidR="00C66563" w:rsidRPr="005A4F9F" w:rsidRDefault="00C66563">
      <w:pPr>
        <w:widowControl w:val="0"/>
        <w:tabs>
          <w:tab w:val="left" w:pos="284"/>
          <w:tab w:val="center" w:pos="4320"/>
          <w:tab w:val="right" w:pos="8640"/>
        </w:tabs>
        <w:jc w:val="both"/>
        <w:rPr>
          <w:sz w:val="22"/>
          <w:szCs w:val="22"/>
          <w:lang w:val="sr-Latn-ME"/>
        </w:rPr>
      </w:pPr>
    </w:p>
    <w:p w14:paraId="1BE603CA" w14:textId="3BDAEA41"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Studijom V obuhvaćeno je 499 pacijenata koji su imali neadekvatan  klinički odgovor na terapiju antagonistima TNF. Terapija antagonistima TNF obustavljena je prije randomizacije.  Doze od 4 ili 8 mg/kg tocilizumaba ili placebo davane su  jednom u četiri ned</w:t>
      </w:r>
      <w:r w:rsidR="00AA10D0" w:rsidRPr="005A4F9F">
        <w:rPr>
          <w:sz w:val="22"/>
          <w:szCs w:val="22"/>
          <w:lang w:val="sr-Latn-ME"/>
        </w:rPr>
        <w:t>j</w:t>
      </w:r>
      <w:r w:rsidRPr="005A4F9F">
        <w:rPr>
          <w:sz w:val="22"/>
          <w:szCs w:val="22"/>
          <w:lang w:val="sr-Latn-ME"/>
        </w:rPr>
        <w:t>elje u kombinaciji sa stabilnim MTX</w:t>
      </w:r>
      <w:r w:rsidR="00CE0C85" w:rsidRPr="005A4F9F">
        <w:rPr>
          <w:sz w:val="22"/>
          <w:szCs w:val="22"/>
          <w:lang w:val="sr-Latn-ME"/>
        </w:rPr>
        <w:t>-om</w:t>
      </w:r>
      <w:r w:rsidRPr="005A4F9F">
        <w:rPr>
          <w:sz w:val="22"/>
          <w:szCs w:val="22"/>
          <w:lang w:val="sr-Latn-ME"/>
        </w:rPr>
        <w:t xml:space="preserve"> (10 mg do 25 mg ned</w:t>
      </w:r>
      <w:r w:rsidR="00AA10D0" w:rsidRPr="005A4F9F">
        <w:rPr>
          <w:sz w:val="22"/>
          <w:szCs w:val="22"/>
          <w:lang w:val="sr-Latn-ME"/>
        </w:rPr>
        <w:t>j</w:t>
      </w:r>
      <w:r w:rsidRPr="005A4F9F">
        <w:rPr>
          <w:sz w:val="22"/>
          <w:szCs w:val="22"/>
          <w:lang w:val="sr-Latn-ME"/>
        </w:rPr>
        <w:t xml:space="preserve">eljno). </w:t>
      </w:r>
    </w:p>
    <w:p w14:paraId="622C0A76" w14:textId="77777777" w:rsidR="00C66563" w:rsidRPr="005A4F9F" w:rsidRDefault="00C66563">
      <w:pPr>
        <w:widowControl w:val="0"/>
        <w:tabs>
          <w:tab w:val="left" w:pos="284"/>
          <w:tab w:val="center" w:pos="4320"/>
          <w:tab w:val="right" w:pos="8640"/>
        </w:tabs>
        <w:jc w:val="both"/>
        <w:rPr>
          <w:sz w:val="22"/>
          <w:szCs w:val="22"/>
          <w:lang w:val="sr-Latn-ME"/>
        </w:rPr>
      </w:pPr>
    </w:p>
    <w:p w14:paraId="4E9A45E8" w14:textId="77777777" w:rsidR="00C66563" w:rsidRPr="005A4F9F" w:rsidRDefault="00C66563">
      <w:pPr>
        <w:widowControl w:val="0"/>
        <w:tabs>
          <w:tab w:val="left" w:pos="284"/>
          <w:tab w:val="center" w:pos="4320"/>
          <w:tab w:val="right" w:pos="8640"/>
        </w:tabs>
        <w:jc w:val="both"/>
        <w:rPr>
          <w:iCs/>
          <w:sz w:val="22"/>
          <w:szCs w:val="22"/>
          <w:u w:val="single"/>
          <w:lang w:val="sr-Latn-ME"/>
        </w:rPr>
      </w:pPr>
      <w:r w:rsidRPr="005A4F9F">
        <w:rPr>
          <w:iCs/>
          <w:sz w:val="22"/>
          <w:szCs w:val="22"/>
          <w:u w:val="single"/>
          <w:lang w:val="sr-Latn-ME"/>
        </w:rPr>
        <w:t>Klinički odgovor</w:t>
      </w:r>
    </w:p>
    <w:p w14:paraId="0F78A47C"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U svim studijama, pacijenti koji su primali tocilizumab 8 mg/kg imali su statistički značajno više stope odgovora ACR 20, 50, 70 poslije šest mjeseci u poređenju sa kontrolom (Tabela 3). U studiji I, superiornost tocilizumaba 8 mg/kg p</w:t>
      </w:r>
      <w:r w:rsidR="00AA10D0" w:rsidRPr="005A4F9F">
        <w:rPr>
          <w:sz w:val="22"/>
          <w:szCs w:val="22"/>
          <w:lang w:val="sr-Latn-ME"/>
        </w:rPr>
        <w:t>ri</w:t>
      </w:r>
      <w:r w:rsidRPr="005A4F9F">
        <w:rPr>
          <w:sz w:val="22"/>
          <w:szCs w:val="22"/>
          <w:lang w:val="sr-Latn-ME"/>
        </w:rPr>
        <w:t>kazana je i u poređenju sa aktivnim poredbenim lijekom, MTX.</w:t>
      </w:r>
    </w:p>
    <w:p w14:paraId="224ADC4D" w14:textId="77777777" w:rsidR="00C66563" w:rsidRPr="005A4F9F" w:rsidRDefault="00C66563">
      <w:pPr>
        <w:widowControl w:val="0"/>
        <w:tabs>
          <w:tab w:val="left" w:pos="540"/>
          <w:tab w:val="left" w:pos="569"/>
        </w:tabs>
        <w:jc w:val="both"/>
        <w:rPr>
          <w:sz w:val="22"/>
          <w:szCs w:val="22"/>
          <w:lang w:val="sr-Latn-ME"/>
        </w:rPr>
      </w:pPr>
    </w:p>
    <w:p w14:paraId="2CF232BE" w14:textId="783432B1"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Terapijsko dejstvo bilo je slično kod pacijenata nezavisno od statusa reumatoidnog faktora, godina starosti, pola, rase, broja prethodnih terapija ili stanja bolesti. Vrijeme do početka dejstva bilo je kratko (već od 2. ned</w:t>
      </w:r>
      <w:r w:rsidR="00A563B1" w:rsidRPr="005A4F9F">
        <w:rPr>
          <w:sz w:val="22"/>
          <w:szCs w:val="22"/>
          <w:lang w:val="sr-Latn-ME"/>
        </w:rPr>
        <w:t>j</w:t>
      </w:r>
      <w:r w:rsidRPr="005A4F9F">
        <w:rPr>
          <w:sz w:val="22"/>
          <w:szCs w:val="22"/>
          <w:lang w:val="sr-Latn-ME"/>
        </w:rPr>
        <w:t>elje), a veličina odgovora nastavljala je da se popravlja tokom trajanja terapije. Kontinuirani trajni odgovor zabilježen je tokom više od  3 godine</w:t>
      </w:r>
      <w:r w:rsidR="00AA10D0" w:rsidRPr="005A4F9F">
        <w:rPr>
          <w:sz w:val="22"/>
          <w:szCs w:val="22"/>
          <w:lang w:val="sr-Latn-ME"/>
        </w:rPr>
        <w:t xml:space="preserve"> </w:t>
      </w:r>
      <w:r w:rsidRPr="005A4F9F">
        <w:rPr>
          <w:sz w:val="22"/>
          <w:szCs w:val="22"/>
          <w:lang w:val="sr-Latn-ME"/>
        </w:rPr>
        <w:t xml:space="preserve">i </w:t>
      </w:r>
      <w:r w:rsidR="00A14D1F" w:rsidRPr="005A4F9F">
        <w:rPr>
          <w:sz w:val="22"/>
          <w:szCs w:val="22"/>
          <w:lang w:val="sr-Latn-ME"/>
        </w:rPr>
        <w:t xml:space="preserve">u </w:t>
      </w:r>
      <w:r w:rsidRPr="005A4F9F">
        <w:rPr>
          <w:sz w:val="22"/>
          <w:szCs w:val="22"/>
          <w:lang w:val="sr-Latn-ME"/>
        </w:rPr>
        <w:t xml:space="preserve"> otvorenim produžecima studija  I-V.</w:t>
      </w:r>
    </w:p>
    <w:p w14:paraId="62916269"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 xml:space="preserve">Kod pacijenata koji su primali tocilizumab 8 mg/kg, značajna poboljšanja zabilježena su u svim individualnim komponentama odgovora ACR uključujući broj osjetljivih i otečenih zglobova, globalnu procjenu pacijenta i ljekara, indekse onesposobljenosti, procjenu bola i CRP  u poređenju sa pacijentima koji su primali placebo plus MTX ili druge DMARD u svim studijama. </w:t>
      </w:r>
    </w:p>
    <w:p w14:paraId="7E79499B" w14:textId="77777777" w:rsidR="00C66563" w:rsidRPr="005A4F9F" w:rsidRDefault="00C66563">
      <w:pPr>
        <w:widowControl w:val="0"/>
        <w:tabs>
          <w:tab w:val="left" w:pos="284"/>
          <w:tab w:val="center" w:pos="4320"/>
          <w:tab w:val="right" w:pos="8640"/>
        </w:tabs>
        <w:jc w:val="both"/>
        <w:rPr>
          <w:sz w:val="22"/>
          <w:szCs w:val="22"/>
          <w:lang w:val="sr-Latn-ME"/>
        </w:rPr>
      </w:pPr>
    </w:p>
    <w:p w14:paraId="0E09BBFE" w14:textId="4028C8D8"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Pacijenti u studijama I – V imali su srednji Skor aktivnosti bolesti (DAS28) od 6,5–6,8 prije uvođenja terapije (osnovni nivo). Značajno smanjenje DAS28 u odnosu na ovaj osnovni, predterapijski nivo (srednje poboljšanje) od 3,1–3,4 zabilježeni su kod  pacijenata liječenih tocilizumabom u poređenju sa kontrolnim bolesnicima (1,3-2,1). Procenat  pacijenata koji su postizali kliničku remisiju po DAS28 (DAS28 &lt; 2,6) bio je značajno veći kod pacijenata koji su primali tocilizumab (28–34%) u poređenju sa 1–12% kod kontrolnih pacijenata poslije 24 ned</w:t>
      </w:r>
      <w:r w:rsidR="00A563B1" w:rsidRPr="005A4F9F">
        <w:rPr>
          <w:sz w:val="22"/>
          <w:szCs w:val="22"/>
          <w:lang w:val="sr-Latn-ME"/>
        </w:rPr>
        <w:t>j</w:t>
      </w:r>
      <w:r w:rsidRPr="005A4F9F">
        <w:rPr>
          <w:sz w:val="22"/>
          <w:szCs w:val="22"/>
          <w:lang w:val="sr-Latn-ME"/>
        </w:rPr>
        <w:t>elje. U studiji II, 47% pacijenata postiglo je DAS28 &lt; 2,6 posle 52 ned</w:t>
      </w:r>
      <w:r w:rsidR="001B7DBF" w:rsidRPr="005A4F9F">
        <w:rPr>
          <w:sz w:val="22"/>
          <w:szCs w:val="22"/>
          <w:lang w:val="sr-Latn-ME"/>
        </w:rPr>
        <w:t>j</w:t>
      </w:r>
      <w:r w:rsidRPr="005A4F9F">
        <w:rPr>
          <w:sz w:val="22"/>
          <w:szCs w:val="22"/>
          <w:lang w:val="sr-Latn-ME"/>
        </w:rPr>
        <w:t>elje, u poređenju sa 33% pacijenata posle 24 ned</w:t>
      </w:r>
      <w:r w:rsidR="00A563B1" w:rsidRPr="005A4F9F">
        <w:rPr>
          <w:sz w:val="22"/>
          <w:szCs w:val="22"/>
          <w:lang w:val="sr-Latn-ME"/>
        </w:rPr>
        <w:t>j</w:t>
      </w:r>
      <w:r w:rsidRPr="005A4F9F">
        <w:rPr>
          <w:sz w:val="22"/>
          <w:szCs w:val="22"/>
          <w:lang w:val="sr-Latn-ME"/>
        </w:rPr>
        <w:t>elje.</w:t>
      </w:r>
    </w:p>
    <w:p w14:paraId="267DBC58" w14:textId="77777777" w:rsidR="00C66563" w:rsidRPr="005A4F9F" w:rsidRDefault="00C66563">
      <w:pPr>
        <w:widowControl w:val="0"/>
        <w:tabs>
          <w:tab w:val="left" w:pos="284"/>
          <w:tab w:val="center" w:pos="4320"/>
          <w:tab w:val="right" w:pos="8640"/>
        </w:tabs>
        <w:jc w:val="both"/>
        <w:rPr>
          <w:sz w:val="22"/>
          <w:szCs w:val="22"/>
          <w:lang w:val="sr-Latn-ME"/>
        </w:rPr>
      </w:pPr>
    </w:p>
    <w:p w14:paraId="40AF30DE" w14:textId="77777777" w:rsidR="00C66563" w:rsidRPr="005A4F9F" w:rsidRDefault="00C66563">
      <w:pPr>
        <w:widowControl w:val="0"/>
        <w:tabs>
          <w:tab w:val="left" w:pos="284"/>
          <w:tab w:val="center" w:pos="4320"/>
          <w:tab w:val="right" w:pos="8640"/>
        </w:tabs>
        <w:jc w:val="both"/>
        <w:rPr>
          <w:sz w:val="22"/>
          <w:szCs w:val="22"/>
          <w:lang w:val="sr-Latn-ME"/>
        </w:rPr>
      </w:pPr>
      <w:r w:rsidRPr="005A4F9F">
        <w:rPr>
          <w:sz w:val="22"/>
          <w:szCs w:val="22"/>
          <w:lang w:val="sr-Latn-ME"/>
        </w:rPr>
        <w:t>U objedinjenoj analizi studija II, III i IV, procenat pacijenata koji su postigli odgovor ACR 20, 50 i 70 bio je značajno veći  (59%  prema 50%, 37%  prema 27%, i 18%  prema 11%, po studijama) u grupi tocilizumab 8 mg/kg plus DMARD prema grupi tocilizumab 4 mg/kg plus DMARD (p&lt; 0,03). Isto tako, procenat pacijenata koji su postigli remisiju DAS 28 (DAS28 &lt; 2,6) bio je značajno veći (31% prema 16%) kod pacijenata koji su primali tocilizumab 8 mg/kg plus DMARD nego kod pacijenata koji su primali  tocilizumab 4 mg/kg plus DMARD (p&lt; 0,0001).</w:t>
      </w:r>
    </w:p>
    <w:p w14:paraId="1BF297A2" w14:textId="77777777" w:rsidR="00C66563" w:rsidRPr="008B00DE" w:rsidRDefault="00C66563" w:rsidP="008B00DE">
      <w:pPr>
        <w:widowControl w:val="0"/>
        <w:tabs>
          <w:tab w:val="left" w:pos="284"/>
          <w:tab w:val="center" w:pos="4320"/>
          <w:tab w:val="right" w:pos="8640"/>
        </w:tabs>
        <w:jc w:val="both"/>
        <w:rPr>
          <w:sz w:val="22"/>
          <w:szCs w:val="22"/>
          <w:lang w:val="sr-Latn-ME"/>
        </w:rPr>
      </w:pPr>
    </w:p>
    <w:p w14:paraId="44AFD34E" w14:textId="77777777" w:rsidR="00C66563" w:rsidRPr="008B00DE" w:rsidRDefault="00C66563" w:rsidP="008B00DE">
      <w:pPr>
        <w:widowControl w:val="0"/>
        <w:tabs>
          <w:tab w:val="left" w:pos="284"/>
          <w:tab w:val="center" w:pos="4320"/>
          <w:tab w:val="right" w:pos="8640"/>
        </w:tabs>
        <w:jc w:val="both"/>
        <w:rPr>
          <w:i/>
          <w:sz w:val="22"/>
          <w:szCs w:val="22"/>
          <w:lang w:val="sr-Latn-ME"/>
        </w:rPr>
      </w:pPr>
      <w:r w:rsidRPr="008B00DE">
        <w:rPr>
          <w:bCs/>
          <w:i/>
          <w:sz w:val="22"/>
          <w:szCs w:val="22"/>
          <w:lang w:val="sr-Latn-ME"/>
        </w:rPr>
        <w:t xml:space="preserve">Tabela </w:t>
      </w:r>
      <w:r w:rsidR="00BF249E" w:rsidRPr="008B00DE">
        <w:rPr>
          <w:bCs/>
          <w:i/>
          <w:sz w:val="22"/>
          <w:szCs w:val="22"/>
          <w:lang w:val="sr-Latn-ME"/>
        </w:rPr>
        <w:t>4</w:t>
      </w:r>
      <w:r w:rsidRPr="008B00DE">
        <w:rPr>
          <w:bCs/>
          <w:i/>
          <w:sz w:val="22"/>
          <w:szCs w:val="22"/>
          <w:lang w:val="sr-Latn-ME"/>
        </w:rPr>
        <w:t>. ACR odgovori u studijama u kojima su kontrole bili placebo-/MTX-/DMARD (% pacijenata)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666"/>
        <w:gridCol w:w="667"/>
        <w:gridCol w:w="933"/>
        <w:gridCol w:w="667"/>
        <w:gridCol w:w="933"/>
        <w:gridCol w:w="770"/>
        <w:gridCol w:w="928"/>
        <w:gridCol w:w="917"/>
        <w:gridCol w:w="11"/>
        <w:gridCol w:w="975"/>
        <w:gridCol w:w="665"/>
      </w:tblGrid>
      <w:tr w:rsidR="00C66563" w:rsidRPr="005A4F9F" w14:paraId="0A84772E" w14:textId="77777777" w:rsidTr="008B00DE">
        <w:trPr>
          <w:trHeight w:val="462"/>
          <w:jc w:val="center"/>
        </w:trPr>
        <w:tc>
          <w:tcPr>
            <w:tcW w:w="513" w:type="pct"/>
          </w:tcPr>
          <w:p w14:paraId="284A2CAE"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735" w:type="pct"/>
            <w:gridSpan w:val="2"/>
            <w:tcBorders>
              <w:bottom w:val="single" w:sz="4" w:space="0" w:color="auto"/>
            </w:tcBorders>
          </w:tcPr>
          <w:p w14:paraId="40A0E4C8"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Studija I</w:t>
            </w:r>
          </w:p>
          <w:p w14:paraId="777590C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AMBITIO</w:t>
            </w:r>
            <w:r w:rsidRPr="008B00DE">
              <w:rPr>
                <w:b/>
                <w:bCs/>
                <w:sz w:val="22"/>
                <w:szCs w:val="22"/>
                <w:lang w:val="sr-Latn-ME"/>
              </w:rPr>
              <w:lastRenderedPageBreak/>
              <w:t>N</w:t>
            </w:r>
          </w:p>
        </w:tc>
        <w:tc>
          <w:tcPr>
            <w:tcW w:w="883" w:type="pct"/>
            <w:gridSpan w:val="2"/>
            <w:tcBorders>
              <w:bottom w:val="single" w:sz="4" w:space="0" w:color="auto"/>
            </w:tcBorders>
          </w:tcPr>
          <w:p w14:paraId="743F8D4F"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lastRenderedPageBreak/>
              <w:t>Studija II</w:t>
            </w:r>
          </w:p>
          <w:p w14:paraId="451D154C"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
                <w:bCs/>
                <w:sz w:val="22"/>
                <w:szCs w:val="22"/>
                <w:lang w:val="sr-Latn-ME"/>
              </w:rPr>
              <w:t>LITHE</w:t>
            </w:r>
          </w:p>
        </w:tc>
        <w:tc>
          <w:tcPr>
            <w:tcW w:w="940" w:type="pct"/>
            <w:gridSpan w:val="2"/>
            <w:tcBorders>
              <w:bottom w:val="single" w:sz="4" w:space="0" w:color="auto"/>
            </w:tcBorders>
          </w:tcPr>
          <w:p w14:paraId="07C6D95B"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Studija III</w:t>
            </w:r>
          </w:p>
          <w:p w14:paraId="728D3C3E"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
                <w:bCs/>
                <w:sz w:val="22"/>
                <w:szCs w:val="22"/>
                <w:lang w:val="sr-Latn-ME"/>
              </w:rPr>
              <w:t>OPTION</w:t>
            </w:r>
          </w:p>
        </w:tc>
        <w:tc>
          <w:tcPr>
            <w:tcW w:w="1023" w:type="pct"/>
            <w:gridSpan w:val="3"/>
            <w:tcBorders>
              <w:bottom w:val="single" w:sz="4" w:space="0" w:color="auto"/>
            </w:tcBorders>
          </w:tcPr>
          <w:p w14:paraId="2F4CFB9A"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Studija IV</w:t>
            </w:r>
          </w:p>
          <w:p w14:paraId="375D1E22"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TOWARD</w:t>
            </w:r>
          </w:p>
        </w:tc>
        <w:tc>
          <w:tcPr>
            <w:tcW w:w="906" w:type="pct"/>
            <w:gridSpan w:val="2"/>
            <w:tcBorders>
              <w:bottom w:val="single" w:sz="4" w:space="0" w:color="auto"/>
            </w:tcBorders>
          </w:tcPr>
          <w:p w14:paraId="0A59DA5E"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Studija V</w:t>
            </w:r>
          </w:p>
          <w:p w14:paraId="341AFDB9"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RADIATE</w:t>
            </w:r>
          </w:p>
        </w:tc>
      </w:tr>
      <w:tr w:rsidR="00C66563" w:rsidRPr="005A4F9F" w14:paraId="231C8B13" w14:textId="77777777" w:rsidTr="008B00DE">
        <w:trPr>
          <w:trHeight w:val="735"/>
          <w:jc w:val="center"/>
        </w:trPr>
        <w:tc>
          <w:tcPr>
            <w:tcW w:w="513" w:type="pct"/>
          </w:tcPr>
          <w:p w14:paraId="16DCD271"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Cs/>
                <w:sz w:val="22"/>
                <w:szCs w:val="22"/>
                <w:lang w:val="sr-Latn-ME"/>
              </w:rPr>
              <w:t>Ned</w:t>
            </w:r>
            <w:r w:rsidR="001B7DBF" w:rsidRPr="008B00DE">
              <w:rPr>
                <w:bCs/>
                <w:sz w:val="22"/>
                <w:szCs w:val="22"/>
                <w:lang w:val="sr-Latn-ME"/>
              </w:rPr>
              <w:t>j</w:t>
            </w:r>
            <w:r w:rsidRPr="008B00DE">
              <w:rPr>
                <w:bCs/>
                <w:sz w:val="22"/>
                <w:szCs w:val="22"/>
                <w:lang w:val="sr-Latn-ME"/>
              </w:rPr>
              <w:t>elja</w:t>
            </w:r>
          </w:p>
        </w:tc>
        <w:tc>
          <w:tcPr>
            <w:tcW w:w="367" w:type="pct"/>
            <w:tcBorders>
              <w:right w:val="single" w:sz="4" w:space="0" w:color="auto"/>
            </w:tcBorders>
          </w:tcPr>
          <w:p w14:paraId="3081EB67"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TCZ</w:t>
            </w:r>
          </w:p>
          <w:p w14:paraId="0330AAA9"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
                <w:bCs/>
                <w:sz w:val="22"/>
                <w:szCs w:val="22"/>
                <w:lang w:val="sr-Latn-ME"/>
              </w:rPr>
              <w:t>8 mg/kg</w:t>
            </w:r>
          </w:p>
        </w:tc>
        <w:tc>
          <w:tcPr>
            <w:tcW w:w="368" w:type="pct"/>
            <w:tcBorders>
              <w:left w:val="single" w:sz="4" w:space="0" w:color="auto"/>
              <w:right w:val="single" w:sz="4" w:space="0" w:color="auto"/>
            </w:tcBorders>
          </w:tcPr>
          <w:p w14:paraId="7D0FB982"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
                <w:bCs/>
                <w:sz w:val="22"/>
                <w:szCs w:val="22"/>
                <w:lang w:val="sr-Latn-ME"/>
              </w:rPr>
              <w:t>MTX</w:t>
            </w:r>
          </w:p>
        </w:tc>
        <w:tc>
          <w:tcPr>
            <w:tcW w:w="515" w:type="pct"/>
            <w:tcBorders>
              <w:left w:val="single" w:sz="4" w:space="0" w:color="auto"/>
              <w:right w:val="single" w:sz="4" w:space="0" w:color="auto"/>
            </w:tcBorders>
          </w:tcPr>
          <w:p w14:paraId="5F4C9F32"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TCZ</w:t>
            </w:r>
          </w:p>
          <w:p w14:paraId="19843262"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8 mg/kg + MTX</w:t>
            </w:r>
          </w:p>
        </w:tc>
        <w:tc>
          <w:tcPr>
            <w:tcW w:w="368" w:type="pct"/>
            <w:tcBorders>
              <w:left w:val="single" w:sz="4" w:space="0" w:color="auto"/>
              <w:right w:val="single" w:sz="4" w:space="0" w:color="auto"/>
            </w:tcBorders>
          </w:tcPr>
          <w:p w14:paraId="7F8D9EAF" w14:textId="77777777" w:rsidR="001B7DBF"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PBO +</w:t>
            </w:r>
          </w:p>
          <w:p w14:paraId="770D8B8B"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b/>
                <w:bCs/>
                <w:sz w:val="22"/>
                <w:szCs w:val="22"/>
                <w:lang w:val="sr-Latn-ME"/>
              </w:rPr>
              <w:t>MTX</w:t>
            </w:r>
          </w:p>
        </w:tc>
        <w:tc>
          <w:tcPr>
            <w:tcW w:w="515" w:type="pct"/>
            <w:tcBorders>
              <w:left w:val="single" w:sz="4" w:space="0" w:color="auto"/>
              <w:right w:val="single" w:sz="4" w:space="0" w:color="auto"/>
            </w:tcBorders>
          </w:tcPr>
          <w:p w14:paraId="5DAF49F5"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TCZ</w:t>
            </w:r>
          </w:p>
          <w:p w14:paraId="28B51C97"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8 mg/kg + MTX</w:t>
            </w:r>
          </w:p>
        </w:tc>
        <w:tc>
          <w:tcPr>
            <w:tcW w:w="425" w:type="pct"/>
            <w:tcBorders>
              <w:left w:val="single" w:sz="4" w:space="0" w:color="auto"/>
            </w:tcBorders>
          </w:tcPr>
          <w:p w14:paraId="47168580" w14:textId="77777777" w:rsidR="001B7DBF"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PBO +</w:t>
            </w:r>
          </w:p>
          <w:p w14:paraId="460C65A1"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MTX</w:t>
            </w:r>
          </w:p>
        </w:tc>
        <w:tc>
          <w:tcPr>
            <w:tcW w:w="512" w:type="pct"/>
            <w:tcBorders>
              <w:left w:val="nil"/>
              <w:right w:val="single" w:sz="4" w:space="0" w:color="auto"/>
            </w:tcBorders>
          </w:tcPr>
          <w:p w14:paraId="64A39B11"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TCZ</w:t>
            </w:r>
          </w:p>
          <w:p w14:paraId="7380C340"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8 mg/kg + DMARD</w:t>
            </w:r>
          </w:p>
        </w:tc>
        <w:tc>
          <w:tcPr>
            <w:tcW w:w="512" w:type="pct"/>
            <w:gridSpan w:val="2"/>
            <w:tcBorders>
              <w:left w:val="single" w:sz="4" w:space="0" w:color="auto"/>
            </w:tcBorders>
          </w:tcPr>
          <w:p w14:paraId="2DCF538E"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PBO + DMARD</w:t>
            </w:r>
          </w:p>
        </w:tc>
        <w:tc>
          <w:tcPr>
            <w:tcW w:w="538" w:type="pct"/>
            <w:tcBorders>
              <w:left w:val="nil"/>
              <w:right w:val="single" w:sz="4" w:space="0" w:color="auto"/>
            </w:tcBorders>
          </w:tcPr>
          <w:p w14:paraId="05C5383F"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TCZ 8 mg/kg + MTX</w:t>
            </w:r>
          </w:p>
        </w:tc>
        <w:tc>
          <w:tcPr>
            <w:tcW w:w="367" w:type="pct"/>
            <w:tcBorders>
              <w:left w:val="single" w:sz="4" w:space="0" w:color="auto"/>
            </w:tcBorders>
          </w:tcPr>
          <w:p w14:paraId="7A0B6B3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PBO + MTX</w:t>
            </w:r>
            <w:r w:rsidRPr="008B00DE">
              <w:rPr>
                <w:b/>
                <w:bCs/>
                <w:sz w:val="22"/>
                <w:szCs w:val="22"/>
                <w:lang w:val="sr-Latn-ME"/>
              </w:rPr>
              <w:br/>
            </w:r>
          </w:p>
        </w:tc>
      </w:tr>
      <w:tr w:rsidR="00C66563" w:rsidRPr="005A4F9F" w14:paraId="3E39701C" w14:textId="77777777" w:rsidTr="008B00DE">
        <w:trPr>
          <w:trHeight w:val="520"/>
          <w:jc w:val="center"/>
        </w:trPr>
        <w:tc>
          <w:tcPr>
            <w:tcW w:w="513" w:type="pct"/>
          </w:tcPr>
          <w:p w14:paraId="19102202" w14:textId="77777777" w:rsidR="00C66563" w:rsidRPr="008B00DE" w:rsidRDefault="00C66563" w:rsidP="008B00DE">
            <w:pPr>
              <w:widowControl w:val="0"/>
              <w:tabs>
                <w:tab w:val="left" w:pos="284"/>
                <w:tab w:val="center" w:pos="4320"/>
                <w:tab w:val="right" w:pos="8640"/>
              </w:tabs>
              <w:jc w:val="both"/>
              <w:rPr>
                <w:b/>
                <w:bCs/>
                <w:sz w:val="22"/>
                <w:szCs w:val="22"/>
                <w:lang w:val="sr-Latn-ME"/>
              </w:rPr>
            </w:pPr>
          </w:p>
        </w:tc>
        <w:tc>
          <w:tcPr>
            <w:tcW w:w="367" w:type="pct"/>
            <w:tcBorders>
              <w:right w:val="single" w:sz="4" w:space="0" w:color="auto"/>
            </w:tcBorders>
          </w:tcPr>
          <w:p w14:paraId="1AF572DB"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5544040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286</w:t>
            </w:r>
          </w:p>
        </w:tc>
        <w:tc>
          <w:tcPr>
            <w:tcW w:w="368" w:type="pct"/>
            <w:tcBorders>
              <w:left w:val="single" w:sz="4" w:space="0" w:color="auto"/>
              <w:right w:val="single" w:sz="4" w:space="0" w:color="auto"/>
            </w:tcBorders>
          </w:tcPr>
          <w:p w14:paraId="2D5AD9BB"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115FB154"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284</w:t>
            </w:r>
          </w:p>
        </w:tc>
        <w:tc>
          <w:tcPr>
            <w:tcW w:w="515" w:type="pct"/>
            <w:tcBorders>
              <w:left w:val="single" w:sz="4" w:space="0" w:color="auto"/>
              <w:right w:val="single" w:sz="4" w:space="0" w:color="auto"/>
            </w:tcBorders>
          </w:tcPr>
          <w:p w14:paraId="1F22A78E"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0F82A35E"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398</w:t>
            </w:r>
          </w:p>
        </w:tc>
        <w:tc>
          <w:tcPr>
            <w:tcW w:w="368" w:type="pct"/>
            <w:tcBorders>
              <w:left w:val="single" w:sz="4" w:space="0" w:color="auto"/>
              <w:right w:val="single" w:sz="4" w:space="0" w:color="auto"/>
            </w:tcBorders>
          </w:tcPr>
          <w:p w14:paraId="21C20A24"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2C0BDB60"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393</w:t>
            </w:r>
          </w:p>
        </w:tc>
        <w:tc>
          <w:tcPr>
            <w:tcW w:w="515" w:type="pct"/>
            <w:tcBorders>
              <w:left w:val="single" w:sz="4" w:space="0" w:color="auto"/>
              <w:right w:val="single" w:sz="4" w:space="0" w:color="auto"/>
            </w:tcBorders>
          </w:tcPr>
          <w:p w14:paraId="5DEBB29D"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3630087A"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205</w:t>
            </w:r>
          </w:p>
        </w:tc>
        <w:tc>
          <w:tcPr>
            <w:tcW w:w="425" w:type="pct"/>
            <w:tcBorders>
              <w:left w:val="single" w:sz="4" w:space="0" w:color="auto"/>
            </w:tcBorders>
          </w:tcPr>
          <w:p w14:paraId="6BC2092F"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0DE73A40"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204</w:t>
            </w:r>
          </w:p>
        </w:tc>
        <w:tc>
          <w:tcPr>
            <w:tcW w:w="512" w:type="pct"/>
            <w:tcBorders>
              <w:left w:val="nil"/>
              <w:right w:val="single" w:sz="4" w:space="0" w:color="auto"/>
            </w:tcBorders>
          </w:tcPr>
          <w:p w14:paraId="7AB26B8F"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29D543A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803</w:t>
            </w:r>
          </w:p>
        </w:tc>
        <w:tc>
          <w:tcPr>
            <w:tcW w:w="512" w:type="pct"/>
            <w:gridSpan w:val="2"/>
            <w:tcBorders>
              <w:left w:val="single" w:sz="4" w:space="0" w:color="auto"/>
            </w:tcBorders>
          </w:tcPr>
          <w:p w14:paraId="7590934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466E6361"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413</w:t>
            </w:r>
          </w:p>
        </w:tc>
        <w:tc>
          <w:tcPr>
            <w:tcW w:w="538" w:type="pct"/>
            <w:tcBorders>
              <w:left w:val="nil"/>
              <w:right w:val="single" w:sz="4" w:space="0" w:color="auto"/>
            </w:tcBorders>
          </w:tcPr>
          <w:p w14:paraId="13E76BC3"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301DE46B"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170</w:t>
            </w:r>
          </w:p>
        </w:tc>
        <w:tc>
          <w:tcPr>
            <w:tcW w:w="367" w:type="pct"/>
            <w:tcBorders>
              <w:left w:val="single" w:sz="4" w:space="0" w:color="auto"/>
            </w:tcBorders>
          </w:tcPr>
          <w:p w14:paraId="05D0A8C7"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N =</w:t>
            </w:r>
          </w:p>
          <w:p w14:paraId="30E78DD8" w14:textId="77777777" w:rsidR="00C66563" w:rsidRPr="008B00DE" w:rsidRDefault="00C66563" w:rsidP="008B00DE">
            <w:pPr>
              <w:widowControl w:val="0"/>
              <w:tabs>
                <w:tab w:val="left" w:pos="284"/>
                <w:tab w:val="center" w:pos="4320"/>
                <w:tab w:val="right" w:pos="8640"/>
              </w:tabs>
              <w:jc w:val="both"/>
              <w:rPr>
                <w:b/>
                <w:bCs/>
                <w:sz w:val="22"/>
                <w:szCs w:val="22"/>
                <w:lang w:val="sr-Latn-ME"/>
              </w:rPr>
            </w:pPr>
            <w:r w:rsidRPr="008B00DE">
              <w:rPr>
                <w:b/>
                <w:bCs/>
                <w:sz w:val="22"/>
                <w:szCs w:val="22"/>
                <w:lang w:val="sr-Latn-ME"/>
              </w:rPr>
              <w:t>158</w:t>
            </w:r>
          </w:p>
        </w:tc>
      </w:tr>
      <w:tr w:rsidR="00C66563" w:rsidRPr="005A4F9F" w14:paraId="4A2038A6" w14:textId="77777777" w:rsidTr="008B00DE">
        <w:trPr>
          <w:trHeight w:val="144"/>
          <w:jc w:val="center"/>
        </w:trPr>
        <w:tc>
          <w:tcPr>
            <w:tcW w:w="5000" w:type="pct"/>
            <w:gridSpan w:val="12"/>
          </w:tcPr>
          <w:p w14:paraId="3C8EB771" w14:textId="77777777" w:rsidR="00C66563" w:rsidRPr="008B00DE" w:rsidRDefault="00C66563" w:rsidP="008B00DE">
            <w:pPr>
              <w:widowControl w:val="0"/>
              <w:tabs>
                <w:tab w:val="left" w:pos="284"/>
                <w:tab w:val="center" w:pos="4320"/>
                <w:tab w:val="right" w:pos="8640"/>
              </w:tabs>
              <w:jc w:val="both"/>
              <w:rPr>
                <w:b/>
                <w:sz w:val="22"/>
                <w:szCs w:val="22"/>
                <w:lang w:val="sr-Latn-ME"/>
              </w:rPr>
            </w:pPr>
            <w:r w:rsidRPr="008B00DE">
              <w:rPr>
                <w:b/>
                <w:sz w:val="22"/>
                <w:szCs w:val="22"/>
                <w:lang w:val="sr-Latn-ME"/>
              </w:rPr>
              <w:t>ACR 20</w:t>
            </w:r>
          </w:p>
        </w:tc>
      </w:tr>
      <w:tr w:rsidR="00C66563" w:rsidRPr="005A4F9F" w14:paraId="1D7FCD52" w14:textId="77777777" w:rsidTr="008B00DE">
        <w:trPr>
          <w:trHeight w:val="144"/>
          <w:jc w:val="center"/>
        </w:trPr>
        <w:tc>
          <w:tcPr>
            <w:tcW w:w="513" w:type="pct"/>
            <w:tcBorders>
              <w:right w:val="single" w:sz="4" w:space="0" w:color="auto"/>
            </w:tcBorders>
          </w:tcPr>
          <w:p w14:paraId="512A26E6"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24</w:t>
            </w:r>
          </w:p>
        </w:tc>
        <w:tc>
          <w:tcPr>
            <w:tcW w:w="367" w:type="pct"/>
            <w:tcBorders>
              <w:left w:val="single" w:sz="4" w:space="0" w:color="auto"/>
              <w:right w:val="single" w:sz="4" w:space="0" w:color="auto"/>
            </w:tcBorders>
          </w:tcPr>
          <w:p w14:paraId="5923234A"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70%***</w:t>
            </w:r>
          </w:p>
        </w:tc>
        <w:tc>
          <w:tcPr>
            <w:tcW w:w="368" w:type="pct"/>
            <w:tcBorders>
              <w:left w:val="single" w:sz="4" w:space="0" w:color="auto"/>
              <w:right w:val="single" w:sz="4" w:space="0" w:color="auto"/>
            </w:tcBorders>
          </w:tcPr>
          <w:p w14:paraId="340DB0A4"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52%</w:t>
            </w:r>
          </w:p>
        </w:tc>
        <w:tc>
          <w:tcPr>
            <w:tcW w:w="515" w:type="pct"/>
            <w:tcBorders>
              <w:left w:val="single" w:sz="4" w:space="0" w:color="auto"/>
              <w:right w:val="single" w:sz="4" w:space="0" w:color="auto"/>
            </w:tcBorders>
          </w:tcPr>
          <w:p w14:paraId="0C3E467E"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56%***</w:t>
            </w:r>
          </w:p>
        </w:tc>
        <w:tc>
          <w:tcPr>
            <w:tcW w:w="368" w:type="pct"/>
            <w:tcBorders>
              <w:left w:val="single" w:sz="4" w:space="0" w:color="auto"/>
              <w:right w:val="single" w:sz="4" w:space="0" w:color="auto"/>
            </w:tcBorders>
          </w:tcPr>
          <w:p w14:paraId="4C230B1E"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27%</w:t>
            </w:r>
          </w:p>
        </w:tc>
        <w:tc>
          <w:tcPr>
            <w:tcW w:w="515" w:type="pct"/>
            <w:tcBorders>
              <w:left w:val="single" w:sz="4" w:space="0" w:color="auto"/>
              <w:right w:val="single" w:sz="4" w:space="0" w:color="auto"/>
            </w:tcBorders>
          </w:tcPr>
          <w:p w14:paraId="776E5257"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59%***</w:t>
            </w:r>
          </w:p>
        </w:tc>
        <w:tc>
          <w:tcPr>
            <w:tcW w:w="425" w:type="pct"/>
            <w:tcBorders>
              <w:left w:val="single" w:sz="4" w:space="0" w:color="auto"/>
            </w:tcBorders>
          </w:tcPr>
          <w:p w14:paraId="5E59C8A4"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26%</w:t>
            </w:r>
          </w:p>
        </w:tc>
        <w:tc>
          <w:tcPr>
            <w:tcW w:w="512" w:type="pct"/>
            <w:tcBorders>
              <w:left w:val="nil"/>
            </w:tcBorders>
          </w:tcPr>
          <w:p w14:paraId="3573314B"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61%***</w:t>
            </w:r>
          </w:p>
        </w:tc>
        <w:tc>
          <w:tcPr>
            <w:tcW w:w="512" w:type="pct"/>
            <w:gridSpan w:val="2"/>
            <w:tcBorders>
              <w:left w:val="nil"/>
            </w:tcBorders>
          </w:tcPr>
          <w:p w14:paraId="1F36CB70"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24%</w:t>
            </w:r>
          </w:p>
        </w:tc>
        <w:tc>
          <w:tcPr>
            <w:tcW w:w="538" w:type="pct"/>
            <w:tcBorders>
              <w:left w:val="nil"/>
            </w:tcBorders>
          </w:tcPr>
          <w:p w14:paraId="14273C37"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50%***</w:t>
            </w:r>
          </w:p>
        </w:tc>
        <w:tc>
          <w:tcPr>
            <w:tcW w:w="367" w:type="pct"/>
            <w:tcBorders>
              <w:left w:val="nil"/>
            </w:tcBorders>
          </w:tcPr>
          <w:p w14:paraId="403DCA1F"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10%</w:t>
            </w:r>
          </w:p>
        </w:tc>
      </w:tr>
      <w:tr w:rsidR="00C66563" w:rsidRPr="005A4F9F" w14:paraId="613599F6" w14:textId="77777777" w:rsidTr="008B00DE">
        <w:trPr>
          <w:trHeight w:val="144"/>
          <w:jc w:val="center"/>
        </w:trPr>
        <w:tc>
          <w:tcPr>
            <w:tcW w:w="513" w:type="pct"/>
            <w:tcBorders>
              <w:right w:val="single" w:sz="4" w:space="0" w:color="auto"/>
            </w:tcBorders>
          </w:tcPr>
          <w:p w14:paraId="4AF49642"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52</w:t>
            </w:r>
          </w:p>
        </w:tc>
        <w:tc>
          <w:tcPr>
            <w:tcW w:w="367" w:type="pct"/>
            <w:tcBorders>
              <w:left w:val="single" w:sz="4" w:space="0" w:color="auto"/>
              <w:right w:val="single" w:sz="4" w:space="0" w:color="auto"/>
            </w:tcBorders>
          </w:tcPr>
          <w:p w14:paraId="24354928"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8" w:type="pct"/>
            <w:tcBorders>
              <w:left w:val="single" w:sz="4" w:space="0" w:color="auto"/>
              <w:right w:val="single" w:sz="4" w:space="0" w:color="auto"/>
            </w:tcBorders>
          </w:tcPr>
          <w:p w14:paraId="2B443B94"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5" w:type="pct"/>
            <w:tcBorders>
              <w:left w:val="single" w:sz="4" w:space="0" w:color="auto"/>
              <w:right w:val="single" w:sz="4" w:space="0" w:color="auto"/>
            </w:tcBorders>
          </w:tcPr>
          <w:p w14:paraId="73AE7182"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56%***</w:t>
            </w:r>
          </w:p>
        </w:tc>
        <w:tc>
          <w:tcPr>
            <w:tcW w:w="368" w:type="pct"/>
            <w:tcBorders>
              <w:left w:val="single" w:sz="4" w:space="0" w:color="auto"/>
              <w:right w:val="single" w:sz="4" w:space="0" w:color="auto"/>
            </w:tcBorders>
          </w:tcPr>
          <w:p w14:paraId="064572C7"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25%</w:t>
            </w:r>
          </w:p>
        </w:tc>
        <w:tc>
          <w:tcPr>
            <w:tcW w:w="515" w:type="pct"/>
            <w:tcBorders>
              <w:left w:val="single" w:sz="4" w:space="0" w:color="auto"/>
              <w:right w:val="single" w:sz="4" w:space="0" w:color="auto"/>
            </w:tcBorders>
          </w:tcPr>
          <w:p w14:paraId="3150FB29"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425" w:type="pct"/>
            <w:tcBorders>
              <w:left w:val="single" w:sz="4" w:space="0" w:color="auto"/>
            </w:tcBorders>
          </w:tcPr>
          <w:p w14:paraId="0AC01696"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2" w:type="pct"/>
            <w:tcBorders>
              <w:left w:val="nil"/>
            </w:tcBorders>
          </w:tcPr>
          <w:p w14:paraId="062F1EEF"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2" w:type="pct"/>
            <w:gridSpan w:val="2"/>
            <w:tcBorders>
              <w:left w:val="nil"/>
            </w:tcBorders>
          </w:tcPr>
          <w:p w14:paraId="58C27144"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38" w:type="pct"/>
            <w:tcBorders>
              <w:left w:val="nil"/>
            </w:tcBorders>
          </w:tcPr>
          <w:p w14:paraId="3680319E"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7" w:type="pct"/>
            <w:tcBorders>
              <w:left w:val="nil"/>
            </w:tcBorders>
          </w:tcPr>
          <w:p w14:paraId="6EFC5429" w14:textId="77777777" w:rsidR="00C66563" w:rsidRPr="008B00DE" w:rsidRDefault="00C66563" w:rsidP="008B00DE">
            <w:pPr>
              <w:widowControl w:val="0"/>
              <w:tabs>
                <w:tab w:val="left" w:pos="284"/>
                <w:tab w:val="center" w:pos="4320"/>
                <w:tab w:val="right" w:pos="8640"/>
              </w:tabs>
              <w:jc w:val="both"/>
              <w:rPr>
                <w:sz w:val="22"/>
                <w:szCs w:val="22"/>
                <w:lang w:val="sr-Latn-ME"/>
              </w:rPr>
            </w:pPr>
          </w:p>
        </w:tc>
      </w:tr>
      <w:tr w:rsidR="00C66563" w:rsidRPr="005A4F9F" w14:paraId="69E81875" w14:textId="77777777" w:rsidTr="008B00DE">
        <w:trPr>
          <w:trHeight w:val="144"/>
          <w:jc w:val="center"/>
        </w:trPr>
        <w:tc>
          <w:tcPr>
            <w:tcW w:w="5000" w:type="pct"/>
            <w:gridSpan w:val="12"/>
          </w:tcPr>
          <w:p w14:paraId="60604FF3" w14:textId="77777777" w:rsidR="00C66563" w:rsidRPr="008B00DE" w:rsidRDefault="00C66563" w:rsidP="008B00DE">
            <w:pPr>
              <w:widowControl w:val="0"/>
              <w:tabs>
                <w:tab w:val="left" w:pos="284"/>
                <w:tab w:val="center" w:pos="4320"/>
                <w:tab w:val="right" w:pos="8640"/>
              </w:tabs>
              <w:jc w:val="both"/>
              <w:rPr>
                <w:b/>
                <w:sz w:val="22"/>
                <w:szCs w:val="22"/>
                <w:lang w:val="sr-Latn-ME"/>
              </w:rPr>
            </w:pPr>
            <w:r w:rsidRPr="008B00DE">
              <w:rPr>
                <w:b/>
                <w:sz w:val="22"/>
                <w:szCs w:val="22"/>
                <w:lang w:val="sr-Latn-ME"/>
              </w:rPr>
              <w:t>ACR 50</w:t>
            </w:r>
          </w:p>
        </w:tc>
      </w:tr>
      <w:tr w:rsidR="00C66563" w:rsidRPr="005A4F9F" w14:paraId="27580A54" w14:textId="77777777" w:rsidTr="008B00DE">
        <w:trPr>
          <w:trHeight w:val="144"/>
          <w:jc w:val="center"/>
        </w:trPr>
        <w:tc>
          <w:tcPr>
            <w:tcW w:w="513" w:type="pct"/>
            <w:tcBorders>
              <w:right w:val="single" w:sz="4" w:space="0" w:color="auto"/>
            </w:tcBorders>
          </w:tcPr>
          <w:p w14:paraId="07FF3206"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24</w:t>
            </w:r>
          </w:p>
        </w:tc>
        <w:tc>
          <w:tcPr>
            <w:tcW w:w="367" w:type="pct"/>
            <w:tcBorders>
              <w:left w:val="single" w:sz="4" w:space="0" w:color="auto"/>
              <w:right w:val="single" w:sz="4" w:space="0" w:color="auto"/>
            </w:tcBorders>
          </w:tcPr>
          <w:p w14:paraId="642ECAC6"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44%**</w:t>
            </w:r>
          </w:p>
        </w:tc>
        <w:tc>
          <w:tcPr>
            <w:tcW w:w="368" w:type="pct"/>
            <w:tcBorders>
              <w:left w:val="single" w:sz="4" w:space="0" w:color="auto"/>
              <w:right w:val="single" w:sz="4" w:space="0" w:color="auto"/>
            </w:tcBorders>
          </w:tcPr>
          <w:p w14:paraId="7225E96A"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33%</w:t>
            </w:r>
          </w:p>
        </w:tc>
        <w:tc>
          <w:tcPr>
            <w:tcW w:w="515" w:type="pct"/>
            <w:tcBorders>
              <w:left w:val="single" w:sz="4" w:space="0" w:color="auto"/>
              <w:right w:val="single" w:sz="4" w:space="0" w:color="auto"/>
            </w:tcBorders>
          </w:tcPr>
          <w:p w14:paraId="33787F6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32%***</w:t>
            </w:r>
          </w:p>
        </w:tc>
        <w:tc>
          <w:tcPr>
            <w:tcW w:w="368" w:type="pct"/>
            <w:tcBorders>
              <w:left w:val="single" w:sz="4" w:space="0" w:color="auto"/>
              <w:right w:val="single" w:sz="4" w:space="0" w:color="auto"/>
            </w:tcBorders>
          </w:tcPr>
          <w:p w14:paraId="30BC112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10%</w:t>
            </w:r>
          </w:p>
        </w:tc>
        <w:tc>
          <w:tcPr>
            <w:tcW w:w="515" w:type="pct"/>
            <w:tcBorders>
              <w:left w:val="single" w:sz="4" w:space="0" w:color="auto"/>
              <w:right w:val="single" w:sz="4" w:space="0" w:color="auto"/>
            </w:tcBorders>
          </w:tcPr>
          <w:p w14:paraId="39EA8EE9"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44%***</w:t>
            </w:r>
          </w:p>
        </w:tc>
        <w:tc>
          <w:tcPr>
            <w:tcW w:w="425" w:type="pct"/>
            <w:tcBorders>
              <w:left w:val="single" w:sz="4" w:space="0" w:color="auto"/>
            </w:tcBorders>
          </w:tcPr>
          <w:p w14:paraId="76794BA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11%</w:t>
            </w:r>
          </w:p>
        </w:tc>
        <w:tc>
          <w:tcPr>
            <w:tcW w:w="512" w:type="pct"/>
            <w:tcBorders>
              <w:left w:val="nil"/>
            </w:tcBorders>
          </w:tcPr>
          <w:p w14:paraId="2657F254"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38%***</w:t>
            </w:r>
          </w:p>
        </w:tc>
        <w:tc>
          <w:tcPr>
            <w:tcW w:w="506" w:type="pct"/>
            <w:tcBorders>
              <w:left w:val="nil"/>
            </w:tcBorders>
          </w:tcPr>
          <w:p w14:paraId="16F83DE2"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9%</w:t>
            </w:r>
          </w:p>
        </w:tc>
        <w:tc>
          <w:tcPr>
            <w:tcW w:w="544" w:type="pct"/>
            <w:gridSpan w:val="2"/>
            <w:tcBorders>
              <w:left w:val="nil"/>
            </w:tcBorders>
          </w:tcPr>
          <w:p w14:paraId="4C6AD7E0"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29%***</w:t>
            </w:r>
          </w:p>
        </w:tc>
        <w:tc>
          <w:tcPr>
            <w:tcW w:w="367" w:type="pct"/>
            <w:tcBorders>
              <w:left w:val="nil"/>
            </w:tcBorders>
          </w:tcPr>
          <w:p w14:paraId="39E87EDF"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4%</w:t>
            </w:r>
          </w:p>
        </w:tc>
      </w:tr>
      <w:tr w:rsidR="00C66563" w:rsidRPr="005A4F9F" w14:paraId="6721B7B1" w14:textId="77777777" w:rsidTr="008B00DE">
        <w:trPr>
          <w:trHeight w:val="144"/>
          <w:jc w:val="center"/>
        </w:trPr>
        <w:tc>
          <w:tcPr>
            <w:tcW w:w="513" w:type="pct"/>
            <w:tcBorders>
              <w:right w:val="single" w:sz="4" w:space="0" w:color="auto"/>
            </w:tcBorders>
          </w:tcPr>
          <w:p w14:paraId="7790FFC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52</w:t>
            </w:r>
          </w:p>
        </w:tc>
        <w:tc>
          <w:tcPr>
            <w:tcW w:w="367" w:type="pct"/>
            <w:tcBorders>
              <w:left w:val="single" w:sz="4" w:space="0" w:color="auto"/>
              <w:right w:val="single" w:sz="4" w:space="0" w:color="auto"/>
            </w:tcBorders>
          </w:tcPr>
          <w:p w14:paraId="10B11ECE"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8" w:type="pct"/>
            <w:tcBorders>
              <w:left w:val="single" w:sz="4" w:space="0" w:color="auto"/>
              <w:right w:val="single" w:sz="4" w:space="0" w:color="auto"/>
            </w:tcBorders>
          </w:tcPr>
          <w:p w14:paraId="75F79096"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5" w:type="pct"/>
            <w:tcBorders>
              <w:left w:val="single" w:sz="4" w:space="0" w:color="auto"/>
              <w:right w:val="single" w:sz="4" w:space="0" w:color="auto"/>
            </w:tcBorders>
          </w:tcPr>
          <w:p w14:paraId="3572BCD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36%***</w:t>
            </w:r>
          </w:p>
        </w:tc>
        <w:tc>
          <w:tcPr>
            <w:tcW w:w="368" w:type="pct"/>
            <w:tcBorders>
              <w:left w:val="single" w:sz="4" w:space="0" w:color="auto"/>
              <w:right w:val="single" w:sz="4" w:space="0" w:color="auto"/>
            </w:tcBorders>
          </w:tcPr>
          <w:p w14:paraId="0DC3186A"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10%</w:t>
            </w:r>
          </w:p>
        </w:tc>
        <w:tc>
          <w:tcPr>
            <w:tcW w:w="515" w:type="pct"/>
            <w:tcBorders>
              <w:left w:val="single" w:sz="4" w:space="0" w:color="auto"/>
              <w:right w:val="single" w:sz="4" w:space="0" w:color="auto"/>
            </w:tcBorders>
          </w:tcPr>
          <w:p w14:paraId="108C569B"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425" w:type="pct"/>
            <w:tcBorders>
              <w:left w:val="single" w:sz="4" w:space="0" w:color="auto"/>
            </w:tcBorders>
          </w:tcPr>
          <w:p w14:paraId="72E31F58"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2" w:type="pct"/>
            <w:tcBorders>
              <w:left w:val="nil"/>
            </w:tcBorders>
          </w:tcPr>
          <w:p w14:paraId="0E36652A"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06" w:type="pct"/>
            <w:tcBorders>
              <w:left w:val="nil"/>
            </w:tcBorders>
          </w:tcPr>
          <w:p w14:paraId="57D3A8D7"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44" w:type="pct"/>
            <w:gridSpan w:val="2"/>
            <w:tcBorders>
              <w:left w:val="nil"/>
            </w:tcBorders>
          </w:tcPr>
          <w:p w14:paraId="6E011CDD"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7" w:type="pct"/>
            <w:tcBorders>
              <w:left w:val="nil"/>
            </w:tcBorders>
          </w:tcPr>
          <w:p w14:paraId="3BBD458B" w14:textId="77777777" w:rsidR="00C66563" w:rsidRPr="008B00DE" w:rsidRDefault="00C66563" w:rsidP="008B00DE">
            <w:pPr>
              <w:widowControl w:val="0"/>
              <w:tabs>
                <w:tab w:val="left" w:pos="284"/>
                <w:tab w:val="center" w:pos="4320"/>
                <w:tab w:val="right" w:pos="8640"/>
              </w:tabs>
              <w:jc w:val="both"/>
              <w:rPr>
                <w:sz w:val="22"/>
                <w:szCs w:val="22"/>
                <w:lang w:val="sr-Latn-ME"/>
              </w:rPr>
            </w:pPr>
          </w:p>
        </w:tc>
      </w:tr>
      <w:tr w:rsidR="00C66563" w:rsidRPr="005A4F9F" w14:paraId="38B2148D" w14:textId="77777777" w:rsidTr="008B00DE">
        <w:trPr>
          <w:trHeight w:val="144"/>
          <w:jc w:val="center"/>
        </w:trPr>
        <w:tc>
          <w:tcPr>
            <w:tcW w:w="5000" w:type="pct"/>
            <w:gridSpan w:val="12"/>
          </w:tcPr>
          <w:p w14:paraId="1390E51C" w14:textId="77777777" w:rsidR="00C66563" w:rsidRPr="008B00DE" w:rsidRDefault="00C66563" w:rsidP="008B00DE">
            <w:pPr>
              <w:widowControl w:val="0"/>
              <w:tabs>
                <w:tab w:val="left" w:pos="284"/>
                <w:tab w:val="center" w:pos="4320"/>
                <w:tab w:val="right" w:pos="8640"/>
              </w:tabs>
              <w:jc w:val="both"/>
              <w:rPr>
                <w:b/>
                <w:sz w:val="22"/>
                <w:szCs w:val="22"/>
                <w:lang w:val="sr-Latn-ME"/>
              </w:rPr>
            </w:pPr>
            <w:r w:rsidRPr="008B00DE">
              <w:rPr>
                <w:b/>
                <w:sz w:val="22"/>
                <w:szCs w:val="22"/>
                <w:lang w:val="sr-Latn-ME"/>
              </w:rPr>
              <w:t>ACR 70</w:t>
            </w:r>
          </w:p>
        </w:tc>
      </w:tr>
      <w:tr w:rsidR="00C66563" w:rsidRPr="005A4F9F" w14:paraId="214C4720" w14:textId="77777777" w:rsidTr="008B00DE">
        <w:trPr>
          <w:trHeight w:val="144"/>
          <w:jc w:val="center"/>
        </w:trPr>
        <w:tc>
          <w:tcPr>
            <w:tcW w:w="513" w:type="pct"/>
            <w:tcBorders>
              <w:right w:val="single" w:sz="4" w:space="0" w:color="auto"/>
            </w:tcBorders>
          </w:tcPr>
          <w:p w14:paraId="22CB339A"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24</w:t>
            </w:r>
          </w:p>
        </w:tc>
        <w:tc>
          <w:tcPr>
            <w:tcW w:w="367" w:type="pct"/>
            <w:tcBorders>
              <w:left w:val="single" w:sz="4" w:space="0" w:color="auto"/>
              <w:right w:val="single" w:sz="4" w:space="0" w:color="auto"/>
            </w:tcBorders>
          </w:tcPr>
          <w:p w14:paraId="68874E4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28%**</w:t>
            </w:r>
          </w:p>
        </w:tc>
        <w:tc>
          <w:tcPr>
            <w:tcW w:w="368" w:type="pct"/>
            <w:tcBorders>
              <w:left w:val="single" w:sz="4" w:space="0" w:color="auto"/>
              <w:right w:val="single" w:sz="4" w:space="0" w:color="auto"/>
            </w:tcBorders>
          </w:tcPr>
          <w:p w14:paraId="29D2972B"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15%</w:t>
            </w:r>
          </w:p>
        </w:tc>
        <w:tc>
          <w:tcPr>
            <w:tcW w:w="515" w:type="pct"/>
            <w:tcBorders>
              <w:left w:val="single" w:sz="4" w:space="0" w:color="auto"/>
              <w:right w:val="single" w:sz="4" w:space="0" w:color="auto"/>
            </w:tcBorders>
          </w:tcPr>
          <w:p w14:paraId="0EFE07E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13%***</w:t>
            </w:r>
          </w:p>
        </w:tc>
        <w:tc>
          <w:tcPr>
            <w:tcW w:w="368" w:type="pct"/>
            <w:tcBorders>
              <w:left w:val="single" w:sz="4" w:space="0" w:color="auto"/>
              <w:right w:val="single" w:sz="4" w:space="0" w:color="auto"/>
            </w:tcBorders>
          </w:tcPr>
          <w:p w14:paraId="4281834E"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w:t>
            </w:r>
          </w:p>
        </w:tc>
        <w:tc>
          <w:tcPr>
            <w:tcW w:w="515" w:type="pct"/>
            <w:tcBorders>
              <w:left w:val="single" w:sz="4" w:space="0" w:color="auto"/>
              <w:right w:val="single" w:sz="4" w:space="0" w:color="auto"/>
            </w:tcBorders>
          </w:tcPr>
          <w:p w14:paraId="7D971A21"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22%***</w:t>
            </w:r>
          </w:p>
        </w:tc>
        <w:tc>
          <w:tcPr>
            <w:tcW w:w="425" w:type="pct"/>
            <w:tcBorders>
              <w:left w:val="single" w:sz="4" w:space="0" w:color="auto"/>
            </w:tcBorders>
          </w:tcPr>
          <w:p w14:paraId="28D2592E"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w:t>
            </w:r>
          </w:p>
        </w:tc>
        <w:tc>
          <w:tcPr>
            <w:tcW w:w="512" w:type="pct"/>
            <w:tcBorders>
              <w:left w:val="nil"/>
            </w:tcBorders>
          </w:tcPr>
          <w:p w14:paraId="28B3F07C"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21%***</w:t>
            </w:r>
          </w:p>
        </w:tc>
        <w:tc>
          <w:tcPr>
            <w:tcW w:w="512" w:type="pct"/>
            <w:gridSpan w:val="2"/>
            <w:tcBorders>
              <w:left w:val="nil"/>
            </w:tcBorders>
          </w:tcPr>
          <w:p w14:paraId="1A1D966C"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3%</w:t>
            </w:r>
          </w:p>
        </w:tc>
        <w:tc>
          <w:tcPr>
            <w:tcW w:w="538" w:type="pct"/>
            <w:tcBorders>
              <w:left w:val="nil"/>
            </w:tcBorders>
          </w:tcPr>
          <w:p w14:paraId="7C206ABF"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12%**</w:t>
            </w:r>
          </w:p>
        </w:tc>
        <w:tc>
          <w:tcPr>
            <w:tcW w:w="367" w:type="pct"/>
            <w:tcBorders>
              <w:left w:val="nil"/>
            </w:tcBorders>
          </w:tcPr>
          <w:p w14:paraId="02AC2677"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1%</w:t>
            </w:r>
          </w:p>
        </w:tc>
      </w:tr>
      <w:tr w:rsidR="00C66563" w:rsidRPr="005A4F9F" w14:paraId="70B90D9D" w14:textId="77777777" w:rsidTr="008B00DE">
        <w:trPr>
          <w:trHeight w:val="144"/>
          <w:jc w:val="center"/>
        </w:trPr>
        <w:tc>
          <w:tcPr>
            <w:tcW w:w="513" w:type="pct"/>
          </w:tcPr>
          <w:p w14:paraId="06514A55"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52</w:t>
            </w:r>
          </w:p>
        </w:tc>
        <w:tc>
          <w:tcPr>
            <w:tcW w:w="367" w:type="pct"/>
            <w:tcBorders>
              <w:right w:val="nil"/>
            </w:tcBorders>
          </w:tcPr>
          <w:p w14:paraId="779D4FBB"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8" w:type="pct"/>
            <w:tcBorders>
              <w:left w:val="nil"/>
            </w:tcBorders>
          </w:tcPr>
          <w:p w14:paraId="6908A341"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5" w:type="pct"/>
            <w:tcBorders>
              <w:right w:val="nil"/>
            </w:tcBorders>
          </w:tcPr>
          <w:p w14:paraId="0B6BEB3A"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20%***</w:t>
            </w:r>
          </w:p>
        </w:tc>
        <w:tc>
          <w:tcPr>
            <w:tcW w:w="368" w:type="pct"/>
            <w:tcBorders>
              <w:left w:val="nil"/>
            </w:tcBorders>
          </w:tcPr>
          <w:p w14:paraId="462BD827" w14:textId="77777777" w:rsidR="00C66563" w:rsidRPr="008B00DE" w:rsidRDefault="00C66563" w:rsidP="008B00DE">
            <w:pPr>
              <w:widowControl w:val="0"/>
              <w:tabs>
                <w:tab w:val="left" w:pos="284"/>
                <w:tab w:val="center" w:pos="4320"/>
                <w:tab w:val="right" w:pos="8640"/>
              </w:tabs>
              <w:jc w:val="both"/>
              <w:rPr>
                <w:sz w:val="22"/>
                <w:szCs w:val="22"/>
                <w:lang w:val="sr-Latn-ME"/>
              </w:rPr>
            </w:pPr>
            <w:r w:rsidRPr="008B00DE">
              <w:rPr>
                <w:sz w:val="22"/>
                <w:szCs w:val="22"/>
                <w:lang w:val="sr-Latn-ME"/>
              </w:rPr>
              <w:t>4%</w:t>
            </w:r>
          </w:p>
        </w:tc>
        <w:tc>
          <w:tcPr>
            <w:tcW w:w="515" w:type="pct"/>
            <w:tcBorders>
              <w:right w:val="nil"/>
            </w:tcBorders>
          </w:tcPr>
          <w:p w14:paraId="1B101FF8"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425" w:type="pct"/>
            <w:tcBorders>
              <w:left w:val="nil"/>
            </w:tcBorders>
          </w:tcPr>
          <w:p w14:paraId="54A731BA"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2" w:type="pct"/>
            <w:tcBorders>
              <w:left w:val="nil"/>
            </w:tcBorders>
          </w:tcPr>
          <w:p w14:paraId="2D2B9519"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12" w:type="pct"/>
            <w:gridSpan w:val="2"/>
            <w:tcBorders>
              <w:left w:val="nil"/>
            </w:tcBorders>
          </w:tcPr>
          <w:p w14:paraId="7C03A277"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538" w:type="pct"/>
            <w:tcBorders>
              <w:left w:val="nil"/>
            </w:tcBorders>
          </w:tcPr>
          <w:p w14:paraId="327CACE3" w14:textId="77777777" w:rsidR="00C66563" w:rsidRPr="008B00DE" w:rsidRDefault="00C66563" w:rsidP="008B00DE">
            <w:pPr>
              <w:widowControl w:val="0"/>
              <w:tabs>
                <w:tab w:val="left" w:pos="284"/>
                <w:tab w:val="center" w:pos="4320"/>
                <w:tab w:val="right" w:pos="8640"/>
              </w:tabs>
              <w:jc w:val="both"/>
              <w:rPr>
                <w:sz w:val="22"/>
                <w:szCs w:val="22"/>
                <w:lang w:val="sr-Latn-ME"/>
              </w:rPr>
            </w:pPr>
          </w:p>
        </w:tc>
        <w:tc>
          <w:tcPr>
            <w:tcW w:w="367" w:type="pct"/>
            <w:tcBorders>
              <w:left w:val="nil"/>
            </w:tcBorders>
          </w:tcPr>
          <w:p w14:paraId="74014B77" w14:textId="77777777" w:rsidR="00C66563" w:rsidRPr="008B00DE" w:rsidRDefault="00C66563" w:rsidP="008B00DE">
            <w:pPr>
              <w:widowControl w:val="0"/>
              <w:tabs>
                <w:tab w:val="left" w:pos="284"/>
                <w:tab w:val="center" w:pos="4320"/>
                <w:tab w:val="right" w:pos="8640"/>
              </w:tabs>
              <w:jc w:val="both"/>
              <w:rPr>
                <w:sz w:val="22"/>
                <w:szCs w:val="22"/>
                <w:lang w:val="sr-Latn-ME"/>
              </w:rPr>
            </w:pPr>
          </w:p>
        </w:tc>
      </w:tr>
    </w:tbl>
    <w:p w14:paraId="064C23C5" w14:textId="77777777" w:rsidR="00C66563" w:rsidRPr="008B00DE" w:rsidRDefault="00C66563">
      <w:pPr>
        <w:widowControl w:val="0"/>
        <w:tabs>
          <w:tab w:val="left" w:pos="284"/>
          <w:tab w:val="center" w:pos="4320"/>
          <w:tab w:val="right" w:pos="8640"/>
        </w:tabs>
        <w:jc w:val="both"/>
        <w:rPr>
          <w:i/>
          <w:iCs/>
          <w:sz w:val="22"/>
          <w:szCs w:val="22"/>
          <w:lang w:val="sr-Latn-ME"/>
        </w:rPr>
      </w:pPr>
      <w:r w:rsidRPr="008B00DE">
        <w:rPr>
          <w:i/>
          <w:iCs/>
          <w:sz w:val="22"/>
          <w:szCs w:val="22"/>
          <w:lang w:val="sr-Latn-ME"/>
        </w:rPr>
        <w:t>TCZ - Tocilizumab</w:t>
      </w:r>
    </w:p>
    <w:p w14:paraId="3204E70D" w14:textId="77777777" w:rsidR="00C66563" w:rsidRPr="008B00DE" w:rsidRDefault="00C66563">
      <w:pPr>
        <w:widowControl w:val="0"/>
        <w:tabs>
          <w:tab w:val="left" w:pos="284"/>
          <w:tab w:val="center" w:pos="4320"/>
          <w:tab w:val="right" w:pos="8640"/>
        </w:tabs>
        <w:jc w:val="both"/>
        <w:rPr>
          <w:i/>
          <w:iCs/>
          <w:sz w:val="22"/>
          <w:szCs w:val="22"/>
          <w:lang w:val="sr-Latn-ME"/>
        </w:rPr>
      </w:pPr>
      <w:r w:rsidRPr="008B00DE">
        <w:rPr>
          <w:i/>
          <w:iCs/>
          <w:sz w:val="22"/>
          <w:szCs w:val="22"/>
          <w:lang w:val="sr-Latn-ME"/>
        </w:rPr>
        <w:t>MTX- Metotreksat</w:t>
      </w:r>
    </w:p>
    <w:p w14:paraId="0120B731" w14:textId="77777777" w:rsidR="00C66563" w:rsidRPr="008B00DE" w:rsidRDefault="00C66563">
      <w:pPr>
        <w:widowControl w:val="0"/>
        <w:tabs>
          <w:tab w:val="left" w:pos="284"/>
          <w:tab w:val="center" w:pos="4320"/>
          <w:tab w:val="right" w:pos="8640"/>
        </w:tabs>
        <w:jc w:val="both"/>
        <w:rPr>
          <w:i/>
          <w:sz w:val="22"/>
          <w:szCs w:val="22"/>
          <w:lang w:val="sr-Latn-ME"/>
        </w:rPr>
      </w:pPr>
      <w:r w:rsidRPr="008B00DE">
        <w:rPr>
          <w:i/>
          <w:sz w:val="22"/>
          <w:szCs w:val="22"/>
          <w:lang w:val="sr-Latn-ME"/>
        </w:rPr>
        <w:t>PBO- Placebo</w:t>
      </w:r>
    </w:p>
    <w:p w14:paraId="5F2081A1" w14:textId="2C162EF0" w:rsidR="00C66563" w:rsidRPr="008B00DE" w:rsidRDefault="00C66563">
      <w:pPr>
        <w:widowControl w:val="0"/>
        <w:tabs>
          <w:tab w:val="left" w:pos="284"/>
          <w:tab w:val="center" w:pos="4320"/>
          <w:tab w:val="right" w:pos="8640"/>
        </w:tabs>
        <w:jc w:val="both"/>
        <w:rPr>
          <w:i/>
          <w:iCs/>
          <w:sz w:val="22"/>
          <w:szCs w:val="22"/>
          <w:lang w:val="sr-Latn-ME"/>
        </w:rPr>
      </w:pPr>
      <w:r w:rsidRPr="008B00DE">
        <w:rPr>
          <w:i/>
          <w:iCs/>
          <w:sz w:val="22"/>
          <w:szCs w:val="22"/>
          <w:lang w:val="sr-Latn-ME"/>
        </w:rPr>
        <w:t>DMARD - Anti-reumatski ljekovi koji modifikuju bolest</w:t>
      </w:r>
    </w:p>
    <w:p w14:paraId="7D19EB7B" w14:textId="77777777" w:rsidR="00C66563" w:rsidRPr="008B00DE" w:rsidRDefault="00C66563">
      <w:pPr>
        <w:widowControl w:val="0"/>
        <w:tabs>
          <w:tab w:val="left" w:pos="284"/>
          <w:tab w:val="center" w:pos="4320"/>
          <w:tab w:val="right" w:pos="8640"/>
        </w:tabs>
        <w:jc w:val="both"/>
        <w:rPr>
          <w:i/>
          <w:sz w:val="22"/>
          <w:szCs w:val="22"/>
          <w:lang w:val="sr-Latn-ME"/>
        </w:rPr>
      </w:pPr>
      <w:r w:rsidRPr="008B00DE">
        <w:rPr>
          <w:i/>
          <w:iCs/>
          <w:sz w:val="22"/>
          <w:szCs w:val="22"/>
          <w:lang w:val="sr-Latn-ME"/>
        </w:rPr>
        <w:t xml:space="preserve">** </w:t>
      </w:r>
      <w:r w:rsidRPr="008B00DE">
        <w:rPr>
          <w:i/>
          <w:iCs/>
          <w:sz w:val="22"/>
          <w:szCs w:val="22"/>
          <w:lang w:val="sr-Latn-ME"/>
        </w:rPr>
        <w:tab/>
        <w:t xml:space="preserve">- p&lt; 0,0 1, </w:t>
      </w:r>
      <w:r w:rsidRPr="008B00DE">
        <w:rPr>
          <w:i/>
          <w:sz w:val="22"/>
          <w:szCs w:val="22"/>
          <w:lang w:val="sr-Latn-ME"/>
        </w:rPr>
        <w:t>TCZ</w:t>
      </w:r>
      <w:r w:rsidRPr="008B00DE">
        <w:rPr>
          <w:i/>
          <w:iCs/>
          <w:sz w:val="22"/>
          <w:szCs w:val="22"/>
          <w:lang w:val="sr-Latn-ME"/>
        </w:rPr>
        <w:t xml:space="preserve"> prema </w:t>
      </w:r>
      <w:r w:rsidRPr="008B00DE">
        <w:rPr>
          <w:i/>
          <w:sz w:val="22"/>
          <w:szCs w:val="22"/>
          <w:lang w:val="sr-Latn-ME"/>
        </w:rPr>
        <w:t xml:space="preserve">PBO </w:t>
      </w:r>
      <w:r w:rsidRPr="008B00DE">
        <w:rPr>
          <w:i/>
          <w:iCs/>
          <w:sz w:val="22"/>
          <w:szCs w:val="22"/>
          <w:lang w:val="sr-Latn-ME"/>
        </w:rPr>
        <w:t>+ MTX/DMARD</w:t>
      </w:r>
    </w:p>
    <w:p w14:paraId="666BCBDC" w14:textId="77777777" w:rsidR="00C66563" w:rsidRPr="008B00DE" w:rsidRDefault="00C66563">
      <w:pPr>
        <w:widowControl w:val="0"/>
        <w:tabs>
          <w:tab w:val="left" w:pos="284"/>
          <w:tab w:val="center" w:pos="4320"/>
          <w:tab w:val="right" w:pos="8640"/>
        </w:tabs>
        <w:jc w:val="both"/>
        <w:rPr>
          <w:i/>
          <w:iCs/>
          <w:sz w:val="22"/>
          <w:szCs w:val="22"/>
          <w:lang w:val="sr-Latn-ME"/>
        </w:rPr>
      </w:pPr>
      <w:r w:rsidRPr="008B00DE">
        <w:rPr>
          <w:i/>
          <w:iCs/>
          <w:sz w:val="22"/>
          <w:szCs w:val="22"/>
          <w:lang w:val="sr-Latn-ME"/>
        </w:rPr>
        <w:t xml:space="preserve">***- p&lt; 0,0001, </w:t>
      </w:r>
      <w:r w:rsidRPr="008B00DE">
        <w:rPr>
          <w:i/>
          <w:sz w:val="22"/>
          <w:szCs w:val="22"/>
          <w:lang w:val="sr-Latn-ME"/>
        </w:rPr>
        <w:t>TCZ</w:t>
      </w:r>
      <w:r w:rsidRPr="008B00DE">
        <w:rPr>
          <w:i/>
          <w:iCs/>
          <w:sz w:val="22"/>
          <w:szCs w:val="22"/>
          <w:lang w:val="sr-Latn-ME"/>
        </w:rPr>
        <w:t xml:space="preserve">  prema </w:t>
      </w:r>
      <w:r w:rsidRPr="008B00DE">
        <w:rPr>
          <w:i/>
          <w:sz w:val="22"/>
          <w:szCs w:val="22"/>
          <w:lang w:val="sr-Latn-ME"/>
        </w:rPr>
        <w:t xml:space="preserve">PBO </w:t>
      </w:r>
      <w:r w:rsidRPr="008B00DE">
        <w:rPr>
          <w:i/>
          <w:iCs/>
          <w:sz w:val="22"/>
          <w:szCs w:val="22"/>
          <w:lang w:val="sr-Latn-ME"/>
        </w:rPr>
        <w:t>+ MTX/DMARD</w:t>
      </w:r>
    </w:p>
    <w:p w14:paraId="5078B2A1" w14:textId="77777777" w:rsidR="00C66563" w:rsidRPr="008B00DE" w:rsidRDefault="00C66563">
      <w:pPr>
        <w:widowControl w:val="0"/>
        <w:tabs>
          <w:tab w:val="left" w:pos="540"/>
          <w:tab w:val="left" w:pos="569"/>
        </w:tabs>
        <w:jc w:val="both"/>
        <w:rPr>
          <w:sz w:val="22"/>
          <w:szCs w:val="22"/>
          <w:lang w:val="sr-Latn-ME"/>
        </w:rPr>
      </w:pPr>
    </w:p>
    <w:p w14:paraId="4169A00E" w14:textId="77777777" w:rsidR="00C66563" w:rsidRPr="005A4F9F" w:rsidRDefault="00C66563">
      <w:pPr>
        <w:widowControl w:val="0"/>
        <w:jc w:val="both"/>
        <w:rPr>
          <w:iCs/>
          <w:sz w:val="22"/>
          <w:szCs w:val="22"/>
          <w:u w:val="single"/>
          <w:lang w:val="sr-Latn-ME"/>
        </w:rPr>
      </w:pPr>
      <w:r w:rsidRPr="005A4F9F">
        <w:rPr>
          <w:iCs/>
          <w:sz w:val="22"/>
          <w:szCs w:val="22"/>
          <w:u w:val="single"/>
          <w:lang w:val="sr-Latn-ME"/>
        </w:rPr>
        <w:t>Značajan klinički odgovor</w:t>
      </w:r>
    </w:p>
    <w:p w14:paraId="6117030F" w14:textId="104DCCEC" w:rsidR="00C66563" w:rsidRPr="008B00DE" w:rsidRDefault="00C66563" w:rsidP="008B00DE">
      <w:pPr>
        <w:widowControl w:val="0"/>
        <w:jc w:val="both"/>
        <w:rPr>
          <w:sz w:val="22"/>
          <w:szCs w:val="22"/>
          <w:lang w:val="sr-Latn-ME"/>
        </w:rPr>
      </w:pPr>
      <w:r w:rsidRPr="005A4F9F">
        <w:rPr>
          <w:sz w:val="22"/>
          <w:szCs w:val="22"/>
          <w:lang w:val="sr-Latn-ME"/>
        </w:rPr>
        <w:t>Nakon dvije godine liječenja tocilizumabom u kombinaciji sa MTX</w:t>
      </w:r>
      <w:r w:rsidRPr="005A4F9F">
        <w:rPr>
          <w:sz w:val="22"/>
          <w:szCs w:val="22"/>
          <w:lang w:val="sr-Latn-ME"/>
        </w:rPr>
        <w:noBreakHyphen/>
        <w:t>om, 14% pacijenata postiglo je značajan klinički odgovor (održavanje ACR70 odgovora 24 ned</w:t>
      </w:r>
      <w:r w:rsidR="007B5288" w:rsidRPr="005A4F9F">
        <w:rPr>
          <w:sz w:val="22"/>
          <w:szCs w:val="22"/>
          <w:lang w:val="sr-Latn-ME"/>
        </w:rPr>
        <w:t>j</w:t>
      </w:r>
      <w:r w:rsidRPr="005A4F9F">
        <w:rPr>
          <w:sz w:val="22"/>
          <w:szCs w:val="22"/>
          <w:lang w:val="sr-Latn-ME"/>
        </w:rPr>
        <w:t>elje ili duže).</w:t>
      </w:r>
    </w:p>
    <w:p w14:paraId="4ADD35AF" w14:textId="77777777" w:rsidR="00F03D29" w:rsidRPr="005A4F9F" w:rsidRDefault="00F03D29">
      <w:pPr>
        <w:pStyle w:val="Header"/>
        <w:widowControl w:val="0"/>
        <w:tabs>
          <w:tab w:val="left" w:pos="284"/>
        </w:tabs>
        <w:jc w:val="both"/>
        <w:rPr>
          <w:i/>
          <w:sz w:val="22"/>
          <w:szCs w:val="22"/>
          <w:lang w:val="sr-Latn-ME"/>
        </w:rPr>
      </w:pPr>
    </w:p>
    <w:p w14:paraId="23614F3F" w14:textId="77777777" w:rsidR="00C66563" w:rsidRPr="005A4F9F" w:rsidRDefault="00C66563">
      <w:pPr>
        <w:pStyle w:val="Header"/>
        <w:widowControl w:val="0"/>
        <w:tabs>
          <w:tab w:val="left" w:pos="284"/>
        </w:tabs>
        <w:jc w:val="both"/>
        <w:rPr>
          <w:iCs/>
          <w:sz w:val="22"/>
          <w:szCs w:val="22"/>
          <w:u w:val="single"/>
          <w:lang w:val="sr-Latn-ME"/>
        </w:rPr>
      </w:pPr>
      <w:r w:rsidRPr="005A4F9F">
        <w:rPr>
          <w:iCs/>
          <w:sz w:val="22"/>
          <w:szCs w:val="22"/>
          <w:u w:val="single"/>
          <w:lang w:val="sr-Latn-ME"/>
        </w:rPr>
        <w:t>Radiografski odgovor</w:t>
      </w:r>
    </w:p>
    <w:p w14:paraId="6729E11A" w14:textId="77777777" w:rsidR="00C66563" w:rsidRPr="005A4F9F" w:rsidRDefault="00C66563">
      <w:pPr>
        <w:pStyle w:val="Header"/>
        <w:widowControl w:val="0"/>
        <w:tabs>
          <w:tab w:val="left" w:pos="284"/>
        </w:tabs>
        <w:jc w:val="both"/>
        <w:rPr>
          <w:sz w:val="22"/>
          <w:szCs w:val="22"/>
          <w:lang w:val="sr-Latn-ME"/>
        </w:rPr>
      </w:pPr>
      <w:r w:rsidRPr="005A4F9F">
        <w:rPr>
          <w:sz w:val="22"/>
          <w:szCs w:val="22"/>
          <w:lang w:val="sr-Latn-ME"/>
        </w:rPr>
        <w:t xml:space="preserve">U Studiji II, kod pacijenata sa neadekvatnim odgovorom na MTX, inhibicija strukturnog oštećenja zglobova procjenjivana je radiografski i izražena kao promjena modifikovanog Šarpovog skora i njegovih komponenti, skora erozije i skora sužavanja zglobnog prostora. Inhibicija strukturnog oštećenja zglobova pokazana je </w:t>
      </w:r>
      <w:r w:rsidR="007B5288" w:rsidRPr="005A4F9F">
        <w:rPr>
          <w:sz w:val="22"/>
          <w:szCs w:val="22"/>
          <w:lang w:val="sr-Latn-ME"/>
        </w:rPr>
        <w:t xml:space="preserve">u </w:t>
      </w:r>
      <w:r w:rsidRPr="005A4F9F">
        <w:rPr>
          <w:sz w:val="22"/>
          <w:szCs w:val="22"/>
          <w:lang w:val="sr-Latn-ME"/>
        </w:rPr>
        <w:t>značajno manjo</w:t>
      </w:r>
      <w:r w:rsidR="007B5288" w:rsidRPr="005A4F9F">
        <w:rPr>
          <w:sz w:val="22"/>
          <w:szCs w:val="22"/>
          <w:lang w:val="sr-Latn-ME"/>
        </w:rPr>
        <w:t>j</w:t>
      </w:r>
      <w:r w:rsidRPr="005A4F9F">
        <w:rPr>
          <w:sz w:val="22"/>
          <w:szCs w:val="22"/>
          <w:lang w:val="sr-Latn-ME"/>
        </w:rPr>
        <w:t xml:space="preserve"> radiografsko</w:t>
      </w:r>
      <w:r w:rsidR="007B5288" w:rsidRPr="005A4F9F">
        <w:rPr>
          <w:sz w:val="22"/>
          <w:szCs w:val="22"/>
          <w:lang w:val="sr-Latn-ME"/>
        </w:rPr>
        <w:t>j</w:t>
      </w:r>
      <w:r w:rsidRPr="005A4F9F">
        <w:rPr>
          <w:sz w:val="22"/>
          <w:szCs w:val="22"/>
          <w:lang w:val="sr-Latn-ME"/>
        </w:rPr>
        <w:t xml:space="preserve"> progresij</w:t>
      </w:r>
      <w:r w:rsidR="007B5288" w:rsidRPr="005A4F9F">
        <w:rPr>
          <w:sz w:val="22"/>
          <w:szCs w:val="22"/>
          <w:lang w:val="sr-Latn-ME"/>
        </w:rPr>
        <w:t>i</w:t>
      </w:r>
      <w:r w:rsidRPr="005A4F9F">
        <w:rPr>
          <w:sz w:val="22"/>
          <w:szCs w:val="22"/>
          <w:lang w:val="sr-Latn-ME"/>
        </w:rPr>
        <w:t xml:space="preserve"> kod pacijenata koji su primali tocilizumab u poređenju sa kontrolom (Tabela </w:t>
      </w:r>
      <w:r w:rsidR="00BF249E" w:rsidRPr="005A4F9F">
        <w:rPr>
          <w:sz w:val="22"/>
          <w:szCs w:val="22"/>
          <w:lang w:val="sr-Latn-ME"/>
        </w:rPr>
        <w:t>5</w:t>
      </w:r>
      <w:r w:rsidRPr="005A4F9F">
        <w:rPr>
          <w:sz w:val="22"/>
          <w:szCs w:val="22"/>
          <w:lang w:val="sr-Latn-ME"/>
        </w:rPr>
        <w:t>).</w:t>
      </w:r>
    </w:p>
    <w:p w14:paraId="4CAD8BA5" w14:textId="77777777" w:rsidR="00894D03" w:rsidRPr="005A4F9F" w:rsidRDefault="00894D03">
      <w:pPr>
        <w:pStyle w:val="Header"/>
        <w:widowControl w:val="0"/>
        <w:tabs>
          <w:tab w:val="left" w:pos="284"/>
        </w:tabs>
        <w:jc w:val="both"/>
        <w:rPr>
          <w:sz w:val="22"/>
          <w:szCs w:val="22"/>
          <w:lang w:val="sr-Latn-ME"/>
        </w:rPr>
      </w:pPr>
    </w:p>
    <w:p w14:paraId="38D313AE" w14:textId="77777777" w:rsidR="00894D03" w:rsidRPr="005A4F9F" w:rsidRDefault="00894D03">
      <w:pPr>
        <w:pStyle w:val="Header"/>
        <w:widowControl w:val="0"/>
        <w:tabs>
          <w:tab w:val="left" w:pos="284"/>
        </w:tabs>
        <w:jc w:val="both"/>
        <w:rPr>
          <w:sz w:val="22"/>
          <w:szCs w:val="22"/>
          <w:lang w:val="sr-Latn-ME"/>
        </w:rPr>
      </w:pPr>
      <w:r w:rsidRPr="005A4F9F">
        <w:rPr>
          <w:sz w:val="22"/>
          <w:szCs w:val="22"/>
          <w:lang w:val="sr-Latn-ME"/>
        </w:rPr>
        <w:t>U otvorenoj fazi produžetka ispitivanja II inhibicija progresije strukturnog oštećenja zglobova kod</w:t>
      </w:r>
      <w:r w:rsidRPr="005A4F9F">
        <w:rPr>
          <w:sz w:val="22"/>
          <w:szCs w:val="22"/>
          <w:lang w:val="sr-Latn-ME"/>
        </w:rPr>
        <w:br/>
        <w:t>pacijenata koji se liječe tocilizumabom u kombinaciji s MTX-om održana je i u drugoj godini liječenja.</w:t>
      </w:r>
      <w:r w:rsidRPr="005A4F9F">
        <w:rPr>
          <w:sz w:val="22"/>
          <w:szCs w:val="22"/>
          <w:lang w:val="sr-Latn-ME"/>
        </w:rPr>
        <w:br/>
        <w:t xml:space="preserve">Srednja promjena ukupnog rezultata na </w:t>
      </w:r>
      <w:r w:rsidR="00750084" w:rsidRPr="005A4F9F">
        <w:rPr>
          <w:sz w:val="22"/>
          <w:szCs w:val="22"/>
          <w:lang w:val="sr-Latn-ME"/>
        </w:rPr>
        <w:t>Š</w:t>
      </w:r>
      <w:r w:rsidRPr="005A4F9F">
        <w:rPr>
          <w:sz w:val="22"/>
          <w:szCs w:val="22"/>
          <w:lang w:val="sr-Latn-ME"/>
        </w:rPr>
        <w:t xml:space="preserve">arp-Genantovoj </w:t>
      </w:r>
      <w:r w:rsidR="00750084" w:rsidRPr="005A4F9F">
        <w:rPr>
          <w:sz w:val="22"/>
          <w:szCs w:val="22"/>
          <w:lang w:val="sr-Latn-ME"/>
        </w:rPr>
        <w:t>skali</w:t>
      </w:r>
      <w:r w:rsidRPr="005A4F9F">
        <w:rPr>
          <w:sz w:val="22"/>
          <w:szCs w:val="22"/>
          <w:lang w:val="sr-Latn-ME"/>
        </w:rPr>
        <w:t xml:space="preserve"> </w:t>
      </w:r>
      <w:r w:rsidR="00750084" w:rsidRPr="005A4F9F">
        <w:rPr>
          <w:sz w:val="22"/>
          <w:szCs w:val="22"/>
          <w:lang w:val="sr-Latn-ME"/>
        </w:rPr>
        <w:t xml:space="preserve">u odnosu na početnu vrijednost </w:t>
      </w:r>
      <w:r w:rsidRPr="005A4F9F">
        <w:rPr>
          <w:sz w:val="22"/>
          <w:szCs w:val="22"/>
          <w:lang w:val="sr-Latn-ME"/>
        </w:rPr>
        <w:t>u 104. nedjelji bila je značajno manja za pacijente randomizovane u grupu koja je primala tocilizumab u dozi</w:t>
      </w:r>
      <w:r w:rsidRPr="005A4F9F">
        <w:rPr>
          <w:sz w:val="22"/>
          <w:szCs w:val="22"/>
          <w:lang w:val="sr-Latn-ME"/>
        </w:rPr>
        <w:br/>
        <w:t>od 8 mg/kg u kombinaciji s MTX-om (p &lt; 0,0001) u poređenju s bolesnicima koji su randomizovani u</w:t>
      </w:r>
      <w:r w:rsidRPr="005A4F9F">
        <w:rPr>
          <w:sz w:val="22"/>
          <w:szCs w:val="22"/>
          <w:lang w:val="sr-Latn-ME"/>
        </w:rPr>
        <w:br/>
        <w:t>grupu koja je primala placebo i MTX.</w:t>
      </w:r>
    </w:p>
    <w:p w14:paraId="14A6D2C7" w14:textId="77777777" w:rsidR="00C66563" w:rsidRPr="005A4F9F" w:rsidRDefault="00C66563" w:rsidP="008B00DE">
      <w:pPr>
        <w:pStyle w:val="Header"/>
        <w:widowControl w:val="0"/>
        <w:tabs>
          <w:tab w:val="left" w:pos="284"/>
        </w:tabs>
        <w:jc w:val="both"/>
        <w:rPr>
          <w:sz w:val="22"/>
          <w:szCs w:val="22"/>
          <w:lang w:val="sr-Latn-ME"/>
        </w:rPr>
      </w:pPr>
    </w:p>
    <w:p w14:paraId="5EF0EA97" w14:textId="77777777" w:rsidR="00C66563" w:rsidRPr="005A4F9F" w:rsidRDefault="00C66563" w:rsidP="008B00DE">
      <w:pPr>
        <w:pStyle w:val="Header"/>
        <w:widowControl w:val="0"/>
        <w:tabs>
          <w:tab w:val="left" w:pos="284"/>
        </w:tabs>
        <w:jc w:val="both"/>
        <w:rPr>
          <w:i/>
          <w:sz w:val="22"/>
          <w:szCs w:val="22"/>
          <w:lang w:val="sr-Latn-ME"/>
        </w:rPr>
      </w:pPr>
      <w:r w:rsidRPr="005A4F9F">
        <w:rPr>
          <w:bCs/>
          <w:i/>
          <w:sz w:val="22"/>
          <w:szCs w:val="22"/>
          <w:lang w:val="sr-Latn-ME"/>
        </w:rPr>
        <w:t xml:space="preserve">Tabela </w:t>
      </w:r>
      <w:r w:rsidR="00BF249E" w:rsidRPr="005A4F9F">
        <w:rPr>
          <w:bCs/>
          <w:i/>
          <w:sz w:val="22"/>
          <w:szCs w:val="22"/>
          <w:lang w:val="sr-Latn-ME"/>
        </w:rPr>
        <w:t>5</w:t>
      </w:r>
      <w:r w:rsidRPr="005A4F9F">
        <w:rPr>
          <w:bCs/>
          <w:i/>
          <w:sz w:val="22"/>
          <w:szCs w:val="22"/>
          <w:lang w:val="sr-Latn-ME"/>
        </w:rPr>
        <w:t>. Srednje radiografske promjene tokom 52 ned</w:t>
      </w:r>
      <w:r w:rsidR="007B5288" w:rsidRPr="005A4F9F">
        <w:rPr>
          <w:bCs/>
          <w:i/>
          <w:sz w:val="22"/>
          <w:szCs w:val="22"/>
          <w:lang w:val="sr-Latn-ME"/>
        </w:rPr>
        <w:t>j</w:t>
      </w:r>
      <w:r w:rsidRPr="005A4F9F">
        <w:rPr>
          <w:bCs/>
          <w:i/>
          <w:sz w:val="22"/>
          <w:szCs w:val="22"/>
          <w:lang w:val="sr-Latn-ME"/>
        </w:rPr>
        <w:t>elje u Studiji II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3318"/>
        <w:gridCol w:w="2952"/>
      </w:tblGrid>
      <w:tr w:rsidR="00763105" w:rsidRPr="005A4F9F" w14:paraId="49813FED" w14:textId="77777777" w:rsidTr="006B57D8">
        <w:trPr>
          <w:trHeight w:val="144"/>
        </w:trPr>
        <w:tc>
          <w:tcPr>
            <w:tcW w:w="2797" w:type="dxa"/>
          </w:tcPr>
          <w:p w14:paraId="5B649BF0" w14:textId="77777777" w:rsidR="00763105" w:rsidRPr="005A4F9F" w:rsidRDefault="00763105" w:rsidP="008B00DE">
            <w:pPr>
              <w:pStyle w:val="Header"/>
              <w:widowControl w:val="0"/>
              <w:tabs>
                <w:tab w:val="left" w:pos="284"/>
              </w:tabs>
              <w:jc w:val="both"/>
              <w:rPr>
                <w:sz w:val="22"/>
                <w:szCs w:val="22"/>
                <w:lang w:val="sr-Latn-ME"/>
              </w:rPr>
            </w:pPr>
          </w:p>
        </w:tc>
        <w:tc>
          <w:tcPr>
            <w:tcW w:w="3318" w:type="dxa"/>
          </w:tcPr>
          <w:p w14:paraId="3DBF3468" w14:textId="77777777" w:rsidR="00763105" w:rsidRPr="005A4F9F" w:rsidRDefault="00763105" w:rsidP="008B00DE">
            <w:pPr>
              <w:pStyle w:val="Header"/>
              <w:widowControl w:val="0"/>
              <w:tabs>
                <w:tab w:val="left" w:pos="284"/>
              </w:tabs>
              <w:jc w:val="both"/>
              <w:rPr>
                <w:b/>
                <w:bCs/>
                <w:sz w:val="22"/>
                <w:szCs w:val="22"/>
                <w:lang w:val="sr-Latn-ME"/>
              </w:rPr>
            </w:pPr>
            <w:r w:rsidRPr="005A4F9F">
              <w:rPr>
                <w:b/>
                <w:bCs/>
                <w:sz w:val="22"/>
                <w:szCs w:val="22"/>
                <w:lang w:val="sr-Latn-ME"/>
              </w:rPr>
              <w:t xml:space="preserve">PBO + MTX </w:t>
            </w:r>
          </w:p>
          <w:p w14:paraId="6B4A5B09" w14:textId="77777777" w:rsidR="00763105" w:rsidRPr="005A4F9F" w:rsidRDefault="00763105" w:rsidP="008B00DE">
            <w:pPr>
              <w:pStyle w:val="Header"/>
              <w:widowControl w:val="0"/>
              <w:tabs>
                <w:tab w:val="left" w:pos="284"/>
              </w:tabs>
              <w:jc w:val="both"/>
              <w:rPr>
                <w:b/>
                <w:bCs/>
                <w:sz w:val="22"/>
                <w:szCs w:val="22"/>
                <w:lang w:val="sr-Latn-ME"/>
              </w:rPr>
            </w:pPr>
            <w:r w:rsidRPr="005A4F9F">
              <w:rPr>
                <w:b/>
                <w:bCs/>
                <w:sz w:val="22"/>
                <w:szCs w:val="22"/>
                <w:lang w:val="sr-Latn-ME"/>
              </w:rPr>
              <w:t>(+ TCZ od 24. ned</w:t>
            </w:r>
            <w:r w:rsidR="00A162FA" w:rsidRPr="005A4F9F">
              <w:rPr>
                <w:b/>
                <w:bCs/>
                <w:sz w:val="22"/>
                <w:szCs w:val="22"/>
                <w:lang w:val="sr-Latn-ME"/>
              </w:rPr>
              <w:t>j</w:t>
            </w:r>
            <w:r w:rsidRPr="005A4F9F">
              <w:rPr>
                <w:b/>
                <w:bCs/>
                <w:sz w:val="22"/>
                <w:szCs w:val="22"/>
                <w:lang w:val="sr-Latn-ME"/>
              </w:rPr>
              <w:t>elje)</w:t>
            </w:r>
          </w:p>
          <w:p w14:paraId="1E935FA2" w14:textId="77777777" w:rsidR="00763105" w:rsidRPr="005A4F9F" w:rsidRDefault="00763105" w:rsidP="008B00DE">
            <w:pPr>
              <w:pStyle w:val="Header"/>
              <w:widowControl w:val="0"/>
              <w:tabs>
                <w:tab w:val="left" w:pos="284"/>
              </w:tabs>
              <w:jc w:val="both"/>
              <w:rPr>
                <w:sz w:val="22"/>
                <w:szCs w:val="22"/>
                <w:lang w:val="sr-Latn-ME"/>
              </w:rPr>
            </w:pPr>
            <w:r w:rsidRPr="005A4F9F">
              <w:rPr>
                <w:b/>
                <w:bCs/>
                <w:sz w:val="22"/>
                <w:szCs w:val="22"/>
                <w:lang w:val="sr-Latn-ME"/>
              </w:rPr>
              <w:t>N = 393</w:t>
            </w:r>
          </w:p>
        </w:tc>
        <w:tc>
          <w:tcPr>
            <w:tcW w:w="2952" w:type="dxa"/>
          </w:tcPr>
          <w:p w14:paraId="16C88AF8" w14:textId="77777777" w:rsidR="00763105" w:rsidRPr="005A4F9F" w:rsidRDefault="00763105" w:rsidP="008B00DE">
            <w:pPr>
              <w:pStyle w:val="Header"/>
              <w:widowControl w:val="0"/>
              <w:tabs>
                <w:tab w:val="left" w:pos="284"/>
              </w:tabs>
              <w:jc w:val="both"/>
              <w:rPr>
                <w:b/>
                <w:bCs/>
                <w:sz w:val="22"/>
                <w:szCs w:val="22"/>
                <w:lang w:val="sr-Latn-ME"/>
              </w:rPr>
            </w:pPr>
            <w:r w:rsidRPr="005A4F9F">
              <w:rPr>
                <w:b/>
                <w:bCs/>
                <w:sz w:val="22"/>
                <w:szCs w:val="22"/>
                <w:lang w:val="sr-Latn-ME"/>
              </w:rPr>
              <w:t>TCZ 8 mg/kg + MTX</w:t>
            </w:r>
            <w:r w:rsidRPr="005A4F9F">
              <w:rPr>
                <w:b/>
                <w:bCs/>
                <w:sz w:val="22"/>
                <w:szCs w:val="22"/>
                <w:lang w:val="sr-Latn-ME"/>
              </w:rPr>
              <w:br/>
            </w:r>
          </w:p>
          <w:p w14:paraId="2687F9A7" w14:textId="77777777" w:rsidR="00763105" w:rsidRPr="005A4F9F" w:rsidRDefault="00763105" w:rsidP="008B00DE">
            <w:pPr>
              <w:pStyle w:val="Header"/>
              <w:widowControl w:val="0"/>
              <w:tabs>
                <w:tab w:val="left" w:pos="284"/>
              </w:tabs>
              <w:jc w:val="both"/>
              <w:rPr>
                <w:sz w:val="22"/>
                <w:szCs w:val="22"/>
                <w:lang w:val="sr-Latn-ME"/>
              </w:rPr>
            </w:pPr>
            <w:r w:rsidRPr="005A4F9F">
              <w:rPr>
                <w:b/>
                <w:bCs/>
                <w:sz w:val="22"/>
                <w:szCs w:val="22"/>
                <w:lang w:val="sr-Latn-ME"/>
              </w:rPr>
              <w:t>N = 398</w:t>
            </w:r>
          </w:p>
        </w:tc>
      </w:tr>
      <w:tr w:rsidR="00763105" w:rsidRPr="005A4F9F" w14:paraId="58A3016E" w14:textId="77777777" w:rsidTr="006B57D8">
        <w:trPr>
          <w:trHeight w:val="144"/>
        </w:trPr>
        <w:tc>
          <w:tcPr>
            <w:tcW w:w="2797" w:type="dxa"/>
          </w:tcPr>
          <w:p w14:paraId="7E7E5324"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Ukupni Šarp-Genantov skor</w:t>
            </w:r>
          </w:p>
        </w:tc>
        <w:tc>
          <w:tcPr>
            <w:tcW w:w="3318" w:type="dxa"/>
          </w:tcPr>
          <w:p w14:paraId="4F48896F"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1,13</w:t>
            </w:r>
          </w:p>
        </w:tc>
        <w:tc>
          <w:tcPr>
            <w:tcW w:w="2952" w:type="dxa"/>
          </w:tcPr>
          <w:p w14:paraId="2CCD3CD2"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0,29*</w:t>
            </w:r>
          </w:p>
        </w:tc>
      </w:tr>
      <w:tr w:rsidR="00763105" w:rsidRPr="005A4F9F" w14:paraId="209D03EE" w14:textId="77777777" w:rsidTr="006B57D8">
        <w:trPr>
          <w:trHeight w:val="144"/>
        </w:trPr>
        <w:tc>
          <w:tcPr>
            <w:tcW w:w="2797" w:type="dxa"/>
          </w:tcPr>
          <w:p w14:paraId="007ABB32"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Skor erozije</w:t>
            </w:r>
          </w:p>
        </w:tc>
        <w:tc>
          <w:tcPr>
            <w:tcW w:w="3318" w:type="dxa"/>
          </w:tcPr>
          <w:p w14:paraId="7F6C25A8"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0,71</w:t>
            </w:r>
          </w:p>
        </w:tc>
        <w:tc>
          <w:tcPr>
            <w:tcW w:w="2952" w:type="dxa"/>
          </w:tcPr>
          <w:p w14:paraId="72ED9C95"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0,17*</w:t>
            </w:r>
          </w:p>
        </w:tc>
      </w:tr>
      <w:tr w:rsidR="00763105" w:rsidRPr="005A4F9F" w14:paraId="5A387915" w14:textId="77777777" w:rsidTr="006B57D8">
        <w:trPr>
          <w:trHeight w:val="274"/>
        </w:trPr>
        <w:tc>
          <w:tcPr>
            <w:tcW w:w="2797" w:type="dxa"/>
          </w:tcPr>
          <w:p w14:paraId="42AC886B"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 xml:space="preserve">Skor JSN </w:t>
            </w:r>
          </w:p>
        </w:tc>
        <w:tc>
          <w:tcPr>
            <w:tcW w:w="3318" w:type="dxa"/>
          </w:tcPr>
          <w:p w14:paraId="6FFA4B3B"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0,42</w:t>
            </w:r>
          </w:p>
        </w:tc>
        <w:tc>
          <w:tcPr>
            <w:tcW w:w="2952" w:type="dxa"/>
          </w:tcPr>
          <w:p w14:paraId="702518E2" w14:textId="77777777" w:rsidR="00763105" w:rsidRPr="005A4F9F" w:rsidRDefault="00763105" w:rsidP="008B00DE">
            <w:pPr>
              <w:pStyle w:val="Header"/>
              <w:widowControl w:val="0"/>
              <w:tabs>
                <w:tab w:val="left" w:pos="284"/>
              </w:tabs>
              <w:jc w:val="both"/>
              <w:rPr>
                <w:sz w:val="22"/>
                <w:szCs w:val="22"/>
                <w:lang w:val="sr-Latn-ME"/>
              </w:rPr>
            </w:pPr>
            <w:r w:rsidRPr="005A4F9F">
              <w:rPr>
                <w:sz w:val="22"/>
                <w:szCs w:val="22"/>
                <w:lang w:val="sr-Latn-ME"/>
              </w:rPr>
              <w:t>0,12**</w:t>
            </w:r>
          </w:p>
        </w:tc>
      </w:tr>
    </w:tbl>
    <w:p w14:paraId="4389F285" w14:textId="77777777" w:rsidR="00763105" w:rsidRPr="008B00DE" w:rsidRDefault="00763105">
      <w:pPr>
        <w:widowControl w:val="0"/>
        <w:tabs>
          <w:tab w:val="left" w:pos="284"/>
          <w:tab w:val="center" w:pos="4320"/>
          <w:tab w:val="right" w:pos="8640"/>
        </w:tabs>
        <w:jc w:val="both"/>
        <w:rPr>
          <w:i/>
          <w:sz w:val="22"/>
          <w:szCs w:val="22"/>
          <w:lang w:val="sr-Latn-ME"/>
        </w:rPr>
      </w:pPr>
      <w:r w:rsidRPr="008B00DE">
        <w:rPr>
          <w:i/>
          <w:sz w:val="22"/>
          <w:szCs w:val="22"/>
          <w:lang w:val="sr-Latn-ME"/>
        </w:rPr>
        <w:t>PBO- Placebo</w:t>
      </w:r>
    </w:p>
    <w:p w14:paraId="1E29B4A1" w14:textId="77777777" w:rsidR="00763105" w:rsidRPr="008B00DE" w:rsidRDefault="00763105">
      <w:pPr>
        <w:widowControl w:val="0"/>
        <w:tabs>
          <w:tab w:val="left" w:pos="284"/>
          <w:tab w:val="center" w:pos="4320"/>
          <w:tab w:val="right" w:pos="8640"/>
        </w:tabs>
        <w:jc w:val="both"/>
        <w:rPr>
          <w:i/>
          <w:sz w:val="22"/>
          <w:szCs w:val="22"/>
          <w:lang w:val="sr-Latn-ME"/>
        </w:rPr>
      </w:pPr>
      <w:r w:rsidRPr="008B00DE">
        <w:rPr>
          <w:i/>
          <w:sz w:val="22"/>
          <w:szCs w:val="22"/>
          <w:lang w:val="sr-Latn-ME"/>
        </w:rPr>
        <w:lastRenderedPageBreak/>
        <w:t>MTX- Metotreksat</w:t>
      </w:r>
    </w:p>
    <w:p w14:paraId="410355F0" w14:textId="77777777" w:rsidR="00763105" w:rsidRPr="008B00DE" w:rsidRDefault="00763105">
      <w:pPr>
        <w:widowControl w:val="0"/>
        <w:tabs>
          <w:tab w:val="left" w:pos="284"/>
          <w:tab w:val="center" w:pos="4320"/>
          <w:tab w:val="right" w:pos="8640"/>
        </w:tabs>
        <w:jc w:val="both"/>
        <w:rPr>
          <w:i/>
          <w:sz w:val="22"/>
          <w:szCs w:val="22"/>
          <w:lang w:val="sr-Latn-ME"/>
        </w:rPr>
      </w:pPr>
      <w:r w:rsidRPr="008B00DE">
        <w:rPr>
          <w:i/>
          <w:sz w:val="22"/>
          <w:szCs w:val="22"/>
          <w:lang w:val="sr-Latn-ME"/>
        </w:rPr>
        <w:t>TCZ- Tocilizumab</w:t>
      </w:r>
    </w:p>
    <w:p w14:paraId="38049CAC" w14:textId="77777777" w:rsidR="00763105" w:rsidRPr="008B00DE" w:rsidRDefault="00763105">
      <w:pPr>
        <w:widowControl w:val="0"/>
        <w:tabs>
          <w:tab w:val="left" w:pos="284"/>
          <w:tab w:val="center" w:pos="4320"/>
          <w:tab w:val="right" w:pos="8640"/>
        </w:tabs>
        <w:jc w:val="both"/>
        <w:rPr>
          <w:i/>
          <w:sz w:val="22"/>
          <w:szCs w:val="22"/>
          <w:lang w:val="sr-Latn-ME"/>
        </w:rPr>
      </w:pPr>
      <w:r w:rsidRPr="008B00DE">
        <w:rPr>
          <w:i/>
          <w:sz w:val="22"/>
          <w:szCs w:val="22"/>
          <w:lang w:val="sr-Latn-ME"/>
        </w:rPr>
        <w:t>JSN- Sužavanje prostora u zglobu</w:t>
      </w:r>
    </w:p>
    <w:p w14:paraId="23FB4D13" w14:textId="77777777" w:rsidR="00763105" w:rsidRPr="008B00DE" w:rsidRDefault="00763105">
      <w:pPr>
        <w:widowControl w:val="0"/>
        <w:tabs>
          <w:tab w:val="left" w:pos="284"/>
          <w:tab w:val="center" w:pos="4320"/>
          <w:tab w:val="right" w:pos="8640"/>
        </w:tabs>
        <w:jc w:val="both"/>
        <w:rPr>
          <w:i/>
          <w:iCs/>
          <w:sz w:val="22"/>
          <w:szCs w:val="22"/>
          <w:lang w:val="sr-Latn-ME"/>
        </w:rPr>
      </w:pPr>
      <w:r w:rsidRPr="008B00DE">
        <w:rPr>
          <w:i/>
          <w:iCs/>
          <w:sz w:val="22"/>
          <w:szCs w:val="22"/>
          <w:lang w:val="sr-Latn-ME"/>
        </w:rPr>
        <w:t>*</w:t>
      </w:r>
      <w:r w:rsidRPr="008B00DE">
        <w:rPr>
          <w:i/>
          <w:iCs/>
          <w:sz w:val="22"/>
          <w:szCs w:val="22"/>
          <w:lang w:val="sr-Latn-ME"/>
        </w:rPr>
        <w:tab/>
        <w:t xml:space="preserve">- p≤ 0,0001, </w:t>
      </w:r>
      <w:r w:rsidRPr="008B00DE">
        <w:rPr>
          <w:i/>
          <w:sz w:val="22"/>
          <w:szCs w:val="22"/>
          <w:lang w:val="sr-Latn-ME"/>
        </w:rPr>
        <w:t>TCZ</w:t>
      </w:r>
      <w:r w:rsidRPr="008B00DE">
        <w:rPr>
          <w:i/>
          <w:iCs/>
          <w:sz w:val="22"/>
          <w:szCs w:val="22"/>
          <w:lang w:val="sr-Latn-ME"/>
        </w:rPr>
        <w:t xml:space="preserve"> prema </w:t>
      </w:r>
      <w:r w:rsidRPr="008B00DE">
        <w:rPr>
          <w:i/>
          <w:sz w:val="22"/>
          <w:szCs w:val="22"/>
          <w:lang w:val="sr-Latn-ME"/>
        </w:rPr>
        <w:t>PBO</w:t>
      </w:r>
      <w:r w:rsidRPr="008B00DE">
        <w:rPr>
          <w:i/>
          <w:iCs/>
          <w:sz w:val="22"/>
          <w:szCs w:val="22"/>
          <w:lang w:val="sr-Latn-ME"/>
        </w:rPr>
        <w:t xml:space="preserve"> + MTX</w:t>
      </w:r>
    </w:p>
    <w:p w14:paraId="7AC89C87" w14:textId="77777777" w:rsidR="00763105" w:rsidRPr="008B00DE" w:rsidRDefault="00763105">
      <w:pPr>
        <w:widowControl w:val="0"/>
        <w:tabs>
          <w:tab w:val="left" w:pos="284"/>
          <w:tab w:val="center" w:pos="4320"/>
          <w:tab w:val="right" w:pos="8640"/>
        </w:tabs>
        <w:jc w:val="both"/>
        <w:rPr>
          <w:i/>
          <w:sz w:val="22"/>
          <w:szCs w:val="22"/>
          <w:lang w:val="sr-Latn-ME"/>
        </w:rPr>
      </w:pPr>
      <w:r w:rsidRPr="008B00DE">
        <w:rPr>
          <w:i/>
          <w:iCs/>
          <w:sz w:val="22"/>
          <w:szCs w:val="22"/>
          <w:lang w:val="sr-Latn-ME"/>
        </w:rPr>
        <w:t xml:space="preserve">** </w:t>
      </w:r>
      <w:r w:rsidRPr="008B00DE">
        <w:rPr>
          <w:i/>
          <w:iCs/>
          <w:sz w:val="22"/>
          <w:szCs w:val="22"/>
          <w:lang w:val="sr-Latn-ME"/>
        </w:rPr>
        <w:tab/>
        <w:t xml:space="preserve">- p&lt; 0,005, </w:t>
      </w:r>
      <w:r w:rsidRPr="008B00DE">
        <w:rPr>
          <w:i/>
          <w:sz w:val="22"/>
          <w:szCs w:val="22"/>
          <w:lang w:val="sr-Latn-ME"/>
        </w:rPr>
        <w:t>TCZ</w:t>
      </w:r>
      <w:r w:rsidRPr="008B00DE">
        <w:rPr>
          <w:i/>
          <w:iCs/>
          <w:sz w:val="22"/>
          <w:szCs w:val="22"/>
          <w:lang w:val="sr-Latn-ME"/>
        </w:rPr>
        <w:t xml:space="preserve"> prema </w:t>
      </w:r>
      <w:r w:rsidRPr="008B00DE">
        <w:rPr>
          <w:i/>
          <w:sz w:val="22"/>
          <w:szCs w:val="22"/>
          <w:lang w:val="sr-Latn-ME"/>
        </w:rPr>
        <w:t xml:space="preserve">PBO </w:t>
      </w:r>
      <w:r w:rsidRPr="008B00DE">
        <w:rPr>
          <w:i/>
          <w:iCs/>
          <w:sz w:val="22"/>
          <w:szCs w:val="22"/>
          <w:lang w:val="sr-Latn-ME"/>
        </w:rPr>
        <w:t>+ MTX</w:t>
      </w:r>
    </w:p>
    <w:p w14:paraId="4B1AB353" w14:textId="77777777" w:rsidR="00F03D29" w:rsidRPr="005A4F9F" w:rsidRDefault="00F03D29">
      <w:pPr>
        <w:widowControl w:val="0"/>
        <w:tabs>
          <w:tab w:val="left" w:pos="540"/>
          <w:tab w:val="left" w:pos="569"/>
        </w:tabs>
        <w:jc w:val="both"/>
        <w:rPr>
          <w:b/>
          <w:bCs/>
          <w:sz w:val="22"/>
          <w:szCs w:val="22"/>
          <w:lang w:val="sr-Latn-ME"/>
        </w:rPr>
      </w:pPr>
    </w:p>
    <w:p w14:paraId="5A5E4D18" w14:textId="4FA63C07" w:rsidR="00763105" w:rsidRPr="005A4F9F" w:rsidRDefault="00763105">
      <w:pPr>
        <w:widowControl w:val="0"/>
        <w:jc w:val="both"/>
        <w:rPr>
          <w:sz w:val="22"/>
          <w:szCs w:val="22"/>
          <w:lang w:val="sr-Latn-ME"/>
        </w:rPr>
      </w:pPr>
      <w:r w:rsidRPr="005A4F9F">
        <w:rPr>
          <w:sz w:val="22"/>
          <w:szCs w:val="22"/>
          <w:lang w:val="sr-Latn-ME"/>
        </w:rPr>
        <w:t>Nakon jednogodišnjeg liječenja tocilizumabom u kombinaciji s MTX</w:t>
      </w:r>
      <w:r w:rsidR="007D6E02" w:rsidRPr="005A4F9F">
        <w:rPr>
          <w:sz w:val="22"/>
          <w:szCs w:val="22"/>
          <w:lang w:val="sr-Latn-ME"/>
        </w:rPr>
        <w:t>-om</w:t>
      </w:r>
      <w:r w:rsidRPr="005A4F9F">
        <w:rPr>
          <w:sz w:val="22"/>
          <w:szCs w:val="22"/>
          <w:lang w:val="sr-Latn-ME"/>
        </w:rPr>
        <w:t xml:space="preserve">, kod 85% pacijenata (n=348) nije došlo do napredovanja strukturalnog oštećenja zglobova, definisano promjenom ukupnog rezultata po </w:t>
      </w:r>
      <w:r w:rsidR="004F7FA6" w:rsidRPr="005A4F9F">
        <w:rPr>
          <w:sz w:val="22"/>
          <w:szCs w:val="22"/>
          <w:lang w:val="sr-Latn-ME"/>
        </w:rPr>
        <w:t xml:space="preserve">Šarp </w:t>
      </w:r>
      <w:r w:rsidRPr="005A4F9F">
        <w:rPr>
          <w:sz w:val="22"/>
          <w:szCs w:val="22"/>
          <w:lang w:val="sr-Latn-ME"/>
        </w:rPr>
        <w:t>skali od nula ili manje, u poređenju sa 67% pacijenata liječenih placebom u kombinaciji sa MTX</w:t>
      </w:r>
      <w:r w:rsidR="007D6E02" w:rsidRPr="005A4F9F">
        <w:rPr>
          <w:sz w:val="22"/>
          <w:szCs w:val="22"/>
          <w:lang w:val="sr-Latn-ME"/>
        </w:rPr>
        <w:t>-om</w:t>
      </w:r>
      <w:r w:rsidRPr="005A4F9F">
        <w:rPr>
          <w:sz w:val="22"/>
          <w:szCs w:val="22"/>
          <w:lang w:val="sr-Latn-ME"/>
        </w:rPr>
        <w:t xml:space="preserve"> (n=290) (p </w:t>
      </w:r>
      <w:r w:rsidRPr="005A4F9F">
        <w:rPr>
          <w:sz w:val="22"/>
          <w:szCs w:val="22"/>
          <w:lang w:val="sr-Latn-ME"/>
        </w:rPr>
        <w:sym w:font="Symbol" w:char="F0A3"/>
      </w:r>
      <w:r w:rsidRPr="005A4F9F">
        <w:rPr>
          <w:sz w:val="22"/>
          <w:szCs w:val="22"/>
          <w:lang w:val="sr-Latn-ME"/>
        </w:rPr>
        <w:t> 0,001). Efekat je održan i nakon dvije godine liječenja (83%; n=353). U devedeset i tri posto (93%; n=271) pacijenata nije došlo do napredovanja između 52. i 104. ned</w:t>
      </w:r>
      <w:r w:rsidR="004F7FA6" w:rsidRPr="005A4F9F">
        <w:rPr>
          <w:sz w:val="22"/>
          <w:szCs w:val="22"/>
          <w:lang w:val="sr-Latn-ME"/>
        </w:rPr>
        <w:t>j</w:t>
      </w:r>
      <w:r w:rsidRPr="005A4F9F">
        <w:rPr>
          <w:sz w:val="22"/>
          <w:szCs w:val="22"/>
          <w:lang w:val="sr-Latn-ME"/>
        </w:rPr>
        <w:t>elje.</w:t>
      </w:r>
    </w:p>
    <w:p w14:paraId="6EC078AB" w14:textId="77777777" w:rsidR="00763105" w:rsidRPr="005A4F9F" w:rsidRDefault="00763105">
      <w:pPr>
        <w:widowControl w:val="0"/>
        <w:tabs>
          <w:tab w:val="left" w:pos="540"/>
          <w:tab w:val="left" w:pos="569"/>
        </w:tabs>
        <w:jc w:val="both"/>
        <w:rPr>
          <w:b/>
          <w:bCs/>
          <w:iCs/>
          <w:sz w:val="22"/>
          <w:szCs w:val="22"/>
          <w:u w:val="single"/>
          <w:lang w:val="sr-Latn-ME"/>
        </w:rPr>
      </w:pPr>
    </w:p>
    <w:p w14:paraId="68E227FD" w14:textId="77777777" w:rsidR="00763105" w:rsidRPr="005A4F9F" w:rsidRDefault="00763105">
      <w:pPr>
        <w:widowControl w:val="0"/>
        <w:tabs>
          <w:tab w:val="left" w:pos="284"/>
          <w:tab w:val="center" w:pos="4320"/>
          <w:tab w:val="right" w:pos="8640"/>
        </w:tabs>
        <w:jc w:val="both"/>
        <w:rPr>
          <w:iCs/>
          <w:sz w:val="22"/>
          <w:szCs w:val="22"/>
          <w:u w:val="single"/>
          <w:lang w:val="sr-Latn-ME"/>
        </w:rPr>
      </w:pPr>
      <w:r w:rsidRPr="005A4F9F">
        <w:rPr>
          <w:iCs/>
          <w:sz w:val="22"/>
          <w:szCs w:val="22"/>
          <w:u w:val="single"/>
          <w:lang w:val="sr-Latn-ME"/>
        </w:rPr>
        <w:t>Ishodi povezani sa zdravljem i kvalitetom života</w:t>
      </w:r>
    </w:p>
    <w:p w14:paraId="4724F618" w14:textId="767617BF" w:rsidR="00763105" w:rsidRPr="005A4F9F" w:rsidRDefault="00763105">
      <w:pPr>
        <w:widowControl w:val="0"/>
        <w:jc w:val="both"/>
        <w:rPr>
          <w:sz w:val="22"/>
          <w:szCs w:val="22"/>
          <w:lang w:val="sr-Latn-ME"/>
        </w:rPr>
      </w:pPr>
      <w:r w:rsidRPr="005A4F9F">
        <w:rPr>
          <w:sz w:val="22"/>
          <w:szCs w:val="22"/>
          <w:lang w:val="sr-Latn-ME"/>
        </w:rPr>
        <w:t>Pacijenti lječeni tocilizumabom  prijavili su poboljšanje u svim ishodima vezanim za procjenu samog pacijenta (Indeks po upitniku za procjenu zdravstvene onesposobljenosti</w:t>
      </w:r>
      <w:r w:rsidR="007D6E02" w:rsidRPr="005A4F9F">
        <w:rPr>
          <w:sz w:val="22"/>
          <w:szCs w:val="22"/>
          <w:lang w:val="sr-Latn-ME"/>
        </w:rPr>
        <w:t>;</w:t>
      </w:r>
      <w:r w:rsidR="007D6E02" w:rsidRPr="008B00DE">
        <w:rPr>
          <w:sz w:val="22"/>
          <w:szCs w:val="22"/>
          <w:lang w:val="sr-Latn-ME"/>
        </w:rPr>
        <w:t xml:space="preserve"> </w:t>
      </w:r>
      <w:r w:rsidR="007D6E02" w:rsidRPr="005A4F9F">
        <w:rPr>
          <w:sz w:val="22"/>
          <w:szCs w:val="22"/>
          <w:lang w:val="sr-Latn-ME"/>
        </w:rPr>
        <w:t xml:space="preserve">engl. </w:t>
      </w:r>
      <w:r w:rsidR="007D6E02" w:rsidRPr="005A4F9F">
        <w:rPr>
          <w:i/>
          <w:sz w:val="22"/>
          <w:szCs w:val="22"/>
          <w:lang w:val="sr-Latn-ME"/>
        </w:rPr>
        <w:t>Health Assessment Questionnaire Disability Index</w:t>
      </w:r>
      <w:r w:rsidR="007D6E02" w:rsidRPr="005A4F9F">
        <w:rPr>
          <w:sz w:val="22"/>
          <w:szCs w:val="22"/>
          <w:lang w:val="sr-Latn-ME"/>
        </w:rPr>
        <w:t>, HAQ-DI</w:t>
      </w:r>
      <w:r w:rsidRPr="005A4F9F">
        <w:rPr>
          <w:sz w:val="22"/>
          <w:szCs w:val="22"/>
          <w:lang w:val="sr-Latn-ME"/>
        </w:rPr>
        <w:t>), i po Kratkoj formi</w:t>
      </w:r>
      <w:r w:rsidR="007D6E02" w:rsidRPr="005A4F9F">
        <w:rPr>
          <w:sz w:val="22"/>
          <w:szCs w:val="22"/>
          <w:lang w:val="sr-Latn-ME"/>
        </w:rPr>
        <w:t xml:space="preserve"> ,,U</w:t>
      </w:r>
      <w:r w:rsidRPr="005A4F9F">
        <w:rPr>
          <w:sz w:val="22"/>
          <w:szCs w:val="22"/>
          <w:lang w:val="sr-Latn-ME"/>
        </w:rPr>
        <w:t>pitnika</w:t>
      </w:r>
      <w:r w:rsidR="007D6E02" w:rsidRPr="005A4F9F">
        <w:rPr>
          <w:sz w:val="22"/>
          <w:szCs w:val="22"/>
          <w:lang w:val="sr-Latn-ME"/>
        </w:rPr>
        <w:t>-36“ (SF-36 -</w:t>
      </w:r>
      <w:r w:rsidR="007D6E02" w:rsidRPr="005A4F9F">
        <w:rPr>
          <w:i/>
          <w:sz w:val="22"/>
          <w:szCs w:val="22"/>
          <w:lang w:val="sr-Latn-ME"/>
        </w:rPr>
        <w:t>Short form</w:t>
      </w:r>
      <w:r w:rsidR="007D6E02" w:rsidRPr="005A4F9F">
        <w:rPr>
          <w:i/>
          <w:sz w:val="22"/>
          <w:szCs w:val="22"/>
          <w:lang w:val="sr-Latn-ME"/>
        </w:rPr>
        <w:noBreakHyphen/>
      </w:r>
      <w:r w:rsidR="007D6E02" w:rsidRPr="005A4F9F">
        <w:rPr>
          <w:sz w:val="22"/>
          <w:szCs w:val="22"/>
          <w:lang w:val="sr-Latn-ME"/>
        </w:rPr>
        <w:t>36)</w:t>
      </w:r>
      <w:r w:rsidRPr="005A4F9F">
        <w:rPr>
          <w:sz w:val="22"/>
          <w:szCs w:val="22"/>
          <w:lang w:val="sr-Latn-ME"/>
        </w:rPr>
        <w:t xml:space="preserve"> </w:t>
      </w:r>
      <w:r w:rsidR="007D6E02" w:rsidRPr="005A4F9F">
        <w:rPr>
          <w:sz w:val="22"/>
          <w:szCs w:val="22"/>
          <w:lang w:val="sr-Latn-ME"/>
        </w:rPr>
        <w:t>i F</w:t>
      </w:r>
      <w:r w:rsidRPr="005A4F9F">
        <w:rPr>
          <w:sz w:val="22"/>
          <w:szCs w:val="22"/>
          <w:lang w:val="sr-Latn-ME"/>
        </w:rPr>
        <w:t>unkcionaln</w:t>
      </w:r>
      <w:r w:rsidR="008B3674" w:rsidRPr="005A4F9F">
        <w:rPr>
          <w:sz w:val="22"/>
          <w:szCs w:val="22"/>
          <w:lang w:val="sr-Latn-ME"/>
        </w:rPr>
        <w:t>oj</w:t>
      </w:r>
      <w:r w:rsidRPr="005A4F9F">
        <w:rPr>
          <w:sz w:val="22"/>
          <w:szCs w:val="22"/>
          <w:lang w:val="sr-Latn-ME"/>
        </w:rPr>
        <w:t xml:space="preserve"> procjen</w:t>
      </w:r>
      <w:r w:rsidR="008B3674" w:rsidRPr="005A4F9F">
        <w:rPr>
          <w:sz w:val="22"/>
          <w:szCs w:val="22"/>
          <w:lang w:val="sr-Latn-ME"/>
        </w:rPr>
        <w:t>i</w:t>
      </w:r>
      <w:r w:rsidRPr="005A4F9F">
        <w:rPr>
          <w:sz w:val="22"/>
          <w:szCs w:val="22"/>
          <w:lang w:val="sr-Latn-ME"/>
        </w:rPr>
        <w:t xml:space="preserve"> terapije hroničnih bolesti</w:t>
      </w:r>
      <w:r w:rsidR="007D6E02" w:rsidRPr="005A4F9F">
        <w:rPr>
          <w:sz w:val="22"/>
          <w:szCs w:val="22"/>
          <w:lang w:val="sr-Latn-ME"/>
        </w:rPr>
        <w:t xml:space="preserve"> (engl. </w:t>
      </w:r>
      <w:r w:rsidR="007D6E02" w:rsidRPr="005A4F9F">
        <w:rPr>
          <w:i/>
          <w:sz w:val="22"/>
          <w:szCs w:val="22"/>
          <w:lang w:val="sr-Latn-ME"/>
        </w:rPr>
        <w:t xml:space="preserve">Functional Assessment of Chronic Illness Therapy, </w:t>
      </w:r>
      <w:r w:rsidR="007D6E02" w:rsidRPr="005A4F9F">
        <w:rPr>
          <w:sz w:val="22"/>
          <w:szCs w:val="22"/>
          <w:lang w:val="sr-Latn-ME"/>
        </w:rPr>
        <w:t>FACIT)</w:t>
      </w:r>
      <w:r w:rsidRPr="005A4F9F">
        <w:rPr>
          <w:sz w:val="22"/>
          <w:szCs w:val="22"/>
          <w:lang w:val="sr-Latn-ME"/>
        </w:rPr>
        <w:t xml:space="preserve">. Statistički značajno poboljšanje skorova HAQ-DI zabilježeno je kod pacijenata koji su primali </w:t>
      </w:r>
      <w:r w:rsidR="007D6E02" w:rsidRPr="005A4F9F">
        <w:rPr>
          <w:sz w:val="22"/>
          <w:szCs w:val="22"/>
          <w:lang w:val="sr-Latn-ME"/>
        </w:rPr>
        <w:t>tocilizumab</w:t>
      </w:r>
      <w:r w:rsidRPr="005A4F9F">
        <w:rPr>
          <w:sz w:val="22"/>
          <w:szCs w:val="22"/>
          <w:lang w:val="sr-Latn-ME"/>
        </w:rPr>
        <w:t>u poređenju sa pacijentima liječenim DMARD. Tokom otvorene faze Studije II, poboljšanje funkcionalnog stanja održano je i do 2 godine. U 52. ned</w:t>
      </w:r>
      <w:r w:rsidR="004F7FA6" w:rsidRPr="005A4F9F">
        <w:rPr>
          <w:sz w:val="22"/>
          <w:szCs w:val="22"/>
          <w:lang w:val="sr-Latn-ME"/>
        </w:rPr>
        <w:t>j</w:t>
      </w:r>
      <w:r w:rsidRPr="005A4F9F">
        <w:rPr>
          <w:sz w:val="22"/>
          <w:szCs w:val="22"/>
          <w:lang w:val="sr-Latn-ME"/>
        </w:rPr>
        <w:t>elji srednja promjena prema HAQ-DI bila je -0,58 u grupi koja je primala tocilizumab u dozi od 8 mg/kg u kombinaciji s MTX</w:t>
      </w:r>
      <w:r w:rsidRPr="005A4F9F">
        <w:rPr>
          <w:sz w:val="22"/>
          <w:szCs w:val="22"/>
          <w:lang w:val="sr-Latn-ME"/>
        </w:rPr>
        <w:noBreakHyphen/>
        <w:t>om, u poređenju sa -0,39 u grupi koja je primala placebo u kombinaciji sa MTX</w:t>
      </w:r>
      <w:r w:rsidRPr="005A4F9F">
        <w:rPr>
          <w:sz w:val="22"/>
          <w:szCs w:val="22"/>
          <w:lang w:val="sr-Latn-ME"/>
        </w:rPr>
        <w:noBreakHyphen/>
        <w:t>om. Srednja promjena prema HAQ-DI održana je u 104. ned</w:t>
      </w:r>
      <w:r w:rsidR="004F7FA6" w:rsidRPr="005A4F9F">
        <w:rPr>
          <w:sz w:val="22"/>
          <w:szCs w:val="22"/>
          <w:lang w:val="sr-Latn-ME"/>
        </w:rPr>
        <w:t>j</w:t>
      </w:r>
      <w:r w:rsidRPr="005A4F9F">
        <w:rPr>
          <w:sz w:val="22"/>
          <w:szCs w:val="22"/>
          <w:lang w:val="sr-Latn-ME"/>
        </w:rPr>
        <w:t>elji u grupi koja je primala tocilizumab u dozi od 8 mg/kg u kombinaciji sa MTX</w:t>
      </w:r>
      <w:r w:rsidRPr="005A4F9F">
        <w:rPr>
          <w:sz w:val="22"/>
          <w:szCs w:val="22"/>
          <w:lang w:val="sr-Latn-ME"/>
        </w:rPr>
        <w:noBreakHyphen/>
        <w:t>om (-0,61).</w:t>
      </w:r>
    </w:p>
    <w:p w14:paraId="7001C0BF" w14:textId="77777777" w:rsidR="00763105" w:rsidRPr="005A4F9F" w:rsidRDefault="00763105">
      <w:pPr>
        <w:widowControl w:val="0"/>
        <w:tabs>
          <w:tab w:val="left" w:pos="284"/>
          <w:tab w:val="center" w:pos="4320"/>
          <w:tab w:val="right" w:pos="8640"/>
        </w:tabs>
        <w:jc w:val="both"/>
        <w:rPr>
          <w:sz w:val="22"/>
          <w:szCs w:val="22"/>
          <w:lang w:val="sr-Latn-ME"/>
        </w:rPr>
      </w:pPr>
    </w:p>
    <w:p w14:paraId="0E4C4AEA" w14:textId="77777777" w:rsidR="00763105" w:rsidRPr="005A4F9F" w:rsidRDefault="00763105">
      <w:pPr>
        <w:widowControl w:val="0"/>
        <w:tabs>
          <w:tab w:val="left" w:pos="284"/>
          <w:tab w:val="center" w:pos="4320"/>
          <w:tab w:val="right" w:pos="8640"/>
        </w:tabs>
        <w:jc w:val="both"/>
        <w:rPr>
          <w:i/>
          <w:sz w:val="22"/>
          <w:szCs w:val="22"/>
          <w:lang w:val="sr-Latn-ME"/>
        </w:rPr>
      </w:pPr>
      <w:r w:rsidRPr="005A4F9F">
        <w:rPr>
          <w:i/>
          <w:sz w:val="22"/>
          <w:szCs w:val="22"/>
          <w:lang w:val="sr-Latn-ME"/>
        </w:rPr>
        <w:t>Nivoi hemoglobina</w:t>
      </w:r>
    </w:p>
    <w:p w14:paraId="1FE2994C" w14:textId="77777777"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Nije zabilježeno statistički značajno povećanje nivoa hemoglobina kod pacijenata koji su primali tocilizumab u poređenju sa onima koji su primali DMARD (p&lt; 0,0001) 24. ned</w:t>
      </w:r>
      <w:r w:rsidR="004F7FA6" w:rsidRPr="005A4F9F">
        <w:rPr>
          <w:sz w:val="22"/>
          <w:szCs w:val="22"/>
          <w:lang w:val="sr-Latn-ME"/>
        </w:rPr>
        <w:t>j</w:t>
      </w:r>
      <w:r w:rsidRPr="005A4F9F">
        <w:rPr>
          <w:sz w:val="22"/>
          <w:szCs w:val="22"/>
          <w:lang w:val="sr-Latn-ME"/>
        </w:rPr>
        <w:t>elje. Srednji nivoi hemoglobina  povećani do druge ned</w:t>
      </w:r>
      <w:r w:rsidR="004F7FA6" w:rsidRPr="005A4F9F">
        <w:rPr>
          <w:sz w:val="22"/>
          <w:szCs w:val="22"/>
          <w:lang w:val="sr-Latn-ME"/>
        </w:rPr>
        <w:t>j</w:t>
      </w:r>
      <w:r w:rsidRPr="005A4F9F">
        <w:rPr>
          <w:sz w:val="22"/>
          <w:szCs w:val="22"/>
          <w:lang w:val="sr-Latn-ME"/>
        </w:rPr>
        <w:t>elje ostali su u normalnom rasponu sve do 24. ned</w:t>
      </w:r>
      <w:r w:rsidR="004F7FA6" w:rsidRPr="005A4F9F">
        <w:rPr>
          <w:sz w:val="22"/>
          <w:szCs w:val="22"/>
          <w:lang w:val="sr-Latn-ME"/>
        </w:rPr>
        <w:t>j</w:t>
      </w:r>
      <w:r w:rsidRPr="005A4F9F">
        <w:rPr>
          <w:sz w:val="22"/>
          <w:szCs w:val="22"/>
          <w:lang w:val="sr-Latn-ME"/>
        </w:rPr>
        <w:t>elje.</w:t>
      </w:r>
    </w:p>
    <w:p w14:paraId="531FCB7B" w14:textId="77777777" w:rsidR="00763105" w:rsidRPr="005A4F9F" w:rsidRDefault="00763105">
      <w:pPr>
        <w:widowControl w:val="0"/>
        <w:tabs>
          <w:tab w:val="left" w:pos="284"/>
          <w:tab w:val="center" w:pos="4320"/>
          <w:tab w:val="right" w:pos="8640"/>
        </w:tabs>
        <w:jc w:val="both"/>
        <w:rPr>
          <w:sz w:val="22"/>
          <w:szCs w:val="22"/>
          <w:lang w:val="sr-Latn-ME"/>
        </w:rPr>
      </w:pPr>
    </w:p>
    <w:p w14:paraId="05CE037B" w14:textId="77777777" w:rsidR="00763105" w:rsidRPr="005A4F9F" w:rsidRDefault="00763105">
      <w:pPr>
        <w:widowControl w:val="0"/>
        <w:jc w:val="both"/>
        <w:rPr>
          <w:sz w:val="22"/>
          <w:szCs w:val="22"/>
          <w:lang w:val="sr-Latn-ME"/>
        </w:rPr>
      </w:pPr>
      <w:r w:rsidRPr="005A4F9F">
        <w:rPr>
          <w:i/>
          <w:sz w:val="22"/>
          <w:szCs w:val="22"/>
          <w:lang w:val="sr-Latn-ME"/>
        </w:rPr>
        <w:t>Tocilizumab u poređenju sa adalimumabom u monoterapiji</w:t>
      </w:r>
    </w:p>
    <w:p w14:paraId="4B683856" w14:textId="11EABF60" w:rsidR="00763105" w:rsidRPr="005A4F9F" w:rsidRDefault="00763105">
      <w:pPr>
        <w:widowControl w:val="0"/>
        <w:jc w:val="both"/>
        <w:rPr>
          <w:sz w:val="22"/>
          <w:szCs w:val="22"/>
          <w:lang w:val="sr-Latn-ME"/>
        </w:rPr>
      </w:pPr>
      <w:r w:rsidRPr="005A4F9F">
        <w:rPr>
          <w:sz w:val="22"/>
          <w:szCs w:val="22"/>
          <w:lang w:val="sr-Latn-ME"/>
        </w:rPr>
        <w:t>U Studiji VI (WA19924), dvostruko slijepoj studiji u trajanju od 24 ned</w:t>
      </w:r>
      <w:r w:rsidR="004F7FA6" w:rsidRPr="005A4F9F">
        <w:rPr>
          <w:sz w:val="22"/>
          <w:szCs w:val="22"/>
          <w:lang w:val="sr-Latn-ME"/>
        </w:rPr>
        <w:t>j</w:t>
      </w:r>
      <w:r w:rsidRPr="005A4F9F">
        <w:rPr>
          <w:sz w:val="22"/>
          <w:szCs w:val="22"/>
          <w:lang w:val="sr-Latn-ME"/>
        </w:rPr>
        <w:t>elje u kojoj se poredila monoterapija tocilizumabom sa monoterapijom adalimumabom, ocijenjeno je 326 pacijenata sa RA koji nijesu podnosili MTX ili kod kojih se nastavak liječenja MTX-om smatrao neprikladnim (uključujući pacijente sa neprimjerenim odgovorom na MTX). Pacijenti u tocilizumab grupi primali su intravensku  infuziju tocilizumaba (8 mg/kg) svake 4 ned</w:t>
      </w:r>
      <w:r w:rsidR="00A563B1" w:rsidRPr="005A4F9F">
        <w:rPr>
          <w:sz w:val="22"/>
          <w:szCs w:val="22"/>
          <w:lang w:val="sr-Latn-ME"/>
        </w:rPr>
        <w:t>j</w:t>
      </w:r>
      <w:r w:rsidRPr="005A4F9F">
        <w:rPr>
          <w:sz w:val="22"/>
          <w:szCs w:val="22"/>
          <w:lang w:val="sr-Latn-ME"/>
        </w:rPr>
        <w:t>elje te su</w:t>
      </w:r>
      <w:r w:rsidR="00363B61" w:rsidRPr="005A4F9F">
        <w:rPr>
          <w:sz w:val="22"/>
          <w:szCs w:val="22"/>
          <w:lang w:val="sr-Latn-ME"/>
        </w:rPr>
        <w:t>b</w:t>
      </w:r>
      <w:r w:rsidRPr="005A4F9F">
        <w:rPr>
          <w:sz w:val="22"/>
          <w:szCs w:val="22"/>
          <w:lang w:val="sr-Latn-ME"/>
        </w:rPr>
        <w:t>kutanu  injekciju placeba svake 2 ned</w:t>
      </w:r>
      <w:r w:rsidR="004F7FA6" w:rsidRPr="005A4F9F">
        <w:rPr>
          <w:sz w:val="22"/>
          <w:szCs w:val="22"/>
          <w:lang w:val="sr-Latn-ME"/>
        </w:rPr>
        <w:t>j</w:t>
      </w:r>
      <w:r w:rsidRPr="005A4F9F">
        <w:rPr>
          <w:sz w:val="22"/>
          <w:szCs w:val="22"/>
          <w:lang w:val="sr-Latn-ME"/>
        </w:rPr>
        <w:t xml:space="preserve">elje. Pacijenti  u adalimumab grupi primali su </w:t>
      </w:r>
      <w:r w:rsidR="007D6E02" w:rsidRPr="005A4F9F">
        <w:rPr>
          <w:sz w:val="22"/>
          <w:szCs w:val="22"/>
          <w:lang w:val="sr-Latn-ME"/>
        </w:rPr>
        <w:t>su</w:t>
      </w:r>
      <w:r w:rsidR="00363B61" w:rsidRPr="005A4F9F">
        <w:rPr>
          <w:sz w:val="22"/>
          <w:szCs w:val="22"/>
          <w:lang w:val="sr-Latn-ME"/>
        </w:rPr>
        <w:t>b</w:t>
      </w:r>
      <w:r w:rsidR="007D6E02" w:rsidRPr="005A4F9F">
        <w:rPr>
          <w:sz w:val="22"/>
          <w:szCs w:val="22"/>
          <w:lang w:val="sr-Latn-ME"/>
        </w:rPr>
        <w:t>kutanu</w:t>
      </w:r>
      <w:r w:rsidRPr="005A4F9F">
        <w:rPr>
          <w:sz w:val="22"/>
          <w:szCs w:val="22"/>
          <w:lang w:val="sr-Latn-ME"/>
        </w:rPr>
        <w:t xml:space="preserve"> injekciju adalimumaba (40 mg) svake 2 ned</w:t>
      </w:r>
      <w:r w:rsidR="004F7FA6" w:rsidRPr="005A4F9F">
        <w:rPr>
          <w:sz w:val="22"/>
          <w:szCs w:val="22"/>
          <w:lang w:val="sr-Latn-ME"/>
        </w:rPr>
        <w:t>j</w:t>
      </w:r>
      <w:r w:rsidRPr="005A4F9F">
        <w:rPr>
          <w:sz w:val="22"/>
          <w:szCs w:val="22"/>
          <w:lang w:val="sr-Latn-ME"/>
        </w:rPr>
        <w:t xml:space="preserve">elje te </w:t>
      </w:r>
      <w:r w:rsidR="007D6E02" w:rsidRPr="005A4F9F">
        <w:rPr>
          <w:sz w:val="22"/>
          <w:szCs w:val="22"/>
          <w:lang w:val="sr-Latn-ME"/>
        </w:rPr>
        <w:t>intravensku</w:t>
      </w:r>
      <w:r w:rsidRPr="005A4F9F">
        <w:rPr>
          <w:sz w:val="22"/>
          <w:szCs w:val="22"/>
          <w:lang w:val="sr-Latn-ME"/>
        </w:rPr>
        <w:t xml:space="preserve"> infuziju placeba svake 4 ned</w:t>
      </w:r>
      <w:r w:rsidR="004F7FA6" w:rsidRPr="005A4F9F">
        <w:rPr>
          <w:sz w:val="22"/>
          <w:szCs w:val="22"/>
          <w:lang w:val="sr-Latn-ME"/>
        </w:rPr>
        <w:t>j</w:t>
      </w:r>
      <w:r w:rsidRPr="005A4F9F">
        <w:rPr>
          <w:sz w:val="22"/>
          <w:szCs w:val="22"/>
          <w:lang w:val="sr-Latn-ME"/>
        </w:rPr>
        <w:t>elje. U poređenju s adalimumabom, liječenje tocilizumabom imalo je statistički značajan superioran efekat na kontrolu aktivnosti bolesti od početka liječenja do 24. ned</w:t>
      </w:r>
      <w:r w:rsidR="004F7FA6" w:rsidRPr="005A4F9F">
        <w:rPr>
          <w:sz w:val="22"/>
          <w:szCs w:val="22"/>
          <w:lang w:val="sr-Latn-ME"/>
        </w:rPr>
        <w:t>j</w:t>
      </w:r>
      <w:r w:rsidRPr="005A4F9F">
        <w:rPr>
          <w:sz w:val="22"/>
          <w:szCs w:val="22"/>
          <w:lang w:val="sr-Latn-ME"/>
        </w:rPr>
        <w:t xml:space="preserve">elje za primarnu krajnju tačku – promjenu vrijednosti DAS28 – te za sve sekundarne krajnje tačke (Tabela </w:t>
      </w:r>
      <w:r w:rsidR="007D6E02" w:rsidRPr="005A4F9F">
        <w:rPr>
          <w:sz w:val="22"/>
          <w:szCs w:val="22"/>
          <w:lang w:val="sr-Latn-ME"/>
        </w:rPr>
        <w:t>6</w:t>
      </w:r>
      <w:r w:rsidRPr="005A4F9F">
        <w:rPr>
          <w:sz w:val="22"/>
          <w:szCs w:val="22"/>
          <w:lang w:val="sr-Latn-ME"/>
        </w:rPr>
        <w:t xml:space="preserve">). </w:t>
      </w:r>
    </w:p>
    <w:p w14:paraId="78460CFC" w14:textId="77777777" w:rsidR="00763105" w:rsidRPr="005A4F9F" w:rsidRDefault="00763105">
      <w:pPr>
        <w:widowControl w:val="0"/>
        <w:jc w:val="both"/>
        <w:rPr>
          <w:sz w:val="22"/>
          <w:szCs w:val="22"/>
          <w:lang w:val="sr-Latn-ME"/>
        </w:rPr>
      </w:pPr>
    </w:p>
    <w:p w14:paraId="326D2645" w14:textId="77777777" w:rsidR="00763105" w:rsidRPr="005A4F9F" w:rsidRDefault="00763105" w:rsidP="008B00DE">
      <w:pPr>
        <w:widowControl w:val="0"/>
        <w:jc w:val="both"/>
        <w:rPr>
          <w:i/>
          <w:sz w:val="22"/>
          <w:szCs w:val="22"/>
          <w:lang w:val="sr-Latn-ME"/>
        </w:rPr>
      </w:pPr>
      <w:r w:rsidRPr="005A4F9F">
        <w:rPr>
          <w:bCs/>
          <w:i/>
          <w:sz w:val="22"/>
          <w:szCs w:val="22"/>
          <w:lang w:val="sr-Latn-ME"/>
        </w:rPr>
        <w:t xml:space="preserve">Tabela </w:t>
      </w:r>
      <w:r w:rsidR="00BF249E" w:rsidRPr="005A4F9F">
        <w:rPr>
          <w:bCs/>
          <w:i/>
          <w:sz w:val="22"/>
          <w:szCs w:val="22"/>
          <w:lang w:val="sr-Latn-ME"/>
        </w:rPr>
        <w:t>6</w:t>
      </w:r>
      <w:r w:rsidRPr="005A4F9F">
        <w:rPr>
          <w:bCs/>
          <w:i/>
          <w:sz w:val="22"/>
          <w:szCs w:val="22"/>
          <w:lang w:val="sr-Latn-ME"/>
        </w:rPr>
        <w:t xml:space="preserve">: </w:t>
      </w:r>
      <w:r w:rsidRPr="005A4F9F">
        <w:rPr>
          <w:i/>
          <w:sz w:val="22"/>
          <w:szCs w:val="22"/>
          <w:lang w:val="sr-Latn-ME"/>
        </w:rPr>
        <w:t>Rezultati efikasnosti za Studiju VI (WA19924)</w:t>
      </w:r>
    </w:p>
    <w:tbl>
      <w:tblPr>
        <w:tblW w:w="5000" w:type="pct"/>
        <w:tblLayout w:type="fixed"/>
        <w:tblCellMar>
          <w:left w:w="0" w:type="dxa"/>
          <w:right w:w="0" w:type="dxa"/>
        </w:tblCellMar>
        <w:tblLook w:val="04A0" w:firstRow="1" w:lastRow="0" w:firstColumn="1" w:lastColumn="0" w:noHBand="0" w:noVBand="1"/>
      </w:tblPr>
      <w:tblGrid>
        <w:gridCol w:w="3368"/>
        <w:gridCol w:w="194"/>
        <w:gridCol w:w="143"/>
        <w:gridCol w:w="1567"/>
        <w:gridCol w:w="1567"/>
        <w:gridCol w:w="2219"/>
      </w:tblGrid>
      <w:tr w:rsidR="00763105" w:rsidRPr="005A4F9F" w14:paraId="422D4CC6" w14:textId="77777777" w:rsidTr="008B00DE">
        <w:trPr>
          <w:cantSplit/>
        </w:trPr>
        <w:tc>
          <w:tcPr>
            <w:tcW w:w="1859" w:type="pct"/>
            <w:tcBorders>
              <w:top w:val="single" w:sz="8" w:space="0" w:color="auto"/>
              <w:left w:val="single" w:sz="4" w:space="0" w:color="auto"/>
              <w:bottom w:val="single" w:sz="8" w:space="0" w:color="auto"/>
              <w:right w:val="nil"/>
            </w:tcBorders>
            <w:tcMar>
              <w:top w:w="0" w:type="dxa"/>
              <w:left w:w="57" w:type="dxa"/>
              <w:bottom w:w="0" w:type="dxa"/>
              <w:right w:w="57" w:type="dxa"/>
            </w:tcMar>
            <w:vAlign w:val="bottom"/>
          </w:tcPr>
          <w:p w14:paraId="2061EF53" w14:textId="77777777" w:rsidR="00763105" w:rsidRPr="005A4F9F" w:rsidRDefault="00763105" w:rsidP="008B00DE">
            <w:pPr>
              <w:widowControl w:val="0"/>
              <w:jc w:val="both"/>
              <w:rPr>
                <w:sz w:val="22"/>
                <w:szCs w:val="22"/>
                <w:lang w:val="sr-Latn-ME" w:eastAsia="zh-TW"/>
              </w:rPr>
            </w:pPr>
          </w:p>
        </w:tc>
        <w:tc>
          <w:tcPr>
            <w:tcW w:w="1051" w:type="pct"/>
            <w:gridSpan w:val="3"/>
            <w:tcBorders>
              <w:top w:val="single" w:sz="8" w:space="0" w:color="auto"/>
              <w:left w:val="nil"/>
              <w:bottom w:val="single" w:sz="8" w:space="0" w:color="auto"/>
              <w:right w:val="nil"/>
            </w:tcBorders>
            <w:tcMar>
              <w:top w:w="0" w:type="dxa"/>
              <w:left w:w="57" w:type="dxa"/>
              <w:bottom w:w="0" w:type="dxa"/>
              <w:right w:w="57" w:type="dxa"/>
            </w:tcMar>
            <w:vAlign w:val="bottom"/>
          </w:tcPr>
          <w:p w14:paraId="6826F6DA"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ADA + Placebo (i.v.)</w:t>
            </w:r>
          </w:p>
          <w:p w14:paraId="39D8EFC6"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N = 162</w:t>
            </w:r>
          </w:p>
        </w:tc>
        <w:tc>
          <w:tcPr>
            <w:tcW w:w="865" w:type="pct"/>
            <w:tcBorders>
              <w:top w:val="single" w:sz="8" w:space="0" w:color="auto"/>
              <w:left w:val="nil"/>
              <w:bottom w:val="single" w:sz="8" w:space="0" w:color="auto"/>
              <w:right w:val="nil"/>
            </w:tcBorders>
            <w:tcMar>
              <w:top w:w="0" w:type="dxa"/>
              <w:left w:w="57" w:type="dxa"/>
              <w:bottom w:w="0" w:type="dxa"/>
              <w:right w:w="57" w:type="dxa"/>
            </w:tcMar>
            <w:vAlign w:val="bottom"/>
          </w:tcPr>
          <w:p w14:paraId="52734BF5"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TCZ + Placebo (s.c.)</w:t>
            </w:r>
          </w:p>
          <w:p w14:paraId="2C35C55B"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N = 163</w:t>
            </w:r>
          </w:p>
        </w:tc>
        <w:tc>
          <w:tcPr>
            <w:tcW w:w="1224" w:type="pct"/>
            <w:tcBorders>
              <w:top w:val="single" w:sz="8" w:space="0" w:color="auto"/>
              <w:left w:val="nil"/>
              <w:bottom w:val="single" w:sz="8" w:space="0" w:color="auto"/>
              <w:right w:val="single" w:sz="8" w:space="0" w:color="auto"/>
            </w:tcBorders>
            <w:tcMar>
              <w:top w:w="0" w:type="dxa"/>
              <w:left w:w="57" w:type="dxa"/>
              <w:bottom w:w="0" w:type="dxa"/>
              <w:right w:w="57" w:type="dxa"/>
            </w:tcMar>
            <w:vAlign w:val="bottom"/>
          </w:tcPr>
          <w:p w14:paraId="25E0F540"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p-vrijednost</w:t>
            </w:r>
            <w:r w:rsidRPr="005A4F9F">
              <w:rPr>
                <w:rFonts w:eastAsia="SimSun"/>
                <w:b/>
                <w:sz w:val="22"/>
                <w:szCs w:val="22"/>
                <w:vertAlign w:val="superscript"/>
                <w:lang w:val="sr-Latn-ME" w:eastAsia="zh-CN"/>
              </w:rPr>
              <w:t>(a)</w:t>
            </w:r>
          </w:p>
        </w:tc>
      </w:tr>
      <w:tr w:rsidR="00763105" w:rsidRPr="005A4F9F" w14:paraId="65ED1E61" w14:textId="77777777" w:rsidTr="008B00DE">
        <w:trPr>
          <w:cantSplit/>
        </w:trPr>
        <w:tc>
          <w:tcPr>
            <w:tcW w:w="5000" w:type="pct"/>
            <w:gridSpan w:val="6"/>
            <w:tcBorders>
              <w:top w:val="nil"/>
              <w:left w:val="single" w:sz="4" w:space="0" w:color="auto"/>
              <w:bottom w:val="nil"/>
              <w:right w:val="single" w:sz="8" w:space="0" w:color="auto"/>
            </w:tcBorders>
            <w:tcMar>
              <w:top w:w="0" w:type="dxa"/>
              <w:left w:w="57" w:type="dxa"/>
              <w:bottom w:w="0" w:type="dxa"/>
              <w:right w:w="57" w:type="dxa"/>
            </w:tcMar>
            <w:vAlign w:val="center"/>
          </w:tcPr>
          <w:p w14:paraId="5EE72E6E"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b/>
                <w:sz w:val="22"/>
                <w:szCs w:val="22"/>
                <w:lang w:val="sr-Latn-ME" w:eastAsia="zh-CN"/>
              </w:rPr>
              <w:t>Primarna krajnja tačka – srednja promjena u odnosu na početne vrijednosti u 24. ned</w:t>
            </w:r>
            <w:r w:rsidR="004F7FA6" w:rsidRPr="005A4F9F">
              <w:rPr>
                <w:rFonts w:eastAsia="SimSun"/>
                <w:b/>
                <w:sz w:val="22"/>
                <w:szCs w:val="22"/>
                <w:lang w:val="sr-Latn-ME" w:eastAsia="zh-CN"/>
              </w:rPr>
              <w:t>j</w:t>
            </w:r>
            <w:r w:rsidRPr="005A4F9F">
              <w:rPr>
                <w:rFonts w:eastAsia="SimSun"/>
                <w:b/>
                <w:sz w:val="22"/>
                <w:szCs w:val="22"/>
                <w:lang w:val="sr-Latn-ME" w:eastAsia="zh-CN"/>
              </w:rPr>
              <w:t>elji</w:t>
            </w:r>
          </w:p>
        </w:tc>
      </w:tr>
      <w:tr w:rsidR="00763105" w:rsidRPr="005A4F9F" w14:paraId="03E15596" w14:textId="77777777" w:rsidTr="008B00DE">
        <w:trPr>
          <w:cantSplit/>
        </w:trPr>
        <w:tc>
          <w:tcPr>
            <w:tcW w:w="2045" w:type="pct"/>
            <w:gridSpan w:val="3"/>
            <w:tcBorders>
              <w:top w:val="single" w:sz="4" w:space="0" w:color="auto"/>
              <w:left w:val="single" w:sz="4" w:space="0" w:color="auto"/>
              <w:bottom w:val="nil"/>
              <w:right w:val="nil"/>
            </w:tcBorders>
            <w:tcMar>
              <w:top w:w="0" w:type="dxa"/>
              <w:left w:w="57" w:type="dxa"/>
              <w:bottom w:w="0" w:type="dxa"/>
              <w:right w:w="57" w:type="dxa"/>
            </w:tcMar>
            <w:vAlign w:val="center"/>
          </w:tcPr>
          <w:p w14:paraId="54B36912"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 xml:space="preserve">DAS28 (prilagođena srednja promjena) </w:t>
            </w:r>
          </w:p>
        </w:tc>
        <w:tc>
          <w:tcPr>
            <w:tcW w:w="865" w:type="pct"/>
            <w:tcBorders>
              <w:top w:val="single" w:sz="4" w:space="0" w:color="auto"/>
              <w:left w:val="nil"/>
              <w:bottom w:val="nil"/>
              <w:right w:val="nil"/>
            </w:tcBorders>
            <w:tcMar>
              <w:top w:w="0" w:type="dxa"/>
              <w:left w:w="57" w:type="dxa"/>
              <w:bottom w:w="0" w:type="dxa"/>
              <w:right w:w="57" w:type="dxa"/>
            </w:tcMar>
          </w:tcPr>
          <w:p w14:paraId="01D2BEB8"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-1,8</w:t>
            </w:r>
          </w:p>
        </w:tc>
        <w:tc>
          <w:tcPr>
            <w:tcW w:w="865" w:type="pct"/>
            <w:tcBorders>
              <w:top w:val="single" w:sz="4" w:space="0" w:color="auto"/>
              <w:left w:val="nil"/>
              <w:bottom w:val="nil"/>
              <w:right w:val="nil"/>
            </w:tcBorders>
            <w:tcMar>
              <w:top w:w="0" w:type="dxa"/>
              <w:left w:w="57" w:type="dxa"/>
              <w:bottom w:w="0" w:type="dxa"/>
              <w:right w:w="57" w:type="dxa"/>
            </w:tcMar>
          </w:tcPr>
          <w:p w14:paraId="0CEB50E5"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 xml:space="preserve">-3,3 </w:t>
            </w:r>
          </w:p>
        </w:tc>
        <w:tc>
          <w:tcPr>
            <w:tcW w:w="1224" w:type="pct"/>
            <w:tcBorders>
              <w:top w:val="single" w:sz="4" w:space="0" w:color="auto"/>
              <w:left w:val="nil"/>
              <w:bottom w:val="nil"/>
              <w:right w:val="single" w:sz="8" w:space="0" w:color="auto"/>
            </w:tcBorders>
            <w:tcMar>
              <w:top w:w="0" w:type="dxa"/>
              <w:left w:w="57" w:type="dxa"/>
              <w:bottom w:w="0" w:type="dxa"/>
              <w:right w:w="57" w:type="dxa"/>
            </w:tcMar>
          </w:tcPr>
          <w:p w14:paraId="3A8B0F93" w14:textId="77777777" w:rsidR="00763105" w:rsidRPr="005A4F9F" w:rsidRDefault="00763105" w:rsidP="008B00DE">
            <w:pPr>
              <w:widowControl w:val="0"/>
              <w:spacing w:line="240" w:lineRule="exact"/>
              <w:jc w:val="both"/>
              <w:rPr>
                <w:rFonts w:eastAsia="SimSun"/>
                <w:b/>
                <w:sz w:val="22"/>
                <w:szCs w:val="22"/>
                <w:lang w:val="sr-Latn-ME" w:eastAsia="zh-CN"/>
              </w:rPr>
            </w:pPr>
          </w:p>
        </w:tc>
      </w:tr>
      <w:tr w:rsidR="00763105" w:rsidRPr="005A4F9F" w14:paraId="103052D6" w14:textId="77777777" w:rsidTr="008B00DE">
        <w:trPr>
          <w:cantSplit/>
        </w:trPr>
        <w:tc>
          <w:tcPr>
            <w:tcW w:w="2045" w:type="pct"/>
            <w:gridSpan w:val="3"/>
            <w:tcBorders>
              <w:top w:val="nil"/>
              <w:left w:val="single" w:sz="4" w:space="0" w:color="auto"/>
              <w:bottom w:val="single" w:sz="4" w:space="0" w:color="auto"/>
              <w:right w:val="nil"/>
            </w:tcBorders>
            <w:tcMar>
              <w:top w:w="0" w:type="dxa"/>
              <w:left w:w="57" w:type="dxa"/>
              <w:bottom w:w="0" w:type="dxa"/>
              <w:right w:w="57" w:type="dxa"/>
            </w:tcMar>
            <w:vAlign w:val="center"/>
          </w:tcPr>
          <w:p w14:paraId="769D01DA"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Razlika u prilagođenoj srednjoj promjeni (95% CI)</w:t>
            </w:r>
          </w:p>
        </w:tc>
        <w:tc>
          <w:tcPr>
            <w:tcW w:w="1730" w:type="pct"/>
            <w:gridSpan w:val="2"/>
            <w:tcBorders>
              <w:top w:val="nil"/>
              <w:left w:val="nil"/>
              <w:bottom w:val="single" w:sz="4" w:space="0" w:color="auto"/>
              <w:right w:val="nil"/>
            </w:tcBorders>
            <w:tcMar>
              <w:top w:w="0" w:type="dxa"/>
              <w:left w:w="57" w:type="dxa"/>
              <w:bottom w:w="0" w:type="dxa"/>
              <w:right w:w="57" w:type="dxa"/>
            </w:tcMar>
          </w:tcPr>
          <w:p w14:paraId="005D0867"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-1,5 (-1,8, -1,1)</w:t>
            </w:r>
          </w:p>
        </w:tc>
        <w:tc>
          <w:tcPr>
            <w:tcW w:w="1224" w:type="pct"/>
            <w:tcBorders>
              <w:top w:val="nil"/>
              <w:left w:val="nil"/>
              <w:bottom w:val="single" w:sz="4" w:space="0" w:color="auto"/>
              <w:right w:val="single" w:sz="8" w:space="0" w:color="auto"/>
            </w:tcBorders>
            <w:tcMar>
              <w:top w:w="0" w:type="dxa"/>
              <w:left w:w="57" w:type="dxa"/>
              <w:bottom w:w="0" w:type="dxa"/>
              <w:right w:w="57" w:type="dxa"/>
            </w:tcMar>
          </w:tcPr>
          <w:p w14:paraId="0C1802CE" w14:textId="77777777" w:rsidR="00763105" w:rsidRPr="005A4F9F" w:rsidRDefault="00763105" w:rsidP="008B00DE">
            <w:pPr>
              <w:widowControl w:val="0"/>
              <w:spacing w:line="240" w:lineRule="exact"/>
              <w:jc w:val="both"/>
              <w:rPr>
                <w:rFonts w:eastAsia="SimSun"/>
                <w:b/>
                <w:sz w:val="22"/>
                <w:szCs w:val="22"/>
                <w:lang w:val="sr-Latn-ME" w:eastAsia="zh-CN"/>
              </w:rPr>
            </w:pPr>
            <w:r w:rsidRPr="005A4F9F">
              <w:rPr>
                <w:rFonts w:eastAsia="SimSun"/>
                <w:b/>
                <w:sz w:val="22"/>
                <w:szCs w:val="22"/>
                <w:lang w:val="sr-Latn-ME" w:eastAsia="zh-CN"/>
              </w:rPr>
              <w:t>&lt;0,0001</w:t>
            </w:r>
          </w:p>
        </w:tc>
      </w:tr>
      <w:tr w:rsidR="00763105" w:rsidRPr="005A4F9F" w14:paraId="2FDD0F5F" w14:textId="77777777" w:rsidTr="008B00DE">
        <w:trPr>
          <w:cantSplit/>
        </w:trPr>
        <w:tc>
          <w:tcPr>
            <w:tcW w:w="5000" w:type="pct"/>
            <w:gridSpan w:val="6"/>
            <w:tcBorders>
              <w:top w:val="nil"/>
              <w:left w:val="single" w:sz="4" w:space="0" w:color="auto"/>
              <w:bottom w:val="single" w:sz="4" w:space="0" w:color="auto"/>
              <w:right w:val="single" w:sz="8" w:space="0" w:color="auto"/>
            </w:tcBorders>
            <w:tcMar>
              <w:top w:w="0" w:type="dxa"/>
              <w:left w:w="57" w:type="dxa"/>
              <w:bottom w:w="0" w:type="dxa"/>
              <w:right w:w="57" w:type="dxa"/>
            </w:tcMar>
          </w:tcPr>
          <w:p w14:paraId="28E68DDD"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b/>
                <w:sz w:val="22"/>
                <w:szCs w:val="22"/>
                <w:lang w:val="sr-Latn-ME" w:eastAsia="zh-CN"/>
              </w:rPr>
              <w:t>Sekundarne krajnje tačke – procenat pacijenata sa odgovorom u 24. ned</w:t>
            </w:r>
            <w:r w:rsidR="004F7FA6" w:rsidRPr="005A4F9F">
              <w:rPr>
                <w:rFonts w:eastAsia="SimSun"/>
                <w:b/>
                <w:sz w:val="22"/>
                <w:szCs w:val="22"/>
                <w:lang w:val="sr-Latn-ME" w:eastAsia="zh-CN"/>
              </w:rPr>
              <w:t>j</w:t>
            </w:r>
            <w:r w:rsidRPr="005A4F9F">
              <w:rPr>
                <w:rFonts w:eastAsia="SimSun"/>
                <w:b/>
                <w:sz w:val="22"/>
                <w:szCs w:val="22"/>
                <w:lang w:val="sr-Latn-ME" w:eastAsia="zh-CN"/>
              </w:rPr>
              <w:t xml:space="preserve">elji </w:t>
            </w:r>
            <w:r w:rsidRPr="005A4F9F">
              <w:rPr>
                <w:rFonts w:eastAsia="SimSun"/>
                <w:b/>
                <w:sz w:val="22"/>
                <w:szCs w:val="22"/>
                <w:vertAlign w:val="superscript"/>
                <w:lang w:val="sr-Latn-ME" w:eastAsia="zh-CN"/>
              </w:rPr>
              <w:t>(b)</w:t>
            </w:r>
          </w:p>
        </w:tc>
      </w:tr>
      <w:tr w:rsidR="00763105" w:rsidRPr="005A4F9F" w14:paraId="70246739" w14:textId="77777777" w:rsidTr="008B00DE">
        <w:trPr>
          <w:cantSplit/>
        </w:trPr>
        <w:tc>
          <w:tcPr>
            <w:tcW w:w="1966" w:type="pct"/>
            <w:gridSpan w:val="2"/>
            <w:tcBorders>
              <w:top w:val="single" w:sz="4" w:space="0" w:color="auto"/>
              <w:left w:val="single" w:sz="4" w:space="0" w:color="auto"/>
              <w:bottom w:val="nil"/>
              <w:right w:val="nil"/>
            </w:tcBorders>
            <w:tcMar>
              <w:top w:w="0" w:type="dxa"/>
              <w:left w:w="57" w:type="dxa"/>
              <w:bottom w:w="0" w:type="dxa"/>
              <w:right w:w="57" w:type="dxa"/>
            </w:tcMar>
            <w:vAlign w:val="center"/>
          </w:tcPr>
          <w:p w14:paraId="4EA3748F"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DAS28 &lt; 2,6, n (%)</w:t>
            </w:r>
          </w:p>
        </w:tc>
        <w:tc>
          <w:tcPr>
            <w:tcW w:w="944" w:type="pct"/>
            <w:gridSpan w:val="2"/>
            <w:tcBorders>
              <w:top w:val="single" w:sz="4" w:space="0" w:color="auto"/>
              <w:left w:val="nil"/>
              <w:bottom w:val="nil"/>
              <w:right w:val="nil"/>
            </w:tcBorders>
            <w:tcMar>
              <w:top w:w="0" w:type="dxa"/>
              <w:left w:w="57" w:type="dxa"/>
              <w:bottom w:w="0" w:type="dxa"/>
              <w:right w:w="57" w:type="dxa"/>
            </w:tcMar>
          </w:tcPr>
          <w:p w14:paraId="6FBB6741"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17 (10,5)</w:t>
            </w:r>
          </w:p>
        </w:tc>
        <w:tc>
          <w:tcPr>
            <w:tcW w:w="865" w:type="pct"/>
            <w:tcBorders>
              <w:top w:val="single" w:sz="4" w:space="0" w:color="auto"/>
              <w:left w:val="nil"/>
              <w:bottom w:val="nil"/>
              <w:right w:val="nil"/>
            </w:tcBorders>
            <w:tcMar>
              <w:top w:w="0" w:type="dxa"/>
              <w:left w:w="57" w:type="dxa"/>
              <w:bottom w:w="0" w:type="dxa"/>
              <w:right w:w="57" w:type="dxa"/>
            </w:tcMar>
          </w:tcPr>
          <w:p w14:paraId="03750DEC"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65 (39,9)</w:t>
            </w:r>
          </w:p>
        </w:tc>
        <w:tc>
          <w:tcPr>
            <w:tcW w:w="1224" w:type="pct"/>
            <w:tcBorders>
              <w:top w:val="single" w:sz="4" w:space="0" w:color="auto"/>
              <w:left w:val="nil"/>
              <w:bottom w:val="nil"/>
              <w:right w:val="single" w:sz="8" w:space="0" w:color="auto"/>
            </w:tcBorders>
            <w:tcMar>
              <w:top w:w="0" w:type="dxa"/>
              <w:left w:w="57" w:type="dxa"/>
              <w:bottom w:w="0" w:type="dxa"/>
              <w:right w:w="57" w:type="dxa"/>
            </w:tcMar>
          </w:tcPr>
          <w:p w14:paraId="3CA3BA07"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&lt;0,0001</w:t>
            </w:r>
          </w:p>
        </w:tc>
      </w:tr>
      <w:tr w:rsidR="00763105" w:rsidRPr="005A4F9F" w14:paraId="6BF5D65B" w14:textId="77777777" w:rsidTr="008B00DE">
        <w:trPr>
          <w:cantSplit/>
        </w:trPr>
        <w:tc>
          <w:tcPr>
            <w:tcW w:w="1966" w:type="pct"/>
            <w:gridSpan w:val="2"/>
            <w:tcBorders>
              <w:top w:val="nil"/>
              <w:left w:val="single" w:sz="4" w:space="0" w:color="auto"/>
              <w:bottom w:val="nil"/>
              <w:right w:val="nil"/>
            </w:tcBorders>
            <w:tcMar>
              <w:top w:w="0" w:type="dxa"/>
              <w:left w:w="57" w:type="dxa"/>
              <w:bottom w:w="0" w:type="dxa"/>
              <w:right w:w="57" w:type="dxa"/>
            </w:tcMar>
            <w:vAlign w:val="center"/>
          </w:tcPr>
          <w:p w14:paraId="3F98D6E4"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hint="eastAsia"/>
                <w:sz w:val="22"/>
                <w:szCs w:val="22"/>
                <w:lang w:val="sr-Latn-ME" w:eastAsia="zh-CN"/>
              </w:rPr>
              <w:t xml:space="preserve">DAS28 </w:t>
            </w:r>
            <w:r w:rsidRPr="005A4F9F">
              <w:rPr>
                <w:rFonts w:eastAsia="SimSun" w:hint="eastAsia"/>
                <w:sz w:val="22"/>
                <w:szCs w:val="22"/>
                <w:lang w:val="sr-Latn-ME" w:eastAsia="zh-CN"/>
              </w:rPr>
              <w:t>≤</w:t>
            </w:r>
            <w:r w:rsidRPr="005A4F9F">
              <w:rPr>
                <w:rFonts w:eastAsia="SimSun" w:hint="eastAsia"/>
                <w:sz w:val="22"/>
                <w:szCs w:val="22"/>
                <w:lang w:val="sr-Latn-ME" w:eastAsia="zh-CN"/>
              </w:rPr>
              <w:t xml:space="preserve"> 3,2, n (%) </w:t>
            </w:r>
          </w:p>
        </w:tc>
        <w:tc>
          <w:tcPr>
            <w:tcW w:w="944" w:type="pct"/>
            <w:gridSpan w:val="2"/>
            <w:tcMar>
              <w:top w:w="0" w:type="dxa"/>
              <w:left w:w="57" w:type="dxa"/>
              <w:bottom w:w="0" w:type="dxa"/>
              <w:right w:w="57" w:type="dxa"/>
            </w:tcMar>
          </w:tcPr>
          <w:p w14:paraId="6578B2EE"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 xml:space="preserve">32 (19,8) </w:t>
            </w:r>
          </w:p>
        </w:tc>
        <w:tc>
          <w:tcPr>
            <w:tcW w:w="865" w:type="pct"/>
            <w:tcMar>
              <w:top w:w="0" w:type="dxa"/>
              <w:left w:w="57" w:type="dxa"/>
              <w:bottom w:w="0" w:type="dxa"/>
              <w:right w:w="57" w:type="dxa"/>
            </w:tcMar>
          </w:tcPr>
          <w:p w14:paraId="627546F3"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84 (51,5)</w:t>
            </w:r>
          </w:p>
        </w:tc>
        <w:tc>
          <w:tcPr>
            <w:tcW w:w="1224" w:type="pct"/>
            <w:tcBorders>
              <w:top w:val="nil"/>
              <w:left w:val="nil"/>
              <w:bottom w:val="nil"/>
              <w:right w:val="single" w:sz="8" w:space="0" w:color="auto"/>
            </w:tcBorders>
            <w:tcMar>
              <w:top w:w="0" w:type="dxa"/>
              <w:left w:w="57" w:type="dxa"/>
              <w:bottom w:w="0" w:type="dxa"/>
              <w:right w:w="57" w:type="dxa"/>
            </w:tcMar>
          </w:tcPr>
          <w:p w14:paraId="482FC719"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&lt;0,0001</w:t>
            </w:r>
          </w:p>
        </w:tc>
      </w:tr>
      <w:tr w:rsidR="00763105" w:rsidRPr="005A4F9F" w14:paraId="0CC848A1" w14:textId="77777777" w:rsidTr="008B00DE">
        <w:trPr>
          <w:cantSplit/>
        </w:trPr>
        <w:tc>
          <w:tcPr>
            <w:tcW w:w="1966" w:type="pct"/>
            <w:gridSpan w:val="2"/>
            <w:tcBorders>
              <w:top w:val="nil"/>
              <w:left w:val="single" w:sz="4" w:space="0" w:color="auto"/>
              <w:bottom w:val="nil"/>
              <w:right w:val="nil"/>
            </w:tcBorders>
            <w:tcMar>
              <w:top w:w="0" w:type="dxa"/>
              <w:left w:w="57" w:type="dxa"/>
              <w:bottom w:w="0" w:type="dxa"/>
              <w:right w:w="57" w:type="dxa"/>
            </w:tcMar>
            <w:vAlign w:val="center"/>
          </w:tcPr>
          <w:p w14:paraId="512D5DD0"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odgovor ACR20, n (%)</w:t>
            </w:r>
          </w:p>
        </w:tc>
        <w:tc>
          <w:tcPr>
            <w:tcW w:w="944" w:type="pct"/>
            <w:gridSpan w:val="2"/>
            <w:tcMar>
              <w:top w:w="0" w:type="dxa"/>
              <w:left w:w="57" w:type="dxa"/>
              <w:bottom w:w="0" w:type="dxa"/>
              <w:right w:w="57" w:type="dxa"/>
            </w:tcMar>
          </w:tcPr>
          <w:p w14:paraId="5474DF09"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80 (49,4)</w:t>
            </w:r>
          </w:p>
        </w:tc>
        <w:tc>
          <w:tcPr>
            <w:tcW w:w="865" w:type="pct"/>
            <w:tcMar>
              <w:top w:w="0" w:type="dxa"/>
              <w:left w:w="57" w:type="dxa"/>
              <w:bottom w:w="0" w:type="dxa"/>
              <w:right w:w="57" w:type="dxa"/>
            </w:tcMar>
          </w:tcPr>
          <w:p w14:paraId="229D3A62"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106 (65,0)</w:t>
            </w:r>
          </w:p>
        </w:tc>
        <w:tc>
          <w:tcPr>
            <w:tcW w:w="1224" w:type="pct"/>
            <w:tcBorders>
              <w:top w:val="nil"/>
              <w:left w:val="nil"/>
              <w:bottom w:val="nil"/>
              <w:right w:val="single" w:sz="8" w:space="0" w:color="auto"/>
            </w:tcBorders>
            <w:tcMar>
              <w:top w:w="0" w:type="dxa"/>
              <w:left w:w="57" w:type="dxa"/>
              <w:bottom w:w="0" w:type="dxa"/>
              <w:right w:w="57" w:type="dxa"/>
            </w:tcMar>
          </w:tcPr>
          <w:p w14:paraId="04D57A7A"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0,0038</w:t>
            </w:r>
          </w:p>
        </w:tc>
      </w:tr>
      <w:tr w:rsidR="00763105" w:rsidRPr="005A4F9F" w14:paraId="7505C251" w14:textId="77777777" w:rsidTr="008B00DE">
        <w:trPr>
          <w:cantSplit/>
        </w:trPr>
        <w:tc>
          <w:tcPr>
            <w:tcW w:w="1966" w:type="pct"/>
            <w:gridSpan w:val="2"/>
            <w:tcBorders>
              <w:top w:val="nil"/>
              <w:left w:val="single" w:sz="4" w:space="0" w:color="auto"/>
              <w:bottom w:val="nil"/>
              <w:right w:val="nil"/>
            </w:tcBorders>
            <w:tcMar>
              <w:top w:w="0" w:type="dxa"/>
              <w:left w:w="57" w:type="dxa"/>
              <w:bottom w:w="0" w:type="dxa"/>
              <w:right w:w="57" w:type="dxa"/>
            </w:tcMar>
            <w:vAlign w:val="center"/>
          </w:tcPr>
          <w:p w14:paraId="7A9705B4"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odgovor ACR50, n (%)</w:t>
            </w:r>
          </w:p>
        </w:tc>
        <w:tc>
          <w:tcPr>
            <w:tcW w:w="944" w:type="pct"/>
            <w:gridSpan w:val="2"/>
            <w:tcMar>
              <w:top w:w="0" w:type="dxa"/>
              <w:left w:w="57" w:type="dxa"/>
              <w:bottom w:w="0" w:type="dxa"/>
              <w:right w:w="57" w:type="dxa"/>
            </w:tcMar>
          </w:tcPr>
          <w:p w14:paraId="0EC2B398"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45 (27,8)</w:t>
            </w:r>
          </w:p>
        </w:tc>
        <w:tc>
          <w:tcPr>
            <w:tcW w:w="865" w:type="pct"/>
            <w:tcMar>
              <w:top w:w="0" w:type="dxa"/>
              <w:left w:w="57" w:type="dxa"/>
              <w:bottom w:w="0" w:type="dxa"/>
              <w:right w:w="57" w:type="dxa"/>
            </w:tcMar>
          </w:tcPr>
          <w:p w14:paraId="5E708298"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77 (47,2)</w:t>
            </w:r>
          </w:p>
        </w:tc>
        <w:tc>
          <w:tcPr>
            <w:tcW w:w="1224" w:type="pct"/>
            <w:tcBorders>
              <w:top w:val="nil"/>
              <w:left w:val="nil"/>
              <w:bottom w:val="nil"/>
              <w:right w:val="single" w:sz="8" w:space="0" w:color="auto"/>
            </w:tcBorders>
            <w:tcMar>
              <w:top w:w="0" w:type="dxa"/>
              <w:left w:w="57" w:type="dxa"/>
              <w:bottom w:w="0" w:type="dxa"/>
              <w:right w:w="57" w:type="dxa"/>
            </w:tcMar>
          </w:tcPr>
          <w:p w14:paraId="1D4ED9C9"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0,0002</w:t>
            </w:r>
          </w:p>
        </w:tc>
      </w:tr>
      <w:tr w:rsidR="00763105" w:rsidRPr="005A4F9F" w14:paraId="1F3343FA" w14:textId="77777777" w:rsidTr="008B00DE">
        <w:trPr>
          <w:cantSplit/>
        </w:trPr>
        <w:tc>
          <w:tcPr>
            <w:tcW w:w="1966" w:type="pct"/>
            <w:gridSpan w:val="2"/>
            <w:tcBorders>
              <w:top w:val="nil"/>
              <w:left w:val="single" w:sz="4" w:space="0" w:color="auto"/>
              <w:bottom w:val="single" w:sz="4" w:space="0" w:color="auto"/>
              <w:right w:val="nil"/>
            </w:tcBorders>
            <w:tcMar>
              <w:top w:w="0" w:type="dxa"/>
              <w:left w:w="57" w:type="dxa"/>
              <w:bottom w:w="0" w:type="dxa"/>
              <w:right w:w="57" w:type="dxa"/>
            </w:tcMar>
            <w:vAlign w:val="center"/>
          </w:tcPr>
          <w:p w14:paraId="78FC9682"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odgovor ACR70, n (%)</w:t>
            </w:r>
          </w:p>
        </w:tc>
        <w:tc>
          <w:tcPr>
            <w:tcW w:w="944" w:type="pct"/>
            <w:gridSpan w:val="2"/>
            <w:tcBorders>
              <w:top w:val="nil"/>
              <w:left w:val="nil"/>
              <w:bottom w:val="single" w:sz="4" w:space="0" w:color="auto"/>
              <w:right w:val="nil"/>
            </w:tcBorders>
            <w:tcMar>
              <w:top w:w="0" w:type="dxa"/>
              <w:left w:w="57" w:type="dxa"/>
              <w:bottom w:w="0" w:type="dxa"/>
              <w:right w:w="57" w:type="dxa"/>
            </w:tcMar>
          </w:tcPr>
          <w:p w14:paraId="0D26E773"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29 (17,9)</w:t>
            </w:r>
          </w:p>
        </w:tc>
        <w:tc>
          <w:tcPr>
            <w:tcW w:w="865" w:type="pct"/>
            <w:tcBorders>
              <w:top w:val="nil"/>
              <w:left w:val="nil"/>
              <w:bottom w:val="single" w:sz="4" w:space="0" w:color="auto"/>
              <w:right w:val="nil"/>
            </w:tcBorders>
            <w:tcMar>
              <w:top w:w="0" w:type="dxa"/>
              <w:left w:w="57" w:type="dxa"/>
              <w:bottom w:w="0" w:type="dxa"/>
              <w:right w:w="57" w:type="dxa"/>
            </w:tcMar>
          </w:tcPr>
          <w:p w14:paraId="2889E1BF"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53 (32,5)</w:t>
            </w:r>
          </w:p>
        </w:tc>
        <w:tc>
          <w:tcPr>
            <w:tcW w:w="1224" w:type="pct"/>
            <w:tcBorders>
              <w:top w:val="nil"/>
              <w:left w:val="nil"/>
              <w:bottom w:val="single" w:sz="4" w:space="0" w:color="auto"/>
              <w:right w:val="single" w:sz="8" w:space="0" w:color="auto"/>
            </w:tcBorders>
            <w:tcMar>
              <w:top w:w="0" w:type="dxa"/>
              <w:left w:w="57" w:type="dxa"/>
              <w:bottom w:w="0" w:type="dxa"/>
              <w:right w:w="57" w:type="dxa"/>
            </w:tcMar>
          </w:tcPr>
          <w:p w14:paraId="4CA6345A" w14:textId="77777777" w:rsidR="00763105" w:rsidRPr="005A4F9F" w:rsidRDefault="00763105" w:rsidP="008B00DE">
            <w:pPr>
              <w:widowControl w:val="0"/>
              <w:spacing w:line="240" w:lineRule="exact"/>
              <w:jc w:val="both"/>
              <w:rPr>
                <w:rFonts w:eastAsia="SimSun"/>
                <w:sz w:val="22"/>
                <w:szCs w:val="22"/>
                <w:lang w:val="sr-Latn-ME" w:eastAsia="zh-CN"/>
              </w:rPr>
            </w:pPr>
            <w:r w:rsidRPr="005A4F9F">
              <w:rPr>
                <w:rFonts w:eastAsia="SimSun"/>
                <w:sz w:val="22"/>
                <w:szCs w:val="22"/>
                <w:lang w:val="sr-Latn-ME" w:eastAsia="zh-CN"/>
              </w:rPr>
              <w:t>0,0023</w:t>
            </w:r>
          </w:p>
        </w:tc>
      </w:tr>
    </w:tbl>
    <w:p w14:paraId="0CC39B26" w14:textId="77777777" w:rsidR="00763105" w:rsidRPr="005A4F9F" w:rsidRDefault="00763105">
      <w:pPr>
        <w:widowControl w:val="0"/>
        <w:jc w:val="both"/>
        <w:rPr>
          <w:rFonts w:eastAsia="SimSun"/>
          <w:bCs/>
          <w:i/>
          <w:sz w:val="22"/>
          <w:szCs w:val="22"/>
          <w:lang w:val="sr-Latn-ME" w:eastAsia="zh-CN"/>
        </w:rPr>
      </w:pPr>
      <w:r w:rsidRPr="005A4F9F">
        <w:rPr>
          <w:rFonts w:eastAsia="SimSun"/>
          <w:bCs/>
          <w:i/>
          <w:sz w:val="22"/>
          <w:szCs w:val="22"/>
          <w:vertAlign w:val="superscript"/>
          <w:lang w:val="sr-Latn-ME" w:eastAsia="zh-CN"/>
        </w:rPr>
        <w:t>a</w:t>
      </w:r>
      <w:r w:rsidRPr="005A4F9F">
        <w:rPr>
          <w:rFonts w:eastAsia="SimSun"/>
          <w:bCs/>
          <w:i/>
          <w:sz w:val="22"/>
          <w:szCs w:val="22"/>
          <w:lang w:val="sr-Latn-ME" w:eastAsia="zh-CN"/>
        </w:rPr>
        <w:t xml:space="preserve">p-vrijednost je prilagođena prema području i trajanju RA za sve krajne tačke te dodatno za početnu </w:t>
      </w:r>
      <w:r w:rsidRPr="005A4F9F">
        <w:rPr>
          <w:rFonts w:eastAsia="SimSun"/>
          <w:bCs/>
          <w:i/>
          <w:sz w:val="22"/>
          <w:szCs w:val="22"/>
          <w:lang w:val="sr-Latn-ME" w:eastAsia="zh-CN"/>
        </w:rPr>
        <w:lastRenderedPageBreak/>
        <w:t>vrijednost za sve sljedeće krajnje tačke</w:t>
      </w:r>
    </w:p>
    <w:p w14:paraId="360BC992" w14:textId="77777777" w:rsidR="007D6E02" w:rsidRPr="008B00DE" w:rsidRDefault="00763105" w:rsidP="008B00DE">
      <w:pPr>
        <w:widowControl w:val="0"/>
        <w:jc w:val="both"/>
        <w:rPr>
          <w:rFonts w:eastAsia="SimSun"/>
          <w:bCs/>
          <w:iCs/>
          <w:sz w:val="22"/>
          <w:szCs w:val="22"/>
          <w:lang w:val="sr-Latn-ME" w:eastAsia="zh-CN"/>
        </w:rPr>
      </w:pPr>
      <w:r w:rsidRPr="005A4F9F">
        <w:rPr>
          <w:rFonts w:eastAsia="SimSun"/>
          <w:bCs/>
          <w:i/>
          <w:sz w:val="22"/>
          <w:szCs w:val="22"/>
          <w:vertAlign w:val="superscript"/>
          <w:lang w:val="sr-Latn-ME" w:eastAsia="zh-CN"/>
        </w:rPr>
        <w:t>b</w:t>
      </w:r>
      <w:r w:rsidRPr="005A4F9F">
        <w:rPr>
          <w:rFonts w:eastAsia="SimSun"/>
          <w:bCs/>
          <w:i/>
          <w:sz w:val="22"/>
          <w:szCs w:val="22"/>
          <w:lang w:val="sr-Latn-ME" w:eastAsia="zh-CN"/>
        </w:rPr>
        <w:t xml:space="preserve"> Za podatke koji nedostaju imputiran je broj pacijenata bez odgovora. Za kontrolu multipliciteta koristila se Bonferroni</w:t>
      </w:r>
      <w:r w:rsidRPr="005A4F9F">
        <w:rPr>
          <w:rFonts w:eastAsia="SimSun"/>
          <w:bCs/>
          <w:i/>
          <w:sz w:val="22"/>
          <w:szCs w:val="22"/>
          <w:lang w:val="sr-Latn-ME" w:eastAsia="zh-CN"/>
        </w:rPr>
        <w:noBreakHyphen/>
        <w:t>Holmova korekcija.</w:t>
      </w:r>
      <w:r w:rsidR="007D6E02" w:rsidRPr="005A4F9F">
        <w:rPr>
          <w:rFonts w:eastAsia="SimSun"/>
          <w:bCs/>
          <w:i/>
          <w:sz w:val="22"/>
          <w:szCs w:val="22"/>
          <w:lang w:val="sr-Latn-ME" w:eastAsia="zh-CN"/>
        </w:rPr>
        <w:br/>
      </w:r>
      <w:r w:rsidR="007D6E02" w:rsidRPr="008B00DE">
        <w:rPr>
          <w:rFonts w:eastAsia="SimSun"/>
          <w:bCs/>
          <w:iCs/>
          <w:sz w:val="22"/>
          <w:szCs w:val="22"/>
          <w:lang w:val="sr-Latn-ME" w:eastAsia="zh-CN"/>
        </w:rPr>
        <w:t>IV = intravenski</w:t>
      </w:r>
    </w:p>
    <w:p w14:paraId="7D40C5DE" w14:textId="54969A1E" w:rsidR="007D6E02" w:rsidRPr="008B00DE" w:rsidRDefault="007D6E02" w:rsidP="008B00DE">
      <w:pPr>
        <w:widowControl w:val="0"/>
        <w:jc w:val="both"/>
        <w:rPr>
          <w:rFonts w:eastAsia="SimSun"/>
          <w:bCs/>
          <w:iCs/>
          <w:sz w:val="22"/>
          <w:szCs w:val="22"/>
          <w:lang w:val="sr-Latn-ME" w:eastAsia="zh-CN"/>
        </w:rPr>
      </w:pPr>
      <w:r w:rsidRPr="008B00DE">
        <w:rPr>
          <w:rFonts w:eastAsia="SimSun"/>
          <w:bCs/>
          <w:iCs/>
          <w:sz w:val="22"/>
          <w:szCs w:val="22"/>
          <w:lang w:val="sr-Latn-ME" w:eastAsia="zh-CN"/>
        </w:rPr>
        <w:t>SC = su</w:t>
      </w:r>
      <w:r w:rsidR="007A559B" w:rsidRPr="008B00DE">
        <w:rPr>
          <w:rFonts w:eastAsia="SimSun"/>
          <w:bCs/>
          <w:iCs/>
          <w:sz w:val="22"/>
          <w:szCs w:val="22"/>
          <w:lang w:val="sr-Latn-ME" w:eastAsia="zh-CN"/>
        </w:rPr>
        <w:t>b</w:t>
      </w:r>
      <w:r w:rsidRPr="008B00DE">
        <w:rPr>
          <w:rFonts w:eastAsia="SimSun"/>
          <w:bCs/>
          <w:iCs/>
          <w:sz w:val="22"/>
          <w:szCs w:val="22"/>
          <w:lang w:val="sr-Latn-ME" w:eastAsia="zh-CN"/>
        </w:rPr>
        <w:t>kutano</w:t>
      </w:r>
    </w:p>
    <w:p w14:paraId="38F3E211" w14:textId="77777777" w:rsidR="007D6E02" w:rsidRPr="008B00DE" w:rsidRDefault="007D6E02" w:rsidP="008B00DE">
      <w:pPr>
        <w:widowControl w:val="0"/>
        <w:jc w:val="both"/>
        <w:rPr>
          <w:rFonts w:eastAsia="SimSun"/>
          <w:bCs/>
          <w:iCs/>
          <w:sz w:val="22"/>
          <w:szCs w:val="22"/>
          <w:lang w:val="sr-Latn-ME" w:eastAsia="zh-CN"/>
        </w:rPr>
      </w:pPr>
      <w:r w:rsidRPr="008B00DE">
        <w:rPr>
          <w:rFonts w:eastAsia="SimSun"/>
          <w:bCs/>
          <w:iCs/>
          <w:sz w:val="22"/>
          <w:szCs w:val="22"/>
          <w:lang w:val="sr-Latn-ME" w:eastAsia="zh-CN"/>
        </w:rPr>
        <w:t>TCZ = tocilizumab</w:t>
      </w:r>
    </w:p>
    <w:p w14:paraId="7F3468EF" w14:textId="77777777" w:rsidR="007D6E02" w:rsidRPr="008B00DE" w:rsidRDefault="007D6E02" w:rsidP="008B00DE">
      <w:pPr>
        <w:widowControl w:val="0"/>
        <w:jc w:val="both"/>
        <w:rPr>
          <w:rFonts w:eastAsia="SimSun"/>
          <w:bCs/>
          <w:iCs/>
          <w:sz w:val="22"/>
          <w:szCs w:val="22"/>
          <w:lang w:val="sr-Latn-ME" w:eastAsia="zh-CN"/>
        </w:rPr>
      </w:pPr>
      <w:r w:rsidRPr="008B00DE">
        <w:rPr>
          <w:rFonts w:eastAsia="SimSun"/>
          <w:bCs/>
          <w:iCs/>
          <w:sz w:val="22"/>
          <w:szCs w:val="22"/>
          <w:lang w:val="sr-Latn-ME" w:eastAsia="zh-CN"/>
        </w:rPr>
        <w:t>ADA = adalimumab</w:t>
      </w:r>
    </w:p>
    <w:p w14:paraId="18AA92F6" w14:textId="77777777" w:rsidR="007D6E02" w:rsidRPr="008B00DE" w:rsidRDefault="007D6E02" w:rsidP="008B00DE">
      <w:pPr>
        <w:widowControl w:val="0"/>
        <w:jc w:val="both"/>
        <w:rPr>
          <w:sz w:val="22"/>
          <w:szCs w:val="22"/>
          <w:lang w:val="sr-Latn-ME"/>
        </w:rPr>
      </w:pPr>
    </w:p>
    <w:p w14:paraId="667E3809" w14:textId="5E6966AF" w:rsidR="00763105" w:rsidRPr="005A4F9F" w:rsidRDefault="00763105">
      <w:pPr>
        <w:widowControl w:val="0"/>
        <w:jc w:val="both"/>
        <w:rPr>
          <w:sz w:val="22"/>
          <w:szCs w:val="22"/>
          <w:lang w:val="sr-Latn-ME"/>
        </w:rPr>
      </w:pPr>
      <w:r w:rsidRPr="005A4F9F">
        <w:rPr>
          <w:sz w:val="22"/>
          <w:szCs w:val="22"/>
          <w:lang w:val="sr-Latn-ME"/>
        </w:rPr>
        <w:t>Tocilizumab i adalimumab imali su sličan ukupan profil kliničkih neželjenih događaja. Udio pacijenata sa ozbiljnim neželjenim događajima bio je izjednačen između obje ispitivane grupe (tocilizumab 11,7%, adalimumab 9,9%). Vrste neželjenih reakcija u grupi koja je primala tocilizumab bile su u skladu sa poznatim profilom bezbjednosti tocilizumaba, a NRL su prijavljivane sa sličnom učestalošću kao u Tabeli 1. Veća učestalost infekcija i infestacija prijavljena je u grupi koja je primala tocilizumab (48% naspram 42%), a nije bilo razlike u učestalosti ozbiljnih infekcija (3,1%). Obje ispitivane grupe izazvale su isti obrazac promjena u laboratorijskim bezbjedonosnim parametrima (smanjeni broj neutrofila i trombocita, povišene vrijednosti ALT-a, AST-a i lipida). Međutim, veličina promjene i učestalost opaženih poremećenih vrijednosti bili su veći u grupi koja je primala tocilizumab nego u onoj koja je primala adalimumab. Kod četiri (2,5%) pacijenta u grupi koja je primala tocilizumab te kod dva (1,2%) pacijenta koja su primala adalimumab primijećen je smanjen broj neutrofila gradusa 3 ili 4 prema CTC-u. Kod jedanaest (6,8%) pacijenata koji su primali tocilizumab te kod pet (3,1%) pacijenata koji su primali adalimumab primjećene su povišene vrijednosti ALT-a gradusa 2 ili više prema CTC-u. Srednje povišenje vrijednosti LDL-a u odnosu na početnu vrijednost iznosilo je 0,64 mmol/l (25 mg/dl) kod pacijenata koji su primali tocilizumab te 0,19 mmol/l (7 mg/dl) kod pacijenata koji su primali adalimumab. Bezbjednost primjećena u grupi koja je primala tocilizumab bila je u skladu sa poznatim bezbjedonosnim profilom tocilizumaba pa ni</w:t>
      </w:r>
      <w:r w:rsidR="008872DD" w:rsidRPr="005A4F9F">
        <w:rPr>
          <w:sz w:val="22"/>
          <w:szCs w:val="22"/>
          <w:lang w:val="sr-Latn-ME"/>
        </w:rPr>
        <w:t>je</w:t>
      </w:r>
      <w:r w:rsidRPr="005A4F9F">
        <w:rPr>
          <w:sz w:val="22"/>
          <w:szCs w:val="22"/>
          <w:lang w:val="sr-Latn-ME"/>
        </w:rPr>
        <w:t>su primijećene nove niti neočekivane neželjene reakcije (vidjeti Tabelu 1).</w:t>
      </w:r>
    </w:p>
    <w:p w14:paraId="5F6B5DF4" w14:textId="77777777" w:rsidR="00F03D29" w:rsidRPr="005A4F9F" w:rsidRDefault="00F03D29">
      <w:pPr>
        <w:widowControl w:val="0"/>
        <w:jc w:val="both"/>
        <w:rPr>
          <w:b/>
          <w:i/>
          <w:sz w:val="22"/>
          <w:szCs w:val="22"/>
          <w:lang w:val="sr-Latn-ME"/>
        </w:rPr>
      </w:pPr>
    </w:p>
    <w:p w14:paraId="3500471D" w14:textId="77777777" w:rsidR="00763105" w:rsidRPr="005A4F9F" w:rsidRDefault="00763105">
      <w:pPr>
        <w:widowControl w:val="0"/>
        <w:jc w:val="both"/>
        <w:rPr>
          <w:bCs/>
          <w:i/>
          <w:sz w:val="22"/>
          <w:szCs w:val="22"/>
          <w:lang w:val="sr-Latn-ME"/>
        </w:rPr>
      </w:pPr>
      <w:r w:rsidRPr="005A4F9F">
        <w:rPr>
          <w:bCs/>
          <w:i/>
          <w:sz w:val="22"/>
          <w:szCs w:val="22"/>
          <w:lang w:val="sr-Latn-ME"/>
        </w:rPr>
        <w:t>Pacijenti u ranoj fazi RA koji prethodno nijesu bili liječeni MTX</w:t>
      </w:r>
      <w:r w:rsidRPr="005A4F9F">
        <w:rPr>
          <w:bCs/>
          <w:i/>
          <w:sz w:val="22"/>
          <w:szCs w:val="22"/>
          <w:lang w:val="sr-Latn-ME"/>
        </w:rPr>
        <w:noBreakHyphen/>
        <w:t>om</w:t>
      </w:r>
    </w:p>
    <w:p w14:paraId="66B4F0EF" w14:textId="77777777" w:rsidR="00E30DE1" w:rsidRPr="005A4F9F" w:rsidRDefault="00763105">
      <w:pPr>
        <w:widowControl w:val="0"/>
        <w:jc w:val="both"/>
        <w:rPr>
          <w:sz w:val="22"/>
          <w:szCs w:val="22"/>
          <w:lang w:val="sr-Latn-ME"/>
        </w:rPr>
      </w:pPr>
      <w:r w:rsidRPr="005A4F9F">
        <w:rPr>
          <w:sz w:val="22"/>
          <w:szCs w:val="22"/>
          <w:lang w:val="sr-Latn-ME"/>
        </w:rPr>
        <w:t>U Studiji VII (WA19926), 2</w:t>
      </w:r>
      <w:r w:rsidRPr="005A4F9F">
        <w:rPr>
          <w:sz w:val="22"/>
          <w:szCs w:val="22"/>
          <w:lang w:val="sr-Latn-ME"/>
        </w:rPr>
        <w:noBreakHyphen/>
        <w:t>godišnoj Studiji sa planiranom primarnom analizom u 52. nedjelji, ocijenjena su 1162 odrasla pacijenta sa umjerenim do teškim oblikom aktivnog RA u ranoj fazi (srednje trajanje bolesti ≤ 6 mjeseci) koji prethodno nijesu bili liječeni MTX</w:t>
      </w:r>
      <w:r w:rsidRPr="005A4F9F">
        <w:rPr>
          <w:sz w:val="22"/>
          <w:szCs w:val="22"/>
          <w:lang w:val="sr-Latn-ME"/>
        </w:rPr>
        <w:noBreakHyphen/>
        <w:t>om. Približno 20% pacijenata prethodno je liječeno drugim DMARD</w:t>
      </w:r>
      <w:r w:rsidRPr="005A4F9F">
        <w:rPr>
          <w:sz w:val="22"/>
          <w:szCs w:val="22"/>
          <w:lang w:val="sr-Latn-ME"/>
        </w:rPr>
        <w:noBreakHyphen/>
        <w:t>ovima osim MTX</w:t>
      </w:r>
      <w:r w:rsidRPr="005A4F9F">
        <w:rPr>
          <w:sz w:val="22"/>
          <w:szCs w:val="22"/>
          <w:lang w:val="sr-Latn-ME"/>
        </w:rPr>
        <w:noBreakHyphen/>
        <w:t>a. U ovoj Studiji se ocjenjivala efikasnost kombinovane terapije tocilizumabom za intravensku primjenu u dozi od 4 ili 8 mg/kg svake 4 nedjelje i MTX</w:t>
      </w:r>
      <w:r w:rsidRPr="005A4F9F">
        <w:rPr>
          <w:sz w:val="22"/>
          <w:szCs w:val="22"/>
          <w:lang w:val="sr-Latn-ME"/>
        </w:rPr>
        <w:noBreakHyphen/>
        <w:t>om, monoterapije tocilizumabom za intravensku primjenu u dozi od 8 mg/kg te monoterapije MTX</w:t>
      </w:r>
      <w:r w:rsidRPr="005A4F9F">
        <w:rPr>
          <w:sz w:val="22"/>
          <w:szCs w:val="22"/>
          <w:lang w:val="sr-Latn-ME"/>
        </w:rPr>
        <w:noBreakHyphen/>
        <w:t>om na smanjenje znakova i simptoma te brzine progresije oštećenja zglobova tokom 104 nedjelje. Primarna krajnja tačka bio je procenat pacijenata koji su postigli remisiju DAS28 (DAS28 &lt; 2,6) u 24. nedjelji. Primarnu krajnju tačku postigao je značajno veći procenat pacijenata u grupi koja je primala tocilizumab u dozi od 8 mg/kg + MTX i u grupi koja je primala monoterapiju tocilizumabom nego u grupi koja je primala samo MTX. Grupa koja je primala tocilizumab u dozi od 8 mg/kg i MTX takođe je postigla statistički značajne rezultate za sve ključne sekundarne krajnje tačke. U poređenju sa monoterapijom MTX</w:t>
      </w:r>
      <w:r w:rsidRPr="005A4F9F">
        <w:rPr>
          <w:sz w:val="22"/>
          <w:szCs w:val="22"/>
          <w:lang w:val="sr-Latn-ME"/>
        </w:rPr>
        <w:noBreakHyphen/>
        <w:t>om, grupa koja je primala monoterapiju tocilizumabom u dozi od 8 mg/kg postigla je brojčano veće odgovore za sve sekundarne krajnje tačke, uključujući radiološke mjere ishoda. U ovoj Studiji je kao unaprijed određena eksploracijska mjera ishoda analizirana i remisija prema ACR/EULAR kriterijumima (definisana u skladu sa principima Booleove algebre i u skladu sa indeksom aktivnosti bolesti), pri čemu su viši odgovori primjećeni u grupama koje su primale tocilizumab. Rezultati iz Studije VII prikazani su u Tabeli </w:t>
      </w:r>
      <w:r w:rsidR="00BF249E" w:rsidRPr="005A4F9F">
        <w:rPr>
          <w:sz w:val="22"/>
          <w:szCs w:val="22"/>
          <w:lang w:val="sr-Latn-ME"/>
        </w:rPr>
        <w:t>7</w:t>
      </w:r>
      <w:r w:rsidRPr="005A4F9F">
        <w:rPr>
          <w:sz w:val="22"/>
          <w:szCs w:val="22"/>
          <w:lang w:val="sr-Latn-ME"/>
        </w:rPr>
        <w:t>.</w:t>
      </w:r>
    </w:p>
    <w:p w14:paraId="468BF304" w14:textId="77777777" w:rsidR="00D62AD2" w:rsidRPr="005A4F9F" w:rsidRDefault="00D62AD2">
      <w:pPr>
        <w:widowControl w:val="0"/>
        <w:jc w:val="both"/>
        <w:rPr>
          <w:i/>
          <w:sz w:val="22"/>
          <w:szCs w:val="22"/>
          <w:lang w:val="sr-Latn-ME"/>
        </w:rPr>
      </w:pPr>
    </w:p>
    <w:p w14:paraId="01F6B367" w14:textId="0AE9A333" w:rsidR="00D62AD2" w:rsidRPr="005A4F9F" w:rsidRDefault="00D62AD2">
      <w:pPr>
        <w:widowControl w:val="0"/>
        <w:jc w:val="both"/>
        <w:rPr>
          <w:i/>
          <w:sz w:val="22"/>
          <w:szCs w:val="22"/>
          <w:lang w:val="sr-Latn-ME"/>
        </w:rPr>
      </w:pPr>
      <w:r w:rsidRPr="005A4F9F">
        <w:rPr>
          <w:i/>
          <w:sz w:val="22"/>
          <w:szCs w:val="22"/>
          <w:lang w:val="sr-Latn-ME"/>
        </w:rPr>
        <w:t>Tabela 7: Rezultati efikasnosti za Studiju VII (WA19926) kod pacijenata u ranoj fazi RA koji prethodno ni</w:t>
      </w:r>
      <w:r w:rsidR="00A563B1" w:rsidRPr="005A4F9F">
        <w:rPr>
          <w:i/>
          <w:sz w:val="22"/>
          <w:szCs w:val="22"/>
          <w:lang w:val="sr-Latn-ME"/>
        </w:rPr>
        <w:t>je</w:t>
      </w:r>
      <w:r w:rsidRPr="005A4F9F">
        <w:rPr>
          <w:i/>
          <w:sz w:val="22"/>
          <w:szCs w:val="22"/>
          <w:lang w:val="sr-Latn-ME"/>
        </w:rPr>
        <w:t>su bili liječeni MTX</w:t>
      </w:r>
      <w:r w:rsidRPr="005A4F9F">
        <w:rPr>
          <w:i/>
          <w:sz w:val="22"/>
          <w:szCs w:val="22"/>
          <w:lang w:val="sr-Latn-ME"/>
        </w:rPr>
        <w:noBreakHyphen/>
        <w:t>om</w:t>
      </w:r>
    </w:p>
    <w:tbl>
      <w:tblPr>
        <w:tblW w:w="5000" w:type="pct"/>
        <w:tblLayout w:type="fixed"/>
        <w:tblCellMar>
          <w:left w:w="0" w:type="dxa"/>
          <w:right w:w="0" w:type="dxa"/>
        </w:tblCellMar>
        <w:tblLook w:val="04A0" w:firstRow="1" w:lastRow="0" w:firstColumn="1" w:lastColumn="0" w:noHBand="0" w:noVBand="1"/>
      </w:tblPr>
      <w:tblGrid>
        <w:gridCol w:w="1851"/>
        <w:gridCol w:w="1649"/>
        <w:gridCol w:w="348"/>
        <w:gridCol w:w="141"/>
        <w:gridCol w:w="1078"/>
        <w:gridCol w:w="1426"/>
        <w:gridCol w:w="1424"/>
        <w:gridCol w:w="1141"/>
      </w:tblGrid>
      <w:tr w:rsidR="00D62AD2" w:rsidRPr="005A4F9F" w14:paraId="776D8DB5" w14:textId="77777777" w:rsidTr="008B00DE">
        <w:trPr>
          <w:cantSplit/>
        </w:trPr>
        <w:tc>
          <w:tcPr>
            <w:tcW w:w="1932" w:type="pct"/>
            <w:gridSpan w:val="2"/>
            <w:tcBorders>
              <w:top w:val="single" w:sz="8" w:space="0" w:color="auto"/>
              <w:left w:val="single" w:sz="4" w:space="0" w:color="auto"/>
              <w:bottom w:val="single" w:sz="8" w:space="0" w:color="auto"/>
              <w:right w:val="nil"/>
            </w:tcBorders>
            <w:tcMar>
              <w:top w:w="0" w:type="dxa"/>
              <w:left w:w="57" w:type="dxa"/>
              <w:bottom w:w="0" w:type="dxa"/>
              <w:right w:w="57" w:type="dxa"/>
            </w:tcMar>
            <w:vAlign w:val="bottom"/>
          </w:tcPr>
          <w:p w14:paraId="704D2CD0" w14:textId="77777777" w:rsidR="00D62AD2" w:rsidRPr="005A4F9F" w:rsidRDefault="00D62AD2">
            <w:pPr>
              <w:widowControl w:val="0"/>
              <w:jc w:val="both"/>
              <w:rPr>
                <w:sz w:val="22"/>
                <w:szCs w:val="22"/>
                <w:lang w:val="sr-Latn-ME"/>
              </w:rPr>
            </w:pPr>
          </w:p>
        </w:tc>
        <w:tc>
          <w:tcPr>
            <w:tcW w:w="865" w:type="pct"/>
            <w:gridSpan w:val="3"/>
            <w:tcBorders>
              <w:top w:val="single" w:sz="8" w:space="0" w:color="auto"/>
              <w:left w:val="nil"/>
              <w:bottom w:val="single" w:sz="8" w:space="0" w:color="auto"/>
              <w:right w:val="nil"/>
            </w:tcBorders>
            <w:tcMar>
              <w:top w:w="0" w:type="dxa"/>
              <w:left w:w="57" w:type="dxa"/>
              <w:bottom w:w="0" w:type="dxa"/>
              <w:right w:w="57" w:type="dxa"/>
            </w:tcMar>
            <w:vAlign w:val="bottom"/>
          </w:tcPr>
          <w:p w14:paraId="5BBD22D2" w14:textId="77777777" w:rsidR="00D62AD2" w:rsidRPr="005A4F9F" w:rsidRDefault="00D62AD2">
            <w:pPr>
              <w:widowControl w:val="0"/>
              <w:jc w:val="both"/>
              <w:rPr>
                <w:b/>
                <w:sz w:val="22"/>
                <w:szCs w:val="22"/>
                <w:lang w:val="sr-Latn-ME"/>
              </w:rPr>
            </w:pPr>
            <w:r w:rsidRPr="005A4F9F">
              <w:rPr>
                <w:b/>
                <w:sz w:val="22"/>
                <w:szCs w:val="22"/>
                <w:lang w:val="sr-Latn-ME"/>
              </w:rPr>
              <w:t>TCZ 8 mg/kg + MTX</w:t>
            </w:r>
          </w:p>
          <w:p w14:paraId="01EDBB6B" w14:textId="77777777" w:rsidR="00D62AD2" w:rsidRPr="005A4F9F" w:rsidRDefault="00D62AD2">
            <w:pPr>
              <w:widowControl w:val="0"/>
              <w:jc w:val="both"/>
              <w:rPr>
                <w:b/>
                <w:sz w:val="22"/>
                <w:szCs w:val="22"/>
                <w:lang w:val="sr-Latn-ME"/>
              </w:rPr>
            </w:pPr>
            <w:r w:rsidRPr="005A4F9F">
              <w:rPr>
                <w:b/>
                <w:sz w:val="22"/>
                <w:szCs w:val="22"/>
                <w:lang w:val="sr-Latn-ME"/>
              </w:rPr>
              <w:t>N=290</w:t>
            </w:r>
          </w:p>
        </w:tc>
        <w:tc>
          <w:tcPr>
            <w:tcW w:w="787" w:type="pct"/>
            <w:tcBorders>
              <w:top w:val="single" w:sz="8" w:space="0" w:color="auto"/>
              <w:left w:val="nil"/>
              <w:bottom w:val="single" w:sz="8" w:space="0" w:color="auto"/>
              <w:right w:val="nil"/>
            </w:tcBorders>
            <w:tcMar>
              <w:top w:w="0" w:type="dxa"/>
              <w:left w:w="57" w:type="dxa"/>
              <w:bottom w:w="0" w:type="dxa"/>
              <w:right w:w="57" w:type="dxa"/>
            </w:tcMar>
            <w:vAlign w:val="bottom"/>
          </w:tcPr>
          <w:p w14:paraId="183BA548" w14:textId="77777777" w:rsidR="00D62AD2" w:rsidRPr="005A4F9F" w:rsidRDefault="00D62AD2">
            <w:pPr>
              <w:widowControl w:val="0"/>
              <w:jc w:val="both"/>
              <w:rPr>
                <w:b/>
                <w:sz w:val="22"/>
                <w:szCs w:val="22"/>
                <w:lang w:val="sr-Latn-ME"/>
              </w:rPr>
            </w:pPr>
            <w:r w:rsidRPr="005A4F9F">
              <w:rPr>
                <w:b/>
                <w:sz w:val="22"/>
                <w:szCs w:val="22"/>
                <w:lang w:val="sr-Latn-ME"/>
              </w:rPr>
              <w:t>TCZ 8 mg/kg + placebo</w:t>
            </w:r>
          </w:p>
          <w:p w14:paraId="4340717B" w14:textId="77777777" w:rsidR="00D62AD2" w:rsidRPr="005A4F9F" w:rsidRDefault="00D62AD2">
            <w:pPr>
              <w:widowControl w:val="0"/>
              <w:jc w:val="both"/>
              <w:rPr>
                <w:b/>
                <w:sz w:val="22"/>
                <w:szCs w:val="22"/>
                <w:lang w:val="sr-Latn-ME"/>
              </w:rPr>
            </w:pPr>
            <w:r w:rsidRPr="005A4F9F">
              <w:rPr>
                <w:b/>
                <w:sz w:val="22"/>
                <w:szCs w:val="22"/>
                <w:lang w:val="sr-Latn-ME"/>
              </w:rPr>
              <w:t>N=292</w:t>
            </w:r>
          </w:p>
        </w:tc>
        <w:tc>
          <w:tcPr>
            <w:tcW w:w="786" w:type="pct"/>
            <w:tcBorders>
              <w:top w:val="single" w:sz="8" w:space="0" w:color="auto"/>
              <w:left w:val="nil"/>
              <w:bottom w:val="single" w:sz="8" w:space="0" w:color="auto"/>
              <w:right w:val="nil"/>
            </w:tcBorders>
          </w:tcPr>
          <w:p w14:paraId="1A4E609D" w14:textId="77777777" w:rsidR="00D62AD2" w:rsidRPr="005A4F9F" w:rsidRDefault="00D62AD2">
            <w:pPr>
              <w:widowControl w:val="0"/>
              <w:jc w:val="both"/>
              <w:rPr>
                <w:b/>
                <w:sz w:val="22"/>
                <w:szCs w:val="22"/>
                <w:lang w:val="sr-Latn-ME"/>
              </w:rPr>
            </w:pPr>
            <w:r w:rsidRPr="005A4F9F">
              <w:rPr>
                <w:b/>
                <w:sz w:val="22"/>
                <w:szCs w:val="22"/>
                <w:lang w:val="sr-Latn-ME"/>
              </w:rPr>
              <w:t>TCZ 4 mg/kg +</w:t>
            </w:r>
            <w:r w:rsidRPr="005A4F9F">
              <w:rPr>
                <w:b/>
                <w:sz w:val="22"/>
                <w:szCs w:val="22"/>
                <w:lang w:val="sr-Latn-ME"/>
              </w:rPr>
              <w:br/>
              <w:t>MTX</w:t>
            </w:r>
          </w:p>
          <w:p w14:paraId="4BDD3436" w14:textId="77777777" w:rsidR="00D62AD2" w:rsidRPr="005A4F9F" w:rsidRDefault="00D62AD2">
            <w:pPr>
              <w:widowControl w:val="0"/>
              <w:jc w:val="both"/>
              <w:rPr>
                <w:b/>
                <w:sz w:val="22"/>
                <w:szCs w:val="22"/>
                <w:lang w:val="sr-Latn-ME"/>
              </w:rPr>
            </w:pPr>
            <w:r w:rsidRPr="005A4F9F">
              <w:rPr>
                <w:b/>
                <w:sz w:val="22"/>
                <w:szCs w:val="22"/>
                <w:lang w:val="sr-Latn-ME"/>
              </w:rPr>
              <w:t>N=288</w:t>
            </w:r>
          </w:p>
        </w:tc>
        <w:tc>
          <w:tcPr>
            <w:tcW w:w="629" w:type="pct"/>
            <w:tcBorders>
              <w:top w:val="single" w:sz="8" w:space="0" w:color="auto"/>
              <w:left w:val="nil"/>
              <w:bottom w:val="single" w:sz="8" w:space="0" w:color="auto"/>
              <w:right w:val="single" w:sz="8" w:space="0" w:color="auto"/>
            </w:tcBorders>
            <w:tcMar>
              <w:top w:w="0" w:type="dxa"/>
              <w:left w:w="57" w:type="dxa"/>
              <w:bottom w:w="0" w:type="dxa"/>
              <w:right w:w="57" w:type="dxa"/>
            </w:tcMar>
            <w:vAlign w:val="bottom"/>
          </w:tcPr>
          <w:p w14:paraId="0028D8E8" w14:textId="77777777" w:rsidR="00D62AD2" w:rsidRPr="005A4F9F" w:rsidRDefault="00D62AD2">
            <w:pPr>
              <w:widowControl w:val="0"/>
              <w:jc w:val="both"/>
              <w:rPr>
                <w:b/>
                <w:sz w:val="22"/>
                <w:szCs w:val="22"/>
                <w:lang w:val="sr-Latn-ME"/>
              </w:rPr>
            </w:pPr>
            <w:r w:rsidRPr="005A4F9F">
              <w:rPr>
                <w:b/>
                <w:sz w:val="22"/>
                <w:szCs w:val="22"/>
                <w:lang w:val="sr-Latn-ME"/>
              </w:rPr>
              <w:t>placebo + MTX</w:t>
            </w:r>
          </w:p>
          <w:p w14:paraId="3A15F53A" w14:textId="77777777" w:rsidR="00D62AD2" w:rsidRPr="005A4F9F" w:rsidRDefault="00D62AD2">
            <w:pPr>
              <w:widowControl w:val="0"/>
              <w:jc w:val="both"/>
              <w:rPr>
                <w:sz w:val="22"/>
                <w:szCs w:val="22"/>
                <w:lang w:val="sr-Latn-ME"/>
              </w:rPr>
            </w:pPr>
            <w:r w:rsidRPr="005A4F9F">
              <w:rPr>
                <w:b/>
                <w:sz w:val="22"/>
                <w:szCs w:val="22"/>
                <w:lang w:val="sr-Latn-ME"/>
              </w:rPr>
              <w:t>N=287</w:t>
            </w:r>
          </w:p>
        </w:tc>
      </w:tr>
      <w:tr w:rsidR="00D62AD2" w:rsidRPr="005A4F9F" w14:paraId="01A6AEC5" w14:textId="77777777" w:rsidTr="008B00DE">
        <w:trPr>
          <w:cantSplit/>
        </w:trPr>
        <w:tc>
          <w:tcPr>
            <w:tcW w:w="1022" w:type="pct"/>
            <w:tcBorders>
              <w:top w:val="nil"/>
              <w:left w:val="single" w:sz="4" w:space="0" w:color="auto"/>
              <w:bottom w:val="nil"/>
              <w:right w:val="single" w:sz="8" w:space="0" w:color="auto"/>
            </w:tcBorders>
          </w:tcPr>
          <w:p w14:paraId="40E24699" w14:textId="77777777" w:rsidR="00D62AD2" w:rsidRPr="005A4F9F" w:rsidRDefault="00D62AD2">
            <w:pPr>
              <w:widowControl w:val="0"/>
              <w:jc w:val="both"/>
              <w:rPr>
                <w:b/>
                <w:sz w:val="22"/>
                <w:szCs w:val="22"/>
                <w:lang w:val="sr-Latn-ME"/>
              </w:rPr>
            </w:pPr>
          </w:p>
        </w:tc>
        <w:tc>
          <w:tcPr>
            <w:tcW w:w="3978" w:type="pct"/>
            <w:gridSpan w:val="7"/>
            <w:tcBorders>
              <w:top w:val="nil"/>
              <w:left w:val="single" w:sz="4" w:space="0" w:color="auto"/>
              <w:bottom w:val="nil"/>
              <w:right w:val="single" w:sz="8" w:space="0" w:color="auto"/>
            </w:tcBorders>
            <w:tcMar>
              <w:top w:w="0" w:type="dxa"/>
              <w:left w:w="57" w:type="dxa"/>
              <w:bottom w:w="0" w:type="dxa"/>
              <w:right w:w="57" w:type="dxa"/>
            </w:tcMar>
          </w:tcPr>
          <w:p w14:paraId="43BB4083" w14:textId="77777777" w:rsidR="00D62AD2" w:rsidRPr="005A4F9F" w:rsidRDefault="00D62AD2">
            <w:pPr>
              <w:widowControl w:val="0"/>
              <w:jc w:val="both"/>
              <w:rPr>
                <w:b/>
                <w:sz w:val="22"/>
                <w:szCs w:val="22"/>
                <w:lang w:val="sr-Latn-ME"/>
              </w:rPr>
            </w:pPr>
            <w:r w:rsidRPr="005A4F9F">
              <w:rPr>
                <w:b/>
                <w:sz w:val="22"/>
                <w:szCs w:val="22"/>
                <w:lang w:val="sr-Latn-ME"/>
              </w:rPr>
              <w:t>Primarna krajnja tačka</w:t>
            </w:r>
          </w:p>
        </w:tc>
      </w:tr>
      <w:tr w:rsidR="00D62AD2" w:rsidRPr="005A4F9F" w14:paraId="10C01B1D" w14:textId="77777777" w:rsidTr="008B00DE">
        <w:trPr>
          <w:cantSplit/>
        </w:trPr>
        <w:tc>
          <w:tcPr>
            <w:tcW w:w="1932" w:type="pct"/>
            <w:gridSpan w:val="2"/>
            <w:tcBorders>
              <w:top w:val="single" w:sz="4" w:space="0" w:color="auto"/>
              <w:left w:val="single" w:sz="4" w:space="0" w:color="auto"/>
              <w:bottom w:val="nil"/>
              <w:right w:val="nil"/>
            </w:tcBorders>
            <w:tcMar>
              <w:top w:w="0" w:type="dxa"/>
              <w:left w:w="57" w:type="dxa"/>
              <w:bottom w:w="0" w:type="dxa"/>
              <w:right w:w="57" w:type="dxa"/>
            </w:tcMar>
          </w:tcPr>
          <w:p w14:paraId="728B727C" w14:textId="77777777" w:rsidR="00D62AD2" w:rsidRPr="005A4F9F" w:rsidRDefault="00D62AD2">
            <w:pPr>
              <w:widowControl w:val="0"/>
              <w:jc w:val="both"/>
              <w:rPr>
                <w:sz w:val="22"/>
                <w:szCs w:val="22"/>
                <w:lang w:val="sr-Latn-ME"/>
              </w:rPr>
            </w:pPr>
            <w:r w:rsidRPr="005A4F9F">
              <w:rPr>
                <w:sz w:val="22"/>
                <w:szCs w:val="22"/>
                <w:lang w:val="sr-Latn-ME"/>
              </w:rPr>
              <w:t xml:space="preserve">Remisija DAS28 </w:t>
            </w:r>
          </w:p>
        </w:tc>
        <w:tc>
          <w:tcPr>
            <w:tcW w:w="865" w:type="pct"/>
            <w:gridSpan w:val="3"/>
            <w:tcBorders>
              <w:top w:val="single" w:sz="4" w:space="0" w:color="auto"/>
              <w:left w:val="nil"/>
              <w:bottom w:val="nil"/>
              <w:right w:val="nil"/>
            </w:tcBorders>
            <w:tcMar>
              <w:top w:w="0" w:type="dxa"/>
              <w:left w:w="57" w:type="dxa"/>
              <w:bottom w:w="0" w:type="dxa"/>
              <w:right w:w="57" w:type="dxa"/>
            </w:tcMar>
          </w:tcPr>
          <w:p w14:paraId="6AB404B8" w14:textId="77777777" w:rsidR="00D62AD2" w:rsidRPr="005A4F9F" w:rsidRDefault="00D62AD2">
            <w:pPr>
              <w:widowControl w:val="0"/>
              <w:jc w:val="both"/>
              <w:rPr>
                <w:sz w:val="22"/>
                <w:szCs w:val="22"/>
                <w:lang w:val="sr-Latn-ME"/>
              </w:rPr>
            </w:pPr>
          </w:p>
        </w:tc>
        <w:tc>
          <w:tcPr>
            <w:tcW w:w="787" w:type="pct"/>
            <w:tcBorders>
              <w:top w:val="single" w:sz="4" w:space="0" w:color="auto"/>
              <w:left w:val="nil"/>
              <w:bottom w:val="nil"/>
              <w:right w:val="nil"/>
            </w:tcBorders>
            <w:tcMar>
              <w:top w:w="0" w:type="dxa"/>
              <w:left w:w="57" w:type="dxa"/>
              <w:bottom w:w="0" w:type="dxa"/>
              <w:right w:w="57" w:type="dxa"/>
            </w:tcMar>
          </w:tcPr>
          <w:p w14:paraId="1725EE06" w14:textId="77777777" w:rsidR="00D62AD2" w:rsidRPr="005A4F9F" w:rsidRDefault="00D62AD2">
            <w:pPr>
              <w:widowControl w:val="0"/>
              <w:jc w:val="both"/>
              <w:rPr>
                <w:sz w:val="22"/>
                <w:szCs w:val="22"/>
                <w:lang w:val="sr-Latn-ME"/>
              </w:rPr>
            </w:pPr>
          </w:p>
        </w:tc>
        <w:tc>
          <w:tcPr>
            <w:tcW w:w="786" w:type="pct"/>
            <w:tcBorders>
              <w:top w:val="single" w:sz="4" w:space="0" w:color="auto"/>
              <w:left w:val="nil"/>
              <w:bottom w:val="nil"/>
              <w:right w:val="nil"/>
            </w:tcBorders>
          </w:tcPr>
          <w:p w14:paraId="2529143A" w14:textId="77777777" w:rsidR="00D62AD2" w:rsidRPr="005A4F9F" w:rsidRDefault="00D62AD2">
            <w:pPr>
              <w:widowControl w:val="0"/>
              <w:jc w:val="both"/>
              <w:rPr>
                <w:sz w:val="22"/>
                <w:szCs w:val="22"/>
                <w:lang w:val="sr-Latn-ME"/>
              </w:rPr>
            </w:pPr>
          </w:p>
        </w:tc>
        <w:tc>
          <w:tcPr>
            <w:tcW w:w="629" w:type="pct"/>
            <w:tcBorders>
              <w:top w:val="single" w:sz="4" w:space="0" w:color="auto"/>
              <w:left w:val="nil"/>
              <w:bottom w:val="nil"/>
              <w:right w:val="single" w:sz="8" w:space="0" w:color="auto"/>
            </w:tcBorders>
            <w:tcMar>
              <w:top w:w="0" w:type="dxa"/>
              <w:left w:w="57" w:type="dxa"/>
              <w:bottom w:w="0" w:type="dxa"/>
              <w:right w:w="57" w:type="dxa"/>
            </w:tcMar>
          </w:tcPr>
          <w:p w14:paraId="33F9C9D1" w14:textId="77777777" w:rsidR="00D62AD2" w:rsidRPr="005A4F9F" w:rsidRDefault="00D62AD2">
            <w:pPr>
              <w:widowControl w:val="0"/>
              <w:jc w:val="both"/>
              <w:rPr>
                <w:sz w:val="22"/>
                <w:szCs w:val="22"/>
                <w:lang w:val="sr-Latn-ME"/>
              </w:rPr>
            </w:pPr>
          </w:p>
        </w:tc>
      </w:tr>
      <w:tr w:rsidR="00D62AD2" w:rsidRPr="005A4F9F" w14:paraId="09A3DE91" w14:textId="77777777" w:rsidTr="008B00DE">
        <w:trPr>
          <w:cantSplit/>
        </w:trPr>
        <w:tc>
          <w:tcPr>
            <w:tcW w:w="1932" w:type="pct"/>
            <w:gridSpan w:val="2"/>
            <w:tcBorders>
              <w:top w:val="nil"/>
              <w:left w:val="single" w:sz="4" w:space="0" w:color="auto"/>
              <w:bottom w:val="single" w:sz="4" w:space="0" w:color="auto"/>
              <w:right w:val="nil"/>
            </w:tcBorders>
            <w:tcMar>
              <w:top w:w="0" w:type="dxa"/>
              <w:left w:w="57" w:type="dxa"/>
              <w:bottom w:w="0" w:type="dxa"/>
              <w:right w:w="57" w:type="dxa"/>
            </w:tcMar>
          </w:tcPr>
          <w:p w14:paraId="34DCE640" w14:textId="77777777" w:rsidR="00D62AD2" w:rsidRPr="005A4F9F" w:rsidRDefault="00D62AD2">
            <w:pPr>
              <w:widowControl w:val="0"/>
              <w:jc w:val="both"/>
              <w:rPr>
                <w:sz w:val="22"/>
                <w:szCs w:val="22"/>
                <w:lang w:val="sr-Latn-ME"/>
              </w:rPr>
            </w:pPr>
            <w:r w:rsidRPr="005A4F9F">
              <w:rPr>
                <w:sz w:val="22"/>
                <w:szCs w:val="22"/>
                <w:lang w:val="sr-Latn-ME"/>
              </w:rPr>
              <w:t>24. nedjelja                      n (%)</w:t>
            </w:r>
          </w:p>
        </w:tc>
        <w:tc>
          <w:tcPr>
            <w:tcW w:w="865" w:type="pct"/>
            <w:gridSpan w:val="3"/>
            <w:tcBorders>
              <w:top w:val="nil"/>
              <w:left w:val="nil"/>
              <w:bottom w:val="single" w:sz="4" w:space="0" w:color="auto"/>
              <w:right w:val="nil"/>
            </w:tcBorders>
            <w:tcMar>
              <w:top w:w="0" w:type="dxa"/>
              <w:left w:w="57" w:type="dxa"/>
              <w:bottom w:w="0" w:type="dxa"/>
              <w:right w:w="57" w:type="dxa"/>
            </w:tcMar>
          </w:tcPr>
          <w:p w14:paraId="197A005E" w14:textId="77777777" w:rsidR="00D62AD2" w:rsidRPr="005A4F9F" w:rsidRDefault="00D62AD2">
            <w:pPr>
              <w:widowControl w:val="0"/>
              <w:jc w:val="both"/>
              <w:rPr>
                <w:sz w:val="22"/>
                <w:szCs w:val="22"/>
                <w:lang w:val="sr-Latn-ME"/>
              </w:rPr>
            </w:pPr>
            <w:r w:rsidRPr="005A4F9F">
              <w:rPr>
                <w:sz w:val="22"/>
                <w:szCs w:val="22"/>
                <w:lang w:val="sr-Latn-ME"/>
              </w:rPr>
              <w:t>130 (44,8)***</w:t>
            </w:r>
          </w:p>
        </w:tc>
        <w:tc>
          <w:tcPr>
            <w:tcW w:w="787" w:type="pct"/>
            <w:tcBorders>
              <w:top w:val="nil"/>
              <w:left w:val="nil"/>
              <w:bottom w:val="single" w:sz="4" w:space="0" w:color="auto"/>
              <w:right w:val="nil"/>
            </w:tcBorders>
            <w:tcMar>
              <w:top w:w="0" w:type="dxa"/>
              <w:left w:w="57" w:type="dxa"/>
              <w:bottom w:w="0" w:type="dxa"/>
              <w:right w:w="57" w:type="dxa"/>
            </w:tcMar>
          </w:tcPr>
          <w:p w14:paraId="786CC4D3" w14:textId="77777777" w:rsidR="00D62AD2" w:rsidRPr="005A4F9F" w:rsidRDefault="00D62AD2">
            <w:pPr>
              <w:widowControl w:val="0"/>
              <w:jc w:val="both"/>
              <w:rPr>
                <w:sz w:val="22"/>
                <w:szCs w:val="22"/>
                <w:lang w:val="sr-Latn-ME"/>
              </w:rPr>
            </w:pPr>
            <w:r w:rsidRPr="005A4F9F">
              <w:rPr>
                <w:sz w:val="22"/>
                <w:szCs w:val="22"/>
                <w:lang w:val="sr-Latn-ME"/>
              </w:rPr>
              <w:t>113 (38,7)***</w:t>
            </w:r>
          </w:p>
        </w:tc>
        <w:tc>
          <w:tcPr>
            <w:tcW w:w="786" w:type="pct"/>
            <w:tcBorders>
              <w:top w:val="nil"/>
              <w:left w:val="nil"/>
              <w:bottom w:val="single" w:sz="4" w:space="0" w:color="auto"/>
              <w:right w:val="nil"/>
            </w:tcBorders>
          </w:tcPr>
          <w:p w14:paraId="7FC7D912" w14:textId="77777777" w:rsidR="00D62AD2" w:rsidRPr="005A4F9F" w:rsidRDefault="00D62AD2">
            <w:pPr>
              <w:widowControl w:val="0"/>
              <w:jc w:val="both"/>
              <w:rPr>
                <w:sz w:val="22"/>
                <w:szCs w:val="22"/>
                <w:lang w:val="sr-Latn-ME"/>
              </w:rPr>
            </w:pPr>
            <w:r w:rsidRPr="005A4F9F">
              <w:rPr>
                <w:sz w:val="22"/>
                <w:szCs w:val="22"/>
                <w:lang w:val="sr-Latn-ME"/>
              </w:rPr>
              <w:t>92 (31,9)</w:t>
            </w:r>
          </w:p>
        </w:tc>
        <w:tc>
          <w:tcPr>
            <w:tcW w:w="629" w:type="pct"/>
            <w:tcBorders>
              <w:top w:val="nil"/>
              <w:left w:val="nil"/>
              <w:bottom w:val="single" w:sz="4" w:space="0" w:color="auto"/>
              <w:right w:val="single" w:sz="8" w:space="0" w:color="auto"/>
            </w:tcBorders>
            <w:tcMar>
              <w:top w:w="0" w:type="dxa"/>
              <w:left w:w="57" w:type="dxa"/>
              <w:bottom w:w="0" w:type="dxa"/>
              <w:right w:w="57" w:type="dxa"/>
            </w:tcMar>
          </w:tcPr>
          <w:p w14:paraId="30DF82A6" w14:textId="77777777" w:rsidR="00D62AD2" w:rsidRPr="005A4F9F" w:rsidRDefault="00D62AD2">
            <w:pPr>
              <w:widowControl w:val="0"/>
              <w:jc w:val="both"/>
              <w:rPr>
                <w:sz w:val="22"/>
                <w:szCs w:val="22"/>
                <w:lang w:val="sr-Latn-ME"/>
              </w:rPr>
            </w:pPr>
            <w:r w:rsidRPr="005A4F9F">
              <w:rPr>
                <w:sz w:val="22"/>
                <w:szCs w:val="22"/>
                <w:lang w:val="sr-Latn-ME"/>
              </w:rPr>
              <w:t>43 (15,0)</w:t>
            </w:r>
          </w:p>
        </w:tc>
      </w:tr>
      <w:tr w:rsidR="00D62AD2" w:rsidRPr="005A4F9F" w14:paraId="5DC2AE00" w14:textId="77777777" w:rsidTr="008B00DE">
        <w:trPr>
          <w:cantSplit/>
        </w:trPr>
        <w:tc>
          <w:tcPr>
            <w:tcW w:w="1022" w:type="pct"/>
            <w:tcBorders>
              <w:top w:val="single" w:sz="4" w:space="0" w:color="auto"/>
              <w:left w:val="single" w:sz="4" w:space="0" w:color="auto"/>
              <w:bottom w:val="single" w:sz="4" w:space="0" w:color="auto"/>
              <w:right w:val="single" w:sz="8" w:space="0" w:color="auto"/>
            </w:tcBorders>
          </w:tcPr>
          <w:p w14:paraId="6E9E265B" w14:textId="77777777" w:rsidR="00D62AD2" w:rsidRPr="005A4F9F" w:rsidRDefault="00D62AD2">
            <w:pPr>
              <w:widowControl w:val="0"/>
              <w:jc w:val="both"/>
              <w:rPr>
                <w:b/>
                <w:sz w:val="22"/>
                <w:szCs w:val="22"/>
                <w:lang w:val="sr-Latn-ME"/>
              </w:rPr>
            </w:pPr>
          </w:p>
        </w:tc>
        <w:tc>
          <w:tcPr>
            <w:tcW w:w="3978" w:type="pct"/>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tcPr>
          <w:p w14:paraId="44326E6A" w14:textId="77777777" w:rsidR="00D62AD2" w:rsidRPr="005A4F9F" w:rsidRDefault="00D62AD2">
            <w:pPr>
              <w:widowControl w:val="0"/>
              <w:jc w:val="both"/>
              <w:rPr>
                <w:b/>
                <w:sz w:val="22"/>
                <w:szCs w:val="22"/>
                <w:lang w:val="sr-Latn-ME"/>
              </w:rPr>
            </w:pPr>
            <w:r w:rsidRPr="005A4F9F">
              <w:rPr>
                <w:b/>
                <w:sz w:val="22"/>
                <w:szCs w:val="22"/>
                <w:lang w:val="sr-Latn-ME"/>
              </w:rPr>
              <w:t>Ključne sekundarne krajnje tačke</w:t>
            </w:r>
          </w:p>
        </w:tc>
      </w:tr>
      <w:tr w:rsidR="00D62AD2" w:rsidRPr="005A4F9F" w14:paraId="39BAB247" w14:textId="77777777" w:rsidTr="008B00DE">
        <w:trPr>
          <w:cantSplit/>
        </w:trPr>
        <w:tc>
          <w:tcPr>
            <w:tcW w:w="2124" w:type="pct"/>
            <w:gridSpan w:val="3"/>
            <w:tcBorders>
              <w:top w:val="single" w:sz="4" w:space="0" w:color="auto"/>
              <w:left w:val="single" w:sz="4" w:space="0" w:color="auto"/>
              <w:bottom w:val="nil"/>
              <w:right w:val="nil"/>
            </w:tcBorders>
            <w:tcMar>
              <w:top w:w="0" w:type="dxa"/>
              <w:left w:w="57" w:type="dxa"/>
              <w:bottom w:w="0" w:type="dxa"/>
              <w:right w:w="57" w:type="dxa"/>
            </w:tcMar>
          </w:tcPr>
          <w:p w14:paraId="109A1982" w14:textId="77777777" w:rsidR="00D62AD2" w:rsidRPr="005A4F9F" w:rsidRDefault="00D62AD2">
            <w:pPr>
              <w:widowControl w:val="0"/>
              <w:jc w:val="both"/>
              <w:rPr>
                <w:sz w:val="22"/>
                <w:szCs w:val="22"/>
                <w:lang w:val="sr-Latn-ME"/>
              </w:rPr>
            </w:pPr>
            <w:r w:rsidRPr="005A4F9F">
              <w:rPr>
                <w:sz w:val="22"/>
                <w:szCs w:val="22"/>
                <w:lang w:val="sr-Latn-ME"/>
              </w:rPr>
              <w:t>Remisija DAS28</w:t>
            </w:r>
          </w:p>
        </w:tc>
        <w:tc>
          <w:tcPr>
            <w:tcW w:w="673" w:type="pct"/>
            <w:gridSpan w:val="2"/>
            <w:tcBorders>
              <w:top w:val="single" w:sz="4" w:space="0" w:color="auto"/>
              <w:left w:val="nil"/>
              <w:bottom w:val="nil"/>
              <w:right w:val="nil"/>
            </w:tcBorders>
            <w:tcMar>
              <w:top w:w="0" w:type="dxa"/>
              <w:left w:w="57" w:type="dxa"/>
              <w:bottom w:w="0" w:type="dxa"/>
              <w:right w:w="57" w:type="dxa"/>
            </w:tcMar>
          </w:tcPr>
          <w:p w14:paraId="02D14C19" w14:textId="77777777" w:rsidR="00D62AD2" w:rsidRPr="005A4F9F" w:rsidRDefault="00D62AD2">
            <w:pPr>
              <w:widowControl w:val="0"/>
              <w:jc w:val="both"/>
              <w:rPr>
                <w:sz w:val="22"/>
                <w:szCs w:val="22"/>
                <w:lang w:val="sr-Latn-ME"/>
              </w:rPr>
            </w:pPr>
          </w:p>
        </w:tc>
        <w:tc>
          <w:tcPr>
            <w:tcW w:w="787" w:type="pct"/>
            <w:tcBorders>
              <w:top w:val="single" w:sz="4" w:space="0" w:color="auto"/>
              <w:left w:val="nil"/>
              <w:bottom w:val="nil"/>
              <w:right w:val="nil"/>
            </w:tcBorders>
            <w:tcMar>
              <w:top w:w="0" w:type="dxa"/>
              <w:left w:w="57" w:type="dxa"/>
              <w:bottom w:w="0" w:type="dxa"/>
              <w:right w:w="57" w:type="dxa"/>
            </w:tcMar>
          </w:tcPr>
          <w:p w14:paraId="32611394" w14:textId="77777777" w:rsidR="00D62AD2" w:rsidRPr="005A4F9F" w:rsidRDefault="00D62AD2">
            <w:pPr>
              <w:widowControl w:val="0"/>
              <w:jc w:val="both"/>
              <w:rPr>
                <w:sz w:val="22"/>
                <w:szCs w:val="22"/>
                <w:lang w:val="sr-Latn-ME"/>
              </w:rPr>
            </w:pPr>
          </w:p>
        </w:tc>
        <w:tc>
          <w:tcPr>
            <w:tcW w:w="786" w:type="pct"/>
            <w:tcBorders>
              <w:top w:val="single" w:sz="4" w:space="0" w:color="auto"/>
              <w:left w:val="nil"/>
              <w:bottom w:val="nil"/>
              <w:right w:val="nil"/>
            </w:tcBorders>
          </w:tcPr>
          <w:p w14:paraId="5138ECF5" w14:textId="77777777" w:rsidR="00D62AD2" w:rsidRPr="005A4F9F" w:rsidRDefault="00D62AD2">
            <w:pPr>
              <w:widowControl w:val="0"/>
              <w:jc w:val="both"/>
              <w:rPr>
                <w:sz w:val="22"/>
                <w:szCs w:val="22"/>
                <w:lang w:val="sr-Latn-ME"/>
              </w:rPr>
            </w:pPr>
          </w:p>
        </w:tc>
        <w:tc>
          <w:tcPr>
            <w:tcW w:w="629" w:type="pct"/>
            <w:tcBorders>
              <w:top w:val="single" w:sz="4" w:space="0" w:color="auto"/>
              <w:left w:val="nil"/>
              <w:bottom w:val="nil"/>
              <w:right w:val="single" w:sz="8" w:space="0" w:color="auto"/>
            </w:tcBorders>
            <w:tcMar>
              <w:top w:w="0" w:type="dxa"/>
              <w:left w:w="57" w:type="dxa"/>
              <w:bottom w:w="0" w:type="dxa"/>
              <w:right w:w="57" w:type="dxa"/>
            </w:tcMar>
          </w:tcPr>
          <w:p w14:paraId="0FE75BD5" w14:textId="77777777" w:rsidR="00D62AD2" w:rsidRPr="005A4F9F" w:rsidRDefault="00D62AD2">
            <w:pPr>
              <w:widowControl w:val="0"/>
              <w:jc w:val="both"/>
              <w:rPr>
                <w:sz w:val="22"/>
                <w:szCs w:val="22"/>
                <w:lang w:val="sr-Latn-ME"/>
              </w:rPr>
            </w:pPr>
          </w:p>
        </w:tc>
      </w:tr>
      <w:tr w:rsidR="00D62AD2" w:rsidRPr="005A4F9F" w14:paraId="30DF3BBF" w14:textId="77777777" w:rsidTr="008B00DE">
        <w:trPr>
          <w:cantSplit/>
        </w:trPr>
        <w:tc>
          <w:tcPr>
            <w:tcW w:w="2124" w:type="pct"/>
            <w:gridSpan w:val="3"/>
            <w:tcBorders>
              <w:top w:val="nil"/>
              <w:left w:val="single" w:sz="4" w:space="0" w:color="auto"/>
              <w:bottom w:val="single" w:sz="4" w:space="0" w:color="auto"/>
              <w:right w:val="nil"/>
            </w:tcBorders>
            <w:tcMar>
              <w:top w:w="0" w:type="dxa"/>
              <w:left w:w="57" w:type="dxa"/>
              <w:bottom w:w="0" w:type="dxa"/>
              <w:right w:w="57" w:type="dxa"/>
            </w:tcMar>
          </w:tcPr>
          <w:p w14:paraId="4A56149A" w14:textId="77777777" w:rsidR="00D62AD2" w:rsidRPr="005A4F9F" w:rsidRDefault="00D62AD2">
            <w:pPr>
              <w:widowControl w:val="0"/>
              <w:jc w:val="both"/>
              <w:rPr>
                <w:sz w:val="22"/>
                <w:szCs w:val="22"/>
                <w:lang w:val="sr-Latn-ME"/>
              </w:rPr>
            </w:pPr>
            <w:r w:rsidRPr="005A4F9F">
              <w:rPr>
                <w:sz w:val="22"/>
                <w:szCs w:val="22"/>
                <w:lang w:val="sr-Latn-ME"/>
              </w:rPr>
              <w:lastRenderedPageBreak/>
              <w:t>52. nedjelja                         ACR n (%)</w:t>
            </w:r>
          </w:p>
        </w:tc>
        <w:tc>
          <w:tcPr>
            <w:tcW w:w="673" w:type="pct"/>
            <w:gridSpan w:val="2"/>
            <w:tcBorders>
              <w:top w:val="nil"/>
              <w:left w:val="nil"/>
              <w:bottom w:val="single" w:sz="4" w:space="0" w:color="auto"/>
              <w:right w:val="nil"/>
            </w:tcBorders>
            <w:tcMar>
              <w:top w:w="0" w:type="dxa"/>
              <w:left w:w="57" w:type="dxa"/>
              <w:bottom w:w="0" w:type="dxa"/>
              <w:right w:w="57" w:type="dxa"/>
            </w:tcMar>
          </w:tcPr>
          <w:p w14:paraId="6361245F" w14:textId="77777777" w:rsidR="00D62AD2" w:rsidRPr="005A4F9F" w:rsidRDefault="00D62AD2">
            <w:pPr>
              <w:widowControl w:val="0"/>
              <w:jc w:val="both"/>
              <w:rPr>
                <w:sz w:val="22"/>
                <w:szCs w:val="22"/>
                <w:lang w:val="sr-Latn-ME"/>
              </w:rPr>
            </w:pPr>
            <w:r w:rsidRPr="005A4F9F">
              <w:rPr>
                <w:sz w:val="22"/>
                <w:szCs w:val="22"/>
                <w:lang w:val="sr-Latn-ME"/>
              </w:rPr>
              <w:t>142 (49,0)***</w:t>
            </w:r>
          </w:p>
        </w:tc>
        <w:tc>
          <w:tcPr>
            <w:tcW w:w="787" w:type="pct"/>
            <w:tcBorders>
              <w:top w:val="nil"/>
              <w:left w:val="nil"/>
              <w:bottom w:val="single" w:sz="4" w:space="0" w:color="auto"/>
              <w:right w:val="nil"/>
            </w:tcBorders>
            <w:tcMar>
              <w:top w:w="0" w:type="dxa"/>
              <w:left w:w="57" w:type="dxa"/>
              <w:bottom w:w="0" w:type="dxa"/>
              <w:right w:w="57" w:type="dxa"/>
            </w:tcMar>
          </w:tcPr>
          <w:p w14:paraId="20BD34D8" w14:textId="77777777" w:rsidR="00D62AD2" w:rsidRPr="005A4F9F" w:rsidRDefault="00D62AD2">
            <w:pPr>
              <w:widowControl w:val="0"/>
              <w:jc w:val="both"/>
              <w:rPr>
                <w:sz w:val="22"/>
                <w:szCs w:val="22"/>
                <w:lang w:val="sr-Latn-ME"/>
              </w:rPr>
            </w:pPr>
            <w:r w:rsidRPr="005A4F9F">
              <w:rPr>
                <w:sz w:val="22"/>
                <w:szCs w:val="22"/>
                <w:lang w:val="sr-Latn-ME"/>
              </w:rPr>
              <w:t>115 (39,4)</w:t>
            </w:r>
          </w:p>
        </w:tc>
        <w:tc>
          <w:tcPr>
            <w:tcW w:w="786" w:type="pct"/>
            <w:tcBorders>
              <w:top w:val="nil"/>
              <w:left w:val="nil"/>
              <w:bottom w:val="single" w:sz="4" w:space="0" w:color="auto"/>
              <w:right w:val="nil"/>
            </w:tcBorders>
          </w:tcPr>
          <w:p w14:paraId="15A0FE44" w14:textId="77777777" w:rsidR="00D62AD2" w:rsidRPr="005A4F9F" w:rsidRDefault="00D62AD2">
            <w:pPr>
              <w:widowControl w:val="0"/>
              <w:jc w:val="both"/>
              <w:rPr>
                <w:sz w:val="22"/>
                <w:szCs w:val="22"/>
                <w:lang w:val="sr-Latn-ME"/>
              </w:rPr>
            </w:pPr>
            <w:r w:rsidRPr="005A4F9F">
              <w:rPr>
                <w:sz w:val="22"/>
                <w:szCs w:val="22"/>
                <w:lang w:val="sr-Latn-ME"/>
              </w:rPr>
              <w:t>98 (34,0)</w:t>
            </w:r>
          </w:p>
        </w:tc>
        <w:tc>
          <w:tcPr>
            <w:tcW w:w="629" w:type="pct"/>
            <w:tcBorders>
              <w:top w:val="nil"/>
              <w:left w:val="nil"/>
              <w:bottom w:val="single" w:sz="4" w:space="0" w:color="auto"/>
              <w:right w:val="single" w:sz="8" w:space="0" w:color="auto"/>
            </w:tcBorders>
            <w:tcMar>
              <w:top w:w="0" w:type="dxa"/>
              <w:left w:w="57" w:type="dxa"/>
              <w:bottom w:w="0" w:type="dxa"/>
              <w:right w:w="57" w:type="dxa"/>
            </w:tcMar>
          </w:tcPr>
          <w:p w14:paraId="5C47283B" w14:textId="77777777" w:rsidR="00D62AD2" w:rsidRPr="005A4F9F" w:rsidRDefault="00D62AD2">
            <w:pPr>
              <w:widowControl w:val="0"/>
              <w:jc w:val="both"/>
              <w:rPr>
                <w:sz w:val="22"/>
                <w:szCs w:val="22"/>
                <w:lang w:val="sr-Latn-ME"/>
              </w:rPr>
            </w:pPr>
            <w:r w:rsidRPr="005A4F9F">
              <w:rPr>
                <w:sz w:val="22"/>
                <w:szCs w:val="22"/>
                <w:lang w:val="sr-Latn-ME"/>
              </w:rPr>
              <w:t>56 (19,5)</w:t>
            </w:r>
          </w:p>
        </w:tc>
      </w:tr>
      <w:tr w:rsidR="00D62AD2" w:rsidRPr="005A4F9F" w14:paraId="3DCBE596" w14:textId="77777777" w:rsidTr="008B00DE">
        <w:trPr>
          <w:cantSplit/>
        </w:trPr>
        <w:tc>
          <w:tcPr>
            <w:tcW w:w="2124" w:type="pct"/>
            <w:gridSpan w:val="3"/>
            <w:tcBorders>
              <w:top w:val="single" w:sz="4" w:space="0" w:color="auto"/>
              <w:left w:val="single" w:sz="4" w:space="0" w:color="auto"/>
              <w:bottom w:val="nil"/>
              <w:right w:val="nil"/>
            </w:tcBorders>
            <w:tcMar>
              <w:top w:w="0" w:type="dxa"/>
              <w:left w:w="57" w:type="dxa"/>
              <w:bottom w:w="0" w:type="dxa"/>
              <w:right w:w="57" w:type="dxa"/>
            </w:tcMar>
          </w:tcPr>
          <w:p w14:paraId="7F03DFD5" w14:textId="77777777" w:rsidR="00D62AD2" w:rsidRPr="005A4F9F" w:rsidRDefault="00D62AD2">
            <w:pPr>
              <w:widowControl w:val="0"/>
              <w:jc w:val="both"/>
              <w:rPr>
                <w:sz w:val="22"/>
                <w:szCs w:val="22"/>
                <w:lang w:val="sr-Latn-ME"/>
              </w:rPr>
            </w:pPr>
            <w:r w:rsidRPr="005A4F9F">
              <w:rPr>
                <w:sz w:val="22"/>
                <w:szCs w:val="22"/>
                <w:lang w:val="sr-Latn-ME"/>
              </w:rPr>
              <w:t>ACR</w:t>
            </w:r>
          </w:p>
        </w:tc>
        <w:tc>
          <w:tcPr>
            <w:tcW w:w="673" w:type="pct"/>
            <w:gridSpan w:val="2"/>
            <w:tcBorders>
              <w:top w:val="single" w:sz="4" w:space="0" w:color="auto"/>
              <w:left w:val="nil"/>
              <w:bottom w:val="nil"/>
              <w:right w:val="nil"/>
            </w:tcBorders>
            <w:tcMar>
              <w:top w:w="0" w:type="dxa"/>
              <w:left w:w="57" w:type="dxa"/>
              <w:bottom w:w="0" w:type="dxa"/>
              <w:right w:w="57" w:type="dxa"/>
            </w:tcMar>
          </w:tcPr>
          <w:p w14:paraId="52AED93A" w14:textId="77777777" w:rsidR="00D62AD2" w:rsidRPr="005A4F9F" w:rsidRDefault="00D62AD2">
            <w:pPr>
              <w:widowControl w:val="0"/>
              <w:jc w:val="both"/>
              <w:rPr>
                <w:sz w:val="22"/>
                <w:szCs w:val="22"/>
                <w:lang w:val="sr-Latn-ME"/>
              </w:rPr>
            </w:pPr>
          </w:p>
        </w:tc>
        <w:tc>
          <w:tcPr>
            <w:tcW w:w="787" w:type="pct"/>
            <w:tcBorders>
              <w:top w:val="single" w:sz="4" w:space="0" w:color="auto"/>
              <w:left w:val="nil"/>
              <w:bottom w:val="nil"/>
              <w:right w:val="nil"/>
            </w:tcBorders>
            <w:tcMar>
              <w:top w:w="0" w:type="dxa"/>
              <w:left w:w="57" w:type="dxa"/>
              <w:bottom w:w="0" w:type="dxa"/>
              <w:right w:w="57" w:type="dxa"/>
            </w:tcMar>
          </w:tcPr>
          <w:p w14:paraId="18D060D0" w14:textId="77777777" w:rsidR="00D62AD2" w:rsidRPr="005A4F9F" w:rsidRDefault="00D62AD2">
            <w:pPr>
              <w:widowControl w:val="0"/>
              <w:jc w:val="both"/>
              <w:rPr>
                <w:sz w:val="22"/>
                <w:szCs w:val="22"/>
                <w:lang w:val="sr-Latn-ME"/>
              </w:rPr>
            </w:pPr>
          </w:p>
        </w:tc>
        <w:tc>
          <w:tcPr>
            <w:tcW w:w="786" w:type="pct"/>
            <w:tcBorders>
              <w:top w:val="single" w:sz="4" w:space="0" w:color="auto"/>
              <w:left w:val="nil"/>
              <w:bottom w:val="nil"/>
              <w:right w:val="nil"/>
            </w:tcBorders>
          </w:tcPr>
          <w:p w14:paraId="0D1EBDC5" w14:textId="77777777" w:rsidR="00D62AD2" w:rsidRPr="005A4F9F" w:rsidRDefault="00D62AD2">
            <w:pPr>
              <w:widowControl w:val="0"/>
              <w:jc w:val="both"/>
              <w:rPr>
                <w:sz w:val="22"/>
                <w:szCs w:val="22"/>
                <w:lang w:val="sr-Latn-ME"/>
              </w:rPr>
            </w:pPr>
          </w:p>
        </w:tc>
        <w:tc>
          <w:tcPr>
            <w:tcW w:w="629" w:type="pct"/>
            <w:tcBorders>
              <w:top w:val="single" w:sz="4" w:space="0" w:color="auto"/>
              <w:left w:val="nil"/>
              <w:bottom w:val="nil"/>
              <w:right w:val="single" w:sz="4" w:space="0" w:color="auto"/>
            </w:tcBorders>
            <w:tcMar>
              <w:top w:w="0" w:type="dxa"/>
              <w:left w:w="57" w:type="dxa"/>
              <w:bottom w:w="0" w:type="dxa"/>
              <w:right w:w="57" w:type="dxa"/>
            </w:tcMar>
          </w:tcPr>
          <w:p w14:paraId="6F62D680" w14:textId="77777777" w:rsidR="00D62AD2" w:rsidRPr="005A4F9F" w:rsidRDefault="00D62AD2">
            <w:pPr>
              <w:widowControl w:val="0"/>
              <w:jc w:val="both"/>
              <w:rPr>
                <w:sz w:val="22"/>
                <w:szCs w:val="22"/>
                <w:lang w:val="sr-Latn-ME"/>
              </w:rPr>
            </w:pPr>
          </w:p>
        </w:tc>
      </w:tr>
      <w:tr w:rsidR="00D62AD2" w:rsidRPr="005A4F9F" w14:paraId="21E0173A"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52337359" w14:textId="77777777" w:rsidR="00D62AD2" w:rsidRPr="005A4F9F" w:rsidRDefault="00D62AD2">
            <w:pPr>
              <w:widowControl w:val="0"/>
              <w:jc w:val="both"/>
              <w:rPr>
                <w:sz w:val="22"/>
                <w:szCs w:val="22"/>
                <w:lang w:val="sr-Latn-ME"/>
              </w:rPr>
            </w:pPr>
            <w:r w:rsidRPr="005A4F9F">
              <w:rPr>
                <w:sz w:val="22"/>
                <w:szCs w:val="22"/>
                <w:lang w:val="sr-Latn-ME"/>
              </w:rPr>
              <w:t>24. nedjelja           ACR20, n (%)</w:t>
            </w:r>
          </w:p>
        </w:tc>
        <w:tc>
          <w:tcPr>
            <w:tcW w:w="673" w:type="pct"/>
            <w:gridSpan w:val="2"/>
            <w:tcMar>
              <w:top w:w="0" w:type="dxa"/>
              <w:left w:w="57" w:type="dxa"/>
              <w:bottom w:w="0" w:type="dxa"/>
              <w:right w:w="57" w:type="dxa"/>
            </w:tcMar>
          </w:tcPr>
          <w:p w14:paraId="1ADCFE97" w14:textId="77777777" w:rsidR="00D62AD2" w:rsidRPr="005A4F9F" w:rsidRDefault="00D62AD2">
            <w:pPr>
              <w:widowControl w:val="0"/>
              <w:jc w:val="both"/>
              <w:rPr>
                <w:sz w:val="22"/>
                <w:szCs w:val="22"/>
                <w:lang w:val="sr-Latn-ME"/>
              </w:rPr>
            </w:pPr>
            <w:r w:rsidRPr="005A4F9F">
              <w:rPr>
                <w:sz w:val="22"/>
                <w:szCs w:val="22"/>
                <w:lang w:val="sr-Latn-ME"/>
              </w:rPr>
              <w:t>216 (74,5)*</w:t>
            </w:r>
          </w:p>
        </w:tc>
        <w:tc>
          <w:tcPr>
            <w:tcW w:w="787" w:type="pct"/>
            <w:tcMar>
              <w:top w:w="0" w:type="dxa"/>
              <w:left w:w="57" w:type="dxa"/>
              <w:bottom w:w="0" w:type="dxa"/>
              <w:right w:w="57" w:type="dxa"/>
            </w:tcMar>
          </w:tcPr>
          <w:p w14:paraId="2B1FB7DB" w14:textId="77777777" w:rsidR="00D62AD2" w:rsidRPr="005A4F9F" w:rsidRDefault="00D62AD2">
            <w:pPr>
              <w:widowControl w:val="0"/>
              <w:jc w:val="both"/>
              <w:rPr>
                <w:sz w:val="22"/>
                <w:szCs w:val="22"/>
                <w:lang w:val="sr-Latn-ME"/>
              </w:rPr>
            </w:pPr>
            <w:r w:rsidRPr="005A4F9F">
              <w:rPr>
                <w:sz w:val="22"/>
                <w:szCs w:val="22"/>
                <w:lang w:val="sr-Latn-ME"/>
              </w:rPr>
              <w:t>205 (70,2)</w:t>
            </w:r>
          </w:p>
        </w:tc>
        <w:tc>
          <w:tcPr>
            <w:tcW w:w="786" w:type="pct"/>
            <w:tcBorders>
              <w:right w:val="nil"/>
            </w:tcBorders>
          </w:tcPr>
          <w:p w14:paraId="7ADD0D98" w14:textId="77777777" w:rsidR="00D62AD2" w:rsidRPr="005A4F9F" w:rsidRDefault="00D62AD2">
            <w:pPr>
              <w:widowControl w:val="0"/>
              <w:jc w:val="both"/>
              <w:rPr>
                <w:sz w:val="22"/>
                <w:szCs w:val="22"/>
                <w:lang w:val="sr-Latn-ME"/>
              </w:rPr>
            </w:pPr>
            <w:r w:rsidRPr="005A4F9F">
              <w:rPr>
                <w:sz w:val="22"/>
                <w:szCs w:val="22"/>
                <w:lang w:val="sr-Latn-ME"/>
              </w:rPr>
              <w:t>212 (73,6)</w:t>
            </w:r>
          </w:p>
        </w:tc>
        <w:tc>
          <w:tcPr>
            <w:tcW w:w="629" w:type="pct"/>
            <w:tcBorders>
              <w:top w:val="nil"/>
              <w:left w:val="nil"/>
              <w:bottom w:val="nil"/>
              <w:right w:val="single" w:sz="8" w:space="0" w:color="auto"/>
            </w:tcBorders>
            <w:tcMar>
              <w:top w:w="0" w:type="dxa"/>
              <w:left w:w="57" w:type="dxa"/>
              <w:bottom w:w="0" w:type="dxa"/>
              <w:right w:w="57" w:type="dxa"/>
            </w:tcMar>
          </w:tcPr>
          <w:p w14:paraId="0D5F7389" w14:textId="77777777" w:rsidR="00D62AD2" w:rsidRPr="005A4F9F" w:rsidRDefault="00D62AD2">
            <w:pPr>
              <w:widowControl w:val="0"/>
              <w:jc w:val="both"/>
              <w:rPr>
                <w:sz w:val="22"/>
                <w:szCs w:val="22"/>
                <w:lang w:val="sr-Latn-ME"/>
              </w:rPr>
            </w:pPr>
            <w:r w:rsidRPr="005A4F9F">
              <w:rPr>
                <w:sz w:val="22"/>
                <w:szCs w:val="22"/>
                <w:lang w:val="sr-Latn-ME"/>
              </w:rPr>
              <w:t>187 (65,2)</w:t>
            </w:r>
          </w:p>
        </w:tc>
      </w:tr>
      <w:tr w:rsidR="00D62AD2" w:rsidRPr="005A4F9F" w14:paraId="79F39BCB"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2CE7D859" w14:textId="77777777" w:rsidR="00D62AD2" w:rsidRPr="005A4F9F" w:rsidRDefault="00D62AD2">
            <w:pPr>
              <w:widowControl w:val="0"/>
              <w:jc w:val="both"/>
              <w:rPr>
                <w:sz w:val="22"/>
                <w:szCs w:val="22"/>
                <w:lang w:val="sr-Latn-ME"/>
              </w:rPr>
            </w:pPr>
            <w:r w:rsidRPr="005A4F9F">
              <w:rPr>
                <w:sz w:val="22"/>
                <w:szCs w:val="22"/>
                <w:lang w:val="sr-Latn-ME"/>
              </w:rPr>
              <w:t>ACR50, n (%)</w:t>
            </w:r>
          </w:p>
        </w:tc>
        <w:tc>
          <w:tcPr>
            <w:tcW w:w="673" w:type="pct"/>
            <w:gridSpan w:val="2"/>
            <w:tcMar>
              <w:top w:w="0" w:type="dxa"/>
              <w:left w:w="57" w:type="dxa"/>
              <w:bottom w:w="0" w:type="dxa"/>
              <w:right w:w="57" w:type="dxa"/>
            </w:tcMar>
          </w:tcPr>
          <w:p w14:paraId="5563A4B9" w14:textId="77777777" w:rsidR="00D62AD2" w:rsidRPr="005A4F9F" w:rsidRDefault="00D62AD2">
            <w:pPr>
              <w:widowControl w:val="0"/>
              <w:jc w:val="both"/>
              <w:rPr>
                <w:sz w:val="22"/>
                <w:szCs w:val="22"/>
                <w:lang w:val="sr-Latn-ME"/>
              </w:rPr>
            </w:pPr>
            <w:r w:rsidRPr="005A4F9F">
              <w:rPr>
                <w:sz w:val="22"/>
                <w:szCs w:val="22"/>
                <w:lang w:val="sr-Latn-ME"/>
              </w:rPr>
              <w:t>165 (56,9)**</w:t>
            </w:r>
          </w:p>
        </w:tc>
        <w:tc>
          <w:tcPr>
            <w:tcW w:w="787" w:type="pct"/>
            <w:tcMar>
              <w:top w:w="0" w:type="dxa"/>
              <w:left w:w="57" w:type="dxa"/>
              <w:bottom w:w="0" w:type="dxa"/>
              <w:right w:w="57" w:type="dxa"/>
            </w:tcMar>
          </w:tcPr>
          <w:p w14:paraId="6AB3379A" w14:textId="77777777" w:rsidR="00D62AD2" w:rsidRPr="005A4F9F" w:rsidRDefault="00D62AD2">
            <w:pPr>
              <w:widowControl w:val="0"/>
              <w:jc w:val="both"/>
              <w:rPr>
                <w:sz w:val="22"/>
                <w:szCs w:val="22"/>
                <w:lang w:val="sr-Latn-ME"/>
              </w:rPr>
            </w:pPr>
            <w:r w:rsidRPr="005A4F9F">
              <w:rPr>
                <w:sz w:val="22"/>
                <w:szCs w:val="22"/>
                <w:lang w:val="sr-Latn-ME"/>
              </w:rPr>
              <w:t>139 (47,6)</w:t>
            </w:r>
          </w:p>
        </w:tc>
        <w:tc>
          <w:tcPr>
            <w:tcW w:w="786" w:type="pct"/>
            <w:tcBorders>
              <w:right w:val="nil"/>
            </w:tcBorders>
          </w:tcPr>
          <w:p w14:paraId="78690C72" w14:textId="77777777" w:rsidR="00D62AD2" w:rsidRPr="005A4F9F" w:rsidRDefault="00D62AD2">
            <w:pPr>
              <w:widowControl w:val="0"/>
              <w:jc w:val="both"/>
              <w:rPr>
                <w:sz w:val="22"/>
                <w:szCs w:val="22"/>
                <w:lang w:val="sr-Latn-ME"/>
              </w:rPr>
            </w:pPr>
            <w:r w:rsidRPr="005A4F9F">
              <w:rPr>
                <w:sz w:val="22"/>
                <w:szCs w:val="22"/>
                <w:lang w:val="sr-Latn-ME"/>
              </w:rPr>
              <w:t>138 (47,9)</w:t>
            </w:r>
          </w:p>
        </w:tc>
        <w:tc>
          <w:tcPr>
            <w:tcW w:w="629" w:type="pct"/>
            <w:tcBorders>
              <w:top w:val="nil"/>
              <w:left w:val="nil"/>
              <w:bottom w:val="nil"/>
              <w:right w:val="single" w:sz="8" w:space="0" w:color="auto"/>
            </w:tcBorders>
            <w:tcMar>
              <w:top w:w="0" w:type="dxa"/>
              <w:left w:w="57" w:type="dxa"/>
              <w:bottom w:w="0" w:type="dxa"/>
              <w:right w:w="57" w:type="dxa"/>
            </w:tcMar>
          </w:tcPr>
          <w:p w14:paraId="710F7B21" w14:textId="77777777" w:rsidR="00D62AD2" w:rsidRPr="005A4F9F" w:rsidRDefault="00D62AD2">
            <w:pPr>
              <w:widowControl w:val="0"/>
              <w:jc w:val="both"/>
              <w:rPr>
                <w:sz w:val="22"/>
                <w:szCs w:val="22"/>
                <w:lang w:val="sr-Latn-ME"/>
              </w:rPr>
            </w:pPr>
            <w:r w:rsidRPr="005A4F9F">
              <w:rPr>
                <w:sz w:val="22"/>
                <w:szCs w:val="22"/>
                <w:lang w:val="sr-Latn-ME"/>
              </w:rPr>
              <w:t>124 (43,2)</w:t>
            </w:r>
          </w:p>
        </w:tc>
      </w:tr>
      <w:tr w:rsidR="00D62AD2" w:rsidRPr="005A4F9F" w14:paraId="033BA530"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11ACAFDD" w14:textId="77777777" w:rsidR="00D62AD2" w:rsidRPr="005A4F9F" w:rsidRDefault="00D62AD2">
            <w:pPr>
              <w:widowControl w:val="0"/>
              <w:jc w:val="both"/>
              <w:rPr>
                <w:sz w:val="22"/>
                <w:szCs w:val="22"/>
                <w:lang w:val="sr-Latn-ME"/>
              </w:rPr>
            </w:pPr>
            <w:r w:rsidRPr="005A4F9F">
              <w:rPr>
                <w:sz w:val="22"/>
                <w:szCs w:val="22"/>
                <w:lang w:val="sr-Latn-ME"/>
              </w:rPr>
              <w:t>ACR70, n (%)</w:t>
            </w:r>
          </w:p>
        </w:tc>
        <w:tc>
          <w:tcPr>
            <w:tcW w:w="673" w:type="pct"/>
            <w:gridSpan w:val="2"/>
            <w:tcMar>
              <w:top w:w="0" w:type="dxa"/>
              <w:left w:w="57" w:type="dxa"/>
              <w:bottom w:w="0" w:type="dxa"/>
              <w:right w:w="57" w:type="dxa"/>
            </w:tcMar>
          </w:tcPr>
          <w:p w14:paraId="28E3612B" w14:textId="77777777" w:rsidR="00D62AD2" w:rsidRPr="005A4F9F" w:rsidRDefault="00D62AD2">
            <w:pPr>
              <w:widowControl w:val="0"/>
              <w:jc w:val="both"/>
              <w:rPr>
                <w:sz w:val="22"/>
                <w:szCs w:val="22"/>
                <w:lang w:val="sr-Latn-ME"/>
              </w:rPr>
            </w:pPr>
            <w:r w:rsidRPr="005A4F9F">
              <w:rPr>
                <w:sz w:val="22"/>
                <w:szCs w:val="22"/>
                <w:lang w:val="sr-Latn-ME"/>
              </w:rPr>
              <w:t>112 (38,6)**</w:t>
            </w:r>
          </w:p>
        </w:tc>
        <w:tc>
          <w:tcPr>
            <w:tcW w:w="787" w:type="pct"/>
            <w:tcMar>
              <w:top w:w="0" w:type="dxa"/>
              <w:left w:w="57" w:type="dxa"/>
              <w:bottom w:w="0" w:type="dxa"/>
              <w:right w:w="57" w:type="dxa"/>
            </w:tcMar>
          </w:tcPr>
          <w:p w14:paraId="361364B8" w14:textId="77777777" w:rsidR="00D62AD2" w:rsidRPr="005A4F9F" w:rsidRDefault="00D62AD2">
            <w:pPr>
              <w:widowControl w:val="0"/>
              <w:jc w:val="both"/>
              <w:rPr>
                <w:sz w:val="22"/>
                <w:szCs w:val="22"/>
                <w:lang w:val="sr-Latn-ME"/>
              </w:rPr>
            </w:pPr>
            <w:r w:rsidRPr="005A4F9F">
              <w:rPr>
                <w:sz w:val="22"/>
                <w:szCs w:val="22"/>
                <w:lang w:val="sr-Latn-ME"/>
              </w:rPr>
              <w:t>88 (30,1)</w:t>
            </w:r>
          </w:p>
        </w:tc>
        <w:tc>
          <w:tcPr>
            <w:tcW w:w="786" w:type="pct"/>
            <w:tcBorders>
              <w:right w:val="nil"/>
            </w:tcBorders>
          </w:tcPr>
          <w:p w14:paraId="210BC63B" w14:textId="77777777" w:rsidR="00D62AD2" w:rsidRPr="005A4F9F" w:rsidRDefault="00D62AD2">
            <w:pPr>
              <w:widowControl w:val="0"/>
              <w:jc w:val="both"/>
              <w:rPr>
                <w:sz w:val="22"/>
                <w:szCs w:val="22"/>
                <w:lang w:val="sr-Latn-ME"/>
              </w:rPr>
            </w:pPr>
            <w:r w:rsidRPr="005A4F9F">
              <w:rPr>
                <w:sz w:val="22"/>
                <w:szCs w:val="22"/>
                <w:lang w:val="sr-Latn-ME"/>
              </w:rPr>
              <w:t>100 (34,7)</w:t>
            </w:r>
          </w:p>
        </w:tc>
        <w:tc>
          <w:tcPr>
            <w:tcW w:w="629" w:type="pct"/>
            <w:tcBorders>
              <w:top w:val="nil"/>
              <w:left w:val="nil"/>
              <w:bottom w:val="nil"/>
              <w:right w:val="single" w:sz="8" w:space="0" w:color="auto"/>
            </w:tcBorders>
            <w:tcMar>
              <w:top w:w="0" w:type="dxa"/>
              <w:left w:w="57" w:type="dxa"/>
              <w:bottom w:w="0" w:type="dxa"/>
              <w:right w:w="57" w:type="dxa"/>
            </w:tcMar>
          </w:tcPr>
          <w:p w14:paraId="5BC081AD" w14:textId="77777777" w:rsidR="00D62AD2" w:rsidRPr="005A4F9F" w:rsidRDefault="00D62AD2">
            <w:pPr>
              <w:widowControl w:val="0"/>
              <w:jc w:val="both"/>
              <w:rPr>
                <w:sz w:val="22"/>
                <w:szCs w:val="22"/>
                <w:lang w:val="sr-Latn-ME"/>
              </w:rPr>
            </w:pPr>
            <w:r w:rsidRPr="005A4F9F">
              <w:rPr>
                <w:sz w:val="22"/>
                <w:szCs w:val="22"/>
                <w:lang w:val="sr-Latn-ME"/>
              </w:rPr>
              <w:t>73 (25,4)</w:t>
            </w:r>
          </w:p>
        </w:tc>
      </w:tr>
      <w:tr w:rsidR="00D62AD2" w:rsidRPr="005A4F9F" w14:paraId="4E3835C5"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223CE606" w14:textId="77777777" w:rsidR="00D62AD2" w:rsidRPr="005A4F9F" w:rsidRDefault="00D62AD2">
            <w:pPr>
              <w:widowControl w:val="0"/>
              <w:jc w:val="both"/>
              <w:rPr>
                <w:sz w:val="22"/>
                <w:szCs w:val="22"/>
                <w:lang w:val="sr-Latn-ME"/>
              </w:rPr>
            </w:pPr>
            <w:r w:rsidRPr="005A4F9F">
              <w:rPr>
                <w:sz w:val="22"/>
                <w:szCs w:val="22"/>
                <w:lang w:val="sr-Latn-ME"/>
              </w:rPr>
              <w:t>52. nedjelja           ACR20, n (%)</w:t>
            </w:r>
          </w:p>
        </w:tc>
        <w:tc>
          <w:tcPr>
            <w:tcW w:w="673" w:type="pct"/>
            <w:gridSpan w:val="2"/>
            <w:tcMar>
              <w:top w:w="0" w:type="dxa"/>
              <w:left w:w="57" w:type="dxa"/>
              <w:bottom w:w="0" w:type="dxa"/>
              <w:right w:w="57" w:type="dxa"/>
            </w:tcMar>
          </w:tcPr>
          <w:p w14:paraId="155147E1" w14:textId="77777777" w:rsidR="00D62AD2" w:rsidRPr="005A4F9F" w:rsidRDefault="00D62AD2">
            <w:pPr>
              <w:widowControl w:val="0"/>
              <w:jc w:val="both"/>
              <w:rPr>
                <w:sz w:val="22"/>
                <w:szCs w:val="22"/>
                <w:lang w:val="sr-Latn-ME"/>
              </w:rPr>
            </w:pPr>
            <w:r w:rsidRPr="005A4F9F">
              <w:rPr>
                <w:sz w:val="22"/>
                <w:szCs w:val="22"/>
                <w:lang w:val="sr-Latn-ME"/>
              </w:rPr>
              <w:t>195 (67,2)*</w:t>
            </w:r>
          </w:p>
        </w:tc>
        <w:tc>
          <w:tcPr>
            <w:tcW w:w="787" w:type="pct"/>
            <w:tcMar>
              <w:top w:w="0" w:type="dxa"/>
              <w:left w:w="57" w:type="dxa"/>
              <w:bottom w:w="0" w:type="dxa"/>
              <w:right w:w="57" w:type="dxa"/>
            </w:tcMar>
          </w:tcPr>
          <w:p w14:paraId="6A3F4918" w14:textId="77777777" w:rsidR="00D62AD2" w:rsidRPr="005A4F9F" w:rsidRDefault="00D62AD2">
            <w:pPr>
              <w:widowControl w:val="0"/>
              <w:jc w:val="both"/>
              <w:rPr>
                <w:sz w:val="22"/>
                <w:szCs w:val="22"/>
                <w:lang w:val="sr-Latn-ME"/>
              </w:rPr>
            </w:pPr>
            <w:r w:rsidRPr="005A4F9F">
              <w:rPr>
                <w:sz w:val="22"/>
                <w:szCs w:val="22"/>
                <w:lang w:val="sr-Latn-ME"/>
              </w:rPr>
              <w:t>184 (63,0)</w:t>
            </w:r>
          </w:p>
        </w:tc>
        <w:tc>
          <w:tcPr>
            <w:tcW w:w="786" w:type="pct"/>
            <w:tcBorders>
              <w:right w:val="nil"/>
            </w:tcBorders>
          </w:tcPr>
          <w:p w14:paraId="18E40D11" w14:textId="77777777" w:rsidR="00D62AD2" w:rsidRPr="005A4F9F" w:rsidRDefault="00D62AD2">
            <w:pPr>
              <w:widowControl w:val="0"/>
              <w:jc w:val="both"/>
              <w:rPr>
                <w:sz w:val="22"/>
                <w:szCs w:val="22"/>
                <w:lang w:val="sr-Latn-ME"/>
              </w:rPr>
            </w:pPr>
            <w:r w:rsidRPr="005A4F9F">
              <w:rPr>
                <w:sz w:val="22"/>
                <w:szCs w:val="22"/>
                <w:lang w:val="sr-Latn-ME"/>
              </w:rPr>
              <w:t>181 (62,8)</w:t>
            </w:r>
          </w:p>
        </w:tc>
        <w:tc>
          <w:tcPr>
            <w:tcW w:w="629" w:type="pct"/>
            <w:tcBorders>
              <w:top w:val="nil"/>
              <w:left w:val="nil"/>
              <w:bottom w:val="nil"/>
              <w:right w:val="single" w:sz="8" w:space="0" w:color="auto"/>
            </w:tcBorders>
            <w:tcMar>
              <w:top w:w="0" w:type="dxa"/>
              <w:left w:w="57" w:type="dxa"/>
              <w:bottom w:w="0" w:type="dxa"/>
              <w:right w:w="57" w:type="dxa"/>
            </w:tcMar>
          </w:tcPr>
          <w:p w14:paraId="7FD5F580" w14:textId="77777777" w:rsidR="00D62AD2" w:rsidRPr="005A4F9F" w:rsidRDefault="00D62AD2">
            <w:pPr>
              <w:widowControl w:val="0"/>
              <w:jc w:val="both"/>
              <w:rPr>
                <w:sz w:val="22"/>
                <w:szCs w:val="22"/>
                <w:lang w:val="sr-Latn-ME"/>
              </w:rPr>
            </w:pPr>
            <w:r w:rsidRPr="005A4F9F">
              <w:rPr>
                <w:sz w:val="22"/>
                <w:szCs w:val="22"/>
                <w:lang w:val="sr-Latn-ME"/>
              </w:rPr>
              <w:t>164 (57,1)</w:t>
            </w:r>
          </w:p>
        </w:tc>
      </w:tr>
      <w:tr w:rsidR="00D62AD2" w:rsidRPr="005A4F9F" w14:paraId="2026BD56"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5D73B396" w14:textId="77777777" w:rsidR="00D62AD2" w:rsidRPr="005A4F9F" w:rsidRDefault="00D62AD2">
            <w:pPr>
              <w:widowControl w:val="0"/>
              <w:jc w:val="both"/>
              <w:rPr>
                <w:sz w:val="22"/>
                <w:szCs w:val="22"/>
                <w:lang w:val="sr-Latn-ME"/>
              </w:rPr>
            </w:pPr>
            <w:r w:rsidRPr="005A4F9F">
              <w:rPr>
                <w:sz w:val="22"/>
                <w:szCs w:val="22"/>
                <w:lang w:val="sr-Latn-ME"/>
              </w:rPr>
              <w:t>ACR50, n (%)</w:t>
            </w:r>
          </w:p>
        </w:tc>
        <w:tc>
          <w:tcPr>
            <w:tcW w:w="673" w:type="pct"/>
            <w:gridSpan w:val="2"/>
            <w:tcMar>
              <w:top w:w="0" w:type="dxa"/>
              <w:left w:w="57" w:type="dxa"/>
              <w:bottom w:w="0" w:type="dxa"/>
              <w:right w:w="57" w:type="dxa"/>
            </w:tcMar>
          </w:tcPr>
          <w:p w14:paraId="3ABD6659" w14:textId="77777777" w:rsidR="00D62AD2" w:rsidRPr="005A4F9F" w:rsidRDefault="00D62AD2">
            <w:pPr>
              <w:widowControl w:val="0"/>
              <w:jc w:val="both"/>
              <w:rPr>
                <w:sz w:val="22"/>
                <w:szCs w:val="22"/>
                <w:lang w:val="sr-Latn-ME"/>
              </w:rPr>
            </w:pPr>
            <w:r w:rsidRPr="005A4F9F">
              <w:rPr>
                <w:sz w:val="22"/>
                <w:szCs w:val="22"/>
                <w:lang w:val="sr-Latn-ME"/>
              </w:rPr>
              <w:t>162 (55,9)**</w:t>
            </w:r>
          </w:p>
        </w:tc>
        <w:tc>
          <w:tcPr>
            <w:tcW w:w="787" w:type="pct"/>
            <w:tcMar>
              <w:top w:w="0" w:type="dxa"/>
              <w:left w:w="57" w:type="dxa"/>
              <w:bottom w:w="0" w:type="dxa"/>
              <w:right w:w="57" w:type="dxa"/>
            </w:tcMar>
          </w:tcPr>
          <w:p w14:paraId="0F0C2A8B" w14:textId="77777777" w:rsidR="00D62AD2" w:rsidRPr="005A4F9F" w:rsidRDefault="00D62AD2">
            <w:pPr>
              <w:widowControl w:val="0"/>
              <w:jc w:val="both"/>
              <w:rPr>
                <w:sz w:val="22"/>
                <w:szCs w:val="22"/>
                <w:lang w:val="sr-Latn-ME"/>
              </w:rPr>
            </w:pPr>
            <w:r w:rsidRPr="005A4F9F">
              <w:rPr>
                <w:sz w:val="22"/>
                <w:szCs w:val="22"/>
                <w:lang w:val="sr-Latn-ME"/>
              </w:rPr>
              <w:t>144 (49,3)</w:t>
            </w:r>
          </w:p>
        </w:tc>
        <w:tc>
          <w:tcPr>
            <w:tcW w:w="786" w:type="pct"/>
            <w:tcBorders>
              <w:right w:val="nil"/>
            </w:tcBorders>
          </w:tcPr>
          <w:p w14:paraId="60C8D18A" w14:textId="77777777" w:rsidR="00D62AD2" w:rsidRPr="005A4F9F" w:rsidRDefault="00D62AD2">
            <w:pPr>
              <w:widowControl w:val="0"/>
              <w:jc w:val="both"/>
              <w:rPr>
                <w:sz w:val="22"/>
                <w:szCs w:val="22"/>
                <w:lang w:val="sr-Latn-ME"/>
              </w:rPr>
            </w:pPr>
            <w:r w:rsidRPr="005A4F9F">
              <w:rPr>
                <w:sz w:val="22"/>
                <w:szCs w:val="22"/>
                <w:lang w:val="sr-Latn-ME"/>
              </w:rPr>
              <w:t>151 (52,4)</w:t>
            </w:r>
          </w:p>
        </w:tc>
        <w:tc>
          <w:tcPr>
            <w:tcW w:w="629" w:type="pct"/>
            <w:tcBorders>
              <w:top w:val="nil"/>
              <w:left w:val="nil"/>
              <w:bottom w:val="nil"/>
              <w:right w:val="single" w:sz="8" w:space="0" w:color="auto"/>
            </w:tcBorders>
            <w:tcMar>
              <w:top w:w="0" w:type="dxa"/>
              <w:left w:w="57" w:type="dxa"/>
              <w:bottom w:w="0" w:type="dxa"/>
              <w:right w:w="57" w:type="dxa"/>
            </w:tcMar>
          </w:tcPr>
          <w:p w14:paraId="131B7A12" w14:textId="77777777" w:rsidR="00D62AD2" w:rsidRPr="005A4F9F" w:rsidRDefault="00D62AD2">
            <w:pPr>
              <w:widowControl w:val="0"/>
              <w:jc w:val="both"/>
              <w:rPr>
                <w:sz w:val="22"/>
                <w:szCs w:val="22"/>
                <w:lang w:val="sr-Latn-ME"/>
              </w:rPr>
            </w:pPr>
            <w:r w:rsidRPr="005A4F9F">
              <w:rPr>
                <w:sz w:val="22"/>
                <w:szCs w:val="22"/>
                <w:lang w:val="sr-Latn-ME"/>
              </w:rPr>
              <w:t>117 (40,8)</w:t>
            </w:r>
          </w:p>
        </w:tc>
      </w:tr>
      <w:tr w:rsidR="00D62AD2" w:rsidRPr="005A4F9F" w14:paraId="31F94B58" w14:textId="77777777" w:rsidTr="008B00DE">
        <w:trPr>
          <w:cantSplit/>
        </w:trPr>
        <w:tc>
          <w:tcPr>
            <w:tcW w:w="2124" w:type="pct"/>
            <w:gridSpan w:val="3"/>
            <w:tcBorders>
              <w:top w:val="nil"/>
              <w:left w:val="single" w:sz="4" w:space="0" w:color="auto"/>
              <w:bottom w:val="single" w:sz="4" w:space="0" w:color="auto"/>
              <w:right w:val="nil"/>
            </w:tcBorders>
            <w:tcMar>
              <w:top w:w="0" w:type="dxa"/>
              <w:left w:w="57" w:type="dxa"/>
              <w:bottom w:w="0" w:type="dxa"/>
              <w:right w:w="57" w:type="dxa"/>
            </w:tcMar>
          </w:tcPr>
          <w:p w14:paraId="093A59F2" w14:textId="77777777" w:rsidR="00D62AD2" w:rsidRPr="005A4F9F" w:rsidRDefault="00D62AD2">
            <w:pPr>
              <w:widowControl w:val="0"/>
              <w:jc w:val="both"/>
              <w:rPr>
                <w:sz w:val="22"/>
                <w:szCs w:val="22"/>
                <w:lang w:val="sr-Latn-ME"/>
              </w:rPr>
            </w:pPr>
            <w:r w:rsidRPr="005A4F9F">
              <w:rPr>
                <w:sz w:val="22"/>
                <w:szCs w:val="22"/>
                <w:lang w:val="sr-Latn-ME"/>
              </w:rPr>
              <w:t>ACR70, n (%)</w:t>
            </w:r>
          </w:p>
        </w:tc>
        <w:tc>
          <w:tcPr>
            <w:tcW w:w="673" w:type="pct"/>
            <w:gridSpan w:val="2"/>
            <w:tcBorders>
              <w:top w:val="nil"/>
              <w:left w:val="nil"/>
              <w:bottom w:val="single" w:sz="4" w:space="0" w:color="auto"/>
              <w:right w:val="nil"/>
            </w:tcBorders>
            <w:tcMar>
              <w:top w:w="0" w:type="dxa"/>
              <w:left w:w="57" w:type="dxa"/>
              <w:bottom w:w="0" w:type="dxa"/>
              <w:right w:w="57" w:type="dxa"/>
            </w:tcMar>
          </w:tcPr>
          <w:p w14:paraId="1E995A41" w14:textId="77777777" w:rsidR="00D62AD2" w:rsidRPr="005A4F9F" w:rsidRDefault="00D62AD2">
            <w:pPr>
              <w:widowControl w:val="0"/>
              <w:jc w:val="both"/>
              <w:rPr>
                <w:sz w:val="22"/>
                <w:szCs w:val="22"/>
                <w:lang w:val="sr-Latn-ME"/>
              </w:rPr>
            </w:pPr>
            <w:r w:rsidRPr="005A4F9F">
              <w:rPr>
                <w:sz w:val="22"/>
                <w:szCs w:val="22"/>
                <w:lang w:val="sr-Latn-ME"/>
              </w:rPr>
              <w:t>125 (43,1)**</w:t>
            </w:r>
          </w:p>
        </w:tc>
        <w:tc>
          <w:tcPr>
            <w:tcW w:w="787" w:type="pct"/>
            <w:tcBorders>
              <w:top w:val="nil"/>
              <w:left w:val="nil"/>
              <w:bottom w:val="single" w:sz="4" w:space="0" w:color="auto"/>
              <w:right w:val="nil"/>
            </w:tcBorders>
            <w:tcMar>
              <w:top w:w="0" w:type="dxa"/>
              <w:left w:w="57" w:type="dxa"/>
              <w:bottom w:w="0" w:type="dxa"/>
              <w:right w:w="57" w:type="dxa"/>
            </w:tcMar>
          </w:tcPr>
          <w:p w14:paraId="7C283212" w14:textId="77777777" w:rsidR="00D62AD2" w:rsidRPr="005A4F9F" w:rsidRDefault="00D62AD2">
            <w:pPr>
              <w:widowControl w:val="0"/>
              <w:jc w:val="both"/>
              <w:rPr>
                <w:sz w:val="22"/>
                <w:szCs w:val="22"/>
                <w:lang w:val="sr-Latn-ME"/>
              </w:rPr>
            </w:pPr>
            <w:r w:rsidRPr="005A4F9F">
              <w:rPr>
                <w:sz w:val="22"/>
                <w:szCs w:val="22"/>
                <w:lang w:val="sr-Latn-ME"/>
              </w:rPr>
              <w:t>105 (36,0)</w:t>
            </w:r>
          </w:p>
        </w:tc>
        <w:tc>
          <w:tcPr>
            <w:tcW w:w="786" w:type="pct"/>
            <w:tcBorders>
              <w:top w:val="nil"/>
              <w:left w:val="nil"/>
              <w:bottom w:val="single" w:sz="4" w:space="0" w:color="auto"/>
              <w:right w:val="nil"/>
            </w:tcBorders>
          </w:tcPr>
          <w:p w14:paraId="2D15E12A" w14:textId="77777777" w:rsidR="00D62AD2" w:rsidRPr="005A4F9F" w:rsidRDefault="00D62AD2">
            <w:pPr>
              <w:widowControl w:val="0"/>
              <w:jc w:val="both"/>
              <w:rPr>
                <w:sz w:val="22"/>
                <w:szCs w:val="22"/>
                <w:lang w:val="sr-Latn-ME"/>
              </w:rPr>
            </w:pPr>
            <w:r w:rsidRPr="005A4F9F">
              <w:rPr>
                <w:sz w:val="22"/>
                <w:szCs w:val="22"/>
                <w:lang w:val="sr-Latn-ME"/>
              </w:rPr>
              <w:t>107 (37,2)</w:t>
            </w:r>
          </w:p>
        </w:tc>
        <w:tc>
          <w:tcPr>
            <w:tcW w:w="629" w:type="pct"/>
            <w:tcBorders>
              <w:top w:val="nil"/>
              <w:left w:val="nil"/>
              <w:bottom w:val="single" w:sz="4" w:space="0" w:color="auto"/>
              <w:right w:val="single" w:sz="8" w:space="0" w:color="auto"/>
            </w:tcBorders>
            <w:tcMar>
              <w:top w:w="0" w:type="dxa"/>
              <w:left w:w="57" w:type="dxa"/>
              <w:bottom w:w="0" w:type="dxa"/>
              <w:right w:w="57" w:type="dxa"/>
            </w:tcMar>
          </w:tcPr>
          <w:p w14:paraId="3B6BCF37" w14:textId="77777777" w:rsidR="00D62AD2" w:rsidRPr="005A4F9F" w:rsidRDefault="00D62AD2">
            <w:pPr>
              <w:widowControl w:val="0"/>
              <w:jc w:val="both"/>
              <w:rPr>
                <w:sz w:val="22"/>
                <w:szCs w:val="22"/>
                <w:lang w:val="sr-Latn-ME"/>
              </w:rPr>
            </w:pPr>
            <w:r w:rsidRPr="005A4F9F">
              <w:rPr>
                <w:sz w:val="22"/>
                <w:szCs w:val="22"/>
                <w:lang w:val="sr-Latn-ME"/>
              </w:rPr>
              <w:t>83 (28,9)</w:t>
            </w:r>
          </w:p>
        </w:tc>
      </w:tr>
      <w:tr w:rsidR="00D62AD2" w:rsidRPr="005A4F9F" w14:paraId="0F683AFF" w14:textId="77777777" w:rsidTr="008B00DE">
        <w:trPr>
          <w:cantSplit/>
        </w:trPr>
        <w:tc>
          <w:tcPr>
            <w:tcW w:w="5000" w:type="pct"/>
            <w:gridSpan w:val="8"/>
            <w:tcBorders>
              <w:top w:val="single" w:sz="4" w:space="0" w:color="auto"/>
              <w:left w:val="single" w:sz="4" w:space="0" w:color="auto"/>
              <w:bottom w:val="nil"/>
              <w:right w:val="single" w:sz="4" w:space="0" w:color="auto"/>
            </w:tcBorders>
            <w:tcMar>
              <w:top w:w="0" w:type="dxa"/>
              <w:left w:w="57" w:type="dxa"/>
              <w:bottom w:w="0" w:type="dxa"/>
              <w:right w:w="57" w:type="dxa"/>
            </w:tcMar>
          </w:tcPr>
          <w:p w14:paraId="43CC4B0E" w14:textId="77777777" w:rsidR="00D62AD2" w:rsidRPr="005A4F9F" w:rsidRDefault="00D62AD2">
            <w:pPr>
              <w:widowControl w:val="0"/>
              <w:jc w:val="both"/>
              <w:rPr>
                <w:sz w:val="22"/>
                <w:szCs w:val="22"/>
                <w:lang w:val="sr-Latn-ME"/>
              </w:rPr>
            </w:pPr>
            <w:r w:rsidRPr="005A4F9F">
              <w:rPr>
                <w:sz w:val="22"/>
                <w:szCs w:val="22"/>
                <w:lang w:val="sr-Latn-ME"/>
              </w:rPr>
              <w:t>HAQ-DI (prilagođena srednja promjena od početne vrijednosti)</w:t>
            </w:r>
          </w:p>
        </w:tc>
      </w:tr>
      <w:tr w:rsidR="00D62AD2" w:rsidRPr="005A4F9F" w14:paraId="4E804B14" w14:textId="77777777" w:rsidTr="008B00DE">
        <w:trPr>
          <w:cantSplit/>
        </w:trPr>
        <w:tc>
          <w:tcPr>
            <w:tcW w:w="2124" w:type="pct"/>
            <w:gridSpan w:val="3"/>
            <w:tcBorders>
              <w:top w:val="nil"/>
              <w:left w:val="single" w:sz="4" w:space="0" w:color="auto"/>
              <w:bottom w:val="single" w:sz="8" w:space="0" w:color="auto"/>
              <w:right w:val="nil"/>
            </w:tcBorders>
            <w:tcMar>
              <w:top w:w="0" w:type="dxa"/>
              <w:left w:w="57" w:type="dxa"/>
              <w:bottom w:w="0" w:type="dxa"/>
              <w:right w:w="57" w:type="dxa"/>
            </w:tcMar>
          </w:tcPr>
          <w:p w14:paraId="2CABF31F" w14:textId="77777777" w:rsidR="00D62AD2" w:rsidRPr="005A4F9F" w:rsidRDefault="00D62AD2">
            <w:pPr>
              <w:widowControl w:val="0"/>
              <w:jc w:val="both"/>
              <w:rPr>
                <w:sz w:val="22"/>
                <w:szCs w:val="22"/>
                <w:lang w:val="sr-Latn-ME"/>
              </w:rPr>
            </w:pPr>
            <w:r w:rsidRPr="005A4F9F">
              <w:rPr>
                <w:sz w:val="22"/>
                <w:szCs w:val="22"/>
                <w:lang w:val="sr-Latn-ME"/>
              </w:rPr>
              <w:t>52. nedjelja</w:t>
            </w:r>
          </w:p>
        </w:tc>
        <w:tc>
          <w:tcPr>
            <w:tcW w:w="673" w:type="pct"/>
            <w:gridSpan w:val="2"/>
            <w:tcBorders>
              <w:top w:val="nil"/>
              <w:left w:val="nil"/>
              <w:bottom w:val="single" w:sz="8" w:space="0" w:color="auto"/>
              <w:right w:val="nil"/>
            </w:tcBorders>
            <w:tcMar>
              <w:top w:w="0" w:type="dxa"/>
              <w:left w:w="57" w:type="dxa"/>
              <w:bottom w:w="0" w:type="dxa"/>
              <w:right w:w="57" w:type="dxa"/>
            </w:tcMar>
          </w:tcPr>
          <w:p w14:paraId="5B9AC5BA" w14:textId="77777777" w:rsidR="00D62AD2" w:rsidRPr="005A4F9F" w:rsidRDefault="00D62AD2">
            <w:pPr>
              <w:widowControl w:val="0"/>
              <w:jc w:val="both"/>
              <w:rPr>
                <w:sz w:val="22"/>
                <w:szCs w:val="22"/>
                <w:lang w:val="sr-Latn-ME"/>
              </w:rPr>
            </w:pPr>
            <w:r w:rsidRPr="005A4F9F">
              <w:rPr>
                <w:sz w:val="22"/>
                <w:szCs w:val="22"/>
                <w:lang w:val="sr-Latn-ME"/>
              </w:rPr>
              <w:t>-0,81*</w:t>
            </w:r>
          </w:p>
        </w:tc>
        <w:tc>
          <w:tcPr>
            <w:tcW w:w="787" w:type="pct"/>
            <w:tcBorders>
              <w:top w:val="nil"/>
              <w:left w:val="nil"/>
              <w:bottom w:val="single" w:sz="8" w:space="0" w:color="auto"/>
              <w:right w:val="nil"/>
            </w:tcBorders>
            <w:tcMar>
              <w:top w:w="0" w:type="dxa"/>
              <w:left w:w="57" w:type="dxa"/>
              <w:bottom w:w="0" w:type="dxa"/>
              <w:right w:w="57" w:type="dxa"/>
            </w:tcMar>
          </w:tcPr>
          <w:p w14:paraId="5BA045C3" w14:textId="77777777" w:rsidR="00D62AD2" w:rsidRPr="005A4F9F" w:rsidRDefault="00D62AD2">
            <w:pPr>
              <w:widowControl w:val="0"/>
              <w:jc w:val="both"/>
              <w:rPr>
                <w:sz w:val="22"/>
                <w:szCs w:val="22"/>
                <w:lang w:val="sr-Latn-ME"/>
              </w:rPr>
            </w:pPr>
            <w:r w:rsidRPr="005A4F9F">
              <w:rPr>
                <w:sz w:val="22"/>
                <w:szCs w:val="22"/>
                <w:lang w:val="sr-Latn-ME"/>
              </w:rPr>
              <w:t>-0,67</w:t>
            </w:r>
          </w:p>
        </w:tc>
        <w:tc>
          <w:tcPr>
            <w:tcW w:w="786" w:type="pct"/>
            <w:tcBorders>
              <w:top w:val="nil"/>
              <w:left w:val="nil"/>
              <w:bottom w:val="single" w:sz="8" w:space="0" w:color="auto"/>
              <w:right w:val="nil"/>
            </w:tcBorders>
          </w:tcPr>
          <w:p w14:paraId="2EA137D6" w14:textId="77777777" w:rsidR="00D62AD2" w:rsidRPr="005A4F9F" w:rsidRDefault="00D62AD2">
            <w:pPr>
              <w:widowControl w:val="0"/>
              <w:jc w:val="both"/>
              <w:rPr>
                <w:sz w:val="22"/>
                <w:szCs w:val="22"/>
                <w:lang w:val="sr-Latn-ME"/>
              </w:rPr>
            </w:pPr>
            <w:r w:rsidRPr="005A4F9F">
              <w:rPr>
                <w:sz w:val="22"/>
                <w:szCs w:val="22"/>
                <w:lang w:val="sr-Latn-ME"/>
              </w:rPr>
              <w:t>-0,75</w:t>
            </w:r>
          </w:p>
        </w:tc>
        <w:tc>
          <w:tcPr>
            <w:tcW w:w="629" w:type="pct"/>
            <w:tcBorders>
              <w:top w:val="nil"/>
              <w:left w:val="nil"/>
              <w:bottom w:val="single" w:sz="8" w:space="0" w:color="auto"/>
              <w:right w:val="single" w:sz="8" w:space="0" w:color="auto"/>
            </w:tcBorders>
            <w:tcMar>
              <w:top w:w="0" w:type="dxa"/>
              <w:left w:w="57" w:type="dxa"/>
              <w:bottom w:w="0" w:type="dxa"/>
              <w:right w:w="57" w:type="dxa"/>
            </w:tcMar>
          </w:tcPr>
          <w:p w14:paraId="79E7D917" w14:textId="77777777" w:rsidR="00D62AD2" w:rsidRPr="005A4F9F" w:rsidRDefault="00D62AD2">
            <w:pPr>
              <w:widowControl w:val="0"/>
              <w:jc w:val="both"/>
              <w:rPr>
                <w:sz w:val="22"/>
                <w:szCs w:val="22"/>
                <w:lang w:val="sr-Latn-ME"/>
              </w:rPr>
            </w:pPr>
            <w:r w:rsidRPr="005A4F9F">
              <w:rPr>
                <w:sz w:val="22"/>
                <w:szCs w:val="22"/>
                <w:lang w:val="sr-Latn-ME"/>
              </w:rPr>
              <w:t>-0,64</w:t>
            </w:r>
          </w:p>
        </w:tc>
      </w:tr>
      <w:tr w:rsidR="00D62AD2" w:rsidRPr="005A4F9F" w14:paraId="3D02E6B4" w14:textId="77777777" w:rsidTr="008B00DE">
        <w:trPr>
          <w:cantSplit/>
        </w:trPr>
        <w:tc>
          <w:tcPr>
            <w:tcW w:w="1022" w:type="pct"/>
            <w:tcBorders>
              <w:top w:val="single" w:sz="8" w:space="0" w:color="auto"/>
              <w:left w:val="single" w:sz="4" w:space="0" w:color="auto"/>
              <w:bottom w:val="single" w:sz="4" w:space="0" w:color="auto"/>
              <w:right w:val="single" w:sz="8" w:space="0" w:color="auto"/>
            </w:tcBorders>
          </w:tcPr>
          <w:p w14:paraId="2ACD24B2" w14:textId="77777777" w:rsidR="00D62AD2" w:rsidRPr="005A4F9F" w:rsidRDefault="00D62AD2">
            <w:pPr>
              <w:widowControl w:val="0"/>
              <w:jc w:val="both"/>
              <w:rPr>
                <w:b/>
                <w:sz w:val="22"/>
                <w:szCs w:val="22"/>
                <w:lang w:val="sr-Latn-ME"/>
              </w:rPr>
            </w:pPr>
          </w:p>
        </w:tc>
        <w:tc>
          <w:tcPr>
            <w:tcW w:w="3978" w:type="pct"/>
            <w:gridSpan w:val="7"/>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tcPr>
          <w:p w14:paraId="1B057FC2" w14:textId="77777777" w:rsidR="00D62AD2" w:rsidRPr="005A4F9F" w:rsidRDefault="00D62AD2">
            <w:pPr>
              <w:widowControl w:val="0"/>
              <w:jc w:val="both"/>
              <w:rPr>
                <w:b/>
                <w:sz w:val="22"/>
                <w:szCs w:val="22"/>
                <w:lang w:val="sr-Latn-ME"/>
              </w:rPr>
            </w:pPr>
            <w:r w:rsidRPr="005A4F9F">
              <w:rPr>
                <w:b/>
                <w:sz w:val="22"/>
                <w:szCs w:val="22"/>
                <w:lang w:val="sr-Latn-ME"/>
              </w:rPr>
              <w:t>Radiološke mjere ishoda (srednja promjena od početne vrijednosti)</w:t>
            </w:r>
          </w:p>
        </w:tc>
      </w:tr>
      <w:tr w:rsidR="00D62AD2" w:rsidRPr="005A4F9F" w14:paraId="08B78372" w14:textId="77777777" w:rsidTr="008B00DE">
        <w:trPr>
          <w:cantSplit/>
        </w:trPr>
        <w:tc>
          <w:tcPr>
            <w:tcW w:w="2124" w:type="pct"/>
            <w:gridSpan w:val="3"/>
            <w:tcBorders>
              <w:top w:val="single" w:sz="4" w:space="0" w:color="auto"/>
              <w:left w:val="single" w:sz="4" w:space="0" w:color="auto"/>
              <w:bottom w:val="nil"/>
              <w:right w:val="nil"/>
            </w:tcBorders>
            <w:tcMar>
              <w:top w:w="0" w:type="dxa"/>
              <w:left w:w="57" w:type="dxa"/>
              <w:bottom w:w="0" w:type="dxa"/>
              <w:right w:w="57" w:type="dxa"/>
            </w:tcMar>
          </w:tcPr>
          <w:p w14:paraId="33596E31" w14:textId="77777777" w:rsidR="00D62AD2" w:rsidRPr="005A4F9F" w:rsidRDefault="00D62AD2">
            <w:pPr>
              <w:widowControl w:val="0"/>
              <w:jc w:val="both"/>
              <w:rPr>
                <w:sz w:val="22"/>
                <w:szCs w:val="22"/>
                <w:lang w:val="sr-Latn-ME"/>
              </w:rPr>
            </w:pPr>
            <w:r w:rsidRPr="005A4F9F">
              <w:rPr>
                <w:sz w:val="22"/>
                <w:szCs w:val="22"/>
                <w:lang w:val="sr-Latn-ME"/>
              </w:rPr>
              <w:t>52. nedjelja                        mTSS</w:t>
            </w:r>
          </w:p>
        </w:tc>
        <w:tc>
          <w:tcPr>
            <w:tcW w:w="673" w:type="pct"/>
            <w:gridSpan w:val="2"/>
            <w:tcBorders>
              <w:top w:val="single" w:sz="4" w:space="0" w:color="auto"/>
              <w:left w:val="nil"/>
              <w:bottom w:val="nil"/>
              <w:right w:val="nil"/>
            </w:tcBorders>
            <w:tcMar>
              <w:top w:w="0" w:type="dxa"/>
              <w:left w:w="57" w:type="dxa"/>
              <w:bottom w:w="0" w:type="dxa"/>
              <w:right w:w="57" w:type="dxa"/>
            </w:tcMar>
          </w:tcPr>
          <w:p w14:paraId="08E52FBC" w14:textId="77777777" w:rsidR="00D62AD2" w:rsidRPr="005A4F9F" w:rsidRDefault="00D62AD2">
            <w:pPr>
              <w:widowControl w:val="0"/>
              <w:jc w:val="both"/>
              <w:rPr>
                <w:sz w:val="22"/>
                <w:szCs w:val="22"/>
                <w:lang w:val="sr-Latn-ME"/>
              </w:rPr>
            </w:pPr>
            <w:r w:rsidRPr="005A4F9F">
              <w:rPr>
                <w:sz w:val="22"/>
                <w:szCs w:val="22"/>
                <w:lang w:val="sr-Latn-ME"/>
              </w:rPr>
              <w:t>0,08***</w:t>
            </w:r>
          </w:p>
        </w:tc>
        <w:tc>
          <w:tcPr>
            <w:tcW w:w="787" w:type="pct"/>
            <w:tcBorders>
              <w:top w:val="single" w:sz="4" w:space="0" w:color="auto"/>
              <w:left w:val="nil"/>
              <w:bottom w:val="nil"/>
              <w:right w:val="nil"/>
            </w:tcBorders>
            <w:tcMar>
              <w:top w:w="0" w:type="dxa"/>
              <w:left w:w="57" w:type="dxa"/>
              <w:bottom w:w="0" w:type="dxa"/>
              <w:right w:w="57" w:type="dxa"/>
            </w:tcMar>
          </w:tcPr>
          <w:p w14:paraId="5B650248" w14:textId="77777777" w:rsidR="00D62AD2" w:rsidRPr="005A4F9F" w:rsidRDefault="00D62AD2">
            <w:pPr>
              <w:widowControl w:val="0"/>
              <w:jc w:val="both"/>
              <w:rPr>
                <w:sz w:val="22"/>
                <w:szCs w:val="22"/>
                <w:lang w:val="sr-Latn-ME"/>
              </w:rPr>
            </w:pPr>
            <w:r w:rsidRPr="005A4F9F">
              <w:rPr>
                <w:sz w:val="22"/>
                <w:szCs w:val="22"/>
                <w:lang w:val="sr-Latn-ME"/>
              </w:rPr>
              <w:t>0,26</w:t>
            </w:r>
          </w:p>
        </w:tc>
        <w:tc>
          <w:tcPr>
            <w:tcW w:w="786" w:type="pct"/>
            <w:tcBorders>
              <w:top w:val="single" w:sz="4" w:space="0" w:color="auto"/>
              <w:left w:val="nil"/>
              <w:bottom w:val="nil"/>
              <w:right w:val="nil"/>
            </w:tcBorders>
          </w:tcPr>
          <w:p w14:paraId="4D156CD5" w14:textId="77777777" w:rsidR="00D62AD2" w:rsidRPr="005A4F9F" w:rsidRDefault="00D62AD2">
            <w:pPr>
              <w:widowControl w:val="0"/>
              <w:jc w:val="both"/>
              <w:rPr>
                <w:sz w:val="22"/>
                <w:szCs w:val="22"/>
                <w:lang w:val="sr-Latn-ME"/>
              </w:rPr>
            </w:pPr>
            <w:r w:rsidRPr="005A4F9F">
              <w:rPr>
                <w:sz w:val="22"/>
                <w:szCs w:val="22"/>
                <w:lang w:val="sr-Latn-ME"/>
              </w:rPr>
              <w:t>0,42</w:t>
            </w:r>
          </w:p>
        </w:tc>
        <w:tc>
          <w:tcPr>
            <w:tcW w:w="629" w:type="pct"/>
            <w:tcBorders>
              <w:top w:val="single" w:sz="4" w:space="0" w:color="auto"/>
              <w:left w:val="nil"/>
              <w:bottom w:val="nil"/>
              <w:right w:val="single" w:sz="8" w:space="0" w:color="auto"/>
            </w:tcBorders>
            <w:tcMar>
              <w:top w:w="0" w:type="dxa"/>
              <w:left w:w="57" w:type="dxa"/>
              <w:bottom w:w="0" w:type="dxa"/>
              <w:right w:w="57" w:type="dxa"/>
            </w:tcMar>
          </w:tcPr>
          <w:p w14:paraId="49FCF7B4" w14:textId="77777777" w:rsidR="00D62AD2" w:rsidRPr="005A4F9F" w:rsidRDefault="00D62AD2">
            <w:pPr>
              <w:widowControl w:val="0"/>
              <w:jc w:val="both"/>
              <w:rPr>
                <w:sz w:val="22"/>
                <w:szCs w:val="22"/>
                <w:lang w:val="sr-Latn-ME"/>
              </w:rPr>
            </w:pPr>
            <w:r w:rsidRPr="005A4F9F">
              <w:rPr>
                <w:sz w:val="22"/>
                <w:szCs w:val="22"/>
                <w:lang w:val="sr-Latn-ME"/>
              </w:rPr>
              <w:t>1,14</w:t>
            </w:r>
          </w:p>
        </w:tc>
      </w:tr>
      <w:tr w:rsidR="00D62AD2" w:rsidRPr="005A4F9F" w14:paraId="03022C18" w14:textId="77777777" w:rsidTr="008B00DE">
        <w:trPr>
          <w:cantSplit/>
        </w:trPr>
        <w:tc>
          <w:tcPr>
            <w:tcW w:w="2124" w:type="pct"/>
            <w:gridSpan w:val="3"/>
            <w:tcBorders>
              <w:top w:val="nil"/>
              <w:left w:val="single" w:sz="4" w:space="0" w:color="auto"/>
              <w:bottom w:val="nil"/>
              <w:right w:val="nil"/>
            </w:tcBorders>
            <w:tcMar>
              <w:top w:w="0" w:type="dxa"/>
              <w:left w:w="57" w:type="dxa"/>
              <w:bottom w:w="0" w:type="dxa"/>
              <w:right w:w="57" w:type="dxa"/>
            </w:tcMar>
          </w:tcPr>
          <w:p w14:paraId="033A51BB" w14:textId="77777777" w:rsidR="00D62AD2" w:rsidRPr="005A4F9F" w:rsidRDefault="00D62AD2">
            <w:pPr>
              <w:widowControl w:val="0"/>
              <w:jc w:val="both"/>
              <w:rPr>
                <w:sz w:val="22"/>
                <w:szCs w:val="22"/>
                <w:lang w:val="sr-Latn-ME"/>
              </w:rPr>
            </w:pPr>
            <w:r w:rsidRPr="005A4F9F">
              <w:rPr>
                <w:sz w:val="22"/>
                <w:szCs w:val="22"/>
                <w:lang w:val="sr-Latn-ME"/>
              </w:rPr>
              <w:t>stepen erozije</w:t>
            </w:r>
          </w:p>
        </w:tc>
        <w:tc>
          <w:tcPr>
            <w:tcW w:w="673" w:type="pct"/>
            <w:gridSpan w:val="2"/>
            <w:tcMar>
              <w:top w:w="0" w:type="dxa"/>
              <w:left w:w="57" w:type="dxa"/>
              <w:bottom w:w="0" w:type="dxa"/>
              <w:right w:w="57" w:type="dxa"/>
            </w:tcMar>
          </w:tcPr>
          <w:p w14:paraId="6F5E37F1" w14:textId="77777777" w:rsidR="00D62AD2" w:rsidRPr="005A4F9F" w:rsidRDefault="00D62AD2">
            <w:pPr>
              <w:widowControl w:val="0"/>
              <w:jc w:val="both"/>
              <w:rPr>
                <w:sz w:val="22"/>
                <w:szCs w:val="22"/>
                <w:lang w:val="sr-Latn-ME"/>
              </w:rPr>
            </w:pPr>
            <w:r w:rsidRPr="005A4F9F">
              <w:rPr>
                <w:sz w:val="22"/>
                <w:szCs w:val="22"/>
                <w:lang w:val="sr-Latn-ME"/>
              </w:rPr>
              <w:t>0,05**</w:t>
            </w:r>
          </w:p>
        </w:tc>
        <w:tc>
          <w:tcPr>
            <w:tcW w:w="787" w:type="pct"/>
            <w:tcMar>
              <w:top w:w="0" w:type="dxa"/>
              <w:left w:w="57" w:type="dxa"/>
              <w:bottom w:w="0" w:type="dxa"/>
              <w:right w:w="57" w:type="dxa"/>
            </w:tcMar>
          </w:tcPr>
          <w:p w14:paraId="0C94FD8F" w14:textId="77777777" w:rsidR="00D62AD2" w:rsidRPr="005A4F9F" w:rsidRDefault="00D62AD2">
            <w:pPr>
              <w:widowControl w:val="0"/>
              <w:jc w:val="both"/>
              <w:rPr>
                <w:sz w:val="22"/>
                <w:szCs w:val="22"/>
                <w:lang w:val="sr-Latn-ME"/>
              </w:rPr>
            </w:pPr>
            <w:r w:rsidRPr="005A4F9F">
              <w:rPr>
                <w:sz w:val="22"/>
                <w:szCs w:val="22"/>
                <w:lang w:val="sr-Latn-ME"/>
              </w:rPr>
              <w:t>0,15</w:t>
            </w:r>
          </w:p>
        </w:tc>
        <w:tc>
          <w:tcPr>
            <w:tcW w:w="786" w:type="pct"/>
            <w:tcBorders>
              <w:right w:val="nil"/>
            </w:tcBorders>
          </w:tcPr>
          <w:p w14:paraId="4AD01BCF" w14:textId="77777777" w:rsidR="00D62AD2" w:rsidRPr="005A4F9F" w:rsidRDefault="00D62AD2">
            <w:pPr>
              <w:widowControl w:val="0"/>
              <w:jc w:val="both"/>
              <w:rPr>
                <w:sz w:val="22"/>
                <w:szCs w:val="22"/>
                <w:lang w:val="sr-Latn-ME"/>
              </w:rPr>
            </w:pPr>
            <w:r w:rsidRPr="005A4F9F">
              <w:rPr>
                <w:sz w:val="22"/>
                <w:szCs w:val="22"/>
                <w:lang w:val="sr-Latn-ME"/>
              </w:rPr>
              <w:t>0,25</w:t>
            </w:r>
          </w:p>
        </w:tc>
        <w:tc>
          <w:tcPr>
            <w:tcW w:w="629" w:type="pct"/>
            <w:tcBorders>
              <w:top w:val="nil"/>
              <w:left w:val="nil"/>
              <w:bottom w:val="nil"/>
              <w:right w:val="single" w:sz="8" w:space="0" w:color="auto"/>
            </w:tcBorders>
            <w:tcMar>
              <w:top w:w="0" w:type="dxa"/>
              <w:left w:w="57" w:type="dxa"/>
              <w:bottom w:w="0" w:type="dxa"/>
              <w:right w:w="57" w:type="dxa"/>
            </w:tcMar>
          </w:tcPr>
          <w:p w14:paraId="2CC7AB44" w14:textId="77777777" w:rsidR="00D62AD2" w:rsidRPr="005A4F9F" w:rsidRDefault="00D62AD2">
            <w:pPr>
              <w:widowControl w:val="0"/>
              <w:jc w:val="both"/>
              <w:rPr>
                <w:sz w:val="22"/>
                <w:szCs w:val="22"/>
                <w:lang w:val="sr-Latn-ME"/>
              </w:rPr>
            </w:pPr>
            <w:r w:rsidRPr="005A4F9F">
              <w:rPr>
                <w:sz w:val="22"/>
                <w:szCs w:val="22"/>
                <w:lang w:val="sr-Latn-ME"/>
              </w:rPr>
              <w:t>0,63</w:t>
            </w:r>
          </w:p>
        </w:tc>
      </w:tr>
      <w:tr w:rsidR="00D62AD2" w:rsidRPr="005A4F9F" w14:paraId="1CA76D78" w14:textId="77777777" w:rsidTr="008B00DE">
        <w:trPr>
          <w:cantSplit/>
        </w:trPr>
        <w:tc>
          <w:tcPr>
            <w:tcW w:w="2124" w:type="pct"/>
            <w:gridSpan w:val="3"/>
            <w:tcBorders>
              <w:top w:val="nil"/>
              <w:left w:val="single" w:sz="4" w:space="0" w:color="auto"/>
              <w:right w:val="nil"/>
            </w:tcBorders>
            <w:tcMar>
              <w:top w:w="0" w:type="dxa"/>
              <w:left w:w="57" w:type="dxa"/>
              <w:bottom w:w="0" w:type="dxa"/>
              <w:right w:w="57" w:type="dxa"/>
            </w:tcMar>
          </w:tcPr>
          <w:p w14:paraId="056246C6" w14:textId="77777777" w:rsidR="00D62AD2" w:rsidRPr="005A4F9F" w:rsidRDefault="00D62AD2">
            <w:pPr>
              <w:widowControl w:val="0"/>
              <w:jc w:val="both"/>
              <w:rPr>
                <w:sz w:val="22"/>
                <w:szCs w:val="22"/>
                <w:lang w:val="sr-Latn-ME"/>
              </w:rPr>
            </w:pPr>
            <w:r w:rsidRPr="005A4F9F">
              <w:rPr>
                <w:sz w:val="22"/>
                <w:szCs w:val="22"/>
                <w:lang w:val="sr-Latn-ME"/>
              </w:rPr>
              <w:t>JSN</w:t>
            </w:r>
          </w:p>
        </w:tc>
        <w:tc>
          <w:tcPr>
            <w:tcW w:w="673" w:type="pct"/>
            <w:gridSpan w:val="2"/>
            <w:tcMar>
              <w:top w:w="0" w:type="dxa"/>
              <w:left w:w="57" w:type="dxa"/>
              <w:bottom w:w="0" w:type="dxa"/>
              <w:right w:w="57" w:type="dxa"/>
            </w:tcMar>
          </w:tcPr>
          <w:p w14:paraId="2641DA4C" w14:textId="77777777" w:rsidR="00D62AD2" w:rsidRPr="005A4F9F" w:rsidRDefault="00D62AD2">
            <w:pPr>
              <w:widowControl w:val="0"/>
              <w:jc w:val="both"/>
              <w:rPr>
                <w:sz w:val="22"/>
                <w:szCs w:val="22"/>
                <w:lang w:val="sr-Latn-ME"/>
              </w:rPr>
            </w:pPr>
            <w:r w:rsidRPr="005A4F9F">
              <w:rPr>
                <w:sz w:val="22"/>
                <w:szCs w:val="22"/>
                <w:lang w:val="sr-Latn-ME"/>
              </w:rPr>
              <w:t>0,03</w:t>
            </w:r>
          </w:p>
        </w:tc>
        <w:tc>
          <w:tcPr>
            <w:tcW w:w="787" w:type="pct"/>
            <w:tcMar>
              <w:top w:w="0" w:type="dxa"/>
              <w:left w:w="57" w:type="dxa"/>
              <w:bottom w:w="0" w:type="dxa"/>
              <w:right w:w="57" w:type="dxa"/>
            </w:tcMar>
          </w:tcPr>
          <w:p w14:paraId="47606134" w14:textId="77777777" w:rsidR="00D62AD2" w:rsidRPr="005A4F9F" w:rsidRDefault="00D62AD2">
            <w:pPr>
              <w:widowControl w:val="0"/>
              <w:jc w:val="both"/>
              <w:rPr>
                <w:sz w:val="22"/>
                <w:szCs w:val="22"/>
                <w:lang w:val="sr-Latn-ME"/>
              </w:rPr>
            </w:pPr>
            <w:r w:rsidRPr="005A4F9F">
              <w:rPr>
                <w:sz w:val="22"/>
                <w:szCs w:val="22"/>
                <w:lang w:val="sr-Latn-ME"/>
              </w:rPr>
              <w:t>0,11</w:t>
            </w:r>
          </w:p>
        </w:tc>
        <w:tc>
          <w:tcPr>
            <w:tcW w:w="786" w:type="pct"/>
            <w:tcBorders>
              <w:right w:val="nil"/>
            </w:tcBorders>
          </w:tcPr>
          <w:p w14:paraId="577DDD0C" w14:textId="77777777" w:rsidR="00D62AD2" w:rsidRPr="005A4F9F" w:rsidRDefault="00D62AD2">
            <w:pPr>
              <w:widowControl w:val="0"/>
              <w:jc w:val="both"/>
              <w:rPr>
                <w:sz w:val="22"/>
                <w:szCs w:val="22"/>
                <w:lang w:val="sr-Latn-ME"/>
              </w:rPr>
            </w:pPr>
            <w:r w:rsidRPr="005A4F9F">
              <w:rPr>
                <w:sz w:val="22"/>
                <w:szCs w:val="22"/>
                <w:lang w:val="sr-Latn-ME"/>
              </w:rPr>
              <w:t>0,17</w:t>
            </w:r>
          </w:p>
        </w:tc>
        <w:tc>
          <w:tcPr>
            <w:tcW w:w="629" w:type="pct"/>
            <w:tcBorders>
              <w:top w:val="nil"/>
              <w:left w:val="nil"/>
              <w:right w:val="single" w:sz="8" w:space="0" w:color="auto"/>
            </w:tcBorders>
            <w:tcMar>
              <w:top w:w="0" w:type="dxa"/>
              <w:left w:w="57" w:type="dxa"/>
              <w:bottom w:w="0" w:type="dxa"/>
              <w:right w:w="57" w:type="dxa"/>
            </w:tcMar>
          </w:tcPr>
          <w:p w14:paraId="1295ECBB" w14:textId="77777777" w:rsidR="00D62AD2" w:rsidRPr="005A4F9F" w:rsidRDefault="00D62AD2">
            <w:pPr>
              <w:widowControl w:val="0"/>
              <w:jc w:val="both"/>
              <w:rPr>
                <w:sz w:val="22"/>
                <w:szCs w:val="22"/>
                <w:lang w:val="sr-Latn-ME"/>
              </w:rPr>
            </w:pPr>
            <w:r w:rsidRPr="005A4F9F">
              <w:rPr>
                <w:sz w:val="22"/>
                <w:szCs w:val="22"/>
                <w:lang w:val="sr-Latn-ME"/>
              </w:rPr>
              <w:t>0,51</w:t>
            </w:r>
          </w:p>
        </w:tc>
      </w:tr>
      <w:tr w:rsidR="00D62AD2" w:rsidRPr="005A4F9F" w14:paraId="191512E9" w14:textId="77777777" w:rsidTr="008B00DE">
        <w:trPr>
          <w:cantSplit/>
        </w:trPr>
        <w:tc>
          <w:tcPr>
            <w:tcW w:w="2124" w:type="pct"/>
            <w:gridSpan w:val="3"/>
            <w:tcBorders>
              <w:top w:val="nil"/>
              <w:left w:val="single" w:sz="4" w:space="0" w:color="auto"/>
              <w:bottom w:val="single" w:sz="4" w:space="0" w:color="auto"/>
              <w:right w:val="nil"/>
            </w:tcBorders>
            <w:tcMar>
              <w:top w:w="0" w:type="dxa"/>
              <w:left w:w="57" w:type="dxa"/>
              <w:bottom w:w="0" w:type="dxa"/>
              <w:right w:w="57" w:type="dxa"/>
            </w:tcMar>
          </w:tcPr>
          <w:p w14:paraId="5E1F5C86" w14:textId="77777777" w:rsidR="00D62AD2" w:rsidRPr="005A4F9F" w:rsidRDefault="00D62AD2">
            <w:pPr>
              <w:widowControl w:val="0"/>
              <w:jc w:val="both"/>
              <w:rPr>
                <w:sz w:val="22"/>
                <w:szCs w:val="22"/>
                <w:lang w:val="sr-Latn-ME"/>
              </w:rPr>
            </w:pPr>
            <w:r w:rsidRPr="005A4F9F">
              <w:rPr>
                <w:sz w:val="22"/>
                <w:szCs w:val="22"/>
                <w:lang w:val="sr-Latn-ME"/>
              </w:rPr>
              <w:t>radiološka ne</w:t>
            </w:r>
            <w:r w:rsidRPr="005A4F9F">
              <w:rPr>
                <w:sz w:val="22"/>
                <w:szCs w:val="22"/>
                <w:lang w:val="sr-Latn-ME"/>
              </w:rPr>
              <w:noBreakHyphen/>
              <w:t xml:space="preserve">progresija n (%) (promjena mTSS od ≤0 u odnosu na početnu vrijednost) </w:t>
            </w:r>
          </w:p>
        </w:tc>
        <w:tc>
          <w:tcPr>
            <w:tcW w:w="673" w:type="pct"/>
            <w:gridSpan w:val="2"/>
            <w:tcBorders>
              <w:bottom w:val="single" w:sz="4" w:space="0" w:color="auto"/>
            </w:tcBorders>
            <w:tcMar>
              <w:top w:w="0" w:type="dxa"/>
              <w:left w:w="57" w:type="dxa"/>
              <w:bottom w:w="0" w:type="dxa"/>
              <w:right w:w="57" w:type="dxa"/>
            </w:tcMar>
          </w:tcPr>
          <w:p w14:paraId="742D68E7" w14:textId="77777777" w:rsidR="00D62AD2" w:rsidRPr="005A4F9F" w:rsidRDefault="00D62AD2">
            <w:pPr>
              <w:widowControl w:val="0"/>
              <w:jc w:val="both"/>
              <w:rPr>
                <w:sz w:val="22"/>
                <w:szCs w:val="22"/>
                <w:lang w:val="sr-Latn-ME"/>
              </w:rPr>
            </w:pPr>
            <w:r w:rsidRPr="005A4F9F">
              <w:rPr>
                <w:sz w:val="22"/>
                <w:szCs w:val="22"/>
                <w:lang w:val="sr-Latn-ME"/>
              </w:rPr>
              <w:t>226 (83)</w:t>
            </w:r>
            <w:r w:rsidRPr="005A4F9F">
              <w:rPr>
                <w:b/>
                <w:sz w:val="22"/>
                <w:szCs w:val="22"/>
                <w:vertAlign w:val="superscript"/>
                <w:lang w:val="sr-Latn-ME"/>
              </w:rPr>
              <w:t>‡</w:t>
            </w:r>
          </w:p>
        </w:tc>
        <w:tc>
          <w:tcPr>
            <w:tcW w:w="787" w:type="pct"/>
            <w:tcBorders>
              <w:bottom w:val="single" w:sz="4" w:space="0" w:color="auto"/>
            </w:tcBorders>
            <w:tcMar>
              <w:top w:w="0" w:type="dxa"/>
              <w:left w:w="57" w:type="dxa"/>
              <w:bottom w:w="0" w:type="dxa"/>
              <w:right w:w="57" w:type="dxa"/>
            </w:tcMar>
          </w:tcPr>
          <w:p w14:paraId="0D1E5929" w14:textId="77777777" w:rsidR="00D62AD2" w:rsidRPr="005A4F9F" w:rsidRDefault="00D62AD2">
            <w:pPr>
              <w:widowControl w:val="0"/>
              <w:jc w:val="both"/>
              <w:rPr>
                <w:sz w:val="22"/>
                <w:szCs w:val="22"/>
                <w:lang w:val="sr-Latn-ME"/>
              </w:rPr>
            </w:pPr>
            <w:r w:rsidRPr="005A4F9F">
              <w:rPr>
                <w:sz w:val="22"/>
                <w:szCs w:val="22"/>
                <w:lang w:val="sr-Latn-ME"/>
              </w:rPr>
              <w:t>226 (82)</w:t>
            </w:r>
            <w:r w:rsidRPr="005A4F9F">
              <w:rPr>
                <w:b/>
                <w:sz w:val="22"/>
                <w:szCs w:val="22"/>
                <w:vertAlign w:val="superscript"/>
                <w:lang w:val="sr-Latn-ME"/>
              </w:rPr>
              <w:t>‡</w:t>
            </w:r>
          </w:p>
        </w:tc>
        <w:tc>
          <w:tcPr>
            <w:tcW w:w="786" w:type="pct"/>
            <w:tcBorders>
              <w:bottom w:val="single" w:sz="4" w:space="0" w:color="auto"/>
              <w:right w:val="nil"/>
            </w:tcBorders>
          </w:tcPr>
          <w:p w14:paraId="604F3B75" w14:textId="77777777" w:rsidR="00D62AD2" w:rsidRPr="005A4F9F" w:rsidRDefault="00D62AD2">
            <w:pPr>
              <w:widowControl w:val="0"/>
              <w:jc w:val="both"/>
              <w:rPr>
                <w:sz w:val="22"/>
                <w:szCs w:val="22"/>
                <w:lang w:val="sr-Latn-ME"/>
              </w:rPr>
            </w:pPr>
            <w:r w:rsidRPr="005A4F9F">
              <w:rPr>
                <w:sz w:val="22"/>
                <w:szCs w:val="22"/>
                <w:lang w:val="sr-Latn-ME"/>
              </w:rPr>
              <w:t>211 (79)</w:t>
            </w:r>
          </w:p>
        </w:tc>
        <w:tc>
          <w:tcPr>
            <w:tcW w:w="629" w:type="pct"/>
            <w:tcBorders>
              <w:top w:val="nil"/>
              <w:left w:val="nil"/>
              <w:bottom w:val="single" w:sz="4" w:space="0" w:color="auto"/>
              <w:right w:val="single" w:sz="8" w:space="0" w:color="auto"/>
            </w:tcBorders>
            <w:tcMar>
              <w:top w:w="0" w:type="dxa"/>
              <w:left w:w="57" w:type="dxa"/>
              <w:bottom w:w="0" w:type="dxa"/>
              <w:right w:w="57" w:type="dxa"/>
            </w:tcMar>
          </w:tcPr>
          <w:p w14:paraId="5AA8CEDE" w14:textId="77777777" w:rsidR="00D62AD2" w:rsidRPr="005A4F9F" w:rsidRDefault="00D62AD2">
            <w:pPr>
              <w:widowControl w:val="0"/>
              <w:jc w:val="both"/>
              <w:rPr>
                <w:sz w:val="22"/>
                <w:szCs w:val="22"/>
                <w:lang w:val="sr-Latn-ME"/>
              </w:rPr>
            </w:pPr>
            <w:r w:rsidRPr="005A4F9F">
              <w:rPr>
                <w:sz w:val="22"/>
                <w:szCs w:val="22"/>
                <w:lang w:val="sr-Latn-ME"/>
              </w:rPr>
              <w:t>194 (73)</w:t>
            </w:r>
          </w:p>
        </w:tc>
      </w:tr>
      <w:tr w:rsidR="00D62AD2" w:rsidRPr="005A4F9F" w14:paraId="4CA5DC5D" w14:textId="77777777" w:rsidTr="008B00DE">
        <w:trPr>
          <w:cantSplit/>
        </w:trPr>
        <w:tc>
          <w:tcPr>
            <w:tcW w:w="1022" w:type="pct"/>
            <w:tcBorders>
              <w:top w:val="single" w:sz="4" w:space="0" w:color="auto"/>
              <w:left w:val="single" w:sz="4" w:space="0" w:color="auto"/>
              <w:bottom w:val="single" w:sz="8" w:space="0" w:color="auto"/>
              <w:right w:val="single" w:sz="8" w:space="0" w:color="auto"/>
            </w:tcBorders>
          </w:tcPr>
          <w:p w14:paraId="58833C93" w14:textId="77777777" w:rsidR="00D62AD2" w:rsidRPr="005A4F9F" w:rsidRDefault="00D62AD2">
            <w:pPr>
              <w:widowControl w:val="0"/>
              <w:jc w:val="both"/>
              <w:rPr>
                <w:b/>
                <w:sz w:val="22"/>
                <w:szCs w:val="22"/>
                <w:lang w:val="sr-Latn-ME"/>
              </w:rPr>
            </w:pPr>
          </w:p>
        </w:tc>
        <w:tc>
          <w:tcPr>
            <w:tcW w:w="3978" w:type="pct"/>
            <w:gridSpan w:val="7"/>
            <w:tcBorders>
              <w:top w:val="single" w:sz="4" w:space="0" w:color="auto"/>
              <w:left w:val="single" w:sz="4" w:space="0" w:color="auto"/>
              <w:bottom w:val="single" w:sz="8" w:space="0" w:color="auto"/>
              <w:right w:val="single" w:sz="8" w:space="0" w:color="auto"/>
            </w:tcBorders>
            <w:tcMar>
              <w:top w:w="0" w:type="dxa"/>
              <w:left w:w="57" w:type="dxa"/>
              <w:bottom w:w="0" w:type="dxa"/>
              <w:right w:w="57" w:type="dxa"/>
            </w:tcMar>
          </w:tcPr>
          <w:p w14:paraId="3DB7BBA1" w14:textId="77777777" w:rsidR="00D62AD2" w:rsidRPr="005A4F9F" w:rsidRDefault="00D62AD2">
            <w:pPr>
              <w:widowControl w:val="0"/>
              <w:jc w:val="both"/>
              <w:rPr>
                <w:b/>
                <w:sz w:val="22"/>
                <w:szCs w:val="22"/>
                <w:lang w:val="sr-Latn-ME"/>
              </w:rPr>
            </w:pPr>
            <w:r w:rsidRPr="005A4F9F">
              <w:rPr>
                <w:b/>
                <w:sz w:val="22"/>
                <w:szCs w:val="22"/>
                <w:lang w:val="sr-Latn-ME"/>
              </w:rPr>
              <w:t>Eksploracijske mjere ishoda</w:t>
            </w:r>
          </w:p>
        </w:tc>
      </w:tr>
      <w:tr w:rsidR="00D62AD2" w:rsidRPr="005A4F9F" w14:paraId="713EF677" w14:textId="77777777" w:rsidTr="008B00DE">
        <w:trPr>
          <w:cantSplit/>
        </w:trPr>
        <w:tc>
          <w:tcPr>
            <w:tcW w:w="2202" w:type="pct"/>
            <w:gridSpan w:val="4"/>
            <w:tcBorders>
              <w:top w:val="nil"/>
              <w:left w:val="single" w:sz="4" w:space="0" w:color="auto"/>
              <w:bottom w:val="nil"/>
              <w:right w:val="nil"/>
            </w:tcBorders>
            <w:tcMar>
              <w:top w:w="0" w:type="dxa"/>
              <w:left w:w="57" w:type="dxa"/>
              <w:bottom w:w="0" w:type="dxa"/>
              <w:right w:w="57" w:type="dxa"/>
            </w:tcMar>
          </w:tcPr>
          <w:p w14:paraId="1203C390" w14:textId="77777777" w:rsidR="00D62AD2" w:rsidRPr="005A4F9F" w:rsidRDefault="00D62AD2">
            <w:pPr>
              <w:widowControl w:val="0"/>
              <w:jc w:val="both"/>
              <w:rPr>
                <w:sz w:val="22"/>
                <w:szCs w:val="22"/>
                <w:lang w:val="sr-Latn-ME"/>
              </w:rPr>
            </w:pPr>
            <w:r w:rsidRPr="005A4F9F">
              <w:rPr>
                <w:sz w:val="22"/>
                <w:szCs w:val="22"/>
                <w:lang w:val="sr-Latn-ME"/>
              </w:rPr>
              <w:t>24. nedjelja: remisija prema ACR/EULAR (Boole), n (%)</w:t>
            </w:r>
          </w:p>
        </w:tc>
        <w:tc>
          <w:tcPr>
            <w:tcW w:w="595" w:type="pct"/>
            <w:tcMar>
              <w:top w:w="0" w:type="dxa"/>
              <w:left w:w="57" w:type="dxa"/>
              <w:bottom w:w="0" w:type="dxa"/>
              <w:right w:w="57" w:type="dxa"/>
            </w:tcMar>
            <w:vAlign w:val="center"/>
          </w:tcPr>
          <w:p w14:paraId="357234BE" w14:textId="77777777" w:rsidR="00D62AD2" w:rsidRPr="005A4F9F" w:rsidRDefault="00D62AD2">
            <w:pPr>
              <w:widowControl w:val="0"/>
              <w:jc w:val="both"/>
              <w:rPr>
                <w:sz w:val="22"/>
                <w:szCs w:val="22"/>
                <w:lang w:val="sr-Latn-ME"/>
              </w:rPr>
            </w:pPr>
            <w:r w:rsidRPr="005A4F9F">
              <w:rPr>
                <w:sz w:val="22"/>
                <w:szCs w:val="22"/>
                <w:lang w:val="sr-Latn-ME"/>
              </w:rPr>
              <w:t>47 (18,4)</w:t>
            </w:r>
            <w:r w:rsidRPr="005A4F9F">
              <w:rPr>
                <w:b/>
                <w:sz w:val="22"/>
                <w:szCs w:val="22"/>
                <w:vertAlign w:val="superscript"/>
                <w:lang w:val="sr-Latn-ME"/>
              </w:rPr>
              <w:t xml:space="preserve"> ‡</w:t>
            </w:r>
          </w:p>
        </w:tc>
        <w:tc>
          <w:tcPr>
            <w:tcW w:w="787" w:type="pct"/>
            <w:tcMar>
              <w:top w:w="0" w:type="dxa"/>
              <w:left w:w="57" w:type="dxa"/>
              <w:bottom w:w="0" w:type="dxa"/>
              <w:right w:w="57" w:type="dxa"/>
            </w:tcMar>
            <w:vAlign w:val="center"/>
          </w:tcPr>
          <w:p w14:paraId="795E3729" w14:textId="77777777" w:rsidR="00D62AD2" w:rsidRPr="005A4F9F" w:rsidRDefault="00D62AD2">
            <w:pPr>
              <w:widowControl w:val="0"/>
              <w:jc w:val="both"/>
              <w:rPr>
                <w:sz w:val="22"/>
                <w:szCs w:val="22"/>
                <w:lang w:val="sr-Latn-ME"/>
              </w:rPr>
            </w:pPr>
            <w:r w:rsidRPr="005A4F9F">
              <w:rPr>
                <w:sz w:val="22"/>
                <w:szCs w:val="22"/>
                <w:lang w:val="sr-Latn-ME"/>
              </w:rPr>
              <w:t>38 (14,2)</w:t>
            </w:r>
          </w:p>
        </w:tc>
        <w:tc>
          <w:tcPr>
            <w:tcW w:w="786" w:type="pct"/>
            <w:tcBorders>
              <w:right w:val="nil"/>
            </w:tcBorders>
          </w:tcPr>
          <w:p w14:paraId="2E770D71" w14:textId="77777777" w:rsidR="00D62AD2" w:rsidRPr="005A4F9F" w:rsidRDefault="00D62AD2">
            <w:pPr>
              <w:widowControl w:val="0"/>
              <w:jc w:val="both"/>
              <w:rPr>
                <w:sz w:val="22"/>
                <w:szCs w:val="22"/>
                <w:lang w:val="sr-Latn-ME"/>
              </w:rPr>
            </w:pPr>
            <w:r w:rsidRPr="005A4F9F">
              <w:rPr>
                <w:sz w:val="22"/>
                <w:szCs w:val="22"/>
                <w:lang w:val="sr-Latn-ME"/>
              </w:rPr>
              <w:t>43 (16,7)</w:t>
            </w:r>
            <w:r w:rsidRPr="005A4F9F">
              <w:rPr>
                <w:b/>
                <w:sz w:val="22"/>
                <w:szCs w:val="22"/>
                <w:vertAlign w:val="superscript"/>
                <w:lang w:val="sr-Latn-ME"/>
              </w:rPr>
              <w:t xml:space="preserve"> ‡</w:t>
            </w:r>
          </w:p>
        </w:tc>
        <w:tc>
          <w:tcPr>
            <w:tcW w:w="629" w:type="pct"/>
            <w:tcBorders>
              <w:top w:val="nil"/>
              <w:left w:val="nil"/>
              <w:bottom w:val="nil"/>
              <w:right w:val="single" w:sz="8" w:space="0" w:color="auto"/>
            </w:tcBorders>
            <w:tcMar>
              <w:top w:w="0" w:type="dxa"/>
              <w:left w:w="57" w:type="dxa"/>
              <w:bottom w:w="0" w:type="dxa"/>
              <w:right w:w="57" w:type="dxa"/>
            </w:tcMar>
            <w:vAlign w:val="center"/>
          </w:tcPr>
          <w:p w14:paraId="284B711C" w14:textId="77777777" w:rsidR="00D62AD2" w:rsidRPr="005A4F9F" w:rsidRDefault="00D62AD2">
            <w:pPr>
              <w:widowControl w:val="0"/>
              <w:jc w:val="both"/>
              <w:rPr>
                <w:sz w:val="22"/>
                <w:szCs w:val="22"/>
                <w:lang w:val="sr-Latn-ME"/>
              </w:rPr>
            </w:pPr>
            <w:r w:rsidRPr="005A4F9F">
              <w:rPr>
                <w:sz w:val="22"/>
                <w:szCs w:val="22"/>
                <w:lang w:val="sr-Latn-ME"/>
              </w:rPr>
              <w:t>25 (10,0)</w:t>
            </w:r>
          </w:p>
        </w:tc>
      </w:tr>
      <w:tr w:rsidR="00D62AD2" w:rsidRPr="005A4F9F" w14:paraId="4420B9B4" w14:textId="77777777" w:rsidTr="008B00DE">
        <w:trPr>
          <w:cantSplit/>
        </w:trPr>
        <w:tc>
          <w:tcPr>
            <w:tcW w:w="2202" w:type="pct"/>
            <w:gridSpan w:val="4"/>
            <w:tcBorders>
              <w:top w:val="nil"/>
              <w:left w:val="single" w:sz="4" w:space="0" w:color="auto"/>
              <w:bottom w:val="nil"/>
              <w:right w:val="nil"/>
            </w:tcBorders>
            <w:tcMar>
              <w:top w:w="0" w:type="dxa"/>
              <w:left w:w="57" w:type="dxa"/>
              <w:bottom w:w="0" w:type="dxa"/>
              <w:right w:w="57" w:type="dxa"/>
            </w:tcMar>
            <w:vAlign w:val="center"/>
          </w:tcPr>
          <w:p w14:paraId="17823562" w14:textId="77777777" w:rsidR="00D62AD2" w:rsidRPr="005A4F9F" w:rsidRDefault="00D62AD2">
            <w:pPr>
              <w:widowControl w:val="0"/>
              <w:jc w:val="both"/>
              <w:rPr>
                <w:sz w:val="22"/>
                <w:szCs w:val="22"/>
                <w:lang w:val="sr-Latn-ME"/>
              </w:rPr>
            </w:pPr>
            <w:r w:rsidRPr="005A4F9F">
              <w:rPr>
                <w:sz w:val="22"/>
                <w:szCs w:val="22"/>
                <w:lang w:val="sr-Latn-ME"/>
              </w:rPr>
              <w:t xml:space="preserve">      remisija prema ACR/EULAR (indeks bolesti), n (%)</w:t>
            </w:r>
          </w:p>
        </w:tc>
        <w:tc>
          <w:tcPr>
            <w:tcW w:w="595" w:type="pct"/>
            <w:tcMar>
              <w:top w:w="0" w:type="dxa"/>
              <w:left w:w="57" w:type="dxa"/>
              <w:bottom w:w="0" w:type="dxa"/>
              <w:right w:w="57" w:type="dxa"/>
            </w:tcMar>
            <w:vAlign w:val="center"/>
          </w:tcPr>
          <w:p w14:paraId="7946B7B5" w14:textId="77777777" w:rsidR="00D62AD2" w:rsidRPr="005A4F9F" w:rsidRDefault="00D62AD2">
            <w:pPr>
              <w:widowControl w:val="0"/>
              <w:jc w:val="both"/>
              <w:rPr>
                <w:sz w:val="22"/>
                <w:szCs w:val="22"/>
                <w:lang w:val="sr-Latn-ME"/>
              </w:rPr>
            </w:pPr>
            <w:r w:rsidRPr="005A4F9F">
              <w:rPr>
                <w:sz w:val="22"/>
                <w:szCs w:val="22"/>
                <w:lang w:val="sr-Latn-ME"/>
              </w:rPr>
              <w:t>73 (28,5)</w:t>
            </w:r>
            <w:r w:rsidRPr="005A4F9F">
              <w:rPr>
                <w:b/>
                <w:sz w:val="22"/>
                <w:szCs w:val="22"/>
                <w:vertAlign w:val="superscript"/>
                <w:lang w:val="sr-Latn-ME"/>
              </w:rPr>
              <w:t xml:space="preserve"> ‡</w:t>
            </w:r>
          </w:p>
        </w:tc>
        <w:tc>
          <w:tcPr>
            <w:tcW w:w="787" w:type="pct"/>
            <w:tcMar>
              <w:top w:w="0" w:type="dxa"/>
              <w:left w:w="57" w:type="dxa"/>
              <w:bottom w:w="0" w:type="dxa"/>
              <w:right w:w="57" w:type="dxa"/>
            </w:tcMar>
            <w:vAlign w:val="center"/>
          </w:tcPr>
          <w:p w14:paraId="2902830E" w14:textId="77777777" w:rsidR="00D62AD2" w:rsidRPr="005A4F9F" w:rsidRDefault="00D62AD2">
            <w:pPr>
              <w:widowControl w:val="0"/>
              <w:jc w:val="both"/>
              <w:rPr>
                <w:sz w:val="22"/>
                <w:szCs w:val="22"/>
                <w:lang w:val="sr-Latn-ME"/>
              </w:rPr>
            </w:pPr>
            <w:r w:rsidRPr="005A4F9F">
              <w:rPr>
                <w:sz w:val="22"/>
                <w:szCs w:val="22"/>
                <w:lang w:val="sr-Latn-ME"/>
              </w:rPr>
              <w:t>60 (22,6)</w:t>
            </w:r>
          </w:p>
        </w:tc>
        <w:tc>
          <w:tcPr>
            <w:tcW w:w="786" w:type="pct"/>
            <w:tcBorders>
              <w:right w:val="nil"/>
            </w:tcBorders>
          </w:tcPr>
          <w:p w14:paraId="606A83EE" w14:textId="77777777" w:rsidR="00D62AD2" w:rsidRPr="005A4F9F" w:rsidRDefault="00D62AD2">
            <w:pPr>
              <w:widowControl w:val="0"/>
              <w:jc w:val="both"/>
              <w:rPr>
                <w:sz w:val="22"/>
                <w:szCs w:val="22"/>
                <w:lang w:val="sr-Latn-ME"/>
              </w:rPr>
            </w:pPr>
            <w:r w:rsidRPr="005A4F9F">
              <w:rPr>
                <w:sz w:val="22"/>
                <w:szCs w:val="22"/>
                <w:lang w:val="sr-Latn-ME"/>
              </w:rPr>
              <w:t>58 (22,6)</w:t>
            </w:r>
          </w:p>
        </w:tc>
        <w:tc>
          <w:tcPr>
            <w:tcW w:w="629" w:type="pct"/>
            <w:tcBorders>
              <w:top w:val="nil"/>
              <w:left w:val="nil"/>
              <w:bottom w:val="nil"/>
              <w:right w:val="single" w:sz="8" w:space="0" w:color="auto"/>
            </w:tcBorders>
            <w:tcMar>
              <w:top w:w="0" w:type="dxa"/>
              <w:left w:w="57" w:type="dxa"/>
              <w:bottom w:w="0" w:type="dxa"/>
              <w:right w:w="57" w:type="dxa"/>
            </w:tcMar>
            <w:vAlign w:val="center"/>
          </w:tcPr>
          <w:p w14:paraId="7154251D" w14:textId="77777777" w:rsidR="00D62AD2" w:rsidRPr="005A4F9F" w:rsidRDefault="00D62AD2">
            <w:pPr>
              <w:widowControl w:val="0"/>
              <w:jc w:val="both"/>
              <w:rPr>
                <w:sz w:val="22"/>
                <w:szCs w:val="22"/>
                <w:lang w:val="sr-Latn-ME"/>
              </w:rPr>
            </w:pPr>
            <w:r w:rsidRPr="005A4F9F">
              <w:rPr>
                <w:sz w:val="22"/>
                <w:szCs w:val="22"/>
                <w:lang w:val="sr-Latn-ME"/>
              </w:rPr>
              <w:t>41 (16,4)</w:t>
            </w:r>
          </w:p>
        </w:tc>
      </w:tr>
      <w:tr w:rsidR="00D62AD2" w:rsidRPr="005A4F9F" w14:paraId="472EED8E" w14:textId="77777777" w:rsidTr="008B00DE">
        <w:trPr>
          <w:cantSplit/>
        </w:trPr>
        <w:tc>
          <w:tcPr>
            <w:tcW w:w="2202" w:type="pct"/>
            <w:gridSpan w:val="4"/>
            <w:tcBorders>
              <w:top w:val="nil"/>
              <w:left w:val="single" w:sz="4" w:space="0" w:color="auto"/>
              <w:bottom w:val="nil"/>
              <w:right w:val="nil"/>
            </w:tcBorders>
            <w:tcMar>
              <w:top w:w="0" w:type="dxa"/>
              <w:left w:w="57" w:type="dxa"/>
              <w:bottom w:w="0" w:type="dxa"/>
              <w:right w:w="57" w:type="dxa"/>
            </w:tcMar>
            <w:vAlign w:val="center"/>
          </w:tcPr>
          <w:p w14:paraId="36810515" w14:textId="77777777" w:rsidR="00D62AD2" w:rsidRPr="005A4F9F" w:rsidRDefault="00D62AD2">
            <w:pPr>
              <w:widowControl w:val="0"/>
              <w:jc w:val="both"/>
              <w:rPr>
                <w:sz w:val="22"/>
                <w:szCs w:val="22"/>
                <w:lang w:val="sr-Latn-ME"/>
              </w:rPr>
            </w:pPr>
            <w:r w:rsidRPr="005A4F9F">
              <w:rPr>
                <w:sz w:val="22"/>
                <w:szCs w:val="22"/>
                <w:lang w:val="sr-Latn-ME"/>
              </w:rPr>
              <w:t>52. nedjelja: remisija prema ACR/EULAR (Boole), n (%)</w:t>
            </w:r>
          </w:p>
        </w:tc>
        <w:tc>
          <w:tcPr>
            <w:tcW w:w="595" w:type="pct"/>
            <w:tcMar>
              <w:top w:w="0" w:type="dxa"/>
              <w:left w:w="57" w:type="dxa"/>
              <w:bottom w:w="0" w:type="dxa"/>
              <w:right w:w="57" w:type="dxa"/>
            </w:tcMar>
            <w:vAlign w:val="center"/>
          </w:tcPr>
          <w:p w14:paraId="0EACD68A" w14:textId="77777777" w:rsidR="00D62AD2" w:rsidRPr="005A4F9F" w:rsidRDefault="00D62AD2">
            <w:pPr>
              <w:widowControl w:val="0"/>
              <w:jc w:val="both"/>
              <w:rPr>
                <w:sz w:val="22"/>
                <w:szCs w:val="22"/>
                <w:lang w:val="sr-Latn-ME"/>
              </w:rPr>
            </w:pPr>
            <w:r w:rsidRPr="005A4F9F">
              <w:rPr>
                <w:sz w:val="22"/>
                <w:szCs w:val="22"/>
                <w:lang w:val="sr-Latn-ME"/>
              </w:rPr>
              <w:t>59 (25,7)</w:t>
            </w:r>
            <w:r w:rsidRPr="005A4F9F">
              <w:rPr>
                <w:b/>
                <w:sz w:val="22"/>
                <w:szCs w:val="22"/>
                <w:vertAlign w:val="superscript"/>
                <w:lang w:val="sr-Latn-ME"/>
              </w:rPr>
              <w:t xml:space="preserve"> ‡</w:t>
            </w:r>
          </w:p>
        </w:tc>
        <w:tc>
          <w:tcPr>
            <w:tcW w:w="787" w:type="pct"/>
            <w:tcMar>
              <w:top w:w="0" w:type="dxa"/>
              <w:left w:w="57" w:type="dxa"/>
              <w:bottom w:w="0" w:type="dxa"/>
              <w:right w:w="57" w:type="dxa"/>
            </w:tcMar>
            <w:vAlign w:val="center"/>
          </w:tcPr>
          <w:p w14:paraId="17AF32CB" w14:textId="77777777" w:rsidR="00D62AD2" w:rsidRPr="005A4F9F" w:rsidRDefault="00D62AD2">
            <w:pPr>
              <w:widowControl w:val="0"/>
              <w:jc w:val="both"/>
              <w:rPr>
                <w:sz w:val="22"/>
                <w:szCs w:val="22"/>
                <w:lang w:val="sr-Latn-ME"/>
              </w:rPr>
            </w:pPr>
            <w:r w:rsidRPr="005A4F9F">
              <w:rPr>
                <w:sz w:val="22"/>
                <w:szCs w:val="22"/>
                <w:lang w:val="sr-Latn-ME"/>
              </w:rPr>
              <w:t>43 (18,7)</w:t>
            </w:r>
          </w:p>
        </w:tc>
        <w:tc>
          <w:tcPr>
            <w:tcW w:w="786" w:type="pct"/>
            <w:tcBorders>
              <w:right w:val="nil"/>
            </w:tcBorders>
          </w:tcPr>
          <w:p w14:paraId="373C543D" w14:textId="77777777" w:rsidR="00D62AD2" w:rsidRPr="005A4F9F" w:rsidRDefault="00D62AD2">
            <w:pPr>
              <w:widowControl w:val="0"/>
              <w:jc w:val="both"/>
              <w:rPr>
                <w:sz w:val="22"/>
                <w:szCs w:val="22"/>
                <w:lang w:val="sr-Latn-ME"/>
              </w:rPr>
            </w:pPr>
            <w:r w:rsidRPr="005A4F9F">
              <w:rPr>
                <w:sz w:val="22"/>
                <w:szCs w:val="22"/>
                <w:lang w:val="sr-Latn-ME"/>
              </w:rPr>
              <w:t>48 (21,1)</w:t>
            </w:r>
          </w:p>
        </w:tc>
        <w:tc>
          <w:tcPr>
            <w:tcW w:w="629" w:type="pct"/>
            <w:tcBorders>
              <w:top w:val="nil"/>
              <w:left w:val="nil"/>
              <w:bottom w:val="nil"/>
              <w:right w:val="single" w:sz="4" w:space="0" w:color="auto"/>
            </w:tcBorders>
            <w:tcMar>
              <w:top w:w="0" w:type="dxa"/>
              <w:left w:w="57" w:type="dxa"/>
              <w:bottom w:w="0" w:type="dxa"/>
              <w:right w:w="57" w:type="dxa"/>
            </w:tcMar>
            <w:vAlign w:val="center"/>
          </w:tcPr>
          <w:p w14:paraId="20786E5F" w14:textId="77777777" w:rsidR="00D62AD2" w:rsidRPr="005A4F9F" w:rsidRDefault="00D62AD2">
            <w:pPr>
              <w:widowControl w:val="0"/>
              <w:jc w:val="both"/>
              <w:rPr>
                <w:sz w:val="22"/>
                <w:szCs w:val="22"/>
                <w:lang w:val="sr-Latn-ME"/>
              </w:rPr>
            </w:pPr>
            <w:r w:rsidRPr="005A4F9F">
              <w:rPr>
                <w:sz w:val="22"/>
                <w:szCs w:val="22"/>
                <w:lang w:val="sr-Latn-ME"/>
              </w:rPr>
              <w:t>34 (15,5)</w:t>
            </w:r>
          </w:p>
        </w:tc>
      </w:tr>
      <w:tr w:rsidR="00D62AD2" w:rsidRPr="005A4F9F" w14:paraId="687E7DF5" w14:textId="77777777" w:rsidTr="008B00DE">
        <w:trPr>
          <w:cantSplit/>
        </w:trPr>
        <w:tc>
          <w:tcPr>
            <w:tcW w:w="2202" w:type="pct"/>
            <w:gridSpan w:val="4"/>
            <w:tcBorders>
              <w:top w:val="nil"/>
              <w:left w:val="single" w:sz="4" w:space="0" w:color="auto"/>
              <w:bottom w:val="single" w:sz="4" w:space="0" w:color="auto"/>
              <w:right w:val="nil"/>
            </w:tcBorders>
            <w:tcMar>
              <w:top w:w="0" w:type="dxa"/>
              <w:left w:w="57" w:type="dxa"/>
              <w:bottom w:w="0" w:type="dxa"/>
              <w:right w:w="57" w:type="dxa"/>
            </w:tcMar>
            <w:vAlign w:val="center"/>
          </w:tcPr>
          <w:p w14:paraId="6E5C3F85" w14:textId="77777777" w:rsidR="00D62AD2" w:rsidRPr="005A4F9F" w:rsidRDefault="00D62AD2">
            <w:pPr>
              <w:widowControl w:val="0"/>
              <w:jc w:val="both"/>
              <w:rPr>
                <w:sz w:val="22"/>
                <w:szCs w:val="22"/>
                <w:lang w:val="sr-Latn-ME"/>
              </w:rPr>
            </w:pPr>
            <w:r w:rsidRPr="005A4F9F">
              <w:rPr>
                <w:sz w:val="22"/>
                <w:szCs w:val="22"/>
                <w:lang w:val="sr-Latn-ME"/>
              </w:rPr>
              <w:t xml:space="preserve">      remisija prema ACR/EULAR (indeks bolesti), n (%)</w:t>
            </w:r>
          </w:p>
        </w:tc>
        <w:tc>
          <w:tcPr>
            <w:tcW w:w="595" w:type="pct"/>
            <w:tcBorders>
              <w:top w:val="nil"/>
              <w:left w:val="nil"/>
              <w:bottom w:val="single" w:sz="4" w:space="0" w:color="auto"/>
              <w:right w:val="nil"/>
            </w:tcBorders>
            <w:tcMar>
              <w:top w:w="0" w:type="dxa"/>
              <w:left w:w="57" w:type="dxa"/>
              <w:bottom w:w="0" w:type="dxa"/>
              <w:right w:w="57" w:type="dxa"/>
            </w:tcMar>
            <w:vAlign w:val="center"/>
          </w:tcPr>
          <w:p w14:paraId="63FDB079" w14:textId="77777777" w:rsidR="00D62AD2" w:rsidRPr="005A4F9F" w:rsidRDefault="00D62AD2">
            <w:pPr>
              <w:widowControl w:val="0"/>
              <w:jc w:val="both"/>
              <w:rPr>
                <w:sz w:val="22"/>
                <w:szCs w:val="22"/>
                <w:lang w:val="sr-Latn-ME"/>
              </w:rPr>
            </w:pPr>
            <w:r w:rsidRPr="005A4F9F">
              <w:rPr>
                <w:sz w:val="22"/>
                <w:szCs w:val="22"/>
                <w:lang w:val="sr-Latn-ME"/>
              </w:rPr>
              <w:t>83 (36,1)</w:t>
            </w:r>
            <w:r w:rsidRPr="005A4F9F">
              <w:rPr>
                <w:b/>
                <w:sz w:val="22"/>
                <w:szCs w:val="22"/>
                <w:vertAlign w:val="superscript"/>
                <w:lang w:val="sr-Latn-ME"/>
              </w:rPr>
              <w:t xml:space="preserve"> ‡</w:t>
            </w:r>
          </w:p>
        </w:tc>
        <w:tc>
          <w:tcPr>
            <w:tcW w:w="787" w:type="pct"/>
            <w:tcBorders>
              <w:top w:val="nil"/>
              <w:left w:val="nil"/>
              <w:bottom w:val="single" w:sz="4" w:space="0" w:color="auto"/>
              <w:right w:val="nil"/>
            </w:tcBorders>
            <w:tcMar>
              <w:top w:w="0" w:type="dxa"/>
              <w:left w:w="57" w:type="dxa"/>
              <w:bottom w:w="0" w:type="dxa"/>
              <w:right w:w="57" w:type="dxa"/>
            </w:tcMar>
            <w:vAlign w:val="center"/>
          </w:tcPr>
          <w:p w14:paraId="1668062C" w14:textId="77777777" w:rsidR="00D62AD2" w:rsidRPr="005A4F9F" w:rsidRDefault="00D62AD2">
            <w:pPr>
              <w:widowControl w:val="0"/>
              <w:jc w:val="both"/>
              <w:rPr>
                <w:sz w:val="22"/>
                <w:szCs w:val="22"/>
                <w:lang w:val="sr-Latn-ME"/>
              </w:rPr>
            </w:pPr>
            <w:r w:rsidRPr="005A4F9F">
              <w:rPr>
                <w:sz w:val="22"/>
                <w:szCs w:val="22"/>
                <w:lang w:val="sr-Latn-ME"/>
              </w:rPr>
              <w:t>69 (30,0)</w:t>
            </w:r>
          </w:p>
        </w:tc>
        <w:tc>
          <w:tcPr>
            <w:tcW w:w="786" w:type="pct"/>
            <w:tcBorders>
              <w:top w:val="nil"/>
              <w:left w:val="nil"/>
              <w:bottom w:val="single" w:sz="4" w:space="0" w:color="auto"/>
              <w:right w:val="nil"/>
            </w:tcBorders>
          </w:tcPr>
          <w:p w14:paraId="2FC19543" w14:textId="77777777" w:rsidR="00D62AD2" w:rsidRPr="005A4F9F" w:rsidRDefault="00D62AD2">
            <w:pPr>
              <w:widowControl w:val="0"/>
              <w:jc w:val="both"/>
              <w:rPr>
                <w:sz w:val="22"/>
                <w:szCs w:val="22"/>
                <w:lang w:val="sr-Latn-ME"/>
              </w:rPr>
            </w:pPr>
            <w:r w:rsidRPr="005A4F9F">
              <w:rPr>
                <w:sz w:val="22"/>
                <w:szCs w:val="22"/>
                <w:lang w:val="sr-Latn-ME"/>
              </w:rPr>
              <w:t>66 (29,3)</w:t>
            </w:r>
          </w:p>
        </w:tc>
        <w:tc>
          <w:tcPr>
            <w:tcW w:w="629" w:type="pct"/>
            <w:tcBorders>
              <w:top w:val="nil"/>
              <w:left w:val="nil"/>
              <w:bottom w:val="single" w:sz="4" w:space="0" w:color="auto"/>
              <w:right w:val="single" w:sz="8" w:space="0" w:color="auto"/>
            </w:tcBorders>
            <w:tcMar>
              <w:top w:w="0" w:type="dxa"/>
              <w:left w:w="57" w:type="dxa"/>
              <w:bottom w:w="0" w:type="dxa"/>
              <w:right w:w="57" w:type="dxa"/>
            </w:tcMar>
            <w:vAlign w:val="center"/>
          </w:tcPr>
          <w:p w14:paraId="3087E58F" w14:textId="77777777" w:rsidR="00D62AD2" w:rsidRPr="005A4F9F" w:rsidRDefault="00D62AD2">
            <w:pPr>
              <w:widowControl w:val="0"/>
              <w:jc w:val="both"/>
              <w:rPr>
                <w:sz w:val="22"/>
                <w:szCs w:val="22"/>
                <w:lang w:val="sr-Latn-ME"/>
              </w:rPr>
            </w:pPr>
            <w:r w:rsidRPr="005A4F9F">
              <w:rPr>
                <w:sz w:val="22"/>
                <w:szCs w:val="22"/>
                <w:lang w:val="sr-Latn-ME"/>
              </w:rPr>
              <w:t>49 (22,4)</w:t>
            </w:r>
          </w:p>
        </w:tc>
      </w:tr>
    </w:tbl>
    <w:p w14:paraId="57B30621" w14:textId="77777777" w:rsidR="00D62AD2" w:rsidRPr="005A4F9F" w:rsidRDefault="00D62AD2">
      <w:pPr>
        <w:widowControl w:val="0"/>
        <w:jc w:val="both"/>
        <w:rPr>
          <w:i/>
          <w:sz w:val="22"/>
          <w:szCs w:val="22"/>
          <w:lang w:val="sr-Latn-ME"/>
        </w:rPr>
      </w:pPr>
      <w:r w:rsidRPr="005A4F9F">
        <w:rPr>
          <w:i/>
          <w:sz w:val="22"/>
          <w:szCs w:val="22"/>
          <w:lang w:val="sr-Latn-ME"/>
        </w:rPr>
        <w:t>mTSS - modifikovani ukupni zbroj bodova na Sharp skali</w:t>
      </w:r>
    </w:p>
    <w:p w14:paraId="5AFA21E0" w14:textId="77777777" w:rsidR="007D6E02" w:rsidRPr="008B00DE" w:rsidRDefault="00D62AD2" w:rsidP="008B00DE">
      <w:pPr>
        <w:widowControl w:val="0"/>
        <w:jc w:val="both"/>
        <w:rPr>
          <w:rFonts w:eastAsia="SimSun"/>
          <w:bCs/>
          <w:iCs/>
          <w:sz w:val="22"/>
          <w:szCs w:val="22"/>
          <w:lang w:val="sr-Latn-ME" w:eastAsia="zh-CN"/>
        </w:rPr>
      </w:pPr>
      <w:r w:rsidRPr="005A4F9F">
        <w:rPr>
          <w:i/>
          <w:sz w:val="22"/>
          <w:szCs w:val="22"/>
          <w:lang w:val="sr-Latn-ME"/>
        </w:rPr>
        <w:t>JSN - stepen suženja zglobnog prostora</w:t>
      </w:r>
      <w:r w:rsidR="007D6E02" w:rsidRPr="005A4F9F">
        <w:rPr>
          <w:i/>
          <w:sz w:val="22"/>
          <w:szCs w:val="22"/>
          <w:lang w:val="sr-Latn-ME"/>
        </w:rPr>
        <w:br/>
      </w:r>
      <w:r w:rsidR="007D6E02" w:rsidRPr="008B00DE">
        <w:rPr>
          <w:rFonts w:eastAsia="SimSun"/>
          <w:bCs/>
          <w:iCs/>
          <w:sz w:val="22"/>
          <w:szCs w:val="22"/>
          <w:lang w:val="sr-Latn-ME" w:eastAsia="zh-CN"/>
        </w:rPr>
        <w:t>TCZ</w:t>
      </w:r>
      <w:bookmarkStart w:id="1" w:name="_Hlk174453220"/>
      <w:r w:rsidR="007D6E02" w:rsidRPr="008B00DE">
        <w:rPr>
          <w:rFonts w:eastAsia="SimSun"/>
          <w:bCs/>
          <w:iCs/>
          <w:sz w:val="22"/>
          <w:szCs w:val="22"/>
          <w:lang w:val="sr-Latn-ME" w:eastAsia="zh-CN"/>
        </w:rPr>
        <w:t xml:space="preserve"> -</w:t>
      </w:r>
      <w:bookmarkEnd w:id="1"/>
      <w:r w:rsidR="007D6E02" w:rsidRPr="008B00DE">
        <w:rPr>
          <w:rFonts w:eastAsia="SimSun"/>
          <w:bCs/>
          <w:iCs/>
          <w:sz w:val="22"/>
          <w:szCs w:val="22"/>
          <w:lang w:val="sr-Latn-ME" w:eastAsia="zh-CN"/>
        </w:rPr>
        <w:t xml:space="preserve"> tocilizumab</w:t>
      </w:r>
    </w:p>
    <w:p w14:paraId="48F270FB" w14:textId="77777777" w:rsidR="007D6E02" w:rsidRPr="008B00DE" w:rsidRDefault="007D6E02" w:rsidP="008B00DE">
      <w:pPr>
        <w:widowControl w:val="0"/>
        <w:jc w:val="both"/>
        <w:rPr>
          <w:rFonts w:eastAsia="SimSun"/>
          <w:bCs/>
          <w:iCs/>
          <w:sz w:val="22"/>
          <w:szCs w:val="22"/>
          <w:lang w:val="sr-Latn-ME" w:eastAsia="zh-CN"/>
        </w:rPr>
      </w:pPr>
      <w:r w:rsidRPr="008B00DE">
        <w:rPr>
          <w:rFonts w:eastAsia="SimSun"/>
          <w:bCs/>
          <w:iCs/>
          <w:sz w:val="22"/>
          <w:szCs w:val="22"/>
          <w:lang w:val="sr-Latn-ME" w:eastAsia="zh-CN"/>
        </w:rPr>
        <w:t>MTX - metotreksat</w:t>
      </w:r>
    </w:p>
    <w:p w14:paraId="09FF0FEF" w14:textId="5EE1D634" w:rsidR="00D62AD2" w:rsidRPr="008B00DE" w:rsidRDefault="007D6E02" w:rsidP="008B00DE">
      <w:pPr>
        <w:widowControl w:val="0"/>
        <w:jc w:val="both"/>
        <w:rPr>
          <w:rFonts w:eastAsia="SimSun"/>
          <w:bCs/>
          <w:iCs/>
          <w:sz w:val="22"/>
          <w:szCs w:val="22"/>
          <w:lang w:val="sr-Latn-ME" w:eastAsia="zh-CN"/>
        </w:rPr>
      </w:pPr>
      <w:r w:rsidRPr="008B00DE">
        <w:rPr>
          <w:rFonts w:eastAsia="SimSun"/>
          <w:bCs/>
          <w:iCs/>
          <w:sz w:val="22"/>
          <w:szCs w:val="22"/>
          <w:lang w:val="sr-Latn-ME" w:eastAsia="zh-CN"/>
        </w:rPr>
        <w:t>ACR - kriteriji Američkog društva za reumatologiju</w:t>
      </w:r>
    </w:p>
    <w:p w14:paraId="1913058A" w14:textId="77777777" w:rsidR="00D62AD2" w:rsidRPr="008B00DE" w:rsidRDefault="00D62AD2">
      <w:pPr>
        <w:widowControl w:val="0"/>
        <w:jc w:val="both"/>
        <w:rPr>
          <w:sz w:val="22"/>
          <w:szCs w:val="22"/>
          <w:lang w:val="sr-Latn-ME"/>
        </w:rPr>
      </w:pPr>
      <w:r w:rsidRPr="008B00DE">
        <w:rPr>
          <w:sz w:val="22"/>
          <w:szCs w:val="22"/>
          <w:lang w:val="sr-Latn-ME"/>
        </w:rPr>
        <w:t>Sva poređenja efikasnosti naspram placeba + MTX</w:t>
      </w:r>
      <w:r w:rsidRPr="008B00DE">
        <w:rPr>
          <w:sz w:val="22"/>
          <w:szCs w:val="22"/>
          <w:lang w:val="sr-Latn-ME"/>
        </w:rPr>
        <w:noBreakHyphen/>
        <w:t xml:space="preserve">a. ***p≤0,0001; **p&lt;0,001; *p&lt;0,05; </w:t>
      </w:r>
    </w:p>
    <w:p w14:paraId="09C83E14" w14:textId="77777777" w:rsidR="00D62AD2" w:rsidRPr="008B00DE" w:rsidRDefault="00D62AD2">
      <w:pPr>
        <w:widowControl w:val="0"/>
        <w:jc w:val="both"/>
        <w:rPr>
          <w:sz w:val="22"/>
          <w:szCs w:val="22"/>
          <w:lang w:val="sr-Latn-ME"/>
        </w:rPr>
      </w:pPr>
      <w:r w:rsidRPr="008B00DE">
        <w:rPr>
          <w:sz w:val="22"/>
          <w:szCs w:val="22"/>
          <w:lang w:val="sr-Latn-ME"/>
        </w:rPr>
        <w:t>‡p-vrijednost &lt; 0,05 naspram placeba + MTX</w:t>
      </w:r>
      <w:r w:rsidRPr="008B00DE">
        <w:rPr>
          <w:sz w:val="22"/>
          <w:szCs w:val="22"/>
          <w:lang w:val="sr-Latn-ME"/>
        </w:rPr>
        <w:noBreakHyphen/>
        <w:t>a, ali je mjera ishoda bila eksploracijska (nije uključena u hijerarhiju statističkih testova i zbog toga nije kontrolisana za multiplicitet)</w:t>
      </w:r>
    </w:p>
    <w:p w14:paraId="6202288E" w14:textId="77777777" w:rsidR="00E30DE1" w:rsidRPr="005A4F9F" w:rsidRDefault="00E30DE1">
      <w:pPr>
        <w:widowControl w:val="0"/>
        <w:jc w:val="both"/>
        <w:rPr>
          <w:sz w:val="22"/>
          <w:szCs w:val="22"/>
          <w:u w:val="single"/>
          <w:lang w:val="sr-Latn-ME"/>
        </w:rPr>
      </w:pPr>
    </w:p>
    <w:p w14:paraId="07DABEA2" w14:textId="77777777" w:rsidR="00BF249E" w:rsidRPr="005A4F9F" w:rsidRDefault="00BF249E">
      <w:pPr>
        <w:widowControl w:val="0"/>
        <w:jc w:val="both"/>
        <w:rPr>
          <w:rFonts w:eastAsia="MS PGothic"/>
          <w:b/>
          <w:bCs/>
          <w:iCs/>
          <w:color w:val="000000"/>
          <w:sz w:val="22"/>
          <w:szCs w:val="22"/>
          <w:u w:val="single"/>
          <w:lang w:val="sr-Latn-ME"/>
        </w:rPr>
      </w:pPr>
      <w:r w:rsidRPr="005A4F9F">
        <w:rPr>
          <w:rFonts w:eastAsia="MS PGothic"/>
          <w:b/>
          <w:bCs/>
          <w:iCs/>
          <w:color w:val="000000"/>
          <w:sz w:val="22"/>
          <w:szCs w:val="22"/>
          <w:u w:val="single"/>
          <w:lang w:val="sr-Latn-ME"/>
        </w:rPr>
        <w:t xml:space="preserve">COVID-19 </w:t>
      </w:r>
    </w:p>
    <w:p w14:paraId="6DD007AB" w14:textId="77777777" w:rsidR="00BF249E" w:rsidRPr="005A4F9F" w:rsidRDefault="00BF249E">
      <w:pPr>
        <w:widowControl w:val="0"/>
        <w:jc w:val="both"/>
        <w:rPr>
          <w:rFonts w:eastAsia="MS PGothic"/>
          <w:color w:val="000000"/>
          <w:sz w:val="22"/>
          <w:szCs w:val="22"/>
          <w:u w:val="single"/>
          <w:lang w:val="sr-Latn-ME"/>
        </w:rPr>
      </w:pPr>
      <w:r w:rsidRPr="005A4F9F">
        <w:rPr>
          <w:rFonts w:eastAsia="MS PGothic"/>
          <w:color w:val="000000"/>
          <w:sz w:val="22"/>
          <w:szCs w:val="22"/>
          <w:u w:val="single"/>
          <w:lang w:val="sr-Latn-ME"/>
        </w:rPr>
        <w:t>Klinička efikasnost</w:t>
      </w:r>
    </w:p>
    <w:p w14:paraId="60C31B83" w14:textId="77777777" w:rsidR="00BF249E" w:rsidRPr="005A4F9F" w:rsidRDefault="00BF249E">
      <w:pPr>
        <w:widowControl w:val="0"/>
        <w:jc w:val="both"/>
        <w:rPr>
          <w:rFonts w:eastAsia="MS PGothic"/>
          <w:color w:val="000000"/>
          <w:sz w:val="22"/>
          <w:szCs w:val="22"/>
          <w:lang w:val="sr-Latn-ME"/>
        </w:rPr>
      </w:pPr>
    </w:p>
    <w:p w14:paraId="38035C1D" w14:textId="77777777" w:rsidR="00BF249E" w:rsidRPr="005A4F9F" w:rsidRDefault="00BF249E">
      <w:pPr>
        <w:widowControl w:val="0"/>
        <w:jc w:val="both"/>
        <w:rPr>
          <w:rFonts w:eastAsia="MS PGothic"/>
          <w:b/>
          <w:color w:val="000000"/>
          <w:sz w:val="22"/>
          <w:szCs w:val="22"/>
          <w:lang w:val="sr-Latn-ME"/>
        </w:rPr>
      </w:pPr>
      <w:r w:rsidRPr="005A4F9F">
        <w:rPr>
          <w:rFonts w:eastAsia="MS PGothic"/>
          <w:b/>
          <w:color w:val="000000"/>
          <w:sz w:val="22"/>
          <w:szCs w:val="22"/>
          <w:lang w:val="sr-Latn-ME"/>
        </w:rPr>
        <w:t xml:space="preserve">RECOVERY (randomizirana ocjena terapije za COVID-19) - kolaborativno grupno ispitivanje </w:t>
      </w:r>
      <w:r w:rsidR="0002036E" w:rsidRPr="005A4F9F">
        <w:rPr>
          <w:rFonts w:eastAsia="MS PGothic"/>
          <w:b/>
          <w:color w:val="000000"/>
          <w:sz w:val="22"/>
          <w:szCs w:val="22"/>
          <w:lang w:val="sr-Latn-ME"/>
        </w:rPr>
        <w:t xml:space="preserve">kod </w:t>
      </w:r>
      <w:r w:rsidRPr="005A4F9F">
        <w:rPr>
          <w:rFonts w:eastAsia="MS PGothic"/>
          <w:b/>
          <w:color w:val="000000"/>
          <w:sz w:val="22"/>
          <w:szCs w:val="22"/>
          <w:lang w:val="sr-Latn-ME"/>
        </w:rPr>
        <w:t>hospitalizovanih odraslih osoba kojima je dijagnosti</w:t>
      </w:r>
      <w:r w:rsidR="004B054F" w:rsidRPr="005A4F9F">
        <w:rPr>
          <w:rFonts w:eastAsia="MS PGothic"/>
          <w:b/>
          <w:color w:val="000000"/>
          <w:sz w:val="22"/>
          <w:szCs w:val="22"/>
          <w:lang w:val="sr-Latn-ME"/>
        </w:rPr>
        <w:t>kovan</w:t>
      </w:r>
      <w:r w:rsidRPr="005A4F9F">
        <w:rPr>
          <w:rFonts w:eastAsia="MS PGothic"/>
          <w:b/>
          <w:color w:val="000000"/>
          <w:sz w:val="22"/>
          <w:szCs w:val="22"/>
          <w:lang w:val="sr-Latn-ME"/>
        </w:rPr>
        <w:t xml:space="preserve"> COVID-19</w:t>
      </w:r>
    </w:p>
    <w:p w14:paraId="73F1911C" w14:textId="77777777" w:rsidR="00BF249E" w:rsidRPr="005A4F9F" w:rsidRDefault="00BF249E">
      <w:pPr>
        <w:widowControl w:val="0"/>
        <w:jc w:val="both"/>
        <w:rPr>
          <w:rFonts w:eastAsia="MS PGothic"/>
          <w:b/>
          <w:color w:val="000000"/>
          <w:sz w:val="22"/>
          <w:szCs w:val="22"/>
          <w:lang w:val="sr-Latn-ME"/>
        </w:rPr>
      </w:pPr>
      <w:r w:rsidRPr="005A4F9F">
        <w:rPr>
          <w:rFonts w:eastAsia="MS PGothic"/>
          <w:b/>
          <w:color w:val="000000"/>
          <w:sz w:val="22"/>
          <w:szCs w:val="22"/>
          <w:lang w:val="sr-Latn-ME"/>
        </w:rPr>
        <w:t xml:space="preserve"> </w:t>
      </w:r>
    </w:p>
    <w:p w14:paraId="1558D171" w14:textId="77777777" w:rsidR="00BF249E" w:rsidRPr="005A4F9F" w:rsidRDefault="00BF249E">
      <w:pPr>
        <w:widowControl w:val="0"/>
        <w:jc w:val="both"/>
        <w:rPr>
          <w:sz w:val="22"/>
          <w:szCs w:val="22"/>
          <w:lang w:val="sr-Latn-ME"/>
        </w:rPr>
      </w:pPr>
      <w:r w:rsidRPr="005A4F9F">
        <w:rPr>
          <w:sz w:val="22"/>
          <w:szCs w:val="22"/>
          <w:lang w:val="sr-Latn-ME"/>
        </w:rPr>
        <w:t>RECOVERY je bilo veliko, randomizovano, kontrolisano, otvoreno, multicentrično, platformno ispitivanje sprovedeno u Ujedinjenom Kraljevstvu radi procjene efikasnosti i bezbjednosti potencijalnih terapija kod hospitalizovanih odraslih pacijenata s teškim oblikom COVID</w:t>
      </w:r>
      <w:r w:rsidRPr="005A4F9F">
        <w:rPr>
          <w:sz w:val="22"/>
          <w:szCs w:val="22"/>
          <w:lang w:val="sr-Latn-ME"/>
        </w:rPr>
        <w:noBreakHyphen/>
        <w:t>19 infekcije. Svi pogodni pacijenti primali su uobičajenu terapiju te su podvrgnuti početnoj (glavnoj) randomizaciji. Pacijenti pogodni za uključivanje u ispitivanje imali su klinički suspektnu ili laboratorijski potvrđenu infekciju virusom SARS</w:t>
      </w:r>
      <w:r w:rsidRPr="005A4F9F">
        <w:rPr>
          <w:sz w:val="22"/>
          <w:szCs w:val="22"/>
          <w:lang w:val="sr-Latn-ME"/>
        </w:rPr>
        <w:noBreakHyphen/>
        <w:t>CoV</w:t>
      </w:r>
      <w:r w:rsidRPr="005A4F9F">
        <w:rPr>
          <w:sz w:val="22"/>
          <w:szCs w:val="22"/>
          <w:lang w:val="sr-Latn-ME"/>
        </w:rPr>
        <w:noBreakHyphen/>
        <w:t>2 te ni</w:t>
      </w:r>
      <w:r w:rsidR="004B054F" w:rsidRPr="005A4F9F">
        <w:rPr>
          <w:sz w:val="22"/>
          <w:szCs w:val="22"/>
          <w:lang w:val="sr-Latn-ME"/>
        </w:rPr>
        <w:t>je</w:t>
      </w:r>
      <w:r w:rsidRPr="005A4F9F">
        <w:rPr>
          <w:sz w:val="22"/>
          <w:szCs w:val="22"/>
          <w:lang w:val="sr-Latn-ME"/>
        </w:rPr>
        <w:t>su imali medicinskih kontraindikacija ni za jednu od terapija. Pacijenti s kliničkim dokazima progresivne bolesti COVID</w:t>
      </w:r>
      <w:r w:rsidRPr="005A4F9F">
        <w:rPr>
          <w:sz w:val="22"/>
          <w:szCs w:val="22"/>
          <w:lang w:val="sr-Latn-ME"/>
        </w:rPr>
        <w:noBreakHyphen/>
        <w:t>19 (koja se definiše kao kao zasićenost kiseonikom &lt; 92% na sobnom vazduhu ili primjena terapije kiseonikom  i CRP ≥ 75 mg/l) kvalifikovali su se za drugu randomizaciju u grupu koja je intravenski primala tocilizumab ili samo uobičajenu terapiju.</w:t>
      </w:r>
    </w:p>
    <w:p w14:paraId="0B678FAE" w14:textId="77777777" w:rsidR="00BF249E" w:rsidRPr="005A4F9F" w:rsidRDefault="00BF249E">
      <w:pPr>
        <w:widowControl w:val="0"/>
        <w:jc w:val="both"/>
        <w:rPr>
          <w:sz w:val="22"/>
          <w:szCs w:val="22"/>
          <w:lang w:val="sr-Latn-ME"/>
        </w:rPr>
      </w:pPr>
    </w:p>
    <w:p w14:paraId="1EFFBF75" w14:textId="77777777" w:rsidR="00BF249E" w:rsidRPr="005A4F9F" w:rsidRDefault="00BF249E">
      <w:pPr>
        <w:widowControl w:val="0"/>
        <w:jc w:val="both"/>
        <w:rPr>
          <w:sz w:val="22"/>
          <w:szCs w:val="22"/>
          <w:lang w:val="sr-Latn-ME"/>
        </w:rPr>
      </w:pPr>
      <w:r w:rsidRPr="005A4F9F">
        <w:rPr>
          <w:sz w:val="22"/>
          <w:szCs w:val="22"/>
          <w:lang w:val="sr-Latn-ME"/>
        </w:rPr>
        <w:t xml:space="preserve">Analize efikasnosti sprovedene su u populaciji predviđenoj za liječenje (engl. </w:t>
      </w:r>
      <w:r w:rsidRPr="005A4F9F">
        <w:rPr>
          <w:i/>
          <w:iCs/>
          <w:sz w:val="22"/>
          <w:szCs w:val="22"/>
          <w:lang w:val="sr-Latn-ME"/>
        </w:rPr>
        <w:t>intent-to-treat</w:t>
      </w:r>
      <w:r w:rsidRPr="005A4F9F">
        <w:rPr>
          <w:sz w:val="22"/>
          <w:szCs w:val="22"/>
          <w:lang w:val="sr-Latn-ME"/>
        </w:rPr>
        <w:t xml:space="preserve">, ITT), koju je činilo 4116 pacijenata, od kojih su 2022 pacijenta randomozovana u grupu koja je primala tocilizumab </w:t>
      </w:r>
      <w:r w:rsidRPr="005A4F9F">
        <w:rPr>
          <w:sz w:val="22"/>
          <w:szCs w:val="22"/>
          <w:lang w:val="sr-Latn-ME"/>
        </w:rPr>
        <w:lastRenderedPageBreak/>
        <w:t>+ uobičajenu terapiju, a njih 2094 u grupu koja je primala samo uobičajenu terapiju. Početne demografske karakteristike i karakteristike bolesti u ITT populaciji bile su dobro ujednačene među tretiranim grupama. Srednja vrijednost starosti učesnika bila je 63,6 godina (standardno odstupanje [SD] 13,6 godina). Većina pacijenata bili su muškarci (67%) i belci (76%). Medijan (raspon) vrijednosti CRP</w:t>
      </w:r>
      <w:r w:rsidRPr="005A4F9F">
        <w:rPr>
          <w:sz w:val="22"/>
          <w:szCs w:val="22"/>
          <w:lang w:val="sr-Latn-ME"/>
        </w:rPr>
        <w:noBreakHyphen/>
        <w:t>a iznosio je 143 mg/l (75-982).</w:t>
      </w:r>
    </w:p>
    <w:p w14:paraId="5460BCA6" w14:textId="77777777" w:rsidR="00BF249E" w:rsidRPr="005A4F9F" w:rsidRDefault="00BF249E">
      <w:pPr>
        <w:widowControl w:val="0"/>
        <w:jc w:val="both"/>
        <w:rPr>
          <w:sz w:val="22"/>
          <w:szCs w:val="22"/>
          <w:lang w:val="sr-Latn-ME"/>
        </w:rPr>
      </w:pPr>
    </w:p>
    <w:p w14:paraId="1E3221A5" w14:textId="77777777" w:rsidR="00BF249E" w:rsidRPr="005A4F9F" w:rsidRDefault="00BF249E">
      <w:pPr>
        <w:widowControl w:val="0"/>
        <w:jc w:val="both"/>
        <w:rPr>
          <w:sz w:val="22"/>
          <w:szCs w:val="22"/>
          <w:lang w:val="sr-Latn-ME"/>
        </w:rPr>
      </w:pPr>
      <w:r w:rsidRPr="005A4F9F">
        <w:rPr>
          <w:sz w:val="22"/>
          <w:szCs w:val="22"/>
          <w:lang w:val="sr-Latn-ME"/>
        </w:rPr>
        <w:t>Na početku ispitivanja 0,2% (n=9) bolesnika nije primalo terapiju kiseonikom, kod 45% bolesnika bila je potrebna terapija niskoprotočnim kiseonikom, kod 41% bolesnika bila je potrebna neinvazivna ventilacija ili terapija visokoprotočnim kiseonikom, a kod 14% bolesnika bila je potrebna invazivna mehanička ventilacija; za 82% bolesnika prijavljeno je da su primali sistemske kortikosteroide (što se definisalo kao pacijenti koji su započeli liječenje sistemskim kortikosteroidima ili pre ili u trenutku randomizacije). Najčešći komorbiditeti bili su dijabetes (28,4%), srčana bolest (22,6%) i hronična plućna bolest (23,3%).</w:t>
      </w:r>
    </w:p>
    <w:p w14:paraId="04417BA8" w14:textId="77777777" w:rsidR="00BF249E" w:rsidRPr="005A4F9F" w:rsidRDefault="00BF249E">
      <w:pPr>
        <w:widowControl w:val="0"/>
        <w:jc w:val="both"/>
        <w:rPr>
          <w:sz w:val="22"/>
          <w:szCs w:val="22"/>
          <w:lang w:val="sr-Latn-ME"/>
        </w:rPr>
      </w:pPr>
    </w:p>
    <w:p w14:paraId="5F317ECC" w14:textId="77777777" w:rsidR="00BF249E" w:rsidRPr="005A4F9F" w:rsidRDefault="00BF249E">
      <w:pPr>
        <w:widowControl w:val="0"/>
        <w:jc w:val="both"/>
        <w:rPr>
          <w:sz w:val="22"/>
          <w:szCs w:val="22"/>
          <w:lang w:val="sr-Latn-ME"/>
        </w:rPr>
      </w:pPr>
      <w:r w:rsidRPr="005A4F9F">
        <w:rPr>
          <w:sz w:val="22"/>
          <w:szCs w:val="22"/>
          <w:lang w:val="sr-Latn-ME"/>
        </w:rPr>
        <w:t>Primarni ishod bilo je vrijeme do smrti do 28. dana. Mjera opasnosti za grupu koja je primala tocilizumab + uobičajenu terapiju u poređenju sa grupom koja je primala samo uobičajenu terapiju iznosio je 0,85 (95% CI: 0,76 do 0,94), što je statistički značajan rezultat (p</w:t>
      </w:r>
      <w:r w:rsidRPr="005A4F9F">
        <w:rPr>
          <w:sz w:val="22"/>
          <w:szCs w:val="22"/>
          <w:lang w:val="sr-Latn-ME"/>
        </w:rPr>
        <w:sym w:font="Symbol" w:char="F03D"/>
      </w:r>
      <w:r w:rsidRPr="005A4F9F">
        <w:rPr>
          <w:sz w:val="22"/>
          <w:szCs w:val="22"/>
          <w:lang w:val="sr-Latn-ME"/>
        </w:rPr>
        <w:t>0,0028). Proc</w:t>
      </w:r>
      <w:r w:rsidR="004B054F" w:rsidRPr="005A4F9F">
        <w:rPr>
          <w:sz w:val="22"/>
          <w:szCs w:val="22"/>
          <w:lang w:val="sr-Latn-ME"/>
        </w:rPr>
        <w:t>i</w:t>
      </w:r>
      <w:r w:rsidRPr="005A4F9F">
        <w:rPr>
          <w:sz w:val="22"/>
          <w:szCs w:val="22"/>
          <w:lang w:val="sr-Latn-ME"/>
        </w:rPr>
        <w:t xml:space="preserve">jenjena vjerovatnoća smrti do 28. dana iznosila je 30,7% u grupi koja je primala tocilizumab, a u grupi koja je primala uobičajenu terapiju   34,9%. Procjenjena razlika u riziku bila je </w:t>
      </w:r>
      <w:r w:rsidRPr="005A4F9F">
        <w:rPr>
          <w:sz w:val="22"/>
          <w:szCs w:val="22"/>
          <w:lang w:val="sr-Latn-ME"/>
        </w:rPr>
        <w:noBreakHyphen/>
        <w:t xml:space="preserve">4,1% (95% CI: </w:t>
      </w:r>
      <w:r w:rsidRPr="005A4F9F">
        <w:rPr>
          <w:sz w:val="22"/>
          <w:szCs w:val="22"/>
          <w:lang w:val="sr-Latn-ME"/>
        </w:rPr>
        <w:noBreakHyphen/>
        <w:t>7,0% do </w:t>
      </w:r>
      <w:r w:rsidRPr="005A4F9F">
        <w:rPr>
          <w:sz w:val="22"/>
          <w:szCs w:val="22"/>
          <w:lang w:val="sr-Latn-ME"/>
        </w:rPr>
        <w:noBreakHyphen/>
        <w:t>1,3%), što je u skladu s primarnom analizom. M</w:t>
      </w:r>
      <w:r w:rsidR="004B054F" w:rsidRPr="005A4F9F">
        <w:rPr>
          <w:sz w:val="22"/>
          <w:szCs w:val="22"/>
          <w:lang w:val="sr-Latn-ME"/>
        </w:rPr>
        <w:t>j</w:t>
      </w:r>
      <w:r w:rsidRPr="005A4F9F">
        <w:rPr>
          <w:sz w:val="22"/>
          <w:szCs w:val="22"/>
          <w:lang w:val="sr-Latn-ME"/>
        </w:rPr>
        <w:t>era opasnosti u unapr</w:t>
      </w:r>
      <w:r w:rsidR="004B054F" w:rsidRPr="005A4F9F">
        <w:rPr>
          <w:sz w:val="22"/>
          <w:szCs w:val="22"/>
          <w:lang w:val="sr-Latn-ME"/>
        </w:rPr>
        <w:t>ij</w:t>
      </w:r>
      <w:r w:rsidRPr="005A4F9F">
        <w:rPr>
          <w:sz w:val="22"/>
          <w:szCs w:val="22"/>
          <w:lang w:val="sr-Latn-ME"/>
        </w:rPr>
        <w:t>ed specificiranoj podgrupi pacijenata koji su na početku ispitivanja primali sistemske kortikosteroide iznosio je 0,79 (95% CI: 0,70 do 0,89), a u unapr</w:t>
      </w:r>
      <w:r w:rsidR="004B054F" w:rsidRPr="005A4F9F">
        <w:rPr>
          <w:sz w:val="22"/>
          <w:szCs w:val="22"/>
          <w:lang w:val="sr-Latn-ME"/>
        </w:rPr>
        <w:t>ij</w:t>
      </w:r>
      <w:r w:rsidRPr="005A4F9F">
        <w:rPr>
          <w:sz w:val="22"/>
          <w:szCs w:val="22"/>
          <w:lang w:val="sr-Latn-ME"/>
        </w:rPr>
        <w:t>ed specificiranoj podgrupi pacijenata koji na početku ispitivanja ni</w:t>
      </w:r>
      <w:r w:rsidR="004B054F" w:rsidRPr="005A4F9F">
        <w:rPr>
          <w:sz w:val="22"/>
          <w:szCs w:val="22"/>
          <w:lang w:val="sr-Latn-ME"/>
        </w:rPr>
        <w:t>je</w:t>
      </w:r>
      <w:r w:rsidRPr="005A4F9F">
        <w:rPr>
          <w:sz w:val="22"/>
          <w:szCs w:val="22"/>
          <w:lang w:val="sr-Latn-ME"/>
        </w:rPr>
        <w:t>su primali sistemske kortikosteroide 1,16 (95% CI: 0,91 do 1,48).</w:t>
      </w:r>
    </w:p>
    <w:p w14:paraId="08DA3CBE" w14:textId="77777777" w:rsidR="00BF249E" w:rsidRPr="005A4F9F" w:rsidRDefault="00BF249E">
      <w:pPr>
        <w:widowControl w:val="0"/>
        <w:jc w:val="both"/>
        <w:rPr>
          <w:sz w:val="22"/>
          <w:szCs w:val="22"/>
          <w:lang w:val="sr-Latn-ME"/>
        </w:rPr>
      </w:pPr>
    </w:p>
    <w:p w14:paraId="3758F654" w14:textId="52579859" w:rsidR="00BF249E" w:rsidRPr="005A4F9F" w:rsidRDefault="00BF249E">
      <w:pPr>
        <w:widowControl w:val="0"/>
        <w:jc w:val="both"/>
        <w:rPr>
          <w:sz w:val="22"/>
          <w:szCs w:val="22"/>
          <w:lang w:val="sr-Latn-ME"/>
        </w:rPr>
      </w:pPr>
      <w:r w:rsidRPr="005A4F9F">
        <w:rPr>
          <w:sz w:val="22"/>
          <w:szCs w:val="22"/>
          <w:lang w:val="sr-Latn-ME"/>
        </w:rPr>
        <w:t>Medijan</w:t>
      </w:r>
      <w:r w:rsidR="00CE0C85" w:rsidRPr="005A4F9F">
        <w:rPr>
          <w:sz w:val="22"/>
          <w:szCs w:val="22"/>
          <w:lang w:val="sr-Latn-ME"/>
        </w:rPr>
        <w:t>a</w:t>
      </w:r>
      <w:r w:rsidRPr="005A4F9F">
        <w:rPr>
          <w:sz w:val="22"/>
          <w:szCs w:val="22"/>
          <w:lang w:val="sr-Latn-ME"/>
        </w:rPr>
        <w:t xml:space="preserve"> vremena do </w:t>
      </w:r>
      <w:r w:rsidR="00CE0C85" w:rsidRPr="005A4F9F">
        <w:rPr>
          <w:sz w:val="22"/>
          <w:szCs w:val="22"/>
          <w:lang w:val="sr-Latn-ME"/>
        </w:rPr>
        <w:t xml:space="preserve">otpuštanja </w:t>
      </w:r>
      <w:r w:rsidRPr="005A4F9F">
        <w:rPr>
          <w:sz w:val="22"/>
          <w:szCs w:val="22"/>
          <w:lang w:val="sr-Latn-ME"/>
        </w:rPr>
        <w:t xml:space="preserve">iz bolnice </w:t>
      </w:r>
      <w:r w:rsidR="000E2202" w:rsidRPr="005A4F9F">
        <w:rPr>
          <w:sz w:val="22"/>
          <w:szCs w:val="22"/>
          <w:lang w:val="sr-Latn-ME"/>
        </w:rPr>
        <w:t xml:space="preserve">bila </w:t>
      </w:r>
      <w:r w:rsidRPr="005A4F9F">
        <w:rPr>
          <w:sz w:val="22"/>
          <w:szCs w:val="22"/>
          <w:lang w:val="sr-Latn-ME"/>
        </w:rPr>
        <w:t>je 19 dana u grupi koja je primala tocilizumab + uobičajenu terapiju, a &gt; 28 dana u skupini koja je primala samo uobičajenu terapiju (m</w:t>
      </w:r>
      <w:r w:rsidR="004B054F" w:rsidRPr="005A4F9F">
        <w:rPr>
          <w:sz w:val="22"/>
          <w:szCs w:val="22"/>
          <w:lang w:val="sr-Latn-ME"/>
        </w:rPr>
        <w:t>j</w:t>
      </w:r>
      <w:r w:rsidRPr="005A4F9F">
        <w:rPr>
          <w:sz w:val="22"/>
          <w:szCs w:val="22"/>
          <w:lang w:val="sr-Latn-ME"/>
        </w:rPr>
        <w:t>era hazarda [95% CI] = 1,22 [1,12 do 1,33]).</w:t>
      </w:r>
    </w:p>
    <w:p w14:paraId="6AEEBBEC" w14:textId="77777777" w:rsidR="00BF249E" w:rsidRPr="005A4F9F" w:rsidRDefault="00BF249E">
      <w:pPr>
        <w:widowControl w:val="0"/>
        <w:jc w:val="both"/>
        <w:rPr>
          <w:sz w:val="22"/>
          <w:szCs w:val="22"/>
          <w:lang w:val="sr-Latn-ME"/>
        </w:rPr>
      </w:pPr>
    </w:p>
    <w:p w14:paraId="63AC2A8B" w14:textId="77777777" w:rsidR="00BF249E" w:rsidRPr="005A4F9F" w:rsidRDefault="00BF249E">
      <w:pPr>
        <w:widowControl w:val="0"/>
        <w:jc w:val="both"/>
        <w:rPr>
          <w:b/>
          <w:sz w:val="22"/>
          <w:szCs w:val="22"/>
          <w:u w:val="single"/>
          <w:lang w:val="sr-Latn-ME"/>
        </w:rPr>
      </w:pPr>
      <w:r w:rsidRPr="005A4F9F">
        <w:rPr>
          <w:sz w:val="22"/>
          <w:szCs w:val="22"/>
          <w:lang w:val="sr-Latn-ME"/>
        </w:rPr>
        <w:t>Među pacijentima kojima na početku ispitivanja nije bila potrebna invazivna mehanička ventilacija, udio pacijenata kojima je do 28. dana bila potrebna mehanička ventilacija ili su umrli iznosio je 35% (619/1754) u grupi koja je primala tocilizumab + uobičajenu terapiju, a 42% (754/1800) u grupi koja je primala samo uobičajenu terapiju (m</w:t>
      </w:r>
      <w:r w:rsidR="004B054F" w:rsidRPr="005A4F9F">
        <w:rPr>
          <w:sz w:val="22"/>
          <w:szCs w:val="22"/>
          <w:lang w:val="sr-Latn-ME"/>
        </w:rPr>
        <w:t>j</w:t>
      </w:r>
      <w:r w:rsidRPr="005A4F9F">
        <w:rPr>
          <w:sz w:val="22"/>
          <w:szCs w:val="22"/>
          <w:lang w:val="sr-Latn-ME"/>
        </w:rPr>
        <w:t>era rizika [95% CI] = 0,84 [0,77 do 0.92], p&lt;0,0001).</w:t>
      </w:r>
    </w:p>
    <w:p w14:paraId="5EE90038" w14:textId="77777777" w:rsidR="00A63520" w:rsidRPr="005A4F9F" w:rsidRDefault="00A63520">
      <w:pPr>
        <w:widowControl w:val="0"/>
        <w:spacing w:line="250" w:lineRule="exact"/>
        <w:jc w:val="both"/>
        <w:outlineLvl w:val="0"/>
        <w:rPr>
          <w:b/>
          <w:sz w:val="22"/>
          <w:szCs w:val="22"/>
          <w:u w:val="single"/>
          <w:lang w:val="sr-Latn-ME"/>
        </w:rPr>
      </w:pPr>
    </w:p>
    <w:p w14:paraId="06918845" w14:textId="352B8941" w:rsidR="00763105" w:rsidRPr="005A4F9F" w:rsidRDefault="00763105">
      <w:pPr>
        <w:widowControl w:val="0"/>
        <w:spacing w:line="250" w:lineRule="exact"/>
        <w:jc w:val="both"/>
        <w:outlineLvl w:val="0"/>
        <w:rPr>
          <w:iCs/>
          <w:sz w:val="22"/>
          <w:szCs w:val="22"/>
          <w:u w:val="single"/>
          <w:lang w:val="sr-Latn-ME"/>
        </w:rPr>
      </w:pPr>
      <w:r w:rsidRPr="005A4F9F">
        <w:rPr>
          <w:b/>
          <w:sz w:val="22"/>
          <w:szCs w:val="22"/>
          <w:u w:val="single"/>
          <w:lang w:val="sr-Latn-ME"/>
        </w:rPr>
        <w:t>Pedijatrijska populacija</w:t>
      </w:r>
      <w:r w:rsidR="007D6E02" w:rsidRPr="005A4F9F">
        <w:rPr>
          <w:b/>
          <w:sz w:val="22"/>
          <w:szCs w:val="22"/>
          <w:u w:val="single"/>
          <w:lang w:val="sr-Latn-ME"/>
        </w:rPr>
        <w:t xml:space="preserve"> sa sJIA</w:t>
      </w:r>
      <w:r w:rsidRPr="005A4F9F">
        <w:rPr>
          <w:iCs/>
          <w:sz w:val="22"/>
          <w:szCs w:val="22"/>
          <w:u w:val="single"/>
          <w:lang w:val="sr-Latn-ME"/>
        </w:rPr>
        <w:t>Klinička efikasnost</w:t>
      </w:r>
    </w:p>
    <w:p w14:paraId="18257923" w14:textId="07227E3C" w:rsidR="00763105" w:rsidRPr="005A4F9F" w:rsidRDefault="00763105">
      <w:pPr>
        <w:widowControl w:val="0"/>
        <w:jc w:val="both"/>
        <w:rPr>
          <w:sz w:val="22"/>
          <w:szCs w:val="22"/>
          <w:lang w:val="sr-Latn-ME"/>
        </w:rPr>
      </w:pPr>
      <w:r w:rsidRPr="005A4F9F">
        <w:rPr>
          <w:sz w:val="22"/>
          <w:szCs w:val="22"/>
          <w:lang w:val="sr-Latn-ME"/>
        </w:rPr>
        <w:t>Efikasnost tocilizumaba u terapiji aktivnog sJIA procjenjivana je u 12-to ned</w:t>
      </w:r>
      <w:r w:rsidR="00847CA9" w:rsidRPr="005A4F9F">
        <w:rPr>
          <w:sz w:val="22"/>
          <w:szCs w:val="22"/>
          <w:lang w:val="sr-Latn-ME"/>
        </w:rPr>
        <w:t>j</w:t>
      </w:r>
      <w:r w:rsidRPr="005A4F9F">
        <w:rPr>
          <w:sz w:val="22"/>
          <w:szCs w:val="22"/>
          <w:lang w:val="sr-Latn-ME"/>
        </w:rPr>
        <w:t>eljnoj randomizovanoj, dvostruko slijepoj, placebo kontrolisanoj studiji u dvije paralelne grupe. Pacijenti uključeni u studiju imali su ukupno trajanje bolesti ne kraće od 6 mjeseci i aktivnu bolest, a ni</w:t>
      </w:r>
      <w:r w:rsidR="00A563B1" w:rsidRPr="005A4F9F">
        <w:rPr>
          <w:sz w:val="22"/>
          <w:szCs w:val="22"/>
          <w:lang w:val="sr-Latn-ME"/>
        </w:rPr>
        <w:t>je</w:t>
      </w:r>
      <w:r w:rsidRPr="005A4F9F">
        <w:rPr>
          <w:sz w:val="22"/>
          <w:szCs w:val="22"/>
          <w:lang w:val="sr-Latn-ME"/>
        </w:rPr>
        <w:t>su imali akutno pogoršanje bolesti koje je iziskivalo primjenu doze kortikosterioda, veću od 0.5 mg/kg, ekvivalenta prednizona. Efikasnost u terapiji sindroma aktivacije makrofaga nije ispitivana.</w:t>
      </w:r>
    </w:p>
    <w:p w14:paraId="70A504C9" w14:textId="77777777" w:rsidR="00763105" w:rsidRPr="005A4F9F" w:rsidRDefault="00763105">
      <w:pPr>
        <w:widowControl w:val="0"/>
        <w:jc w:val="both"/>
        <w:rPr>
          <w:sz w:val="22"/>
          <w:szCs w:val="22"/>
          <w:lang w:val="sr-Latn-ME"/>
        </w:rPr>
      </w:pPr>
      <w:r w:rsidRPr="005A4F9F">
        <w:rPr>
          <w:sz w:val="22"/>
          <w:szCs w:val="22"/>
          <w:lang w:val="sr-Latn-ME"/>
        </w:rPr>
        <w:t>Pacijenti (liječeni sa ili bez metotreksata) bili su randomizovani (tocilizumab: palcebo=2:1) u jednu od dvije terapijske grupe, 75 pacijenata je primalo infuzije tocilizumaba na svake dvije nedjelje, u dozi od 8mg/kg za pacijente ≥ 30 kg ili 12 mg/kg za pacijente &lt; 30 kg i 37 pacijenata je primalo infuzije placeba, na svake dvije ned</w:t>
      </w:r>
      <w:r w:rsidR="00847CA9" w:rsidRPr="005A4F9F">
        <w:rPr>
          <w:sz w:val="22"/>
          <w:szCs w:val="22"/>
          <w:lang w:val="sr-Latn-ME"/>
        </w:rPr>
        <w:t>j</w:t>
      </w:r>
      <w:r w:rsidRPr="005A4F9F">
        <w:rPr>
          <w:sz w:val="22"/>
          <w:szCs w:val="22"/>
          <w:lang w:val="sr-Latn-ME"/>
        </w:rPr>
        <w:t>elje. Smanjenje doze kortikosteroida je dozvoljeno od šeste ned</w:t>
      </w:r>
      <w:r w:rsidR="00847CA9" w:rsidRPr="005A4F9F">
        <w:rPr>
          <w:sz w:val="22"/>
          <w:szCs w:val="22"/>
          <w:lang w:val="sr-Latn-ME"/>
        </w:rPr>
        <w:t>j</w:t>
      </w:r>
      <w:r w:rsidRPr="005A4F9F">
        <w:rPr>
          <w:sz w:val="22"/>
          <w:szCs w:val="22"/>
          <w:lang w:val="sr-Latn-ME"/>
        </w:rPr>
        <w:t>elje kod pacijenata koji su postigli JIA ACR70 odgovor. Nakon 12 ned</w:t>
      </w:r>
      <w:r w:rsidR="00847CA9" w:rsidRPr="005A4F9F">
        <w:rPr>
          <w:sz w:val="22"/>
          <w:szCs w:val="22"/>
          <w:lang w:val="sr-Latn-ME"/>
        </w:rPr>
        <w:t>j</w:t>
      </w:r>
      <w:r w:rsidRPr="005A4F9F">
        <w:rPr>
          <w:sz w:val="22"/>
          <w:szCs w:val="22"/>
          <w:lang w:val="sr-Latn-ME"/>
        </w:rPr>
        <w:t>elja, ili u vrijeme prebacivanja na toclizumab, zbog pogoršanja bolesti, pacijenti su nastavljali terapiju u otvorenoj studiji uz doziranje prilagođeno t</w:t>
      </w:r>
      <w:r w:rsidR="00847CA9" w:rsidRPr="005A4F9F">
        <w:rPr>
          <w:sz w:val="22"/>
          <w:szCs w:val="22"/>
          <w:lang w:val="sr-Latn-ME"/>
        </w:rPr>
        <w:t>j</w:t>
      </w:r>
      <w:r w:rsidRPr="005A4F9F">
        <w:rPr>
          <w:sz w:val="22"/>
          <w:szCs w:val="22"/>
          <w:lang w:val="sr-Latn-ME"/>
        </w:rPr>
        <w:t>elesnoj težini.</w:t>
      </w:r>
    </w:p>
    <w:p w14:paraId="690DB13E" w14:textId="77777777" w:rsidR="00542633" w:rsidRPr="005A4F9F" w:rsidRDefault="00542633">
      <w:pPr>
        <w:widowControl w:val="0"/>
        <w:jc w:val="both"/>
        <w:rPr>
          <w:iCs/>
          <w:sz w:val="22"/>
          <w:szCs w:val="22"/>
          <w:u w:val="single"/>
          <w:lang w:val="sr-Latn-ME"/>
        </w:rPr>
      </w:pPr>
    </w:p>
    <w:p w14:paraId="05B58165" w14:textId="61392A03" w:rsidR="00763105" w:rsidRPr="005A4F9F" w:rsidRDefault="00763105">
      <w:pPr>
        <w:widowControl w:val="0"/>
        <w:jc w:val="both"/>
        <w:rPr>
          <w:iCs/>
          <w:sz w:val="22"/>
          <w:szCs w:val="22"/>
          <w:u w:val="single"/>
          <w:lang w:val="sr-Latn-ME"/>
        </w:rPr>
      </w:pPr>
      <w:r w:rsidRPr="005A4F9F">
        <w:rPr>
          <w:iCs/>
          <w:sz w:val="22"/>
          <w:szCs w:val="22"/>
          <w:u w:val="single"/>
          <w:lang w:val="sr-Latn-ME"/>
        </w:rPr>
        <w:t>Klinički odgovor</w:t>
      </w:r>
    </w:p>
    <w:p w14:paraId="1F31A23C" w14:textId="5E0BE0B6" w:rsidR="00763105" w:rsidRPr="005A4F9F" w:rsidRDefault="00763105">
      <w:pPr>
        <w:widowControl w:val="0"/>
        <w:jc w:val="both"/>
        <w:rPr>
          <w:sz w:val="22"/>
          <w:szCs w:val="22"/>
          <w:lang w:val="sr-Latn-ME"/>
        </w:rPr>
      </w:pPr>
      <w:r w:rsidRPr="005A4F9F">
        <w:rPr>
          <w:sz w:val="22"/>
          <w:szCs w:val="22"/>
          <w:lang w:val="sr-Latn-ME"/>
        </w:rPr>
        <w:t>Primarni cilj je bio utvrditi procenat pacijenata sa najmanje 30% poboljšanja prema JIA ACR skoru (JIA ACR 30 odgovor) u 12- toj ned</w:t>
      </w:r>
      <w:r w:rsidR="00A563B1" w:rsidRPr="005A4F9F">
        <w:rPr>
          <w:sz w:val="22"/>
          <w:szCs w:val="22"/>
          <w:lang w:val="sr-Latn-ME"/>
        </w:rPr>
        <w:t>j</w:t>
      </w:r>
      <w:r w:rsidRPr="005A4F9F">
        <w:rPr>
          <w:sz w:val="22"/>
          <w:szCs w:val="22"/>
          <w:lang w:val="sr-Latn-ME"/>
        </w:rPr>
        <w:t>elji i odsustvo groznice (bez zabilježene tempreture ≥ 37.5</w:t>
      </w:r>
      <w:r w:rsidRPr="005A4F9F">
        <w:rPr>
          <w:sz w:val="22"/>
          <w:szCs w:val="22"/>
          <w:vertAlign w:val="superscript"/>
          <w:lang w:val="sr-Latn-ME"/>
        </w:rPr>
        <w:t>o</w:t>
      </w:r>
      <w:r w:rsidRPr="005A4F9F">
        <w:rPr>
          <w:sz w:val="22"/>
          <w:szCs w:val="22"/>
          <w:lang w:val="sr-Latn-ME"/>
        </w:rPr>
        <w:t>C u prethodnih 7 dana)</w:t>
      </w:r>
      <w:r w:rsidR="00AB606D" w:rsidRPr="005A4F9F">
        <w:rPr>
          <w:sz w:val="22"/>
          <w:szCs w:val="22"/>
          <w:lang w:val="sr-Latn-ME"/>
        </w:rPr>
        <w:t xml:space="preserve">. </w:t>
      </w:r>
      <w:r w:rsidRPr="005A4F9F">
        <w:rPr>
          <w:sz w:val="22"/>
          <w:szCs w:val="22"/>
          <w:lang w:val="sr-Latn-ME"/>
        </w:rPr>
        <w:t xml:space="preserve"> Osamdeset pet posto pacijenata (64/75) liječenih tocilizumabom i 24.3% (9/37) pacijenata koji su primali placebo su postigli ovaj cilj. Odnos ovih vrijednosti pokazuje visoko statistički značajnu razliku (p &lt;0.0001).</w:t>
      </w:r>
    </w:p>
    <w:p w14:paraId="4E29A785" w14:textId="623D5269" w:rsidR="00763105" w:rsidRPr="005A4F9F" w:rsidRDefault="00763105">
      <w:pPr>
        <w:widowControl w:val="0"/>
        <w:jc w:val="both"/>
        <w:rPr>
          <w:sz w:val="22"/>
          <w:szCs w:val="22"/>
          <w:lang w:val="sr-Latn-ME"/>
        </w:rPr>
      </w:pPr>
      <w:r w:rsidRPr="005A4F9F">
        <w:rPr>
          <w:sz w:val="22"/>
          <w:szCs w:val="22"/>
          <w:lang w:val="sr-Latn-ME"/>
        </w:rPr>
        <w:t xml:space="preserve">Procenat pacijenata koji su postigli JIA ACR 30, 50, 70 i 90 odgovor, dat je u </w:t>
      </w:r>
      <w:r w:rsidR="007D6E02" w:rsidRPr="005A4F9F">
        <w:rPr>
          <w:sz w:val="22"/>
          <w:szCs w:val="22"/>
          <w:lang w:val="sr-Latn-ME"/>
        </w:rPr>
        <w:t>T</w:t>
      </w:r>
      <w:r w:rsidRPr="005A4F9F">
        <w:rPr>
          <w:sz w:val="22"/>
          <w:szCs w:val="22"/>
          <w:lang w:val="sr-Latn-ME"/>
        </w:rPr>
        <w:t xml:space="preserve">abeli </w:t>
      </w:r>
      <w:r w:rsidR="00BF249E" w:rsidRPr="005A4F9F">
        <w:rPr>
          <w:sz w:val="22"/>
          <w:szCs w:val="22"/>
          <w:lang w:val="sr-Latn-ME"/>
        </w:rPr>
        <w:t>8</w:t>
      </w:r>
      <w:r w:rsidRPr="005A4F9F">
        <w:rPr>
          <w:sz w:val="22"/>
          <w:szCs w:val="22"/>
          <w:lang w:val="sr-Latn-ME"/>
        </w:rPr>
        <w:t>.</w:t>
      </w:r>
    </w:p>
    <w:p w14:paraId="71FD1E76" w14:textId="77777777" w:rsidR="00542633" w:rsidRPr="005A4F9F" w:rsidRDefault="00542633">
      <w:pPr>
        <w:widowControl w:val="0"/>
        <w:jc w:val="both"/>
        <w:rPr>
          <w:i/>
          <w:sz w:val="22"/>
          <w:szCs w:val="22"/>
          <w:lang w:val="sr-Latn-ME"/>
        </w:rPr>
      </w:pPr>
    </w:p>
    <w:p w14:paraId="2F0C7D59" w14:textId="284ECC37" w:rsidR="00763105" w:rsidRPr="005A4F9F" w:rsidRDefault="00763105">
      <w:pPr>
        <w:widowControl w:val="0"/>
        <w:jc w:val="both"/>
        <w:rPr>
          <w:i/>
          <w:sz w:val="22"/>
          <w:szCs w:val="22"/>
          <w:lang w:val="sr-Latn-ME"/>
        </w:rPr>
      </w:pPr>
      <w:r w:rsidRPr="005A4F9F">
        <w:rPr>
          <w:i/>
          <w:sz w:val="22"/>
          <w:szCs w:val="22"/>
          <w:lang w:val="sr-Latn-ME"/>
        </w:rPr>
        <w:t xml:space="preserve">Tabela </w:t>
      </w:r>
      <w:r w:rsidR="00BF249E" w:rsidRPr="005A4F9F">
        <w:rPr>
          <w:i/>
          <w:sz w:val="22"/>
          <w:szCs w:val="22"/>
          <w:lang w:val="sr-Latn-ME"/>
        </w:rPr>
        <w:t>8</w:t>
      </w:r>
      <w:r w:rsidRPr="005A4F9F">
        <w:rPr>
          <w:i/>
          <w:sz w:val="22"/>
          <w:szCs w:val="22"/>
          <w:lang w:val="sr-Latn-ME"/>
        </w:rPr>
        <w:t xml:space="preserve">. </w:t>
      </w:r>
      <w:r w:rsidR="00CE0C85" w:rsidRPr="005A4F9F">
        <w:rPr>
          <w:i/>
          <w:sz w:val="22"/>
          <w:szCs w:val="22"/>
          <w:lang w:val="sr-Latn-ME"/>
        </w:rPr>
        <w:t>Stope</w:t>
      </w:r>
      <w:r w:rsidR="007D6E02" w:rsidRPr="005A4F9F">
        <w:rPr>
          <w:i/>
          <w:sz w:val="22"/>
          <w:szCs w:val="22"/>
          <w:lang w:val="sr-Latn-ME"/>
        </w:rPr>
        <w:t xml:space="preserve"> </w:t>
      </w:r>
      <w:r w:rsidRPr="005A4F9F">
        <w:rPr>
          <w:i/>
          <w:sz w:val="22"/>
          <w:szCs w:val="22"/>
          <w:lang w:val="sr-Latn-ME"/>
        </w:rPr>
        <w:t>JIA ACR odgovor</w:t>
      </w:r>
      <w:r w:rsidR="007D6E02" w:rsidRPr="005A4F9F">
        <w:rPr>
          <w:i/>
          <w:sz w:val="22"/>
          <w:szCs w:val="22"/>
          <w:lang w:val="sr-Latn-ME"/>
        </w:rPr>
        <w:t>a</w:t>
      </w:r>
      <w:r w:rsidRPr="005A4F9F">
        <w:rPr>
          <w:i/>
          <w:sz w:val="22"/>
          <w:szCs w:val="22"/>
          <w:lang w:val="sr-Latn-ME"/>
        </w:rPr>
        <w:t xml:space="preserve"> u 12 -toj ned</w:t>
      </w:r>
      <w:r w:rsidR="007D6E02" w:rsidRPr="005A4F9F">
        <w:rPr>
          <w:i/>
          <w:sz w:val="22"/>
          <w:szCs w:val="22"/>
          <w:lang w:val="sr-Latn-ME"/>
        </w:rPr>
        <w:t>j</w:t>
      </w:r>
      <w:r w:rsidRPr="005A4F9F">
        <w:rPr>
          <w:i/>
          <w:sz w:val="22"/>
          <w:szCs w:val="22"/>
          <w:lang w:val="sr-Latn-ME"/>
        </w:rPr>
        <w:t>elji (% pacijenata)</w:t>
      </w:r>
    </w:p>
    <w:tbl>
      <w:tblPr>
        <w:tblW w:w="8931" w:type="dxa"/>
        <w:tblInd w:w="-6" w:type="dxa"/>
        <w:tblLayout w:type="fixed"/>
        <w:tblCellMar>
          <w:left w:w="0" w:type="dxa"/>
          <w:right w:w="0" w:type="dxa"/>
        </w:tblCellMar>
        <w:tblLook w:val="01E0" w:firstRow="1" w:lastRow="1" w:firstColumn="1" w:lastColumn="1" w:noHBand="0" w:noVBand="0"/>
      </w:tblPr>
      <w:tblGrid>
        <w:gridCol w:w="2692"/>
        <w:gridCol w:w="3600"/>
        <w:gridCol w:w="2639"/>
      </w:tblGrid>
      <w:tr w:rsidR="00763105" w:rsidRPr="005A4F9F" w14:paraId="4A45D48A" w14:textId="77777777" w:rsidTr="006B57D8">
        <w:trPr>
          <w:trHeight w:hRule="exact" w:val="516"/>
        </w:trPr>
        <w:tc>
          <w:tcPr>
            <w:tcW w:w="2692" w:type="dxa"/>
            <w:tcBorders>
              <w:top w:val="single" w:sz="5" w:space="0" w:color="000000"/>
              <w:left w:val="single" w:sz="5" w:space="0" w:color="000000"/>
              <w:bottom w:val="single" w:sz="5" w:space="0" w:color="000000"/>
              <w:right w:val="single" w:sz="5" w:space="0" w:color="000000"/>
            </w:tcBorders>
          </w:tcPr>
          <w:p w14:paraId="0D31859E" w14:textId="77777777" w:rsidR="00763105" w:rsidRPr="005A4F9F" w:rsidRDefault="00763105" w:rsidP="008B00DE">
            <w:pPr>
              <w:widowControl w:val="0"/>
              <w:spacing w:line="251" w:lineRule="exact"/>
              <w:ind w:left="104"/>
              <w:jc w:val="both"/>
              <w:rPr>
                <w:sz w:val="22"/>
                <w:szCs w:val="22"/>
                <w:lang w:val="sr-Latn-ME"/>
              </w:rPr>
            </w:pPr>
            <w:r w:rsidRPr="005A4F9F">
              <w:rPr>
                <w:rFonts w:eastAsia="Calibri"/>
                <w:b/>
                <w:sz w:val="22"/>
                <w:szCs w:val="22"/>
                <w:lang w:val="sr-Latn-ME"/>
              </w:rPr>
              <w:t xml:space="preserve">Nivo </w:t>
            </w:r>
            <w:r w:rsidRPr="005A4F9F">
              <w:rPr>
                <w:rFonts w:eastAsia="Calibri"/>
                <w:b/>
                <w:spacing w:val="-1"/>
                <w:sz w:val="22"/>
                <w:szCs w:val="22"/>
                <w:lang w:val="sr-Latn-ME"/>
              </w:rPr>
              <w:t>odgovora</w:t>
            </w:r>
          </w:p>
        </w:tc>
        <w:tc>
          <w:tcPr>
            <w:tcW w:w="3600" w:type="dxa"/>
            <w:tcBorders>
              <w:top w:val="single" w:sz="5" w:space="0" w:color="000000"/>
              <w:left w:val="single" w:sz="5" w:space="0" w:color="000000"/>
              <w:bottom w:val="single" w:sz="5" w:space="0" w:color="000000"/>
              <w:right w:val="single" w:sz="5" w:space="0" w:color="000000"/>
            </w:tcBorders>
          </w:tcPr>
          <w:p w14:paraId="3FDFC069" w14:textId="77777777" w:rsidR="00763105" w:rsidRPr="005A4F9F" w:rsidRDefault="00763105" w:rsidP="008B00DE">
            <w:pPr>
              <w:widowControl w:val="0"/>
              <w:spacing w:line="252" w:lineRule="exact"/>
              <w:ind w:left="102"/>
              <w:jc w:val="both"/>
              <w:rPr>
                <w:sz w:val="22"/>
                <w:szCs w:val="22"/>
                <w:lang w:val="sr-Latn-ME"/>
              </w:rPr>
            </w:pPr>
            <w:r w:rsidRPr="005A4F9F">
              <w:rPr>
                <w:rFonts w:eastAsia="Calibri"/>
                <w:b/>
                <w:spacing w:val="-1"/>
                <w:sz w:val="22"/>
                <w:szCs w:val="22"/>
                <w:lang w:val="sr-Latn-ME"/>
              </w:rPr>
              <w:t>Tocilzumab</w:t>
            </w:r>
            <w:r w:rsidRPr="005A4F9F">
              <w:rPr>
                <w:rFonts w:eastAsia="Calibri"/>
                <w:b/>
                <w:spacing w:val="26"/>
                <w:sz w:val="22"/>
                <w:szCs w:val="22"/>
                <w:lang w:val="sr-Latn-ME"/>
              </w:rPr>
              <w:t xml:space="preserve"> </w:t>
            </w:r>
            <w:r w:rsidRPr="005A4F9F">
              <w:rPr>
                <w:rFonts w:eastAsia="Calibri"/>
                <w:b/>
                <w:spacing w:val="-1"/>
                <w:sz w:val="22"/>
                <w:szCs w:val="22"/>
                <w:lang w:val="sr-Latn-ME"/>
              </w:rPr>
              <w:t xml:space="preserve">N= </w:t>
            </w:r>
            <w:r w:rsidRPr="005A4F9F">
              <w:rPr>
                <w:rFonts w:eastAsia="Calibri"/>
                <w:b/>
                <w:sz w:val="22"/>
                <w:szCs w:val="22"/>
                <w:lang w:val="sr-Latn-ME"/>
              </w:rPr>
              <w:t>75</w:t>
            </w:r>
          </w:p>
        </w:tc>
        <w:tc>
          <w:tcPr>
            <w:tcW w:w="2639" w:type="dxa"/>
            <w:tcBorders>
              <w:top w:val="single" w:sz="5" w:space="0" w:color="000000"/>
              <w:left w:val="single" w:sz="5" w:space="0" w:color="000000"/>
              <w:bottom w:val="single" w:sz="5" w:space="0" w:color="000000"/>
              <w:right w:val="single" w:sz="5" w:space="0" w:color="000000"/>
            </w:tcBorders>
          </w:tcPr>
          <w:p w14:paraId="05E556F6" w14:textId="29E1914D" w:rsidR="00763105" w:rsidRPr="005A4F9F" w:rsidRDefault="00763105" w:rsidP="008B00DE">
            <w:pPr>
              <w:widowControl w:val="0"/>
              <w:spacing w:line="252" w:lineRule="exact"/>
              <w:ind w:left="144"/>
              <w:jc w:val="both"/>
              <w:rPr>
                <w:sz w:val="22"/>
                <w:szCs w:val="22"/>
                <w:lang w:val="sr-Latn-ME"/>
              </w:rPr>
            </w:pPr>
            <w:r w:rsidRPr="005A4F9F">
              <w:rPr>
                <w:rFonts w:eastAsia="Calibri"/>
                <w:b/>
                <w:spacing w:val="-1"/>
                <w:sz w:val="22"/>
                <w:szCs w:val="22"/>
                <w:lang w:val="sr-Latn-ME"/>
              </w:rPr>
              <w:t>Place</w:t>
            </w:r>
            <w:r w:rsidR="007D6E02" w:rsidRPr="005A4F9F">
              <w:rPr>
                <w:rFonts w:eastAsia="Calibri"/>
                <w:b/>
                <w:spacing w:val="-1"/>
                <w:sz w:val="22"/>
                <w:szCs w:val="22"/>
                <w:lang w:val="sr-Latn-ME"/>
              </w:rPr>
              <w:t>bo</w:t>
            </w:r>
            <w:r w:rsidRPr="005A4F9F">
              <w:rPr>
                <w:rFonts w:eastAsia="Calibri"/>
                <w:b/>
                <w:spacing w:val="26"/>
                <w:sz w:val="22"/>
                <w:szCs w:val="22"/>
                <w:lang w:val="sr-Latn-ME"/>
              </w:rPr>
              <w:t xml:space="preserve"> </w:t>
            </w:r>
            <w:r w:rsidRPr="005A4F9F">
              <w:rPr>
                <w:rFonts w:eastAsia="Calibri"/>
                <w:b/>
                <w:spacing w:val="-1"/>
                <w:sz w:val="22"/>
                <w:szCs w:val="22"/>
                <w:lang w:val="sr-Latn-ME"/>
              </w:rPr>
              <w:t>N=37</w:t>
            </w:r>
          </w:p>
        </w:tc>
      </w:tr>
      <w:tr w:rsidR="00763105" w:rsidRPr="005A4F9F" w14:paraId="584DE508" w14:textId="77777777" w:rsidTr="006B57D8">
        <w:trPr>
          <w:trHeight w:hRule="exact" w:val="262"/>
        </w:trPr>
        <w:tc>
          <w:tcPr>
            <w:tcW w:w="2692" w:type="dxa"/>
            <w:tcBorders>
              <w:top w:val="single" w:sz="5" w:space="0" w:color="000000"/>
              <w:left w:val="single" w:sz="5" w:space="0" w:color="000000"/>
              <w:bottom w:val="single" w:sz="5" w:space="0" w:color="000000"/>
              <w:right w:val="single" w:sz="5" w:space="0" w:color="000000"/>
            </w:tcBorders>
          </w:tcPr>
          <w:p w14:paraId="73F77C4F" w14:textId="77777777" w:rsidR="00763105" w:rsidRPr="005A4F9F" w:rsidRDefault="00763105" w:rsidP="008B00DE">
            <w:pPr>
              <w:widowControl w:val="0"/>
              <w:spacing w:line="246" w:lineRule="exact"/>
              <w:ind w:left="104"/>
              <w:jc w:val="both"/>
              <w:rPr>
                <w:sz w:val="22"/>
                <w:szCs w:val="22"/>
                <w:lang w:val="sr-Latn-ME"/>
              </w:rPr>
            </w:pPr>
            <w:r w:rsidRPr="005A4F9F">
              <w:rPr>
                <w:rFonts w:eastAsia="Calibri"/>
                <w:spacing w:val="-1"/>
                <w:sz w:val="22"/>
                <w:szCs w:val="22"/>
                <w:lang w:val="sr-Latn-ME"/>
              </w:rPr>
              <w:lastRenderedPageBreak/>
              <w:t xml:space="preserve">JIA ACR </w:t>
            </w:r>
            <w:r w:rsidRPr="005A4F9F">
              <w:rPr>
                <w:rFonts w:eastAsia="Calibri"/>
                <w:sz w:val="22"/>
                <w:szCs w:val="22"/>
                <w:lang w:val="sr-Latn-ME"/>
              </w:rPr>
              <w:t>30</w:t>
            </w:r>
          </w:p>
        </w:tc>
        <w:tc>
          <w:tcPr>
            <w:tcW w:w="3600" w:type="dxa"/>
            <w:tcBorders>
              <w:top w:val="single" w:sz="5" w:space="0" w:color="000000"/>
              <w:left w:val="single" w:sz="5" w:space="0" w:color="000000"/>
              <w:bottom w:val="single" w:sz="5" w:space="0" w:color="000000"/>
              <w:right w:val="single" w:sz="5" w:space="0" w:color="000000"/>
            </w:tcBorders>
          </w:tcPr>
          <w:p w14:paraId="7868DC28"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90.7%</w:t>
            </w:r>
            <w:r w:rsidRPr="005A4F9F">
              <w:rPr>
                <w:rFonts w:eastAsia="Calibri"/>
                <w:position w:val="10"/>
                <w:sz w:val="22"/>
                <w:szCs w:val="22"/>
                <w:lang w:val="sr-Latn-ME"/>
              </w:rPr>
              <w:t>1</w:t>
            </w:r>
          </w:p>
        </w:tc>
        <w:tc>
          <w:tcPr>
            <w:tcW w:w="2639" w:type="dxa"/>
            <w:tcBorders>
              <w:top w:val="single" w:sz="5" w:space="0" w:color="000000"/>
              <w:left w:val="single" w:sz="5" w:space="0" w:color="000000"/>
              <w:bottom w:val="single" w:sz="5" w:space="0" w:color="000000"/>
              <w:right w:val="single" w:sz="5" w:space="0" w:color="000000"/>
            </w:tcBorders>
          </w:tcPr>
          <w:p w14:paraId="69D2D54D"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24.3%</w:t>
            </w:r>
          </w:p>
        </w:tc>
      </w:tr>
      <w:tr w:rsidR="00763105" w:rsidRPr="005A4F9F" w14:paraId="262B6D2E" w14:textId="77777777" w:rsidTr="006B57D8">
        <w:trPr>
          <w:trHeight w:hRule="exact" w:val="264"/>
        </w:trPr>
        <w:tc>
          <w:tcPr>
            <w:tcW w:w="2692" w:type="dxa"/>
            <w:tcBorders>
              <w:top w:val="single" w:sz="5" w:space="0" w:color="000000"/>
              <w:left w:val="single" w:sz="5" w:space="0" w:color="000000"/>
              <w:bottom w:val="single" w:sz="5" w:space="0" w:color="000000"/>
              <w:right w:val="single" w:sz="5" w:space="0" w:color="000000"/>
            </w:tcBorders>
          </w:tcPr>
          <w:p w14:paraId="3F5839A0" w14:textId="77777777" w:rsidR="00763105" w:rsidRPr="005A4F9F" w:rsidRDefault="00763105" w:rsidP="008B00DE">
            <w:pPr>
              <w:widowControl w:val="0"/>
              <w:spacing w:line="246" w:lineRule="exact"/>
              <w:ind w:left="104"/>
              <w:jc w:val="both"/>
              <w:rPr>
                <w:sz w:val="22"/>
                <w:szCs w:val="22"/>
                <w:lang w:val="sr-Latn-ME"/>
              </w:rPr>
            </w:pPr>
            <w:r w:rsidRPr="005A4F9F">
              <w:rPr>
                <w:rFonts w:eastAsia="Calibri"/>
                <w:spacing w:val="-1"/>
                <w:sz w:val="22"/>
                <w:szCs w:val="22"/>
                <w:lang w:val="sr-Latn-ME"/>
              </w:rPr>
              <w:t xml:space="preserve">JIA ACR </w:t>
            </w:r>
            <w:r w:rsidRPr="005A4F9F">
              <w:rPr>
                <w:rFonts w:eastAsia="Calibri"/>
                <w:sz w:val="22"/>
                <w:szCs w:val="22"/>
                <w:lang w:val="sr-Latn-ME"/>
              </w:rPr>
              <w:t>50</w:t>
            </w:r>
          </w:p>
        </w:tc>
        <w:tc>
          <w:tcPr>
            <w:tcW w:w="3600" w:type="dxa"/>
            <w:tcBorders>
              <w:top w:val="single" w:sz="5" w:space="0" w:color="000000"/>
              <w:left w:val="single" w:sz="5" w:space="0" w:color="000000"/>
              <w:bottom w:val="single" w:sz="5" w:space="0" w:color="000000"/>
              <w:right w:val="single" w:sz="5" w:space="0" w:color="000000"/>
            </w:tcBorders>
          </w:tcPr>
          <w:p w14:paraId="36A7812C"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85.3%</w:t>
            </w:r>
            <w:r w:rsidRPr="005A4F9F">
              <w:rPr>
                <w:rFonts w:eastAsia="Calibri"/>
                <w:position w:val="10"/>
                <w:sz w:val="22"/>
                <w:szCs w:val="22"/>
                <w:lang w:val="sr-Latn-ME"/>
              </w:rPr>
              <w:t>1</w:t>
            </w:r>
          </w:p>
        </w:tc>
        <w:tc>
          <w:tcPr>
            <w:tcW w:w="2639" w:type="dxa"/>
            <w:tcBorders>
              <w:top w:val="single" w:sz="5" w:space="0" w:color="000000"/>
              <w:left w:val="single" w:sz="5" w:space="0" w:color="000000"/>
              <w:bottom w:val="single" w:sz="5" w:space="0" w:color="000000"/>
              <w:right w:val="single" w:sz="5" w:space="0" w:color="000000"/>
            </w:tcBorders>
          </w:tcPr>
          <w:p w14:paraId="53134ADA"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10.8%</w:t>
            </w:r>
          </w:p>
        </w:tc>
      </w:tr>
      <w:tr w:rsidR="00763105" w:rsidRPr="005A4F9F" w14:paraId="1D5FE82D" w14:textId="77777777" w:rsidTr="006B57D8">
        <w:trPr>
          <w:trHeight w:hRule="exact" w:val="262"/>
        </w:trPr>
        <w:tc>
          <w:tcPr>
            <w:tcW w:w="2692" w:type="dxa"/>
            <w:tcBorders>
              <w:top w:val="single" w:sz="5" w:space="0" w:color="000000"/>
              <w:left w:val="single" w:sz="5" w:space="0" w:color="000000"/>
              <w:bottom w:val="single" w:sz="5" w:space="0" w:color="000000"/>
              <w:right w:val="single" w:sz="5" w:space="0" w:color="000000"/>
            </w:tcBorders>
          </w:tcPr>
          <w:p w14:paraId="6B084B56" w14:textId="77777777" w:rsidR="00763105" w:rsidRPr="005A4F9F" w:rsidRDefault="00763105" w:rsidP="008B00DE">
            <w:pPr>
              <w:widowControl w:val="0"/>
              <w:spacing w:line="246" w:lineRule="exact"/>
              <w:ind w:left="104"/>
              <w:jc w:val="both"/>
              <w:rPr>
                <w:sz w:val="22"/>
                <w:szCs w:val="22"/>
                <w:lang w:val="sr-Latn-ME"/>
              </w:rPr>
            </w:pPr>
            <w:r w:rsidRPr="005A4F9F">
              <w:rPr>
                <w:rFonts w:eastAsia="Calibri"/>
                <w:spacing w:val="-1"/>
                <w:sz w:val="22"/>
                <w:szCs w:val="22"/>
                <w:lang w:val="sr-Latn-ME"/>
              </w:rPr>
              <w:t xml:space="preserve">JIA ACR </w:t>
            </w:r>
            <w:r w:rsidRPr="005A4F9F">
              <w:rPr>
                <w:rFonts w:eastAsia="Calibri"/>
                <w:sz w:val="22"/>
                <w:szCs w:val="22"/>
                <w:lang w:val="sr-Latn-ME"/>
              </w:rPr>
              <w:t>70</w:t>
            </w:r>
          </w:p>
        </w:tc>
        <w:tc>
          <w:tcPr>
            <w:tcW w:w="3600" w:type="dxa"/>
            <w:tcBorders>
              <w:top w:val="single" w:sz="5" w:space="0" w:color="000000"/>
              <w:left w:val="single" w:sz="5" w:space="0" w:color="000000"/>
              <w:bottom w:val="single" w:sz="5" w:space="0" w:color="000000"/>
              <w:right w:val="single" w:sz="5" w:space="0" w:color="000000"/>
            </w:tcBorders>
          </w:tcPr>
          <w:p w14:paraId="383F02FA"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70.7%</w:t>
            </w:r>
            <w:r w:rsidRPr="005A4F9F">
              <w:rPr>
                <w:rFonts w:eastAsia="Calibri"/>
                <w:position w:val="10"/>
                <w:sz w:val="22"/>
                <w:szCs w:val="22"/>
                <w:lang w:val="sr-Latn-ME"/>
              </w:rPr>
              <w:t>1</w:t>
            </w:r>
          </w:p>
        </w:tc>
        <w:tc>
          <w:tcPr>
            <w:tcW w:w="2639" w:type="dxa"/>
            <w:tcBorders>
              <w:top w:val="single" w:sz="5" w:space="0" w:color="000000"/>
              <w:left w:val="single" w:sz="5" w:space="0" w:color="000000"/>
              <w:bottom w:val="single" w:sz="5" w:space="0" w:color="000000"/>
              <w:right w:val="single" w:sz="5" w:space="0" w:color="000000"/>
            </w:tcBorders>
          </w:tcPr>
          <w:p w14:paraId="6461F77A"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8.1%</w:t>
            </w:r>
          </w:p>
        </w:tc>
      </w:tr>
      <w:tr w:rsidR="00763105" w:rsidRPr="005A4F9F" w14:paraId="0D8F076B" w14:textId="77777777" w:rsidTr="006B57D8">
        <w:trPr>
          <w:trHeight w:hRule="exact" w:val="264"/>
        </w:trPr>
        <w:tc>
          <w:tcPr>
            <w:tcW w:w="2692" w:type="dxa"/>
            <w:tcBorders>
              <w:top w:val="single" w:sz="5" w:space="0" w:color="000000"/>
              <w:left w:val="single" w:sz="5" w:space="0" w:color="000000"/>
              <w:bottom w:val="single" w:sz="5" w:space="0" w:color="000000"/>
              <w:right w:val="single" w:sz="5" w:space="0" w:color="000000"/>
            </w:tcBorders>
          </w:tcPr>
          <w:p w14:paraId="035ACC8F" w14:textId="77777777" w:rsidR="00763105" w:rsidRPr="005A4F9F" w:rsidRDefault="00763105" w:rsidP="008B00DE">
            <w:pPr>
              <w:widowControl w:val="0"/>
              <w:spacing w:line="246" w:lineRule="exact"/>
              <w:ind w:left="104"/>
              <w:jc w:val="both"/>
              <w:rPr>
                <w:sz w:val="22"/>
                <w:szCs w:val="22"/>
                <w:lang w:val="sr-Latn-ME"/>
              </w:rPr>
            </w:pPr>
            <w:r w:rsidRPr="005A4F9F">
              <w:rPr>
                <w:rFonts w:eastAsia="Calibri"/>
                <w:spacing w:val="-1"/>
                <w:sz w:val="22"/>
                <w:szCs w:val="22"/>
                <w:lang w:val="sr-Latn-ME"/>
              </w:rPr>
              <w:t xml:space="preserve">JIA ACR </w:t>
            </w:r>
            <w:r w:rsidRPr="005A4F9F">
              <w:rPr>
                <w:rFonts w:eastAsia="Calibri"/>
                <w:sz w:val="22"/>
                <w:szCs w:val="22"/>
                <w:lang w:val="sr-Latn-ME"/>
              </w:rPr>
              <w:t>90</w:t>
            </w:r>
          </w:p>
        </w:tc>
        <w:tc>
          <w:tcPr>
            <w:tcW w:w="3600" w:type="dxa"/>
            <w:tcBorders>
              <w:top w:val="single" w:sz="5" w:space="0" w:color="000000"/>
              <w:left w:val="single" w:sz="5" w:space="0" w:color="000000"/>
              <w:bottom w:val="single" w:sz="5" w:space="0" w:color="000000"/>
              <w:right w:val="single" w:sz="5" w:space="0" w:color="000000"/>
            </w:tcBorders>
          </w:tcPr>
          <w:p w14:paraId="4D6644FE"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37.3%</w:t>
            </w:r>
            <w:r w:rsidRPr="005A4F9F">
              <w:rPr>
                <w:rFonts w:eastAsia="Calibri"/>
                <w:position w:val="10"/>
                <w:sz w:val="22"/>
                <w:szCs w:val="22"/>
                <w:lang w:val="sr-Latn-ME"/>
              </w:rPr>
              <w:t>1</w:t>
            </w:r>
          </w:p>
        </w:tc>
        <w:tc>
          <w:tcPr>
            <w:tcW w:w="2639" w:type="dxa"/>
            <w:tcBorders>
              <w:top w:val="single" w:sz="5" w:space="0" w:color="000000"/>
              <w:left w:val="single" w:sz="5" w:space="0" w:color="000000"/>
              <w:bottom w:val="single" w:sz="5" w:space="0" w:color="000000"/>
              <w:right w:val="single" w:sz="5" w:space="0" w:color="000000"/>
            </w:tcBorders>
          </w:tcPr>
          <w:p w14:paraId="6771A335" w14:textId="77777777" w:rsidR="00763105" w:rsidRPr="005A4F9F" w:rsidRDefault="00763105" w:rsidP="008B00DE">
            <w:pPr>
              <w:widowControl w:val="0"/>
              <w:spacing w:line="246" w:lineRule="exact"/>
              <w:ind w:left="102"/>
              <w:jc w:val="both"/>
              <w:rPr>
                <w:sz w:val="22"/>
                <w:szCs w:val="22"/>
                <w:lang w:val="sr-Latn-ME"/>
              </w:rPr>
            </w:pPr>
            <w:r w:rsidRPr="005A4F9F">
              <w:rPr>
                <w:rFonts w:eastAsia="Calibri"/>
                <w:sz w:val="22"/>
                <w:szCs w:val="22"/>
                <w:lang w:val="sr-Latn-ME"/>
              </w:rPr>
              <w:t>5.4%</w:t>
            </w:r>
          </w:p>
        </w:tc>
      </w:tr>
    </w:tbl>
    <w:p w14:paraId="431C3B35" w14:textId="77777777" w:rsidR="00763105" w:rsidRPr="008B00DE" w:rsidRDefault="00763105">
      <w:pPr>
        <w:widowControl w:val="0"/>
        <w:spacing w:line="252" w:lineRule="exact"/>
        <w:ind w:left="172"/>
        <w:jc w:val="both"/>
        <w:rPr>
          <w:sz w:val="22"/>
          <w:szCs w:val="22"/>
          <w:lang w:val="sr-Latn-ME"/>
        </w:rPr>
      </w:pPr>
      <w:r w:rsidRPr="008B00DE">
        <w:rPr>
          <w:i/>
          <w:sz w:val="22"/>
          <w:szCs w:val="22"/>
          <w:vertAlign w:val="superscript"/>
          <w:lang w:val="sr-Latn-ME"/>
        </w:rPr>
        <w:t>1</w:t>
      </w:r>
      <w:r w:rsidRPr="008B00DE">
        <w:rPr>
          <w:i/>
          <w:sz w:val="22"/>
          <w:szCs w:val="22"/>
          <w:lang w:val="sr-Latn-ME"/>
        </w:rPr>
        <w:t xml:space="preserve"> p </w:t>
      </w:r>
      <w:r w:rsidRPr="008B00DE">
        <w:rPr>
          <w:i/>
          <w:spacing w:val="-1"/>
          <w:sz w:val="22"/>
          <w:szCs w:val="22"/>
          <w:lang w:val="sr-Latn-ME"/>
        </w:rPr>
        <w:t>&lt;0.0001,</w:t>
      </w:r>
      <w:r w:rsidRPr="008B00DE">
        <w:rPr>
          <w:i/>
          <w:sz w:val="22"/>
          <w:szCs w:val="22"/>
          <w:lang w:val="sr-Latn-ME"/>
        </w:rPr>
        <w:t xml:space="preserve"> </w:t>
      </w:r>
      <w:r w:rsidRPr="008B00DE">
        <w:rPr>
          <w:i/>
          <w:spacing w:val="-1"/>
          <w:sz w:val="22"/>
          <w:szCs w:val="22"/>
          <w:lang w:val="sr-Latn-ME"/>
        </w:rPr>
        <w:t>tocilizumab</w:t>
      </w:r>
      <w:r w:rsidRPr="008B00DE">
        <w:rPr>
          <w:i/>
          <w:sz w:val="22"/>
          <w:szCs w:val="22"/>
          <w:lang w:val="sr-Latn-ME"/>
        </w:rPr>
        <w:t xml:space="preserve"> u</w:t>
      </w:r>
      <w:r w:rsidRPr="008B00DE">
        <w:rPr>
          <w:i/>
          <w:spacing w:val="-3"/>
          <w:sz w:val="22"/>
          <w:szCs w:val="22"/>
          <w:lang w:val="sr-Latn-ME"/>
        </w:rPr>
        <w:t xml:space="preserve"> </w:t>
      </w:r>
      <w:r w:rsidRPr="008B00DE">
        <w:rPr>
          <w:i/>
          <w:spacing w:val="-1"/>
          <w:sz w:val="22"/>
          <w:szCs w:val="22"/>
          <w:lang w:val="sr-Latn-ME"/>
        </w:rPr>
        <w:t>poređenju</w:t>
      </w:r>
      <w:r w:rsidRPr="008B00DE">
        <w:rPr>
          <w:i/>
          <w:spacing w:val="-3"/>
          <w:sz w:val="22"/>
          <w:szCs w:val="22"/>
          <w:lang w:val="sr-Latn-ME"/>
        </w:rPr>
        <w:t xml:space="preserve"> </w:t>
      </w:r>
      <w:r w:rsidRPr="008B00DE">
        <w:rPr>
          <w:i/>
          <w:sz w:val="22"/>
          <w:szCs w:val="22"/>
          <w:lang w:val="sr-Latn-ME"/>
        </w:rPr>
        <w:t xml:space="preserve">sa </w:t>
      </w:r>
      <w:r w:rsidRPr="008B00DE">
        <w:rPr>
          <w:i/>
          <w:spacing w:val="-1"/>
          <w:sz w:val="22"/>
          <w:szCs w:val="22"/>
          <w:lang w:val="sr-Latn-ME"/>
        </w:rPr>
        <w:t>placebom</w:t>
      </w:r>
    </w:p>
    <w:p w14:paraId="2D1847F5" w14:textId="77777777" w:rsidR="00763105" w:rsidRPr="005A4F9F" w:rsidRDefault="00763105" w:rsidP="008B00DE">
      <w:pPr>
        <w:pStyle w:val="Header"/>
        <w:widowControl w:val="0"/>
        <w:tabs>
          <w:tab w:val="left" w:pos="284"/>
        </w:tabs>
        <w:jc w:val="both"/>
        <w:rPr>
          <w:iCs/>
          <w:sz w:val="22"/>
          <w:szCs w:val="22"/>
          <w:lang w:val="sr-Latn-ME"/>
        </w:rPr>
      </w:pPr>
    </w:p>
    <w:p w14:paraId="178D4478" w14:textId="77777777" w:rsidR="00763105" w:rsidRPr="005A4F9F" w:rsidRDefault="00763105">
      <w:pPr>
        <w:widowControl w:val="0"/>
        <w:spacing w:line="252" w:lineRule="exact"/>
        <w:jc w:val="both"/>
        <w:rPr>
          <w:i/>
          <w:sz w:val="22"/>
          <w:szCs w:val="22"/>
          <w:lang w:val="sr-Latn-ME"/>
        </w:rPr>
      </w:pPr>
      <w:r w:rsidRPr="005A4F9F">
        <w:rPr>
          <w:i/>
          <w:sz w:val="22"/>
          <w:szCs w:val="22"/>
          <w:lang w:val="sr-Latn-ME"/>
        </w:rPr>
        <w:t>Sistemski efekti</w:t>
      </w:r>
    </w:p>
    <w:p w14:paraId="2188677E" w14:textId="77777777" w:rsidR="00763105" w:rsidRPr="005A4F9F" w:rsidRDefault="00763105">
      <w:pPr>
        <w:pStyle w:val="BodyText"/>
        <w:widowControl w:val="0"/>
        <w:spacing w:after="0" w:line="228" w:lineRule="auto"/>
        <w:jc w:val="both"/>
        <w:rPr>
          <w:sz w:val="22"/>
          <w:szCs w:val="22"/>
          <w:lang w:val="sr-Latn-ME"/>
        </w:rPr>
      </w:pPr>
      <w:r w:rsidRPr="005A4F9F">
        <w:rPr>
          <w:sz w:val="22"/>
          <w:szCs w:val="22"/>
          <w:lang w:val="sr-Latn-ME"/>
        </w:rPr>
        <w:t xml:space="preserve">U grupi koja je primala tocilizumab, 85% pacijenata koji su imali groznicu usljed sJIA na početku, bilo je bez groznice (bez temperature ≥ 37.5 </w:t>
      </w:r>
      <w:r w:rsidRPr="005A4F9F">
        <w:rPr>
          <w:sz w:val="22"/>
          <w:szCs w:val="22"/>
          <w:vertAlign w:val="superscript"/>
          <w:lang w:val="sr-Latn-ME"/>
        </w:rPr>
        <w:t>o</w:t>
      </w:r>
      <w:r w:rsidRPr="005A4F9F">
        <w:rPr>
          <w:sz w:val="22"/>
          <w:szCs w:val="22"/>
          <w:lang w:val="sr-Latn-ME"/>
        </w:rPr>
        <w:t>C u prethodnih 14 dana) u 12-toj nedjelji, u poređenju sa 21% pacijenata koji su primali placebo (p &lt;0.0001).</w:t>
      </w:r>
    </w:p>
    <w:p w14:paraId="08F71396" w14:textId="77777777" w:rsidR="00763105" w:rsidRPr="005A4F9F" w:rsidRDefault="00763105">
      <w:pPr>
        <w:pStyle w:val="BodyText"/>
        <w:widowControl w:val="0"/>
        <w:spacing w:after="0"/>
        <w:jc w:val="both"/>
        <w:rPr>
          <w:sz w:val="22"/>
          <w:szCs w:val="22"/>
          <w:lang w:val="sr-Latn-ME"/>
        </w:rPr>
      </w:pPr>
      <w:r w:rsidRPr="005A4F9F">
        <w:rPr>
          <w:sz w:val="22"/>
          <w:szCs w:val="22"/>
          <w:lang w:val="sr-Latn-ME"/>
        </w:rPr>
        <w:t>Srednja promjena na VAS skali nakon 12 nedjelja primjene tocilizumaba, pokazala je smanjenje za 41  na skali od 0 –100, u poređenju sa smanjenjem za 1,  kod pacijenata koji su primali placebo (p &lt;0.0001).</w:t>
      </w:r>
    </w:p>
    <w:p w14:paraId="0DE656F3" w14:textId="77777777" w:rsidR="00542633" w:rsidRPr="005A4F9F" w:rsidRDefault="00542633">
      <w:pPr>
        <w:widowControl w:val="0"/>
        <w:jc w:val="both"/>
        <w:rPr>
          <w:i/>
          <w:sz w:val="22"/>
          <w:szCs w:val="22"/>
          <w:lang w:val="sr-Latn-ME"/>
        </w:rPr>
      </w:pPr>
    </w:p>
    <w:p w14:paraId="09B7078F" w14:textId="135062AE" w:rsidR="00763105" w:rsidRPr="005A4F9F" w:rsidRDefault="00763105">
      <w:pPr>
        <w:widowControl w:val="0"/>
        <w:jc w:val="both"/>
        <w:rPr>
          <w:i/>
          <w:sz w:val="22"/>
          <w:szCs w:val="22"/>
          <w:lang w:val="sr-Latn-ME"/>
        </w:rPr>
      </w:pPr>
      <w:r w:rsidRPr="005A4F9F">
        <w:rPr>
          <w:i/>
          <w:sz w:val="22"/>
          <w:szCs w:val="22"/>
          <w:lang w:val="sr-Latn-ME"/>
        </w:rPr>
        <w:t>Smanjenje doze kortikosteroida</w:t>
      </w:r>
    </w:p>
    <w:p w14:paraId="4DA9B6EA" w14:textId="6770F8FE" w:rsidR="00763105" w:rsidRPr="005A4F9F" w:rsidRDefault="00763105">
      <w:pPr>
        <w:pStyle w:val="BodyText"/>
        <w:widowControl w:val="0"/>
        <w:spacing w:after="0"/>
        <w:jc w:val="both"/>
        <w:rPr>
          <w:sz w:val="22"/>
          <w:szCs w:val="22"/>
          <w:lang w:val="sr-Latn-ME"/>
        </w:rPr>
      </w:pPr>
      <w:r w:rsidRPr="005A4F9F">
        <w:rPr>
          <w:sz w:val="22"/>
          <w:szCs w:val="22"/>
          <w:lang w:val="sr-Latn-ME"/>
        </w:rPr>
        <w:t>Pacijentima koji su postigli sJIA ACR 70 odgovor bilo je dozvoljeno smanjenje doze kortikosteroida. Sedamnaest (34%) pacijenata koji su primali tocilizumab i 1 (3%) pacijent iz grupe koja je primala placebo, bili su u mogućnosti da smanje dozu kortikosteroida za najmanje 20% bez pojave pogoršanja prema JIA ACR 30 i pojave sistemskih simptoma do 12-te ned</w:t>
      </w:r>
      <w:r w:rsidR="00CA5620" w:rsidRPr="005A4F9F">
        <w:rPr>
          <w:sz w:val="22"/>
          <w:szCs w:val="22"/>
          <w:lang w:val="sr-Latn-ME"/>
        </w:rPr>
        <w:t>j</w:t>
      </w:r>
      <w:r w:rsidRPr="005A4F9F">
        <w:rPr>
          <w:sz w:val="22"/>
          <w:szCs w:val="22"/>
          <w:lang w:val="sr-Latn-ME"/>
        </w:rPr>
        <w:t>elje (p=0.028). Redukcija u dozi kortikosteroida se nastavila, sa 44 pacijenta koji su prestali da uzimaju oralne kortikosteroide u 44-toj ned</w:t>
      </w:r>
      <w:r w:rsidR="00A563B1" w:rsidRPr="005A4F9F">
        <w:rPr>
          <w:sz w:val="22"/>
          <w:szCs w:val="22"/>
          <w:lang w:val="sr-Latn-ME"/>
        </w:rPr>
        <w:t>j</w:t>
      </w:r>
      <w:r w:rsidRPr="005A4F9F">
        <w:rPr>
          <w:sz w:val="22"/>
          <w:szCs w:val="22"/>
          <w:lang w:val="sr-Latn-ME"/>
        </w:rPr>
        <w:t>elji, a održali su JIA ACR odgovor.</w:t>
      </w:r>
    </w:p>
    <w:p w14:paraId="141ACDEE" w14:textId="77777777" w:rsidR="00542633" w:rsidRPr="005A4F9F" w:rsidRDefault="00542633">
      <w:pPr>
        <w:widowControl w:val="0"/>
        <w:spacing w:line="252" w:lineRule="exact"/>
        <w:jc w:val="both"/>
        <w:rPr>
          <w:i/>
          <w:sz w:val="22"/>
          <w:szCs w:val="22"/>
          <w:lang w:val="sr-Latn-ME"/>
        </w:rPr>
      </w:pPr>
    </w:p>
    <w:p w14:paraId="02DB112B" w14:textId="33EC8799" w:rsidR="00763105" w:rsidRPr="005A4F9F" w:rsidRDefault="00763105">
      <w:pPr>
        <w:widowControl w:val="0"/>
        <w:spacing w:line="252" w:lineRule="exact"/>
        <w:jc w:val="both"/>
        <w:rPr>
          <w:i/>
          <w:sz w:val="22"/>
          <w:szCs w:val="22"/>
          <w:lang w:val="sr-Latn-ME"/>
        </w:rPr>
      </w:pPr>
      <w:r w:rsidRPr="005A4F9F">
        <w:rPr>
          <w:i/>
          <w:sz w:val="22"/>
          <w:szCs w:val="22"/>
          <w:lang w:val="sr-Latn-ME"/>
        </w:rPr>
        <w:t>Ishodi povezani sa zdravljem i kvalitetom života</w:t>
      </w:r>
    </w:p>
    <w:p w14:paraId="292E5027" w14:textId="77777777" w:rsidR="00763105" w:rsidRPr="005A4F9F" w:rsidRDefault="00763105">
      <w:pPr>
        <w:widowControl w:val="0"/>
        <w:jc w:val="both"/>
        <w:rPr>
          <w:sz w:val="22"/>
          <w:szCs w:val="22"/>
          <w:lang w:val="sr-Latn-ME"/>
        </w:rPr>
      </w:pPr>
      <w:r w:rsidRPr="005A4F9F">
        <w:rPr>
          <w:sz w:val="22"/>
          <w:szCs w:val="22"/>
          <w:lang w:val="sr-Latn-ME"/>
        </w:rPr>
        <w:t>U 12-toj ned</w:t>
      </w:r>
      <w:r w:rsidR="00CA5620" w:rsidRPr="005A4F9F">
        <w:rPr>
          <w:sz w:val="22"/>
          <w:szCs w:val="22"/>
          <w:lang w:val="sr-Latn-ME"/>
        </w:rPr>
        <w:t>j</w:t>
      </w:r>
      <w:r w:rsidRPr="005A4F9F">
        <w:rPr>
          <w:sz w:val="22"/>
          <w:szCs w:val="22"/>
          <w:lang w:val="sr-Latn-ME"/>
        </w:rPr>
        <w:t>elji, procenat pacijenata u grupi koja je primala tocilizumab, a pokazali su minimum klinički značajno poboljšanje prema Upitniku za procjenu zdravlja u detinjstvu– Indeksu onesposobljenosti (koji je definisan kao individualno smanjenje ukupnog skora za ≥ 0.13) bio je značajno veći nego u grupi koja je primala placebo, 77% u poređenju sa 19% (p&lt; 0.0001).</w:t>
      </w:r>
    </w:p>
    <w:p w14:paraId="600B94A9" w14:textId="77777777" w:rsidR="00542633" w:rsidRPr="005A4F9F" w:rsidRDefault="00542633">
      <w:pPr>
        <w:widowControl w:val="0"/>
        <w:jc w:val="both"/>
        <w:rPr>
          <w:i/>
          <w:sz w:val="22"/>
          <w:szCs w:val="22"/>
          <w:lang w:val="sr-Latn-ME"/>
        </w:rPr>
      </w:pPr>
    </w:p>
    <w:p w14:paraId="70C59E1E" w14:textId="65D2B8E2" w:rsidR="00763105" w:rsidRPr="005A4F9F" w:rsidRDefault="00763105">
      <w:pPr>
        <w:widowControl w:val="0"/>
        <w:jc w:val="both"/>
        <w:rPr>
          <w:i/>
          <w:sz w:val="22"/>
          <w:szCs w:val="22"/>
          <w:lang w:val="sr-Latn-ME"/>
        </w:rPr>
      </w:pPr>
      <w:r w:rsidRPr="005A4F9F">
        <w:rPr>
          <w:i/>
          <w:sz w:val="22"/>
          <w:szCs w:val="22"/>
          <w:lang w:val="sr-Latn-ME"/>
        </w:rPr>
        <w:t>Laboratorijski parametri</w:t>
      </w:r>
    </w:p>
    <w:p w14:paraId="684FCD59" w14:textId="681EE527" w:rsidR="00C92A61" w:rsidRPr="005A4F9F" w:rsidRDefault="00763105">
      <w:pPr>
        <w:widowControl w:val="0"/>
        <w:jc w:val="both"/>
        <w:rPr>
          <w:sz w:val="22"/>
          <w:szCs w:val="22"/>
          <w:lang w:val="sr-Latn-ME"/>
        </w:rPr>
      </w:pPr>
      <w:r w:rsidRPr="005A4F9F">
        <w:rPr>
          <w:sz w:val="22"/>
          <w:szCs w:val="22"/>
          <w:lang w:val="sr-Latn-ME"/>
        </w:rPr>
        <w:t>Pedeset od sedamdeset pet (67%) pacijenata u grupi koja je primala tocilizumab imali su vrijednost hemoglobina ispod donje granice, prije početka terapije. 40 (80%) od ovih pacijenata je imalo povećanje vrijednosti hemoglobina do normalnih vrijednosti u 12-toj ned</w:t>
      </w:r>
      <w:r w:rsidR="00A563B1" w:rsidRPr="005A4F9F">
        <w:rPr>
          <w:sz w:val="22"/>
          <w:szCs w:val="22"/>
          <w:lang w:val="sr-Latn-ME"/>
        </w:rPr>
        <w:t>j</w:t>
      </w:r>
      <w:r w:rsidRPr="005A4F9F">
        <w:rPr>
          <w:sz w:val="22"/>
          <w:szCs w:val="22"/>
          <w:lang w:val="sr-Latn-ME"/>
        </w:rPr>
        <w:t>elji, u poređenju sa 2 od 29 (7%) pacijenata u grupi koja je primala placebo</w:t>
      </w:r>
      <w:r w:rsidR="00A14D1F" w:rsidRPr="005A4F9F">
        <w:rPr>
          <w:sz w:val="22"/>
          <w:szCs w:val="22"/>
          <w:lang w:val="sr-Latn-ME"/>
        </w:rPr>
        <w:t>, a koji su imali vrijednost hemoglobina ispod donje granice</w:t>
      </w:r>
      <w:r w:rsidRPr="005A4F9F">
        <w:rPr>
          <w:sz w:val="22"/>
          <w:szCs w:val="22"/>
          <w:lang w:val="sr-Latn-ME"/>
        </w:rPr>
        <w:t>.</w:t>
      </w:r>
    </w:p>
    <w:p w14:paraId="32B88D44" w14:textId="77777777" w:rsidR="00542633" w:rsidRPr="005A4F9F" w:rsidRDefault="00542633">
      <w:pPr>
        <w:widowControl w:val="0"/>
        <w:jc w:val="both"/>
        <w:rPr>
          <w:b/>
          <w:bCs/>
          <w:sz w:val="22"/>
          <w:szCs w:val="22"/>
          <w:u w:val="single"/>
          <w:lang w:val="sr-Latn-ME"/>
        </w:rPr>
      </w:pPr>
    </w:p>
    <w:p w14:paraId="5885B143" w14:textId="0B32B0E2" w:rsidR="005F224E" w:rsidRPr="005A4F9F" w:rsidRDefault="007D6E02">
      <w:pPr>
        <w:widowControl w:val="0"/>
        <w:jc w:val="both"/>
        <w:rPr>
          <w:sz w:val="22"/>
          <w:szCs w:val="22"/>
          <w:lang w:val="sr-Latn-ME"/>
        </w:rPr>
      </w:pPr>
      <w:r w:rsidRPr="005A4F9F">
        <w:rPr>
          <w:b/>
          <w:bCs/>
          <w:sz w:val="22"/>
          <w:szCs w:val="22"/>
          <w:u w:val="single"/>
          <w:lang w:val="sr-Latn-ME"/>
        </w:rPr>
        <w:t>Pedijatrijska populacija s</w:t>
      </w:r>
      <w:r w:rsidR="005F224E" w:rsidRPr="005A4F9F">
        <w:rPr>
          <w:b/>
          <w:bCs/>
          <w:sz w:val="22"/>
          <w:szCs w:val="22"/>
          <w:u w:val="single"/>
          <w:lang w:val="sr-Latn-ME"/>
        </w:rPr>
        <w:t xml:space="preserve"> </w:t>
      </w:r>
      <w:r w:rsidR="00763105" w:rsidRPr="005A4F9F">
        <w:rPr>
          <w:b/>
          <w:bCs/>
          <w:sz w:val="22"/>
          <w:szCs w:val="22"/>
          <w:u w:val="single"/>
          <w:lang w:val="sr-Latn-ME"/>
        </w:rPr>
        <w:t xml:space="preserve">pJIA </w:t>
      </w:r>
    </w:p>
    <w:p w14:paraId="1BEE40B1" w14:textId="77777777" w:rsidR="00763105" w:rsidRPr="005A4F9F" w:rsidRDefault="00763105">
      <w:pPr>
        <w:widowControl w:val="0"/>
        <w:jc w:val="both"/>
        <w:rPr>
          <w:sz w:val="22"/>
          <w:szCs w:val="22"/>
          <w:lang w:val="sr-Latn-ME"/>
        </w:rPr>
      </w:pPr>
    </w:p>
    <w:p w14:paraId="1E34889D" w14:textId="77777777" w:rsidR="00763105" w:rsidRPr="005A4F9F" w:rsidRDefault="00763105">
      <w:pPr>
        <w:widowControl w:val="0"/>
        <w:jc w:val="both"/>
        <w:rPr>
          <w:iCs/>
          <w:sz w:val="22"/>
          <w:szCs w:val="22"/>
          <w:u w:val="single"/>
          <w:lang w:val="sr-Latn-ME"/>
        </w:rPr>
      </w:pPr>
      <w:r w:rsidRPr="005A4F9F">
        <w:rPr>
          <w:iCs/>
          <w:sz w:val="22"/>
          <w:szCs w:val="22"/>
          <w:u w:val="single"/>
          <w:lang w:val="sr-Latn-ME"/>
        </w:rPr>
        <w:t>Klinička efikasnost</w:t>
      </w:r>
    </w:p>
    <w:p w14:paraId="6069BF5B" w14:textId="1BA78E58" w:rsidR="00763105" w:rsidRPr="005A4F9F" w:rsidRDefault="00763105">
      <w:pPr>
        <w:widowControl w:val="0"/>
        <w:spacing w:line="240" w:lineRule="exact"/>
        <w:jc w:val="both"/>
        <w:rPr>
          <w:sz w:val="22"/>
          <w:szCs w:val="22"/>
          <w:lang w:val="sr-Latn-ME"/>
        </w:rPr>
      </w:pPr>
      <w:r w:rsidRPr="005A4F9F">
        <w:rPr>
          <w:sz w:val="22"/>
          <w:szCs w:val="22"/>
          <w:lang w:val="sr-Latn-ME"/>
        </w:rPr>
        <w:t>Efikasnost tocilizumaba proc</w:t>
      </w:r>
      <w:r w:rsidR="00CA5620" w:rsidRPr="005A4F9F">
        <w:rPr>
          <w:sz w:val="22"/>
          <w:szCs w:val="22"/>
          <w:lang w:val="sr-Latn-ME"/>
        </w:rPr>
        <w:t>i</w:t>
      </w:r>
      <w:r w:rsidRPr="005A4F9F">
        <w:rPr>
          <w:sz w:val="22"/>
          <w:szCs w:val="22"/>
          <w:lang w:val="sr-Latn-ME"/>
        </w:rPr>
        <w:t>jenjena je u trodijelnom ispitivanju WA19977, uključujući i otvoreni produžetak ispitivanja, kod djece sa aktivnim pJIA. Dio I sastojao se od 16</w:t>
      </w:r>
      <w:r w:rsidRPr="005A4F9F">
        <w:rPr>
          <w:sz w:val="22"/>
          <w:szCs w:val="22"/>
          <w:lang w:val="sr-Latn-ME"/>
        </w:rPr>
        <w:noBreakHyphen/>
        <w:t>ned</w:t>
      </w:r>
      <w:r w:rsidR="00A563B1" w:rsidRPr="005A4F9F">
        <w:rPr>
          <w:sz w:val="22"/>
          <w:szCs w:val="22"/>
          <w:lang w:val="sr-Latn-ME"/>
        </w:rPr>
        <w:t>j</w:t>
      </w:r>
      <w:r w:rsidRPr="005A4F9F">
        <w:rPr>
          <w:sz w:val="22"/>
          <w:szCs w:val="22"/>
          <w:lang w:val="sr-Latn-ME"/>
        </w:rPr>
        <w:t>eljnog uvodnog perioda tokom kojeg su pacijenti aktivno liječeni tocilizumabom (n=188), nakon čega je uslijedio dio II, 24</w:t>
      </w:r>
      <w:r w:rsidRPr="005A4F9F">
        <w:rPr>
          <w:sz w:val="22"/>
          <w:szCs w:val="22"/>
          <w:lang w:val="sr-Latn-ME"/>
        </w:rPr>
        <w:noBreakHyphen/>
        <w:t>ned</w:t>
      </w:r>
      <w:r w:rsidR="00A563B1" w:rsidRPr="005A4F9F">
        <w:rPr>
          <w:sz w:val="22"/>
          <w:szCs w:val="22"/>
          <w:lang w:val="sr-Latn-ME"/>
        </w:rPr>
        <w:t>j</w:t>
      </w:r>
      <w:r w:rsidRPr="005A4F9F">
        <w:rPr>
          <w:sz w:val="22"/>
          <w:szCs w:val="22"/>
          <w:lang w:val="sr-Latn-ME"/>
        </w:rPr>
        <w:t>eljni randomizovani, dvostruko slijepi, placebom kontrolisani period izuzimanja lijeka iz liječenja (n=163) i na kraju dio III, 64-ned</w:t>
      </w:r>
      <w:r w:rsidR="00A563B1" w:rsidRPr="005A4F9F">
        <w:rPr>
          <w:sz w:val="22"/>
          <w:szCs w:val="22"/>
          <w:lang w:val="sr-Latn-ME"/>
        </w:rPr>
        <w:t>j</w:t>
      </w:r>
      <w:r w:rsidRPr="005A4F9F">
        <w:rPr>
          <w:sz w:val="22"/>
          <w:szCs w:val="22"/>
          <w:lang w:val="sr-Latn-ME"/>
        </w:rPr>
        <w:t>eljni period otvorenog ispitivanja. U dijelu I su pacijenti tjelesne težine ≥ 30 kg pogodni za liječenje primali intravenski tocilizumab u dozi od 8 mg/kg svake 4 ned</w:t>
      </w:r>
      <w:r w:rsidR="00CA5620" w:rsidRPr="005A4F9F">
        <w:rPr>
          <w:sz w:val="22"/>
          <w:szCs w:val="22"/>
          <w:lang w:val="sr-Latn-ME"/>
        </w:rPr>
        <w:t>j</w:t>
      </w:r>
      <w:r w:rsidRPr="005A4F9F">
        <w:rPr>
          <w:sz w:val="22"/>
          <w:szCs w:val="22"/>
          <w:lang w:val="sr-Latn-ME"/>
        </w:rPr>
        <w:t>elje tokom 4 doze. Pacijenti tjelesne težine &lt; 30 kg randomiziovni su u odnosu 1:1 u grupu koja je primala intravenski tocilizumab u dozi od 8 mg/kg ili 10 mg/kg svake 4 ned</w:t>
      </w:r>
      <w:r w:rsidR="00A563B1" w:rsidRPr="005A4F9F">
        <w:rPr>
          <w:sz w:val="22"/>
          <w:szCs w:val="22"/>
          <w:lang w:val="sr-Latn-ME"/>
        </w:rPr>
        <w:t>j</w:t>
      </w:r>
      <w:r w:rsidRPr="005A4F9F">
        <w:rPr>
          <w:sz w:val="22"/>
          <w:szCs w:val="22"/>
          <w:lang w:val="sr-Latn-ME"/>
        </w:rPr>
        <w:t>elje tokom 4 doze.</w:t>
      </w:r>
    </w:p>
    <w:p w14:paraId="53DEFB78" w14:textId="77777777" w:rsidR="00623240" w:rsidRPr="005A4F9F" w:rsidRDefault="00623240">
      <w:pPr>
        <w:widowControl w:val="0"/>
        <w:spacing w:line="240" w:lineRule="exact"/>
        <w:jc w:val="both"/>
        <w:rPr>
          <w:sz w:val="22"/>
          <w:szCs w:val="22"/>
          <w:lang w:val="sr-Latn-ME"/>
        </w:rPr>
      </w:pPr>
      <w:r w:rsidRPr="005A4F9F">
        <w:rPr>
          <w:sz w:val="22"/>
          <w:szCs w:val="22"/>
          <w:lang w:val="sr-Latn-ME"/>
        </w:rPr>
        <w:t>Pacijenti koji su završili I dio ispitivanja i u 16. nedjelji postigli najmanje JIA ACR30 odgovor  u odnosu na početne vrijednosti mogli su ući u sl</w:t>
      </w:r>
      <w:r w:rsidR="00843E20" w:rsidRPr="005A4F9F">
        <w:rPr>
          <w:sz w:val="22"/>
          <w:szCs w:val="22"/>
          <w:lang w:val="sr-Latn-ME"/>
        </w:rPr>
        <w:t>ij</w:t>
      </w:r>
      <w:r w:rsidRPr="005A4F9F">
        <w:rPr>
          <w:sz w:val="22"/>
          <w:szCs w:val="22"/>
          <w:lang w:val="sr-Latn-ME"/>
        </w:rPr>
        <w:t xml:space="preserve">epi period izuzimanja lijeka iz liječenja (dio II ispitivanja). U dijelu II su pacijenti randomizovani u odnosu 1:1 u grupu koja je primala tocilizumab (u dozi kao i u dijelu I) ili placebo, a </w:t>
      </w:r>
      <w:r w:rsidR="00843E20" w:rsidRPr="005A4F9F">
        <w:rPr>
          <w:sz w:val="22"/>
          <w:szCs w:val="22"/>
          <w:lang w:val="sr-Latn-ME"/>
        </w:rPr>
        <w:t xml:space="preserve">podijeljeni </w:t>
      </w:r>
      <w:r w:rsidRPr="005A4F9F">
        <w:rPr>
          <w:sz w:val="22"/>
          <w:szCs w:val="22"/>
          <w:lang w:val="sr-Latn-ME"/>
        </w:rPr>
        <w:t>su prema istovremenoj primjeni MTX i istovremenoj primjeni kortikosteroida. Svaki pacijent je učestvovao u dijelu II ispitivanja do 40. nedjelje ili dok nije ispunio JIA ACR30 odgovor (u odnosu na 16. nedjelju) pa se tako kvalifikovao za prelazak na liječenje tocilizumabom (u dozi kao u dijelu I).</w:t>
      </w:r>
    </w:p>
    <w:p w14:paraId="2C621CA3" w14:textId="77777777" w:rsidR="00763105" w:rsidRPr="005A4F9F" w:rsidRDefault="00763105">
      <w:pPr>
        <w:widowControl w:val="0"/>
        <w:spacing w:line="240" w:lineRule="exact"/>
        <w:jc w:val="both"/>
        <w:rPr>
          <w:sz w:val="22"/>
          <w:szCs w:val="22"/>
          <w:lang w:val="sr-Latn-ME"/>
        </w:rPr>
      </w:pPr>
    </w:p>
    <w:p w14:paraId="4AF15E39" w14:textId="77777777" w:rsidR="00763105" w:rsidRPr="005A4F9F" w:rsidRDefault="00763105">
      <w:pPr>
        <w:widowControl w:val="0"/>
        <w:jc w:val="both"/>
        <w:rPr>
          <w:iCs/>
          <w:sz w:val="22"/>
          <w:szCs w:val="22"/>
          <w:u w:val="single"/>
          <w:lang w:val="sr-Latn-ME"/>
        </w:rPr>
      </w:pPr>
      <w:r w:rsidRPr="005A4F9F">
        <w:rPr>
          <w:iCs/>
          <w:sz w:val="22"/>
          <w:szCs w:val="22"/>
          <w:u w:val="single"/>
          <w:lang w:val="sr-Latn-ME"/>
        </w:rPr>
        <w:t>Klinički odgovor</w:t>
      </w:r>
    </w:p>
    <w:p w14:paraId="28B895B6" w14:textId="77777777" w:rsidR="00763105" w:rsidRPr="005A4F9F" w:rsidRDefault="00763105">
      <w:pPr>
        <w:widowControl w:val="0"/>
        <w:jc w:val="both"/>
        <w:rPr>
          <w:sz w:val="22"/>
          <w:szCs w:val="22"/>
          <w:lang w:val="sr-Latn-ME"/>
        </w:rPr>
      </w:pPr>
      <w:r w:rsidRPr="005A4F9F">
        <w:rPr>
          <w:sz w:val="22"/>
          <w:szCs w:val="22"/>
          <w:lang w:val="sr-Latn-ME"/>
        </w:rPr>
        <w:t>Primarna krajnja tačka</w:t>
      </w:r>
      <w:r w:rsidR="00CA5620" w:rsidRPr="005A4F9F">
        <w:rPr>
          <w:sz w:val="22"/>
          <w:szCs w:val="22"/>
          <w:lang w:val="sr-Latn-ME"/>
        </w:rPr>
        <w:t xml:space="preserve"> </w:t>
      </w:r>
      <w:r w:rsidRPr="005A4F9F">
        <w:rPr>
          <w:sz w:val="22"/>
          <w:szCs w:val="22"/>
          <w:lang w:val="sr-Latn-ME"/>
        </w:rPr>
        <w:t>bila je procenat pacijenata sa pogoršanjem upale na nivou JIA ACR30 u 40. ned</w:t>
      </w:r>
      <w:r w:rsidR="00CA5620" w:rsidRPr="005A4F9F">
        <w:rPr>
          <w:sz w:val="22"/>
          <w:szCs w:val="22"/>
          <w:lang w:val="sr-Latn-ME"/>
        </w:rPr>
        <w:t>j</w:t>
      </w:r>
      <w:r w:rsidRPr="005A4F9F">
        <w:rPr>
          <w:sz w:val="22"/>
          <w:szCs w:val="22"/>
          <w:lang w:val="sr-Latn-ME"/>
        </w:rPr>
        <w:t>elji u odnosu na 16. ned</w:t>
      </w:r>
      <w:r w:rsidR="00CA5620" w:rsidRPr="005A4F9F">
        <w:rPr>
          <w:sz w:val="22"/>
          <w:szCs w:val="22"/>
          <w:lang w:val="sr-Latn-ME"/>
        </w:rPr>
        <w:t>j</w:t>
      </w:r>
      <w:r w:rsidRPr="005A4F9F">
        <w:rPr>
          <w:sz w:val="22"/>
          <w:szCs w:val="22"/>
          <w:lang w:val="sr-Latn-ME"/>
        </w:rPr>
        <w:t>elju. Pogoršanje upale zabilježeno je u 48 posto (48,1%, 39/81) pacijenata koji su primali placebo te u 25,6% (21/82) pacijenata liječenih tocilizumabom. Ti su se procenti statistički značajno razlikovali (p = 0,0024).</w:t>
      </w:r>
    </w:p>
    <w:p w14:paraId="4C543B43" w14:textId="77777777" w:rsidR="00763105" w:rsidRPr="005A4F9F" w:rsidRDefault="00763105">
      <w:pPr>
        <w:widowControl w:val="0"/>
        <w:jc w:val="both"/>
        <w:rPr>
          <w:sz w:val="22"/>
          <w:szCs w:val="22"/>
          <w:lang w:val="sr-Latn-ME"/>
        </w:rPr>
      </w:pPr>
      <w:r w:rsidRPr="005A4F9F">
        <w:rPr>
          <w:sz w:val="22"/>
          <w:szCs w:val="22"/>
          <w:lang w:val="sr-Latn-ME"/>
        </w:rPr>
        <w:t>Po završetku dijela I, procenti odgovora JIA ACR 30/50/70/90 iznosili su 89,4%, 83,0%, 62,2% odnosno 26,1%.</w:t>
      </w:r>
    </w:p>
    <w:p w14:paraId="56725281" w14:textId="00AEF352"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lastRenderedPageBreak/>
        <w:t>Tokom razdoblja izuzimanja lijeka iz liječenja</w:t>
      </w:r>
      <w:r w:rsidRPr="005A4F9F" w:rsidDel="00221595">
        <w:rPr>
          <w:sz w:val="22"/>
          <w:szCs w:val="22"/>
          <w:lang w:val="sr-Latn-ME"/>
        </w:rPr>
        <w:t xml:space="preserve"> </w:t>
      </w:r>
      <w:r w:rsidRPr="005A4F9F">
        <w:rPr>
          <w:sz w:val="22"/>
          <w:szCs w:val="22"/>
          <w:lang w:val="sr-Latn-ME"/>
        </w:rPr>
        <w:t>(dio II) postoci pacijenata koji su postigli odgovor JIA ACR 30, 50 i 70 u 40. ned</w:t>
      </w:r>
      <w:r w:rsidR="00A563B1" w:rsidRPr="005A4F9F">
        <w:rPr>
          <w:sz w:val="22"/>
          <w:szCs w:val="22"/>
          <w:lang w:val="sr-Latn-ME"/>
        </w:rPr>
        <w:t>j</w:t>
      </w:r>
      <w:r w:rsidRPr="005A4F9F">
        <w:rPr>
          <w:sz w:val="22"/>
          <w:szCs w:val="22"/>
          <w:lang w:val="sr-Latn-ME"/>
        </w:rPr>
        <w:t>elji u odnosu na početak liječenja prikazani su u Tabeli </w:t>
      </w:r>
      <w:r w:rsidR="00BF249E" w:rsidRPr="005A4F9F">
        <w:rPr>
          <w:sz w:val="22"/>
          <w:szCs w:val="22"/>
          <w:lang w:val="sr-Latn-ME"/>
        </w:rPr>
        <w:t>9</w:t>
      </w:r>
      <w:r w:rsidRPr="005A4F9F">
        <w:rPr>
          <w:sz w:val="22"/>
          <w:szCs w:val="22"/>
          <w:lang w:val="sr-Latn-ME"/>
        </w:rPr>
        <w:t>. U toj su statističkoj analizi pacijenti koji su u II. dijelu doživjeli pogoršanje upale (i prešli na liječenje tocilizumabom) ili oni koji su se povukli iz ispitivanja, svrstani u kategoriju pacijenata bez odgovora. Dodatne analize JIA ACR odgovora, uzimajući o obzir podatke iz 40. ned</w:t>
      </w:r>
      <w:r w:rsidR="00CA5620" w:rsidRPr="005A4F9F">
        <w:rPr>
          <w:sz w:val="22"/>
          <w:szCs w:val="22"/>
          <w:lang w:val="sr-Latn-ME"/>
        </w:rPr>
        <w:t>j</w:t>
      </w:r>
      <w:r w:rsidRPr="005A4F9F">
        <w:rPr>
          <w:sz w:val="22"/>
          <w:szCs w:val="22"/>
          <w:lang w:val="sr-Latn-ME"/>
        </w:rPr>
        <w:t>elje nezavisno o statusu pogoršanja upale, pokazale su da je do 40. ned</w:t>
      </w:r>
      <w:r w:rsidR="00A563B1" w:rsidRPr="005A4F9F">
        <w:rPr>
          <w:sz w:val="22"/>
          <w:szCs w:val="22"/>
          <w:lang w:val="sr-Latn-ME"/>
        </w:rPr>
        <w:t>j</w:t>
      </w:r>
      <w:r w:rsidRPr="005A4F9F">
        <w:rPr>
          <w:sz w:val="22"/>
          <w:szCs w:val="22"/>
          <w:lang w:val="sr-Latn-ME"/>
        </w:rPr>
        <w:t>elje 95,1% pacijenata koji su nastavili liječenje tocilizumabom postiglo odgovor JIA ACR</w:t>
      </w:r>
      <w:r w:rsidR="009A5114" w:rsidRPr="005A4F9F">
        <w:rPr>
          <w:sz w:val="22"/>
          <w:szCs w:val="22"/>
          <w:lang w:val="sr-Latn-ME"/>
        </w:rPr>
        <w:t xml:space="preserve"> </w:t>
      </w:r>
      <w:r w:rsidRPr="005A4F9F">
        <w:rPr>
          <w:sz w:val="22"/>
          <w:szCs w:val="22"/>
          <w:lang w:val="sr-Latn-ME"/>
        </w:rPr>
        <w:t>30 ili veći.</w:t>
      </w:r>
    </w:p>
    <w:p w14:paraId="7AD3FE8B" w14:textId="77777777" w:rsidR="00763105" w:rsidRPr="005A4F9F" w:rsidRDefault="00763105">
      <w:pPr>
        <w:widowControl w:val="0"/>
        <w:tabs>
          <w:tab w:val="left" w:pos="284"/>
          <w:tab w:val="center" w:pos="4320"/>
          <w:tab w:val="right" w:pos="8640"/>
        </w:tabs>
        <w:jc w:val="both"/>
        <w:rPr>
          <w:sz w:val="22"/>
          <w:szCs w:val="22"/>
          <w:lang w:val="sr-Latn-ME"/>
        </w:rPr>
      </w:pPr>
    </w:p>
    <w:p w14:paraId="31D918FA" w14:textId="5909250E" w:rsidR="00763105" w:rsidRPr="005A4F9F" w:rsidRDefault="00763105" w:rsidP="008B00DE">
      <w:pPr>
        <w:widowControl w:val="0"/>
        <w:jc w:val="both"/>
        <w:rPr>
          <w:i/>
          <w:sz w:val="22"/>
          <w:szCs w:val="22"/>
          <w:lang w:val="sr-Latn-ME"/>
        </w:rPr>
      </w:pPr>
      <w:r w:rsidRPr="005A4F9F">
        <w:rPr>
          <w:i/>
          <w:sz w:val="22"/>
          <w:szCs w:val="22"/>
          <w:lang w:val="sr-Latn-ME"/>
        </w:rPr>
        <w:t xml:space="preserve">Tabela </w:t>
      </w:r>
      <w:r w:rsidR="00BF249E" w:rsidRPr="005A4F9F">
        <w:rPr>
          <w:i/>
          <w:sz w:val="22"/>
          <w:szCs w:val="22"/>
          <w:lang w:val="sr-Latn-ME"/>
        </w:rPr>
        <w:t>9</w:t>
      </w:r>
      <w:r w:rsidRPr="005A4F9F">
        <w:rPr>
          <w:i/>
          <w:sz w:val="22"/>
          <w:szCs w:val="22"/>
          <w:lang w:val="sr-Latn-ME"/>
        </w:rPr>
        <w:t>: Stope JIA ACR odgovora u 40. ned</w:t>
      </w:r>
      <w:r w:rsidR="00A563B1" w:rsidRPr="005A4F9F">
        <w:rPr>
          <w:i/>
          <w:sz w:val="22"/>
          <w:szCs w:val="22"/>
          <w:lang w:val="sr-Latn-ME"/>
        </w:rPr>
        <w:t>j</w:t>
      </w:r>
      <w:r w:rsidRPr="005A4F9F">
        <w:rPr>
          <w:i/>
          <w:sz w:val="22"/>
          <w:szCs w:val="22"/>
          <w:lang w:val="sr-Latn-ME"/>
        </w:rPr>
        <w:t>elji u odnosu na početak liječenja (postotak pacijenata)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9"/>
        <w:gridCol w:w="4423"/>
      </w:tblGrid>
      <w:tr w:rsidR="00763105" w:rsidRPr="005A4F9F" w14:paraId="3155C774" w14:textId="77777777" w:rsidTr="006B57D8">
        <w:tc>
          <w:tcPr>
            <w:tcW w:w="2235" w:type="dxa"/>
          </w:tcPr>
          <w:p w14:paraId="709FF9AC" w14:textId="77777777" w:rsidR="00763105" w:rsidRPr="005A4F9F" w:rsidRDefault="00763105" w:rsidP="008B00DE">
            <w:pPr>
              <w:widowControl w:val="0"/>
              <w:jc w:val="both"/>
              <w:rPr>
                <w:rFonts w:eastAsia="MS Mincho"/>
                <w:b/>
                <w:sz w:val="22"/>
                <w:szCs w:val="22"/>
                <w:lang w:val="sr-Latn-ME" w:eastAsia="de-DE"/>
              </w:rPr>
            </w:pPr>
            <w:r w:rsidRPr="005A4F9F">
              <w:rPr>
                <w:b/>
                <w:color w:val="000000"/>
                <w:sz w:val="22"/>
                <w:szCs w:val="22"/>
                <w:lang w:val="sr-Latn-ME" w:eastAsia="de-DE"/>
              </w:rPr>
              <w:t>Stopa odgovora</w:t>
            </w:r>
          </w:p>
        </w:tc>
        <w:tc>
          <w:tcPr>
            <w:tcW w:w="2409" w:type="dxa"/>
          </w:tcPr>
          <w:p w14:paraId="443A26EE" w14:textId="77777777" w:rsidR="00763105" w:rsidRPr="005A4F9F" w:rsidRDefault="00763105" w:rsidP="008B00DE">
            <w:pPr>
              <w:widowControl w:val="0"/>
              <w:jc w:val="both"/>
              <w:rPr>
                <w:b/>
                <w:sz w:val="22"/>
                <w:szCs w:val="22"/>
                <w:lang w:val="sr-Latn-ME" w:eastAsia="de-DE"/>
              </w:rPr>
            </w:pPr>
            <w:r w:rsidRPr="005A4F9F">
              <w:rPr>
                <w:b/>
                <w:sz w:val="22"/>
                <w:szCs w:val="22"/>
                <w:lang w:val="sr-Latn-ME" w:eastAsia="de-DE"/>
              </w:rPr>
              <w:t>Tocilizumab</w:t>
            </w:r>
          </w:p>
          <w:p w14:paraId="05F46496" w14:textId="77777777" w:rsidR="00763105" w:rsidRPr="005A4F9F" w:rsidRDefault="00763105" w:rsidP="008B00DE">
            <w:pPr>
              <w:widowControl w:val="0"/>
              <w:jc w:val="both"/>
              <w:rPr>
                <w:rFonts w:eastAsia="MS Mincho"/>
                <w:b/>
                <w:sz w:val="22"/>
                <w:szCs w:val="22"/>
                <w:lang w:val="sr-Latn-ME" w:eastAsia="de-DE"/>
              </w:rPr>
            </w:pPr>
          </w:p>
          <w:p w14:paraId="0BC38618" w14:textId="77777777" w:rsidR="00763105" w:rsidRPr="005A4F9F" w:rsidRDefault="00763105" w:rsidP="008B00DE">
            <w:pPr>
              <w:widowControl w:val="0"/>
              <w:jc w:val="both"/>
              <w:rPr>
                <w:rFonts w:eastAsia="MS Mincho"/>
                <w:b/>
                <w:sz w:val="22"/>
                <w:szCs w:val="22"/>
                <w:lang w:val="sr-Latn-ME" w:eastAsia="de-DE"/>
              </w:rPr>
            </w:pPr>
            <w:r w:rsidRPr="005A4F9F">
              <w:rPr>
                <w:b/>
                <w:sz w:val="22"/>
                <w:szCs w:val="22"/>
                <w:lang w:val="sr-Latn-ME" w:eastAsia="de-DE"/>
              </w:rPr>
              <w:t>N = 82</w:t>
            </w:r>
          </w:p>
        </w:tc>
        <w:tc>
          <w:tcPr>
            <w:tcW w:w="4423" w:type="dxa"/>
          </w:tcPr>
          <w:p w14:paraId="66FBF1A7" w14:textId="77777777" w:rsidR="00763105" w:rsidRPr="005A4F9F" w:rsidRDefault="00763105" w:rsidP="008B00DE">
            <w:pPr>
              <w:widowControl w:val="0"/>
              <w:jc w:val="both"/>
              <w:rPr>
                <w:b/>
                <w:sz w:val="22"/>
                <w:szCs w:val="22"/>
                <w:lang w:val="sr-Latn-ME" w:eastAsia="de-DE"/>
              </w:rPr>
            </w:pPr>
            <w:r w:rsidRPr="005A4F9F">
              <w:rPr>
                <w:b/>
                <w:sz w:val="22"/>
                <w:szCs w:val="22"/>
                <w:lang w:val="sr-Latn-ME" w:eastAsia="de-DE"/>
              </w:rPr>
              <w:t>Placebo</w:t>
            </w:r>
          </w:p>
          <w:p w14:paraId="6A727094" w14:textId="77777777" w:rsidR="00763105" w:rsidRPr="005A4F9F" w:rsidRDefault="00763105" w:rsidP="008B00DE">
            <w:pPr>
              <w:widowControl w:val="0"/>
              <w:jc w:val="both"/>
              <w:rPr>
                <w:rFonts w:eastAsia="MS Mincho"/>
                <w:b/>
                <w:sz w:val="22"/>
                <w:szCs w:val="22"/>
                <w:lang w:val="sr-Latn-ME" w:eastAsia="de-DE"/>
              </w:rPr>
            </w:pPr>
          </w:p>
          <w:p w14:paraId="4355C099" w14:textId="77777777" w:rsidR="00763105" w:rsidRPr="005A4F9F" w:rsidRDefault="00763105" w:rsidP="008B00DE">
            <w:pPr>
              <w:widowControl w:val="0"/>
              <w:jc w:val="both"/>
              <w:rPr>
                <w:b/>
                <w:sz w:val="22"/>
                <w:szCs w:val="22"/>
                <w:lang w:val="sr-Latn-ME" w:eastAsia="de-DE"/>
              </w:rPr>
            </w:pPr>
            <w:r w:rsidRPr="005A4F9F">
              <w:rPr>
                <w:b/>
                <w:sz w:val="22"/>
                <w:szCs w:val="22"/>
                <w:lang w:val="sr-Latn-ME" w:eastAsia="de-DE"/>
              </w:rPr>
              <w:t>N = 81</w:t>
            </w:r>
          </w:p>
          <w:p w14:paraId="4BCA7776" w14:textId="77777777" w:rsidR="00763105" w:rsidRPr="005A4F9F" w:rsidRDefault="00763105" w:rsidP="008B00DE">
            <w:pPr>
              <w:widowControl w:val="0"/>
              <w:jc w:val="both"/>
              <w:rPr>
                <w:rFonts w:eastAsia="MS Mincho"/>
                <w:b/>
                <w:sz w:val="22"/>
                <w:szCs w:val="22"/>
                <w:lang w:val="sr-Latn-ME" w:eastAsia="de-DE"/>
              </w:rPr>
            </w:pPr>
          </w:p>
        </w:tc>
      </w:tr>
      <w:tr w:rsidR="00763105" w:rsidRPr="005A4F9F" w14:paraId="237FE0A3" w14:textId="77777777" w:rsidTr="006B57D8">
        <w:tc>
          <w:tcPr>
            <w:tcW w:w="2235" w:type="dxa"/>
          </w:tcPr>
          <w:p w14:paraId="42D181F6"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ACR 30</w:t>
            </w:r>
          </w:p>
          <w:p w14:paraId="7A738584" w14:textId="77777777" w:rsidR="00763105" w:rsidRPr="005A4F9F" w:rsidRDefault="00763105" w:rsidP="008B00DE">
            <w:pPr>
              <w:widowControl w:val="0"/>
              <w:jc w:val="both"/>
              <w:rPr>
                <w:rFonts w:eastAsia="MS Mincho"/>
                <w:sz w:val="22"/>
                <w:szCs w:val="22"/>
                <w:lang w:val="sr-Latn-ME" w:eastAsia="de-DE"/>
              </w:rPr>
            </w:pPr>
          </w:p>
        </w:tc>
        <w:tc>
          <w:tcPr>
            <w:tcW w:w="2409" w:type="dxa"/>
          </w:tcPr>
          <w:p w14:paraId="3CD62046"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74,4%*</w:t>
            </w:r>
          </w:p>
        </w:tc>
        <w:tc>
          <w:tcPr>
            <w:tcW w:w="4423" w:type="dxa"/>
          </w:tcPr>
          <w:p w14:paraId="7DA0F910"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54,3%*</w:t>
            </w:r>
          </w:p>
        </w:tc>
      </w:tr>
      <w:tr w:rsidR="00763105" w:rsidRPr="005A4F9F" w14:paraId="200CC45D" w14:textId="77777777" w:rsidTr="006B57D8">
        <w:tc>
          <w:tcPr>
            <w:tcW w:w="2235" w:type="dxa"/>
          </w:tcPr>
          <w:p w14:paraId="7BD99092"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ACR 50</w:t>
            </w:r>
          </w:p>
          <w:p w14:paraId="648C3C8E" w14:textId="77777777" w:rsidR="00763105" w:rsidRPr="005A4F9F" w:rsidRDefault="00763105" w:rsidP="008B00DE">
            <w:pPr>
              <w:widowControl w:val="0"/>
              <w:jc w:val="both"/>
              <w:rPr>
                <w:rFonts w:eastAsia="MS Mincho"/>
                <w:sz w:val="22"/>
                <w:szCs w:val="22"/>
                <w:lang w:val="sr-Latn-ME" w:eastAsia="de-DE"/>
              </w:rPr>
            </w:pPr>
          </w:p>
        </w:tc>
        <w:tc>
          <w:tcPr>
            <w:tcW w:w="2409" w:type="dxa"/>
          </w:tcPr>
          <w:p w14:paraId="72FBF5D0"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73,2%*</w:t>
            </w:r>
          </w:p>
        </w:tc>
        <w:tc>
          <w:tcPr>
            <w:tcW w:w="4423" w:type="dxa"/>
          </w:tcPr>
          <w:p w14:paraId="471231C9"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51,9%*</w:t>
            </w:r>
          </w:p>
        </w:tc>
      </w:tr>
      <w:tr w:rsidR="00763105" w:rsidRPr="005A4F9F" w14:paraId="1A07778D" w14:textId="77777777" w:rsidTr="006B57D8">
        <w:tc>
          <w:tcPr>
            <w:tcW w:w="2235" w:type="dxa"/>
          </w:tcPr>
          <w:p w14:paraId="24D5DD2F"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ACR 70</w:t>
            </w:r>
          </w:p>
          <w:p w14:paraId="3B930CCC" w14:textId="77777777" w:rsidR="00763105" w:rsidRPr="005A4F9F" w:rsidRDefault="00763105" w:rsidP="008B00DE">
            <w:pPr>
              <w:widowControl w:val="0"/>
              <w:jc w:val="both"/>
              <w:rPr>
                <w:rFonts w:eastAsia="MS Mincho"/>
                <w:sz w:val="22"/>
                <w:szCs w:val="22"/>
                <w:lang w:val="sr-Latn-ME" w:eastAsia="de-DE"/>
              </w:rPr>
            </w:pPr>
          </w:p>
        </w:tc>
        <w:tc>
          <w:tcPr>
            <w:tcW w:w="2409" w:type="dxa"/>
          </w:tcPr>
          <w:p w14:paraId="135EB4D8"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64,6%*</w:t>
            </w:r>
          </w:p>
        </w:tc>
        <w:tc>
          <w:tcPr>
            <w:tcW w:w="4423" w:type="dxa"/>
          </w:tcPr>
          <w:p w14:paraId="334C87EE" w14:textId="77777777" w:rsidR="00763105" w:rsidRPr="005A4F9F" w:rsidRDefault="00763105" w:rsidP="008B00DE">
            <w:pPr>
              <w:widowControl w:val="0"/>
              <w:jc w:val="both"/>
              <w:rPr>
                <w:rFonts w:eastAsia="MS Mincho"/>
                <w:sz w:val="22"/>
                <w:szCs w:val="22"/>
                <w:lang w:val="sr-Latn-ME" w:eastAsia="de-DE"/>
              </w:rPr>
            </w:pPr>
            <w:r w:rsidRPr="005A4F9F">
              <w:rPr>
                <w:rFonts w:eastAsia="MS Mincho"/>
                <w:sz w:val="22"/>
                <w:szCs w:val="22"/>
                <w:lang w:val="sr-Latn-ME" w:eastAsia="de-DE"/>
              </w:rPr>
              <w:t>42,0%*</w:t>
            </w:r>
          </w:p>
        </w:tc>
      </w:tr>
    </w:tbl>
    <w:p w14:paraId="2B8217A4" w14:textId="77777777" w:rsidR="00763105" w:rsidRPr="008B00DE" w:rsidRDefault="00763105" w:rsidP="008B00DE">
      <w:pPr>
        <w:widowControl w:val="0"/>
        <w:jc w:val="both"/>
        <w:rPr>
          <w:i/>
          <w:sz w:val="22"/>
          <w:szCs w:val="22"/>
          <w:lang w:val="sr-Latn-ME"/>
        </w:rPr>
      </w:pPr>
      <w:r w:rsidRPr="008B00DE">
        <w:rPr>
          <w:sz w:val="22"/>
          <w:szCs w:val="22"/>
          <w:vertAlign w:val="superscript"/>
          <w:lang w:val="sr-Latn-ME"/>
        </w:rPr>
        <w:t>*</w:t>
      </w:r>
      <w:r w:rsidRPr="008B00DE">
        <w:rPr>
          <w:i/>
          <w:sz w:val="22"/>
          <w:szCs w:val="22"/>
          <w:lang w:val="sr-Latn-ME"/>
        </w:rPr>
        <w:t>p &lt; 0,01, tocilizumab u odnosu na placebo</w:t>
      </w:r>
    </w:p>
    <w:p w14:paraId="38D1C9FE" w14:textId="77777777" w:rsidR="00763105" w:rsidRPr="005A4F9F" w:rsidRDefault="00763105" w:rsidP="008B00DE">
      <w:pPr>
        <w:widowControl w:val="0"/>
        <w:jc w:val="both"/>
        <w:rPr>
          <w:i/>
          <w:sz w:val="22"/>
          <w:szCs w:val="22"/>
          <w:lang w:val="sr-Latn-ME"/>
        </w:rPr>
      </w:pPr>
    </w:p>
    <w:p w14:paraId="633EDFD3" w14:textId="77777777" w:rsidR="00763105" w:rsidRPr="005A4F9F" w:rsidRDefault="00763105">
      <w:pPr>
        <w:widowControl w:val="0"/>
        <w:jc w:val="both"/>
        <w:rPr>
          <w:sz w:val="22"/>
          <w:szCs w:val="22"/>
          <w:lang w:val="sr-Latn-ME"/>
        </w:rPr>
      </w:pPr>
      <w:r w:rsidRPr="005A4F9F">
        <w:rPr>
          <w:sz w:val="22"/>
          <w:szCs w:val="22"/>
          <w:lang w:val="sr-Latn-ME"/>
        </w:rPr>
        <w:t xml:space="preserve">Broj zglobova s aktivnom upalom bio je značajno manji u odnosu na početak liječenja kod pacijenata liječenih tocilizumabom nego kod onih koji su primali placebo (prilagođene srednje promjene </w:t>
      </w:r>
      <w:r w:rsidRPr="005A4F9F">
        <w:rPr>
          <w:sz w:val="22"/>
          <w:szCs w:val="22"/>
          <w:lang w:val="sr-Latn-ME"/>
        </w:rPr>
        <w:noBreakHyphen/>
        <w:t xml:space="preserve">14,3 naspram </w:t>
      </w:r>
      <w:r w:rsidRPr="005A4F9F">
        <w:rPr>
          <w:sz w:val="22"/>
          <w:szCs w:val="22"/>
          <w:lang w:val="sr-Latn-ME"/>
        </w:rPr>
        <w:noBreakHyphen/>
        <w:t>11,4; p=0,0435). Ljekareva opšta ocjena aktivnosti bolesti, mjerena na skali od 0</w:t>
      </w:r>
      <w:r w:rsidRPr="005A4F9F">
        <w:rPr>
          <w:sz w:val="22"/>
          <w:szCs w:val="22"/>
          <w:lang w:val="sr-Latn-ME"/>
        </w:rPr>
        <w:noBreakHyphen/>
        <w:t>100 mm, ukazala je na veće smanjenje aktivnosti bolesti kod primjene tocilizumaba nego kod primjene placeba (prilagođene srednje promjene -45,2 mm naspram -35,2 mm; p=0,0031).</w:t>
      </w:r>
    </w:p>
    <w:p w14:paraId="7E1D9796" w14:textId="77777777" w:rsidR="00763105" w:rsidRPr="005A4F9F" w:rsidRDefault="00763105">
      <w:pPr>
        <w:widowControl w:val="0"/>
        <w:jc w:val="both"/>
        <w:rPr>
          <w:sz w:val="22"/>
          <w:szCs w:val="22"/>
          <w:lang w:val="sr-Latn-ME"/>
        </w:rPr>
      </w:pPr>
    </w:p>
    <w:p w14:paraId="504D51F3" w14:textId="4AF45A9A" w:rsidR="00763105" w:rsidRPr="005A4F9F" w:rsidRDefault="00763105">
      <w:pPr>
        <w:widowControl w:val="0"/>
        <w:jc w:val="both"/>
        <w:rPr>
          <w:sz w:val="22"/>
          <w:szCs w:val="22"/>
          <w:lang w:val="sr-Latn-ME"/>
        </w:rPr>
      </w:pPr>
      <w:r w:rsidRPr="005A4F9F">
        <w:rPr>
          <w:sz w:val="22"/>
          <w:szCs w:val="22"/>
          <w:lang w:val="sr-Latn-ME"/>
        </w:rPr>
        <w:t xml:space="preserve">Prilagođena srednja promjena  osjećaja bola prema vizualnoj analognoj </w:t>
      </w:r>
      <w:r w:rsidR="00B1573E" w:rsidRPr="005A4F9F">
        <w:rPr>
          <w:sz w:val="22"/>
          <w:szCs w:val="22"/>
          <w:lang w:val="sr-Latn-ME"/>
        </w:rPr>
        <w:t>skali</w:t>
      </w:r>
      <w:r w:rsidRPr="005A4F9F">
        <w:rPr>
          <w:sz w:val="22"/>
          <w:szCs w:val="22"/>
          <w:lang w:val="sr-Latn-ME"/>
        </w:rPr>
        <w:t>(VAS) nakon 40 ned</w:t>
      </w:r>
      <w:r w:rsidR="00CA5620" w:rsidRPr="005A4F9F">
        <w:rPr>
          <w:sz w:val="22"/>
          <w:szCs w:val="22"/>
          <w:lang w:val="sr-Latn-ME"/>
        </w:rPr>
        <w:t>j</w:t>
      </w:r>
      <w:r w:rsidRPr="005A4F9F">
        <w:rPr>
          <w:sz w:val="22"/>
          <w:szCs w:val="22"/>
          <w:lang w:val="sr-Latn-ME"/>
        </w:rPr>
        <w:t>elja liječenja tocilizumabom iznosila je 32,4 mm na skali od 0</w:t>
      </w:r>
      <w:r w:rsidRPr="005A4F9F">
        <w:rPr>
          <w:sz w:val="22"/>
          <w:szCs w:val="22"/>
          <w:lang w:val="sr-Latn-ME"/>
        </w:rPr>
        <w:noBreakHyphen/>
        <w:t>100 mm, dok je kod pacijenata koji su primali placebo zabilježeno smanjenje od 22,3 mm (visoka statistička značajnost; p=0,0076).</w:t>
      </w:r>
    </w:p>
    <w:p w14:paraId="414DA5E1" w14:textId="77777777" w:rsidR="00763105" w:rsidRPr="005A4F9F" w:rsidRDefault="00763105">
      <w:pPr>
        <w:widowControl w:val="0"/>
        <w:jc w:val="both"/>
        <w:rPr>
          <w:sz w:val="22"/>
          <w:szCs w:val="22"/>
          <w:lang w:val="sr-Latn-ME"/>
        </w:rPr>
      </w:pPr>
    </w:p>
    <w:p w14:paraId="5AE170F8" w14:textId="77777777" w:rsidR="00763105" w:rsidRPr="005A4F9F" w:rsidRDefault="00763105">
      <w:pPr>
        <w:widowControl w:val="0"/>
        <w:jc w:val="both"/>
        <w:rPr>
          <w:sz w:val="22"/>
          <w:szCs w:val="22"/>
          <w:lang w:val="sr-Latn-ME"/>
        </w:rPr>
      </w:pPr>
      <w:r w:rsidRPr="005A4F9F">
        <w:rPr>
          <w:sz w:val="22"/>
          <w:szCs w:val="22"/>
          <w:lang w:val="sr-Latn-ME"/>
        </w:rPr>
        <w:t>Stope ACR odgovora bile su brojčano niže kod pacijenata koji su prethodno liječeni biološkim ljekovima, kao što je prikazano u Tabeli </w:t>
      </w:r>
      <w:r w:rsidR="00BF249E" w:rsidRPr="005A4F9F">
        <w:rPr>
          <w:sz w:val="22"/>
          <w:szCs w:val="22"/>
          <w:lang w:val="sr-Latn-ME"/>
        </w:rPr>
        <w:t>10</w:t>
      </w:r>
      <w:r w:rsidRPr="005A4F9F">
        <w:rPr>
          <w:sz w:val="22"/>
          <w:szCs w:val="22"/>
          <w:lang w:val="sr-Latn-ME"/>
        </w:rPr>
        <w:t xml:space="preserve"> u nastavku.</w:t>
      </w:r>
    </w:p>
    <w:p w14:paraId="441422C5" w14:textId="77777777" w:rsidR="009A5114" w:rsidRPr="005A4F9F" w:rsidRDefault="009A5114" w:rsidP="008B00DE">
      <w:pPr>
        <w:widowControl w:val="0"/>
        <w:jc w:val="both"/>
        <w:rPr>
          <w:i/>
          <w:sz w:val="22"/>
          <w:szCs w:val="22"/>
          <w:lang w:val="sr-Latn-ME"/>
        </w:rPr>
      </w:pPr>
    </w:p>
    <w:p w14:paraId="5386C8D7" w14:textId="1B44AEB3" w:rsidR="00763105" w:rsidRPr="005A4F9F" w:rsidRDefault="003F55DC">
      <w:pPr>
        <w:widowControl w:val="0"/>
        <w:jc w:val="both"/>
        <w:rPr>
          <w:i/>
          <w:sz w:val="22"/>
          <w:szCs w:val="22"/>
          <w:lang w:val="sr-Latn-ME"/>
        </w:rPr>
      </w:pPr>
      <w:r w:rsidRPr="005A4F9F">
        <w:rPr>
          <w:i/>
          <w:sz w:val="22"/>
          <w:szCs w:val="22"/>
          <w:lang w:val="sr-Latn-ME"/>
        </w:rPr>
        <w:t xml:space="preserve"> </w:t>
      </w:r>
      <w:r w:rsidR="00763105" w:rsidRPr="005A4F9F">
        <w:rPr>
          <w:i/>
          <w:sz w:val="22"/>
          <w:szCs w:val="22"/>
          <w:lang w:val="sr-Latn-ME"/>
        </w:rPr>
        <w:t>Tabela </w:t>
      </w:r>
      <w:r w:rsidR="00BF249E" w:rsidRPr="005A4F9F">
        <w:rPr>
          <w:i/>
          <w:sz w:val="22"/>
          <w:szCs w:val="22"/>
          <w:lang w:val="sr-Latn-ME"/>
        </w:rPr>
        <w:t>10</w:t>
      </w:r>
      <w:r w:rsidR="00763105" w:rsidRPr="005A4F9F">
        <w:rPr>
          <w:i/>
          <w:sz w:val="22"/>
          <w:szCs w:val="22"/>
          <w:lang w:val="sr-Latn-ME"/>
        </w:rPr>
        <w:t xml:space="preserve">. Broj i udio pacijenata sa pogoršanjem upale na nivou JIA ACR30 </w:t>
      </w:r>
      <w:r w:rsidR="00CE0C85" w:rsidRPr="005A4F9F">
        <w:rPr>
          <w:i/>
          <w:sz w:val="22"/>
          <w:szCs w:val="22"/>
          <w:lang w:val="sr-Latn-ME"/>
        </w:rPr>
        <w:t>i</w:t>
      </w:r>
      <w:r w:rsidR="00763105" w:rsidRPr="005A4F9F">
        <w:rPr>
          <w:i/>
          <w:sz w:val="22"/>
          <w:szCs w:val="22"/>
          <w:lang w:val="sr-Latn-ME"/>
        </w:rPr>
        <w:t xml:space="preserve"> udio pacijenata sa </w:t>
      </w:r>
      <w:r w:rsidRPr="005A4F9F">
        <w:rPr>
          <w:i/>
          <w:sz w:val="22"/>
          <w:szCs w:val="22"/>
          <w:lang w:val="sr-Latn-ME"/>
        </w:rPr>
        <w:t xml:space="preserve">  </w:t>
      </w:r>
      <w:r w:rsidR="00763105" w:rsidRPr="005A4F9F">
        <w:rPr>
          <w:i/>
          <w:sz w:val="22"/>
          <w:szCs w:val="22"/>
          <w:lang w:val="sr-Latn-ME"/>
        </w:rPr>
        <w:t>odgovorima JIA ACR30/50/70/90 u 40. nedjelji, prema prethodnoj primjeni bioloških ljekova (ITT populacija – dio II ispitivanja)</w:t>
      </w:r>
    </w:p>
    <w:p w14:paraId="74D3C1CF" w14:textId="77777777" w:rsidR="00763105" w:rsidRPr="005A4F9F" w:rsidRDefault="00763105" w:rsidP="008B00DE">
      <w:pPr>
        <w:widowControl w:val="0"/>
        <w:jc w:val="both"/>
        <w:rPr>
          <w:rFonts w:eastAsia="MS Mincho"/>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2297"/>
        <w:gridCol w:w="1613"/>
        <w:gridCol w:w="1615"/>
        <w:gridCol w:w="1613"/>
        <w:gridCol w:w="1929"/>
      </w:tblGrid>
      <w:tr w:rsidR="00763105" w:rsidRPr="005A4F9F" w14:paraId="3E811AC6" w14:textId="77777777" w:rsidTr="006B57D8">
        <w:trPr>
          <w:trHeight w:hRule="exact" w:val="310"/>
          <w:jc w:val="center"/>
        </w:trPr>
        <w:tc>
          <w:tcPr>
            <w:tcW w:w="2297" w:type="dxa"/>
            <w:tcBorders>
              <w:top w:val="single" w:sz="4" w:space="0" w:color="000000"/>
              <w:left w:val="single" w:sz="4" w:space="0" w:color="000000"/>
              <w:bottom w:val="single" w:sz="4" w:space="0" w:color="000000"/>
              <w:right w:val="single" w:sz="4" w:space="0" w:color="000000"/>
            </w:tcBorders>
          </w:tcPr>
          <w:p w14:paraId="7ABF1D01" w14:textId="77777777" w:rsidR="00763105" w:rsidRPr="005A4F9F" w:rsidRDefault="00763105" w:rsidP="008B00DE">
            <w:pPr>
              <w:widowControl w:val="0"/>
              <w:jc w:val="both"/>
              <w:rPr>
                <w:sz w:val="22"/>
                <w:szCs w:val="22"/>
                <w:lang w:val="sr-Latn-ME"/>
              </w:rPr>
            </w:pPr>
          </w:p>
        </w:tc>
        <w:tc>
          <w:tcPr>
            <w:tcW w:w="3228" w:type="dxa"/>
            <w:gridSpan w:val="2"/>
            <w:tcBorders>
              <w:top w:val="single" w:sz="4" w:space="0" w:color="000000"/>
              <w:left w:val="single" w:sz="4" w:space="0" w:color="000000"/>
              <w:bottom w:val="single" w:sz="4" w:space="0" w:color="000000"/>
              <w:right w:val="single" w:sz="4" w:space="0" w:color="000000"/>
            </w:tcBorders>
          </w:tcPr>
          <w:p w14:paraId="10C8A47B" w14:textId="77777777" w:rsidR="00763105" w:rsidRPr="005A4F9F" w:rsidRDefault="00763105" w:rsidP="008B00DE">
            <w:pPr>
              <w:widowControl w:val="0"/>
              <w:jc w:val="both"/>
              <w:rPr>
                <w:b/>
                <w:color w:val="000000"/>
                <w:sz w:val="22"/>
                <w:szCs w:val="22"/>
                <w:lang w:val="sr-Latn-ME" w:eastAsia="de-DE"/>
              </w:rPr>
            </w:pPr>
            <w:r w:rsidRPr="005A4F9F">
              <w:rPr>
                <w:b/>
                <w:color w:val="000000"/>
                <w:sz w:val="22"/>
                <w:szCs w:val="22"/>
                <w:lang w:val="sr-Latn-ME" w:eastAsia="de-DE"/>
              </w:rPr>
              <w:t>Placebo</w:t>
            </w:r>
          </w:p>
        </w:tc>
        <w:tc>
          <w:tcPr>
            <w:tcW w:w="3542" w:type="dxa"/>
            <w:gridSpan w:val="2"/>
            <w:tcBorders>
              <w:top w:val="single" w:sz="4" w:space="0" w:color="000000"/>
              <w:left w:val="single" w:sz="4" w:space="0" w:color="000000"/>
              <w:bottom w:val="single" w:sz="4" w:space="0" w:color="000000"/>
              <w:right w:val="single" w:sz="4" w:space="0" w:color="000000"/>
            </w:tcBorders>
          </w:tcPr>
          <w:p w14:paraId="7C5AB28F" w14:textId="77777777" w:rsidR="00763105" w:rsidRPr="005A4F9F" w:rsidRDefault="00763105" w:rsidP="008B00DE">
            <w:pPr>
              <w:widowControl w:val="0"/>
              <w:tabs>
                <w:tab w:val="left" w:pos="2680"/>
              </w:tabs>
              <w:jc w:val="both"/>
              <w:rPr>
                <w:b/>
                <w:color w:val="000000"/>
                <w:sz w:val="22"/>
                <w:szCs w:val="22"/>
                <w:lang w:val="sr-Latn-ME" w:eastAsia="de-DE"/>
              </w:rPr>
            </w:pPr>
            <w:r w:rsidRPr="005A4F9F">
              <w:rPr>
                <w:b/>
                <w:color w:val="000000"/>
                <w:sz w:val="22"/>
                <w:szCs w:val="22"/>
                <w:lang w:val="sr-Latn-ME" w:eastAsia="de-DE"/>
              </w:rPr>
              <w:t>TCZ u svim dozama</w:t>
            </w:r>
          </w:p>
        </w:tc>
      </w:tr>
      <w:tr w:rsidR="00763105" w:rsidRPr="005A4F9F" w14:paraId="35923F6C" w14:textId="77777777" w:rsidTr="006B57D8">
        <w:trPr>
          <w:trHeight w:hRule="exact" w:val="527"/>
          <w:jc w:val="center"/>
        </w:trPr>
        <w:tc>
          <w:tcPr>
            <w:tcW w:w="2297" w:type="dxa"/>
            <w:tcBorders>
              <w:top w:val="single" w:sz="4" w:space="0" w:color="000000"/>
              <w:left w:val="single" w:sz="4" w:space="0" w:color="000000"/>
              <w:bottom w:val="single" w:sz="4" w:space="0" w:color="000000"/>
              <w:right w:val="single" w:sz="4" w:space="0" w:color="000000"/>
            </w:tcBorders>
          </w:tcPr>
          <w:p w14:paraId="79ECFD76" w14:textId="77777777" w:rsidR="00763105" w:rsidRPr="005A4F9F" w:rsidRDefault="00763105" w:rsidP="008B00DE">
            <w:pPr>
              <w:widowControl w:val="0"/>
              <w:jc w:val="both"/>
              <w:rPr>
                <w:rFonts w:eastAsia="Arial"/>
                <w:sz w:val="22"/>
                <w:szCs w:val="22"/>
                <w:lang w:val="sr-Latn-ME"/>
              </w:rPr>
            </w:pPr>
            <w:r w:rsidRPr="005A4F9F">
              <w:rPr>
                <w:b/>
                <w:color w:val="000000"/>
                <w:sz w:val="22"/>
                <w:szCs w:val="22"/>
                <w:lang w:val="sr-Latn-ME" w:eastAsia="de-DE"/>
              </w:rPr>
              <w:t>Primjena bioloških ljekova</w:t>
            </w:r>
          </w:p>
        </w:tc>
        <w:tc>
          <w:tcPr>
            <w:tcW w:w="1613" w:type="dxa"/>
            <w:tcBorders>
              <w:top w:val="single" w:sz="4" w:space="0" w:color="000000"/>
              <w:left w:val="single" w:sz="4" w:space="0" w:color="000000"/>
              <w:bottom w:val="single" w:sz="4" w:space="0" w:color="000000"/>
              <w:right w:val="single" w:sz="4" w:space="0" w:color="000000"/>
            </w:tcBorders>
          </w:tcPr>
          <w:p w14:paraId="13C4886A" w14:textId="77777777" w:rsidR="00763105" w:rsidRPr="005A4F9F" w:rsidRDefault="00763105" w:rsidP="008B00DE">
            <w:pPr>
              <w:widowControl w:val="0"/>
              <w:jc w:val="both"/>
              <w:rPr>
                <w:b/>
                <w:color w:val="000000"/>
                <w:sz w:val="22"/>
                <w:szCs w:val="22"/>
                <w:lang w:val="sr-Latn-ME" w:eastAsia="de-DE"/>
              </w:rPr>
            </w:pPr>
            <w:r w:rsidRPr="005A4F9F">
              <w:rPr>
                <w:b/>
                <w:color w:val="000000"/>
                <w:sz w:val="22"/>
                <w:szCs w:val="22"/>
                <w:lang w:val="sr-Latn-ME" w:eastAsia="de-DE"/>
              </w:rPr>
              <w:t>Da (N = 23)</w:t>
            </w:r>
          </w:p>
        </w:tc>
        <w:tc>
          <w:tcPr>
            <w:tcW w:w="1615" w:type="dxa"/>
            <w:tcBorders>
              <w:top w:val="single" w:sz="4" w:space="0" w:color="000000"/>
              <w:left w:val="single" w:sz="4" w:space="0" w:color="000000"/>
              <w:bottom w:val="single" w:sz="4" w:space="0" w:color="000000"/>
              <w:right w:val="single" w:sz="4" w:space="0" w:color="000000"/>
            </w:tcBorders>
          </w:tcPr>
          <w:p w14:paraId="75B1F763" w14:textId="77777777" w:rsidR="00763105" w:rsidRPr="005A4F9F" w:rsidRDefault="00763105" w:rsidP="008B00DE">
            <w:pPr>
              <w:widowControl w:val="0"/>
              <w:jc w:val="both"/>
              <w:rPr>
                <w:b/>
                <w:color w:val="000000"/>
                <w:sz w:val="22"/>
                <w:szCs w:val="22"/>
                <w:lang w:val="sr-Latn-ME" w:eastAsia="de-DE"/>
              </w:rPr>
            </w:pPr>
            <w:r w:rsidRPr="005A4F9F">
              <w:rPr>
                <w:b/>
                <w:color w:val="000000"/>
                <w:sz w:val="22"/>
                <w:szCs w:val="22"/>
                <w:lang w:val="sr-Latn-ME" w:eastAsia="de-DE"/>
              </w:rPr>
              <w:t>Ne (N = 58)</w:t>
            </w:r>
          </w:p>
        </w:tc>
        <w:tc>
          <w:tcPr>
            <w:tcW w:w="1613" w:type="dxa"/>
            <w:tcBorders>
              <w:top w:val="single" w:sz="4" w:space="0" w:color="000000"/>
              <w:left w:val="single" w:sz="4" w:space="0" w:color="000000"/>
              <w:bottom w:val="single" w:sz="4" w:space="0" w:color="000000"/>
              <w:right w:val="single" w:sz="4" w:space="0" w:color="000000"/>
            </w:tcBorders>
          </w:tcPr>
          <w:p w14:paraId="476C8999" w14:textId="77777777" w:rsidR="00763105" w:rsidRPr="005A4F9F" w:rsidRDefault="00763105" w:rsidP="008B00DE">
            <w:pPr>
              <w:widowControl w:val="0"/>
              <w:jc w:val="both"/>
              <w:rPr>
                <w:b/>
                <w:color w:val="000000"/>
                <w:sz w:val="22"/>
                <w:szCs w:val="22"/>
                <w:lang w:val="sr-Latn-ME" w:eastAsia="de-DE"/>
              </w:rPr>
            </w:pPr>
            <w:r w:rsidRPr="005A4F9F">
              <w:rPr>
                <w:b/>
                <w:color w:val="000000"/>
                <w:sz w:val="22"/>
                <w:szCs w:val="22"/>
                <w:lang w:val="sr-Latn-ME" w:eastAsia="de-DE"/>
              </w:rPr>
              <w:t>Da (N = 27)</w:t>
            </w:r>
          </w:p>
        </w:tc>
        <w:tc>
          <w:tcPr>
            <w:tcW w:w="1929" w:type="dxa"/>
            <w:tcBorders>
              <w:top w:val="single" w:sz="4" w:space="0" w:color="000000"/>
              <w:left w:val="single" w:sz="4" w:space="0" w:color="000000"/>
              <w:bottom w:val="single" w:sz="4" w:space="0" w:color="000000"/>
              <w:right w:val="single" w:sz="4" w:space="0" w:color="000000"/>
            </w:tcBorders>
          </w:tcPr>
          <w:p w14:paraId="29E79D82" w14:textId="77777777" w:rsidR="00763105" w:rsidRPr="005A4F9F" w:rsidRDefault="00763105" w:rsidP="008B00DE">
            <w:pPr>
              <w:widowControl w:val="0"/>
              <w:jc w:val="both"/>
              <w:rPr>
                <w:b/>
                <w:color w:val="000000"/>
                <w:sz w:val="22"/>
                <w:szCs w:val="22"/>
                <w:lang w:val="sr-Latn-ME" w:eastAsia="de-DE"/>
              </w:rPr>
            </w:pPr>
            <w:r w:rsidRPr="005A4F9F">
              <w:rPr>
                <w:b/>
                <w:color w:val="000000"/>
                <w:sz w:val="22"/>
                <w:szCs w:val="22"/>
                <w:lang w:val="sr-Latn-ME" w:eastAsia="de-DE"/>
              </w:rPr>
              <w:t>Ne (N = 55)</w:t>
            </w:r>
          </w:p>
        </w:tc>
      </w:tr>
      <w:tr w:rsidR="00763105" w:rsidRPr="005A4F9F" w14:paraId="1A3A08BC" w14:textId="77777777" w:rsidTr="006B57D8">
        <w:trPr>
          <w:trHeight w:hRule="exact" w:val="563"/>
          <w:jc w:val="center"/>
        </w:trPr>
        <w:tc>
          <w:tcPr>
            <w:tcW w:w="2297" w:type="dxa"/>
            <w:tcBorders>
              <w:top w:val="single" w:sz="4" w:space="0" w:color="000000"/>
              <w:left w:val="single" w:sz="4" w:space="0" w:color="000000"/>
              <w:bottom w:val="single" w:sz="4" w:space="0" w:color="000000"/>
              <w:right w:val="single" w:sz="4" w:space="0" w:color="000000"/>
            </w:tcBorders>
          </w:tcPr>
          <w:p w14:paraId="4697D8BE"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 xml:space="preserve">Pogoršanje upale na nivou JIA ACR30 </w:t>
            </w:r>
          </w:p>
        </w:tc>
        <w:tc>
          <w:tcPr>
            <w:tcW w:w="1613" w:type="dxa"/>
            <w:tcBorders>
              <w:top w:val="single" w:sz="4" w:space="0" w:color="000000"/>
              <w:left w:val="single" w:sz="4" w:space="0" w:color="000000"/>
              <w:bottom w:val="single" w:sz="4" w:space="0" w:color="000000"/>
              <w:right w:val="single" w:sz="4" w:space="0" w:color="000000"/>
            </w:tcBorders>
          </w:tcPr>
          <w:p w14:paraId="4A62C7F1"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18 (78,3)</w:t>
            </w:r>
          </w:p>
        </w:tc>
        <w:tc>
          <w:tcPr>
            <w:tcW w:w="1615" w:type="dxa"/>
            <w:tcBorders>
              <w:top w:val="single" w:sz="4" w:space="0" w:color="000000"/>
              <w:left w:val="single" w:sz="4" w:space="0" w:color="000000"/>
              <w:bottom w:val="single" w:sz="4" w:space="0" w:color="000000"/>
              <w:right w:val="single" w:sz="4" w:space="0" w:color="000000"/>
            </w:tcBorders>
          </w:tcPr>
          <w:p w14:paraId="4A9D3700"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21 (36,2)</w:t>
            </w:r>
          </w:p>
        </w:tc>
        <w:tc>
          <w:tcPr>
            <w:tcW w:w="1613" w:type="dxa"/>
            <w:tcBorders>
              <w:top w:val="single" w:sz="4" w:space="0" w:color="000000"/>
              <w:left w:val="single" w:sz="4" w:space="0" w:color="000000"/>
              <w:bottom w:val="single" w:sz="4" w:space="0" w:color="000000"/>
              <w:right w:val="single" w:sz="4" w:space="0" w:color="000000"/>
            </w:tcBorders>
          </w:tcPr>
          <w:p w14:paraId="0C53DBA9"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12 (44,4)</w:t>
            </w:r>
          </w:p>
        </w:tc>
        <w:tc>
          <w:tcPr>
            <w:tcW w:w="1929" w:type="dxa"/>
            <w:tcBorders>
              <w:top w:val="single" w:sz="4" w:space="0" w:color="000000"/>
              <w:left w:val="single" w:sz="4" w:space="0" w:color="000000"/>
              <w:bottom w:val="single" w:sz="4" w:space="0" w:color="000000"/>
              <w:right w:val="single" w:sz="4" w:space="0" w:color="000000"/>
            </w:tcBorders>
          </w:tcPr>
          <w:p w14:paraId="081EA203"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9 (16,4)</w:t>
            </w:r>
          </w:p>
        </w:tc>
      </w:tr>
      <w:tr w:rsidR="00763105" w:rsidRPr="005A4F9F" w14:paraId="09642123" w14:textId="77777777" w:rsidTr="006B57D8">
        <w:trPr>
          <w:trHeight w:hRule="exact" w:val="350"/>
          <w:jc w:val="center"/>
        </w:trPr>
        <w:tc>
          <w:tcPr>
            <w:tcW w:w="2297" w:type="dxa"/>
            <w:tcBorders>
              <w:top w:val="single" w:sz="4" w:space="0" w:color="000000"/>
              <w:left w:val="single" w:sz="4" w:space="0" w:color="000000"/>
              <w:bottom w:val="single" w:sz="4" w:space="0" w:color="000000"/>
              <w:right w:val="single" w:sz="4" w:space="0" w:color="000000"/>
            </w:tcBorders>
          </w:tcPr>
          <w:p w14:paraId="3F6DDE40"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Odgovor JIA ACR30</w:t>
            </w:r>
          </w:p>
        </w:tc>
        <w:tc>
          <w:tcPr>
            <w:tcW w:w="1613" w:type="dxa"/>
            <w:tcBorders>
              <w:top w:val="single" w:sz="4" w:space="0" w:color="000000"/>
              <w:left w:val="single" w:sz="4" w:space="0" w:color="000000"/>
              <w:bottom w:val="single" w:sz="4" w:space="0" w:color="000000"/>
              <w:right w:val="single" w:sz="4" w:space="0" w:color="000000"/>
            </w:tcBorders>
          </w:tcPr>
          <w:p w14:paraId="74F421CD"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6 (26,1)</w:t>
            </w:r>
          </w:p>
        </w:tc>
        <w:tc>
          <w:tcPr>
            <w:tcW w:w="1615" w:type="dxa"/>
            <w:tcBorders>
              <w:top w:val="single" w:sz="4" w:space="0" w:color="000000"/>
              <w:left w:val="single" w:sz="4" w:space="0" w:color="000000"/>
              <w:bottom w:val="single" w:sz="4" w:space="0" w:color="000000"/>
              <w:right w:val="single" w:sz="4" w:space="0" w:color="000000"/>
            </w:tcBorders>
          </w:tcPr>
          <w:p w14:paraId="54C1AC88"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38 (65,5)</w:t>
            </w:r>
          </w:p>
        </w:tc>
        <w:tc>
          <w:tcPr>
            <w:tcW w:w="1613" w:type="dxa"/>
            <w:tcBorders>
              <w:top w:val="single" w:sz="4" w:space="0" w:color="000000"/>
              <w:left w:val="single" w:sz="4" w:space="0" w:color="000000"/>
              <w:bottom w:val="single" w:sz="4" w:space="0" w:color="000000"/>
              <w:right w:val="single" w:sz="4" w:space="0" w:color="000000"/>
            </w:tcBorders>
          </w:tcPr>
          <w:p w14:paraId="2504CF60"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15 (55,6)</w:t>
            </w:r>
          </w:p>
        </w:tc>
        <w:tc>
          <w:tcPr>
            <w:tcW w:w="1929" w:type="dxa"/>
            <w:tcBorders>
              <w:top w:val="single" w:sz="4" w:space="0" w:color="000000"/>
              <w:left w:val="single" w:sz="4" w:space="0" w:color="000000"/>
              <w:bottom w:val="single" w:sz="4" w:space="0" w:color="000000"/>
              <w:right w:val="single" w:sz="4" w:space="0" w:color="000000"/>
            </w:tcBorders>
          </w:tcPr>
          <w:p w14:paraId="449453EA"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46 (83,6)</w:t>
            </w:r>
          </w:p>
        </w:tc>
      </w:tr>
      <w:tr w:rsidR="00763105" w:rsidRPr="005A4F9F" w14:paraId="2B5F35F3" w14:textId="77777777" w:rsidTr="006B57D8">
        <w:trPr>
          <w:trHeight w:hRule="exact" w:val="350"/>
          <w:jc w:val="center"/>
        </w:trPr>
        <w:tc>
          <w:tcPr>
            <w:tcW w:w="2297" w:type="dxa"/>
            <w:tcBorders>
              <w:top w:val="single" w:sz="4" w:space="0" w:color="000000"/>
              <w:left w:val="single" w:sz="4" w:space="0" w:color="000000"/>
              <w:bottom w:val="single" w:sz="4" w:space="0" w:color="000000"/>
              <w:right w:val="single" w:sz="4" w:space="0" w:color="000000"/>
            </w:tcBorders>
          </w:tcPr>
          <w:p w14:paraId="6157E91F"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Odgovor JIA ACR50</w:t>
            </w:r>
          </w:p>
        </w:tc>
        <w:tc>
          <w:tcPr>
            <w:tcW w:w="1613" w:type="dxa"/>
            <w:tcBorders>
              <w:top w:val="single" w:sz="4" w:space="0" w:color="000000"/>
              <w:left w:val="single" w:sz="4" w:space="0" w:color="000000"/>
              <w:bottom w:val="single" w:sz="4" w:space="0" w:color="000000"/>
              <w:right w:val="single" w:sz="4" w:space="0" w:color="000000"/>
            </w:tcBorders>
          </w:tcPr>
          <w:p w14:paraId="049726F4"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5 (21,7)</w:t>
            </w:r>
          </w:p>
        </w:tc>
        <w:tc>
          <w:tcPr>
            <w:tcW w:w="1615" w:type="dxa"/>
            <w:tcBorders>
              <w:top w:val="single" w:sz="4" w:space="0" w:color="000000"/>
              <w:left w:val="single" w:sz="4" w:space="0" w:color="000000"/>
              <w:bottom w:val="single" w:sz="4" w:space="0" w:color="000000"/>
              <w:right w:val="single" w:sz="4" w:space="0" w:color="000000"/>
            </w:tcBorders>
          </w:tcPr>
          <w:p w14:paraId="35BE0634"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37 (63,8)</w:t>
            </w:r>
          </w:p>
        </w:tc>
        <w:tc>
          <w:tcPr>
            <w:tcW w:w="1613" w:type="dxa"/>
            <w:tcBorders>
              <w:top w:val="single" w:sz="4" w:space="0" w:color="000000"/>
              <w:left w:val="single" w:sz="4" w:space="0" w:color="000000"/>
              <w:bottom w:val="single" w:sz="4" w:space="0" w:color="000000"/>
              <w:right w:val="single" w:sz="4" w:space="0" w:color="000000"/>
            </w:tcBorders>
          </w:tcPr>
          <w:p w14:paraId="5600CF22"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14 (51,9)</w:t>
            </w:r>
          </w:p>
        </w:tc>
        <w:tc>
          <w:tcPr>
            <w:tcW w:w="1929" w:type="dxa"/>
            <w:tcBorders>
              <w:top w:val="single" w:sz="4" w:space="0" w:color="000000"/>
              <w:left w:val="single" w:sz="4" w:space="0" w:color="000000"/>
              <w:bottom w:val="single" w:sz="4" w:space="0" w:color="000000"/>
              <w:right w:val="single" w:sz="4" w:space="0" w:color="000000"/>
            </w:tcBorders>
          </w:tcPr>
          <w:p w14:paraId="781727CF"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46 (83,6)</w:t>
            </w:r>
          </w:p>
        </w:tc>
      </w:tr>
      <w:tr w:rsidR="00763105" w:rsidRPr="005A4F9F" w14:paraId="555B40A4" w14:textId="77777777" w:rsidTr="006B57D8">
        <w:trPr>
          <w:trHeight w:hRule="exact" w:val="350"/>
          <w:jc w:val="center"/>
        </w:trPr>
        <w:tc>
          <w:tcPr>
            <w:tcW w:w="2297" w:type="dxa"/>
            <w:tcBorders>
              <w:top w:val="single" w:sz="4" w:space="0" w:color="000000"/>
              <w:left w:val="single" w:sz="4" w:space="0" w:color="000000"/>
              <w:bottom w:val="single" w:sz="4" w:space="0" w:color="000000"/>
              <w:right w:val="single" w:sz="4" w:space="0" w:color="000000"/>
            </w:tcBorders>
          </w:tcPr>
          <w:p w14:paraId="7EA56797"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Odgovor JIA ACR70</w:t>
            </w:r>
          </w:p>
        </w:tc>
        <w:tc>
          <w:tcPr>
            <w:tcW w:w="1613" w:type="dxa"/>
            <w:tcBorders>
              <w:top w:val="single" w:sz="4" w:space="0" w:color="000000"/>
              <w:left w:val="single" w:sz="4" w:space="0" w:color="000000"/>
              <w:bottom w:val="single" w:sz="4" w:space="0" w:color="000000"/>
              <w:right w:val="single" w:sz="4" w:space="0" w:color="000000"/>
            </w:tcBorders>
          </w:tcPr>
          <w:p w14:paraId="2A841487"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2 (8,7)</w:t>
            </w:r>
          </w:p>
        </w:tc>
        <w:tc>
          <w:tcPr>
            <w:tcW w:w="1615" w:type="dxa"/>
            <w:tcBorders>
              <w:top w:val="single" w:sz="4" w:space="0" w:color="000000"/>
              <w:left w:val="single" w:sz="4" w:space="0" w:color="000000"/>
              <w:bottom w:val="single" w:sz="4" w:space="0" w:color="000000"/>
              <w:right w:val="single" w:sz="4" w:space="0" w:color="000000"/>
            </w:tcBorders>
          </w:tcPr>
          <w:p w14:paraId="28143E82"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32 (55,2)</w:t>
            </w:r>
          </w:p>
        </w:tc>
        <w:tc>
          <w:tcPr>
            <w:tcW w:w="1613" w:type="dxa"/>
            <w:tcBorders>
              <w:top w:val="single" w:sz="4" w:space="0" w:color="000000"/>
              <w:left w:val="single" w:sz="4" w:space="0" w:color="000000"/>
              <w:bottom w:val="single" w:sz="4" w:space="0" w:color="000000"/>
              <w:right w:val="single" w:sz="4" w:space="0" w:color="000000"/>
            </w:tcBorders>
          </w:tcPr>
          <w:p w14:paraId="2BAED54C"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13 (48,1)</w:t>
            </w:r>
          </w:p>
        </w:tc>
        <w:tc>
          <w:tcPr>
            <w:tcW w:w="1929" w:type="dxa"/>
            <w:tcBorders>
              <w:top w:val="single" w:sz="4" w:space="0" w:color="000000"/>
              <w:left w:val="single" w:sz="4" w:space="0" w:color="000000"/>
              <w:bottom w:val="single" w:sz="4" w:space="0" w:color="000000"/>
              <w:right w:val="single" w:sz="4" w:space="0" w:color="000000"/>
            </w:tcBorders>
          </w:tcPr>
          <w:p w14:paraId="6D3996CE"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40 (72,7)</w:t>
            </w:r>
          </w:p>
        </w:tc>
      </w:tr>
      <w:tr w:rsidR="00763105" w:rsidRPr="005A4F9F" w14:paraId="53D0C3AF" w14:textId="77777777" w:rsidTr="006B57D8">
        <w:trPr>
          <w:trHeight w:hRule="exact" w:val="350"/>
          <w:jc w:val="center"/>
        </w:trPr>
        <w:tc>
          <w:tcPr>
            <w:tcW w:w="2297" w:type="dxa"/>
            <w:tcBorders>
              <w:top w:val="single" w:sz="4" w:space="0" w:color="000000"/>
              <w:left w:val="single" w:sz="4" w:space="0" w:color="000000"/>
              <w:bottom w:val="single" w:sz="4" w:space="0" w:color="000000"/>
              <w:right w:val="single" w:sz="4" w:space="0" w:color="000000"/>
            </w:tcBorders>
          </w:tcPr>
          <w:p w14:paraId="28CBAB52"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Odgovor JIA ACR90</w:t>
            </w:r>
          </w:p>
        </w:tc>
        <w:tc>
          <w:tcPr>
            <w:tcW w:w="1613" w:type="dxa"/>
            <w:tcBorders>
              <w:top w:val="single" w:sz="4" w:space="0" w:color="000000"/>
              <w:left w:val="single" w:sz="4" w:space="0" w:color="000000"/>
              <w:bottom w:val="single" w:sz="4" w:space="0" w:color="000000"/>
              <w:right w:val="single" w:sz="4" w:space="0" w:color="000000"/>
            </w:tcBorders>
          </w:tcPr>
          <w:p w14:paraId="2878372A"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2 (8,7)</w:t>
            </w:r>
          </w:p>
        </w:tc>
        <w:tc>
          <w:tcPr>
            <w:tcW w:w="1615" w:type="dxa"/>
            <w:tcBorders>
              <w:top w:val="single" w:sz="4" w:space="0" w:color="000000"/>
              <w:left w:val="single" w:sz="4" w:space="0" w:color="000000"/>
              <w:bottom w:val="single" w:sz="4" w:space="0" w:color="000000"/>
              <w:right w:val="single" w:sz="4" w:space="0" w:color="000000"/>
            </w:tcBorders>
          </w:tcPr>
          <w:p w14:paraId="26E91FF3"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17 (29,3)</w:t>
            </w:r>
          </w:p>
        </w:tc>
        <w:tc>
          <w:tcPr>
            <w:tcW w:w="1613" w:type="dxa"/>
            <w:tcBorders>
              <w:top w:val="single" w:sz="4" w:space="0" w:color="000000"/>
              <w:left w:val="single" w:sz="4" w:space="0" w:color="000000"/>
              <w:bottom w:val="single" w:sz="4" w:space="0" w:color="000000"/>
              <w:right w:val="single" w:sz="4" w:space="0" w:color="000000"/>
            </w:tcBorders>
          </w:tcPr>
          <w:p w14:paraId="587B7103"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5 (18,5)</w:t>
            </w:r>
          </w:p>
        </w:tc>
        <w:tc>
          <w:tcPr>
            <w:tcW w:w="1929" w:type="dxa"/>
            <w:tcBorders>
              <w:top w:val="single" w:sz="4" w:space="0" w:color="000000"/>
              <w:left w:val="single" w:sz="4" w:space="0" w:color="000000"/>
              <w:bottom w:val="single" w:sz="4" w:space="0" w:color="000000"/>
              <w:right w:val="single" w:sz="4" w:space="0" w:color="000000"/>
            </w:tcBorders>
          </w:tcPr>
          <w:p w14:paraId="12AB61B9" w14:textId="77777777" w:rsidR="00763105" w:rsidRPr="005A4F9F" w:rsidRDefault="00763105" w:rsidP="008B00DE">
            <w:pPr>
              <w:widowControl w:val="0"/>
              <w:jc w:val="both"/>
              <w:rPr>
                <w:sz w:val="22"/>
                <w:szCs w:val="22"/>
                <w:lang w:val="sr-Latn-ME" w:eastAsia="de-DE"/>
              </w:rPr>
            </w:pPr>
            <w:r w:rsidRPr="005A4F9F">
              <w:rPr>
                <w:sz w:val="22"/>
                <w:szCs w:val="22"/>
                <w:lang w:val="sr-Latn-ME" w:eastAsia="de-DE"/>
              </w:rPr>
              <w:t>32 (58,2)</w:t>
            </w:r>
          </w:p>
        </w:tc>
      </w:tr>
    </w:tbl>
    <w:p w14:paraId="346E7D67" w14:textId="77777777" w:rsidR="008E6663" w:rsidRPr="008B00DE" w:rsidRDefault="008E6663" w:rsidP="008B00DE">
      <w:pPr>
        <w:widowControl w:val="0"/>
        <w:jc w:val="both"/>
        <w:rPr>
          <w:sz w:val="22"/>
          <w:szCs w:val="22"/>
          <w:lang w:val="sr-Latn-ME"/>
        </w:rPr>
      </w:pPr>
      <w:r w:rsidRPr="005A4F9F">
        <w:rPr>
          <w:i/>
          <w:sz w:val="22"/>
          <w:szCs w:val="22"/>
          <w:lang w:val="sr-Latn-ME"/>
        </w:rPr>
        <w:br/>
      </w:r>
      <w:r w:rsidRPr="008B00DE">
        <w:rPr>
          <w:sz w:val="22"/>
          <w:szCs w:val="22"/>
          <w:lang w:val="sr-Latn-ME"/>
        </w:rPr>
        <w:t>TCZ = tocilizumab</w:t>
      </w:r>
    </w:p>
    <w:p w14:paraId="0AEFE360" w14:textId="0DCDA4EC" w:rsidR="00763105" w:rsidRPr="005A4F9F" w:rsidRDefault="00763105" w:rsidP="008B00DE">
      <w:pPr>
        <w:widowControl w:val="0"/>
        <w:jc w:val="both"/>
        <w:rPr>
          <w:i/>
          <w:sz w:val="22"/>
          <w:szCs w:val="22"/>
          <w:lang w:val="sr-Latn-ME"/>
        </w:rPr>
      </w:pPr>
    </w:p>
    <w:p w14:paraId="2FF28256" w14:textId="77777777" w:rsidR="00763105" w:rsidRPr="005A4F9F" w:rsidRDefault="00763105">
      <w:pPr>
        <w:widowControl w:val="0"/>
        <w:jc w:val="both"/>
        <w:rPr>
          <w:sz w:val="22"/>
          <w:szCs w:val="22"/>
          <w:lang w:val="sr-Latn-ME"/>
        </w:rPr>
      </w:pPr>
      <w:r w:rsidRPr="005A4F9F">
        <w:rPr>
          <w:sz w:val="22"/>
          <w:szCs w:val="22"/>
          <w:lang w:val="sr-Latn-ME"/>
        </w:rPr>
        <w:t xml:space="preserve">Pacijenti randomizovani za liječenje tocilizumabom imali su manji broj pogoršanja upala na nivou ACR30 te veće ukupne ACR odgovore nego pacijenti koji su primali placebo, nezavisno od prethodne primjene bioloških ljekova. </w:t>
      </w:r>
    </w:p>
    <w:p w14:paraId="561D4002" w14:textId="77777777" w:rsidR="00384BA3" w:rsidRPr="005A4F9F" w:rsidRDefault="00384BA3">
      <w:pPr>
        <w:widowControl w:val="0"/>
        <w:jc w:val="both"/>
        <w:rPr>
          <w:sz w:val="22"/>
          <w:szCs w:val="22"/>
          <w:lang w:val="sr-Latn-ME"/>
        </w:rPr>
      </w:pPr>
    </w:p>
    <w:p w14:paraId="3B2D5DF3" w14:textId="77777777" w:rsidR="00384BA3" w:rsidRPr="005A4F9F" w:rsidRDefault="00384BA3">
      <w:pPr>
        <w:widowControl w:val="0"/>
        <w:tabs>
          <w:tab w:val="left" w:pos="284"/>
        </w:tabs>
        <w:jc w:val="both"/>
        <w:rPr>
          <w:sz w:val="22"/>
          <w:szCs w:val="22"/>
          <w:u w:val="single"/>
          <w:lang w:val="sr-Latn-ME"/>
        </w:rPr>
      </w:pPr>
      <w:r w:rsidRPr="005A4F9F">
        <w:rPr>
          <w:sz w:val="22"/>
          <w:szCs w:val="22"/>
          <w:u w:val="single"/>
          <w:lang w:val="sr-Latn-ME"/>
        </w:rPr>
        <w:t>SOC</w:t>
      </w:r>
    </w:p>
    <w:p w14:paraId="567A0938" w14:textId="61234056" w:rsidR="00384BA3" w:rsidRPr="005A4F9F" w:rsidRDefault="00384BA3">
      <w:pPr>
        <w:widowControl w:val="0"/>
        <w:tabs>
          <w:tab w:val="left" w:pos="284"/>
        </w:tabs>
        <w:jc w:val="both"/>
        <w:rPr>
          <w:sz w:val="22"/>
          <w:szCs w:val="22"/>
          <w:lang w:val="sr-Latn-ME"/>
        </w:rPr>
      </w:pPr>
      <w:r w:rsidRPr="005A4F9F">
        <w:rPr>
          <w:sz w:val="22"/>
          <w:szCs w:val="22"/>
          <w:lang w:val="sr-Latn-ME"/>
        </w:rPr>
        <w:t xml:space="preserve">Efikasnost </w:t>
      </w:r>
      <w:r w:rsidR="008E6663" w:rsidRPr="005A4F9F">
        <w:rPr>
          <w:sz w:val="22"/>
          <w:szCs w:val="22"/>
          <w:lang w:val="sr-Latn-ME"/>
        </w:rPr>
        <w:t>tocilizumaba</w:t>
      </w:r>
      <w:r w:rsidRPr="005A4F9F">
        <w:rPr>
          <w:sz w:val="22"/>
          <w:szCs w:val="22"/>
          <w:lang w:val="sr-Latn-ME"/>
        </w:rPr>
        <w:t xml:space="preserve"> u terapiji SOC</w:t>
      </w:r>
      <w:r w:rsidR="008E6663" w:rsidRPr="005A4F9F">
        <w:rPr>
          <w:sz w:val="22"/>
          <w:szCs w:val="22"/>
          <w:lang w:val="sr-Latn-ME"/>
        </w:rPr>
        <w:t>-a</w:t>
      </w:r>
      <w:r w:rsidRPr="005A4F9F">
        <w:rPr>
          <w:sz w:val="22"/>
          <w:szCs w:val="22"/>
          <w:lang w:val="sr-Latn-ME"/>
        </w:rPr>
        <w:t xml:space="preserve"> je proc</w:t>
      </w:r>
      <w:r w:rsidR="00CA5620" w:rsidRPr="005A4F9F">
        <w:rPr>
          <w:sz w:val="22"/>
          <w:szCs w:val="22"/>
          <w:lang w:val="sr-Latn-ME"/>
        </w:rPr>
        <w:t>i</w:t>
      </w:r>
      <w:r w:rsidRPr="005A4F9F">
        <w:rPr>
          <w:sz w:val="22"/>
          <w:szCs w:val="22"/>
          <w:lang w:val="sr-Latn-ME"/>
        </w:rPr>
        <w:t xml:space="preserve">jenjena na osnovu retrospektivne analize podataka iz </w:t>
      </w:r>
      <w:r w:rsidRPr="005A4F9F">
        <w:rPr>
          <w:sz w:val="22"/>
          <w:szCs w:val="22"/>
          <w:lang w:val="sr-Latn-ME"/>
        </w:rPr>
        <w:lastRenderedPageBreak/>
        <w:t>kliničkih studija CAR T-ćelijskih terapija (tizagenlenkleucel i aksikabtegen siloleucel) kod hematoloških maligniteta. Proc</w:t>
      </w:r>
      <w:r w:rsidR="00CA5620" w:rsidRPr="005A4F9F">
        <w:rPr>
          <w:sz w:val="22"/>
          <w:szCs w:val="22"/>
          <w:lang w:val="sr-Latn-ME"/>
        </w:rPr>
        <w:t>i</w:t>
      </w:r>
      <w:r w:rsidR="00E00BBA" w:rsidRPr="005A4F9F">
        <w:rPr>
          <w:sz w:val="22"/>
          <w:szCs w:val="22"/>
          <w:lang w:val="sr-Latn-ME"/>
        </w:rPr>
        <w:t>j</w:t>
      </w:r>
      <w:r w:rsidRPr="005A4F9F">
        <w:rPr>
          <w:sz w:val="22"/>
          <w:szCs w:val="22"/>
          <w:lang w:val="sr-Latn-ME"/>
        </w:rPr>
        <w:t>enjivani pacijenti su bili na terapiji tocilizumabom u dozi od 8mg/kg (12mg/kg kod pacijenata čija je t</w:t>
      </w:r>
      <w:r w:rsidR="00E00BBA" w:rsidRPr="005A4F9F">
        <w:rPr>
          <w:sz w:val="22"/>
          <w:szCs w:val="22"/>
          <w:lang w:val="sr-Latn-ME"/>
        </w:rPr>
        <w:t>j</w:t>
      </w:r>
      <w:r w:rsidRPr="005A4F9F">
        <w:rPr>
          <w:sz w:val="22"/>
          <w:szCs w:val="22"/>
          <w:lang w:val="sr-Latn-ME"/>
        </w:rPr>
        <w:t>elesna masa &lt;30kg) sa ili bez dodatka visokih doza kortikosteroidnih ljekova za ozbiljni ili životno-ugrožavajući SOC; u analizu je uključena samo prva epizoda SOC-a. Populacija za proc</w:t>
      </w:r>
      <w:r w:rsidR="00E00BBA" w:rsidRPr="005A4F9F">
        <w:rPr>
          <w:sz w:val="22"/>
          <w:szCs w:val="22"/>
          <w:lang w:val="sr-Latn-ME"/>
        </w:rPr>
        <w:t>j</w:t>
      </w:r>
      <w:r w:rsidRPr="005A4F9F">
        <w:rPr>
          <w:sz w:val="22"/>
          <w:szCs w:val="22"/>
          <w:lang w:val="sr-Latn-ME"/>
        </w:rPr>
        <w:t>enu efikasnosti tizagenlenkleucel kohorte je uključivala 28 muškaraca i 23 žene (ukupno 51 pacijent) sa medijanom starosti od 17 godina (opseg: 3-68 godina). Medijana vremena od pojave SOC do prim</w:t>
      </w:r>
      <w:r w:rsidR="00E00BBA" w:rsidRPr="005A4F9F">
        <w:rPr>
          <w:sz w:val="22"/>
          <w:szCs w:val="22"/>
          <w:lang w:val="sr-Latn-ME"/>
        </w:rPr>
        <w:t>j</w:t>
      </w:r>
      <w:r w:rsidRPr="005A4F9F">
        <w:rPr>
          <w:sz w:val="22"/>
          <w:szCs w:val="22"/>
          <w:lang w:val="sr-Latn-ME"/>
        </w:rPr>
        <w:t>ene prve doze tocilizumaba je bila 3 dana (opseg: 0-18 dana). Povlačenje SOC je definisano kao odsustvo groznice i ukidanje vazopresornih l</w:t>
      </w:r>
      <w:r w:rsidR="00E00BBA" w:rsidRPr="005A4F9F">
        <w:rPr>
          <w:sz w:val="22"/>
          <w:szCs w:val="22"/>
          <w:lang w:val="sr-Latn-ME"/>
        </w:rPr>
        <w:t>j</w:t>
      </w:r>
      <w:r w:rsidRPr="005A4F9F">
        <w:rPr>
          <w:sz w:val="22"/>
          <w:szCs w:val="22"/>
          <w:lang w:val="sr-Latn-ME"/>
        </w:rPr>
        <w:t>ekova na najmanje 24 časa. Pacijentima koji su odgovorili na terapiju (responderima) smatrani su oni kod kojih je došlo do povlačenja SOC-a kroz 14 dana od prim</w:t>
      </w:r>
      <w:r w:rsidR="00E00BBA" w:rsidRPr="005A4F9F">
        <w:rPr>
          <w:sz w:val="22"/>
          <w:szCs w:val="22"/>
          <w:lang w:val="sr-Latn-ME"/>
        </w:rPr>
        <w:t>j</w:t>
      </w:r>
      <w:r w:rsidRPr="005A4F9F">
        <w:rPr>
          <w:sz w:val="22"/>
          <w:szCs w:val="22"/>
          <w:lang w:val="sr-Latn-ME"/>
        </w:rPr>
        <w:t>ene prve doze tocilizumaba, ukoliko nije bilo neophodno prim</w:t>
      </w:r>
      <w:r w:rsidR="00E00BBA" w:rsidRPr="005A4F9F">
        <w:rPr>
          <w:sz w:val="22"/>
          <w:szCs w:val="22"/>
          <w:lang w:val="sr-Latn-ME"/>
        </w:rPr>
        <w:t>j</w:t>
      </w:r>
      <w:r w:rsidRPr="005A4F9F">
        <w:rPr>
          <w:sz w:val="22"/>
          <w:szCs w:val="22"/>
          <w:lang w:val="sr-Latn-ME"/>
        </w:rPr>
        <w:t>eniti više od 2 doze</w:t>
      </w:r>
      <w:r w:rsidR="008E6663" w:rsidRPr="005A4F9F">
        <w:rPr>
          <w:sz w:val="22"/>
          <w:szCs w:val="22"/>
          <w:lang w:val="sr-Latn-ME"/>
        </w:rPr>
        <w:t>tocilizumaba</w:t>
      </w:r>
      <w:r w:rsidRPr="005A4F9F">
        <w:rPr>
          <w:sz w:val="22"/>
          <w:szCs w:val="22"/>
          <w:lang w:val="sr-Latn-ME"/>
        </w:rPr>
        <w:t>, i ukoliko ni</w:t>
      </w:r>
      <w:r w:rsidR="00A563B1" w:rsidRPr="005A4F9F">
        <w:rPr>
          <w:sz w:val="22"/>
          <w:szCs w:val="22"/>
          <w:lang w:val="sr-Latn-ME"/>
        </w:rPr>
        <w:t>je</w:t>
      </w:r>
      <w:r w:rsidRPr="005A4F9F">
        <w:rPr>
          <w:sz w:val="22"/>
          <w:szCs w:val="22"/>
          <w:lang w:val="sr-Latn-ME"/>
        </w:rPr>
        <w:t>su korišćeni drugi l</w:t>
      </w:r>
      <w:r w:rsidR="00E00BBA" w:rsidRPr="005A4F9F">
        <w:rPr>
          <w:sz w:val="22"/>
          <w:szCs w:val="22"/>
          <w:lang w:val="sr-Latn-ME"/>
        </w:rPr>
        <w:t>j</w:t>
      </w:r>
      <w:r w:rsidRPr="005A4F9F">
        <w:rPr>
          <w:sz w:val="22"/>
          <w:szCs w:val="22"/>
          <w:lang w:val="sr-Latn-ME"/>
        </w:rPr>
        <w:t xml:space="preserve">ekovi pored </w:t>
      </w:r>
      <w:r w:rsidR="008E6663" w:rsidRPr="005A4F9F">
        <w:rPr>
          <w:sz w:val="22"/>
          <w:szCs w:val="22"/>
          <w:lang w:val="sr-Latn-ME"/>
        </w:rPr>
        <w:t>tocilizumaba</w:t>
      </w:r>
      <w:r w:rsidRPr="005A4F9F">
        <w:rPr>
          <w:sz w:val="22"/>
          <w:szCs w:val="22"/>
          <w:lang w:val="sr-Latn-ME"/>
        </w:rPr>
        <w:t xml:space="preserve"> i kortikosteroida za terapiju. Trideset</w:t>
      </w:r>
      <w:r w:rsidR="00CA5620" w:rsidRPr="005A4F9F">
        <w:rPr>
          <w:sz w:val="22"/>
          <w:szCs w:val="22"/>
          <w:lang w:val="sr-Latn-ME"/>
        </w:rPr>
        <w:t xml:space="preserve"> </w:t>
      </w:r>
      <w:r w:rsidRPr="005A4F9F">
        <w:rPr>
          <w:sz w:val="22"/>
          <w:szCs w:val="22"/>
          <w:lang w:val="sr-Latn-ME"/>
        </w:rPr>
        <w:t>devet pacijenata (76.5%; 95% CI: 62.5%–87.2%) postiglo je ciljani odgovor. U nezavisnoj kohorti od 15 pacijenata (opseg: 9-75 godina starosti) sa aksikabtegen siloleucel-indukovanim SOC, 53% pacijenata je odgovorilo na terapiju.</w:t>
      </w:r>
    </w:p>
    <w:p w14:paraId="22C0904C" w14:textId="77777777" w:rsidR="00763105" w:rsidRPr="005A4F9F" w:rsidRDefault="00763105">
      <w:pPr>
        <w:widowControl w:val="0"/>
        <w:tabs>
          <w:tab w:val="left" w:pos="540"/>
          <w:tab w:val="left" w:pos="569"/>
        </w:tabs>
        <w:jc w:val="both"/>
        <w:rPr>
          <w:b/>
          <w:bCs/>
          <w:sz w:val="22"/>
          <w:szCs w:val="22"/>
          <w:lang w:val="sr-Latn-ME"/>
        </w:rPr>
      </w:pPr>
    </w:p>
    <w:p w14:paraId="60DD0B00" w14:textId="4C10DCD9" w:rsidR="008E6663" w:rsidRPr="005A4F9F" w:rsidRDefault="00816EE7" w:rsidP="008B00DE">
      <w:pPr>
        <w:pStyle w:val="Standard1"/>
        <w:widowControl w:val="0"/>
        <w:jc w:val="both"/>
        <w:rPr>
          <w:iCs/>
          <w:szCs w:val="22"/>
          <w:u w:val="single"/>
          <w:lang w:val="sr-Latn-ME"/>
        </w:rPr>
      </w:pPr>
      <w:r w:rsidRPr="005A4F9F">
        <w:rPr>
          <w:szCs w:val="22"/>
          <w:lang w:val="sr-Latn-ME"/>
        </w:rPr>
        <w:t xml:space="preserve">Evropska agencija za ljekove je izuzela obavezu podnošenja rezultata ispitivanja </w:t>
      </w:r>
      <w:r w:rsidR="008E6663" w:rsidRPr="005A4F9F">
        <w:rPr>
          <w:szCs w:val="22"/>
          <w:lang w:val="sr-Latn-ME"/>
        </w:rPr>
        <w:t>tocilizumaba</w:t>
      </w:r>
      <w:r w:rsidRPr="005A4F9F">
        <w:rPr>
          <w:szCs w:val="22"/>
          <w:lang w:val="sr-Latn-ME"/>
        </w:rPr>
        <w:t xml:space="preserve"> u svim podgrupama pedijatrijske populacije u l</w:t>
      </w:r>
      <w:r w:rsidR="00346212" w:rsidRPr="005A4F9F">
        <w:rPr>
          <w:szCs w:val="22"/>
          <w:lang w:val="sr-Latn-ME"/>
        </w:rPr>
        <w:t>ij</w:t>
      </w:r>
      <w:r w:rsidRPr="005A4F9F">
        <w:rPr>
          <w:szCs w:val="22"/>
          <w:lang w:val="sr-Latn-ME"/>
        </w:rPr>
        <w:t xml:space="preserve">ečenju sindroma oslobađanja citokina povezanog terapijom CAR T-ćelija. </w:t>
      </w:r>
      <w:r w:rsidR="008E6663" w:rsidRPr="005A4F9F">
        <w:rPr>
          <w:szCs w:val="22"/>
          <w:lang w:val="sr-Latn-ME"/>
        </w:rPr>
        <w:br/>
      </w:r>
      <w:r w:rsidR="008E6663" w:rsidRPr="005A4F9F">
        <w:rPr>
          <w:szCs w:val="22"/>
          <w:lang w:val="sr-Latn-ME"/>
        </w:rPr>
        <w:br/>
      </w:r>
      <w:r w:rsidR="008E6663" w:rsidRPr="005A4F9F">
        <w:rPr>
          <w:iCs/>
          <w:szCs w:val="22"/>
          <w:u w:val="single"/>
          <w:lang w:val="sr-Latn-ME"/>
        </w:rPr>
        <w:t>COVID-19</w:t>
      </w:r>
      <w:r w:rsidR="008E6663" w:rsidRPr="005A4F9F">
        <w:rPr>
          <w:iCs/>
          <w:szCs w:val="22"/>
          <w:u w:val="single"/>
          <w:lang w:val="sr-Latn-ME"/>
        </w:rPr>
        <w:br/>
      </w:r>
    </w:p>
    <w:p w14:paraId="1AFBE940" w14:textId="100865E2" w:rsidR="008E6663" w:rsidRPr="005A4F9F" w:rsidRDefault="008E6663" w:rsidP="008B00DE">
      <w:pPr>
        <w:pStyle w:val="Standard1"/>
        <w:widowControl w:val="0"/>
        <w:jc w:val="both"/>
        <w:rPr>
          <w:szCs w:val="22"/>
          <w:lang w:val="sr-Latn-ME" w:eastAsia="en-US"/>
        </w:rPr>
      </w:pPr>
      <w:r w:rsidRPr="005A4F9F">
        <w:rPr>
          <w:szCs w:val="22"/>
          <w:lang w:val="sr-Latn-ME" w:eastAsia="en-US"/>
        </w:rPr>
        <w:t xml:space="preserve">Europska agencija za ljekove odložila je obavezu podnošenja rezultata ispitivanja tocilizumaba u jednoj ili više podgrupa pedijatrijske populacije u liječenju </w:t>
      </w:r>
      <w:r w:rsidR="008B3674" w:rsidRPr="005A4F9F">
        <w:rPr>
          <w:szCs w:val="22"/>
          <w:lang w:val="sr-Latn-ME" w:eastAsia="en-US"/>
        </w:rPr>
        <w:t>infekcije</w:t>
      </w:r>
      <w:r w:rsidRPr="005A4F9F">
        <w:rPr>
          <w:szCs w:val="22"/>
          <w:lang w:val="sr-Latn-ME" w:eastAsia="en-US"/>
        </w:rPr>
        <w:t xml:space="preserve"> </w:t>
      </w:r>
      <w:r w:rsidRPr="005A4F9F">
        <w:rPr>
          <w:iCs/>
          <w:szCs w:val="22"/>
          <w:lang w:val="sr-Latn-ME"/>
        </w:rPr>
        <w:t>COVID</w:t>
      </w:r>
      <w:r w:rsidRPr="005A4F9F">
        <w:rPr>
          <w:iCs/>
          <w:szCs w:val="22"/>
          <w:lang w:val="sr-Latn-ME"/>
        </w:rPr>
        <w:noBreakHyphen/>
        <w:t>19.</w:t>
      </w:r>
    </w:p>
    <w:p w14:paraId="6D08A2A4" w14:textId="77777777" w:rsidR="00816EE7" w:rsidRPr="005A4F9F" w:rsidRDefault="00816EE7">
      <w:pPr>
        <w:widowControl w:val="0"/>
        <w:tabs>
          <w:tab w:val="left" w:pos="540"/>
          <w:tab w:val="left" w:pos="569"/>
        </w:tabs>
        <w:jc w:val="both"/>
        <w:rPr>
          <w:b/>
          <w:bCs/>
          <w:sz w:val="22"/>
          <w:szCs w:val="22"/>
          <w:lang w:val="sr-Latn-ME"/>
        </w:rPr>
      </w:pPr>
    </w:p>
    <w:p w14:paraId="7F545700" w14:textId="77777777" w:rsidR="0072020E"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5.2. </w:t>
      </w:r>
      <w:r w:rsidR="00480FB1" w:rsidRPr="005A4F9F">
        <w:rPr>
          <w:b/>
          <w:bCs/>
          <w:sz w:val="22"/>
          <w:szCs w:val="22"/>
          <w:lang w:val="sr-Latn-ME"/>
        </w:rPr>
        <w:tab/>
      </w:r>
      <w:r w:rsidRPr="005A4F9F">
        <w:rPr>
          <w:b/>
          <w:bCs/>
          <w:sz w:val="22"/>
          <w:szCs w:val="22"/>
          <w:lang w:val="sr-Latn-ME"/>
        </w:rPr>
        <w:t>Farmakokinetički podaci</w:t>
      </w:r>
      <w:r w:rsidR="003A7059" w:rsidRPr="005A4F9F">
        <w:rPr>
          <w:b/>
          <w:bCs/>
          <w:sz w:val="22"/>
          <w:szCs w:val="22"/>
          <w:lang w:val="sr-Latn-ME"/>
        </w:rPr>
        <w:t xml:space="preserve"> </w:t>
      </w:r>
    </w:p>
    <w:p w14:paraId="2819ACA1" w14:textId="77777777" w:rsidR="003664CB" w:rsidRPr="005A4F9F" w:rsidRDefault="003664CB">
      <w:pPr>
        <w:pStyle w:val="Header"/>
        <w:widowControl w:val="0"/>
        <w:tabs>
          <w:tab w:val="left" w:pos="284"/>
        </w:tabs>
        <w:jc w:val="both"/>
        <w:rPr>
          <w:b/>
          <w:iCs/>
          <w:sz w:val="22"/>
          <w:szCs w:val="22"/>
          <w:lang w:val="sr-Latn-ME"/>
        </w:rPr>
      </w:pPr>
    </w:p>
    <w:p w14:paraId="7C0060E5" w14:textId="77777777" w:rsidR="00BF249E" w:rsidRPr="005A4F9F" w:rsidRDefault="00BF249E">
      <w:pPr>
        <w:pStyle w:val="Header"/>
        <w:widowControl w:val="0"/>
        <w:tabs>
          <w:tab w:val="left" w:pos="284"/>
        </w:tabs>
        <w:jc w:val="both"/>
        <w:rPr>
          <w:iCs/>
          <w:sz w:val="22"/>
          <w:szCs w:val="22"/>
          <w:u w:val="single"/>
          <w:lang w:val="sr-Latn-ME"/>
        </w:rPr>
      </w:pPr>
      <w:r w:rsidRPr="005A4F9F">
        <w:rPr>
          <w:iCs/>
          <w:sz w:val="22"/>
          <w:szCs w:val="22"/>
          <w:u w:val="single"/>
          <w:lang w:val="sr-Latn-ME"/>
        </w:rPr>
        <w:t xml:space="preserve">Pacijenti </w:t>
      </w:r>
      <w:r w:rsidR="00024F08" w:rsidRPr="005A4F9F">
        <w:rPr>
          <w:iCs/>
          <w:sz w:val="22"/>
          <w:szCs w:val="22"/>
          <w:u w:val="single"/>
          <w:lang w:val="sr-Latn-ME"/>
        </w:rPr>
        <w:t>sa RA</w:t>
      </w:r>
    </w:p>
    <w:p w14:paraId="359236AD" w14:textId="77777777" w:rsidR="00763105" w:rsidRPr="005A4F9F" w:rsidRDefault="00763105">
      <w:pPr>
        <w:pStyle w:val="Header"/>
        <w:widowControl w:val="0"/>
        <w:tabs>
          <w:tab w:val="left" w:pos="284"/>
        </w:tabs>
        <w:jc w:val="both"/>
        <w:rPr>
          <w:iCs/>
          <w:sz w:val="22"/>
          <w:szCs w:val="22"/>
          <w:lang w:val="sr-Latn-ME"/>
        </w:rPr>
      </w:pPr>
    </w:p>
    <w:p w14:paraId="45486849" w14:textId="1E322E28" w:rsidR="00763105" w:rsidRPr="005A4F9F" w:rsidRDefault="00763105">
      <w:pPr>
        <w:pStyle w:val="Header"/>
        <w:widowControl w:val="0"/>
        <w:tabs>
          <w:tab w:val="left" w:pos="284"/>
        </w:tabs>
        <w:jc w:val="both"/>
        <w:rPr>
          <w:iCs/>
          <w:sz w:val="22"/>
          <w:szCs w:val="22"/>
          <w:lang w:val="sr-Latn-ME"/>
        </w:rPr>
      </w:pPr>
      <w:r w:rsidRPr="005A4F9F">
        <w:rPr>
          <w:iCs/>
          <w:sz w:val="22"/>
          <w:szCs w:val="22"/>
          <w:lang w:val="sr-Latn-ME"/>
        </w:rPr>
        <w:t>Farmakokinetika tocilizumaba određivana je korišćenjem populacione farmakokinetičke analize po bazi podataka sastavljenoj od 3552 pacijenata sa RA koji su primali jednosatnu infuziju 4 i 8 mg/kg tocilizumaba na svake 4 ned</w:t>
      </w:r>
      <w:r w:rsidR="00024F08" w:rsidRPr="005A4F9F">
        <w:rPr>
          <w:iCs/>
          <w:sz w:val="22"/>
          <w:szCs w:val="22"/>
          <w:lang w:val="sr-Latn-ME"/>
        </w:rPr>
        <w:t>j</w:t>
      </w:r>
      <w:r w:rsidRPr="005A4F9F">
        <w:rPr>
          <w:iCs/>
          <w:sz w:val="22"/>
          <w:szCs w:val="22"/>
          <w:lang w:val="sr-Latn-ME"/>
        </w:rPr>
        <w:t>elje tokom 24 ned</w:t>
      </w:r>
      <w:r w:rsidR="00024F08" w:rsidRPr="005A4F9F">
        <w:rPr>
          <w:iCs/>
          <w:sz w:val="22"/>
          <w:szCs w:val="22"/>
          <w:lang w:val="sr-Latn-ME"/>
        </w:rPr>
        <w:t>j</w:t>
      </w:r>
      <w:r w:rsidRPr="005A4F9F">
        <w:rPr>
          <w:iCs/>
          <w:sz w:val="22"/>
          <w:szCs w:val="22"/>
          <w:lang w:val="sr-Latn-ME"/>
        </w:rPr>
        <w:t>elje ili sa 162 mg tocilizumaba primjenj</w:t>
      </w:r>
      <w:r w:rsidR="00024F08" w:rsidRPr="005A4F9F">
        <w:rPr>
          <w:iCs/>
          <w:sz w:val="22"/>
          <w:szCs w:val="22"/>
          <w:lang w:val="sr-Latn-ME"/>
        </w:rPr>
        <w:t>enog</w:t>
      </w:r>
      <w:r w:rsidRPr="005A4F9F">
        <w:rPr>
          <w:iCs/>
          <w:sz w:val="22"/>
          <w:szCs w:val="22"/>
          <w:lang w:val="sr-Latn-ME"/>
        </w:rPr>
        <w:t xml:space="preserve"> </w:t>
      </w:r>
      <w:r w:rsidR="00CE0C85" w:rsidRPr="005A4F9F">
        <w:rPr>
          <w:iCs/>
          <w:sz w:val="22"/>
          <w:szCs w:val="22"/>
          <w:lang w:val="sr-Latn-ME"/>
        </w:rPr>
        <w:t>su</w:t>
      </w:r>
      <w:r w:rsidR="00363B61" w:rsidRPr="005A4F9F">
        <w:rPr>
          <w:iCs/>
          <w:sz w:val="22"/>
          <w:szCs w:val="22"/>
          <w:lang w:val="sr-Latn-ME"/>
        </w:rPr>
        <w:t>b</w:t>
      </w:r>
      <w:r w:rsidR="00CE0C85" w:rsidRPr="005A4F9F">
        <w:rPr>
          <w:iCs/>
          <w:sz w:val="22"/>
          <w:szCs w:val="22"/>
          <w:lang w:val="sr-Latn-ME"/>
        </w:rPr>
        <w:t xml:space="preserve">kutano </w:t>
      </w:r>
      <w:r w:rsidRPr="005A4F9F">
        <w:rPr>
          <w:iCs/>
          <w:sz w:val="22"/>
          <w:szCs w:val="22"/>
          <w:lang w:val="sr-Latn-ME"/>
        </w:rPr>
        <w:t>jednom ned</w:t>
      </w:r>
      <w:r w:rsidR="00024F08" w:rsidRPr="005A4F9F">
        <w:rPr>
          <w:iCs/>
          <w:sz w:val="22"/>
          <w:szCs w:val="22"/>
          <w:lang w:val="sr-Latn-ME"/>
        </w:rPr>
        <w:t>j</w:t>
      </w:r>
      <w:r w:rsidRPr="005A4F9F">
        <w:rPr>
          <w:iCs/>
          <w:sz w:val="22"/>
          <w:szCs w:val="22"/>
          <w:lang w:val="sr-Latn-ME"/>
        </w:rPr>
        <w:t>eljno ili svake druge ned</w:t>
      </w:r>
      <w:r w:rsidR="00024F08" w:rsidRPr="005A4F9F">
        <w:rPr>
          <w:iCs/>
          <w:sz w:val="22"/>
          <w:szCs w:val="22"/>
          <w:lang w:val="sr-Latn-ME"/>
        </w:rPr>
        <w:t>j</w:t>
      </w:r>
      <w:r w:rsidRPr="005A4F9F">
        <w:rPr>
          <w:iCs/>
          <w:sz w:val="22"/>
          <w:szCs w:val="22"/>
          <w:lang w:val="sr-Latn-ME"/>
        </w:rPr>
        <w:t>elje tokom razdoblja od 24 ned</w:t>
      </w:r>
      <w:r w:rsidR="00024F08" w:rsidRPr="005A4F9F">
        <w:rPr>
          <w:iCs/>
          <w:sz w:val="22"/>
          <w:szCs w:val="22"/>
          <w:lang w:val="sr-Latn-ME"/>
        </w:rPr>
        <w:t>j</w:t>
      </w:r>
      <w:r w:rsidRPr="005A4F9F">
        <w:rPr>
          <w:iCs/>
          <w:sz w:val="22"/>
          <w:szCs w:val="22"/>
          <w:lang w:val="sr-Latn-ME"/>
        </w:rPr>
        <w:t xml:space="preserve">elje . </w:t>
      </w:r>
    </w:p>
    <w:p w14:paraId="05D57F68" w14:textId="77777777" w:rsidR="00763105" w:rsidRPr="005A4F9F" w:rsidRDefault="00763105">
      <w:pPr>
        <w:pStyle w:val="Header"/>
        <w:widowControl w:val="0"/>
        <w:tabs>
          <w:tab w:val="left" w:pos="284"/>
        </w:tabs>
        <w:jc w:val="both"/>
        <w:rPr>
          <w:iCs/>
          <w:sz w:val="22"/>
          <w:szCs w:val="22"/>
          <w:lang w:val="sr-Latn-ME"/>
        </w:rPr>
      </w:pPr>
    </w:p>
    <w:p w14:paraId="6A8565D0" w14:textId="7837B75A" w:rsidR="00763105" w:rsidRPr="005A4F9F" w:rsidRDefault="00763105">
      <w:pPr>
        <w:widowControl w:val="0"/>
        <w:tabs>
          <w:tab w:val="left" w:pos="540"/>
          <w:tab w:val="left" w:pos="569"/>
        </w:tabs>
        <w:jc w:val="both"/>
        <w:rPr>
          <w:sz w:val="22"/>
          <w:szCs w:val="22"/>
          <w:lang w:val="sr-Latn-ME"/>
        </w:rPr>
      </w:pPr>
      <w:r w:rsidRPr="005A4F9F">
        <w:rPr>
          <w:iCs/>
          <w:sz w:val="22"/>
          <w:szCs w:val="22"/>
          <w:lang w:val="sr-Latn-ME"/>
        </w:rPr>
        <w:t>Sl</w:t>
      </w:r>
      <w:r w:rsidR="00542633" w:rsidRPr="005A4F9F">
        <w:rPr>
          <w:iCs/>
          <w:sz w:val="22"/>
          <w:szCs w:val="22"/>
          <w:lang w:val="sr-Latn-ME"/>
        </w:rPr>
        <w:t>j</w:t>
      </w:r>
      <w:r w:rsidRPr="005A4F9F">
        <w:rPr>
          <w:iCs/>
          <w:sz w:val="22"/>
          <w:szCs w:val="22"/>
          <w:lang w:val="sr-Latn-ME"/>
        </w:rPr>
        <w:t xml:space="preserve">edeći parametri (predviđena srednja vrijednost </w:t>
      </w:r>
      <w:r w:rsidRPr="005A4F9F">
        <w:rPr>
          <w:iCs/>
          <w:sz w:val="22"/>
          <w:szCs w:val="22"/>
          <w:lang w:val="sr-Latn-ME"/>
        </w:rPr>
        <w:sym w:font="Symbol" w:char="F0B1"/>
      </w:r>
      <w:r w:rsidRPr="005A4F9F">
        <w:rPr>
          <w:iCs/>
          <w:sz w:val="22"/>
          <w:szCs w:val="22"/>
          <w:lang w:val="sr-Latn-ME"/>
        </w:rPr>
        <w:t> SD) procijenjena je za dozu od 8 mg/kg tocilizumaba koja se daje jednom u 4 ned</w:t>
      </w:r>
      <w:r w:rsidR="00024F08" w:rsidRPr="005A4F9F">
        <w:rPr>
          <w:iCs/>
          <w:sz w:val="22"/>
          <w:szCs w:val="22"/>
          <w:lang w:val="sr-Latn-ME"/>
        </w:rPr>
        <w:t>j</w:t>
      </w:r>
      <w:r w:rsidRPr="005A4F9F">
        <w:rPr>
          <w:iCs/>
          <w:sz w:val="22"/>
          <w:szCs w:val="22"/>
          <w:lang w:val="sr-Latn-ME"/>
        </w:rPr>
        <w:t>elje: površina ispod krive u stanju ravnoteže (AUC) = 38000 </w:t>
      </w:r>
      <w:r w:rsidRPr="005A4F9F">
        <w:rPr>
          <w:iCs/>
          <w:sz w:val="22"/>
          <w:szCs w:val="22"/>
          <w:lang w:val="sr-Latn-ME"/>
        </w:rPr>
        <w:sym w:font="Symbol" w:char="F0B1"/>
      </w:r>
      <w:r w:rsidRPr="005A4F9F">
        <w:rPr>
          <w:iCs/>
          <w:sz w:val="22"/>
          <w:szCs w:val="22"/>
          <w:lang w:val="sr-Latn-ME"/>
        </w:rPr>
        <w:t> 13000 h µg/</w:t>
      </w:r>
      <w:r w:rsidR="00542633" w:rsidRPr="005A4F9F">
        <w:rPr>
          <w:iCs/>
          <w:sz w:val="22"/>
          <w:szCs w:val="22"/>
          <w:lang w:val="sr-Latn-ME"/>
        </w:rPr>
        <w:t>ml</w:t>
      </w:r>
      <w:r w:rsidRPr="005A4F9F">
        <w:rPr>
          <w:iCs/>
          <w:sz w:val="22"/>
          <w:szCs w:val="22"/>
          <w:lang w:val="sr-Latn-ME"/>
        </w:rPr>
        <w:t>, minimalne koncentracije (pred narednu dozu) (C</w:t>
      </w:r>
      <w:r w:rsidRPr="005A4F9F">
        <w:rPr>
          <w:iCs/>
          <w:sz w:val="22"/>
          <w:szCs w:val="22"/>
          <w:vertAlign w:val="subscript"/>
          <w:lang w:val="sr-Latn-ME"/>
        </w:rPr>
        <w:t>min</w:t>
      </w:r>
      <w:r w:rsidRPr="005A4F9F">
        <w:rPr>
          <w:iCs/>
          <w:sz w:val="22"/>
          <w:szCs w:val="22"/>
          <w:lang w:val="sr-Latn-ME"/>
        </w:rPr>
        <w:t>) = 15.9 </w:t>
      </w:r>
      <w:r w:rsidRPr="005A4F9F">
        <w:rPr>
          <w:iCs/>
          <w:sz w:val="22"/>
          <w:szCs w:val="22"/>
          <w:lang w:val="sr-Latn-ME"/>
        </w:rPr>
        <w:sym w:font="Symbol" w:char="F0B1"/>
      </w:r>
      <w:r w:rsidRPr="005A4F9F">
        <w:rPr>
          <w:iCs/>
          <w:sz w:val="22"/>
          <w:szCs w:val="22"/>
          <w:lang w:val="sr-Latn-ME"/>
        </w:rPr>
        <w:t> 13.1 </w:t>
      </w:r>
      <w:r w:rsidRPr="005A4F9F">
        <w:rPr>
          <w:iCs/>
          <w:sz w:val="22"/>
          <w:szCs w:val="22"/>
          <w:lang w:val="sr-Latn-ME"/>
        </w:rPr>
        <w:sym w:font="Symbol" w:char="F06D"/>
      </w:r>
      <w:r w:rsidRPr="005A4F9F">
        <w:rPr>
          <w:iCs/>
          <w:sz w:val="22"/>
          <w:szCs w:val="22"/>
          <w:lang w:val="sr-Latn-ME"/>
        </w:rPr>
        <w:t>g/</w:t>
      </w:r>
      <w:r w:rsidR="00542633" w:rsidRPr="005A4F9F">
        <w:rPr>
          <w:iCs/>
          <w:sz w:val="22"/>
          <w:szCs w:val="22"/>
          <w:lang w:val="sr-Latn-ME"/>
        </w:rPr>
        <w:t>ml</w:t>
      </w:r>
      <w:r w:rsidR="00CE0C85" w:rsidRPr="005A4F9F">
        <w:rPr>
          <w:iCs/>
          <w:sz w:val="22"/>
          <w:szCs w:val="22"/>
          <w:lang w:val="sr-Latn-ME"/>
        </w:rPr>
        <w:t xml:space="preserve"> </w:t>
      </w:r>
      <w:r w:rsidRPr="005A4F9F">
        <w:rPr>
          <w:iCs/>
          <w:sz w:val="22"/>
          <w:szCs w:val="22"/>
          <w:lang w:val="sr-Latn-ME"/>
        </w:rPr>
        <w:t>i maksimalne, vrše koncentracije (C</w:t>
      </w:r>
      <w:r w:rsidRPr="005A4F9F">
        <w:rPr>
          <w:iCs/>
          <w:sz w:val="22"/>
          <w:szCs w:val="22"/>
          <w:vertAlign w:val="subscript"/>
          <w:lang w:val="sr-Latn-ME"/>
        </w:rPr>
        <w:t>max</w:t>
      </w:r>
      <w:r w:rsidRPr="005A4F9F">
        <w:rPr>
          <w:iCs/>
          <w:sz w:val="22"/>
          <w:szCs w:val="22"/>
          <w:lang w:val="sr-Latn-ME"/>
        </w:rPr>
        <w:t>) = 182 </w:t>
      </w:r>
      <w:r w:rsidRPr="005A4F9F">
        <w:rPr>
          <w:iCs/>
          <w:sz w:val="22"/>
          <w:szCs w:val="22"/>
          <w:lang w:val="sr-Latn-ME"/>
        </w:rPr>
        <w:sym w:font="Symbol" w:char="F0B1"/>
      </w:r>
      <w:r w:rsidRPr="005A4F9F">
        <w:rPr>
          <w:iCs/>
          <w:sz w:val="22"/>
          <w:szCs w:val="22"/>
          <w:lang w:val="sr-Latn-ME"/>
        </w:rPr>
        <w:t> 50.4 µg/</w:t>
      </w:r>
      <w:r w:rsidR="00542633" w:rsidRPr="005A4F9F">
        <w:rPr>
          <w:iCs/>
          <w:sz w:val="22"/>
          <w:szCs w:val="22"/>
          <w:lang w:val="sr-Latn-ME"/>
        </w:rPr>
        <w:t>ml</w:t>
      </w:r>
      <w:r w:rsidRPr="005A4F9F">
        <w:rPr>
          <w:iCs/>
          <w:sz w:val="22"/>
          <w:szCs w:val="22"/>
          <w:lang w:val="sr-Latn-ME"/>
        </w:rPr>
        <w:t>, kao i koeficijenti akumulacije za AUC i C</w:t>
      </w:r>
      <w:r w:rsidRPr="005A4F9F">
        <w:rPr>
          <w:iCs/>
          <w:sz w:val="22"/>
          <w:szCs w:val="22"/>
          <w:vertAlign w:val="subscript"/>
          <w:lang w:val="sr-Latn-ME"/>
        </w:rPr>
        <w:t>max</w:t>
      </w:r>
      <w:r w:rsidRPr="005A4F9F">
        <w:rPr>
          <w:iCs/>
          <w:sz w:val="22"/>
          <w:szCs w:val="22"/>
          <w:lang w:val="sr-Latn-ME"/>
        </w:rPr>
        <w:t xml:space="preserve"> bili su mali, 1,32 odnosno 1,09. Koeficijent akumulacije bio je veći za C</w:t>
      </w:r>
      <w:r w:rsidRPr="005A4F9F">
        <w:rPr>
          <w:iCs/>
          <w:sz w:val="22"/>
          <w:szCs w:val="22"/>
          <w:vertAlign w:val="subscript"/>
          <w:lang w:val="sr-Latn-ME"/>
        </w:rPr>
        <w:t>min</w:t>
      </w:r>
      <w:r w:rsidRPr="005A4F9F">
        <w:rPr>
          <w:iCs/>
          <w:sz w:val="22"/>
          <w:szCs w:val="22"/>
          <w:lang w:val="sr-Latn-ME"/>
        </w:rPr>
        <w:t xml:space="preserve"> (2,49), što je bilo i očekivano na osnovu ne-linearnog klirensa za niže koncentracije. Stanje ravnoteže postizano je već po prvom davanju za C</w:t>
      </w:r>
      <w:r w:rsidRPr="005A4F9F">
        <w:rPr>
          <w:iCs/>
          <w:sz w:val="22"/>
          <w:szCs w:val="22"/>
          <w:vertAlign w:val="subscript"/>
          <w:lang w:val="sr-Latn-ME"/>
        </w:rPr>
        <w:t>max</w:t>
      </w:r>
      <w:r w:rsidRPr="005A4F9F">
        <w:rPr>
          <w:iCs/>
          <w:sz w:val="22"/>
          <w:szCs w:val="22"/>
          <w:lang w:val="sr-Latn-ME"/>
        </w:rPr>
        <w:t xml:space="preserve"> , a posle 8 i 20 ned</w:t>
      </w:r>
      <w:r w:rsidR="00024F08" w:rsidRPr="005A4F9F">
        <w:rPr>
          <w:iCs/>
          <w:sz w:val="22"/>
          <w:szCs w:val="22"/>
          <w:lang w:val="sr-Latn-ME"/>
        </w:rPr>
        <w:t>j</w:t>
      </w:r>
      <w:r w:rsidRPr="005A4F9F">
        <w:rPr>
          <w:iCs/>
          <w:sz w:val="22"/>
          <w:szCs w:val="22"/>
          <w:lang w:val="sr-Latn-ME"/>
        </w:rPr>
        <w:t>elja za AUC, odnosno C</w:t>
      </w:r>
      <w:r w:rsidRPr="005A4F9F">
        <w:rPr>
          <w:iCs/>
          <w:sz w:val="22"/>
          <w:szCs w:val="22"/>
          <w:vertAlign w:val="subscript"/>
          <w:lang w:val="sr-Latn-ME"/>
        </w:rPr>
        <w:t>min</w:t>
      </w:r>
      <w:r w:rsidRPr="005A4F9F">
        <w:rPr>
          <w:iCs/>
          <w:sz w:val="22"/>
          <w:szCs w:val="22"/>
          <w:lang w:val="sr-Latn-ME"/>
        </w:rPr>
        <w:t xml:space="preserve">. </w:t>
      </w:r>
      <w:r w:rsidRPr="005A4F9F">
        <w:rPr>
          <w:sz w:val="22"/>
          <w:szCs w:val="22"/>
          <w:lang w:val="sr-Latn-ME"/>
        </w:rPr>
        <w:t xml:space="preserve">AUC, </w:t>
      </w:r>
      <w:r w:rsidRPr="005A4F9F">
        <w:rPr>
          <w:iCs/>
          <w:sz w:val="22"/>
          <w:szCs w:val="22"/>
          <w:lang w:val="sr-Latn-ME"/>
        </w:rPr>
        <w:t>C</w:t>
      </w:r>
      <w:r w:rsidRPr="005A4F9F">
        <w:rPr>
          <w:iCs/>
          <w:sz w:val="22"/>
          <w:szCs w:val="22"/>
          <w:vertAlign w:val="subscript"/>
          <w:lang w:val="sr-Latn-ME"/>
        </w:rPr>
        <w:t>min</w:t>
      </w:r>
      <w:r w:rsidRPr="005A4F9F">
        <w:rPr>
          <w:sz w:val="22"/>
          <w:szCs w:val="22"/>
          <w:lang w:val="sr-Latn-ME"/>
        </w:rPr>
        <w:t xml:space="preserve"> i </w:t>
      </w:r>
      <w:r w:rsidRPr="005A4F9F">
        <w:rPr>
          <w:iCs/>
          <w:sz w:val="22"/>
          <w:szCs w:val="22"/>
          <w:lang w:val="sr-Latn-ME"/>
        </w:rPr>
        <w:t>C</w:t>
      </w:r>
      <w:r w:rsidRPr="005A4F9F">
        <w:rPr>
          <w:iCs/>
          <w:sz w:val="22"/>
          <w:szCs w:val="22"/>
          <w:vertAlign w:val="subscript"/>
          <w:lang w:val="sr-Latn-ME"/>
        </w:rPr>
        <w:t>max</w:t>
      </w:r>
      <w:r w:rsidRPr="005A4F9F">
        <w:rPr>
          <w:sz w:val="22"/>
          <w:szCs w:val="22"/>
          <w:lang w:val="sr-Latn-ME"/>
        </w:rPr>
        <w:t xml:space="preserve"> tocilizumaba povećavali su se sa povećanjem tjelesne težine. Uz tjelesnu težinu ≥ 100 kg predviđene srednje vrijednosti (± SD) AUC</w:t>
      </w:r>
      <w:r w:rsidRPr="005A4F9F">
        <w:rPr>
          <w:sz w:val="22"/>
          <w:szCs w:val="22"/>
          <w:lang w:val="sr-Latn-ME"/>
        </w:rPr>
        <w:noBreakHyphen/>
        <w:t xml:space="preserve">a, </w:t>
      </w:r>
      <w:r w:rsidRPr="005A4F9F">
        <w:rPr>
          <w:iCs/>
          <w:sz w:val="22"/>
          <w:szCs w:val="22"/>
          <w:lang w:val="sr-Latn-ME"/>
        </w:rPr>
        <w:t>C</w:t>
      </w:r>
      <w:r w:rsidRPr="005A4F9F">
        <w:rPr>
          <w:iCs/>
          <w:sz w:val="22"/>
          <w:szCs w:val="22"/>
          <w:vertAlign w:val="subscript"/>
          <w:lang w:val="sr-Latn-ME"/>
        </w:rPr>
        <w:t>min</w:t>
      </w:r>
      <w:r w:rsidRPr="005A4F9F">
        <w:rPr>
          <w:sz w:val="22"/>
          <w:szCs w:val="22"/>
          <w:lang w:val="sr-Latn-ME"/>
        </w:rPr>
        <w:t xml:space="preserve"> odnosno </w:t>
      </w:r>
      <w:r w:rsidRPr="005A4F9F">
        <w:rPr>
          <w:iCs/>
          <w:sz w:val="22"/>
          <w:szCs w:val="22"/>
          <w:lang w:val="sr-Latn-ME"/>
        </w:rPr>
        <w:t>C</w:t>
      </w:r>
      <w:r w:rsidRPr="005A4F9F">
        <w:rPr>
          <w:iCs/>
          <w:sz w:val="22"/>
          <w:szCs w:val="22"/>
          <w:vertAlign w:val="subscript"/>
          <w:lang w:val="sr-Latn-ME"/>
        </w:rPr>
        <w:t>max</w:t>
      </w:r>
      <w:r w:rsidRPr="005A4F9F">
        <w:rPr>
          <w:sz w:val="22"/>
          <w:szCs w:val="22"/>
          <w:lang w:val="sr-Latn-ME"/>
        </w:rPr>
        <w:t xml:space="preserve"> tocilizumaba u stanju dinamičke ravnoteže bile su 50000 ± 16800 μg•sat/</w:t>
      </w:r>
      <w:r w:rsidR="00542633" w:rsidRPr="005A4F9F">
        <w:rPr>
          <w:sz w:val="22"/>
          <w:szCs w:val="22"/>
          <w:lang w:val="sr-Latn-ME"/>
        </w:rPr>
        <w:t>ml</w:t>
      </w:r>
      <w:r w:rsidRPr="005A4F9F">
        <w:rPr>
          <w:sz w:val="22"/>
          <w:szCs w:val="22"/>
          <w:lang w:val="sr-Latn-ME"/>
        </w:rPr>
        <w:t>, 24,4 ± 17,5 μg/</w:t>
      </w:r>
      <w:r w:rsidR="00542633" w:rsidRPr="005A4F9F">
        <w:rPr>
          <w:sz w:val="22"/>
          <w:szCs w:val="22"/>
          <w:lang w:val="sr-Latn-ME"/>
        </w:rPr>
        <w:t>ml</w:t>
      </w:r>
      <w:r w:rsidRPr="005A4F9F">
        <w:rPr>
          <w:sz w:val="22"/>
          <w:szCs w:val="22"/>
          <w:lang w:val="sr-Latn-ME"/>
        </w:rPr>
        <w:t xml:space="preserve"> odnosno,</w:t>
      </w:r>
      <w:r w:rsidR="00024F08" w:rsidRPr="005A4F9F">
        <w:rPr>
          <w:sz w:val="22"/>
          <w:szCs w:val="22"/>
          <w:lang w:val="sr-Latn-ME"/>
        </w:rPr>
        <w:t xml:space="preserve"> </w:t>
      </w:r>
      <w:r w:rsidRPr="005A4F9F">
        <w:rPr>
          <w:sz w:val="22"/>
          <w:szCs w:val="22"/>
          <w:lang w:val="sr-Latn-ME"/>
        </w:rPr>
        <w:t>226 ± 50,3 μg/</w:t>
      </w:r>
      <w:r w:rsidR="00542633" w:rsidRPr="005A4F9F">
        <w:rPr>
          <w:sz w:val="22"/>
          <w:szCs w:val="22"/>
          <w:lang w:val="sr-Latn-ME"/>
        </w:rPr>
        <w:t>ml</w:t>
      </w:r>
      <w:r w:rsidRPr="005A4F9F">
        <w:rPr>
          <w:sz w:val="22"/>
          <w:szCs w:val="22"/>
          <w:lang w:val="sr-Latn-ME"/>
        </w:rPr>
        <w:t>, što je veće od srednjih vrijednosti izloženosti za populaciju pacijenata (tj sve tjelesne težine) gore navedenih. Kriva doza-odgovor za tocilizumab izjednačava se pri višoj izloženosti, što rezultira manjim povećanjem efikasnosti za svako dodatno povećanje koncentracije tocilizumaba tako da klinički značajna povećanja efikasnosti ni</w:t>
      </w:r>
      <w:r w:rsidR="00024F08" w:rsidRPr="005A4F9F">
        <w:rPr>
          <w:sz w:val="22"/>
          <w:szCs w:val="22"/>
          <w:lang w:val="sr-Latn-ME"/>
        </w:rPr>
        <w:t>je</w:t>
      </w:r>
      <w:r w:rsidRPr="005A4F9F">
        <w:rPr>
          <w:sz w:val="22"/>
          <w:szCs w:val="22"/>
          <w:lang w:val="sr-Latn-ME"/>
        </w:rPr>
        <w:t>su pokazana kod pacijenata liječenih sa više od 800 mg tocilizumaba. Stoga se doze tocilizumaba veće od 800 mg po infuziji ne preporučuju (vidjeti dio 4.2).</w:t>
      </w:r>
    </w:p>
    <w:p w14:paraId="1A9FBCC6" w14:textId="77777777" w:rsidR="00BF249E" w:rsidRPr="005A4F9F" w:rsidRDefault="00BF249E">
      <w:pPr>
        <w:widowControl w:val="0"/>
        <w:jc w:val="both"/>
        <w:rPr>
          <w:sz w:val="22"/>
          <w:szCs w:val="22"/>
          <w:lang w:val="sr-Latn-ME"/>
        </w:rPr>
      </w:pPr>
    </w:p>
    <w:p w14:paraId="7D19B418" w14:textId="77777777" w:rsidR="00BF249E" w:rsidRPr="005A4F9F" w:rsidRDefault="00BF249E">
      <w:pPr>
        <w:widowControl w:val="0"/>
        <w:jc w:val="both"/>
        <w:rPr>
          <w:iCs/>
          <w:sz w:val="22"/>
          <w:szCs w:val="22"/>
          <w:u w:val="single"/>
          <w:lang w:val="sr-Latn-ME"/>
        </w:rPr>
      </w:pPr>
      <w:r w:rsidRPr="005A4F9F">
        <w:rPr>
          <w:sz w:val="22"/>
          <w:szCs w:val="22"/>
          <w:u w:val="single"/>
          <w:lang w:val="sr-Latn-ME"/>
        </w:rPr>
        <w:t>Pacijenti sa COVID-19 infekcijom</w:t>
      </w:r>
    </w:p>
    <w:p w14:paraId="5E1EF773" w14:textId="2B3D0816" w:rsidR="00BF249E" w:rsidRPr="005A4F9F" w:rsidRDefault="00BF249E">
      <w:pPr>
        <w:widowControl w:val="0"/>
        <w:jc w:val="both"/>
        <w:rPr>
          <w:sz w:val="22"/>
          <w:szCs w:val="22"/>
          <w:lang w:val="sr-Latn-ME"/>
        </w:rPr>
      </w:pPr>
      <w:r w:rsidRPr="005A4F9F">
        <w:rPr>
          <w:iCs/>
          <w:sz w:val="22"/>
          <w:szCs w:val="22"/>
          <w:lang w:val="sr-Latn-ME"/>
        </w:rPr>
        <w:t xml:space="preserve">Farmakokinetika tocilizumaba opisana je </w:t>
      </w:r>
      <w:r w:rsidRPr="005A4F9F">
        <w:rPr>
          <w:rFonts w:eastAsia="SimSun"/>
          <w:sz w:val="22"/>
          <w:szCs w:val="22"/>
          <w:lang w:val="sr-Latn-ME" w:eastAsia="zh-CN" w:bidi="th-TH"/>
        </w:rPr>
        <w:t>populacijskom farmakokinetičkom analizom</w:t>
      </w:r>
      <w:r w:rsidRPr="005A4F9F">
        <w:rPr>
          <w:iCs/>
          <w:sz w:val="22"/>
          <w:szCs w:val="22"/>
          <w:lang w:val="sr-Latn-ME"/>
        </w:rPr>
        <w:t xml:space="preserve"> baze podataka koja se sastojala od 380 odraslih pacijenata sa COVID</w:t>
      </w:r>
      <w:r w:rsidRPr="005A4F9F">
        <w:rPr>
          <w:iCs/>
          <w:sz w:val="22"/>
          <w:szCs w:val="22"/>
          <w:lang w:val="sr-Latn-ME"/>
        </w:rPr>
        <w:noBreakHyphen/>
        <w:t xml:space="preserve">19 infekcijom u ispitivanju </w:t>
      </w:r>
      <w:r w:rsidRPr="005A4F9F">
        <w:rPr>
          <w:sz w:val="22"/>
          <w:szCs w:val="22"/>
          <w:lang w:val="sr-Latn-ME"/>
        </w:rPr>
        <w:t xml:space="preserve">WA42380 (COVACTA) i ispitivanju CA42481 (MARIPOSA) koji su primili jednu infuziju </w:t>
      </w:r>
      <w:r w:rsidRPr="005A4F9F">
        <w:rPr>
          <w:iCs/>
          <w:sz w:val="22"/>
          <w:szCs w:val="22"/>
          <w:lang w:val="sr-Latn-ME"/>
        </w:rPr>
        <w:t>tocilizumaba u dozi od 8 mg/kg ili dv</w:t>
      </w:r>
      <w:r w:rsidR="00B34098" w:rsidRPr="005A4F9F">
        <w:rPr>
          <w:iCs/>
          <w:sz w:val="22"/>
          <w:szCs w:val="22"/>
          <w:lang w:val="sr-Latn-ME"/>
        </w:rPr>
        <w:t>ij</w:t>
      </w:r>
      <w:r w:rsidRPr="005A4F9F">
        <w:rPr>
          <w:iCs/>
          <w:sz w:val="22"/>
          <w:szCs w:val="22"/>
          <w:lang w:val="sr-Latn-ME"/>
        </w:rPr>
        <w:t>e infuzije u razmaku od najmanje 8 sati. Za dozu od 8 mg/kg tocilizumaba određivali su se slijedeći parametri (predviđena srednja vr</w:t>
      </w:r>
      <w:r w:rsidR="00B34098" w:rsidRPr="005A4F9F">
        <w:rPr>
          <w:iCs/>
          <w:sz w:val="22"/>
          <w:szCs w:val="22"/>
          <w:lang w:val="sr-Latn-ME"/>
        </w:rPr>
        <w:t>ij</w:t>
      </w:r>
      <w:r w:rsidRPr="005A4F9F">
        <w:rPr>
          <w:iCs/>
          <w:sz w:val="22"/>
          <w:szCs w:val="22"/>
          <w:lang w:val="sr-Latn-ME"/>
        </w:rPr>
        <w:t xml:space="preserve">ednost </w:t>
      </w:r>
      <w:r w:rsidRPr="005A4F9F">
        <w:rPr>
          <w:iCs/>
          <w:sz w:val="22"/>
          <w:szCs w:val="22"/>
          <w:lang w:val="sr-Latn-ME"/>
        </w:rPr>
        <w:sym w:font="Symbol" w:char="F0B1"/>
      </w:r>
      <w:r w:rsidRPr="005A4F9F">
        <w:rPr>
          <w:iCs/>
          <w:sz w:val="22"/>
          <w:szCs w:val="22"/>
          <w:lang w:val="sr-Latn-ME"/>
        </w:rPr>
        <w:t xml:space="preserve"> SD): površina ispod krive tokom 28 dana </w:t>
      </w:r>
      <w:r w:rsidRPr="005A4F9F">
        <w:rPr>
          <w:sz w:val="22"/>
          <w:szCs w:val="22"/>
          <w:lang w:val="sr-Latn-ME"/>
        </w:rPr>
        <w:t>(AUC</w:t>
      </w:r>
      <w:r w:rsidRPr="005A4F9F">
        <w:rPr>
          <w:sz w:val="22"/>
          <w:szCs w:val="22"/>
          <w:vertAlign w:val="subscript"/>
          <w:lang w:val="sr-Latn-ME"/>
        </w:rPr>
        <w:t>0</w:t>
      </w:r>
      <w:r w:rsidRPr="005A4F9F">
        <w:rPr>
          <w:sz w:val="22"/>
          <w:szCs w:val="22"/>
          <w:vertAlign w:val="subscript"/>
          <w:lang w:val="sr-Latn-ME"/>
        </w:rPr>
        <w:noBreakHyphen/>
        <w:t>28</w:t>
      </w:r>
      <w:r w:rsidRPr="005A4F9F">
        <w:rPr>
          <w:sz w:val="22"/>
          <w:szCs w:val="22"/>
          <w:lang w:val="sr-Latn-ME"/>
        </w:rPr>
        <w:t>) = 18 312 (5184) sat•µg/</w:t>
      </w:r>
      <w:r w:rsidR="00542633" w:rsidRPr="005A4F9F">
        <w:rPr>
          <w:sz w:val="22"/>
          <w:szCs w:val="22"/>
          <w:lang w:val="sr-Latn-ME"/>
        </w:rPr>
        <w:t>ml</w:t>
      </w:r>
      <w:r w:rsidRPr="005A4F9F">
        <w:rPr>
          <w:sz w:val="22"/>
          <w:szCs w:val="22"/>
          <w:lang w:val="sr-Latn-ME"/>
        </w:rPr>
        <w:t xml:space="preserve">, </w:t>
      </w:r>
      <w:r w:rsidRPr="005A4F9F">
        <w:rPr>
          <w:iCs/>
          <w:sz w:val="22"/>
          <w:szCs w:val="22"/>
          <w:lang w:val="sr-Latn-ME"/>
        </w:rPr>
        <w:t xml:space="preserve">koncentracija 28. dana </w:t>
      </w:r>
      <w:r w:rsidRPr="005A4F9F">
        <w:rPr>
          <w:sz w:val="22"/>
          <w:szCs w:val="22"/>
          <w:lang w:val="sr-Latn-ME"/>
        </w:rPr>
        <w:t>(C</w:t>
      </w:r>
      <w:r w:rsidRPr="005A4F9F">
        <w:rPr>
          <w:sz w:val="22"/>
          <w:szCs w:val="22"/>
          <w:vertAlign w:val="subscript"/>
          <w:lang w:val="sr-Latn-ME"/>
        </w:rPr>
        <w:t>day28</w:t>
      </w:r>
      <w:r w:rsidRPr="005A4F9F">
        <w:rPr>
          <w:sz w:val="22"/>
          <w:szCs w:val="22"/>
          <w:lang w:val="sr-Latn-ME"/>
        </w:rPr>
        <w:t>) = 0,934 (1,93) µg/</w:t>
      </w:r>
      <w:r w:rsidR="00542633" w:rsidRPr="005A4F9F">
        <w:rPr>
          <w:sz w:val="22"/>
          <w:szCs w:val="22"/>
          <w:lang w:val="sr-Latn-ME"/>
        </w:rPr>
        <w:t>ml</w:t>
      </w:r>
      <w:r w:rsidRPr="005A4F9F">
        <w:rPr>
          <w:sz w:val="22"/>
          <w:szCs w:val="22"/>
          <w:lang w:val="sr-Latn-ME"/>
        </w:rPr>
        <w:t xml:space="preserve"> i </w:t>
      </w:r>
      <w:r w:rsidRPr="005A4F9F">
        <w:rPr>
          <w:iCs/>
          <w:sz w:val="22"/>
          <w:szCs w:val="22"/>
          <w:lang w:val="sr-Latn-ME"/>
        </w:rPr>
        <w:t>maksimalna koncentracija (C</w:t>
      </w:r>
      <w:r w:rsidRPr="005A4F9F">
        <w:rPr>
          <w:iCs/>
          <w:sz w:val="22"/>
          <w:szCs w:val="22"/>
          <w:vertAlign w:val="subscript"/>
          <w:lang w:val="sr-Latn-ME"/>
        </w:rPr>
        <w:t>max</w:t>
      </w:r>
      <w:r w:rsidRPr="005A4F9F">
        <w:rPr>
          <w:iCs/>
          <w:sz w:val="22"/>
          <w:szCs w:val="22"/>
          <w:lang w:val="sr-Latn-ME"/>
        </w:rPr>
        <w:t>) = </w:t>
      </w:r>
      <w:r w:rsidRPr="005A4F9F">
        <w:rPr>
          <w:sz w:val="22"/>
          <w:szCs w:val="22"/>
          <w:lang w:val="sr-Latn-ME"/>
        </w:rPr>
        <w:t>154 (34,9) µg/</w:t>
      </w:r>
      <w:r w:rsidR="00542633" w:rsidRPr="005A4F9F">
        <w:rPr>
          <w:sz w:val="22"/>
          <w:szCs w:val="22"/>
          <w:lang w:val="sr-Latn-ME"/>
        </w:rPr>
        <w:t>ml</w:t>
      </w:r>
      <w:r w:rsidRPr="005A4F9F">
        <w:rPr>
          <w:iCs/>
          <w:sz w:val="22"/>
          <w:szCs w:val="22"/>
          <w:lang w:val="sr-Latn-ME"/>
        </w:rPr>
        <w:t>. Takođe su proc</w:t>
      </w:r>
      <w:r w:rsidR="00024F08" w:rsidRPr="005A4F9F">
        <w:rPr>
          <w:iCs/>
          <w:sz w:val="22"/>
          <w:szCs w:val="22"/>
          <w:lang w:val="sr-Latn-ME"/>
        </w:rPr>
        <w:t>i</w:t>
      </w:r>
      <w:r w:rsidRPr="005A4F9F">
        <w:rPr>
          <w:iCs/>
          <w:sz w:val="22"/>
          <w:szCs w:val="22"/>
          <w:lang w:val="sr-Latn-ME"/>
        </w:rPr>
        <w:t xml:space="preserve">jenjeni </w:t>
      </w:r>
      <w:r w:rsidRPr="005A4F9F">
        <w:rPr>
          <w:sz w:val="22"/>
          <w:szCs w:val="22"/>
          <w:lang w:val="sr-Latn-ME"/>
        </w:rPr>
        <w:t>AUC</w:t>
      </w:r>
      <w:r w:rsidRPr="005A4F9F">
        <w:rPr>
          <w:sz w:val="22"/>
          <w:szCs w:val="22"/>
          <w:vertAlign w:val="subscript"/>
          <w:lang w:val="sr-Latn-ME"/>
        </w:rPr>
        <w:t>0-28</w:t>
      </w:r>
      <w:r w:rsidRPr="005A4F9F">
        <w:rPr>
          <w:sz w:val="22"/>
          <w:szCs w:val="22"/>
          <w:lang w:val="sr-Latn-ME"/>
        </w:rPr>
        <w:t>, C</w:t>
      </w:r>
      <w:r w:rsidRPr="005A4F9F">
        <w:rPr>
          <w:sz w:val="22"/>
          <w:szCs w:val="22"/>
          <w:vertAlign w:val="subscript"/>
          <w:lang w:val="sr-Latn-ME"/>
        </w:rPr>
        <w:t>day28</w:t>
      </w:r>
      <w:r w:rsidRPr="005A4F9F">
        <w:rPr>
          <w:sz w:val="22"/>
          <w:szCs w:val="22"/>
          <w:lang w:val="sr-Latn-ME"/>
        </w:rPr>
        <w:t xml:space="preserve"> i C</w:t>
      </w:r>
      <w:r w:rsidRPr="005A4F9F">
        <w:rPr>
          <w:sz w:val="22"/>
          <w:szCs w:val="22"/>
          <w:vertAlign w:val="subscript"/>
          <w:lang w:val="sr-Latn-ME"/>
        </w:rPr>
        <w:t xml:space="preserve">max </w:t>
      </w:r>
      <w:r w:rsidRPr="005A4F9F">
        <w:rPr>
          <w:sz w:val="22"/>
          <w:szCs w:val="22"/>
          <w:lang w:val="sr-Latn-ME"/>
        </w:rPr>
        <w:t xml:space="preserve">nakon dvije doze od 8 mg/kg tocilizumaba primjenjene s razmakom od 8 sati, koji su iznosili </w:t>
      </w:r>
      <w:r w:rsidRPr="005A4F9F">
        <w:rPr>
          <w:iCs/>
          <w:sz w:val="22"/>
          <w:szCs w:val="22"/>
          <w:lang w:val="sr-Latn-ME"/>
        </w:rPr>
        <w:lastRenderedPageBreak/>
        <w:t xml:space="preserve">(predviđena srednja vrednost </w:t>
      </w:r>
      <w:r w:rsidRPr="005A4F9F">
        <w:rPr>
          <w:iCs/>
          <w:sz w:val="22"/>
          <w:szCs w:val="22"/>
          <w:lang w:val="sr-Latn-ME"/>
        </w:rPr>
        <w:sym w:font="Symbol" w:char="F0B1"/>
      </w:r>
      <w:r w:rsidRPr="005A4F9F">
        <w:rPr>
          <w:iCs/>
          <w:sz w:val="22"/>
          <w:szCs w:val="22"/>
          <w:lang w:val="sr-Latn-ME"/>
        </w:rPr>
        <w:t xml:space="preserve"> SD): </w:t>
      </w:r>
      <w:r w:rsidRPr="005A4F9F">
        <w:rPr>
          <w:sz w:val="22"/>
          <w:szCs w:val="22"/>
          <w:lang w:val="sr-Latn-ME"/>
        </w:rPr>
        <w:t>42 240 (11 520) sat•µg/</w:t>
      </w:r>
      <w:r w:rsidR="00542633" w:rsidRPr="005A4F9F">
        <w:rPr>
          <w:sz w:val="22"/>
          <w:szCs w:val="22"/>
          <w:lang w:val="sr-Latn-ME"/>
        </w:rPr>
        <w:t>ml</w:t>
      </w:r>
      <w:r w:rsidRPr="005A4F9F">
        <w:rPr>
          <w:sz w:val="22"/>
          <w:szCs w:val="22"/>
          <w:lang w:val="sr-Latn-ME"/>
        </w:rPr>
        <w:t>, 8,94 (8,5) µg/</w:t>
      </w:r>
      <w:r w:rsidR="00542633" w:rsidRPr="005A4F9F">
        <w:rPr>
          <w:sz w:val="22"/>
          <w:szCs w:val="22"/>
          <w:lang w:val="sr-Latn-ME"/>
        </w:rPr>
        <w:t>ml</w:t>
      </w:r>
      <w:r w:rsidRPr="005A4F9F">
        <w:rPr>
          <w:sz w:val="22"/>
          <w:szCs w:val="22"/>
          <w:lang w:val="sr-Latn-ME"/>
        </w:rPr>
        <w:t xml:space="preserve"> odnosno 296 (64,7) µg/</w:t>
      </w:r>
      <w:r w:rsidR="00542633" w:rsidRPr="005A4F9F">
        <w:rPr>
          <w:sz w:val="22"/>
          <w:szCs w:val="22"/>
          <w:lang w:val="sr-Latn-ME"/>
        </w:rPr>
        <w:t>ml</w:t>
      </w:r>
      <w:r w:rsidRPr="005A4F9F">
        <w:rPr>
          <w:sz w:val="22"/>
          <w:szCs w:val="22"/>
          <w:lang w:val="sr-Latn-ME"/>
        </w:rPr>
        <w:t>.</w:t>
      </w:r>
    </w:p>
    <w:p w14:paraId="6507E4FF" w14:textId="77777777" w:rsidR="00BF249E" w:rsidRPr="005A4F9F" w:rsidRDefault="00BF249E">
      <w:pPr>
        <w:widowControl w:val="0"/>
        <w:jc w:val="both"/>
        <w:rPr>
          <w:sz w:val="22"/>
          <w:szCs w:val="22"/>
          <w:lang w:val="sr-Latn-ME"/>
        </w:rPr>
      </w:pPr>
    </w:p>
    <w:p w14:paraId="7AE8EBE4" w14:textId="77777777" w:rsidR="00763105" w:rsidRPr="005A4F9F" w:rsidRDefault="00763105">
      <w:pPr>
        <w:widowControl w:val="0"/>
        <w:jc w:val="both"/>
        <w:rPr>
          <w:sz w:val="22"/>
          <w:szCs w:val="22"/>
          <w:lang w:val="sr-Latn-ME"/>
        </w:rPr>
      </w:pPr>
      <w:r w:rsidRPr="005A4F9F">
        <w:rPr>
          <w:iCs/>
          <w:sz w:val="22"/>
          <w:szCs w:val="22"/>
          <w:u w:val="single"/>
          <w:lang w:val="sr-Latn-ME"/>
        </w:rPr>
        <w:t>Distribucija</w:t>
      </w:r>
    </w:p>
    <w:p w14:paraId="54AE8130" w14:textId="77777777" w:rsidR="00763105"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Kod pacijenata sa RA centralni volumen distribucije iznosio je 3,72</w:t>
      </w:r>
      <w:r w:rsidR="00024F08" w:rsidRPr="005A4F9F">
        <w:rPr>
          <w:iCs/>
          <w:sz w:val="22"/>
          <w:szCs w:val="22"/>
          <w:lang w:val="sr-Latn-ME"/>
        </w:rPr>
        <w:t xml:space="preserve"> l, dok je</w:t>
      </w:r>
      <w:r w:rsidRPr="005A4F9F">
        <w:rPr>
          <w:iCs/>
          <w:sz w:val="22"/>
          <w:szCs w:val="22"/>
          <w:lang w:val="sr-Latn-ME"/>
        </w:rPr>
        <w:t xml:space="preserve"> periferni volumen distribucije iznosio je 3,35</w:t>
      </w:r>
      <w:r w:rsidR="00024F08" w:rsidRPr="005A4F9F">
        <w:rPr>
          <w:iCs/>
          <w:sz w:val="22"/>
          <w:szCs w:val="22"/>
          <w:lang w:val="sr-Latn-ME"/>
        </w:rPr>
        <w:t xml:space="preserve"> l</w:t>
      </w:r>
      <w:r w:rsidRPr="005A4F9F">
        <w:rPr>
          <w:iCs/>
          <w:sz w:val="22"/>
          <w:szCs w:val="22"/>
          <w:lang w:val="sr-Latn-ME"/>
        </w:rPr>
        <w:t xml:space="preserve"> što je dovodilo do volumena distribucije u stanju ravnoteže od 7,0</w:t>
      </w:r>
      <w:r w:rsidR="00024F08" w:rsidRPr="005A4F9F">
        <w:rPr>
          <w:iCs/>
          <w:sz w:val="22"/>
          <w:szCs w:val="22"/>
          <w:lang w:val="sr-Latn-ME"/>
        </w:rPr>
        <w:t>7 l</w:t>
      </w:r>
      <w:r w:rsidRPr="005A4F9F">
        <w:rPr>
          <w:iCs/>
          <w:sz w:val="22"/>
          <w:szCs w:val="22"/>
          <w:lang w:val="sr-Latn-ME"/>
        </w:rPr>
        <w:t xml:space="preserve">. </w:t>
      </w:r>
    </w:p>
    <w:p w14:paraId="459EF5EA" w14:textId="77777777" w:rsidR="00BF249E" w:rsidRPr="005A4F9F" w:rsidRDefault="00BF249E">
      <w:pPr>
        <w:widowControl w:val="0"/>
        <w:tabs>
          <w:tab w:val="left" w:pos="284"/>
          <w:tab w:val="center" w:pos="4320"/>
          <w:tab w:val="right" w:pos="8640"/>
        </w:tabs>
        <w:jc w:val="both"/>
        <w:rPr>
          <w:iCs/>
          <w:sz w:val="22"/>
          <w:szCs w:val="22"/>
          <w:lang w:val="sr-Latn-ME"/>
        </w:rPr>
      </w:pPr>
    </w:p>
    <w:p w14:paraId="7E4CE5ED" w14:textId="77777777" w:rsidR="00BF249E" w:rsidRPr="005A4F9F" w:rsidRDefault="00BF249E">
      <w:pPr>
        <w:widowControl w:val="0"/>
        <w:jc w:val="both"/>
        <w:rPr>
          <w:iCs/>
          <w:sz w:val="22"/>
          <w:szCs w:val="22"/>
          <w:lang w:val="sr-Latn-ME"/>
        </w:rPr>
      </w:pPr>
      <w:r w:rsidRPr="005A4F9F">
        <w:rPr>
          <w:iCs/>
          <w:sz w:val="22"/>
          <w:szCs w:val="22"/>
          <w:lang w:val="sr-Latn-ME"/>
        </w:rPr>
        <w:t>Kod odraslih pacijenata sa COVID</w:t>
      </w:r>
      <w:r w:rsidRPr="005A4F9F">
        <w:rPr>
          <w:iCs/>
          <w:sz w:val="22"/>
          <w:szCs w:val="22"/>
          <w:lang w:val="sr-Latn-ME"/>
        </w:rPr>
        <w:noBreakHyphen/>
        <w:t>19 infekcijom, srednji volumen distribucije iznosio je 4,52 l, dok je periferni volumen distribucije iznosio 4,23 l, što je rezultiralo volumenom distribucije od 8,75 l.</w:t>
      </w:r>
    </w:p>
    <w:p w14:paraId="671D9FB8" w14:textId="77777777" w:rsidR="00763105" w:rsidRPr="005A4F9F" w:rsidRDefault="00763105">
      <w:pPr>
        <w:widowControl w:val="0"/>
        <w:tabs>
          <w:tab w:val="left" w:pos="284"/>
          <w:tab w:val="center" w:pos="4320"/>
          <w:tab w:val="right" w:pos="8640"/>
        </w:tabs>
        <w:jc w:val="both"/>
        <w:rPr>
          <w:iCs/>
          <w:sz w:val="22"/>
          <w:szCs w:val="22"/>
          <w:lang w:val="sr-Latn-ME"/>
        </w:rPr>
      </w:pPr>
    </w:p>
    <w:p w14:paraId="768541F6" w14:textId="77777777" w:rsidR="00763105" w:rsidRPr="005A4F9F" w:rsidRDefault="00763105">
      <w:pPr>
        <w:widowControl w:val="0"/>
        <w:tabs>
          <w:tab w:val="left" w:pos="284"/>
          <w:tab w:val="center" w:pos="4320"/>
          <w:tab w:val="right" w:pos="8640"/>
        </w:tabs>
        <w:jc w:val="both"/>
        <w:rPr>
          <w:iCs/>
          <w:sz w:val="22"/>
          <w:szCs w:val="22"/>
          <w:u w:val="single"/>
          <w:lang w:val="sr-Latn-ME"/>
        </w:rPr>
      </w:pPr>
      <w:r w:rsidRPr="005A4F9F">
        <w:rPr>
          <w:iCs/>
          <w:sz w:val="22"/>
          <w:szCs w:val="22"/>
          <w:u w:val="single"/>
          <w:lang w:val="sr-Latn-ME"/>
        </w:rPr>
        <w:t>Eliminacija</w:t>
      </w:r>
    </w:p>
    <w:p w14:paraId="71407EB0" w14:textId="4D6FEC2A" w:rsidR="00BF249E"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 xml:space="preserve">Po intravenskoj primjeni, tocilizumab podliježe bi-faznoj eliminaciji iz cirkulacije. Ukupni klirens tocilizumaba zavisio je od koncentracije i predstavlja zbir linearnog i ne-linearnog klirensa. Linearni klirens </w:t>
      </w:r>
      <w:r w:rsidR="00BF249E" w:rsidRPr="005A4F9F">
        <w:rPr>
          <w:iCs/>
          <w:sz w:val="22"/>
          <w:szCs w:val="22"/>
          <w:lang w:val="sr-Latn-ME"/>
        </w:rPr>
        <w:t>kod pacijenata sa RA je</w:t>
      </w:r>
      <w:r w:rsidRPr="005A4F9F">
        <w:rPr>
          <w:iCs/>
          <w:sz w:val="22"/>
          <w:szCs w:val="22"/>
          <w:lang w:val="sr-Latn-ME"/>
        </w:rPr>
        <w:t xml:space="preserve"> iznosio je 9,5 </w:t>
      </w:r>
      <w:r w:rsidR="00542633" w:rsidRPr="005A4F9F">
        <w:rPr>
          <w:iCs/>
          <w:sz w:val="22"/>
          <w:szCs w:val="22"/>
          <w:lang w:val="sr-Latn-ME"/>
        </w:rPr>
        <w:t>ml</w:t>
      </w:r>
      <w:r w:rsidRPr="005A4F9F">
        <w:rPr>
          <w:iCs/>
          <w:sz w:val="22"/>
          <w:szCs w:val="22"/>
          <w:lang w:val="sr-Latn-ME"/>
        </w:rPr>
        <w:t>/</w:t>
      </w:r>
      <w:r w:rsidR="00E425C9" w:rsidRPr="005A4F9F">
        <w:rPr>
          <w:iCs/>
          <w:sz w:val="22"/>
          <w:szCs w:val="22"/>
          <w:lang w:val="sr-Latn-ME"/>
        </w:rPr>
        <w:t>sat</w:t>
      </w:r>
      <w:r w:rsidRPr="005A4F9F">
        <w:rPr>
          <w:iCs/>
          <w:sz w:val="22"/>
          <w:szCs w:val="22"/>
          <w:lang w:val="sr-Latn-ME"/>
        </w:rPr>
        <w:t xml:space="preserve">. </w:t>
      </w:r>
    </w:p>
    <w:p w14:paraId="52491DBF" w14:textId="2E047E32" w:rsidR="00BF249E" w:rsidRPr="005A4F9F" w:rsidRDefault="00BF249E">
      <w:pPr>
        <w:widowControl w:val="0"/>
        <w:tabs>
          <w:tab w:val="left" w:pos="284"/>
          <w:tab w:val="center" w:pos="4320"/>
          <w:tab w:val="right" w:pos="8640"/>
        </w:tabs>
        <w:jc w:val="both"/>
        <w:rPr>
          <w:iCs/>
          <w:sz w:val="22"/>
          <w:szCs w:val="22"/>
          <w:lang w:val="sr-Latn-ME"/>
        </w:rPr>
      </w:pPr>
      <w:r w:rsidRPr="005A4F9F">
        <w:rPr>
          <w:iCs/>
          <w:sz w:val="22"/>
          <w:szCs w:val="22"/>
          <w:lang w:val="sr-Latn-ME"/>
        </w:rPr>
        <w:t>Kod pacijenata sa COVID</w:t>
      </w:r>
      <w:r w:rsidRPr="005A4F9F">
        <w:rPr>
          <w:iCs/>
          <w:sz w:val="22"/>
          <w:szCs w:val="22"/>
          <w:lang w:val="sr-Latn-ME"/>
        </w:rPr>
        <w:noBreakHyphen/>
        <w:t xml:space="preserve">19 infekcijom linearni klirens iznosio je </w:t>
      </w:r>
      <w:r w:rsidRPr="005A4F9F">
        <w:rPr>
          <w:sz w:val="22"/>
          <w:szCs w:val="22"/>
          <w:lang w:val="sr-Latn-ME"/>
        </w:rPr>
        <w:t>17,6 </w:t>
      </w:r>
      <w:r w:rsidR="00542633" w:rsidRPr="005A4F9F">
        <w:rPr>
          <w:sz w:val="22"/>
          <w:szCs w:val="22"/>
          <w:lang w:val="sr-Latn-ME"/>
        </w:rPr>
        <w:t>ml</w:t>
      </w:r>
      <w:r w:rsidRPr="005A4F9F">
        <w:rPr>
          <w:sz w:val="22"/>
          <w:szCs w:val="22"/>
          <w:lang w:val="sr-Latn-ME"/>
        </w:rPr>
        <w:t>/sat kod pacijenata koji su na početku ispitivanja bili u kategoriji 3 na ordinarnoj ljestvici (OS 3, pacijenti  kojima je bila potrebna supstituciona terapija kiseonikom), 22,5 </w:t>
      </w:r>
      <w:r w:rsidR="00542633" w:rsidRPr="005A4F9F">
        <w:rPr>
          <w:sz w:val="22"/>
          <w:szCs w:val="22"/>
          <w:lang w:val="sr-Latn-ME"/>
        </w:rPr>
        <w:t>ml</w:t>
      </w:r>
      <w:r w:rsidRPr="005A4F9F">
        <w:rPr>
          <w:sz w:val="22"/>
          <w:szCs w:val="22"/>
          <w:lang w:val="sr-Latn-ME"/>
        </w:rPr>
        <w:t>/sat kod pacijenata koji su na početku ispitivanja bili u kategoriji OS 4 (pacijenti kojima je bila potrebna terapija visokoprotočnim kiseonikom ili neinvazivna ventilacija), 29 </w:t>
      </w:r>
      <w:r w:rsidR="00542633" w:rsidRPr="005A4F9F">
        <w:rPr>
          <w:sz w:val="22"/>
          <w:szCs w:val="22"/>
          <w:lang w:val="sr-Latn-ME"/>
        </w:rPr>
        <w:t>ml</w:t>
      </w:r>
      <w:r w:rsidRPr="005A4F9F">
        <w:rPr>
          <w:sz w:val="22"/>
          <w:szCs w:val="22"/>
          <w:lang w:val="sr-Latn-ME"/>
        </w:rPr>
        <w:t>/sat kod pacijenata koji su na početku ispitivanja bili u kategoriji OS 5 (pacijenti kojima je bila potrebna mehanička ventilacija) i 35,4 </w:t>
      </w:r>
      <w:r w:rsidR="00542633" w:rsidRPr="005A4F9F">
        <w:rPr>
          <w:sz w:val="22"/>
          <w:szCs w:val="22"/>
          <w:lang w:val="sr-Latn-ME"/>
        </w:rPr>
        <w:t>ml</w:t>
      </w:r>
      <w:r w:rsidRPr="005A4F9F">
        <w:rPr>
          <w:sz w:val="22"/>
          <w:szCs w:val="22"/>
          <w:lang w:val="sr-Latn-ME"/>
        </w:rPr>
        <w:t>/sat kod pacijenata koji su na početku ispitivanja bili u kategoriji OS 6 (pacijenti kojima je bila potrebna vant</w:t>
      </w:r>
      <w:r w:rsidR="00E425C9" w:rsidRPr="005A4F9F">
        <w:rPr>
          <w:sz w:val="22"/>
          <w:szCs w:val="22"/>
          <w:lang w:val="sr-Latn-ME"/>
        </w:rPr>
        <w:t>j</w:t>
      </w:r>
      <w:r w:rsidRPr="005A4F9F">
        <w:rPr>
          <w:sz w:val="22"/>
          <w:szCs w:val="22"/>
          <w:lang w:val="sr-Latn-ME"/>
        </w:rPr>
        <w:t>elesna membranska oksigenacija (ECMO) ili mehanička ventilacija i dodatna organska potpora)</w:t>
      </w:r>
      <w:r w:rsidRPr="005A4F9F">
        <w:rPr>
          <w:iCs/>
          <w:sz w:val="22"/>
          <w:szCs w:val="22"/>
          <w:lang w:val="sr-Latn-ME"/>
        </w:rPr>
        <w:t>.</w:t>
      </w:r>
    </w:p>
    <w:p w14:paraId="5A07134F" w14:textId="77777777" w:rsidR="00763105"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 xml:space="preserve">Nelinearni klirens koji zavisi od koncentracije igra važnu ulogu pri niskim koncentracijama tocilizumaba. Kada je nelinearni put klirensa zasićen, pri većim koncentracijama tocilizumaba, dalji klirens je uglavnom određen linearnim klirensom.  </w:t>
      </w:r>
    </w:p>
    <w:p w14:paraId="5C7C9F41" w14:textId="427ABE61" w:rsidR="00763105" w:rsidRPr="005A4F9F" w:rsidRDefault="00BF249E">
      <w:pPr>
        <w:widowControl w:val="0"/>
        <w:tabs>
          <w:tab w:val="left" w:pos="284"/>
          <w:tab w:val="center" w:pos="4320"/>
          <w:tab w:val="right" w:pos="8640"/>
        </w:tabs>
        <w:jc w:val="both"/>
        <w:rPr>
          <w:iCs/>
          <w:sz w:val="22"/>
          <w:szCs w:val="22"/>
          <w:lang w:val="sr-Latn-ME"/>
        </w:rPr>
      </w:pPr>
      <w:r w:rsidRPr="005A4F9F">
        <w:rPr>
          <w:iCs/>
          <w:sz w:val="22"/>
          <w:szCs w:val="22"/>
          <w:lang w:val="sr-Latn-ME"/>
        </w:rPr>
        <w:t>Kod pacijenata sa RA, p</w:t>
      </w:r>
      <w:r w:rsidR="00763105" w:rsidRPr="005A4F9F">
        <w:rPr>
          <w:iCs/>
          <w:sz w:val="22"/>
          <w:szCs w:val="22"/>
          <w:lang w:val="sr-Latn-ME"/>
        </w:rPr>
        <w:t>oluvrijeme eliminacije ( t</w:t>
      </w:r>
      <w:r w:rsidR="00763105" w:rsidRPr="005A4F9F">
        <w:rPr>
          <w:iCs/>
          <w:sz w:val="22"/>
          <w:szCs w:val="22"/>
          <w:vertAlign w:val="subscript"/>
          <w:lang w:val="sr-Latn-ME"/>
        </w:rPr>
        <w:t>1/2</w:t>
      </w:r>
      <w:r w:rsidR="00763105" w:rsidRPr="005A4F9F">
        <w:rPr>
          <w:iCs/>
          <w:sz w:val="22"/>
          <w:szCs w:val="22"/>
          <w:lang w:val="sr-Latn-ME"/>
        </w:rPr>
        <w:t xml:space="preserve"> ) tocilizumaba bilo je zavisno od koncentracije. U stanju ravnoteže po </w:t>
      </w:r>
      <w:r w:rsidR="00E425C9" w:rsidRPr="005A4F9F">
        <w:rPr>
          <w:iCs/>
          <w:sz w:val="22"/>
          <w:szCs w:val="22"/>
          <w:lang w:val="sr-Latn-ME"/>
        </w:rPr>
        <w:t xml:space="preserve">primjeni </w:t>
      </w:r>
      <w:r w:rsidR="00763105" w:rsidRPr="005A4F9F">
        <w:rPr>
          <w:iCs/>
          <w:sz w:val="22"/>
          <w:szCs w:val="22"/>
          <w:lang w:val="sr-Latn-ME"/>
        </w:rPr>
        <w:t>doze od 8 mg/kg na svake 4 ned</w:t>
      </w:r>
      <w:r w:rsidR="00A563B1" w:rsidRPr="005A4F9F">
        <w:rPr>
          <w:iCs/>
          <w:sz w:val="22"/>
          <w:szCs w:val="22"/>
          <w:lang w:val="sr-Latn-ME"/>
        </w:rPr>
        <w:t>j</w:t>
      </w:r>
      <w:r w:rsidR="00763105" w:rsidRPr="005A4F9F">
        <w:rPr>
          <w:iCs/>
          <w:sz w:val="22"/>
          <w:szCs w:val="22"/>
          <w:lang w:val="sr-Latn-ME"/>
        </w:rPr>
        <w:t>elje, efektivno t</w:t>
      </w:r>
      <w:r w:rsidR="00763105" w:rsidRPr="005A4F9F">
        <w:rPr>
          <w:iCs/>
          <w:sz w:val="22"/>
          <w:szCs w:val="22"/>
          <w:vertAlign w:val="subscript"/>
          <w:lang w:val="sr-Latn-ME"/>
        </w:rPr>
        <w:t>1/2</w:t>
      </w:r>
      <w:r w:rsidR="00763105" w:rsidRPr="005A4F9F">
        <w:rPr>
          <w:iCs/>
          <w:sz w:val="22"/>
          <w:szCs w:val="22"/>
          <w:lang w:val="sr-Latn-ME"/>
        </w:rPr>
        <w:t xml:space="preserve"> opadalo je sa smanjenjem koncentracija u intervalu doziranja od 18 dana do 6 dana.</w:t>
      </w:r>
    </w:p>
    <w:p w14:paraId="33F66D7C" w14:textId="77777777" w:rsidR="00BF249E" w:rsidRPr="005A4F9F" w:rsidRDefault="00BF249E">
      <w:pPr>
        <w:widowControl w:val="0"/>
        <w:tabs>
          <w:tab w:val="left" w:pos="284"/>
          <w:tab w:val="center" w:pos="4320"/>
          <w:tab w:val="right" w:pos="8640"/>
        </w:tabs>
        <w:jc w:val="both"/>
        <w:rPr>
          <w:iCs/>
          <w:sz w:val="22"/>
          <w:szCs w:val="22"/>
          <w:lang w:val="sr-Latn-ME"/>
        </w:rPr>
      </w:pPr>
    </w:p>
    <w:p w14:paraId="0FD304F8" w14:textId="433650DB" w:rsidR="00BF249E" w:rsidRPr="005A4F9F" w:rsidRDefault="00BF249E">
      <w:pPr>
        <w:widowControl w:val="0"/>
        <w:tabs>
          <w:tab w:val="left" w:pos="284"/>
          <w:tab w:val="center" w:pos="4320"/>
          <w:tab w:val="right" w:pos="8640"/>
        </w:tabs>
        <w:jc w:val="both"/>
        <w:rPr>
          <w:iCs/>
          <w:sz w:val="22"/>
          <w:szCs w:val="22"/>
          <w:lang w:val="sr-Latn-ME"/>
        </w:rPr>
      </w:pPr>
      <w:r w:rsidRPr="005A4F9F">
        <w:rPr>
          <w:iCs/>
          <w:sz w:val="22"/>
          <w:szCs w:val="22"/>
          <w:lang w:val="sr-Latn-ME"/>
        </w:rPr>
        <w:t xml:space="preserve">Nakon jedne </w:t>
      </w:r>
      <w:r w:rsidR="008E6663" w:rsidRPr="005A4F9F">
        <w:rPr>
          <w:iCs/>
          <w:sz w:val="22"/>
          <w:szCs w:val="22"/>
          <w:lang w:val="sr-Latn-ME"/>
        </w:rPr>
        <w:t>intravenske</w:t>
      </w:r>
      <w:r w:rsidRPr="005A4F9F">
        <w:rPr>
          <w:iCs/>
          <w:sz w:val="22"/>
          <w:szCs w:val="22"/>
          <w:lang w:val="sr-Latn-ME"/>
        </w:rPr>
        <w:t xml:space="preserve"> infuzije tocilizumaba u dozi od 8 mg/kg kod pacijenata sa COVID</w:t>
      </w:r>
      <w:r w:rsidR="00E425C9" w:rsidRPr="005A4F9F">
        <w:rPr>
          <w:iCs/>
          <w:sz w:val="22"/>
          <w:szCs w:val="22"/>
          <w:lang w:val="sr-Latn-ME"/>
        </w:rPr>
        <w:t>-</w:t>
      </w:r>
      <w:r w:rsidRPr="005A4F9F">
        <w:rPr>
          <w:iCs/>
          <w:sz w:val="22"/>
          <w:szCs w:val="22"/>
          <w:lang w:val="sr-Latn-ME"/>
        </w:rPr>
        <w:t>19 infekcijom, serumske koncentracije su bile ispod limita kvantifikacije nakon pros</w:t>
      </w:r>
      <w:r w:rsidR="00E425C9" w:rsidRPr="005A4F9F">
        <w:rPr>
          <w:iCs/>
          <w:sz w:val="22"/>
          <w:szCs w:val="22"/>
          <w:lang w:val="sr-Latn-ME"/>
        </w:rPr>
        <w:t>j</w:t>
      </w:r>
      <w:r w:rsidRPr="005A4F9F">
        <w:rPr>
          <w:iCs/>
          <w:sz w:val="22"/>
          <w:szCs w:val="22"/>
          <w:lang w:val="sr-Latn-ME"/>
        </w:rPr>
        <w:t>ečno 35 dana.</w:t>
      </w:r>
    </w:p>
    <w:p w14:paraId="2D72462F" w14:textId="77777777" w:rsidR="00763105" w:rsidRPr="005A4F9F" w:rsidRDefault="00763105">
      <w:pPr>
        <w:widowControl w:val="0"/>
        <w:tabs>
          <w:tab w:val="left" w:pos="284"/>
          <w:tab w:val="center" w:pos="4320"/>
          <w:tab w:val="right" w:pos="8640"/>
        </w:tabs>
        <w:jc w:val="both"/>
        <w:rPr>
          <w:iCs/>
          <w:sz w:val="22"/>
          <w:szCs w:val="22"/>
          <w:lang w:val="sr-Latn-ME"/>
        </w:rPr>
      </w:pPr>
    </w:p>
    <w:p w14:paraId="13FB335F" w14:textId="77777777" w:rsidR="00763105" w:rsidRPr="005A4F9F" w:rsidRDefault="00763105">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Linearnost</w:t>
      </w:r>
    </w:p>
    <w:p w14:paraId="26EE8321" w14:textId="22AE3FAF" w:rsidR="00763105"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Farmakokinetički parametri tocilizumaba ni</w:t>
      </w:r>
      <w:r w:rsidR="00A563B1" w:rsidRPr="005A4F9F">
        <w:rPr>
          <w:iCs/>
          <w:sz w:val="22"/>
          <w:szCs w:val="22"/>
          <w:lang w:val="sr-Latn-ME"/>
        </w:rPr>
        <w:t>je</w:t>
      </w:r>
      <w:r w:rsidRPr="005A4F9F">
        <w:rPr>
          <w:iCs/>
          <w:sz w:val="22"/>
          <w:szCs w:val="22"/>
          <w:lang w:val="sr-Latn-ME"/>
        </w:rPr>
        <w:t>su se mijenjali s vremenom. Veće od dozno proporcionalnog povećanja AUC i C</w:t>
      </w:r>
      <w:r w:rsidRPr="005A4F9F">
        <w:rPr>
          <w:iCs/>
          <w:sz w:val="22"/>
          <w:szCs w:val="22"/>
          <w:vertAlign w:val="subscript"/>
          <w:lang w:val="sr-Latn-ME"/>
        </w:rPr>
        <w:t>min</w:t>
      </w:r>
      <w:r w:rsidRPr="005A4F9F">
        <w:rPr>
          <w:iCs/>
          <w:sz w:val="22"/>
          <w:szCs w:val="22"/>
          <w:lang w:val="sr-Latn-ME"/>
        </w:rPr>
        <w:t xml:space="preserve"> </w:t>
      </w:r>
      <w:r w:rsidRPr="005A4F9F">
        <w:rPr>
          <w:sz w:val="22"/>
          <w:szCs w:val="22"/>
          <w:lang w:val="sr-Latn-ME"/>
        </w:rPr>
        <w:t>zabilježen</w:t>
      </w:r>
      <w:r w:rsidRPr="005A4F9F">
        <w:rPr>
          <w:iCs/>
          <w:sz w:val="22"/>
          <w:szCs w:val="22"/>
          <w:lang w:val="sr-Latn-ME"/>
        </w:rPr>
        <w:t>o je za doze od 4 i 8 mg/kg na svake 4 ned</w:t>
      </w:r>
      <w:r w:rsidR="00932872" w:rsidRPr="005A4F9F">
        <w:rPr>
          <w:iCs/>
          <w:sz w:val="22"/>
          <w:szCs w:val="22"/>
          <w:lang w:val="sr-Latn-ME"/>
        </w:rPr>
        <w:t>j</w:t>
      </w:r>
      <w:r w:rsidRPr="005A4F9F">
        <w:rPr>
          <w:iCs/>
          <w:sz w:val="22"/>
          <w:szCs w:val="22"/>
          <w:lang w:val="sr-Latn-ME"/>
        </w:rPr>
        <w:t>elje. C</w:t>
      </w:r>
      <w:r w:rsidRPr="005A4F9F">
        <w:rPr>
          <w:iCs/>
          <w:sz w:val="22"/>
          <w:szCs w:val="22"/>
          <w:vertAlign w:val="subscript"/>
          <w:lang w:val="sr-Latn-ME"/>
        </w:rPr>
        <w:t>max</w:t>
      </w:r>
      <w:r w:rsidRPr="005A4F9F">
        <w:rPr>
          <w:iCs/>
          <w:sz w:val="22"/>
          <w:szCs w:val="22"/>
          <w:lang w:val="sr-Latn-ME"/>
        </w:rPr>
        <w:t xml:space="preserve"> je povećavana proporcionalno dozi. U stanju ravnoteže, predviđene vrijednosti AUC i C</w:t>
      </w:r>
      <w:r w:rsidRPr="005A4F9F">
        <w:rPr>
          <w:iCs/>
          <w:sz w:val="22"/>
          <w:szCs w:val="22"/>
          <w:vertAlign w:val="subscript"/>
          <w:lang w:val="sr-Latn-ME"/>
        </w:rPr>
        <w:t>min</w:t>
      </w:r>
      <w:r w:rsidRPr="005A4F9F">
        <w:rPr>
          <w:iCs/>
          <w:sz w:val="22"/>
          <w:szCs w:val="22"/>
          <w:lang w:val="sr-Latn-ME"/>
        </w:rPr>
        <w:t xml:space="preserve"> bile su 3,2 odnosno 30 puta veće za dozu od 8 mg/kg u poređenju sa dozom od 4 mg/kg.</w:t>
      </w:r>
    </w:p>
    <w:p w14:paraId="272944A2" w14:textId="77777777" w:rsidR="00763105" w:rsidRPr="005A4F9F" w:rsidRDefault="00763105">
      <w:pPr>
        <w:widowControl w:val="0"/>
        <w:tabs>
          <w:tab w:val="left" w:pos="284"/>
          <w:tab w:val="center" w:pos="4320"/>
          <w:tab w:val="right" w:pos="8640"/>
        </w:tabs>
        <w:jc w:val="both"/>
        <w:rPr>
          <w:iCs/>
          <w:sz w:val="22"/>
          <w:szCs w:val="22"/>
          <w:lang w:val="sr-Latn-ME"/>
        </w:rPr>
      </w:pPr>
    </w:p>
    <w:p w14:paraId="753AC4CE" w14:textId="77777777" w:rsidR="00763105" w:rsidRPr="005A4F9F" w:rsidRDefault="00763105">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Posebne populacije</w:t>
      </w:r>
    </w:p>
    <w:p w14:paraId="6A9CF763" w14:textId="77777777" w:rsidR="00763105" w:rsidRPr="005A4F9F" w:rsidRDefault="00763105">
      <w:pPr>
        <w:widowControl w:val="0"/>
        <w:tabs>
          <w:tab w:val="left" w:pos="284"/>
          <w:tab w:val="center" w:pos="4320"/>
          <w:tab w:val="right" w:pos="8640"/>
        </w:tabs>
        <w:jc w:val="both"/>
        <w:rPr>
          <w:iCs/>
          <w:sz w:val="22"/>
          <w:szCs w:val="22"/>
          <w:lang w:val="sr-Latn-ME"/>
        </w:rPr>
      </w:pPr>
      <w:r w:rsidRPr="005A4F9F">
        <w:rPr>
          <w:bCs/>
          <w:i/>
          <w:iCs/>
          <w:sz w:val="22"/>
          <w:szCs w:val="22"/>
          <w:lang w:val="sr-Latn-ME"/>
        </w:rPr>
        <w:t>Bubrežna insuficijencija</w:t>
      </w:r>
      <w:r w:rsidRPr="005A4F9F">
        <w:rPr>
          <w:iCs/>
          <w:sz w:val="22"/>
          <w:szCs w:val="22"/>
          <w:lang w:val="sr-Latn-ME"/>
        </w:rPr>
        <w:t xml:space="preserve"> </w:t>
      </w:r>
    </w:p>
    <w:p w14:paraId="22CB882E" w14:textId="5F2FD841" w:rsidR="00763105"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Nije sprovedena nijedna formalna studija da se ispita dejstvo bubrežne insuficijencije na farmakokinetiku tocilizumaba. Većina pacijenata u analizi populacione farmakokinetike imala je normalnu  ili blago oslabljenu bubrežnu funkciju. Blaga bubrežna insuficijencija (klirens kreatinina na osnovu parametra Cockcroft-Gault &lt; 80 </w:t>
      </w:r>
      <w:r w:rsidR="00542633" w:rsidRPr="005A4F9F">
        <w:rPr>
          <w:iCs/>
          <w:sz w:val="22"/>
          <w:szCs w:val="22"/>
          <w:lang w:val="sr-Latn-ME"/>
        </w:rPr>
        <w:t>ml</w:t>
      </w:r>
      <w:r w:rsidRPr="005A4F9F">
        <w:rPr>
          <w:iCs/>
          <w:sz w:val="22"/>
          <w:szCs w:val="22"/>
          <w:lang w:val="sr-Latn-ME"/>
        </w:rPr>
        <w:t>/min i ≥ 50 </w:t>
      </w:r>
      <w:r w:rsidR="00542633" w:rsidRPr="005A4F9F">
        <w:rPr>
          <w:iCs/>
          <w:sz w:val="22"/>
          <w:szCs w:val="22"/>
          <w:lang w:val="sr-Latn-ME"/>
        </w:rPr>
        <w:t>ml</w:t>
      </w:r>
      <w:r w:rsidRPr="005A4F9F">
        <w:rPr>
          <w:iCs/>
          <w:sz w:val="22"/>
          <w:szCs w:val="22"/>
          <w:lang w:val="sr-Latn-ME"/>
        </w:rPr>
        <w:t>/min) nije uticala na farmakokinetiku tocilizumaba.</w:t>
      </w:r>
    </w:p>
    <w:p w14:paraId="7533FFCF" w14:textId="77777777" w:rsidR="00763105" w:rsidRPr="005A4F9F" w:rsidRDefault="00763105">
      <w:pPr>
        <w:widowControl w:val="0"/>
        <w:tabs>
          <w:tab w:val="left" w:pos="284"/>
          <w:tab w:val="center" w:pos="4320"/>
          <w:tab w:val="right" w:pos="8640"/>
        </w:tabs>
        <w:jc w:val="both"/>
        <w:rPr>
          <w:sz w:val="22"/>
          <w:szCs w:val="22"/>
          <w:lang w:val="sr-Latn-ME"/>
        </w:rPr>
      </w:pPr>
    </w:p>
    <w:p w14:paraId="66E9A3C1" w14:textId="77777777" w:rsidR="00763105" w:rsidRPr="005A4F9F" w:rsidRDefault="00763105">
      <w:pPr>
        <w:widowControl w:val="0"/>
        <w:tabs>
          <w:tab w:val="left" w:pos="284"/>
          <w:tab w:val="center" w:pos="4320"/>
          <w:tab w:val="right" w:pos="8640"/>
        </w:tabs>
        <w:jc w:val="both"/>
        <w:rPr>
          <w:bCs/>
          <w:i/>
          <w:iCs/>
          <w:sz w:val="22"/>
          <w:szCs w:val="22"/>
          <w:lang w:val="sr-Latn-ME"/>
        </w:rPr>
      </w:pPr>
      <w:r w:rsidRPr="005A4F9F">
        <w:rPr>
          <w:bCs/>
          <w:i/>
          <w:iCs/>
          <w:sz w:val="22"/>
          <w:szCs w:val="22"/>
          <w:lang w:val="sr-Latn-ME"/>
        </w:rPr>
        <w:t>Disfunkcija jetre</w:t>
      </w:r>
    </w:p>
    <w:p w14:paraId="2C3C112F" w14:textId="77777777" w:rsidR="00763105" w:rsidRPr="005A4F9F" w:rsidRDefault="00763105">
      <w:pPr>
        <w:widowControl w:val="0"/>
        <w:tabs>
          <w:tab w:val="left" w:pos="284"/>
          <w:tab w:val="center" w:pos="4320"/>
          <w:tab w:val="right" w:pos="8640"/>
        </w:tabs>
        <w:jc w:val="both"/>
        <w:rPr>
          <w:bCs/>
          <w:i/>
          <w:iCs/>
          <w:sz w:val="22"/>
          <w:szCs w:val="22"/>
          <w:lang w:val="sr-Latn-ME"/>
        </w:rPr>
      </w:pPr>
      <w:r w:rsidRPr="005A4F9F">
        <w:rPr>
          <w:iCs/>
          <w:sz w:val="22"/>
          <w:szCs w:val="22"/>
          <w:lang w:val="sr-Latn-ME"/>
        </w:rPr>
        <w:t xml:space="preserve">Nije sprovedena nijedna formalna studija da se ispita dejstvo hepatičke disfunkcije  na farmakokinetiku tocilizumaba. </w:t>
      </w:r>
    </w:p>
    <w:p w14:paraId="176C0B66" w14:textId="77777777" w:rsidR="00763105" w:rsidRPr="005A4F9F" w:rsidRDefault="00763105">
      <w:pPr>
        <w:widowControl w:val="0"/>
        <w:tabs>
          <w:tab w:val="left" w:pos="284"/>
          <w:tab w:val="center" w:pos="4320"/>
          <w:tab w:val="right" w:pos="8640"/>
        </w:tabs>
        <w:jc w:val="both"/>
        <w:rPr>
          <w:bCs/>
          <w:i/>
          <w:iCs/>
          <w:sz w:val="22"/>
          <w:szCs w:val="22"/>
          <w:lang w:val="sr-Latn-ME"/>
        </w:rPr>
      </w:pPr>
    </w:p>
    <w:p w14:paraId="26FDFAEF" w14:textId="77777777" w:rsidR="00763105" w:rsidRPr="005A4F9F" w:rsidRDefault="00763105">
      <w:pPr>
        <w:widowControl w:val="0"/>
        <w:tabs>
          <w:tab w:val="left" w:pos="284"/>
          <w:tab w:val="center" w:pos="4320"/>
          <w:tab w:val="right" w:pos="8640"/>
        </w:tabs>
        <w:jc w:val="both"/>
        <w:rPr>
          <w:iCs/>
          <w:sz w:val="22"/>
          <w:szCs w:val="22"/>
          <w:lang w:val="sr-Latn-ME"/>
        </w:rPr>
      </w:pPr>
      <w:r w:rsidRPr="005A4F9F">
        <w:rPr>
          <w:i/>
          <w:iCs/>
          <w:sz w:val="22"/>
          <w:szCs w:val="22"/>
          <w:lang w:val="sr-Latn-ME"/>
        </w:rPr>
        <w:t>Starost, pol, etničko porijeklo</w:t>
      </w:r>
    </w:p>
    <w:p w14:paraId="7890631C" w14:textId="77777777" w:rsidR="00763105" w:rsidRPr="005A4F9F" w:rsidRDefault="00763105">
      <w:pPr>
        <w:widowControl w:val="0"/>
        <w:tabs>
          <w:tab w:val="left" w:pos="284"/>
          <w:tab w:val="center" w:pos="4320"/>
          <w:tab w:val="right" w:pos="8640"/>
        </w:tabs>
        <w:jc w:val="both"/>
        <w:rPr>
          <w:iCs/>
          <w:sz w:val="22"/>
          <w:szCs w:val="22"/>
          <w:lang w:val="sr-Latn-ME"/>
        </w:rPr>
      </w:pPr>
      <w:r w:rsidRPr="005A4F9F">
        <w:rPr>
          <w:iCs/>
          <w:sz w:val="22"/>
          <w:szCs w:val="22"/>
          <w:lang w:val="sr-Latn-ME"/>
        </w:rPr>
        <w:t>Analize populacione farmakokinetike kod odraslih  pacijenata sa RA</w:t>
      </w:r>
      <w:r w:rsidR="00BF249E" w:rsidRPr="005A4F9F">
        <w:rPr>
          <w:iCs/>
          <w:sz w:val="22"/>
          <w:szCs w:val="22"/>
          <w:lang w:val="sr-Latn-ME"/>
        </w:rPr>
        <w:t xml:space="preserve"> i COVID-19 infekcijom</w:t>
      </w:r>
      <w:r w:rsidRPr="005A4F9F">
        <w:rPr>
          <w:iCs/>
          <w:sz w:val="22"/>
          <w:szCs w:val="22"/>
          <w:lang w:val="sr-Latn-ME"/>
        </w:rPr>
        <w:t xml:space="preserve">, pokazale su da </w:t>
      </w:r>
      <w:r w:rsidRPr="005A4F9F">
        <w:rPr>
          <w:sz w:val="22"/>
          <w:szCs w:val="22"/>
          <w:lang w:val="sr-Latn-ME"/>
        </w:rPr>
        <w:t xml:space="preserve">starost, pol, etničko poreklo ne utiču na farmakokinetiku </w:t>
      </w:r>
      <w:r w:rsidRPr="005A4F9F">
        <w:rPr>
          <w:iCs/>
          <w:sz w:val="22"/>
          <w:szCs w:val="22"/>
          <w:lang w:val="sr-Latn-ME"/>
        </w:rPr>
        <w:t xml:space="preserve">tocilizumaba. </w:t>
      </w:r>
    </w:p>
    <w:p w14:paraId="56372387" w14:textId="77777777" w:rsidR="00BF249E" w:rsidRPr="005A4F9F" w:rsidRDefault="00BF249E">
      <w:pPr>
        <w:widowControl w:val="0"/>
        <w:tabs>
          <w:tab w:val="left" w:pos="284"/>
          <w:tab w:val="center" w:pos="4320"/>
          <w:tab w:val="right" w:pos="8640"/>
        </w:tabs>
        <w:jc w:val="both"/>
        <w:rPr>
          <w:iCs/>
          <w:sz w:val="22"/>
          <w:szCs w:val="22"/>
          <w:lang w:val="sr-Latn-ME"/>
        </w:rPr>
      </w:pPr>
    </w:p>
    <w:p w14:paraId="1C5AE3B6" w14:textId="77777777" w:rsidR="00BF249E" w:rsidRPr="005A4F9F" w:rsidRDefault="00BF249E">
      <w:pPr>
        <w:widowControl w:val="0"/>
        <w:tabs>
          <w:tab w:val="left" w:pos="284"/>
          <w:tab w:val="center" w:pos="4320"/>
          <w:tab w:val="right" w:pos="8640"/>
        </w:tabs>
        <w:jc w:val="both"/>
        <w:rPr>
          <w:iCs/>
          <w:sz w:val="22"/>
          <w:szCs w:val="22"/>
          <w:lang w:val="sr-Latn-ME"/>
        </w:rPr>
      </w:pPr>
      <w:r w:rsidRPr="005A4F9F">
        <w:rPr>
          <w:iCs/>
          <w:sz w:val="22"/>
          <w:szCs w:val="22"/>
          <w:lang w:val="sr-Latn-ME"/>
        </w:rPr>
        <w:t>Rezultati populacione farmakokinetičke analize kod pacijenata sa  COVID</w:t>
      </w:r>
      <w:r w:rsidR="00932872" w:rsidRPr="005A4F9F">
        <w:rPr>
          <w:iCs/>
          <w:sz w:val="22"/>
          <w:szCs w:val="22"/>
          <w:lang w:val="sr-Latn-ME"/>
        </w:rPr>
        <w:t>-</w:t>
      </w:r>
      <w:r w:rsidRPr="005A4F9F">
        <w:rPr>
          <w:iCs/>
          <w:sz w:val="22"/>
          <w:szCs w:val="22"/>
          <w:lang w:val="sr-Latn-ME"/>
        </w:rPr>
        <w:t>19 infekcijom potvrdili su da su i tjelesna težina i težina bolesti kovarijate koje imaju znatan uticaj na linearni klirens tocilizumaba.</w:t>
      </w:r>
    </w:p>
    <w:p w14:paraId="65DE85A5" w14:textId="77777777" w:rsidR="00763105" w:rsidRPr="005A4F9F" w:rsidRDefault="00763105">
      <w:pPr>
        <w:widowControl w:val="0"/>
        <w:tabs>
          <w:tab w:val="left" w:pos="284"/>
          <w:tab w:val="center" w:pos="4320"/>
          <w:tab w:val="right" w:pos="8640"/>
        </w:tabs>
        <w:jc w:val="both"/>
        <w:rPr>
          <w:iCs/>
          <w:sz w:val="22"/>
          <w:szCs w:val="22"/>
          <w:lang w:val="sr-Latn-ME"/>
        </w:rPr>
      </w:pPr>
    </w:p>
    <w:p w14:paraId="24BA048D" w14:textId="77777777" w:rsidR="00763105" w:rsidRPr="005A4F9F" w:rsidRDefault="00932872">
      <w:pPr>
        <w:widowControl w:val="0"/>
        <w:jc w:val="both"/>
        <w:rPr>
          <w:spacing w:val="-1"/>
          <w:sz w:val="22"/>
          <w:szCs w:val="22"/>
          <w:u w:val="single"/>
          <w:lang w:val="sr-Latn-ME"/>
        </w:rPr>
      </w:pPr>
      <w:r w:rsidRPr="005A4F9F">
        <w:rPr>
          <w:spacing w:val="-1"/>
          <w:sz w:val="22"/>
          <w:szCs w:val="22"/>
          <w:u w:val="single"/>
          <w:lang w:val="sr-Latn-ME"/>
        </w:rPr>
        <w:t>P</w:t>
      </w:r>
      <w:r w:rsidR="00763105" w:rsidRPr="005A4F9F">
        <w:rPr>
          <w:spacing w:val="-1"/>
          <w:sz w:val="22"/>
          <w:szCs w:val="22"/>
          <w:u w:val="single"/>
          <w:lang w:val="sr-Latn-ME"/>
        </w:rPr>
        <w:t>acijenti</w:t>
      </w:r>
      <w:r w:rsidRPr="005A4F9F">
        <w:rPr>
          <w:spacing w:val="-1"/>
          <w:sz w:val="22"/>
          <w:szCs w:val="22"/>
          <w:u w:val="single"/>
          <w:lang w:val="sr-Latn-ME"/>
        </w:rPr>
        <w:t xml:space="preserve"> sa </w:t>
      </w:r>
      <w:r w:rsidRPr="005A4F9F">
        <w:rPr>
          <w:sz w:val="22"/>
          <w:szCs w:val="22"/>
          <w:u w:val="single"/>
          <w:lang w:val="sr-Latn-ME"/>
        </w:rPr>
        <w:t>sJIA</w:t>
      </w:r>
    </w:p>
    <w:p w14:paraId="0F4D677F" w14:textId="250F7821" w:rsidR="00763105" w:rsidRPr="005A4F9F" w:rsidRDefault="00763105">
      <w:pPr>
        <w:widowControl w:val="0"/>
        <w:jc w:val="both"/>
        <w:rPr>
          <w:spacing w:val="-1"/>
          <w:sz w:val="22"/>
          <w:szCs w:val="22"/>
          <w:lang w:val="sr-Latn-ME"/>
        </w:rPr>
      </w:pPr>
      <w:r w:rsidRPr="005A4F9F">
        <w:rPr>
          <w:spacing w:val="-1"/>
          <w:sz w:val="22"/>
          <w:szCs w:val="22"/>
          <w:lang w:val="sr-Latn-ME"/>
        </w:rPr>
        <w:lastRenderedPageBreak/>
        <w:t>Farmakokinetika</w:t>
      </w:r>
      <w:r w:rsidRPr="005A4F9F">
        <w:rPr>
          <w:spacing w:val="19"/>
          <w:sz w:val="22"/>
          <w:szCs w:val="22"/>
          <w:lang w:val="sr-Latn-ME"/>
        </w:rPr>
        <w:t xml:space="preserve"> </w:t>
      </w:r>
      <w:r w:rsidRPr="005A4F9F">
        <w:rPr>
          <w:spacing w:val="-1"/>
          <w:sz w:val="22"/>
          <w:szCs w:val="22"/>
          <w:lang w:val="sr-Latn-ME"/>
        </w:rPr>
        <w:t>tocilizumaba</w:t>
      </w:r>
      <w:r w:rsidRPr="005A4F9F">
        <w:rPr>
          <w:spacing w:val="19"/>
          <w:sz w:val="22"/>
          <w:szCs w:val="22"/>
          <w:lang w:val="sr-Latn-ME"/>
        </w:rPr>
        <w:t xml:space="preserve"> </w:t>
      </w:r>
      <w:r w:rsidRPr="005A4F9F">
        <w:rPr>
          <w:spacing w:val="-1"/>
          <w:sz w:val="22"/>
          <w:szCs w:val="22"/>
          <w:lang w:val="sr-Latn-ME"/>
        </w:rPr>
        <w:t>određivana</w:t>
      </w:r>
      <w:r w:rsidRPr="005A4F9F">
        <w:rPr>
          <w:spacing w:val="17"/>
          <w:sz w:val="22"/>
          <w:szCs w:val="22"/>
          <w:lang w:val="sr-Latn-ME"/>
        </w:rPr>
        <w:t xml:space="preserve"> </w:t>
      </w:r>
      <w:r w:rsidRPr="005A4F9F">
        <w:rPr>
          <w:spacing w:val="1"/>
          <w:sz w:val="22"/>
          <w:szCs w:val="22"/>
          <w:lang w:val="sr-Latn-ME"/>
        </w:rPr>
        <w:t>je</w:t>
      </w:r>
      <w:r w:rsidRPr="005A4F9F">
        <w:rPr>
          <w:spacing w:val="19"/>
          <w:sz w:val="22"/>
          <w:szCs w:val="22"/>
          <w:lang w:val="sr-Latn-ME"/>
        </w:rPr>
        <w:t xml:space="preserve"> </w:t>
      </w:r>
      <w:r w:rsidRPr="005A4F9F">
        <w:rPr>
          <w:spacing w:val="-1"/>
          <w:sz w:val="22"/>
          <w:szCs w:val="22"/>
          <w:lang w:val="sr-Latn-ME"/>
        </w:rPr>
        <w:t>korišćenjem</w:t>
      </w:r>
      <w:r w:rsidRPr="005A4F9F">
        <w:rPr>
          <w:spacing w:val="15"/>
          <w:sz w:val="22"/>
          <w:szCs w:val="22"/>
          <w:lang w:val="sr-Latn-ME"/>
        </w:rPr>
        <w:t xml:space="preserve"> </w:t>
      </w:r>
      <w:r w:rsidRPr="005A4F9F">
        <w:rPr>
          <w:sz w:val="22"/>
          <w:szCs w:val="22"/>
          <w:lang w:val="sr-Latn-ME"/>
        </w:rPr>
        <w:t>populacione</w:t>
      </w:r>
      <w:r w:rsidRPr="005A4F9F">
        <w:rPr>
          <w:spacing w:val="17"/>
          <w:sz w:val="22"/>
          <w:szCs w:val="22"/>
          <w:lang w:val="sr-Latn-ME"/>
        </w:rPr>
        <w:t xml:space="preserve"> </w:t>
      </w:r>
      <w:r w:rsidRPr="005A4F9F">
        <w:rPr>
          <w:spacing w:val="-1"/>
          <w:sz w:val="22"/>
          <w:szCs w:val="22"/>
          <w:lang w:val="sr-Latn-ME"/>
        </w:rPr>
        <w:t>farmakokinetičke</w:t>
      </w:r>
      <w:r w:rsidRPr="005A4F9F">
        <w:rPr>
          <w:spacing w:val="19"/>
          <w:sz w:val="22"/>
          <w:szCs w:val="22"/>
          <w:lang w:val="sr-Latn-ME"/>
        </w:rPr>
        <w:t xml:space="preserve"> </w:t>
      </w:r>
      <w:r w:rsidRPr="005A4F9F">
        <w:rPr>
          <w:spacing w:val="-1"/>
          <w:sz w:val="22"/>
          <w:szCs w:val="22"/>
          <w:lang w:val="sr-Latn-ME"/>
        </w:rPr>
        <w:t>analize</w:t>
      </w:r>
      <w:r w:rsidRPr="005A4F9F">
        <w:rPr>
          <w:spacing w:val="59"/>
          <w:sz w:val="22"/>
          <w:szCs w:val="22"/>
          <w:lang w:val="sr-Latn-ME"/>
        </w:rPr>
        <w:t xml:space="preserve"> </w:t>
      </w:r>
      <w:r w:rsidRPr="005A4F9F">
        <w:rPr>
          <w:spacing w:val="-1"/>
          <w:sz w:val="22"/>
          <w:szCs w:val="22"/>
          <w:lang w:val="sr-Latn-ME"/>
        </w:rPr>
        <w:t>prema</w:t>
      </w:r>
      <w:r w:rsidRPr="005A4F9F">
        <w:rPr>
          <w:spacing w:val="5"/>
          <w:sz w:val="22"/>
          <w:szCs w:val="22"/>
          <w:lang w:val="sr-Latn-ME"/>
        </w:rPr>
        <w:t xml:space="preserve"> </w:t>
      </w:r>
      <w:r w:rsidRPr="005A4F9F">
        <w:rPr>
          <w:spacing w:val="-1"/>
          <w:sz w:val="22"/>
          <w:szCs w:val="22"/>
          <w:lang w:val="sr-Latn-ME"/>
        </w:rPr>
        <w:t>bazi</w:t>
      </w:r>
      <w:r w:rsidRPr="005A4F9F">
        <w:rPr>
          <w:spacing w:val="6"/>
          <w:sz w:val="22"/>
          <w:szCs w:val="22"/>
          <w:lang w:val="sr-Latn-ME"/>
        </w:rPr>
        <w:t xml:space="preserve"> </w:t>
      </w:r>
      <w:r w:rsidRPr="005A4F9F">
        <w:rPr>
          <w:spacing w:val="-1"/>
          <w:sz w:val="22"/>
          <w:szCs w:val="22"/>
          <w:lang w:val="sr-Latn-ME"/>
        </w:rPr>
        <w:t>podataka</w:t>
      </w:r>
      <w:r w:rsidRPr="005A4F9F">
        <w:rPr>
          <w:spacing w:val="5"/>
          <w:sz w:val="22"/>
          <w:szCs w:val="22"/>
          <w:lang w:val="sr-Latn-ME"/>
        </w:rPr>
        <w:t xml:space="preserve"> </w:t>
      </w:r>
      <w:r w:rsidRPr="005A4F9F">
        <w:rPr>
          <w:spacing w:val="-1"/>
          <w:sz w:val="22"/>
          <w:szCs w:val="22"/>
          <w:lang w:val="sr-Latn-ME"/>
        </w:rPr>
        <w:t>sastavljenoj</w:t>
      </w:r>
      <w:r w:rsidRPr="005A4F9F">
        <w:rPr>
          <w:spacing w:val="8"/>
          <w:sz w:val="22"/>
          <w:szCs w:val="22"/>
          <w:lang w:val="sr-Latn-ME"/>
        </w:rPr>
        <w:t xml:space="preserve"> </w:t>
      </w:r>
      <w:r w:rsidRPr="005A4F9F">
        <w:rPr>
          <w:spacing w:val="-2"/>
          <w:sz w:val="22"/>
          <w:szCs w:val="22"/>
          <w:lang w:val="sr-Latn-ME"/>
        </w:rPr>
        <w:t>od</w:t>
      </w:r>
      <w:r w:rsidRPr="005A4F9F">
        <w:rPr>
          <w:spacing w:val="5"/>
          <w:sz w:val="22"/>
          <w:szCs w:val="22"/>
          <w:lang w:val="sr-Latn-ME"/>
        </w:rPr>
        <w:t xml:space="preserve"> </w:t>
      </w:r>
      <w:r w:rsidR="00816EE7" w:rsidRPr="005A4F9F">
        <w:rPr>
          <w:sz w:val="22"/>
          <w:szCs w:val="22"/>
          <w:lang w:val="sr-Latn-ME"/>
        </w:rPr>
        <w:t>140</w:t>
      </w:r>
      <w:r w:rsidR="00816EE7" w:rsidRPr="005A4F9F">
        <w:rPr>
          <w:spacing w:val="5"/>
          <w:sz w:val="22"/>
          <w:szCs w:val="22"/>
          <w:lang w:val="sr-Latn-ME"/>
        </w:rPr>
        <w:t xml:space="preserve"> </w:t>
      </w:r>
      <w:r w:rsidRPr="005A4F9F">
        <w:rPr>
          <w:spacing w:val="-1"/>
          <w:sz w:val="22"/>
          <w:szCs w:val="22"/>
          <w:lang w:val="sr-Latn-ME"/>
        </w:rPr>
        <w:t>sJIA</w:t>
      </w:r>
      <w:r w:rsidRPr="005A4F9F">
        <w:rPr>
          <w:spacing w:val="4"/>
          <w:sz w:val="22"/>
          <w:szCs w:val="22"/>
          <w:lang w:val="sr-Latn-ME"/>
        </w:rPr>
        <w:t xml:space="preserve"> </w:t>
      </w:r>
      <w:r w:rsidRPr="005A4F9F">
        <w:rPr>
          <w:spacing w:val="-1"/>
          <w:sz w:val="22"/>
          <w:szCs w:val="22"/>
          <w:lang w:val="sr-Latn-ME"/>
        </w:rPr>
        <w:t>pacijenata</w:t>
      </w:r>
      <w:r w:rsidRPr="005A4F9F">
        <w:rPr>
          <w:spacing w:val="10"/>
          <w:sz w:val="22"/>
          <w:szCs w:val="22"/>
          <w:lang w:val="sr-Latn-ME"/>
        </w:rPr>
        <w:t xml:space="preserve"> </w:t>
      </w:r>
      <w:r w:rsidRPr="005A4F9F">
        <w:rPr>
          <w:spacing w:val="-1"/>
          <w:sz w:val="22"/>
          <w:szCs w:val="22"/>
          <w:lang w:val="sr-Latn-ME"/>
        </w:rPr>
        <w:t>koji</w:t>
      </w:r>
      <w:r w:rsidRPr="005A4F9F">
        <w:rPr>
          <w:spacing w:val="6"/>
          <w:sz w:val="22"/>
          <w:szCs w:val="22"/>
          <w:lang w:val="sr-Latn-ME"/>
        </w:rPr>
        <w:t xml:space="preserve"> </w:t>
      </w:r>
      <w:r w:rsidRPr="005A4F9F">
        <w:rPr>
          <w:sz w:val="22"/>
          <w:szCs w:val="22"/>
          <w:lang w:val="sr-Latn-ME"/>
        </w:rPr>
        <w:t>su</w:t>
      </w:r>
      <w:r w:rsidRPr="005A4F9F">
        <w:rPr>
          <w:spacing w:val="5"/>
          <w:sz w:val="22"/>
          <w:szCs w:val="22"/>
          <w:lang w:val="sr-Latn-ME"/>
        </w:rPr>
        <w:t xml:space="preserve"> </w:t>
      </w:r>
      <w:r w:rsidRPr="005A4F9F">
        <w:rPr>
          <w:spacing w:val="-2"/>
          <w:sz w:val="22"/>
          <w:szCs w:val="22"/>
          <w:lang w:val="sr-Latn-ME"/>
        </w:rPr>
        <w:t>primali</w:t>
      </w:r>
      <w:r w:rsidRPr="005A4F9F">
        <w:rPr>
          <w:spacing w:val="6"/>
          <w:sz w:val="22"/>
          <w:szCs w:val="22"/>
          <w:lang w:val="sr-Latn-ME"/>
        </w:rPr>
        <w:t xml:space="preserve"> </w:t>
      </w:r>
      <w:r w:rsidRPr="005A4F9F">
        <w:rPr>
          <w:spacing w:val="-1"/>
          <w:sz w:val="22"/>
          <w:szCs w:val="22"/>
          <w:lang w:val="sr-Latn-ME"/>
        </w:rPr>
        <w:t>8mg/kg</w:t>
      </w:r>
      <w:r w:rsidR="00171EA5" w:rsidRPr="005A4F9F">
        <w:rPr>
          <w:spacing w:val="-1"/>
          <w:sz w:val="22"/>
          <w:szCs w:val="22"/>
          <w:lang w:val="sr-Latn-ME"/>
        </w:rPr>
        <w:t xml:space="preserve"> intravenski na svake dv</w:t>
      </w:r>
      <w:r w:rsidR="00346212" w:rsidRPr="005A4F9F">
        <w:rPr>
          <w:spacing w:val="-1"/>
          <w:sz w:val="22"/>
          <w:szCs w:val="22"/>
          <w:lang w:val="sr-Latn-ME"/>
        </w:rPr>
        <w:t>ij</w:t>
      </w:r>
      <w:r w:rsidR="00171EA5" w:rsidRPr="005A4F9F">
        <w:rPr>
          <w:spacing w:val="-1"/>
          <w:sz w:val="22"/>
          <w:szCs w:val="22"/>
          <w:lang w:val="sr-Latn-ME"/>
        </w:rPr>
        <w:t>e ned</w:t>
      </w:r>
      <w:r w:rsidR="00932872" w:rsidRPr="005A4F9F">
        <w:rPr>
          <w:spacing w:val="-1"/>
          <w:sz w:val="22"/>
          <w:szCs w:val="22"/>
          <w:lang w:val="sr-Latn-ME"/>
        </w:rPr>
        <w:t>j</w:t>
      </w:r>
      <w:r w:rsidR="00171EA5" w:rsidRPr="005A4F9F">
        <w:rPr>
          <w:spacing w:val="-1"/>
          <w:sz w:val="22"/>
          <w:szCs w:val="22"/>
          <w:lang w:val="sr-Latn-ME"/>
        </w:rPr>
        <w:t>elje</w:t>
      </w:r>
      <w:r w:rsidRPr="005A4F9F">
        <w:rPr>
          <w:spacing w:val="2"/>
          <w:sz w:val="22"/>
          <w:szCs w:val="22"/>
          <w:lang w:val="sr-Latn-ME"/>
        </w:rPr>
        <w:t xml:space="preserve"> </w:t>
      </w:r>
      <w:r w:rsidRPr="005A4F9F">
        <w:rPr>
          <w:spacing w:val="-1"/>
          <w:sz w:val="22"/>
          <w:szCs w:val="22"/>
          <w:lang w:val="sr-Latn-ME"/>
        </w:rPr>
        <w:t>(pacijenti</w:t>
      </w:r>
      <w:r w:rsidRPr="005A4F9F">
        <w:rPr>
          <w:spacing w:val="3"/>
          <w:sz w:val="22"/>
          <w:szCs w:val="22"/>
          <w:lang w:val="sr-Latn-ME"/>
        </w:rPr>
        <w:t xml:space="preserve"> </w:t>
      </w:r>
      <w:r w:rsidRPr="005A4F9F">
        <w:rPr>
          <w:spacing w:val="-1"/>
          <w:sz w:val="22"/>
          <w:szCs w:val="22"/>
          <w:lang w:val="sr-Latn-ME"/>
        </w:rPr>
        <w:t>tjelesne</w:t>
      </w:r>
      <w:r w:rsidRPr="005A4F9F">
        <w:rPr>
          <w:spacing w:val="5"/>
          <w:sz w:val="22"/>
          <w:szCs w:val="22"/>
          <w:lang w:val="sr-Latn-ME"/>
        </w:rPr>
        <w:t xml:space="preserve"> </w:t>
      </w:r>
      <w:r w:rsidRPr="005A4F9F">
        <w:rPr>
          <w:spacing w:val="-1"/>
          <w:sz w:val="22"/>
          <w:szCs w:val="22"/>
          <w:lang w:val="sr-Latn-ME"/>
        </w:rPr>
        <w:t>težine</w:t>
      </w:r>
      <w:r w:rsidRPr="005A4F9F">
        <w:rPr>
          <w:spacing w:val="3"/>
          <w:sz w:val="22"/>
          <w:szCs w:val="22"/>
          <w:lang w:val="sr-Latn-ME"/>
        </w:rPr>
        <w:t xml:space="preserve"> </w:t>
      </w:r>
      <w:r w:rsidRPr="005A4F9F">
        <w:rPr>
          <w:sz w:val="22"/>
          <w:szCs w:val="22"/>
          <w:lang w:val="sr-Latn-ME"/>
        </w:rPr>
        <w:t>≥</w:t>
      </w:r>
      <w:r w:rsidRPr="005A4F9F">
        <w:rPr>
          <w:spacing w:val="6"/>
          <w:sz w:val="22"/>
          <w:szCs w:val="22"/>
          <w:lang w:val="sr-Latn-ME"/>
        </w:rPr>
        <w:t xml:space="preserve"> </w:t>
      </w:r>
      <w:r w:rsidRPr="005A4F9F">
        <w:rPr>
          <w:spacing w:val="-1"/>
          <w:sz w:val="22"/>
          <w:szCs w:val="22"/>
          <w:lang w:val="sr-Latn-ME"/>
        </w:rPr>
        <w:t>30)</w:t>
      </w:r>
      <w:r w:rsidR="00171EA5" w:rsidRPr="005A4F9F">
        <w:rPr>
          <w:spacing w:val="87"/>
          <w:sz w:val="22"/>
          <w:szCs w:val="22"/>
          <w:lang w:val="sr-Latn-ME"/>
        </w:rPr>
        <w:t>,</w:t>
      </w:r>
      <w:r w:rsidRPr="005A4F9F">
        <w:rPr>
          <w:sz w:val="22"/>
          <w:szCs w:val="22"/>
          <w:lang w:val="sr-Latn-ME"/>
        </w:rPr>
        <w:t xml:space="preserve">12 </w:t>
      </w:r>
      <w:r w:rsidRPr="005A4F9F">
        <w:rPr>
          <w:spacing w:val="-1"/>
          <w:sz w:val="22"/>
          <w:szCs w:val="22"/>
          <w:lang w:val="sr-Latn-ME"/>
        </w:rPr>
        <w:t>mg/kg</w:t>
      </w:r>
      <w:r w:rsidR="00171EA5" w:rsidRPr="005A4F9F">
        <w:rPr>
          <w:spacing w:val="-1"/>
          <w:sz w:val="22"/>
          <w:szCs w:val="22"/>
          <w:lang w:val="sr-Latn-ME"/>
        </w:rPr>
        <w:t xml:space="preserve"> intravenski na svake dv</w:t>
      </w:r>
      <w:r w:rsidR="00346212" w:rsidRPr="005A4F9F">
        <w:rPr>
          <w:spacing w:val="-1"/>
          <w:sz w:val="22"/>
          <w:szCs w:val="22"/>
          <w:lang w:val="sr-Latn-ME"/>
        </w:rPr>
        <w:t>ij</w:t>
      </w:r>
      <w:r w:rsidR="00171EA5" w:rsidRPr="005A4F9F">
        <w:rPr>
          <w:spacing w:val="-1"/>
          <w:sz w:val="22"/>
          <w:szCs w:val="22"/>
          <w:lang w:val="sr-Latn-ME"/>
        </w:rPr>
        <w:t>e ned</w:t>
      </w:r>
      <w:r w:rsidR="00932872" w:rsidRPr="005A4F9F">
        <w:rPr>
          <w:spacing w:val="-1"/>
          <w:sz w:val="22"/>
          <w:szCs w:val="22"/>
          <w:lang w:val="sr-Latn-ME"/>
        </w:rPr>
        <w:t>j</w:t>
      </w:r>
      <w:r w:rsidR="00171EA5" w:rsidRPr="005A4F9F">
        <w:rPr>
          <w:spacing w:val="-1"/>
          <w:sz w:val="22"/>
          <w:szCs w:val="22"/>
          <w:lang w:val="sr-Latn-ME"/>
        </w:rPr>
        <w:t>elje</w:t>
      </w:r>
      <w:r w:rsidRPr="005A4F9F">
        <w:rPr>
          <w:spacing w:val="-3"/>
          <w:sz w:val="22"/>
          <w:szCs w:val="22"/>
          <w:lang w:val="sr-Latn-ME"/>
        </w:rPr>
        <w:t xml:space="preserve"> </w:t>
      </w:r>
      <w:r w:rsidRPr="005A4F9F">
        <w:rPr>
          <w:sz w:val="22"/>
          <w:szCs w:val="22"/>
          <w:lang w:val="sr-Latn-ME"/>
        </w:rPr>
        <w:t>(</w:t>
      </w:r>
      <w:r w:rsidRPr="005A4F9F">
        <w:rPr>
          <w:spacing w:val="1"/>
          <w:sz w:val="22"/>
          <w:szCs w:val="22"/>
          <w:lang w:val="sr-Latn-ME"/>
        </w:rPr>
        <w:t xml:space="preserve"> </w:t>
      </w:r>
      <w:r w:rsidRPr="005A4F9F">
        <w:rPr>
          <w:spacing w:val="-1"/>
          <w:sz w:val="22"/>
          <w:szCs w:val="22"/>
          <w:lang w:val="sr-Latn-ME"/>
        </w:rPr>
        <w:t>pacijenti</w:t>
      </w:r>
      <w:r w:rsidRPr="005A4F9F">
        <w:rPr>
          <w:spacing w:val="-2"/>
          <w:sz w:val="22"/>
          <w:szCs w:val="22"/>
          <w:lang w:val="sr-Latn-ME"/>
        </w:rPr>
        <w:t xml:space="preserve"> </w:t>
      </w:r>
      <w:r w:rsidRPr="005A4F9F">
        <w:rPr>
          <w:spacing w:val="-1"/>
          <w:sz w:val="22"/>
          <w:szCs w:val="22"/>
          <w:lang w:val="sr-Latn-ME"/>
        </w:rPr>
        <w:t>tjelesne</w:t>
      </w:r>
      <w:r w:rsidRPr="005A4F9F">
        <w:rPr>
          <w:spacing w:val="-2"/>
          <w:sz w:val="22"/>
          <w:szCs w:val="22"/>
          <w:lang w:val="sr-Latn-ME"/>
        </w:rPr>
        <w:t xml:space="preserve"> </w:t>
      </w:r>
      <w:r w:rsidRPr="005A4F9F">
        <w:rPr>
          <w:sz w:val="22"/>
          <w:szCs w:val="22"/>
          <w:lang w:val="sr-Latn-ME"/>
        </w:rPr>
        <w:t>težine</w:t>
      </w:r>
      <w:r w:rsidRPr="005A4F9F">
        <w:rPr>
          <w:spacing w:val="-2"/>
          <w:sz w:val="22"/>
          <w:szCs w:val="22"/>
          <w:lang w:val="sr-Latn-ME"/>
        </w:rPr>
        <w:t xml:space="preserve"> </w:t>
      </w:r>
      <w:r w:rsidRPr="005A4F9F">
        <w:rPr>
          <w:sz w:val="22"/>
          <w:szCs w:val="22"/>
          <w:u w:val="single"/>
          <w:lang w:val="sr-Latn-ME"/>
        </w:rPr>
        <w:t>&lt;</w:t>
      </w:r>
      <w:r w:rsidRPr="005A4F9F">
        <w:rPr>
          <w:sz w:val="22"/>
          <w:szCs w:val="22"/>
          <w:lang w:val="sr-Latn-ME"/>
        </w:rPr>
        <w:t xml:space="preserve"> 30 </w:t>
      </w:r>
      <w:r w:rsidRPr="005A4F9F">
        <w:rPr>
          <w:spacing w:val="-2"/>
          <w:sz w:val="22"/>
          <w:szCs w:val="22"/>
          <w:lang w:val="sr-Latn-ME"/>
        </w:rPr>
        <w:t>kg),</w:t>
      </w:r>
      <w:r w:rsidRPr="005A4F9F">
        <w:rPr>
          <w:sz w:val="22"/>
          <w:szCs w:val="22"/>
          <w:lang w:val="sr-Latn-ME"/>
        </w:rPr>
        <w:t xml:space="preserve"> </w:t>
      </w:r>
      <w:r w:rsidR="00171EA5" w:rsidRPr="005A4F9F">
        <w:rPr>
          <w:sz w:val="22"/>
          <w:szCs w:val="22"/>
          <w:lang w:val="sr-Latn-ME"/>
        </w:rPr>
        <w:t xml:space="preserve">162 mg </w:t>
      </w:r>
      <w:r w:rsidR="00363B61" w:rsidRPr="005A4F9F">
        <w:rPr>
          <w:sz w:val="22"/>
          <w:szCs w:val="22"/>
          <w:lang w:val="sr-Latn-ME"/>
        </w:rPr>
        <w:t xml:space="preserve">subkutano  </w:t>
      </w:r>
      <w:r w:rsidR="00171EA5" w:rsidRPr="005A4F9F">
        <w:rPr>
          <w:sz w:val="22"/>
          <w:szCs w:val="22"/>
          <w:lang w:val="sr-Latn-ME"/>
        </w:rPr>
        <w:t>svake ned</w:t>
      </w:r>
      <w:r w:rsidR="00932872" w:rsidRPr="005A4F9F">
        <w:rPr>
          <w:sz w:val="22"/>
          <w:szCs w:val="22"/>
          <w:lang w:val="sr-Latn-ME"/>
        </w:rPr>
        <w:t>j</w:t>
      </w:r>
      <w:r w:rsidR="00171EA5" w:rsidRPr="005A4F9F">
        <w:rPr>
          <w:sz w:val="22"/>
          <w:szCs w:val="22"/>
          <w:lang w:val="sr-Latn-ME"/>
        </w:rPr>
        <w:t xml:space="preserve">elje (pacijenti tjelesne težine </w:t>
      </w:r>
      <w:r w:rsidR="00171EA5" w:rsidRPr="005A4F9F">
        <w:rPr>
          <w:sz w:val="22"/>
          <w:szCs w:val="22"/>
          <w:u w:val="single"/>
          <w:lang w:val="sr-Latn-ME"/>
        </w:rPr>
        <w:t>&gt;</w:t>
      </w:r>
      <w:r w:rsidR="00171EA5" w:rsidRPr="005A4F9F">
        <w:rPr>
          <w:sz w:val="22"/>
          <w:szCs w:val="22"/>
          <w:lang w:val="sr-Latn-ME"/>
        </w:rPr>
        <w:t xml:space="preserve"> 30 kg), 162 mg su</w:t>
      </w:r>
      <w:r w:rsidR="00363B61" w:rsidRPr="005A4F9F">
        <w:rPr>
          <w:sz w:val="22"/>
          <w:szCs w:val="22"/>
          <w:lang w:val="sr-Latn-ME"/>
        </w:rPr>
        <w:t>b</w:t>
      </w:r>
      <w:r w:rsidR="00171EA5" w:rsidRPr="005A4F9F">
        <w:rPr>
          <w:sz w:val="22"/>
          <w:szCs w:val="22"/>
          <w:lang w:val="sr-Latn-ME"/>
        </w:rPr>
        <w:t xml:space="preserve">kutano na svakih deset dana ili </w:t>
      </w:r>
      <w:r w:rsidRPr="005A4F9F">
        <w:rPr>
          <w:sz w:val="22"/>
          <w:szCs w:val="22"/>
          <w:lang w:val="sr-Latn-ME"/>
        </w:rPr>
        <w:t xml:space="preserve"> </w:t>
      </w:r>
      <w:r w:rsidRPr="005A4F9F">
        <w:rPr>
          <w:spacing w:val="-2"/>
          <w:sz w:val="22"/>
          <w:szCs w:val="22"/>
          <w:lang w:val="sr-Latn-ME"/>
        </w:rPr>
        <w:t>svake</w:t>
      </w:r>
      <w:r w:rsidRPr="005A4F9F">
        <w:rPr>
          <w:sz w:val="22"/>
          <w:szCs w:val="22"/>
          <w:lang w:val="sr-Latn-ME"/>
        </w:rPr>
        <w:t xml:space="preserve"> 2 </w:t>
      </w:r>
      <w:r w:rsidRPr="005A4F9F">
        <w:rPr>
          <w:spacing w:val="-1"/>
          <w:sz w:val="22"/>
          <w:szCs w:val="22"/>
          <w:lang w:val="sr-Latn-ME"/>
        </w:rPr>
        <w:t>ned</w:t>
      </w:r>
      <w:r w:rsidR="00932872" w:rsidRPr="005A4F9F">
        <w:rPr>
          <w:spacing w:val="-1"/>
          <w:sz w:val="22"/>
          <w:szCs w:val="22"/>
          <w:lang w:val="sr-Latn-ME"/>
        </w:rPr>
        <w:t>j</w:t>
      </w:r>
      <w:r w:rsidRPr="005A4F9F">
        <w:rPr>
          <w:spacing w:val="-1"/>
          <w:sz w:val="22"/>
          <w:szCs w:val="22"/>
          <w:lang w:val="sr-Latn-ME"/>
        </w:rPr>
        <w:t>elje</w:t>
      </w:r>
      <w:r w:rsidR="00171EA5" w:rsidRPr="005A4F9F">
        <w:rPr>
          <w:spacing w:val="-1"/>
          <w:sz w:val="22"/>
          <w:szCs w:val="22"/>
          <w:lang w:val="sr-Latn-ME"/>
        </w:rPr>
        <w:t xml:space="preserve"> </w:t>
      </w:r>
      <w:r w:rsidR="00171EA5" w:rsidRPr="005A4F9F">
        <w:rPr>
          <w:sz w:val="22"/>
          <w:szCs w:val="22"/>
          <w:lang w:val="sr-Latn-ME"/>
        </w:rPr>
        <w:t>(pacijenti tjelesne težine ispod 30 kg)</w:t>
      </w:r>
      <w:r w:rsidRPr="005A4F9F">
        <w:rPr>
          <w:spacing w:val="-1"/>
          <w:sz w:val="22"/>
          <w:szCs w:val="22"/>
          <w:lang w:val="sr-Latn-ME"/>
        </w:rPr>
        <w:t xml:space="preserve">. </w:t>
      </w:r>
    </w:p>
    <w:p w14:paraId="2788378C" w14:textId="77777777" w:rsidR="00763105" w:rsidRPr="005A4F9F" w:rsidRDefault="00763105">
      <w:pPr>
        <w:widowControl w:val="0"/>
        <w:jc w:val="both"/>
        <w:rPr>
          <w:spacing w:val="-1"/>
          <w:sz w:val="22"/>
          <w:szCs w:val="22"/>
          <w:lang w:val="sr-Latn-ME"/>
        </w:rPr>
      </w:pPr>
    </w:p>
    <w:p w14:paraId="2FC7C97B" w14:textId="77777777" w:rsidR="00171EA5" w:rsidRPr="005A4F9F" w:rsidRDefault="00171EA5" w:rsidP="008B00DE">
      <w:pPr>
        <w:widowControl w:val="0"/>
        <w:numPr>
          <w:ilvl w:val="12"/>
          <w:numId w:val="0"/>
        </w:numPr>
        <w:jc w:val="both"/>
        <w:rPr>
          <w:bCs/>
          <w:i/>
          <w:sz w:val="22"/>
          <w:szCs w:val="22"/>
          <w:lang w:val="sr-Latn-ME"/>
        </w:rPr>
      </w:pPr>
      <w:r w:rsidRPr="005A4F9F">
        <w:rPr>
          <w:bCs/>
          <w:i/>
          <w:sz w:val="22"/>
          <w:szCs w:val="22"/>
          <w:lang w:val="sr-Latn-ME"/>
        </w:rPr>
        <w:t xml:space="preserve">Tabela </w:t>
      </w:r>
      <w:r w:rsidR="00BF249E" w:rsidRPr="005A4F9F">
        <w:rPr>
          <w:bCs/>
          <w:i/>
          <w:sz w:val="22"/>
          <w:szCs w:val="22"/>
          <w:lang w:val="sr-Latn-ME"/>
        </w:rPr>
        <w:t>11</w:t>
      </w:r>
      <w:r w:rsidRPr="005A4F9F">
        <w:rPr>
          <w:bCs/>
          <w:i/>
          <w:sz w:val="22"/>
          <w:szCs w:val="22"/>
          <w:lang w:val="sr-Latn-ME"/>
        </w:rPr>
        <w:t>. Predviđena srednja vr</w:t>
      </w:r>
      <w:r w:rsidR="00346212" w:rsidRPr="005A4F9F">
        <w:rPr>
          <w:bCs/>
          <w:i/>
          <w:sz w:val="22"/>
          <w:szCs w:val="22"/>
          <w:lang w:val="sr-Latn-ME"/>
        </w:rPr>
        <w:t>ij</w:t>
      </w:r>
      <w:r w:rsidRPr="005A4F9F">
        <w:rPr>
          <w:bCs/>
          <w:i/>
          <w:sz w:val="22"/>
          <w:szCs w:val="22"/>
          <w:lang w:val="sr-Latn-ME"/>
        </w:rPr>
        <w:t xml:space="preserve">ednost ± SD parametara </w:t>
      </w:r>
      <w:r w:rsidR="009D36B8" w:rsidRPr="005A4F9F">
        <w:rPr>
          <w:bCs/>
          <w:i/>
          <w:sz w:val="22"/>
          <w:szCs w:val="22"/>
          <w:lang w:val="sr-Latn-ME"/>
        </w:rPr>
        <w:t>farmakokinetičkih parametara u stanju dinamičke ravnoteže nakon intravenske primjene kod pacijenata sa</w:t>
      </w:r>
      <w:r w:rsidR="00376BC6" w:rsidRPr="005A4F9F">
        <w:rPr>
          <w:bCs/>
          <w:i/>
          <w:sz w:val="22"/>
          <w:szCs w:val="22"/>
          <w:lang w:val="sr-Latn-ME"/>
        </w:rPr>
        <w:t xml:space="preserve"> sJIA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977"/>
        <w:gridCol w:w="3147"/>
      </w:tblGrid>
      <w:tr w:rsidR="00171EA5" w:rsidRPr="005A4F9F" w14:paraId="78C01134" w14:textId="77777777" w:rsidTr="006B57D8">
        <w:trPr>
          <w:cantSplit/>
          <w:trHeight w:val="452"/>
        </w:trPr>
        <w:tc>
          <w:tcPr>
            <w:tcW w:w="2835" w:type="dxa"/>
            <w:tcBorders>
              <w:top w:val="single" w:sz="4" w:space="0" w:color="auto"/>
              <w:left w:val="single" w:sz="4" w:space="0" w:color="auto"/>
              <w:bottom w:val="single" w:sz="4" w:space="0" w:color="auto"/>
              <w:right w:val="single" w:sz="4" w:space="0" w:color="auto"/>
            </w:tcBorders>
            <w:hideMark/>
          </w:tcPr>
          <w:p w14:paraId="1E894270" w14:textId="4F573A69" w:rsidR="00171EA5" w:rsidRPr="005A4F9F" w:rsidRDefault="00376BC6" w:rsidP="008B00DE">
            <w:pPr>
              <w:pStyle w:val="TextTi9"/>
              <w:widowControl w:val="0"/>
              <w:spacing w:after="0"/>
              <w:jc w:val="both"/>
              <w:rPr>
                <w:rFonts w:ascii="Times New Roman" w:hAnsi="Times New Roman"/>
                <w:sz w:val="22"/>
                <w:lang w:val="sr-Latn-ME"/>
              </w:rPr>
            </w:pPr>
            <w:r w:rsidRPr="005A4F9F">
              <w:rPr>
                <w:rFonts w:ascii="Times New Roman" w:hAnsi="Times New Roman"/>
                <w:b/>
                <w:sz w:val="22"/>
                <w:lang w:val="sr-Latn-ME"/>
              </w:rPr>
              <w:t>Farmakokine</w:t>
            </w:r>
            <w:r w:rsidR="009D36B8" w:rsidRPr="005A4F9F">
              <w:rPr>
                <w:rFonts w:ascii="Times New Roman" w:hAnsi="Times New Roman"/>
                <w:b/>
                <w:sz w:val="22"/>
                <w:lang w:val="sr-Latn-ME"/>
              </w:rPr>
              <w:t>tički</w:t>
            </w:r>
            <w:r w:rsidRPr="005A4F9F">
              <w:rPr>
                <w:rFonts w:ascii="Times New Roman" w:hAnsi="Times New Roman"/>
                <w:b/>
                <w:sz w:val="22"/>
                <w:lang w:val="sr-Latn-ME"/>
              </w:rPr>
              <w:t xml:space="preserve"> parametri </w:t>
            </w:r>
            <w:r w:rsidR="008E6663" w:rsidRPr="005A4F9F">
              <w:rPr>
                <w:rFonts w:ascii="Times New Roman" w:hAnsi="Times New Roman"/>
                <w:b/>
                <w:sz w:val="22"/>
                <w:lang w:val="sr-Latn-ME"/>
              </w:rPr>
              <w:t>tocilizumaba</w:t>
            </w:r>
          </w:p>
        </w:tc>
        <w:tc>
          <w:tcPr>
            <w:tcW w:w="2977" w:type="dxa"/>
            <w:tcBorders>
              <w:top w:val="single" w:sz="4" w:space="0" w:color="auto"/>
              <w:left w:val="single" w:sz="4" w:space="0" w:color="auto"/>
              <w:bottom w:val="single" w:sz="4" w:space="0" w:color="auto"/>
              <w:right w:val="single" w:sz="4" w:space="0" w:color="auto"/>
            </w:tcBorders>
            <w:hideMark/>
          </w:tcPr>
          <w:p w14:paraId="12C6727F" w14:textId="77777777" w:rsidR="00171EA5" w:rsidRPr="005A4F9F" w:rsidRDefault="00171EA5" w:rsidP="008B00DE">
            <w:pPr>
              <w:pStyle w:val="TextTi9"/>
              <w:widowControl w:val="0"/>
              <w:spacing w:after="0"/>
              <w:jc w:val="both"/>
              <w:rPr>
                <w:rFonts w:ascii="Times New Roman" w:hAnsi="Times New Roman"/>
                <w:b/>
                <w:sz w:val="22"/>
                <w:lang w:val="sr-Latn-ME"/>
              </w:rPr>
            </w:pPr>
            <w:r w:rsidRPr="005A4F9F">
              <w:rPr>
                <w:rFonts w:ascii="Times New Roman" w:hAnsi="Times New Roman"/>
                <w:b/>
                <w:sz w:val="22"/>
                <w:lang w:val="sr-Latn-ME"/>
              </w:rPr>
              <w:t xml:space="preserve">8 mg/kg </w:t>
            </w:r>
            <w:r w:rsidR="009D36B8" w:rsidRPr="005A4F9F">
              <w:rPr>
                <w:rFonts w:ascii="Times New Roman" w:hAnsi="Times New Roman"/>
                <w:b/>
                <w:sz w:val="22"/>
                <w:lang w:val="sr-Latn-ME"/>
              </w:rPr>
              <w:t>svaku drugu nedjelju za</w:t>
            </w:r>
            <w:r w:rsidRPr="005A4F9F">
              <w:rPr>
                <w:rFonts w:ascii="Times New Roman" w:hAnsi="Times New Roman"/>
                <w:b/>
                <w:sz w:val="22"/>
                <w:lang w:val="sr-Latn-ME"/>
              </w:rPr>
              <w:t xml:space="preserve"> ≥ 30 kg</w:t>
            </w:r>
          </w:p>
        </w:tc>
        <w:tc>
          <w:tcPr>
            <w:tcW w:w="3147" w:type="dxa"/>
            <w:tcBorders>
              <w:top w:val="single" w:sz="4" w:space="0" w:color="auto"/>
              <w:left w:val="single" w:sz="4" w:space="0" w:color="auto"/>
              <w:bottom w:val="single" w:sz="4" w:space="0" w:color="auto"/>
              <w:right w:val="single" w:sz="4" w:space="0" w:color="auto"/>
            </w:tcBorders>
            <w:hideMark/>
          </w:tcPr>
          <w:p w14:paraId="62232144" w14:textId="77777777" w:rsidR="00171EA5" w:rsidRPr="005A4F9F" w:rsidRDefault="00171EA5" w:rsidP="008B00DE">
            <w:pPr>
              <w:pStyle w:val="TextTi9"/>
              <w:widowControl w:val="0"/>
              <w:spacing w:after="0"/>
              <w:jc w:val="both"/>
              <w:rPr>
                <w:rFonts w:ascii="Times New Roman" w:hAnsi="Times New Roman"/>
                <w:b/>
                <w:sz w:val="22"/>
                <w:lang w:val="sr-Latn-ME"/>
              </w:rPr>
            </w:pPr>
            <w:r w:rsidRPr="005A4F9F">
              <w:rPr>
                <w:rFonts w:ascii="Times New Roman" w:hAnsi="Times New Roman"/>
                <w:b/>
                <w:sz w:val="22"/>
                <w:lang w:val="sr-Latn-ME"/>
              </w:rPr>
              <w:t xml:space="preserve">12 mg/kg </w:t>
            </w:r>
            <w:r w:rsidR="009D36B8" w:rsidRPr="005A4F9F">
              <w:rPr>
                <w:rFonts w:ascii="Times New Roman" w:hAnsi="Times New Roman"/>
                <w:b/>
                <w:sz w:val="22"/>
                <w:lang w:val="sr-Latn-ME"/>
              </w:rPr>
              <w:t>svaku drugu nedjelju za ispod</w:t>
            </w:r>
            <w:r w:rsidRPr="005A4F9F">
              <w:rPr>
                <w:rFonts w:ascii="Times New Roman" w:hAnsi="Times New Roman"/>
                <w:b/>
                <w:sz w:val="22"/>
                <w:lang w:val="sr-Latn-ME"/>
              </w:rPr>
              <w:t xml:space="preserve"> 30 kg</w:t>
            </w:r>
          </w:p>
        </w:tc>
      </w:tr>
      <w:tr w:rsidR="00171EA5" w:rsidRPr="005A4F9F" w14:paraId="7C593489" w14:textId="77777777" w:rsidTr="006B57D8">
        <w:trPr>
          <w:cantSplit/>
          <w:trHeight w:val="195"/>
        </w:trPr>
        <w:tc>
          <w:tcPr>
            <w:tcW w:w="2835" w:type="dxa"/>
            <w:tcBorders>
              <w:top w:val="single" w:sz="4" w:space="0" w:color="auto"/>
              <w:left w:val="single" w:sz="4" w:space="0" w:color="auto"/>
              <w:bottom w:val="single" w:sz="4" w:space="0" w:color="auto"/>
              <w:right w:val="single" w:sz="4" w:space="0" w:color="auto"/>
            </w:tcBorders>
            <w:hideMark/>
          </w:tcPr>
          <w:p w14:paraId="7B61007B" w14:textId="49881C0A"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max</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535C73FB"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eastAsia="SimSun" w:hAnsi="Times New Roman"/>
                <w:sz w:val="22"/>
                <w:lang w:val="sr-Latn-ME"/>
              </w:rPr>
              <w:t>256 ± 60.8</w:t>
            </w:r>
          </w:p>
        </w:tc>
        <w:tc>
          <w:tcPr>
            <w:tcW w:w="3147" w:type="dxa"/>
            <w:tcBorders>
              <w:top w:val="single" w:sz="4" w:space="0" w:color="auto"/>
              <w:left w:val="single" w:sz="4" w:space="0" w:color="auto"/>
              <w:bottom w:val="single" w:sz="4" w:space="0" w:color="auto"/>
              <w:right w:val="single" w:sz="4" w:space="0" w:color="auto"/>
            </w:tcBorders>
            <w:hideMark/>
          </w:tcPr>
          <w:p w14:paraId="1CDA436C" w14:textId="77777777" w:rsidR="00171EA5" w:rsidRPr="005A4F9F" w:rsidRDefault="00171EA5" w:rsidP="008B00DE">
            <w:pPr>
              <w:pStyle w:val="TextTi9"/>
              <w:widowControl w:val="0"/>
              <w:spacing w:after="0"/>
              <w:jc w:val="both"/>
              <w:rPr>
                <w:rFonts w:ascii="Times New Roman" w:eastAsia="SimSun" w:hAnsi="Times New Roman"/>
                <w:sz w:val="22"/>
                <w:lang w:val="sr-Latn-ME"/>
              </w:rPr>
            </w:pPr>
            <w:r w:rsidRPr="005A4F9F">
              <w:rPr>
                <w:rFonts w:ascii="Times New Roman" w:hAnsi="Times New Roman"/>
                <w:sz w:val="22"/>
                <w:lang w:val="sr-Latn-ME"/>
              </w:rPr>
              <w:t xml:space="preserve">274 </w:t>
            </w:r>
            <w:r w:rsidRPr="005A4F9F">
              <w:rPr>
                <w:rFonts w:ascii="Times New Roman" w:hAnsi="Times New Roman"/>
                <w:sz w:val="22"/>
                <w:lang w:val="sr-Latn-ME"/>
              </w:rPr>
              <w:sym w:font="Symbol" w:char="F0B1"/>
            </w:r>
            <w:r w:rsidRPr="005A4F9F">
              <w:rPr>
                <w:rFonts w:ascii="Times New Roman" w:hAnsi="Times New Roman"/>
                <w:sz w:val="22"/>
                <w:lang w:val="sr-Latn-ME"/>
              </w:rPr>
              <w:t> 63.8</w:t>
            </w:r>
          </w:p>
        </w:tc>
      </w:tr>
      <w:tr w:rsidR="00171EA5" w:rsidRPr="005A4F9F" w14:paraId="521103B7" w14:textId="77777777" w:rsidTr="006B57D8">
        <w:trPr>
          <w:cantSplit/>
          <w:trHeight w:val="195"/>
        </w:trPr>
        <w:tc>
          <w:tcPr>
            <w:tcW w:w="2835" w:type="dxa"/>
            <w:tcBorders>
              <w:top w:val="single" w:sz="4" w:space="0" w:color="auto"/>
              <w:left w:val="single" w:sz="4" w:space="0" w:color="auto"/>
              <w:bottom w:val="single" w:sz="4" w:space="0" w:color="auto"/>
              <w:right w:val="single" w:sz="4" w:space="0" w:color="auto"/>
            </w:tcBorders>
            <w:hideMark/>
          </w:tcPr>
          <w:p w14:paraId="054175B7" w14:textId="05A8911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trough</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3B4DB064"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eastAsia="SimSun" w:hAnsi="Times New Roman"/>
                <w:sz w:val="22"/>
                <w:lang w:val="sr-Latn-ME"/>
              </w:rPr>
              <w:t>69.7 ± 29.1</w:t>
            </w:r>
          </w:p>
        </w:tc>
        <w:tc>
          <w:tcPr>
            <w:tcW w:w="3147" w:type="dxa"/>
            <w:tcBorders>
              <w:top w:val="single" w:sz="4" w:space="0" w:color="auto"/>
              <w:left w:val="single" w:sz="4" w:space="0" w:color="auto"/>
              <w:bottom w:val="single" w:sz="4" w:space="0" w:color="auto"/>
              <w:right w:val="single" w:sz="4" w:space="0" w:color="auto"/>
            </w:tcBorders>
            <w:hideMark/>
          </w:tcPr>
          <w:p w14:paraId="2E74CE09"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 xml:space="preserve">68.4 </w:t>
            </w:r>
            <w:r w:rsidRPr="005A4F9F">
              <w:rPr>
                <w:rFonts w:ascii="Times New Roman" w:hAnsi="Times New Roman"/>
                <w:sz w:val="22"/>
                <w:lang w:val="sr-Latn-ME"/>
              </w:rPr>
              <w:sym w:font="Symbol" w:char="F0B1"/>
            </w:r>
            <w:r w:rsidRPr="005A4F9F">
              <w:rPr>
                <w:rFonts w:ascii="Times New Roman" w:hAnsi="Times New Roman"/>
                <w:sz w:val="22"/>
                <w:lang w:val="sr-Latn-ME"/>
              </w:rPr>
              <w:t> 30.0</w:t>
            </w:r>
          </w:p>
        </w:tc>
      </w:tr>
      <w:tr w:rsidR="00171EA5" w:rsidRPr="005A4F9F" w14:paraId="6F2D4FDC" w14:textId="77777777" w:rsidTr="006B57D8">
        <w:trPr>
          <w:cantSplit/>
          <w:trHeight w:val="324"/>
        </w:trPr>
        <w:tc>
          <w:tcPr>
            <w:tcW w:w="2835" w:type="dxa"/>
            <w:tcBorders>
              <w:top w:val="single" w:sz="4" w:space="0" w:color="auto"/>
              <w:left w:val="single" w:sz="4" w:space="0" w:color="auto"/>
              <w:bottom w:val="single" w:sz="4" w:space="0" w:color="auto"/>
              <w:right w:val="single" w:sz="4" w:space="0" w:color="auto"/>
            </w:tcBorders>
            <w:hideMark/>
          </w:tcPr>
          <w:p w14:paraId="71C85227" w14:textId="2ED2D096"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mean</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2D0497BB"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119 ± 36.0</w:t>
            </w:r>
          </w:p>
        </w:tc>
        <w:tc>
          <w:tcPr>
            <w:tcW w:w="3147" w:type="dxa"/>
            <w:tcBorders>
              <w:top w:val="single" w:sz="4" w:space="0" w:color="auto"/>
              <w:left w:val="single" w:sz="4" w:space="0" w:color="auto"/>
              <w:bottom w:val="single" w:sz="4" w:space="0" w:color="auto"/>
              <w:right w:val="single" w:sz="4" w:space="0" w:color="auto"/>
            </w:tcBorders>
            <w:hideMark/>
          </w:tcPr>
          <w:p w14:paraId="243DBAA0"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 xml:space="preserve">123 </w:t>
            </w:r>
            <w:r w:rsidRPr="005A4F9F">
              <w:rPr>
                <w:rFonts w:ascii="Times New Roman" w:hAnsi="Times New Roman"/>
                <w:sz w:val="22"/>
                <w:lang w:val="sr-Latn-ME"/>
              </w:rPr>
              <w:sym w:font="Symbol" w:char="F0B1"/>
            </w:r>
            <w:r w:rsidRPr="005A4F9F">
              <w:rPr>
                <w:rFonts w:ascii="Times New Roman" w:hAnsi="Times New Roman"/>
                <w:sz w:val="22"/>
                <w:lang w:val="sr-Latn-ME"/>
              </w:rPr>
              <w:t>  36.0</w:t>
            </w:r>
          </w:p>
        </w:tc>
      </w:tr>
      <w:tr w:rsidR="00171EA5" w:rsidRPr="005A4F9F" w14:paraId="55B92A89" w14:textId="77777777" w:rsidTr="006B57D8">
        <w:trPr>
          <w:cantSplit/>
          <w:trHeight w:val="324"/>
        </w:trPr>
        <w:tc>
          <w:tcPr>
            <w:tcW w:w="2835" w:type="dxa"/>
            <w:tcBorders>
              <w:top w:val="single" w:sz="4" w:space="0" w:color="auto"/>
              <w:left w:val="single" w:sz="4" w:space="0" w:color="auto"/>
              <w:bottom w:val="single" w:sz="4" w:space="0" w:color="auto"/>
              <w:right w:val="single" w:sz="4" w:space="0" w:color="auto"/>
            </w:tcBorders>
            <w:hideMark/>
          </w:tcPr>
          <w:p w14:paraId="385D8C8E"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max</w:t>
            </w:r>
            <w:r w:rsidR="00376BC6" w:rsidRPr="005A4F9F">
              <w:rPr>
                <w:rFonts w:ascii="Times New Roman" w:hAnsi="Times New Roman"/>
                <w:sz w:val="22"/>
                <w:vertAlign w:val="subscript"/>
                <w:lang w:val="sr-Latn-ME"/>
              </w:rPr>
              <w:t xml:space="preserve"> </w:t>
            </w:r>
            <w:r w:rsidR="00376BC6" w:rsidRPr="005A4F9F">
              <w:rPr>
                <w:rFonts w:ascii="Times New Roman" w:hAnsi="Times New Roman"/>
                <w:sz w:val="22"/>
                <w:lang w:val="sr-Latn-ME"/>
              </w:rPr>
              <w:t>akumulacije</w:t>
            </w:r>
          </w:p>
        </w:tc>
        <w:tc>
          <w:tcPr>
            <w:tcW w:w="2977" w:type="dxa"/>
            <w:tcBorders>
              <w:top w:val="single" w:sz="4" w:space="0" w:color="auto"/>
              <w:left w:val="single" w:sz="4" w:space="0" w:color="auto"/>
              <w:bottom w:val="single" w:sz="4" w:space="0" w:color="auto"/>
              <w:right w:val="single" w:sz="4" w:space="0" w:color="auto"/>
            </w:tcBorders>
          </w:tcPr>
          <w:p w14:paraId="77E5F122"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1.42</w:t>
            </w:r>
          </w:p>
        </w:tc>
        <w:tc>
          <w:tcPr>
            <w:tcW w:w="3147" w:type="dxa"/>
            <w:tcBorders>
              <w:top w:val="single" w:sz="4" w:space="0" w:color="auto"/>
              <w:left w:val="single" w:sz="4" w:space="0" w:color="auto"/>
              <w:bottom w:val="single" w:sz="4" w:space="0" w:color="auto"/>
              <w:right w:val="single" w:sz="4" w:space="0" w:color="auto"/>
            </w:tcBorders>
          </w:tcPr>
          <w:p w14:paraId="4B60A57B"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1.37</w:t>
            </w:r>
          </w:p>
        </w:tc>
      </w:tr>
      <w:tr w:rsidR="00171EA5" w:rsidRPr="005A4F9F" w14:paraId="78C8ED4B" w14:textId="77777777" w:rsidTr="006B57D8">
        <w:trPr>
          <w:cantSplit/>
          <w:trHeight w:val="331"/>
        </w:trPr>
        <w:tc>
          <w:tcPr>
            <w:tcW w:w="2835" w:type="dxa"/>
            <w:tcBorders>
              <w:top w:val="single" w:sz="4" w:space="0" w:color="auto"/>
              <w:left w:val="single" w:sz="4" w:space="0" w:color="auto"/>
              <w:bottom w:val="single" w:sz="4" w:space="0" w:color="auto"/>
              <w:right w:val="single" w:sz="4" w:space="0" w:color="auto"/>
            </w:tcBorders>
            <w:hideMark/>
          </w:tcPr>
          <w:p w14:paraId="3BA1B538"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trough</w:t>
            </w:r>
            <w:r w:rsidR="00376BC6" w:rsidRPr="005A4F9F">
              <w:rPr>
                <w:rFonts w:ascii="Times New Roman" w:hAnsi="Times New Roman"/>
                <w:sz w:val="22"/>
                <w:vertAlign w:val="subscript"/>
                <w:lang w:val="sr-Latn-ME"/>
              </w:rPr>
              <w:t xml:space="preserve"> </w:t>
            </w:r>
            <w:r w:rsidR="00376BC6" w:rsidRPr="005A4F9F">
              <w:rPr>
                <w:rFonts w:ascii="Times New Roman" w:hAnsi="Times New Roman"/>
                <w:sz w:val="22"/>
                <w:lang w:val="sr-Latn-ME"/>
              </w:rPr>
              <w:t>akumulacije</w:t>
            </w:r>
          </w:p>
        </w:tc>
        <w:tc>
          <w:tcPr>
            <w:tcW w:w="2977" w:type="dxa"/>
            <w:tcBorders>
              <w:top w:val="single" w:sz="4" w:space="0" w:color="auto"/>
              <w:left w:val="single" w:sz="4" w:space="0" w:color="auto"/>
              <w:bottom w:val="single" w:sz="4" w:space="0" w:color="auto"/>
              <w:right w:val="single" w:sz="4" w:space="0" w:color="auto"/>
            </w:tcBorders>
          </w:tcPr>
          <w:p w14:paraId="45B1EAF4"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3.20</w:t>
            </w:r>
          </w:p>
        </w:tc>
        <w:tc>
          <w:tcPr>
            <w:tcW w:w="3147" w:type="dxa"/>
            <w:tcBorders>
              <w:top w:val="single" w:sz="4" w:space="0" w:color="auto"/>
              <w:left w:val="single" w:sz="4" w:space="0" w:color="auto"/>
              <w:bottom w:val="single" w:sz="4" w:space="0" w:color="auto"/>
              <w:right w:val="single" w:sz="4" w:space="0" w:color="auto"/>
            </w:tcBorders>
          </w:tcPr>
          <w:p w14:paraId="558F62AA"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3.41</w:t>
            </w:r>
          </w:p>
        </w:tc>
      </w:tr>
      <w:tr w:rsidR="00171EA5" w:rsidRPr="005A4F9F" w14:paraId="2DA04DEA" w14:textId="77777777" w:rsidTr="006B57D8">
        <w:trPr>
          <w:cantSplit/>
          <w:trHeight w:val="331"/>
        </w:trPr>
        <w:tc>
          <w:tcPr>
            <w:tcW w:w="2835" w:type="dxa"/>
            <w:tcBorders>
              <w:top w:val="single" w:sz="4" w:space="0" w:color="auto"/>
              <w:left w:val="single" w:sz="4" w:space="0" w:color="auto"/>
              <w:bottom w:val="single" w:sz="4" w:space="0" w:color="auto"/>
              <w:right w:val="single" w:sz="4" w:space="0" w:color="auto"/>
            </w:tcBorders>
          </w:tcPr>
          <w:p w14:paraId="4F4458C5"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mean</w:t>
            </w:r>
            <w:r w:rsidRPr="005A4F9F">
              <w:rPr>
                <w:rFonts w:ascii="Times New Roman" w:hAnsi="Times New Roman"/>
                <w:sz w:val="22"/>
                <w:lang w:val="sr-Latn-ME"/>
              </w:rPr>
              <w:t xml:space="preserve"> </w:t>
            </w:r>
            <w:r w:rsidR="00376BC6" w:rsidRPr="005A4F9F">
              <w:rPr>
                <w:rFonts w:ascii="Times New Roman" w:hAnsi="Times New Roman"/>
                <w:sz w:val="22"/>
                <w:lang w:val="sr-Latn-ME"/>
              </w:rPr>
              <w:t>ili</w:t>
            </w:r>
            <w:r w:rsidR="009D36B8" w:rsidRPr="005A4F9F">
              <w:rPr>
                <w:rFonts w:ascii="Times New Roman" w:hAnsi="Times New Roman"/>
                <w:sz w:val="22"/>
                <w:lang w:val="sr-Latn-ME"/>
              </w:rPr>
              <w:t xml:space="preserve"> </w:t>
            </w:r>
            <w:r w:rsidRPr="005A4F9F">
              <w:rPr>
                <w:rFonts w:ascii="Times New Roman" w:hAnsi="Times New Roman"/>
                <w:sz w:val="22"/>
                <w:lang w:val="sr-Latn-ME"/>
              </w:rPr>
              <w:t>AUC</w:t>
            </w:r>
            <w:r w:rsidRPr="005A4F9F">
              <w:rPr>
                <w:rFonts w:ascii="Times New Roman" w:hAnsi="Times New Roman"/>
                <w:sz w:val="22"/>
                <w:vertAlign w:val="subscript"/>
                <w:lang w:val="sr-Latn-ME"/>
              </w:rPr>
              <w:t>τ</w:t>
            </w:r>
            <w:r w:rsidRPr="005A4F9F">
              <w:rPr>
                <w:rFonts w:ascii="Times New Roman" w:hAnsi="Times New Roman"/>
                <w:sz w:val="22"/>
                <w:lang w:val="sr-Latn-ME"/>
              </w:rPr>
              <w:t>*</w:t>
            </w:r>
            <w:r w:rsidR="00376BC6" w:rsidRPr="005A4F9F">
              <w:rPr>
                <w:rFonts w:ascii="Times New Roman" w:hAnsi="Times New Roman"/>
                <w:sz w:val="22"/>
                <w:lang w:val="sr-Latn-ME"/>
              </w:rPr>
              <w:t xml:space="preserve"> akumulacije</w:t>
            </w:r>
          </w:p>
        </w:tc>
        <w:tc>
          <w:tcPr>
            <w:tcW w:w="2977" w:type="dxa"/>
            <w:tcBorders>
              <w:top w:val="single" w:sz="4" w:space="0" w:color="auto"/>
              <w:left w:val="single" w:sz="4" w:space="0" w:color="auto"/>
              <w:bottom w:val="single" w:sz="4" w:space="0" w:color="auto"/>
              <w:right w:val="single" w:sz="4" w:space="0" w:color="auto"/>
            </w:tcBorders>
          </w:tcPr>
          <w:p w14:paraId="0C0E6798"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2.01</w:t>
            </w:r>
          </w:p>
        </w:tc>
        <w:tc>
          <w:tcPr>
            <w:tcW w:w="3147" w:type="dxa"/>
            <w:tcBorders>
              <w:top w:val="single" w:sz="4" w:space="0" w:color="auto"/>
              <w:left w:val="single" w:sz="4" w:space="0" w:color="auto"/>
              <w:bottom w:val="single" w:sz="4" w:space="0" w:color="auto"/>
              <w:right w:val="single" w:sz="4" w:space="0" w:color="auto"/>
            </w:tcBorders>
          </w:tcPr>
          <w:p w14:paraId="1FA8E685" w14:textId="77777777"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1.95</w:t>
            </w:r>
          </w:p>
        </w:tc>
      </w:tr>
    </w:tbl>
    <w:p w14:paraId="79D9DC6D" w14:textId="77777777" w:rsidR="00171EA5" w:rsidRPr="008B00DE" w:rsidRDefault="00171EA5">
      <w:pPr>
        <w:widowControl w:val="0"/>
        <w:jc w:val="both"/>
        <w:rPr>
          <w:sz w:val="22"/>
          <w:szCs w:val="22"/>
          <w:lang w:val="sr-Latn-ME"/>
        </w:rPr>
      </w:pPr>
      <w:r w:rsidRPr="008B00DE">
        <w:rPr>
          <w:sz w:val="22"/>
          <w:szCs w:val="22"/>
          <w:lang w:val="sr-Latn-ME"/>
        </w:rPr>
        <w:t xml:space="preserve">*τ = 2 </w:t>
      </w:r>
      <w:r w:rsidR="009D36B8" w:rsidRPr="008B00DE">
        <w:rPr>
          <w:sz w:val="22"/>
          <w:szCs w:val="22"/>
          <w:lang w:val="sr-Latn-ME"/>
        </w:rPr>
        <w:t>ned</w:t>
      </w:r>
      <w:r w:rsidR="00932872" w:rsidRPr="008B00DE">
        <w:rPr>
          <w:sz w:val="22"/>
          <w:szCs w:val="22"/>
          <w:lang w:val="sr-Latn-ME"/>
        </w:rPr>
        <w:t>j</w:t>
      </w:r>
      <w:r w:rsidR="009D36B8" w:rsidRPr="008B00DE">
        <w:rPr>
          <w:sz w:val="22"/>
          <w:szCs w:val="22"/>
          <w:lang w:val="sr-Latn-ME"/>
        </w:rPr>
        <w:t>elje za intravenske režime</w:t>
      </w:r>
      <w:r w:rsidRPr="008B00DE">
        <w:rPr>
          <w:sz w:val="22"/>
          <w:szCs w:val="22"/>
          <w:lang w:val="sr-Latn-ME"/>
        </w:rPr>
        <w:t xml:space="preserve"> </w:t>
      </w:r>
    </w:p>
    <w:p w14:paraId="35EA3A4F" w14:textId="77777777" w:rsidR="00171EA5" w:rsidRPr="005A4F9F" w:rsidRDefault="00171EA5">
      <w:pPr>
        <w:widowControl w:val="0"/>
        <w:numPr>
          <w:ilvl w:val="12"/>
          <w:numId w:val="0"/>
        </w:numPr>
        <w:jc w:val="both"/>
        <w:rPr>
          <w:sz w:val="22"/>
          <w:szCs w:val="22"/>
          <w:lang w:val="sr-Latn-ME"/>
        </w:rPr>
      </w:pPr>
    </w:p>
    <w:p w14:paraId="75CBB426" w14:textId="4FFA1D5D" w:rsidR="00171EA5" w:rsidRPr="005A4F9F" w:rsidRDefault="009D36B8">
      <w:pPr>
        <w:widowControl w:val="0"/>
        <w:numPr>
          <w:ilvl w:val="12"/>
          <w:numId w:val="0"/>
        </w:numPr>
        <w:jc w:val="both"/>
        <w:rPr>
          <w:sz w:val="22"/>
          <w:szCs w:val="22"/>
          <w:lang w:val="sr-Latn-ME"/>
        </w:rPr>
      </w:pPr>
      <w:r w:rsidRPr="005A4F9F">
        <w:rPr>
          <w:iCs/>
          <w:sz w:val="22"/>
          <w:szCs w:val="22"/>
          <w:lang w:val="sr-Latn-ME"/>
        </w:rPr>
        <w:t>Nakon intravenske primjene</w:t>
      </w:r>
      <w:r w:rsidR="00171EA5" w:rsidRPr="005A4F9F">
        <w:rPr>
          <w:iCs/>
          <w:sz w:val="22"/>
          <w:szCs w:val="22"/>
          <w:lang w:val="sr-Latn-ME"/>
        </w:rPr>
        <w:t xml:space="preserve">, </w:t>
      </w:r>
      <w:r w:rsidRPr="005A4F9F">
        <w:rPr>
          <w:iCs/>
          <w:sz w:val="22"/>
          <w:szCs w:val="22"/>
          <w:lang w:val="sr-Latn-ME"/>
        </w:rPr>
        <w:t>kod</w:t>
      </w:r>
      <w:r w:rsidR="00171EA5" w:rsidRPr="005A4F9F">
        <w:rPr>
          <w:iCs/>
          <w:sz w:val="22"/>
          <w:szCs w:val="22"/>
          <w:lang w:val="sr-Latn-ME"/>
        </w:rPr>
        <w:t xml:space="preserve"> </w:t>
      </w:r>
      <w:r w:rsidRPr="005A4F9F">
        <w:rPr>
          <w:iCs/>
          <w:sz w:val="22"/>
          <w:szCs w:val="22"/>
          <w:lang w:val="sr-Latn-ME"/>
        </w:rPr>
        <w:t xml:space="preserve">približno </w:t>
      </w:r>
      <w:r w:rsidR="00171EA5" w:rsidRPr="005A4F9F">
        <w:rPr>
          <w:iCs/>
          <w:sz w:val="22"/>
          <w:szCs w:val="22"/>
          <w:lang w:val="sr-Latn-ME"/>
        </w:rPr>
        <w:t xml:space="preserve">90% </w:t>
      </w:r>
      <w:r w:rsidRPr="005A4F9F">
        <w:rPr>
          <w:iCs/>
          <w:sz w:val="22"/>
          <w:szCs w:val="22"/>
          <w:lang w:val="sr-Latn-ME"/>
        </w:rPr>
        <w:t>pacijenata zab</w:t>
      </w:r>
      <w:r w:rsidR="00932872" w:rsidRPr="005A4F9F">
        <w:rPr>
          <w:iCs/>
          <w:sz w:val="22"/>
          <w:szCs w:val="22"/>
          <w:lang w:val="sr-Latn-ME"/>
        </w:rPr>
        <w:t>i</w:t>
      </w:r>
      <w:r w:rsidRPr="005A4F9F">
        <w:rPr>
          <w:iCs/>
          <w:sz w:val="22"/>
          <w:szCs w:val="22"/>
          <w:lang w:val="sr-Latn-ME"/>
        </w:rPr>
        <w:t>l</w:t>
      </w:r>
      <w:r w:rsidR="00932872" w:rsidRPr="005A4F9F">
        <w:rPr>
          <w:iCs/>
          <w:sz w:val="22"/>
          <w:szCs w:val="22"/>
          <w:lang w:val="sr-Latn-ME"/>
        </w:rPr>
        <w:t>j</w:t>
      </w:r>
      <w:r w:rsidRPr="005A4F9F">
        <w:rPr>
          <w:iCs/>
          <w:sz w:val="22"/>
          <w:szCs w:val="22"/>
          <w:lang w:val="sr-Latn-ME"/>
        </w:rPr>
        <w:t>eženo je postignuto stanje dinamičke ravnoteže do 8</w:t>
      </w:r>
      <w:r w:rsidR="00197B99" w:rsidRPr="005A4F9F">
        <w:rPr>
          <w:iCs/>
          <w:sz w:val="22"/>
          <w:szCs w:val="22"/>
          <w:lang w:val="sr-Latn-ME"/>
        </w:rPr>
        <w:t>.</w:t>
      </w:r>
      <w:r w:rsidRPr="005A4F9F">
        <w:rPr>
          <w:iCs/>
          <w:sz w:val="22"/>
          <w:szCs w:val="22"/>
          <w:lang w:val="sr-Latn-ME"/>
        </w:rPr>
        <w:t xml:space="preserve"> ned</w:t>
      </w:r>
      <w:r w:rsidR="00932872" w:rsidRPr="005A4F9F">
        <w:rPr>
          <w:iCs/>
          <w:sz w:val="22"/>
          <w:szCs w:val="22"/>
          <w:lang w:val="sr-Latn-ME"/>
        </w:rPr>
        <w:t>j</w:t>
      </w:r>
      <w:r w:rsidRPr="005A4F9F">
        <w:rPr>
          <w:iCs/>
          <w:sz w:val="22"/>
          <w:szCs w:val="22"/>
          <w:lang w:val="sr-Latn-ME"/>
        </w:rPr>
        <w:t xml:space="preserve">elje za oba režima, </w:t>
      </w:r>
      <w:r w:rsidR="00171EA5" w:rsidRPr="005A4F9F">
        <w:rPr>
          <w:iCs/>
          <w:sz w:val="22"/>
          <w:szCs w:val="22"/>
          <w:lang w:val="sr-Latn-ME"/>
        </w:rPr>
        <w:t>12 mg/kg (</w:t>
      </w:r>
      <w:r w:rsidRPr="005A4F9F">
        <w:rPr>
          <w:iCs/>
          <w:sz w:val="22"/>
          <w:szCs w:val="22"/>
          <w:lang w:val="sr-Latn-ME"/>
        </w:rPr>
        <w:t>t</w:t>
      </w:r>
      <w:r w:rsidR="00932872" w:rsidRPr="005A4F9F">
        <w:rPr>
          <w:iCs/>
          <w:sz w:val="22"/>
          <w:szCs w:val="22"/>
          <w:lang w:val="sr-Latn-ME"/>
        </w:rPr>
        <w:t>j</w:t>
      </w:r>
      <w:r w:rsidRPr="005A4F9F">
        <w:rPr>
          <w:iCs/>
          <w:sz w:val="22"/>
          <w:szCs w:val="22"/>
          <w:lang w:val="sr-Latn-ME"/>
        </w:rPr>
        <w:t>elesna težina</w:t>
      </w:r>
      <w:r w:rsidR="00171EA5" w:rsidRPr="005A4F9F">
        <w:rPr>
          <w:iCs/>
          <w:sz w:val="22"/>
          <w:szCs w:val="22"/>
          <w:lang w:val="sr-Latn-ME"/>
        </w:rPr>
        <w:t xml:space="preserve"> &lt; 30 kg) </w:t>
      </w:r>
      <w:r w:rsidRPr="005A4F9F">
        <w:rPr>
          <w:iCs/>
          <w:sz w:val="22"/>
          <w:szCs w:val="22"/>
          <w:lang w:val="sr-Latn-ME"/>
        </w:rPr>
        <w:t xml:space="preserve">i </w:t>
      </w:r>
      <w:r w:rsidR="00171EA5" w:rsidRPr="005A4F9F">
        <w:rPr>
          <w:iCs/>
          <w:sz w:val="22"/>
          <w:szCs w:val="22"/>
          <w:lang w:val="sr-Latn-ME"/>
        </w:rPr>
        <w:t xml:space="preserve">8 mg/kg </w:t>
      </w:r>
      <w:r w:rsidRPr="005A4F9F">
        <w:rPr>
          <w:iCs/>
          <w:sz w:val="22"/>
          <w:szCs w:val="22"/>
          <w:lang w:val="sr-Latn-ME"/>
        </w:rPr>
        <w:t>svake druge nedjelje</w:t>
      </w:r>
      <w:r w:rsidR="00171EA5" w:rsidRPr="005A4F9F">
        <w:rPr>
          <w:iCs/>
          <w:sz w:val="22"/>
          <w:szCs w:val="22"/>
          <w:lang w:val="sr-Latn-ME"/>
        </w:rPr>
        <w:t xml:space="preserve"> (</w:t>
      </w:r>
      <w:r w:rsidRPr="005A4F9F">
        <w:rPr>
          <w:iCs/>
          <w:sz w:val="22"/>
          <w:szCs w:val="22"/>
          <w:lang w:val="sr-Latn-ME"/>
        </w:rPr>
        <w:t>t</w:t>
      </w:r>
      <w:r w:rsidR="008B3674" w:rsidRPr="005A4F9F">
        <w:rPr>
          <w:iCs/>
          <w:sz w:val="22"/>
          <w:szCs w:val="22"/>
          <w:lang w:val="sr-Latn-ME"/>
        </w:rPr>
        <w:t>j</w:t>
      </w:r>
      <w:r w:rsidRPr="005A4F9F">
        <w:rPr>
          <w:iCs/>
          <w:sz w:val="22"/>
          <w:szCs w:val="22"/>
          <w:lang w:val="sr-Latn-ME"/>
        </w:rPr>
        <w:t>elesna težina</w:t>
      </w:r>
      <w:r w:rsidR="00171EA5" w:rsidRPr="005A4F9F">
        <w:rPr>
          <w:iCs/>
          <w:sz w:val="22"/>
          <w:szCs w:val="22"/>
          <w:lang w:val="sr-Latn-ME"/>
        </w:rPr>
        <w:t xml:space="preserve"> ≥ 30 kg).</w:t>
      </w:r>
    </w:p>
    <w:p w14:paraId="22CB12A3" w14:textId="77777777" w:rsidR="00171EA5" w:rsidRPr="005A4F9F" w:rsidRDefault="00171EA5">
      <w:pPr>
        <w:widowControl w:val="0"/>
        <w:jc w:val="both"/>
        <w:rPr>
          <w:sz w:val="22"/>
          <w:szCs w:val="22"/>
          <w:lang w:val="sr-Latn-ME"/>
        </w:rPr>
      </w:pPr>
    </w:p>
    <w:p w14:paraId="6396C25E" w14:textId="48ADEE64" w:rsidR="00763105" w:rsidRPr="005A4F9F" w:rsidRDefault="00763105">
      <w:pPr>
        <w:widowControl w:val="0"/>
        <w:jc w:val="both"/>
        <w:rPr>
          <w:sz w:val="22"/>
          <w:szCs w:val="22"/>
          <w:lang w:val="sr-Latn-ME"/>
        </w:rPr>
      </w:pPr>
      <w:r w:rsidRPr="005A4F9F">
        <w:rPr>
          <w:sz w:val="22"/>
          <w:szCs w:val="22"/>
          <w:lang w:val="sr-Latn-ME"/>
        </w:rPr>
        <w:t>Kod</w:t>
      </w:r>
      <w:r w:rsidRPr="005A4F9F">
        <w:rPr>
          <w:spacing w:val="41"/>
          <w:sz w:val="22"/>
          <w:szCs w:val="22"/>
          <w:lang w:val="sr-Latn-ME"/>
        </w:rPr>
        <w:t xml:space="preserve"> </w:t>
      </w:r>
      <w:r w:rsidRPr="005A4F9F">
        <w:rPr>
          <w:spacing w:val="-1"/>
          <w:sz w:val="22"/>
          <w:szCs w:val="22"/>
          <w:lang w:val="sr-Latn-ME"/>
        </w:rPr>
        <w:t>sJIA</w:t>
      </w:r>
      <w:r w:rsidRPr="005A4F9F">
        <w:rPr>
          <w:spacing w:val="40"/>
          <w:sz w:val="22"/>
          <w:szCs w:val="22"/>
          <w:lang w:val="sr-Latn-ME"/>
        </w:rPr>
        <w:t xml:space="preserve"> </w:t>
      </w:r>
      <w:r w:rsidRPr="005A4F9F">
        <w:rPr>
          <w:spacing w:val="-1"/>
          <w:sz w:val="22"/>
          <w:szCs w:val="22"/>
          <w:lang w:val="sr-Latn-ME"/>
        </w:rPr>
        <w:t>pacijenata,</w:t>
      </w:r>
      <w:r w:rsidRPr="005A4F9F">
        <w:rPr>
          <w:spacing w:val="41"/>
          <w:sz w:val="22"/>
          <w:szCs w:val="22"/>
          <w:lang w:val="sr-Latn-ME"/>
        </w:rPr>
        <w:t xml:space="preserve"> </w:t>
      </w:r>
      <w:r w:rsidRPr="005A4F9F">
        <w:rPr>
          <w:spacing w:val="-1"/>
          <w:sz w:val="22"/>
          <w:szCs w:val="22"/>
          <w:lang w:val="sr-Latn-ME"/>
        </w:rPr>
        <w:t>centralni</w:t>
      </w:r>
      <w:r w:rsidRPr="005A4F9F">
        <w:rPr>
          <w:spacing w:val="42"/>
          <w:sz w:val="22"/>
          <w:szCs w:val="22"/>
          <w:lang w:val="sr-Latn-ME"/>
        </w:rPr>
        <w:t xml:space="preserve"> </w:t>
      </w:r>
      <w:r w:rsidRPr="005A4F9F">
        <w:rPr>
          <w:spacing w:val="-1"/>
          <w:sz w:val="22"/>
          <w:szCs w:val="22"/>
          <w:lang w:val="sr-Latn-ME"/>
        </w:rPr>
        <w:t>volumen</w:t>
      </w:r>
      <w:r w:rsidRPr="005A4F9F">
        <w:rPr>
          <w:spacing w:val="41"/>
          <w:sz w:val="22"/>
          <w:szCs w:val="22"/>
          <w:lang w:val="sr-Latn-ME"/>
        </w:rPr>
        <w:t xml:space="preserve"> </w:t>
      </w:r>
      <w:r w:rsidRPr="005A4F9F">
        <w:rPr>
          <w:spacing w:val="-1"/>
          <w:sz w:val="22"/>
          <w:szCs w:val="22"/>
          <w:lang w:val="sr-Latn-ME"/>
        </w:rPr>
        <w:t>distribucije</w:t>
      </w:r>
      <w:r w:rsidRPr="005A4F9F">
        <w:rPr>
          <w:spacing w:val="39"/>
          <w:sz w:val="22"/>
          <w:szCs w:val="22"/>
          <w:lang w:val="sr-Latn-ME"/>
        </w:rPr>
        <w:t xml:space="preserve"> </w:t>
      </w:r>
      <w:r w:rsidRPr="005A4F9F">
        <w:rPr>
          <w:sz w:val="22"/>
          <w:szCs w:val="22"/>
          <w:lang w:val="sr-Latn-ME"/>
        </w:rPr>
        <w:t>iznosio</w:t>
      </w:r>
      <w:r w:rsidRPr="005A4F9F">
        <w:rPr>
          <w:spacing w:val="38"/>
          <w:sz w:val="22"/>
          <w:szCs w:val="22"/>
          <w:lang w:val="sr-Latn-ME"/>
        </w:rPr>
        <w:t xml:space="preserve"> </w:t>
      </w:r>
      <w:r w:rsidRPr="005A4F9F">
        <w:rPr>
          <w:sz w:val="22"/>
          <w:szCs w:val="22"/>
          <w:lang w:val="sr-Latn-ME"/>
        </w:rPr>
        <w:t>je</w:t>
      </w:r>
      <w:r w:rsidRPr="005A4F9F">
        <w:rPr>
          <w:spacing w:val="41"/>
          <w:sz w:val="22"/>
          <w:szCs w:val="22"/>
          <w:lang w:val="sr-Latn-ME"/>
        </w:rPr>
        <w:t xml:space="preserve"> </w:t>
      </w:r>
      <w:r w:rsidR="00171EA5" w:rsidRPr="005A4F9F">
        <w:rPr>
          <w:sz w:val="22"/>
          <w:szCs w:val="22"/>
          <w:lang w:val="sr-Latn-ME"/>
        </w:rPr>
        <w:t xml:space="preserve">1.87 </w:t>
      </w:r>
      <w:r w:rsidR="00932872" w:rsidRPr="005A4F9F">
        <w:rPr>
          <w:sz w:val="22"/>
          <w:szCs w:val="22"/>
          <w:lang w:val="sr-Latn-ME"/>
        </w:rPr>
        <w:t>l</w:t>
      </w:r>
      <w:r w:rsidRPr="005A4F9F">
        <w:rPr>
          <w:spacing w:val="-1"/>
          <w:sz w:val="22"/>
          <w:szCs w:val="22"/>
          <w:lang w:val="sr-Latn-ME"/>
        </w:rPr>
        <w:t>,</w:t>
      </w:r>
      <w:r w:rsidRPr="005A4F9F">
        <w:rPr>
          <w:spacing w:val="41"/>
          <w:sz w:val="22"/>
          <w:szCs w:val="22"/>
          <w:lang w:val="sr-Latn-ME"/>
        </w:rPr>
        <w:t xml:space="preserve"> </w:t>
      </w:r>
      <w:r w:rsidRPr="005A4F9F">
        <w:rPr>
          <w:sz w:val="22"/>
          <w:szCs w:val="22"/>
          <w:lang w:val="sr-Latn-ME"/>
        </w:rPr>
        <w:t>a</w:t>
      </w:r>
      <w:r w:rsidRPr="005A4F9F">
        <w:rPr>
          <w:spacing w:val="41"/>
          <w:sz w:val="22"/>
          <w:szCs w:val="22"/>
          <w:lang w:val="sr-Latn-ME"/>
        </w:rPr>
        <w:t xml:space="preserve"> </w:t>
      </w:r>
      <w:r w:rsidRPr="005A4F9F">
        <w:rPr>
          <w:spacing w:val="-1"/>
          <w:sz w:val="22"/>
          <w:szCs w:val="22"/>
          <w:lang w:val="sr-Latn-ME"/>
        </w:rPr>
        <w:t>periferni</w:t>
      </w:r>
      <w:r w:rsidRPr="005A4F9F">
        <w:rPr>
          <w:spacing w:val="42"/>
          <w:sz w:val="22"/>
          <w:szCs w:val="22"/>
          <w:lang w:val="sr-Latn-ME"/>
        </w:rPr>
        <w:t xml:space="preserve"> </w:t>
      </w:r>
      <w:r w:rsidRPr="005A4F9F">
        <w:rPr>
          <w:spacing w:val="-1"/>
          <w:sz w:val="22"/>
          <w:szCs w:val="22"/>
          <w:lang w:val="sr-Latn-ME"/>
        </w:rPr>
        <w:t>volumen</w:t>
      </w:r>
      <w:r w:rsidRPr="005A4F9F">
        <w:rPr>
          <w:spacing w:val="41"/>
          <w:sz w:val="22"/>
          <w:szCs w:val="22"/>
          <w:lang w:val="sr-Latn-ME"/>
        </w:rPr>
        <w:t xml:space="preserve"> </w:t>
      </w:r>
      <w:r w:rsidRPr="005A4F9F">
        <w:rPr>
          <w:spacing w:val="-1"/>
          <w:sz w:val="22"/>
          <w:szCs w:val="22"/>
          <w:lang w:val="sr-Latn-ME"/>
        </w:rPr>
        <w:t>distirbucije</w:t>
      </w:r>
      <w:r w:rsidRPr="005A4F9F">
        <w:rPr>
          <w:spacing w:val="39"/>
          <w:sz w:val="22"/>
          <w:szCs w:val="22"/>
          <w:lang w:val="sr-Latn-ME"/>
        </w:rPr>
        <w:t xml:space="preserve"> </w:t>
      </w:r>
      <w:r w:rsidRPr="005A4F9F">
        <w:rPr>
          <w:spacing w:val="1"/>
          <w:sz w:val="22"/>
          <w:szCs w:val="22"/>
          <w:lang w:val="sr-Latn-ME"/>
        </w:rPr>
        <w:t>je</w:t>
      </w:r>
      <w:r w:rsidRPr="005A4F9F">
        <w:rPr>
          <w:spacing w:val="85"/>
          <w:sz w:val="22"/>
          <w:szCs w:val="22"/>
          <w:lang w:val="sr-Latn-ME"/>
        </w:rPr>
        <w:t xml:space="preserve"> </w:t>
      </w:r>
      <w:r w:rsidRPr="005A4F9F">
        <w:rPr>
          <w:sz w:val="22"/>
          <w:szCs w:val="22"/>
          <w:lang w:val="sr-Latn-ME"/>
        </w:rPr>
        <w:t>iznosio</w:t>
      </w:r>
      <w:r w:rsidRPr="005A4F9F">
        <w:rPr>
          <w:spacing w:val="5"/>
          <w:sz w:val="22"/>
          <w:szCs w:val="22"/>
          <w:lang w:val="sr-Latn-ME"/>
        </w:rPr>
        <w:t xml:space="preserve"> </w:t>
      </w:r>
      <w:r w:rsidR="00171EA5" w:rsidRPr="005A4F9F">
        <w:rPr>
          <w:sz w:val="22"/>
          <w:szCs w:val="22"/>
          <w:lang w:val="sr-Latn-ME"/>
        </w:rPr>
        <w:t>2</w:t>
      </w:r>
      <w:r w:rsidR="00932872" w:rsidRPr="005A4F9F">
        <w:rPr>
          <w:sz w:val="22"/>
          <w:szCs w:val="22"/>
          <w:lang w:val="sr-Latn-ME"/>
        </w:rPr>
        <w:t>,</w:t>
      </w:r>
      <w:r w:rsidR="00171EA5" w:rsidRPr="005A4F9F">
        <w:rPr>
          <w:sz w:val="22"/>
          <w:szCs w:val="22"/>
          <w:lang w:val="sr-Latn-ME"/>
        </w:rPr>
        <w:t>14 L</w:t>
      </w:r>
      <w:r w:rsidRPr="005A4F9F">
        <w:rPr>
          <w:spacing w:val="2"/>
          <w:sz w:val="22"/>
          <w:szCs w:val="22"/>
          <w:lang w:val="sr-Latn-ME"/>
        </w:rPr>
        <w:t xml:space="preserve"> </w:t>
      </w:r>
      <w:r w:rsidRPr="005A4F9F">
        <w:rPr>
          <w:sz w:val="22"/>
          <w:szCs w:val="22"/>
          <w:lang w:val="sr-Latn-ME"/>
        </w:rPr>
        <w:t>,</w:t>
      </w:r>
      <w:r w:rsidRPr="005A4F9F">
        <w:rPr>
          <w:spacing w:val="5"/>
          <w:sz w:val="22"/>
          <w:szCs w:val="22"/>
          <w:lang w:val="sr-Latn-ME"/>
        </w:rPr>
        <w:t xml:space="preserve"> </w:t>
      </w:r>
      <w:r w:rsidRPr="005A4F9F">
        <w:rPr>
          <w:sz w:val="22"/>
          <w:szCs w:val="22"/>
          <w:lang w:val="sr-Latn-ME"/>
        </w:rPr>
        <w:t>što</w:t>
      </w:r>
      <w:r w:rsidRPr="005A4F9F">
        <w:rPr>
          <w:spacing w:val="5"/>
          <w:sz w:val="22"/>
          <w:szCs w:val="22"/>
          <w:lang w:val="sr-Latn-ME"/>
        </w:rPr>
        <w:t xml:space="preserve"> </w:t>
      </w:r>
      <w:r w:rsidRPr="005A4F9F">
        <w:rPr>
          <w:sz w:val="22"/>
          <w:szCs w:val="22"/>
          <w:lang w:val="sr-Latn-ME"/>
        </w:rPr>
        <w:t>daje</w:t>
      </w:r>
      <w:r w:rsidRPr="005A4F9F">
        <w:rPr>
          <w:spacing w:val="3"/>
          <w:sz w:val="22"/>
          <w:szCs w:val="22"/>
          <w:lang w:val="sr-Latn-ME"/>
        </w:rPr>
        <w:t xml:space="preserve"> </w:t>
      </w:r>
      <w:r w:rsidRPr="005A4F9F">
        <w:rPr>
          <w:spacing w:val="-1"/>
          <w:sz w:val="22"/>
          <w:szCs w:val="22"/>
          <w:lang w:val="sr-Latn-ME"/>
        </w:rPr>
        <w:t>ukupni</w:t>
      </w:r>
      <w:r w:rsidRPr="005A4F9F">
        <w:rPr>
          <w:spacing w:val="6"/>
          <w:sz w:val="22"/>
          <w:szCs w:val="22"/>
          <w:lang w:val="sr-Latn-ME"/>
        </w:rPr>
        <w:t xml:space="preserve"> </w:t>
      </w:r>
      <w:r w:rsidRPr="005A4F9F">
        <w:rPr>
          <w:spacing w:val="-1"/>
          <w:sz w:val="22"/>
          <w:szCs w:val="22"/>
          <w:lang w:val="sr-Latn-ME"/>
        </w:rPr>
        <w:t>volumen</w:t>
      </w:r>
      <w:r w:rsidRPr="005A4F9F">
        <w:rPr>
          <w:spacing w:val="5"/>
          <w:sz w:val="22"/>
          <w:szCs w:val="22"/>
          <w:lang w:val="sr-Latn-ME"/>
        </w:rPr>
        <w:t xml:space="preserve"> </w:t>
      </w:r>
      <w:r w:rsidRPr="005A4F9F">
        <w:rPr>
          <w:spacing w:val="-1"/>
          <w:sz w:val="22"/>
          <w:szCs w:val="22"/>
          <w:lang w:val="sr-Latn-ME"/>
        </w:rPr>
        <w:t>distribucije</w:t>
      </w:r>
      <w:r w:rsidRPr="005A4F9F">
        <w:rPr>
          <w:spacing w:val="5"/>
          <w:sz w:val="22"/>
          <w:szCs w:val="22"/>
          <w:lang w:val="sr-Latn-ME"/>
        </w:rPr>
        <w:t xml:space="preserve"> </w:t>
      </w:r>
      <w:r w:rsidRPr="005A4F9F">
        <w:rPr>
          <w:sz w:val="22"/>
          <w:szCs w:val="22"/>
          <w:lang w:val="sr-Latn-ME"/>
        </w:rPr>
        <w:t>od</w:t>
      </w:r>
      <w:r w:rsidRPr="005A4F9F">
        <w:rPr>
          <w:spacing w:val="5"/>
          <w:sz w:val="22"/>
          <w:szCs w:val="22"/>
          <w:lang w:val="sr-Latn-ME"/>
        </w:rPr>
        <w:t xml:space="preserve"> </w:t>
      </w:r>
      <w:r w:rsidR="00171EA5" w:rsidRPr="005A4F9F">
        <w:rPr>
          <w:sz w:val="22"/>
          <w:szCs w:val="22"/>
          <w:lang w:val="sr-Latn-ME"/>
        </w:rPr>
        <w:t>4</w:t>
      </w:r>
      <w:r w:rsidR="00932872" w:rsidRPr="005A4F9F">
        <w:rPr>
          <w:sz w:val="22"/>
          <w:szCs w:val="22"/>
          <w:lang w:val="sr-Latn-ME"/>
        </w:rPr>
        <w:t>,</w:t>
      </w:r>
      <w:r w:rsidR="00171EA5" w:rsidRPr="005A4F9F">
        <w:rPr>
          <w:sz w:val="22"/>
          <w:szCs w:val="22"/>
          <w:lang w:val="sr-Latn-ME"/>
        </w:rPr>
        <w:t>01 L</w:t>
      </w:r>
      <w:r w:rsidRPr="005A4F9F">
        <w:rPr>
          <w:spacing w:val="-1"/>
          <w:sz w:val="22"/>
          <w:szCs w:val="22"/>
          <w:lang w:val="sr-Latn-ME"/>
        </w:rPr>
        <w:t>.</w:t>
      </w:r>
      <w:r w:rsidRPr="005A4F9F">
        <w:rPr>
          <w:spacing w:val="5"/>
          <w:sz w:val="22"/>
          <w:szCs w:val="22"/>
          <w:lang w:val="sr-Latn-ME"/>
        </w:rPr>
        <w:t xml:space="preserve"> </w:t>
      </w:r>
      <w:r w:rsidRPr="005A4F9F">
        <w:rPr>
          <w:spacing w:val="-1"/>
          <w:sz w:val="22"/>
          <w:szCs w:val="22"/>
          <w:lang w:val="sr-Latn-ME"/>
        </w:rPr>
        <w:t>Linearni</w:t>
      </w:r>
      <w:r w:rsidRPr="005A4F9F">
        <w:rPr>
          <w:spacing w:val="6"/>
          <w:sz w:val="22"/>
          <w:szCs w:val="22"/>
          <w:lang w:val="sr-Latn-ME"/>
        </w:rPr>
        <w:t xml:space="preserve"> </w:t>
      </w:r>
      <w:r w:rsidRPr="005A4F9F">
        <w:rPr>
          <w:spacing w:val="-1"/>
          <w:sz w:val="22"/>
          <w:szCs w:val="22"/>
          <w:lang w:val="sr-Latn-ME"/>
        </w:rPr>
        <w:t>klirens</w:t>
      </w:r>
      <w:r w:rsidRPr="005A4F9F">
        <w:rPr>
          <w:spacing w:val="5"/>
          <w:sz w:val="22"/>
          <w:szCs w:val="22"/>
          <w:lang w:val="sr-Latn-ME"/>
        </w:rPr>
        <w:t xml:space="preserve"> </w:t>
      </w:r>
      <w:r w:rsidRPr="005A4F9F">
        <w:rPr>
          <w:spacing w:val="-1"/>
          <w:sz w:val="22"/>
          <w:szCs w:val="22"/>
          <w:lang w:val="sr-Latn-ME"/>
        </w:rPr>
        <w:t>proc</w:t>
      </w:r>
      <w:r w:rsidR="00932872" w:rsidRPr="005A4F9F">
        <w:rPr>
          <w:spacing w:val="-1"/>
          <w:sz w:val="22"/>
          <w:szCs w:val="22"/>
          <w:lang w:val="sr-Latn-ME"/>
        </w:rPr>
        <w:t>i</w:t>
      </w:r>
      <w:r w:rsidRPr="005A4F9F">
        <w:rPr>
          <w:spacing w:val="-1"/>
          <w:sz w:val="22"/>
          <w:szCs w:val="22"/>
          <w:lang w:val="sr-Latn-ME"/>
        </w:rPr>
        <w:t>jenjen</w:t>
      </w:r>
      <w:r w:rsidRPr="005A4F9F">
        <w:rPr>
          <w:spacing w:val="5"/>
          <w:sz w:val="22"/>
          <w:szCs w:val="22"/>
          <w:lang w:val="sr-Latn-ME"/>
        </w:rPr>
        <w:t xml:space="preserve"> </w:t>
      </w:r>
      <w:r w:rsidRPr="005A4F9F">
        <w:rPr>
          <w:spacing w:val="-1"/>
          <w:sz w:val="22"/>
          <w:szCs w:val="22"/>
          <w:lang w:val="sr-Latn-ME"/>
        </w:rPr>
        <w:t>kao</w:t>
      </w:r>
      <w:r w:rsidRPr="005A4F9F">
        <w:rPr>
          <w:spacing w:val="5"/>
          <w:sz w:val="22"/>
          <w:szCs w:val="22"/>
          <w:lang w:val="sr-Latn-ME"/>
        </w:rPr>
        <w:t xml:space="preserve"> </w:t>
      </w:r>
      <w:r w:rsidRPr="005A4F9F">
        <w:rPr>
          <w:spacing w:val="-1"/>
          <w:sz w:val="22"/>
          <w:szCs w:val="22"/>
          <w:lang w:val="sr-Latn-ME"/>
        </w:rPr>
        <w:t>parametar</w:t>
      </w:r>
      <w:r w:rsidRPr="005A4F9F">
        <w:rPr>
          <w:spacing w:val="5"/>
          <w:sz w:val="22"/>
          <w:szCs w:val="22"/>
          <w:lang w:val="sr-Latn-ME"/>
        </w:rPr>
        <w:t xml:space="preserve"> </w:t>
      </w:r>
      <w:r w:rsidRPr="005A4F9F">
        <w:rPr>
          <w:sz w:val="22"/>
          <w:szCs w:val="22"/>
          <w:lang w:val="sr-Latn-ME"/>
        </w:rPr>
        <w:t>u</w:t>
      </w:r>
      <w:r w:rsidRPr="005A4F9F">
        <w:rPr>
          <w:spacing w:val="61"/>
          <w:sz w:val="22"/>
          <w:szCs w:val="22"/>
          <w:lang w:val="sr-Latn-ME"/>
        </w:rPr>
        <w:t xml:space="preserve"> </w:t>
      </w:r>
      <w:r w:rsidRPr="005A4F9F">
        <w:rPr>
          <w:spacing w:val="-1"/>
          <w:sz w:val="22"/>
          <w:szCs w:val="22"/>
          <w:lang w:val="sr-Latn-ME"/>
        </w:rPr>
        <w:t>populacionoj</w:t>
      </w:r>
      <w:r w:rsidRPr="005A4F9F">
        <w:rPr>
          <w:spacing w:val="1"/>
          <w:sz w:val="22"/>
          <w:szCs w:val="22"/>
          <w:lang w:val="sr-Latn-ME"/>
        </w:rPr>
        <w:t xml:space="preserve"> </w:t>
      </w:r>
      <w:r w:rsidRPr="005A4F9F">
        <w:rPr>
          <w:spacing w:val="-1"/>
          <w:sz w:val="22"/>
          <w:szCs w:val="22"/>
          <w:lang w:val="sr-Latn-ME"/>
        </w:rPr>
        <w:t>farmakokinetičkoj</w:t>
      </w:r>
      <w:r w:rsidRPr="005A4F9F">
        <w:rPr>
          <w:spacing w:val="1"/>
          <w:sz w:val="22"/>
          <w:szCs w:val="22"/>
          <w:lang w:val="sr-Latn-ME"/>
        </w:rPr>
        <w:t xml:space="preserve"> </w:t>
      </w:r>
      <w:r w:rsidRPr="005A4F9F">
        <w:rPr>
          <w:spacing w:val="-1"/>
          <w:sz w:val="22"/>
          <w:szCs w:val="22"/>
          <w:lang w:val="sr-Latn-ME"/>
        </w:rPr>
        <w:t>analizi</w:t>
      </w:r>
      <w:r w:rsidR="00486ACD" w:rsidRPr="005A4F9F">
        <w:rPr>
          <w:spacing w:val="-1"/>
          <w:sz w:val="22"/>
          <w:szCs w:val="22"/>
          <w:lang w:val="sr-Latn-ME"/>
        </w:rPr>
        <w:t xml:space="preserve">  </w:t>
      </w:r>
      <w:r w:rsidRPr="005A4F9F">
        <w:rPr>
          <w:spacing w:val="-2"/>
          <w:sz w:val="22"/>
          <w:szCs w:val="22"/>
          <w:lang w:val="sr-Latn-ME"/>
        </w:rPr>
        <w:t xml:space="preserve"> </w:t>
      </w:r>
      <w:r w:rsidRPr="005A4F9F">
        <w:rPr>
          <w:sz w:val="22"/>
          <w:szCs w:val="22"/>
          <w:lang w:val="sr-Latn-ME"/>
        </w:rPr>
        <w:t>iznosio</w:t>
      </w:r>
      <w:r w:rsidRPr="005A4F9F">
        <w:rPr>
          <w:spacing w:val="-3"/>
          <w:sz w:val="22"/>
          <w:szCs w:val="22"/>
          <w:lang w:val="sr-Latn-ME"/>
        </w:rPr>
        <w:t xml:space="preserve"> </w:t>
      </w:r>
      <w:r w:rsidRPr="005A4F9F">
        <w:rPr>
          <w:sz w:val="22"/>
          <w:szCs w:val="22"/>
          <w:lang w:val="sr-Latn-ME"/>
        </w:rPr>
        <w:t xml:space="preserve">je </w:t>
      </w:r>
      <w:r w:rsidR="00171EA5" w:rsidRPr="005A4F9F">
        <w:rPr>
          <w:spacing w:val="-2"/>
          <w:sz w:val="22"/>
          <w:szCs w:val="22"/>
          <w:lang w:val="sr-Latn-ME"/>
        </w:rPr>
        <w:t xml:space="preserve">5.7 </w:t>
      </w:r>
      <w:r w:rsidR="00542633" w:rsidRPr="005A4F9F">
        <w:rPr>
          <w:spacing w:val="-2"/>
          <w:sz w:val="22"/>
          <w:szCs w:val="22"/>
          <w:lang w:val="sr-Latn-ME"/>
        </w:rPr>
        <w:t>ml</w:t>
      </w:r>
      <w:r w:rsidR="00171EA5" w:rsidRPr="005A4F9F">
        <w:rPr>
          <w:spacing w:val="-2"/>
          <w:sz w:val="22"/>
          <w:szCs w:val="22"/>
          <w:lang w:val="sr-Latn-ME"/>
        </w:rPr>
        <w:t>/h</w:t>
      </w:r>
      <w:r w:rsidRPr="005A4F9F">
        <w:rPr>
          <w:spacing w:val="-1"/>
          <w:sz w:val="22"/>
          <w:szCs w:val="22"/>
          <w:lang w:val="sr-Latn-ME"/>
        </w:rPr>
        <w:t>.</w:t>
      </w:r>
    </w:p>
    <w:p w14:paraId="29AB711B" w14:textId="77777777" w:rsidR="00763105" w:rsidRPr="005A4F9F" w:rsidRDefault="00763105">
      <w:pPr>
        <w:widowControl w:val="0"/>
        <w:jc w:val="both"/>
        <w:rPr>
          <w:spacing w:val="-1"/>
          <w:sz w:val="22"/>
          <w:szCs w:val="22"/>
          <w:lang w:val="sr-Latn-ME"/>
        </w:rPr>
      </w:pPr>
      <w:r w:rsidRPr="005A4F9F">
        <w:rPr>
          <w:spacing w:val="-1"/>
          <w:sz w:val="22"/>
          <w:szCs w:val="22"/>
          <w:lang w:val="sr-Latn-ME"/>
        </w:rPr>
        <w:t>Poluživot</w:t>
      </w:r>
      <w:r w:rsidRPr="005A4F9F">
        <w:rPr>
          <w:spacing w:val="27"/>
          <w:sz w:val="22"/>
          <w:szCs w:val="22"/>
          <w:lang w:val="sr-Latn-ME"/>
        </w:rPr>
        <w:t xml:space="preserve"> </w:t>
      </w:r>
      <w:r w:rsidRPr="005A4F9F">
        <w:rPr>
          <w:spacing w:val="-1"/>
          <w:sz w:val="22"/>
          <w:szCs w:val="22"/>
          <w:lang w:val="sr-Latn-ME"/>
        </w:rPr>
        <w:t>tocilizumaba</w:t>
      </w:r>
      <w:r w:rsidRPr="005A4F9F">
        <w:rPr>
          <w:spacing w:val="27"/>
          <w:sz w:val="22"/>
          <w:szCs w:val="22"/>
          <w:lang w:val="sr-Latn-ME"/>
        </w:rPr>
        <w:t xml:space="preserve"> </w:t>
      </w:r>
      <w:r w:rsidRPr="005A4F9F">
        <w:rPr>
          <w:spacing w:val="-1"/>
          <w:sz w:val="22"/>
          <w:szCs w:val="22"/>
          <w:lang w:val="sr-Latn-ME"/>
        </w:rPr>
        <w:t>kod</w:t>
      </w:r>
      <w:r w:rsidRPr="005A4F9F">
        <w:rPr>
          <w:spacing w:val="26"/>
          <w:sz w:val="22"/>
          <w:szCs w:val="22"/>
          <w:lang w:val="sr-Latn-ME"/>
        </w:rPr>
        <w:t xml:space="preserve"> </w:t>
      </w:r>
      <w:r w:rsidRPr="005A4F9F">
        <w:rPr>
          <w:spacing w:val="-1"/>
          <w:sz w:val="22"/>
          <w:szCs w:val="22"/>
          <w:lang w:val="sr-Latn-ME"/>
        </w:rPr>
        <w:t>sJIA</w:t>
      </w:r>
      <w:r w:rsidRPr="005A4F9F">
        <w:rPr>
          <w:spacing w:val="25"/>
          <w:sz w:val="22"/>
          <w:szCs w:val="22"/>
          <w:lang w:val="sr-Latn-ME"/>
        </w:rPr>
        <w:t xml:space="preserve"> </w:t>
      </w:r>
      <w:r w:rsidRPr="005A4F9F">
        <w:rPr>
          <w:spacing w:val="-1"/>
          <w:sz w:val="22"/>
          <w:szCs w:val="22"/>
          <w:lang w:val="sr-Latn-ME"/>
        </w:rPr>
        <w:t>pacijenata</w:t>
      </w:r>
      <w:r w:rsidRPr="005A4F9F">
        <w:rPr>
          <w:spacing w:val="24"/>
          <w:sz w:val="22"/>
          <w:szCs w:val="22"/>
          <w:lang w:val="sr-Latn-ME"/>
        </w:rPr>
        <w:t xml:space="preserve"> </w:t>
      </w:r>
      <w:r w:rsidRPr="005A4F9F">
        <w:rPr>
          <w:spacing w:val="1"/>
          <w:sz w:val="22"/>
          <w:szCs w:val="22"/>
          <w:lang w:val="sr-Latn-ME"/>
        </w:rPr>
        <w:t>je</w:t>
      </w:r>
      <w:r w:rsidRPr="005A4F9F">
        <w:rPr>
          <w:spacing w:val="27"/>
          <w:sz w:val="22"/>
          <w:szCs w:val="22"/>
          <w:lang w:val="sr-Latn-ME"/>
        </w:rPr>
        <w:t xml:space="preserve"> </w:t>
      </w:r>
      <w:r w:rsidRPr="005A4F9F">
        <w:rPr>
          <w:sz w:val="22"/>
          <w:szCs w:val="22"/>
          <w:lang w:val="sr-Latn-ME"/>
        </w:rPr>
        <w:t>do</w:t>
      </w:r>
      <w:r w:rsidRPr="005A4F9F">
        <w:rPr>
          <w:spacing w:val="26"/>
          <w:sz w:val="22"/>
          <w:szCs w:val="22"/>
          <w:lang w:val="sr-Latn-ME"/>
        </w:rPr>
        <w:t xml:space="preserve"> </w:t>
      </w:r>
      <w:r w:rsidR="00171EA5" w:rsidRPr="005A4F9F">
        <w:rPr>
          <w:sz w:val="22"/>
          <w:szCs w:val="22"/>
          <w:lang w:val="sr-Latn-ME"/>
        </w:rPr>
        <w:t>16</w:t>
      </w:r>
      <w:r w:rsidR="00171EA5" w:rsidRPr="005A4F9F">
        <w:rPr>
          <w:spacing w:val="24"/>
          <w:sz w:val="22"/>
          <w:szCs w:val="22"/>
          <w:lang w:val="sr-Latn-ME"/>
        </w:rPr>
        <w:t xml:space="preserve"> </w:t>
      </w:r>
      <w:r w:rsidRPr="005A4F9F">
        <w:rPr>
          <w:sz w:val="22"/>
          <w:szCs w:val="22"/>
          <w:lang w:val="sr-Latn-ME"/>
        </w:rPr>
        <w:t>dana</w:t>
      </w:r>
      <w:r w:rsidRPr="005A4F9F">
        <w:rPr>
          <w:spacing w:val="27"/>
          <w:sz w:val="22"/>
          <w:szCs w:val="22"/>
          <w:lang w:val="sr-Latn-ME"/>
        </w:rPr>
        <w:t xml:space="preserve"> </w:t>
      </w:r>
      <w:r w:rsidRPr="005A4F9F">
        <w:rPr>
          <w:spacing w:val="-1"/>
          <w:sz w:val="22"/>
          <w:szCs w:val="22"/>
          <w:lang w:val="sr-Latn-ME"/>
        </w:rPr>
        <w:t>za</w:t>
      </w:r>
      <w:r w:rsidRPr="005A4F9F">
        <w:rPr>
          <w:spacing w:val="27"/>
          <w:sz w:val="22"/>
          <w:szCs w:val="22"/>
          <w:lang w:val="sr-Latn-ME"/>
        </w:rPr>
        <w:t xml:space="preserve"> </w:t>
      </w:r>
      <w:r w:rsidRPr="005A4F9F">
        <w:rPr>
          <w:sz w:val="22"/>
          <w:szCs w:val="22"/>
          <w:lang w:val="sr-Latn-ME"/>
        </w:rPr>
        <w:t>obje</w:t>
      </w:r>
      <w:r w:rsidRPr="005A4F9F">
        <w:rPr>
          <w:spacing w:val="27"/>
          <w:sz w:val="22"/>
          <w:szCs w:val="22"/>
          <w:lang w:val="sr-Latn-ME"/>
        </w:rPr>
        <w:t xml:space="preserve"> </w:t>
      </w:r>
      <w:r w:rsidRPr="005A4F9F">
        <w:rPr>
          <w:spacing w:val="-1"/>
          <w:sz w:val="22"/>
          <w:szCs w:val="22"/>
          <w:lang w:val="sr-Latn-ME"/>
        </w:rPr>
        <w:t>kategorije</w:t>
      </w:r>
      <w:r w:rsidRPr="005A4F9F">
        <w:rPr>
          <w:spacing w:val="27"/>
          <w:sz w:val="22"/>
          <w:szCs w:val="22"/>
          <w:lang w:val="sr-Latn-ME"/>
        </w:rPr>
        <w:t xml:space="preserve"> </w:t>
      </w:r>
      <w:r w:rsidRPr="005A4F9F">
        <w:rPr>
          <w:spacing w:val="-1"/>
          <w:sz w:val="22"/>
          <w:szCs w:val="22"/>
          <w:lang w:val="sr-Latn-ME"/>
        </w:rPr>
        <w:t>pacijenata</w:t>
      </w:r>
      <w:r w:rsidRPr="005A4F9F">
        <w:rPr>
          <w:spacing w:val="27"/>
          <w:sz w:val="22"/>
          <w:szCs w:val="22"/>
          <w:lang w:val="sr-Latn-ME"/>
        </w:rPr>
        <w:t xml:space="preserve"> </w:t>
      </w:r>
      <w:r w:rsidRPr="005A4F9F">
        <w:rPr>
          <w:spacing w:val="-2"/>
          <w:sz w:val="22"/>
          <w:szCs w:val="22"/>
          <w:lang w:val="sr-Latn-ME"/>
        </w:rPr>
        <w:t>prema</w:t>
      </w:r>
      <w:r w:rsidRPr="005A4F9F">
        <w:rPr>
          <w:spacing w:val="27"/>
          <w:sz w:val="22"/>
          <w:szCs w:val="22"/>
          <w:lang w:val="sr-Latn-ME"/>
        </w:rPr>
        <w:t xml:space="preserve"> </w:t>
      </w:r>
      <w:r w:rsidRPr="005A4F9F">
        <w:rPr>
          <w:spacing w:val="-1"/>
          <w:sz w:val="22"/>
          <w:szCs w:val="22"/>
          <w:lang w:val="sr-Latn-ME"/>
        </w:rPr>
        <w:t>tjelesnoj</w:t>
      </w:r>
      <w:r w:rsidRPr="005A4F9F">
        <w:rPr>
          <w:spacing w:val="27"/>
          <w:sz w:val="22"/>
          <w:szCs w:val="22"/>
          <w:lang w:val="sr-Latn-ME"/>
        </w:rPr>
        <w:t xml:space="preserve"> </w:t>
      </w:r>
      <w:r w:rsidRPr="005A4F9F">
        <w:rPr>
          <w:spacing w:val="-1"/>
          <w:sz w:val="22"/>
          <w:szCs w:val="22"/>
          <w:lang w:val="sr-Latn-ME"/>
        </w:rPr>
        <w:t>težini</w:t>
      </w:r>
      <w:r w:rsidRPr="005A4F9F">
        <w:rPr>
          <w:spacing w:val="95"/>
          <w:sz w:val="22"/>
          <w:szCs w:val="22"/>
          <w:lang w:val="sr-Latn-ME"/>
        </w:rPr>
        <w:t xml:space="preserve"> </w:t>
      </w:r>
      <w:r w:rsidRPr="005A4F9F">
        <w:rPr>
          <w:spacing w:val="-1"/>
          <w:sz w:val="22"/>
          <w:szCs w:val="22"/>
          <w:lang w:val="sr-Latn-ME"/>
        </w:rPr>
        <w:t>(8mg/kg</w:t>
      </w:r>
      <w:r w:rsidRPr="005A4F9F">
        <w:rPr>
          <w:spacing w:val="-3"/>
          <w:sz w:val="22"/>
          <w:szCs w:val="22"/>
          <w:lang w:val="sr-Latn-ME"/>
        </w:rPr>
        <w:t xml:space="preserve"> </w:t>
      </w:r>
      <w:r w:rsidRPr="005A4F9F">
        <w:rPr>
          <w:spacing w:val="-1"/>
          <w:sz w:val="22"/>
          <w:szCs w:val="22"/>
          <w:lang w:val="sr-Latn-ME"/>
        </w:rPr>
        <w:t>za</w:t>
      </w:r>
      <w:r w:rsidRPr="005A4F9F">
        <w:rPr>
          <w:sz w:val="22"/>
          <w:szCs w:val="22"/>
          <w:lang w:val="sr-Latn-ME"/>
        </w:rPr>
        <w:t xml:space="preserve"> tjelesnu</w:t>
      </w:r>
      <w:r w:rsidRPr="005A4F9F">
        <w:rPr>
          <w:spacing w:val="-3"/>
          <w:sz w:val="22"/>
          <w:szCs w:val="22"/>
          <w:lang w:val="sr-Latn-ME"/>
        </w:rPr>
        <w:t xml:space="preserve"> </w:t>
      </w:r>
      <w:r w:rsidRPr="005A4F9F">
        <w:rPr>
          <w:spacing w:val="-1"/>
          <w:sz w:val="22"/>
          <w:szCs w:val="22"/>
          <w:lang w:val="sr-Latn-ME"/>
        </w:rPr>
        <w:t>težinu</w:t>
      </w:r>
      <w:r w:rsidRPr="005A4F9F">
        <w:rPr>
          <w:sz w:val="22"/>
          <w:szCs w:val="22"/>
          <w:lang w:val="sr-Latn-ME"/>
        </w:rPr>
        <w:t xml:space="preserve"> ≥</w:t>
      </w:r>
      <w:r w:rsidRPr="005A4F9F">
        <w:rPr>
          <w:spacing w:val="-1"/>
          <w:sz w:val="22"/>
          <w:szCs w:val="22"/>
          <w:lang w:val="sr-Latn-ME"/>
        </w:rPr>
        <w:t xml:space="preserve"> </w:t>
      </w:r>
      <w:r w:rsidRPr="005A4F9F">
        <w:rPr>
          <w:sz w:val="22"/>
          <w:szCs w:val="22"/>
          <w:lang w:val="sr-Latn-ME"/>
        </w:rPr>
        <w:t xml:space="preserve">30 </w:t>
      </w:r>
      <w:r w:rsidRPr="005A4F9F">
        <w:rPr>
          <w:spacing w:val="-2"/>
          <w:sz w:val="22"/>
          <w:szCs w:val="22"/>
          <w:lang w:val="sr-Latn-ME"/>
        </w:rPr>
        <w:t>kg</w:t>
      </w:r>
      <w:r w:rsidRPr="005A4F9F">
        <w:rPr>
          <w:spacing w:val="-3"/>
          <w:sz w:val="22"/>
          <w:szCs w:val="22"/>
          <w:lang w:val="sr-Latn-ME"/>
        </w:rPr>
        <w:t xml:space="preserve"> </w:t>
      </w:r>
      <w:r w:rsidRPr="005A4F9F">
        <w:rPr>
          <w:sz w:val="22"/>
          <w:szCs w:val="22"/>
          <w:lang w:val="sr-Latn-ME"/>
        </w:rPr>
        <w:t>ili</w:t>
      </w:r>
      <w:r w:rsidRPr="005A4F9F">
        <w:rPr>
          <w:spacing w:val="1"/>
          <w:sz w:val="22"/>
          <w:szCs w:val="22"/>
          <w:lang w:val="sr-Latn-ME"/>
        </w:rPr>
        <w:t xml:space="preserve"> </w:t>
      </w:r>
      <w:r w:rsidRPr="005A4F9F">
        <w:rPr>
          <w:sz w:val="22"/>
          <w:szCs w:val="22"/>
          <w:lang w:val="sr-Latn-ME"/>
        </w:rPr>
        <w:t xml:space="preserve">12 </w:t>
      </w:r>
      <w:r w:rsidRPr="005A4F9F">
        <w:rPr>
          <w:spacing w:val="-2"/>
          <w:sz w:val="22"/>
          <w:szCs w:val="22"/>
          <w:lang w:val="sr-Latn-ME"/>
        </w:rPr>
        <w:t>mg/kg</w:t>
      </w:r>
      <w:r w:rsidRPr="005A4F9F">
        <w:rPr>
          <w:sz w:val="22"/>
          <w:szCs w:val="22"/>
          <w:lang w:val="sr-Latn-ME"/>
        </w:rPr>
        <w:t xml:space="preserve"> </w:t>
      </w:r>
      <w:r w:rsidRPr="005A4F9F">
        <w:rPr>
          <w:spacing w:val="-1"/>
          <w:sz w:val="22"/>
          <w:szCs w:val="22"/>
          <w:lang w:val="sr-Latn-ME"/>
        </w:rPr>
        <w:t>za</w:t>
      </w:r>
      <w:r w:rsidRPr="005A4F9F">
        <w:rPr>
          <w:sz w:val="22"/>
          <w:szCs w:val="22"/>
          <w:lang w:val="sr-Latn-ME"/>
        </w:rPr>
        <w:t xml:space="preserve"> tjelesnu težinu</w:t>
      </w:r>
      <w:r w:rsidRPr="005A4F9F">
        <w:rPr>
          <w:spacing w:val="-3"/>
          <w:sz w:val="22"/>
          <w:szCs w:val="22"/>
          <w:lang w:val="sr-Latn-ME"/>
        </w:rPr>
        <w:t xml:space="preserve"> </w:t>
      </w:r>
      <w:r w:rsidRPr="005A4F9F">
        <w:rPr>
          <w:sz w:val="22"/>
          <w:szCs w:val="22"/>
          <w:lang w:val="sr-Latn-ME"/>
        </w:rPr>
        <w:t xml:space="preserve">&lt; 30 </w:t>
      </w:r>
      <w:r w:rsidRPr="005A4F9F">
        <w:rPr>
          <w:spacing w:val="-2"/>
          <w:sz w:val="22"/>
          <w:szCs w:val="22"/>
          <w:lang w:val="sr-Latn-ME"/>
        </w:rPr>
        <w:t>kg)</w:t>
      </w:r>
      <w:r w:rsidRPr="005A4F9F">
        <w:rPr>
          <w:spacing w:val="1"/>
          <w:sz w:val="22"/>
          <w:szCs w:val="22"/>
          <w:lang w:val="sr-Latn-ME"/>
        </w:rPr>
        <w:t xml:space="preserve"> </w:t>
      </w:r>
      <w:r w:rsidRPr="005A4F9F">
        <w:rPr>
          <w:sz w:val="22"/>
          <w:szCs w:val="22"/>
          <w:lang w:val="sr-Latn-ME"/>
        </w:rPr>
        <w:t xml:space="preserve">u </w:t>
      </w:r>
      <w:r w:rsidRPr="005A4F9F">
        <w:rPr>
          <w:spacing w:val="-1"/>
          <w:sz w:val="22"/>
          <w:szCs w:val="22"/>
          <w:lang w:val="sr-Latn-ME"/>
        </w:rPr>
        <w:t>12-toj</w:t>
      </w:r>
      <w:r w:rsidRPr="005A4F9F">
        <w:rPr>
          <w:spacing w:val="-2"/>
          <w:sz w:val="22"/>
          <w:szCs w:val="22"/>
          <w:lang w:val="sr-Latn-ME"/>
        </w:rPr>
        <w:t xml:space="preserve"> </w:t>
      </w:r>
      <w:r w:rsidRPr="005A4F9F">
        <w:rPr>
          <w:spacing w:val="-1"/>
          <w:sz w:val="22"/>
          <w:szCs w:val="22"/>
          <w:lang w:val="sr-Latn-ME"/>
        </w:rPr>
        <w:t>ned</w:t>
      </w:r>
      <w:r w:rsidR="002E0553" w:rsidRPr="005A4F9F">
        <w:rPr>
          <w:spacing w:val="-1"/>
          <w:sz w:val="22"/>
          <w:szCs w:val="22"/>
          <w:lang w:val="sr-Latn-ME"/>
        </w:rPr>
        <w:t>j</w:t>
      </w:r>
      <w:r w:rsidRPr="005A4F9F">
        <w:rPr>
          <w:spacing w:val="-1"/>
          <w:sz w:val="22"/>
          <w:szCs w:val="22"/>
          <w:lang w:val="sr-Latn-ME"/>
        </w:rPr>
        <w:t>elji.</w:t>
      </w:r>
    </w:p>
    <w:p w14:paraId="311EF44C" w14:textId="77777777" w:rsidR="00DF5D81" w:rsidRPr="005A4F9F" w:rsidRDefault="00DF5D81">
      <w:pPr>
        <w:widowControl w:val="0"/>
        <w:jc w:val="both"/>
        <w:rPr>
          <w:spacing w:val="-1"/>
          <w:sz w:val="22"/>
          <w:szCs w:val="22"/>
          <w:lang w:val="sr-Latn-ME"/>
        </w:rPr>
      </w:pPr>
    </w:p>
    <w:p w14:paraId="0B8ED923" w14:textId="77777777" w:rsidR="00763105" w:rsidRPr="005A4F9F" w:rsidRDefault="00932872">
      <w:pPr>
        <w:widowControl w:val="0"/>
        <w:jc w:val="both"/>
        <w:rPr>
          <w:spacing w:val="-1"/>
          <w:sz w:val="22"/>
          <w:szCs w:val="22"/>
          <w:u w:val="single"/>
          <w:lang w:val="sr-Latn-ME"/>
        </w:rPr>
      </w:pPr>
      <w:r w:rsidRPr="005A4F9F">
        <w:rPr>
          <w:spacing w:val="-1"/>
          <w:sz w:val="22"/>
          <w:szCs w:val="22"/>
          <w:u w:val="single"/>
          <w:lang w:val="sr-Latn-ME"/>
        </w:rPr>
        <w:t>P</w:t>
      </w:r>
      <w:r w:rsidR="00763105" w:rsidRPr="005A4F9F">
        <w:rPr>
          <w:spacing w:val="-1"/>
          <w:sz w:val="22"/>
          <w:szCs w:val="22"/>
          <w:u w:val="single"/>
          <w:lang w:val="sr-Latn-ME"/>
        </w:rPr>
        <w:t>acijenti</w:t>
      </w:r>
      <w:r w:rsidRPr="005A4F9F">
        <w:rPr>
          <w:spacing w:val="-1"/>
          <w:sz w:val="22"/>
          <w:szCs w:val="22"/>
          <w:u w:val="single"/>
          <w:lang w:val="sr-Latn-ME"/>
        </w:rPr>
        <w:t xml:space="preserve"> sa pJIA</w:t>
      </w:r>
    </w:p>
    <w:p w14:paraId="022CB8CF" w14:textId="79CB0978" w:rsidR="00763105" w:rsidRPr="005A4F9F" w:rsidRDefault="00763105">
      <w:pPr>
        <w:widowControl w:val="0"/>
        <w:jc w:val="both"/>
        <w:rPr>
          <w:sz w:val="22"/>
          <w:szCs w:val="22"/>
          <w:lang w:val="sr-Latn-ME"/>
        </w:rPr>
      </w:pPr>
      <w:r w:rsidRPr="005A4F9F">
        <w:rPr>
          <w:sz w:val="22"/>
          <w:szCs w:val="22"/>
          <w:lang w:val="sr-Latn-ME"/>
        </w:rPr>
        <w:t xml:space="preserve">Farmakokinetika tocilizumaba </w:t>
      </w:r>
      <w:r w:rsidR="00197B99" w:rsidRPr="005A4F9F">
        <w:rPr>
          <w:sz w:val="22"/>
          <w:szCs w:val="22"/>
          <w:lang w:val="sr-Latn-ME"/>
        </w:rPr>
        <w:t xml:space="preserve">kod pJIA pacijenata okarakterisana </w:t>
      </w:r>
      <w:r w:rsidRPr="005A4F9F">
        <w:rPr>
          <w:sz w:val="22"/>
          <w:szCs w:val="22"/>
          <w:lang w:val="sr-Latn-ME"/>
        </w:rPr>
        <w:t>je korišćenjem populacione farmakokinetičke analize prema</w:t>
      </w:r>
      <w:r w:rsidR="00197B99" w:rsidRPr="005A4F9F">
        <w:rPr>
          <w:sz w:val="22"/>
          <w:szCs w:val="22"/>
          <w:lang w:val="sr-Latn-ME"/>
        </w:rPr>
        <w:t xml:space="preserve"> u kojoj je uključeno 237 pacijenata koji su bili l</w:t>
      </w:r>
      <w:r w:rsidR="00346212" w:rsidRPr="005A4F9F">
        <w:rPr>
          <w:sz w:val="22"/>
          <w:szCs w:val="22"/>
          <w:lang w:val="sr-Latn-ME"/>
        </w:rPr>
        <w:t>ij</w:t>
      </w:r>
      <w:r w:rsidR="00197B99" w:rsidRPr="005A4F9F">
        <w:rPr>
          <w:sz w:val="22"/>
          <w:szCs w:val="22"/>
          <w:lang w:val="sr-Latn-ME"/>
        </w:rPr>
        <w:t>ečeni dozom od 8 mg/kg intravenskim putem svake četvrte ned</w:t>
      </w:r>
      <w:r w:rsidR="00126C7C" w:rsidRPr="005A4F9F">
        <w:rPr>
          <w:sz w:val="22"/>
          <w:szCs w:val="22"/>
          <w:lang w:val="sr-Latn-ME"/>
        </w:rPr>
        <w:t>j</w:t>
      </w:r>
      <w:r w:rsidR="00197B99" w:rsidRPr="005A4F9F">
        <w:rPr>
          <w:sz w:val="22"/>
          <w:szCs w:val="22"/>
          <w:lang w:val="sr-Latn-ME"/>
        </w:rPr>
        <w:t>elje (kod pacijenata t</w:t>
      </w:r>
      <w:r w:rsidR="00126C7C" w:rsidRPr="005A4F9F">
        <w:rPr>
          <w:sz w:val="22"/>
          <w:szCs w:val="22"/>
          <w:lang w:val="sr-Latn-ME"/>
        </w:rPr>
        <w:t>j</w:t>
      </w:r>
      <w:r w:rsidR="00197B99" w:rsidRPr="005A4F9F">
        <w:rPr>
          <w:sz w:val="22"/>
          <w:szCs w:val="22"/>
          <w:lang w:val="sr-Latn-ME"/>
        </w:rPr>
        <w:t xml:space="preserve">elesne težine </w:t>
      </w:r>
      <w:r w:rsidR="00197B99" w:rsidRPr="005A4F9F">
        <w:rPr>
          <w:sz w:val="22"/>
          <w:szCs w:val="22"/>
          <w:lang w:val="sr-Latn-ME" w:eastAsia="de-DE"/>
        </w:rPr>
        <w:t>≥ 30 kg), 10 mg/kg intravenskim putem svake četvrte ned</w:t>
      </w:r>
      <w:r w:rsidR="00126C7C" w:rsidRPr="005A4F9F">
        <w:rPr>
          <w:sz w:val="22"/>
          <w:szCs w:val="22"/>
          <w:lang w:val="sr-Latn-ME" w:eastAsia="de-DE"/>
        </w:rPr>
        <w:t>j</w:t>
      </w:r>
      <w:r w:rsidR="00197B99" w:rsidRPr="005A4F9F">
        <w:rPr>
          <w:sz w:val="22"/>
          <w:szCs w:val="22"/>
          <w:lang w:val="sr-Latn-ME" w:eastAsia="de-DE"/>
        </w:rPr>
        <w:t>elje (</w:t>
      </w:r>
      <w:r w:rsidR="00197B99" w:rsidRPr="005A4F9F">
        <w:rPr>
          <w:sz w:val="22"/>
          <w:szCs w:val="22"/>
          <w:lang w:val="sr-Latn-ME"/>
        </w:rPr>
        <w:t>kod pacijenata t</w:t>
      </w:r>
      <w:r w:rsidR="00346212" w:rsidRPr="005A4F9F">
        <w:rPr>
          <w:sz w:val="22"/>
          <w:szCs w:val="22"/>
          <w:lang w:val="sr-Latn-ME"/>
        </w:rPr>
        <w:t>j</w:t>
      </w:r>
      <w:r w:rsidR="00197B99" w:rsidRPr="005A4F9F">
        <w:rPr>
          <w:sz w:val="22"/>
          <w:szCs w:val="22"/>
          <w:lang w:val="sr-Latn-ME"/>
        </w:rPr>
        <w:t xml:space="preserve">elesne težine </w:t>
      </w:r>
      <w:r w:rsidR="00197B99" w:rsidRPr="005A4F9F">
        <w:rPr>
          <w:sz w:val="22"/>
          <w:szCs w:val="22"/>
          <w:lang w:val="sr-Latn-ME" w:eastAsia="de-DE"/>
        </w:rPr>
        <w:t xml:space="preserve">ispod 30 kg), 162 mg </w:t>
      </w:r>
      <w:r w:rsidR="00363B61" w:rsidRPr="005A4F9F">
        <w:rPr>
          <w:sz w:val="22"/>
          <w:szCs w:val="22"/>
          <w:lang w:val="sr-Latn-ME" w:eastAsia="de-DE"/>
        </w:rPr>
        <w:t xml:space="preserve">subkutano </w:t>
      </w:r>
      <w:r w:rsidR="00197B99" w:rsidRPr="005A4F9F">
        <w:rPr>
          <w:sz w:val="22"/>
          <w:szCs w:val="22"/>
          <w:lang w:val="sr-Latn-ME" w:eastAsia="de-DE"/>
        </w:rPr>
        <w:t>svake dv</w:t>
      </w:r>
      <w:r w:rsidR="00346212" w:rsidRPr="005A4F9F">
        <w:rPr>
          <w:sz w:val="22"/>
          <w:szCs w:val="22"/>
          <w:lang w:val="sr-Latn-ME" w:eastAsia="de-DE"/>
        </w:rPr>
        <w:t>ij</w:t>
      </w:r>
      <w:r w:rsidR="00197B99" w:rsidRPr="005A4F9F">
        <w:rPr>
          <w:sz w:val="22"/>
          <w:szCs w:val="22"/>
          <w:lang w:val="sr-Latn-ME" w:eastAsia="de-DE"/>
        </w:rPr>
        <w:t>e ned</w:t>
      </w:r>
      <w:r w:rsidR="00A563B1" w:rsidRPr="005A4F9F">
        <w:rPr>
          <w:sz w:val="22"/>
          <w:szCs w:val="22"/>
          <w:lang w:val="sr-Latn-ME" w:eastAsia="de-DE"/>
        </w:rPr>
        <w:t>j</w:t>
      </w:r>
      <w:r w:rsidR="00197B99" w:rsidRPr="005A4F9F">
        <w:rPr>
          <w:sz w:val="22"/>
          <w:szCs w:val="22"/>
          <w:lang w:val="sr-Latn-ME" w:eastAsia="de-DE"/>
        </w:rPr>
        <w:t xml:space="preserve">elje </w:t>
      </w:r>
      <w:r w:rsidR="00197B99" w:rsidRPr="005A4F9F">
        <w:rPr>
          <w:sz w:val="22"/>
          <w:szCs w:val="22"/>
          <w:lang w:val="sr-Latn-ME"/>
        </w:rPr>
        <w:t>(kod pacijenata t</w:t>
      </w:r>
      <w:r w:rsidR="00346212" w:rsidRPr="005A4F9F">
        <w:rPr>
          <w:sz w:val="22"/>
          <w:szCs w:val="22"/>
          <w:lang w:val="sr-Latn-ME"/>
        </w:rPr>
        <w:t>j</w:t>
      </w:r>
      <w:r w:rsidR="00197B99" w:rsidRPr="005A4F9F">
        <w:rPr>
          <w:sz w:val="22"/>
          <w:szCs w:val="22"/>
          <w:lang w:val="sr-Latn-ME"/>
        </w:rPr>
        <w:t xml:space="preserve">elesne težine </w:t>
      </w:r>
      <w:r w:rsidR="00197B99" w:rsidRPr="005A4F9F">
        <w:rPr>
          <w:sz w:val="22"/>
          <w:szCs w:val="22"/>
          <w:lang w:val="sr-Latn-ME" w:eastAsia="de-DE"/>
        </w:rPr>
        <w:t xml:space="preserve">≥ 30 kg) ili 162 mg </w:t>
      </w:r>
      <w:r w:rsidR="00363B61" w:rsidRPr="005A4F9F">
        <w:rPr>
          <w:sz w:val="22"/>
          <w:szCs w:val="22"/>
          <w:lang w:val="sr-Latn-ME" w:eastAsia="de-DE"/>
        </w:rPr>
        <w:t xml:space="preserve">subkutano </w:t>
      </w:r>
      <w:r w:rsidR="00197B99" w:rsidRPr="005A4F9F">
        <w:rPr>
          <w:sz w:val="22"/>
          <w:szCs w:val="22"/>
          <w:lang w:val="sr-Latn-ME" w:eastAsia="de-DE"/>
        </w:rPr>
        <w:t>svake tri ned</w:t>
      </w:r>
      <w:r w:rsidR="00126C7C" w:rsidRPr="005A4F9F">
        <w:rPr>
          <w:sz w:val="22"/>
          <w:szCs w:val="22"/>
          <w:lang w:val="sr-Latn-ME" w:eastAsia="de-DE"/>
        </w:rPr>
        <w:t>j</w:t>
      </w:r>
      <w:r w:rsidR="00197B99" w:rsidRPr="005A4F9F">
        <w:rPr>
          <w:sz w:val="22"/>
          <w:szCs w:val="22"/>
          <w:lang w:val="sr-Latn-ME" w:eastAsia="de-DE"/>
        </w:rPr>
        <w:t>elje (</w:t>
      </w:r>
      <w:r w:rsidR="00197B99" w:rsidRPr="005A4F9F">
        <w:rPr>
          <w:sz w:val="22"/>
          <w:szCs w:val="22"/>
          <w:lang w:val="sr-Latn-ME"/>
        </w:rPr>
        <w:t>kod pacijenata t</w:t>
      </w:r>
      <w:r w:rsidR="00346212" w:rsidRPr="005A4F9F">
        <w:rPr>
          <w:sz w:val="22"/>
          <w:szCs w:val="22"/>
          <w:lang w:val="sr-Latn-ME"/>
        </w:rPr>
        <w:t>j</w:t>
      </w:r>
      <w:r w:rsidR="00197B99" w:rsidRPr="005A4F9F">
        <w:rPr>
          <w:sz w:val="22"/>
          <w:szCs w:val="22"/>
          <w:lang w:val="sr-Latn-ME"/>
        </w:rPr>
        <w:t xml:space="preserve">elesne težine </w:t>
      </w:r>
      <w:r w:rsidR="00197B99" w:rsidRPr="005A4F9F">
        <w:rPr>
          <w:sz w:val="22"/>
          <w:szCs w:val="22"/>
          <w:lang w:val="sr-Latn-ME" w:eastAsia="de-DE"/>
        </w:rPr>
        <w:t>ispod 30 kg).</w:t>
      </w:r>
      <w:r w:rsidR="00197B99" w:rsidRPr="005A4F9F">
        <w:rPr>
          <w:sz w:val="22"/>
          <w:szCs w:val="22"/>
          <w:lang w:val="sr-Latn-ME"/>
        </w:rPr>
        <w:t xml:space="preserve"> </w:t>
      </w:r>
    </w:p>
    <w:p w14:paraId="08BA8D4F" w14:textId="77777777" w:rsidR="00171EA5" w:rsidRPr="005A4F9F" w:rsidRDefault="00171EA5">
      <w:pPr>
        <w:widowControl w:val="0"/>
        <w:jc w:val="both"/>
        <w:rPr>
          <w:sz w:val="22"/>
          <w:szCs w:val="22"/>
          <w:lang w:val="sr-Latn-ME"/>
        </w:rPr>
      </w:pPr>
    </w:p>
    <w:p w14:paraId="77CBB457" w14:textId="77777777" w:rsidR="00171EA5" w:rsidRPr="005A4F9F" w:rsidRDefault="00171EA5" w:rsidP="008B00DE">
      <w:pPr>
        <w:widowControl w:val="0"/>
        <w:numPr>
          <w:ilvl w:val="12"/>
          <w:numId w:val="0"/>
        </w:numPr>
        <w:jc w:val="both"/>
        <w:rPr>
          <w:bCs/>
          <w:i/>
          <w:sz w:val="22"/>
          <w:szCs w:val="22"/>
          <w:lang w:val="sr-Latn-ME"/>
        </w:rPr>
      </w:pPr>
      <w:r w:rsidRPr="005A4F9F">
        <w:rPr>
          <w:bCs/>
          <w:i/>
          <w:sz w:val="22"/>
          <w:szCs w:val="22"/>
          <w:lang w:val="sr-Latn-ME"/>
        </w:rPr>
        <w:t>Tab</w:t>
      </w:r>
      <w:r w:rsidR="00197B99" w:rsidRPr="005A4F9F">
        <w:rPr>
          <w:bCs/>
          <w:i/>
          <w:sz w:val="22"/>
          <w:szCs w:val="22"/>
          <w:lang w:val="sr-Latn-ME"/>
        </w:rPr>
        <w:t>ela</w:t>
      </w:r>
      <w:r w:rsidRPr="005A4F9F">
        <w:rPr>
          <w:bCs/>
          <w:i/>
          <w:sz w:val="22"/>
          <w:szCs w:val="22"/>
          <w:lang w:val="sr-Latn-ME"/>
        </w:rPr>
        <w:t xml:space="preserve"> </w:t>
      </w:r>
      <w:r w:rsidR="00BF249E" w:rsidRPr="005A4F9F">
        <w:rPr>
          <w:bCs/>
          <w:i/>
          <w:sz w:val="22"/>
          <w:szCs w:val="22"/>
          <w:lang w:val="sr-Latn-ME"/>
        </w:rPr>
        <w:t>12</w:t>
      </w:r>
      <w:r w:rsidRPr="005A4F9F">
        <w:rPr>
          <w:bCs/>
          <w:i/>
          <w:sz w:val="22"/>
          <w:szCs w:val="22"/>
          <w:lang w:val="sr-Latn-ME"/>
        </w:rPr>
        <w:t xml:space="preserve">. </w:t>
      </w:r>
      <w:r w:rsidR="00197B99" w:rsidRPr="005A4F9F">
        <w:rPr>
          <w:bCs/>
          <w:i/>
          <w:sz w:val="22"/>
          <w:szCs w:val="22"/>
          <w:lang w:val="sr-Latn-ME"/>
        </w:rPr>
        <w:t>Predviđena srednja vr</w:t>
      </w:r>
      <w:r w:rsidR="00346212" w:rsidRPr="005A4F9F">
        <w:rPr>
          <w:bCs/>
          <w:i/>
          <w:sz w:val="22"/>
          <w:szCs w:val="22"/>
          <w:lang w:val="sr-Latn-ME"/>
        </w:rPr>
        <w:t>ij</w:t>
      </w:r>
      <w:r w:rsidR="00197B99" w:rsidRPr="005A4F9F">
        <w:rPr>
          <w:bCs/>
          <w:i/>
          <w:sz w:val="22"/>
          <w:szCs w:val="22"/>
          <w:lang w:val="sr-Latn-ME"/>
        </w:rPr>
        <w:t>ednost ± SD parametara farmakokinetičkih parametara u stanju dinamičke ravnoteže nakon intravenske primjene kod pacijenata sa pJIA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977"/>
        <w:gridCol w:w="3147"/>
      </w:tblGrid>
      <w:tr w:rsidR="00171EA5" w:rsidRPr="005A4F9F" w14:paraId="65F5D4C7" w14:textId="77777777" w:rsidTr="006B57D8">
        <w:trPr>
          <w:cantSplit/>
          <w:trHeight w:val="452"/>
        </w:trPr>
        <w:tc>
          <w:tcPr>
            <w:tcW w:w="2948" w:type="dxa"/>
            <w:tcBorders>
              <w:top w:val="single" w:sz="4" w:space="0" w:color="auto"/>
              <w:left w:val="single" w:sz="4" w:space="0" w:color="auto"/>
              <w:bottom w:val="single" w:sz="4" w:space="0" w:color="auto"/>
              <w:right w:val="single" w:sz="4" w:space="0" w:color="auto"/>
            </w:tcBorders>
            <w:hideMark/>
          </w:tcPr>
          <w:p w14:paraId="5CD2579E" w14:textId="6068A210" w:rsidR="00171EA5" w:rsidRPr="005A4F9F" w:rsidRDefault="00197B99" w:rsidP="008B00DE">
            <w:pPr>
              <w:pStyle w:val="TextTi9"/>
              <w:widowControl w:val="0"/>
              <w:spacing w:after="0"/>
              <w:jc w:val="both"/>
              <w:rPr>
                <w:rFonts w:ascii="Times New Roman" w:hAnsi="Times New Roman"/>
                <w:sz w:val="22"/>
                <w:lang w:val="sr-Latn-ME"/>
              </w:rPr>
            </w:pPr>
            <w:r w:rsidRPr="005A4F9F">
              <w:rPr>
                <w:rFonts w:ascii="Times New Roman" w:hAnsi="Times New Roman"/>
                <w:b/>
                <w:sz w:val="22"/>
                <w:lang w:val="sr-Latn-ME"/>
              </w:rPr>
              <w:t xml:space="preserve">Farmakokinetički parametri </w:t>
            </w:r>
            <w:r w:rsidR="008E6663" w:rsidRPr="005A4F9F">
              <w:rPr>
                <w:rFonts w:ascii="Times New Roman" w:hAnsi="Times New Roman"/>
                <w:b/>
                <w:sz w:val="22"/>
                <w:lang w:val="sr-Latn-ME"/>
              </w:rPr>
              <w:t>tocilizumaba</w:t>
            </w:r>
          </w:p>
        </w:tc>
        <w:tc>
          <w:tcPr>
            <w:tcW w:w="2977" w:type="dxa"/>
            <w:tcBorders>
              <w:top w:val="single" w:sz="4" w:space="0" w:color="auto"/>
              <w:left w:val="single" w:sz="4" w:space="0" w:color="auto"/>
              <w:bottom w:val="single" w:sz="4" w:space="0" w:color="auto"/>
              <w:right w:val="single" w:sz="4" w:space="0" w:color="auto"/>
            </w:tcBorders>
            <w:hideMark/>
          </w:tcPr>
          <w:p w14:paraId="0C783A38" w14:textId="77777777" w:rsidR="00171EA5" w:rsidRPr="005A4F9F" w:rsidRDefault="00171EA5" w:rsidP="008B00DE">
            <w:pPr>
              <w:pStyle w:val="TextTi9"/>
              <w:widowControl w:val="0"/>
              <w:spacing w:after="0"/>
              <w:jc w:val="both"/>
              <w:rPr>
                <w:rFonts w:ascii="Times New Roman" w:hAnsi="Times New Roman"/>
                <w:b/>
                <w:sz w:val="22"/>
                <w:lang w:val="sr-Latn-ME"/>
              </w:rPr>
            </w:pPr>
            <w:r w:rsidRPr="005A4F9F">
              <w:rPr>
                <w:rFonts w:ascii="Times New Roman" w:hAnsi="Times New Roman"/>
                <w:b/>
                <w:sz w:val="22"/>
                <w:lang w:val="sr-Latn-ME"/>
              </w:rPr>
              <w:t xml:space="preserve">8 mg/kg </w:t>
            </w:r>
            <w:r w:rsidR="00197B99" w:rsidRPr="005A4F9F">
              <w:rPr>
                <w:rFonts w:ascii="Times New Roman" w:hAnsi="Times New Roman"/>
                <w:b/>
                <w:sz w:val="22"/>
                <w:lang w:val="sr-Latn-ME"/>
              </w:rPr>
              <w:t>svaku četvrtu nedjelju</w:t>
            </w:r>
            <w:r w:rsidRPr="005A4F9F">
              <w:rPr>
                <w:rFonts w:ascii="Times New Roman" w:hAnsi="Times New Roman"/>
                <w:b/>
                <w:sz w:val="22"/>
                <w:lang w:val="sr-Latn-ME"/>
              </w:rPr>
              <w:t xml:space="preserve"> ≥ 30 kg</w:t>
            </w:r>
          </w:p>
        </w:tc>
        <w:tc>
          <w:tcPr>
            <w:tcW w:w="3147" w:type="dxa"/>
            <w:tcBorders>
              <w:top w:val="single" w:sz="4" w:space="0" w:color="auto"/>
              <w:left w:val="single" w:sz="4" w:space="0" w:color="auto"/>
              <w:bottom w:val="single" w:sz="4" w:space="0" w:color="auto"/>
              <w:right w:val="single" w:sz="4" w:space="0" w:color="auto"/>
            </w:tcBorders>
            <w:hideMark/>
          </w:tcPr>
          <w:p w14:paraId="7B5E2672" w14:textId="77777777" w:rsidR="00171EA5" w:rsidRPr="005A4F9F" w:rsidRDefault="00171EA5" w:rsidP="008B00DE">
            <w:pPr>
              <w:pStyle w:val="TextTi9"/>
              <w:widowControl w:val="0"/>
              <w:spacing w:after="0"/>
              <w:jc w:val="both"/>
              <w:rPr>
                <w:rFonts w:ascii="Times New Roman" w:hAnsi="Times New Roman"/>
                <w:b/>
                <w:sz w:val="22"/>
                <w:lang w:val="sr-Latn-ME"/>
              </w:rPr>
            </w:pPr>
            <w:r w:rsidRPr="005A4F9F">
              <w:rPr>
                <w:rFonts w:ascii="Times New Roman" w:hAnsi="Times New Roman"/>
                <w:b/>
                <w:sz w:val="22"/>
                <w:lang w:val="sr-Latn-ME"/>
              </w:rPr>
              <w:t xml:space="preserve">10 mg/kg </w:t>
            </w:r>
            <w:r w:rsidR="00197B99" w:rsidRPr="005A4F9F">
              <w:rPr>
                <w:rFonts w:ascii="Times New Roman" w:hAnsi="Times New Roman"/>
                <w:b/>
                <w:sz w:val="22"/>
                <w:lang w:val="sr-Latn-ME"/>
              </w:rPr>
              <w:t>svaku četvrtu nedjelju</w:t>
            </w:r>
            <w:r w:rsidRPr="005A4F9F">
              <w:rPr>
                <w:rFonts w:ascii="Times New Roman" w:hAnsi="Times New Roman"/>
                <w:b/>
                <w:sz w:val="22"/>
                <w:lang w:val="sr-Latn-ME"/>
              </w:rPr>
              <w:t xml:space="preserve"> </w:t>
            </w:r>
            <w:r w:rsidR="00197B99" w:rsidRPr="005A4F9F">
              <w:rPr>
                <w:rFonts w:ascii="Times New Roman" w:hAnsi="Times New Roman"/>
                <w:b/>
                <w:sz w:val="22"/>
                <w:lang w:val="sr-Latn-ME"/>
              </w:rPr>
              <w:t>ispod</w:t>
            </w:r>
            <w:r w:rsidRPr="005A4F9F">
              <w:rPr>
                <w:rFonts w:ascii="Times New Roman" w:hAnsi="Times New Roman"/>
                <w:b/>
                <w:sz w:val="22"/>
                <w:lang w:val="sr-Latn-ME"/>
              </w:rPr>
              <w:t xml:space="preserve"> 30 kg</w:t>
            </w:r>
          </w:p>
        </w:tc>
      </w:tr>
      <w:tr w:rsidR="00171EA5" w:rsidRPr="005A4F9F" w14:paraId="424D71D5" w14:textId="77777777" w:rsidTr="006B57D8">
        <w:trPr>
          <w:cantSplit/>
          <w:trHeight w:val="195"/>
        </w:trPr>
        <w:tc>
          <w:tcPr>
            <w:tcW w:w="2948" w:type="dxa"/>
            <w:tcBorders>
              <w:top w:val="single" w:sz="4" w:space="0" w:color="auto"/>
              <w:left w:val="single" w:sz="4" w:space="0" w:color="auto"/>
              <w:bottom w:val="single" w:sz="4" w:space="0" w:color="auto"/>
              <w:right w:val="single" w:sz="4" w:space="0" w:color="auto"/>
            </w:tcBorders>
            <w:hideMark/>
          </w:tcPr>
          <w:p w14:paraId="22F0CFC1" w14:textId="539F5BAD"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max</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0B5EE374"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183 ± 42.3</w:t>
            </w:r>
          </w:p>
        </w:tc>
        <w:tc>
          <w:tcPr>
            <w:tcW w:w="3147" w:type="dxa"/>
            <w:tcBorders>
              <w:top w:val="single" w:sz="4" w:space="0" w:color="auto"/>
              <w:left w:val="single" w:sz="4" w:space="0" w:color="auto"/>
              <w:bottom w:val="single" w:sz="4" w:space="0" w:color="auto"/>
              <w:right w:val="single" w:sz="4" w:space="0" w:color="auto"/>
            </w:tcBorders>
            <w:hideMark/>
          </w:tcPr>
          <w:p w14:paraId="52487F6E"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 xml:space="preserve">168 </w:t>
            </w:r>
            <w:r w:rsidRPr="005A4F9F">
              <w:rPr>
                <w:rFonts w:ascii="Times New Roman" w:eastAsia="SimSun" w:hAnsi="Times New Roman"/>
                <w:sz w:val="22"/>
                <w:u w:val="single"/>
                <w:lang w:val="sr-Latn-ME"/>
              </w:rPr>
              <w:sym w:font="Symbol" w:char="F0B1"/>
            </w:r>
            <w:r w:rsidRPr="005A4F9F">
              <w:rPr>
                <w:rFonts w:ascii="Times New Roman" w:eastAsia="SimSun" w:hAnsi="Times New Roman"/>
                <w:sz w:val="22"/>
                <w:u w:val="single"/>
                <w:lang w:val="sr-Latn-ME"/>
              </w:rPr>
              <w:t> 24.8</w:t>
            </w:r>
          </w:p>
        </w:tc>
      </w:tr>
      <w:tr w:rsidR="00171EA5" w:rsidRPr="005A4F9F" w14:paraId="3CE02BBF" w14:textId="77777777" w:rsidTr="006B57D8">
        <w:trPr>
          <w:cantSplit/>
          <w:trHeight w:val="195"/>
        </w:trPr>
        <w:tc>
          <w:tcPr>
            <w:tcW w:w="2948" w:type="dxa"/>
            <w:tcBorders>
              <w:top w:val="single" w:sz="4" w:space="0" w:color="auto"/>
              <w:left w:val="single" w:sz="4" w:space="0" w:color="auto"/>
              <w:bottom w:val="single" w:sz="4" w:space="0" w:color="auto"/>
              <w:right w:val="single" w:sz="4" w:space="0" w:color="auto"/>
            </w:tcBorders>
            <w:hideMark/>
          </w:tcPr>
          <w:p w14:paraId="3014CE2C" w14:textId="238CE486"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trough</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29364700"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6.55 ± 7.93</w:t>
            </w:r>
          </w:p>
        </w:tc>
        <w:tc>
          <w:tcPr>
            <w:tcW w:w="3147" w:type="dxa"/>
            <w:tcBorders>
              <w:top w:val="single" w:sz="4" w:space="0" w:color="auto"/>
              <w:left w:val="single" w:sz="4" w:space="0" w:color="auto"/>
              <w:bottom w:val="single" w:sz="4" w:space="0" w:color="auto"/>
              <w:right w:val="single" w:sz="4" w:space="0" w:color="auto"/>
            </w:tcBorders>
            <w:hideMark/>
          </w:tcPr>
          <w:p w14:paraId="224E9CC0"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 xml:space="preserve">1.47 </w:t>
            </w:r>
            <w:r w:rsidRPr="005A4F9F">
              <w:rPr>
                <w:rFonts w:ascii="Times New Roman" w:eastAsia="SimSun" w:hAnsi="Times New Roman"/>
                <w:sz w:val="22"/>
                <w:u w:val="single"/>
                <w:lang w:val="sr-Latn-ME"/>
              </w:rPr>
              <w:sym w:font="Symbol" w:char="F0B1"/>
            </w:r>
            <w:r w:rsidRPr="005A4F9F">
              <w:rPr>
                <w:rFonts w:ascii="Times New Roman" w:eastAsia="SimSun" w:hAnsi="Times New Roman"/>
                <w:sz w:val="22"/>
                <w:u w:val="single"/>
                <w:lang w:val="sr-Latn-ME"/>
              </w:rPr>
              <w:t> 2.44</w:t>
            </w:r>
          </w:p>
        </w:tc>
      </w:tr>
      <w:tr w:rsidR="00171EA5" w:rsidRPr="005A4F9F" w14:paraId="77363A39" w14:textId="77777777" w:rsidTr="006B57D8">
        <w:trPr>
          <w:cantSplit/>
          <w:trHeight w:val="324"/>
        </w:trPr>
        <w:tc>
          <w:tcPr>
            <w:tcW w:w="2948" w:type="dxa"/>
            <w:tcBorders>
              <w:top w:val="single" w:sz="4" w:space="0" w:color="auto"/>
              <w:left w:val="single" w:sz="4" w:space="0" w:color="auto"/>
              <w:bottom w:val="single" w:sz="4" w:space="0" w:color="auto"/>
              <w:right w:val="single" w:sz="4" w:space="0" w:color="auto"/>
            </w:tcBorders>
            <w:hideMark/>
          </w:tcPr>
          <w:p w14:paraId="7EFB087D" w14:textId="6F27B900" w:rsidR="00171EA5" w:rsidRPr="005A4F9F" w:rsidRDefault="00171EA5"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mean</w:t>
            </w:r>
            <w:r w:rsidRPr="005A4F9F">
              <w:rPr>
                <w:rFonts w:ascii="Times New Roman" w:hAnsi="Times New Roman"/>
                <w:sz w:val="22"/>
                <w:lang w:val="sr-Latn-ME"/>
              </w:rPr>
              <w:t xml:space="preserve"> (µg/</w:t>
            </w:r>
            <w:r w:rsidR="00542633" w:rsidRPr="005A4F9F">
              <w:rPr>
                <w:rFonts w:ascii="Times New Roman" w:hAnsi="Times New Roman"/>
                <w:sz w:val="22"/>
                <w:lang w:val="sr-Latn-ME"/>
              </w:rPr>
              <w:t>ml</w:t>
            </w:r>
            <w:r w:rsidRPr="005A4F9F">
              <w:rPr>
                <w:rFonts w:ascii="Times New Roman" w:hAnsi="Times New Roman"/>
                <w:sz w:val="22"/>
                <w:lang w:val="sr-Latn-ME"/>
              </w:rPr>
              <w:t>)</w:t>
            </w:r>
          </w:p>
        </w:tc>
        <w:tc>
          <w:tcPr>
            <w:tcW w:w="2977" w:type="dxa"/>
            <w:tcBorders>
              <w:top w:val="single" w:sz="4" w:space="0" w:color="auto"/>
              <w:left w:val="single" w:sz="4" w:space="0" w:color="auto"/>
              <w:bottom w:val="single" w:sz="4" w:space="0" w:color="auto"/>
              <w:right w:val="single" w:sz="4" w:space="0" w:color="auto"/>
            </w:tcBorders>
            <w:hideMark/>
          </w:tcPr>
          <w:p w14:paraId="7F8195E6"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42.2 ± 13.4</w:t>
            </w:r>
          </w:p>
        </w:tc>
        <w:tc>
          <w:tcPr>
            <w:tcW w:w="3147" w:type="dxa"/>
            <w:tcBorders>
              <w:top w:val="single" w:sz="4" w:space="0" w:color="auto"/>
              <w:left w:val="single" w:sz="4" w:space="0" w:color="auto"/>
              <w:bottom w:val="single" w:sz="4" w:space="0" w:color="auto"/>
              <w:right w:val="single" w:sz="4" w:space="0" w:color="auto"/>
            </w:tcBorders>
            <w:hideMark/>
          </w:tcPr>
          <w:p w14:paraId="29608760" w14:textId="77777777" w:rsidR="00171EA5" w:rsidRPr="005A4F9F" w:rsidRDefault="00171EA5"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 xml:space="preserve">31.6 </w:t>
            </w:r>
            <w:r w:rsidRPr="005A4F9F">
              <w:rPr>
                <w:rFonts w:ascii="Times New Roman" w:eastAsia="SimSun" w:hAnsi="Times New Roman"/>
                <w:sz w:val="22"/>
                <w:u w:val="single"/>
                <w:lang w:val="sr-Latn-ME"/>
              </w:rPr>
              <w:sym w:font="Symbol" w:char="F0B1"/>
            </w:r>
            <w:r w:rsidRPr="005A4F9F">
              <w:rPr>
                <w:rFonts w:ascii="Times New Roman" w:eastAsia="SimSun" w:hAnsi="Times New Roman"/>
                <w:sz w:val="22"/>
                <w:u w:val="single"/>
                <w:lang w:val="sr-Latn-ME"/>
              </w:rPr>
              <w:t>  7.84</w:t>
            </w:r>
          </w:p>
        </w:tc>
      </w:tr>
      <w:tr w:rsidR="00197B99" w:rsidRPr="005A4F9F" w14:paraId="7857C154" w14:textId="77777777" w:rsidTr="006B57D8">
        <w:trPr>
          <w:cantSplit/>
          <w:trHeight w:val="324"/>
        </w:trPr>
        <w:tc>
          <w:tcPr>
            <w:tcW w:w="2948" w:type="dxa"/>
            <w:tcBorders>
              <w:top w:val="single" w:sz="4" w:space="0" w:color="auto"/>
              <w:left w:val="single" w:sz="4" w:space="0" w:color="auto"/>
              <w:bottom w:val="single" w:sz="4" w:space="0" w:color="auto"/>
              <w:right w:val="single" w:sz="4" w:space="0" w:color="auto"/>
            </w:tcBorders>
            <w:hideMark/>
          </w:tcPr>
          <w:p w14:paraId="7664A06E" w14:textId="77777777" w:rsidR="00197B99" w:rsidRPr="005A4F9F" w:rsidRDefault="00197B99"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 xml:space="preserve">max </w:t>
            </w:r>
            <w:r w:rsidRPr="005A4F9F">
              <w:rPr>
                <w:rFonts w:ascii="Times New Roman" w:hAnsi="Times New Roman"/>
                <w:sz w:val="22"/>
                <w:lang w:val="sr-Latn-ME"/>
              </w:rPr>
              <w:t>akumulacije</w:t>
            </w:r>
          </w:p>
        </w:tc>
        <w:tc>
          <w:tcPr>
            <w:tcW w:w="2977" w:type="dxa"/>
            <w:tcBorders>
              <w:top w:val="single" w:sz="4" w:space="0" w:color="auto"/>
              <w:left w:val="single" w:sz="4" w:space="0" w:color="auto"/>
              <w:bottom w:val="single" w:sz="4" w:space="0" w:color="auto"/>
              <w:right w:val="single" w:sz="4" w:space="0" w:color="auto"/>
            </w:tcBorders>
          </w:tcPr>
          <w:p w14:paraId="0D6B8264"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1.04</w:t>
            </w:r>
          </w:p>
        </w:tc>
        <w:tc>
          <w:tcPr>
            <w:tcW w:w="3147" w:type="dxa"/>
            <w:tcBorders>
              <w:top w:val="single" w:sz="4" w:space="0" w:color="auto"/>
              <w:left w:val="single" w:sz="4" w:space="0" w:color="auto"/>
              <w:bottom w:val="single" w:sz="4" w:space="0" w:color="auto"/>
              <w:right w:val="single" w:sz="4" w:space="0" w:color="auto"/>
            </w:tcBorders>
          </w:tcPr>
          <w:p w14:paraId="7075F57D"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1.01</w:t>
            </w:r>
          </w:p>
        </w:tc>
      </w:tr>
      <w:tr w:rsidR="00197B99" w:rsidRPr="005A4F9F" w14:paraId="5D6C806A" w14:textId="77777777" w:rsidTr="006B57D8">
        <w:trPr>
          <w:cantSplit/>
          <w:trHeight w:val="331"/>
        </w:trPr>
        <w:tc>
          <w:tcPr>
            <w:tcW w:w="2948" w:type="dxa"/>
            <w:tcBorders>
              <w:top w:val="single" w:sz="4" w:space="0" w:color="auto"/>
              <w:left w:val="single" w:sz="4" w:space="0" w:color="auto"/>
              <w:bottom w:val="single" w:sz="4" w:space="0" w:color="auto"/>
              <w:right w:val="single" w:sz="4" w:space="0" w:color="auto"/>
            </w:tcBorders>
            <w:hideMark/>
          </w:tcPr>
          <w:p w14:paraId="59A0BCB5" w14:textId="77777777" w:rsidR="00197B99" w:rsidRPr="005A4F9F" w:rsidRDefault="00197B99"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 xml:space="preserve">trough </w:t>
            </w:r>
            <w:r w:rsidRPr="005A4F9F">
              <w:rPr>
                <w:rFonts w:ascii="Times New Roman" w:hAnsi="Times New Roman"/>
                <w:sz w:val="22"/>
                <w:lang w:val="sr-Latn-ME"/>
              </w:rPr>
              <w:t>akumulacije</w:t>
            </w:r>
          </w:p>
        </w:tc>
        <w:tc>
          <w:tcPr>
            <w:tcW w:w="2977" w:type="dxa"/>
            <w:tcBorders>
              <w:top w:val="single" w:sz="4" w:space="0" w:color="auto"/>
              <w:left w:val="single" w:sz="4" w:space="0" w:color="auto"/>
              <w:bottom w:val="single" w:sz="4" w:space="0" w:color="auto"/>
              <w:right w:val="single" w:sz="4" w:space="0" w:color="auto"/>
            </w:tcBorders>
          </w:tcPr>
          <w:p w14:paraId="06745C13"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2.22</w:t>
            </w:r>
          </w:p>
        </w:tc>
        <w:tc>
          <w:tcPr>
            <w:tcW w:w="3147" w:type="dxa"/>
            <w:tcBorders>
              <w:top w:val="single" w:sz="4" w:space="0" w:color="auto"/>
              <w:left w:val="single" w:sz="4" w:space="0" w:color="auto"/>
              <w:bottom w:val="single" w:sz="4" w:space="0" w:color="auto"/>
              <w:right w:val="single" w:sz="4" w:space="0" w:color="auto"/>
            </w:tcBorders>
          </w:tcPr>
          <w:p w14:paraId="38FD0318"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1.43</w:t>
            </w:r>
          </w:p>
        </w:tc>
      </w:tr>
      <w:tr w:rsidR="00197B99" w:rsidRPr="005A4F9F" w14:paraId="4A02826D" w14:textId="77777777" w:rsidTr="006B57D8">
        <w:trPr>
          <w:cantSplit/>
          <w:trHeight w:val="331"/>
        </w:trPr>
        <w:tc>
          <w:tcPr>
            <w:tcW w:w="2948" w:type="dxa"/>
            <w:tcBorders>
              <w:top w:val="single" w:sz="4" w:space="0" w:color="auto"/>
              <w:left w:val="single" w:sz="4" w:space="0" w:color="auto"/>
              <w:bottom w:val="single" w:sz="4" w:space="0" w:color="auto"/>
              <w:right w:val="single" w:sz="4" w:space="0" w:color="auto"/>
            </w:tcBorders>
          </w:tcPr>
          <w:p w14:paraId="26875467" w14:textId="77777777" w:rsidR="00197B99" w:rsidRPr="005A4F9F" w:rsidRDefault="00197B99" w:rsidP="008B00DE">
            <w:pPr>
              <w:pStyle w:val="TextTi9"/>
              <w:widowControl w:val="0"/>
              <w:spacing w:after="0"/>
              <w:jc w:val="both"/>
              <w:rPr>
                <w:rFonts w:ascii="Times New Roman" w:hAnsi="Times New Roman"/>
                <w:sz w:val="22"/>
                <w:lang w:val="sr-Latn-ME"/>
              </w:rPr>
            </w:pPr>
            <w:r w:rsidRPr="005A4F9F">
              <w:rPr>
                <w:rFonts w:ascii="Times New Roman" w:hAnsi="Times New Roman"/>
                <w:sz w:val="22"/>
                <w:lang w:val="sr-Latn-ME"/>
              </w:rPr>
              <w:t>C</w:t>
            </w:r>
            <w:r w:rsidRPr="005A4F9F">
              <w:rPr>
                <w:rFonts w:ascii="Times New Roman" w:hAnsi="Times New Roman"/>
                <w:sz w:val="22"/>
                <w:vertAlign w:val="subscript"/>
                <w:lang w:val="sr-Latn-ME"/>
              </w:rPr>
              <w:t>mean</w:t>
            </w:r>
            <w:r w:rsidRPr="005A4F9F">
              <w:rPr>
                <w:rFonts w:ascii="Times New Roman" w:hAnsi="Times New Roman"/>
                <w:sz w:val="22"/>
                <w:lang w:val="sr-Latn-ME"/>
              </w:rPr>
              <w:t xml:space="preserve"> ili AUC</w:t>
            </w:r>
            <w:r w:rsidRPr="005A4F9F">
              <w:rPr>
                <w:rFonts w:ascii="Times New Roman" w:hAnsi="Times New Roman"/>
                <w:sz w:val="22"/>
                <w:vertAlign w:val="subscript"/>
                <w:lang w:val="sr-Latn-ME"/>
              </w:rPr>
              <w:t>τ</w:t>
            </w:r>
            <w:r w:rsidRPr="005A4F9F">
              <w:rPr>
                <w:rFonts w:ascii="Times New Roman" w:hAnsi="Times New Roman"/>
                <w:sz w:val="22"/>
                <w:lang w:val="sr-Latn-ME"/>
              </w:rPr>
              <w:t>* akumulacije</w:t>
            </w:r>
          </w:p>
        </w:tc>
        <w:tc>
          <w:tcPr>
            <w:tcW w:w="2977" w:type="dxa"/>
            <w:tcBorders>
              <w:top w:val="single" w:sz="4" w:space="0" w:color="auto"/>
              <w:left w:val="single" w:sz="4" w:space="0" w:color="auto"/>
              <w:bottom w:val="single" w:sz="4" w:space="0" w:color="auto"/>
              <w:right w:val="single" w:sz="4" w:space="0" w:color="auto"/>
            </w:tcBorders>
          </w:tcPr>
          <w:p w14:paraId="30BDAA7E"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1.16</w:t>
            </w:r>
          </w:p>
        </w:tc>
        <w:tc>
          <w:tcPr>
            <w:tcW w:w="3147" w:type="dxa"/>
            <w:tcBorders>
              <w:top w:val="single" w:sz="4" w:space="0" w:color="auto"/>
              <w:left w:val="single" w:sz="4" w:space="0" w:color="auto"/>
              <w:bottom w:val="single" w:sz="4" w:space="0" w:color="auto"/>
              <w:right w:val="single" w:sz="4" w:space="0" w:color="auto"/>
            </w:tcBorders>
          </w:tcPr>
          <w:p w14:paraId="77426AA7" w14:textId="77777777" w:rsidR="00197B99" w:rsidRPr="005A4F9F" w:rsidRDefault="00197B99" w:rsidP="008B00DE">
            <w:pPr>
              <w:pStyle w:val="TextTi9"/>
              <w:widowControl w:val="0"/>
              <w:spacing w:after="0"/>
              <w:jc w:val="both"/>
              <w:rPr>
                <w:rFonts w:ascii="Times New Roman" w:eastAsia="SimSun" w:hAnsi="Times New Roman"/>
                <w:sz w:val="22"/>
                <w:u w:val="single"/>
                <w:lang w:val="sr-Latn-ME"/>
              </w:rPr>
            </w:pPr>
            <w:r w:rsidRPr="005A4F9F">
              <w:rPr>
                <w:rFonts w:ascii="Times New Roman" w:eastAsia="SimSun" w:hAnsi="Times New Roman"/>
                <w:sz w:val="22"/>
                <w:u w:val="single"/>
                <w:lang w:val="sr-Latn-ME"/>
              </w:rPr>
              <w:t>1.05</w:t>
            </w:r>
          </w:p>
        </w:tc>
      </w:tr>
    </w:tbl>
    <w:p w14:paraId="5D526FE1" w14:textId="61D1222E" w:rsidR="00171EA5" w:rsidRPr="008B00DE" w:rsidRDefault="00171EA5">
      <w:pPr>
        <w:widowControl w:val="0"/>
        <w:jc w:val="both"/>
        <w:rPr>
          <w:sz w:val="22"/>
          <w:szCs w:val="22"/>
          <w:lang w:val="sr-Latn-ME"/>
        </w:rPr>
      </w:pPr>
      <w:r w:rsidRPr="008B00DE">
        <w:rPr>
          <w:sz w:val="22"/>
          <w:szCs w:val="22"/>
          <w:lang w:val="sr-Latn-ME"/>
        </w:rPr>
        <w:t xml:space="preserve">*τ = </w:t>
      </w:r>
      <w:r w:rsidR="00197B99" w:rsidRPr="008B00DE">
        <w:rPr>
          <w:sz w:val="22"/>
          <w:szCs w:val="22"/>
          <w:lang w:val="sr-Latn-ME"/>
        </w:rPr>
        <w:t>4 ned</w:t>
      </w:r>
      <w:r w:rsidR="00A563B1" w:rsidRPr="008B00DE">
        <w:rPr>
          <w:sz w:val="22"/>
          <w:szCs w:val="22"/>
          <w:lang w:val="sr-Latn-ME"/>
        </w:rPr>
        <w:t>j</w:t>
      </w:r>
      <w:r w:rsidR="00197B99" w:rsidRPr="008B00DE">
        <w:rPr>
          <w:sz w:val="22"/>
          <w:szCs w:val="22"/>
          <w:lang w:val="sr-Latn-ME"/>
        </w:rPr>
        <w:t>elje za intravenske režime</w:t>
      </w:r>
    </w:p>
    <w:p w14:paraId="3E9AF43D" w14:textId="77777777" w:rsidR="00171EA5" w:rsidRPr="005A4F9F" w:rsidRDefault="00171EA5" w:rsidP="008B00DE">
      <w:pPr>
        <w:widowControl w:val="0"/>
        <w:numPr>
          <w:ilvl w:val="12"/>
          <w:numId w:val="0"/>
        </w:numPr>
        <w:jc w:val="both"/>
        <w:rPr>
          <w:sz w:val="22"/>
          <w:szCs w:val="22"/>
          <w:lang w:val="sr-Latn-ME"/>
        </w:rPr>
      </w:pPr>
    </w:p>
    <w:p w14:paraId="59989868" w14:textId="77777777" w:rsidR="00763105" w:rsidRPr="005A4F9F" w:rsidRDefault="00197B99">
      <w:pPr>
        <w:widowControl w:val="0"/>
        <w:numPr>
          <w:ilvl w:val="12"/>
          <w:numId w:val="0"/>
        </w:numPr>
        <w:jc w:val="both"/>
        <w:rPr>
          <w:sz w:val="22"/>
          <w:szCs w:val="22"/>
          <w:lang w:val="sr-Latn-ME"/>
        </w:rPr>
      </w:pPr>
      <w:r w:rsidRPr="005A4F9F">
        <w:rPr>
          <w:iCs/>
          <w:sz w:val="22"/>
          <w:szCs w:val="22"/>
          <w:lang w:val="sr-Latn-ME"/>
        </w:rPr>
        <w:t>Nakon intravenske primjene, kod približno 90% pacijenata zab</w:t>
      </w:r>
      <w:r w:rsidR="00346212" w:rsidRPr="005A4F9F">
        <w:rPr>
          <w:iCs/>
          <w:sz w:val="22"/>
          <w:szCs w:val="22"/>
          <w:lang w:val="sr-Latn-ME"/>
        </w:rPr>
        <w:t>i</w:t>
      </w:r>
      <w:r w:rsidRPr="005A4F9F">
        <w:rPr>
          <w:iCs/>
          <w:sz w:val="22"/>
          <w:szCs w:val="22"/>
          <w:lang w:val="sr-Latn-ME"/>
        </w:rPr>
        <w:t>l</w:t>
      </w:r>
      <w:r w:rsidR="00346212" w:rsidRPr="005A4F9F">
        <w:rPr>
          <w:iCs/>
          <w:sz w:val="22"/>
          <w:szCs w:val="22"/>
          <w:lang w:val="sr-Latn-ME"/>
        </w:rPr>
        <w:t>j</w:t>
      </w:r>
      <w:r w:rsidRPr="005A4F9F">
        <w:rPr>
          <w:iCs/>
          <w:sz w:val="22"/>
          <w:szCs w:val="22"/>
          <w:lang w:val="sr-Latn-ME"/>
        </w:rPr>
        <w:t>eženo je postignuto stanje dinamičke ravnoteže i to do 12. ned</w:t>
      </w:r>
      <w:r w:rsidR="002E0553" w:rsidRPr="005A4F9F">
        <w:rPr>
          <w:iCs/>
          <w:sz w:val="22"/>
          <w:szCs w:val="22"/>
          <w:lang w:val="sr-Latn-ME"/>
        </w:rPr>
        <w:t>j</w:t>
      </w:r>
      <w:r w:rsidRPr="005A4F9F">
        <w:rPr>
          <w:iCs/>
          <w:sz w:val="22"/>
          <w:szCs w:val="22"/>
          <w:lang w:val="sr-Latn-ME"/>
        </w:rPr>
        <w:t>elje za režim doziranja od 10 mg/kg (t</w:t>
      </w:r>
      <w:r w:rsidR="00346212" w:rsidRPr="005A4F9F">
        <w:rPr>
          <w:iCs/>
          <w:sz w:val="22"/>
          <w:szCs w:val="22"/>
          <w:lang w:val="sr-Latn-ME"/>
        </w:rPr>
        <w:t>j</w:t>
      </w:r>
      <w:r w:rsidRPr="005A4F9F">
        <w:rPr>
          <w:iCs/>
          <w:sz w:val="22"/>
          <w:szCs w:val="22"/>
          <w:lang w:val="sr-Latn-ME"/>
        </w:rPr>
        <w:t>elesna težina &lt; 30 kg) i do 16. ned</w:t>
      </w:r>
      <w:r w:rsidR="002E0553" w:rsidRPr="005A4F9F">
        <w:rPr>
          <w:iCs/>
          <w:sz w:val="22"/>
          <w:szCs w:val="22"/>
          <w:lang w:val="sr-Latn-ME"/>
        </w:rPr>
        <w:t>j</w:t>
      </w:r>
      <w:r w:rsidRPr="005A4F9F">
        <w:rPr>
          <w:iCs/>
          <w:sz w:val="22"/>
          <w:szCs w:val="22"/>
          <w:lang w:val="sr-Latn-ME"/>
        </w:rPr>
        <w:t>elje za režim doziranja od 8 mg/kg (t</w:t>
      </w:r>
      <w:r w:rsidR="00346212" w:rsidRPr="005A4F9F">
        <w:rPr>
          <w:iCs/>
          <w:sz w:val="22"/>
          <w:szCs w:val="22"/>
          <w:lang w:val="sr-Latn-ME"/>
        </w:rPr>
        <w:t>j</w:t>
      </w:r>
      <w:r w:rsidRPr="005A4F9F">
        <w:rPr>
          <w:iCs/>
          <w:sz w:val="22"/>
          <w:szCs w:val="22"/>
          <w:lang w:val="sr-Latn-ME"/>
        </w:rPr>
        <w:t>elesna težina ≥ 30 kg).</w:t>
      </w:r>
    </w:p>
    <w:p w14:paraId="4E1BBC3A" w14:textId="77777777" w:rsidR="00763105" w:rsidRPr="005A4F9F" w:rsidRDefault="00763105">
      <w:pPr>
        <w:widowControl w:val="0"/>
        <w:jc w:val="both"/>
        <w:rPr>
          <w:sz w:val="22"/>
          <w:szCs w:val="22"/>
          <w:lang w:val="sr-Latn-ME"/>
        </w:rPr>
      </w:pPr>
    </w:p>
    <w:p w14:paraId="1910CCDF" w14:textId="77777777" w:rsidR="00763105" w:rsidRPr="005A4F9F" w:rsidRDefault="00763105">
      <w:pPr>
        <w:widowControl w:val="0"/>
        <w:jc w:val="both"/>
        <w:rPr>
          <w:sz w:val="22"/>
          <w:szCs w:val="22"/>
          <w:lang w:val="sr-Latn-ME"/>
        </w:rPr>
      </w:pPr>
      <w:r w:rsidRPr="005A4F9F">
        <w:rPr>
          <w:sz w:val="22"/>
          <w:szCs w:val="22"/>
          <w:lang w:val="sr-Latn-ME"/>
        </w:rPr>
        <w:t xml:space="preserve">Poluživot tocilizumaba kod pJIA pacijenata iznosi najviše 16 dana u obje kategorije tjelesne težine (8 mg/kg za tjelesnu težinu </w:t>
      </w:r>
      <w:r w:rsidRPr="005A4F9F">
        <w:rPr>
          <w:i/>
          <w:sz w:val="22"/>
          <w:szCs w:val="22"/>
          <w:lang w:val="sr-Latn-ME"/>
        </w:rPr>
        <w:t>≥ </w:t>
      </w:r>
      <w:r w:rsidRPr="005A4F9F">
        <w:rPr>
          <w:sz w:val="22"/>
          <w:szCs w:val="22"/>
          <w:lang w:val="sr-Latn-ME"/>
        </w:rPr>
        <w:t>30 kg ili 10 mg/kg za tjelesnu težinu &lt; 30 kg) tokom razdoblja doziranja u stanju dinamičke ravnoteže.</w:t>
      </w:r>
    </w:p>
    <w:p w14:paraId="34904BA6" w14:textId="77777777" w:rsidR="00763105" w:rsidRPr="005A4F9F" w:rsidRDefault="00763105">
      <w:pPr>
        <w:widowControl w:val="0"/>
        <w:tabs>
          <w:tab w:val="left" w:pos="540"/>
          <w:tab w:val="left" w:pos="569"/>
        </w:tabs>
        <w:jc w:val="both"/>
        <w:rPr>
          <w:bCs/>
          <w:sz w:val="22"/>
          <w:szCs w:val="22"/>
          <w:lang w:val="sr-Latn-ME"/>
        </w:rPr>
      </w:pPr>
    </w:p>
    <w:p w14:paraId="1EB2E178" w14:textId="77777777" w:rsidR="0072020E" w:rsidRPr="005A4F9F" w:rsidRDefault="0072020E">
      <w:pPr>
        <w:widowControl w:val="0"/>
        <w:tabs>
          <w:tab w:val="left" w:pos="540"/>
          <w:tab w:val="left" w:pos="569"/>
        </w:tabs>
        <w:jc w:val="both"/>
        <w:rPr>
          <w:b/>
          <w:bCs/>
          <w:sz w:val="22"/>
          <w:szCs w:val="22"/>
          <w:lang w:val="sr-Latn-ME"/>
        </w:rPr>
      </w:pPr>
      <w:r w:rsidRPr="005A4F9F">
        <w:rPr>
          <w:b/>
          <w:bCs/>
          <w:sz w:val="22"/>
          <w:szCs w:val="22"/>
          <w:lang w:val="sr-Latn-ME"/>
        </w:rPr>
        <w:t xml:space="preserve">5.3. </w:t>
      </w:r>
      <w:r w:rsidR="00480FB1" w:rsidRPr="005A4F9F">
        <w:rPr>
          <w:b/>
          <w:bCs/>
          <w:sz w:val="22"/>
          <w:szCs w:val="22"/>
          <w:lang w:val="sr-Latn-ME"/>
        </w:rPr>
        <w:tab/>
      </w:r>
      <w:r w:rsidRPr="005A4F9F">
        <w:rPr>
          <w:b/>
          <w:bCs/>
          <w:sz w:val="22"/>
          <w:szCs w:val="22"/>
          <w:lang w:val="sr-Latn-ME"/>
        </w:rPr>
        <w:t xml:space="preserve">Pretklinički podaci o bezbjednosti </w:t>
      </w:r>
    </w:p>
    <w:p w14:paraId="4F807AFB" w14:textId="77777777" w:rsidR="00763105" w:rsidRPr="005A4F9F" w:rsidRDefault="00763105">
      <w:pPr>
        <w:widowControl w:val="0"/>
        <w:tabs>
          <w:tab w:val="left" w:pos="540"/>
          <w:tab w:val="left" w:pos="569"/>
        </w:tabs>
        <w:jc w:val="both"/>
        <w:rPr>
          <w:b/>
          <w:bCs/>
          <w:sz w:val="22"/>
          <w:szCs w:val="22"/>
          <w:lang w:val="sr-Latn-ME"/>
        </w:rPr>
      </w:pPr>
    </w:p>
    <w:p w14:paraId="0EFAC67A" w14:textId="77777777" w:rsidR="00763105" w:rsidRPr="005A4F9F" w:rsidRDefault="00763105">
      <w:pPr>
        <w:widowControl w:val="0"/>
        <w:tabs>
          <w:tab w:val="left" w:pos="284"/>
          <w:tab w:val="center" w:pos="4320"/>
          <w:tab w:val="right" w:pos="8640"/>
        </w:tabs>
        <w:jc w:val="both"/>
        <w:rPr>
          <w:bCs/>
          <w:sz w:val="22"/>
          <w:szCs w:val="22"/>
          <w:lang w:val="sr-Latn-ME"/>
        </w:rPr>
      </w:pPr>
      <w:r w:rsidRPr="005A4F9F">
        <w:rPr>
          <w:sz w:val="22"/>
          <w:szCs w:val="22"/>
          <w:lang w:val="sr-Latn-ME"/>
        </w:rPr>
        <w:t>Pretklinički podaci ne ukazuju na posebne opasnosti za ljude na osnovu konvencionalnih ispitivanja farmakološke bezbjednosti, toksičnosti ponovljenih doza i genotoksičnosti.</w:t>
      </w:r>
    </w:p>
    <w:p w14:paraId="459D0140" w14:textId="77777777" w:rsidR="00763105" w:rsidRPr="005A4F9F" w:rsidRDefault="00763105">
      <w:pPr>
        <w:widowControl w:val="0"/>
        <w:tabs>
          <w:tab w:val="left" w:pos="284"/>
          <w:tab w:val="center" w:pos="4320"/>
          <w:tab w:val="right" w:pos="8640"/>
        </w:tabs>
        <w:jc w:val="both"/>
        <w:rPr>
          <w:bCs/>
          <w:sz w:val="22"/>
          <w:szCs w:val="22"/>
          <w:lang w:val="sr-Latn-ME"/>
        </w:rPr>
      </w:pPr>
    </w:p>
    <w:p w14:paraId="3345C04E" w14:textId="77777777" w:rsidR="00A50212" w:rsidRPr="005A4F9F" w:rsidRDefault="00A50212">
      <w:pPr>
        <w:widowControl w:val="0"/>
        <w:tabs>
          <w:tab w:val="left" w:pos="284"/>
          <w:tab w:val="center" w:pos="4320"/>
          <w:tab w:val="right" w:pos="8640"/>
        </w:tabs>
        <w:jc w:val="both"/>
        <w:rPr>
          <w:bCs/>
          <w:sz w:val="22"/>
          <w:szCs w:val="22"/>
          <w:lang w:val="sr-Latn-ME"/>
        </w:rPr>
      </w:pPr>
      <w:r w:rsidRPr="005A4F9F">
        <w:rPr>
          <w:bCs/>
          <w:sz w:val="22"/>
          <w:szCs w:val="22"/>
          <w:lang w:val="sr-Latn-ME"/>
        </w:rPr>
        <w:t>Nijesu sprovedena ispitivanja kancerogenosti tocilizumaba jer se za IgG1 monoklonska antitijela ne</w:t>
      </w:r>
      <w:r w:rsidRPr="005A4F9F">
        <w:rPr>
          <w:bCs/>
          <w:sz w:val="22"/>
          <w:szCs w:val="22"/>
          <w:lang w:val="sr-Latn-ME"/>
        </w:rPr>
        <w:br/>
        <w:t>smatra da imaju intrinzičan kancerogeni potencijal.</w:t>
      </w:r>
      <w:r w:rsidRPr="005A4F9F" w:rsidDel="00A50212">
        <w:rPr>
          <w:bCs/>
          <w:sz w:val="22"/>
          <w:szCs w:val="22"/>
          <w:lang w:val="sr-Latn-ME"/>
        </w:rPr>
        <w:t xml:space="preserve"> </w:t>
      </w:r>
    </w:p>
    <w:p w14:paraId="15EF31D3" w14:textId="55A2817D"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Raspoloživi neklinički podaci pokazali su dejstvo IL-6 na malignu progresiju i rezistenciju na apoptozu kod različitih vrsta raka. Ovi podaci ne ukazuju na relevantni rizik za iniciranje raka i njegovu progresiju tokom terapije tocilizumabom.</w:t>
      </w:r>
      <w:r w:rsidR="00A6528F" w:rsidRPr="005A4F9F">
        <w:rPr>
          <w:sz w:val="22"/>
          <w:szCs w:val="22"/>
          <w:lang w:val="sr-Latn-ME"/>
        </w:rPr>
        <w:t xml:space="preserve"> </w:t>
      </w:r>
      <w:r w:rsidRPr="005A4F9F">
        <w:rPr>
          <w:sz w:val="22"/>
          <w:szCs w:val="22"/>
          <w:lang w:val="sr-Latn-ME"/>
        </w:rPr>
        <w:t>Uz to, proliferativne lezije ni</w:t>
      </w:r>
      <w:r w:rsidR="00A563B1" w:rsidRPr="005A4F9F">
        <w:rPr>
          <w:sz w:val="22"/>
          <w:szCs w:val="22"/>
          <w:lang w:val="sr-Latn-ME"/>
        </w:rPr>
        <w:t>je</w:t>
      </w:r>
      <w:r w:rsidRPr="005A4F9F">
        <w:rPr>
          <w:sz w:val="22"/>
          <w:szCs w:val="22"/>
          <w:lang w:val="sr-Latn-ME"/>
        </w:rPr>
        <w:t xml:space="preserve">su zabilježene tokom šestomjesečnog ispitivanja toksičnosti kod cinomolgus majmuna, ni kod miševa sa deficijencijom IL-6. </w:t>
      </w:r>
    </w:p>
    <w:p w14:paraId="14573C0E" w14:textId="77777777" w:rsidR="00763105" w:rsidRPr="005A4F9F" w:rsidRDefault="00763105">
      <w:pPr>
        <w:widowControl w:val="0"/>
        <w:tabs>
          <w:tab w:val="left" w:pos="284"/>
          <w:tab w:val="center" w:pos="4320"/>
          <w:tab w:val="right" w:pos="8640"/>
        </w:tabs>
        <w:jc w:val="both"/>
        <w:rPr>
          <w:sz w:val="22"/>
          <w:szCs w:val="22"/>
          <w:lang w:val="sr-Latn-ME"/>
        </w:rPr>
      </w:pPr>
    </w:p>
    <w:p w14:paraId="71A794BD" w14:textId="291E2A70"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 xml:space="preserve">Raspoloživi neklinički podaci ne ukazuju ni na dejstvo terapije tocilizumabom na fertilnost. Dejstvo na endokrino aktivne organe i na reproduktivni sistem nije zabilježeno tokom ispitivanja hronične toksičnosti kod cinomolgus majmuna, a reproduktivni učinak nije bio ugrožen ni kod miševa sa deficijencijom IL-6.  Pokazano je i da davanje tocilizumaba cinomolgus majmunima tokom rane gestacije nema ni direktnog, ni indirektnog štetnog dejstva  na bremenitost ili embrio-fetalni razvoj. Međutim, zabilježen je neznatni porast embrio-fetalne smrti pri visokom sistemskom izlaganju (&gt; 100 </w:t>
      </w:r>
      <w:r w:rsidR="008E6663" w:rsidRPr="005A4F9F">
        <w:rPr>
          <w:sz w:val="22"/>
          <w:szCs w:val="22"/>
          <w:lang w:val="sr-Latn-ME"/>
        </w:rPr>
        <w:t>x</w:t>
      </w:r>
      <w:r w:rsidRPr="005A4F9F">
        <w:rPr>
          <w:sz w:val="22"/>
          <w:szCs w:val="22"/>
          <w:lang w:val="sr-Latn-ME"/>
        </w:rPr>
        <w:t xml:space="preserve"> kliničkog izlaganja ljudi) u grupi koja je primala 50 mg/kg/dan u poređenju sa placebom i drugim grupama koje su primale male doze.  Iako izgleda da IL-6 nije kritični citokin za fetalni rast ili imunološku kontrolu materno-fetalnog interfejsa, veza ovog nalaza sa  tocilizumabom se ne može isključiti.</w:t>
      </w:r>
    </w:p>
    <w:p w14:paraId="45020494" w14:textId="77777777" w:rsidR="00763105" w:rsidRPr="005A4F9F" w:rsidRDefault="00763105">
      <w:pPr>
        <w:widowControl w:val="0"/>
        <w:tabs>
          <w:tab w:val="left" w:pos="284"/>
          <w:tab w:val="center" w:pos="4320"/>
          <w:tab w:val="right" w:pos="8640"/>
        </w:tabs>
        <w:jc w:val="both"/>
        <w:rPr>
          <w:sz w:val="22"/>
          <w:szCs w:val="22"/>
          <w:lang w:val="sr-Latn-ME"/>
        </w:rPr>
      </w:pPr>
    </w:p>
    <w:p w14:paraId="79768D96" w14:textId="61F12A69" w:rsidR="00836B35" w:rsidRPr="005A4F9F" w:rsidRDefault="00763105">
      <w:pPr>
        <w:widowControl w:val="0"/>
        <w:jc w:val="both"/>
        <w:rPr>
          <w:sz w:val="22"/>
          <w:szCs w:val="22"/>
          <w:lang w:val="sr-Latn-ME"/>
        </w:rPr>
      </w:pPr>
      <w:r w:rsidRPr="005A4F9F">
        <w:rPr>
          <w:sz w:val="22"/>
          <w:szCs w:val="22"/>
          <w:lang w:val="sr-Latn-ME"/>
        </w:rPr>
        <w:t xml:space="preserve">Liječenje mišjim analogom nije izazvalo toksičnost kod </w:t>
      </w:r>
      <w:r w:rsidR="00542633" w:rsidRPr="005A4F9F">
        <w:rPr>
          <w:sz w:val="22"/>
          <w:szCs w:val="22"/>
          <w:lang w:val="sr-Latn-ME"/>
        </w:rPr>
        <w:t>ml</w:t>
      </w:r>
      <w:r w:rsidRPr="005A4F9F">
        <w:rPr>
          <w:sz w:val="22"/>
          <w:szCs w:val="22"/>
          <w:lang w:val="sr-Latn-ME"/>
        </w:rPr>
        <w:t>adih miševa. Tačnije, ni</w:t>
      </w:r>
      <w:r w:rsidR="00503178" w:rsidRPr="005A4F9F">
        <w:rPr>
          <w:sz w:val="22"/>
          <w:szCs w:val="22"/>
          <w:lang w:val="sr-Latn-ME"/>
        </w:rPr>
        <w:t>je</w:t>
      </w:r>
      <w:r w:rsidRPr="005A4F9F">
        <w:rPr>
          <w:sz w:val="22"/>
          <w:szCs w:val="22"/>
          <w:lang w:val="sr-Latn-ME"/>
        </w:rPr>
        <w:t>su zabilježena oštećenja u rastu kostura, imun</w:t>
      </w:r>
      <w:r w:rsidR="00503178" w:rsidRPr="005A4F9F">
        <w:rPr>
          <w:sz w:val="22"/>
          <w:szCs w:val="22"/>
          <w:lang w:val="sr-Latn-ME"/>
        </w:rPr>
        <w:t>im</w:t>
      </w:r>
      <w:r w:rsidRPr="005A4F9F">
        <w:rPr>
          <w:sz w:val="22"/>
          <w:szCs w:val="22"/>
          <w:lang w:val="sr-Latn-ME"/>
        </w:rPr>
        <w:t xml:space="preserve"> funkcijama i polnom sazrijevanju.</w:t>
      </w:r>
    </w:p>
    <w:p w14:paraId="54229BF1" w14:textId="1E9277C4" w:rsidR="00396DFD" w:rsidRPr="005A4F9F" w:rsidRDefault="00396DFD" w:rsidP="008B00DE">
      <w:pPr>
        <w:widowControl w:val="0"/>
        <w:tabs>
          <w:tab w:val="left" w:pos="540"/>
          <w:tab w:val="left" w:pos="569"/>
        </w:tabs>
        <w:jc w:val="both"/>
        <w:rPr>
          <w:b/>
          <w:bCs/>
          <w:sz w:val="22"/>
          <w:szCs w:val="22"/>
          <w:lang w:val="sr-Latn-ME"/>
        </w:rPr>
      </w:pPr>
    </w:p>
    <w:p w14:paraId="7409541F" w14:textId="77777777" w:rsidR="00542633" w:rsidRPr="005A4F9F" w:rsidRDefault="00542633" w:rsidP="008B00DE">
      <w:pPr>
        <w:widowControl w:val="0"/>
        <w:tabs>
          <w:tab w:val="left" w:pos="540"/>
          <w:tab w:val="left" w:pos="569"/>
        </w:tabs>
        <w:jc w:val="both"/>
        <w:rPr>
          <w:b/>
          <w:bCs/>
          <w:sz w:val="22"/>
          <w:szCs w:val="22"/>
          <w:lang w:val="sr-Latn-ME"/>
        </w:rPr>
      </w:pPr>
    </w:p>
    <w:p w14:paraId="4EC54E7B"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6. </w:t>
      </w:r>
      <w:r w:rsidR="00480FB1" w:rsidRPr="005A4F9F">
        <w:rPr>
          <w:b/>
          <w:bCs/>
          <w:sz w:val="22"/>
          <w:szCs w:val="22"/>
          <w:lang w:val="sr-Latn-ME"/>
        </w:rPr>
        <w:tab/>
      </w:r>
      <w:r w:rsidRPr="005A4F9F">
        <w:rPr>
          <w:b/>
          <w:bCs/>
          <w:sz w:val="22"/>
          <w:szCs w:val="22"/>
          <w:lang w:val="sr-Latn-ME"/>
        </w:rPr>
        <w:t>FARMACEUTSKI PODACI</w:t>
      </w:r>
    </w:p>
    <w:p w14:paraId="0260AE09" w14:textId="77777777" w:rsidR="00836B35" w:rsidRPr="005A4F9F" w:rsidRDefault="00836B35" w:rsidP="008B00DE">
      <w:pPr>
        <w:widowControl w:val="0"/>
        <w:tabs>
          <w:tab w:val="left" w:pos="540"/>
          <w:tab w:val="left" w:pos="569"/>
        </w:tabs>
        <w:jc w:val="both"/>
        <w:rPr>
          <w:bCs/>
          <w:sz w:val="22"/>
          <w:szCs w:val="22"/>
          <w:lang w:val="sr-Latn-ME"/>
        </w:rPr>
      </w:pPr>
    </w:p>
    <w:p w14:paraId="52015195"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6.1. </w:t>
      </w:r>
      <w:r w:rsidR="00480FB1" w:rsidRPr="005A4F9F">
        <w:rPr>
          <w:b/>
          <w:bCs/>
          <w:sz w:val="22"/>
          <w:szCs w:val="22"/>
          <w:lang w:val="sr-Latn-ME"/>
        </w:rPr>
        <w:tab/>
      </w:r>
      <w:r w:rsidRPr="005A4F9F">
        <w:rPr>
          <w:b/>
          <w:bCs/>
          <w:sz w:val="22"/>
          <w:szCs w:val="22"/>
          <w:lang w:val="sr-Latn-ME"/>
        </w:rPr>
        <w:t>Lista pomoćnih supstanci</w:t>
      </w:r>
      <w:r w:rsidR="002E0135" w:rsidRPr="005A4F9F">
        <w:rPr>
          <w:b/>
          <w:bCs/>
          <w:sz w:val="22"/>
          <w:szCs w:val="22"/>
          <w:lang w:val="sr-Latn-ME"/>
        </w:rPr>
        <w:t xml:space="preserve"> (ekscipijenasa)</w:t>
      </w:r>
    </w:p>
    <w:p w14:paraId="17A39175" w14:textId="77777777" w:rsidR="0072020E" w:rsidRPr="005A4F9F" w:rsidRDefault="0072020E" w:rsidP="008B00DE">
      <w:pPr>
        <w:widowControl w:val="0"/>
        <w:tabs>
          <w:tab w:val="left" w:pos="540"/>
          <w:tab w:val="left" w:pos="569"/>
        </w:tabs>
        <w:jc w:val="both"/>
        <w:rPr>
          <w:bCs/>
          <w:sz w:val="22"/>
          <w:szCs w:val="22"/>
          <w:lang w:val="sr-Latn-ME"/>
        </w:rPr>
      </w:pPr>
    </w:p>
    <w:p w14:paraId="790FF531" w14:textId="77777777" w:rsidR="00763105" w:rsidRPr="005A4F9F" w:rsidRDefault="00763105" w:rsidP="008B00DE">
      <w:pPr>
        <w:pStyle w:val="Header"/>
        <w:widowControl w:val="0"/>
        <w:tabs>
          <w:tab w:val="left" w:pos="284"/>
        </w:tabs>
        <w:jc w:val="both"/>
        <w:rPr>
          <w:bCs/>
          <w:sz w:val="22"/>
          <w:szCs w:val="22"/>
          <w:lang w:val="sr-Latn-ME"/>
        </w:rPr>
      </w:pPr>
      <w:r w:rsidRPr="005A4F9F">
        <w:rPr>
          <w:bCs/>
          <w:sz w:val="22"/>
          <w:szCs w:val="22"/>
          <w:lang w:val="sr-Latn-ME"/>
        </w:rPr>
        <w:t>Saharoza</w:t>
      </w:r>
    </w:p>
    <w:p w14:paraId="743E41C6" w14:textId="2FAA05C0" w:rsidR="00763105" w:rsidRPr="005A4F9F" w:rsidRDefault="00763105" w:rsidP="008B00DE">
      <w:pPr>
        <w:widowControl w:val="0"/>
        <w:tabs>
          <w:tab w:val="left" w:pos="284"/>
          <w:tab w:val="center" w:pos="4320"/>
          <w:tab w:val="right" w:pos="8640"/>
        </w:tabs>
        <w:jc w:val="both"/>
        <w:rPr>
          <w:bCs/>
          <w:sz w:val="22"/>
          <w:szCs w:val="22"/>
          <w:lang w:val="sr-Latn-ME"/>
        </w:rPr>
      </w:pPr>
      <w:r w:rsidRPr="005A4F9F">
        <w:rPr>
          <w:bCs/>
          <w:sz w:val="22"/>
          <w:szCs w:val="22"/>
          <w:lang w:val="sr-Latn-ME"/>
        </w:rPr>
        <w:t>Polisorbat 80</w:t>
      </w:r>
      <w:r w:rsidR="008E6663" w:rsidRPr="005A4F9F">
        <w:rPr>
          <w:bCs/>
          <w:sz w:val="22"/>
          <w:szCs w:val="22"/>
          <w:lang w:val="sr-Latn-ME"/>
        </w:rPr>
        <w:t xml:space="preserve"> (E 433)</w:t>
      </w:r>
    </w:p>
    <w:p w14:paraId="136E3534" w14:textId="5C6A4CDA" w:rsidR="00763105" w:rsidRPr="005A4F9F" w:rsidRDefault="00763105" w:rsidP="008B00DE">
      <w:pPr>
        <w:widowControl w:val="0"/>
        <w:tabs>
          <w:tab w:val="left" w:pos="284"/>
          <w:tab w:val="center" w:pos="4320"/>
          <w:tab w:val="right" w:pos="8640"/>
        </w:tabs>
        <w:jc w:val="both"/>
        <w:rPr>
          <w:bCs/>
          <w:sz w:val="22"/>
          <w:szCs w:val="22"/>
          <w:lang w:val="sr-Latn-ME"/>
        </w:rPr>
      </w:pPr>
      <w:r w:rsidRPr="005A4F9F">
        <w:rPr>
          <w:bCs/>
          <w:sz w:val="22"/>
          <w:szCs w:val="22"/>
          <w:lang w:val="sr-Latn-ME"/>
        </w:rPr>
        <w:t>Dinatrijum</w:t>
      </w:r>
      <w:r w:rsidR="0083402D" w:rsidRPr="005A4F9F">
        <w:rPr>
          <w:bCs/>
          <w:sz w:val="22"/>
          <w:szCs w:val="22"/>
          <w:lang w:val="sr-Latn-ME"/>
        </w:rPr>
        <w:t xml:space="preserve"> </w:t>
      </w:r>
      <w:r w:rsidRPr="005A4F9F">
        <w:rPr>
          <w:bCs/>
          <w:sz w:val="22"/>
          <w:szCs w:val="22"/>
          <w:lang w:val="sr-Latn-ME"/>
        </w:rPr>
        <w:t>fosfat, dodekahidrat</w:t>
      </w:r>
      <w:r w:rsidR="008E6663" w:rsidRPr="005A4F9F">
        <w:rPr>
          <w:bCs/>
          <w:sz w:val="22"/>
          <w:szCs w:val="22"/>
          <w:lang w:val="sr-Latn-ME"/>
        </w:rPr>
        <w:t xml:space="preserve"> (za podešavanje pH)</w:t>
      </w:r>
    </w:p>
    <w:p w14:paraId="05FBD181" w14:textId="054ED060" w:rsidR="00763105" w:rsidRPr="005A4F9F" w:rsidRDefault="00763105" w:rsidP="008B00DE">
      <w:pPr>
        <w:widowControl w:val="0"/>
        <w:tabs>
          <w:tab w:val="left" w:pos="284"/>
          <w:tab w:val="center" w:pos="4320"/>
          <w:tab w:val="right" w:pos="8640"/>
        </w:tabs>
        <w:jc w:val="both"/>
        <w:rPr>
          <w:bCs/>
          <w:sz w:val="22"/>
          <w:szCs w:val="22"/>
          <w:lang w:val="sr-Latn-ME"/>
        </w:rPr>
      </w:pPr>
      <w:r w:rsidRPr="005A4F9F">
        <w:rPr>
          <w:bCs/>
          <w:sz w:val="22"/>
          <w:szCs w:val="22"/>
          <w:lang w:val="sr-Latn-ME"/>
        </w:rPr>
        <w:t>Natrijum</w:t>
      </w:r>
      <w:r w:rsidR="0083402D" w:rsidRPr="005A4F9F">
        <w:rPr>
          <w:bCs/>
          <w:sz w:val="22"/>
          <w:szCs w:val="22"/>
          <w:lang w:val="sr-Latn-ME"/>
        </w:rPr>
        <w:t xml:space="preserve"> </w:t>
      </w:r>
      <w:r w:rsidRPr="005A4F9F">
        <w:rPr>
          <w:bCs/>
          <w:sz w:val="22"/>
          <w:szCs w:val="22"/>
          <w:lang w:val="sr-Latn-ME"/>
        </w:rPr>
        <w:t>dihidrogenfosfat dihidrat</w:t>
      </w:r>
      <w:r w:rsidR="008E6663" w:rsidRPr="005A4F9F">
        <w:rPr>
          <w:bCs/>
          <w:sz w:val="22"/>
          <w:szCs w:val="22"/>
          <w:lang w:val="sr-Latn-ME"/>
        </w:rPr>
        <w:t xml:space="preserve"> (za podešavanje pH)</w:t>
      </w:r>
    </w:p>
    <w:p w14:paraId="28A0EB86" w14:textId="77777777" w:rsidR="00763105" w:rsidRPr="005A4F9F" w:rsidRDefault="00763105" w:rsidP="008B00DE">
      <w:pPr>
        <w:widowControl w:val="0"/>
        <w:tabs>
          <w:tab w:val="left" w:pos="284"/>
          <w:tab w:val="center" w:pos="4320"/>
          <w:tab w:val="right" w:pos="8640"/>
        </w:tabs>
        <w:jc w:val="both"/>
        <w:rPr>
          <w:bCs/>
          <w:sz w:val="22"/>
          <w:szCs w:val="22"/>
          <w:lang w:val="sr-Latn-ME"/>
        </w:rPr>
      </w:pPr>
      <w:r w:rsidRPr="005A4F9F">
        <w:rPr>
          <w:bCs/>
          <w:sz w:val="22"/>
          <w:szCs w:val="22"/>
          <w:lang w:val="sr-Latn-ME"/>
        </w:rPr>
        <w:t>Voda za injekcije</w:t>
      </w:r>
    </w:p>
    <w:p w14:paraId="40784D38" w14:textId="77777777" w:rsidR="00763105" w:rsidRPr="005A4F9F" w:rsidRDefault="00763105" w:rsidP="008B00DE">
      <w:pPr>
        <w:widowControl w:val="0"/>
        <w:tabs>
          <w:tab w:val="left" w:pos="540"/>
          <w:tab w:val="left" w:pos="569"/>
        </w:tabs>
        <w:jc w:val="both"/>
        <w:rPr>
          <w:bCs/>
          <w:sz w:val="22"/>
          <w:szCs w:val="22"/>
          <w:lang w:val="sr-Latn-ME"/>
        </w:rPr>
      </w:pPr>
    </w:p>
    <w:p w14:paraId="62373981"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6.2. </w:t>
      </w:r>
      <w:r w:rsidR="00480FB1" w:rsidRPr="005A4F9F">
        <w:rPr>
          <w:b/>
          <w:bCs/>
          <w:sz w:val="22"/>
          <w:szCs w:val="22"/>
          <w:lang w:val="sr-Latn-ME"/>
        </w:rPr>
        <w:tab/>
      </w:r>
      <w:r w:rsidRPr="005A4F9F">
        <w:rPr>
          <w:b/>
          <w:bCs/>
          <w:sz w:val="22"/>
          <w:szCs w:val="22"/>
          <w:lang w:val="sr-Latn-ME"/>
        </w:rPr>
        <w:t>Inkompatibilnost</w:t>
      </w:r>
      <w:r w:rsidR="002846DB" w:rsidRPr="005A4F9F">
        <w:rPr>
          <w:b/>
          <w:bCs/>
          <w:sz w:val="22"/>
          <w:szCs w:val="22"/>
          <w:lang w:val="sr-Latn-ME"/>
        </w:rPr>
        <w:t>i</w:t>
      </w:r>
    </w:p>
    <w:p w14:paraId="7BA5F3BC" w14:textId="77777777" w:rsidR="00763105" w:rsidRPr="005A4F9F" w:rsidRDefault="00763105" w:rsidP="008B00DE">
      <w:pPr>
        <w:widowControl w:val="0"/>
        <w:tabs>
          <w:tab w:val="left" w:pos="540"/>
          <w:tab w:val="left" w:pos="569"/>
        </w:tabs>
        <w:jc w:val="both"/>
        <w:rPr>
          <w:b/>
          <w:bCs/>
          <w:sz w:val="22"/>
          <w:szCs w:val="22"/>
          <w:lang w:val="sr-Latn-ME"/>
        </w:rPr>
      </w:pPr>
    </w:p>
    <w:p w14:paraId="28846663" w14:textId="77777777" w:rsidR="00763105" w:rsidRPr="005A4F9F" w:rsidRDefault="00763105" w:rsidP="008B00DE">
      <w:pPr>
        <w:widowControl w:val="0"/>
        <w:tabs>
          <w:tab w:val="left" w:pos="540"/>
          <w:tab w:val="left" w:pos="569"/>
        </w:tabs>
        <w:jc w:val="both"/>
        <w:rPr>
          <w:b/>
          <w:bCs/>
          <w:sz w:val="22"/>
          <w:szCs w:val="22"/>
          <w:lang w:val="sr-Latn-ME"/>
        </w:rPr>
      </w:pPr>
      <w:r w:rsidRPr="005A4F9F">
        <w:rPr>
          <w:bCs/>
          <w:sz w:val="22"/>
          <w:szCs w:val="22"/>
          <w:lang w:val="sr-Latn-ME"/>
        </w:rPr>
        <w:t xml:space="preserve">Ovaj lijek se ne smije miješati sa drugim medicinskim proizvodima osim onih koji su navedeni u odeljku </w:t>
      </w:r>
      <w:r w:rsidRPr="005A4F9F">
        <w:rPr>
          <w:sz w:val="22"/>
          <w:szCs w:val="22"/>
          <w:lang w:val="sr-Latn-ME"/>
        </w:rPr>
        <w:t>6.6.</w:t>
      </w:r>
    </w:p>
    <w:p w14:paraId="7A58BDCD" w14:textId="77777777" w:rsidR="0072020E" w:rsidRPr="005A4F9F" w:rsidRDefault="0072020E" w:rsidP="008B00DE">
      <w:pPr>
        <w:widowControl w:val="0"/>
        <w:tabs>
          <w:tab w:val="left" w:pos="540"/>
          <w:tab w:val="left" w:pos="569"/>
        </w:tabs>
        <w:jc w:val="both"/>
        <w:rPr>
          <w:bCs/>
          <w:sz w:val="22"/>
          <w:szCs w:val="22"/>
          <w:lang w:val="sr-Latn-ME"/>
        </w:rPr>
      </w:pPr>
    </w:p>
    <w:p w14:paraId="39765982"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6.3.</w:t>
      </w:r>
      <w:r w:rsidR="00C05DF8" w:rsidRPr="005A4F9F">
        <w:rPr>
          <w:b/>
          <w:bCs/>
          <w:sz w:val="22"/>
          <w:szCs w:val="22"/>
          <w:lang w:val="sr-Latn-ME"/>
        </w:rPr>
        <w:t xml:space="preserve"> </w:t>
      </w:r>
      <w:r w:rsidR="00480FB1" w:rsidRPr="005A4F9F">
        <w:rPr>
          <w:b/>
          <w:bCs/>
          <w:sz w:val="22"/>
          <w:szCs w:val="22"/>
          <w:lang w:val="sr-Latn-ME"/>
        </w:rPr>
        <w:tab/>
      </w:r>
      <w:r w:rsidRPr="005A4F9F">
        <w:rPr>
          <w:b/>
          <w:bCs/>
          <w:sz w:val="22"/>
          <w:szCs w:val="22"/>
          <w:lang w:val="sr-Latn-ME"/>
        </w:rPr>
        <w:t>Rok upotrebe</w:t>
      </w:r>
    </w:p>
    <w:p w14:paraId="0C54A9C5" w14:textId="77777777" w:rsidR="00763105" w:rsidRPr="005A4F9F" w:rsidRDefault="00763105" w:rsidP="008B00DE">
      <w:pPr>
        <w:widowControl w:val="0"/>
        <w:tabs>
          <w:tab w:val="left" w:pos="540"/>
          <w:tab w:val="left" w:pos="569"/>
        </w:tabs>
        <w:jc w:val="both"/>
        <w:rPr>
          <w:b/>
          <w:bCs/>
          <w:sz w:val="22"/>
          <w:szCs w:val="22"/>
          <w:lang w:val="sr-Latn-ME"/>
        </w:rPr>
      </w:pPr>
    </w:p>
    <w:p w14:paraId="3104028E" w14:textId="77777777" w:rsidR="008F0857" w:rsidRDefault="00763105" w:rsidP="008B00DE">
      <w:pPr>
        <w:widowControl w:val="0"/>
        <w:tabs>
          <w:tab w:val="left" w:pos="284"/>
          <w:tab w:val="center" w:pos="4320"/>
          <w:tab w:val="right" w:pos="8640"/>
        </w:tabs>
        <w:jc w:val="both"/>
        <w:rPr>
          <w:sz w:val="22"/>
          <w:szCs w:val="22"/>
          <w:lang w:val="sr-Latn-ME"/>
        </w:rPr>
      </w:pPr>
      <w:r w:rsidRPr="005A4F9F">
        <w:rPr>
          <w:i/>
          <w:sz w:val="22"/>
          <w:szCs w:val="22"/>
          <w:lang w:val="sr-Latn-ME"/>
        </w:rPr>
        <w:t>Neotvorena bočica</w:t>
      </w:r>
      <w:r w:rsidRPr="005A4F9F">
        <w:rPr>
          <w:sz w:val="22"/>
          <w:szCs w:val="22"/>
          <w:lang w:val="sr-Latn-ME"/>
        </w:rPr>
        <w:t xml:space="preserve">: </w:t>
      </w:r>
    </w:p>
    <w:p w14:paraId="2701A05E" w14:textId="0719D26A" w:rsidR="00763105" w:rsidRPr="005A4F9F" w:rsidRDefault="00763105" w:rsidP="008B00DE">
      <w:pPr>
        <w:widowControl w:val="0"/>
        <w:tabs>
          <w:tab w:val="left" w:pos="284"/>
          <w:tab w:val="center" w:pos="4320"/>
          <w:tab w:val="right" w:pos="8640"/>
        </w:tabs>
        <w:jc w:val="both"/>
        <w:rPr>
          <w:sz w:val="22"/>
          <w:szCs w:val="22"/>
          <w:lang w:val="sr-Latn-ME"/>
        </w:rPr>
      </w:pPr>
      <w:r w:rsidRPr="005A4F9F">
        <w:rPr>
          <w:sz w:val="22"/>
          <w:szCs w:val="22"/>
          <w:lang w:val="sr-Latn-ME"/>
        </w:rPr>
        <w:t>3</w:t>
      </w:r>
      <w:r w:rsidR="00CA1487" w:rsidRPr="005A4F9F">
        <w:rPr>
          <w:sz w:val="22"/>
          <w:szCs w:val="22"/>
          <w:lang w:val="sr-Latn-ME"/>
        </w:rPr>
        <w:t>6</w:t>
      </w:r>
      <w:r w:rsidRPr="005A4F9F">
        <w:rPr>
          <w:sz w:val="22"/>
          <w:szCs w:val="22"/>
          <w:lang w:val="sr-Latn-ME"/>
        </w:rPr>
        <w:t xml:space="preserve"> mjeseci</w:t>
      </w:r>
    </w:p>
    <w:p w14:paraId="0471F9AA" w14:textId="77777777" w:rsidR="00763105" w:rsidRPr="005A4F9F" w:rsidRDefault="00763105" w:rsidP="008B00DE">
      <w:pPr>
        <w:widowControl w:val="0"/>
        <w:tabs>
          <w:tab w:val="left" w:pos="284"/>
          <w:tab w:val="center" w:pos="4320"/>
          <w:tab w:val="right" w:pos="8640"/>
        </w:tabs>
        <w:jc w:val="both"/>
        <w:rPr>
          <w:sz w:val="22"/>
          <w:szCs w:val="22"/>
          <w:lang w:val="sr-Latn-ME"/>
        </w:rPr>
      </w:pPr>
    </w:p>
    <w:p w14:paraId="3A1645B1" w14:textId="77777777" w:rsidR="00542633" w:rsidRPr="005A4F9F" w:rsidRDefault="009F13B8" w:rsidP="008B00DE">
      <w:pPr>
        <w:widowControl w:val="0"/>
        <w:tabs>
          <w:tab w:val="left" w:pos="284"/>
          <w:tab w:val="center" w:pos="4320"/>
          <w:tab w:val="right" w:pos="8640"/>
        </w:tabs>
        <w:jc w:val="both"/>
        <w:rPr>
          <w:sz w:val="22"/>
          <w:szCs w:val="22"/>
          <w:lang w:val="sr-Latn-ME"/>
        </w:rPr>
      </w:pPr>
      <w:r w:rsidRPr="005A4F9F">
        <w:rPr>
          <w:i/>
          <w:sz w:val="22"/>
          <w:szCs w:val="22"/>
          <w:lang w:val="sr-Latn-ME"/>
        </w:rPr>
        <w:t>Razblaženi proizvod</w:t>
      </w:r>
      <w:r w:rsidRPr="005A4F9F">
        <w:rPr>
          <w:sz w:val="22"/>
          <w:szCs w:val="22"/>
          <w:lang w:val="sr-Latn-ME"/>
        </w:rPr>
        <w:t xml:space="preserve">: </w:t>
      </w:r>
    </w:p>
    <w:p w14:paraId="23839520" w14:textId="0EA93276" w:rsidR="009F13B8" w:rsidRPr="005A4F9F" w:rsidRDefault="009F13B8" w:rsidP="008B00DE">
      <w:pPr>
        <w:widowControl w:val="0"/>
        <w:tabs>
          <w:tab w:val="left" w:pos="284"/>
          <w:tab w:val="center" w:pos="4320"/>
          <w:tab w:val="right" w:pos="8640"/>
        </w:tabs>
        <w:jc w:val="both"/>
        <w:rPr>
          <w:sz w:val="22"/>
          <w:szCs w:val="22"/>
          <w:lang w:val="sr-Latn-ME"/>
        </w:rPr>
      </w:pPr>
      <w:r w:rsidRPr="005A4F9F">
        <w:rPr>
          <w:sz w:val="22"/>
          <w:szCs w:val="22"/>
          <w:lang w:val="sr-Latn-ME"/>
        </w:rPr>
        <w:t>Po razblaživanju, pripre</w:t>
      </w:r>
      <w:r w:rsidR="00542633" w:rsidRPr="005A4F9F">
        <w:rPr>
          <w:sz w:val="22"/>
          <w:szCs w:val="22"/>
          <w:lang w:val="sr-Latn-ME"/>
        </w:rPr>
        <w:t>ml</w:t>
      </w:r>
      <w:r w:rsidRPr="005A4F9F">
        <w:rPr>
          <w:sz w:val="22"/>
          <w:szCs w:val="22"/>
          <w:lang w:val="sr-Latn-ME"/>
        </w:rPr>
        <w:t>jeni rastvor za infuziju je fizički i hemijski stabilan u  rastvoru natrijum-hlorida 9 mg/</w:t>
      </w:r>
      <w:r w:rsidR="00542633" w:rsidRPr="005A4F9F">
        <w:rPr>
          <w:sz w:val="22"/>
          <w:szCs w:val="22"/>
          <w:lang w:val="sr-Latn-ME"/>
        </w:rPr>
        <w:t>ml</w:t>
      </w:r>
      <w:r w:rsidRPr="005A4F9F">
        <w:rPr>
          <w:sz w:val="22"/>
          <w:szCs w:val="22"/>
          <w:lang w:val="sr-Latn-ME"/>
        </w:rPr>
        <w:t xml:space="preserve"> (0,9%). Može se čuvati tokom 24 časa na temperaturi do 30°C ili u frižideru najviše 2 ned</w:t>
      </w:r>
      <w:r w:rsidR="00A563B1" w:rsidRPr="005A4F9F">
        <w:rPr>
          <w:sz w:val="22"/>
          <w:szCs w:val="22"/>
          <w:lang w:val="sr-Latn-ME"/>
        </w:rPr>
        <w:t>j</w:t>
      </w:r>
      <w:r w:rsidRPr="005A4F9F">
        <w:rPr>
          <w:sz w:val="22"/>
          <w:szCs w:val="22"/>
          <w:lang w:val="sr-Latn-ME"/>
        </w:rPr>
        <w:t>elje na temperaturi od 2°C–8°C.</w:t>
      </w:r>
    </w:p>
    <w:p w14:paraId="09FCA01B" w14:textId="77777777" w:rsidR="00763105" w:rsidRPr="005A4F9F" w:rsidRDefault="00763105">
      <w:pPr>
        <w:widowControl w:val="0"/>
        <w:tabs>
          <w:tab w:val="left" w:pos="284"/>
          <w:tab w:val="center" w:pos="4320"/>
          <w:tab w:val="right" w:pos="8640"/>
        </w:tabs>
        <w:jc w:val="both"/>
        <w:rPr>
          <w:sz w:val="22"/>
          <w:szCs w:val="22"/>
          <w:lang w:val="sr-Latn-ME"/>
        </w:rPr>
      </w:pPr>
    </w:p>
    <w:p w14:paraId="3B96D71E" w14:textId="0C01950A"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Sa mikrobiološke tačke gledišta, pripre</w:t>
      </w:r>
      <w:r w:rsidR="00542633" w:rsidRPr="005A4F9F">
        <w:rPr>
          <w:sz w:val="22"/>
          <w:szCs w:val="22"/>
          <w:lang w:val="sr-Latn-ME"/>
        </w:rPr>
        <w:t>ml</w:t>
      </w:r>
      <w:r w:rsidRPr="005A4F9F">
        <w:rPr>
          <w:sz w:val="22"/>
          <w:szCs w:val="22"/>
          <w:lang w:val="sr-Latn-ME"/>
        </w:rPr>
        <w:t xml:space="preserve">jeni rastvor za infuziju </w:t>
      </w:r>
      <w:r w:rsidR="00B1573E" w:rsidRPr="005A4F9F">
        <w:rPr>
          <w:sz w:val="22"/>
          <w:szCs w:val="22"/>
          <w:lang w:val="sr-Latn-ME"/>
        </w:rPr>
        <w:t>mora se upotrijebiti</w:t>
      </w:r>
      <w:r w:rsidRPr="005A4F9F">
        <w:rPr>
          <w:sz w:val="22"/>
          <w:szCs w:val="22"/>
          <w:lang w:val="sr-Latn-ME"/>
        </w:rPr>
        <w:t xml:space="preserve"> odmah. Ako se ne koristi odmah, vrijeme čuvanja i uslovi pred upotrebu predstavljaju odgovornost korisnika i normalno ne smiju biti duži od 24 časa na 2°C–8°C, osim ako razblaživanje nije obavljeno u strogo kontrolisanim i provjereno aseptičnim uslovima.</w:t>
      </w:r>
    </w:p>
    <w:p w14:paraId="6C3D79EC" w14:textId="77777777" w:rsidR="009F13B8" w:rsidRPr="005A4F9F" w:rsidRDefault="009F13B8" w:rsidP="008B00DE">
      <w:pPr>
        <w:widowControl w:val="0"/>
        <w:tabs>
          <w:tab w:val="left" w:pos="540"/>
          <w:tab w:val="left" w:pos="569"/>
        </w:tabs>
        <w:jc w:val="both"/>
        <w:rPr>
          <w:bCs/>
          <w:sz w:val="22"/>
          <w:szCs w:val="22"/>
          <w:lang w:val="sr-Latn-ME"/>
        </w:rPr>
      </w:pPr>
    </w:p>
    <w:p w14:paraId="0D7B4514"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lastRenderedPageBreak/>
        <w:t xml:space="preserve">6.4. </w:t>
      </w:r>
      <w:r w:rsidR="00480FB1" w:rsidRPr="005A4F9F">
        <w:rPr>
          <w:b/>
          <w:bCs/>
          <w:sz w:val="22"/>
          <w:szCs w:val="22"/>
          <w:lang w:val="sr-Latn-ME"/>
        </w:rPr>
        <w:tab/>
      </w:r>
      <w:r w:rsidRPr="005A4F9F">
        <w:rPr>
          <w:b/>
          <w:bCs/>
          <w:sz w:val="22"/>
          <w:szCs w:val="22"/>
          <w:lang w:val="sr-Latn-ME"/>
        </w:rPr>
        <w:t>Posebne mjere upozorenja pri čuvanju</w:t>
      </w:r>
      <w:r w:rsidR="00F8570A" w:rsidRPr="005A4F9F">
        <w:rPr>
          <w:b/>
          <w:bCs/>
          <w:sz w:val="22"/>
          <w:szCs w:val="22"/>
          <w:lang w:val="sr-Latn-ME"/>
        </w:rPr>
        <w:t xml:space="preserve"> lijeka</w:t>
      </w:r>
    </w:p>
    <w:p w14:paraId="4D15CAEF" w14:textId="77777777" w:rsidR="00763105" w:rsidRPr="005A4F9F" w:rsidRDefault="00763105" w:rsidP="008B00DE">
      <w:pPr>
        <w:widowControl w:val="0"/>
        <w:tabs>
          <w:tab w:val="left" w:pos="540"/>
          <w:tab w:val="left" w:pos="569"/>
        </w:tabs>
        <w:jc w:val="both"/>
        <w:rPr>
          <w:b/>
          <w:bCs/>
          <w:sz w:val="22"/>
          <w:szCs w:val="22"/>
          <w:lang w:val="sr-Latn-ME"/>
        </w:rPr>
      </w:pPr>
    </w:p>
    <w:p w14:paraId="58171547" w14:textId="77777777" w:rsidR="00763105" w:rsidRPr="005A4F9F" w:rsidRDefault="00763105" w:rsidP="008B00DE">
      <w:pPr>
        <w:widowControl w:val="0"/>
        <w:tabs>
          <w:tab w:val="left" w:pos="284"/>
          <w:tab w:val="center" w:pos="4320"/>
          <w:tab w:val="right" w:pos="8640"/>
        </w:tabs>
        <w:jc w:val="both"/>
        <w:rPr>
          <w:sz w:val="22"/>
          <w:szCs w:val="22"/>
          <w:lang w:val="sr-Latn-ME"/>
        </w:rPr>
      </w:pPr>
      <w:r w:rsidRPr="005A4F9F">
        <w:rPr>
          <w:sz w:val="22"/>
          <w:szCs w:val="22"/>
          <w:lang w:val="sr-Latn-ME"/>
        </w:rPr>
        <w:t xml:space="preserve">Čuvati bočice u frižideru  (2°C–8°C). Ne smije se zamrzavati. </w:t>
      </w:r>
    </w:p>
    <w:p w14:paraId="52BE91C7" w14:textId="77777777" w:rsidR="00763105" w:rsidRPr="005A4F9F" w:rsidRDefault="00763105" w:rsidP="008B00DE">
      <w:pPr>
        <w:widowControl w:val="0"/>
        <w:tabs>
          <w:tab w:val="left" w:pos="284"/>
          <w:tab w:val="center" w:pos="4320"/>
          <w:tab w:val="right" w:pos="8640"/>
        </w:tabs>
        <w:jc w:val="both"/>
        <w:rPr>
          <w:sz w:val="22"/>
          <w:szCs w:val="22"/>
          <w:lang w:val="sr-Latn-ME"/>
        </w:rPr>
      </w:pPr>
      <w:r w:rsidRPr="005A4F9F">
        <w:rPr>
          <w:sz w:val="22"/>
          <w:szCs w:val="22"/>
          <w:lang w:val="sr-Latn-ME"/>
        </w:rPr>
        <w:t xml:space="preserve">Čuvati bočice u spoljašnjem kartonskom pakovanju da se zaštite od </w:t>
      </w:r>
      <w:r w:rsidR="009505C8" w:rsidRPr="005A4F9F">
        <w:rPr>
          <w:sz w:val="22"/>
          <w:szCs w:val="22"/>
          <w:lang w:val="sr-Latn-ME"/>
        </w:rPr>
        <w:t>svjetla.</w:t>
      </w:r>
    </w:p>
    <w:p w14:paraId="25BECAEC" w14:textId="33BF4EA4" w:rsidR="00763105" w:rsidRPr="005A4F9F" w:rsidRDefault="00763105" w:rsidP="008B00DE">
      <w:pPr>
        <w:widowControl w:val="0"/>
        <w:tabs>
          <w:tab w:val="left" w:pos="284"/>
          <w:tab w:val="center" w:pos="4320"/>
          <w:tab w:val="right" w:pos="8640"/>
        </w:tabs>
        <w:jc w:val="both"/>
        <w:rPr>
          <w:sz w:val="22"/>
          <w:szCs w:val="22"/>
          <w:lang w:val="sr-Latn-ME"/>
        </w:rPr>
      </w:pPr>
      <w:bookmarkStart w:id="2" w:name="_GoBack"/>
      <w:bookmarkEnd w:id="2"/>
      <w:r w:rsidRPr="005A4F9F">
        <w:rPr>
          <w:sz w:val="22"/>
          <w:szCs w:val="22"/>
          <w:lang w:val="sr-Latn-ME"/>
        </w:rPr>
        <w:t xml:space="preserve">Za uslove čuvanja  razblaženog lijeka vidjeti </w:t>
      </w:r>
      <w:r w:rsidR="00542633" w:rsidRPr="005A4F9F">
        <w:rPr>
          <w:sz w:val="22"/>
          <w:szCs w:val="22"/>
          <w:lang w:val="sr-Latn-ME"/>
        </w:rPr>
        <w:t xml:space="preserve">dio </w:t>
      </w:r>
      <w:r w:rsidRPr="005A4F9F">
        <w:rPr>
          <w:sz w:val="22"/>
          <w:szCs w:val="22"/>
          <w:lang w:val="sr-Latn-ME"/>
        </w:rPr>
        <w:t>6.3.</w:t>
      </w:r>
    </w:p>
    <w:p w14:paraId="237B94C8" w14:textId="77777777" w:rsidR="00EC2532" w:rsidRPr="005A4F9F" w:rsidRDefault="00EC2532" w:rsidP="008B00DE">
      <w:pPr>
        <w:widowControl w:val="0"/>
        <w:tabs>
          <w:tab w:val="left" w:pos="540"/>
          <w:tab w:val="left" w:pos="569"/>
        </w:tabs>
        <w:jc w:val="both"/>
        <w:rPr>
          <w:bCs/>
          <w:sz w:val="22"/>
          <w:szCs w:val="22"/>
          <w:lang w:val="sr-Latn-ME"/>
        </w:rPr>
      </w:pPr>
    </w:p>
    <w:p w14:paraId="5707765A" w14:textId="77777777" w:rsidR="00763105"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6.5. </w:t>
      </w:r>
      <w:r w:rsidR="00480FB1" w:rsidRPr="005A4F9F">
        <w:rPr>
          <w:b/>
          <w:bCs/>
          <w:sz w:val="22"/>
          <w:szCs w:val="22"/>
          <w:lang w:val="sr-Latn-ME"/>
        </w:rPr>
        <w:tab/>
      </w:r>
      <w:r w:rsidR="002846DB" w:rsidRPr="005A4F9F">
        <w:rPr>
          <w:b/>
          <w:bCs/>
          <w:sz w:val="22"/>
          <w:szCs w:val="22"/>
          <w:lang w:val="sr-Latn-ME"/>
        </w:rPr>
        <w:t xml:space="preserve">Vrsta i sadržaj </w:t>
      </w:r>
      <w:r w:rsidR="00F8570A" w:rsidRPr="005A4F9F">
        <w:rPr>
          <w:b/>
          <w:bCs/>
          <w:sz w:val="22"/>
          <w:szCs w:val="22"/>
          <w:lang w:val="sr-Latn-ME"/>
        </w:rPr>
        <w:t>pakovanja</w:t>
      </w:r>
      <w:r w:rsidR="00C06864" w:rsidRPr="005A4F9F">
        <w:rPr>
          <w:b/>
          <w:bCs/>
          <w:sz w:val="22"/>
          <w:szCs w:val="22"/>
          <w:lang w:val="sr-Latn-ME"/>
        </w:rPr>
        <w:t xml:space="preserve"> </w:t>
      </w:r>
    </w:p>
    <w:p w14:paraId="54542F4A" w14:textId="77777777" w:rsidR="00763105" w:rsidRPr="005A4F9F" w:rsidRDefault="00763105" w:rsidP="008B00DE">
      <w:pPr>
        <w:widowControl w:val="0"/>
        <w:tabs>
          <w:tab w:val="left" w:pos="284"/>
          <w:tab w:val="center" w:pos="4320"/>
          <w:tab w:val="right" w:pos="8640"/>
        </w:tabs>
        <w:jc w:val="both"/>
        <w:rPr>
          <w:sz w:val="22"/>
          <w:szCs w:val="22"/>
          <w:lang w:val="sr-Latn-ME"/>
        </w:rPr>
      </w:pPr>
    </w:p>
    <w:p w14:paraId="16EA5C16" w14:textId="177A33B5" w:rsidR="0072020E" w:rsidRPr="005A4F9F" w:rsidRDefault="00763105" w:rsidP="008B00DE">
      <w:pPr>
        <w:widowControl w:val="0"/>
        <w:tabs>
          <w:tab w:val="left" w:pos="284"/>
          <w:tab w:val="center" w:pos="4320"/>
          <w:tab w:val="right" w:pos="8640"/>
        </w:tabs>
        <w:jc w:val="both"/>
        <w:rPr>
          <w:iCs/>
          <w:sz w:val="22"/>
          <w:szCs w:val="22"/>
          <w:lang w:val="sr-Latn-ME"/>
        </w:rPr>
      </w:pPr>
      <w:r w:rsidRPr="005A4F9F">
        <w:rPr>
          <w:sz w:val="22"/>
          <w:szCs w:val="22"/>
          <w:lang w:val="sr-Latn-ME"/>
        </w:rPr>
        <w:t xml:space="preserve">RoActemra se pušta u promet u bočicama (staklo tipa I) sa zapušačem (butilna guma) </w:t>
      </w:r>
      <w:r w:rsidRPr="005A4F9F">
        <w:rPr>
          <w:iCs/>
          <w:sz w:val="22"/>
          <w:szCs w:val="22"/>
          <w:lang w:val="sr-Latn-ME"/>
        </w:rPr>
        <w:t>sa sadržajem 4 </w:t>
      </w:r>
      <w:r w:rsidR="00542633" w:rsidRPr="005A4F9F">
        <w:rPr>
          <w:iCs/>
          <w:sz w:val="22"/>
          <w:szCs w:val="22"/>
          <w:lang w:val="sr-Latn-ME"/>
        </w:rPr>
        <w:t>ml</w:t>
      </w:r>
      <w:r w:rsidRPr="005A4F9F">
        <w:rPr>
          <w:iCs/>
          <w:sz w:val="22"/>
          <w:szCs w:val="22"/>
          <w:lang w:val="sr-Latn-ME"/>
        </w:rPr>
        <w:t>, 10 </w:t>
      </w:r>
      <w:r w:rsidR="00542633" w:rsidRPr="005A4F9F">
        <w:rPr>
          <w:iCs/>
          <w:sz w:val="22"/>
          <w:szCs w:val="22"/>
          <w:lang w:val="sr-Latn-ME"/>
        </w:rPr>
        <w:t>ml</w:t>
      </w:r>
      <w:r w:rsidRPr="005A4F9F">
        <w:rPr>
          <w:iCs/>
          <w:sz w:val="22"/>
          <w:szCs w:val="22"/>
          <w:lang w:val="sr-Latn-ME"/>
        </w:rPr>
        <w:t xml:space="preserve"> ili 20 </w:t>
      </w:r>
      <w:r w:rsidR="00542633" w:rsidRPr="005A4F9F">
        <w:rPr>
          <w:iCs/>
          <w:sz w:val="22"/>
          <w:szCs w:val="22"/>
          <w:lang w:val="sr-Latn-ME"/>
        </w:rPr>
        <w:t>ml</w:t>
      </w:r>
      <w:r w:rsidRPr="005A4F9F">
        <w:rPr>
          <w:iCs/>
          <w:sz w:val="22"/>
          <w:szCs w:val="22"/>
          <w:lang w:val="sr-Latn-ME"/>
        </w:rPr>
        <w:t xml:space="preserve"> koncentrata. Pakovanja sadrže 1 bočic</w:t>
      </w:r>
      <w:r w:rsidR="0083402D" w:rsidRPr="005A4F9F">
        <w:rPr>
          <w:iCs/>
          <w:sz w:val="22"/>
          <w:szCs w:val="22"/>
          <w:lang w:val="sr-Latn-ME"/>
        </w:rPr>
        <w:t>u</w:t>
      </w:r>
      <w:r w:rsidRPr="005A4F9F">
        <w:rPr>
          <w:iCs/>
          <w:sz w:val="22"/>
          <w:szCs w:val="22"/>
          <w:lang w:val="sr-Latn-ME"/>
        </w:rPr>
        <w:t>.</w:t>
      </w:r>
    </w:p>
    <w:p w14:paraId="0DE93AB9" w14:textId="77777777" w:rsidR="00542633" w:rsidRPr="005A4F9F" w:rsidRDefault="00542633" w:rsidP="008B00DE">
      <w:pPr>
        <w:widowControl w:val="0"/>
        <w:tabs>
          <w:tab w:val="left" w:pos="284"/>
          <w:tab w:val="center" w:pos="4320"/>
          <w:tab w:val="right" w:pos="8640"/>
        </w:tabs>
        <w:jc w:val="both"/>
        <w:rPr>
          <w:bCs/>
          <w:sz w:val="22"/>
          <w:szCs w:val="22"/>
          <w:lang w:val="sr-Latn-ME"/>
        </w:rPr>
      </w:pPr>
    </w:p>
    <w:p w14:paraId="37DB6DDE" w14:textId="6F9ABEE5" w:rsidR="002846DB" w:rsidRPr="008B00DE" w:rsidRDefault="0072020E" w:rsidP="008B00DE">
      <w:pPr>
        <w:widowControl w:val="0"/>
        <w:tabs>
          <w:tab w:val="left" w:pos="540"/>
          <w:tab w:val="left" w:pos="569"/>
        </w:tabs>
        <w:jc w:val="both"/>
        <w:rPr>
          <w:b/>
          <w:bCs/>
          <w:color w:val="000000"/>
          <w:sz w:val="22"/>
          <w:szCs w:val="22"/>
          <w:lang w:val="sr-Latn-ME"/>
        </w:rPr>
      </w:pPr>
      <w:r w:rsidRPr="005A4F9F">
        <w:rPr>
          <w:b/>
          <w:bCs/>
          <w:sz w:val="22"/>
          <w:szCs w:val="22"/>
          <w:lang w:val="sr-Latn-ME"/>
        </w:rPr>
        <w:t xml:space="preserve">6.6. </w:t>
      </w:r>
      <w:r w:rsidR="00480FB1" w:rsidRPr="005A4F9F">
        <w:rPr>
          <w:b/>
          <w:bCs/>
          <w:sz w:val="22"/>
          <w:szCs w:val="22"/>
          <w:lang w:val="sr-Latn-ME"/>
        </w:rPr>
        <w:tab/>
      </w:r>
      <w:r w:rsidRPr="005A4F9F">
        <w:rPr>
          <w:b/>
          <w:bCs/>
          <w:color w:val="000000"/>
          <w:sz w:val="22"/>
          <w:szCs w:val="22"/>
          <w:lang w:val="sr-Latn-ME"/>
        </w:rPr>
        <w:t xml:space="preserve">Posebne mjere opreza pri odlaganju </w:t>
      </w:r>
      <w:r w:rsidR="00CE0C85" w:rsidRPr="005A4F9F">
        <w:rPr>
          <w:b/>
          <w:bCs/>
          <w:color w:val="000000"/>
          <w:sz w:val="22"/>
          <w:szCs w:val="22"/>
          <w:lang w:val="sr-Latn-ME"/>
        </w:rPr>
        <w:t>i druga rukovanja lijekom</w:t>
      </w:r>
      <w:r w:rsidR="00310F03" w:rsidRPr="005A4F9F">
        <w:rPr>
          <w:b/>
          <w:bCs/>
          <w:sz w:val="22"/>
          <w:szCs w:val="22"/>
          <w:lang w:val="sr-Latn-ME"/>
        </w:rPr>
        <w:t xml:space="preserve"> </w:t>
      </w:r>
    </w:p>
    <w:p w14:paraId="7812A820" w14:textId="77777777" w:rsidR="00B66A70" w:rsidRPr="005A4F9F" w:rsidRDefault="00B66A70">
      <w:pPr>
        <w:widowControl w:val="0"/>
        <w:tabs>
          <w:tab w:val="left" w:pos="540"/>
          <w:tab w:val="left" w:pos="569"/>
        </w:tabs>
        <w:jc w:val="both"/>
        <w:rPr>
          <w:b/>
          <w:bCs/>
          <w:sz w:val="22"/>
          <w:szCs w:val="22"/>
          <w:lang w:val="sr-Latn-ME"/>
        </w:rPr>
      </w:pPr>
    </w:p>
    <w:p w14:paraId="7EC8C297" w14:textId="77777777" w:rsidR="00763105" w:rsidRPr="005A4F9F" w:rsidRDefault="00763105">
      <w:pPr>
        <w:pStyle w:val="Header"/>
        <w:widowControl w:val="0"/>
        <w:tabs>
          <w:tab w:val="left" w:pos="284"/>
        </w:tabs>
        <w:jc w:val="both"/>
        <w:rPr>
          <w:sz w:val="22"/>
          <w:szCs w:val="22"/>
          <w:u w:val="single"/>
          <w:lang w:val="sr-Latn-ME"/>
        </w:rPr>
      </w:pPr>
      <w:r w:rsidRPr="005A4F9F">
        <w:rPr>
          <w:sz w:val="22"/>
          <w:szCs w:val="22"/>
          <w:u w:val="single"/>
          <w:lang w:val="sr-Latn-ME"/>
        </w:rPr>
        <w:t>Uputstvo za razblaživanje prije davanja</w:t>
      </w:r>
    </w:p>
    <w:p w14:paraId="76DE1B81" w14:textId="657E2CEF" w:rsidR="0055256B" w:rsidRPr="005A4F9F" w:rsidRDefault="00763105">
      <w:pPr>
        <w:widowControl w:val="0"/>
        <w:jc w:val="both"/>
        <w:rPr>
          <w:sz w:val="22"/>
          <w:szCs w:val="22"/>
          <w:lang w:val="sr-Latn-ME"/>
        </w:rPr>
      </w:pPr>
      <w:r w:rsidRPr="005A4F9F">
        <w:rPr>
          <w:sz w:val="22"/>
          <w:szCs w:val="22"/>
          <w:lang w:val="sr-Latn-ME"/>
        </w:rPr>
        <w:t>Prije same primjene parenteralni ljekovi se moraju vizuelno pažljivo pregledati na prisustvo čestica ili prebojavanje. Smije se koristiti isključivo rastvor bez sadržaja vidljivih čestica, koji je bistar do zamućen, bezbojan do blijedo žut.</w:t>
      </w:r>
      <w:r w:rsidR="0055256B" w:rsidRPr="005A4F9F">
        <w:rPr>
          <w:sz w:val="22"/>
          <w:szCs w:val="22"/>
          <w:lang w:val="sr-Latn-ME"/>
        </w:rPr>
        <w:t xml:space="preserve"> Koristite sterilnu iglu i špric prilikom pripreme lijeka.</w:t>
      </w:r>
    </w:p>
    <w:p w14:paraId="41D21F6C" w14:textId="77777777" w:rsidR="00763105" w:rsidRPr="005A4F9F" w:rsidRDefault="00763105">
      <w:pPr>
        <w:widowControl w:val="0"/>
        <w:tabs>
          <w:tab w:val="left" w:pos="284"/>
          <w:tab w:val="center" w:pos="4320"/>
          <w:tab w:val="right" w:pos="8640"/>
        </w:tabs>
        <w:jc w:val="both"/>
        <w:rPr>
          <w:sz w:val="22"/>
          <w:szCs w:val="22"/>
          <w:lang w:val="sr-Latn-ME"/>
        </w:rPr>
      </w:pPr>
    </w:p>
    <w:p w14:paraId="350C39F1" w14:textId="6276B894" w:rsidR="00763105" w:rsidRPr="005A4F9F" w:rsidRDefault="008E66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 xml:space="preserve">Odrasli pacijenti s </w:t>
      </w:r>
      <w:r w:rsidR="00763105" w:rsidRPr="005A4F9F">
        <w:rPr>
          <w:sz w:val="22"/>
          <w:szCs w:val="22"/>
          <w:u w:val="single"/>
          <w:lang w:val="sr-Latn-ME"/>
        </w:rPr>
        <w:t>R</w:t>
      </w:r>
      <w:r w:rsidR="00432105" w:rsidRPr="005A4F9F">
        <w:rPr>
          <w:sz w:val="22"/>
          <w:szCs w:val="22"/>
          <w:u w:val="single"/>
          <w:lang w:val="sr-Latn-ME"/>
        </w:rPr>
        <w:t>A</w:t>
      </w:r>
      <w:r w:rsidR="00BF249E" w:rsidRPr="005A4F9F">
        <w:rPr>
          <w:sz w:val="22"/>
          <w:szCs w:val="22"/>
          <w:u w:val="single"/>
          <w:lang w:val="sr-Latn-ME"/>
        </w:rPr>
        <w:t>,</w:t>
      </w:r>
      <w:r w:rsidRPr="005A4F9F">
        <w:rPr>
          <w:sz w:val="22"/>
          <w:szCs w:val="22"/>
          <w:u w:val="single"/>
          <w:lang w:val="sr-Latn-ME"/>
        </w:rPr>
        <w:t xml:space="preserve"> </w:t>
      </w:r>
      <w:r w:rsidR="00432105" w:rsidRPr="005A4F9F">
        <w:rPr>
          <w:sz w:val="22"/>
          <w:szCs w:val="22"/>
          <w:u w:val="single"/>
          <w:lang w:val="sr-Latn-ME"/>
        </w:rPr>
        <w:t>SOC</w:t>
      </w:r>
      <w:r w:rsidRPr="005A4F9F">
        <w:rPr>
          <w:sz w:val="22"/>
          <w:szCs w:val="22"/>
          <w:u w:val="single"/>
          <w:lang w:val="sr-Latn-ME"/>
        </w:rPr>
        <w:t>-om</w:t>
      </w:r>
      <w:r w:rsidR="00F94376" w:rsidRPr="005A4F9F">
        <w:rPr>
          <w:sz w:val="22"/>
          <w:szCs w:val="22"/>
          <w:u w:val="single"/>
          <w:lang w:val="sr-Latn-ME"/>
        </w:rPr>
        <w:t xml:space="preserve"> (≥ 30 kg)</w:t>
      </w:r>
      <w:r w:rsidR="00763105" w:rsidRPr="005A4F9F">
        <w:rPr>
          <w:sz w:val="22"/>
          <w:szCs w:val="22"/>
          <w:u w:val="single"/>
          <w:lang w:val="sr-Latn-ME"/>
        </w:rPr>
        <w:t xml:space="preserve"> </w:t>
      </w:r>
      <w:r w:rsidR="00BF249E" w:rsidRPr="005A4F9F">
        <w:rPr>
          <w:sz w:val="22"/>
          <w:szCs w:val="22"/>
          <w:u w:val="single"/>
          <w:lang w:val="sr-Latn-ME"/>
        </w:rPr>
        <w:t xml:space="preserve">i COVID-19 </w:t>
      </w:r>
      <w:r w:rsidR="008B3674" w:rsidRPr="005A4F9F">
        <w:rPr>
          <w:sz w:val="22"/>
          <w:szCs w:val="22"/>
          <w:u w:val="single"/>
          <w:lang w:val="sr-Latn-ME"/>
        </w:rPr>
        <w:t>infekcijom</w:t>
      </w:r>
      <w:r w:rsidRPr="005A4F9F">
        <w:rPr>
          <w:sz w:val="22"/>
          <w:szCs w:val="22"/>
          <w:u w:val="single"/>
          <w:lang w:val="sr-Latn-ME"/>
        </w:rPr>
        <w:t xml:space="preserve"> </w:t>
      </w:r>
    </w:p>
    <w:p w14:paraId="3117A5DF" w14:textId="7C5A4C19"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Izvucite zapreminu sterilnog, apirogenog rastvora natrijum-hlorida 9 mg/</w:t>
      </w:r>
      <w:r w:rsidR="00542633" w:rsidRPr="005A4F9F">
        <w:rPr>
          <w:sz w:val="22"/>
          <w:szCs w:val="22"/>
          <w:lang w:val="sr-Latn-ME"/>
        </w:rPr>
        <w:t>ml</w:t>
      </w:r>
      <w:r w:rsidRPr="005A4F9F">
        <w:rPr>
          <w:sz w:val="22"/>
          <w:szCs w:val="22"/>
          <w:lang w:val="sr-Latn-ME"/>
        </w:rPr>
        <w:t xml:space="preserve"> (0.9%) za injekcije iz kese za infuziju sa sadržajem 100 </w:t>
      </w:r>
      <w:r w:rsidR="00542633" w:rsidRPr="005A4F9F">
        <w:rPr>
          <w:sz w:val="22"/>
          <w:szCs w:val="22"/>
          <w:lang w:val="sr-Latn-ME"/>
        </w:rPr>
        <w:t>ml</w:t>
      </w:r>
      <w:r w:rsidRPr="005A4F9F">
        <w:rPr>
          <w:sz w:val="22"/>
          <w:szCs w:val="22"/>
          <w:lang w:val="sr-Latn-ME"/>
        </w:rPr>
        <w:t xml:space="preserve"> rastvora koja odgovara zapremini koncentrata potrebne za davanje doze pacijentu pod aseptičnim uslovima. Potrebnu količinu  koncentrata (0.4 </w:t>
      </w:r>
      <w:r w:rsidR="00542633" w:rsidRPr="005A4F9F">
        <w:rPr>
          <w:sz w:val="22"/>
          <w:szCs w:val="22"/>
          <w:lang w:val="sr-Latn-ME"/>
        </w:rPr>
        <w:t>ml</w:t>
      </w:r>
      <w:r w:rsidRPr="005A4F9F">
        <w:rPr>
          <w:sz w:val="22"/>
          <w:szCs w:val="22"/>
          <w:lang w:val="sr-Latn-ME"/>
        </w:rPr>
        <w:t>/kg) treba izvući iz  bočice i unijeti u kesu za infuziju od 100 </w:t>
      </w:r>
      <w:r w:rsidR="00542633" w:rsidRPr="005A4F9F">
        <w:rPr>
          <w:sz w:val="22"/>
          <w:szCs w:val="22"/>
          <w:lang w:val="sr-Latn-ME"/>
        </w:rPr>
        <w:t>ml</w:t>
      </w:r>
      <w:r w:rsidRPr="005A4F9F">
        <w:rPr>
          <w:sz w:val="22"/>
          <w:szCs w:val="22"/>
          <w:lang w:val="sr-Latn-ME"/>
        </w:rPr>
        <w:t>. Ovo se radi tako da se dobija konačna zapremina od 100 </w:t>
      </w:r>
      <w:r w:rsidR="00542633" w:rsidRPr="005A4F9F">
        <w:rPr>
          <w:sz w:val="22"/>
          <w:szCs w:val="22"/>
          <w:lang w:val="sr-Latn-ME"/>
        </w:rPr>
        <w:t>ml</w:t>
      </w:r>
      <w:r w:rsidRPr="005A4F9F">
        <w:rPr>
          <w:sz w:val="22"/>
          <w:szCs w:val="22"/>
          <w:lang w:val="sr-Latn-ME"/>
        </w:rPr>
        <w:t>. Da biste rastvor promješali, pažljivo izvrnite kesu za infuziju da se izbjegne stvaranje pjene.</w:t>
      </w:r>
    </w:p>
    <w:p w14:paraId="73433540" w14:textId="77777777" w:rsidR="00763105" w:rsidRPr="005A4F9F" w:rsidRDefault="00763105">
      <w:pPr>
        <w:widowControl w:val="0"/>
        <w:tabs>
          <w:tab w:val="left" w:pos="284"/>
          <w:tab w:val="center" w:pos="4320"/>
          <w:tab w:val="right" w:pos="8640"/>
        </w:tabs>
        <w:jc w:val="both"/>
        <w:rPr>
          <w:sz w:val="22"/>
          <w:szCs w:val="22"/>
          <w:lang w:val="sr-Latn-ME"/>
        </w:rPr>
      </w:pPr>
    </w:p>
    <w:p w14:paraId="745EBEE6" w14:textId="1BAE755D" w:rsidR="00763105" w:rsidRPr="005A4F9F" w:rsidRDefault="00CE0C85" w:rsidP="008B00DE">
      <w:pPr>
        <w:widowControl w:val="0"/>
        <w:tabs>
          <w:tab w:val="left" w:pos="284"/>
          <w:tab w:val="center" w:pos="4320"/>
          <w:tab w:val="right" w:pos="8640"/>
        </w:tabs>
        <w:ind w:right="6805"/>
        <w:jc w:val="both"/>
        <w:rPr>
          <w:sz w:val="22"/>
          <w:szCs w:val="22"/>
          <w:lang w:val="sr-Latn-ME"/>
        </w:rPr>
      </w:pPr>
      <w:r w:rsidRPr="005A4F9F">
        <w:rPr>
          <w:i/>
          <w:iCs/>
          <w:sz w:val="22"/>
          <w:szCs w:val="22"/>
          <w:lang w:val="sr-Latn-ME"/>
        </w:rPr>
        <w:t>Pedijatrijska populacija</w:t>
      </w:r>
      <w:r w:rsidR="008E6663" w:rsidRPr="005A4F9F">
        <w:rPr>
          <w:sz w:val="22"/>
          <w:szCs w:val="22"/>
          <w:lang w:val="sr-Latn-ME"/>
        </w:rPr>
        <w:br/>
      </w:r>
    </w:p>
    <w:p w14:paraId="71CE780F" w14:textId="0ED93A71" w:rsidR="00763105" w:rsidRPr="005A4F9F" w:rsidRDefault="008E66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 xml:space="preserve">Pacijenti s </w:t>
      </w:r>
      <w:r w:rsidR="00763105" w:rsidRPr="005A4F9F">
        <w:rPr>
          <w:sz w:val="22"/>
          <w:szCs w:val="22"/>
          <w:u w:val="single"/>
          <w:lang w:val="sr-Latn-ME"/>
        </w:rPr>
        <w:t>sJIA</w:t>
      </w:r>
      <w:r w:rsidR="00432105" w:rsidRPr="005A4F9F">
        <w:rPr>
          <w:sz w:val="22"/>
          <w:szCs w:val="22"/>
          <w:u w:val="single"/>
          <w:lang w:val="sr-Latn-ME"/>
        </w:rPr>
        <w:t>,</w:t>
      </w:r>
      <w:r w:rsidR="00763105" w:rsidRPr="005A4F9F">
        <w:rPr>
          <w:sz w:val="22"/>
          <w:szCs w:val="22"/>
          <w:u w:val="single"/>
          <w:lang w:val="sr-Latn-ME"/>
        </w:rPr>
        <w:t xml:space="preserve"> pJIA</w:t>
      </w:r>
      <w:r w:rsidR="00432105" w:rsidRPr="005A4F9F">
        <w:rPr>
          <w:sz w:val="22"/>
          <w:szCs w:val="22"/>
          <w:u w:val="single"/>
          <w:lang w:val="sr-Latn-ME"/>
        </w:rPr>
        <w:t xml:space="preserve"> i SOC</w:t>
      </w:r>
      <w:r w:rsidRPr="005A4F9F">
        <w:rPr>
          <w:sz w:val="22"/>
          <w:szCs w:val="22"/>
          <w:u w:val="single"/>
          <w:lang w:val="sr-Latn-ME"/>
        </w:rPr>
        <w:t>-om</w:t>
      </w:r>
      <w:r w:rsidR="00763105" w:rsidRPr="005A4F9F">
        <w:rPr>
          <w:sz w:val="22"/>
          <w:szCs w:val="22"/>
          <w:u w:val="single"/>
          <w:lang w:val="sr-Latn-ME"/>
        </w:rPr>
        <w:t xml:space="preserve"> ≥ 30kg</w:t>
      </w:r>
    </w:p>
    <w:p w14:paraId="18E0D70E" w14:textId="317578F8"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Izvucite zapreminu sterilnog, apirogenog rastvora natrijum-hlorida 9 mg/</w:t>
      </w:r>
      <w:r w:rsidR="00542633" w:rsidRPr="005A4F9F">
        <w:rPr>
          <w:sz w:val="22"/>
          <w:szCs w:val="22"/>
          <w:lang w:val="sr-Latn-ME"/>
        </w:rPr>
        <w:t>ml</w:t>
      </w:r>
      <w:r w:rsidRPr="005A4F9F">
        <w:rPr>
          <w:sz w:val="22"/>
          <w:szCs w:val="22"/>
          <w:lang w:val="sr-Latn-ME"/>
        </w:rPr>
        <w:t xml:space="preserve"> (0.9%) za injekcije iz kese za infuziju sa sadržajem 100 </w:t>
      </w:r>
      <w:r w:rsidR="00542633" w:rsidRPr="005A4F9F">
        <w:rPr>
          <w:sz w:val="22"/>
          <w:szCs w:val="22"/>
          <w:lang w:val="sr-Latn-ME"/>
        </w:rPr>
        <w:t>ml</w:t>
      </w:r>
      <w:r w:rsidRPr="005A4F9F">
        <w:rPr>
          <w:sz w:val="22"/>
          <w:szCs w:val="22"/>
          <w:lang w:val="sr-Latn-ME"/>
        </w:rPr>
        <w:t xml:space="preserve"> rastvora koja odgovara zapremini koncentrata potrebne za davanje doze pacijentu pod aseptičnim uslovima. Potrebnu količinu  koncentrata (</w:t>
      </w:r>
      <w:r w:rsidRPr="005A4F9F">
        <w:rPr>
          <w:b/>
          <w:sz w:val="22"/>
          <w:szCs w:val="22"/>
          <w:lang w:val="sr-Latn-ME"/>
        </w:rPr>
        <w:t>0.4 </w:t>
      </w:r>
      <w:r w:rsidR="00542633" w:rsidRPr="005A4F9F">
        <w:rPr>
          <w:b/>
          <w:sz w:val="22"/>
          <w:szCs w:val="22"/>
          <w:lang w:val="sr-Latn-ME"/>
        </w:rPr>
        <w:t>ml</w:t>
      </w:r>
      <w:r w:rsidRPr="005A4F9F">
        <w:rPr>
          <w:b/>
          <w:sz w:val="22"/>
          <w:szCs w:val="22"/>
          <w:lang w:val="sr-Latn-ME"/>
        </w:rPr>
        <w:t>/kg</w:t>
      </w:r>
      <w:r w:rsidRPr="005A4F9F">
        <w:rPr>
          <w:sz w:val="22"/>
          <w:szCs w:val="22"/>
          <w:lang w:val="sr-Latn-ME"/>
        </w:rPr>
        <w:t>) treba izvući iz  bočice i unijeti u kesu za infuziju od 100 </w:t>
      </w:r>
      <w:r w:rsidR="00542633" w:rsidRPr="005A4F9F">
        <w:rPr>
          <w:sz w:val="22"/>
          <w:szCs w:val="22"/>
          <w:lang w:val="sr-Latn-ME"/>
        </w:rPr>
        <w:t>ml</w:t>
      </w:r>
      <w:r w:rsidRPr="005A4F9F">
        <w:rPr>
          <w:sz w:val="22"/>
          <w:szCs w:val="22"/>
          <w:lang w:val="sr-Latn-ME"/>
        </w:rPr>
        <w:t>. Ovo se radi tako da se dobija konačna zapremina od 100 </w:t>
      </w:r>
      <w:r w:rsidR="00542633" w:rsidRPr="005A4F9F">
        <w:rPr>
          <w:sz w:val="22"/>
          <w:szCs w:val="22"/>
          <w:lang w:val="sr-Latn-ME"/>
        </w:rPr>
        <w:t>ml</w:t>
      </w:r>
      <w:r w:rsidRPr="005A4F9F">
        <w:rPr>
          <w:sz w:val="22"/>
          <w:szCs w:val="22"/>
          <w:lang w:val="sr-Latn-ME"/>
        </w:rPr>
        <w:t>. Da biste rastvor promiješali, pažljivo izvrnite kesu za infuziju da se izbjegne stvaranje pjene.</w:t>
      </w:r>
    </w:p>
    <w:p w14:paraId="04A6F474" w14:textId="3A03BBE3" w:rsidR="005A4F97" w:rsidRDefault="005A4F97">
      <w:pPr>
        <w:rPr>
          <w:sz w:val="22"/>
          <w:szCs w:val="22"/>
          <w:lang w:val="sr-Latn-ME"/>
        </w:rPr>
      </w:pPr>
    </w:p>
    <w:p w14:paraId="13FCBABE" w14:textId="174B3083" w:rsidR="00763105" w:rsidRPr="005A4F9F" w:rsidRDefault="008E6663">
      <w:pPr>
        <w:widowControl w:val="0"/>
        <w:tabs>
          <w:tab w:val="left" w:pos="284"/>
          <w:tab w:val="center" w:pos="4320"/>
          <w:tab w:val="right" w:pos="8640"/>
        </w:tabs>
        <w:jc w:val="both"/>
        <w:rPr>
          <w:sz w:val="22"/>
          <w:szCs w:val="22"/>
          <w:u w:val="single"/>
          <w:lang w:val="sr-Latn-ME"/>
        </w:rPr>
      </w:pPr>
      <w:r w:rsidRPr="005A4F9F">
        <w:rPr>
          <w:sz w:val="22"/>
          <w:szCs w:val="22"/>
          <w:u w:val="single"/>
          <w:lang w:val="sr-Latn-ME"/>
        </w:rPr>
        <w:t xml:space="preserve">Pacijenti s </w:t>
      </w:r>
      <w:r w:rsidR="00763105" w:rsidRPr="005A4F9F">
        <w:rPr>
          <w:sz w:val="22"/>
          <w:szCs w:val="22"/>
          <w:u w:val="single"/>
          <w:lang w:val="sr-Latn-ME"/>
        </w:rPr>
        <w:t xml:space="preserve">sJIA </w:t>
      </w:r>
      <w:r w:rsidR="00432105" w:rsidRPr="005A4F9F">
        <w:rPr>
          <w:sz w:val="22"/>
          <w:szCs w:val="22"/>
          <w:u w:val="single"/>
          <w:lang w:val="sr-Latn-ME"/>
        </w:rPr>
        <w:t>i SOC</w:t>
      </w:r>
      <w:r w:rsidRPr="005A4F9F">
        <w:rPr>
          <w:sz w:val="22"/>
          <w:szCs w:val="22"/>
          <w:u w:val="single"/>
          <w:lang w:val="sr-Latn-ME"/>
        </w:rPr>
        <w:t>-om</w:t>
      </w:r>
      <w:r w:rsidR="00763105" w:rsidRPr="005A4F9F">
        <w:rPr>
          <w:sz w:val="22"/>
          <w:szCs w:val="22"/>
          <w:u w:val="single"/>
          <w:lang w:val="sr-Latn-ME"/>
        </w:rPr>
        <w:t xml:space="preserve"> &lt; 30kg</w:t>
      </w:r>
    </w:p>
    <w:p w14:paraId="6194D221" w14:textId="257D6395"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Izvucite zapreminu sterilnog, apirogenog rastvora natrijum-hlorida 9 mg/</w:t>
      </w:r>
      <w:r w:rsidR="00542633" w:rsidRPr="005A4F9F">
        <w:rPr>
          <w:sz w:val="22"/>
          <w:szCs w:val="22"/>
          <w:lang w:val="sr-Latn-ME"/>
        </w:rPr>
        <w:t>ml</w:t>
      </w:r>
      <w:r w:rsidRPr="005A4F9F">
        <w:rPr>
          <w:sz w:val="22"/>
          <w:szCs w:val="22"/>
          <w:lang w:val="sr-Latn-ME"/>
        </w:rPr>
        <w:t xml:space="preserve"> (0.9%) za injekcije iz kese za infuziju sa sadržajem 50 </w:t>
      </w:r>
      <w:r w:rsidR="00542633" w:rsidRPr="005A4F9F">
        <w:rPr>
          <w:sz w:val="22"/>
          <w:szCs w:val="22"/>
          <w:lang w:val="sr-Latn-ME"/>
        </w:rPr>
        <w:t>ml</w:t>
      </w:r>
      <w:r w:rsidRPr="005A4F9F">
        <w:rPr>
          <w:sz w:val="22"/>
          <w:szCs w:val="22"/>
          <w:lang w:val="sr-Latn-ME"/>
        </w:rPr>
        <w:t xml:space="preserve"> rastvora koja odgovara zapremini koncentrata potrebne za davanje doze pacijentu pod aseptičnim uslovima. Potrebnu količinu koncentrata (</w:t>
      </w:r>
      <w:r w:rsidRPr="005A4F9F">
        <w:rPr>
          <w:b/>
          <w:sz w:val="22"/>
          <w:szCs w:val="22"/>
          <w:lang w:val="sr-Latn-ME"/>
        </w:rPr>
        <w:t>0.6 </w:t>
      </w:r>
      <w:r w:rsidR="00542633" w:rsidRPr="005A4F9F">
        <w:rPr>
          <w:b/>
          <w:sz w:val="22"/>
          <w:szCs w:val="22"/>
          <w:lang w:val="sr-Latn-ME"/>
        </w:rPr>
        <w:t>ml</w:t>
      </w:r>
      <w:r w:rsidRPr="005A4F9F">
        <w:rPr>
          <w:b/>
          <w:sz w:val="22"/>
          <w:szCs w:val="22"/>
          <w:lang w:val="sr-Latn-ME"/>
        </w:rPr>
        <w:t>/kg</w:t>
      </w:r>
      <w:r w:rsidRPr="005A4F9F">
        <w:rPr>
          <w:sz w:val="22"/>
          <w:szCs w:val="22"/>
          <w:lang w:val="sr-Latn-ME"/>
        </w:rPr>
        <w:t>) treba izvući iz bočice i unijeti u kesu za infuziju od 50 </w:t>
      </w:r>
      <w:r w:rsidR="00542633" w:rsidRPr="005A4F9F">
        <w:rPr>
          <w:sz w:val="22"/>
          <w:szCs w:val="22"/>
          <w:lang w:val="sr-Latn-ME"/>
        </w:rPr>
        <w:t>ml</w:t>
      </w:r>
      <w:r w:rsidRPr="005A4F9F">
        <w:rPr>
          <w:sz w:val="22"/>
          <w:szCs w:val="22"/>
          <w:lang w:val="sr-Latn-ME"/>
        </w:rPr>
        <w:t>. Ovo se radi tako da se dobija konačna zapremina od 50 </w:t>
      </w:r>
      <w:r w:rsidR="00542633" w:rsidRPr="005A4F9F">
        <w:rPr>
          <w:sz w:val="22"/>
          <w:szCs w:val="22"/>
          <w:lang w:val="sr-Latn-ME"/>
        </w:rPr>
        <w:t>ml</w:t>
      </w:r>
      <w:r w:rsidRPr="005A4F9F">
        <w:rPr>
          <w:sz w:val="22"/>
          <w:szCs w:val="22"/>
          <w:lang w:val="sr-Latn-ME"/>
        </w:rPr>
        <w:t>. Da biste rastvor promješali, pažljivo izvrnite kesu za infuziju da se izbjegne stvaranje pjene.</w:t>
      </w:r>
    </w:p>
    <w:p w14:paraId="254E244A" w14:textId="77777777" w:rsidR="00763105" w:rsidRPr="005A4F9F" w:rsidRDefault="00763105">
      <w:pPr>
        <w:widowControl w:val="0"/>
        <w:tabs>
          <w:tab w:val="left" w:pos="284"/>
          <w:tab w:val="center" w:pos="4320"/>
          <w:tab w:val="right" w:pos="8640"/>
        </w:tabs>
        <w:jc w:val="both"/>
        <w:rPr>
          <w:sz w:val="22"/>
          <w:szCs w:val="22"/>
          <w:u w:val="single"/>
          <w:lang w:val="sr-Latn-ME"/>
        </w:rPr>
      </w:pPr>
    </w:p>
    <w:p w14:paraId="41D2FEBA" w14:textId="566215FB" w:rsidR="00763105" w:rsidRPr="005A4F9F" w:rsidRDefault="005A4F97">
      <w:pPr>
        <w:widowControl w:val="0"/>
        <w:tabs>
          <w:tab w:val="left" w:pos="284"/>
          <w:tab w:val="center" w:pos="4320"/>
          <w:tab w:val="right" w:pos="8640"/>
        </w:tabs>
        <w:jc w:val="both"/>
        <w:rPr>
          <w:sz w:val="22"/>
          <w:szCs w:val="22"/>
          <w:u w:val="single"/>
          <w:lang w:val="sr-Latn-ME"/>
        </w:rPr>
      </w:pPr>
      <w:r>
        <w:rPr>
          <w:sz w:val="22"/>
          <w:szCs w:val="22"/>
          <w:u w:val="single"/>
          <w:lang w:val="sr-Latn-ME"/>
        </w:rPr>
        <w:t>P</w:t>
      </w:r>
      <w:r w:rsidRPr="006951B8">
        <w:rPr>
          <w:sz w:val="22"/>
          <w:szCs w:val="22"/>
          <w:u w:val="single"/>
          <w:lang w:val="sr-Latn-ME"/>
        </w:rPr>
        <w:t>acijenti</w:t>
      </w:r>
      <w:r>
        <w:rPr>
          <w:sz w:val="22"/>
          <w:szCs w:val="22"/>
          <w:u w:val="single"/>
          <w:lang w:val="sr-Latn-ME"/>
        </w:rPr>
        <w:t xml:space="preserve"> sa</w:t>
      </w:r>
      <w:r w:rsidRPr="005A4F9F">
        <w:rPr>
          <w:sz w:val="22"/>
          <w:szCs w:val="22"/>
          <w:u w:val="single"/>
          <w:lang w:val="sr-Latn-ME"/>
        </w:rPr>
        <w:t xml:space="preserve"> </w:t>
      </w:r>
      <w:r w:rsidR="00763105" w:rsidRPr="005A4F9F">
        <w:rPr>
          <w:sz w:val="22"/>
          <w:szCs w:val="22"/>
          <w:u w:val="single"/>
          <w:lang w:val="sr-Latn-ME"/>
        </w:rPr>
        <w:t xml:space="preserve">pJIA &lt; 30kg </w:t>
      </w:r>
    </w:p>
    <w:p w14:paraId="56830939" w14:textId="15344C95"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Izvucite zapreminu sterilnog, apirogenog rastvora natrijum-hlorida 9 mg/</w:t>
      </w:r>
      <w:r w:rsidR="00542633" w:rsidRPr="005A4F9F">
        <w:rPr>
          <w:sz w:val="22"/>
          <w:szCs w:val="22"/>
          <w:lang w:val="sr-Latn-ME"/>
        </w:rPr>
        <w:t>ml</w:t>
      </w:r>
      <w:r w:rsidRPr="005A4F9F">
        <w:rPr>
          <w:sz w:val="22"/>
          <w:szCs w:val="22"/>
          <w:lang w:val="sr-Latn-ME"/>
        </w:rPr>
        <w:t xml:space="preserve"> (0.9%) za injekcije iz kese za infuziju sa sadržajem 50 </w:t>
      </w:r>
      <w:r w:rsidR="00542633" w:rsidRPr="005A4F9F">
        <w:rPr>
          <w:sz w:val="22"/>
          <w:szCs w:val="22"/>
          <w:lang w:val="sr-Latn-ME"/>
        </w:rPr>
        <w:t>ml</w:t>
      </w:r>
      <w:r w:rsidRPr="005A4F9F">
        <w:rPr>
          <w:sz w:val="22"/>
          <w:szCs w:val="22"/>
          <w:lang w:val="sr-Latn-ME"/>
        </w:rPr>
        <w:t xml:space="preserve"> rastvora koja odgovara zapremini koncentrata potrebne za davanje doze pacijentu pod aseptičnim uslovima. Potrebnu količinu  koncentrata (</w:t>
      </w:r>
      <w:r w:rsidRPr="005A4F9F">
        <w:rPr>
          <w:b/>
          <w:sz w:val="22"/>
          <w:szCs w:val="22"/>
          <w:lang w:val="sr-Latn-ME"/>
        </w:rPr>
        <w:t>0.5 </w:t>
      </w:r>
      <w:r w:rsidR="00542633" w:rsidRPr="005A4F9F">
        <w:rPr>
          <w:b/>
          <w:sz w:val="22"/>
          <w:szCs w:val="22"/>
          <w:lang w:val="sr-Latn-ME"/>
        </w:rPr>
        <w:t>ml</w:t>
      </w:r>
      <w:r w:rsidRPr="005A4F9F">
        <w:rPr>
          <w:b/>
          <w:sz w:val="22"/>
          <w:szCs w:val="22"/>
          <w:lang w:val="sr-Latn-ME"/>
        </w:rPr>
        <w:t>/kg</w:t>
      </w:r>
      <w:r w:rsidRPr="005A4F9F">
        <w:rPr>
          <w:sz w:val="22"/>
          <w:szCs w:val="22"/>
          <w:lang w:val="sr-Latn-ME"/>
        </w:rPr>
        <w:t>) treba izvući iz  bočice i unijeti u kesu za infuziju od 50 </w:t>
      </w:r>
      <w:r w:rsidR="00542633" w:rsidRPr="005A4F9F">
        <w:rPr>
          <w:sz w:val="22"/>
          <w:szCs w:val="22"/>
          <w:lang w:val="sr-Latn-ME"/>
        </w:rPr>
        <w:t>ml</w:t>
      </w:r>
      <w:r w:rsidRPr="005A4F9F">
        <w:rPr>
          <w:sz w:val="22"/>
          <w:szCs w:val="22"/>
          <w:lang w:val="sr-Latn-ME"/>
        </w:rPr>
        <w:t>. Ovo se radi tako da se dobija konačna zapremina od 50 </w:t>
      </w:r>
      <w:r w:rsidR="00542633" w:rsidRPr="005A4F9F">
        <w:rPr>
          <w:sz w:val="22"/>
          <w:szCs w:val="22"/>
          <w:lang w:val="sr-Latn-ME"/>
        </w:rPr>
        <w:t>ml</w:t>
      </w:r>
      <w:r w:rsidRPr="005A4F9F">
        <w:rPr>
          <w:sz w:val="22"/>
          <w:szCs w:val="22"/>
          <w:lang w:val="sr-Latn-ME"/>
        </w:rPr>
        <w:t>. Da biste rastvor promiješali, pažljivo izvrnite kesu za infuziju da se izbjegne stvaranje pjene.</w:t>
      </w:r>
    </w:p>
    <w:p w14:paraId="40B743A0" w14:textId="126AA388" w:rsidR="008E6663" w:rsidRPr="005A4F9F" w:rsidRDefault="008E6663" w:rsidP="008B00DE">
      <w:pPr>
        <w:widowControl w:val="0"/>
        <w:jc w:val="both"/>
        <w:rPr>
          <w:sz w:val="22"/>
          <w:szCs w:val="22"/>
          <w:lang w:val="sr-Latn-ME" w:eastAsia="ja-JP"/>
        </w:rPr>
      </w:pPr>
      <w:r w:rsidRPr="005A4F9F">
        <w:rPr>
          <w:sz w:val="22"/>
          <w:szCs w:val="22"/>
          <w:lang w:val="sr-Latn-ME" w:eastAsia="ja-JP"/>
        </w:rPr>
        <w:t>Kad se razblaži s rastvorom natrijum hlorida za injekcije od 9 mg/</w:t>
      </w:r>
      <w:r w:rsidR="00542633" w:rsidRPr="005A4F9F">
        <w:rPr>
          <w:sz w:val="22"/>
          <w:szCs w:val="22"/>
          <w:lang w:val="sr-Latn-ME" w:eastAsia="ja-JP"/>
        </w:rPr>
        <w:t>ml</w:t>
      </w:r>
      <w:r w:rsidRPr="005A4F9F">
        <w:rPr>
          <w:sz w:val="22"/>
          <w:szCs w:val="22"/>
          <w:lang w:val="sr-Latn-ME" w:eastAsia="ja-JP"/>
        </w:rPr>
        <w:t xml:space="preserve"> (0,9%), RoActemra je kompatibilna s</w:t>
      </w:r>
      <w:r w:rsidR="00B1573E" w:rsidRPr="005A4F9F">
        <w:rPr>
          <w:sz w:val="22"/>
          <w:szCs w:val="22"/>
          <w:lang w:val="sr-Latn-ME" w:eastAsia="ja-JP"/>
        </w:rPr>
        <w:t>a</w:t>
      </w:r>
      <w:r w:rsidRPr="005A4F9F">
        <w:rPr>
          <w:sz w:val="22"/>
          <w:szCs w:val="22"/>
          <w:lang w:val="sr-Latn-ME" w:eastAsia="ja-JP"/>
        </w:rPr>
        <w:t xml:space="preserve"> kesama za intravensku infuziju napravljenim od polivinilhlorida (PVC), polietilena (PE) i polipropilena (PP).</w:t>
      </w:r>
    </w:p>
    <w:p w14:paraId="7C05BFDF" w14:textId="77777777" w:rsidR="00763105" w:rsidRPr="005A4F9F" w:rsidRDefault="00763105">
      <w:pPr>
        <w:widowControl w:val="0"/>
        <w:tabs>
          <w:tab w:val="left" w:pos="284"/>
          <w:tab w:val="center" w:pos="4320"/>
          <w:tab w:val="right" w:pos="8640"/>
        </w:tabs>
        <w:jc w:val="both"/>
        <w:rPr>
          <w:sz w:val="22"/>
          <w:szCs w:val="22"/>
          <w:lang w:val="sr-Latn-ME"/>
        </w:rPr>
      </w:pPr>
    </w:p>
    <w:p w14:paraId="7DDE4B36" w14:textId="15CE5A3C" w:rsidR="00763105" w:rsidRPr="005A4F9F" w:rsidRDefault="00432105">
      <w:pPr>
        <w:widowControl w:val="0"/>
        <w:tabs>
          <w:tab w:val="left" w:pos="284"/>
          <w:tab w:val="center" w:pos="4320"/>
          <w:tab w:val="right" w:pos="8640"/>
        </w:tabs>
        <w:jc w:val="both"/>
        <w:rPr>
          <w:sz w:val="22"/>
          <w:szCs w:val="22"/>
          <w:lang w:val="sr-Latn-ME"/>
        </w:rPr>
      </w:pPr>
      <w:r w:rsidRPr="005A4F9F">
        <w:rPr>
          <w:sz w:val="22"/>
          <w:szCs w:val="22"/>
          <w:lang w:val="sr-Latn-ME"/>
        </w:rPr>
        <w:t xml:space="preserve">Lijek </w:t>
      </w:r>
      <w:r w:rsidR="00763105" w:rsidRPr="005A4F9F">
        <w:rPr>
          <w:sz w:val="22"/>
          <w:szCs w:val="22"/>
          <w:lang w:val="sr-Latn-ME"/>
        </w:rPr>
        <w:t>RoActemra se isključivo koristi za jedno davanje.</w:t>
      </w:r>
    </w:p>
    <w:p w14:paraId="53F847C2" w14:textId="77777777" w:rsidR="00763105" w:rsidRPr="005A4F9F" w:rsidRDefault="00763105">
      <w:pPr>
        <w:widowControl w:val="0"/>
        <w:tabs>
          <w:tab w:val="left" w:pos="284"/>
          <w:tab w:val="center" w:pos="4320"/>
          <w:tab w:val="right" w:pos="8640"/>
        </w:tabs>
        <w:jc w:val="both"/>
        <w:rPr>
          <w:sz w:val="22"/>
          <w:szCs w:val="22"/>
          <w:lang w:val="sr-Latn-ME"/>
        </w:rPr>
      </w:pPr>
      <w:r w:rsidRPr="005A4F9F">
        <w:rPr>
          <w:sz w:val="22"/>
          <w:szCs w:val="22"/>
          <w:lang w:val="sr-Latn-ME"/>
        </w:rPr>
        <w:t>Svu neiskorišćenu količinu lijeka i otpadni materijal treba ukloniti u skladu sa lokalnim propisima.</w:t>
      </w:r>
    </w:p>
    <w:p w14:paraId="76E5C21A" w14:textId="7E836F6C" w:rsidR="0072020E" w:rsidRPr="005A4F9F" w:rsidRDefault="0072020E" w:rsidP="008B00DE">
      <w:pPr>
        <w:widowControl w:val="0"/>
        <w:tabs>
          <w:tab w:val="left" w:pos="540"/>
          <w:tab w:val="left" w:pos="569"/>
        </w:tabs>
        <w:jc w:val="both"/>
        <w:rPr>
          <w:bCs/>
          <w:sz w:val="22"/>
          <w:szCs w:val="22"/>
          <w:lang w:val="sr-Latn-ME"/>
        </w:rPr>
      </w:pPr>
    </w:p>
    <w:p w14:paraId="13567C4C" w14:textId="77777777" w:rsidR="00542633" w:rsidRPr="005A4F9F" w:rsidRDefault="00542633" w:rsidP="008B00DE">
      <w:pPr>
        <w:widowControl w:val="0"/>
        <w:tabs>
          <w:tab w:val="left" w:pos="540"/>
          <w:tab w:val="left" w:pos="569"/>
        </w:tabs>
        <w:jc w:val="both"/>
        <w:rPr>
          <w:bCs/>
          <w:sz w:val="22"/>
          <w:szCs w:val="22"/>
          <w:lang w:val="sr-Latn-ME"/>
        </w:rPr>
      </w:pPr>
    </w:p>
    <w:p w14:paraId="67545D79" w14:textId="77777777" w:rsidR="00F8570A"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7. </w:t>
      </w:r>
      <w:r w:rsidR="00480FB1" w:rsidRPr="005A4F9F">
        <w:rPr>
          <w:b/>
          <w:bCs/>
          <w:sz w:val="22"/>
          <w:szCs w:val="22"/>
          <w:lang w:val="sr-Latn-ME"/>
        </w:rPr>
        <w:tab/>
      </w:r>
      <w:r w:rsidRPr="005A4F9F">
        <w:rPr>
          <w:b/>
          <w:bCs/>
          <w:sz w:val="22"/>
          <w:szCs w:val="22"/>
          <w:lang w:val="sr-Latn-ME"/>
        </w:rPr>
        <w:t>NOSILAC DOZVOLE</w:t>
      </w:r>
      <w:r w:rsidR="00483928" w:rsidRPr="005A4F9F">
        <w:rPr>
          <w:b/>
          <w:bCs/>
          <w:sz w:val="22"/>
          <w:szCs w:val="22"/>
          <w:lang w:val="sr-Latn-ME"/>
        </w:rPr>
        <w:t xml:space="preserve"> </w:t>
      </w:r>
    </w:p>
    <w:p w14:paraId="2A92D8E1" w14:textId="77777777" w:rsidR="00C61BE0" w:rsidRPr="005A4F9F" w:rsidRDefault="00C61BE0" w:rsidP="008B00DE">
      <w:pPr>
        <w:widowControl w:val="0"/>
        <w:tabs>
          <w:tab w:val="left" w:pos="540"/>
          <w:tab w:val="left" w:pos="569"/>
        </w:tabs>
        <w:jc w:val="both"/>
        <w:rPr>
          <w:bCs/>
          <w:sz w:val="22"/>
          <w:szCs w:val="22"/>
          <w:lang w:val="sr-Latn-ME"/>
        </w:rPr>
      </w:pPr>
    </w:p>
    <w:p w14:paraId="5E96F51F" w14:textId="77777777" w:rsidR="0055256B" w:rsidRPr="005A4F9F" w:rsidRDefault="0055256B" w:rsidP="008B00DE">
      <w:pPr>
        <w:widowControl w:val="0"/>
        <w:tabs>
          <w:tab w:val="left" w:pos="284"/>
          <w:tab w:val="center" w:pos="4320"/>
          <w:tab w:val="right" w:pos="8640"/>
        </w:tabs>
        <w:jc w:val="both"/>
        <w:rPr>
          <w:sz w:val="22"/>
          <w:szCs w:val="22"/>
          <w:lang w:val="sr-Latn-ME"/>
        </w:rPr>
      </w:pPr>
      <w:r w:rsidRPr="005A4F9F">
        <w:rPr>
          <w:sz w:val="22"/>
          <w:szCs w:val="22"/>
          <w:lang w:val="sr-Latn-ME"/>
        </w:rPr>
        <w:t>''Hoffmann - La Roche LTD''</w:t>
      </w:r>
      <w:r w:rsidR="009B0CE5" w:rsidRPr="005A4F9F">
        <w:rPr>
          <w:sz w:val="22"/>
          <w:szCs w:val="22"/>
          <w:lang w:val="sr-Latn-ME"/>
        </w:rPr>
        <w:t>dio stranog društva</w:t>
      </w:r>
      <w:r w:rsidRPr="005A4F9F">
        <w:rPr>
          <w:sz w:val="22"/>
          <w:szCs w:val="22"/>
          <w:lang w:val="sr-Latn-ME"/>
        </w:rPr>
        <w:t xml:space="preserve"> Podgorica</w:t>
      </w:r>
    </w:p>
    <w:p w14:paraId="604687BE" w14:textId="77777777" w:rsidR="00C37FD7" w:rsidRPr="005A4F9F" w:rsidRDefault="009B0CE5" w:rsidP="008B00DE">
      <w:pPr>
        <w:widowControl w:val="0"/>
        <w:tabs>
          <w:tab w:val="left" w:pos="540"/>
          <w:tab w:val="left" w:pos="569"/>
        </w:tabs>
        <w:jc w:val="both"/>
        <w:rPr>
          <w:sz w:val="22"/>
          <w:szCs w:val="22"/>
          <w:lang w:val="sr-Latn-ME"/>
        </w:rPr>
      </w:pPr>
      <w:r w:rsidRPr="005A4F9F">
        <w:rPr>
          <w:sz w:val="22"/>
          <w:szCs w:val="22"/>
          <w:lang w:val="sr-Latn-ME"/>
        </w:rPr>
        <w:lastRenderedPageBreak/>
        <w:t xml:space="preserve">ul. </w:t>
      </w:r>
      <w:r w:rsidR="0055256B" w:rsidRPr="005A4F9F">
        <w:rPr>
          <w:sz w:val="22"/>
          <w:szCs w:val="22"/>
          <w:lang w:val="sr-Latn-ME"/>
        </w:rPr>
        <w:t>Cetinjska 11, 81000 Podgorica, Crna Gora</w:t>
      </w:r>
      <w:r w:rsidR="0055256B" w:rsidRPr="005A4F9F" w:rsidDel="0055256B">
        <w:rPr>
          <w:sz w:val="22"/>
          <w:szCs w:val="22"/>
          <w:lang w:val="sr-Latn-ME"/>
        </w:rPr>
        <w:t xml:space="preserve"> </w:t>
      </w:r>
    </w:p>
    <w:p w14:paraId="0CD269EE" w14:textId="563D25CE" w:rsidR="00135E3A" w:rsidRPr="005A4F9F" w:rsidRDefault="00135E3A" w:rsidP="008B00DE">
      <w:pPr>
        <w:widowControl w:val="0"/>
        <w:tabs>
          <w:tab w:val="left" w:pos="540"/>
          <w:tab w:val="left" w:pos="569"/>
        </w:tabs>
        <w:jc w:val="both"/>
        <w:rPr>
          <w:bCs/>
          <w:sz w:val="22"/>
          <w:szCs w:val="22"/>
          <w:lang w:val="sr-Latn-ME"/>
        </w:rPr>
      </w:pPr>
    </w:p>
    <w:p w14:paraId="02E035AB" w14:textId="77777777" w:rsidR="00542633" w:rsidRPr="005A4F9F" w:rsidRDefault="00542633" w:rsidP="008B00DE">
      <w:pPr>
        <w:widowControl w:val="0"/>
        <w:tabs>
          <w:tab w:val="left" w:pos="540"/>
          <w:tab w:val="left" w:pos="569"/>
        </w:tabs>
        <w:jc w:val="both"/>
        <w:rPr>
          <w:bCs/>
          <w:sz w:val="22"/>
          <w:szCs w:val="22"/>
          <w:lang w:val="sr-Latn-ME"/>
        </w:rPr>
      </w:pPr>
    </w:p>
    <w:p w14:paraId="7F368422"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8. </w:t>
      </w:r>
      <w:r w:rsidR="00480FB1" w:rsidRPr="005A4F9F">
        <w:rPr>
          <w:b/>
          <w:bCs/>
          <w:sz w:val="22"/>
          <w:szCs w:val="22"/>
          <w:lang w:val="sr-Latn-ME"/>
        </w:rPr>
        <w:tab/>
      </w:r>
      <w:r w:rsidRPr="005A4F9F">
        <w:rPr>
          <w:b/>
          <w:bCs/>
          <w:sz w:val="22"/>
          <w:szCs w:val="22"/>
          <w:lang w:val="sr-Latn-ME"/>
        </w:rPr>
        <w:t>BROJ DOZVOLE</w:t>
      </w:r>
      <w:r w:rsidR="008A6D43" w:rsidRPr="005A4F9F">
        <w:rPr>
          <w:b/>
          <w:bCs/>
          <w:sz w:val="22"/>
          <w:szCs w:val="22"/>
          <w:lang w:val="sr-Latn-ME"/>
        </w:rPr>
        <w:t xml:space="preserve"> ZA STAVLJANJE LIJEKA U PROMET</w:t>
      </w:r>
    </w:p>
    <w:p w14:paraId="697800CA" w14:textId="77777777" w:rsidR="00E20C1C" w:rsidRPr="005A4F9F" w:rsidRDefault="00E20C1C" w:rsidP="008B00DE">
      <w:pPr>
        <w:widowControl w:val="0"/>
        <w:tabs>
          <w:tab w:val="left" w:pos="540"/>
          <w:tab w:val="left" w:pos="569"/>
        </w:tabs>
        <w:jc w:val="both"/>
        <w:rPr>
          <w:b/>
          <w:bCs/>
          <w:sz w:val="22"/>
          <w:szCs w:val="22"/>
          <w:lang w:val="sr-Latn-ME"/>
        </w:rPr>
      </w:pPr>
    </w:p>
    <w:p w14:paraId="49240D46" w14:textId="7DCD0E8C" w:rsidR="00E20C1C" w:rsidRPr="005A4F9F" w:rsidRDefault="00E20C1C" w:rsidP="008B00DE">
      <w:pPr>
        <w:pStyle w:val="Header"/>
        <w:widowControl w:val="0"/>
        <w:tabs>
          <w:tab w:val="left" w:pos="284"/>
        </w:tabs>
        <w:jc w:val="both"/>
        <w:rPr>
          <w:sz w:val="22"/>
          <w:szCs w:val="22"/>
          <w:lang w:val="sr-Latn-ME"/>
        </w:rPr>
      </w:pPr>
      <w:r w:rsidRPr="005A4F9F">
        <w:rPr>
          <w:iCs/>
          <w:sz w:val="22"/>
          <w:szCs w:val="22"/>
          <w:lang w:val="sr-Latn-ME"/>
        </w:rPr>
        <w:t>RoActemra 20 mg/</w:t>
      </w:r>
      <w:r w:rsidR="00542633" w:rsidRPr="005A4F9F">
        <w:rPr>
          <w:iCs/>
          <w:sz w:val="22"/>
          <w:szCs w:val="22"/>
          <w:lang w:val="sr-Latn-ME"/>
        </w:rPr>
        <w:t>ml</w:t>
      </w:r>
      <w:r w:rsidRPr="005A4F9F">
        <w:rPr>
          <w:iCs/>
          <w:sz w:val="22"/>
          <w:szCs w:val="22"/>
          <w:lang w:val="sr-Latn-ME"/>
        </w:rPr>
        <w:t xml:space="preserve"> koncentrat za rastvor za infuziju, 1x4 </w:t>
      </w:r>
      <w:r w:rsidR="00542633" w:rsidRPr="005A4F9F">
        <w:rPr>
          <w:iCs/>
          <w:sz w:val="22"/>
          <w:szCs w:val="22"/>
          <w:lang w:val="sr-Latn-ME"/>
        </w:rPr>
        <w:t>ml</w:t>
      </w:r>
      <w:r w:rsidR="008F0857">
        <w:rPr>
          <w:iCs/>
          <w:sz w:val="22"/>
          <w:szCs w:val="22"/>
          <w:lang w:val="sr-Latn-ME"/>
        </w:rPr>
        <w:t xml:space="preserve">: </w:t>
      </w:r>
      <w:r w:rsidRPr="005A4F9F">
        <w:rPr>
          <w:sz w:val="22"/>
          <w:szCs w:val="22"/>
          <w:lang w:val="sr-Latn-ME"/>
        </w:rPr>
        <w:t>2030/22/2815-7733</w:t>
      </w:r>
    </w:p>
    <w:p w14:paraId="27183C1A" w14:textId="0F754097" w:rsidR="00E20C1C" w:rsidRPr="005A4F9F" w:rsidRDefault="00E20C1C" w:rsidP="008B00DE">
      <w:pPr>
        <w:pStyle w:val="Header"/>
        <w:widowControl w:val="0"/>
        <w:tabs>
          <w:tab w:val="left" w:pos="284"/>
        </w:tabs>
        <w:jc w:val="both"/>
        <w:rPr>
          <w:sz w:val="22"/>
          <w:szCs w:val="22"/>
          <w:lang w:val="sr-Latn-ME"/>
        </w:rPr>
      </w:pPr>
      <w:r w:rsidRPr="005A4F9F">
        <w:rPr>
          <w:iCs/>
          <w:sz w:val="22"/>
          <w:szCs w:val="22"/>
          <w:lang w:val="sr-Latn-ME"/>
        </w:rPr>
        <w:t>RoActemra 20 mg/</w:t>
      </w:r>
      <w:r w:rsidR="00542633" w:rsidRPr="005A4F9F">
        <w:rPr>
          <w:iCs/>
          <w:sz w:val="22"/>
          <w:szCs w:val="22"/>
          <w:lang w:val="sr-Latn-ME"/>
        </w:rPr>
        <w:t>ml</w:t>
      </w:r>
      <w:r w:rsidRPr="005A4F9F">
        <w:rPr>
          <w:iCs/>
          <w:sz w:val="22"/>
          <w:szCs w:val="22"/>
          <w:lang w:val="sr-Latn-ME"/>
        </w:rPr>
        <w:t xml:space="preserve"> koncentrat za rastvor za infuziju, 1x10 </w:t>
      </w:r>
      <w:r w:rsidR="00542633" w:rsidRPr="005A4F9F">
        <w:rPr>
          <w:iCs/>
          <w:sz w:val="22"/>
          <w:szCs w:val="22"/>
          <w:lang w:val="sr-Latn-ME"/>
        </w:rPr>
        <w:t>ml</w:t>
      </w:r>
      <w:r w:rsidR="008F0857">
        <w:rPr>
          <w:iCs/>
          <w:sz w:val="22"/>
          <w:szCs w:val="22"/>
          <w:lang w:val="sr-Latn-ME"/>
        </w:rPr>
        <w:t xml:space="preserve">: </w:t>
      </w:r>
      <w:r w:rsidRPr="005A4F9F">
        <w:rPr>
          <w:sz w:val="22"/>
          <w:szCs w:val="22"/>
          <w:lang w:val="sr-Latn-ME"/>
        </w:rPr>
        <w:t>2030/22/2816-7734</w:t>
      </w:r>
    </w:p>
    <w:p w14:paraId="45984FAD" w14:textId="44229883" w:rsidR="00E20C1C" w:rsidRPr="005A4F9F" w:rsidRDefault="00E20C1C" w:rsidP="008B00DE">
      <w:pPr>
        <w:pStyle w:val="Header"/>
        <w:widowControl w:val="0"/>
        <w:tabs>
          <w:tab w:val="left" w:pos="284"/>
        </w:tabs>
        <w:jc w:val="both"/>
        <w:rPr>
          <w:sz w:val="22"/>
          <w:szCs w:val="22"/>
          <w:lang w:val="sr-Latn-ME"/>
        </w:rPr>
      </w:pPr>
      <w:r w:rsidRPr="005A4F9F">
        <w:rPr>
          <w:iCs/>
          <w:sz w:val="22"/>
          <w:szCs w:val="22"/>
          <w:lang w:val="sr-Latn-ME"/>
        </w:rPr>
        <w:t>RoActemra 20 mg/</w:t>
      </w:r>
      <w:r w:rsidR="00542633" w:rsidRPr="005A4F9F">
        <w:rPr>
          <w:iCs/>
          <w:sz w:val="22"/>
          <w:szCs w:val="22"/>
          <w:lang w:val="sr-Latn-ME"/>
        </w:rPr>
        <w:t>ml</w:t>
      </w:r>
      <w:r w:rsidRPr="005A4F9F">
        <w:rPr>
          <w:iCs/>
          <w:sz w:val="22"/>
          <w:szCs w:val="22"/>
          <w:lang w:val="sr-Latn-ME"/>
        </w:rPr>
        <w:t xml:space="preserve"> koncentrat za rastvor za infuziju, 1x20 </w:t>
      </w:r>
      <w:r w:rsidR="00542633" w:rsidRPr="005A4F9F">
        <w:rPr>
          <w:iCs/>
          <w:sz w:val="22"/>
          <w:szCs w:val="22"/>
          <w:lang w:val="sr-Latn-ME"/>
        </w:rPr>
        <w:t>ml</w:t>
      </w:r>
      <w:r w:rsidR="008F0857">
        <w:rPr>
          <w:iCs/>
          <w:sz w:val="22"/>
          <w:szCs w:val="22"/>
          <w:lang w:val="sr-Latn-ME"/>
        </w:rPr>
        <w:t xml:space="preserve">: </w:t>
      </w:r>
      <w:r w:rsidRPr="005A4F9F">
        <w:rPr>
          <w:sz w:val="22"/>
          <w:szCs w:val="22"/>
          <w:lang w:val="sr-Latn-ME"/>
        </w:rPr>
        <w:t>2030/22/2818-7735</w:t>
      </w:r>
    </w:p>
    <w:p w14:paraId="7F357A6F" w14:textId="77777777" w:rsidR="00E20C1C" w:rsidRPr="005A4F9F" w:rsidRDefault="00E20C1C" w:rsidP="008B00DE">
      <w:pPr>
        <w:widowControl w:val="0"/>
        <w:tabs>
          <w:tab w:val="left" w:pos="540"/>
          <w:tab w:val="left" w:pos="569"/>
        </w:tabs>
        <w:jc w:val="both"/>
        <w:rPr>
          <w:b/>
          <w:bCs/>
          <w:sz w:val="22"/>
          <w:szCs w:val="22"/>
          <w:lang w:val="sr-Latn-ME"/>
        </w:rPr>
      </w:pPr>
    </w:p>
    <w:p w14:paraId="41A6E551" w14:textId="77777777" w:rsidR="00F45F77" w:rsidRPr="005A4F9F" w:rsidRDefault="00F45F77" w:rsidP="008B00DE">
      <w:pPr>
        <w:widowControl w:val="0"/>
        <w:tabs>
          <w:tab w:val="left" w:pos="540"/>
          <w:tab w:val="left" w:pos="569"/>
        </w:tabs>
        <w:jc w:val="both"/>
        <w:rPr>
          <w:bCs/>
          <w:sz w:val="22"/>
          <w:szCs w:val="22"/>
          <w:lang w:val="sr-Latn-ME"/>
        </w:rPr>
      </w:pPr>
    </w:p>
    <w:p w14:paraId="3AB82AF8" w14:textId="77777777" w:rsidR="0072020E" w:rsidRPr="005A4F9F" w:rsidRDefault="0072020E" w:rsidP="008B00DE">
      <w:pPr>
        <w:widowControl w:val="0"/>
        <w:tabs>
          <w:tab w:val="left" w:pos="540"/>
          <w:tab w:val="left" w:pos="569"/>
        </w:tabs>
        <w:jc w:val="both"/>
        <w:rPr>
          <w:b/>
          <w:bCs/>
          <w:sz w:val="22"/>
          <w:szCs w:val="22"/>
          <w:lang w:val="sr-Latn-ME"/>
        </w:rPr>
      </w:pPr>
      <w:r w:rsidRPr="005A4F9F">
        <w:rPr>
          <w:b/>
          <w:bCs/>
          <w:sz w:val="22"/>
          <w:szCs w:val="22"/>
          <w:lang w:val="sr-Latn-ME"/>
        </w:rPr>
        <w:t xml:space="preserve">9. </w:t>
      </w:r>
      <w:r w:rsidR="00480FB1" w:rsidRPr="005A4F9F">
        <w:rPr>
          <w:b/>
          <w:bCs/>
          <w:sz w:val="22"/>
          <w:szCs w:val="22"/>
          <w:lang w:val="sr-Latn-ME"/>
        </w:rPr>
        <w:tab/>
      </w:r>
      <w:r w:rsidRPr="005A4F9F">
        <w:rPr>
          <w:b/>
          <w:bCs/>
          <w:sz w:val="22"/>
          <w:szCs w:val="22"/>
          <w:lang w:val="sr-Latn-ME"/>
        </w:rPr>
        <w:t xml:space="preserve">DATUM </w:t>
      </w:r>
      <w:r w:rsidR="00C05DF8" w:rsidRPr="005A4F9F">
        <w:rPr>
          <w:b/>
          <w:bCs/>
          <w:sz w:val="22"/>
          <w:szCs w:val="22"/>
          <w:lang w:val="sr-Latn-ME"/>
        </w:rPr>
        <w:t xml:space="preserve">PRVE </w:t>
      </w:r>
      <w:r w:rsidR="008A6D43" w:rsidRPr="005A4F9F">
        <w:rPr>
          <w:b/>
          <w:bCs/>
          <w:sz w:val="22"/>
          <w:szCs w:val="22"/>
          <w:lang w:val="sr-Latn-ME"/>
        </w:rPr>
        <w:t>DOZVOLE</w:t>
      </w:r>
      <w:r w:rsidR="00C05DF8" w:rsidRPr="005A4F9F">
        <w:rPr>
          <w:b/>
          <w:bCs/>
          <w:sz w:val="22"/>
          <w:szCs w:val="22"/>
          <w:lang w:val="sr-Latn-ME"/>
        </w:rPr>
        <w:t>/OBNOVE DOZVOLE</w:t>
      </w:r>
      <w:r w:rsidR="008A6D43" w:rsidRPr="005A4F9F">
        <w:rPr>
          <w:b/>
          <w:bCs/>
          <w:sz w:val="22"/>
          <w:szCs w:val="22"/>
          <w:lang w:val="sr-Latn-ME"/>
        </w:rPr>
        <w:t xml:space="preserve"> ZA STAVLJANJE LIJEKA U PROMET</w:t>
      </w:r>
    </w:p>
    <w:p w14:paraId="46553E11" w14:textId="77777777" w:rsidR="00E20C1C" w:rsidRPr="005A4F9F" w:rsidRDefault="00E20C1C" w:rsidP="008B00DE">
      <w:pPr>
        <w:widowControl w:val="0"/>
        <w:tabs>
          <w:tab w:val="left" w:pos="540"/>
          <w:tab w:val="left" w:pos="569"/>
        </w:tabs>
        <w:jc w:val="both"/>
        <w:rPr>
          <w:b/>
          <w:bCs/>
          <w:sz w:val="22"/>
          <w:szCs w:val="22"/>
          <w:lang w:val="sr-Latn-ME"/>
        </w:rPr>
      </w:pPr>
    </w:p>
    <w:p w14:paraId="4F3AE113" w14:textId="4AE6DAED" w:rsidR="00E20C1C" w:rsidRPr="005A4F9F" w:rsidRDefault="00E20C1C" w:rsidP="008B00DE">
      <w:pPr>
        <w:widowControl w:val="0"/>
        <w:tabs>
          <w:tab w:val="left" w:pos="540"/>
          <w:tab w:val="left" w:pos="569"/>
        </w:tabs>
        <w:jc w:val="both"/>
        <w:rPr>
          <w:bCs/>
          <w:sz w:val="22"/>
          <w:szCs w:val="22"/>
          <w:lang w:val="sr-Latn-ME"/>
        </w:rPr>
      </w:pPr>
      <w:r w:rsidRPr="005A4F9F">
        <w:rPr>
          <w:bCs/>
          <w:sz w:val="22"/>
          <w:szCs w:val="22"/>
          <w:lang w:val="sr-Latn-ME"/>
        </w:rPr>
        <w:t>Datum prve dozvole: 16.12.2009.</w:t>
      </w:r>
      <w:r w:rsidR="008F0857">
        <w:rPr>
          <w:bCs/>
          <w:sz w:val="22"/>
          <w:szCs w:val="22"/>
          <w:lang w:val="sr-Latn-ME"/>
        </w:rPr>
        <w:t xml:space="preserve"> godine</w:t>
      </w:r>
    </w:p>
    <w:p w14:paraId="20D97A02" w14:textId="19D061F2" w:rsidR="00E20C1C" w:rsidRPr="005A4F9F" w:rsidRDefault="00E20C1C" w:rsidP="008B00DE">
      <w:pPr>
        <w:widowControl w:val="0"/>
        <w:tabs>
          <w:tab w:val="left" w:pos="540"/>
          <w:tab w:val="left" w:pos="569"/>
        </w:tabs>
        <w:jc w:val="both"/>
        <w:rPr>
          <w:bCs/>
          <w:sz w:val="22"/>
          <w:szCs w:val="22"/>
          <w:lang w:val="sr-Latn-ME"/>
        </w:rPr>
      </w:pPr>
      <w:r w:rsidRPr="005A4F9F">
        <w:rPr>
          <w:bCs/>
          <w:sz w:val="22"/>
          <w:szCs w:val="22"/>
          <w:lang w:val="sr-Latn-ME"/>
        </w:rPr>
        <w:t>Datum posl</w:t>
      </w:r>
      <w:r w:rsidR="00542633" w:rsidRPr="005A4F9F">
        <w:rPr>
          <w:bCs/>
          <w:sz w:val="22"/>
          <w:szCs w:val="22"/>
          <w:lang w:val="sr-Latn-ME"/>
        </w:rPr>
        <w:t>j</w:t>
      </w:r>
      <w:r w:rsidRPr="005A4F9F">
        <w:rPr>
          <w:bCs/>
          <w:sz w:val="22"/>
          <w:szCs w:val="22"/>
          <w:lang w:val="sr-Latn-ME"/>
        </w:rPr>
        <w:t>ednje obnove dozvole: 28.10.2022.</w:t>
      </w:r>
      <w:r w:rsidR="008F0857">
        <w:rPr>
          <w:bCs/>
          <w:sz w:val="22"/>
          <w:szCs w:val="22"/>
          <w:lang w:val="sr-Latn-ME"/>
        </w:rPr>
        <w:t xml:space="preserve"> godine</w:t>
      </w:r>
    </w:p>
    <w:p w14:paraId="522A6BFA" w14:textId="77777777" w:rsidR="0072020E" w:rsidRPr="005A4F9F" w:rsidRDefault="0072020E" w:rsidP="008B00DE">
      <w:pPr>
        <w:widowControl w:val="0"/>
        <w:tabs>
          <w:tab w:val="left" w:pos="540"/>
          <w:tab w:val="left" w:pos="569"/>
        </w:tabs>
        <w:jc w:val="both"/>
        <w:rPr>
          <w:bCs/>
          <w:sz w:val="22"/>
          <w:szCs w:val="22"/>
          <w:lang w:val="sr-Latn-ME"/>
        </w:rPr>
      </w:pPr>
    </w:p>
    <w:p w14:paraId="407D3A13" w14:textId="77777777" w:rsidR="00836B35" w:rsidRPr="005A4F9F" w:rsidRDefault="00836B35" w:rsidP="008B00DE">
      <w:pPr>
        <w:widowControl w:val="0"/>
        <w:tabs>
          <w:tab w:val="left" w:pos="540"/>
          <w:tab w:val="left" w:pos="569"/>
        </w:tabs>
        <w:jc w:val="both"/>
        <w:rPr>
          <w:bCs/>
          <w:sz w:val="22"/>
          <w:szCs w:val="22"/>
          <w:lang w:val="sr-Latn-ME"/>
        </w:rPr>
      </w:pPr>
    </w:p>
    <w:p w14:paraId="1F29C618" w14:textId="77777777" w:rsidR="003F6A59" w:rsidRPr="005A4F9F" w:rsidRDefault="0072020E" w:rsidP="008B00DE">
      <w:pPr>
        <w:widowControl w:val="0"/>
        <w:tabs>
          <w:tab w:val="left" w:pos="540"/>
          <w:tab w:val="left" w:pos="569"/>
        </w:tabs>
        <w:ind w:left="540" w:hanging="540"/>
        <w:jc w:val="both"/>
        <w:rPr>
          <w:bCs/>
          <w:sz w:val="22"/>
          <w:szCs w:val="22"/>
          <w:lang w:val="sr-Latn-ME"/>
        </w:rPr>
      </w:pPr>
      <w:r w:rsidRPr="005A4F9F">
        <w:rPr>
          <w:b/>
          <w:bCs/>
          <w:sz w:val="22"/>
          <w:szCs w:val="22"/>
          <w:lang w:val="sr-Latn-ME"/>
        </w:rPr>
        <w:t xml:space="preserve">10. </w:t>
      </w:r>
      <w:r w:rsidR="00480FB1" w:rsidRPr="005A4F9F">
        <w:rPr>
          <w:b/>
          <w:bCs/>
          <w:sz w:val="22"/>
          <w:szCs w:val="22"/>
          <w:lang w:val="sr-Latn-ME"/>
        </w:rPr>
        <w:tab/>
      </w:r>
      <w:r w:rsidR="002846DB" w:rsidRPr="005A4F9F">
        <w:rPr>
          <w:b/>
          <w:bCs/>
          <w:sz w:val="22"/>
          <w:szCs w:val="22"/>
          <w:lang w:val="sr-Latn-ME"/>
        </w:rPr>
        <w:t>D</w:t>
      </w:r>
      <w:r w:rsidR="00EC2532" w:rsidRPr="005A4F9F">
        <w:rPr>
          <w:b/>
          <w:bCs/>
          <w:sz w:val="22"/>
          <w:szCs w:val="22"/>
          <w:lang w:val="sr-Latn-ME"/>
        </w:rPr>
        <w:t xml:space="preserve">ATUM REVIZIJE TEKSTA </w:t>
      </w:r>
    </w:p>
    <w:p w14:paraId="20A13C5F" w14:textId="77777777" w:rsidR="003F6A59" w:rsidRPr="005A4F9F" w:rsidRDefault="003F6A59" w:rsidP="008B00DE">
      <w:pPr>
        <w:widowControl w:val="0"/>
        <w:tabs>
          <w:tab w:val="left" w:pos="540"/>
          <w:tab w:val="left" w:pos="569"/>
        </w:tabs>
        <w:jc w:val="both"/>
        <w:rPr>
          <w:bCs/>
          <w:sz w:val="22"/>
          <w:szCs w:val="22"/>
          <w:lang w:val="sr-Latn-ME"/>
        </w:rPr>
      </w:pPr>
    </w:p>
    <w:p w14:paraId="6495BE15" w14:textId="3A6470F2" w:rsidR="00702E22" w:rsidRPr="005A4F9F" w:rsidRDefault="008F0857" w:rsidP="008B00DE">
      <w:pPr>
        <w:widowControl w:val="0"/>
        <w:tabs>
          <w:tab w:val="left" w:pos="540"/>
          <w:tab w:val="left" w:pos="569"/>
        </w:tabs>
        <w:jc w:val="both"/>
        <w:rPr>
          <w:iCs/>
          <w:sz w:val="22"/>
          <w:szCs w:val="22"/>
          <w:lang w:val="sr-Latn-ME"/>
        </w:rPr>
      </w:pPr>
      <w:r>
        <w:rPr>
          <w:iCs/>
          <w:sz w:val="22"/>
          <w:szCs w:val="22"/>
          <w:lang w:val="sr-Latn-ME"/>
        </w:rPr>
        <w:t>Jun</w:t>
      </w:r>
      <w:r w:rsidR="009505C8" w:rsidRPr="005A4F9F">
        <w:rPr>
          <w:iCs/>
          <w:sz w:val="22"/>
          <w:szCs w:val="22"/>
          <w:lang w:val="sr-Latn-ME"/>
        </w:rPr>
        <w:t>, 202</w:t>
      </w:r>
      <w:r w:rsidR="008E6663" w:rsidRPr="005A4F9F">
        <w:rPr>
          <w:iCs/>
          <w:sz w:val="22"/>
          <w:szCs w:val="22"/>
          <w:lang w:val="sr-Latn-ME"/>
        </w:rPr>
        <w:t>5</w:t>
      </w:r>
      <w:r w:rsidR="009505C8" w:rsidRPr="005A4F9F">
        <w:rPr>
          <w:iCs/>
          <w:sz w:val="22"/>
          <w:szCs w:val="22"/>
          <w:lang w:val="sr-Latn-ME"/>
        </w:rPr>
        <w:t>. godine</w:t>
      </w:r>
    </w:p>
    <w:p w14:paraId="5FAA26F6" w14:textId="4E2F52C9" w:rsidR="003F6A59" w:rsidRPr="005A4F9F" w:rsidRDefault="003F6A59" w:rsidP="008B00DE">
      <w:pPr>
        <w:widowControl w:val="0"/>
        <w:jc w:val="both"/>
        <w:rPr>
          <w:sz w:val="22"/>
          <w:szCs w:val="22"/>
          <w:lang w:val="sr-Latn-ME"/>
        </w:rPr>
      </w:pPr>
    </w:p>
    <w:sectPr w:rsidR="003F6A59" w:rsidRPr="005A4F9F" w:rsidSect="008B00DE">
      <w:headerReference w:type="default" r:id="rId15"/>
      <w:footerReference w:type="default" r:id="rId16"/>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71FA5" w14:textId="77777777" w:rsidR="00FC3AE4" w:rsidRDefault="00FC3AE4">
      <w:r>
        <w:separator/>
      </w:r>
    </w:p>
  </w:endnote>
  <w:endnote w:type="continuationSeparator" w:id="0">
    <w:p w14:paraId="1370B2EB" w14:textId="77777777" w:rsidR="00FC3AE4" w:rsidRDefault="00FC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och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F1EE" w14:textId="2A327B0E" w:rsidR="005A4F9F" w:rsidRPr="00B23F69" w:rsidRDefault="005A4F9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F0857">
      <w:rPr>
        <w:noProof/>
        <w:sz w:val="22"/>
        <w:szCs w:val="22"/>
      </w:rPr>
      <w:t>34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F0857">
      <w:rPr>
        <w:noProof/>
        <w:sz w:val="22"/>
        <w:szCs w:val="22"/>
      </w:rPr>
      <w:t>34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78E47" w14:textId="77777777" w:rsidR="00FC3AE4" w:rsidRDefault="00FC3AE4">
      <w:r>
        <w:separator/>
      </w:r>
    </w:p>
  </w:footnote>
  <w:footnote w:type="continuationSeparator" w:id="0">
    <w:p w14:paraId="04C8D974" w14:textId="77777777" w:rsidR="00FC3AE4" w:rsidRDefault="00FC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6FEE" w14:textId="77777777" w:rsidR="005A4F9F" w:rsidRPr="00514221" w:rsidRDefault="005A4F9F" w:rsidP="00514221">
    <w:pPr>
      <w:jc w:val="right"/>
      <w:rPr>
        <w:rFonts w:ascii="Roche" w:hAnsi="Roche"/>
        <w:caps/>
        <w:sz w:val="28"/>
        <w:szCs w:val="20"/>
      </w:rPr>
    </w:pPr>
    <w:r>
      <w:rPr>
        <w:rFonts w:ascii="Roche" w:hAnsi="Roche"/>
        <w:caps/>
        <w:sz w:val="28"/>
        <w:szCs w:val="20"/>
      </w:rPr>
      <w:t></w:t>
    </w:r>
    <w:r>
      <w:rPr>
        <w:rFonts w:ascii="Roche" w:hAnsi="Roche"/>
        <w:caps/>
        <w:sz w:val="2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75pt;height:13.5pt;visibility:visible;mso-wrap-style:square" o:bullet="t">
        <v:imagedata r:id="rId1" o:title=""/>
      </v:shape>
    </w:pict>
  </w:numPicBullet>
  <w:abstractNum w:abstractNumId="0" w15:restartNumberingAfterBreak="0">
    <w:nsid w:val="038E071C"/>
    <w:multiLevelType w:val="hybridMultilevel"/>
    <w:tmpl w:val="DAEC48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11261"/>
    <w:multiLevelType w:val="hybridMultilevel"/>
    <w:tmpl w:val="9966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D9A70CA"/>
    <w:multiLevelType w:val="hybridMultilevel"/>
    <w:tmpl w:val="6DB4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E331D16"/>
    <w:multiLevelType w:val="hybridMultilevel"/>
    <w:tmpl w:val="FC6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857D2B"/>
    <w:multiLevelType w:val="hybridMultilevel"/>
    <w:tmpl w:val="EF0C22B0"/>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5"/>
  </w:num>
  <w:num w:numId="11">
    <w:abstractNumId w:val="7"/>
  </w:num>
  <w:num w:numId="12">
    <w:abstractNumId w:val="0"/>
  </w:num>
  <w:num w:numId="13">
    <w:abstractNumId w:val="9"/>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235"/>
    <w:rsid w:val="00007500"/>
    <w:rsid w:val="00007512"/>
    <w:rsid w:val="00012846"/>
    <w:rsid w:val="000136BA"/>
    <w:rsid w:val="00016901"/>
    <w:rsid w:val="000176CA"/>
    <w:rsid w:val="00017A47"/>
    <w:rsid w:val="0002036E"/>
    <w:rsid w:val="0002109F"/>
    <w:rsid w:val="00024F08"/>
    <w:rsid w:val="00026BF5"/>
    <w:rsid w:val="00031156"/>
    <w:rsid w:val="00036FA0"/>
    <w:rsid w:val="0003793F"/>
    <w:rsid w:val="000441FE"/>
    <w:rsid w:val="00053C2C"/>
    <w:rsid w:val="00057E35"/>
    <w:rsid w:val="00063736"/>
    <w:rsid w:val="00076726"/>
    <w:rsid w:val="00080303"/>
    <w:rsid w:val="0008248D"/>
    <w:rsid w:val="000868CE"/>
    <w:rsid w:val="000A3F58"/>
    <w:rsid w:val="000B331D"/>
    <w:rsid w:val="000B661E"/>
    <w:rsid w:val="000C224B"/>
    <w:rsid w:val="000C2B0E"/>
    <w:rsid w:val="000C4AE8"/>
    <w:rsid w:val="000D2343"/>
    <w:rsid w:val="000D3449"/>
    <w:rsid w:val="000D3978"/>
    <w:rsid w:val="000D425A"/>
    <w:rsid w:val="000D60CC"/>
    <w:rsid w:val="000D637E"/>
    <w:rsid w:val="000D6BC7"/>
    <w:rsid w:val="000E2084"/>
    <w:rsid w:val="000E2202"/>
    <w:rsid w:val="000E4E75"/>
    <w:rsid w:val="000E6F55"/>
    <w:rsid w:val="000F0228"/>
    <w:rsid w:val="000F0EE3"/>
    <w:rsid w:val="000F77FA"/>
    <w:rsid w:val="001007EC"/>
    <w:rsid w:val="001014C6"/>
    <w:rsid w:val="00107BF7"/>
    <w:rsid w:val="0011016C"/>
    <w:rsid w:val="00117940"/>
    <w:rsid w:val="00117B5D"/>
    <w:rsid w:val="00122853"/>
    <w:rsid w:val="00126C7C"/>
    <w:rsid w:val="00126F53"/>
    <w:rsid w:val="00135E3A"/>
    <w:rsid w:val="0014766D"/>
    <w:rsid w:val="001536CC"/>
    <w:rsid w:val="00154DC6"/>
    <w:rsid w:val="00156E5D"/>
    <w:rsid w:val="00162152"/>
    <w:rsid w:val="00171EA5"/>
    <w:rsid w:val="00176050"/>
    <w:rsid w:val="00177192"/>
    <w:rsid w:val="00186624"/>
    <w:rsid w:val="00190D0F"/>
    <w:rsid w:val="00197B99"/>
    <w:rsid w:val="001A3FBA"/>
    <w:rsid w:val="001A5518"/>
    <w:rsid w:val="001B1C6A"/>
    <w:rsid w:val="001B7DBF"/>
    <w:rsid w:val="001C1263"/>
    <w:rsid w:val="001C1417"/>
    <w:rsid w:val="001C539A"/>
    <w:rsid w:val="001D10FE"/>
    <w:rsid w:val="001E390B"/>
    <w:rsid w:val="001E575E"/>
    <w:rsid w:val="001F42FB"/>
    <w:rsid w:val="001F719A"/>
    <w:rsid w:val="002031B3"/>
    <w:rsid w:val="00212923"/>
    <w:rsid w:val="00215931"/>
    <w:rsid w:val="00227BDB"/>
    <w:rsid w:val="00234183"/>
    <w:rsid w:val="00234CB1"/>
    <w:rsid w:val="002352F8"/>
    <w:rsid w:val="00237FF5"/>
    <w:rsid w:val="00240D81"/>
    <w:rsid w:val="002433B0"/>
    <w:rsid w:val="0024572A"/>
    <w:rsid w:val="00245F74"/>
    <w:rsid w:val="002510A5"/>
    <w:rsid w:val="00254A0A"/>
    <w:rsid w:val="002613C8"/>
    <w:rsid w:val="00263B09"/>
    <w:rsid w:val="002647F9"/>
    <w:rsid w:val="00266046"/>
    <w:rsid w:val="00280B47"/>
    <w:rsid w:val="00281E61"/>
    <w:rsid w:val="002846DB"/>
    <w:rsid w:val="00284CCD"/>
    <w:rsid w:val="002922F8"/>
    <w:rsid w:val="002B004B"/>
    <w:rsid w:val="002B2AE5"/>
    <w:rsid w:val="002B383E"/>
    <w:rsid w:val="002B3FFC"/>
    <w:rsid w:val="002B6057"/>
    <w:rsid w:val="002C230C"/>
    <w:rsid w:val="002C6637"/>
    <w:rsid w:val="002D1083"/>
    <w:rsid w:val="002D3A2F"/>
    <w:rsid w:val="002E0135"/>
    <w:rsid w:val="002E0553"/>
    <w:rsid w:val="002E37A5"/>
    <w:rsid w:val="002E69F2"/>
    <w:rsid w:val="002E6A11"/>
    <w:rsid w:val="00300472"/>
    <w:rsid w:val="00302BC2"/>
    <w:rsid w:val="003036D6"/>
    <w:rsid w:val="00304658"/>
    <w:rsid w:val="00304B7D"/>
    <w:rsid w:val="00306200"/>
    <w:rsid w:val="00310F03"/>
    <w:rsid w:val="00311611"/>
    <w:rsid w:val="0032120B"/>
    <w:rsid w:val="00322300"/>
    <w:rsid w:val="003247D2"/>
    <w:rsid w:val="003401D0"/>
    <w:rsid w:val="00340525"/>
    <w:rsid w:val="003445C1"/>
    <w:rsid w:val="00346212"/>
    <w:rsid w:val="00347DA6"/>
    <w:rsid w:val="00355B61"/>
    <w:rsid w:val="00357634"/>
    <w:rsid w:val="00362686"/>
    <w:rsid w:val="00363B61"/>
    <w:rsid w:val="003664CB"/>
    <w:rsid w:val="00371510"/>
    <w:rsid w:val="003718AC"/>
    <w:rsid w:val="00375EC5"/>
    <w:rsid w:val="00376BC6"/>
    <w:rsid w:val="00380496"/>
    <w:rsid w:val="00384BA3"/>
    <w:rsid w:val="00387E97"/>
    <w:rsid w:val="00396DFD"/>
    <w:rsid w:val="0039780D"/>
    <w:rsid w:val="003A7059"/>
    <w:rsid w:val="003B4F81"/>
    <w:rsid w:val="003B7A36"/>
    <w:rsid w:val="003C052E"/>
    <w:rsid w:val="003C17AB"/>
    <w:rsid w:val="003C4257"/>
    <w:rsid w:val="003C7823"/>
    <w:rsid w:val="003E040C"/>
    <w:rsid w:val="003E1DCC"/>
    <w:rsid w:val="003E77D3"/>
    <w:rsid w:val="003F2324"/>
    <w:rsid w:val="003F55DC"/>
    <w:rsid w:val="003F6A59"/>
    <w:rsid w:val="00405762"/>
    <w:rsid w:val="004065C8"/>
    <w:rsid w:val="00411B4B"/>
    <w:rsid w:val="004128CE"/>
    <w:rsid w:val="00415BEE"/>
    <w:rsid w:val="00425AB8"/>
    <w:rsid w:val="00427F85"/>
    <w:rsid w:val="00432105"/>
    <w:rsid w:val="00436F42"/>
    <w:rsid w:val="004378B4"/>
    <w:rsid w:val="004429A5"/>
    <w:rsid w:val="004448FA"/>
    <w:rsid w:val="00451314"/>
    <w:rsid w:val="00452E9D"/>
    <w:rsid w:val="004534C7"/>
    <w:rsid w:val="004542D5"/>
    <w:rsid w:val="004577B6"/>
    <w:rsid w:val="0046441D"/>
    <w:rsid w:val="004671AA"/>
    <w:rsid w:val="004752D6"/>
    <w:rsid w:val="00480FB1"/>
    <w:rsid w:val="004811E0"/>
    <w:rsid w:val="00483928"/>
    <w:rsid w:val="00486ACD"/>
    <w:rsid w:val="004A5276"/>
    <w:rsid w:val="004B054F"/>
    <w:rsid w:val="004C5A7C"/>
    <w:rsid w:val="004C638F"/>
    <w:rsid w:val="004D6103"/>
    <w:rsid w:val="004D7A78"/>
    <w:rsid w:val="004E2E0C"/>
    <w:rsid w:val="004E3BCE"/>
    <w:rsid w:val="004E742E"/>
    <w:rsid w:val="004F0E97"/>
    <w:rsid w:val="004F7FA6"/>
    <w:rsid w:val="00500936"/>
    <w:rsid w:val="00501BDE"/>
    <w:rsid w:val="00503178"/>
    <w:rsid w:val="00503D6F"/>
    <w:rsid w:val="00504E8C"/>
    <w:rsid w:val="00505DDE"/>
    <w:rsid w:val="00507EE0"/>
    <w:rsid w:val="00511502"/>
    <w:rsid w:val="00511662"/>
    <w:rsid w:val="00514221"/>
    <w:rsid w:val="00515C21"/>
    <w:rsid w:val="0052258B"/>
    <w:rsid w:val="00530BD7"/>
    <w:rsid w:val="0053145F"/>
    <w:rsid w:val="00541FE9"/>
    <w:rsid w:val="00542633"/>
    <w:rsid w:val="0054277C"/>
    <w:rsid w:val="00545CD2"/>
    <w:rsid w:val="005476F3"/>
    <w:rsid w:val="0055256B"/>
    <w:rsid w:val="00557ED1"/>
    <w:rsid w:val="005615F9"/>
    <w:rsid w:val="00571DDA"/>
    <w:rsid w:val="00572527"/>
    <w:rsid w:val="00573E40"/>
    <w:rsid w:val="00574C88"/>
    <w:rsid w:val="00576348"/>
    <w:rsid w:val="00576844"/>
    <w:rsid w:val="00585E85"/>
    <w:rsid w:val="005A0B2E"/>
    <w:rsid w:val="005A23D2"/>
    <w:rsid w:val="005A36CB"/>
    <w:rsid w:val="005A4F97"/>
    <w:rsid w:val="005A4F9F"/>
    <w:rsid w:val="005A67CF"/>
    <w:rsid w:val="005B212D"/>
    <w:rsid w:val="005B315C"/>
    <w:rsid w:val="005B35B5"/>
    <w:rsid w:val="005B49B8"/>
    <w:rsid w:val="005C0741"/>
    <w:rsid w:val="005C184E"/>
    <w:rsid w:val="005C5EF4"/>
    <w:rsid w:val="005C6684"/>
    <w:rsid w:val="005E2E0B"/>
    <w:rsid w:val="005E7A7D"/>
    <w:rsid w:val="005F224E"/>
    <w:rsid w:val="005F43EC"/>
    <w:rsid w:val="005F73A1"/>
    <w:rsid w:val="00607719"/>
    <w:rsid w:val="00616512"/>
    <w:rsid w:val="00621BB3"/>
    <w:rsid w:val="00623240"/>
    <w:rsid w:val="0063370E"/>
    <w:rsid w:val="00644D71"/>
    <w:rsid w:val="0064575C"/>
    <w:rsid w:val="00645A55"/>
    <w:rsid w:val="00646BD1"/>
    <w:rsid w:val="006561C2"/>
    <w:rsid w:val="0066374C"/>
    <w:rsid w:val="00671CB3"/>
    <w:rsid w:val="00674BAF"/>
    <w:rsid w:val="00682200"/>
    <w:rsid w:val="00690E67"/>
    <w:rsid w:val="00695D66"/>
    <w:rsid w:val="006A1497"/>
    <w:rsid w:val="006A35FA"/>
    <w:rsid w:val="006A4AA7"/>
    <w:rsid w:val="006B0BD1"/>
    <w:rsid w:val="006B1876"/>
    <w:rsid w:val="006B3A33"/>
    <w:rsid w:val="006B57D8"/>
    <w:rsid w:val="006C7CA9"/>
    <w:rsid w:val="006C7F5F"/>
    <w:rsid w:val="006D11E8"/>
    <w:rsid w:val="006D20A5"/>
    <w:rsid w:val="006D37BF"/>
    <w:rsid w:val="006D4383"/>
    <w:rsid w:val="006E30BD"/>
    <w:rsid w:val="006F28A4"/>
    <w:rsid w:val="00702E22"/>
    <w:rsid w:val="0072020E"/>
    <w:rsid w:val="00723042"/>
    <w:rsid w:val="00735AD9"/>
    <w:rsid w:val="0074177D"/>
    <w:rsid w:val="007454B2"/>
    <w:rsid w:val="00750084"/>
    <w:rsid w:val="00752F98"/>
    <w:rsid w:val="00756FA3"/>
    <w:rsid w:val="00763105"/>
    <w:rsid w:val="00766A46"/>
    <w:rsid w:val="00771B60"/>
    <w:rsid w:val="00774F80"/>
    <w:rsid w:val="00786071"/>
    <w:rsid w:val="007A3ECB"/>
    <w:rsid w:val="007A4BD5"/>
    <w:rsid w:val="007A559B"/>
    <w:rsid w:val="007B4C93"/>
    <w:rsid w:val="007B5288"/>
    <w:rsid w:val="007C225E"/>
    <w:rsid w:val="007C64F0"/>
    <w:rsid w:val="007D0977"/>
    <w:rsid w:val="007D0FEC"/>
    <w:rsid w:val="007D6E02"/>
    <w:rsid w:val="007D7F51"/>
    <w:rsid w:val="007E06FB"/>
    <w:rsid w:val="007E1060"/>
    <w:rsid w:val="00802542"/>
    <w:rsid w:val="0081385C"/>
    <w:rsid w:val="00815EFF"/>
    <w:rsid w:val="00816EE7"/>
    <w:rsid w:val="00823B18"/>
    <w:rsid w:val="00824AB9"/>
    <w:rsid w:val="00832EA5"/>
    <w:rsid w:val="0083323C"/>
    <w:rsid w:val="0083402D"/>
    <w:rsid w:val="00836B35"/>
    <w:rsid w:val="00840A67"/>
    <w:rsid w:val="00843BDE"/>
    <w:rsid w:val="00843E20"/>
    <w:rsid w:val="00847CA9"/>
    <w:rsid w:val="00854C81"/>
    <w:rsid w:val="00864A34"/>
    <w:rsid w:val="00881039"/>
    <w:rsid w:val="00885C0C"/>
    <w:rsid w:val="008872DD"/>
    <w:rsid w:val="00890190"/>
    <w:rsid w:val="00890467"/>
    <w:rsid w:val="00893790"/>
    <w:rsid w:val="00894D03"/>
    <w:rsid w:val="00895315"/>
    <w:rsid w:val="0089705C"/>
    <w:rsid w:val="008A15C1"/>
    <w:rsid w:val="008A6D43"/>
    <w:rsid w:val="008B00DE"/>
    <w:rsid w:val="008B3674"/>
    <w:rsid w:val="008B491E"/>
    <w:rsid w:val="008B5649"/>
    <w:rsid w:val="008C1A28"/>
    <w:rsid w:val="008C2E98"/>
    <w:rsid w:val="008D13AB"/>
    <w:rsid w:val="008D26D4"/>
    <w:rsid w:val="008E4931"/>
    <w:rsid w:val="008E49BD"/>
    <w:rsid w:val="008E53E9"/>
    <w:rsid w:val="008E5771"/>
    <w:rsid w:val="008E6663"/>
    <w:rsid w:val="008F0857"/>
    <w:rsid w:val="009009D6"/>
    <w:rsid w:val="009026D9"/>
    <w:rsid w:val="00904139"/>
    <w:rsid w:val="00916472"/>
    <w:rsid w:val="00925B8F"/>
    <w:rsid w:val="00932872"/>
    <w:rsid w:val="009347F3"/>
    <w:rsid w:val="009365A2"/>
    <w:rsid w:val="00940B9B"/>
    <w:rsid w:val="00942687"/>
    <w:rsid w:val="00943912"/>
    <w:rsid w:val="009505C8"/>
    <w:rsid w:val="0095676E"/>
    <w:rsid w:val="00956983"/>
    <w:rsid w:val="00963CF0"/>
    <w:rsid w:val="00964BB1"/>
    <w:rsid w:val="0096596C"/>
    <w:rsid w:val="00965C22"/>
    <w:rsid w:val="0097293D"/>
    <w:rsid w:val="009775D9"/>
    <w:rsid w:val="00984BB3"/>
    <w:rsid w:val="009919C3"/>
    <w:rsid w:val="009943D6"/>
    <w:rsid w:val="009955EA"/>
    <w:rsid w:val="00997175"/>
    <w:rsid w:val="009A1847"/>
    <w:rsid w:val="009A5114"/>
    <w:rsid w:val="009A63EA"/>
    <w:rsid w:val="009B062A"/>
    <w:rsid w:val="009B0CE5"/>
    <w:rsid w:val="009C207F"/>
    <w:rsid w:val="009D36B8"/>
    <w:rsid w:val="009D5107"/>
    <w:rsid w:val="009D594E"/>
    <w:rsid w:val="009E3DEA"/>
    <w:rsid w:val="009E7C6F"/>
    <w:rsid w:val="009F13B8"/>
    <w:rsid w:val="009F1793"/>
    <w:rsid w:val="009F2D23"/>
    <w:rsid w:val="00A00DAD"/>
    <w:rsid w:val="00A0123F"/>
    <w:rsid w:val="00A01D69"/>
    <w:rsid w:val="00A02335"/>
    <w:rsid w:val="00A04188"/>
    <w:rsid w:val="00A146A6"/>
    <w:rsid w:val="00A14D1F"/>
    <w:rsid w:val="00A162FA"/>
    <w:rsid w:val="00A30E1F"/>
    <w:rsid w:val="00A33448"/>
    <w:rsid w:val="00A404C4"/>
    <w:rsid w:val="00A46C9A"/>
    <w:rsid w:val="00A50212"/>
    <w:rsid w:val="00A54F68"/>
    <w:rsid w:val="00A563B1"/>
    <w:rsid w:val="00A619F3"/>
    <w:rsid w:val="00A61DB3"/>
    <w:rsid w:val="00A62A73"/>
    <w:rsid w:val="00A63520"/>
    <w:rsid w:val="00A64424"/>
    <w:rsid w:val="00A6528F"/>
    <w:rsid w:val="00A703B1"/>
    <w:rsid w:val="00A705DC"/>
    <w:rsid w:val="00A8440B"/>
    <w:rsid w:val="00A87FF6"/>
    <w:rsid w:val="00A953EB"/>
    <w:rsid w:val="00AA0A3B"/>
    <w:rsid w:val="00AA10D0"/>
    <w:rsid w:val="00AA5D66"/>
    <w:rsid w:val="00AA645D"/>
    <w:rsid w:val="00AB1A37"/>
    <w:rsid w:val="00AB50CA"/>
    <w:rsid w:val="00AB606D"/>
    <w:rsid w:val="00AC2783"/>
    <w:rsid w:val="00AC53CE"/>
    <w:rsid w:val="00AD2193"/>
    <w:rsid w:val="00AD5D5C"/>
    <w:rsid w:val="00AD7C1C"/>
    <w:rsid w:val="00AE16C0"/>
    <w:rsid w:val="00AF2AC7"/>
    <w:rsid w:val="00AF6514"/>
    <w:rsid w:val="00AF66C4"/>
    <w:rsid w:val="00AF74CE"/>
    <w:rsid w:val="00B1573E"/>
    <w:rsid w:val="00B208DB"/>
    <w:rsid w:val="00B23CE5"/>
    <w:rsid w:val="00B23F69"/>
    <w:rsid w:val="00B34098"/>
    <w:rsid w:val="00B4674F"/>
    <w:rsid w:val="00B4767B"/>
    <w:rsid w:val="00B51815"/>
    <w:rsid w:val="00B550CD"/>
    <w:rsid w:val="00B57ECC"/>
    <w:rsid w:val="00B60619"/>
    <w:rsid w:val="00B66A70"/>
    <w:rsid w:val="00B67366"/>
    <w:rsid w:val="00B80EE1"/>
    <w:rsid w:val="00B83455"/>
    <w:rsid w:val="00B84135"/>
    <w:rsid w:val="00B87FA1"/>
    <w:rsid w:val="00BA1741"/>
    <w:rsid w:val="00BC18E1"/>
    <w:rsid w:val="00BC54DD"/>
    <w:rsid w:val="00BE0882"/>
    <w:rsid w:val="00BE205C"/>
    <w:rsid w:val="00BF249E"/>
    <w:rsid w:val="00BF3808"/>
    <w:rsid w:val="00C04D34"/>
    <w:rsid w:val="00C05DF8"/>
    <w:rsid w:val="00C06864"/>
    <w:rsid w:val="00C10F54"/>
    <w:rsid w:val="00C112D4"/>
    <w:rsid w:val="00C124CE"/>
    <w:rsid w:val="00C16D41"/>
    <w:rsid w:val="00C23D8D"/>
    <w:rsid w:val="00C261A2"/>
    <w:rsid w:val="00C37AA3"/>
    <w:rsid w:val="00C37FD7"/>
    <w:rsid w:val="00C43419"/>
    <w:rsid w:val="00C44CF3"/>
    <w:rsid w:val="00C45037"/>
    <w:rsid w:val="00C61BE0"/>
    <w:rsid w:val="00C66563"/>
    <w:rsid w:val="00C70B0E"/>
    <w:rsid w:val="00C70BE5"/>
    <w:rsid w:val="00C71637"/>
    <w:rsid w:val="00C762BD"/>
    <w:rsid w:val="00C773CA"/>
    <w:rsid w:val="00C80785"/>
    <w:rsid w:val="00C83785"/>
    <w:rsid w:val="00C92A61"/>
    <w:rsid w:val="00C94C0D"/>
    <w:rsid w:val="00C97C65"/>
    <w:rsid w:val="00CA1487"/>
    <w:rsid w:val="00CA1FEB"/>
    <w:rsid w:val="00CA50A1"/>
    <w:rsid w:val="00CA5620"/>
    <w:rsid w:val="00CA6BC6"/>
    <w:rsid w:val="00CB1C88"/>
    <w:rsid w:val="00CB4820"/>
    <w:rsid w:val="00CC5D15"/>
    <w:rsid w:val="00CD4F85"/>
    <w:rsid w:val="00CD6F02"/>
    <w:rsid w:val="00CE0C85"/>
    <w:rsid w:val="00CE246D"/>
    <w:rsid w:val="00CF07A0"/>
    <w:rsid w:val="00CF3E03"/>
    <w:rsid w:val="00D0082A"/>
    <w:rsid w:val="00D21455"/>
    <w:rsid w:val="00D24DF7"/>
    <w:rsid w:val="00D25617"/>
    <w:rsid w:val="00D32668"/>
    <w:rsid w:val="00D37F3C"/>
    <w:rsid w:val="00D47634"/>
    <w:rsid w:val="00D47797"/>
    <w:rsid w:val="00D62474"/>
    <w:rsid w:val="00D62714"/>
    <w:rsid w:val="00D62AD2"/>
    <w:rsid w:val="00D709B3"/>
    <w:rsid w:val="00D762F8"/>
    <w:rsid w:val="00D83654"/>
    <w:rsid w:val="00D850C8"/>
    <w:rsid w:val="00D97476"/>
    <w:rsid w:val="00DA2ED6"/>
    <w:rsid w:val="00DB0B41"/>
    <w:rsid w:val="00DB6E73"/>
    <w:rsid w:val="00DB76B8"/>
    <w:rsid w:val="00DC2EA1"/>
    <w:rsid w:val="00DD6AAF"/>
    <w:rsid w:val="00DE3F5C"/>
    <w:rsid w:val="00DF1D20"/>
    <w:rsid w:val="00DF2D74"/>
    <w:rsid w:val="00DF5D81"/>
    <w:rsid w:val="00E00BBA"/>
    <w:rsid w:val="00E1574B"/>
    <w:rsid w:val="00E16C31"/>
    <w:rsid w:val="00E20C1C"/>
    <w:rsid w:val="00E21324"/>
    <w:rsid w:val="00E246B9"/>
    <w:rsid w:val="00E30DE1"/>
    <w:rsid w:val="00E31FEA"/>
    <w:rsid w:val="00E425C9"/>
    <w:rsid w:val="00E43D78"/>
    <w:rsid w:val="00E45169"/>
    <w:rsid w:val="00E47787"/>
    <w:rsid w:val="00E51C30"/>
    <w:rsid w:val="00E64180"/>
    <w:rsid w:val="00E74AEE"/>
    <w:rsid w:val="00E74E9F"/>
    <w:rsid w:val="00E765E9"/>
    <w:rsid w:val="00E76DA4"/>
    <w:rsid w:val="00E81DA6"/>
    <w:rsid w:val="00E843F0"/>
    <w:rsid w:val="00E856C8"/>
    <w:rsid w:val="00E868E5"/>
    <w:rsid w:val="00E9237A"/>
    <w:rsid w:val="00E939FA"/>
    <w:rsid w:val="00EA483D"/>
    <w:rsid w:val="00EA5765"/>
    <w:rsid w:val="00EB1335"/>
    <w:rsid w:val="00EB272E"/>
    <w:rsid w:val="00EB3937"/>
    <w:rsid w:val="00EC2532"/>
    <w:rsid w:val="00ED2B25"/>
    <w:rsid w:val="00ED645B"/>
    <w:rsid w:val="00ED7812"/>
    <w:rsid w:val="00EE355B"/>
    <w:rsid w:val="00EF3B86"/>
    <w:rsid w:val="00F03D29"/>
    <w:rsid w:val="00F1193B"/>
    <w:rsid w:val="00F119A8"/>
    <w:rsid w:val="00F14A39"/>
    <w:rsid w:val="00F15233"/>
    <w:rsid w:val="00F15CCA"/>
    <w:rsid w:val="00F23AEF"/>
    <w:rsid w:val="00F23DB1"/>
    <w:rsid w:val="00F317E9"/>
    <w:rsid w:val="00F34554"/>
    <w:rsid w:val="00F34A0E"/>
    <w:rsid w:val="00F36C4B"/>
    <w:rsid w:val="00F40543"/>
    <w:rsid w:val="00F45F77"/>
    <w:rsid w:val="00F5167F"/>
    <w:rsid w:val="00F52258"/>
    <w:rsid w:val="00F52EC4"/>
    <w:rsid w:val="00F60CB8"/>
    <w:rsid w:val="00F76E4A"/>
    <w:rsid w:val="00F8570A"/>
    <w:rsid w:val="00F87613"/>
    <w:rsid w:val="00F91C7B"/>
    <w:rsid w:val="00F94376"/>
    <w:rsid w:val="00FB0792"/>
    <w:rsid w:val="00FC04B8"/>
    <w:rsid w:val="00FC079C"/>
    <w:rsid w:val="00FC0C8D"/>
    <w:rsid w:val="00FC16AC"/>
    <w:rsid w:val="00FC3AE4"/>
    <w:rsid w:val="00FE073E"/>
    <w:rsid w:val="00FE447C"/>
    <w:rsid w:val="00FE64D8"/>
    <w:rsid w:val="00FE6A31"/>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CAE09"/>
  <w15:docId w15:val="{A0EE486C-9C13-4CF3-964C-5CB3CD63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D2"/>
    <w:rPr>
      <w:sz w:val="24"/>
      <w:szCs w:val="24"/>
      <w:lang w:val="en-US" w:eastAsia="en-US"/>
    </w:rPr>
  </w:style>
  <w:style w:type="paragraph" w:styleId="Heading1">
    <w:name w:val="heading 1"/>
    <w:basedOn w:val="Normal"/>
    <w:next w:val="Normal"/>
    <w:link w:val="Heading1Char"/>
    <w:qFormat/>
    <w:rsid w:val="007631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F34A0E"/>
    <w:rPr>
      <w:sz w:val="24"/>
      <w:szCs w:val="24"/>
      <w:lang w:val="en-US" w:eastAsia="en-US"/>
    </w:rPr>
  </w:style>
  <w:style w:type="paragraph" w:styleId="BodyText">
    <w:name w:val="Body Text"/>
    <w:basedOn w:val="Normal"/>
    <w:link w:val="BodyTextChar"/>
    <w:rsid w:val="00F34A0E"/>
    <w:pPr>
      <w:spacing w:after="120"/>
    </w:pPr>
    <w:rPr>
      <w:sz w:val="20"/>
      <w:szCs w:val="20"/>
    </w:rPr>
  </w:style>
  <w:style w:type="character" w:customStyle="1" w:styleId="BodyTextChar">
    <w:name w:val="Body Text Char"/>
    <w:basedOn w:val="DefaultParagraphFont"/>
    <w:link w:val="BodyText"/>
    <w:rsid w:val="00F34A0E"/>
    <w:rPr>
      <w:lang w:val="en-US" w:eastAsia="en-US"/>
    </w:rPr>
  </w:style>
  <w:style w:type="table" w:customStyle="1" w:styleId="TableGrid1">
    <w:name w:val="Table Grid1"/>
    <w:basedOn w:val="TableNormal"/>
    <w:next w:val="TableGrid"/>
    <w:rsid w:val="00F34A0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3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4A0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34A0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63105"/>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263B09"/>
    <w:rPr>
      <w:sz w:val="24"/>
      <w:szCs w:val="24"/>
      <w:lang w:val="en-US" w:eastAsia="en-US"/>
    </w:rPr>
  </w:style>
  <w:style w:type="paragraph" w:customStyle="1" w:styleId="TextTi9">
    <w:name w:val="Text:Ti9"/>
    <w:basedOn w:val="Normal"/>
    <w:rsid w:val="00171EA5"/>
    <w:pPr>
      <w:spacing w:after="200"/>
    </w:pPr>
    <w:rPr>
      <w:rFonts w:ascii="Calibri" w:eastAsia="PMingLiU" w:hAnsi="Calibri"/>
      <w:sz w:val="18"/>
      <w:szCs w:val="22"/>
      <w:lang w:eastAsia="zh-TW"/>
    </w:rPr>
  </w:style>
  <w:style w:type="paragraph" w:customStyle="1" w:styleId="Standard1">
    <w:name w:val="Standard1"/>
    <w:qFormat/>
    <w:rsid w:val="00FC079C"/>
    <w:rPr>
      <w:sz w:val="22"/>
      <w:lang w:val="en-US" w:eastAsia="ja-JP"/>
    </w:rPr>
  </w:style>
  <w:style w:type="paragraph" w:customStyle="1" w:styleId="Paragraph">
    <w:name w:val="Paragraph"/>
    <w:basedOn w:val="Standard1"/>
    <w:link w:val="ParagraphChar"/>
    <w:qFormat/>
    <w:rsid w:val="00BF249E"/>
    <w:pPr>
      <w:spacing w:after="170" w:line="280" w:lineRule="exact"/>
    </w:pPr>
    <w:rPr>
      <w:rFonts w:ascii="Arial" w:eastAsia="SimSun" w:hAnsi="Arial"/>
      <w:sz w:val="24"/>
      <w:szCs w:val="24"/>
      <w:lang w:eastAsia="zh-CN"/>
    </w:rPr>
  </w:style>
  <w:style w:type="character" w:customStyle="1" w:styleId="ParagraphChar">
    <w:name w:val="Paragraph Char"/>
    <w:link w:val="Paragraph"/>
    <w:rsid w:val="00BF249E"/>
    <w:rPr>
      <w:rFonts w:ascii="Arial" w:eastAsia="SimSun" w:hAnsi="Arial"/>
      <w:sz w:val="24"/>
      <w:szCs w:val="24"/>
      <w:lang w:val="en-US" w:eastAsia="zh-CN"/>
    </w:rPr>
  </w:style>
  <w:style w:type="character" w:styleId="Hyperlink">
    <w:name w:val="Hyperlink"/>
    <w:basedOn w:val="DefaultParagraphFont"/>
    <w:rsid w:val="00AF66C4"/>
    <w:rPr>
      <w:color w:val="0563C1" w:themeColor="hyperlink"/>
      <w:u w:val="single"/>
    </w:rPr>
  </w:style>
  <w:style w:type="paragraph" w:styleId="ListParagraph">
    <w:name w:val="List Paragraph"/>
    <w:basedOn w:val="Normal"/>
    <w:uiPriority w:val="34"/>
    <w:qFormat/>
    <w:rsid w:val="007E1060"/>
    <w:pPr>
      <w:ind w:left="720"/>
      <w:contextualSpacing/>
    </w:pPr>
  </w:style>
  <w:style w:type="paragraph" w:styleId="FootnoteText">
    <w:name w:val="footnote text"/>
    <w:basedOn w:val="Normal"/>
    <w:link w:val="FootnoteTextChar"/>
    <w:semiHidden/>
    <w:unhideWhenUsed/>
    <w:rsid w:val="00D762F8"/>
    <w:rPr>
      <w:sz w:val="20"/>
      <w:szCs w:val="20"/>
    </w:rPr>
  </w:style>
  <w:style w:type="character" w:customStyle="1" w:styleId="FootnoteTextChar">
    <w:name w:val="Footnote Text Char"/>
    <w:basedOn w:val="DefaultParagraphFont"/>
    <w:link w:val="FootnoteText"/>
    <w:semiHidden/>
    <w:rsid w:val="00D762F8"/>
    <w:rPr>
      <w:lang w:val="en-US" w:eastAsia="en-US"/>
    </w:rPr>
  </w:style>
  <w:style w:type="character" w:styleId="FootnoteReference">
    <w:name w:val="footnote reference"/>
    <w:basedOn w:val="DefaultParagraphFont"/>
    <w:semiHidden/>
    <w:unhideWhenUsed/>
    <w:rsid w:val="00D76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8092-CF07-4FF9-A884-3B7CAC4CF4BB}">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41FADA79-DFB3-46A1-BBF9-5EEC433FA6CD}">
  <ds:schemaRefs>
    <ds:schemaRef ds:uri="http://schemas.microsoft.com/sharepoint/v3/contenttype/forms"/>
  </ds:schemaRefs>
</ds:datastoreItem>
</file>

<file path=customXml/itemProps3.xml><?xml version="1.0" encoding="utf-8"?>
<ds:datastoreItem xmlns:ds="http://schemas.openxmlformats.org/officeDocument/2006/customXml" ds:itemID="{65E15534-6CF8-466D-8210-8A411F14F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BC744-C4C9-41A2-AA0B-A0752A32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34</Pages>
  <Words>16221</Words>
  <Characters>92466</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108471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Tamara Nikezić</cp:lastModifiedBy>
  <cp:revision>65</cp:revision>
  <cp:lastPrinted>2024-10-02T12:26:00Z</cp:lastPrinted>
  <dcterms:created xsi:type="dcterms:W3CDTF">2023-03-08T14:20:00Z</dcterms:created>
  <dcterms:modified xsi:type="dcterms:W3CDTF">2025-06-25T06:24:00Z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