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894893" w:rsidRDefault="002510A5" w:rsidP="00894893">
      <w:pPr>
        <w:widowControl w:val="0"/>
        <w:jc w:val="center"/>
        <w:rPr>
          <w:b/>
          <w:bCs/>
          <w:iCs/>
          <w:sz w:val="22"/>
          <w:szCs w:val="22"/>
          <w:u w:val="single"/>
          <w:lang w:val="sr-Latn-ME"/>
        </w:rPr>
      </w:pPr>
      <w:r w:rsidRPr="00894893">
        <w:rPr>
          <w:b/>
          <w:bCs/>
          <w:iCs/>
          <w:sz w:val="22"/>
          <w:szCs w:val="22"/>
          <w:u w:val="single"/>
          <w:lang w:val="sr-Latn-ME"/>
        </w:rPr>
        <w:t>SAŽETAK KARAKTERISTIKA LIJEKA</w:t>
      </w:r>
    </w:p>
    <w:p w:rsidR="002510A5" w:rsidRPr="00894893" w:rsidRDefault="002510A5" w:rsidP="00894893">
      <w:pPr>
        <w:widowControl w:val="0"/>
        <w:rPr>
          <w:b/>
          <w:bCs/>
          <w:i/>
          <w:iCs/>
          <w:sz w:val="22"/>
          <w:szCs w:val="22"/>
          <w:u w:val="single"/>
          <w:lang w:val="sr-Latn-ME"/>
        </w:rPr>
      </w:pPr>
    </w:p>
    <w:p w:rsidR="00C37FD7" w:rsidRPr="00894893" w:rsidRDefault="00C37FD7" w:rsidP="00894893">
      <w:pPr>
        <w:widowControl w:val="0"/>
        <w:tabs>
          <w:tab w:val="left" w:pos="540"/>
          <w:tab w:val="left" w:pos="569"/>
        </w:tabs>
        <w:rPr>
          <w:bCs/>
          <w:sz w:val="22"/>
          <w:szCs w:val="22"/>
          <w:lang w:val="sr-Latn-ME"/>
        </w:rPr>
      </w:pPr>
    </w:p>
    <w:p w:rsidR="00411B4B" w:rsidRPr="00894893" w:rsidRDefault="00411B4B" w:rsidP="00894893">
      <w:pPr>
        <w:widowControl w:val="0"/>
        <w:tabs>
          <w:tab w:val="left" w:pos="540"/>
          <w:tab w:val="left" w:pos="569"/>
        </w:tabs>
        <w:rPr>
          <w:b/>
          <w:bCs/>
          <w:sz w:val="22"/>
          <w:szCs w:val="22"/>
          <w:lang w:val="sr-Latn-ME"/>
        </w:rPr>
      </w:pPr>
      <w:r w:rsidRPr="00894893">
        <w:rPr>
          <w:b/>
          <w:bCs/>
          <w:sz w:val="22"/>
          <w:szCs w:val="22"/>
          <w:lang w:val="sr-Latn-ME"/>
        </w:rPr>
        <w:t>1.</w:t>
      </w:r>
      <w:r w:rsidR="00F5167F" w:rsidRPr="00894893">
        <w:rPr>
          <w:b/>
          <w:bCs/>
          <w:sz w:val="22"/>
          <w:szCs w:val="22"/>
          <w:lang w:val="sr-Latn-ME"/>
        </w:rPr>
        <w:tab/>
      </w:r>
      <w:r w:rsidR="002846DB" w:rsidRPr="00894893">
        <w:rPr>
          <w:b/>
          <w:bCs/>
          <w:sz w:val="22"/>
          <w:szCs w:val="22"/>
          <w:lang w:val="sr-Latn-ME"/>
        </w:rPr>
        <w:t xml:space="preserve">NAZIV </w:t>
      </w:r>
      <w:r w:rsidRPr="00894893">
        <w:rPr>
          <w:b/>
          <w:bCs/>
          <w:sz w:val="22"/>
          <w:szCs w:val="22"/>
          <w:lang w:val="sr-Latn-ME"/>
        </w:rPr>
        <w:t>LIJEKA</w:t>
      </w:r>
    </w:p>
    <w:p w:rsidR="00EC2532" w:rsidRPr="00894893" w:rsidRDefault="00EC2532" w:rsidP="00894893">
      <w:pPr>
        <w:widowControl w:val="0"/>
        <w:rPr>
          <w:sz w:val="22"/>
          <w:szCs w:val="22"/>
          <w:lang w:val="sr-Latn-ME"/>
        </w:rPr>
      </w:pPr>
    </w:p>
    <w:p w:rsidR="001975CB" w:rsidRPr="00894893" w:rsidRDefault="00D23EA2" w:rsidP="00F7502B">
      <w:pPr>
        <w:widowControl w:val="0"/>
        <w:jc w:val="both"/>
        <w:rPr>
          <w:sz w:val="22"/>
          <w:szCs w:val="22"/>
          <w:lang w:val="sr-Latn-ME"/>
        </w:rPr>
      </w:pPr>
      <w:r w:rsidRPr="00894893">
        <w:rPr>
          <w:bCs/>
          <w:sz w:val="22"/>
          <w:szCs w:val="22"/>
          <w:lang w:val="sr-Latn-ME"/>
        </w:rPr>
        <w:t>PK-Merz</w:t>
      </w:r>
      <w:r w:rsidR="001975CB" w:rsidRPr="00894893">
        <w:rPr>
          <w:sz w:val="22"/>
          <w:szCs w:val="22"/>
          <w:lang w:val="sr-Latn-ME"/>
        </w:rPr>
        <w:t>, 100 mg, film tablete</w:t>
      </w:r>
    </w:p>
    <w:p w:rsidR="000D425A" w:rsidRPr="00894893" w:rsidRDefault="000D425A" w:rsidP="00F7502B">
      <w:pPr>
        <w:widowControl w:val="0"/>
        <w:jc w:val="both"/>
        <w:rPr>
          <w:bCs/>
          <w:sz w:val="22"/>
          <w:szCs w:val="22"/>
          <w:lang w:val="sr-Latn-ME"/>
        </w:rPr>
      </w:pPr>
    </w:p>
    <w:p w:rsidR="006D20A5" w:rsidRPr="00894893" w:rsidRDefault="006D20A5" w:rsidP="00F7502B">
      <w:pPr>
        <w:widowControl w:val="0"/>
        <w:jc w:val="both"/>
        <w:rPr>
          <w:sz w:val="22"/>
          <w:szCs w:val="22"/>
          <w:lang w:val="sr-Latn-ME"/>
        </w:rPr>
      </w:pPr>
      <w:r w:rsidRPr="00894893">
        <w:rPr>
          <w:sz w:val="22"/>
          <w:szCs w:val="22"/>
          <w:lang w:val="sr-Latn-ME"/>
        </w:rPr>
        <w:t>INN:</w:t>
      </w:r>
      <w:r w:rsidR="001975CB" w:rsidRPr="00894893">
        <w:rPr>
          <w:sz w:val="22"/>
          <w:szCs w:val="22"/>
          <w:lang w:val="sr-Latn-ME"/>
        </w:rPr>
        <w:t xml:space="preserve"> amantadin</w:t>
      </w:r>
    </w:p>
    <w:p w:rsidR="006D20A5" w:rsidRPr="00894893" w:rsidRDefault="006D20A5" w:rsidP="00F7502B">
      <w:pPr>
        <w:widowControl w:val="0"/>
        <w:jc w:val="both"/>
        <w:rPr>
          <w:bCs/>
          <w:sz w:val="22"/>
          <w:szCs w:val="22"/>
          <w:lang w:val="sr-Latn-ME"/>
        </w:rPr>
      </w:pPr>
    </w:p>
    <w:p w:rsidR="00530BD7" w:rsidRPr="00894893" w:rsidRDefault="00530BD7" w:rsidP="00F7502B">
      <w:pPr>
        <w:widowControl w:val="0"/>
        <w:jc w:val="both"/>
        <w:rPr>
          <w:bCs/>
          <w:sz w:val="22"/>
          <w:szCs w:val="22"/>
          <w:lang w:val="sr-Latn-ME"/>
        </w:rPr>
      </w:pPr>
    </w:p>
    <w:p w:rsidR="00411B4B" w:rsidRPr="00894893" w:rsidRDefault="00411B4B" w:rsidP="00F7502B">
      <w:pPr>
        <w:widowControl w:val="0"/>
        <w:tabs>
          <w:tab w:val="left" w:pos="540"/>
          <w:tab w:val="left" w:pos="569"/>
        </w:tabs>
        <w:jc w:val="both"/>
        <w:rPr>
          <w:b/>
          <w:bCs/>
          <w:sz w:val="22"/>
          <w:szCs w:val="22"/>
          <w:lang w:val="sr-Latn-ME"/>
        </w:rPr>
      </w:pPr>
      <w:r w:rsidRPr="00894893">
        <w:rPr>
          <w:b/>
          <w:bCs/>
          <w:sz w:val="22"/>
          <w:szCs w:val="22"/>
          <w:lang w:val="sr-Latn-ME"/>
        </w:rPr>
        <w:t xml:space="preserve">2. </w:t>
      </w:r>
      <w:r w:rsidR="00F5167F" w:rsidRPr="00894893">
        <w:rPr>
          <w:b/>
          <w:bCs/>
          <w:sz w:val="22"/>
          <w:szCs w:val="22"/>
          <w:lang w:val="sr-Latn-ME"/>
        </w:rPr>
        <w:tab/>
      </w:r>
      <w:r w:rsidRPr="00894893">
        <w:rPr>
          <w:b/>
          <w:bCs/>
          <w:sz w:val="22"/>
          <w:szCs w:val="22"/>
          <w:lang w:val="sr-Latn-ME"/>
        </w:rPr>
        <w:t>KVALITATIVNI I KVANTITATIVNI SASTAV</w:t>
      </w:r>
    </w:p>
    <w:p w:rsidR="005A0B2E" w:rsidRPr="00894893" w:rsidRDefault="005A0B2E" w:rsidP="00F7502B">
      <w:pPr>
        <w:widowControl w:val="0"/>
        <w:jc w:val="both"/>
        <w:rPr>
          <w:sz w:val="22"/>
          <w:szCs w:val="22"/>
          <w:lang w:val="sr-Latn-ME"/>
        </w:rPr>
      </w:pPr>
    </w:p>
    <w:p w:rsidR="001975CB" w:rsidRPr="00894893" w:rsidRDefault="001975CB" w:rsidP="00F7502B">
      <w:pPr>
        <w:widowControl w:val="0"/>
        <w:jc w:val="both"/>
        <w:rPr>
          <w:sz w:val="22"/>
          <w:szCs w:val="22"/>
          <w:lang w:val="sr-Latn-ME"/>
        </w:rPr>
      </w:pPr>
      <w:r w:rsidRPr="00894893">
        <w:rPr>
          <w:sz w:val="22"/>
          <w:szCs w:val="22"/>
          <w:lang w:val="sr-Latn-ME"/>
        </w:rPr>
        <w:t xml:space="preserve">Jedna film tableta sadrži 100 mg </w:t>
      </w:r>
      <w:r w:rsidR="00894893">
        <w:rPr>
          <w:sz w:val="22"/>
          <w:szCs w:val="22"/>
          <w:lang w:val="sr-Latn-ME"/>
        </w:rPr>
        <w:t xml:space="preserve">amantadin </w:t>
      </w:r>
      <w:r w:rsidRPr="00894893">
        <w:rPr>
          <w:sz w:val="22"/>
          <w:szCs w:val="22"/>
          <w:lang w:val="sr-Latn-ME"/>
        </w:rPr>
        <w:t>sulfata.</w:t>
      </w:r>
    </w:p>
    <w:p w:rsidR="001975CB" w:rsidRPr="00894893" w:rsidRDefault="001975CB" w:rsidP="00F7502B">
      <w:pPr>
        <w:widowControl w:val="0"/>
        <w:jc w:val="both"/>
        <w:rPr>
          <w:sz w:val="22"/>
          <w:szCs w:val="22"/>
          <w:lang w:val="sr-Latn-ME"/>
        </w:rPr>
      </w:pPr>
    </w:p>
    <w:p w:rsidR="001975CB" w:rsidRPr="00894893" w:rsidRDefault="001975CB" w:rsidP="00F7502B">
      <w:pPr>
        <w:widowControl w:val="0"/>
        <w:jc w:val="both"/>
        <w:rPr>
          <w:sz w:val="22"/>
          <w:szCs w:val="22"/>
          <w:lang w:val="sr-Latn-ME"/>
        </w:rPr>
      </w:pPr>
      <w:r w:rsidRPr="00894893">
        <w:rPr>
          <w:sz w:val="22"/>
          <w:szCs w:val="22"/>
          <w:lang w:val="sr-Latn-ME"/>
        </w:rPr>
        <w:t>Pomoćne supstance sa potvrđenim dejstvom: laktoza, monohidrat; boja Yellow orange lacquer (E110).</w:t>
      </w:r>
    </w:p>
    <w:p w:rsidR="001975CB" w:rsidRPr="00894893" w:rsidRDefault="001975CB" w:rsidP="00F7502B">
      <w:pPr>
        <w:widowControl w:val="0"/>
        <w:jc w:val="both"/>
        <w:rPr>
          <w:sz w:val="22"/>
          <w:szCs w:val="22"/>
          <w:lang w:val="sr-Latn-ME"/>
        </w:rPr>
      </w:pPr>
      <w:r w:rsidRPr="00894893">
        <w:rPr>
          <w:sz w:val="22"/>
          <w:szCs w:val="22"/>
          <w:lang w:val="sr-Latn-ME"/>
        </w:rPr>
        <w:t>Jedna film tableta sadrži 108,4 mg laktoze, monohidrata.</w:t>
      </w:r>
    </w:p>
    <w:p w:rsidR="001975CB" w:rsidRPr="00894893" w:rsidRDefault="001975CB" w:rsidP="00F7502B">
      <w:pPr>
        <w:widowControl w:val="0"/>
        <w:jc w:val="both"/>
        <w:rPr>
          <w:sz w:val="22"/>
          <w:szCs w:val="22"/>
          <w:lang w:val="sr-Latn-ME"/>
        </w:rPr>
      </w:pPr>
      <w:r w:rsidRPr="00894893">
        <w:rPr>
          <w:sz w:val="22"/>
          <w:szCs w:val="22"/>
          <w:lang w:val="sr-Latn-ME"/>
        </w:rPr>
        <w:t>Za spisak svih ekscipijenasa, pogledati dio 6.1.</w:t>
      </w:r>
    </w:p>
    <w:p w:rsidR="0003793F" w:rsidRPr="00894893" w:rsidRDefault="0003793F" w:rsidP="00F7502B">
      <w:pPr>
        <w:widowControl w:val="0"/>
        <w:jc w:val="both"/>
        <w:rPr>
          <w:sz w:val="22"/>
          <w:szCs w:val="22"/>
          <w:lang w:val="sr-Latn-ME"/>
        </w:rPr>
      </w:pPr>
    </w:p>
    <w:p w:rsidR="00C37FD7" w:rsidRPr="00894893" w:rsidRDefault="00C37FD7" w:rsidP="00F7502B">
      <w:pPr>
        <w:widowControl w:val="0"/>
        <w:jc w:val="both"/>
        <w:rPr>
          <w:sz w:val="22"/>
          <w:szCs w:val="22"/>
          <w:lang w:val="sr-Latn-ME"/>
        </w:rPr>
      </w:pPr>
    </w:p>
    <w:p w:rsidR="00411B4B" w:rsidRPr="00894893" w:rsidRDefault="00411B4B" w:rsidP="00F7502B">
      <w:pPr>
        <w:widowControl w:val="0"/>
        <w:tabs>
          <w:tab w:val="left" w:pos="540"/>
          <w:tab w:val="left" w:pos="569"/>
        </w:tabs>
        <w:jc w:val="both"/>
        <w:rPr>
          <w:b/>
          <w:bCs/>
          <w:sz w:val="22"/>
          <w:szCs w:val="22"/>
          <w:lang w:val="sr-Latn-ME"/>
        </w:rPr>
      </w:pPr>
      <w:r w:rsidRPr="00894893">
        <w:rPr>
          <w:b/>
          <w:bCs/>
          <w:sz w:val="22"/>
          <w:szCs w:val="22"/>
          <w:lang w:val="sr-Latn-ME"/>
        </w:rPr>
        <w:t xml:space="preserve">3. </w:t>
      </w:r>
      <w:r w:rsidR="00F5167F" w:rsidRPr="00894893">
        <w:rPr>
          <w:b/>
          <w:bCs/>
          <w:sz w:val="22"/>
          <w:szCs w:val="22"/>
          <w:lang w:val="sr-Latn-ME"/>
        </w:rPr>
        <w:tab/>
      </w:r>
      <w:r w:rsidRPr="00894893">
        <w:rPr>
          <w:b/>
          <w:bCs/>
          <w:sz w:val="22"/>
          <w:szCs w:val="22"/>
          <w:lang w:val="sr-Latn-ME"/>
        </w:rPr>
        <w:t>FARMACEUTSKI OBLIK</w:t>
      </w:r>
      <w:r w:rsidR="009F2D23" w:rsidRPr="00894893">
        <w:rPr>
          <w:b/>
          <w:bCs/>
          <w:sz w:val="22"/>
          <w:szCs w:val="22"/>
          <w:lang w:val="sr-Latn-ME"/>
        </w:rPr>
        <w:t xml:space="preserve"> </w:t>
      </w:r>
    </w:p>
    <w:p w:rsidR="00411B4B" w:rsidRPr="00894893" w:rsidRDefault="00411B4B" w:rsidP="00F7502B">
      <w:pPr>
        <w:widowControl w:val="0"/>
        <w:jc w:val="both"/>
        <w:rPr>
          <w:bCs/>
          <w:sz w:val="22"/>
          <w:szCs w:val="22"/>
          <w:lang w:val="sr-Latn-ME"/>
        </w:rPr>
      </w:pPr>
    </w:p>
    <w:p w:rsidR="001975CB" w:rsidRPr="00894893" w:rsidRDefault="001975CB" w:rsidP="00F7502B">
      <w:pPr>
        <w:widowControl w:val="0"/>
        <w:jc w:val="both"/>
        <w:rPr>
          <w:bCs/>
          <w:sz w:val="22"/>
          <w:szCs w:val="22"/>
          <w:lang w:val="sr-Latn-ME"/>
        </w:rPr>
      </w:pPr>
      <w:r w:rsidRPr="00894893">
        <w:rPr>
          <w:bCs/>
          <w:sz w:val="22"/>
          <w:szCs w:val="22"/>
          <w:lang w:val="sr-Latn-ME"/>
        </w:rPr>
        <w:t>Film tableta.</w:t>
      </w:r>
    </w:p>
    <w:p w:rsidR="001975CB" w:rsidRPr="00894893" w:rsidRDefault="001975CB" w:rsidP="00F7502B">
      <w:pPr>
        <w:widowControl w:val="0"/>
        <w:jc w:val="both"/>
        <w:rPr>
          <w:bCs/>
          <w:sz w:val="22"/>
          <w:szCs w:val="22"/>
          <w:lang w:val="sr-Latn-ME"/>
        </w:rPr>
      </w:pPr>
    </w:p>
    <w:p w:rsidR="001975CB" w:rsidRPr="00894893" w:rsidRDefault="001975CB" w:rsidP="00F7502B">
      <w:pPr>
        <w:widowControl w:val="0"/>
        <w:jc w:val="both"/>
        <w:rPr>
          <w:bCs/>
          <w:sz w:val="22"/>
          <w:szCs w:val="22"/>
          <w:lang w:val="sr-Latn-ME"/>
        </w:rPr>
      </w:pPr>
      <w:r w:rsidRPr="00894893">
        <w:rPr>
          <w:bCs/>
          <w:sz w:val="22"/>
          <w:szCs w:val="22"/>
          <w:lang w:val="sr-Latn-ME"/>
        </w:rPr>
        <w:t>Okrugle, bikonveksne film tablete, narandžaste boje, sa usjekom na jednoj strani.</w:t>
      </w:r>
    </w:p>
    <w:p w:rsidR="001975CB" w:rsidRPr="00894893" w:rsidRDefault="001975CB" w:rsidP="00F7502B">
      <w:pPr>
        <w:widowControl w:val="0"/>
        <w:jc w:val="both"/>
        <w:rPr>
          <w:bCs/>
          <w:sz w:val="22"/>
          <w:szCs w:val="22"/>
          <w:lang w:val="sr-Latn-ME"/>
        </w:rPr>
      </w:pPr>
      <w:r w:rsidRPr="00894893">
        <w:rPr>
          <w:bCs/>
          <w:sz w:val="22"/>
          <w:szCs w:val="22"/>
          <w:lang w:val="sr-Latn-ME"/>
        </w:rPr>
        <w:t>Tableta nije namjenjena za dijeljenje.</w:t>
      </w:r>
    </w:p>
    <w:p w:rsidR="00EC2532" w:rsidRDefault="00EC2532" w:rsidP="00F7502B">
      <w:pPr>
        <w:widowControl w:val="0"/>
        <w:jc w:val="both"/>
        <w:rPr>
          <w:bCs/>
          <w:sz w:val="22"/>
          <w:szCs w:val="22"/>
          <w:lang w:val="sr-Latn-ME"/>
        </w:rPr>
      </w:pPr>
    </w:p>
    <w:p w:rsidR="00894893" w:rsidRPr="00894893" w:rsidRDefault="00894893" w:rsidP="00F7502B">
      <w:pPr>
        <w:widowControl w:val="0"/>
        <w:jc w:val="both"/>
        <w:rPr>
          <w:bCs/>
          <w:sz w:val="22"/>
          <w:szCs w:val="22"/>
          <w:lang w:val="sr-Latn-ME"/>
        </w:rPr>
      </w:pPr>
    </w:p>
    <w:p w:rsidR="00411B4B" w:rsidRPr="00894893" w:rsidRDefault="00411B4B" w:rsidP="00F7502B">
      <w:pPr>
        <w:widowControl w:val="0"/>
        <w:tabs>
          <w:tab w:val="left" w:pos="540"/>
          <w:tab w:val="left" w:pos="569"/>
        </w:tabs>
        <w:jc w:val="both"/>
        <w:rPr>
          <w:b/>
          <w:bCs/>
          <w:sz w:val="22"/>
          <w:szCs w:val="22"/>
          <w:lang w:val="sr-Latn-ME"/>
        </w:rPr>
      </w:pPr>
      <w:r w:rsidRPr="00894893">
        <w:rPr>
          <w:b/>
          <w:bCs/>
          <w:sz w:val="22"/>
          <w:szCs w:val="22"/>
          <w:lang w:val="sr-Latn-ME"/>
        </w:rPr>
        <w:t xml:space="preserve">4. </w:t>
      </w:r>
      <w:r w:rsidR="00480FB1" w:rsidRPr="00894893">
        <w:rPr>
          <w:b/>
          <w:bCs/>
          <w:sz w:val="22"/>
          <w:szCs w:val="22"/>
          <w:lang w:val="sr-Latn-ME"/>
        </w:rPr>
        <w:tab/>
      </w:r>
      <w:r w:rsidRPr="00894893">
        <w:rPr>
          <w:b/>
          <w:bCs/>
          <w:sz w:val="22"/>
          <w:szCs w:val="22"/>
          <w:lang w:val="sr-Latn-ME"/>
        </w:rPr>
        <w:t>KLINIČKI PODACI</w:t>
      </w:r>
    </w:p>
    <w:p w:rsidR="00CD6F02" w:rsidRPr="00894893" w:rsidRDefault="00CD6F02" w:rsidP="00F7502B">
      <w:pPr>
        <w:widowControl w:val="0"/>
        <w:tabs>
          <w:tab w:val="left" w:pos="540"/>
          <w:tab w:val="left" w:pos="569"/>
        </w:tabs>
        <w:jc w:val="both"/>
        <w:rPr>
          <w:bCs/>
          <w:sz w:val="22"/>
          <w:szCs w:val="22"/>
          <w:lang w:val="sr-Latn-ME"/>
        </w:rPr>
      </w:pPr>
    </w:p>
    <w:p w:rsidR="001975CB" w:rsidRPr="00894893" w:rsidRDefault="001975CB" w:rsidP="00F7502B">
      <w:pPr>
        <w:widowControl w:val="0"/>
        <w:tabs>
          <w:tab w:val="left" w:pos="540"/>
          <w:tab w:val="left" w:pos="569"/>
        </w:tabs>
        <w:jc w:val="both"/>
        <w:rPr>
          <w:b/>
          <w:bCs/>
          <w:sz w:val="22"/>
          <w:szCs w:val="22"/>
          <w:lang w:val="sr-Latn-ME"/>
        </w:rPr>
      </w:pPr>
      <w:r w:rsidRPr="00894893">
        <w:rPr>
          <w:b/>
          <w:bCs/>
          <w:sz w:val="22"/>
          <w:szCs w:val="22"/>
          <w:lang w:val="sr-Latn-ME"/>
        </w:rPr>
        <w:t xml:space="preserve">4.1. </w:t>
      </w:r>
      <w:r w:rsidRPr="00894893">
        <w:rPr>
          <w:b/>
          <w:bCs/>
          <w:sz w:val="22"/>
          <w:szCs w:val="22"/>
          <w:lang w:val="sr-Latn-ME"/>
        </w:rPr>
        <w:tab/>
        <w:t>Terapijske indikacije</w:t>
      </w:r>
    </w:p>
    <w:p w:rsidR="001975CB" w:rsidRPr="00894893" w:rsidRDefault="001975CB" w:rsidP="00F7502B">
      <w:pPr>
        <w:widowControl w:val="0"/>
        <w:tabs>
          <w:tab w:val="left" w:pos="540"/>
          <w:tab w:val="left" w:pos="569"/>
        </w:tabs>
        <w:jc w:val="both"/>
        <w:rPr>
          <w:b/>
          <w:bCs/>
          <w:sz w:val="22"/>
          <w:szCs w:val="22"/>
          <w:lang w:val="sr-Latn-ME"/>
        </w:rPr>
      </w:pPr>
    </w:p>
    <w:p w:rsidR="001975CB" w:rsidRPr="00894893" w:rsidRDefault="001975CB" w:rsidP="00F7502B">
      <w:pPr>
        <w:widowControl w:val="0"/>
        <w:jc w:val="both"/>
        <w:rPr>
          <w:sz w:val="22"/>
          <w:szCs w:val="22"/>
          <w:lang w:val="sr-Latn-ME"/>
        </w:rPr>
      </w:pPr>
      <w:r w:rsidRPr="00894893">
        <w:rPr>
          <w:sz w:val="22"/>
          <w:szCs w:val="22"/>
          <w:lang w:val="sr-Latn-ME"/>
        </w:rPr>
        <w:t>Lijek PK-Merz, film tablete, je indikovan kod:</w:t>
      </w:r>
    </w:p>
    <w:p w:rsidR="006716D5" w:rsidRPr="006716D5" w:rsidRDefault="001975CB" w:rsidP="00F7502B">
      <w:pPr>
        <w:pStyle w:val="Header"/>
        <w:widowControl w:val="0"/>
        <w:numPr>
          <w:ilvl w:val="0"/>
          <w:numId w:val="12"/>
        </w:numPr>
        <w:tabs>
          <w:tab w:val="clear" w:pos="4320"/>
          <w:tab w:val="clear" w:pos="8640"/>
          <w:tab w:val="left" w:pos="284"/>
        </w:tabs>
        <w:ind w:left="714" w:hanging="357"/>
        <w:jc w:val="both"/>
        <w:rPr>
          <w:sz w:val="22"/>
          <w:szCs w:val="22"/>
          <w:lang w:val="sr-Latn-ME"/>
        </w:rPr>
      </w:pPr>
      <w:r w:rsidRPr="00894893">
        <w:rPr>
          <w:sz w:val="22"/>
          <w:szCs w:val="22"/>
          <w:lang w:val="sr-Latn-ME"/>
        </w:rPr>
        <w:t>Parkinsonovog sindroma</w:t>
      </w:r>
      <w:r w:rsidR="006716D5">
        <w:rPr>
          <w:sz w:val="22"/>
          <w:szCs w:val="22"/>
          <w:lang w:val="sr-Latn-ME"/>
        </w:rPr>
        <w:t>:</w:t>
      </w:r>
    </w:p>
    <w:p w:rsidR="001975CB" w:rsidRPr="00894893" w:rsidRDefault="001975CB" w:rsidP="00F7502B">
      <w:pPr>
        <w:pStyle w:val="Header"/>
        <w:widowControl w:val="0"/>
        <w:tabs>
          <w:tab w:val="left" w:pos="284"/>
        </w:tabs>
        <w:ind w:left="714"/>
        <w:jc w:val="both"/>
        <w:rPr>
          <w:sz w:val="22"/>
          <w:szCs w:val="22"/>
          <w:lang w:val="sr-Latn-ME"/>
        </w:rPr>
      </w:pPr>
      <w:r w:rsidRPr="00894893">
        <w:rPr>
          <w:sz w:val="22"/>
          <w:szCs w:val="22"/>
          <w:lang w:val="sr-Latn-ME"/>
        </w:rPr>
        <w:t>Terapija simptoma Parkinsonove bolesti kao što su: rigor, tremor, hipokinezija i akinezija.</w:t>
      </w:r>
    </w:p>
    <w:p w:rsidR="001975CB" w:rsidRPr="00894893" w:rsidRDefault="001975CB" w:rsidP="00F7502B">
      <w:pPr>
        <w:pStyle w:val="Header"/>
        <w:widowControl w:val="0"/>
        <w:numPr>
          <w:ilvl w:val="0"/>
          <w:numId w:val="12"/>
        </w:numPr>
        <w:tabs>
          <w:tab w:val="clear" w:pos="4320"/>
          <w:tab w:val="clear" w:pos="8640"/>
          <w:tab w:val="left" w:pos="284"/>
        </w:tabs>
        <w:ind w:left="714" w:hanging="357"/>
        <w:jc w:val="both"/>
        <w:rPr>
          <w:sz w:val="22"/>
          <w:szCs w:val="22"/>
          <w:lang w:val="sr-Latn-ME"/>
        </w:rPr>
      </w:pPr>
      <w:r w:rsidRPr="00894893">
        <w:rPr>
          <w:sz w:val="22"/>
          <w:szCs w:val="22"/>
          <w:lang w:val="sr-Latn-ME"/>
        </w:rPr>
        <w:t>Neželjenih ekstrapiramidalnih dejstava neuroleptika i drugih ljekova sa sličnim mehanizmom dejstva, kao što su: rana diskinezija, akatizija i parkinsonizam.</w:t>
      </w:r>
    </w:p>
    <w:p w:rsidR="00411B4B" w:rsidRPr="00894893" w:rsidRDefault="00411B4B" w:rsidP="00F7502B">
      <w:pPr>
        <w:widowControl w:val="0"/>
        <w:tabs>
          <w:tab w:val="left" w:pos="540"/>
          <w:tab w:val="left" w:pos="569"/>
        </w:tabs>
        <w:jc w:val="both"/>
        <w:rPr>
          <w:bCs/>
          <w:sz w:val="22"/>
          <w:szCs w:val="22"/>
          <w:lang w:val="sr-Latn-ME"/>
        </w:rPr>
      </w:pPr>
    </w:p>
    <w:p w:rsidR="00411B4B" w:rsidRPr="00894893" w:rsidRDefault="00411B4B" w:rsidP="00F7502B">
      <w:pPr>
        <w:widowControl w:val="0"/>
        <w:tabs>
          <w:tab w:val="left" w:pos="540"/>
          <w:tab w:val="left" w:pos="569"/>
        </w:tabs>
        <w:jc w:val="both"/>
        <w:rPr>
          <w:b/>
          <w:bCs/>
          <w:sz w:val="22"/>
          <w:szCs w:val="22"/>
          <w:lang w:val="sr-Latn-ME"/>
        </w:rPr>
      </w:pPr>
      <w:r w:rsidRPr="00894893">
        <w:rPr>
          <w:b/>
          <w:bCs/>
          <w:sz w:val="22"/>
          <w:szCs w:val="22"/>
          <w:lang w:val="sr-Latn-ME"/>
        </w:rPr>
        <w:t xml:space="preserve">4.2. </w:t>
      </w:r>
      <w:r w:rsidR="00480FB1" w:rsidRPr="00894893">
        <w:rPr>
          <w:b/>
          <w:bCs/>
          <w:sz w:val="22"/>
          <w:szCs w:val="22"/>
          <w:lang w:val="sr-Latn-ME"/>
        </w:rPr>
        <w:tab/>
      </w:r>
      <w:r w:rsidRPr="00894893">
        <w:rPr>
          <w:b/>
          <w:bCs/>
          <w:sz w:val="22"/>
          <w:szCs w:val="22"/>
          <w:lang w:val="sr-Latn-ME"/>
        </w:rPr>
        <w:t>Doziranje i način primjene</w:t>
      </w:r>
    </w:p>
    <w:p w:rsidR="0072020E" w:rsidRPr="00894893" w:rsidRDefault="0072020E" w:rsidP="00F7502B">
      <w:pPr>
        <w:widowControl w:val="0"/>
        <w:tabs>
          <w:tab w:val="left" w:pos="540"/>
          <w:tab w:val="left" w:pos="569"/>
        </w:tabs>
        <w:jc w:val="both"/>
        <w:rPr>
          <w:bCs/>
          <w:sz w:val="22"/>
          <w:szCs w:val="22"/>
          <w:lang w:val="sr-Latn-ME"/>
        </w:rPr>
      </w:pPr>
    </w:p>
    <w:p w:rsidR="001975CB" w:rsidRPr="00894893" w:rsidRDefault="001975CB" w:rsidP="00F7502B">
      <w:pPr>
        <w:pStyle w:val="Header"/>
        <w:widowControl w:val="0"/>
        <w:tabs>
          <w:tab w:val="left" w:pos="284"/>
        </w:tabs>
        <w:jc w:val="both"/>
        <w:rPr>
          <w:b/>
          <w:bCs/>
          <w:sz w:val="22"/>
          <w:szCs w:val="22"/>
          <w:lang w:val="sr-Latn-ME"/>
        </w:rPr>
      </w:pPr>
      <w:r w:rsidRPr="00894893">
        <w:rPr>
          <w:sz w:val="22"/>
          <w:szCs w:val="22"/>
          <w:u w:val="single"/>
          <w:lang w:val="sr-Latn-ME"/>
        </w:rPr>
        <w:t>Doziranje</w:t>
      </w:r>
    </w:p>
    <w:p w:rsidR="001975CB" w:rsidRPr="00894893" w:rsidRDefault="001975CB" w:rsidP="00F7502B">
      <w:pPr>
        <w:pStyle w:val="Header"/>
        <w:widowControl w:val="0"/>
        <w:tabs>
          <w:tab w:val="left" w:pos="284"/>
        </w:tabs>
        <w:jc w:val="both"/>
        <w:rPr>
          <w:b/>
          <w:bCs/>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Prije početka terapije, a zatim poslije 1. i 3. nedjelje nakon započinjanja terapije, kao i nakon promjene doze, potrebno je snimiti EKG (50 mm/s) (Oprez! Ventrikularna tahikardija</w:t>
      </w:r>
      <w:r w:rsidR="002A3101">
        <w:rPr>
          <w:sz w:val="22"/>
          <w:szCs w:val="22"/>
          <w:lang w:val="sr-Latn-ME"/>
        </w:rPr>
        <w:t>),</w:t>
      </w:r>
      <w:r w:rsidRPr="00894893">
        <w:rPr>
          <w:sz w:val="22"/>
          <w:szCs w:val="22"/>
          <w:lang w:val="sr-Latn-ME"/>
        </w:rPr>
        <w:t xml:space="preserve"> vidjeti </w:t>
      </w:r>
      <w:r w:rsidR="00F07252" w:rsidRPr="00894893">
        <w:rPr>
          <w:sz w:val="22"/>
          <w:szCs w:val="22"/>
          <w:lang w:val="sr-Latn-ME"/>
        </w:rPr>
        <w:t xml:space="preserve">dio </w:t>
      </w:r>
      <w:r w:rsidRPr="00894893">
        <w:rPr>
          <w:sz w:val="22"/>
          <w:szCs w:val="22"/>
          <w:lang w:val="sr-Latn-ME"/>
        </w:rPr>
        <w:t>4.4.</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Kod Parkinsonove bolesti i medikamentozno uzrokovanih poremećaja pokreta, terapija se uvodi postepeno, pri čemu se doza prilagođava prema postignutom terapijskom efektu. </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Liječenje treba započeti dozom od 1 PK-Merz, film tablete od 100 mg jednom dnevno (što odgovara 100 mg </w:t>
      </w:r>
      <w:r w:rsidR="00894893">
        <w:rPr>
          <w:sz w:val="22"/>
          <w:szCs w:val="22"/>
          <w:lang w:val="sr-Latn-ME"/>
        </w:rPr>
        <w:t xml:space="preserve">amantadin </w:t>
      </w:r>
      <w:r w:rsidRPr="00894893">
        <w:rPr>
          <w:sz w:val="22"/>
          <w:szCs w:val="22"/>
          <w:lang w:val="sr-Latn-ME"/>
        </w:rPr>
        <w:t>sulfata dnevno) tokom prvih 4 do 7 dana, a zatim se doza povećava nedjeljno sa po 1 tabletom, do postizanja doze održavanja.</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Uobičajena dnevna doza je 1 do 3 PK-Merz, film tablete od 100 mg, dva puta dnevno (što odgovara 200 – 600 mg </w:t>
      </w:r>
      <w:r w:rsidR="00894893">
        <w:rPr>
          <w:sz w:val="22"/>
          <w:szCs w:val="22"/>
          <w:lang w:val="sr-Latn-ME"/>
        </w:rPr>
        <w:t xml:space="preserve">amantadin </w:t>
      </w:r>
      <w:r w:rsidRPr="00894893">
        <w:rPr>
          <w:sz w:val="22"/>
          <w:szCs w:val="22"/>
          <w:lang w:val="sr-Latn-ME"/>
        </w:rPr>
        <w:t>sulfata dnevno).</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i/>
          <w:iCs/>
          <w:sz w:val="22"/>
          <w:szCs w:val="22"/>
          <w:lang w:val="sr-Latn-ME"/>
        </w:rPr>
      </w:pPr>
      <w:r w:rsidRPr="00894893">
        <w:rPr>
          <w:i/>
          <w:iCs/>
          <w:sz w:val="22"/>
          <w:szCs w:val="22"/>
          <w:lang w:val="sr-Latn-ME"/>
        </w:rPr>
        <w:t>Stariji pacijenti</w:t>
      </w:r>
    </w:p>
    <w:p w:rsidR="001975CB" w:rsidRPr="00894893" w:rsidRDefault="001975CB" w:rsidP="00F7502B">
      <w:pPr>
        <w:pStyle w:val="Header"/>
        <w:widowControl w:val="0"/>
        <w:jc w:val="both"/>
        <w:rPr>
          <w:bCs/>
          <w:sz w:val="22"/>
          <w:szCs w:val="22"/>
          <w:lang w:val="sr-Latn-ME"/>
        </w:rPr>
      </w:pPr>
      <w:r w:rsidRPr="00894893">
        <w:rPr>
          <w:bCs/>
          <w:sz w:val="22"/>
          <w:szCs w:val="22"/>
          <w:lang w:val="sr-Latn-ME"/>
        </w:rPr>
        <w:t>Kod starijih pacijenata, posebno onih sa stanjem agitacije i konfuzije ili sindromom delirijuma, liječenje treba započeti manjom dozom*.</w:t>
      </w:r>
    </w:p>
    <w:p w:rsidR="001975CB" w:rsidRPr="00894893" w:rsidRDefault="001975CB" w:rsidP="00F7502B">
      <w:pPr>
        <w:pStyle w:val="Header"/>
        <w:widowControl w:val="0"/>
        <w:jc w:val="both"/>
        <w:rPr>
          <w:bCs/>
          <w:sz w:val="22"/>
          <w:szCs w:val="22"/>
          <w:lang w:val="sr-Latn-ME"/>
        </w:rPr>
      </w:pPr>
      <w:r w:rsidRPr="00E84E99">
        <w:rPr>
          <w:bCs/>
          <w:sz w:val="22"/>
          <w:szCs w:val="22"/>
          <w:lang w:val="sr-Latn-ME"/>
        </w:rPr>
        <w:t>*Tabletama lijeka PK-Merz se ne mogu postići fiksne doze niže od 100 mg, uzimajući u obzir da se tableta ne može podijeliti na jednake doze.</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i/>
          <w:iCs/>
          <w:sz w:val="22"/>
          <w:szCs w:val="22"/>
          <w:lang w:val="sr-Latn-ME"/>
        </w:rPr>
      </w:pPr>
      <w:r w:rsidRPr="00894893">
        <w:rPr>
          <w:i/>
          <w:iCs/>
          <w:sz w:val="22"/>
          <w:szCs w:val="22"/>
          <w:lang w:val="sr-Latn-ME"/>
        </w:rPr>
        <w:lastRenderedPageBreak/>
        <w:t>Kombinovana terapija</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Ukoliko se daje u kombinovanoj terapiji sa drugim antiparkinsonicima, doziranje se prilagođava individualno.</w:t>
      </w:r>
    </w:p>
    <w:p w:rsidR="001975CB" w:rsidRPr="00894893" w:rsidRDefault="001975CB" w:rsidP="00F7502B">
      <w:pPr>
        <w:widowControl w:val="0"/>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Kod pacijenata koji su prethodno primali amantadin u obliku rastvora za infuziju, može se odabrati veća početna doza.     </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Kod akutnog pogoršanja simptoma parkinsonizma, u obliku akinetičke krize, treba prim</w:t>
      </w:r>
      <w:r w:rsidR="003B116D">
        <w:rPr>
          <w:sz w:val="22"/>
          <w:szCs w:val="22"/>
          <w:lang w:val="sr-Latn-ME"/>
        </w:rPr>
        <w:t>i</w:t>
      </w:r>
      <w:r w:rsidRPr="00894893">
        <w:rPr>
          <w:sz w:val="22"/>
          <w:szCs w:val="22"/>
          <w:lang w:val="sr-Latn-ME"/>
        </w:rPr>
        <w:t>jeniti infuzioni rastvor amantadina.</w:t>
      </w:r>
    </w:p>
    <w:p w:rsidR="001975CB" w:rsidRPr="00894893" w:rsidRDefault="001975CB" w:rsidP="00F7502B">
      <w:pPr>
        <w:pStyle w:val="Header"/>
        <w:widowControl w:val="0"/>
        <w:tabs>
          <w:tab w:val="left" w:pos="284"/>
        </w:tabs>
        <w:jc w:val="both"/>
        <w:rPr>
          <w:i/>
          <w:sz w:val="22"/>
          <w:szCs w:val="22"/>
          <w:lang w:val="sr-Latn-ME"/>
        </w:rPr>
      </w:pPr>
    </w:p>
    <w:p w:rsidR="001975CB" w:rsidRPr="00894893" w:rsidRDefault="001975CB" w:rsidP="00F7502B">
      <w:pPr>
        <w:pStyle w:val="Header"/>
        <w:widowControl w:val="0"/>
        <w:tabs>
          <w:tab w:val="left" w:pos="284"/>
        </w:tabs>
        <w:jc w:val="both"/>
        <w:rPr>
          <w:i/>
          <w:sz w:val="22"/>
          <w:szCs w:val="22"/>
          <w:lang w:val="sr-Latn-ME"/>
        </w:rPr>
      </w:pPr>
      <w:r w:rsidRPr="00894893">
        <w:rPr>
          <w:i/>
          <w:sz w:val="22"/>
          <w:szCs w:val="22"/>
          <w:lang w:val="sr-Latn-ME"/>
        </w:rPr>
        <w:t>Doziranje kod pacijenata sa oštećenjem funkcije bubrega</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Kod pacijenata sa oštećenjem funkcije bubrega doziranje treba prilagoditi stepenu smanjenja bubrežnog klirensa (mjerenom kao brzina glomerularne filtracije, (engl. </w:t>
      </w:r>
      <w:r w:rsidRPr="00894893">
        <w:rPr>
          <w:i/>
          <w:sz w:val="22"/>
          <w:szCs w:val="22"/>
          <w:lang w:val="sr-Latn-ME"/>
        </w:rPr>
        <w:t>glomerular filtration rate</w:t>
      </w:r>
      <w:r w:rsidRPr="00894893">
        <w:rPr>
          <w:sz w:val="22"/>
          <w:szCs w:val="22"/>
          <w:lang w:val="sr-Latn-ME"/>
        </w:rPr>
        <w:t>, GFR)), kao što je prikazano u tabeli u nastavku:</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GFR                                                           Doza                                                  Interval doziranja </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w:t>
      </w:r>
      <w:r w:rsidR="00894893">
        <w:rPr>
          <w:sz w:val="22"/>
          <w:szCs w:val="22"/>
          <w:lang w:val="sr-Latn-ME"/>
        </w:rPr>
        <w:t>ml</w:t>
      </w:r>
      <w:r w:rsidRPr="00894893">
        <w:rPr>
          <w:sz w:val="22"/>
          <w:szCs w:val="22"/>
          <w:lang w:val="sr-Latn-ME"/>
        </w:rPr>
        <w:t xml:space="preserve">/min)                                     </w:t>
      </w:r>
      <w:r w:rsidRPr="00894893">
        <w:rPr>
          <w:sz w:val="22"/>
          <w:szCs w:val="22"/>
          <w:lang w:val="sr-Latn-ME"/>
        </w:rPr>
        <w:tab/>
      </w:r>
      <w:r w:rsidRPr="00894893">
        <w:rPr>
          <w:sz w:val="22"/>
          <w:szCs w:val="22"/>
          <w:lang w:val="sr-Latn-ME"/>
        </w:rPr>
        <w:tab/>
      </w:r>
      <w:r w:rsidRPr="00894893">
        <w:rPr>
          <w:sz w:val="22"/>
          <w:szCs w:val="22"/>
          <w:lang w:val="sr-Latn-ME"/>
        </w:rPr>
        <w:tab/>
      </w:r>
      <w:r w:rsidRPr="00894893">
        <w:rPr>
          <w:sz w:val="22"/>
          <w:szCs w:val="22"/>
          <w:lang w:val="sr-Latn-ME"/>
        </w:rPr>
        <w:tab/>
      </w:r>
      <w:r w:rsidRPr="00894893">
        <w:rPr>
          <w:sz w:val="22"/>
          <w:szCs w:val="22"/>
          <w:lang w:val="sr-Latn-ME"/>
        </w:rPr>
        <w:tab/>
        <w:t xml:space="preserve">       (</w:t>
      </w:r>
      <w:r w:rsidR="00894893">
        <w:rPr>
          <w:sz w:val="22"/>
          <w:szCs w:val="22"/>
          <w:lang w:val="sr-Latn-ME"/>
        </w:rPr>
        <w:t xml:space="preserve">amantadin </w:t>
      </w:r>
      <w:r w:rsidRPr="00894893">
        <w:rPr>
          <w:sz w:val="22"/>
          <w:szCs w:val="22"/>
          <w:lang w:val="sr-Latn-ME"/>
        </w:rPr>
        <w:t>sulfat)</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_______________________________________________________________________________________                                                                                                </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80 – 60                                                        100 mg                                                 svakih 12 sati</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60 – 50                                                  200 mg i 100 mg*                      naizmjenično svakog drugog</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                                                                                                                                     dana*</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50 – 30                                                        100 mg                                              jednom dnevno</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30 – 20                                                        200 mg                                             dvaput nedjeljno</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20 – 10                                                        100 mg                                               triput nedjeljno</w:t>
      </w:r>
    </w:p>
    <w:p w:rsidR="001975CB" w:rsidRPr="00894893" w:rsidRDefault="001975CB" w:rsidP="00F7502B">
      <w:pPr>
        <w:pStyle w:val="Header"/>
        <w:widowControl w:val="0"/>
        <w:pBdr>
          <w:bottom w:val="single" w:sz="12" w:space="1" w:color="auto"/>
        </w:pBdr>
        <w:tabs>
          <w:tab w:val="left" w:pos="284"/>
        </w:tabs>
        <w:jc w:val="both"/>
        <w:rPr>
          <w:sz w:val="22"/>
          <w:szCs w:val="22"/>
          <w:lang w:val="sr-Latn-ME"/>
        </w:rPr>
      </w:pPr>
      <w:r w:rsidRPr="00894893">
        <w:rPr>
          <w:sz w:val="22"/>
          <w:szCs w:val="22"/>
          <w:lang w:val="sr-Latn-ME"/>
        </w:rPr>
        <w:t>&lt; 10 i pacijenti na hemodijalizi            200 mg i 100 mg                            jednom nedjeljno ili svake</w:t>
      </w:r>
    </w:p>
    <w:p w:rsidR="001975CB" w:rsidRPr="00894893" w:rsidRDefault="001975CB" w:rsidP="00F7502B">
      <w:pPr>
        <w:pStyle w:val="Header"/>
        <w:widowControl w:val="0"/>
        <w:pBdr>
          <w:bottom w:val="single" w:sz="12" w:space="1" w:color="auto"/>
        </w:pBdr>
        <w:tabs>
          <w:tab w:val="left" w:pos="284"/>
        </w:tabs>
        <w:jc w:val="both"/>
        <w:rPr>
          <w:sz w:val="22"/>
          <w:szCs w:val="22"/>
          <w:lang w:val="sr-Latn-ME"/>
        </w:rPr>
      </w:pPr>
      <w:r w:rsidRPr="00894893">
        <w:rPr>
          <w:sz w:val="22"/>
          <w:szCs w:val="22"/>
          <w:lang w:val="sr-Latn-ME"/>
        </w:rPr>
        <w:t xml:space="preserve">                                                                                                                               druge nedjelje</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*postignuto naizmjeničnom primjenom 1 x 1 i 1 x 2 film tablete od 100 mg </w:t>
      </w:r>
      <w:r w:rsidR="00894893">
        <w:rPr>
          <w:sz w:val="22"/>
          <w:szCs w:val="22"/>
          <w:lang w:val="sr-Latn-ME"/>
        </w:rPr>
        <w:t xml:space="preserve">amantadin </w:t>
      </w:r>
      <w:r w:rsidRPr="00894893">
        <w:rPr>
          <w:sz w:val="22"/>
          <w:szCs w:val="22"/>
          <w:lang w:val="sr-Latn-ME"/>
        </w:rPr>
        <w:t>sulfata</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Za procjenu GFR može da se prim</w:t>
      </w:r>
      <w:r w:rsidR="003B116D">
        <w:rPr>
          <w:sz w:val="22"/>
          <w:szCs w:val="22"/>
          <w:lang w:val="sr-Latn-ME"/>
        </w:rPr>
        <w:t>i</w:t>
      </w:r>
      <w:r w:rsidRPr="00894893">
        <w:rPr>
          <w:sz w:val="22"/>
          <w:szCs w:val="22"/>
          <w:lang w:val="sr-Latn-ME"/>
        </w:rPr>
        <w:t>jeni sljedeća formula:</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          (140 – godine starosti) x tjelesna masa</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Cl</w:t>
      </w:r>
      <w:r w:rsidRPr="00894893">
        <w:rPr>
          <w:sz w:val="22"/>
          <w:szCs w:val="22"/>
          <w:vertAlign w:val="subscript"/>
          <w:lang w:val="sr-Latn-ME"/>
        </w:rPr>
        <w:t xml:space="preserve">Kr </w:t>
      </w:r>
      <w:r w:rsidRPr="00894893">
        <w:rPr>
          <w:sz w:val="22"/>
          <w:szCs w:val="22"/>
          <w:lang w:val="sr-Latn-ME"/>
        </w:rPr>
        <w:t>= ---------------------------------------------</w:t>
      </w:r>
      <w:r w:rsidR="003B116D">
        <w:rPr>
          <w:sz w:val="22"/>
          <w:szCs w:val="22"/>
          <w:lang w:val="sr-Latn-ME"/>
        </w:rPr>
        <w:t>--</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                  72 x kreatinin</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 w:val="left" w:pos="8355"/>
        </w:tabs>
        <w:jc w:val="both"/>
        <w:rPr>
          <w:sz w:val="22"/>
          <w:szCs w:val="22"/>
          <w:lang w:val="sr-Latn-ME"/>
        </w:rPr>
      </w:pPr>
      <w:r w:rsidRPr="00894893">
        <w:rPr>
          <w:sz w:val="22"/>
          <w:szCs w:val="22"/>
          <w:lang w:val="sr-Latn-ME"/>
        </w:rPr>
        <w:t>gde je Cl</w:t>
      </w:r>
      <w:r w:rsidRPr="00894893">
        <w:rPr>
          <w:sz w:val="22"/>
          <w:szCs w:val="22"/>
          <w:vertAlign w:val="subscript"/>
          <w:lang w:val="sr-Latn-ME"/>
        </w:rPr>
        <w:t>Kr</w:t>
      </w:r>
      <w:r w:rsidRPr="00894893">
        <w:rPr>
          <w:sz w:val="22"/>
          <w:szCs w:val="22"/>
          <w:lang w:val="sr-Latn-ME"/>
        </w:rPr>
        <w:t xml:space="preserve"> = klirens kreatinina u </w:t>
      </w:r>
      <w:r w:rsidR="00894893">
        <w:rPr>
          <w:sz w:val="22"/>
          <w:szCs w:val="22"/>
          <w:lang w:val="sr-Latn-ME"/>
        </w:rPr>
        <w:t>ml</w:t>
      </w:r>
      <w:r w:rsidRPr="00894893">
        <w:rPr>
          <w:sz w:val="22"/>
          <w:szCs w:val="22"/>
          <w:lang w:val="sr-Latn-ME"/>
        </w:rPr>
        <w:t>/min</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kreatinin = koncentracija kreatinina u serumu u mg/100 </w:t>
      </w:r>
      <w:r w:rsidR="00894893">
        <w:rPr>
          <w:sz w:val="22"/>
          <w:szCs w:val="22"/>
          <w:lang w:val="sr-Latn-ME"/>
        </w:rPr>
        <w:t>ml</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Tako izračunat klirens kreatinina odnosi se na muškarce, dok odgovarajuća vrijednost kod žena iznosi oko 85% izračunate vrijednosti za muškarce. Takva vrijednost se može smatrati ekvivalentnom sa klirensom inulina za određivanje GFR-a</w:t>
      </w:r>
      <w:r w:rsidRPr="00894893" w:rsidDel="00943EC6">
        <w:rPr>
          <w:sz w:val="22"/>
          <w:szCs w:val="22"/>
          <w:lang w:val="sr-Latn-ME"/>
        </w:rPr>
        <w:t xml:space="preserve"> </w:t>
      </w:r>
      <w:r w:rsidRPr="00894893">
        <w:rPr>
          <w:sz w:val="22"/>
          <w:szCs w:val="22"/>
          <w:lang w:val="sr-Latn-ME"/>
        </w:rPr>
        <w:t xml:space="preserve">(normalna vrijednost kod odraslih je 120 </w:t>
      </w:r>
      <w:r w:rsidR="00894893">
        <w:rPr>
          <w:sz w:val="22"/>
          <w:szCs w:val="22"/>
          <w:lang w:val="sr-Latn-ME"/>
        </w:rPr>
        <w:t>ml</w:t>
      </w:r>
      <w:r w:rsidRPr="00894893">
        <w:rPr>
          <w:sz w:val="22"/>
          <w:szCs w:val="22"/>
          <w:lang w:val="sr-Latn-ME"/>
        </w:rPr>
        <w:t>/min).</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Amantadin se slabo dijalizuje (približno 5%).</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i/>
          <w:sz w:val="22"/>
          <w:szCs w:val="22"/>
          <w:lang w:val="sr-Latn-ME"/>
        </w:rPr>
      </w:pPr>
      <w:r w:rsidRPr="00894893">
        <w:rPr>
          <w:i/>
          <w:sz w:val="22"/>
          <w:szCs w:val="22"/>
          <w:lang w:val="sr-Latn-ME"/>
        </w:rPr>
        <w:t>Pedijatrijska populacija</w:t>
      </w:r>
    </w:p>
    <w:p w:rsidR="001975CB" w:rsidRPr="00894893" w:rsidRDefault="001975CB" w:rsidP="00F7502B">
      <w:pPr>
        <w:widowControl w:val="0"/>
        <w:jc w:val="both"/>
        <w:rPr>
          <w:sz w:val="22"/>
          <w:szCs w:val="22"/>
          <w:lang w:val="sr-Latn-ME"/>
        </w:rPr>
      </w:pPr>
      <w:r w:rsidRPr="00894893">
        <w:rPr>
          <w:sz w:val="22"/>
          <w:szCs w:val="22"/>
          <w:lang w:val="sr-Latn-ME"/>
        </w:rPr>
        <w:t>Bezbjednost i efikasnost primjene lijeka PK-Merz, film tableta od 100 mg kod djece ni</w:t>
      </w:r>
      <w:r w:rsidR="003B116D">
        <w:rPr>
          <w:sz w:val="22"/>
          <w:szCs w:val="22"/>
          <w:lang w:val="sr-Latn-ME"/>
        </w:rPr>
        <w:t>je</w:t>
      </w:r>
      <w:r w:rsidRPr="00894893">
        <w:rPr>
          <w:sz w:val="22"/>
          <w:szCs w:val="22"/>
          <w:lang w:val="sr-Latn-ME"/>
        </w:rPr>
        <w:t>su ustanovljene.</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Nema dostupnih podataka.</w:t>
      </w:r>
    </w:p>
    <w:p w:rsidR="001975CB" w:rsidRPr="00894893" w:rsidRDefault="001975CB" w:rsidP="00F7502B">
      <w:pPr>
        <w:widowControl w:val="0"/>
        <w:tabs>
          <w:tab w:val="left" w:pos="540"/>
          <w:tab w:val="left" w:pos="569"/>
        </w:tabs>
        <w:jc w:val="both"/>
        <w:rPr>
          <w:bCs/>
          <w:sz w:val="22"/>
          <w:szCs w:val="22"/>
          <w:lang w:val="sr-Latn-ME"/>
        </w:rPr>
      </w:pPr>
    </w:p>
    <w:p w:rsidR="001975CB" w:rsidRPr="00894893" w:rsidRDefault="001975CB" w:rsidP="00F7502B">
      <w:pPr>
        <w:widowControl w:val="0"/>
        <w:tabs>
          <w:tab w:val="left" w:pos="540"/>
          <w:tab w:val="left" w:pos="569"/>
        </w:tabs>
        <w:jc w:val="both"/>
        <w:rPr>
          <w:bCs/>
          <w:sz w:val="22"/>
          <w:szCs w:val="22"/>
          <w:u w:val="single"/>
          <w:lang w:val="sr-Latn-ME"/>
        </w:rPr>
      </w:pPr>
      <w:r w:rsidRPr="00894893">
        <w:rPr>
          <w:bCs/>
          <w:sz w:val="22"/>
          <w:szCs w:val="22"/>
          <w:u w:val="single"/>
          <w:lang w:val="sr-Latn-ME"/>
        </w:rPr>
        <w:t>Način primjene</w:t>
      </w:r>
    </w:p>
    <w:p w:rsidR="001975CB" w:rsidRPr="00894893" w:rsidRDefault="001975CB" w:rsidP="00F7502B">
      <w:pPr>
        <w:pStyle w:val="Header"/>
        <w:widowControl w:val="0"/>
        <w:tabs>
          <w:tab w:val="left" w:pos="284"/>
          <w:tab w:val="left" w:pos="8310"/>
        </w:tabs>
        <w:jc w:val="both"/>
        <w:rPr>
          <w:sz w:val="22"/>
          <w:szCs w:val="22"/>
          <w:lang w:val="sr-Latn-ME"/>
        </w:rPr>
      </w:pPr>
      <w:r w:rsidRPr="00894893">
        <w:rPr>
          <w:sz w:val="22"/>
          <w:szCs w:val="22"/>
          <w:lang w:val="sr-Latn-ME"/>
        </w:rPr>
        <w:t>Film tablete treba uzeti sa malo tečnosti, najbolje ujutro i poslije podne. Posl</w:t>
      </w:r>
      <w:r w:rsidR="003B116D">
        <w:rPr>
          <w:sz w:val="22"/>
          <w:szCs w:val="22"/>
          <w:lang w:val="sr-Latn-ME"/>
        </w:rPr>
        <w:t>j</w:t>
      </w:r>
      <w:r w:rsidRPr="00894893">
        <w:rPr>
          <w:sz w:val="22"/>
          <w:szCs w:val="22"/>
          <w:lang w:val="sr-Latn-ME"/>
        </w:rPr>
        <w:t>ednju dozu u toku dana ne treba uzimati poslije 16 sati.</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Dužinu terapije, koja zavisi od karakteristika i težine bolesti, određuje ljekar. Pacijent ne smije samovoljno da obustavi primjenu lijeka. </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Nagli prekid uzimanja lijeka PK-Merz, film tableta od 100 mg, se mora izb</w:t>
      </w:r>
      <w:r w:rsidR="003B116D">
        <w:rPr>
          <w:sz w:val="22"/>
          <w:szCs w:val="22"/>
          <w:lang w:val="sr-Latn-ME"/>
        </w:rPr>
        <w:t>j</w:t>
      </w:r>
      <w:r w:rsidRPr="00894893">
        <w:rPr>
          <w:sz w:val="22"/>
          <w:szCs w:val="22"/>
          <w:lang w:val="sr-Latn-ME"/>
        </w:rPr>
        <w:t>egavati, jer kod pacijenata sa Parkinsonovom bolešću, u tom slučaju može doći do ozbiljnog pogoršanja ekstrapiramidalnih simptoma, koji ponekad uključuju akinetičku krizu i simptome obustave, koji ponekad uključuju i delirijum.</w:t>
      </w:r>
    </w:p>
    <w:p w:rsidR="00452E9D" w:rsidRPr="00894893" w:rsidRDefault="00452E9D" w:rsidP="00F7502B">
      <w:pPr>
        <w:widowControl w:val="0"/>
        <w:tabs>
          <w:tab w:val="left" w:pos="540"/>
          <w:tab w:val="left" w:pos="569"/>
        </w:tabs>
        <w:jc w:val="both"/>
        <w:rPr>
          <w:bCs/>
          <w:sz w:val="22"/>
          <w:szCs w:val="22"/>
          <w:lang w:val="sr-Latn-ME"/>
        </w:rPr>
      </w:pPr>
    </w:p>
    <w:p w:rsidR="00411B4B" w:rsidRPr="00894893" w:rsidRDefault="00411B4B" w:rsidP="00F7502B">
      <w:pPr>
        <w:widowControl w:val="0"/>
        <w:tabs>
          <w:tab w:val="left" w:pos="540"/>
          <w:tab w:val="left" w:pos="569"/>
        </w:tabs>
        <w:jc w:val="both"/>
        <w:rPr>
          <w:b/>
          <w:bCs/>
          <w:sz w:val="22"/>
          <w:szCs w:val="22"/>
          <w:lang w:val="sr-Latn-ME"/>
        </w:rPr>
      </w:pPr>
      <w:r w:rsidRPr="00894893">
        <w:rPr>
          <w:b/>
          <w:bCs/>
          <w:sz w:val="22"/>
          <w:szCs w:val="22"/>
          <w:lang w:val="sr-Latn-ME"/>
        </w:rPr>
        <w:lastRenderedPageBreak/>
        <w:t xml:space="preserve">4.3. </w:t>
      </w:r>
      <w:r w:rsidR="00480FB1" w:rsidRPr="00894893">
        <w:rPr>
          <w:b/>
          <w:bCs/>
          <w:sz w:val="22"/>
          <w:szCs w:val="22"/>
          <w:lang w:val="sr-Latn-ME"/>
        </w:rPr>
        <w:tab/>
      </w:r>
      <w:r w:rsidRPr="00894893">
        <w:rPr>
          <w:b/>
          <w:bCs/>
          <w:sz w:val="22"/>
          <w:szCs w:val="22"/>
          <w:lang w:val="sr-Latn-ME"/>
        </w:rPr>
        <w:t>Kontraindikacije</w:t>
      </w:r>
    </w:p>
    <w:p w:rsidR="001975CB" w:rsidRPr="00894893" w:rsidRDefault="001975CB" w:rsidP="00F7502B">
      <w:pPr>
        <w:widowControl w:val="0"/>
        <w:tabs>
          <w:tab w:val="left" w:pos="540"/>
          <w:tab w:val="left" w:pos="569"/>
        </w:tabs>
        <w:jc w:val="both"/>
        <w:rPr>
          <w:b/>
          <w:bCs/>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Lijek PK-Merz, film tablete </w:t>
      </w:r>
      <w:r w:rsidRPr="00894893">
        <w:rPr>
          <w:b/>
          <w:sz w:val="22"/>
          <w:szCs w:val="22"/>
          <w:lang w:val="sr-Latn-ME"/>
        </w:rPr>
        <w:t>ne smiju</w:t>
      </w:r>
      <w:r w:rsidRPr="00894893">
        <w:rPr>
          <w:sz w:val="22"/>
          <w:szCs w:val="22"/>
          <w:lang w:val="sr-Latn-ME"/>
        </w:rPr>
        <w:t xml:space="preserve"> se koristiti kod pacijenata sa:</w:t>
      </w:r>
    </w:p>
    <w:p w:rsidR="001975CB" w:rsidRPr="00894893" w:rsidRDefault="001975CB" w:rsidP="00F7502B">
      <w:pPr>
        <w:pStyle w:val="Header"/>
        <w:widowControl w:val="0"/>
        <w:numPr>
          <w:ilvl w:val="0"/>
          <w:numId w:val="13"/>
        </w:numPr>
        <w:tabs>
          <w:tab w:val="clear" w:pos="4320"/>
          <w:tab w:val="clear" w:pos="8640"/>
          <w:tab w:val="left" w:pos="284"/>
        </w:tabs>
        <w:jc w:val="both"/>
        <w:rPr>
          <w:sz w:val="22"/>
          <w:szCs w:val="22"/>
          <w:lang w:val="sr-Latn-ME"/>
        </w:rPr>
      </w:pPr>
      <w:r w:rsidRPr="00894893">
        <w:rPr>
          <w:sz w:val="22"/>
          <w:szCs w:val="22"/>
          <w:lang w:val="sr-Latn-ME"/>
        </w:rPr>
        <w:t xml:space="preserve">preosjetljivošću na amantadin, boju Yellow orange lacquer (E110) ili na bilo koju od pomoćnih supstanci lijeka, navedenih u </w:t>
      </w:r>
      <w:r w:rsidR="00F07252" w:rsidRPr="00894893">
        <w:rPr>
          <w:sz w:val="22"/>
          <w:szCs w:val="22"/>
          <w:lang w:val="sr-Latn-ME"/>
        </w:rPr>
        <w:t xml:space="preserve">dijelu </w:t>
      </w:r>
      <w:r w:rsidRPr="00894893">
        <w:rPr>
          <w:sz w:val="22"/>
          <w:szCs w:val="22"/>
          <w:lang w:val="sr-Latn-ME"/>
        </w:rPr>
        <w:t>6.1</w:t>
      </w:r>
    </w:p>
    <w:p w:rsidR="001975CB" w:rsidRPr="00894893" w:rsidRDefault="001975CB" w:rsidP="00F7502B">
      <w:pPr>
        <w:pStyle w:val="Header"/>
        <w:widowControl w:val="0"/>
        <w:numPr>
          <w:ilvl w:val="0"/>
          <w:numId w:val="13"/>
        </w:numPr>
        <w:tabs>
          <w:tab w:val="clear" w:pos="4320"/>
          <w:tab w:val="clear" w:pos="8640"/>
          <w:tab w:val="left" w:pos="284"/>
        </w:tabs>
        <w:jc w:val="both"/>
        <w:rPr>
          <w:sz w:val="22"/>
          <w:szCs w:val="22"/>
          <w:lang w:val="sr-Latn-ME"/>
        </w:rPr>
      </w:pPr>
      <w:r w:rsidRPr="00894893">
        <w:rPr>
          <w:sz w:val="22"/>
          <w:szCs w:val="22"/>
          <w:lang w:val="sr-Latn-ME"/>
        </w:rPr>
        <w:t>teškom dekompenzovanom insuficijencijom srca (NYHA klasa IV)</w:t>
      </w:r>
    </w:p>
    <w:p w:rsidR="001975CB" w:rsidRPr="00894893" w:rsidRDefault="001975CB" w:rsidP="00F7502B">
      <w:pPr>
        <w:pStyle w:val="Header"/>
        <w:widowControl w:val="0"/>
        <w:numPr>
          <w:ilvl w:val="0"/>
          <w:numId w:val="13"/>
        </w:numPr>
        <w:tabs>
          <w:tab w:val="clear" w:pos="4320"/>
          <w:tab w:val="clear" w:pos="8640"/>
          <w:tab w:val="left" w:pos="284"/>
        </w:tabs>
        <w:jc w:val="both"/>
        <w:rPr>
          <w:sz w:val="22"/>
          <w:szCs w:val="22"/>
          <w:lang w:val="sr-Latn-ME"/>
        </w:rPr>
      </w:pPr>
      <w:r w:rsidRPr="00894893">
        <w:rPr>
          <w:sz w:val="22"/>
          <w:szCs w:val="22"/>
          <w:lang w:val="sr-Latn-ME"/>
        </w:rPr>
        <w:t>kardiomiopatijama i miokarditisom</w:t>
      </w:r>
    </w:p>
    <w:p w:rsidR="001975CB" w:rsidRPr="00894893" w:rsidRDefault="001975CB" w:rsidP="00F7502B">
      <w:pPr>
        <w:pStyle w:val="Header"/>
        <w:widowControl w:val="0"/>
        <w:numPr>
          <w:ilvl w:val="0"/>
          <w:numId w:val="13"/>
        </w:numPr>
        <w:tabs>
          <w:tab w:val="clear" w:pos="4320"/>
          <w:tab w:val="clear" w:pos="8640"/>
          <w:tab w:val="left" w:pos="284"/>
        </w:tabs>
        <w:jc w:val="both"/>
        <w:rPr>
          <w:sz w:val="22"/>
          <w:szCs w:val="22"/>
          <w:lang w:val="sr-Latn-ME"/>
        </w:rPr>
      </w:pPr>
      <w:r w:rsidRPr="00894893">
        <w:rPr>
          <w:sz w:val="22"/>
          <w:szCs w:val="22"/>
          <w:lang w:val="sr-Latn-ME"/>
        </w:rPr>
        <w:t>AV blokom 2. i 3. stepena</w:t>
      </w:r>
    </w:p>
    <w:p w:rsidR="001975CB" w:rsidRPr="00894893" w:rsidRDefault="001975CB" w:rsidP="00F7502B">
      <w:pPr>
        <w:pStyle w:val="Header"/>
        <w:widowControl w:val="0"/>
        <w:numPr>
          <w:ilvl w:val="0"/>
          <w:numId w:val="13"/>
        </w:numPr>
        <w:tabs>
          <w:tab w:val="clear" w:pos="4320"/>
          <w:tab w:val="clear" w:pos="8640"/>
          <w:tab w:val="left" w:pos="284"/>
        </w:tabs>
        <w:jc w:val="both"/>
        <w:rPr>
          <w:sz w:val="22"/>
          <w:szCs w:val="22"/>
          <w:lang w:val="sr-Latn-ME"/>
        </w:rPr>
      </w:pPr>
      <w:r w:rsidRPr="00894893">
        <w:rPr>
          <w:sz w:val="22"/>
          <w:szCs w:val="22"/>
          <w:lang w:val="sr-Latn-ME"/>
        </w:rPr>
        <w:t>postojećom bradikardijom sa manje od 55 otkucaja u minuti</w:t>
      </w:r>
    </w:p>
    <w:p w:rsidR="001975CB" w:rsidRPr="00894893" w:rsidRDefault="001975CB" w:rsidP="00F7502B">
      <w:pPr>
        <w:pStyle w:val="Header"/>
        <w:widowControl w:val="0"/>
        <w:numPr>
          <w:ilvl w:val="0"/>
          <w:numId w:val="13"/>
        </w:numPr>
        <w:tabs>
          <w:tab w:val="clear" w:pos="4320"/>
          <w:tab w:val="clear" w:pos="8640"/>
          <w:tab w:val="left" w:pos="284"/>
        </w:tabs>
        <w:jc w:val="both"/>
        <w:rPr>
          <w:sz w:val="22"/>
          <w:szCs w:val="22"/>
          <w:lang w:val="sr-Latn-ME"/>
        </w:rPr>
      </w:pPr>
      <w:r w:rsidRPr="00894893">
        <w:rPr>
          <w:sz w:val="22"/>
          <w:szCs w:val="22"/>
          <w:lang w:val="sr-Latn-ME"/>
        </w:rPr>
        <w:t>poznatim produženim QT intervalom (Bazett QTc &gt; 420 ms) ili uočljivim U talasima ili kongenitalnim QT sindromom u porodičnoj anamnezi</w:t>
      </w:r>
    </w:p>
    <w:p w:rsidR="001975CB" w:rsidRPr="00894893" w:rsidRDefault="001975CB" w:rsidP="00F7502B">
      <w:pPr>
        <w:pStyle w:val="Header"/>
        <w:widowControl w:val="0"/>
        <w:numPr>
          <w:ilvl w:val="0"/>
          <w:numId w:val="13"/>
        </w:numPr>
        <w:tabs>
          <w:tab w:val="clear" w:pos="4320"/>
          <w:tab w:val="clear" w:pos="8640"/>
          <w:tab w:val="left" w:pos="284"/>
        </w:tabs>
        <w:jc w:val="both"/>
        <w:rPr>
          <w:sz w:val="22"/>
          <w:szCs w:val="22"/>
          <w:lang w:val="sr-Latn-ME"/>
        </w:rPr>
      </w:pPr>
      <w:r w:rsidRPr="00894893">
        <w:rPr>
          <w:sz w:val="22"/>
          <w:szCs w:val="22"/>
          <w:lang w:val="sr-Latn-ME"/>
        </w:rPr>
        <w:t xml:space="preserve">ozbiljnim ventrikularnim aritmijama, uključujući </w:t>
      </w:r>
      <w:r w:rsidRPr="00894893">
        <w:rPr>
          <w:i/>
          <w:sz w:val="22"/>
          <w:szCs w:val="22"/>
          <w:lang w:val="sr-Latn-ME"/>
        </w:rPr>
        <w:t xml:space="preserve">torsade de pointes </w:t>
      </w:r>
      <w:r w:rsidRPr="00894893">
        <w:rPr>
          <w:sz w:val="22"/>
          <w:szCs w:val="22"/>
          <w:lang w:val="sr-Latn-ME"/>
        </w:rPr>
        <w:t>u anamnezi</w:t>
      </w:r>
    </w:p>
    <w:p w:rsidR="001975CB" w:rsidRPr="00894893" w:rsidRDefault="003B116D" w:rsidP="00F7502B">
      <w:pPr>
        <w:pStyle w:val="Header"/>
        <w:widowControl w:val="0"/>
        <w:numPr>
          <w:ilvl w:val="0"/>
          <w:numId w:val="13"/>
        </w:numPr>
        <w:tabs>
          <w:tab w:val="clear" w:pos="4320"/>
          <w:tab w:val="clear" w:pos="8640"/>
          <w:tab w:val="left" w:pos="284"/>
        </w:tabs>
        <w:jc w:val="both"/>
        <w:rPr>
          <w:sz w:val="22"/>
          <w:szCs w:val="22"/>
          <w:lang w:val="sr-Latn-ME"/>
        </w:rPr>
      </w:pPr>
      <w:r>
        <w:rPr>
          <w:sz w:val="22"/>
          <w:szCs w:val="22"/>
          <w:lang w:val="sr-Latn-ME"/>
        </w:rPr>
        <w:t>i</w:t>
      </w:r>
      <w:r w:rsidR="001975CB" w:rsidRPr="00894893">
        <w:rPr>
          <w:sz w:val="22"/>
          <w:szCs w:val="22"/>
          <w:lang w:val="sr-Latn-ME"/>
        </w:rPr>
        <w:t xml:space="preserve">stovremenom terapijom budipinom ili drugim ljekovima koji produžuju QT interval (vidjeti </w:t>
      </w:r>
      <w:r w:rsidR="00F07252" w:rsidRPr="00894893">
        <w:rPr>
          <w:sz w:val="22"/>
          <w:szCs w:val="22"/>
          <w:lang w:val="sr-Latn-ME"/>
        </w:rPr>
        <w:t xml:space="preserve">dio </w:t>
      </w:r>
      <w:r w:rsidR="001975CB" w:rsidRPr="00894893">
        <w:rPr>
          <w:sz w:val="22"/>
          <w:szCs w:val="22"/>
          <w:lang w:val="sr-Latn-ME"/>
        </w:rPr>
        <w:t>4.5)</w:t>
      </w:r>
    </w:p>
    <w:p w:rsidR="001975CB" w:rsidRPr="00894893" w:rsidRDefault="001975CB" w:rsidP="00F7502B">
      <w:pPr>
        <w:pStyle w:val="Header"/>
        <w:widowControl w:val="0"/>
        <w:numPr>
          <w:ilvl w:val="0"/>
          <w:numId w:val="13"/>
        </w:numPr>
        <w:tabs>
          <w:tab w:val="clear" w:pos="4320"/>
          <w:tab w:val="clear" w:pos="8640"/>
          <w:tab w:val="left" w:pos="284"/>
        </w:tabs>
        <w:jc w:val="both"/>
        <w:rPr>
          <w:sz w:val="22"/>
          <w:szCs w:val="22"/>
          <w:lang w:val="sr-Latn-ME"/>
        </w:rPr>
      </w:pPr>
      <w:r w:rsidRPr="00894893">
        <w:rPr>
          <w:sz w:val="22"/>
          <w:szCs w:val="22"/>
          <w:lang w:val="sr-Latn-ME"/>
        </w:rPr>
        <w:t>smanjenim koncentracijama kalijuma ili magnezijuma u krvi</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Lijek PK–Merz, film tablete se </w:t>
      </w:r>
      <w:r w:rsidRPr="00894893">
        <w:rPr>
          <w:b/>
          <w:sz w:val="22"/>
          <w:szCs w:val="22"/>
          <w:lang w:val="sr-Latn-ME"/>
        </w:rPr>
        <w:t>samo sa posebnim oprezom</w:t>
      </w:r>
      <w:r w:rsidRPr="00894893">
        <w:rPr>
          <w:sz w:val="22"/>
          <w:szCs w:val="22"/>
          <w:lang w:val="sr-Latn-ME"/>
        </w:rPr>
        <w:t xml:space="preserve"> mogu koristiti kod pacijenata sa:</w:t>
      </w:r>
    </w:p>
    <w:p w:rsidR="001975CB" w:rsidRPr="00894893" w:rsidRDefault="001975CB" w:rsidP="00F7502B">
      <w:pPr>
        <w:pStyle w:val="Header"/>
        <w:widowControl w:val="0"/>
        <w:numPr>
          <w:ilvl w:val="0"/>
          <w:numId w:val="14"/>
        </w:numPr>
        <w:tabs>
          <w:tab w:val="clear" w:pos="4320"/>
          <w:tab w:val="clear" w:pos="8640"/>
          <w:tab w:val="left" w:pos="284"/>
        </w:tabs>
        <w:jc w:val="both"/>
        <w:rPr>
          <w:sz w:val="22"/>
          <w:szCs w:val="22"/>
          <w:lang w:val="sr-Latn-ME"/>
        </w:rPr>
      </w:pPr>
      <w:r w:rsidRPr="00894893">
        <w:rPr>
          <w:sz w:val="22"/>
          <w:szCs w:val="22"/>
          <w:lang w:val="sr-Latn-ME"/>
        </w:rPr>
        <w:t>hipertrofijom prostate</w:t>
      </w:r>
    </w:p>
    <w:p w:rsidR="001975CB" w:rsidRPr="00894893" w:rsidRDefault="001975CB" w:rsidP="00F7502B">
      <w:pPr>
        <w:pStyle w:val="Header"/>
        <w:widowControl w:val="0"/>
        <w:numPr>
          <w:ilvl w:val="0"/>
          <w:numId w:val="14"/>
        </w:numPr>
        <w:tabs>
          <w:tab w:val="clear" w:pos="4320"/>
          <w:tab w:val="clear" w:pos="8640"/>
          <w:tab w:val="left" w:pos="284"/>
        </w:tabs>
        <w:jc w:val="both"/>
        <w:rPr>
          <w:sz w:val="22"/>
          <w:szCs w:val="22"/>
          <w:lang w:val="sr-Latn-ME"/>
        </w:rPr>
      </w:pPr>
      <w:r w:rsidRPr="00894893">
        <w:rPr>
          <w:sz w:val="22"/>
          <w:szCs w:val="22"/>
          <w:lang w:val="sr-Latn-ME"/>
        </w:rPr>
        <w:t>glaukomom zatvorenog ugla</w:t>
      </w:r>
    </w:p>
    <w:p w:rsidR="001975CB" w:rsidRPr="00894893" w:rsidRDefault="001975CB" w:rsidP="00F7502B">
      <w:pPr>
        <w:pStyle w:val="Header"/>
        <w:widowControl w:val="0"/>
        <w:numPr>
          <w:ilvl w:val="0"/>
          <w:numId w:val="14"/>
        </w:numPr>
        <w:tabs>
          <w:tab w:val="clear" w:pos="4320"/>
          <w:tab w:val="clear" w:pos="8640"/>
          <w:tab w:val="left" w:pos="284"/>
        </w:tabs>
        <w:jc w:val="both"/>
        <w:rPr>
          <w:sz w:val="22"/>
          <w:szCs w:val="22"/>
          <w:lang w:val="sr-Latn-ME"/>
        </w:rPr>
      </w:pPr>
      <w:r w:rsidRPr="00894893">
        <w:rPr>
          <w:sz w:val="22"/>
          <w:szCs w:val="22"/>
          <w:lang w:val="sr-Latn-ME"/>
        </w:rPr>
        <w:t>bubrežnom insuficijencijom (različite težine; postoji rizik od akumulacije lijeka usl</w:t>
      </w:r>
      <w:r w:rsidR="003B116D">
        <w:rPr>
          <w:sz w:val="22"/>
          <w:szCs w:val="22"/>
          <w:lang w:val="sr-Latn-ME"/>
        </w:rPr>
        <w:t>j</w:t>
      </w:r>
      <w:r w:rsidRPr="00894893">
        <w:rPr>
          <w:sz w:val="22"/>
          <w:szCs w:val="22"/>
          <w:lang w:val="sr-Latn-ME"/>
        </w:rPr>
        <w:t xml:space="preserve">ed pogoršanja filtracione funkcije bubrega, vidjeti </w:t>
      </w:r>
      <w:r w:rsidR="00F07252" w:rsidRPr="00894893">
        <w:rPr>
          <w:sz w:val="22"/>
          <w:szCs w:val="22"/>
          <w:lang w:val="sr-Latn-ME"/>
        </w:rPr>
        <w:t xml:space="preserve">djelove </w:t>
      </w:r>
      <w:r w:rsidRPr="00894893">
        <w:rPr>
          <w:sz w:val="22"/>
          <w:szCs w:val="22"/>
          <w:lang w:val="sr-Latn-ME"/>
        </w:rPr>
        <w:t>4.2 i 4.4)</w:t>
      </w:r>
    </w:p>
    <w:p w:rsidR="001975CB" w:rsidRPr="00894893" w:rsidRDefault="001975CB" w:rsidP="00F7502B">
      <w:pPr>
        <w:pStyle w:val="Header"/>
        <w:widowControl w:val="0"/>
        <w:numPr>
          <w:ilvl w:val="0"/>
          <w:numId w:val="14"/>
        </w:numPr>
        <w:tabs>
          <w:tab w:val="clear" w:pos="4320"/>
          <w:tab w:val="clear" w:pos="8640"/>
          <w:tab w:val="left" w:pos="284"/>
        </w:tabs>
        <w:jc w:val="both"/>
        <w:rPr>
          <w:sz w:val="22"/>
          <w:szCs w:val="22"/>
          <w:lang w:val="sr-Latn-ME"/>
        </w:rPr>
      </w:pPr>
      <w:r w:rsidRPr="00894893">
        <w:rPr>
          <w:sz w:val="22"/>
          <w:szCs w:val="22"/>
          <w:lang w:val="sr-Latn-ME"/>
        </w:rPr>
        <w:t>stanjima agitacije ili konfuzije</w:t>
      </w:r>
    </w:p>
    <w:p w:rsidR="001975CB" w:rsidRPr="00894893" w:rsidRDefault="001975CB" w:rsidP="00F7502B">
      <w:pPr>
        <w:pStyle w:val="Header"/>
        <w:widowControl w:val="0"/>
        <w:numPr>
          <w:ilvl w:val="0"/>
          <w:numId w:val="14"/>
        </w:numPr>
        <w:tabs>
          <w:tab w:val="clear" w:pos="4320"/>
          <w:tab w:val="clear" w:pos="8640"/>
          <w:tab w:val="left" w:pos="284"/>
        </w:tabs>
        <w:jc w:val="both"/>
        <w:rPr>
          <w:sz w:val="22"/>
          <w:szCs w:val="22"/>
          <w:lang w:val="sr-Latn-ME"/>
        </w:rPr>
      </w:pPr>
      <w:r w:rsidRPr="00894893">
        <w:rPr>
          <w:sz w:val="22"/>
          <w:szCs w:val="22"/>
          <w:lang w:val="sr-Latn-ME"/>
        </w:rPr>
        <w:t>delirijumskim sindromima ili egzogenim psihozama u anamnezi</w:t>
      </w:r>
    </w:p>
    <w:p w:rsidR="001975CB" w:rsidRPr="00894893" w:rsidRDefault="001975CB" w:rsidP="00F7502B">
      <w:pPr>
        <w:pStyle w:val="Header"/>
        <w:widowControl w:val="0"/>
        <w:numPr>
          <w:ilvl w:val="0"/>
          <w:numId w:val="14"/>
        </w:numPr>
        <w:tabs>
          <w:tab w:val="clear" w:pos="4320"/>
          <w:tab w:val="clear" w:pos="8640"/>
          <w:tab w:val="left" w:pos="284"/>
        </w:tabs>
        <w:jc w:val="both"/>
        <w:rPr>
          <w:sz w:val="22"/>
          <w:szCs w:val="22"/>
          <w:lang w:val="sr-Latn-ME"/>
        </w:rPr>
      </w:pPr>
      <w:r w:rsidRPr="00894893">
        <w:rPr>
          <w:sz w:val="22"/>
          <w:szCs w:val="22"/>
          <w:lang w:val="sr-Latn-ME"/>
        </w:rPr>
        <w:t xml:space="preserve">istovremenom primjenom memantina (vidjeti </w:t>
      </w:r>
      <w:r w:rsidR="00F07252" w:rsidRPr="00894893">
        <w:rPr>
          <w:sz w:val="22"/>
          <w:szCs w:val="22"/>
          <w:lang w:val="sr-Latn-ME"/>
        </w:rPr>
        <w:t xml:space="preserve">dio </w:t>
      </w:r>
      <w:r w:rsidRPr="00894893">
        <w:rPr>
          <w:sz w:val="22"/>
          <w:szCs w:val="22"/>
          <w:lang w:val="sr-Latn-ME"/>
        </w:rPr>
        <w:t>4.5)</w:t>
      </w:r>
      <w:r w:rsidR="003B116D">
        <w:rPr>
          <w:sz w:val="22"/>
          <w:szCs w:val="22"/>
          <w:lang w:val="sr-Latn-ME"/>
        </w:rPr>
        <w:t>.</w:t>
      </w:r>
    </w:p>
    <w:p w:rsidR="0072020E" w:rsidRPr="00894893" w:rsidRDefault="0072020E" w:rsidP="00F7502B">
      <w:pPr>
        <w:widowControl w:val="0"/>
        <w:tabs>
          <w:tab w:val="left" w:pos="540"/>
          <w:tab w:val="left" w:pos="569"/>
        </w:tabs>
        <w:jc w:val="both"/>
        <w:rPr>
          <w:bCs/>
          <w:sz w:val="22"/>
          <w:szCs w:val="22"/>
          <w:lang w:val="sr-Latn-ME"/>
        </w:rPr>
      </w:pPr>
    </w:p>
    <w:p w:rsidR="00411B4B" w:rsidRPr="00894893" w:rsidRDefault="00411B4B" w:rsidP="00F7502B">
      <w:pPr>
        <w:widowControl w:val="0"/>
        <w:tabs>
          <w:tab w:val="left" w:pos="540"/>
          <w:tab w:val="left" w:pos="569"/>
        </w:tabs>
        <w:jc w:val="both"/>
        <w:rPr>
          <w:b/>
          <w:bCs/>
          <w:sz w:val="22"/>
          <w:szCs w:val="22"/>
          <w:lang w:val="sr-Latn-ME"/>
        </w:rPr>
      </w:pPr>
      <w:r w:rsidRPr="00894893">
        <w:rPr>
          <w:b/>
          <w:bCs/>
          <w:sz w:val="22"/>
          <w:szCs w:val="22"/>
          <w:lang w:val="sr-Latn-ME"/>
        </w:rPr>
        <w:t xml:space="preserve">4.4. </w:t>
      </w:r>
      <w:r w:rsidR="00480FB1" w:rsidRPr="00894893">
        <w:rPr>
          <w:b/>
          <w:bCs/>
          <w:sz w:val="22"/>
          <w:szCs w:val="22"/>
          <w:lang w:val="sr-Latn-ME"/>
        </w:rPr>
        <w:tab/>
      </w:r>
      <w:r w:rsidRPr="00894893">
        <w:rPr>
          <w:b/>
          <w:bCs/>
          <w:sz w:val="22"/>
          <w:szCs w:val="22"/>
          <w:lang w:val="sr-Latn-ME"/>
        </w:rPr>
        <w:t>Posebna upozorenja i mjere opreza pri upotrebi lijeka</w:t>
      </w:r>
    </w:p>
    <w:p w:rsidR="0072020E" w:rsidRPr="00894893" w:rsidRDefault="0072020E" w:rsidP="00F7502B">
      <w:pPr>
        <w:widowControl w:val="0"/>
        <w:tabs>
          <w:tab w:val="left" w:pos="540"/>
          <w:tab w:val="left" w:pos="569"/>
        </w:tabs>
        <w:jc w:val="both"/>
        <w:rPr>
          <w:bCs/>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Prije početka terapije, a zatim posl</w:t>
      </w:r>
      <w:r w:rsidR="003B116D">
        <w:rPr>
          <w:sz w:val="22"/>
          <w:szCs w:val="22"/>
          <w:lang w:val="sr-Latn-ME"/>
        </w:rPr>
        <w:t>i</w:t>
      </w:r>
      <w:r w:rsidRPr="00894893">
        <w:rPr>
          <w:sz w:val="22"/>
          <w:szCs w:val="22"/>
          <w:lang w:val="sr-Latn-ME"/>
        </w:rPr>
        <w:t xml:space="preserve">je 1. i 3. nedjelje od započinjanja terapije, potrebno je snimiti EKG (50 mm/s) i ručno odrediti </w:t>
      </w:r>
      <w:r w:rsidRPr="00894893">
        <w:rPr>
          <w:rFonts w:ascii="TimesNewRomanPSMT" w:hAnsi="TimesNewRomanPSMT" w:cs="TimesNewRomanPSMT"/>
          <w:sz w:val="22"/>
          <w:szCs w:val="22"/>
          <w:lang w:val="sr-Latn-ME"/>
        </w:rPr>
        <w:t xml:space="preserve">korigovani QT interval (QTc interval po </w:t>
      </w:r>
      <w:r w:rsidRPr="00894893">
        <w:rPr>
          <w:rFonts w:ascii="TimesNewRomanPSMT" w:hAnsi="TimesNewRomanPSMT" w:cs="TimesNewRomanPSMT"/>
          <w:i/>
          <w:sz w:val="22"/>
          <w:szCs w:val="22"/>
          <w:lang w:val="sr-Latn-ME"/>
        </w:rPr>
        <w:t>Bazett-</w:t>
      </w:r>
      <w:r w:rsidRPr="00894893">
        <w:rPr>
          <w:rFonts w:ascii="TimesNewRomanPSMT" w:hAnsi="TimesNewRomanPSMT" w:cs="TimesNewRomanPSMT"/>
          <w:sz w:val="22"/>
          <w:szCs w:val="22"/>
          <w:lang w:val="sr-Latn-ME"/>
        </w:rPr>
        <w:t>u)</w:t>
      </w:r>
      <w:r w:rsidRPr="00894893">
        <w:rPr>
          <w:sz w:val="22"/>
          <w:szCs w:val="22"/>
          <w:lang w:val="sr-Latn-ME"/>
        </w:rPr>
        <w:t>. Takav EKG treba takođe snimiti i prije svakog naknadnog povećanja doze, kao i dvije nedjelje posl</w:t>
      </w:r>
      <w:r w:rsidR="003B116D">
        <w:rPr>
          <w:sz w:val="22"/>
          <w:szCs w:val="22"/>
          <w:lang w:val="sr-Latn-ME"/>
        </w:rPr>
        <w:t>ij</w:t>
      </w:r>
      <w:r w:rsidRPr="00894893">
        <w:rPr>
          <w:sz w:val="22"/>
          <w:szCs w:val="22"/>
          <w:lang w:val="sr-Latn-ME"/>
        </w:rPr>
        <w:t xml:space="preserve">e svakog naknadnog povećanja doze. Kasnije, potrebno je najmanje jednom godišnje kontrolisati EKG. </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Liječenje treba izb</w:t>
      </w:r>
      <w:r w:rsidR="003B116D">
        <w:rPr>
          <w:sz w:val="22"/>
          <w:szCs w:val="22"/>
          <w:lang w:val="sr-Latn-ME"/>
        </w:rPr>
        <w:t>j</w:t>
      </w:r>
      <w:r w:rsidRPr="00894893">
        <w:rPr>
          <w:sz w:val="22"/>
          <w:szCs w:val="22"/>
          <w:lang w:val="sr-Latn-ME"/>
        </w:rPr>
        <w:t>egavati ili se mora prekinuti kod pacijenata kod kojih je početni QTc interval veći od 420 ms, kod povećanja za više od 60 ms tokom terapije sa lijekom PK-Merz, film tablete od 100 mg ili ako u toku terapije lijekom PK-Merz, film tablete od 100 mg QTc pređe 480 ms, kao i kod pacijenata sa uočljivim U talasima.</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Kod pacijenata kod kojih postoji rizik od narušavanja ravnoteže elektrolita (koje može biti izazvano npr. terapijom diureticima, učestalim povraćanjima i/ili prolivima, primjenom insulina u hitnim situacijama, oboljenjima bubrega ili anoreksičnim stanjima) neophodno je adekvatno praćenje laboratorijskih parametara i odgovarajuća nadoknada elektrolita, naročito kalijuma i magnezijuma.</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widowControl w:val="0"/>
        <w:jc w:val="both"/>
        <w:rPr>
          <w:sz w:val="22"/>
          <w:szCs w:val="22"/>
          <w:lang w:val="sr-Latn-ME"/>
        </w:rPr>
      </w:pPr>
      <w:r w:rsidRPr="00894893">
        <w:rPr>
          <w:sz w:val="22"/>
          <w:szCs w:val="22"/>
          <w:lang w:val="sr-Latn-ME"/>
        </w:rPr>
        <w:t>Ukoliko se jave simptomi kao što su palpitacije, vrtoglavica ili sinkopa, treba odmah obustaviti terapiju lijekom PK-Merz, film tablete od 100 mg, i u periodu od 24 sata kontrolisati pacijenta na eventualnu pojavu produženja QT intervala. Ukoliko nema produženja QT intervala, a interakcije sa drugim ljekovima nijesu prisutne i lijek nije kontraindikovan iz drugih razloga, primjena lijeka PK-Merz, film tablete od 100 mg, može da se nastavi.</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Kod pacijenata sa ugrađenim elektrostimulatorom srca (pejsmejkerom) nije moguće precizno odrediti QT interval. Zato se odluka o primjeni lijeka PK-Merz, film tablete od 100 mg mora don</w:t>
      </w:r>
      <w:r w:rsidR="003B116D">
        <w:rPr>
          <w:sz w:val="22"/>
          <w:szCs w:val="22"/>
          <w:lang w:val="sr-Latn-ME"/>
        </w:rPr>
        <w:t>ij</w:t>
      </w:r>
      <w:r w:rsidRPr="00894893">
        <w:rPr>
          <w:sz w:val="22"/>
          <w:szCs w:val="22"/>
          <w:lang w:val="sr-Latn-ME"/>
        </w:rPr>
        <w:t xml:space="preserve">eti individualno, za svakog pacijenta, uz konsultaciju sa njegovim kardiologom. </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Dodatna primjena amantadina za prevenciju i terapiju infekcije izazvane virusom influence tipa A se ne preporučuje i treba je izbjegavati zbog opasnosti od predoziranja.</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b/>
          <w:bCs/>
          <w:iCs/>
          <w:sz w:val="22"/>
          <w:szCs w:val="22"/>
          <w:lang w:val="sr-Latn-ME"/>
        </w:rPr>
      </w:pPr>
      <w:r w:rsidRPr="00894893">
        <w:rPr>
          <w:b/>
          <w:bCs/>
          <w:iCs/>
          <w:sz w:val="22"/>
          <w:szCs w:val="22"/>
          <w:lang w:val="sr-Latn-ME"/>
        </w:rPr>
        <w:t>Posebne mjere opreza:</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U slučaju nagle obustave primjene lijeka PK-Merz, film tablete, kod pacijenata koji istovremeno uzimaju neuroleptike i lijek PK-Merz, film tablete, postoji opasnost od pojave životno ugrožavajućeg neuroleptičkog malignog sindroma. </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Kod pacijenata sa oštećenom funkcijom bubrega može doći do trovanja.</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Potreban je poseban oprez pri propisivanju terapije lijekom PK-Merz, film-tablete od 100 mg, kod pacijenata sa organskim moždanim sindromom ili povećanim rizikom od epileptičnih napada, jer može doći do pogoršanja pojedinih simptoma oboljenja i pojave konvulzija (vidjeti </w:t>
      </w:r>
      <w:r w:rsidR="00F07252" w:rsidRPr="00894893">
        <w:rPr>
          <w:sz w:val="22"/>
          <w:szCs w:val="22"/>
          <w:lang w:val="sr-Latn-ME"/>
        </w:rPr>
        <w:t xml:space="preserve">djelove </w:t>
      </w:r>
      <w:r w:rsidRPr="00894893">
        <w:rPr>
          <w:sz w:val="22"/>
          <w:szCs w:val="22"/>
          <w:lang w:val="sr-Latn-ME"/>
        </w:rPr>
        <w:t>4.2 i 4.8).</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Pacijenti sa poznatim kardiovaskularnim oboljenjima moraju biti pod redovnim ljekarskim nadzorom tokom terapije lijekom PK-Merz, film tablete.</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Kod pacijenata sa Parkinsonovom bolešću često se javljaju simptomi poput sniženog krvnog pritiska, salivacije, pojačanog znojenja, povišene tjelesne temperature, akumulacije toplote, retencije tečnosti i depresije. Ove simptome je potrebno sagledavati u kontekstu neželjenih dejstava i interakcija lijeka PK-Merz, film tablete.</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Ukoliko se tokom primjene lijeka jave zamagljen vid ili drugi problemi sa vidom, treba se obratiti oftalmologu da bi se isključio edem kornee. U slučaju da se dijagnostifikuje edem kornee, terapiju lijekom PK-Merz, film tablete treba obustaviti. </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Pacijenti treba da se konsultuju sa svojim ljekarom ukoliko uoče probleme pri mokrenju.</w:t>
      </w:r>
    </w:p>
    <w:p w:rsidR="00D23EA2" w:rsidRPr="00894893" w:rsidRDefault="00D23EA2" w:rsidP="00F7502B">
      <w:pPr>
        <w:pStyle w:val="Header"/>
        <w:widowControl w:val="0"/>
        <w:tabs>
          <w:tab w:val="left" w:pos="284"/>
        </w:tabs>
        <w:jc w:val="both"/>
        <w:rPr>
          <w:sz w:val="22"/>
          <w:szCs w:val="22"/>
          <w:lang w:val="sr-Latn-ME"/>
        </w:rPr>
      </w:pPr>
    </w:p>
    <w:p w:rsidR="00D23EA2" w:rsidRPr="00894893" w:rsidRDefault="00D23EA2" w:rsidP="00F7502B">
      <w:pPr>
        <w:pStyle w:val="Header"/>
        <w:widowControl w:val="0"/>
        <w:tabs>
          <w:tab w:val="left" w:pos="284"/>
        </w:tabs>
        <w:jc w:val="both"/>
        <w:rPr>
          <w:sz w:val="22"/>
          <w:szCs w:val="22"/>
          <w:lang w:val="sr-Latn-ME"/>
        </w:rPr>
      </w:pPr>
      <w:r w:rsidRPr="00894893">
        <w:rPr>
          <w:sz w:val="22"/>
          <w:szCs w:val="22"/>
          <w:lang w:val="sr-Latn-ME"/>
        </w:rPr>
        <w:t>Prijavljeni su slučajevi suicidnih misli i ponašanja tokom l</w:t>
      </w:r>
      <w:r w:rsidR="00F07252" w:rsidRPr="00894893">
        <w:rPr>
          <w:sz w:val="22"/>
          <w:szCs w:val="22"/>
          <w:lang w:val="sr-Latn-ME"/>
        </w:rPr>
        <w:t>ij</w:t>
      </w:r>
      <w:r w:rsidRPr="00894893">
        <w:rPr>
          <w:sz w:val="22"/>
          <w:szCs w:val="22"/>
          <w:lang w:val="sr-Latn-ME"/>
        </w:rPr>
        <w:t>ečenja amantadinom. Pacijenti treba da budu praćeni na znakove suicidnih ideacija i ponašanj</w:t>
      </w:r>
      <w:r w:rsidRPr="00894893">
        <w:rPr>
          <w:sz w:val="22"/>
          <w:szCs w:val="22"/>
          <w:u w:val="single"/>
          <w:lang w:val="sr-Latn-ME"/>
        </w:rPr>
        <w:t>a</w:t>
      </w:r>
      <w:r w:rsidRPr="00894893">
        <w:rPr>
          <w:b/>
          <w:sz w:val="22"/>
          <w:szCs w:val="22"/>
          <w:u w:val="single"/>
          <w:lang w:val="sr-Latn-ME"/>
        </w:rPr>
        <w:t>, a po potrebi započeti terapiju</w:t>
      </w:r>
      <w:r w:rsidRPr="00894893">
        <w:rPr>
          <w:sz w:val="22"/>
          <w:szCs w:val="22"/>
          <w:lang w:val="sr-Latn-ME"/>
        </w:rPr>
        <w:t>. Pacijentima (i starateljima pacijenata) treba sav</w:t>
      </w:r>
      <w:r w:rsidR="00F07252" w:rsidRPr="00894893">
        <w:rPr>
          <w:sz w:val="22"/>
          <w:szCs w:val="22"/>
          <w:lang w:val="sr-Latn-ME"/>
        </w:rPr>
        <w:t>j</w:t>
      </w:r>
      <w:r w:rsidRPr="00894893">
        <w:rPr>
          <w:sz w:val="22"/>
          <w:szCs w:val="22"/>
          <w:lang w:val="sr-Latn-ME"/>
        </w:rPr>
        <w:t>etovati da potraže medicinski sav</w:t>
      </w:r>
      <w:r w:rsidR="00F07252" w:rsidRPr="00894893">
        <w:rPr>
          <w:sz w:val="22"/>
          <w:szCs w:val="22"/>
          <w:lang w:val="sr-Latn-ME"/>
        </w:rPr>
        <w:t>j</w:t>
      </w:r>
      <w:r w:rsidRPr="00894893">
        <w:rPr>
          <w:sz w:val="22"/>
          <w:szCs w:val="22"/>
          <w:lang w:val="sr-Latn-ME"/>
        </w:rPr>
        <w:t>et ukoliko se pojave bilo kakve naznake suicidnih misli ili ponašanja.</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widowControl w:val="0"/>
        <w:jc w:val="both"/>
        <w:rPr>
          <w:i/>
          <w:iCs/>
          <w:sz w:val="22"/>
          <w:szCs w:val="22"/>
          <w:u w:val="single"/>
          <w:lang w:val="sr-Latn-ME"/>
        </w:rPr>
      </w:pPr>
      <w:r w:rsidRPr="00894893">
        <w:rPr>
          <w:i/>
          <w:iCs/>
          <w:sz w:val="22"/>
          <w:szCs w:val="22"/>
          <w:u w:val="single"/>
          <w:lang w:val="sr-Latn-ME"/>
        </w:rPr>
        <w:t>Poremećaji kontrole nagona</w:t>
      </w:r>
    </w:p>
    <w:p w:rsidR="001975CB" w:rsidRPr="00894893" w:rsidRDefault="001975CB" w:rsidP="00F7502B">
      <w:pPr>
        <w:widowControl w:val="0"/>
        <w:jc w:val="both"/>
        <w:rPr>
          <w:sz w:val="22"/>
          <w:szCs w:val="22"/>
          <w:lang w:val="sr-Latn-ME"/>
        </w:rPr>
      </w:pPr>
      <w:r w:rsidRPr="00894893">
        <w:rPr>
          <w:sz w:val="22"/>
          <w:szCs w:val="22"/>
          <w:lang w:val="sr-Latn-ME"/>
        </w:rPr>
        <w:t>Pacijente treba redovno pratiti jer može doći do razvoja poremećaja kontrole nagona. Pacijenti i njihovi n</w:t>
      </w:r>
      <w:r w:rsidR="000677C1">
        <w:rPr>
          <w:sz w:val="22"/>
          <w:szCs w:val="22"/>
          <w:lang w:val="sr-Latn-ME"/>
        </w:rPr>
        <w:t>j</w:t>
      </w:r>
      <w:r w:rsidRPr="00894893">
        <w:rPr>
          <w:sz w:val="22"/>
          <w:szCs w:val="22"/>
          <w:lang w:val="sr-Latn-ME"/>
        </w:rPr>
        <w:t>egovatelji treba da budu informisani da se simptomi vezani za ponašanje kod poremećaja kontrole nagona, koji uključuju patološko kockanje, pojačan libido, hiperseksualnost, kompulzivno trošenje ili kupovanje, unošenje prekomjerne količine hrane i kompulzivni način ishrane mogu javiti kod pacijenata koji su na terapiji ljekovima sa dopaminergičkim dejstvom, uključujući i lijek PK-Merz, film tablete. Ukoliko se takvi simptomi jave kod pacijenta, treba razmotriti smanjenje doze ili postepenu obustavu primjene lijeka.</w:t>
      </w:r>
    </w:p>
    <w:p w:rsidR="001975CB" w:rsidRPr="00894893" w:rsidRDefault="001975CB" w:rsidP="00F7502B">
      <w:pPr>
        <w:widowControl w:val="0"/>
        <w:jc w:val="both"/>
        <w:rPr>
          <w:sz w:val="22"/>
          <w:szCs w:val="22"/>
          <w:lang w:val="sr-Latn-ME"/>
        </w:rPr>
      </w:pPr>
    </w:p>
    <w:p w:rsidR="001975CB" w:rsidRPr="00894893" w:rsidRDefault="001975CB" w:rsidP="00F7502B">
      <w:pPr>
        <w:pStyle w:val="Header"/>
        <w:widowControl w:val="0"/>
        <w:tabs>
          <w:tab w:val="left" w:pos="284"/>
        </w:tabs>
        <w:jc w:val="both"/>
        <w:rPr>
          <w:sz w:val="22"/>
          <w:szCs w:val="22"/>
          <w:u w:val="single"/>
          <w:lang w:val="sr-Latn-ME"/>
        </w:rPr>
      </w:pPr>
      <w:r w:rsidRPr="00894893">
        <w:rPr>
          <w:sz w:val="22"/>
          <w:szCs w:val="22"/>
          <w:u w:val="single"/>
          <w:lang w:val="sr-Latn-ME"/>
        </w:rPr>
        <w:t>Posebna upozorenja o pomoćnim supstancama</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Lijek PK-Merz, film tablete sadrži kao pomoćnu supstancu boju Yellow orange lacquer (E 110), koja može izazvati alergijske reakcije.</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widowControl w:val="0"/>
        <w:autoSpaceDE w:val="0"/>
        <w:autoSpaceDN w:val="0"/>
        <w:adjustRightInd w:val="0"/>
        <w:jc w:val="both"/>
        <w:rPr>
          <w:rFonts w:eastAsia="TimesNewRoman"/>
          <w:sz w:val="22"/>
          <w:szCs w:val="22"/>
          <w:lang w:val="sr-Latn-ME"/>
        </w:rPr>
      </w:pPr>
      <w:r w:rsidRPr="00894893">
        <w:rPr>
          <w:sz w:val="22"/>
          <w:szCs w:val="22"/>
          <w:lang w:val="sr-Latn-ME"/>
        </w:rPr>
        <w:t xml:space="preserve">Lijek PK-Merz, film tablete sadrži kao pomoćnu supstancu laktozu, monohidrat. </w:t>
      </w:r>
      <w:r w:rsidRPr="00894893">
        <w:rPr>
          <w:rFonts w:eastAsia="TimesNewRoman"/>
          <w:sz w:val="22"/>
          <w:szCs w:val="22"/>
          <w:lang w:val="sr-Latn-ME"/>
        </w:rPr>
        <w:t>Pacijenti sa rijetkim nasl</w:t>
      </w:r>
      <w:r w:rsidR="000677C1">
        <w:rPr>
          <w:rFonts w:eastAsia="TimesNewRoman"/>
          <w:sz w:val="22"/>
          <w:szCs w:val="22"/>
          <w:lang w:val="sr-Latn-ME"/>
        </w:rPr>
        <w:t>j</w:t>
      </w:r>
      <w:r w:rsidRPr="00894893">
        <w:rPr>
          <w:rFonts w:eastAsia="TimesNewRoman"/>
          <w:sz w:val="22"/>
          <w:szCs w:val="22"/>
          <w:lang w:val="sr-Latn-ME"/>
        </w:rPr>
        <w:t>ednim oboljenjem intolerancije na galaktozu, nedostatkom laktaze ili glukozno-galaktoznom malapsorpcijom, ne smiju koristiti ovaj lijek.</w:t>
      </w:r>
    </w:p>
    <w:p w:rsidR="00057E35" w:rsidRPr="00894893" w:rsidRDefault="00057E35" w:rsidP="00F7502B">
      <w:pPr>
        <w:widowControl w:val="0"/>
        <w:tabs>
          <w:tab w:val="left" w:pos="540"/>
          <w:tab w:val="left" w:pos="569"/>
        </w:tabs>
        <w:jc w:val="both"/>
        <w:rPr>
          <w:bCs/>
          <w:sz w:val="22"/>
          <w:szCs w:val="22"/>
          <w:lang w:val="sr-Latn-ME"/>
        </w:rPr>
      </w:pPr>
    </w:p>
    <w:p w:rsidR="00411B4B" w:rsidRPr="00894893" w:rsidRDefault="00411B4B" w:rsidP="00F7502B">
      <w:pPr>
        <w:widowControl w:val="0"/>
        <w:tabs>
          <w:tab w:val="left" w:pos="540"/>
          <w:tab w:val="left" w:pos="569"/>
        </w:tabs>
        <w:jc w:val="both"/>
        <w:rPr>
          <w:b/>
          <w:bCs/>
          <w:sz w:val="22"/>
          <w:szCs w:val="22"/>
          <w:lang w:val="sr-Latn-ME"/>
        </w:rPr>
      </w:pPr>
      <w:r w:rsidRPr="00894893">
        <w:rPr>
          <w:b/>
          <w:bCs/>
          <w:sz w:val="22"/>
          <w:szCs w:val="22"/>
          <w:lang w:val="sr-Latn-ME"/>
        </w:rPr>
        <w:t>4.5.</w:t>
      </w:r>
      <w:r w:rsidR="000D60CC" w:rsidRPr="00894893">
        <w:rPr>
          <w:b/>
          <w:bCs/>
          <w:sz w:val="22"/>
          <w:szCs w:val="22"/>
          <w:lang w:val="sr-Latn-ME"/>
        </w:rPr>
        <w:tab/>
      </w:r>
      <w:r w:rsidRPr="00894893">
        <w:rPr>
          <w:b/>
          <w:bCs/>
          <w:sz w:val="22"/>
          <w:szCs w:val="22"/>
          <w:lang w:val="sr-Latn-ME"/>
        </w:rPr>
        <w:t>Interakcije sa drugim ljekovima i druge vrste interakcija</w:t>
      </w:r>
    </w:p>
    <w:p w:rsidR="001975CB" w:rsidRPr="00894893" w:rsidRDefault="001975CB" w:rsidP="00F7502B">
      <w:pPr>
        <w:widowControl w:val="0"/>
        <w:tabs>
          <w:tab w:val="left" w:pos="540"/>
          <w:tab w:val="left" w:pos="569"/>
        </w:tabs>
        <w:jc w:val="both"/>
        <w:rPr>
          <w:b/>
          <w:bCs/>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Kontraindikovana je istovremena primjena amantadina sa drugim ljekovima za koje je poznato da mogu da produže QT interval kao što su:</w:t>
      </w:r>
    </w:p>
    <w:p w:rsidR="001975CB" w:rsidRPr="00894893" w:rsidRDefault="001975CB" w:rsidP="00F7502B">
      <w:pPr>
        <w:pStyle w:val="Header"/>
        <w:widowControl w:val="0"/>
        <w:numPr>
          <w:ilvl w:val="0"/>
          <w:numId w:val="15"/>
        </w:numPr>
        <w:tabs>
          <w:tab w:val="clear" w:pos="4320"/>
          <w:tab w:val="clear" w:pos="8640"/>
          <w:tab w:val="left" w:pos="284"/>
        </w:tabs>
        <w:jc w:val="both"/>
        <w:rPr>
          <w:sz w:val="22"/>
          <w:szCs w:val="22"/>
          <w:lang w:val="sr-Latn-ME"/>
        </w:rPr>
      </w:pPr>
      <w:r w:rsidRPr="00894893">
        <w:rPr>
          <w:sz w:val="22"/>
          <w:szCs w:val="22"/>
          <w:lang w:val="sr-Latn-ME"/>
        </w:rPr>
        <w:t>pojedini antiaritmici klase IA (npr. hinidin, dizopiramid, prokainamid) i klase III (npr. amjodaron, sotalol)</w:t>
      </w:r>
    </w:p>
    <w:p w:rsidR="001975CB" w:rsidRPr="00894893" w:rsidRDefault="001975CB" w:rsidP="00F7502B">
      <w:pPr>
        <w:pStyle w:val="Header"/>
        <w:widowControl w:val="0"/>
        <w:numPr>
          <w:ilvl w:val="0"/>
          <w:numId w:val="15"/>
        </w:numPr>
        <w:tabs>
          <w:tab w:val="clear" w:pos="4320"/>
          <w:tab w:val="clear" w:pos="8640"/>
          <w:tab w:val="left" w:pos="284"/>
        </w:tabs>
        <w:jc w:val="both"/>
        <w:rPr>
          <w:sz w:val="22"/>
          <w:szCs w:val="22"/>
          <w:lang w:val="sr-Latn-ME"/>
        </w:rPr>
      </w:pPr>
      <w:r w:rsidRPr="00894893">
        <w:rPr>
          <w:sz w:val="22"/>
          <w:szCs w:val="22"/>
          <w:lang w:val="sr-Latn-ME"/>
        </w:rPr>
        <w:t>pojedini antipsihotici (npr. tioridazin, hlorpromazin, haloperidol, pimozid)</w:t>
      </w:r>
    </w:p>
    <w:p w:rsidR="001975CB" w:rsidRPr="00894893" w:rsidRDefault="001975CB" w:rsidP="00F7502B">
      <w:pPr>
        <w:pStyle w:val="Header"/>
        <w:widowControl w:val="0"/>
        <w:numPr>
          <w:ilvl w:val="0"/>
          <w:numId w:val="15"/>
        </w:numPr>
        <w:tabs>
          <w:tab w:val="clear" w:pos="4320"/>
          <w:tab w:val="clear" w:pos="8640"/>
          <w:tab w:val="left" w:pos="284"/>
        </w:tabs>
        <w:jc w:val="both"/>
        <w:rPr>
          <w:sz w:val="22"/>
          <w:szCs w:val="22"/>
          <w:lang w:val="sr-Latn-ME"/>
        </w:rPr>
      </w:pPr>
      <w:r w:rsidRPr="00894893">
        <w:rPr>
          <w:sz w:val="22"/>
          <w:szCs w:val="22"/>
          <w:lang w:val="sr-Latn-ME"/>
        </w:rPr>
        <w:t>pojedini triciklični i tetraciklični antidepresivi (npr. amitriptilin)</w:t>
      </w:r>
    </w:p>
    <w:p w:rsidR="001975CB" w:rsidRPr="00894893" w:rsidRDefault="001975CB" w:rsidP="00F7502B">
      <w:pPr>
        <w:pStyle w:val="Header"/>
        <w:widowControl w:val="0"/>
        <w:numPr>
          <w:ilvl w:val="0"/>
          <w:numId w:val="15"/>
        </w:numPr>
        <w:tabs>
          <w:tab w:val="clear" w:pos="4320"/>
          <w:tab w:val="clear" w:pos="8640"/>
          <w:tab w:val="left" w:pos="284"/>
        </w:tabs>
        <w:jc w:val="both"/>
        <w:rPr>
          <w:sz w:val="22"/>
          <w:szCs w:val="22"/>
          <w:lang w:val="sr-Latn-ME"/>
        </w:rPr>
      </w:pPr>
      <w:r w:rsidRPr="00894893">
        <w:rPr>
          <w:sz w:val="22"/>
          <w:szCs w:val="22"/>
          <w:lang w:val="sr-Latn-ME"/>
        </w:rPr>
        <w:t>pojedini antihistaminici (npr. astemizol, terfenadin)</w:t>
      </w:r>
    </w:p>
    <w:p w:rsidR="001975CB" w:rsidRPr="00894893" w:rsidRDefault="001975CB" w:rsidP="00F7502B">
      <w:pPr>
        <w:pStyle w:val="Header"/>
        <w:widowControl w:val="0"/>
        <w:numPr>
          <w:ilvl w:val="0"/>
          <w:numId w:val="15"/>
        </w:numPr>
        <w:tabs>
          <w:tab w:val="clear" w:pos="4320"/>
          <w:tab w:val="clear" w:pos="8640"/>
          <w:tab w:val="left" w:pos="284"/>
        </w:tabs>
        <w:jc w:val="both"/>
        <w:rPr>
          <w:sz w:val="22"/>
          <w:szCs w:val="22"/>
          <w:lang w:val="sr-Latn-ME"/>
        </w:rPr>
      </w:pPr>
      <w:r w:rsidRPr="00894893">
        <w:rPr>
          <w:sz w:val="22"/>
          <w:szCs w:val="22"/>
          <w:lang w:val="sr-Latn-ME"/>
        </w:rPr>
        <w:t>pojedini makrolidni antibiotici (npr. ertitromicin, klaritromicin)</w:t>
      </w:r>
    </w:p>
    <w:p w:rsidR="001975CB" w:rsidRPr="00894893" w:rsidRDefault="001975CB" w:rsidP="00F7502B">
      <w:pPr>
        <w:pStyle w:val="Header"/>
        <w:widowControl w:val="0"/>
        <w:numPr>
          <w:ilvl w:val="0"/>
          <w:numId w:val="15"/>
        </w:numPr>
        <w:tabs>
          <w:tab w:val="clear" w:pos="4320"/>
          <w:tab w:val="clear" w:pos="8640"/>
          <w:tab w:val="left" w:pos="284"/>
        </w:tabs>
        <w:jc w:val="both"/>
        <w:rPr>
          <w:sz w:val="22"/>
          <w:szCs w:val="22"/>
          <w:lang w:val="sr-Latn-ME"/>
        </w:rPr>
      </w:pPr>
      <w:r w:rsidRPr="00894893">
        <w:rPr>
          <w:sz w:val="22"/>
          <w:szCs w:val="22"/>
          <w:lang w:val="sr-Latn-ME"/>
        </w:rPr>
        <w:t>pojedini inhibitori giraze (npr. sparfloksacin)</w:t>
      </w:r>
    </w:p>
    <w:p w:rsidR="001975CB" w:rsidRPr="00894893" w:rsidRDefault="001975CB" w:rsidP="00F7502B">
      <w:pPr>
        <w:pStyle w:val="Header"/>
        <w:widowControl w:val="0"/>
        <w:numPr>
          <w:ilvl w:val="0"/>
          <w:numId w:val="15"/>
        </w:numPr>
        <w:tabs>
          <w:tab w:val="clear" w:pos="4320"/>
          <w:tab w:val="clear" w:pos="8640"/>
          <w:tab w:val="left" w:pos="284"/>
        </w:tabs>
        <w:jc w:val="both"/>
        <w:rPr>
          <w:sz w:val="22"/>
          <w:szCs w:val="22"/>
          <w:lang w:val="sr-Latn-ME"/>
        </w:rPr>
      </w:pPr>
      <w:r w:rsidRPr="00894893">
        <w:rPr>
          <w:sz w:val="22"/>
          <w:szCs w:val="22"/>
          <w:lang w:val="sr-Latn-ME"/>
        </w:rPr>
        <w:t>antimikotici (derivati azola), kao i drugi ljekovi, kao što su budipin, halofantrin, kotrimoksazol, pentamidin, cisaprid ili bepridil</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lastRenderedPageBreak/>
        <w:t>Ovaj spisak nije sveobuhvatan. Prije započinjanja primjene amantadina istovremeno sa drugim lijekom  neophodno je provjeriti u Sažetku karakteristika lijeka da li postoji mogućnost interakcija istovremeno prim</w:t>
      </w:r>
      <w:r w:rsidR="000677C1">
        <w:rPr>
          <w:sz w:val="22"/>
          <w:szCs w:val="22"/>
          <w:lang w:val="sr-Latn-ME"/>
        </w:rPr>
        <w:t>i</w:t>
      </w:r>
      <w:r w:rsidRPr="00894893">
        <w:rPr>
          <w:sz w:val="22"/>
          <w:szCs w:val="22"/>
          <w:lang w:val="sr-Latn-ME"/>
        </w:rPr>
        <w:t>jenjenog lijeka i amantadina zbog produženja QT intervala.</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Primjena lijeka PK-Merz, film tableta u kombinaciji sa drugim antiparkinsonicima je moguća. U cilju izbjegavanja neželjenih dejstava (npr. psihotičkih reakcija) može biti neophodno smanjenje doze drugih ljekova ili svih ljekova u kombinaciji. </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Nijesu sprovedena posebna ispitivanja interakcija nakon primjene lijeka PK-Merz, film tablete sa drugim antiparkinsonicima (npr. levodopom, bromokriptinom, triheksifenidilom, itd.) ili memantinom (vidjeti </w:t>
      </w:r>
      <w:r w:rsidR="00F07252" w:rsidRPr="00894893">
        <w:rPr>
          <w:sz w:val="22"/>
          <w:szCs w:val="22"/>
          <w:lang w:val="sr-Latn-ME"/>
        </w:rPr>
        <w:t xml:space="preserve">dio </w:t>
      </w:r>
      <w:r w:rsidRPr="00894893">
        <w:rPr>
          <w:sz w:val="22"/>
          <w:szCs w:val="22"/>
          <w:lang w:val="sr-Latn-ME"/>
        </w:rPr>
        <w:t>4.8).</w:t>
      </w:r>
    </w:p>
    <w:p w:rsidR="001975CB" w:rsidRPr="00894893" w:rsidRDefault="001975CB" w:rsidP="00F7502B">
      <w:pPr>
        <w:pStyle w:val="Header"/>
        <w:widowControl w:val="0"/>
        <w:tabs>
          <w:tab w:val="left" w:pos="284"/>
        </w:tabs>
        <w:jc w:val="both"/>
        <w:rPr>
          <w:sz w:val="22"/>
          <w:szCs w:val="22"/>
          <w:lang w:val="sr-Latn-ME"/>
        </w:rPr>
      </w:pP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Istovremena primjena lijeka PK-Merz, film tablete sa drugim ljekovima ili aktivnim supstancama iz navedene liste u nastavku može dovesti do sljedećih interakcija:</w:t>
      </w:r>
    </w:p>
    <w:p w:rsidR="001975CB" w:rsidRPr="00894893" w:rsidRDefault="001975CB" w:rsidP="00F7502B">
      <w:pPr>
        <w:pStyle w:val="Header"/>
        <w:widowControl w:val="0"/>
        <w:tabs>
          <w:tab w:val="left" w:pos="284"/>
        </w:tabs>
        <w:jc w:val="both"/>
        <w:rPr>
          <w:sz w:val="22"/>
          <w:szCs w:val="22"/>
          <w:u w:val="single"/>
          <w:lang w:val="sr-Latn-ME"/>
        </w:rPr>
      </w:pPr>
    </w:p>
    <w:p w:rsidR="001975CB" w:rsidRPr="00894893" w:rsidRDefault="001975CB" w:rsidP="00F7502B">
      <w:pPr>
        <w:pStyle w:val="Header"/>
        <w:widowControl w:val="0"/>
        <w:tabs>
          <w:tab w:val="left" w:pos="284"/>
        </w:tabs>
        <w:jc w:val="both"/>
        <w:rPr>
          <w:i/>
          <w:iCs/>
          <w:sz w:val="22"/>
          <w:szCs w:val="22"/>
          <w:u w:val="single"/>
          <w:lang w:val="sr-Latn-ME"/>
        </w:rPr>
      </w:pPr>
      <w:r w:rsidRPr="00894893">
        <w:rPr>
          <w:i/>
          <w:iCs/>
          <w:sz w:val="22"/>
          <w:szCs w:val="22"/>
          <w:u w:val="single"/>
          <w:lang w:val="sr-Latn-ME"/>
        </w:rPr>
        <w:t>Antiholinergici:</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Istovremena primjena sa antiholinergicima (npr. triheksifenidil, benzatropin, skopolamin, biperiden, orfenadrin, itd.) može dovesti do pojačanja neželjenog dejstva antiholinergika (konfuzija i halucinacije).</w:t>
      </w:r>
    </w:p>
    <w:p w:rsidR="001975CB" w:rsidRPr="00894893" w:rsidRDefault="001975CB" w:rsidP="00F7502B">
      <w:pPr>
        <w:pStyle w:val="Header"/>
        <w:widowControl w:val="0"/>
        <w:tabs>
          <w:tab w:val="left" w:pos="284"/>
        </w:tabs>
        <w:jc w:val="both"/>
        <w:rPr>
          <w:sz w:val="22"/>
          <w:szCs w:val="22"/>
          <w:u w:val="single"/>
          <w:lang w:val="sr-Latn-ME"/>
        </w:rPr>
      </w:pPr>
    </w:p>
    <w:p w:rsidR="001975CB" w:rsidRPr="00894893" w:rsidRDefault="001975CB" w:rsidP="00F7502B">
      <w:pPr>
        <w:pStyle w:val="Header"/>
        <w:widowControl w:val="0"/>
        <w:tabs>
          <w:tab w:val="left" w:pos="284"/>
        </w:tabs>
        <w:jc w:val="both"/>
        <w:rPr>
          <w:i/>
          <w:iCs/>
          <w:sz w:val="22"/>
          <w:szCs w:val="22"/>
          <w:u w:val="single"/>
          <w:lang w:val="sr-Latn-ME"/>
        </w:rPr>
      </w:pPr>
      <w:r w:rsidRPr="00894893">
        <w:rPr>
          <w:i/>
          <w:iCs/>
          <w:sz w:val="22"/>
          <w:szCs w:val="22"/>
          <w:u w:val="single"/>
          <w:lang w:val="sr-Latn-ME"/>
        </w:rPr>
        <w:t>Simpatomimetici koji indirektno aktiviraju CNS:</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Pojačavanje centralnih dejstava amantadina.</w:t>
      </w:r>
    </w:p>
    <w:p w:rsidR="001975CB" w:rsidRPr="00894893" w:rsidRDefault="001975CB" w:rsidP="00F7502B">
      <w:pPr>
        <w:pStyle w:val="Header"/>
        <w:widowControl w:val="0"/>
        <w:tabs>
          <w:tab w:val="left" w:pos="284"/>
        </w:tabs>
        <w:jc w:val="both"/>
        <w:rPr>
          <w:sz w:val="22"/>
          <w:szCs w:val="22"/>
          <w:u w:val="single"/>
          <w:lang w:val="sr-Latn-ME"/>
        </w:rPr>
      </w:pPr>
    </w:p>
    <w:p w:rsidR="001975CB" w:rsidRPr="00894893" w:rsidRDefault="001975CB" w:rsidP="00F7502B">
      <w:pPr>
        <w:pStyle w:val="Header"/>
        <w:widowControl w:val="0"/>
        <w:tabs>
          <w:tab w:val="left" w:pos="284"/>
        </w:tabs>
        <w:jc w:val="both"/>
        <w:rPr>
          <w:i/>
          <w:iCs/>
          <w:sz w:val="22"/>
          <w:szCs w:val="22"/>
          <w:u w:val="single"/>
          <w:lang w:val="sr-Latn-ME"/>
        </w:rPr>
      </w:pPr>
      <w:r w:rsidRPr="00894893">
        <w:rPr>
          <w:i/>
          <w:iCs/>
          <w:sz w:val="22"/>
          <w:szCs w:val="22"/>
          <w:u w:val="single"/>
          <w:lang w:val="sr-Latn-ME"/>
        </w:rPr>
        <w:t>Alkohol:</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Smanjena tolerancija na alkohol.</w:t>
      </w:r>
    </w:p>
    <w:p w:rsidR="001975CB" w:rsidRPr="00894893" w:rsidRDefault="001975CB" w:rsidP="00F7502B">
      <w:pPr>
        <w:pStyle w:val="Header"/>
        <w:widowControl w:val="0"/>
        <w:tabs>
          <w:tab w:val="left" w:pos="284"/>
        </w:tabs>
        <w:jc w:val="both"/>
        <w:rPr>
          <w:sz w:val="22"/>
          <w:szCs w:val="22"/>
          <w:u w:val="single"/>
          <w:lang w:val="sr-Latn-ME"/>
        </w:rPr>
      </w:pPr>
    </w:p>
    <w:p w:rsidR="001975CB" w:rsidRPr="00894893" w:rsidRDefault="001975CB" w:rsidP="00F7502B">
      <w:pPr>
        <w:pStyle w:val="Header"/>
        <w:widowControl w:val="0"/>
        <w:tabs>
          <w:tab w:val="left" w:pos="284"/>
        </w:tabs>
        <w:jc w:val="both"/>
        <w:rPr>
          <w:i/>
          <w:iCs/>
          <w:sz w:val="22"/>
          <w:szCs w:val="22"/>
          <w:u w:val="single"/>
          <w:lang w:val="sr-Latn-ME"/>
        </w:rPr>
      </w:pPr>
      <w:r w:rsidRPr="00894893">
        <w:rPr>
          <w:i/>
          <w:iCs/>
          <w:sz w:val="22"/>
          <w:szCs w:val="22"/>
          <w:u w:val="single"/>
          <w:lang w:val="sr-Latn-ME"/>
        </w:rPr>
        <w:t>Levodopa (antiparkinsonik):</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Uzajamno pojačanje terapijskog dejstva. Stoga se levodopa može koristiti u kombinaciji sa lijekom PK-Merz, film tablete.</w:t>
      </w:r>
    </w:p>
    <w:p w:rsidR="001975CB" w:rsidRPr="00894893" w:rsidRDefault="001975CB" w:rsidP="00F7502B">
      <w:pPr>
        <w:pStyle w:val="Header"/>
        <w:widowControl w:val="0"/>
        <w:tabs>
          <w:tab w:val="left" w:pos="284"/>
        </w:tabs>
        <w:jc w:val="both"/>
        <w:rPr>
          <w:sz w:val="22"/>
          <w:szCs w:val="22"/>
          <w:u w:val="single"/>
          <w:lang w:val="sr-Latn-ME"/>
        </w:rPr>
      </w:pPr>
    </w:p>
    <w:p w:rsidR="001975CB" w:rsidRPr="00894893" w:rsidRDefault="001975CB" w:rsidP="00F7502B">
      <w:pPr>
        <w:pStyle w:val="Header"/>
        <w:widowControl w:val="0"/>
        <w:tabs>
          <w:tab w:val="left" w:pos="284"/>
        </w:tabs>
        <w:jc w:val="both"/>
        <w:rPr>
          <w:i/>
          <w:iCs/>
          <w:sz w:val="22"/>
          <w:szCs w:val="22"/>
          <w:u w:val="single"/>
          <w:lang w:val="sr-Latn-ME"/>
        </w:rPr>
      </w:pPr>
      <w:r w:rsidRPr="00894893">
        <w:rPr>
          <w:i/>
          <w:iCs/>
          <w:sz w:val="22"/>
          <w:szCs w:val="22"/>
          <w:u w:val="single"/>
          <w:lang w:val="sr-Latn-ME"/>
        </w:rPr>
        <w:t>Memantin (lijek za terapiju demencije):</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Memantin može pojačati terapijsko dejstvo, ali i neželjena dejstva lijeka PK-Merz, film tablete (vidjeti </w:t>
      </w:r>
      <w:r w:rsidR="00F07252" w:rsidRPr="00894893">
        <w:rPr>
          <w:sz w:val="22"/>
          <w:szCs w:val="22"/>
          <w:lang w:val="sr-Latn-ME"/>
        </w:rPr>
        <w:t xml:space="preserve">dio </w:t>
      </w:r>
      <w:r w:rsidRPr="00894893">
        <w:rPr>
          <w:sz w:val="22"/>
          <w:szCs w:val="22"/>
          <w:lang w:val="sr-Latn-ME"/>
        </w:rPr>
        <w:t>4.4).</w:t>
      </w:r>
    </w:p>
    <w:p w:rsidR="001975CB" w:rsidRPr="00894893" w:rsidRDefault="001975CB" w:rsidP="00F7502B">
      <w:pPr>
        <w:pStyle w:val="Header"/>
        <w:widowControl w:val="0"/>
        <w:tabs>
          <w:tab w:val="left" w:pos="284"/>
        </w:tabs>
        <w:jc w:val="both"/>
        <w:rPr>
          <w:sz w:val="22"/>
          <w:szCs w:val="22"/>
          <w:u w:val="single"/>
          <w:lang w:val="sr-Latn-ME"/>
        </w:rPr>
      </w:pPr>
    </w:p>
    <w:p w:rsidR="001975CB" w:rsidRPr="00894893" w:rsidRDefault="001975CB" w:rsidP="00F7502B">
      <w:pPr>
        <w:pStyle w:val="Header"/>
        <w:widowControl w:val="0"/>
        <w:tabs>
          <w:tab w:val="left" w:pos="284"/>
        </w:tabs>
        <w:jc w:val="both"/>
        <w:rPr>
          <w:sz w:val="22"/>
          <w:szCs w:val="22"/>
          <w:u w:val="single"/>
          <w:lang w:val="sr-Latn-ME"/>
        </w:rPr>
      </w:pPr>
      <w:r w:rsidRPr="00894893">
        <w:rPr>
          <w:sz w:val="22"/>
          <w:szCs w:val="22"/>
          <w:u w:val="single"/>
          <w:lang w:val="sr-Latn-ME"/>
        </w:rPr>
        <w:t>Ostali ljekovi:</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Istovremena primjena kombinacije diuretika triamteren/hidrohlortiazid može smanjiti plazma klirens amantadina, što može dovesti do toksične koncentracije lijeka u plazmi. Stoga istovremenu primjenu ovih ljekova treba izbjegavati.</w:t>
      </w:r>
    </w:p>
    <w:p w:rsidR="0072020E" w:rsidRPr="00894893" w:rsidRDefault="0072020E" w:rsidP="00F7502B">
      <w:pPr>
        <w:widowControl w:val="0"/>
        <w:tabs>
          <w:tab w:val="left" w:pos="540"/>
          <w:tab w:val="left" w:pos="569"/>
        </w:tabs>
        <w:jc w:val="both"/>
        <w:rPr>
          <w:bCs/>
          <w:sz w:val="22"/>
          <w:szCs w:val="22"/>
          <w:lang w:val="sr-Latn-ME"/>
        </w:rPr>
      </w:pPr>
    </w:p>
    <w:p w:rsidR="0072020E" w:rsidRPr="00894893" w:rsidRDefault="0072020E" w:rsidP="00F7502B">
      <w:pPr>
        <w:widowControl w:val="0"/>
        <w:tabs>
          <w:tab w:val="left" w:pos="540"/>
          <w:tab w:val="left" w:pos="569"/>
        </w:tabs>
        <w:jc w:val="both"/>
        <w:rPr>
          <w:b/>
          <w:sz w:val="22"/>
          <w:szCs w:val="22"/>
          <w:lang w:val="sr-Latn-ME"/>
        </w:rPr>
      </w:pPr>
      <w:r w:rsidRPr="00894893">
        <w:rPr>
          <w:b/>
          <w:bCs/>
          <w:sz w:val="22"/>
          <w:szCs w:val="22"/>
          <w:lang w:val="sr-Latn-ME"/>
        </w:rPr>
        <w:t xml:space="preserve">4.6. </w:t>
      </w:r>
      <w:r w:rsidR="00480FB1" w:rsidRPr="00894893">
        <w:rPr>
          <w:b/>
          <w:bCs/>
          <w:sz w:val="22"/>
          <w:szCs w:val="22"/>
          <w:lang w:val="sr-Latn-ME"/>
        </w:rPr>
        <w:tab/>
      </w:r>
      <w:r w:rsidR="006D20A5" w:rsidRPr="00894893">
        <w:rPr>
          <w:b/>
          <w:sz w:val="22"/>
          <w:szCs w:val="22"/>
          <w:lang w:val="sr-Latn-ME"/>
        </w:rPr>
        <w:t>Plodnost, trudnoća i dojenje</w:t>
      </w:r>
    </w:p>
    <w:p w:rsidR="002031B3" w:rsidRPr="00894893" w:rsidRDefault="002031B3" w:rsidP="00F7502B">
      <w:pPr>
        <w:widowControl w:val="0"/>
        <w:tabs>
          <w:tab w:val="left" w:pos="540"/>
          <w:tab w:val="left" w:pos="569"/>
        </w:tabs>
        <w:jc w:val="both"/>
        <w:rPr>
          <w:sz w:val="22"/>
          <w:szCs w:val="22"/>
          <w:u w:val="single"/>
          <w:lang w:val="sr-Latn-ME"/>
        </w:rPr>
      </w:pPr>
    </w:p>
    <w:p w:rsidR="002031B3" w:rsidRPr="00894893" w:rsidRDefault="002031B3" w:rsidP="00F7502B">
      <w:pPr>
        <w:widowControl w:val="0"/>
        <w:tabs>
          <w:tab w:val="left" w:pos="540"/>
          <w:tab w:val="left" w:pos="569"/>
        </w:tabs>
        <w:jc w:val="both"/>
        <w:rPr>
          <w:sz w:val="22"/>
          <w:szCs w:val="22"/>
          <w:u w:val="single"/>
          <w:lang w:val="sr-Latn-ME"/>
        </w:rPr>
      </w:pPr>
      <w:r w:rsidRPr="00894893">
        <w:rPr>
          <w:sz w:val="22"/>
          <w:szCs w:val="22"/>
          <w:u w:val="single"/>
          <w:lang w:val="sr-Latn-ME"/>
        </w:rPr>
        <w:t>Plodnost</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Ukoliko se lijek propisuje pacijentkinji u reproduktivnom periodu, treba je posavjetovati da se odmah javi ljekaru u slučaju da planira trudnoću ili sumnja da je trudna.</w:t>
      </w:r>
    </w:p>
    <w:p w:rsidR="002031B3" w:rsidRPr="00894893" w:rsidRDefault="002031B3" w:rsidP="00F7502B">
      <w:pPr>
        <w:widowControl w:val="0"/>
        <w:tabs>
          <w:tab w:val="left" w:pos="540"/>
          <w:tab w:val="left" w:pos="569"/>
        </w:tabs>
        <w:jc w:val="both"/>
        <w:rPr>
          <w:sz w:val="22"/>
          <w:szCs w:val="22"/>
          <w:u w:val="single"/>
          <w:lang w:val="sr-Latn-ME"/>
        </w:rPr>
      </w:pPr>
    </w:p>
    <w:p w:rsidR="007A3ECB" w:rsidRPr="00894893" w:rsidRDefault="007A3ECB" w:rsidP="00F7502B">
      <w:pPr>
        <w:widowControl w:val="0"/>
        <w:tabs>
          <w:tab w:val="left" w:pos="540"/>
          <w:tab w:val="left" w:pos="569"/>
        </w:tabs>
        <w:jc w:val="both"/>
        <w:rPr>
          <w:sz w:val="22"/>
          <w:szCs w:val="22"/>
          <w:u w:val="single"/>
          <w:lang w:val="sr-Latn-ME"/>
        </w:rPr>
      </w:pPr>
      <w:r w:rsidRPr="00894893">
        <w:rPr>
          <w:sz w:val="22"/>
          <w:szCs w:val="22"/>
          <w:u w:val="single"/>
          <w:lang w:val="sr-Latn-ME"/>
        </w:rPr>
        <w:t>Trudnoća</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Nema dostupnih podataka o prolasku lijeka PK-Merz kroz placentu. Nema odgovarajućih podataka o primjeni amantadina kod trudnica. Bilo je prijavljenih slučajeva zdravo rođene djece, ali i slučajeva sa komplikacijama u toku trudnoće, kao i pet slučajeva sa urođenim malformacijama (kardiovaskularni defekti, anomalije ekstremiteta). U ispitivanjima na životinjama dokazana je embriotoksičnost i teratogenost (vidjeti </w:t>
      </w:r>
      <w:r w:rsidR="00F07252" w:rsidRPr="00894893">
        <w:rPr>
          <w:sz w:val="22"/>
          <w:szCs w:val="22"/>
          <w:lang w:val="sr-Latn-ME"/>
        </w:rPr>
        <w:t xml:space="preserve">dio </w:t>
      </w:r>
      <w:r w:rsidRPr="00894893">
        <w:rPr>
          <w:sz w:val="22"/>
          <w:szCs w:val="22"/>
          <w:lang w:val="sr-Latn-ME"/>
        </w:rPr>
        <w:t>5.3). Potencijalni rizik za ljude nije poznat.</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 xml:space="preserve">Amantadin se prema tome može primjenjivati tokom trudnoće samo ako je to apsolutno neophodno. Ako se terapija sprovodi tokom prvog trimestra trudnoće, neophodno je vršiti pregled ultrazvukom. </w:t>
      </w:r>
    </w:p>
    <w:p w:rsidR="002031B3" w:rsidRPr="00894893" w:rsidRDefault="002031B3" w:rsidP="00F7502B">
      <w:pPr>
        <w:widowControl w:val="0"/>
        <w:tabs>
          <w:tab w:val="left" w:pos="540"/>
          <w:tab w:val="left" w:pos="569"/>
        </w:tabs>
        <w:jc w:val="both"/>
        <w:rPr>
          <w:sz w:val="22"/>
          <w:szCs w:val="22"/>
          <w:u w:val="single"/>
          <w:lang w:val="sr-Latn-ME"/>
        </w:rPr>
      </w:pPr>
    </w:p>
    <w:p w:rsidR="0072020E" w:rsidRPr="00894893" w:rsidRDefault="007A3ECB" w:rsidP="00F7502B">
      <w:pPr>
        <w:widowControl w:val="0"/>
        <w:tabs>
          <w:tab w:val="left" w:pos="540"/>
          <w:tab w:val="left" w:pos="569"/>
        </w:tabs>
        <w:jc w:val="both"/>
        <w:rPr>
          <w:sz w:val="22"/>
          <w:szCs w:val="22"/>
          <w:u w:val="single"/>
          <w:lang w:val="sr-Latn-ME"/>
        </w:rPr>
      </w:pPr>
      <w:r w:rsidRPr="00894893">
        <w:rPr>
          <w:sz w:val="22"/>
          <w:szCs w:val="22"/>
          <w:u w:val="single"/>
          <w:lang w:val="sr-Latn-ME"/>
        </w:rPr>
        <w:t xml:space="preserve">Dojenje </w:t>
      </w:r>
    </w:p>
    <w:p w:rsidR="001975CB" w:rsidRPr="00894893" w:rsidRDefault="001975CB" w:rsidP="00F7502B">
      <w:pPr>
        <w:pStyle w:val="Header"/>
        <w:widowControl w:val="0"/>
        <w:tabs>
          <w:tab w:val="left" w:pos="284"/>
        </w:tabs>
        <w:jc w:val="both"/>
        <w:rPr>
          <w:sz w:val="22"/>
          <w:szCs w:val="22"/>
          <w:lang w:val="sr-Latn-ME"/>
        </w:rPr>
      </w:pPr>
      <w:r w:rsidRPr="00894893">
        <w:rPr>
          <w:sz w:val="22"/>
          <w:szCs w:val="22"/>
          <w:lang w:val="sr-Latn-ME"/>
        </w:rPr>
        <w:t>Amantadin se izlučuje u majčino mlijeko. Ako se primjena lijeka u periodu dojenja smatra apsolutno neophodnom, odojče treba da bude pod nadzorom ljekara zbog moguće pojave simptoma usljed primjene lijeka (osip, retencija urina, povraćanje) i ukoliko je potrebno, dojenje treba prekinuti.</w:t>
      </w:r>
    </w:p>
    <w:p w:rsidR="00227BDB" w:rsidRPr="00894893" w:rsidRDefault="00227BDB" w:rsidP="00201902">
      <w:pPr>
        <w:widowControl w:val="0"/>
        <w:tabs>
          <w:tab w:val="left" w:pos="540"/>
          <w:tab w:val="left" w:pos="569"/>
        </w:tabs>
        <w:jc w:val="both"/>
        <w:rPr>
          <w:b/>
          <w:bCs/>
          <w:sz w:val="22"/>
          <w:szCs w:val="22"/>
          <w:lang w:val="sr-Latn-ME"/>
        </w:rPr>
      </w:pPr>
    </w:p>
    <w:p w:rsidR="0072020E" w:rsidRPr="00894893" w:rsidRDefault="0072020E" w:rsidP="00201902">
      <w:pPr>
        <w:widowControl w:val="0"/>
        <w:tabs>
          <w:tab w:val="left" w:pos="540"/>
          <w:tab w:val="left" w:pos="569"/>
        </w:tabs>
        <w:ind w:left="540" w:hanging="540"/>
        <w:jc w:val="both"/>
        <w:rPr>
          <w:b/>
          <w:bCs/>
          <w:sz w:val="22"/>
          <w:szCs w:val="22"/>
          <w:lang w:val="sr-Latn-ME"/>
        </w:rPr>
      </w:pPr>
      <w:r w:rsidRPr="00894893">
        <w:rPr>
          <w:b/>
          <w:bCs/>
          <w:sz w:val="22"/>
          <w:szCs w:val="22"/>
          <w:lang w:val="sr-Latn-ME"/>
        </w:rPr>
        <w:t xml:space="preserve">4.7. </w:t>
      </w:r>
      <w:r w:rsidR="00480FB1" w:rsidRPr="00894893">
        <w:rPr>
          <w:b/>
          <w:bCs/>
          <w:sz w:val="22"/>
          <w:szCs w:val="22"/>
          <w:lang w:val="sr-Latn-ME"/>
        </w:rPr>
        <w:tab/>
      </w:r>
      <w:r w:rsidRPr="00894893">
        <w:rPr>
          <w:b/>
          <w:bCs/>
          <w:sz w:val="22"/>
          <w:szCs w:val="22"/>
          <w:lang w:val="sr-Latn-ME"/>
        </w:rPr>
        <w:t xml:space="preserve">Uticaj na </w:t>
      </w:r>
      <w:r w:rsidR="002031B3" w:rsidRPr="00894893">
        <w:rPr>
          <w:b/>
          <w:bCs/>
          <w:sz w:val="22"/>
          <w:szCs w:val="22"/>
          <w:lang w:val="sr-Latn-ME"/>
        </w:rPr>
        <w:t xml:space="preserve">sposobnost </w:t>
      </w:r>
      <w:r w:rsidR="00F34554" w:rsidRPr="00894893">
        <w:rPr>
          <w:b/>
          <w:bCs/>
          <w:sz w:val="22"/>
          <w:szCs w:val="22"/>
          <w:lang w:val="sr-Latn-ME"/>
        </w:rPr>
        <w:t>upravljanja vozili</w:t>
      </w:r>
      <w:r w:rsidRPr="00894893">
        <w:rPr>
          <w:b/>
          <w:bCs/>
          <w:sz w:val="22"/>
          <w:szCs w:val="22"/>
          <w:lang w:val="sr-Latn-ME"/>
        </w:rPr>
        <w:t>m</w:t>
      </w:r>
      <w:r w:rsidR="00F34554" w:rsidRPr="00894893">
        <w:rPr>
          <w:b/>
          <w:bCs/>
          <w:sz w:val="22"/>
          <w:szCs w:val="22"/>
          <w:lang w:val="sr-Latn-ME"/>
        </w:rPr>
        <w:t>a</w:t>
      </w:r>
      <w:r w:rsidRPr="00894893">
        <w:rPr>
          <w:b/>
          <w:bCs/>
          <w:sz w:val="22"/>
          <w:szCs w:val="22"/>
          <w:lang w:val="sr-Latn-ME"/>
        </w:rPr>
        <w:t xml:space="preserve"> i </w:t>
      </w:r>
      <w:r w:rsidR="000D3449" w:rsidRPr="00894893">
        <w:rPr>
          <w:b/>
          <w:bCs/>
          <w:sz w:val="22"/>
          <w:szCs w:val="22"/>
          <w:lang w:val="sr-Latn-ME"/>
        </w:rPr>
        <w:t xml:space="preserve">rukovanje </w:t>
      </w:r>
      <w:r w:rsidRPr="00894893">
        <w:rPr>
          <w:b/>
          <w:bCs/>
          <w:sz w:val="22"/>
          <w:szCs w:val="22"/>
          <w:lang w:val="sr-Latn-ME"/>
        </w:rPr>
        <w:t>mašinama</w:t>
      </w:r>
    </w:p>
    <w:p w:rsidR="001975CB" w:rsidRPr="00894893" w:rsidRDefault="001975CB" w:rsidP="00201902">
      <w:pPr>
        <w:widowControl w:val="0"/>
        <w:tabs>
          <w:tab w:val="left" w:pos="540"/>
          <w:tab w:val="left" w:pos="569"/>
        </w:tabs>
        <w:ind w:left="540" w:hanging="540"/>
        <w:jc w:val="both"/>
        <w:rPr>
          <w:b/>
          <w:bCs/>
          <w:sz w:val="22"/>
          <w:szCs w:val="22"/>
          <w:lang w:val="sr-Latn-ME"/>
        </w:rPr>
      </w:pPr>
    </w:p>
    <w:p w:rsidR="001975CB" w:rsidRPr="00894893" w:rsidRDefault="001975CB" w:rsidP="00201902">
      <w:pPr>
        <w:widowControl w:val="0"/>
        <w:jc w:val="both"/>
        <w:rPr>
          <w:sz w:val="22"/>
          <w:szCs w:val="22"/>
          <w:lang w:val="sr-Latn-ME"/>
        </w:rPr>
      </w:pPr>
      <w:r w:rsidRPr="00894893">
        <w:rPr>
          <w:sz w:val="22"/>
          <w:szCs w:val="22"/>
          <w:lang w:val="sr-Latn-ME"/>
        </w:rPr>
        <w:lastRenderedPageBreak/>
        <w:t>Uticaj amantadina na pažnju i akomodaciju, naročito udružen sa efektima drugih ljekova koji se primjenjuju u terapiji Parkinsonove bolesti, se ne može isključiti. Stoga, na početku terapije, može doći do dodatnog smanjenja sposobnosti upravljanja vozilima ili rukovanja mašinama - većeg nego što je smanjenje sposobnosti upravljanja vozilima i rukovanja mašinama usljed same bolesti.</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Ova smanjena sposobnost se još više smanjuje konzumiranjem alkohola.</w:t>
      </w:r>
    </w:p>
    <w:p w:rsidR="0072020E" w:rsidRPr="00894893" w:rsidRDefault="0072020E" w:rsidP="00201902">
      <w:pPr>
        <w:widowControl w:val="0"/>
        <w:tabs>
          <w:tab w:val="left" w:pos="540"/>
          <w:tab w:val="left" w:pos="569"/>
        </w:tabs>
        <w:jc w:val="both"/>
        <w:rPr>
          <w:b/>
          <w:bCs/>
          <w:sz w:val="22"/>
          <w:szCs w:val="22"/>
          <w:lang w:val="sr-Latn-ME"/>
        </w:rPr>
      </w:pPr>
    </w:p>
    <w:p w:rsidR="0072020E" w:rsidRPr="00894893" w:rsidRDefault="0072020E" w:rsidP="00201902">
      <w:pPr>
        <w:widowControl w:val="0"/>
        <w:tabs>
          <w:tab w:val="left" w:pos="540"/>
          <w:tab w:val="left" w:pos="569"/>
        </w:tabs>
        <w:jc w:val="both"/>
        <w:rPr>
          <w:b/>
          <w:bCs/>
          <w:sz w:val="22"/>
          <w:szCs w:val="22"/>
          <w:lang w:val="sr-Latn-ME"/>
        </w:rPr>
      </w:pPr>
      <w:r w:rsidRPr="00894893">
        <w:rPr>
          <w:b/>
          <w:bCs/>
          <w:sz w:val="22"/>
          <w:szCs w:val="22"/>
          <w:lang w:val="sr-Latn-ME"/>
        </w:rPr>
        <w:t xml:space="preserve">4.8. </w:t>
      </w:r>
      <w:r w:rsidR="00480FB1" w:rsidRPr="00894893">
        <w:rPr>
          <w:b/>
          <w:bCs/>
          <w:sz w:val="22"/>
          <w:szCs w:val="22"/>
          <w:lang w:val="sr-Latn-ME"/>
        </w:rPr>
        <w:tab/>
      </w:r>
      <w:r w:rsidRPr="00894893">
        <w:rPr>
          <w:b/>
          <w:bCs/>
          <w:sz w:val="22"/>
          <w:szCs w:val="22"/>
          <w:lang w:val="sr-Latn-ME"/>
        </w:rPr>
        <w:t>Neželjena dejstva</w:t>
      </w:r>
    </w:p>
    <w:p w:rsidR="001975CB" w:rsidRPr="00894893" w:rsidRDefault="001975CB" w:rsidP="00201902">
      <w:pPr>
        <w:widowControl w:val="0"/>
        <w:tabs>
          <w:tab w:val="left" w:pos="540"/>
          <w:tab w:val="left" w:pos="569"/>
        </w:tabs>
        <w:jc w:val="both"/>
        <w:rPr>
          <w:b/>
          <w:bCs/>
          <w:sz w:val="22"/>
          <w:szCs w:val="22"/>
          <w:lang w:val="sr-Latn-ME"/>
        </w:rPr>
      </w:pP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Procjena učestalosti neželjenih dejstava je izražena na sljedeći način:</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Veoma česta (≥ 1/10)</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Česta (≥ 1/100, &lt; 1/10)</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Povremena (≥ 1/1000, &lt; 1/100)</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Rijetka (≥ 1/10000, &lt; 1/1000)</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 xml:space="preserve">Veoma rijetka (&lt; 1/10000) </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Nepoznata učestalost (ne može se proc</w:t>
      </w:r>
      <w:r w:rsidR="005F41FE">
        <w:rPr>
          <w:sz w:val="22"/>
          <w:szCs w:val="22"/>
          <w:lang w:val="sr-Latn-ME"/>
        </w:rPr>
        <w:t>i</w:t>
      </w:r>
      <w:r w:rsidRPr="00894893">
        <w:rPr>
          <w:sz w:val="22"/>
          <w:szCs w:val="22"/>
          <w:lang w:val="sr-Latn-ME"/>
        </w:rPr>
        <w:t>jeniti na osnovu dostupnih podataka)</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Poremećaji nervnog sistema</w:t>
      </w:r>
    </w:p>
    <w:p w:rsidR="001975CB" w:rsidRPr="00894893" w:rsidRDefault="001975CB" w:rsidP="00201902">
      <w:pPr>
        <w:pStyle w:val="Header"/>
        <w:widowControl w:val="0"/>
        <w:tabs>
          <w:tab w:val="left" w:pos="284"/>
          <w:tab w:val="left" w:pos="1276"/>
        </w:tabs>
        <w:jc w:val="both"/>
        <w:rPr>
          <w:sz w:val="22"/>
          <w:szCs w:val="22"/>
          <w:lang w:val="sr-Latn-ME"/>
        </w:rPr>
      </w:pPr>
      <w:r w:rsidRPr="00894893">
        <w:rPr>
          <w:sz w:val="22"/>
          <w:szCs w:val="22"/>
          <w:lang w:val="sr-Latn-ME"/>
        </w:rPr>
        <w:t>Česta:               vrtoglavica</w:t>
      </w:r>
    </w:p>
    <w:p w:rsidR="001975CB" w:rsidRPr="00894893" w:rsidRDefault="001975CB" w:rsidP="00201902">
      <w:pPr>
        <w:pStyle w:val="Header"/>
        <w:widowControl w:val="0"/>
        <w:tabs>
          <w:tab w:val="left" w:pos="284"/>
          <w:tab w:val="left" w:pos="1276"/>
          <w:tab w:val="left" w:pos="1418"/>
        </w:tabs>
        <w:jc w:val="both"/>
        <w:rPr>
          <w:sz w:val="22"/>
          <w:szCs w:val="22"/>
          <w:lang w:val="sr-Latn-ME"/>
        </w:rPr>
      </w:pPr>
      <w:r w:rsidRPr="00894893">
        <w:rPr>
          <w:sz w:val="22"/>
          <w:szCs w:val="22"/>
          <w:lang w:val="sr-Latn-ME"/>
        </w:rPr>
        <w:t>Veoma rijetka: epileptički napadi, uglavnom nakon primjene veće doze od preporučene; mioklonus,</w:t>
      </w:r>
    </w:p>
    <w:p w:rsidR="001975CB" w:rsidRPr="00894893" w:rsidRDefault="001975CB" w:rsidP="00201902">
      <w:pPr>
        <w:pStyle w:val="Header"/>
        <w:widowControl w:val="0"/>
        <w:tabs>
          <w:tab w:val="left" w:pos="284"/>
          <w:tab w:val="left" w:pos="1276"/>
          <w:tab w:val="left" w:pos="1418"/>
        </w:tabs>
        <w:jc w:val="both"/>
        <w:rPr>
          <w:sz w:val="22"/>
          <w:szCs w:val="22"/>
          <w:lang w:val="sr-Latn-ME"/>
        </w:rPr>
      </w:pPr>
      <w:r w:rsidRPr="00894893">
        <w:rPr>
          <w:sz w:val="22"/>
          <w:szCs w:val="22"/>
          <w:lang w:val="sr-Latn-ME"/>
        </w:rPr>
        <w:t xml:space="preserve">                         simptomi periferne neuropatije.</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Psihijatrijski poremećaji</w:t>
      </w:r>
    </w:p>
    <w:p w:rsidR="001975CB" w:rsidRPr="00894893" w:rsidRDefault="001975CB" w:rsidP="00201902">
      <w:pPr>
        <w:pStyle w:val="Header"/>
        <w:widowControl w:val="0"/>
        <w:tabs>
          <w:tab w:val="left" w:pos="284"/>
          <w:tab w:val="left" w:pos="1276"/>
        </w:tabs>
        <w:ind w:left="1276" w:hanging="1276"/>
        <w:jc w:val="both"/>
        <w:rPr>
          <w:sz w:val="22"/>
          <w:szCs w:val="22"/>
          <w:lang w:val="sr-Latn-ME"/>
        </w:rPr>
      </w:pPr>
      <w:r w:rsidRPr="00894893">
        <w:rPr>
          <w:sz w:val="22"/>
          <w:szCs w:val="22"/>
          <w:lang w:val="sr-Latn-ME"/>
        </w:rPr>
        <w:t>Česta:           poremećaj spavanja, motorna i psihička agitacija. Naročito kod predisponiranih, starijih pacijenata, mogu se javiti paranoidne egzogene psihoze, praćene vizuelnim halucinacijama. Ove neželjene reakcije se češće javljaju tokom kombinovane terapije amantadinom sa drugim antiparkinsonicima (npr. levodopom, bromokriptinom) ili memantinom.</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 xml:space="preserve">Nepoznata </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učestalost:      poremećaji kontrole nagona npr. patološko kockanje, pojačan libido, hiperseksualnost,</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 xml:space="preserve">                       kompulzivno trošenje ili kupovanje, unošenje prekomjerne količine hrane i kompulzivni</w:t>
      </w:r>
    </w:p>
    <w:p w:rsidR="001975CB" w:rsidRPr="00894893" w:rsidRDefault="001975CB" w:rsidP="00201902">
      <w:pPr>
        <w:pStyle w:val="Header"/>
        <w:widowControl w:val="0"/>
        <w:tabs>
          <w:tab w:val="left" w:pos="284"/>
        </w:tabs>
        <w:ind w:left="1276" w:hanging="1276"/>
        <w:jc w:val="both"/>
        <w:rPr>
          <w:sz w:val="22"/>
          <w:szCs w:val="22"/>
          <w:lang w:val="sr-Latn-ME"/>
        </w:rPr>
      </w:pPr>
      <w:r w:rsidRPr="00894893">
        <w:rPr>
          <w:sz w:val="22"/>
          <w:szCs w:val="22"/>
          <w:lang w:val="sr-Latn-ME"/>
        </w:rPr>
        <w:t xml:space="preserve">                       način ishrane se mogu javiti kod pacijenata koji su na terapiji ljekovima sa dopaminergičkim dejstvom, uključujući i lijek PK-Merz, film tablete (vidjeti </w:t>
      </w:r>
      <w:r w:rsidR="00F07252" w:rsidRPr="00894893">
        <w:rPr>
          <w:sz w:val="22"/>
          <w:szCs w:val="22"/>
          <w:lang w:val="sr-Latn-ME"/>
        </w:rPr>
        <w:t xml:space="preserve">dio </w:t>
      </w:r>
      <w:r w:rsidRPr="00894893">
        <w:rPr>
          <w:sz w:val="22"/>
          <w:szCs w:val="22"/>
          <w:lang w:val="sr-Latn-ME"/>
        </w:rPr>
        <w:t>4.4).</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Poremećaji bubrega i urinarnog sistema</w:t>
      </w:r>
    </w:p>
    <w:p w:rsidR="001975CB" w:rsidRPr="00894893" w:rsidRDefault="001975CB" w:rsidP="00201902">
      <w:pPr>
        <w:pStyle w:val="Header"/>
        <w:widowControl w:val="0"/>
        <w:tabs>
          <w:tab w:val="left" w:pos="1276"/>
        </w:tabs>
        <w:jc w:val="both"/>
        <w:rPr>
          <w:sz w:val="22"/>
          <w:szCs w:val="22"/>
          <w:lang w:val="sr-Latn-ME"/>
        </w:rPr>
      </w:pPr>
      <w:r w:rsidRPr="00894893">
        <w:rPr>
          <w:sz w:val="22"/>
          <w:szCs w:val="22"/>
          <w:lang w:val="sr-Latn-ME"/>
        </w:rPr>
        <w:t>Česta:             retencija urina kod pacijenata sa hipertrofijom prostate.</w:t>
      </w:r>
    </w:p>
    <w:p w:rsidR="001975CB" w:rsidRPr="00894893" w:rsidRDefault="001975CB" w:rsidP="00201902">
      <w:pPr>
        <w:pStyle w:val="Header"/>
        <w:widowControl w:val="0"/>
        <w:tabs>
          <w:tab w:val="left" w:pos="284"/>
        </w:tabs>
        <w:jc w:val="both"/>
        <w:rPr>
          <w:sz w:val="22"/>
          <w:szCs w:val="22"/>
          <w:u w:val="single"/>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Poremećaji kože i potkožnog tkiva:</w:t>
      </w:r>
    </w:p>
    <w:p w:rsidR="001975CB" w:rsidRPr="00894893" w:rsidRDefault="001975CB" w:rsidP="00201902">
      <w:pPr>
        <w:pStyle w:val="Header"/>
        <w:widowControl w:val="0"/>
        <w:tabs>
          <w:tab w:val="left" w:pos="284"/>
        </w:tabs>
        <w:ind w:left="1134" w:hanging="1134"/>
        <w:jc w:val="both"/>
        <w:rPr>
          <w:sz w:val="22"/>
          <w:szCs w:val="22"/>
          <w:lang w:val="sr-Latn-ME"/>
        </w:rPr>
      </w:pPr>
      <w:r w:rsidRPr="00894893">
        <w:rPr>
          <w:sz w:val="22"/>
          <w:szCs w:val="22"/>
          <w:lang w:val="sr-Latn-ME"/>
        </w:rPr>
        <w:t xml:space="preserve">Česta:          </w:t>
      </w:r>
      <w:r w:rsidRPr="00894893">
        <w:rPr>
          <w:i/>
          <w:sz w:val="22"/>
          <w:szCs w:val="22"/>
          <w:lang w:val="sr-Latn-ME"/>
        </w:rPr>
        <w:t>livedo reticularis</w:t>
      </w:r>
      <w:r w:rsidRPr="00894893">
        <w:rPr>
          <w:sz w:val="22"/>
          <w:szCs w:val="22"/>
          <w:lang w:val="sr-Latn-ME"/>
        </w:rPr>
        <w:t xml:space="preserve"> (</w:t>
      </w:r>
      <w:r w:rsidRPr="00894893">
        <w:rPr>
          <w:i/>
          <w:sz w:val="22"/>
          <w:szCs w:val="22"/>
          <w:lang w:val="sr-Latn-ME"/>
        </w:rPr>
        <w:t>cutis marmorata</w:t>
      </w:r>
      <w:r w:rsidRPr="00894893">
        <w:rPr>
          <w:sz w:val="22"/>
          <w:szCs w:val="22"/>
          <w:lang w:val="sr-Latn-ME"/>
        </w:rPr>
        <w:t>), ponekad udružen sa edemima u pred</w:t>
      </w:r>
      <w:r w:rsidR="005F41FE">
        <w:rPr>
          <w:sz w:val="22"/>
          <w:szCs w:val="22"/>
          <w:lang w:val="sr-Latn-ME"/>
        </w:rPr>
        <w:t>j</w:t>
      </w:r>
      <w:r w:rsidRPr="00894893">
        <w:rPr>
          <w:sz w:val="22"/>
          <w:szCs w:val="22"/>
          <w:lang w:val="sr-Latn-ME"/>
        </w:rPr>
        <w:t>elu potkol</w:t>
      </w:r>
      <w:r w:rsidR="005F41FE">
        <w:rPr>
          <w:sz w:val="22"/>
          <w:szCs w:val="22"/>
          <w:lang w:val="sr-Latn-ME"/>
        </w:rPr>
        <w:t>j</w:t>
      </w:r>
      <w:r w:rsidRPr="00894893">
        <w:rPr>
          <w:sz w:val="22"/>
          <w:szCs w:val="22"/>
          <w:lang w:val="sr-Latn-ME"/>
        </w:rPr>
        <w:t xml:space="preserve">enica i članaka. </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Gastrointestinalni poremećaji:</w:t>
      </w:r>
    </w:p>
    <w:p w:rsidR="001975CB" w:rsidRPr="00894893" w:rsidRDefault="001975CB" w:rsidP="00201902">
      <w:pPr>
        <w:pStyle w:val="Header"/>
        <w:widowControl w:val="0"/>
        <w:tabs>
          <w:tab w:val="left" w:pos="284"/>
          <w:tab w:val="left" w:pos="1276"/>
        </w:tabs>
        <w:jc w:val="both"/>
        <w:rPr>
          <w:sz w:val="22"/>
          <w:szCs w:val="22"/>
          <w:lang w:val="sr-Latn-ME"/>
        </w:rPr>
      </w:pPr>
      <w:r w:rsidRPr="00894893">
        <w:rPr>
          <w:sz w:val="22"/>
          <w:szCs w:val="22"/>
          <w:lang w:val="sr-Latn-ME"/>
        </w:rPr>
        <w:t>Česta:             mučnina, suva usta.</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Kardiološki poremećaji:</w:t>
      </w:r>
    </w:p>
    <w:p w:rsidR="001975CB" w:rsidRPr="00894893" w:rsidRDefault="001975CB" w:rsidP="00201902">
      <w:pPr>
        <w:pStyle w:val="Header"/>
        <w:widowControl w:val="0"/>
        <w:tabs>
          <w:tab w:val="left" w:pos="284"/>
        </w:tabs>
        <w:jc w:val="both"/>
        <w:rPr>
          <w:i/>
          <w:sz w:val="22"/>
          <w:szCs w:val="22"/>
          <w:lang w:val="sr-Latn-ME"/>
        </w:rPr>
      </w:pPr>
      <w:r w:rsidRPr="00894893">
        <w:rPr>
          <w:sz w:val="22"/>
          <w:szCs w:val="22"/>
          <w:lang w:val="sr-Latn-ME"/>
        </w:rPr>
        <w:t xml:space="preserve">Veoma rijetka: srčane aritmije kao što su ventrikularna tahikardija, ventrikularna fibrilacija, </w:t>
      </w:r>
      <w:r w:rsidRPr="00894893">
        <w:rPr>
          <w:i/>
          <w:sz w:val="22"/>
          <w:szCs w:val="22"/>
          <w:lang w:val="sr-Latn-ME"/>
        </w:rPr>
        <w:t>torsade de</w:t>
      </w:r>
    </w:p>
    <w:p w:rsidR="001975CB" w:rsidRPr="00894893" w:rsidRDefault="005F41FE" w:rsidP="00201902">
      <w:pPr>
        <w:pStyle w:val="Header"/>
        <w:widowControl w:val="0"/>
        <w:tabs>
          <w:tab w:val="left" w:pos="284"/>
        </w:tabs>
        <w:ind w:left="1440"/>
        <w:jc w:val="both"/>
        <w:rPr>
          <w:sz w:val="22"/>
          <w:szCs w:val="22"/>
          <w:lang w:val="sr-Latn-ME"/>
        </w:rPr>
      </w:pPr>
      <w:r>
        <w:rPr>
          <w:i/>
          <w:sz w:val="22"/>
          <w:szCs w:val="22"/>
          <w:lang w:val="sr-Latn-ME"/>
        </w:rPr>
        <w:t>p</w:t>
      </w:r>
      <w:r w:rsidR="001975CB" w:rsidRPr="00894893">
        <w:rPr>
          <w:i/>
          <w:sz w:val="22"/>
          <w:szCs w:val="22"/>
          <w:lang w:val="sr-Latn-ME"/>
        </w:rPr>
        <w:t>ointe</w:t>
      </w:r>
      <w:r>
        <w:rPr>
          <w:sz w:val="22"/>
          <w:szCs w:val="22"/>
          <w:lang w:val="sr-Latn-ME"/>
        </w:rPr>
        <w:t xml:space="preserve"> </w:t>
      </w:r>
      <w:r w:rsidR="001975CB" w:rsidRPr="00894893">
        <w:rPr>
          <w:sz w:val="22"/>
          <w:szCs w:val="22"/>
          <w:lang w:val="sr-Latn-ME"/>
        </w:rPr>
        <w:t>i produženje QT intervala. Većina ovih slučajeva se pojavljuje poslije</w:t>
      </w:r>
      <w:r>
        <w:rPr>
          <w:sz w:val="22"/>
          <w:szCs w:val="22"/>
          <w:lang w:val="sr-Latn-ME"/>
        </w:rPr>
        <w:t xml:space="preserve"> </w:t>
      </w:r>
      <w:r w:rsidR="001975CB" w:rsidRPr="00894893">
        <w:rPr>
          <w:sz w:val="22"/>
          <w:szCs w:val="22"/>
          <w:lang w:val="sr-Latn-ME"/>
        </w:rPr>
        <w:t xml:space="preserve">predoziranja ili su povezani sa primjenom drugih ljekova ili prisustvom faktora rizika za srčane aritmije (vidjeti </w:t>
      </w:r>
      <w:r w:rsidR="00F07252" w:rsidRPr="00894893">
        <w:rPr>
          <w:sz w:val="22"/>
          <w:szCs w:val="22"/>
          <w:lang w:val="sr-Latn-ME"/>
        </w:rPr>
        <w:t xml:space="preserve">djelove </w:t>
      </w:r>
      <w:r w:rsidR="001975CB" w:rsidRPr="00894893">
        <w:rPr>
          <w:sz w:val="22"/>
          <w:szCs w:val="22"/>
          <w:lang w:val="sr-Latn-ME"/>
        </w:rPr>
        <w:t xml:space="preserve">4.3 i 4.5). Srčane aritmije sa tahikardijom. </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Vaskularni poremećaji:</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Česta:            ortostatska disregulacija.</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Poremećaji oka*:</w:t>
      </w:r>
    </w:p>
    <w:p w:rsidR="001975CB" w:rsidRPr="00894893" w:rsidRDefault="001975CB" w:rsidP="00201902">
      <w:pPr>
        <w:pStyle w:val="Header"/>
        <w:widowControl w:val="0"/>
        <w:jc w:val="both"/>
        <w:rPr>
          <w:sz w:val="22"/>
          <w:szCs w:val="22"/>
          <w:lang w:val="sr-Latn-ME"/>
        </w:rPr>
      </w:pPr>
      <w:r w:rsidRPr="00894893">
        <w:rPr>
          <w:sz w:val="22"/>
          <w:szCs w:val="22"/>
          <w:lang w:val="sr-Latn-ME"/>
        </w:rPr>
        <w:t xml:space="preserve">Povremena:    zamagljen vid  </w:t>
      </w:r>
    </w:p>
    <w:p w:rsidR="001975CB" w:rsidRPr="00894893" w:rsidRDefault="001975CB" w:rsidP="00201902">
      <w:pPr>
        <w:pStyle w:val="Header"/>
        <w:widowControl w:val="0"/>
        <w:jc w:val="both"/>
        <w:rPr>
          <w:sz w:val="22"/>
          <w:szCs w:val="22"/>
          <w:lang w:val="sr-Latn-ME"/>
        </w:rPr>
      </w:pPr>
      <w:r w:rsidRPr="00894893">
        <w:rPr>
          <w:sz w:val="22"/>
          <w:szCs w:val="22"/>
          <w:lang w:val="sr-Latn-ME"/>
        </w:rPr>
        <w:t>Rijetka:          Lezija kornee npr. subepitelni tačkasti neprozirni infiltrati koji mogu biti povezani sa</w:t>
      </w:r>
    </w:p>
    <w:p w:rsidR="001975CB" w:rsidRPr="00894893" w:rsidRDefault="001975CB" w:rsidP="00201902">
      <w:pPr>
        <w:pStyle w:val="Header"/>
        <w:widowControl w:val="0"/>
        <w:jc w:val="both"/>
        <w:rPr>
          <w:sz w:val="22"/>
          <w:szCs w:val="22"/>
          <w:lang w:val="sr-Latn-ME"/>
        </w:rPr>
      </w:pPr>
      <w:r w:rsidRPr="00894893">
        <w:rPr>
          <w:sz w:val="22"/>
          <w:szCs w:val="22"/>
          <w:lang w:val="sr-Latn-ME"/>
        </w:rPr>
        <w:t xml:space="preserve">                       površinskim tačkastim keratitisom, edemom epitela kornee i vidno smanjenom oštrinom</w:t>
      </w:r>
    </w:p>
    <w:p w:rsidR="001975CB" w:rsidRPr="00894893" w:rsidRDefault="001975CB" w:rsidP="00201902">
      <w:pPr>
        <w:pStyle w:val="Header"/>
        <w:widowControl w:val="0"/>
        <w:jc w:val="both"/>
        <w:rPr>
          <w:sz w:val="22"/>
          <w:szCs w:val="22"/>
          <w:lang w:val="sr-Latn-ME"/>
        </w:rPr>
      </w:pPr>
      <w:r w:rsidRPr="00894893">
        <w:rPr>
          <w:sz w:val="22"/>
          <w:szCs w:val="22"/>
          <w:lang w:val="sr-Latn-ME"/>
        </w:rPr>
        <w:t xml:space="preserve">                       vida.</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Veoma rijetka: prolazan gubitak vida*, povećana fotosenzitivnost.</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 xml:space="preserve">*Pacijente treba da pregleda oftalmolog čim se pojave simptomi poput gubitka oštrine vida ili </w:t>
      </w:r>
      <w:r w:rsidRPr="00894893">
        <w:rPr>
          <w:sz w:val="22"/>
          <w:szCs w:val="22"/>
          <w:lang w:val="sr-Latn-ME"/>
        </w:rPr>
        <w:lastRenderedPageBreak/>
        <w:t xml:space="preserve">zamagljenog vida, da bi se isključio edem kornee kao mogući uzrok (vidjeti </w:t>
      </w:r>
      <w:r w:rsidR="00F07252" w:rsidRPr="00894893">
        <w:rPr>
          <w:sz w:val="22"/>
          <w:szCs w:val="22"/>
          <w:lang w:val="sr-Latn-ME"/>
        </w:rPr>
        <w:t xml:space="preserve">dio </w:t>
      </w:r>
      <w:r w:rsidRPr="00894893">
        <w:rPr>
          <w:sz w:val="22"/>
          <w:szCs w:val="22"/>
          <w:lang w:val="sr-Latn-ME"/>
        </w:rPr>
        <w:t>4.4).</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u w:val="single"/>
          <w:lang w:val="sr-Latn-ME"/>
        </w:rPr>
      </w:pPr>
      <w:r w:rsidRPr="00894893">
        <w:rPr>
          <w:sz w:val="22"/>
          <w:szCs w:val="22"/>
          <w:u w:val="single"/>
          <w:lang w:val="sr-Latn-ME"/>
        </w:rPr>
        <w:t>Poremećaji krvi i limfnog sistema:</w:t>
      </w: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Veoma rijetka: hematološki poremećaji kao što su leukopenija i trombocitopenija.</w:t>
      </w:r>
    </w:p>
    <w:p w:rsidR="001975CB" w:rsidRPr="00894893" w:rsidRDefault="001975CB" w:rsidP="00201902">
      <w:pPr>
        <w:pStyle w:val="Header"/>
        <w:widowControl w:val="0"/>
        <w:tabs>
          <w:tab w:val="left" w:pos="284"/>
        </w:tabs>
        <w:jc w:val="both"/>
        <w:rPr>
          <w:sz w:val="22"/>
          <w:szCs w:val="22"/>
          <w:lang w:val="sr-Latn-ME"/>
        </w:rPr>
      </w:pPr>
    </w:p>
    <w:p w:rsidR="001975CB" w:rsidRPr="00894893" w:rsidRDefault="001975CB" w:rsidP="00201902">
      <w:pPr>
        <w:pStyle w:val="Header"/>
        <w:widowControl w:val="0"/>
        <w:tabs>
          <w:tab w:val="left" w:pos="284"/>
        </w:tabs>
        <w:jc w:val="both"/>
        <w:rPr>
          <w:sz w:val="22"/>
          <w:szCs w:val="22"/>
          <w:lang w:val="sr-Latn-ME"/>
        </w:rPr>
      </w:pPr>
      <w:r w:rsidRPr="00894893">
        <w:rPr>
          <w:sz w:val="22"/>
          <w:szCs w:val="22"/>
          <w:lang w:val="sr-Latn-ME"/>
        </w:rPr>
        <w:t>Boja Yellow orange lacquer (E 110) može izazvati alergijske reakcije.</w:t>
      </w:r>
    </w:p>
    <w:p w:rsidR="004E70AD" w:rsidRPr="00894893" w:rsidRDefault="004E70AD" w:rsidP="00201902">
      <w:pPr>
        <w:widowControl w:val="0"/>
        <w:tabs>
          <w:tab w:val="left" w:pos="540"/>
          <w:tab w:val="left" w:pos="569"/>
        </w:tabs>
        <w:jc w:val="both"/>
        <w:rPr>
          <w:b/>
          <w:bCs/>
          <w:sz w:val="22"/>
          <w:szCs w:val="22"/>
          <w:lang w:val="sr-Latn-ME"/>
        </w:rPr>
      </w:pPr>
    </w:p>
    <w:p w:rsidR="005A23D2" w:rsidRPr="00894893" w:rsidRDefault="005A23D2" w:rsidP="00201902">
      <w:pPr>
        <w:widowControl w:val="0"/>
        <w:spacing w:line="276" w:lineRule="auto"/>
        <w:jc w:val="both"/>
        <w:rPr>
          <w:rFonts w:eastAsia="Calibri"/>
          <w:sz w:val="22"/>
          <w:szCs w:val="22"/>
          <w:u w:val="single"/>
          <w:lang w:val="sr-Latn-ME"/>
        </w:rPr>
      </w:pPr>
      <w:r w:rsidRPr="00894893">
        <w:rPr>
          <w:rFonts w:eastAsia="Calibri"/>
          <w:sz w:val="22"/>
          <w:szCs w:val="22"/>
          <w:u w:val="single"/>
          <w:lang w:val="sr-Latn-ME"/>
        </w:rPr>
        <w:t>Prijavljivanje sumnji na neželjena dejstva</w:t>
      </w:r>
    </w:p>
    <w:p w:rsidR="005A23D2" w:rsidRPr="00894893" w:rsidRDefault="005A23D2">
      <w:pPr>
        <w:widowControl w:val="0"/>
        <w:jc w:val="both"/>
        <w:rPr>
          <w:rFonts w:eastAsia="Calibri"/>
          <w:sz w:val="22"/>
          <w:szCs w:val="22"/>
          <w:lang w:val="sr-Latn-ME"/>
        </w:rPr>
      </w:pPr>
      <w:r w:rsidRPr="00894893">
        <w:rPr>
          <w:rFonts w:eastAsia="Calibri"/>
          <w:sz w:val="22"/>
          <w:szCs w:val="22"/>
          <w:lang w:val="sr-Latn-ME"/>
        </w:rPr>
        <w:t>Prijavljivanje neželjenih dejstava nakon dobijanja dozvole je od velikog značaja jer obezbjeđuje kont</w:t>
      </w:r>
      <w:r w:rsidR="00EA5765" w:rsidRPr="00894893">
        <w:rPr>
          <w:rFonts w:eastAsia="Calibri"/>
          <w:sz w:val="22"/>
          <w:szCs w:val="22"/>
          <w:lang w:val="sr-Latn-ME"/>
        </w:rPr>
        <w:t>inuirano praćenje odnosa korist</w:t>
      </w:r>
      <w:r w:rsidRPr="00894893">
        <w:rPr>
          <w:rFonts w:eastAsia="Calibri"/>
          <w:sz w:val="22"/>
          <w:szCs w:val="22"/>
          <w:lang w:val="sr-Latn-ME"/>
        </w:rPr>
        <w:t>/rizik primjene lijeka. Zdravstveni radnici treba da prijave svaku sumnju na neželjeno</w:t>
      </w:r>
      <w:r w:rsidR="009B062A" w:rsidRPr="00894893">
        <w:rPr>
          <w:rFonts w:eastAsia="Calibri"/>
          <w:sz w:val="22"/>
          <w:szCs w:val="22"/>
          <w:lang w:val="sr-Latn-ME"/>
        </w:rPr>
        <w:t xml:space="preserve"> </w:t>
      </w:r>
      <w:r w:rsidRPr="00894893">
        <w:rPr>
          <w:rFonts w:eastAsia="Calibri"/>
          <w:sz w:val="22"/>
          <w:szCs w:val="22"/>
          <w:lang w:val="sr-Latn-ME"/>
        </w:rPr>
        <w:t xml:space="preserve">dejstvo ovog lijeka </w:t>
      </w:r>
      <w:r w:rsidR="004E70AD" w:rsidRPr="00894893">
        <w:rPr>
          <w:rFonts w:eastAsia="Calibri"/>
          <w:sz w:val="22"/>
          <w:szCs w:val="22"/>
          <w:lang w:val="sr-Latn-ME"/>
        </w:rPr>
        <w:t>Institutu</w:t>
      </w:r>
      <w:r w:rsidRPr="00894893">
        <w:rPr>
          <w:rFonts w:eastAsia="Calibri"/>
          <w:sz w:val="22"/>
          <w:szCs w:val="22"/>
          <w:lang w:val="sr-Latn-ME"/>
        </w:rPr>
        <w:t xml:space="preserve"> za ljekove i medicinska sredstva</w:t>
      </w:r>
      <w:r w:rsidR="004E70AD" w:rsidRPr="00894893">
        <w:rPr>
          <w:rFonts w:eastAsia="Calibri"/>
          <w:sz w:val="22"/>
          <w:szCs w:val="22"/>
          <w:lang w:val="sr-Latn-ME"/>
        </w:rPr>
        <w:t xml:space="preserve"> </w:t>
      </w:r>
      <w:r w:rsidRPr="00894893">
        <w:rPr>
          <w:rFonts w:eastAsia="Calibri"/>
          <w:sz w:val="22"/>
          <w:szCs w:val="22"/>
          <w:lang w:val="sr-Latn-ME"/>
        </w:rPr>
        <w:t>(</w:t>
      </w:r>
      <w:r w:rsidR="004E70AD" w:rsidRPr="00894893">
        <w:rPr>
          <w:rFonts w:eastAsia="Calibri"/>
          <w:sz w:val="22"/>
          <w:szCs w:val="22"/>
          <w:lang w:val="sr-Latn-ME"/>
        </w:rPr>
        <w:t>CInMED</w:t>
      </w:r>
      <w:r w:rsidRPr="00894893">
        <w:rPr>
          <w:rFonts w:eastAsia="Calibri"/>
          <w:sz w:val="22"/>
          <w:szCs w:val="22"/>
          <w:lang w:val="sr-Latn-ME"/>
        </w:rPr>
        <w:t>):</w:t>
      </w:r>
    </w:p>
    <w:p w:rsidR="005A23D2" w:rsidRPr="00894893" w:rsidRDefault="004E70AD">
      <w:pPr>
        <w:pStyle w:val="NoSpacing"/>
        <w:widowControl w:val="0"/>
        <w:jc w:val="both"/>
        <w:rPr>
          <w:rFonts w:eastAsia="Calibri"/>
          <w:sz w:val="22"/>
          <w:szCs w:val="22"/>
          <w:lang w:val="sr-Latn-ME"/>
        </w:rPr>
      </w:pPr>
      <w:r w:rsidRPr="00894893">
        <w:rPr>
          <w:rFonts w:eastAsia="Calibri"/>
          <w:sz w:val="22"/>
          <w:szCs w:val="22"/>
          <w:lang w:val="sr-Latn-ME"/>
        </w:rPr>
        <w:t xml:space="preserve">Institut </w:t>
      </w:r>
      <w:r w:rsidR="005A23D2" w:rsidRPr="00894893">
        <w:rPr>
          <w:rFonts w:eastAsia="Calibri"/>
          <w:sz w:val="22"/>
          <w:szCs w:val="22"/>
          <w:lang w:val="sr-Latn-ME"/>
        </w:rPr>
        <w:t xml:space="preserve">za ljekove i medicinska sredstva </w:t>
      </w:r>
    </w:p>
    <w:p w:rsidR="005A23D2" w:rsidRPr="00894893" w:rsidRDefault="005A23D2">
      <w:pPr>
        <w:pStyle w:val="NoSpacing"/>
        <w:widowControl w:val="0"/>
        <w:jc w:val="both"/>
        <w:rPr>
          <w:rFonts w:eastAsia="Calibri"/>
          <w:sz w:val="22"/>
          <w:szCs w:val="22"/>
          <w:lang w:val="sr-Latn-ME"/>
        </w:rPr>
      </w:pPr>
      <w:r w:rsidRPr="00894893">
        <w:rPr>
          <w:rFonts w:eastAsia="Calibri"/>
          <w:sz w:val="22"/>
          <w:szCs w:val="22"/>
          <w:lang w:val="sr-Latn-ME"/>
        </w:rPr>
        <w:t>Odjeljenje za farmakovigilancu</w:t>
      </w:r>
    </w:p>
    <w:p w:rsidR="00EA5765" w:rsidRPr="00894893" w:rsidRDefault="005A23D2">
      <w:pPr>
        <w:pStyle w:val="NoSpacing"/>
        <w:widowControl w:val="0"/>
        <w:jc w:val="both"/>
        <w:rPr>
          <w:rFonts w:eastAsia="Calibri"/>
          <w:sz w:val="22"/>
          <w:szCs w:val="22"/>
          <w:lang w:val="sr-Latn-ME"/>
        </w:rPr>
      </w:pPr>
      <w:r w:rsidRPr="00894893">
        <w:rPr>
          <w:rFonts w:eastAsia="Calibri"/>
          <w:sz w:val="22"/>
          <w:szCs w:val="22"/>
          <w:lang w:val="sr-Latn-ME"/>
        </w:rPr>
        <w:t>Bulevar Ivana Crnojevića 64a, 81000 Podgorica</w:t>
      </w:r>
    </w:p>
    <w:p w:rsidR="00EA5765" w:rsidRPr="00894893" w:rsidRDefault="00EA5765" w:rsidP="00201902">
      <w:pPr>
        <w:pStyle w:val="NoSpacing"/>
        <w:widowControl w:val="0"/>
        <w:jc w:val="both"/>
        <w:rPr>
          <w:rFonts w:eastAsia="Calibri"/>
          <w:sz w:val="22"/>
          <w:szCs w:val="22"/>
          <w:lang w:val="sr-Latn-ME"/>
        </w:rPr>
      </w:pPr>
    </w:p>
    <w:p w:rsidR="005A23D2" w:rsidRPr="00894893" w:rsidRDefault="005A23D2">
      <w:pPr>
        <w:pStyle w:val="NoSpacing"/>
        <w:widowControl w:val="0"/>
        <w:jc w:val="both"/>
        <w:rPr>
          <w:rFonts w:eastAsia="Calibri"/>
          <w:sz w:val="22"/>
          <w:szCs w:val="22"/>
          <w:lang w:val="sr-Latn-ME"/>
        </w:rPr>
      </w:pPr>
      <w:r w:rsidRPr="00894893">
        <w:rPr>
          <w:rFonts w:eastAsia="Calibri"/>
          <w:sz w:val="22"/>
          <w:szCs w:val="22"/>
          <w:lang w:val="sr-Latn-ME"/>
        </w:rPr>
        <w:t>tel: +382 (0) 20 310 280</w:t>
      </w:r>
    </w:p>
    <w:p w:rsidR="00EA5765" w:rsidRPr="00894893" w:rsidRDefault="005A23D2">
      <w:pPr>
        <w:pStyle w:val="NoSpacing"/>
        <w:widowControl w:val="0"/>
        <w:tabs>
          <w:tab w:val="left" w:pos="6720"/>
        </w:tabs>
        <w:jc w:val="both"/>
        <w:rPr>
          <w:rFonts w:eastAsia="Calibri"/>
          <w:sz w:val="22"/>
          <w:szCs w:val="22"/>
          <w:lang w:val="sr-Latn-ME"/>
        </w:rPr>
      </w:pPr>
      <w:r w:rsidRPr="00894893">
        <w:rPr>
          <w:rFonts w:eastAsia="Calibri"/>
          <w:sz w:val="22"/>
          <w:szCs w:val="22"/>
          <w:lang w:val="sr-Latn-ME"/>
        </w:rPr>
        <w:t>fax:</w:t>
      </w:r>
      <w:r w:rsidR="00EA5765" w:rsidRPr="00894893">
        <w:rPr>
          <w:rFonts w:eastAsia="Calibri"/>
          <w:sz w:val="22"/>
          <w:szCs w:val="22"/>
          <w:lang w:val="sr-Latn-ME"/>
        </w:rPr>
        <w:t xml:space="preserve"> </w:t>
      </w:r>
      <w:r w:rsidRPr="00894893">
        <w:rPr>
          <w:rFonts w:eastAsia="Calibri"/>
          <w:sz w:val="22"/>
          <w:szCs w:val="22"/>
          <w:lang w:val="sr-Latn-ME"/>
        </w:rPr>
        <w:t>+382 (0) 20 310 581</w:t>
      </w:r>
      <w:r w:rsidR="00FF3EDF" w:rsidRPr="00894893">
        <w:rPr>
          <w:rFonts w:eastAsia="Calibri"/>
          <w:sz w:val="22"/>
          <w:szCs w:val="22"/>
          <w:lang w:val="sr-Latn-ME"/>
        </w:rPr>
        <w:tab/>
      </w:r>
    </w:p>
    <w:p w:rsidR="005A23D2" w:rsidRPr="00894893" w:rsidRDefault="00612D04">
      <w:pPr>
        <w:pStyle w:val="NoSpacing"/>
        <w:widowControl w:val="0"/>
        <w:jc w:val="both"/>
        <w:rPr>
          <w:rFonts w:eastAsia="Calibri"/>
          <w:sz w:val="22"/>
          <w:szCs w:val="22"/>
          <w:lang w:val="sr-Latn-ME"/>
        </w:rPr>
      </w:pPr>
      <w:hyperlink r:id="rId8" w:history="1">
        <w:r w:rsidR="004E70AD" w:rsidRPr="00894893">
          <w:rPr>
            <w:rStyle w:val="Hyperlink"/>
            <w:rFonts w:eastAsia="Calibri"/>
            <w:sz w:val="22"/>
            <w:szCs w:val="22"/>
            <w:lang w:val="sr-Latn-ME"/>
          </w:rPr>
          <w:t>www.cinmed.me</w:t>
        </w:r>
      </w:hyperlink>
    </w:p>
    <w:p w:rsidR="00EA5765" w:rsidRPr="00894893" w:rsidRDefault="00612D04">
      <w:pPr>
        <w:pStyle w:val="NoSpacing"/>
        <w:widowControl w:val="0"/>
        <w:jc w:val="both"/>
        <w:rPr>
          <w:rFonts w:eastAsia="Calibri"/>
          <w:color w:val="0000FF"/>
          <w:sz w:val="22"/>
          <w:szCs w:val="22"/>
          <w:u w:val="single"/>
          <w:lang w:val="sr-Latn-ME"/>
        </w:rPr>
      </w:pPr>
      <w:hyperlink r:id="rId9" w:history="1">
        <w:r w:rsidR="004E70AD" w:rsidRPr="00894893">
          <w:rPr>
            <w:rStyle w:val="Hyperlink"/>
            <w:rFonts w:eastAsia="Calibri"/>
            <w:sz w:val="22"/>
            <w:szCs w:val="22"/>
            <w:lang w:val="sr-Latn-ME"/>
          </w:rPr>
          <w:t>nezeljenadejstva@cinmed.me</w:t>
        </w:r>
      </w:hyperlink>
    </w:p>
    <w:p w:rsidR="005A23D2" w:rsidRPr="00894893" w:rsidRDefault="005A23D2">
      <w:pPr>
        <w:pStyle w:val="NoSpacing"/>
        <w:widowControl w:val="0"/>
        <w:jc w:val="both"/>
        <w:rPr>
          <w:rFonts w:eastAsia="Calibri"/>
          <w:sz w:val="22"/>
          <w:szCs w:val="22"/>
          <w:lang w:val="sr-Latn-ME"/>
        </w:rPr>
      </w:pPr>
      <w:r w:rsidRPr="00894893">
        <w:rPr>
          <w:rFonts w:eastAsia="Calibri"/>
          <w:sz w:val="22"/>
          <w:szCs w:val="22"/>
          <w:lang w:val="sr-Latn-ME"/>
        </w:rPr>
        <w:t>putem IS zdravstvene zaštite</w:t>
      </w:r>
    </w:p>
    <w:p w:rsidR="007E31E9" w:rsidRPr="00894893" w:rsidRDefault="007E31E9">
      <w:pPr>
        <w:pStyle w:val="NoSpacing"/>
        <w:widowControl w:val="0"/>
        <w:jc w:val="both"/>
        <w:rPr>
          <w:rFonts w:eastAsia="Calibri"/>
          <w:sz w:val="22"/>
          <w:szCs w:val="22"/>
          <w:lang w:val="sr-Latn-ME"/>
        </w:rPr>
      </w:pPr>
      <w:r w:rsidRPr="00894893">
        <w:rPr>
          <w:rFonts w:eastAsia="Calibri"/>
          <w:sz w:val="22"/>
          <w:szCs w:val="22"/>
          <w:lang w:val="sr-Latn-ME"/>
        </w:rPr>
        <w:t>QR kod za online prijavu</w:t>
      </w:r>
      <w:r w:rsidR="00D74CD2" w:rsidRPr="00894893">
        <w:rPr>
          <w:rFonts w:eastAsia="Calibri"/>
          <w:sz w:val="22"/>
          <w:szCs w:val="22"/>
          <w:lang w:val="sr-Latn-ME"/>
        </w:rPr>
        <w:t xml:space="preserve"> sumnje na neželjeno dejstvo lijeka</w:t>
      </w:r>
      <w:r w:rsidRPr="00894893">
        <w:rPr>
          <w:rFonts w:eastAsia="Calibri"/>
          <w:sz w:val="22"/>
          <w:szCs w:val="22"/>
          <w:lang w:val="sr-Latn-ME"/>
        </w:rPr>
        <w:t>:</w:t>
      </w:r>
    </w:p>
    <w:p w:rsidR="007E31E9" w:rsidRPr="00894893" w:rsidRDefault="007E31E9">
      <w:pPr>
        <w:pStyle w:val="NoSpacing"/>
        <w:widowControl w:val="0"/>
        <w:jc w:val="both"/>
        <w:rPr>
          <w:rFonts w:eastAsia="Calibri"/>
          <w:sz w:val="22"/>
          <w:szCs w:val="22"/>
          <w:lang w:val="sr-Latn-ME"/>
        </w:rPr>
      </w:pPr>
    </w:p>
    <w:p w:rsidR="004F17E2" w:rsidRPr="00894893" w:rsidRDefault="00894893" w:rsidP="00201902">
      <w:pPr>
        <w:pStyle w:val="NoSpacing"/>
        <w:widowControl w:val="0"/>
        <w:jc w:val="both"/>
        <w:rPr>
          <w:rFonts w:eastAsia="Calibri"/>
          <w:sz w:val="22"/>
          <w:szCs w:val="22"/>
          <w:lang w:val="sr-Latn-ME"/>
        </w:rPr>
      </w:pPr>
      <w:r w:rsidRPr="007F661E">
        <w:rPr>
          <w:b/>
          <w:bCs/>
          <w:noProof/>
          <w:sz w:val="22"/>
          <w:szCs w:val="22"/>
          <w:lang w:val="sr-Latn-ME" w:eastAsia="sr-Latn-ME"/>
        </w:rPr>
        <w:drawing>
          <wp:inline distT="0" distB="0" distL="0" distR="0" wp14:anchorId="71D08373" wp14:editId="674FC91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836B35" w:rsidRPr="00894893" w:rsidRDefault="00836B35" w:rsidP="00201902">
      <w:pPr>
        <w:widowControl w:val="0"/>
        <w:tabs>
          <w:tab w:val="left" w:pos="540"/>
          <w:tab w:val="left" w:pos="569"/>
        </w:tabs>
        <w:jc w:val="both"/>
        <w:rPr>
          <w:b/>
          <w:bCs/>
          <w:sz w:val="22"/>
          <w:szCs w:val="22"/>
          <w:lang w:val="sr-Latn-ME"/>
        </w:rPr>
      </w:pPr>
    </w:p>
    <w:p w:rsidR="00CD6F02" w:rsidRPr="00894893" w:rsidRDefault="0072020E" w:rsidP="00201902">
      <w:pPr>
        <w:widowControl w:val="0"/>
        <w:tabs>
          <w:tab w:val="left" w:pos="540"/>
          <w:tab w:val="left" w:pos="569"/>
        </w:tabs>
        <w:jc w:val="both"/>
        <w:rPr>
          <w:b/>
          <w:bCs/>
          <w:sz w:val="22"/>
          <w:szCs w:val="22"/>
          <w:lang w:val="sr-Latn-ME"/>
        </w:rPr>
      </w:pPr>
      <w:r w:rsidRPr="00894893">
        <w:rPr>
          <w:b/>
          <w:bCs/>
          <w:sz w:val="22"/>
          <w:szCs w:val="22"/>
          <w:lang w:val="sr-Latn-ME"/>
        </w:rPr>
        <w:t xml:space="preserve">4.9. </w:t>
      </w:r>
      <w:r w:rsidR="00480FB1" w:rsidRPr="00894893">
        <w:rPr>
          <w:b/>
          <w:bCs/>
          <w:sz w:val="22"/>
          <w:szCs w:val="22"/>
          <w:lang w:val="sr-Latn-ME"/>
        </w:rPr>
        <w:tab/>
      </w:r>
      <w:r w:rsidRPr="00894893">
        <w:rPr>
          <w:b/>
          <w:bCs/>
          <w:sz w:val="22"/>
          <w:szCs w:val="22"/>
          <w:lang w:val="sr-Latn-ME"/>
        </w:rPr>
        <w:t>Predoziranje</w:t>
      </w:r>
      <w:r w:rsidR="002846DB" w:rsidRPr="00894893">
        <w:rPr>
          <w:b/>
          <w:bCs/>
          <w:sz w:val="22"/>
          <w:szCs w:val="22"/>
          <w:lang w:val="sr-Latn-ME"/>
        </w:rPr>
        <w:t xml:space="preserve"> </w:t>
      </w:r>
    </w:p>
    <w:p w:rsidR="001975CB" w:rsidRPr="00894893" w:rsidRDefault="001975CB" w:rsidP="00201902">
      <w:pPr>
        <w:widowControl w:val="0"/>
        <w:tabs>
          <w:tab w:val="left" w:pos="540"/>
          <w:tab w:val="left" w:pos="569"/>
        </w:tabs>
        <w:jc w:val="both"/>
        <w:rPr>
          <w:b/>
          <w:bCs/>
          <w:sz w:val="22"/>
          <w:szCs w:val="22"/>
          <w:lang w:val="sr-Latn-ME"/>
        </w:rPr>
      </w:pPr>
    </w:p>
    <w:p w:rsidR="001975CB" w:rsidRPr="00894893" w:rsidRDefault="001975CB" w:rsidP="00201902">
      <w:pPr>
        <w:widowControl w:val="0"/>
        <w:tabs>
          <w:tab w:val="left" w:pos="540"/>
          <w:tab w:val="left" w:pos="569"/>
        </w:tabs>
        <w:jc w:val="both"/>
        <w:rPr>
          <w:b/>
          <w:bCs/>
          <w:sz w:val="22"/>
          <w:szCs w:val="22"/>
          <w:lang w:val="sr-Latn-ME"/>
        </w:rPr>
      </w:pPr>
      <w:r w:rsidRPr="00894893">
        <w:rPr>
          <w:b/>
          <w:bCs/>
          <w:sz w:val="22"/>
          <w:szCs w:val="22"/>
          <w:lang w:val="sr-Latn-ME"/>
        </w:rPr>
        <w:t>Mjere prve pomoći, simptomi i antidoti</w:t>
      </w:r>
    </w:p>
    <w:p w:rsidR="001975CB" w:rsidRPr="00894893" w:rsidRDefault="001975CB" w:rsidP="00201902">
      <w:pPr>
        <w:widowControl w:val="0"/>
        <w:tabs>
          <w:tab w:val="left" w:pos="540"/>
          <w:tab w:val="left" w:pos="569"/>
        </w:tabs>
        <w:jc w:val="both"/>
        <w:rPr>
          <w:sz w:val="22"/>
          <w:szCs w:val="22"/>
          <w:lang w:val="sr-Latn-ME"/>
        </w:rPr>
      </w:pP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 xml:space="preserve">Mogućnost višestrukog trovanja se uvijek mora uzeti u obzir, kao na primjer uzimanje više od jednog lijeka kod suicidalnih namjera. </w:t>
      </w:r>
    </w:p>
    <w:p w:rsidR="001975CB" w:rsidRPr="00894893" w:rsidRDefault="001975CB" w:rsidP="00201902">
      <w:pPr>
        <w:widowControl w:val="0"/>
        <w:tabs>
          <w:tab w:val="left" w:pos="540"/>
          <w:tab w:val="left" w:pos="569"/>
        </w:tabs>
        <w:jc w:val="both"/>
        <w:rPr>
          <w:sz w:val="22"/>
          <w:szCs w:val="22"/>
          <w:lang w:val="sr-Latn-ME"/>
        </w:rPr>
      </w:pP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a) Simptomi predoziranja</w:t>
      </w: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Akutna intoksikacija se manifestuje mučninom, povraćanjem, razdražljivošću, tremorom, ataksijom, zamagljenim vidom, letargijom, depresijom, dizartrijom i konvulzijama; prijavljen je jedan slučaj maligne srčane aritmije.</w:t>
      </w: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U slučaju istovremene primjene amantadina i drugih antiparkinsonika zab</w:t>
      </w:r>
      <w:r w:rsidR="00914869">
        <w:rPr>
          <w:sz w:val="22"/>
          <w:szCs w:val="22"/>
          <w:lang w:val="sr-Latn-ME"/>
        </w:rPr>
        <w:t>ilj</w:t>
      </w:r>
      <w:r w:rsidRPr="00894893">
        <w:rPr>
          <w:sz w:val="22"/>
          <w:szCs w:val="22"/>
          <w:lang w:val="sr-Latn-ME"/>
        </w:rPr>
        <w:t>ežene su akutne toksične psihoze u obliku stanja konfuzije, sa vizuelnim halucinacijama, ponekad uključujući komu i mioklonus.</w:t>
      </w:r>
    </w:p>
    <w:p w:rsidR="001975CB" w:rsidRPr="00894893" w:rsidRDefault="001975CB" w:rsidP="00201902">
      <w:pPr>
        <w:widowControl w:val="0"/>
        <w:tabs>
          <w:tab w:val="left" w:pos="540"/>
          <w:tab w:val="left" w:pos="569"/>
        </w:tabs>
        <w:jc w:val="both"/>
        <w:rPr>
          <w:sz w:val="22"/>
          <w:szCs w:val="22"/>
          <w:lang w:val="sr-Latn-ME"/>
        </w:rPr>
      </w:pP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b) Terapija predoziranja</w:t>
      </w: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 xml:space="preserve">Specifična terapija ljekovima ili antidot nijesu poznati. U slučaju predoziranja film tabletama treba indukovati povraćanje i/ili uraditi lavažu želuca. </w:t>
      </w: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U slučaju životno ugrožavajućeg trovanja dodatno je potrebna intenzivna njega. Terapijske mjere koje treba prim</w:t>
      </w:r>
      <w:r w:rsidR="00914869">
        <w:rPr>
          <w:sz w:val="22"/>
          <w:szCs w:val="22"/>
          <w:lang w:val="sr-Latn-ME"/>
        </w:rPr>
        <w:t>i</w:t>
      </w:r>
      <w:r w:rsidRPr="00894893">
        <w:rPr>
          <w:sz w:val="22"/>
          <w:szCs w:val="22"/>
          <w:lang w:val="sr-Latn-ME"/>
        </w:rPr>
        <w:t>jeniti podrazum</w:t>
      </w:r>
      <w:r w:rsidR="00914869">
        <w:rPr>
          <w:sz w:val="22"/>
          <w:szCs w:val="22"/>
          <w:lang w:val="sr-Latn-ME"/>
        </w:rPr>
        <w:t>ij</w:t>
      </w:r>
      <w:r w:rsidRPr="00894893">
        <w:rPr>
          <w:sz w:val="22"/>
          <w:szCs w:val="22"/>
          <w:lang w:val="sr-Latn-ME"/>
        </w:rPr>
        <w:t xml:space="preserve">evaju nadoknadu tečnosti, acidifikaciju urina radi bržeg izlučivanja lijeka, po potrebi sedaciju, antikonvulzivne mjere i antiaritmike (lidokain i.v.). </w:t>
      </w:r>
    </w:p>
    <w:p w:rsidR="001975CB" w:rsidRPr="00894893" w:rsidRDefault="001975CB" w:rsidP="00201902">
      <w:pPr>
        <w:widowControl w:val="0"/>
        <w:tabs>
          <w:tab w:val="left" w:pos="540"/>
          <w:tab w:val="left" w:pos="569"/>
        </w:tabs>
        <w:jc w:val="both"/>
        <w:rPr>
          <w:sz w:val="22"/>
          <w:szCs w:val="22"/>
          <w:lang w:val="sr-Latn-ME"/>
        </w:rPr>
      </w:pP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 xml:space="preserve">Za terapiju neurotoksičnih simptoma (opisanih ranije) može da se primjeni fizostigmin intravenski (kod odraslih u dozi od 1 - 2 mg na svaka 2 sata, kod djece u dozi od 2 x 0,5 mg u intervalima od 5 – 10 minuta, do maksimalne doze od 2 mg). </w:t>
      </w:r>
    </w:p>
    <w:p w:rsidR="001975CB" w:rsidRPr="00894893" w:rsidRDefault="001975CB" w:rsidP="00201902">
      <w:pPr>
        <w:widowControl w:val="0"/>
        <w:tabs>
          <w:tab w:val="left" w:pos="540"/>
          <w:tab w:val="left" w:pos="569"/>
        </w:tabs>
        <w:jc w:val="both"/>
        <w:rPr>
          <w:sz w:val="22"/>
          <w:szCs w:val="22"/>
          <w:lang w:val="sr-Latn-ME"/>
        </w:rPr>
      </w:pPr>
    </w:p>
    <w:p w:rsidR="001975CB" w:rsidRPr="00894893" w:rsidRDefault="001975CB" w:rsidP="00201902">
      <w:pPr>
        <w:widowControl w:val="0"/>
        <w:tabs>
          <w:tab w:val="left" w:pos="540"/>
          <w:tab w:val="left" w:pos="569"/>
        </w:tabs>
        <w:jc w:val="both"/>
        <w:rPr>
          <w:sz w:val="22"/>
          <w:szCs w:val="22"/>
          <w:lang w:val="sr-Latn-ME"/>
        </w:rPr>
      </w:pPr>
      <w:r w:rsidRPr="00894893">
        <w:rPr>
          <w:sz w:val="22"/>
          <w:szCs w:val="22"/>
          <w:lang w:val="sr-Latn-ME"/>
        </w:rPr>
        <w:t>S obzirom na to da se amantadin slabo dijalizuje (oko 5%), primjena hemodijalize nije svrsishodna.</w:t>
      </w:r>
    </w:p>
    <w:p w:rsidR="001975CB" w:rsidRPr="00894893" w:rsidRDefault="001975CB" w:rsidP="00201902">
      <w:pPr>
        <w:widowControl w:val="0"/>
        <w:tabs>
          <w:tab w:val="left" w:pos="540"/>
          <w:tab w:val="left" w:pos="569"/>
        </w:tabs>
        <w:jc w:val="both"/>
        <w:rPr>
          <w:sz w:val="22"/>
          <w:szCs w:val="22"/>
          <w:lang w:val="sr-Latn-ME"/>
        </w:rPr>
      </w:pPr>
      <w:bookmarkStart w:id="0" w:name="_GoBack"/>
      <w:bookmarkEnd w:id="0"/>
    </w:p>
    <w:p w:rsidR="00227BDB" w:rsidRPr="00894893" w:rsidRDefault="001975CB" w:rsidP="00201902">
      <w:pPr>
        <w:widowControl w:val="0"/>
        <w:tabs>
          <w:tab w:val="left" w:pos="540"/>
          <w:tab w:val="left" w:pos="569"/>
        </w:tabs>
        <w:jc w:val="both"/>
        <w:rPr>
          <w:b/>
          <w:bCs/>
          <w:sz w:val="22"/>
          <w:szCs w:val="22"/>
          <w:lang w:val="sr-Latn-ME"/>
        </w:rPr>
      </w:pPr>
      <w:r w:rsidRPr="00894893">
        <w:rPr>
          <w:sz w:val="22"/>
          <w:szCs w:val="22"/>
          <w:lang w:val="sr-Latn-ME"/>
        </w:rPr>
        <w:t xml:space="preserve">Savjetuje se praćenje pacijenta, posebno na moguće produženje QT intervala i pojavu faktora koji olakšavaju nastup ventrikularne aritmije tipa torsade de pointes, poput elektrolitnog disbalansa (naročito hipokalemije i hipomagnezemije) ili bradikardije.  </w:t>
      </w:r>
    </w:p>
    <w:p w:rsidR="00F12064" w:rsidRDefault="00F12064">
      <w:pPr>
        <w:widowControl w:val="0"/>
        <w:tabs>
          <w:tab w:val="left" w:pos="540"/>
          <w:tab w:val="left" w:pos="569"/>
        </w:tabs>
        <w:jc w:val="both"/>
        <w:rPr>
          <w:b/>
          <w:bCs/>
          <w:sz w:val="22"/>
          <w:szCs w:val="22"/>
          <w:lang w:val="sr-Latn-ME"/>
        </w:rPr>
      </w:pPr>
    </w:p>
    <w:p w:rsidR="0072020E" w:rsidRPr="00894893" w:rsidRDefault="0072020E" w:rsidP="00201902">
      <w:pPr>
        <w:widowControl w:val="0"/>
        <w:tabs>
          <w:tab w:val="left" w:pos="540"/>
          <w:tab w:val="left" w:pos="569"/>
        </w:tabs>
        <w:jc w:val="both"/>
        <w:rPr>
          <w:b/>
          <w:bCs/>
          <w:sz w:val="22"/>
          <w:szCs w:val="22"/>
          <w:lang w:val="sr-Latn-ME"/>
        </w:rPr>
      </w:pPr>
      <w:r w:rsidRPr="00894893">
        <w:rPr>
          <w:b/>
          <w:bCs/>
          <w:sz w:val="22"/>
          <w:szCs w:val="22"/>
          <w:lang w:val="sr-Latn-ME"/>
        </w:rPr>
        <w:t xml:space="preserve">5. </w:t>
      </w:r>
      <w:r w:rsidR="00480FB1" w:rsidRPr="00894893">
        <w:rPr>
          <w:b/>
          <w:bCs/>
          <w:sz w:val="22"/>
          <w:szCs w:val="22"/>
          <w:lang w:val="sr-Latn-ME"/>
        </w:rPr>
        <w:tab/>
      </w:r>
      <w:r w:rsidRPr="00894893">
        <w:rPr>
          <w:b/>
          <w:bCs/>
          <w:sz w:val="22"/>
          <w:szCs w:val="22"/>
          <w:lang w:val="sr-Latn-ME"/>
        </w:rPr>
        <w:t>FARMAKOLOŠK</w:t>
      </w:r>
      <w:r w:rsidR="000D425A" w:rsidRPr="00894893">
        <w:rPr>
          <w:b/>
          <w:bCs/>
          <w:sz w:val="22"/>
          <w:szCs w:val="22"/>
          <w:lang w:val="sr-Latn-ME"/>
        </w:rPr>
        <w:t>I</w:t>
      </w:r>
      <w:r w:rsidRPr="00894893">
        <w:rPr>
          <w:b/>
          <w:bCs/>
          <w:sz w:val="22"/>
          <w:szCs w:val="22"/>
          <w:lang w:val="sr-Latn-ME"/>
        </w:rPr>
        <w:t xml:space="preserve"> PODACI</w:t>
      </w:r>
    </w:p>
    <w:p w:rsidR="0072020E" w:rsidRPr="00894893" w:rsidRDefault="0072020E" w:rsidP="00201902">
      <w:pPr>
        <w:widowControl w:val="0"/>
        <w:tabs>
          <w:tab w:val="left" w:pos="540"/>
          <w:tab w:val="left" w:pos="569"/>
        </w:tabs>
        <w:jc w:val="both"/>
        <w:rPr>
          <w:b/>
          <w:bCs/>
          <w:sz w:val="22"/>
          <w:szCs w:val="22"/>
          <w:lang w:val="sr-Latn-ME"/>
        </w:rPr>
      </w:pPr>
    </w:p>
    <w:p w:rsidR="0072020E" w:rsidRPr="00894893" w:rsidRDefault="0072020E" w:rsidP="00201902">
      <w:pPr>
        <w:widowControl w:val="0"/>
        <w:tabs>
          <w:tab w:val="left" w:pos="540"/>
          <w:tab w:val="left" w:pos="569"/>
        </w:tabs>
        <w:jc w:val="both"/>
        <w:rPr>
          <w:b/>
          <w:bCs/>
          <w:sz w:val="22"/>
          <w:szCs w:val="22"/>
          <w:lang w:val="sr-Latn-ME"/>
        </w:rPr>
      </w:pPr>
      <w:r w:rsidRPr="00894893">
        <w:rPr>
          <w:b/>
          <w:bCs/>
          <w:sz w:val="22"/>
          <w:szCs w:val="22"/>
          <w:lang w:val="sr-Latn-ME"/>
        </w:rPr>
        <w:t xml:space="preserve">5.1. </w:t>
      </w:r>
      <w:r w:rsidR="00480FB1" w:rsidRPr="00894893">
        <w:rPr>
          <w:b/>
          <w:bCs/>
          <w:sz w:val="22"/>
          <w:szCs w:val="22"/>
          <w:lang w:val="sr-Latn-ME"/>
        </w:rPr>
        <w:tab/>
      </w:r>
      <w:r w:rsidRPr="00894893">
        <w:rPr>
          <w:b/>
          <w:bCs/>
          <w:sz w:val="22"/>
          <w:szCs w:val="22"/>
          <w:lang w:val="sr-Latn-ME"/>
        </w:rPr>
        <w:t>Farmakodinamski podaci</w:t>
      </w:r>
      <w:r w:rsidR="003A7059" w:rsidRPr="00894893">
        <w:rPr>
          <w:b/>
          <w:bCs/>
          <w:sz w:val="22"/>
          <w:szCs w:val="22"/>
          <w:lang w:val="sr-Latn-ME"/>
        </w:rPr>
        <w:t xml:space="preserve"> </w:t>
      </w:r>
    </w:p>
    <w:p w:rsidR="00F45F77" w:rsidRPr="00894893" w:rsidRDefault="00F45F77" w:rsidP="00201902">
      <w:pPr>
        <w:widowControl w:val="0"/>
        <w:tabs>
          <w:tab w:val="left" w:pos="540"/>
          <w:tab w:val="left" w:pos="569"/>
        </w:tabs>
        <w:jc w:val="both"/>
        <w:rPr>
          <w:b/>
          <w:bCs/>
          <w:sz w:val="22"/>
          <w:szCs w:val="22"/>
          <w:lang w:val="sr-Latn-ME"/>
        </w:rPr>
      </w:pPr>
    </w:p>
    <w:p w:rsidR="0072020E" w:rsidRPr="00894893" w:rsidRDefault="0072020E" w:rsidP="00201902">
      <w:pPr>
        <w:widowControl w:val="0"/>
        <w:tabs>
          <w:tab w:val="left" w:pos="540"/>
          <w:tab w:val="left" w:pos="569"/>
        </w:tabs>
        <w:jc w:val="both"/>
        <w:rPr>
          <w:bCs/>
          <w:sz w:val="22"/>
          <w:szCs w:val="22"/>
          <w:lang w:val="sr-Latn-ME"/>
        </w:rPr>
      </w:pPr>
      <w:r w:rsidRPr="00894893">
        <w:rPr>
          <w:bCs/>
          <w:sz w:val="22"/>
          <w:szCs w:val="22"/>
          <w:lang w:val="sr-Latn-ME"/>
        </w:rPr>
        <w:t>Farmakoterapijska grupa:</w:t>
      </w:r>
      <w:r w:rsidR="003C3D97" w:rsidRPr="00894893">
        <w:rPr>
          <w:bCs/>
          <w:sz w:val="22"/>
          <w:szCs w:val="22"/>
          <w:lang w:val="sr-Latn-ME"/>
        </w:rPr>
        <w:t xml:space="preserve"> Antiparkinsonici; derivati adamantana</w:t>
      </w:r>
    </w:p>
    <w:p w:rsidR="0072020E" w:rsidRPr="00894893" w:rsidRDefault="0072020E" w:rsidP="00201902">
      <w:pPr>
        <w:widowControl w:val="0"/>
        <w:tabs>
          <w:tab w:val="left" w:pos="540"/>
          <w:tab w:val="left" w:pos="569"/>
        </w:tabs>
        <w:jc w:val="both"/>
        <w:rPr>
          <w:bCs/>
          <w:sz w:val="22"/>
          <w:szCs w:val="22"/>
          <w:lang w:val="sr-Latn-ME"/>
        </w:rPr>
      </w:pPr>
    </w:p>
    <w:p w:rsidR="003C3D97" w:rsidRPr="00894893" w:rsidRDefault="0072020E" w:rsidP="00201902">
      <w:pPr>
        <w:widowControl w:val="0"/>
        <w:tabs>
          <w:tab w:val="left" w:pos="540"/>
          <w:tab w:val="left" w:pos="569"/>
        </w:tabs>
        <w:jc w:val="both"/>
        <w:rPr>
          <w:bCs/>
          <w:sz w:val="22"/>
          <w:szCs w:val="22"/>
          <w:lang w:val="sr-Latn-ME"/>
        </w:rPr>
      </w:pPr>
      <w:r w:rsidRPr="00894893">
        <w:rPr>
          <w:bCs/>
          <w:sz w:val="22"/>
          <w:szCs w:val="22"/>
          <w:lang w:val="sr-Latn-ME"/>
        </w:rPr>
        <w:t>ATC kod:</w:t>
      </w:r>
      <w:r w:rsidR="003C3D97" w:rsidRPr="00894893">
        <w:rPr>
          <w:bCs/>
          <w:sz w:val="22"/>
          <w:szCs w:val="22"/>
          <w:lang w:val="sr-Latn-ME"/>
        </w:rPr>
        <w:t xml:space="preserve"> N04BB01</w:t>
      </w:r>
    </w:p>
    <w:p w:rsidR="0072020E" w:rsidRPr="00894893" w:rsidRDefault="0072020E" w:rsidP="00201902">
      <w:pPr>
        <w:widowControl w:val="0"/>
        <w:tabs>
          <w:tab w:val="left" w:pos="540"/>
          <w:tab w:val="left" w:pos="569"/>
        </w:tabs>
        <w:jc w:val="both"/>
        <w:rPr>
          <w:bCs/>
          <w:sz w:val="22"/>
          <w:szCs w:val="22"/>
          <w:lang w:val="sr-Latn-ME"/>
        </w:rPr>
      </w:pPr>
    </w:p>
    <w:p w:rsidR="003C3D97" w:rsidRPr="00894893" w:rsidRDefault="003C3D97" w:rsidP="00201902">
      <w:pPr>
        <w:widowControl w:val="0"/>
        <w:jc w:val="both"/>
        <w:rPr>
          <w:bCs/>
          <w:sz w:val="22"/>
          <w:szCs w:val="22"/>
          <w:lang w:val="sr-Latn-ME"/>
        </w:rPr>
      </w:pPr>
      <w:r w:rsidRPr="00894893">
        <w:rPr>
          <w:sz w:val="22"/>
          <w:szCs w:val="22"/>
          <w:lang w:val="sr-Latn-ME"/>
        </w:rPr>
        <w:t>Amantadin ima različita farmakološka dejstva. Ima indirektno agonističko dejstvo na strijatalne dopaminske receptore. Ispitivanja na životinjama su pokazala da amantadin povećava ekstracelularnu koncentraciju dopamina, kako povećanim oslobađanjem dopamina, tako i blokadom ponovnog preuzimanja u presinaptičke neurone. Pri terapijskim koncentracijama amantadin inhibira oslobađanje acetilholina posredovano NMDA receptorima i na taj način može izazvati antiholinergički efekat. Amantadin djeluje sinergistički sa L-dopom.</w:t>
      </w:r>
    </w:p>
    <w:p w:rsidR="002E37A5" w:rsidRPr="00894893" w:rsidRDefault="002E37A5" w:rsidP="00201902">
      <w:pPr>
        <w:widowControl w:val="0"/>
        <w:tabs>
          <w:tab w:val="left" w:pos="540"/>
          <w:tab w:val="left" w:pos="569"/>
        </w:tabs>
        <w:jc w:val="both"/>
        <w:rPr>
          <w:b/>
          <w:bCs/>
          <w:sz w:val="22"/>
          <w:szCs w:val="22"/>
          <w:lang w:val="sr-Latn-ME"/>
        </w:rPr>
      </w:pPr>
    </w:p>
    <w:p w:rsidR="0072020E" w:rsidRPr="00894893" w:rsidRDefault="0072020E" w:rsidP="00201902">
      <w:pPr>
        <w:widowControl w:val="0"/>
        <w:tabs>
          <w:tab w:val="left" w:pos="540"/>
          <w:tab w:val="left" w:pos="569"/>
        </w:tabs>
        <w:jc w:val="both"/>
        <w:rPr>
          <w:b/>
          <w:bCs/>
          <w:sz w:val="22"/>
          <w:szCs w:val="22"/>
          <w:lang w:val="sr-Latn-ME"/>
        </w:rPr>
      </w:pPr>
      <w:r w:rsidRPr="00894893">
        <w:rPr>
          <w:b/>
          <w:bCs/>
          <w:sz w:val="22"/>
          <w:szCs w:val="22"/>
          <w:lang w:val="sr-Latn-ME"/>
        </w:rPr>
        <w:t xml:space="preserve">5.2. </w:t>
      </w:r>
      <w:r w:rsidR="00480FB1" w:rsidRPr="00894893">
        <w:rPr>
          <w:b/>
          <w:bCs/>
          <w:sz w:val="22"/>
          <w:szCs w:val="22"/>
          <w:lang w:val="sr-Latn-ME"/>
        </w:rPr>
        <w:tab/>
      </w:r>
      <w:r w:rsidRPr="00894893">
        <w:rPr>
          <w:b/>
          <w:bCs/>
          <w:sz w:val="22"/>
          <w:szCs w:val="22"/>
          <w:lang w:val="sr-Latn-ME"/>
        </w:rPr>
        <w:t>Farmakokinetički podaci</w:t>
      </w:r>
      <w:r w:rsidR="003A7059" w:rsidRPr="00894893">
        <w:rPr>
          <w:b/>
          <w:bCs/>
          <w:sz w:val="22"/>
          <w:szCs w:val="22"/>
          <w:lang w:val="sr-Latn-ME"/>
        </w:rPr>
        <w:t xml:space="preserve"> </w:t>
      </w:r>
    </w:p>
    <w:p w:rsidR="003C3D97" w:rsidRPr="00894893" w:rsidRDefault="003C3D97" w:rsidP="00201902">
      <w:pPr>
        <w:widowControl w:val="0"/>
        <w:tabs>
          <w:tab w:val="left" w:pos="540"/>
          <w:tab w:val="left" w:pos="569"/>
        </w:tabs>
        <w:jc w:val="both"/>
        <w:rPr>
          <w:b/>
          <w:bCs/>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i/>
          <w:sz w:val="22"/>
          <w:szCs w:val="22"/>
          <w:lang w:val="sr-Latn-ME"/>
        </w:rPr>
        <w:t>Resorpcija</w:t>
      </w:r>
      <w:r w:rsidRPr="00894893">
        <w:rPr>
          <w:sz w:val="22"/>
          <w:szCs w:val="22"/>
          <w:lang w:val="sr-Latn-ME"/>
        </w:rPr>
        <w:t>:</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Nakon oralne primjene, </w:t>
      </w:r>
      <w:r w:rsidR="00894893">
        <w:rPr>
          <w:sz w:val="22"/>
          <w:szCs w:val="22"/>
          <w:lang w:val="sr-Latn-ME"/>
        </w:rPr>
        <w:t xml:space="preserve">amantadin </w:t>
      </w:r>
      <w:r w:rsidRPr="00894893">
        <w:rPr>
          <w:sz w:val="22"/>
          <w:szCs w:val="22"/>
          <w:lang w:val="sr-Latn-ME"/>
        </w:rPr>
        <w:t>hidrohlorid se brzo i kompletno resorbuje iz gastrointestinalnog trakta.</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i/>
          <w:iCs/>
          <w:sz w:val="22"/>
          <w:szCs w:val="22"/>
          <w:lang w:val="sr-Latn-ME"/>
        </w:rPr>
      </w:pPr>
      <w:r w:rsidRPr="00894893">
        <w:rPr>
          <w:i/>
          <w:iCs/>
          <w:sz w:val="22"/>
          <w:szCs w:val="22"/>
          <w:lang w:val="sr-Latn-ME"/>
        </w:rPr>
        <w:t>Koncentracija u plazmi, eliminacija:</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Maksimalne koncentracije u plazmi se postižu za 2 do 8 sati (t</w:t>
      </w:r>
      <w:r w:rsidRPr="00894893">
        <w:rPr>
          <w:sz w:val="22"/>
          <w:szCs w:val="22"/>
          <w:vertAlign w:val="subscript"/>
          <w:lang w:val="sr-Latn-ME"/>
        </w:rPr>
        <w:t>max</w:t>
      </w:r>
      <w:r w:rsidRPr="00894893">
        <w:rPr>
          <w:sz w:val="22"/>
          <w:szCs w:val="22"/>
          <w:lang w:val="sr-Latn-ME"/>
        </w:rPr>
        <w:t xml:space="preserve">) nakon primjene pojedinačne doze. </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Lako rastvoran amantadin</w:t>
      </w:r>
      <w:r w:rsidR="00914869">
        <w:rPr>
          <w:sz w:val="22"/>
          <w:szCs w:val="22"/>
          <w:lang w:val="sr-Latn-ME"/>
        </w:rPr>
        <w:t xml:space="preserve"> </w:t>
      </w:r>
      <w:r w:rsidRPr="00894893">
        <w:rPr>
          <w:sz w:val="22"/>
          <w:szCs w:val="22"/>
          <w:lang w:val="sr-Latn-ME"/>
        </w:rPr>
        <w:t>hidrohlorid daje veće maksimalne koncentracije amantadina u plazmi nego slabije rastvoran amantadin</w:t>
      </w:r>
      <w:r w:rsidR="00914869">
        <w:rPr>
          <w:sz w:val="22"/>
          <w:szCs w:val="22"/>
          <w:lang w:val="sr-Latn-ME"/>
        </w:rPr>
        <w:t xml:space="preserve"> </w:t>
      </w:r>
      <w:r w:rsidRPr="00894893">
        <w:rPr>
          <w:sz w:val="22"/>
          <w:szCs w:val="22"/>
          <w:lang w:val="sr-Latn-ME"/>
        </w:rPr>
        <w:t>sulfat, koji maksimalnu koncentraciju u plazmi (C</w:t>
      </w:r>
      <w:r w:rsidRPr="00894893">
        <w:rPr>
          <w:sz w:val="22"/>
          <w:szCs w:val="22"/>
          <w:vertAlign w:val="subscript"/>
          <w:lang w:val="sr-Latn-ME"/>
        </w:rPr>
        <w:t>max</w:t>
      </w:r>
      <w:r w:rsidRPr="00894893">
        <w:rPr>
          <w:sz w:val="22"/>
          <w:szCs w:val="22"/>
          <w:lang w:val="sr-Latn-ME"/>
        </w:rPr>
        <w:t>)</w:t>
      </w:r>
      <w:r w:rsidRPr="00894893">
        <w:rPr>
          <w:sz w:val="22"/>
          <w:szCs w:val="22"/>
          <w:vertAlign w:val="subscript"/>
          <w:lang w:val="sr-Latn-ME"/>
        </w:rPr>
        <w:t xml:space="preserve"> </w:t>
      </w:r>
      <w:r w:rsidRPr="00894893">
        <w:rPr>
          <w:sz w:val="22"/>
          <w:szCs w:val="22"/>
          <w:lang w:val="sr-Latn-ME"/>
        </w:rPr>
        <w:t>postiže kasnije nego hidrohlorid. Nakon pojedinačne oralne doze od 250 mg amantadin</w:t>
      </w:r>
      <w:r w:rsidR="00914869">
        <w:rPr>
          <w:sz w:val="22"/>
          <w:szCs w:val="22"/>
          <w:lang w:val="sr-Latn-ME"/>
        </w:rPr>
        <w:t xml:space="preserve"> </w:t>
      </w:r>
      <w:r w:rsidRPr="00894893">
        <w:rPr>
          <w:sz w:val="22"/>
          <w:szCs w:val="22"/>
          <w:lang w:val="sr-Latn-ME"/>
        </w:rPr>
        <w:t>hidrohlorida postiže se C</w:t>
      </w:r>
      <w:r w:rsidRPr="00894893">
        <w:rPr>
          <w:sz w:val="22"/>
          <w:szCs w:val="22"/>
          <w:vertAlign w:val="subscript"/>
          <w:lang w:val="sr-Latn-ME"/>
        </w:rPr>
        <w:t>max</w:t>
      </w:r>
      <w:r w:rsidRPr="00894893">
        <w:rPr>
          <w:sz w:val="22"/>
          <w:szCs w:val="22"/>
          <w:lang w:val="sr-Latn-ME"/>
        </w:rPr>
        <w:t xml:space="preserve"> od 0,5 mikrograma/</w:t>
      </w:r>
      <w:r w:rsidR="00894893">
        <w:rPr>
          <w:sz w:val="22"/>
          <w:szCs w:val="22"/>
          <w:lang w:val="sr-Latn-ME"/>
        </w:rPr>
        <w:t>ml</w:t>
      </w:r>
      <w:r w:rsidRPr="00894893">
        <w:rPr>
          <w:sz w:val="22"/>
          <w:szCs w:val="22"/>
          <w:lang w:val="sr-Latn-ME"/>
        </w:rPr>
        <w:t>. Pri dozi od 200 mg na dan, stanje ravnoteže se dostiže nakon 4 do 7 dana, sa koncentracijom u plazmi 400 – 900 nanograma/</w:t>
      </w:r>
      <w:r w:rsidR="00894893">
        <w:rPr>
          <w:sz w:val="22"/>
          <w:szCs w:val="22"/>
          <w:lang w:val="sr-Latn-ME"/>
        </w:rPr>
        <w:t>ml</w:t>
      </w:r>
      <w:r w:rsidRPr="00894893">
        <w:rPr>
          <w:sz w:val="22"/>
          <w:szCs w:val="22"/>
          <w:lang w:val="sr-Latn-ME"/>
        </w:rPr>
        <w:t>. Nakon primjene 100 mg amantadin</w:t>
      </w:r>
      <w:r w:rsidR="00914869">
        <w:rPr>
          <w:sz w:val="22"/>
          <w:szCs w:val="22"/>
          <w:lang w:val="sr-Latn-ME"/>
        </w:rPr>
        <w:t xml:space="preserve"> s</w:t>
      </w:r>
      <w:r w:rsidRPr="00894893">
        <w:rPr>
          <w:sz w:val="22"/>
          <w:szCs w:val="22"/>
          <w:lang w:val="sr-Latn-ME"/>
        </w:rPr>
        <w:t>ulfata, C</w:t>
      </w:r>
      <w:r w:rsidRPr="00894893">
        <w:rPr>
          <w:sz w:val="22"/>
          <w:szCs w:val="22"/>
          <w:vertAlign w:val="subscript"/>
          <w:lang w:val="sr-Latn-ME"/>
        </w:rPr>
        <w:t>max</w:t>
      </w:r>
      <w:r w:rsidRPr="00894893">
        <w:rPr>
          <w:sz w:val="22"/>
          <w:szCs w:val="22"/>
          <w:lang w:val="sr-Latn-ME"/>
        </w:rPr>
        <w:t xml:space="preserve"> je 0,15 mikrograma/</w:t>
      </w:r>
      <w:r w:rsidR="00894893">
        <w:rPr>
          <w:sz w:val="22"/>
          <w:szCs w:val="22"/>
          <w:lang w:val="sr-Latn-ME"/>
        </w:rPr>
        <w:t>ml</w:t>
      </w:r>
      <w:r w:rsidRPr="00894893">
        <w:rPr>
          <w:sz w:val="22"/>
          <w:szCs w:val="22"/>
          <w:lang w:val="sr-Latn-ME"/>
        </w:rPr>
        <w:t xml:space="preserve">. </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Ukupna količina resorbovane aktivne supstance (PIK) je ista za obje soli amantadina.</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Plazma klirens je identičan bubrežnom klirensu i kod starijih zdravih ispitanika iznosi 17,7 ± 10 </w:t>
      </w:r>
      <w:r w:rsidR="00914869">
        <w:rPr>
          <w:sz w:val="22"/>
          <w:szCs w:val="22"/>
          <w:lang w:val="sr-Latn-ME"/>
        </w:rPr>
        <w:t>l</w:t>
      </w:r>
      <w:r w:rsidRPr="00894893">
        <w:rPr>
          <w:sz w:val="22"/>
          <w:szCs w:val="22"/>
          <w:lang w:val="sr-Latn-ME"/>
        </w:rPr>
        <w:t>/sat.</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Prividni volumen distribucije (4,2 ± 1,9 </w:t>
      </w:r>
      <w:r w:rsidR="00914869">
        <w:rPr>
          <w:sz w:val="22"/>
          <w:szCs w:val="22"/>
          <w:lang w:val="sr-Latn-ME"/>
        </w:rPr>
        <w:t>l</w:t>
      </w:r>
      <w:r w:rsidRPr="00894893">
        <w:rPr>
          <w:sz w:val="22"/>
          <w:szCs w:val="22"/>
          <w:lang w:val="sr-Latn-ME"/>
        </w:rPr>
        <w:t xml:space="preserve">/kg) zavisi od životne dobi; kod starijih pacijenata iznosi 6,0 </w:t>
      </w:r>
      <w:r w:rsidR="00914869">
        <w:rPr>
          <w:sz w:val="22"/>
          <w:szCs w:val="22"/>
          <w:lang w:val="sr-Latn-ME"/>
        </w:rPr>
        <w:t>l</w:t>
      </w:r>
      <w:r w:rsidRPr="00894893">
        <w:rPr>
          <w:sz w:val="22"/>
          <w:szCs w:val="22"/>
          <w:lang w:val="sr-Latn-ME"/>
        </w:rPr>
        <w:t>/kg.</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Poluvrijeme eliminacije iznosi između 10 i 30 sati, sa srednjom vrijednošću od oko 15 sati, a u velikoj mjeri zavisi od starosti pacijenta. Stariji pacijenti muškog pola (starosti 62 – 72 godine) pokazuju poluvrijeme eliminacije od 30 sati. Kod pacijenata sa bubrežnom insuficijencijom, terminalno poluvrijeme eliminacije u plazmi može biti znatno produženo (do 68 ± 10 sati).</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i/>
          <w:sz w:val="22"/>
          <w:szCs w:val="22"/>
          <w:lang w:val="sr-Latn-ME"/>
        </w:rPr>
        <w:t>In vitro,</w:t>
      </w:r>
      <w:r w:rsidRPr="00894893">
        <w:rPr>
          <w:sz w:val="22"/>
          <w:szCs w:val="22"/>
          <w:lang w:val="sr-Latn-ME"/>
        </w:rPr>
        <w:t xml:space="preserve"> oko 67% amantadina je vezano za proteine plazme, i dok se oko 33% nalazi u nevezanom obliku u plazmi. Amantadin prolazi krvno-moždanu barijeru mehanizmom saturabilnog transporta. </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Amantadin se izlučuje urinom gotovo potpuno u nepromijenjenom obliku (90% od pojedinačne doze), mali dio se izlučuje preko fecesa. </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Mogućnost dijalize </w:t>
      </w:r>
      <w:r w:rsidR="00894893">
        <w:rPr>
          <w:sz w:val="22"/>
          <w:szCs w:val="22"/>
          <w:lang w:val="sr-Latn-ME"/>
        </w:rPr>
        <w:t xml:space="preserve">amantadin </w:t>
      </w:r>
      <w:r w:rsidRPr="00894893">
        <w:rPr>
          <w:sz w:val="22"/>
          <w:szCs w:val="22"/>
          <w:lang w:val="sr-Latn-ME"/>
        </w:rPr>
        <w:t>hidrohlorida je mala, svega oko 5% jednom dijalizom.</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i/>
          <w:sz w:val="22"/>
          <w:szCs w:val="22"/>
          <w:lang w:val="sr-Latn-ME"/>
        </w:rPr>
        <w:t>Metabolizam</w:t>
      </w:r>
      <w:r w:rsidRPr="00894893">
        <w:rPr>
          <w:sz w:val="22"/>
          <w:szCs w:val="22"/>
          <w:lang w:val="sr-Latn-ME"/>
        </w:rPr>
        <w:t>:</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Amantadin se ne metaboliše kod ljudi.  </w:t>
      </w:r>
    </w:p>
    <w:p w:rsidR="0072020E" w:rsidRPr="00894893" w:rsidRDefault="0072020E" w:rsidP="00201902">
      <w:pPr>
        <w:widowControl w:val="0"/>
        <w:tabs>
          <w:tab w:val="left" w:pos="540"/>
          <w:tab w:val="left" w:pos="569"/>
        </w:tabs>
        <w:jc w:val="both"/>
        <w:rPr>
          <w:bCs/>
          <w:sz w:val="22"/>
          <w:szCs w:val="22"/>
          <w:lang w:val="sr-Latn-ME"/>
        </w:rPr>
      </w:pPr>
    </w:p>
    <w:p w:rsidR="0072020E" w:rsidRPr="00894893" w:rsidRDefault="0072020E" w:rsidP="00201902">
      <w:pPr>
        <w:widowControl w:val="0"/>
        <w:tabs>
          <w:tab w:val="left" w:pos="540"/>
          <w:tab w:val="left" w:pos="569"/>
        </w:tabs>
        <w:jc w:val="both"/>
        <w:rPr>
          <w:b/>
          <w:bCs/>
          <w:sz w:val="22"/>
          <w:szCs w:val="22"/>
          <w:lang w:val="sr-Latn-ME"/>
        </w:rPr>
      </w:pPr>
      <w:r w:rsidRPr="00894893">
        <w:rPr>
          <w:b/>
          <w:bCs/>
          <w:sz w:val="22"/>
          <w:szCs w:val="22"/>
          <w:lang w:val="sr-Latn-ME"/>
        </w:rPr>
        <w:t xml:space="preserve">5.3. </w:t>
      </w:r>
      <w:r w:rsidR="00480FB1" w:rsidRPr="00894893">
        <w:rPr>
          <w:b/>
          <w:bCs/>
          <w:sz w:val="22"/>
          <w:szCs w:val="22"/>
          <w:lang w:val="sr-Latn-ME"/>
        </w:rPr>
        <w:tab/>
      </w:r>
      <w:r w:rsidRPr="00894893">
        <w:rPr>
          <w:b/>
          <w:bCs/>
          <w:sz w:val="22"/>
          <w:szCs w:val="22"/>
          <w:lang w:val="sr-Latn-ME"/>
        </w:rPr>
        <w:t xml:space="preserve">Pretklinički podaci o bezbjednosti </w:t>
      </w:r>
    </w:p>
    <w:p w:rsidR="003C3D97" w:rsidRPr="00894893" w:rsidRDefault="003C3D97" w:rsidP="00201902">
      <w:pPr>
        <w:widowControl w:val="0"/>
        <w:tabs>
          <w:tab w:val="left" w:pos="540"/>
          <w:tab w:val="left" w:pos="569"/>
        </w:tabs>
        <w:jc w:val="both"/>
        <w:rPr>
          <w:b/>
          <w:bCs/>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Amantadin utiče na srčanu elektrofiziologiju, uključujući produženje trajanja akcionog potencijala tako što inhibira influks jona kalijuma koji izazivaju repolarizaciju ćelijske membrane. Kod ljudi, u rijetkim slučajevima, ovi efekti mogu dovesti do određenih tipova srčane aritmije (apikalna naizmjenična tahikardija ili aritmija </w:t>
      </w:r>
      <w:r w:rsidRPr="00894893">
        <w:rPr>
          <w:i/>
          <w:sz w:val="22"/>
          <w:szCs w:val="22"/>
          <w:lang w:val="sr-Latn-ME"/>
        </w:rPr>
        <w:t>torsade de pointes</w:t>
      </w:r>
      <w:r w:rsidRPr="00894893">
        <w:rPr>
          <w:sz w:val="22"/>
          <w:szCs w:val="22"/>
          <w:lang w:val="sr-Latn-ME"/>
        </w:rPr>
        <w:t>).</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Ispitivanje hronične toksičnosti su prvenstveno otkrila stimulativno dejstvo na CNS. Kod pasa i </w:t>
      </w:r>
      <w:r w:rsidRPr="00894893">
        <w:rPr>
          <w:sz w:val="22"/>
          <w:szCs w:val="22"/>
          <w:lang w:val="sr-Latn-ME"/>
        </w:rPr>
        <w:lastRenderedPageBreak/>
        <w:t>majmuna prim</w:t>
      </w:r>
      <w:r w:rsidR="00914869">
        <w:rPr>
          <w:sz w:val="22"/>
          <w:szCs w:val="22"/>
          <w:lang w:val="sr-Latn-ME"/>
        </w:rPr>
        <w:t>i</w:t>
      </w:r>
      <w:r w:rsidRPr="00894893">
        <w:rPr>
          <w:sz w:val="22"/>
          <w:szCs w:val="22"/>
          <w:lang w:val="sr-Latn-ME"/>
        </w:rPr>
        <w:t>jećene su ekstrasistole u izolovanim slučajevima, a kod pasa i blaga masna infiltracija u miokardu.</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 </w:t>
      </w: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Ispitivanje mutagenosti sprovedeno </w:t>
      </w:r>
      <w:r w:rsidRPr="00894893">
        <w:rPr>
          <w:i/>
          <w:sz w:val="22"/>
          <w:szCs w:val="22"/>
          <w:lang w:val="sr-Latn-ME"/>
        </w:rPr>
        <w:t>in vitro</w:t>
      </w:r>
      <w:r w:rsidRPr="00894893">
        <w:rPr>
          <w:sz w:val="22"/>
          <w:szCs w:val="22"/>
          <w:lang w:val="sr-Latn-ME"/>
        </w:rPr>
        <w:t xml:space="preserve"> i </w:t>
      </w:r>
      <w:r w:rsidRPr="00894893">
        <w:rPr>
          <w:i/>
          <w:sz w:val="22"/>
          <w:szCs w:val="22"/>
          <w:lang w:val="sr-Latn-ME"/>
        </w:rPr>
        <w:t>in vivo</w:t>
      </w:r>
      <w:r w:rsidRPr="00894893">
        <w:rPr>
          <w:sz w:val="22"/>
          <w:szCs w:val="22"/>
          <w:lang w:val="sr-Latn-ME"/>
        </w:rPr>
        <w:t xml:space="preserve"> testovima nije pokazalo genotoksični potencijal amantadina. </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Dugoročna ispitivanja karcinogenosti amantadina nijesu sprovedena.</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Ispitivanja embriotoksičnosti na pacovima, miševima i kunićima, pokazale su samo kod pacova embrioletalno dejstvo i malformacije pri velikim dozama. Edem, malpozicija zadnjih nogu i deformacije skeleta zab</w:t>
      </w:r>
      <w:r w:rsidR="00914869">
        <w:rPr>
          <w:sz w:val="22"/>
          <w:szCs w:val="22"/>
          <w:lang w:val="sr-Latn-ME"/>
        </w:rPr>
        <w:t>i</w:t>
      </w:r>
      <w:r w:rsidRPr="00894893">
        <w:rPr>
          <w:sz w:val="22"/>
          <w:szCs w:val="22"/>
          <w:lang w:val="sr-Latn-ME"/>
        </w:rPr>
        <w:t>l</w:t>
      </w:r>
      <w:r w:rsidR="00914869">
        <w:rPr>
          <w:sz w:val="22"/>
          <w:szCs w:val="22"/>
          <w:lang w:val="sr-Latn-ME"/>
        </w:rPr>
        <w:t>j</w:t>
      </w:r>
      <w:r w:rsidRPr="00894893">
        <w:rPr>
          <w:sz w:val="22"/>
          <w:szCs w:val="22"/>
          <w:lang w:val="sr-Latn-ME"/>
        </w:rPr>
        <w:t>eženi su sa povećanom učestalošću. Uticaj na fertilitet je nedovoljno istražen; postoje dokazi o oštećenju fertiliteta kod pacova.</w:t>
      </w:r>
    </w:p>
    <w:p w:rsidR="003C3D97" w:rsidRPr="00894893" w:rsidRDefault="003C3D97" w:rsidP="00201902">
      <w:pPr>
        <w:pStyle w:val="Header"/>
        <w:widowControl w:val="0"/>
        <w:tabs>
          <w:tab w:val="left" w:pos="284"/>
        </w:tabs>
        <w:jc w:val="both"/>
        <w:rPr>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 xml:space="preserve">Ispitivanja u prenatalnom/postanatalnom periodu nijesu sprovedena. </w:t>
      </w:r>
    </w:p>
    <w:p w:rsidR="00836B35" w:rsidRPr="00894893" w:rsidRDefault="00836B35" w:rsidP="00201902">
      <w:pPr>
        <w:widowControl w:val="0"/>
        <w:tabs>
          <w:tab w:val="left" w:pos="540"/>
          <w:tab w:val="left" w:pos="569"/>
        </w:tabs>
        <w:jc w:val="both"/>
        <w:rPr>
          <w:bCs/>
          <w:sz w:val="22"/>
          <w:szCs w:val="22"/>
          <w:lang w:val="sr-Latn-ME"/>
        </w:rPr>
      </w:pPr>
    </w:p>
    <w:p w:rsidR="00396DFD" w:rsidRPr="00894893" w:rsidRDefault="00396DFD" w:rsidP="00201902">
      <w:pPr>
        <w:widowControl w:val="0"/>
        <w:tabs>
          <w:tab w:val="left" w:pos="540"/>
          <w:tab w:val="left" w:pos="569"/>
        </w:tabs>
        <w:jc w:val="both"/>
        <w:rPr>
          <w:b/>
          <w:bCs/>
          <w:sz w:val="22"/>
          <w:szCs w:val="22"/>
          <w:lang w:val="sr-Latn-ME"/>
        </w:rPr>
      </w:pPr>
    </w:p>
    <w:p w:rsidR="0072020E" w:rsidRPr="00894893" w:rsidRDefault="0072020E" w:rsidP="00201902">
      <w:pPr>
        <w:widowControl w:val="0"/>
        <w:tabs>
          <w:tab w:val="left" w:pos="540"/>
          <w:tab w:val="left" w:pos="569"/>
        </w:tabs>
        <w:jc w:val="both"/>
        <w:rPr>
          <w:b/>
          <w:bCs/>
          <w:sz w:val="22"/>
          <w:szCs w:val="22"/>
          <w:lang w:val="sr-Latn-ME"/>
        </w:rPr>
      </w:pPr>
      <w:r w:rsidRPr="00894893">
        <w:rPr>
          <w:b/>
          <w:bCs/>
          <w:sz w:val="22"/>
          <w:szCs w:val="22"/>
          <w:lang w:val="sr-Latn-ME"/>
        </w:rPr>
        <w:t xml:space="preserve">6. </w:t>
      </w:r>
      <w:r w:rsidR="00480FB1" w:rsidRPr="00894893">
        <w:rPr>
          <w:b/>
          <w:bCs/>
          <w:sz w:val="22"/>
          <w:szCs w:val="22"/>
          <w:lang w:val="sr-Latn-ME"/>
        </w:rPr>
        <w:tab/>
      </w:r>
      <w:r w:rsidRPr="00894893">
        <w:rPr>
          <w:b/>
          <w:bCs/>
          <w:sz w:val="22"/>
          <w:szCs w:val="22"/>
          <w:lang w:val="sr-Latn-ME"/>
        </w:rPr>
        <w:t>FARMACEUTSKI PODACI</w:t>
      </w:r>
    </w:p>
    <w:p w:rsidR="00836B35" w:rsidRPr="00894893" w:rsidRDefault="00836B35" w:rsidP="00201902">
      <w:pPr>
        <w:widowControl w:val="0"/>
        <w:tabs>
          <w:tab w:val="left" w:pos="540"/>
          <w:tab w:val="left" w:pos="569"/>
        </w:tabs>
        <w:jc w:val="both"/>
        <w:rPr>
          <w:bCs/>
          <w:sz w:val="22"/>
          <w:szCs w:val="22"/>
          <w:lang w:val="sr-Latn-ME"/>
        </w:rPr>
      </w:pPr>
    </w:p>
    <w:p w:rsidR="0072020E" w:rsidRPr="00894893" w:rsidRDefault="0072020E" w:rsidP="00201902">
      <w:pPr>
        <w:widowControl w:val="0"/>
        <w:tabs>
          <w:tab w:val="left" w:pos="540"/>
          <w:tab w:val="left" w:pos="569"/>
        </w:tabs>
        <w:jc w:val="both"/>
        <w:rPr>
          <w:b/>
          <w:bCs/>
          <w:sz w:val="22"/>
          <w:szCs w:val="22"/>
          <w:lang w:val="sr-Latn-ME"/>
        </w:rPr>
      </w:pPr>
      <w:r w:rsidRPr="00894893">
        <w:rPr>
          <w:b/>
          <w:bCs/>
          <w:sz w:val="22"/>
          <w:szCs w:val="22"/>
          <w:lang w:val="sr-Latn-ME"/>
        </w:rPr>
        <w:t xml:space="preserve">6.1. </w:t>
      </w:r>
      <w:r w:rsidR="00480FB1" w:rsidRPr="00894893">
        <w:rPr>
          <w:b/>
          <w:bCs/>
          <w:sz w:val="22"/>
          <w:szCs w:val="22"/>
          <w:lang w:val="sr-Latn-ME"/>
        </w:rPr>
        <w:tab/>
      </w:r>
      <w:r w:rsidRPr="00894893">
        <w:rPr>
          <w:b/>
          <w:bCs/>
          <w:sz w:val="22"/>
          <w:szCs w:val="22"/>
          <w:lang w:val="sr-Latn-ME"/>
        </w:rPr>
        <w:t>Lista pomoćnih supstanci</w:t>
      </w:r>
      <w:r w:rsidR="002E0135" w:rsidRPr="00894893">
        <w:rPr>
          <w:b/>
          <w:bCs/>
          <w:sz w:val="22"/>
          <w:szCs w:val="22"/>
          <w:lang w:val="sr-Latn-ME"/>
        </w:rPr>
        <w:t xml:space="preserve"> (ekscipijenasa)</w:t>
      </w:r>
    </w:p>
    <w:p w:rsidR="003C3D97" w:rsidRPr="00894893" w:rsidRDefault="003C3D97" w:rsidP="00201902">
      <w:pPr>
        <w:widowControl w:val="0"/>
        <w:tabs>
          <w:tab w:val="left" w:pos="540"/>
          <w:tab w:val="left" w:pos="569"/>
        </w:tabs>
        <w:jc w:val="both"/>
        <w:rPr>
          <w:b/>
          <w:bCs/>
          <w:sz w:val="22"/>
          <w:szCs w:val="22"/>
          <w:lang w:val="sr-Latn-ME"/>
        </w:rPr>
      </w:pPr>
    </w:p>
    <w:p w:rsidR="003C3D97" w:rsidRPr="00894893" w:rsidRDefault="003C3D97" w:rsidP="00201902">
      <w:pPr>
        <w:pStyle w:val="Header"/>
        <w:widowControl w:val="0"/>
        <w:tabs>
          <w:tab w:val="left" w:pos="284"/>
        </w:tabs>
        <w:jc w:val="both"/>
        <w:rPr>
          <w:sz w:val="22"/>
          <w:szCs w:val="22"/>
          <w:lang w:val="sr-Latn-ME"/>
        </w:rPr>
      </w:pPr>
      <w:r w:rsidRPr="00894893">
        <w:rPr>
          <w:sz w:val="22"/>
          <w:szCs w:val="22"/>
          <w:lang w:val="sr-Latn-ME"/>
        </w:rPr>
        <w:t>Jezgro tablete:</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laktoza, monohidrat;</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celuloza, mikrokristalna;</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skrob, krompirov;</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želatin;</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povidon;</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kroskarmeloza</w:t>
      </w:r>
      <w:r w:rsidR="00894893">
        <w:rPr>
          <w:sz w:val="22"/>
          <w:szCs w:val="22"/>
          <w:lang w:val="sr-Latn-ME"/>
        </w:rPr>
        <w:t xml:space="preserve"> </w:t>
      </w:r>
      <w:r w:rsidRPr="00894893">
        <w:rPr>
          <w:sz w:val="22"/>
          <w:szCs w:val="22"/>
          <w:lang w:val="sr-Latn-ME"/>
        </w:rPr>
        <w:t>natrijum;</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 xml:space="preserve">talk; </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silicijum</w:t>
      </w:r>
      <w:r w:rsidR="00894893">
        <w:rPr>
          <w:sz w:val="22"/>
          <w:szCs w:val="22"/>
          <w:lang w:val="sr-Latn-ME"/>
        </w:rPr>
        <w:t xml:space="preserve"> </w:t>
      </w:r>
      <w:r w:rsidRPr="00894893">
        <w:rPr>
          <w:sz w:val="22"/>
          <w:szCs w:val="22"/>
          <w:lang w:val="sr-Latn-ME"/>
        </w:rPr>
        <w:t>dioksid, koloidni, bezvodni;</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magnezijum</w:t>
      </w:r>
      <w:r w:rsidR="00894893">
        <w:rPr>
          <w:sz w:val="22"/>
          <w:szCs w:val="22"/>
          <w:lang w:val="sr-Latn-ME"/>
        </w:rPr>
        <w:t xml:space="preserve"> </w:t>
      </w:r>
      <w:r w:rsidRPr="00894893">
        <w:rPr>
          <w:sz w:val="22"/>
          <w:szCs w:val="22"/>
          <w:lang w:val="sr-Latn-ME"/>
        </w:rPr>
        <w:t>stearat</w:t>
      </w:r>
    </w:p>
    <w:p w:rsidR="003C3D97" w:rsidRPr="00894893" w:rsidRDefault="003C3D97" w:rsidP="002473AF">
      <w:pPr>
        <w:pStyle w:val="Header"/>
        <w:widowControl w:val="0"/>
        <w:tabs>
          <w:tab w:val="left" w:pos="284"/>
        </w:tabs>
        <w:jc w:val="both"/>
        <w:rPr>
          <w:sz w:val="22"/>
          <w:szCs w:val="22"/>
          <w:lang w:val="sr-Latn-ME"/>
        </w:rPr>
      </w:pPr>
    </w:p>
    <w:p w:rsidR="003C3D97" w:rsidRPr="00894893" w:rsidRDefault="003C3D97" w:rsidP="002473AF">
      <w:pPr>
        <w:pStyle w:val="Header"/>
        <w:widowControl w:val="0"/>
        <w:tabs>
          <w:tab w:val="left" w:pos="284"/>
        </w:tabs>
        <w:jc w:val="both"/>
        <w:rPr>
          <w:sz w:val="22"/>
          <w:szCs w:val="22"/>
          <w:lang w:val="sr-Latn-ME"/>
        </w:rPr>
      </w:pPr>
      <w:r w:rsidRPr="00894893">
        <w:rPr>
          <w:sz w:val="22"/>
          <w:szCs w:val="22"/>
          <w:lang w:val="sr-Latn-ME"/>
        </w:rPr>
        <w:t>Film obloga tablete:</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 xml:space="preserve">talk; </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 xml:space="preserve">butilmetakrilat kopolimer, bazni </w:t>
      </w:r>
      <w:r w:rsidRPr="00894893">
        <w:rPr>
          <w:bCs/>
          <w:sz w:val="22"/>
          <w:szCs w:val="22"/>
          <w:lang w:val="sr-Latn-ME"/>
        </w:rPr>
        <w:t>(Eudragit E 100);</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titan</w:t>
      </w:r>
      <w:r w:rsidR="00894893">
        <w:rPr>
          <w:sz w:val="22"/>
          <w:szCs w:val="22"/>
          <w:lang w:val="sr-Latn-ME"/>
        </w:rPr>
        <w:t xml:space="preserve"> </w:t>
      </w:r>
      <w:r w:rsidRPr="00894893">
        <w:rPr>
          <w:sz w:val="22"/>
          <w:szCs w:val="22"/>
          <w:lang w:val="sr-Latn-ME"/>
        </w:rPr>
        <w:t>dioksid (E 171);</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magnezijum</w:t>
      </w:r>
      <w:r w:rsidR="00894893">
        <w:rPr>
          <w:sz w:val="22"/>
          <w:szCs w:val="22"/>
          <w:lang w:val="sr-Latn-ME"/>
        </w:rPr>
        <w:t xml:space="preserve"> </w:t>
      </w:r>
      <w:r w:rsidRPr="00894893">
        <w:rPr>
          <w:sz w:val="22"/>
          <w:szCs w:val="22"/>
          <w:lang w:val="sr-Latn-ME"/>
        </w:rPr>
        <w:t>stearat;</w:t>
      </w:r>
    </w:p>
    <w:p w:rsidR="003C3D97" w:rsidRPr="00894893" w:rsidRDefault="003C3D97">
      <w:pPr>
        <w:pStyle w:val="Header"/>
        <w:widowControl w:val="0"/>
        <w:numPr>
          <w:ilvl w:val="0"/>
          <w:numId w:val="16"/>
        </w:numPr>
        <w:tabs>
          <w:tab w:val="clear" w:pos="4320"/>
          <w:tab w:val="clear" w:pos="8640"/>
          <w:tab w:val="left" w:pos="284"/>
        </w:tabs>
        <w:jc w:val="both"/>
        <w:rPr>
          <w:sz w:val="22"/>
          <w:szCs w:val="22"/>
          <w:lang w:val="sr-Latn-ME"/>
        </w:rPr>
      </w:pPr>
      <w:r w:rsidRPr="00894893">
        <w:rPr>
          <w:sz w:val="22"/>
          <w:szCs w:val="22"/>
          <w:lang w:val="sr-Latn-ME"/>
        </w:rPr>
        <w:t>Yellow orange lacquer (E 110).</w:t>
      </w:r>
    </w:p>
    <w:p w:rsidR="0072020E" w:rsidRPr="00894893" w:rsidRDefault="0072020E" w:rsidP="002473AF">
      <w:pPr>
        <w:widowControl w:val="0"/>
        <w:tabs>
          <w:tab w:val="left" w:pos="540"/>
          <w:tab w:val="left" w:pos="569"/>
        </w:tabs>
        <w:jc w:val="both"/>
        <w:rPr>
          <w:bCs/>
          <w:sz w:val="22"/>
          <w:szCs w:val="22"/>
          <w:lang w:val="sr-Latn-ME"/>
        </w:rPr>
      </w:pPr>
    </w:p>
    <w:p w:rsidR="0072020E" w:rsidRPr="00894893" w:rsidRDefault="0072020E" w:rsidP="002473AF">
      <w:pPr>
        <w:widowControl w:val="0"/>
        <w:tabs>
          <w:tab w:val="left" w:pos="540"/>
          <w:tab w:val="left" w:pos="569"/>
        </w:tabs>
        <w:jc w:val="both"/>
        <w:rPr>
          <w:b/>
          <w:bCs/>
          <w:sz w:val="22"/>
          <w:szCs w:val="22"/>
          <w:lang w:val="sr-Latn-ME"/>
        </w:rPr>
      </w:pPr>
      <w:r w:rsidRPr="00894893">
        <w:rPr>
          <w:b/>
          <w:bCs/>
          <w:sz w:val="22"/>
          <w:szCs w:val="22"/>
          <w:lang w:val="sr-Latn-ME"/>
        </w:rPr>
        <w:t xml:space="preserve">6.2. </w:t>
      </w:r>
      <w:r w:rsidR="00480FB1" w:rsidRPr="00894893">
        <w:rPr>
          <w:b/>
          <w:bCs/>
          <w:sz w:val="22"/>
          <w:szCs w:val="22"/>
          <w:lang w:val="sr-Latn-ME"/>
        </w:rPr>
        <w:tab/>
      </w:r>
      <w:r w:rsidRPr="00894893">
        <w:rPr>
          <w:b/>
          <w:bCs/>
          <w:sz w:val="22"/>
          <w:szCs w:val="22"/>
          <w:lang w:val="sr-Latn-ME"/>
        </w:rPr>
        <w:t>Inkompatibilnost</w:t>
      </w:r>
      <w:r w:rsidR="002846DB" w:rsidRPr="00894893">
        <w:rPr>
          <w:b/>
          <w:bCs/>
          <w:sz w:val="22"/>
          <w:szCs w:val="22"/>
          <w:lang w:val="sr-Latn-ME"/>
        </w:rPr>
        <w:t>i</w:t>
      </w:r>
    </w:p>
    <w:p w:rsidR="003C3D97" w:rsidRPr="00894893" w:rsidRDefault="003C3D97" w:rsidP="002473AF">
      <w:pPr>
        <w:widowControl w:val="0"/>
        <w:tabs>
          <w:tab w:val="left" w:pos="540"/>
          <w:tab w:val="left" w:pos="569"/>
        </w:tabs>
        <w:jc w:val="both"/>
        <w:rPr>
          <w:b/>
          <w:bCs/>
          <w:sz w:val="22"/>
          <w:szCs w:val="22"/>
          <w:lang w:val="sr-Latn-ME"/>
        </w:rPr>
      </w:pPr>
    </w:p>
    <w:p w:rsidR="003C3D97" w:rsidRPr="00894893" w:rsidRDefault="003C3D97" w:rsidP="002473AF">
      <w:pPr>
        <w:widowControl w:val="0"/>
        <w:tabs>
          <w:tab w:val="left" w:pos="540"/>
          <w:tab w:val="left" w:pos="569"/>
        </w:tabs>
        <w:jc w:val="both"/>
        <w:rPr>
          <w:bCs/>
          <w:sz w:val="22"/>
          <w:szCs w:val="22"/>
          <w:lang w:val="sr-Latn-ME"/>
        </w:rPr>
      </w:pPr>
      <w:r w:rsidRPr="00894893">
        <w:rPr>
          <w:bCs/>
          <w:sz w:val="22"/>
          <w:szCs w:val="22"/>
          <w:lang w:val="sr-Latn-ME"/>
        </w:rPr>
        <w:t>Nije primjenljivo.</w:t>
      </w:r>
    </w:p>
    <w:p w:rsidR="0072020E" w:rsidRPr="00894893" w:rsidRDefault="0072020E" w:rsidP="002473AF">
      <w:pPr>
        <w:widowControl w:val="0"/>
        <w:tabs>
          <w:tab w:val="left" w:pos="540"/>
          <w:tab w:val="left" w:pos="569"/>
        </w:tabs>
        <w:jc w:val="both"/>
        <w:rPr>
          <w:bCs/>
          <w:sz w:val="22"/>
          <w:szCs w:val="22"/>
          <w:lang w:val="sr-Latn-ME"/>
        </w:rPr>
      </w:pPr>
    </w:p>
    <w:p w:rsidR="0072020E" w:rsidRPr="00894893" w:rsidRDefault="0072020E" w:rsidP="002473AF">
      <w:pPr>
        <w:widowControl w:val="0"/>
        <w:tabs>
          <w:tab w:val="left" w:pos="540"/>
          <w:tab w:val="left" w:pos="569"/>
        </w:tabs>
        <w:jc w:val="both"/>
        <w:rPr>
          <w:b/>
          <w:bCs/>
          <w:sz w:val="22"/>
          <w:szCs w:val="22"/>
          <w:lang w:val="sr-Latn-ME"/>
        </w:rPr>
      </w:pPr>
      <w:r w:rsidRPr="00894893">
        <w:rPr>
          <w:b/>
          <w:bCs/>
          <w:sz w:val="22"/>
          <w:szCs w:val="22"/>
          <w:lang w:val="sr-Latn-ME"/>
        </w:rPr>
        <w:t>6.3.</w:t>
      </w:r>
      <w:r w:rsidR="00C05DF8" w:rsidRPr="00894893">
        <w:rPr>
          <w:b/>
          <w:bCs/>
          <w:sz w:val="22"/>
          <w:szCs w:val="22"/>
          <w:lang w:val="sr-Latn-ME"/>
        </w:rPr>
        <w:t xml:space="preserve"> </w:t>
      </w:r>
      <w:r w:rsidR="00480FB1" w:rsidRPr="00894893">
        <w:rPr>
          <w:b/>
          <w:bCs/>
          <w:sz w:val="22"/>
          <w:szCs w:val="22"/>
          <w:lang w:val="sr-Latn-ME"/>
        </w:rPr>
        <w:tab/>
      </w:r>
      <w:r w:rsidRPr="00894893">
        <w:rPr>
          <w:b/>
          <w:bCs/>
          <w:sz w:val="22"/>
          <w:szCs w:val="22"/>
          <w:lang w:val="sr-Latn-ME"/>
        </w:rPr>
        <w:t>Rok upotrebe</w:t>
      </w:r>
    </w:p>
    <w:p w:rsidR="003C3D97" w:rsidRPr="00894893" w:rsidRDefault="003C3D97" w:rsidP="002473AF">
      <w:pPr>
        <w:widowControl w:val="0"/>
        <w:tabs>
          <w:tab w:val="left" w:pos="540"/>
          <w:tab w:val="left" w:pos="569"/>
        </w:tabs>
        <w:jc w:val="both"/>
        <w:rPr>
          <w:b/>
          <w:bCs/>
          <w:sz w:val="22"/>
          <w:szCs w:val="22"/>
          <w:lang w:val="sr-Latn-ME"/>
        </w:rPr>
      </w:pPr>
    </w:p>
    <w:p w:rsidR="003C3D97" w:rsidRPr="00894893" w:rsidRDefault="003C3D97" w:rsidP="002473AF">
      <w:pPr>
        <w:widowControl w:val="0"/>
        <w:jc w:val="both"/>
        <w:rPr>
          <w:b/>
          <w:bCs/>
          <w:sz w:val="22"/>
          <w:szCs w:val="22"/>
          <w:lang w:val="sr-Latn-ME"/>
        </w:rPr>
      </w:pPr>
      <w:r w:rsidRPr="00894893">
        <w:rPr>
          <w:sz w:val="22"/>
          <w:szCs w:val="22"/>
          <w:lang w:val="sr-Latn-ME"/>
        </w:rPr>
        <w:t>5 godina.</w:t>
      </w:r>
      <w:r w:rsidRPr="00894893">
        <w:rPr>
          <w:b/>
          <w:bCs/>
          <w:sz w:val="22"/>
          <w:szCs w:val="22"/>
          <w:lang w:val="sr-Latn-ME"/>
        </w:rPr>
        <w:t xml:space="preserve"> </w:t>
      </w:r>
    </w:p>
    <w:p w:rsidR="0072020E" w:rsidRPr="00894893" w:rsidRDefault="0072020E" w:rsidP="002473AF">
      <w:pPr>
        <w:widowControl w:val="0"/>
        <w:tabs>
          <w:tab w:val="left" w:pos="540"/>
          <w:tab w:val="left" w:pos="569"/>
        </w:tabs>
        <w:jc w:val="both"/>
        <w:rPr>
          <w:bCs/>
          <w:sz w:val="22"/>
          <w:szCs w:val="22"/>
          <w:lang w:val="sr-Latn-ME"/>
        </w:rPr>
      </w:pPr>
    </w:p>
    <w:p w:rsidR="0072020E" w:rsidRPr="00894893" w:rsidRDefault="0072020E" w:rsidP="002473AF">
      <w:pPr>
        <w:widowControl w:val="0"/>
        <w:tabs>
          <w:tab w:val="left" w:pos="540"/>
          <w:tab w:val="left" w:pos="569"/>
        </w:tabs>
        <w:jc w:val="both"/>
        <w:rPr>
          <w:b/>
          <w:bCs/>
          <w:sz w:val="22"/>
          <w:szCs w:val="22"/>
          <w:lang w:val="sr-Latn-ME"/>
        </w:rPr>
      </w:pPr>
      <w:r w:rsidRPr="00894893">
        <w:rPr>
          <w:b/>
          <w:bCs/>
          <w:sz w:val="22"/>
          <w:szCs w:val="22"/>
          <w:lang w:val="sr-Latn-ME"/>
        </w:rPr>
        <w:t xml:space="preserve">6.4. </w:t>
      </w:r>
      <w:r w:rsidR="00480FB1" w:rsidRPr="00894893">
        <w:rPr>
          <w:b/>
          <w:bCs/>
          <w:sz w:val="22"/>
          <w:szCs w:val="22"/>
          <w:lang w:val="sr-Latn-ME"/>
        </w:rPr>
        <w:tab/>
      </w:r>
      <w:r w:rsidRPr="00894893">
        <w:rPr>
          <w:b/>
          <w:bCs/>
          <w:sz w:val="22"/>
          <w:szCs w:val="22"/>
          <w:lang w:val="sr-Latn-ME"/>
        </w:rPr>
        <w:t>Posebne mjere upozorenja pri čuvanju</w:t>
      </w:r>
      <w:r w:rsidR="00F8570A" w:rsidRPr="00894893">
        <w:rPr>
          <w:b/>
          <w:bCs/>
          <w:sz w:val="22"/>
          <w:szCs w:val="22"/>
          <w:lang w:val="sr-Latn-ME"/>
        </w:rPr>
        <w:t xml:space="preserve"> lijeka</w:t>
      </w:r>
    </w:p>
    <w:p w:rsidR="003C3D97" w:rsidRPr="00894893" w:rsidRDefault="003C3D97" w:rsidP="002473AF">
      <w:pPr>
        <w:widowControl w:val="0"/>
        <w:tabs>
          <w:tab w:val="left" w:pos="540"/>
          <w:tab w:val="left" w:pos="569"/>
        </w:tabs>
        <w:jc w:val="both"/>
        <w:rPr>
          <w:b/>
          <w:bCs/>
          <w:sz w:val="22"/>
          <w:szCs w:val="22"/>
          <w:lang w:val="sr-Latn-ME"/>
        </w:rPr>
      </w:pPr>
    </w:p>
    <w:p w:rsidR="003C3D97" w:rsidRPr="00894893" w:rsidRDefault="003C3D97" w:rsidP="002473AF">
      <w:pPr>
        <w:widowControl w:val="0"/>
        <w:tabs>
          <w:tab w:val="left" w:pos="540"/>
          <w:tab w:val="left" w:pos="569"/>
        </w:tabs>
        <w:jc w:val="both"/>
        <w:rPr>
          <w:bCs/>
          <w:sz w:val="22"/>
          <w:szCs w:val="22"/>
          <w:lang w:val="sr-Latn-ME"/>
        </w:rPr>
      </w:pPr>
      <w:r w:rsidRPr="00894893">
        <w:rPr>
          <w:bCs/>
          <w:sz w:val="22"/>
          <w:szCs w:val="22"/>
          <w:lang w:val="sr-Latn-ME"/>
        </w:rPr>
        <w:t>Lijek čuvati na temperaturi do 25°C.</w:t>
      </w:r>
    </w:p>
    <w:p w:rsidR="00EC2532" w:rsidRPr="00894893" w:rsidRDefault="00EC2532" w:rsidP="002473AF">
      <w:pPr>
        <w:widowControl w:val="0"/>
        <w:tabs>
          <w:tab w:val="left" w:pos="540"/>
          <w:tab w:val="left" w:pos="569"/>
        </w:tabs>
        <w:jc w:val="both"/>
        <w:rPr>
          <w:bCs/>
          <w:sz w:val="22"/>
          <w:szCs w:val="22"/>
          <w:lang w:val="sr-Latn-ME"/>
        </w:rPr>
      </w:pPr>
    </w:p>
    <w:p w:rsidR="0072020E" w:rsidRPr="00894893" w:rsidRDefault="0072020E" w:rsidP="002473AF">
      <w:pPr>
        <w:widowControl w:val="0"/>
        <w:tabs>
          <w:tab w:val="left" w:pos="540"/>
          <w:tab w:val="left" w:pos="569"/>
        </w:tabs>
        <w:jc w:val="both"/>
        <w:rPr>
          <w:b/>
          <w:bCs/>
          <w:sz w:val="22"/>
          <w:szCs w:val="22"/>
          <w:lang w:val="sr-Latn-ME"/>
        </w:rPr>
      </w:pPr>
      <w:r w:rsidRPr="00894893">
        <w:rPr>
          <w:b/>
          <w:bCs/>
          <w:sz w:val="22"/>
          <w:szCs w:val="22"/>
          <w:lang w:val="sr-Latn-ME"/>
        </w:rPr>
        <w:t xml:space="preserve">6.5. </w:t>
      </w:r>
      <w:r w:rsidR="00480FB1" w:rsidRPr="00894893">
        <w:rPr>
          <w:b/>
          <w:bCs/>
          <w:sz w:val="22"/>
          <w:szCs w:val="22"/>
          <w:lang w:val="sr-Latn-ME"/>
        </w:rPr>
        <w:tab/>
      </w:r>
      <w:r w:rsidR="002846DB" w:rsidRPr="00894893">
        <w:rPr>
          <w:b/>
          <w:bCs/>
          <w:sz w:val="22"/>
          <w:szCs w:val="22"/>
          <w:lang w:val="sr-Latn-ME"/>
        </w:rPr>
        <w:t xml:space="preserve">Vrsta i sadržaj </w:t>
      </w:r>
      <w:r w:rsidR="00F8570A" w:rsidRPr="00894893">
        <w:rPr>
          <w:b/>
          <w:bCs/>
          <w:sz w:val="22"/>
          <w:szCs w:val="22"/>
          <w:lang w:val="sr-Latn-ME"/>
        </w:rPr>
        <w:t>pakovanja</w:t>
      </w:r>
      <w:r w:rsidR="00C06864" w:rsidRPr="00894893">
        <w:rPr>
          <w:b/>
          <w:bCs/>
          <w:sz w:val="22"/>
          <w:szCs w:val="22"/>
          <w:lang w:val="sr-Latn-ME"/>
        </w:rPr>
        <w:t xml:space="preserve"> </w:t>
      </w:r>
    </w:p>
    <w:p w:rsidR="003C3D97" w:rsidRPr="00894893" w:rsidRDefault="003C3D97" w:rsidP="002473AF">
      <w:pPr>
        <w:widowControl w:val="0"/>
        <w:tabs>
          <w:tab w:val="left" w:pos="540"/>
          <w:tab w:val="left" w:pos="569"/>
        </w:tabs>
        <w:jc w:val="both"/>
        <w:rPr>
          <w:b/>
          <w:bCs/>
          <w:sz w:val="22"/>
          <w:szCs w:val="22"/>
          <w:lang w:val="sr-Latn-ME"/>
        </w:rPr>
      </w:pPr>
    </w:p>
    <w:p w:rsidR="003C3D97" w:rsidRPr="00894893" w:rsidRDefault="003C3D97" w:rsidP="002473AF">
      <w:pPr>
        <w:pStyle w:val="Header"/>
        <w:widowControl w:val="0"/>
        <w:tabs>
          <w:tab w:val="left" w:pos="284"/>
        </w:tabs>
        <w:jc w:val="both"/>
        <w:rPr>
          <w:sz w:val="22"/>
          <w:szCs w:val="22"/>
          <w:lang w:val="sr-Latn-ME"/>
        </w:rPr>
      </w:pPr>
      <w:r w:rsidRPr="00894893">
        <w:rPr>
          <w:sz w:val="22"/>
          <w:szCs w:val="22"/>
          <w:lang w:val="sr-Latn-ME"/>
        </w:rPr>
        <w:t>Unutrašnje pakovanje je PP/Al blister. Jedan blister sadrži 10 film tableta.</w:t>
      </w:r>
    </w:p>
    <w:p w:rsidR="003C3D97" w:rsidRPr="00894893" w:rsidRDefault="003C3D97" w:rsidP="002473AF">
      <w:pPr>
        <w:widowControl w:val="0"/>
        <w:tabs>
          <w:tab w:val="left" w:pos="540"/>
          <w:tab w:val="left" w:pos="569"/>
        </w:tabs>
        <w:jc w:val="both"/>
        <w:rPr>
          <w:sz w:val="22"/>
          <w:szCs w:val="22"/>
          <w:lang w:val="sr-Latn-ME"/>
        </w:rPr>
      </w:pPr>
      <w:r w:rsidRPr="00894893">
        <w:rPr>
          <w:sz w:val="22"/>
          <w:szCs w:val="22"/>
          <w:lang w:val="sr-Latn-ME"/>
        </w:rPr>
        <w:t>Spoljašnje pakovanje je složiva kartonska kutija u kojoj se nalazi 3 blistera sa po 10 film tableta (ukupno 30 film tableta) i Uputstvo za lijek.</w:t>
      </w:r>
    </w:p>
    <w:p w:rsidR="0072020E" w:rsidRPr="00894893" w:rsidRDefault="0072020E" w:rsidP="002473AF">
      <w:pPr>
        <w:widowControl w:val="0"/>
        <w:tabs>
          <w:tab w:val="left" w:pos="540"/>
          <w:tab w:val="left" w:pos="569"/>
        </w:tabs>
        <w:jc w:val="both"/>
        <w:rPr>
          <w:bCs/>
          <w:sz w:val="22"/>
          <w:szCs w:val="22"/>
          <w:lang w:val="sr-Latn-ME"/>
        </w:rPr>
      </w:pPr>
    </w:p>
    <w:p w:rsidR="002846DB" w:rsidRPr="00894893" w:rsidRDefault="0072020E" w:rsidP="002473AF">
      <w:pPr>
        <w:widowControl w:val="0"/>
        <w:tabs>
          <w:tab w:val="left" w:pos="540"/>
          <w:tab w:val="left" w:pos="569"/>
        </w:tabs>
        <w:jc w:val="both"/>
        <w:rPr>
          <w:b/>
          <w:bCs/>
          <w:sz w:val="22"/>
          <w:szCs w:val="22"/>
          <w:lang w:val="sr-Latn-ME"/>
        </w:rPr>
      </w:pPr>
      <w:r w:rsidRPr="00894893">
        <w:rPr>
          <w:b/>
          <w:bCs/>
          <w:sz w:val="22"/>
          <w:szCs w:val="22"/>
          <w:lang w:val="sr-Latn-ME"/>
        </w:rPr>
        <w:t xml:space="preserve">6.6. </w:t>
      </w:r>
      <w:r w:rsidR="00480FB1" w:rsidRPr="00894893">
        <w:rPr>
          <w:b/>
          <w:bCs/>
          <w:sz w:val="22"/>
          <w:szCs w:val="22"/>
          <w:lang w:val="sr-Latn-ME"/>
        </w:rPr>
        <w:tab/>
      </w:r>
      <w:r w:rsidRPr="00894893">
        <w:rPr>
          <w:b/>
          <w:bCs/>
          <w:color w:val="000000"/>
          <w:sz w:val="22"/>
          <w:szCs w:val="22"/>
          <w:lang w:val="sr-Latn-ME"/>
        </w:rPr>
        <w:t>Posebne mjere opreza pri odlaganju materijala koji treba odbaciti nakon primjene lijeka</w:t>
      </w:r>
      <w:r w:rsidRPr="00894893">
        <w:rPr>
          <w:b/>
          <w:bCs/>
          <w:sz w:val="22"/>
          <w:szCs w:val="22"/>
          <w:lang w:val="sr-Latn-ME"/>
        </w:rPr>
        <w:t xml:space="preserve"> </w:t>
      </w:r>
      <w:r w:rsidR="00310F03" w:rsidRPr="00894893">
        <w:rPr>
          <w:b/>
          <w:bCs/>
          <w:sz w:val="22"/>
          <w:szCs w:val="22"/>
          <w:lang w:val="sr-Latn-ME"/>
        </w:rPr>
        <w:t>(i druga uputs</w:t>
      </w:r>
      <w:r w:rsidR="004109FA" w:rsidRPr="00894893">
        <w:rPr>
          <w:b/>
          <w:bCs/>
          <w:sz w:val="22"/>
          <w:szCs w:val="22"/>
          <w:lang w:val="sr-Latn-ME"/>
        </w:rPr>
        <w:t>t</w:t>
      </w:r>
      <w:r w:rsidR="00310F03" w:rsidRPr="00894893">
        <w:rPr>
          <w:b/>
          <w:bCs/>
          <w:sz w:val="22"/>
          <w:szCs w:val="22"/>
          <w:lang w:val="sr-Latn-ME"/>
        </w:rPr>
        <w:t xml:space="preserve">va za rukovanje lijekom) </w:t>
      </w:r>
    </w:p>
    <w:p w:rsidR="003C3D97" w:rsidRPr="00894893" w:rsidRDefault="003C3D97" w:rsidP="002473AF">
      <w:pPr>
        <w:widowControl w:val="0"/>
        <w:tabs>
          <w:tab w:val="left" w:pos="540"/>
          <w:tab w:val="left" w:pos="569"/>
        </w:tabs>
        <w:jc w:val="both"/>
        <w:rPr>
          <w:b/>
          <w:bCs/>
          <w:sz w:val="22"/>
          <w:szCs w:val="22"/>
          <w:lang w:val="sr-Latn-ME"/>
        </w:rPr>
      </w:pPr>
    </w:p>
    <w:p w:rsidR="003C3D97" w:rsidRPr="00894893" w:rsidRDefault="003C3D97" w:rsidP="002473AF">
      <w:pPr>
        <w:widowControl w:val="0"/>
        <w:tabs>
          <w:tab w:val="left" w:pos="540"/>
          <w:tab w:val="left" w:pos="569"/>
        </w:tabs>
        <w:jc w:val="both"/>
        <w:rPr>
          <w:bCs/>
          <w:sz w:val="22"/>
          <w:szCs w:val="22"/>
          <w:lang w:val="sr-Latn-ME"/>
        </w:rPr>
      </w:pPr>
      <w:r w:rsidRPr="00894893">
        <w:rPr>
          <w:bCs/>
          <w:sz w:val="22"/>
          <w:szCs w:val="22"/>
          <w:lang w:val="sr-Latn-ME"/>
        </w:rPr>
        <w:lastRenderedPageBreak/>
        <w:t>Svu neiskorišćenu količinu lijeka ili otpadnog materijala nakon njegove upotrebe treba ukloniti u skladu sa važećim propisima.</w:t>
      </w:r>
    </w:p>
    <w:p w:rsidR="003C3D97" w:rsidRPr="00894893" w:rsidRDefault="003C3D97" w:rsidP="002473AF">
      <w:pPr>
        <w:widowControl w:val="0"/>
        <w:tabs>
          <w:tab w:val="left" w:pos="540"/>
          <w:tab w:val="left" w:pos="569"/>
        </w:tabs>
        <w:jc w:val="both"/>
        <w:rPr>
          <w:b/>
          <w:bCs/>
          <w:sz w:val="22"/>
          <w:szCs w:val="22"/>
          <w:lang w:val="sr-Latn-ME"/>
        </w:rPr>
      </w:pPr>
    </w:p>
    <w:p w:rsidR="0072020E" w:rsidRPr="00894893" w:rsidRDefault="0072020E" w:rsidP="002473AF">
      <w:pPr>
        <w:widowControl w:val="0"/>
        <w:tabs>
          <w:tab w:val="left" w:pos="540"/>
          <w:tab w:val="left" w:pos="569"/>
        </w:tabs>
        <w:jc w:val="both"/>
        <w:rPr>
          <w:bCs/>
          <w:sz w:val="22"/>
          <w:szCs w:val="22"/>
          <w:lang w:val="sr-Latn-ME"/>
        </w:rPr>
      </w:pPr>
    </w:p>
    <w:p w:rsidR="00F8570A" w:rsidRPr="00894893" w:rsidRDefault="0072020E" w:rsidP="002473AF">
      <w:pPr>
        <w:widowControl w:val="0"/>
        <w:tabs>
          <w:tab w:val="left" w:pos="540"/>
          <w:tab w:val="left" w:pos="569"/>
        </w:tabs>
        <w:jc w:val="both"/>
        <w:rPr>
          <w:b/>
          <w:bCs/>
          <w:sz w:val="22"/>
          <w:szCs w:val="22"/>
          <w:lang w:val="sr-Latn-ME"/>
        </w:rPr>
      </w:pPr>
      <w:r w:rsidRPr="00894893">
        <w:rPr>
          <w:b/>
          <w:bCs/>
          <w:sz w:val="22"/>
          <w:szCs w:val="22"/>
          <w:lang w:val="sr-Latn-ME"/>
        </w:rPr>
        <w:t xml:space="preserve">7. </w:t>
      </w:r>
      <w:r w:rsidR="00480FB1" w:rsidRPr="00894893">
        <w:rPr>
          <w:b/>
          <w:bCs/>
          <w:sz w:val="22"/>
          <w:szCs w:val="22"/>
          <w:lang w:val="sr-Latn-ME"/>
        </w:rPr>
        <w:tab/>
      </w:r>
      <w:r w:rsidRPr="00894893">
        <w:rPr>
          <w:b/>
          <w:bCs/>
          <w:sz w:val="22"/>
          <w:szCs w:val="22"/>
          <w:lang w:val="sr-Latn-ME"/>
        </w:rPr>
        <w:t>NOSILAC DOZVOLE</w:t>
      </w:r>
      <w:r w:rsidR="00483928" w:rsidRPr="00894893">
        <w:rPr>
          <w:b/>
          <w:bCs/>
          <w:sz w:val="22"/>
          <w:szCs w:val="22"/>
          <w:lang w:val="sr-Latn-ME"/>
        </w:rPr>
        <w:t xml:space="preserve"> </w:t>
      </w:r>
    </w:p>
    <w:p w:rsidR="003C3D97" w:rsidRPr="00894893" w:rsidRDefault="003C3D97" w:rsidP="002473AF">
      <w:pPr>
        <w:widowControl w:val="0"/>
        <w:tabs>
          <w:tab w:val="left" w:pos="540"/>
          <w:tab w:val="left" w:pos="569"/>
        </w:tabs>
        <w:jc w:val="both"/>
        <w:rPr>
          <w:b/>
          <w:bCs/>
          <w:sz w:val="22"/>
          <w:szCs w:val="22"/>
          <w:lang w:val="sr-Latn-ME"/>
        </w:rPr>
      </w:pPr>
    </w:p>
    <w:p w:rsidR="003C3D97" w:rsidRPr="00894893" w:rsidRDefault="003C3D97" w:rsidP="002473AF">
      <w:pPr>
        <w:pStyle w:val="Header"/>
        <w:widowControl w:val="0"/>
        <w:tabs>
          <w:tab w:val="left" w:pos="284"/>
        </w:tabs>
        <w:jc w:val="both"/>
        <w:rPr>
          <w:sz w:val="22"/>
          <w:szCs w:val="22"/>
          <w:lang w:val="sr-Latn-ME"/>
        </w:rPr>
      </w:pPr>
      <w:r w:rsidRPr="00894893">
        <w:rPr>
          <w:sz w:val="22"/>
          <w:szCs w:val="22"/>
          <w:lang w:val="sr-Latn-ME"/>
        </w:rPr>
        <w:t>SALVEO CG DOO PODGORICA</w:t>
      </w:r>
    </w:p>
    <w:p w:rsidR="003C3D97" w:rsidRPr="00894893" w:rsidRDefault="003C3D97" w:rsidP="002473AF">
      <w:pPr>
        <w:pStyle w:val="Header"/>
        <w:widowControl w:val="0"/>
        <w:tabs>
          <w:tab w:val="left" w:pos="284"/>
        </w:tabs>
        <w:jc w:val="both"/>
        <w:rPr>
          <w:sz w:val="22"/>
          <w:szCs w:val="22"/>
          <w:lang w:val="sr-Latn-ME"/>
        </w:rPr>
      </w:pPr>
      <w:r w:rsidRPr="00894893">
        <w:rPr>
          <w:sz w:val="22"/>
          <w:szCs w:val="22"/>
          <w:lang w:val="sr-Latn-ME"/>
        </w:rPr>
        <w:t>Slovačka 117</w:t>
      </w:r>
      <w:r w:rsidR="00894893">
        <w:rPr>
          <w:sz w:val="22"/>
          <w:szCs w:val="22"/>
          <w:lang w:val="sr-Latn-ME"/>
        </w:rPr>
        <w:t xml:space="preserve">, </w:t>
      </w:r>
      <w:r w:rsidRPr="00894893">
        <w:rPr>
          <w:sz w:val="22"/>
          <w:szCs w:val="22"/>
          <w:lang w:val="sr-Latn-ME"/>
        </w:rPr>
        <w:t>Podgorica</w:t>
      </w:r>
      <w:r w:rsidR="00894893">
        <w:rPr>
          <w:sz w:val="22"/>
          <w:szCs w:val="22"/>
          <w:lang w:val="sr-Latn-ME"/>
        </w:rPr>
        <w:t>, Crna Gora</w:t>
      </w:r>
    </w:p>
    <w:p w:rsidR="00C61BE0" w:rsidRPr="00894893" w:rsidRDefault="00C61BE0" w:rsidP="002473AF">
      <w:pPr>
        <w:widowControl w:val="0"/>
        <w:tabs>
          <w:tab w:val="left" w:pos="540"/>
          <w:tab w:val="left" w:pos="569"/>
        </w:tabs>
        <w:jc w:val="both"/>
        <w:rPr>
          <w:bCs/>
          <w:sz w:val="22"/>
          <w:szCs w:val="22"/>
          <w:lang w:val="sr-Latn-ME"/>
        </w:rPr>
      </w:pPr>
    </w:p>
    <w:p w:rsidR="00C37FD7" w:rsidRPr="00894893" w:rsidRDefault="00C37FD7" w:rsidP="002473AF">
      <w:pPr>
        <w:widowControl w:val="0"/>
        <w:tabs>
          <w:tab w:val="left" w:pos="540"/>
          <w:tab w:val="left" w:pos="569"/>
        </w:tabs>
        <w:jc w:val="both"/>
        <w:rPr>
          <w:bCs/>
          <w:sz w:val="22"/>
          <w:szCs w:val="22"/>
          <w:lang w:val="sr-Latn-ME"/>
        </w:rPr>
      </w:pPr>
    </w:p>
    <w:p w:rsidR="0072020E" w:rsidRPr="00894893" w:rsidRDefault="0072020E" w:rsidP="002473AF">
      <w:pPr>
        <w:widowControl w:val="0"/>
        <w:tabs>
          <w:tab w:val="left" w:pos="540"/>
          <w:tab w:val="left" w:pos="569"/>
        </w:tabs>
        <w:jc w:val="both"/>
        <w:rPr>
          <w:b/>
          <w:bCs/>
          <w:sz w:val="22"/>
          <w:szCs w:val="22"/>
          <w:lang w:val="sr-Latn-ME"/>
        </w:rPr>
      </w:pPr>
      <w:r w:rsidRPr="00894893">
        <w:rPr>
          <w:b/>
          <w:bCs/>
          <w:sz w:val="22"/>
          <w:szCs w:val="22"/>
          <w:lang w:val="sr-Latn-ME"/>
        </w:rPr>
        <w:t xml:space="preserve">8. </w:t>
      </w:r>
      <w:r w:rsidR="00480FB1" w:rsidRPr="00894893">
        <w:rPr>
          <w:b/>
          <w:bCs/>
          <w:sz w:val="22"/>
          <w:szCs w:val="22"/>
          <w:lang w:val="sr-Latn-ME"/>
        </w:rPr>
        <w:tab/>
      </w:r>
      <w:r w:rsidRPr="00894893">
        <w:rPr>
          <w:b/>
          <w:bCs/>
          <w:sz w:val="22"/>
          <w:szCs w:val="22"/>
          <w:lang w:val="sr-Latn-ME"/>
        </w:rPr>
        <w:t>BROJ DOZVOLE</w:t>
      </w:r>
      <w:r w:rsidR="008A6D43" w:rsidRPr="00894893">
        <w:rPr>
          <w:b/>
          <w:bCs/>
          <w:sz w:val="22"/>
          <w:szCs w:val="22"/>
          <w:lang w:val="sr-Latn-ME"/>
        </w:rPr>
        <w:t xml:space="preserve"> ZA STAVLJANJE LIJEKA U PROMET</w:t>
      </w:r>
    </w:p>
    <w:p w:rsidR="0072020E" w:rsidRPr="00894893" w:rsidRDefault="0072020E" w:rsidP="002473AF">
      <w:pPr>
        <w:widowControl w:val="0"/>
        <w:tabs>
          <w:tab w:val="left" w:pos="540"/>
          <w:tab w:val="left" w:pos="569"/>
        </w:tabs>
        <w:jc w:val="both"/>
        <w:rPr>
          <w:bCs/>
          <w:sz w:val="22"/>
          <w:szCs w:val="22"/>
          <w:lang w:val="sr-Latn-ME"/>
        </w:rPr>
      </w:pPr>
    </w:p>
    <w:p w:rsidR="00F45F77" w:rsidRDefault="00894893" w:rsidP="002473AF">
      <w:pPr>
        <w:widowControl w:val="0"/>
        <w:tabs>
          <w:tab w:val="left" w:pos="540"/>
          <w:tab w:val="left" w:pos="569"/>
        </w:tabs>
        <w:jc w:val="both"/>
        <w:rPr>
          <w:bCs/>
          <w:sz w:val="22"/>
          <w:szCs w:val="22"/>
          <w:lang w:val="sr-Latn-ME"/>
        </w:rPr>
      </w:pPr>
      <w:r w:rsidRPr="00216C23">
        <w:rPr>
          <w:bCs/>
          <w:sz w:val="22"/>
          <w:szCs w:val="22"/>
          <w:lang w:val="sr-Latn-ME"/>
        </w:rPr>
        <w:t>2030/16/106 - 2536</w:t>
      </w:r>
    </w:p>
    <w:p w:rsidR="00894893" w:rsidRDefault="00894893" w:rsidP="002473AF">
      <w:pPr>
        <w:widowControl w:val="0"/>
        <w:tabs>
          <w:tab w:val="left" w:pos="540"/>
          <w:tab w:val="left" w:pos="569"/>
        </w:tabs>
        <w:jc w:val="both"/>
        <w:rPr>
          <w:bCs/>
          <w:sz w:val="22"/>
          <w:szCs w:val="22"/>
          <w:lang w:val="sr-Latn-ME"/>
        </w:rPr>
      </w:pPr>
    </w:p>
    <w:p w:rsidR="00894893" w:rsidRPr="00894893" w:rsidRDefault="00894893" w:rsidP="002473AF">
      <w:pPr>
        <w:widowControl w:val="0"/>
        <w:tabs>
          <w:tab w:val="left" w:pos="540"/>
          <w:tab w:val="left" w:pos="569"/>
        </w:tabs>
        <w:jc w:val="both"/>
        <w:rPr>
          <w:bCs/>
          <w:sz w:val="22"/>
          <w:szCs w:val="22"/>
          <w:lang w:val="sr-Latn-ME"/>
        </w:rPr>
      </w:pPr>
    </w:p>
    <w:p w:rsidR="0072020E" w:rsidRPr="00894893" w:rsidRDefault="0072020E" w:rsidP="002473AF">
      <w:pPr>
        <w:widowControl w:val="0"/>
        <w:tabs>
          <w:tab w:val="left" w:pos="540"/>
          <w:tab w:val="left" w:pos="569"/>
        </w:tabs>
        <w:jc w:val="both"/>
        <w:rPr>
          <w:b/>
          <w:bCs/>
          <w:sz w:val="22"/>
          <w:szCs w:val="22"/>
          <w:lang w:val="sr-Latn-ME"/>
        </w:rPr>
      </w:pPr>
      <w:r w:rsidRPr="00894893">
        <w:rPr>
          <w:b/>
          <w:bCs/>
          <w:sz w:val="22"/>
          <w:szCs w:val="22"/>
          <w:lang w:val="sr-Latn-ME"/>
        </w:rPr>
        <w:t xml:space="preserve">9. </w:t>
      </w:r>
      <w:r w:rsidR="00480FB1" w:rsidRPr="00894893">
        <w:rPr>
          <w:b/>
          <w:bCs/>
          <w:sz w:val="22"/>
          <w:szCs w:val="22"/>
          <w:lang w:val="sr-Latn-ME"/>
        </w:rPr>
        <w:tab/>
      </w:r>
      <w:r w:rsidRPr="00894893">
        <w:rPr>
          <w:b/>
          <w:bCs/>
          <w:sz w:val="22"/>
          <w:szCs w:val="22"/>
          <w:lang w:val="sr-Latn-ME"/>
        </w:rPr>
        <w:t xml:space="preserve">DATUM </w:t>
      </w:r>
      <w:r w:rsidR="00C05DF8" w:rsidRPr="00894893">
        <w:rPr>
          <w:b/>
          <w:bCs/>
          <w:sz w:val="22"/>
          <w:szCs w:val="22"/>
          <w:lang w:val="sr-Latn-ME"/>
        </w:rPr>
        <w:t xml:space="preserve">PRVE </w:t>
      </w:r>
      <w:r w:rsidR="008A6D43" w:rsidRPr="00894893">
        <w:rPr>
          <w:b/>
          <w:bCs/>
          <w:sz w:val="22"/>
          <w:szCs w:val="22"/>
          <w:lang w:val="sr-Latn-ME"/>
        </w:rPr>
        <w:t>DOZVOLE</w:t>
      </w:r>
      <w:r w:rsidR="00C05DF8" w:rsidRPr="00894893">
        <w:rPr>
          <w:b/>
          <w:bCs/>
          <w:sz w:val="22"/>
          <w:szCs w:val="22"/>
          <w:lang w:val="sr-Latn-ME"/>
        </w:rPr>
        <w:t>/OBNOVE DOZVOLE</w:t>
      </w:r>
      <w:r w:rsidR="008A6D43" w:rsidRPr="00894893">
        <w:rPr>
          <w:b/>
          <w:bCs/>
          <w:sz w:val="22"/>
          <w:szCs w:val="22"/>
          <w:lang w:val="sr-Latn-ME"/>
        </w:rPr>
        <w:t xml:space="preserve"> ZA STAVLJANJE LIJEKA U PROMET</w:t>
      </w:r>
    </w:p>
    <w:p w:rsidR="0072020E" w:rsidRPr="00894893" w:rsidRDefault="0072020E" w:rsidP="002473AF">
      <w:pPr>
        <w:widowControl w:val="0"/>
        <w:tabs>
          <w:tab w:val="left" w:pos="540"/>
          <w:tab w:val="left" w:pos="569"/>
        </w:tabs>
        <w:jc w:val="both"/>
        <w:rPr>
          <w:bCs/>
          <w:sz w:val="22"/>
          <w:szCs w:val="22"/>
          <w:lang w:val="sr-Latn-ME"/>
        </w:rPr>
      </w:pPr>
    </w:p>
    <w:p w:rsidR="003C3D97" w:rsidRPr="00894893" w:rsidRDefault="003C3D97" w:rsidP="002473AF">
      <w:pPr>
        <w:widowControl w:val="0"/>
        <w:tabs>
          <w:tab w:val="left" w:pos="540"/>
          <w:tab w:val="left" w:pos="569"/>
        </w:tabs>
        <w:jc w:val="both"/>
        <w:rPr>
          <w:bCs/>
          <w:sz w:val="22"/>
          <w:szCs w:val="22"/>
          <w:lang w:val="sr-Latn-ME"/>
        </w:rPr>
      </w:pPr>
      <w:r w:rsidRPr="00894893">
        <w:rPr>
          <w:bCs/>
          <w:sz w:val="22"/>
          <w:szCs w:val="22"/>
          <w:lang w:val="sr-Latn-ME"/>
        </w:rPr>
        <w:t>Datum prve dozvole: 08.04.2016.</w:t>
      </w:r>
    </w:p>
    <w:p w:rsidR="00836B35" w:rsidRDefault="00836B35" w:rsidP="002473AF">
      <w:pPr>
        <w:widowControl w:val="0"/>
        <w:tabs>
          <w:tab w:val="left" w:pos="540"/>
          <w:tab w:val="left" w:pos="569"/>
        </w:tabs>
        <w:jc w:val="both"/>
        <w:rPr>
          <w:bCs/>
          <w:sz w:val="22"/>
          <w:szCs w:val="22"/>
          <w:lang w:val="sr-Latn-ME"/>
        </w:rPr>
      </w:pPr>
    </w:p>
    <w:p w:rsidR="00894893" w:rsidRPr="00894893" w:rsidRDefault="00894893" w:rsidP="002473AF">
      <w:pPr>
        <w:widowControl w:val="0"/>
        <w:tabs>
          <w:tab w:val="left" w:pos="540"/>
          <w:tab w:val="left" w:pos="569"/>
        </w:tabs>
        <w:jc w:val="both"/>
        <w:rPr>
          <w:bCs/>
          <w:sz w:val="22"/>
          <w:szCs w:val="22"/>
          <w:lang w:val="sr-Latn-ME"/>
        </w:rPr>
      </w:pPr>
    </w:p>
    <w:p w:rsidR="003F6A59" w:rsidRPr="00894893" w:rsidRDefault="0072020E" w:rsidP="002473AF">
      <w:pPr>
        <w:widowControl w:val="0"/>
        <w:tabs>
          <w:tab w:val="left" w:pos="540"/>
          <w:tab w:val="left" w:pos="569"/>
        </w:tabs>
        <w:ind w:left="540" w:hanging="540"/>
        <w:jc w:val="both"/>
        <w:rPr>
          <w:bCs/>
          <w:sz w:val="22"/>
          <w:szCs w:val="22"/>
          <w:lang w:val="sr-Latn-ME"/>
        </w:rPr>
      </w:pPr>
      <w:r w:rsidRPr="00894893">
        <w:rPr>
          <w:b/>
          <w:bCs/>
          <w:sz w:val="22"/>
          <w:szCs w:val="22"/>
          <w:lang w:val="sr-Latn-ME"/>
        </w:rPr>
        <w:t xml:space="preserve">10. </w:t>
      </w:r>
      <w:r w:rsidR="00480FB1" w:rsidRPr="00894893">
        <w:rPr>
          <w:b/>
          <w:bCs/>
          <w:sz w:val="22"/>
          <w:szCs w:val="22"/>
          <w:lang w:val="sr-Latn-ME"/>
        </w:rPr>
        <w:tab/>
      </w:r>
      <w:r w:rsidR="002846DB" w:rsidRPr="00894893">
        <w:rPr>
          <w:b/>
          <w:bCs/>
          <w:sz w:val="22"/>
          <w:szCs w:val="22"/>
          <w:lang w:val="sr-Latn-ME"/>
        </w:rPr>
        <w:t>D</w:t>
      </w:r>
      <w:r w:rsidR="00EC2532" w:rsidRPr="00894893">
        <w:rPr>
          <w:b/>
          <w:bCs/>
          <w:sz w:val="22"/>
          <w:szCs w:val="22"/>
          <w:lang w:val="sr-Latn-ME"/>
        </w:rPr>
        <w:t xml:space="preserve">ATUM REVIZIJE TEKSTA </w:t>
      </w:r>
    </w:p>
    <w:p w:rsidR="003F6A59" w:rsidRPr="00894893" w:rsidRDefault="003F6A59" w:rsidP="002473AF">
      <w:pPr>
        <w:widowControl w:val="0"/>
        <w:tabs>
          <w:tab w:val="left" w:pos="540"/>
          <w:tab w:val="left" w:pos="569"/>
        </w:tabs>
        <w:jc w:val="both"/>
        <w:rPr>
          <w:bCs/>
          <w:sz w:val="22"/>
          <w:szCs w:val="22"/>
          <w:lang w:val="sr-Latn-ME"/>
        </w:rPr>
      </w:pPr>
    </w:p>
    <w:p w:rsidR="003F6A59" w:rsidRPr="00894893" w:rsidRDefault="00A02499" w:rsidP="002473AF">
      <w:pPr>
        <w:widowControl w:val="0"/>
        <w:jc w:val="both"/>
        <w:rPr>
          <w:sz w:val="22"/>
          <w:szCs w:val="22"/>
          <w:lang w:val="sr-Latn-ME"/>
        </w:rPr>
      </w:pPr>
      <w:r>
        <w:rPr>
          <w:bCs/>
          <w:sz w:val="22"/>
          <w:szCs w:val="22"/>
          <w:lang w:val="sr-Latn-ME"/>
        </w:rPr>
        <w:t>Jun, 2025. godine</w:t>
      </w:r>
    </w:p>
    <w:sectPr w:rsidR="003F6A59" w:rsidRPr="00894893" w:rsidSect="002473AF">
      <w:footerReference w:type="default" r:id="rId12"/>
      <w:pgSz w:w="11909" w:h="16834" w:code="9"/>
      <w:pgMar w:top="851" w:right="1418" w:bottom="851"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04" w:rsidRDefault="00612D04">
      <w:r>
        <w:separator/>
      </w:r>
    </w:p>
  </w:endnote>
  <w:endnote w:type="continuationSeparator" w:id="0">
    <w:p w:rsidR="00612D04" w:rsidRDefault="0061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02499">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02499">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04" w:rsidRDefault="00612D04">
      <w:r>
        <w:separator/>
      </w:r>
    </w:p>
  </w:footnote>
  <w:footnote w:type="continuationSeparator" w:id="0">
    <w:p w:rsidR="00612D04" w:rsidRDefault="00612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6.5pt;height:13.5pt;visibility:visible" o:bullet="t">
        <v:imagedata r:id="rId1" o:title="BT_1000x858px"/>
      </v:shape>
    </w:pict>
  </w:numPicBullet>
  <w:abstractNum w:abstractNumId="0" w15:restartNumberingAfterBreak="0">
    <w:nsid w:val="015128DC"/>
    <w:multiLevelType w:val="hybridMultilevel"/>
    <w:tmpl w:val="2C32C9FA"/>
    <w:lvl w:ilvl="0" w:tplc="556A1C76">
      <w:start w:val="6"/>
      <w:numFmt w:val="bullet"/>
      <w:lvlText w:val="-"/>
      <w:lvlJc w:val="left"/>
      <w:pPr>
        <w:ind w:left="720" w:hanging="360"/>
      </w:pPr>
      <w:rPr>
        <w:rFonts w:ascii="Times New Roman" w:eastAsia="Times New Roman" w:hAnsi="Times New Roman"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 w15:restartNumberingAfterBreak="0">
    <w:nsid w:val="0BF8602A"/>
    <w:multiLevelType w:val="hybridMultilevel"/>
    <w:tmpl w:val="D99E3A3E"/>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5B92E6F"/>
    <w:multiLevelType w:val="hybridMultilevel"/>
    <w:tmpl w:val="04661BE6"/>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0" w15:restartNumberingAfterBreak="0">
    <w:nsid w:val="3E713803"/>
    <w:multiLevelType w:val="hybridMultilevel"/>
    <w:tmpl w:val="FBCA04A0"/>
    <w:lvl w:ilvl="0" w:tplc="181A0001">
      <w:start w:val="1"/>
      <w:numFmt w:val="bullet"/>
      <w:lvlText w:val=""/>
      <w:lvlJc w:val="left"/>
      <w:pPr>
        <w:ind w:left="825" w:hanging="360"/>
      </w:pPr>
      <w:rPr>
        <w:rFonts w:ascii="Symbol" w:hAnsi="Symbol" w:hint="default"/>
      </w:rPr>
    </w:lvl>
    <w:lvl w:ilvl="1" w:tplc="181A0003" w:tentative="1">
      <w:start w:val="1"/>
      <w:numFmt w:val="bullet"/>
      <w:lvlText w:val="o"/>
      <w:lvlJc w:val="left"/>
      <w:pPr>
        <w:ind w:left="1545" w:hanging="360"/>
      </w:pPr>
      <w:rPr>
        <w:rFonts w:ascii="Courier New" w:hAnsi="Courier New" w:cs="Courier New" w:hint="default"/>
      </w:rPr>
    </w:lvl>
    <w:lvl w:ilvl="2" w:tplc="181A0005" w:tentative="1">
      <w:start w:val="1"/>
      <w:numFmt w:val="bullet"/>
      <w:lvlText w:val=""/>
      <w:lvlJc w:val="left"/>
      <w:pPr>
        <w:ind w:left="2265" w:hanging="360"/>
      </w:pPr>
      <w:rPr>
        <w:rFonts w:ascii="Wingdings" w:hAnsi="Wingdings" w:hint="default"/>
      </w:rPr>
    </w:lvl>
    <w:lvl w:ilvl="3" w:tplc="181A0001" w:tentative="1">
      <w:start w:val="1"/>
      <w:numFmt w:val="bullet"/>
      <w:lvlText w:val=""/>
      <w:lvlJc w:val="left"/>
      <w:pPr>
        <w:ind w:left="2985" w:hanging="360"/>
      </w:pPr>
      <w:rPr>
        <w:rFonts w:ascii="Symbol" w:hAnsi="Symbol" w:hint="default"/>
      </w:rPr>
    </w:lvl>
    <w:lvl w:ilvl="4" w:tplc="181A0003" w:tentative="1">
      <w:start w:val="1"/>
      <w:numFmt w:val="bullet"/>
      <w:lvlText w:val="o"/>
      <w:lvlJc w:val="left"/>
      <w:pPr>
        <w:ind w:left="3705" w:hanging="360"/>
      </w:pPr>
      <w:rPr>
        <w:rFonts w:ascii="Courier New" w:hAnsi="Courier New" w:cs="Courier New" w:hint="default"/>
      </w:rPr>
    </w:lvl>
    <w:lvl w:ilvl="5" w:tplc="181A0005" w:tentative="1">
      <w:start w:val="1"/>
      <w:numFmt w:val="bullet"/>
      <w:lvlText w:val=""/>
      <w:lvlJc w:val="left"/>
      <w:pPr>
        <w:ind w:left="4425" w:hanging="360"/>
      </w:pPr>
      <w:rPr>
        <w:rFonts w:ascii="Wingdings" w:hAnsi="Wingdings" w:hint="default"/>
      </w:rPr>
    </w:lvl>
    <w:lvl w:ilvl="6" w:tplc="181A0001" w:tentative="1">
      <w:start w:val="1"/>
      <w:numFmt w:val="bullet"/>
      <w:lvlText w:val=""/>
      <w:lvlJc w:val="left"/>
      <w:pPr>
        <w:ind w:left="5145" w:hanging="360"/>
      </w:pPr>
      <w:rPr>
        <w:rFonts w:ascii="Symbol" w:hAnsi="Symbol" w:hint="default"/>
      </w:rPr>
    </w:lvl>
    <w:lvl w:ilvl="7" w:tplc="181A0003" w:tentative="1">
      <w:start w:val="1"/>
      <w:numFmt w:val="bullet"/>
      <w:lvlText w:val="o"/>
      <w:lvlJc w:val="left"/>
      <w:pPr>
        <w:ind w:left="5865" w:hanging="360"/>
      </w:pPr>
      <w:rPr>
        <w:rFonts w:ascii="Courier New" w:hAnsi="Courier New" w:cs="Courier New" w:hint="default"/>
      </w:rPr>
    </w:lvl>
    <w:lvl w:ilvl="8" w:tplc="181A0005" w:tentative="1">
      <w:start w:val="1"/>
      <w:numFmt w:val="bullet"/>
      <w:lvlText w:val=""/>
      <w:lvlJc w:val="left"/>
      <w:pPr>
        <w:ind w:left="6585" w:hanging="360"/>
      </w:pPr>
      <w:rPr>
        <w:rFonts w:ascii="Wingdings" w:hAnsi="Wingdings" w:hint="default"/>
      </w:rPr>
    </w:lvl>
  </w:abstractNum>
  <w:abstractNum w:abstractNumId="11" w15:restartNumberingAfterBreak="0">
    <w:nsid w:val="3FB95B19"/>
    <w:multiLevelType w:val="hybridMultilevel"/>
    <w:tmpl w:val="21A2B8E2"/>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2"/>
  </w:num>
  <w:num w:numId="4">
    <w:abstractNumId w:val="13"/>
  </w:num>
  <w:num w:numId="5">
    <w:abstractNumId w:val="6"/>
  </w:num>
  <w:num w:numId="6">
    <w:abstractNumId w:val="3"/>
  </w:num>
  <w:num w:numId="7">
    <w:abstractNumId w:val="12"/>
  </w:num>
  <w:num w:numId="8">
    <w:abstractNumId w:val="5"/>
  </w:num>
  <w:num w:numId="9">
    <w:abstractNumId w:val="8"/>
  </w:num>
  <w:num w:numId="10">
    <w:abstractNumId w:val="15"/>
  </w:num>
  <w:num w:numId="11">
    <w:abstractNumId w:val="7"/>
  </w:num>
  <w:num w:numId="12">
    <w:abstractNumId w:val="9"/>
  </w:num>
  <w:num w:numId="13">
    <w:abstractNumId w:val="1"/>
  </w:num>
  <w:num w:numId="14">
    <w:abstractNumId w:val="10"/>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677C1"/>
    <w:rsid w:val="00075E28"/>
    <w:rsid w:val="00076726"/>
    <w:rsid w:val="00080303"/>
    <w:rsid w:val="00083D02"/>
    <w:rsid w:val="000A3F58"/>
    <w:rsid w:val="000D2343"/>
    <w:rsid w:val="000D3449"/>
    <w:rsid w:val="000D425A"/>
    <w:rsid w:val="000D60CC"/>
    <w:rsid w:val="000E2084"/>
    <w:rsid w:val="000E48FA"/>
    <w:rsid w:val="000E6F55"/>
    <w:rsid w:val="000E73D0"/>
    <w:rsid w:val="000F77FA"/>
    <w:rsid w:val="00107BF7"/>
    <w:rsid w:val="00126F53"/>
    <w:rsid w:val="0014766D"/>
    <w:rsid w:val="001536CC"/>
    <w:rsid w:val="001975CB"/>
    <w:rsid w:val="001A3FBA"/>
    <w:rsid w:val="001A5518"/>
    <w:rsid w:val="001B1C6A"/>
    <w:rsid w:val="001C1263"/>
    <w:rsid w:val="001C1417"/>
    <w:rsid w:val="001E390B"/>
    <w:rsid w:val="001F42FB"/>
    <w:rsid w:val="001F719A"/>
    <w:rsid w:val="00201902"/>
    <w:rsid w:val="002031B3"/>
    <w:rsid w:val="00213FAC"/>
    <w:rsid w:val="00215931"/>
    <w:rsid w:val="00216C23"/>
    <w:rsid w:val="00224C91"/>
    <w:rsid w:val="00227BDB"/>
    <w:rsid w:val="00234CB1"/>
    <w:rsid w:val="002352F8"/>
    <w:rsid w:val="00237397"/>
    <w:rsid w:val="002473AF"/>
    <w:rsid w:val="002510A5"/>
    <w:rsid w:val="00254A0A"/>
    <w:rsid w:val="00266046"/>
    <w:rsid w:val="002846DB"/>
    <w:rsid w:val="00284CCD"/>
    <w:rsid w:val="002A3101"/>
    <w:rsid w:val="002C6637"/>
    <w:rsid w:val="002E0135"/>
    <w:rsid w:val="002E37A5"/>
    <w:rsid w:val="00310F03"/>
    <w:rsid w:val="003247D2"/>
    <w:rsid w:val="003445C1"/>
    <w:rsid w:val="00355B61"/>
    <w:rsid w:val="00362686"/>
    <w:rsid w:val="00371510"/>
    <w:rsid w:val="00396DFD"/>
    <w:rsid w:val="003A7059"/>
    <w:rsid w:val="003B116D"/>
    <w:rsid w:val="003B7A36"/>
    <w:rsid w:val="003C17AB"/>
    <w:rsid w:val="003C3D97"/>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15C21"/>
    <w:rsid w:val="00530BD7"/>
    <w:rsid w:val="00545CD2"/>
    <w:rsid w:val="005476F3"/>
    <w:rsid w:val="00572527"/>
    <w:rsid w:val="00573E40"/>
    <w:rsid w:val="00576348"/>
    <w:rsid w:val="005878CC"/>
    <w:rsid w:val="00592153"/>
    <w:rsid w:val="005A0B2E"/>
    <w:rsid w:val="005A23D2"/>
    <w:rsid w:val="005A36CB"/>
    <w:rsid w:val="005B49B8"/>
    <w:rsid w:val="005C0741"/>
    <w:rsid w:val="005C5EF4"/>
    <w:rsid w:val="005E2E0B"/>
    <w:rsid w:val="005E67AD"/>
    <w:rsid w:val="005E7A7D"/>
    <w:rsid w:val="005F41FE"/>
    <w:rsid w:val="00602457"/>
    <w:rsid w:val="00612D04"/>
    <w:rsid w:val="00644FC3"/>
    <w:rsid w:val="00646BD1"/>
    <w:rsid w:val="006561C2"/>
    <w:rsid w:val="006716D5"/>
    <w:rsid w:val="00671CB3"/>
    <w:rsid w:val="00674BAF"/>
    <w:rsid w:val="00682200"/>
    <w:rsid w:val="00692BF6"/>
    <w:rsid w:val="006A1351"/>
    <w:rsid w:val="006A1497"/>
    <w:rsid w:val="006B0BD1"/>
    <w:rsid w:val="006B5404"/>
    <w:rsid w:val="006D20A5"/>
    <w:rsid w:val="006D37BF"/>
    <w:rsid w:val="006F34AB"/>
    <w:rsid w:val="00702E22"/>
    <w:rsid w:val="0072020E"/>
    <w:rsid w:val="00754902"/>
    <w:rsid w:val="00786071"/>
    <w:rsid w:val="007A3ECB"/>
    <w:rsid w:val="007D7BB3"/>
    <w:rsid w:val="007E31E9"/>
    <w:rsid w:val="007F05E3"/>
    <w:rsid w:val="00824AB9"/>
    <w:rsid w:val="00836B35"/>
    <w:rsid w:val="00843BDE"/>
    <w:rsid w:val="0087588C"/>
    <w:rsid w:val="00894893"/>
    <w:rsid w:val="0089705C"/>
    <w:rsid w:val="008A6D43"/>
    <w:rsid w:val="008B491E"/>
    <w:rsid w:val="008C1A28"/>
    <w:rsid w:val="008C2E98"/>
    <w:rsid w:val="008E49BD"/>
    <w:rsid w:val="008E53E9"/>
    <w:rsid w:val="008E5771"/>
    <w:rsid w:val="008F4ACF"/>
    <w:rsid w:val="00914869"/>
    <w:rsid w:val="00924166"/>
    <w:rsid w:val="00940B9B"/>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02499"/>
    <w:rsid w:val="00A46C9A"/>
    <w:rsid w:val="00A619F3"/>
    <w:rsid w:val="00A62A73"/>
    <w:rsid w:val="00A87FF6"/>
    <w:rsid w:val="00AA0A3B"/>
    <w:rsid w:val="00AA2763"/>
    <w:rsid w:val="00AA2C81"/>
    <w:rsid w:val="00AA33B6"/>
    <w:rsid w:val="00AB50CA"/>
    <w:rsid w:val="00AB6D64"/>
    <w:rsid w:val="00AC53CE"/>
    <w:rsid w:val="00AD2193"/>
    <w:rsid w:val="00AF07A8"/>
    <w:rsid w:val="00AF19F4"/>
    <w:rsid w:val="00AF2AC7"/>
    <w:rsid w:val="00AF74CE"/>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6DFC"/>
    <w:rsid w:val="00C773CA"/>
    <w:rsid w:val="00C83785"/>
    <w:rsid w:val="00C87FA8"/>
    <w:rsid w:val="00C94C0D"/>
    <w:rsid w:val="00CA1FEB"/>
    <w:rsid w:val="00CD4F85"/>
    <w:rsid w:val="00CD6F02"/>
    <w:rsid w:val="00CE246D"/>
    <w:rsid w:val="00CF07A0"/>
    <w:rsid w:val="00CF3E03"/>
    <w:rsid w:val="00D0082A"/>
    <w:rsid w:val="00D21455"/>
    <w:rsid w:val="00D23EA2"/>
    <w:rsid w:val="00D47634"/>
    <w:rsid w:val="00D709B3"/>
    <w:rsid w:val="00D74CD2"/>
    <w:rsid w:val="00DA2ED6"/>
    <w:rsid w:val="00DB1D55"/>
    <w:rsid w:val="00DB76B8"/>
    <w:rsid w:val="00DC2B75"/>
    <w:rsid w:val="00DC2EA1"/>
    <w:rsid w:val="00DD6AAF"/>
    <w:rsid w:val="00DE3F5C"/>
    <w:rsid w:val="00DF1D20"/>
    <w:rsid w:val="00E21324"/>
    <w:rsid w:val="00E246B9"/>
    <w:rsid w:val="00E31FEA"/>
    <w:rsid w:val="00E45169"/>
    <w:rsid w:val="00E47787"/>
    <w:rsid w:val="00E51C30"/>
    <w:rsid w:val="00E64180"/>
    <w:rsid w:val="00E7235D"/>
    <w:rsid w:val="00E74AEE"/>
    <w:rsid w:val="00E817E3"/>
    <w:rsid w:val="00E84E99"/>
    <w:rsid w:val="00E868E5"/>
    <w:rsid w:val="00E9237A"/>
    <w:rsid w:val="00E939FA"/>
    <w:rsid w:val="00EA5765"/>
    <w:rsid w:val="00EC2532"/>
    <w:rsid w:val="00ED7812"/>
    <w:rsid w:val="00EF3B86"/>
    <w:rsid w:val="00F0384E"/>
    <w:rsid w:val="00F07252"/>
    <w:rsid w:val="00F12064"/>
    <w:rsid w:val="00F317E9"/>
    <w:rsid w:val="00F34554"/>
    <w:rsid w:val="00F35B68"/>
    <w:rsid w:val="00F45F77"/>
    <w:rsid w:val="00F5167F"/>
    <w:rsid w:val="00F52258"/>
    <w:rsid w:val="00F7502B"/>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CA45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basedOn w:val="DefaultParagraphFont"/>
    <w:link w:val="Header"/>
    <w:rsid w:val="001975CB"/>
    <w:rPr>
      <w:sz w:val="24"/>
      <w:szCs w:val="24"/>
      <w:lang w:val="en-US" w:eastAsia="en-US"/>
    </w:rPr>
  </w:style>
  <w:style w:type="paragraph" w:styleId="Revision">
    <w:name w:val="Revision"/>
    <w:hidden/>
    <w:uiPriority w:val="99"/>
    <w:semiHidden/>
    <w:rsid w:val="0023739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7D345-948E-491E-8C77-0FE855F7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10</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26415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8</cp:revision>
  <cp:lastPrinted>2023-02-09T08:16:00Z</cp:lastPrinted>
  <dcterms:created xsi:type="dcterms:W3CDTF">2025-05-08T08:17:00Z</dcterms:created>
  <dcterms:modified xsi:type="dcterms:W3CDTF">2025-06-25T09:49:00Z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