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A3165" w14:textId="1E2E9D19" w:rsidR="002B1D81" w:rsidRPr="00C3215F" w:rsidRDefault="002B1D81" w:rsidP="00F7195A">
      <w:pPr>
        <w:jc w:val="center"/>
        <w:rPr>
          <w:b/>
          <w:bCs/>
          <w:iCs/>
          <w:sz w:val="22"/>
          <w:szCs w:val="22"/>
          <w:u w:val="single"/>
          <w:lang w:val="sr-Latn-CS"/>
        </w:rPr>
      </w:pPr>
      <w:r w:rsidRPr="002510A5">
        <w:rPr>
          <w:b/>
          <w:bCs/>
          <w:iCs/>
          <w:sz w:val="22"/>
          <w:szCs w:val="22"/>
          <w:u w:val="single"/>
        </w:rPr>
        <w:t>SA</w:t>
      </w:r>
      <w:r w:rsidRPr="00C3215F">
        <w:rPr>
          <w:b/>
          <w:bCs/>
          <w:iCs/>
          <w:sz w:val="22"/>
          <w:szCs w:val="22"/>
          <w:u w:val="single"/>
          <w:lang w:val="sr-Latn-CS"/>
        </w:rPr>
        <w:t>Ž</w:t>
      </w:r>
      <w:r w:rsidRPr="002510A5">
        <w:rPr>
          <w:b/>
          <w:bCs/>
          <w:iCs/>
          <w:sz w:val="22"/>
          <w:szCs w:val="22"/>
          <w:u w:val="single"/>
        </w:rPr>
        <w:t>ETAK</w:t>
      </w:r>
      <w:r w:rsidRPr="00C3215F">
        <w:rPr>
          <w:b/>
          <w:bCs/>
          <w:iCs/>
          <w:sz w:val="22"/>
          <w:szCs w:val="22"/>
          <w:u w:val="single"/>
          <w:lang w:val="sr-Latn-CS"/>
        </w:rPr>
        <w:t xml:space="preserve"> </w:t>
      </w:r>
      <w:r w:rsidRPr="002510A5">
        <w:rPr>
          <w:b/>
          <w:bCs/>
          <w:iCs/>
          <w:sz w:val="22"/>
          <w:szCs w:val="22"/>
          <w:u w:val="single"/>
        </w:rPr>
        <w:t>KARAKTERISTIKA</w:t>
      </w:r>
      <w:r w:rsidRPr="00C3215F">
        <w:rPr>
          <w:b/>
          <w:bCs/>
          <w:iCs/>
          <w:sz w:val="22"/>
          <w:szCs w:val="22"/>
          <w:u w:val="single"/>
          <w:lang w:val="sr-Latn-CS"/>
        </w:rPr>
        <w:t xml:space="preserve"> </w:t>
      </w:r>
      <w:r w:rsidRPr="002510A5">
        <w:rPr>
          <w:b/>
          <w:bCs/>
          <w:iCs/>
          <w:sz w:val="22"/>
          <w:szCs w:val="22"/>
          <w:u w:val="single"/>
        </w:rPr>
        <w:t>LIJEKA</w:t>
      </w:r>
    </w:p>
    <w:p w14:paraId="53745403" w14:textId="77777777" w:rsidR="00E246B9" w:rsidRPr="00F64846" w:rsidRDefault="00E246B9">
      <w:pPr>
        <w:rPr>
          <w:lang w:val="sr-Latn-CS"/>
        </w:rPr>
      </w:pPr>
    </w:p>
    <w:p w14:paraId="30C7D846" w14:textId="77777777" w:rsidR="00EE152F" w:rsidRPr="00C3215F" w:rsidRDefault="00EE152F" w:rsidP="00F5167F">
      <w:pPr>
        <w:tabs>
          <w:tab w:val="left" w:pos="540"/>
          <w:tab w:val="left" w:pos="569"/>
        </w:tabs>
        <w:rPr>
          <w:b/>
          <w:bCs/>
          <w:sz w:val="22"/>
          <w:szCs w:val="22"/>
          <w:lang w:val="sr-Latn-CS"/>
        </w:rPr>
      </w:pPr>
    </w:p>
    <w:p w14:paraId="7DC0BF75" w14:textId="77777777" w:rsidR="00411B4B" w:rsidRPr="00BF57A3" w:rsidRDefault="00411B4B" w:rsidP="00BF57A3">
      <w:pPr>
        <w:tabs>
          <w:tab w:val="left" w:pos="540"/>
          <w:tab w:val="left" w:pos="569"/>
        </w:tabs>
        <w:jc w:val="both"/>
        <w:rPr>
          <w:b/>
          <w:bCs/>
          <w:sz w:val="22"/>
          <w:szCs w:val="22"/>
          <w:lang w:val="sr-Latn-CS"/>
        </w:rPr>
      </w:pPr>
      <w:r w:rsidRPr="00BF57A3">
        <w:rPr>
          <w:b/>
          <w:bCs/>
          <w:sz w:val="22"/>
          <w:szCs w:val="22"/>
          <w:lang w:val="sr-Latn-CS"/>
        </w:rPr>
        <w:t>1.</w:t>
      </w:r>
      <w:r w:rsidR="00F5167F" w:rsidRPr="00BF57A3">
        <w:rPr>
          <w:b/>
          <w:bCs/>
          <w:sz w:val="22"/>
          <w:szCs w:val="22"/>
          <w:lang w:val="sr-Latn-CS"/>
        </w:rPr>
        <w:tab/>
      </w:r>
      <w:r w:rsidR="002846DB" w:rsidRPr="00BF57A3">
        <w:rPr>
          <w:b/>
          <w:bCs/>
          <w:sz w:val="22"/>
          <w:szCs w:val="22"/>
        </w:rPr>
        <w:t>NAZIV</w:t>
      </w:r>
      <w:r w:rsidR="002846DB" w:rsidRPr="00BF57A3">
        <w:rPr>
          <w:b/>
          <w:bCs/>
          <w:sz w:val="22"/>
          <w:szCs w:val="22"/>
          <w:lang w:val="sr-Latn-CS"/>
        </w:rPr>
        <w:t xml:space="preserve"> </w:t>
      </w:r>
      <w:r w:rsidRPr="00BF57A3">
        <w:rPr>
          <w:b/>
          <w:bCs/>
          <w:sz w:val="22"/>
          <w:szCs w:val="22"/>
        </w:rPr>
        <w:t>LIJEKA</w:t>
      </w:r>
    </w:p>
    <w:p w14:paraId="667DD706" w14:textId="77777777" w:rsidR="00EC2532" w:rsidRPr="00BF57A3" w:rsidRDefault="00EC2532">
      <w:pPr>
        <w:jc w:val="both"/>
        <w:rPr>
          <w:sz w:val="22"/>
          <w:szCs w:val="22"/>
          <w:lang w:val="pl-PL"/>
        </w:rPr>
      </w:pPr>
    </w:p>
    <w:p w14:paraId="04AEF433" w14:textId="582B7F7F" w:rsidR="00CF4567" w:rsidRPr="00BF57A3" w:rsidRDefault="00CF4567">
      <w:pPr>
        <w:jc w:val="both"/>
        <w:rPr>
          <w:sz w:val="22"/>
          <w:szCs w:val="22"/>
          <w:lang w:val="pl-PL"/>
        </w:rPr>
      </w:pPr>
      <w:r w:rsidRPr="00BF57A3">
        <w:rPr>
          <w:sz w:val="22"/>
          <w:szCs w:val="22"/>
          <w:lang w:val="pl-PL"/>
        </w:rPr>
        <w:t xml:space="preserve">Abraxane </w:t>
      </w:r>
      <w:r w:rsidR="00992E67" w:rsidRPr="00BF57A3">
        <w:rPr>
          <w:sz w:val="22"/>
          <w:szCs w:val="22"/>
          <w:lang w:val="pl-PL"/>
        </w:rPr>
        <w:t>100 mg (5</w:t>
      </w:r>
      <w:r w:rsidR="00E32096" w:rsidRPr="00BF57A3">
        <w:rPr>
          <w:sz w:val="22"/>
          <w:szCs w:val="22"/>
          <w:lang w:val="pl-PL"/>
        </w:rPr>
        <w:t xml:space="preserve"> </w:t>
      </w:r>
      <w:r w:rsidR="00992E67" w:rsidRPr="00BF57A3">
        <w:rPr>
          <w:sz w:val="22"/>
          <w:szCs w:val="22"/>
          <w:lang w:val="pl-PL"/>
        </w:rPr>
        <w:t>mg/ml)</w:t>
      </w:r>
      <w:r w:rsidR="002B1D81" w:rsidRPr="00BF57A3">
        <w:rPr>
          <w:sz w:val="22"/>
          <w:szCs w:val="22"/>
          <w:lang w:val="pl-PL"/>
        </w:rPr>
        <w:t>,</w:t>
      </w:r>
      <w:r w:rsidRPr="00BF57A3">
        <w:rPr>
          <w:sz w:val="22"/>
          <w:szCs w:val="22"/>
          <w:lang w:val="pl-PL"/>
        </w:rPr>
        <w:t xml:space="preserve"> prašak za </w:t>
      </w:r>
      <w:r w:rsidR="00E30604" w:rsidRPr="00BF57A3">
        <w:rPr>
          <w:sz w:val="22"/>
          <w:szCs w:val="22"/>
          <w:lang w:val="pl-PL"/>
        </w:rPr>
        <w:t xml:space="preserve">disperziju </w:t>
      </w:r>
      <w:r w:rsidRPr="00BF57A3">
        <w:rPr>
          <w:sz w:val="22"/>
          <w:szCs w:val="22"/>
          <w:lang w:val="pl-PL"/>
        </w:rPr>
        <w:t>za infuziju</w:t>
      </w:r>
    </w:p>
    <w:p w14:paraId="46DAF509" w14:textId="77777777" w:rsidR="00CF4567" w:rsidRPr="00BF57A3" w:rsidRDefault="00CF4567">
      <w:pPr>
        <w:jc w:val="both"/>
        <w:rPr>
          <w:sz w:val="22"/>
          <w:szCs w:val="22"/>
          <w:lang w:val="pl-PL"/>
        </w:rPr>
      </w:pPr>
    </w:p>
    <w:p w14:paraId="58F73010" w14:textId="77777777" w:rsidR="000D425A" w:rsidRPr="00BF57A3" w:rsidRDefault="00411B4B">
      <w:pPr>
        <w:jc w:val="both"/>
        <w:rPr>
          <w:sz w:val="22"/>
          <w:szCs w:val="22"/>
          <w:lang w:val="sv-SE"/>
        </w:rPr>
      </w:pPr>
      <w:r w:rsidRPr="00BB02AA">
        <w:rPr>
          <w:sz w:val="22"/>
          <w:szCs w:val="22"/>
          <w:lang w:val="sv-SE"/>
        </w:rPr>
        <w:t>INN:</w:t>
      </w:r>
      <w:r w:rsidR="00CF4567" w:rsidRPr="00BB02AA">
        <w:rPr>
          <w:sz w:val="22"/>
          <w:szCs w:val="22"/>
          <w:lang w:val="sv-SE"/>
        </w:rPr>
        <w:t xml:space="preserve"> paklitaksel</w:t>
      </w:r>
    </w:p>
    <w:p w14:paraId="1DFBAED4" w14:textId="77777777" w:rsidR="00115E06" w:rsidRPr="00BF57A3" w:rsidRDefault="00115E06">
      <w:pPr>
        <w:jc w:val="both"/>
        <w:rPr>
          <w:bCs/>
          <w:sz w:val="22"/>
          <w:szCs w:val="22"/>
          <w:lang w:val="sv-SE"/>
        </w:rPr>
      </w:pPr>
    </w:p>
    <w:p w14:paraId="5B6ECCC3" w14:textId="77777777" w:rsidR="00530BD7" w:rsidRPr="00BF57A3" w:rsidRDefault="00530BD7">
      <w:pPr>
        <w:jc w:val="both"/>
        <w:rPr>
          <w:bCs/>
          <w:sz w:val="22"/>
          <w:szCs w:val="22"/>
          <w:lang w:val="sv-SE"/>
        </w:rPr>
      </w:pPr>
    </w:p>
    <w:p w14:paraId="44B23533" w14:textId="77777777" w:rsidR="00411B4B" w:rsidRPr="00BF57A3" w:rsidRDefault="00411B4B">
      <w:pPr>
        <w:tabs>
          <w:tab w:val="left" w:pos="540"/>
          <w:tab w:val="left" w:pos="569"/>
        </w:tabs>
        <w:jc w:val="both"/>
        <w:rPr>
          <w:b/>
          <w:bCs/>
          <w:sz w:val="22"/>
          <w:szCs w:val="22"/>
        </w:rPr>
      </w:pPr>
      <w:r w:rsidRPr="00BF57A3">
        <w:rPr>
          <w:b/>
          <w:bCs/>
          <w:sz w:val="22"/>
          <w:szCs w:val="22"/>
        </w:rPr>
        <w:t xml:space="preserve">2. </w:t>
      </w:r>
      <w:r w:rsidR="00F5167F" w:rsidRPr="00BF57A3">
        <w:rPr>
          <w:b/>
          <w:bCs/>
          <w:sz w:val="22"/>
          <w:szCs w:val="22"/>
        </w:rPr>
        <w:tab/>
      </w:r>
      <w:r w:rsidRPr="00BF57A3">
        <w:rPr>
          <w:b/>
          <w:bCs/>
          <w:sz w:val="22"/>
          <w:szCs w:val="22"/>
        </w:rPr>
        <w:t>KVALITATIVNI I KVANTITATIVNI SASTAV</w:t>
      </w:r>
    </w:p>
    <w:p w14:paraId="03AFAFA3" w14:textId="77777777" w:rsidR="005A0B2E" w:rsidRPr="006C640E" w:rsidRDefault="005A0B2E">
      <w:pPr>
        <w:jc w:val="both"/>
        <w:rPr>
          <w:sz w:val="22"/>
          <w:szCs w:val="22"/>
          <w:lang w:val="sr-Latn-CS"/>
        </w:rPr>
      </w:pPr>
    </w:p>
    <w:p w14:paraId="227956A4" w14:textId="01B712C8" w:rsidR="00115E06" w:rsidRPr="00BF57A3" w:rsidRDefault="000840C3">
      <w:pPr>
        <w:pStyle w:val="Header"/>
        <w:tabs>
          <w:tab w:val="left" w:pos="284"/>
        </w:tabs>
        <w:jc w:val="both"/>
        <w:rPr>
          <w:sz w:val="22"/>
          <w:szCs w:val="22"/>
          <w:lang w:val="sr-Latn-CS"/>
        </w:rPr>
      </w:pPr>
      <w:r>
        <w:rPr>
          <w:sz w:val="22"/>
          <w:szCs w:val="22"/>
          <w:lang w:val="sr-Latn-CS"/>
        </w:rPr>
        <w:t>Jedna</w:t>
      </w:r>
      <w:r w:rsidR="00E71ED6" w:rsidRPr="00BF57A3">
        <w:rPr>
          <w:sz w:val="22"/>
          <w:szCs w:val="22"/>
          <w:lang w:val="sr-Latn-CS"/>
        </w:rPr>
        <w:t xml:space="preserve"> bočica sadrži 100 mg paklitaksela</w:t>
      </w:r>
      <w:r w:rsidR="00F0051E" w:rsidRPr="00BF57A3">
        <w:rPr>
          <w:sz w:val="22"/>
          <w:szCs w:val="22"/>
          <w:lang w:val="sr-Latn-CS"/>
        </w:rPr>
        <w:t xml:space="preserve"> u obliku nanočestica vezanih </w:t>
      </w:r>
      <w:r w:rsidR="00084EEE" w:rsidRPr="00BF57A3">
        <w:rPr>
          <w:sz w:val="22"/>
          <w:szCs w:val="22"/>
          <w:lang w:val="sr-Latn-CS"/>
        </w:rPr>
        <w:t>z</w:t>
      </w:r>
      <w:r w:rsidR="00F0051E" w:rsidRPr="00BF57A3">
        <w:rPr>
          <w:sz w:val="22"/>
          <w:szCs w:val="22"/>
          <w:lang w:val="sr-Latn-CS"/>
        </w:rPr>
        <w:t>a albumin</w:t>
      </w:r>
      <w:r w:rsidR="00C30BA7" w:rsidRPr="00BF57A3">
        <w:rPr>
          <w:sz w:val="22"/>
          <w:szCs w:val="22"/>
          <w:lang w:val="sr-Latn-CS"/>
        </w:rPr>
        <w:t>.</w:t>
      </w:r>
    </w:p>
    <w:p w14:paraId="5B30E76F" w14:textId="77777777" w:rsidR="00F7195A" w:rsidRDefault="00F7195A">
      <w:pPr>
        <w:pStyle w:val="Header"/>
        <w:tabs>
          <w:tab w:val="left" w:pos="284"/>
        </w:tabs>
        <w:jc w:val="both"/>
        <w:rPr>
          <w:sz w:val="22"/>
          <w:szCs w:val="22"/>
          <w:lang w:val="sr-Latn-CS"/>
        </w:rPr>
      </w:pPr>
    </w:p>
    <w:p w14:paraId="23FD9DDB" w14:textId="3D0A0D14" w:rsidR="00E71ED6" w:rsidRPr="00BF57A3" w:rsidRDefault="000840C3">
      <w:pPr>
        <w:pStyle w:val="Header"/>
        <w:tabs>
          <w:tab w:val="left" w:pos="284"/>
        </w:tabs>
        <w:jc w:val="both"/>
        <w:rPr>
          <w:sz w:val="22"/>
          <w:szCs w:val="22"/>
          <w:lang w:val="sr-Latn-CS"/>
        </w:rPr>
      </w:pPr>
      <w:r>
        <w:rPr>
          <w:sz w:val="22"/>
          <w:szCs w:val="22"/>
          <w:lang w:val="sr-Latn-CS"/>
        </w:rPr>
        <w:t>Nakon rekonstitucije, jedan</w:t>
      </w:r>
      <w:r w:rsidR="00E71ED6" w:rsidRPr="00BF57A3">
        <w:rPr>
          <w:sz w:val="22"/>
          <w:szCs w:val="22"/>
          <w:lang w:val="sr-Latn-CS"/>
        </w:rPr>
        <w:t xml:space="preserve"> ml </w:t>
      </w:r>
      <w:r w:rsidR="00D949D9" w:rsidRPr="00BF57A3">
        <w:rPr>
          <w:sz w:val="22"/>
          <w:szCs w:val="22"/>
          <w:lang w:val="sr-Latn-CS"/>
        </w:rPr>
        <w:t xml:space="preserve">disperzije </w:t>
      </w:r>
      <w:r w:rsidR="00E71ED6" w:rsidRPr="00BF57A3">
        <w:rPr>
          <w:sz w:val="22"/>
          <w:szCs w:val="22"/>
          <w:lang w:val="sr-Latn-CS"/>
        </w:rPr>
        <w:t xml:space="preserve">sadrži 5 mg paklitaksela </w:t>
      </w:r>
      <w:r w:rsidR="000974D8" w:rsidRPr="00BF57A3">
        <w:rPr>
          <w:sz w:val="22"/>
          <w:szCs w:val="22"/>
          <w:lang w:val="sr-Latn-CS"/>
        </w:rPr>
        <w:t xml:space="preserve">u obliku nanočestica vezanih </w:t>
      </w:r>
      <w:r w:rsidR="00084EEE" w:rsidRPr="00BF57A3">
        <w:rPr>
          <w:sz w:val="22"/>
          <w:szCs w:val="22"/>
          <w:lang w:val="sr-Latn-CS"/>
        </w:rPr>
        <w:t>z</w:t>
      </w:r>
      <w:r w:rsidR="000974D8" w:rsidRPr="00BF57A3">
        <w:rPr>
          <w:sz w:val="22"/>
          <w:szCs w:val="22"/>
          <w:lang w:val="sr-Latn-CS"/>
        </w:rPr>
        <w:t>a albumin.</w:t>
      </w:r>
    </w:p>
    <w:p w14:paraId="539DB0F3" w14:textId="77777777" w:rsidR="00E71ED6" w:rsidRPr="00BF57A3" w:rsidRDefault="00E71ED6">
      <w:pPr>
        <w:pStyle w:val="Header"/>
        <w:tabs>
          <w:tab w:val="left" w:pos="284"/>
        </w:tabs>
        <w:jc w:val="both"/>
        <w:rPr>
          <w:sz w:val="22"/>
          <w:szCs w:val="22"/>
          <w:lang w:val="sr-Latn-CS"/>
        </w:rPr>
      </w:pPr>
    </w:p>
    <w:p w14:paraId="639A44AC" w14:textId="77777777" w:rsidR="00E71ED6" w:rsidRPr="00BF57A3" w:rsidRDefault="00E71ED6">
      <w:pPr>
        <w:pStyle w:val="Header"/>
        <w:tabs>
          <w:tab w:val="left" w:pos="284"/>
        </w:tabs>
        <w:jc w:val="both"/>
        <w:rPr>
          <w:sz w:val="22"/>
          <w:szCs w:val="22"/>
          <w:lang w:val="sr-Latn-CS"/>
        </w:rPr>
      </w:pPr>
      <w:r w:rsidRPr="00BF57A3">
        <w:rPr>
          <w:sz w:val="22"/>
          <w:szCs w:val="22"/>
          <w:lang w:val="sr-Latn-CS"/>
        </w:rPr>
        <w:t xml:space="preserve">Za </w:t>
      </w:r>
      <w:r w:rsidR="00D72439" w:rsidRPr="00BF57A3">
        <w:rPr>
          <w:sz w:val="22"/>
          <w:szCs w:val="22"/>
          <w:lang w:val="sr-Latn-CS"/>
        </w:rPr>
        <w:t xml:space="preserve">spisak </w:t>
      </w:r>
      <w:r w:rsidRPr="00BF57A3">
        <w:rPr>
          <w:sz w:val="22"/>
          <w:szCs w:val="22"/>
          <w:lang w:val="sr-Latn-CS"/>
        </w:rPr>
        <w:t xml:space="preserve">svih </w:t>
      </w:r>
      <w:r w:rsidR="002B1D81" w:rsidRPr="00BF57A3">
        <w:rPr>
          <w:sz w:val="22"/>
          <w:szCs w:val="22"/>
          <w:lang w:val="sr-Latn-CS"/>
        </w:rPr>
        <w:t>ekscipijenasa</w:t>
      </w:r>
      <w:r w:rsidRPr="00BF57A3">
        <w:rPr>
          <w:sz w:val="22"/>
          <w:szCs w:val="22"/>
          <w:lang w:val="sr-Latn-CS"/>
        </w:rPr>
        <w:t xml:space="preserve">, </w:t>
      </w:r>
      <w:r w:rsidR="002B1D81" w:rsidRPr="00BF57A3">
        <w:rPr>
          <w:sz w:val="22"/>
          <w:szCs w:val="22"/>
          <w:lang w:val="sr-Latn-CS"/>
        </w:rPr>
        <w:t>pogledati dio</w:t>
      </w:r>
      <w:r w:rsidRPr="00BF57A3">
        <w:rPr>
          <w:sz w:val="22"/>
          <w:szCs w:val="22"/>
          <w:lang w:val="sr-Latn-CS"/>
        </w:rPr>
        <w:t xml:space="preserve"> 6.1.</w:t>
      </w:r>
    </w:p>
    <w:p w14:paraId="304977FE" w14:textId="77777777" w:rsidR="00115E06" w:rsidRPr="00BF57A3" w:rsidRDefault="00115E06">
      <w:pPr>
        <w:pStyle w:val="Header"/>
        <w:tabs>
          <w:tab w:val="left" w:pos="284"/>
        </w:tabs>
        <w:jc w:val="both"/>
        <w:rPr>
          <w:sz w:val="22"/>
          <w:szCs w:val="22"/>
          <w:lang w:val="sr-Latn-CS"/>
        </w:rPr>
      </w:pPr>
    </w:p>
    <w:p w14:paraId="0D8D0845" w14:textId="77777777" w:rsidR="00E51C30" w:rsidRPr="006C640E" w:rsidRDefault="00E51C30">
      <w:pPr>
        <w:jc w:val="both"/>
        <w:rPr>
          <w:sz w:val="22"/>
          <w:szCs w:val="22"/>
          <w:lang w:val="sr-Latn-CS"/>
        </w:rPr>
      </w:pPr>
    </w:p>
    <w:p w14:paraId="7682ECFF" w14:textId="77777777" w:rsidR="00411B4B" w:rsidRPr="00BF57A3" w:rsidRDefault="00411B4B">
      <w:pPr>
        <w:tabs>
          <w:tab w:val="left" w:pos="540"/>
          <w:tab w:val="left" w:pos="569"/>
        </w:tabs>
        <w:jc w:val="both"/>
        <w:rPr>
          <w:b/>
          <w:bCs/>
          <w:sz w:val="22"/>
          <w:szCs w:val="22"/>
          <w:lang w:val="sr-Latn-CS"/>
        </w:rPr>
      </w:pPr>
      <w:r w:rsidRPr="00BF57A3">
        <w:rPr>
          <w:b/>
          <w:bCs/>
          <w:sz w:val="22"/>
          <w:szCs w:val="22"/>
          <w:lang w:val="sr-Latn-CS"/>
        </w:rPr>
        <w:t xml:space="preserve">3. </w:t>
      </w:r>
      <w:r w:rsidR="00F5167F" w:rsidRPr="00BF57A3">
        <w:rPr>
          <w:b/>
          <w:bCs/>
          <w:sz w:val="22"/>
          <w:szCs w:val="22"/>
          <w:lang w:val="sr-Latn-CS"/>
        </w:rPr>
        <w:tab/>
      </w:r>
      <w:r w:rsidRPr="00BF57A3">
        <w:rPr>
          <w:b/>
          <w:bCs/>
          <w:sz w:val="22"/>
          <w:szCs w:val="22"/>
          <w:lang w:val="sr-Latn-CS"/>
        </w:rPr>
        <w:t>FARMACEUTSKI OBLIK</w:t>
      </w:r>
    </w:p>
    <w:p w14:paraId="17CAD9BE" w14:textId="77777777" w:rsidR="00411B4B" w:rsidRPr="00BF57A3" w:rsidRDefault="00411B4B">
      <w:pPr>
        <w:jc w:val="both"/>
        <w:rPr>
          <w:bCs/>
          <w:sz w:val="22"/>
          <w:szCs w:val="22"/>
          <w:lang w:val="sr-Latn-CS"/>
        </w:rPr>
      </w:pPr>
    </w:p>
    <w:p w14:paraId="5C0FFF1A" w14:textId="77777777" w:rsidR="00E71ED6" w:rsidRPr="00BF57A3" w:rsidRDefault="00E71ED6">
      <w:pPr>
        <w:pStyle w:val="Header"/>
        <w:tabs>
          <w:tab w:val="left" w:pos="284"/>
        </w:tabs>
        <w:jc w:val="both"/>
        <w:rPr>
          <w:sz w:val="22"/>
          <w:szCs w:val="22"/>
          <w:lang w:val="sr-Latn-CS"/>
        </w:rPr>
      </w:pPr>
      <w:r w:rsidRPr="00BF57A3">
        <w:rPr>
          <w:sz w:val="22"/>
          <w:szCs w:val="22"/>
          <w:lang w:val="sr-Latn-CS"/>
        </w:rPr>
        <w:t xml:space="preserve">Prašak za </w:t>
      </w:r>
      <w:r w:rsidR="00D72439" w:rsidRPr="00BF57A3">
        <w:rPr>
          <w:sz w:val="22"/>
          <w:szCs w:val="22"/>
          <w:lang w:val="sr-Latn-CS"/>
        </w:rPr>
        <w:t xml:space="preserve">disperziju </w:t>
      </w:r>
      <w:r w:rsidRPr="00BF57A3">
        <w:rPr>
          <w:sz w:val="22"/>
          <w:szCs w:val="22"/>
          <w:lang w:val="sr-Latn-CS"/>
        </w:rPr>
        <w:t>za infuziju.</w:t>
      </w:r>
    </w:p>
    <w:p w14:paraId="769F3CAF" w14:textId="40410508" w:rsidR="00E71ED6" w:rsidRPr="00BF57A3" w:rsidRDefault="00E71ED6">
      <w:pPr>
        <w:pStyle w:val="Header"/>
        <w:tabs>
          <w:tab w:val="left" w:pos="284"/>
        </w:tabs>
        <w:jc w:val="both"/>
        <w:rPr>
          <w:sz w:val="22"/>
          <w:szCs w:val="22"/>
          <w:lang w:val="sr-Latn-CS"/>
        </w:rPr>
      </w:pPr>
      <w:r w:rsidRPr="00BF57A3">
        <w:rPr>
          <w:sz w:val="22"/>
          <w:szCs w:val="22"/>
          <w:lang w:val="sr-Latn-CS"/>
        </w:rPr>
        <w:t>Rekonstitui</w:t>
      </w:r>
      <w:r w:rsidR="00084EEE" w:rsidRPr="00BF57A3">
        <w:rPr>
          <w:sz w:val="22"/>
          <w:szCs w:val="22"/>
          <w:lang w:val="sr-Latn-CS"/>
        </w:rPr>
        <w:t>s</w:t>
      </w:r>
      <w:r w:rsidRPr="00BF57A3">
        <w:rPr>
          <w:sz w:val="22"/>
          <w:szCs w:val="22"/>
          <w:lang w:val="sr-Latn-CS"/>
        </w:rPr>
        <w:t xml:space="preserve">ana </w:t>
      </w:r>
      <w:r w:rsidR="00D72439" w:rsidRPr="00BF57A3">
        <w:rPr>
          <w:sz w:val="22"/>
          <w:szCs w:val="22"/>
          <w:lang w:val="sr-Latn-CS"/>
        </w:rPr>
        <w:t xml:space="preserve">disperzija </w:t>
      </w:r>
      <w:r w:rsidRPr="00BF57A3">
        <w:rPr>
          <w:sz w:val="22"/>
          <w:szCs w:val="22"/>
          <w:lang w:val="sr-Latn-CS"/>
        </w:rPr>
        <w:t>ima pH od 6</w:t>
      </w:r>
      <w:r w:rsidR="00084EEE" w:rsidRPr="00BF57A3">
        <w:rPr>
          <w:sz w:val="22"/>
          <w:szCs w:val="22"/>
          <w:lang w:val="sr-Latn-CS"/>
        </w:rPr>
        <w:t xml:space="preserve"> </w:t>
      </w:r>
      <w:r w:rsidRPr="00BF57A3">
        <w:rPr>
          <w:sz w:val="22"/>
          <w:szCs w:val="22"/>
          <w:lang w:val="sr-Latn-CS"/>
        </w:rPr>
        <w:t>-</w:t>
      </w:r>
      <w:r w:rsidR="00084EEE" w:rsidRPr="00BF57A3">
        <w:rPr>
          <w:sz w:val="22"/>
          <w:szCs w:val="22"/>
          <w:lang w:val="sr-Latn-CS"/>
        </w:rPr>
        <w:t xml:space="preserve"> </w:t>
      </w:r>
      <w:r w:rsidRPr="00BF57A3">
        <w:rPr>
          <w:sz w:val="22"/>
          <w:szCs w:val="22"/>
          <w:lang w:val="sr-Latn-CS"/>
        </w:rPr>
        <w:t>7,5 i osmolalnost od 300</w:t>
      </w:r>
      <w:r w:rsidR="00084EEE" w:rsidRPr="00BF57A3">
        <w:rPr>
          <w:sz w:val="22"/>
          <w:szCs w:val="22"/>
          <w:lang w:val="sr-Latn-CS"/>
        </w:rPr>
        <w:t xml:space="preserve"> </w:t>
      </w:r>
      <w:r w:rsidRPr="00BF57A3">
        <w:rPr>
          <w:sz w:val="22"/>
          <w:szCs w:val="22"/>
          <w:lang w:val="sr-Latn-CS"/>
        </w:rPr>
        <w:t>-</w:t>
      </w:r>
      <w:r w:rsidR="00084EEE" w:rsidRPr="00BF57A3">
        <w:rPr>
          <w:sz w:val="22"/>
          <w:szCs w:val="22"/>
          <w:lang w:val="sr-Latn-CS"/>
        </w:rPr>
        <w:t xml:space="preserve"> </w:t>
      </w:r>
      <w:r w:rsidRPr="00BF57A3">
        <w:rPr>
          <w:sz w:val="22"/>
          <w:szCs w:val="22"/>
          <w:lang w:val="sr-Latn-CS"/>
        </w:rPr>
        <w:t>360 mOsm/kg.</w:t>
      </w:r>
    </w:p>
    <w:p w14:paraId="55E7FC42" w14:textId="77777777" w:rsidR="00EC2532" w:rsidRPr="00BF57A3" w:rsidRDefault="00E71ED6">
      <w:pPr>
        <w:jc w:val="both"/>
        <w:rPr>
          <w:sz w:val="22"/>
          <w:szCs w:val="22"/>
          <w:lang w:val="sr-Latn-CS"/>
        </w:rPr>
      </w:pPr>
      <w:r w:rsidRPr="00BF57A3">
        <w:rPr>
          <w:sz w:val="22"/>
          <w:szCs w:val="22"/>
          <w:lang w:val="de-DE"/>
        </w:rPr>
        <w:t>Pra</w:t>
      </w:r>
      <w:r w:rsidRPr="00BF57A3">
        <w:rPr>
          <w:sz w:val="22"/>
          <w:szCs w:val="22"/>
          <w:lang w:val="sr-Latn-CS"/>
        </w:rPr>
        <w:t>š</w:t>
      </w:r>
      <w:r w:rsidRPr="00BF57A3">
        <w:rPr>
          <w:sz w:val="22"/>
          <w:szCs w:val="22"/>
          <w:lang w:val="de-DE"/>
        </w:rPr>
        <w:t>ak</w:t>
      </w:r>
      <w:r w:rsidRPr="00BF57A3">
        <w:rPr>
          <w:sz w:val="22"/>
          <w:szCs w:val="22"/>
          <w:lang w:val="sr-Latn-CS"/>
        </w:rPr>
        <w:t xml:space="preserve"> </w:t>
      </w:r>
      <w:r w:rsidRPr="00BF57A3">
        <w:rPr>
          <w:sz w:val="22"/>
          <w:szCs w:val="22"/>
          <w:lang w:val="de-DE"/>
        </w:rPr>
        <w:t>je</w:t>
      </w:r>
      <w:r w:rsidRPr="00BF57A3">
        <w:rPr>
          <w:sz w:val="22"/>
          <w:szCs w:val="22"/>
          <w:lang w:val="sr-Latn-CS"/>
        </w:rPr>
        <w:t xml:space="preserve"> </w:t>
      </w:r>
      <w:r w:rsidRPr="00BF57A3">
        <w:rPr>
          <w:sz w:val="22"/>
          <w:szCs w:val="22"/>
          <w:lang w:val="de-DE"/>
        </w:rPr>
        <w:t>bijele</w:t>
      </w:r>
      <w:r w:rsidRPr="00BF57A3">
        <w:rPr>
          <w:sz w:val="22"/>
          <w:szCs w:val="22"/>
          <w:lang w:val="sr-Latn-CS"/>
        </w:rPr>
        <w:t xml:space="preserve"> </w:t>
      </w:r>
      <w:r w:rsidRPr="00BF57A3">
        <w:rPr>
          <w:sz w:val="22"/>
          <w:szCs w:val="22"/>
          <w:lang w:val="de-DE"/>
        </w:rPr>
        <w:t>do</w:t>
      </w:r>
      <w:r w:rsidRPr="00BF57A3">
        <w:rPr>
          <w:sz w:val="22"/>
          <w:szCs w:val="22"/>
          <w:lang w:val="sr-Latn-CS"/>
        </w:rPr>
        <w:t xml:space="preserve"> ž</w:t>
      </w:r>
      <w:r w:rsidRPr="00BF57A3">
        <w:rPr>
          <w:sz w:val="22"/>
          <w:szCs w:val="22"/>
          <w:lang w:val="de-DE"/>
        </w:rPr>
        <w:t>ute</w:t>
      </w:r>
      <w:r w:rsidRPr="00BF57A3">
        <w:rPr>
          <w:sz w:val="22"/>
          <w:szCs w:val="22"/>
          <w:lang w:val="sr-Latn-CS"/>
        </w:rPr>
        <w:t xml:space="preserve"> </w:t>
      </w:r>
      <w:r w:rsidRPr="00BF57A3">
        <w:rPr>
          <w:sz w:val="22"/>
          <w:szCs w:val="22"/>
          <w:lang w:val="de-DE"/>
        </w:rPr>
        <w:t>boje</w:t>
      </w:r>
      <w:r w:rsidR="000853C3" w:rsidRPr="00BF57A3">
        <w:rPr>
          <w:sz w:val="22"/>
          <w:szCs w:val="22"/>
          <w:lang w:val="sr-Latn-CS"/>
        </w:rPr>
        <w:t>.</w:t>
      </w:r>
    </w:p>
    <w:p w14:paraId="3FC56564" w14:textId="77777777" w:rsidR="00115E06" w:rsidRPr="00BF57A3" w:rsidRDefault="00115E06">
      <w:pPr>
        <w:jc w:val="both"/>
        <w:rPr>
          <w:sz w:val="22"/>
          <w:szCs w:val="22"/>
          <w:lang w:val="sr-Latn-CS"/>
        </w:rPr>
      </w:pPr>
    </w:p>
    <w:p w14:paraId="12CF7902" w14:textId="77777777" w:rsidR="00E71ED6" w:rsidRPr="00BF57A3" w:rsidRDefault="00E71ED6">
      <w:pPr>
        <w:jc w:val="both"/>
        <w:rPr>
          <w:bCs/>
          <w:sz w:val="22"/>
          <w:szCs w:val="22"/>
          <w:lang w:val="sr-Latn-CS"/>
        </w:rPr>
      </w:pPr>
    </w:p>
    <w:p w14:paraId="3C6206BC" w14:textId="77777777" w:rsidR="00411B4B" w:rsidRPr="00BF57A3" w:rsidRDefault="00411B4B">
      <w:pPr>
        <w:tabs>
          <w:tab w:val="left" w:pos="540"/>
          <w:tab w:val="left" w:pos="569"/>
        </w:tabs>
        <w:jc w:val="both"/>
        <w:rPr>
          <w:b/>
          <w:bCs/>
          <w:sz w:val="22"/>
          <w:szCs w:val="22"/>
          <w:lang w:val="sr-Latn-CS"/>
        </w:rPr>
      </w:pPr>
      <w:r w:rsidRPr="00BF57A3">
        <w:rPr>
          <w:b/>
          <w:bCs/>
          <w:sz w:val="22"/>
          <w:szCs w:val="22"/>
          <w:lang w:val="sr-Latn-CS"/>
        </w:rPr>
        <w:t xml:space="preserve">4. </w:t>
      </w:r>
      <w:r w:rsidR="00480FB1" w:rsidRPr="00BF57A3">
        <w:rPr>
          <w:b/>
          <w:bCs/>
          <w:sz w:val="22"/>
          <w:szCs w:val="22"/>
          <w:lang w:val="sr-Latn-CS"/>
        </w:rPr>
        <w:tab/>
      </w:r>
      <w:r w:rsidRPr="00BF57A3">
        <w:rPr>
          <w:b/>
          <w:bCs/>
          <w:sz w:val="22"/>
          <w:szCs w:val="22"/>
        </w:rPr>
        <w:t>KLINI</w:t>
      </w:r>
      <w:r w:rsidRPr="00BF57A3">
        <w:rPr>
          <w:b/>
          <w:bCs/>
          <w:sz w:val="22"/>
          <w:szCs w:val="22"/>
          <w:lang w:val="sr-Latn-CS"/>
        </w:rPr>
        <w:t>Č</w:t>
      </w:r>
      <w:r w:rsidRPr="00BF57A3">
        <w:rPr>
          <w:b/>
          <w:bCs/>
          <w:sz w:val="22"/>
          <w:szCs w:val="22"/>
        </w:rPr>
        <w:t>KI</w:t>
      </w:r>
      <w:r w:rsidRPr="00BF57A3">
        <w:rPr>
          <w:b/>
          <w:bCs/>
          <w:sz w:val="22"/>
          <w:szCs w:val="22"/>
          <w:lang w:val="sr-Latn-CS"/>
        </w:rPr>
        <w:t xml:space="preserve"> </w:t>
      </w:r>
      <w:r w:rsidRPr="00BF57A3">
        <w:rPr>
          <w:b/>
          <w:bCs/>
          <w:sz w:val="22"/>
          <w:szCs w:val="22"/>
        </w:rPr>
        <w:t>PODACI</w:t>
      </w:r>
    </w:p>
    <w:p w14:paraId="17A93F4E" w14:textId="77777777" w:rsidR="00CD6F02" w:rsidRPr="00BF57A3" w:rsidRDefault="00CD6F02">
      <w:pPr>
        <w:tabs>
          <w:tab w:val="left" w:pos="540"/>
          <w:tab w:val="left" w:pos="569"/>
        </w:tabs>
        <w:jc w:val="both"/>
        <w:rPr>
          <w:bCs/>
          <w:sz w:val="22"/>
          <w:szCs w:val="22"/>
          <w:lang w:val="sr-Latn-CS"/>
        </w:rPr>
      </w:pPr>
    </w:p>
    <w:p w14:paraId="52EE411E" w14:textId="77777777" w:rsidR="00411B4B" w:rsidRPr="00BF57A3" w:rsidRDefault="00411B4B">
      <w:pPr>
        <w:tabs>
          <w:tab w:val="left" w:pos="540"/>
          <w:tab w:val="left" w:pos="569"/>
        </w:tabs>
        <w:jc w:val="both"/>
        <w:rPr>
          <w:b/>
          <w:bCs/>
          <w:sz w:val="22"/>
          <w:szCs w:val="22"/>
          <w:lang w:val="sr-Latn-CS"/>
        </w:rPr>
      </w:pPr>
      <w:r w:rsidRPr="00BF57A3">
        <w:rPr>
          <w:b/>
          <w:bCs/>
          <w:sz w:val="22"/>
          <w:szCs w:val="22"/>
          <w:lang w:val="sr-Latn-CS"/>
        </w:rPr>
        <w:t xml:space="preserve">4.1. </w:t>
      </w:r>
      <w:r w:rsidR="00480FB1" w:rsidRPr="00BF57A3">
        <w:rPr>
          <w:b/>
          <w:bCs/>
          <w:sz w:val="22"/>
          <w:szCs w:val="22"/>
          <w:lang w:val="sr-Latn-CS"/>
        </w:rPr>
        <w:tab/>
      </w:r>
      <w:r w:rsidRPr="00BF57A3">
        <w:rPr>
          <w:b/>
          <w:bCs/>
          <w:sz w:val="22"/>
          <w:szCs w:val="22"/>
        </w:rPr>
        <w:t>Terapijske</w:t>
      </w:r>
      <w:r w:rsidRPr="00BF57A3">
        <w:rPr>
          <w:b/>
          <w:bCs/>
          <w:sz w:val="22"/>
          <w:szCs w:val="22"/>
          <w:lang w:val="sr-Latn-CS"/>
        </w:rPr>
        <w:t xml:space="preserve"> </w:t>
      </w:r>
      <w:r w:rsidRPr="00BF57A3">
        <w:rPr>
          <w:b/>
          <w:bCs/>
          <w:sz w:val="22"/>
          <w:szCs w:val="22"/>
        </w:rPr>
        <w:t>indikacije</w:t>
      </w:r>
    </w:p>
    <w:p w14:paraId="1944F511" w14:textId="77777777" w:rsidR="00411B4B" w:rsidRPr="00BF57A3" w:rsidRDefault="00411B4B">
      <w:pPr>
        <w:tabs>
          <w:tab w:val="left" w:pos="540"/>
          <w:tab w:val="left" w:pos="569"/>
        </w:tabs>
        <w:jc w:val="both"/>
        <w:rPr>
          <w:bCs/>
          <w:sz w:val="22"/>
          <w:szCs w:val="22"/>
          <w:lang w:val="sr-Latn-CS"/>
        </w:rPr>
      </w:pPr>
    </w:p>
    <w:p w14:paraId="057A4680" w14:textId="4F59BD72" w:rsidR="00E71ED6" w:rsidRPr="00BF57A3" w:rsidRDefault="00E71ED6">
      <w:pPr>
        <w:pStyle w:val="Header"/>
        <w:tabs>
          <w:tab w:val="left" w:pos="284"/>
        </w:tabs>
        <w:jc w:val="both"/>
        <w:rPr>
          <w:sz w:val="22"/>
          <w:szCs w:val="22"/>
          <w:lang w:val="sr-Latn-CS"/>
        </w:rPr>
      </w:pPr>
      <w:r w:rsidRPr="00BF57A3">
        <w:rPr>
          <w:sz w:val="22"/>
          <w:szCs w:val="22"/>
          <w:lang w:val="en-US"/>
        </w:rPr>
        <w:t>L</w:t>
      </w:r>
      <w:r w:rsidR="0025130D" w:rsidRPr="00BF57A3">
        <w:rPr>
          <w:sz w:val="22"/>
          <w:szCs w:val="22"/>
        </w:rPr>
        <w:t>ij</w:t>
      </w:r>
      <w:r w:rsidRPr="00BF57A3">
        <w:rPr>
          <w:sz w:val="22"/>
          <w:szCs w:val="22"/>
          <w:lang w:val="en-US"/>
        </w:rPr>
        <w:t>ek</w:t>
      </w:r>
      <w:r w:rsidRPr="00BF57A3">
        <w:rPr>
          <w:sz w:val="22"/>
          <w:szCs w:val="22"/>
          <w:lang w:val="sr-Latn-CS"/>
        </w:rPr>
        <w:t xml:space="preserve"> </w:t>
      </w:r>
      <w:r w:rsidRPr="00BF57A3">
        <w:rPr>
          <w:sz w:val="22"/>
          <w:szCs w:val="22"/>
          <w:lang w:val="en-US"/>
        </w:rPr>
        <w:t>Abraxane</w:t>
      </w:r>
      <w:r w:rsidRPr="00BF57A3">
        <w:rPr>
          <w:sz w:val="22"/>
          <w:szCs w:val="22"/>
          <w:lang w:val="sr-Latn-CS"/>
        </w:rPr>
        <w:t xml:space="preserve"> </w:t>
      </w:r>
      <w:r w:rsidRPr="00BF57A3">
        <w:rPr>
          <w:sz w:val="22"/>
          <w:szCs w:val="22"/>
          <w:lang w:val="en-US"/>
        </w:rPr>
        <w:t>je</w:t>
      </w:r>
      <w:r w:rsidRPr="00BF57A3">
        <w:rPr>
          <w:sz w:val="22"/>
          <w:szCs w:val="22"/>
          <w:lang w:val="sr-Latn-CS"/>
        </w:rPr>
        <w:t xml:space="preserve"> </w:t>
      </w:r>
      <w:r w:rsidRPr="00BF57A3">
        <w:rPr>
          <w:sz w:val="22"/>
          <w:szCs w:val="22"/>
          <w:lang w:val="en-US"/>
        </w:rPr>
        <w:t>indikovan</w:t>
      </w:r>
      <w:r w:rsidRPr="00BF57A3">
        <w:rPr>
          <w:sz w:val="22"/>
          <w:szCs w:val="22"/>
          <w:lang w:val="sr-Latn-CS"/>
        </w:rPr>
        <w:t xml:space="preserve"> </w:t>
      </w:r>
      <w:r w:rsidRPr="00BF57A3">
        <w:rPr>
          <w:sz w:val="22"/>
          <w:szCs w:val="22"/>
          <w:lang w:val="en-US"/>
        </w:rPr>
        <w:t>kao</w:t>
      </w:r>
      <w:r w:rsidRPr="00BF57A3">
        <w:rPr>
          <w:sz w:val="22"/>
          <w:szCs w:val="22"/>
          <w:lang w:val="sr-Latn-CS"/>
        </w:rPr>
        <w:t xml:space="preserve"> </w:t>
      </w:r>
      <w:r w:rsidRPr="00BF57A3">
        <w:rPr>
          <w:sz w:val="22"/>
          <w:szCs w:val="22"/>
          <w:lang w:val="en-US"/>
        </w:rPr>
        <w:t>monoterapija</w:t>
      </w:r>
      <w:r w:rsidRPr="00BF57A3">
        <w:rPr>
          <w:sz w:val="22"/>
          <w:szCs w:val="22"/>
          <w:lang w:val="sr-Latn-CS"/>
        </w:rPr>
        <w:t xml:space="preserve"> </w:t>
      </w:r>
      <w:r w:rsidRPr="00BF57A3">
        <w:rPr>
          <w:sz w:val="22"/>
          <w:szCs w:val="22"/>
          <w:lang w:val="en-US"/>
        </w:rPr>
        <w:t>za</w:t>
      </w:r>
      <w:r w:rsidRPr="00BF57A3">
        <w:rPr>
          <w:sz w:val="22"/>
          <w:szCs w:val="22"/>
          <w:lang w:val="sr-Latn-CS"/>
        </w:rPr>
        <w:t xml:space="preserve"> </w:t>
      </w:r>
      <w:r w:rsidRPr="00BF57A3">
        <w:rPr>
          <w:sz w:val="22"/>
          <w:szCs w:val="22"/>
          <w:lang w:val="en-US"/>
        </w:rPr>
        <w:t>l</w:t>
      </w:r>
      <w:r w:rsidR="0025130D" w:rsidRPr="00BF57A3">
        <w:rPr>
          <w:sz w:val="22"/>
          <w:szCs w:val="22"/>
        </w:rPr>
        <w:t>ij</w:t>
      </w:r>
      <w:r w:rsidRPr="00BF57A3">
        <w:rPr>
          <w:sz w:val="22"/>
          <w:szCs w:val="22"/>
          <w:lang w:val="en-US"/>
        </w:rPr>
        <w:t>e</w:t>
      </w:r>
      <w:r w:rsidRPr="00BF57A3">
        <w:rPr>
          <w:sz w:val="22"/>
          <w:szCs w:val="22"/>
          <w:lang w:val="sr-Latn-CS"/>
        </w:rPr>
        <w:t>č</w:t>
      </w:r>
      <w:r w:rsidRPr="00BF57A3">
        <w:rPr>
          <w:sz w:val="22"/>
          <w:szCs w:val="22"/>
          <w:lang w:val="en-US"/>
        </w:rPr>
        <w:t>enje</w:t>
      </w:r>
      <w:r w:rsidRPr="00BF57A3">
        <w:rPr>
          <w:sz w:val="22"/>
          <w:szCs w:val="22"/>
          <w:lang w:val="sr-Latn-CS"/>
        </w:rPr>
        <w:t xml:space="preserve"> </w:t>
      </w:r>
      <w:r w:rsidRPr="00BF57A3">
        <w:rPr>
          <w:sz w:val="22"/>
          <w:szCs w:val="22"/>
          <w:lang w:val="en-US"/>
        </w:rPr>
        <w:t>metastatskog</w:t>
      </w:r>
      <w:r w:rsidRPr="00BF57A3">
        <w:rPr>
          <w:sz w:val="22"/>
          <w:szCs w:val="22"/>
          <w:lang w:val="sr-Latn-CS"/>
        </w:rPr>
        <w:t xml:space="preserve"> </w:t>
      </w:r>
      <w:r w:rsidRPr="00BF57A3">
        <w:rPr>
          <w:sz w:val="22"/>
          <w:szCs w:val="22"/>
          <w:lang w:val="en-US"/>
        </w:rPr>
        <w:t>karcinoma</w:t>
      </w:r>
      <w:r w:rsidRPr="00BF57A3">
        <w:rPr>
          <w:sz w:val="22"/>
          <w:szCs w:val="22"/>
          <w:lang w:val="sr-Latn-CS"/>
        </w:rPr>
        <w:t xml:space="preserve"> </w:t>
      </w:r>
      <w:r w:rsidRPr="00BF57A3">
        <w:rPr>
          <w:sz w:val="22"/>
          <w:szCs w:val="22"/>
          <w:lang w:val="en-US"/>
        </w:rPr>
        <w:t>dojke</w:t>
      </w:r>
      <w:r w:rsidRPr="00BF57A3">
        <w:rPr>
          <w:sz w:val="22"/>
          <w:szCs w:val="22"/>
          <w:lang w:val="sr-Latn-CS"/>
        </w:rPr>
        <w:t xml:space="preserve"> </w:t>
      </w:r>
      <w:r w:rsidRPr="00BF57A3">
        <w:rPr>
          <w:sz w:val="22"/>
          <w:szCs w:val="22"/>
          <w:lang w:val="en-US"/>
        </w:rPr>
        <w:t>kod</w:t>
      </w:r>
      <w:r w:rsidRPr="00BF57A3">
        <w:rPr>
          <w:sz w:val="22"/>
          <w:szCs w:val="22"/>
          <w:lang w:val="sr-Latn-CS"/>
        </w:rPr>
        <w:t xml:space="preserve"> </w:t>
      </w:r>
      <w:r w:rsidRPr="00BF57A3">
        <w:rPr>
          <w:sz w:val="22"/>
          <w:szCs w:val="22"/>
          <w:lang w:val="en-US"/>
        </w:rPr>
        <w:t>odraslih</w:t>
      </w:r>
      <w:r w:rsidRPr="00BF57A3">
        <w:rPr>
          <w:sz w:val="22"/>
          <w:szCs w:val="22"/>
          <w:lang w:val="sr-Latn-CS"/>
        </w:rPr>
        <w:t xml:space="preserve"> </w:t>
      </w:r>
      <w:r w:rsidR="00BF57A3">
        <w:rPr>
          <w:sz w:val="22"/>
          <w:szCs w:val="22"/>
          <w:lang w:val="en-US"/>
        </w:rPr>
        <w:t>pacijenata</w:t>
      </w:r>
      <w:r w:rsidR="00BF57A3" w:rsidRPr="00BF57A3">
        <w:rPr>
          <w:sz w:val="22"/>
          <w:szCs w:val="22"/>
          <w:lang w:val="sr-Latn-CS"/>
        </w:rPr>
        <w:t xml:space="preserve"> </w:t>
      </w:r>
      <w:r w:rsidRPr="00BF57A3">
        <w:rPr>
          <w:sz w:val="22"/>
          <w:szCs w:val="22"/>
          <w:lang w:val="en-US"/>
        </w:rPr>
        <w:t>koji</w:t>
      </w:r>
      <w:r w:rsidRPr="00BF57A3">
        <w:rPr>
          <w:sz w:val="22"/>
          <w:szCs w:val="22"/>
          <w:lang w:val="sr-Latn-CS"/>
        </w:rPr>
        <w:t xml:space="preserve"> </w:t>
      </w:r>
      <w:r w:rsidRPr="00BF57A3">
        <w:rPr>
          <w:sz w:val="22"/>
          <w:szCs w:val="22"/>
          <w:lang w:val="en-US"/>
        </w:rPr>
        <w:t>ni</w:t>
      </w:r>
      <w:r w:rsidR="00445361" w:rsidRPr="00BF57A3">
        <w:rPr>
          <w:sz w:val="22"/>
          <w:szCs w:val="22"/>
          <w:lang w:val="en-US"/>
        </w:rPr>
        <w:t>je</w:t>
      </w:r>
      <w:r w:rsidRPr="00BF57A3">
        <w:rPr>
          <w:sz w:val="22"/>
          <w:szCs w:val="22"/>
          <w:lang w:val="en-US"/>
        </w:rPr>
        <w:t>su</w:t>
      </w:r>
      <w:r w:rsidRPr="00BF57A3">
        <w:rPr>
          <w:sz w:val="22"/>
          <w:szCs w:val="22"/>
          <w:lang w:val="sr-Latn-CS"/>
        </w:rPr>
        <w:t xml:space="preserve"> </w:t>
      </w:r>
      <w:r w:rsidRPr="00BF57A3">
        <w:rPr>
          <w:sz w:val="22"/>
          <w:szCs w:val="22"/>
          <w:lang w:val="en-US"/>
        </w:rPr>
        <w:t>reagovali</w:t>
      </w:r>
      <w:r w:rsidRPr="00BF57A3">
        <w:rPr>
          <w:sz w:val="22"/>
          <w:szCs w:val="22"/>
          <w:lang w:val="sr-Latn-CS"/>
        </w:rPr>
        <w:t xml:space="preserve"> </w:t>
      </w:r>
      <w:proofErr w:type="gramStart"/>
      <w:r w:rsidRPr="00BF57A3">
        <w:rPr>
          <w:sz w:val="22"/>
          <w:szCs w:val="22"/>
          <w:lang w:val="en-US"/>
        </w:rPr>
        <w:t>na</w:t>
      </w:r>
      <w:proofErr w:type="gramEnd"/>
      <w:r w:rsidRPr="00BF57A3">
        <w:rPr>
          <w:sz w:val="22"/>
          <w:szCs w:val="22"/>
          <w:lang w:val="sr-Latn-CS"/>
        </w:rPr>
        <w:t xml:space="preserve"> </w:t>
      </w:r>
      <w:r w:rsidRPr="00BF57A3">
        <w:rPr>
          <w:sz w:val="22"/>
          <w:szCs w:val="22"/>
          <w:lang w:val="en-US"/>
        </w:rPr>
        <w:t>prvu</w:t>
      </w:r>
      <w:r w:rsidRPr="00BF57A3">
        <w:rPr>
          <w:sz w:val="22"/>
          <w:szCs w:val="22"/>
          <w:lang w:val="sr-Latn-CS"/>
        </w:rPr>
        <w:t xml:space="preserve"> </w:t>
      </w:r>
      <w:r w:rsidRPr="00BF57A3">
        <w:rPr>
          <w:sz w:val="22"/>
          <w:szCs w:val="22"/>
          <w:lang w:val="en-US"/>
        </w:rPr>
        <w:t>liniju</w:t>
      </w:r>
      <w:r w:rsidRPr="00BF57A3">
        <w:rPr>
          <w:sz w:val="22"/>
          <w:szCs w:val="22"/>
          <w:lang w:val="sr-Latn-CS"/>
        </w:rPr>
        <w:t xml:space="preserve"> </w:t>
      </w:r>
      <w:r w:rsidRPr="00BF57A3">
        <w:rPr>
          <w:sz w:val="22"/>
          <w:szCs w:val="22"/>
          <w:lang w:val="en-US"/>
        </w:rPr>
        <w:t>l</w:t>
      </w:r>
      <w:r w:rsidR="0025130D" w:rsidRPr="00BF57A3">
        <w:rPr>
          <w:sz w:val="22"/>
          <w:szCs w:val="22"/>
        </w:rPr>
        <w:t>ij</w:t>
      </w:r>
      <w:r w:rsidRPr="00BF57A3">
        <w:rPr>
          <w:sz w:val="22"/>
          <w:szCs w:val="22"/>
          <w:lang w:val="en-US"/>
        </w:rPr>
        <w:t>e</w:t>
      </w:r>
      <w:r w:rsidRPr="00BF57A3">
        <w:rPr>
          <w:sz w:val="22"/>
          <w:szCs w:val="22"/>
          <w:lang w:val="sr-Latn-CS"/>
        </w:rPr>
        <w:t>č</w:t>
      </w:r>
      <w:r w:rsidRPr="00BF57A3">
        <w:rPr>
          <w:sz w:val="22"/>
          <w:szCs w:val="22"/>
          <w:lang w:val="en-US"/>
        </w:rPr>
        <w:t>enja</w:t>
      </w:r>
      <w:r w:rsidRPr="00BF57A3">
        <w:rPr>
          <w:sz w:val="22"/>
          <w:szCs w:val="22"/>
          <w:lang w:val="sr-Latn-CS"/>
        </w:rPr>
        <w:t xml:space="preserve"> </w:t>
      </w:r>
      <w:r w:rsidRPr="00BF57A3">
        <w:rPr>
          <w:sz w:val="22"/>
          <w:szCs w:val="22"/>
          <w:lang w:val="en-US"/>
        </w:rPr>
        <w:t>za</w:t>
      </w:r>
      <w:r w:rsidRPr="00BF57A3">
        <w:rPr>
          <w:sz w:val="22"/>
          <w:szCs w:val="22"/>
          <w:lang w:val="sr-Latn-CS"/>
        </w:rPr>
        <w:t xml:space="preserve"> </w:t>
      </w:r>
      <w:r w:rsidRPr="00BF57A3">
        <w:rPr>
          <w:sz w:val="22"/>
          <w:szCs w:val="22"/>
          <w:lang w:val="en-US"/>
        </w:rPr>
        <w:t>metastatsku</w:t>
      </w:r>
      <w:r w:rsidRPr="00BF57A3">
        <w:rPr>
          <w:sz w:val="22"/>
          <w:szCs w:val="22"/>
          <w:lang w:val="sr-Latn-CS"/>
        </w:rPr>
        <w:t xml:space="preserve"> </w:t>
      </w:r>
      <w:r w:rsidRPr="00BF57A3">
        <w:rPr>
          <w:sz w:val="22"/>
          <w:szCs w:val="22"/>
          <w:lang w:val="en-US"/>
        </w:rPr>
        <w:t>bolest</w:t>
      </w:r>
      <w:r w:rsidRPr="00BF57A3">
        <w:rPr>
          <w:sz w:val="22"/>
          <w:szCs w:val="22"/>
          <w:lang w:val="sr-Latn-CS"/>
        </w:rPr>
        <w:t xml:space="preserve"> </w:t>
      </w:r>
      <w:r w:rsidRPr="00BF57A3">
        <w:rPr>
          <w:sz w:val="22"/>
          <w:szCs w:val="22"/>
          <w:lang w:val="en-US"/>
        </w:rPr>
        <w:t>i</w:t>
      </w:r>
      <w:r w:rsidRPr="00BF57A3">
        <w:rPr>
          <w:sz w:val="22"/>
          <w:szCs w:val="22"/>
          <w:lang w:val="sr-Latn-CS"/>
        </w:rPr>
        <w:t xml:space="preserve"> </w:t>
      </w:r>
      <w:r w:rsidRPr="00BF57A3">
        <w:rPr>
          <w:sz w:val="22"/>
          <w:szCs w:val="22"/>
          <w:lang w:val="en-US"/>
        </w:rPr>
        <w:t>kod</w:t>
      </w:r>
      <w:r w:rsidRPr="00BF57A3">
        <w:rPr>
          <w:sz w:val="22"/>
          <w:szCs w:val="22"/>
          <w:lang w:val="sr-Latn-CS"/>
        </w:rPr>
        <w:t xml:space="preserve"> </w:t>
      </w:r>
      <w:r w:rsidRPr="00BF57A3">
        <w:rPr>
          <w:sz w:val="22"/>
          <w:szCs w:val="22"/>
          <w:lang w:val="en-US"/>
        </w:rPr>
        <w:t>kojih</w:t>
      </w:r>
      <w:r w:rsidRPr="00BF57A3">
        <w:rPr>
          <w:sz w:val="22"/>
          <w:szCs w:val="22"/>
          <w:lang w:val="sr-Latn-CS"/>
        </w:rPr>
        <w:t xml:space="preserve"> </w:t>
      </w:r>
      <w:r w:rsidRPr="00BF57A3">
        <w:rPr>
          <w:sz w:val="22"/>
          <w:szCs w:val="22"/>
          <w:lang w:val="en-US"/>
        </w:rPr>
        <w:t>nije</w:t>
      </w:r>
      <w:r w:rsidRPr="00BF57A3">
        <w:rPr>
          <w:sz w:val="22"/>
          <w:szCs w:val="22"/>
          <w:lang w:val="sr-Latn-CS"/>
        </w:rPr>
        <w:t xml:space="preserve"> </w:t>
      </w:r>
      <w:r w:rsidRPr="00BF57A3">
        <w:rPr>
          <w:sz w:val="22"/>
          <w:szCs w:val="22"/>
          <w:lang w:val="en-US"/>
        </w:rPr>
        <w:t>indikovana</w:t>
      </w:r>
      <w:r w:rsidRPr="00BF57A3">
        <w:rPr>
          <w:sz w:val="22"/>
          <w:szCs w:val="22"/>
          <w:lang w:val="sr-Latn-CS"/>
        </w:rPr>
        <w:t xml:space="preserve"> </w:t>
      </w:r>
      <w:r w:rsidRPr="00BF57A3">
        <w:rPr>
          <w:sz w:val="22"/>
          <w:szCs w:val="22"/>
          <w:lang w:val="en-US"/>
        </w:rPr>
        <w:t>standardna</w:t>
      </w:r>
      <w:r w:rsidRPr="00BF57A3">
        <w:rPr>
          <w:sz w:val="22"/>
          <w:szCs w:val="22"/>
          <w:lang w:val="sr-Latn-CS"/>
        </w:rPr>
        <w:t xml:space="preserve"> </w:t>
      </w:r>
      <w:r w:rsidRPr="00BF57A3">
        <w:rPr>
          <w:sz w:val="22"/>
          <w:szCs w:val="22"/>
          <w:lang w:val="en-US"/>
        </w:rPr>
        <w:t>terapija</w:t>
      </w:r>
      <w:r w:rsidRPr="00BF57A3">
        <w:rPr>
          <w:sz w:val="22"/>
          <w:szCs w:val="22"/>
          <w:lang w:val="sr-Latn-CS"/>
        </w:rPr>
        <w:t xml:space="preserve"> </w:t>
      </w:r>
      <w:r w:rsidRPr="00BF57A3">
        <w:rPr>
          <w:sz w:val="22"/>
          <w:szCs w:val="22"/>
          <w:lang w:val="en-US"/>
        </w:rPr>
        <w:t>antraciklinima</w:t>
      </w:r>
      <w:r w:rsidRPr="00BF57A3">
        <w:rPr>
          <w:sz w:val="22"/>
          <w:szCs w:val="22"/>
          <w:lang w:val="sr-Latn-CS"/>
        </w:rPr>
        <w:t xml:space="preserve"> (</w:t>
      </w:r>
      <w:r w:rsidRPr="00BF57A3">
        <w:rPr>
          <w:sz w:val="22"/>
          <w:szCs w:val="22"/>
          <w:lang w:val="en-US"/>
        </w:rPr>
        <w:t>vid</w:t>
      </w:r>
      <w:r w:rsidR="0025130D" w:rsidRPr="00BF57A3">
        <w:rPr>
          <w:sz w:val="22"/>
          <w:szCs w:val="22"/>
        </w:rPr>
        <w:t>j</w:t>
      </w:r>
      <w:r w:rsidRPr="00BF57A3">
        <w:rPr>
          <w:sz w:val="22"/>
          <w:szCs w:val="22"/>
          <w:lang w:val="en-US"/>
        </w:rPr>
        <w:t>eti</w:t>
      </w:r>
      <w:r w:rsidRPr="00BF57A3">
        <w:rPr>
          <w:sz w:val="22"/>
          <w:szCs w:val="22"/>
          <w:lang w:val="sr-Latn-CS"/>
        </w:rPr>
        <w:t xml:space="preserve"> </w:t>
      </w:r>
      <w:r w:rsidR="00BF57A3">
        <w:rPr>
          <w:sz w:val="22"/>
          <w:szCs w:val="22"/>
          <w:lang w:val="en-US"/>
        </w:rPr>
        <w:t>dio</w:t>
      </w:r>
      <w:r w:rsidR="00BF57A3" w:rsidRPr="00BF57A3">
        <w:rPr>
          <w:sz w:val="22"/>
          <w:szCs w:val="22"/>
          <w:lang w:val="sr-Latn-CS"/>
        </w:rPr>
        <w:t xml:space="preserve"> </w:t>
      </w:r>
      <w:r w:rsidRPr="00BF57A3">
        <w:rPr>
          <w:sz w:val="22"/>
          <w:szCs w:val="22"/>
          <w:lang w:val="sr-Latn-CS"/>
        </w:rPr>
        <w:t>4.4).</w:t>
      </w:r>
    </w:p>
    <w:p w14:paraId="3EEF4E41" w14:textId="77777777" w:rsidR="00E71ED6" w:rsidRPr="00BF57A3" w:rsidRDefault="00E71ED6">
      <w:pPr>
        <w:pStyle w:val="Header"/>
        <w:tabs>
          <w:tab w:val="left" w:pos="284"/>
        </w:tabs>
        <w:jc w:val="both"/>
        <w:rPr>
          <w:sz w:val="22"/>
          <w:szCs w:val="22"/>
          <w:lang w:val="sr-Latn-CS"/>
        </w:rPr>
      </w:pPr>
    </w:p>
    <w:p w14:paraId="7D99DE77" w14:textId="77F5E134" w:rsidR="00E71ED6" w:rsidRPr="00BF57A3" w:rsidRDefault="00E71ED6">
      <w:pPr>
        <w:pStyle w:val="Header"/>
        <w:tabs>
          <w:tab w:val="left" w:pos="284"/>
        </w:tabs>
        <w:jc w:val="both"/>
        <w:rPr>
          <w:sz w:val="22"/>
          <w:szCs w:val="22"/>
          <w:lang w:val="sr-Latn-CS"/>
        </w:rPr>
      </w:pPr>
      <w:r w:rsidRPr="00BF57A3">
        <w:rPr>
          <w:sz w:val="22"/>
          <w:szCs w:val="22"/>
          <w:lang w:val="en-US"/>
        </w:rPr>
        <w:t>L</w:t>
      </w:r>
      <w:r w:rsidR="003B444A" w:rsidRPr="00BF57A3">
        <w:rPr>
          <w:sz w:val="22"/>
          <w:szCs w:val="22"/>
        </w:rPr>
        <w:t>ij</w:t>
      </w:r>
      <w:r w:rsidRPr="00BF57A3">
        <w:rPr>
          <w:sz w:val="22"/>
          <w:szCs w:val="22"/>
          <w:lang w:val="en-US"/>
        </w:rPr>
        <w:t>ek</w:t>
      </w:r>
      <w:r w:rsidRPr="00BF57A3">
        <w:rPr>
          <w:sz w:val="22"/>
          <w:szCs w:val="22"/>
          <w:lang w:val="sr-Latn-CS"/>
        </w:rPr>
        <w:t xml:space="preserve"> </w:t>
      </w:r>
      <w:r w:rsidRPr="00BF57A3">
        <w:rPr>
          <w:sz w:val="22"/>
          <w:szCs w:val="22"/>
          <w:lang w:val="en-US"/>
        </w:rPr>
        <w:t>Abraxane</w:t>
      </w:r>
      <w:r w:rsidRPr="00BF57A3">
        <w:rPr>
          <w:sz w:val="22"/>
          <w:szCs w:val="22"/>
          <w:lang w:val="sr-Latn-CS"/>
        </w:rPr>
        <w:t xml:space="preserve"> </w:t>
      </w:r>
      <w:r w:rsidRPr="00BF57A3">
        <w:rPr>
          <w:sz w:val="22"/>
          <w:szCs w:val="22"/>
          <w:lang w:val="en-US"/>
        </w:rPr>
        <w:t>je</w:t>
      </w:r>
      <w:r w:rsidRPr="00BF57A3">
        <w:rPr>
          <w:sz w:val="22"/>
          <w:szCs w:val="22"/>
          <w:lang w:val="sr-Latn-CS"/>
        </w:rPr>
        <w:t xml:space="preserve"> </w:t>
      </w:r>
      <w:r w:rsidRPr="00BF57A3">
        <w:rPr>
          <w:sz w:val="22"/>
          <w:szCs w:val="22"/>
          <w:lang w:val="en-US"/>
        </w:rPr>
        <w:t>indikovan</w:t>
      </w:r>
      <w:r w:rsidRPr="00BF57A3">
        <w:rPr>
          <w:sz w:val="22"/>
          <w:szCs w:val="22"/>
          <w:lang w:val="sr-Latn-CS"/>
        </w:rPr>
        <w:t xml:space="preserve"> </w:t>
      </w:r>
      <w:r w:rsidRPr="00BF57A3">
        <w:rPr>
          <w:sz w:val="22"/>
          <w:szCs w:val="22"/>
          <w:lang w:val="en-US"/>
        </w:rPr>
        <w:t>u</w:t>
      </w:r>
      <w:r w:rsidRPr="00BF57A3">
        <w:rPr>
          <w:sz w:val="22"/>
          <w:szCs w:val="22"/>
          <w:lang w:val="sr-Latn-CS"/>
        </w:rPr>
        <w:t xml:space="preserve"> </w:t>
      </w:r>
      <w:r w:rsidRPr="00BF57A3">
        <w:rPr>
          <w:sz w:val="22"/>
          <w:szCs w:val="22"/>
          <w:lang w:val="en-US"/>
        </w:rPr>
        <w:t>kombinaciji</w:t>
      </w:r>
      <w:r w:rsidRPr="00BF57A3">
        <w:rPr>
          <w:sz w:val="22"/>
          <w:szCs w:val="22"/>
          <w:lang w:val="sr-Latn-CS"/>
        </w:rPr>
        <w:t xml:space="preserve"> </w:t>
      </w:r>
      <w:proofErr w:type="gramStart"/>
      <w:r w:rsidRPr="00BF57A3">
        <w:rPr>
          <w:sz w:val="22"/>
          <w:szCs w:val="22"/>
          <w:lang w:val="en-US"/>
        </w:rPr>
        <w:t>sa</w:t>
      </w:r>
      <w:proofErr w:type="gramEnd"/>
      <w:r w:rsidRPr="00BF57A3">
        <w:rPr>
          <w:sz w:val="22"/>
          <w:szCs w:val="22"/>
          <w:lang w:val="sr-Latn-CS"/>
        </w:rPr>
        <w:t xml:space="preserve"> </w:t>
      </w:r>
      <w:r w:rsidRPr="00BF57A3">
        <w:rPr>
          <w:sz w:val="22"/>
          <w:szCs w:val="22"/>
          <w:lang w:val="en-US"/>
        </w:rPr>
        <w:t>gemcitabinom</w:t>
      </w:r>
      <w:r w:rsidRPr="00BF57A3">
        <w:rPr>
          <w:sz w:val="22"/>
          <w:szCs w:val="22"/>
          <w:lang w:val="sr-Latn-CS"/>
        </w:rPr>
        <w:t xml:space="preserve"> </w:t>
      </w:r>
      <w:r w:rsidRPr="00BF57A3">
        <w:rPr>
          <w:sz w:val="22"/>
          <w:szCs w:val="22"/>
          <w:lang w:val="en-US"/>
        </w:rPr>
        <w:t>kao</w:t>
      </w:r>
      <w:r w:rsidRPr="00BF57A3">
        <w:rPr>
          <w:sz w:val="22"/>
          <w:szCs w:val="22"/>
          <w:lang w:val="sr-Latn-CS"/>
        </w:rPr>
        <w:t xml:space="preserve"> </w:t>
      </w:r>
      <w:r w:rsidRPr="00BF57A3">
        <w:rPr>
          <w:sz w:val="22"/>
          <w:szCs w:val="22"/>
          <w:lang w:val="en-US"/>
        </w:rPr>
        <w:t>prva</w:t>
      </w:r>
      <w:r w:rsidRPr="00BF57A3">
        <w:rPr>
          <w:sz w:val="22"/>
          <w:szCs w:val="22"/>
          <w:lang w:val="sr-Latn-CS"/>
        </w:rPr>
        <w:t xml:space="preserve"> </w:t>
      </w:r>
      <w:r w:rsidRPr="00BF57A3">
        <w:rPr>
          <w:sz w:val="22"/>
          <w:szCs w:val="22"/>
          <w:lang w:val="en-US"/>
        </w:rPr>
        <w:t>linija</w:t>
      </w:r>
      <w:r w:rsidRPr="00BF57A3">
        <w:rPr>
          <w:sz w:val="22"/>
          <w:szCs w:val="22"/>
          <w:lang w:val="sr-Latn-CS"/>
        </w:rPr>
        <w:t xml:space="preserve"> </w:t>
      </w:r>
      <w:r w:rsidRPr="00BF57A3">
        <w:rPr>
          <w:sz w:val="22"/>
          <w:szCs w:val="22"/>
          <w:lang w:val="en-US"/>
        </w:rPr>
        <w:t>l</w:t>
      </w:r>
      <w:r w:rsidR="003B444A" w:rsidRPr="00BF57A3">
        <w:rPr>
          <w:sz w:val="22"/>
          <w:szCs w:val="22"/>
        </w:rPr>
        <w:t>ij</w:t>
      </w:r>
      <w:r w:rsidRPr="00BF57A3">
        <w:rPr>
          <w:sz w:val="22"/>
          <w:szCs w:val="22"/>
          <w:lang w:val="en-US"/>
        </w:rPr>
        <w:t>e</w:t>
      </w:r>
      <w:r w:rsidRPr="00BF57A3">
        <w:rPr>
          <w:sz w:val="22"/>
          <w:szCs w:val="22"/>
          <w:lang w:val="sr-Latn-CS"/>
        </w:rPr>
        <w:t>č</w:t>
      </w:r>
      <w:r w:rsidRPr="00BF57A3">
        <w:rPr>
          <w:sz w:val="22"/>
          <w:szCs w:val="22"/>
          <w:lang w:val="en-US"/>
        </w:rPr>
        <w:t>enja</w:t>
      </w:r>
      <w:r w:rsidRPr="00BF57A3">
        <w:rPr>
          <w:sz w:val="22"/>
          <w:szCs w:val="22"/>
          <w:lang w:val="sr-Latn-CS"/>
        </w:rPr>
        <w:t xml:space="preserve"> </w:t>
      </w:r>
      <w:r w:rsidRPr="00BF57A3">
        <w:rPr>
          <w:sz w:val="22"/>
          <w:szCs w:val="22"/>
          <w:lang w:val="en-US"/>
        </w:rPr>
        <w:t>kod</w:t>
      </w:r>
      <w:r w:rsidRPr="00BF57A3">
        <w:rPr>
          <w:sz w:val="22"/>
          <w:szCs w:val="22"/>
          <w:lang w:val="sr-Latn-CS"/>
        </w:rPr>
        <w:t xml:space="preserve"> </w:t>
      </w:r>
      <w:r w:rsidRPr="00BF57A3">
        <w:rPr>
          <w:sz w:val="22"/>
          <w:szCs w:val="22"/>
          <w:lang w:val="en-US"/>
        </w:rPr>
        <w:t>odraslih</w:t>
      </w:r>
      <w:r w:rsidRPr="00BF57A3">
        <w:rPr>
          <w:sz w:val="22"/>
          <w:szCs w:val="22"/>
          <w:lang w:val="sr-Latn-CS"/>
        </w:rPr>
        <w:t xml:space="preserve"> </w:t>
      </w:r>
      <w:r w:rsidR="00BF57A3">
        <w:rPr>
          <w:sz w:val="22"/>
          <w:szCs w:val="22"/>
          <w:lang w:val="en-US"/>
        </w:rPr>
        <w:t>pacijenata</w:t>
      </w:r>
      <w:r w:rsidR="00BF57A3" w:rsidRPr="00BF57A3">
        <w:rPr>
          <w:sz w:val="22"/>
          <w:szCs w:val="22"/>
          <w:lang w:val="sr-Latn-CS"/>
        </w:rPr>
        <w:t xml:space="preserve"> </w:t>
      </w:r>
      <w:r w:rsidRPr="00BF57A3">
        <w:rPr>
          <w:sz w:val="22"/>
          <w:szCs w:val="22"/>
          <w:lang w:val="en-US"/>
        </w:rPr>
        <w:t>sa</w:t>
      </w:r>
      <w:r w:rsidRPr="00BF57A3">
        <w:rPr>
          <w:sz w:val="22"/>
          <w:szCs w:val="22"/>
          <w:lang w:val="sr-Latn-CS"/>
        </w:rPr>
        <w:t xml:space="preserve"> </w:t>
      </w:r>
      <w:r w:rsidRPr="00BF57A3">
        <w:rPr>
          <w:sz w:val="22"/>
          <w:szCs w:val="22"/>
          <w:lang w:val="en-US"/>
        </w:rPr>
        <w:t>metastatskim</w:t>
      </w:r>
      <w:r w:rsidRPr="00BF57A3">
        <w:rPr>
          <w:sz w:val="22"/>
          <w:szCs w:val="22"/>
          <w:lang w:val="sr-Latn-CS"/>
        </w:rPr>
        <w:t xml:space="preserve"> </w:t>
      </w:r>
      <w:r w:rsidRPr="00BF57A3">
        <w:rPr>
          <w:sz w:val="22"/>
          <w:szCs w:val="22"/>
          <w:lang w:val="en-US"/>
        </w:rPr>
        <w:t>adenokarcinomom</w:t>
      </w:r>
      <w:r w:rsidRPr="00BF57A3">
        <w:rPr>
          <w:sz w:val="22"/>
          <w:szCs w:val="22"/>
          <w:lang w:val="sr-Latn-CS"/>
        </w:rPr>
        <w:t xml:space="preserve"> </w:t>
      </w:r>
      <w:r w:rsidRPr="00BF57A3">
        <w:rPr>
          <w:sz w:val="22"/>
          <w:szCs w:val="22"/>
          <w:lang w:val="en-US"/>
        </w:rPr>
        <w:t>pankreasa</w:t>
      </w:r>
      <w:r w:rsidRPr="00BF57A3">
        <w:rPr>
          <w:sz w:val="22"/>
          <w:szCs w:val="22"/>
          <w:lang w:val="sr-Latn-CS"/>
        </w:rPr>
        <w:t>.</w:t>
      </w:r>
    </w:p>
    <w:p w14:paraId="12F866AE" w14:textId="77777777" w:rsidR="008748B6" w:rsidRPr="00BF57A3" w:rsidRDefault="008748B6">
      <w:pPr>
        <w:pStyle w:val="Header"/>
        <w:tabs>
          <w:tab w:val="left" w:pos="284"/>
        </w:tabs>
        <w:jc w:val="both"/>
        <w:rPr>
          <w:sz w:val="22"/>
          <w:szCs w:val="22"/>
          <w:lang w:val="sr-Latn-CS"/>
        </w:rPr>
      </w:pPr>
    </w:p>
    <w:p w14:paraId="5E87E6F8" w14:textId="1D91B667" w:rsidR="008748B6" w:rsidRPr="00BF57A3" w:rsidRDefault="008748B6">
      <w:pPr>
        <w:pStyle w:val="Header"/>
        <w:tabs>
          <w:tab w:val="left" w:pos="284"/>
        </w:tabs>
        <w:jc w:val="both"/>
        <w:rPr>
          <w:sz w:val="22"/>
          <w:szCs w:val="22"/>
          <w:lang w:val="sr-Latn-CS"/>
        </w:rPr>
      </w:pPr>
      <w:r w:rsidRPr="00BF57A3">
        <w:rPr>
          <w:sz w:val="22"/>
          <w:szCs w:val="22"/>
          <w:lang w:val="en-US"/>
        </w:rPr>
        <w:t>L</w:t>
      </w:r>
      <w:r w:rsidRPr="00BF57A3">
        <w:rPr>
          <w:sz w:val="22"/>
          <w:szCs w:val="22"/>
        </w:rPr>
        <w:t>ij</w:t>
      </w:r>
      <w:r w:rsidRPr="00BF57A3">
        <w:rPr>
          <w:sz w:val="22"/>
          <w:szCs w:val="22"/>
          <w:lang w:val="en-US"/>
        </w:rPr>
        <w:t>ek</w:t>
      </w:r>
      <w:r w:rsidRPr="00BF57A3">
        <w:rPr>
          <w:sz w:val="22"/>
          <w:szCs w:val="22"/>
          <w:lang w:val="sr-Latn-CS"/>
        </w:rPr>
        <w:t xml:space="preserve"> </w:t>
      </w:r>
      <w:r w:rsidRPr="00BF57A3">
        <w:rPr>
          <w:sz w:val="22"/>
          <w:szCs w:val="22"/>
          <w:lang w:val="en-US"/>
        </w:rPr>
        <w:t>Abraxane</w:t>
      </w:r>
      <w:r w:rsidRPr="00BF57A3">
        <w:rPr>
          <w:sz w:val="22"/>
          <w:szCs w:val="22"/>
          <w:lang w:val="sr-Latn-CS"/>
        </w:rPr>
        <w:t xml:space="preserve"> </w:t>
      </w:r>
      <w:r w:rsidRPr="00BF57A3">
        <w:rPr>
          <w:sz w:val="22"/>
          <w:szCs w:val="22"/>
          <w:lang w:val="en-US"/>
        </w:rPr>
        <w:t>je</w:t>
      </w:r>
      <w:r w:rsidRPr="00BF57A3">
        <w:rPr>
          <w:sz w:val="22"/>
          <w:szCs w:val="22"/>
          <w:lang w:val="sr-Latn-CS"/>
        </w:rPr>
        <w:t xml:space="preserve"> </w:t>
      </w:r>
      <w:r w:rsidRPr="00BF57A3">
        <w:rPr>
          <w:sz w:val="22"/>
          <w:szCs w:val="22"/>
          <w:lang w:val="en-US"/>
        </w:rPr>
        <w:t>indikovan</w:t>
      </w:r>
      <w:r w:rsidRPr="00BF57A3">
        <w:rPr>
          <w:sz w:val="22"/>
          <w:szCs w:val="22"/>
          <w:lang w:val="sr-Latn-CS"/>
        </w:rPr>
        <w:t xml:space="preserve"> </w:t>
      </w:r>
      <w:r w:rsidRPr="00BF57A3">
        <w:rPr>
          <w:sz w:val="22"/>
          <w:szCs w:val="22"/>
          <w:lang w:val="en-US"/>
        </w:rPr>
        <w:t>u</w:t>
      </w:r>
      <w:r w:rsidRPr="00BF57A3">
        <w:rPr>
          <w:sz w:val="22"/>
          <w:szCs w:val="22"/>
          <w:lang w:val="sr-Latn-CS"/>
        </w:rPr>
        <w:t xml:space="preserve"> </w:t>
      </w:r>
      <w:r w:rsidRPr="00BF57A3">
        <w:rPr>
          <w:sz w:val="22"/>
          <w:szCs w:val="22"/>
          <w:lang w:val="en-US"/>
        </w:rPr>
        <w:t>kombinaciji</w:t>
      </w:r>
      <w:r w:rsidRPr="00BF57A3">
        <w:rPr>
          <w:sz w:val="22"/>
          <w:szCs w:val="22"/>
          <w:lang w:val="sr-Latn-CS"/>
        </w:rPr>
        <w:t xml:space="preserve"> </w:t>
      </w:r>
      <w:proofErr w:type="gramStart"/>
      <w:r w:rsidRPr="00BF57A3">
        <w:rPr>
          <w:sz w:val="22"/>
          <w:szCs w:val="22"/>
          <w:lang w:val="en-US"/>
        </w:rPr>
        <w:t>sa</w:t>
      </w:r>
      <w:proofErr w:type="gramEnd"/>
      <w:r w:rsidRPr="00BF57A3">
        <w:rPr>
          <w:sz w:val="22"/>
          <w:szCs w:val="22"/>
          <w:lang w:val="sr-Latn-CS"/>
        </w:rPr>
        <w:t xml:space="preserve"> </w:t>
      </w:r>
      <w:r w:rsidRPr="00BF57A3">
        <w:rPr>
          <w:sz w:val="22"/>
          <w:szCs w:val="22"/>
          <w:lang w:val="en-US"/>
        </w:rPr>
        <w:t>karboplatinom</w:t>
      </w:r>
      <w:r w:rsidRPr="00BF57A3">
        <w:rPr>
          <w:sz w:val="22"/>
          <w:szCs w:val="22"/>
          <w:lang w:val="sr-Latn-CS"/>
        </w:rPr>
        <w:t xml:space="preserve"> </w:t>
      </w:r>
      <w:r w:rsidRPr="00BF57A3">
        <w:rPr>
          <w:sz w:val="22"/>
          <w:szCs w:val="22"/>
          <w:lang w:val="en-US"/>
        </w:rPr>
        <w:t>kao</w:t>
      </w:r>
      <w:r w:rsidRPr="00BF57A3">
        <w:rPr>
          <w:sz w:val="22"/>
          <w:szCs w:val="22"/>
          <w:lang w:val="sr-Latn-CS"/>
        </w:rPr>
        <w:t xml:space="preserve"> </w:t>
      </w:r>
      <w:r w:rsidRPr="00BF57A3">
        <w:rPr>
          <w:sz w:val="22"/>
          <w:szCs w:val="22"/>
          <w:lang w:val="en-US"/>
        </w:rPr>
        <w:t>prva</w:t>
      </w:r>
      <w:r w:rsidRPr="00BF57A3">
        <w:rPr>
          <w:sz w:val="22"/>
          <w:szCs w:val="22"/>
          <w:lang w:val="sr-Latn-CS"/>
        </w:rPr>
        <w:t xml:space="preserve"> </w:t>
      </w:r>
      <w:r w:rsidRPr="00BF57A3">
        <w:rPr>
          <w:sz w:val="22"/>
          <w:szCs w:val="22"/>
          <w:lang w:val="en-US"/>
        </w:rPr>
        <w:t>linija</w:t>
      </w:r>
      <w:r w:rsidRPr="00BF57A3">
        <w:rPr>
          <w:sz w:val="22"/>
          <w:szCs w:val="22"/>
          <w:lang w:val="sr-Latn-CS"/>
        </w:rPr>
        <w:t xml:space="preserve"> </w:t>
      </w:r>
      <w:r w:rsidRPr="00BF57A3">
        <w:rPr>
          <w:sz w:val="22"/>
          <w:szCs w:val="22"/>
          <w:lang w:val="en-US"/>
        </w:rPr>
        <w:t>lije</w:t>
      </w:r>
      <w:r w:rsidRPr="00BF57A3">
        <w:rPr>
          <w:sz w:val="22"/>
          <w:szCs w:val="22"/>
          <w:lang w:val="sr-Latn-CS"/>
        </w:rPr>
        <w:t>č</w:t>
      </w:r>
      <w:r w:rsidRPr="00BF57A3">
        <w:rPr>
          <w:sz w:val="22"/>
          <w:szCs w:val="22"/>
          <w:lang w:val="en-US"/>
        </w:rPr>
        <w:t>enja</w:t>
      </w:r>
      <w:r w:rsidRPr="00BF57A3">
        <w:rPr>
          <w:sz w:val="22"/>
          <w:szCs w:val="22"/>
          <w:lang w:val="sr-Latn-CS"/>
        </w:rPr>
        <w:t xml:space="preserve"> </w:t>
      </w:r>
      <w:r w:rsidR="00B425FC" w:rsidRPr="00BF57A3">
        <w:rPr>
          <w:sz w:val="22"/>
          <w:szCs w:val="22"/>
          <w:lang w:val="sr-Latn-CS"/>
        </w:rPr>
        <w:t xml:space="preserve">nemikrocelularnog karcinoma pluća </w:t>
      </w:r>
      <w:r w:rsidR="00B425FC" w:rsidRPr="00BF57A3">
        <w:rPr>
          <w:sz w:val="22"/>
          <w:szCs w:val="22"/>
          <w:lang w:val="en-US"/>
        </w:rPr>
        <w:t>kod</w:t>
      </w:r>
      <w:r w:rsidRPr="00BF57A3">
        <w:rPr>
          <w:sz w:val="22"/>
          <w:szCs w:val="22"/>
          <w:lang w:val="sr-Latn-CS"/>
        </w:rPr>
        <w:t xml:space="preserve"> </w:t>
      </w:r>
      <w:r w:rsidRPr="00BF57A3">
        <w:rPr>
          <w:sz w:val="22"/>
          <w:szCs w:val="22"/>
          <w:lang w:val="en-US"/>
        </w:rPr>
        <w:t>odraslih</w:t>
      </w:r>
      <w:r w:rsidRPr="00BF57A3">
        <w:rPr>
          <w:sz w:val="22"/>
          <w:szCs w:val="22"/>
          <w:lang w:val="sr-Latn-CS"/>
        </w:rPr>
        <w:t xml:space="preserve"> </w:t>
      </w:r>
      <w:r w:rsidR="00BF57A3">
        <w:rPr>
          <w:sz w:val="22"/>
          <w:szCs w:val="22"/>
          <w:lang w:val="en-US"/>
        </w:rPr>
        <w:t>pacijenata</w:t>
      </w:r>
      <w:r w:rsidR="00BF57A3" w:rsidRPr="00BF57A3">
        <w:rPr>
          <w:sz w:val="22"/>
          <w:szCs w:val="22"/>
          <w:lang w:val="sr-Latn-CS"/>
        </w:rPr>
        <w:t xml:space="preserve"> </w:t>
      </w:r>
      <w:r w:rsidRPr="00BF57A3">
        <w:rPr>
          <w:sz w:val="22"/>
          <w:szCs w:val="22"/>
          <w:lang w:val="en-US"/>
        </w:rPr>
        <w:t>koji</w:t>
      </w:r>
      <w:r w:rsidRPr="00BF57A3">
        <w:rPr>
          <w:sz w:val="22"/>
          <w:szCs w:val="22"/>
          <w:lang w:val="sr-Latn-CS"/>
        </w:rPr>
        <w:t xml:space="preserve"> </w:t>
      </w:r>
      <w:r w:rsidRPr="00BF57A3">
        <w:rPr>
          <w:sz w:val="22"/>
          <w:szCs w:val="22"/>
          <w:lang w:val="en-US"/>
        </w:rPr>
        <w:t>ni</w:t>
      </w:r>
      <w:r w:rsidR="00445361" w:rsidRPr="00BF57A3">
        <w:rPr>
          <w:sz w:val="22"/>
          <w:szCs w:val="22"/>
          <w:lang w:val="en-US"/>
        </w:rPr>
        <w:t>je</w:t>
      </w:r>
      <w:r w:rsidRPr="00BF57A3">
        <w:rPr>
          <w:sz w:val="22"/>
          <w:szCs w:val="22"/>
          <w:lang w:val="en-US"/>
        </w:rPr>
        <w:t>su</w:t>
      </w:r>
      <w:r w:rsidRPr="00BF57A3">
        <w:rPr>
          <w:sz w:val="22"/>
          <w:szCs w:val="22"/>
          <w:lang w:val="sr-Latn-CS"/>
        </w:rPr>
        <w:t xml:space="preserve"> </w:t>
      </w:r>
      <w:r w:rsidRPr="00BF57A3">
        <w:rPr>
          <w:sz w:val="22"/>
          <w:szCs w:val="22"/>
          <w:lang w:val="en-US"/>
        </w:rPr>
        <w:t>kandi</w:t>
      </w:r>
      <w:r w:rsidR="00B425FC" w:rsidRPr="00BF57A3">
        <w:rPr>
          <w:sz w:val="22"/>
          <w:szCs w:val="22"/>
          <w:lang w:val="en-US"/>
        </w:rPr>
        <w:t>dati</w:t>
      </w:r>
      <w:r w:rsidR="00B425FC" w:rsidRPr="00BF57A3">
        <w:rPr>
          <w:sz w:val="22"/>
          <w:szCs w:val="22"/>
          <w:lang w:val="sr-Latn-CS"/>
        </w:rPr>
        <w:t xml:space="preserve"> </w:t>
      </w:r>
      <w:r w:rsidR="00B425FC" w:rsidRPr="00BF57A3">
        <w:rPr>
          <w:sz w:val="22"/>
          <w:szCs w:val="22"/>
          <w:lang w:val="en-US"/>
        </w:rPr>
        <w:t>za</w:t>
      </w:r>
      <w:r w:rsidR="00B425FC" w:rsidRPr="00BF57A3">
        <w:rPr>
          <w:sz w:val="22"/>
          <w:szCs w:val="22"/>
          <w:lang w:val="sr-Latn-CS"/>
        </w:rPr>
        <w:t xml:space="preserve"> </w:t>
      </w:r>
      <w:r w:rsidR="00B425FC" w:rsidRPr="00BF57A3">
        <w:rPr>
          <w:sz w:val="22"/>
          <w:szCs w:val="22"/>
          <w:lang w:val="en-US"/>
        </w:rPr>
        <w:t>potencijalno</w:t>
      </w:r>
      <w:r w:rsidR="00B425FC" w:rsidRPr="00BF57A3">
        <w:rPr>
          <w:sz w:val="22"/>
          <w:szCs w:val="22"/>
          <w:lang w:val="sr-Latn-CS"/>
        </w:rPr>
        <w:t xml:space="preserve"> </w:t>
      </w:r>
      <w:r w:rsidR="00B425FC" w:rsidRPr="00BF57A3">
        <w:rPr>
          <w:sz w:val="22"/>
          <w:szCs w:val="22"/>
          <w:lang w:val="en-US"/>
        </w:rPr>
        <w:t>kurativni</w:t>
      </w:r>
      <w:r w:rsidR="00B425FC" w:rsidRPr="00BF57A3">
        <w:rPr>
          <w:sz w:val="22"/>
          <w:szCs w:val="22"/>
          <w:lang w:val="sr-Latn-CS"/>
        </w:rPr>
        <w:t xml:space="preserve"> </w:t>
      </w:r>
      <w:r w:rsidR="00B425FC" w:rsidRPr="00BF57A3">
        <w:rPr>
          <w:sz w:val="22"/>
          <w:szCs w:val="22"/>
          <w:lang w:val="en-US"/>
        </w:rPr>
        <w:t>h</w:t>
      </w:r>
      <w:r w:rsidRPr="00BF57A3">
        <w:rPr>
          <w:sz w:val="22"/>
          <w:szCs w:val="22"/>
          <w:lang w:val="en-US"/>
        </w:rPr>
        <w:t>irur</w:t>
      </w:r>
      <w:r w:rsidRPr="00BF57A3">
        <w:rPr>
          <w:sz w:val="22"/>
          <w:szCs w:val="22"/>
          <w:lang w:val="sr-Latn-CS"/>
        </w:rPr>
        <w:t>š</w:t>
      </w:r>
      <w:r w:rsidRPr="00BF57A3">
        <w:rPr>
          <w:sz w:val="22"/>
          <w:szCs w:val="22"/>
          <w:lang w:val="en-US"/>
        </w:rPr>
        <w:t>ki</w:t>
      </w:r>
      <w:r w:rsidRPr="00BF57A3">
        <w:rPr>
          <w:sz w:val="22"/>
          <w:szCs w:val="22"/>
          <w:lang w:val="sr-Latn-CS"/>
        </w:rPr>
        <w:t xml:space="preserve"> </w:t>
      </w:r>
      <w:r w:rsidRPr="00BF57A3">
        <w:rPr>
          <w:sz w:val="22"/>
          <w:szCs w:val="22"/>
          <w:lang w:val="en-US"/>
        </w:rPr>
        <w:t>zahvat</w:t>
      </w:r>
      <w:r w:rsidRPr="00BF57A3">
        <w:rPr>
          <w:sz w:val="22"/>
          <w:szCs w:val="22"/>
          <w:lang w:val="sr-Latn-CS"/>
        </w:rPr>
        <w:t xml:space="preserve"> </w:t>
      </w:r>
      <w:r w:rsidRPr="00BF57A3">
        <w:rPr>
          <w:sz w:val="22"/>
          <w:szCs w:val="22"/>
          <w:lang w:val="en-US"/>
        </w:rPr>
        <w:t>i</w:t>
      </w:r>
      <w:r w:rsidRPr="00BF57A3">
        <w:rPr>
          <w:sz w:val="22"/>
          <w:szCs w:val="22"/>
          <w:lang w:val="sr-Latn-CS"/>
        </w:rPr>
        <w:t>/</w:t>
      </w:r>
      <w:r w:rsidRPr="00BF57A3">
        <w:rPr>
          <w:sz w:val="22"/>
          <w:szCs w:val="22"/>
          <w:lang w:val="en-US"/>
        </w:rPr>
        <w:t>ili</w:t>
      </w:r>
      <w:r w:rsidRPr="00BF57A3">
        <w:rPr>
          <w:sz w:val="22"/>
          <w:szCs w:val="22"/>
          <w:lang w:val="sr-Latn-CS"/>
        </w:rPr>
        <w:t xml:space="preserve"> </w:t>
      </w:r>
      <w:r w:rsidRPr="00BF57A3">
        <w:rPr>
          <w:sz w:val="22"/>
          <w:szCs w:val="22"/>
          <w:lang w:val="en-US"/>
        </w:rPr>
        <w:t>terapiju</w:t>
      </w:r>
      <w:r w:rsidRPr="00BF57A3">
        <w:rPr>
          <w:sz w:val="22"/>
          <w:szCs w:val="22"/>
          <w:lang w:val="sr-Latn-CS"/>
        </w:rPr>
        <w:t xml:space="preserve"> </w:t>
      </w:r>
      <w:r w:rsidRPr="00BF57A3">
        <w:rPr>
          <w:sz w:val="22"/>
          <w:szCs w:val="22"/>
          <w:lang w:val="en-US"/>
        </w:rPr>
        <w:t>zra</w:t>
      </w:r>
      <w:r w:rsidRPr="00BF57A3">
        <w:rPr>
          <w:sz w:val="22"/>
          <w:szCs w:val="22"/>
          <w:lang w:val="sr-Latn-CS"/>
        </w:rPr>
        <w:t>č</w:t>
      </w:r>
      <w:r w:rsidRPr="00BF57A3">
        <w:rPr>
          <w:sz w:val="22"/>
          <w:szCs w:val="22"/>
          <w:lang w:val="en-US"/>
        </w:rPr>
        <w:t>enjem</w:t>
      </w:r>
      <w:r w:rsidRPr="00BF57A3">
        <w:rPr>
          <w:sz w:val="22"/>
          <w:szCs w:val="22"/>
          <w:lang w:val="sr-Latn-CS"/>
        </w:rPr>
        <w:t>.</w:t>
      </w:r>
    </w:p>
    <w:p w14:paraId="1EB4960E" w14:textId="77777777" w:rsidR="00E71ED6" w:rsidRPr="00BF57A3" w:rsidRDefault="00E71ED6">
      <w:pPr>
        <w:tabs>
          <w:tab w:val="left" w:pos="540"/>
          <w:tab w:val="left" w:pos="569"/>
        </w:tabs>
        <w:jc w:val="both"/>
        <w:rPr>
          <w:bCs/>
          <w:sz w:val="22"/>
          <w:szCs w:val="22"/>
          <w:lang w:val="sr-Latn-CS"/>
        </w:rPr>
      </w:pPr>
    </w:p>
    <w:p w14:paraId="10ED6863" w14:textId="77777777" w:rsidR="00411B4B" w:rsidRPr="00BF57A3" w:rsidRDefault="00411B4B">
      <w:pPr>
        <w:tabs>
          <w:tab w:val="left" w:pos="540"/>
          <w:tab w:val="left" w:pos="569"/>
        </w:tabs>
        <w:jc w:val="both"/>
        <w:rPr>
          <w:b/>
          <w:bCs/>
          <w:sz w:val="22"/>
          <w:szCs w:val="22"/>
          <w:lang w:val="sr-Latn-CS"/>
        </w:rPr>
      </w:pPr>
      <w:r w:rsidRPr="00BF57A3">
        <w:rPr>
          <w:b/>
          <w:bCs/>
          <w:sz w:val="22"/>
          <w:szCs w:val="22"/>
          <w:lang w:val="sr-Latn-CS"/>
        </w:rPr>
        <w:t xml:space="preserve">4.2. </w:t>
      </w:r>
      <w:r w:rsidR="00480FB1" w:rsidRPr="00BF57A3">
        <w:rPr>
          <w:b/>
          <w:bCs/>
          <w:sz w:val="22"/>
          <w:szCs w:val="22"/>
          <w:lang w:val="sr-Latn-CS"/>
        </w:rPr>
        <w:tab/>
      </w:r>
      <w:r w:rsidRPr="00BF57A3">
        <w:rPr>
          <w:b/>
          <w:bCs/>
          <w:sz w:val="22"/>
          <w:szCs w:val="22"/>
        </w:rPr>
        <w:t>Doziranje</w:t>
      </w:r>
      <w:r w:rsidRPr="00BF57A3">
        <w:rPr>
          <w:b/>
          <w:bCs/>
          <w:sz w:val="22"/>
          <w:szCs w:val="22"/>
          <w:lang w:val="sr-Latn-CS"/>
        </w:rPr>
        <w:t xml:space="preserve"> </w:t>
      </w:r>
      <w:r w:rsidRPr="00BF57A3">
        <w:rPr>
          <w:b/>
          <w:bCs/>
          <w:sz w:val="22"/>
          <w:szCs w:val="22"/>
        </w:rPr>
        <w:t>i</w:t>
      </w:r>
      <w:r w:rsidRPr="00BF57A3">
        <w:rPr>
          <w:b/>
          <w:bCs/>
          <w:sz w:val="22"/>
          <w:szCs w:val="22"/>
          <w:lang w:val="sr-Latn-CS"/>
        </w:rPr>
        <w:t xml:space="preserve"> </w:t>
      </w:r>
      <w:r w:rsidRPr="00BF57A3">
        <w:rPr>
          <w:b/>
          <w:bCs/>
          <w:sz w:val="22"/>
          <w:szCs w:val="22"/>
        </w:rPr>
        <w:t>na</w:t>
      </w:r>
      <w:r w:rsidRPr="00BF57A3">
        <w:rPr>
          <w:b/>
          <w:bCs/>
          <w:sz w:val="22"/>
          <w:szCs w:val="22"/>
          <w:lang w:val="sr-Latn-CS"/>
        </w:rPr>
        <w:t>č</w:t>
      </w:r>
      <w:r w:rsidRPr="00BF57A3">
        <w:rPr>
          <w:b/>
          <w:bCs/>
          <w:sz w:val="22"/>
          <w:szCs w:val="22"/>
        </w:rPr>
        <w:t>in</w:t>
      </w:r>
      <w:r w:rsidRPr="00BF57A3">
        <w:rPr>
          <w:b/>
          <w:bCs/>
          <w:sz w:val="22"/>
          <w:szCs w:val="22"/>
          <w:lang w:val="sr-Latn-CS"/>
        </w:rPr>
        <w:t xml:space="preserve"> </w:t>
      </w:r>
      <w:r w:rsidRPr="00BF57A3">
        <w:rPr>
          <w:b/>
          <w:bCs/>
          <w:sz w:val="22"/>
          <w:szCs w:val="22"/>
        </w:rPr>
        <w:t>primjene</w:t>
      </w:r>
    </w:p>
    <w:p w14:paraId="7ECA5482" w14:textId="77777777" w:rsidR="0072020E" w:rsidRPr="00BF57A3" w:rsidRDefault="0072020E">
      <w:pPr>
        <w:tabs>
          <w:tab w:val="left" w:pos="540"/>
          <w:tab w:val="left" w:pos="569"/>
        </w:tabs>
        <w:jc w:val="both"/>
        <w:rPr>
          <w:bCs/>
          <w:sz w:val="22"/>
          <w:szCs w:val="22"/>
          <w:lang w:val="sr-Latn-CS"/>
        </w:rPr>
      </w:pPr>
    </w:p>
    <w:p w14:paraId="3319086C" w14:textId="77777777" w:rsidR="00E71ED6" w:rsidRPr="00BF57A3" w:rsidRDefault="00E71ED6">
      <w:pPr>
        <w:pStyle w:val="Header"/>
        <w:tabs>
          <w:tab w:val="left" w:pos="284"/>
        </w:tabs>
        <w:jc w:val="both"/>
        <w:rPr>
          <w:sz w:val="22"/>
          <w:szCs w:val="22"/>
          <w:lang w:val="sr-Latn-CS"/>
        </w:rPr>
      </w:pPr>
      <w:r w:rsidRPr="00BF57A3">
        <w:rPr>
          <w:sz w:val="22"/>
          <w:szCs w:val="22"/>
          <w:lang w:val="en-US"/>
        </w:rPr>
        <w:t>L</w:t>
      </w:r>
      <w:r w:rsidR="003C2C56" w:rsidRPr="00BF57A3">
        <w:rPr>
          <w:sz w:val="22"/>
          <w:szCs w:val="22"/>
        </w:rPr>
        <w:t>ij</w:t>
      </w:r>
      <w:r w:rsidRPr="00BF57A3">
        <w:rPr>
          <w:sz w:val="22"/>
          <w:szCs w:val="22"/>
          <w:lang w:val="en-US"/>
        </w:rPr>
        <w:t>ek</w:t>
      </w:r>
      <w:r w:rsidRPr="00BF57A3">
        <w:rPr>
          <w:sz w:val="22"/>
          <w:szCs w:val="22"/>
          <w:lang w:val="sr-Latn-CS"/>
        </w:rPr>
        <w:t xml:space="preserve"> </w:t>
      </w:r>
      <w:r w:rsidRPr="00BF57A3">
        <w:rPr>
          <w:sz w:val="22"/>
          <w:szCs w:val="22"/>
          <w:lang w:val="en-US"/>
        </w:rPr>
        <w:t>Abraxane</w:t>
      </w:r>
      <w:r w:rsidRPr="00BF57A3">
        <w:rPr>
          <w:sz w:val="22"/>
          <w:szCs w:val="22"/>
          <w:lang w:val="sr-Latn-CS"/>
        </w:rPr>
        <w:t xml:space="preserve"> </w:t>
      </w:r>
      <w:r w:rsidRPr="00BF57A3">
        <w:rPr>
          <w:sz w:val="22"/>
          <w:szCs w:val="22"/>
          <w:lang w:val="en-US"/>
        </w:rPr>
        <w:t>se</w:t>
      </w:r>
      <w:r w:rsidRPr="00BF57A3">
        <w:rPr>
          <w:sz w:val="22"/>
          <w:szCs w:val="22"/>
          <w:lang w:val="sr-Latn-CS"/>
        </w:rPr>
        <w:t xml:space="preserve"> </w:t>
      </w:r>
      <w:r w:rsidRPr="00BF57A3">
        <w:rPr>
          <w:sz w:val="22"/>
          <w:szCs w:val="22"/>
          <w:lang w:val="en-US"/>
        </w:rPr>
        <w:t>sm</w:t>
      </w:r>
      <w:r w:rsidR="00813786" w:rsidRPr="00BF57A3">
        <w:rPr>
          <w:sz w:val="22"/>
          <w:szCs w:val="22"/>
        </w:rPr>
        <w:t>ije</w:t>
      </w:r>
      <w:r w:rsidRPr="00BF57A3">
        <w:rPr>
          <w:sz w:val="22"/>
          <w:szCs w:val="22"/>
          <w:lang w:val="sr-Latn-CS"/>
        </w:rPr>
        <w:t xml:space="preserve"> </w:t>
      </w:r>
      <w:r w:rsidRPr="00BF57A3">
        <w:rPr>
          <w:sz w:val="22"/>
          <w:szCs w:val="22"/>
          <w:lang w:val="en-US"/>
        </w:rPr>
        <w:t>prim</w:t>
      </w:r>
      <w:r w:rsidR="003C2C56" w:rsidRPr="00BF57A3">
        <w:rPr>
          <w:sz w:val="22"/>
          <w:szCs w:val="22"/>
        </w:rPr>
        <w:t>j</w:t>
      </w:r>
      <w:r w:rsidRPr="00BF57A3">
        <w:rPr>
          <w:sz w:val="22"/>
          <w:szCs w:val="22"/>
          <w:lang w:val="en-US"/>
        </w:rPr>
        <w:t>enjivati</w:t>
      </w:r>
      <w:r w:rsidRPr="00BF57A3">
        <w:rPr>
          <w:sz w:val="22"/>
          <w:szCs w:val="22"/>
          <w:lang w:val="sr-Latn-CS"/>
        </w:rPr>
        <w:t xml:space="preserve"> </w:t>
      </w:r>
      <w:r w:rsidRPr="00BF57A3">
        <w:rPr>
          <w:sz w:val="22"/>
          <w:szCs w:val="22"/>
          <w:lang w:val="en-US"/>
        </w:rPr>
        <w:t>samo</w:t>
      </w:r>
      <w:r w:rsidRPr="00BF57A3">
        <w:rPr>
          <w:sz w:val="22"/>
          <w:szCs w:val="22"/>
          <w:lang w:val="sr-Latn-CS"/>
        </w:rPr>
        <w:t xml:space="preserve"> </w:t>
      </w:r>
      <w:r w:rsidRPr="00BF57A3">
        <w:rPr>
          <w:sz w:val="22"/>
          <w:szCs w:val="22"/>
          <w:lang w:val="en-US"/>
        </w:rPr>
        <w:t>pod</w:t>
      </w:r>
      <w:r w:rsidRPr="00BF57A3">
        <w:rPr>
          <w:sz w:val="22"/>
          <w:szCs w:val="22"/>
          <w:lang w:val="sr-Latn-CS"/>
        </w:rPr>
        <w:t xml:space="preserve"> </w:t>
      </w:r>
      <w:r w:rsidRPr="00BF57A3">
        <w:rPr>
          <w:sz w:val="22"/>
          <w:szCs w:val="22"/>
          <w:lang w:val="en-US"/>
        </w:rPr>
        <w:t>nadzorom</w:t>
      </w:r>
      <w:r w:rsidR="003C2C56" w:rsidRPr="00BF57A3">
        <w:rPr>
          <w:sz w:val="22"/>
          <w:szCs w:val="22"/>
        </w:rPr>
        <w:t xml:space="preserve"> </w:t>
      </w:r>
      <w:r w:rsidRPr="00BF57A3">
        <w:rPr>
          <w:sz w:val="22"/>
          <w:szCs w:val="22"/>
          <w:lang w:val="en-US"/>
        </w:rPr>
        <w:t>kvalifikovanog</w:t>
      </w:r>
      <w:r w:rsidRPr="00BF57A3">
        <w:rPr>
          <w:sz w:val="22"/>
          <w:szCs w:val="22"/>
          <w:lang w:val="sr-Latn-CS"/>
        </w:rPr>
        <w:t xml:space="preserve"> </w:t>
      </w:r>
      <w:r w:rsidRPr="00BF57A3">
        <w:rPr>
          <w:sz w:val="22"/>
          <w:szCs w:val="22"/>
          <w:lang w:val="en-US"/>
        </w:rPr>
        <w:t>onkologa</w:t>
      </w:r>
      <w:r w:rsidRPr="00BF57A3">
        <w:rPr>
          <w:sz w:val="22"/>
          <w:szCs w:val="22"/>
          <w:lang w:val="sr-Latn-CS"/>
        </w:rPr>
        <w:t xml:space="preserve"> </w:t>
      </w:r>
      <w:proofErr w:type="gramStart"/>
      <w:r w:rsidRPr="00BF57A3">
        <w:rPr>
          <w:sz w:val="22"/>
          <w:szCs w:val="22"/>
          <w:lang w:val="en-US"/>
        </w:rPr>
        <w:t>na</w:t>
      </w:r>
      <w:proofErr w:type="gramEnd"/>
      <w:r w:rsidRPr="00BF57A3">
        <w:rPr>
          <w:sz w:val="22"/>
          <w:szCs w:val="22"/>
          <w:lang w:val="sr-Latn-CS"/>
        </w:rPr>
        <w:t xml:space="preserve"> </w:t>
      </w:r>
      <w:r w:rsidRPr="00BF57A3">
        <w:rPr>
          <w:sz w:val="22"/>
          <w:szCs w:val="22"/>
          <w:lang w:val="en-US"/>
        </w:rPr>
        <w:t>od</w:t>
      </w:r>
      <w:r w:rsidR="001439B3" w:rsidRPr="00BF57A3">
        <w:rPr>
          <w:sz w:val="22"/>
          <w:szCs w:val="22"/>
          <w:lang w:val="en-US"/>
        </w:rPr>
        <w:t>j</w:t>
      </w:r>
      <w:r w:rsidRPr="00BF57A3">
        <w:rPr>
          <w:sz w:val="22"/>
          <w:szCs w:val="22"/>
          <w:lang w:val="en-US"/>
        </w:rPr>
        <w:t>eljenjima</w:t>
      </w:r>
      <w:r w:rsidRPr="00BF57A3">
        <w:rPr>
          <w:sz w:val="22"/>
          <w:szCs w:val="22"/>
          <w:lang w:val="sr-Latn-CS"/>
        </w:rPr>
        <w:t xml:space="preserve"> </w:t>
      </w:r>
      <w:r w:rsidRPr="00BF57A3">
        <w:rPr>
          <w:sz w:val="22"/>
          <w:szCs w:val="22"/>
          <w:lang w:val="en-US"/>
        </w:rPr>
        <w:t>koja</w:t>
      </w:r>
      <w:r w:rsidRPr="00BF57A3">
        <w:rPr>
          <w:sz w:val="22"/>
          <w:szCs w:val="22"/>
          <w:lang w:val="sr-Latn-CS"/>
        </w:rPr>
        <w:t xml:space="preserve"> </w:t>
      </w:r>
      <w:r w:rsidRPr="00BF57A3">
        <w:rPr>
          <w:sz w:val="22"/>
          <w:szCs w:val="22"/>
          <w:lang w:val="en-US"/>
        </w:rPr>
        <w:t>su</w:t>
      </w:r>
      <w:r w:rsidRPr="00BF57A3">
        <w:rPr>
          <w:sz w:val="22"/>
          <w:szCs w:val="22"/>
          <w:lang w:val="sr-Latn-CS"/>
        </w:rPr>
        <w:t xml:space="preserve"> </w:t>
      </w:r>
      <w:r w:rsidRPr="00BF57A3">
        <w:rPr>
          <w:sz w:val="22"/>
          <w:szCs w:val="22"/>
          <w:lang w:val="en-US"/>
        </w:rPr>
        <w:t>specijalizovana</w:t>
      </w:r>
      <w:r w:rsidRPr="00BF57A3">
        <w:rPr>
          <w:sz w:val="22"/>
          <w:szCs w:val="22"/>
          <w:lang w:val="sr-Latn-CS"/>
        </w:rPr>
        <w:t xml:space="preserve"> </w:t>
      </w:r>
      <w:r w:rsidRPr="00BF57A3">
        <w:rPr>
          <w:sz w:val="22"/>
          <w:szCs w:val="22"/>
          <w:lang w:val="en-US"/>
        </w:rPr>
        <w:t>za</w:t>
      </w:r>
      <w:r w:rsidRPr="00BF57A3">
        <w:rPr>
          <w:sz w:val="22"/>
          <w:szCs w:val="22"/>
          <w:lang w:val="sr-Latn-CS"/>
        </w:rPr>
        <w:t xml:space="preserve"> </w:t>
      </w:r>
      <w:r w:rsidRPr="00BF57A3">
        <w:rPr>
          <w:sz w:val="22"/>
          <w:szCs w:val="22"/>
          <w:lang w:val="en-US"/>
        </w:rPr>
        <w:t>prim</w:t>
      </w:r>
      <w:r w:rsidR="00D23515" w:rsidRPr="00BF57A3">
        <w:rPr>
          <w:sz w:val="22"/>
          <w:szCs w:val="22"/>
        </w:rPr>
        <w:t>j</w:t>
      </w:r>
      <w:r w:rsidRPr="00BF57A3">
        <w:rPr>
          <w:sz w:val="22"/>
          <w:szCs w:val="22"/>
          <w:lang w:val="en-US"/>
        </w:rPr>
        <w:t>enu</w:t>
      </w:r>
      <w:r w:rsidRPr="00BF57A3">
        <w:rPr>
          <w:sz w:val="22"/>
          <w:szCs w:val="22"/>
          <w:lang w:val="sr-Latn-CS"/>
        </w:rPr>
        <w:t xml:space="preserve"> </w:t>
      </w:r>
      <w:r w:rsidRPr="00BF57A3">
        <w:rPr>
          <w:sz w:val="22"/>
          <w:szCs w:val="22"/>
          <w:lang w:val="en-US"/>
        </w:rPr>
        <w:t>citotoksi</w:t>
      </w:r>
      <w:r w:rsidRPr="00BF57A3">
        <w:rPr>
          <w:sz w:val="22"/>
          <w:szCs w:val="22"/>
          <w:lang w:val="sr-Latn-CS"/>
        </w:rPr>
        <w:t>č</w:t>
      </w:r>
      <w:r w:rsidRPr="00BF57A3">
        <w:rPr>
          <w:sz w:val="22"/>
          <w:szCs w:val="22"/>
          <w:lang w:val="en-US"/>
        </w:rPr>
        <w:t>nih</w:t>
      </w:r>
      <w:r w:rsidRPr="00BF57A3">
        <w:rPr>
          <w:sz w:val="22"/>
          <w:szCs w:val="22"/>
          <w:lang w:val="sr-Latn-CS"/>
        </w:rPr>
        <w:t xml:space="preserve"> </w:t>
      </w:r>
      <w:r w:rsidRPr="00BF57A3">
        <w:rPr>
          <w:sz w:val="22"/>
          <w:szCs w:val="22"/>
          <w:lang w:val="en-US"/>
        </w:rPr>
        <w:t>agenasa</w:t>
      </w:r>
      <w:r w:rsidRPr="00BF57A3">
        <w:rPr>
          <w:sz w:val="22"/>
          <w:szCs w:val="22"/>
          <w:lang w:val="sr-Latn-CS"/>
        </w:rPr>
        <w:t xml:space="preserve">. </w:t>
      </w:r>
      <w:r w:rsidRPr="00BF57A3">
        <w:rPr>
          <w:sz w:val="22"/>
          <w:szCs w:val="22"/>
          <w:lang w:val="en-US"/>
        </w:rPr>
        <w:t>Ne</w:t>
      </w:r>
      <w:r w:rsidRPr="00BF57A3">
        <w:rPr>
          <w:sz w:val="22"/>
          <w:szCs w:val="22"/>
          <w:lang w:val="sr-Latn-CS"/>
        </w:rPr>
        <w:t xml:space="preserve"> </w:t>
      </w:r>
      <w:r w:rsidRPr="00BF57A3">
        <w:rPr>
          <w:sz w:val="22"/>
          <w:szCs w:val="22"/>
          <w:lang w:val="en-US"/>
        </w:rPr>
        <w:t>sm</w:t>
      </w:r>
      <w:r w:rsidR="00D23515" w:rsidRPr="00BF57A3">
        <w:rPr>
          <w:sz w:val="22"/>
          <w:szCs w:val="22"/>
        </w:rPr>
        <w:t>ij</w:t>
      </w:r>
      <w:r w:rsidRPr="00BF57A3">
        <w:rPr>
          <w:sz w:val="22"/>
          <w:szCs w:val="22"/>
          <w:lang w:val="en-US"/>
        </w:rPr>
        <w:t>e</w:t>
      </w:r>
      <w:r w:rsidRPr="00BF57A3">
        <w:rPr>
          <w:sz w:val="22"/>
          <w:szCs w:val="22"/>
          <w:lang w:val="sr-Latn-CS"/>
        </w:rPr>
        <w:t xml:space="preserve"> </w:t>
      </w:r>
      <w:r w:rsidRPr="00BF57A3">
        <w:rPr>
          <w:sz w:val="22"/>
          <w:szCs w:val="22"/>
          <w:lang w:val="en-US"/>
        </w:rPr>
        <w:t>biti</w:t>
      </w:r>
      <w:r w:rsidRPr="00BF57A3">
        <w:rPr>
          <w:sz w:val="22"/>
          <w:szCs w:val="22"/>
          <w:lang w:val="sr-Latn-CS"/>
        </w:rPr>
        <w:t xml:space="preserve"> </w:t>
      </w:r>
      <w:r w:rsidRPr="00BF57A3">
        <w:rPr>
          <w:sz w:val="22"/>
          <w:szCs w:val="22"/>
          <w:lang w:val="en-US"/>
        </w:rPr>
        <w:t>zam</w:t>
      </w:r>
      <w:r w:rsidR="00D23515" w:rsidRPr="00BF57A3">
        <w:rPr>
          <w:sz w:val="22"/>
          <w:szCs w:val="22"/>
        </w:rPr>
        <w:t>j</w:t>
      </w:r>
      <w:r w:rsidRPr="00BF57A3">
        <w:rPr>
          <w:sz w:val="22"/>
          <w:szCs w:val="22"/>
          <w:lang w:val="en-US"/>
        </w:rPr>
        <w:t>ena</w:t>
      </w:r>
      <w:r w:rsidRPr="00BF57A3">
        <w:rPr>
          <w:sz w:val="22"/>
          <w:szCs w:val="22"/>
          <w:lang w:val="sr-Latn-CS"/>
        </w:rPr>
        <w:t xml:space="preserve"> </w:t>
      </w:r>
      <w:r w:rsidRPr="00BF57A3">
        <w:rPr>
          <w:sz w:val="22"/>
          <w:szCs w:val="22"/>
          <w:lang w:val="en-US"/>
        </w:rPr>
        <w:t>za</w:t>
      </w:r>
      <w:r w:rsidRPr="00BF57A3">
        <w:rPr>
          <w:sz w:val="22"/>
          <w:szCs w:val="22"/>
          <w:lang w:val="sr-Latn-CS"/>
        </w:rPr>
        <w:t xml:space="preserve"> </w:t>
      </w:r>
      <w:r w:rsidRPr="00BF57A3">
        <w:rPr>
          <w:sz w:val="22"/>
          <w:szCs w:val="22"/>
          <w:lang w:val="en-US"/>
        </w:rPr>
        <w:t>druge</w:t>
      </w:r>
      <w:r w:rsidRPr="00BF57A3">
        <w:rPr>
          <w:sz w:val="22"/>
          <w:szCs w:val="22"/>
          <w:lang w:val="sr-Latn-CS"/>
        </w:rPr>
        <w:t xml:space="preserve"> </w:t>
      </w:r>
      <w:r w:rsidRPr="00BF57A3">
        <w:rPr>
          <w:sz w:val="22"/>
          <w:szCs w:val="22"/>
          <w:lang w:val="en-US"/>
        </w:rPr>
        <w:t>formulacije</w:t>
      </w:r>
      <w:r w:rsidRPr="00BF57A3">
        <w:rPr>
          <w:sz w:val="22"/>
          <w:szCs w:val="22"/>
          <w:lang w:val="sr-Latn-CS"/>
        </w:rPr>
        <w:t xml:space="preserve"> </w:t>
      </w:r>
      <w:r w:rsidRPr="00BF57A3">
        <w:rPr>
          <w:sz w:val="22"/>
          <w:szCs w:val="22"/>
          <w:lang w:val="en-US"/>
        </w:rPr>
        <w:t>paklitaksela</w:t>
      </w:r>
      <w:r w:rsidRPr="00BF57A3">
        <w:rPr>
          <w:sz w:val="22"/>
          <w:szCs w:val="22"/>
          <w:lang w:val="sr-Latn-CS"/>
        </w:rPr>
        <w:t xml:space="preserve">, </w:t>
      </w:r>
      <w:r w:rsidRPr="00BF57A3">
        <w:rPr>
          <w:sz w:val="22"/>
          <w:szCs w:val="22"/>
          <w:lang w:val="en-US"/>
        </w:rPr>
        <w:t>niti</w:t>
      </w:r>
      <w:r w:rsidRPr="00BF57A3">
        <w:rPr>
          <w:sz w:val="22"/>
          <w:szCs w:val="22"/>
          <w:lang w:val="sr-Latn-CS"/>
        </w:rPr>
        <w:t xml:space="preserve"> </w:t>
      </w:r>
      <w:r w:rsidRPr="00BF57A3">
        <w:rPr>
          <w:sz w:val="22"/>
          <w:szCs w:val="22"/>
          <w:lang w:val="en-US"/>
        </w:rPr>
        <w:t>se</w:t>
      </w:r>
      <w:r w:rsidRPr="00BF57A3">
        <w:rPr>
          <w:sz w:val="22"/>
          <w:szCs w:val="22"/>
          <w:lang w:val="sr-Latn-CS"/>
        </w:rPr>
        <w:t xml:space="preserve"> </w:t>
      </w:r>
      <w:r w:rsidRPr="00BF57A3">
        <w:rPr>
          <w:sz w:val="22"/>
          <w:szCs w:val="22"/>
          <w:lang w:val="en-US"/>
        </w:rPr>
        <w:t>druge</w:t>
      </w:r>
      <w:r w:rsidRPr="00BF57A3">
        <w:rPr>
          <w:sz w:val="22"/>
          <w:szCs w:val="22"/>
          <w:lang w:val="sr-Latn-CS"/>
        </w:rPr>
        <w:t xml:space="preserve"> </w:t>
      </w:r>
      <w:r w:rsidRPr="00BF57A3">
        <w:rPr>
          <w:sz w:val="22"/>
          <w:szCs w:val="22"/>
          <w:lang w:val="en-US"/>
        </w:rPr>
        <w:t>formulacije</w:t>
      </w:r>
      <w:r w:rsidRPr="00BF57A3">
        <w:rPr>
          <w:sz w:val="22"/>
          <w:szCs w:val="22"/>
          <w:lang w:val="sr-Latn-CS"/>
        </w:rPr>
        <w:t xml:space="preserve"> </w:t>
      </w:r>
      <w:r w:rsidRPr="00BF57A3">
        <w:rPr>
          <w:sz w:val="22"/>
          <w:szCs w:val="22"/>
          <w:lang w:val="en-US"/>
        </w:rPr>
        <w:t>paklitaksela</w:t>
      </w:r>
      <w:r w:rsidRPr="00BF57A3">
        <w:rPr>
          <w:sz w:val="22"/>
          <w:szCs w:val="22"/>
          <w:lang w:val="sr-Latn-CS"/>
        </w:rPr>
        <w:t xml:space="preserve"> </w:t>
      </w:r>
      <w:r w:rsidRPr="00BF57A3">
        <w:rPr>
          <w:sz w:val="22"/>
          <w:szCs w:val="22"/>
          <w:lang w:val="en-US"/>
        </w:rPr>
        <w:t>sm</w:t>
      </w:r>
      <w:r w:rsidR="00D23515" w:rsidRPr="00BF57A3">
        <w:rPr>
          <w:sz w:val="22"/>
          <w:szCs w:val="22"/>
        </w:rPr>
        <w:t>ij</w:t>
      </w:r>
      <w:r w:rsidRPr="00BF57A3">
        <w:rPr>
          <w:sz w:val="22"/>
          <w:szCs w:val="22"/>
          <w:lang w:val="en-US"/>
        </w:rPr>
        <w:t>u</w:t>
      </w:r>
      <w:r w:rsidRPr="00BF57A3">
        <w:rPr>
          <w:sz w:val="22"/>
          <w:szCs w:val="22"/>
          <w:lang w:val="sr-Latn-CS"/>
        </w:rPr>
        <w:t xml:space="preserve"> </w:t>
      </w:r>
      <w:r w:rsidRPr="00BF57A3">
        <w:rPr>
          <w:sz w:val="22"/>
          <w:szCs w:val="22"/>
          <w:lang w:val="en-US"/>
        </w:rPr>
        <w:t>zam</w:t>
      </w:r>
      <w:r w:rsidR="00AA2A0C" w:rsidRPr="00BF57A3">
        <w:rPr>
          <w:sz w:val="22"/>
          <w:szCs w:val="22"/>
        </w:rPr>
        <w:t>j</w:t>
      </w:r>
      <w:r w:rsidRPr="00BF57A3">
        <w:rPr>
          <w:sz w:val="22"/>
          <w:szCs w:val="22"/>
          <w:lang w:val="en-US"/>
        </w:rPr>
        <w:t>enjivati</w:t>
      </w:r>
      <w:r w:rsidRPr="00BF57A3">
        <w:rPr>
          <w:sz w:val="22"/>
          <w:szCs w:val="22"/>
          <w:lang w:val="sr-Latn-CS"/>
        </w:rPr>
        <w:t xml:space="preserve"> </w:t>
      </w:r>
      <w:r w:rsidRPr="00BF57A3">
        <w:rPr>
          <w:sz w:val="22"/>
          <w:szCs w:val="22"/>
          <w:lang w:val="en-US"/>
        </w:rPr>
        <w:t>l</w:t>
      </w:r>
      <w:r w:rsidR="00AA2A0C" w:rsidRPr="00BF57A3">
        <w:rPr>
          <w:sz w:val="22"/>
          <w:szCs w:val="22"/>
        </w:rPr>
        <w:t>ij</w:t>
      </w:r>
      <w:r w:rsidRPr="00BF57A3">
        <w:rPr>
          <w:sz w:val="22"/>
          <w:szCs w:val="22"/>
          <w:lang w:val="en-US"/>
        </w:rPr>
        <w:t>ekom</w:t>
      </w:r>
      <w:r w:rsidRPr="00BF57A3">
        <w:rPr>
          <w:sz w:val="22"/>
          <w:szCs w:val="22"/>
          <w:lang w:val="sr-Latn-CS"/>
        </w:rPr>
        <w:t xml:space="preserve"> </w:t>
      </w:r>
      <w:r w:rsidRPr="00BF57A3">
        <w:rPr>
          <w:sz w:val="22"/>
          <w:szCs w:val="22"/>
          <w:lang w:val="en-US"/>
        </w:rPr>
        <w:t>Abraxane</w:t>
      </w:r>
      <w:r w:rsidRPr="00BF57A3">
        <w:rPr>
          <w:sz w:val="22"/>
          <w:szCs w:val="22"/>
          <w:lang w:val="sr-Latn-CS"/>
        </w:rPr>
        <w:t>.</w:t>
      </w:r>
    </w:p>
    <w:p w14:paraId="6264E130" w14:textId="77777777" w:rsidR="00E71ED6" w:rsidRPr="00BF57A3" w:rsidRDefault="00E71ED6">
      <w:pPr>
        <w:pStyle w:val="Header"/>
        <w:tabs>
          <w:tab w:val="left" w:pos="284"/>
        </w:tabs>
        <w:jc w:val="both"/>
        <w:rPr>
          <w:sz w:val="22"/>
          <w:szCs w:val="22"/>
          <w:lang w:val="sr-Latn-CS"/>
        </w:rPr>
      </w:pPr>
    </w:p>
    <w:p w14:paraId="531FD2FE" w14:textId="77777777" w:rsidR="00E71ED6" w:rsidRPr="00BF57A3" w:rsidRDefault="00E71ED6">
      <w:pPr>
        <w:pStyle w:val="Header"/>
        <w:tabs>
          <w:tab w:val="left" w:pos="284"/>
        </w:tabs>
        <w:jc w:val="both"/>
        <w:rPr>
          <w:sz w:val="22"/>
          <w:szCs w:val="22"/>
          <w:u w:val="single"/>
          <w:lang w:val="sr-Latn-CS"/>
        </w:rPr>
      </w:pPr>
      <w:r w:rsidRPr="00BF57A3">
        <w:rPr>
          <w:sz w:val="22"/>
          <w:szCs w:val="22"/>
          <w:u w:val="single"/>
          <w:lang w:val="en-US"/>
        </w:rPr>
        <w:t>Doziranje</w:t>
      </w:r>
    </w:p>
    <w:p w14:paraId="06EE2AFA" w14:textId="77777777" w:rsidR="00E71ED6" w:rsidRPr="00BF57A3" w:rsidRDefault="00E71ED6">
      <w:pPr>
        <w:pStyle w:val="Header"/>
        <w:tabs>
          <w:tab w:val="left" w:pos="284"/>
        </w:tabs>
        <w:jc w:val="both"/>
        <w:rPr>
          <w:sz w:val="22"/>
          <w:szCs w:val="22"/>
          <w:u w:val="single"/>
          <w:lang w:val="sr-Latn-CS"/>
        </w:rPr>
      </w:pPr>
    </w:p>
    <w:p w14:paraId="79F35DFB" w14:textId="77777777" w:rsidR="00E71ED6" w:rsidRPr="00BF57A3" w:rsidRDefault="00E71ED6">
      <w:pPr>
        <w:pStyle w:val="Header"/>
        <w:tabs>
          <w:tab w:val="left" w:pos="284"/>
        </w:tabs>
        <w:jc w:val="both"/>
        <w:rPr>
          <w:i/>
          <w:sz w:val="22"/>
          <w:szCs w:val="22"/>
          <w:u w:val="single"/>
          <w:lang w:val="sr-Latn-CS"/>
        </w:rPr>
      </w:pPr>
      <w:r w:rsidRPr="00BF57A3">
        <w:rPr>
          <w:i/>
          <w:sz w:val="22"/>
          <w:szCs w:val="22"/>
          <w:u w:val="single"/>
          <w:lang w:val="en-US"/>
        </w:rPr>
        <w:t>Karcinom</w:t>
      </w:r>
      <w:r w:rsidRPr="00BF57A3">
        <w:rPr>
          <w:i/>
          <w:sz w:val="22"/>
          <w:szCs w:val="22"/>
          <w:u w:val="single"/>
          <w:lang w:val="sr-Latn-CS"/>
        </w:rPr>
        <w:t xml:space="preserve"> </w:t>
      </w:r>
      <w:r w:rsidRPr="00BF57A3">
        <w:rPr>
          <w:i/>
          <w:sz w:val="22"/>
          <w:szCs w:val="22"/>
          <w:u w:val="single"/>
          <w:lang w:val="en-US"/>
        </w:rPr>
        <w:t>dojke</w:t>
      </w:r>
    </w:p>
    <w:p w14:paraId="086969FC" w14:textId="77777777" w:rsidR="00E71ED6" w:rsidRPr="00BF57A3" w:rsidRDefault="00E71ED6">
      <w:pPr>
        <w:pStyle w:val="Header"/>
        <w:tabs>
          <w:tab w:val="left" w:pos="284"/>
        </w:tabs>
        <w:jc w:val="both"/>
        <w:rPr>
          <w:i/>
          <w:sz w:val="22"/>
          <w:szCs w:val="22"/>
          <w:u w:val="single"/>
          <w:lang w:val="sr-Latn-CS"/>
        </w:rPr>
      </w:pPr>
      <w:r w:rsidRPr="00BF57A3">
        <w:rPr>
          <w:sz w:val="22"/>
          <w:szCs w:val="22"/>
          <w:lang w:val="en-US"/>
        </w:rPr>
        <w:t>Preporu</w:t>
      </w:r>
      <w:r w:rsidRPr="00BF57A3">
        <w:rPr>
          <w:sz w:val="22"/>
          <w:szCs w:val="22"/>
          <w:lang w:val="sr-Latn-CS"/>
        </w:rPr>
        <w:t>č</w:t>
      </w:r>
      <w:r w:rsidRPr="00BF57A3">
        <w:rPr>
          <w:sz w:val="22"/>
          <w:szCs w:val="22"/>
          <w:lang w:val="en-US"/>
        </w:rPr>
        <w:t>ena</w:t>
      </w:r>
      <w:r w:rsidRPr="00BF57A3">
        <w:rPr>
          <w:sz w:val="22"/>
          <w:szCs w:val="22"/>
          <w:lang w:val="sr-Latn-CS"/>
        </w:rPr>
        <w:t xml:space="preserve"> </w:t>
      </w:r>
      <w:r w:rsidRPr="00BF57A3">
        <w:rPr>
          <w:sz w:val="22"/>
          <w:szCs w:val="22"/>
          <w:lang w:val="en-US"/>
        </w:rPr>
        <w:t>doza</w:t>
      </w:r>
      <w:r w:rsidRPr="00BF57A3">
        <w:rPr>
          <w:sz w:val="22"/>
          <w:szCs w:val="22"/>
          <w:lang w:val="sr-Latn-CS"/>
        </w:rPr>
        <w:t xml:space="preserve"> </w:t>
      </w:r>
      <w:r w:rsidRPr="00BF57A3">
        <w:rPr>
          <w:sz w:val="22"/>
          <w:szCs w:val="22"/>
          <w:lang w:val="en-US"/>
        </w:rPr>
        <w:t>l</w:t>
      </w:r>
      <w:r w:rsidR="006354E4" w:rsidRPr="00BF57A3">
        <w:rPr>
          <w:sz w:val="22"/>
          <w:szCs w:val="22"/>
        </w:rPr>
        <w:t>ij</w:t>
      </w:r>
      <w:r w:rsidRPr="00BF57A3">
        <w:rPr>
          <w:sz w:val="22"/>
          <w:szCs w:val="22"/>
          <w:lang w:val="en-US"/>
        </w:rPr>
        <w:t>eka</w:t>
      </w:r>
      <w:r w:rsidRPr="00BF57A3">
        <w:rPr>
          <w:sz w:val="22"/>
          <w:szCs w:val="22"/>
          <w:lang w:val="sr-Latn-CS"/>
        </w:rPr>
        <w:t xml:space="preserve"> </w:t>
      </w:r>
      <w:r w:rsidRPr="00BF57A3">
        <w:rPr>
          <w:sz w:val="22"/>
          <w:szCs w:val="22"/>
          <w:lang w:val="en-US"/>
        </w:rPr>
        <w:t>Abraxane</w:t>
      </w:r>
      <w:r w:rsidRPr="00BF57A3">
        <w:rPr>
          <w:sz w:val="22"/>
          <w:szCs w:val="22"/>
          <w:lang w:val="sr-Latn-CS"/>
        </w:rPr>
        <w:t xml:space="preserve"> </w:t>
      </w:r>
      <w:r w:rsidRPr="00BF57A3">
        <w:rPr>
          <w:sz w:val="22"/>
          <w:szCs w:val="22"/>
          <w:lang w:val="en-US"/>
        </w:rPr>
        <w:t>iznosi</w:t>
      </w:r>
      <w:r w:rsidRPr="00BF57A3">
        <w:rPr>
          <w:sz w:val="22"/>
          <w:szCs w:val="22"/>
          <w:lang w:val="sr-Latn-CS"/>
        </w:rPr>
        <w:t xml:space="preserve"> 260 </w:t>
      </w:r>
      <w:r w:rsidRPr="00BF57A3">
        <w:rPr>
          <w:sz w:val="22"/>
          <w:szCs w:val="22"/>
          <w:lang w:val="en-US"/>
        </w:rPr>
        <w:t>mg</w:t>
      </w:r>
      <w:r w:rsidRPr="00BF57A3">
        <w:rPr>
          <w:sz w:val="22"/>
          <w:szCs w:val="22"/>
          <w:lang w:val="sr-Latn-CS"/>
        </w:rPr>
        <w:t>/</w:t>
      </w:r>
      <w:r w:rsidRPr="00BF57A3">
        <w:rPr>
          <w:sz w:val="22"/>
          <w:szCs w:val="22"/>
          <w:lang w:val="en-US"/>
        </w:rPr>
        <w:t>m</w:t>
      </w:r>
      <w:r w:rsidRPr="00BF57A3">
        <w:rPr>
          <w:sz w:val="22"/>
          <w:szCs w:val="22"/>
          <w:vertAlign w:val="superscript"/>
          <w:lang w:val="sr-Latn-CS"/>
        </w:rPr>
        <w:t>2</w:t>
      </w:r>
      <w:r w:rsidRPr="00BF57A3">
        <w:rPr>
          <w:sz w:val="22"/>
          <w:szCs w:val="22"/>
          <w:lang w:val="sr-Latn-CS"/>
        </w:rPr>
        <w:t xml:space="preserve">, </w:t>
      </w:r>
      <w:r w:rsidRPr="00BF57A3">
        <w:rPr>
          <w:sz w:val="22"/>
          <w:szCs w:val="22"/>
          <w:lang w:val="en-US"/>
        </w:rPr>
        <w:t>prim</w:t>
      </w:r>
      <w:r w:rsidR="00E47D47" w:rsidRPr="00BF57A3">
        <w:rPr>
          <w:sz w:val="22"/>
          <w:szCs w:val="22"/>
          <w:lang w:val="en-US"/>
        </w:rPr>
        <w:t>i</w:t>
      </w:r>
      <w:r w:rsidR="006354E4" w:rsidRPr="00BF57A3">
        <w:rPr>
          <w:sz w:val="22"/>
          <w:szCs w:val="22"/>
        </w:rPr>
        <w:t>j</w:t>
      </w:r>
      <w:r w:rsidRPr="00BF57A3">
        <w:rPr>
          <w:sz w:val="22"/>
          <w:szCs w:val="22"/>
          <w:lang w:val="en-US"/>
        </w:rPr>
        <w:t>enjena</w:t>
      </w:r>
      <w:r w:rsidRPr="00BF57A3">
        <w:rPr>
          <w:sz w:val="22"/>
          <w:szCs w:val="22"/>
          <w:lang w:val="sr-Latn-CS"/>
        </w:rPr>
        <w:t xml:space="preserve"> </w:t>
      </w:r>
      <w:r w:rsidRPr="00BF57A3">
        <w:rPr>
          <w:sz w:val="22"/>
          <w:szCs w:val="22"/>
          <w:lang w:val="en-US"/>
        </w:rPr>
        <w:t>intravenski</w:t>
      </w:r>
      <w:r w:rsidRPr="00BF57A3">
        <w:rPr>
          <w:sz w:val="22"/>
          <w:szCs w:val="22"/>
          <w:lang w:val="sr-Latn-CS"/>
        </w:rPr>
        <w:t xml:space="preserve"> </w:t>
      </w:r>
      <w:r w:rsidRPr="00BF57A3">
        <w:rPr>
          <w:sz w:val="22"/>
          <w:szCs w:val="22"/>
          <w:lang w:val="en-US"/>
        </w:rPr>
        <w:t>tokom</w:t>
      </w:r>
      <w:r w:rsidRPr="00BF57A3">
        <w:rPr>
          <w:sz w:val="22"/>
          <w:szCs w:val="22"/>
          <w:lang w:val="sr-Latn-CS"/>
        </w:rPr>
        <w:t xml:space="preserve"> 30 </w:t>
      </w:r>
      <w:r w:rsidRPr="00BF57A3">
        <w:rPr>
          <w:sz w:val="22"/>
          <w:szCs w:val="22"/>
          <w:lang w:val="en-US"/>
        </w:rPr>
        <w:t>minuta</w:t>
      </w:r>
      <w:r w:rsidRPr="00BF57A3">
        <w:rPr>
          <w:sz w:val="22"/>
          <w:szCs w:val="22"/>
          <w:lang w:val="sr-Latn-CS"/>
        </w:rPr>
        <w:t xml:space="preserve">, </w:t>
      </w:r>
      <w:r w:rsidRPr="00BF57A3">
        <w:rPr>
          <w:sz w:val="22"/>
          <w:szCs w:val="22"/>
          <w:lang w:val="en-US"/>
        </w:rPr>
        <w:t>svake</w:t>
      </w:r>
      <w:r w:rsidRPr="00BF57A3">
        <w:rPr>
          <w:sz w:val="22"/>
          <w:szCs w:val="22"/>
          <w:lang w:val="sr-Latn-CS"/>
        </w:rPr>
        <w:t xml:space="preserve"> 3 </w:t>
      </w:r>
      <w:r w:rsidRPr="00BF57A3">
        <w:rPr>
          <w:sz w:val="22"/>
          <w:szCs w:val="22"/>
          <w:lang w:val="en-US"/>
        </w:rPr>
        <w:t>ned</w:t>
      </w:r>
      <w:r w:rsidR="007978F0" w:rsidRPr="00BF57A3">
        <w:rPr>
          <w:sz w:val="22"/>
          <w:szCs w:val="22"/>
          <w:lang w:val="en-US"/>
        </w:rPr>
        <w:t>j</w:t>
      </w:r>
      <w:r w:rsidRPr="00BF57A3">
        <w:rPr>
          <w:sz w:val="22"/>
          <w:szCs w:val="22"/>
          <w:lang w:val="en-US"/>
        </w:rPr>
        <w:t>elje</w:t>
      </w:r>
      <w:r w:rsidRPr="00BF57A3">
        <w:rPr>
          <w:sz w:val="22"/>
          <w:szCs w:val="22"/>
          <w:lang w:val="sr-Latn-CS"/>
        </w:rPr>
        <w:t>.</w:t>
      </w:r>
    </w:p>
    <w:p w14:paraId="4F13AF81" w14:textId="77777777" w:rsidR="00E71ED6" w:rsidRPr="00BF57A3" w:rsidRDefault="00E71ED6">
      <w:pPr>
        <w:pStyle w:val="Header"/>
        <w:tabs>
          <w:tab w:val="left" w:pos="284"/>
        </w:tabs>
        <w:jc w:val="both"/>
        <w:rPr>
          <w:i/>
          <w:sz w:val="22"/>
          <w:szCs w:val="22"/>
          <w:u w:val="single"/>
          <w:lang w:val="sr-Latn-CS"/>
        </w:rPr>
      </w:pPr>
    </w:p>
    <w:p w14:paraId="4140C23A" w14:textId="77777777" w:rsidR="00E71ED6" w:rsidRPr="00BF57A3" w:rsidRDefault="00E71ED6">
      <w:pPr>
        <w:pStyle w:val="Header"/>
        <w:tabs>
          <w:tab w:val="left" w:pos="284"/>
        </w:tabs>
        <w:jc w:val="both"/>
        <w:rPr>
          <w:i/>
          <w:sz w:val="22"/>
          <w:szCs w:val="22"/>
          <w:lang w:val="sr-Latn-CS"/>
        </w:rPr>
      </w:pPr>
      <w:r w:rsidRPr="00BF57A3">
        <w:rPr>
          <w:i/>
          <w:sz w:val="22"/>
          <w:szCs w:val="22"/>
          <w:lang w:val="en-US"/>
        </w:rPr>
        <w:t>Prilago</w:t>
      </w:r>
      <w:r w:rsidRPr="00BF57A3">
        <w:rPr>
          <w:i/>
          <w:sz w:val="22"/>
          <w:szCs w:val="22"/>
          <w:lang w:val="sr-Latn-CS"/>
        </w:rPr>
        <w:t>đ</w:t>
      </w:r>
      <w:r w:rsidRPr="00BF57A3">
        <w:rPr>
          <w:i/>
          <w:sz w:val="22"/>
          <w:szCs w:val="22"/>
          <w:lang w:val="en-US"/>
        </w:rPr>
        <w:t>avanje</w:t>
      </w:r>
      <w:r w:rsidRPr="00BF57A3">
        <w:rPr>
          <w:i/>
          <w:sz w:val="22"/>
          <w:szCs w:val="22"/>
          <w:lang w:val="sr-Latn-CS"/>
        </w:rPr>
        <w:t xml:space="preserve"> </w:t>
      </w:r>
      <w:r w:rsidRPr="00BF57A3">
        <w:rPr>
          <w:i/>
          <w:sz w:val="22"/>
          <w:szCs w:val="22"/>
          <w:lang w:val="en-US"/>
        </w:rPr>
        <w:t>doze</w:t>
      </w:r>
      <w:r w:rsidRPr="00BF57A3">
        <w:rPr>
          <w:i/>
          <w:sz w:val="22"/>
          <w:szCs w:val="22"/>
          <w:lang w:val="sr-Latn-CS"/>
        </w:rPr>
        <w:t xml:space="preserve"> </w:t>
      </w:r>
      <w:r w:rsidRPr="00BF57A3">
        <w:rPr>
          <w:i/>
          <w:sz w:val="22"/>
          <w:szCs w:val="22"/>
          <w:lang w:val="en-US"/>
        </w:rPr>
        <w:t>tokom</w:t>
      </w:r>
      <w:r w:rsidRPr="00BF57A3">
        <w:rPr>
          <w:i/>
          <w:sz w:val="22"/>
          <w:szCs w:val="22"/>
          <w:lang w:val="sr-Latn-CS"/>
        </w:rPr>
        <w:t xml:space="preserve"> </w:t>
      </w:r>
      <w:r w:rsidRPr="00BF57A3">
        <w:rPr>
          <w:i/>
          <w:sz w:val="22"/>
          <w:szCs w:val="22"/>
          <w:lang w:val="en-US"/>
        </w:rPr>
        <w:t>l</w:t>
      </w:r>
      <w:r w:rsidR="006354E4" w:rsidRPr="00BF57A3">
        <w:rPr>
          <w:i/>
          <w:sz w:val="22"/>
          <w:szCs w:val="22"/>
        </w:rPr>
        <w:t>ij</w:t>
      </w:r>
      <w:r w:rsidRPr="00BF57A3">
        <w:rPr>
          <w:i/>
          <w:sz w:val="22"/>
          <w:szCs w:val="22"/>
          <w:lang w:val="en-US"/>
        </w:rPr>
        <w:t>e</w:t>
      </w:r>
      <w:r w:rsidRPr="00BF57A3">
        <w:rPr>
          <w:i/>
          <w:sz w:val="22"/>
          <w:szCs w:val="22"/>
          <w:lang w:val="sr-Latn-CS"/>
        </w:rPr>
        <w:t>č</w:t>
      </w:r>
      <w:r w:rsidRPr="00BF57A3">
        <w:rPr>
          <w:i/>
          <w:sz w:val="22"/>
          <w:szCs w:val="22"/>
          <w:lang w:val="en-US"/>
        </w:rPr>
        <w:t>enja</w:t>
      </w:r>
      <w:r w:rsidRPr="00BF57A3">
        <w:rPr>
          <w:i/>
          <w:sz w:val="22"/>
          <w:szCs w:val="22"/>
          <w:lang w:val="sr-Latn-CS"/>
        </w:rPr>
        <w:t xml:space="preserve"> </w:t>
      </w:r>
      <w:r w:rsidRPr="00BF57A3">
        <w:rPr>
          <w:i/>
          <w:sz w:val="22"/>
          <w:szCs w:val="22"/>
          <w:lang w:val="en-US"/>
        </w:rPr>
        <w:t>karcinoma</w:t>
      </w:r>
      <w:r w:rsidRPr="00BF57A3">
        <w:rPr>
          <w:i/>
          <w:sz w:val="22"/>
          <w:szCs w:val="22"/>
          <w:lang w:val="sr-Latn-CS"/>
        </w:rPr>
        <w:t xml:space="preserve"> </w:t>
      </w:r>
      <w:r w:rsidRPr="00BF57A3">
        <w:rPr>
          <w:i/>
          <w:sz w:val="22"/>
          <w:szCs w:val="22"/>
          <w:lang w:val="en-US"/>
        </w:rPr>
        <w:t>dojke</w:t>
      </w:r>
    </w:p>
    <w:p w14:paraId="6C680728" w14:textId="380DEDC9" w:rsidR="00E71ED6" w:rsidRPr="00BF57A3" w:rsidRDefault="00BF57A3">
      <w:pPr>
        <w:pStyle w:val="Header"/>
        <w:tabs>
          <w:tab w:val="left" w:pos="284"/>
        </w:tabs>
        <w:jc w:val="both"/>
        <w:rPr>
          <w:sz w:val="22"/>
          <w:szCs w:val="22"/>
          <w:lang w:val="it-IT"/>
        </w:rPr>
      </w:pPr>
      <w:r>
        <w:rPr>
          <w:sz w:val="22"/>
          <w:szCs w:val="22"/>
          <w:lang w:val="en-US"/>
        </w:rPr>
        <w:t>Pacijentima</w:t>
      </w:r>
      <w:r w:rsidRPr="00BF57A3">
        <w:rPr>
          <w:sz w:val="22"/>
          <w:szCs w:val="22"/>
          <w:lang w:val="sr-Latn-CS"/>
        </w:rPr>
        <w:t xml:space="preserve"> </w:t>
      </w:r>
      <w:r w:rsidR="00E71ED6" w:rsidRPr="00BF57A3">
        <w:rPr>
          <w:sz w:val="22"/>
          <w:szCs w:val="22"/>
          <w:lang w:val="en-US"/>
        </w:rPr>
        <w:t>kod</w:t>
      </w:r>
      <w:r w:rsidR="00E71ED6" w:rsidRPr="00BF57A3">
        <w:rPr>
          <w:sz w:val="22"/>
          <w:szCs w:val="22"/>
          <w:lang w:val="sr-Latn-CS"/>
        </w:rPr>
        <w:t xml:space="preserve"> </w:t>
      </w:r>
      <w:r w:rsidR="00E71ED6" w:rsidRPr="00BF57A3">
        <w:rPr>
          <w:sz w:val="22"/>
          <w:szCs w:val="22"/>
          <w:lang w:val="en-US"/>
        </w:rPr>
        <w:t>kojih</w:t>
      </w:r>
      <w:r w:rsidR="00E71ED6" w:rsidRPr="00BF57A3">
        <w:rPr>
          <w:sz w:val="22"/>
          <w:szCs w:val="22"/>
          <w:lang w:val="sr-Latn-CS"/>
        </w:rPr>
        <w:t xml:space="preserve"> </w:t>
      </w:r>
      <w:r w:rsidR="00E71ED6" w:rsidRPr="00BF57A3">
        <w:rPr>
          <w:sz w:val="22"/>
          <w:szCs w:val="22"/>
          <w:lang w:val="en-US"/>
        </w:rPr>
        <w:t>se</w:t>
      </w:r>
      <w:r w:rsidR="00E71ED6" w:rsidRPr="00BF57A3">
        <w:rPr>
          <w:sz w:val="22"/>
          <w:szCs w:val="22"/>
          <w:lang w:val="sr-Latn-CS"/>
        </w:rPr>
        <w:t xml:space="preserve"> </w:t>
      </w:r>
      <w:r w:rsidR="00E71ED6" w:rsidRPr="00BF57A3">
        <w:rPr>
          <w:sz w:val="22"/>
          <w:szCs w:val="22"/>
          <w:lang w:val="en-US"/>
        </w:rPr>
        <w:t>javi</w:t>
      </w:r>
      <w:r w:rsidR="00E71ED6" w:rsidRPr="00BF57A3">
        <w:rPr>
          <w:sz w:val="22"/>
          <w:szCs w:val="22"/>
          <w:lang w:val="sr-Latn-CS"/>
        </w:rPr>
        <w:t xml:space="preserve"> </w:t>
      </w:r>
      <w:r w:rsidR="00E71ED6" w:rsidRPr="00BF57A3">
        <w:rPr>
          <w:sz w:val="22"/>
          <w:szCs w:val="22"/>
          <w:lang w:val="en-US"/>
        </w:rPr>
        <w:t>te</w:t>
      </w:r>
      <w:r w:rsidR="00E71ED6" w:rsidRPr="00BF57A3">
        <w:rPr>
          <w:sz w:val="22"/>
          <w:szCs w:val="22"/>
          <w:lang w:val="sr-Latn-CS"/>
        </w:rPr>
        <w:t>š</w:t>
      </w:r>
      <w:r w:rsidR="00E71ED6" w:rsidRPr="00BF57A3">
        <w:rPr>
          <w:sz w:val="22"/>
          <w:szCs w:val="22"/>
          <w:lang w:val="en-US"/>
        </w:rPr>
        <w:t>ka</w:t>
      </w:r>
      <w:r w:rsidR="00E71ED6" w:rsidRPr="00BF57A3">
        <w:rPr>
          <w:sz w:val="22"/>
          <w:szCs w:val="22"/>
          <w:lang w:val="sr-Latn-CS"/>
        </w:rPr>
        <w:t xml:space="preserve"> </w:t>
      </w:r>
      <w:r w:rsidR="00E71ED6" w:rsidRPr="00BF57A3">
        <w:rPr>
          <w:sz w:val="22"/>
          <w:szCs w:val="22"/>
          <w:lang w:val="en-US"/>
        </w:rPr>
        <w:t>neutropenija</w:t>
      </w:r>
      <w:r w:rsidR="00E71ED6" w:rsidRPr="00BF57A3">
        <w:rPr>
          <w:sz w:val="22"/>
          <w:szCs w:val="22"/>
          <w:lang w:val="sr-Latn-CS"/>
        </w:rPr>
        <w:t xml:space="preserve"> (</w:t>
      </w:r>
      <w:r w:rsidR="00E71ED6" w:rsidRPr="00BF57A3">
        <w:rPr>
          <w:sz w:val="22"/>
          <w:szCs w:val="22"/>
          <w:lang w:val="en-US"/>
        </w:rPr>
        <w:t>broj</w:t>
      </w:r>
      <w:r w:rsidR="00E71ED6" w:rsidRPr="00BF57A3">
        <w:rPr>
          <w:sz w:val="22"/>
          <w:szCs w:val="22"/>
          <w:lang w:val="sr-Latn-CS"/>
        </w:rPr>
        <w:t xml:space="preserve"> </w:t>
      </w:r>
      <w:r w:rsidR="00E71ED6" w:rsidRPr="00BF57A3">
        <w:rPr>
          <w:sz w:val="22"/>
          <w:szCs w:val="22"/>
          <w:lang w:val="en-US"/>
        </w:rPr>
        <w:t>neutrofila</w:t>
      </w:r>
      <w:r w:rsidR="00E71ED6" w:rsidRPr="00BF57A3">
        <w:rPr>
          <w:sz w:val="22"/>
          <w:szCs w:val="22"/>
          <w:lang w:val="sr-Latn-CS"/>
        </w:rPr>
        <w:t xml:space="preserve"> &lt; 500 ć</w:t>
      </w:r>
      <w:r w:rsidR="00E71ED6" w:rsidRPr="00BF57A3">
        <w:rPr>
          <w:sz w:val="22"/>
          <w:szCs w:val="22"/>
          <w:lang w:val="en-US"/>
        </w:rPr>
        <w:t>elija</w:t>
      </w:r>
      <w:r w:rsidR="00E71ED6" w:rsidRPr="00BF57A3">
        <w:rPr>
          <w:sz w:val="22"/>
          <w:szCs w:val="22"/>
          <w:lang w:val="sr-Latn-CS"/>
        </w:rPr>
        <w:t>/</w:t>
      </w:r>
      <w:r w:rsidR="00E71ED6" w:rsidRPr="00BF57A3">
        <w:rPr>
          <w:sz w:val="22"/>
          <w:szCs w:val="22"/>
          <w:lang w:val="en-US"/>
        </w:rPr>
        <w:t>mm</w:t>
      </w:r>
      <w:r w:rsidR="00E71ED6" w:rsidRPr="00BF57A3">
        <w:rPr>
          <w:sz w:val="22"/>
          <w:szCs w:val="22"/>
          <w:vertAlign w:val="superscript"/>
          <w:lang w:val="sr-Latn-CS"/>
        </w:rPr>
        <w:t>3</w:t>
      </w:r>
      <w:r w:rsidR="00E71ED6" w:rsidRPr="00BF57A3">
        <w:rPr>
          <w:sz w:val="22"/>
          <w:szCs w:val="22"/>
          <w:lang w:val="sr-Latn-CS"/>
        </w:rPr>
        <w:t xml:space="preserve"> </w:t>
      </w:r>
      <w:r w:rsidR="00E71ED6" w:rsidRPr="00BF57A3">
        <w:rPr>
          <w:sz w:val="22"/>
          <w:szCs w:val="22"/>
          <w:lang w:val="en-US"/>
        </w:rPr>
        <w:t>tokom</w:t>
      </w:r>
      <w:r w:rsidR="00E71ED6" w:rsidRPr="00BF57A3">
        <w:rPr>
          <w:sz w:val="22"/>
          <w:szCs w:val="22"/>
          <w:lang w:val="sr-Latn-CS"/>
        </w:rPr>
        <w:t xml:space="preserve"> </w:t>
      </w:r>
      <w:r w:rsidR="00E71ED6" w:rsidRPr="00BF57A3">
        <w:rPr>
          <w:sz w:val="22"/>
          <w:szCs w:val="22"/>
          <w:lang w:val="en-US"/>
        </w:rPr>
        <w:t>ned</w:t>
      </w:r>
      <w:r w:rsidR="005E1EC0" w:rsidRPr="00BF57A3">
        <w:rPr>
          <w:sz w:val="22"/>
          <w:szCs w:val="22"/>
          <w:lang w:val="en-US"/>
        </w:rPr>
        <w:t>j</w:t>
      </w:r>
      <w:r w:rsidR="00E71ED6" w:rsidRPr="00BF57A3">
        <w:rPr>
          <w:sz w:val="22"/>
          <w:szCs w:val="22"/>
          <w:lang w:val="en-US"/>
        </w:rPr>
        <w:t>elju</w:t>
      </w:r>
      <w:r w:rsidR="00E71ED6" w:rsidRPr="00BF57A3">
        <w:rPr>
          <w:sz w:val="22"/>
          <w:szCs w:val="22"/>
          <w:lang w:val="sr-Latn-CS"/>
        </w:rPr>
        <w:t xml:space="preserve"> </w:t>
      </w:r>
      <w:proofErr w:type="gramStart"/>
      <w:r w:rsidR="00E71ED6" w:rsidRPr="00BF57A3">
        <w:rPr>
          <w:sz w:val="22"/>
          <w:szCs w:val="22"/>
          <w:lang w:val="en-US"/>
        </w:rPr>
        <w:t>dana</w:t>
      </w:r>
      <w:proofErr w:type="gramEnd"/>
      <w:r w:rsidR="00E71ED6" w:rsidRPr="00BF57A3">
        <w:rPr>
          <w:sz w:val="22"/>
          <w:szCs w:val="22"/>
          <w:lang w:val="sr-Latn-CS"/>
        </w:rPr>
        <w:t xml:space="preserve"> </w:t>
      </w:r>
      <w:r w:rsidR="00E71ED6" w:rsidRPr="00BF57A3">
        <w:rPr>
          <w:sz w:val="22"/>
          <w:szCs w:val="22"/>
          <w:lang w:val="en-US"/>
        </w:rPr>
        <w:t>ili</w:t>
      </w:r>
      <w:r w:rsidR="00E71ED6" w:rsidRPr="00BF57A3">
        <w:rPr>
          <w:sz w:val="22"/>
          <w:szCs w:val="22"/>
          <w:lang w:val="sr-Latn-CS"/>
        </w:rPr>
        <w:t xml:space="preserve"> </w:t>
      </w:r>
      <w:r w:rsidR="00E71ED6" w:rsidRPr="00BF57A3">
        <w:rPr>
          <w:sz w:val="22"/>
          <w:szCs w:val="22"/>
          <w:lang w:val="en-US"/>
        </w:rPr>
        <w:t>du</w:t>
      </w:r>
      <w:r w:rsidR="00E71ED6" w:rsidRPr="00BF57A3">
        <w:rPr>
          <w:sz w:val="22"/>
          <w:szCs w:val="22"/>
          <w:lang w:val="sr-Latn-CS"/>
        </w:rPr>
        <w:t>ž</w:t>
      </w:r>
      <w:r w:rsidR="00E71ED6" w:rsidRPr="00BF57A3">
        <w:rPr>
          <w:sz w:val="22"/>
          <w:szCs w:val="22"/>
          <w:lang w:val="en-US"/>
        </w:rPr>
        <w:t>e</w:t>
      </w:r>
      <w:r w:rsidR="00E71ED6" w:rsidRPr="00BF57A3">
        <w:rPr>
          <w:sz w:val="22"/>
          <w:szCs w:val="22"/>
          <w:lang w:val="sr-Latn-CS"/>
        </w:rPr>
        <w:t xml:space="preserve">) </w:t>
      </w:r>
      <w:r w:rsidR="00E71ED6" w:rsidRPr="00BF57A3">
        <w:rPr>
          <w:sz w:val="22"/>
          <w:szCs w:val="22"/>
          <w:lang w:val="en-US"/>
        </w:rPr>
        <w:t>ili</w:t>
      </w:r>
      <w:r w:rsidR="00E71ED6" w:rsidRPr="00BF57A3">
        <w:rPr>
          <w:sz w:val="22"/>
          <w:szCs w:val="22"/>
          <w:lang w:val="sr-Latn-CS"/>
        </w:rPr>
        <w:t xml:space="preserve"> </w:t>
      </w:r>
      <w:r w:rsidR="00E71ED6" w:rsidRPr="00BF57A3">
        <w:rPr>
          <w:sz w:val="22"/>
          <w:szCs w:val="22"/>
          <w:lang w:val="en-US"/>
        </w:rPr>
        <w:t>te</w:t>
      </w:r>
      <w:r w:rsidR="00E71ED6" w:rsidRPr="00BF57A3">
        <w:rPr>
          <w:sz w:val="22"/>
          <w:szCs w:val="22"/>
          <w:lang w:val="sr-Latn-CS"/>
        </w:rPr>
        <w:t>š</w:t>
      </w:r>
      <w:r w:rsidR="00E71ED6" w:rsidRPr="00BF57A3">
        <w:rPr>
          <w:sz w:val="22"/>
          <w:szCs w:val="22"/>
          <w:lang w:val="en-US"/>
        </w:rPr>
        <w:t>ka</w:t>
      </w:r>
      <w:r w:rsidR="00E71ED6" w:rsidRPr="00BF57A3">
        <w:rPr>
          <w:sz w:val="22"/>
          <w:szCs w:val="22"/>
          <w:lang w:val="sr-Latn-CS"/>
        </w:rPr>
        <w:t xml:space="preserve"> </w:t>
      </w:r>
      <w:r w:rsidR="00E71ED6" w:rsidRPr="00BF57A3">
        <w:rPr>
          <w:sz w:val="22"/>
          <w:szCs w:val="22"/>
          <w:lang w:val="en-US"/>
        </w:rPr>
        <w:t>senzorna</w:t>
      </w:r>
      <w:r w:rsidR="00E71ED6" w:rsidRPr="00BF57A3">
        <w:rPr>
          <w:sz w:val="22"/>
          <w:szCs w:val="22"/>
          <w:lang w:val="sr-Latn-CS"/>
        </w:rPr>
        <w:t xml:space="preserve"> </w:t>
      </w:r>
      <w:r w:rsidR="00E71ED6" w:rsidRPr="00BF57A3">
        <w:rPr>
          <w:sz w:val="22"/>
          <w:szCs w:val="22"/>
          <w:lang w:val="en-US"/>
        </w:rPr>
        <w:t>neuropatija</w:t>
      </w:r>
      <w:r w:rsidR="00E71ED6" w:rsidRPr="00BF57A3">
        <w:rPr>
          <w:sz w:val="22"/>
          <w:szCs w:val="22"/>
          <w:lang w:val="sr-Latn-CS"/>
        </w:rPr>
        <w:t xml:space="preserve"> </w:t>
      </w:r>
      <w:r w:rsidR="00E71ED6" w:rsidRPr="00BF57A3">
        <w:rPr>
          <w:sz w:val="22"/>
          <w:szCs w:val="22"/>
          <w:lang w:val="en-US"/>
        </w:rPr>
        <w:t>tokom</w:t>
      </w:r>
      <w:r w:rsidR="00E71ED6" w:rsidRPr="00BF57A3">
        <w:rPr>
          <w:sz w:val="22"/>
          <w:szCs w:val="22"/>
          <w:lang w:val="sr-Latn-CS"/>
        </w:rPr>
        <w:t xml:space="preserve"> </w:t>
      </w:r>
      <w:r w:rsidR="00E71ED6" w:rsidRPr="00BF57A3">
        <w:rPr>
          <w:sz w:val="22"/>
          <w:szCs w:val="22"/>
          <w:lang w:val="en-US"/>
        </w:rPr>
        <w:t>l</w:t>
      </w:r>
      <w:r w:rsidR="006354E4" w:rsidRPr="00BF57A3">
        <w:rPr>
          <w:sz w:val="22"/>
          <w:szCs w:val="22"/>
        </w:rPr>
        <w:t>ij</w:t>
      </w:r>
      <w:r w:rsidR="00E71ED6" w:rsidRPr="00BF57A3">
        <w:rPr>
          <w:sz w:val="22"/>
          <w:szCs w:val="22"/>
          <w:lang w:val="en-US"/>
        </w:rPr>
        <w:t>e</w:t>
      </w:r>
      <w:r w:rsidR="00E71ED6" w:rsidRPr="00BF57A3">
        <w:rPr>
          <w:sz w:val="22"/>
          <w:szCs w:val="22"/>
          <w:lang w:val="sr-Latn-CS"/>
        </w:rPr>
        <w:t>č</w:t>
      </w:r>
      <w:r w:rsidR="00E71ED6" w:rsidRPr="00BF57A3">
        <w:rPr>
          <w:sz w:val="22"/>
          <w:szCs w:val="22"/>
          <w:lang w:val="en-US"/>
        </w:rPr>
        <w:t>enja</w:t>
      </w:r>
      <w:r w:rsidR="00E71ED6" w:rsidRPr="00BF57A3">
        <w:rPr>
          <w:sz w:val="22"/>
          <w:szCs w:val="22"/>
          <w:lang w:val="sr-Latn-CS"/>
        </w:rPr>
        <w:t xml:space="preserve"> </w:t>
      </w:r>
      <w:r w:rsidR="00E71ED6" w:rsidRPr="00BF57A3">
        <w:rPr>
          <w:sz w:val="22"/>
          <w:szCs w:val="22"/>
          <w:lang w:val="en-US"/>
        </w:rPr>
        <w:t>l</w:t>
      </w:r>
      <w:r w:rsidR="006354E4" w:rsidRPr="00BF57A3">
        <w:rPr>
          <w:sz w:val="22"/>
          <w:szCs w:val="22"/>
        </w:rPr>
        <w:t>ij</w:t>
      </w:r>
      <w:r w:rsidR="00E71ED6" w:rsidRPr="00BF57A3">
        <w:rPr>
          <w:sz w:val="22"/>
          <w:szCs w:val="22"/>
          <w:lang w:val="en-US"/>
        </w:rPr>
        <w:t>ekom</w:t>
      </w:r>
      <w:r w:rsidR="00E71ED6" w:rsidRPr="00BF57A3">
        <w:rPr>
          <w:sz w:val="22"/>
          <w:szCs w:val="22"/>
          <w:lang w:val="sr-Latn-CS"/>
        </w:rPr>
        <w:t xml:space="preserve"> </w:t>
      </w:r>
      <w:r w:rsidR="00E71ED6" w:rsidRPr="00BF57A3">
        <w:rPr>
          <w:sz w:val="22"/>
          <w:szCs w:val="22"/>
          <w:lang w:val="en-US"/>
        </w:rPr>
        <w:t>Abraxane</w:t>
      </w:r>
      <w:r w:rsidR="00E47D47" w:rsidRPr="00BF57A3">
        <w:rPr>
          <w:sz w:val="22"/>
          <w:szCs w:val="22"/>
          <w:lang w:val="sr-Latn-CS"/>
        </w:rPr>
        <w:t>,</w:t>
      </w:r>
      <w:r w:rsidR="00E71ED6" w:rsidRPr="00BF57A3">
        <w:rPr>
          <w:sz w:val="22"/>
          <w:szCs w:val="22"/>
          <w:lang w:val="sr-Latn-CS"/>
        </w:rPr>
        <w:t xml:space="preserve"> </w:t>
      </w:r>
      <w:r w:rsidR="00E71ED6" w:rsidRPr="00BF57A3">
        <w:rPr>
          <w:sz w:val="22"/>
          <w:szCs w:val="22"/>
          <w:lang w:val="en-US"/>
        </w:rPr>
        <w:t>treba</w:t>
      </w:r>
      <w:r w:rsidR="00E71ED6" w:rsidRPr="00BF57A3">
        <w:rPr>
          <w:sz w:val="22"/>
          <w:szCs w:val="22"/>
          <w:lang w:val="sr-Latn-CS"/>
        </w:rPr>
        <w:t xml:space="preserve"> </w:t>
      </w:r>
      <w:r w:rsidR="00E71ED6" w:rsidRPr="00BF57A3">
        <w:rPr>
          <w:sz w:val="22"/>
          <w:szCs w:val="22"/>
          <w:lang w:val="en-US"/>
        </w:rPr>
        <w:t>smanjiti</w:t>
      </w:r>
      <w:r w:rsidR="00E71ED6" w:rsidRPr="00BF57A3">
        <w:rPr>
          <w:sz w:val="22"/>
          <w:szCs w:val="22"/>
          <w:lang w:val="sr-Latn-CS"/>
        </w:rPr>
        <w:t xml:space="preserve"> </w:t>
      </w:r>
      <w:r w:rsidR="00E71ED6" w:rsidRPr="00BF57A3">
        <w:rPr>
          <w:sz w:val="22"/>
          <w:szCs w:val="22"/>
          <w:lang w:val="en-US"/>
        </w:rPr>
        <w:t>dozu</w:t>
      </w:r>
      <w:r w:rsidR="00E71ED6" w:rsidRPr="00BF57A3">
        <w:rPr>
          <w:sz w:val="22"/>
          <w:szCs w:val="22"/>
          <w:lang w:val="sr-Latn-CS"/>
        </w:rPr>
        <w:t xml:space="preserve"> </w:t>
      </w:r>
      <w:r w:rsidR="00E71ED6" w:rsidRPr="00BF57A3">
        <w:rPr>
          <w:sz w:val="22"/>
          <w:szCs w:val="22"/>
          <w:lang w:val="en-US"/>
        </w:rPr>
        <w:t>na</w:t>
      </w:r>
      <w:r w:rsidR="00E71ED6" w:rsidRPr="00BF57A3">
        <w:rPr>
          <w:sz w:val="22"/>
          <w:szCs w:val="22"/>
          <w:lang w:val="sr-Latn-CS"/>
        </w:rPr>
        <w:t xml:space="preserve"> 220 </w:t>
      </w:r>
      <w:r w:rsidR="00E71ED6" w:rsidRPr="00BF57A3">
        <w:rPr>
          <w:sz w:val="22"/>
          <w:szCs w:val="22"/>
          <w:lang w:val="en-US"/>
        </w:rPr>
        <w:t>mg</w:t>
      </w:r>
      <w:r w:rsidR="00E71ED6" w:rsidRPr="00BF57A3">
        <w:rPr>
          <w:sz w:val="22"/>
          <w:szCs w:val="22"/>
          <w:lang w:val="sr-Latn-CS"/>
        </w:rPr>
        <w:t>/</w:t>
      </w:r>
      <w:r w:rsidR="00E71ED6" w:rsidRPr="00BF57A3">
        <w:rPr>
          <w:sz w:val="22"/>
          <w:szCs w:val="22"/>
          <w:lang w:val="en-US"/>
        </w:rPr>
        <w:t>m</w:t>
      </w:r>
      <w:r w:rsidR="00E71ED6" w:rsidRPr="00BF57A3">
        <w:rPr>
          <w:sz w:val="22"/>
          <w:szCs w:val="22"/>
          <w:vertAlign w:val="superscript"/>
          <w:lang w:val="sr-Latn-CS"/>
        </w:rPr>
        <w:t xml:space="preserve">2 </w:t>
      </w:r>
      <w:r w:rsidR="00E71ED6" w:rsidRPr="00BF57A3">
        <w:rPr>
          <w:sz w:val="22"/>
          <w:szCs w:val="22"/>
          <w:lang w:val="en-US"/>
        </w:rPr>
        <w:t>u</w:t>
      </w:r>
      <w:r w:rsidR="00E71ED6" w:rsidRPr="00BF57A3">
        <w:rPr>
          <w:sz w:val="22"/>
          <w:szCs w:val="22"/>
          <w:lang w:val="sr-Latn-CS"/>
        </w:rPr>
        <w:t xml:space="preserve"> </w:t>
      </w:r>
      <w:r w:rsidR="00E71ED6" w:rsidRPr="00BF57A3">
        <w:rPr>
          <w:sz w:val="22"/>
          <w:szCs w:val="22"/>
          <w:lang w:val="en-US"/>
        </w:rPr>
        <w:t>narednim</w:t>
      </w:r>
      <w:r w:rsidR="00E71ED6" w:rsidRPr="00BF57A3">
        <w:rPr>
          <w:sz w:val="22"/>
          <w:szCs w:val="22"/>
          <w:lang w:val="sr-Latn-CS"/>
        </w:rPr>
        <w:t xml:space="preserve"> </w:t>
      </w:r>
      <w:r w:rsidR="00E71ED6" w:rsidRPr="00BF57A3">
        <w:rPr>
          <w:sz w:val="22"/>
          <w:szCs w:val="22"/>
          <w:lang w:val="en-US"/>
        </w:rPr>
        <w:t>ciklusima</w:t>
      </w:r>
      <w:r w:rsidR="00E71ED6" w:rsidRPr="00BF57A3">
        <w:rPr>
          <w:sz w:val="22"/>
          <w:szCs w:val="22"/>
          <w:lang w:val="sr-Latn-CS"/>
        </w:rPr>
        <w:t xml:space="preserve"> </w:t>
      </w:r>
      <w:r w:rsidR="00E71ED6" w:rsidRPr="00BF57A3">
        <w:rPr>
          <w:sz w:val="22"/>
          <w:szCs w:val="22"/>
          <w:lang w:val="en-US"/>
        </w:rPr>
        <w:t>l</w:t>
      </w:r>
      <w:r w:rsidR="006354E4" w:rsidRPr="00BF57A3">
        <w:rPr>
          <w:sz w:val="22"/>
          <w:szCs w:val="22"/>
        </w:rPr>
        <w:t>ij</w:t>
      </w:r>
      <w:r w:rsidR="00E71ED6" w:rsidRPr="00BF57A3">
        <w:rPr>
          <w:sz w:val="22"/>
          <w:szCs w:val="22"/>
          <w:lang w:val="en-US"/>
        </w:rPr>
        <w:t>e</w:t>
      </w:r>
      <w:r w:rsidR="00E71ED6" w:rsidRPr="00BF57A3">
        <w:rPr>
          <w:sz w:val="22"/>
          <w:szCs w:val="22"/>
          <w:lang w:val="sr-Latn-CS"/>
        </w:rPr>
        <w:t>č</w:t>
      </w:r>
      <w:r w:rsidR="00E71ED6" w:rsidRPr="00BF57A3">
        <w:rPr>
          <w:sz w:val="22"/>
          <w:szCs w:val="22"/>
          <w:lang w:val="en-US"/>
        </w:rPr>
        <w:t>enja</w:t>
      </w:r>
      <w:r w:rsidR="00E71ED6" w:rsidRPr="00BF57A3">
        <w:rPr>
          <w:sz w:val="22"/>
          <w:szCs w:val="22"/>
          <w:lang w:val="sr-Latn-CS"/>
        </w:rPr>
        <w:t xml:space="preserve">. </w:t>
      </w:r>
      <w:r w:rsidR="00E71ED6" w:rsidRPr="00BF57A3">
        <w:rPr>
          <w:sz w:val="22"/>
          <w:szCs w:val="22"/>
          <w:lang w:val="en-US"/>
        </w:rPr>
        <w:t>U</w:t>
      </w:r>
      <w:r w:rsidR="00E71ED6" w:rsidRPr="00BF57A3">
        <w:rPr>
          <w:sz w:val="22"/>
          <w:szCs w:val="22"/>
          <w:lang w:val="sr-Latn-CS"/>
        </w:rPr>
        <w:t xml:space="preserve"> </w:t>
      </w:r>
      <w:r w:rsidR="00E71ED6" w:rsidRPr="00BF57A3">
        <w:rPr>
          <w:sz w:val="22"/>
          <w:szCs w:val="22"/>
          <w:lang w:val="en-US"/>
        </w:rPr>
        <w:t>slu</w:t>
      </w:r>
      <w:r w:rsidR="00E71ED6" w:rsidRPr="00BF57A3">
        <w:rPr>
          <w:sz w:val="22"/>
          <w:szCs w:val="22"/>
          <w:lang w:val="sr-Latn-CS"/>
        </w:rPr>
        <w:t>č</w:t>
      </w:r>
      <w:r w:rsidR="00E71ED6" w:rsidRPr="00BF57A3">
        <w:rPr>
          <w:sz w:val="22"/>
          <w:szCs w:val="22"/>
          <w:lang w:val="en-US"/>
        </w:rPr>
        <w:t>aju</w:t>
      </w:r>
      <w:r w:rsidR="00E71ED6" w:rsidRPr="00BF57A3">
        <w:rPr>
          <w:sz w:val="22"/>
          <w:szCs w:val="22"/>
          <w:lang w:val="sr-Latn-CS"/>
        </w:rPr>
        <w:t xml:space="preserve"> </w:t>
      </w:r>
      <w:r w:rsidR="00E71ED6" w:rsidRPr="00BF57A3">
        <w:rPr>
          <w:sz w:val="22"/>
          <w:szCs w:val="22"/>
          <w:lang w:val="en-US"/>
        </w:rPr>
        <w:t>ponavljanja</w:t>
      </w:r>
      <w:r w:rsidR="00E71ED6" w:rsidRPr="00BF57A3">
        <w:rPr>
          <w:sz w:val="22"/>
          <w:szCs w:val="22"/>
          <w:lang w:val="sr-Latn-CS"/>
        </w:rPr>
        <w:t xml:space="preserve"> </w:t>
      </w:r>
      <w:r w:rsidR="00E71ED6" w:rsidRPr="00BF57A3">
        <w:rPr>
          <w:sz w:val="22"/>
          <w:szCs w:val="22"/>
          <w:lang w:val="en-US"/>
        </w:rPr>
        <w:t>te</w:t>
      </w:r>
      <w:r w:rsidR="00E71ED6" w:rsidRPr="00BF57A3">
        <w:rPr>
          <w:sz w:val="22"/>
          <w:szCs w:val="22"/>
          <w:lang w:val="sr-Latn-CS"/>
        </w:rPr>
        <w:t>š</w:t>
      </w:r>
      <w:r w:rsidR="00E71ED6" w:rsidRPr="00BF57A3">
        <w:rPr>
          <w:sz w:val="22"/>
          <w:szCs w:val="22"/>
          <w:lang w:val="en-US"/>
        </w:rPr>
        <w:t>ke</w:t>
      </w:r>
      <w:r w:rsidR="00E71ED6" w:rsidRPr="00BF57A3">
        <w:rPr>
          <w:sz w:val="22"/>
          <w:szCs w:val="22"/>
          <w:lang w:val="sr-Latn-CS"/>
        </w:rPr>
        <w:t xml:space="preserve"> </w:t>
      </w:r>
      <w:r w:rsidR="00E71ED6" w:rsidRPr="00BF57A3">
        <w:rPr>
          <w:sz w:val="22"/>
          <w:szCs w:val="22"/>
          <w:lang w:val="en-US"/>
        </w:rPr>
        <w:t>neutropenije</w:t>
      </w:r>
      <w:r w:rsidR="00E71ED6" w:rsidRPr="00BF57A3">
        <w:rPr>
          <w:sz w:val="22"/>
          <w:szCs w:val="22"/>
          <w:lang w:val="sr-Latn-CS"/>
        </w:rPr>
        <w:t xml:space="preserve"> </w:t>
      </w:r>
      <w:proofErr w:type="gramStart"/>
      <w:r w:rsidR="00E71ED6" w:rsidRPr="00BF57A3">
        <w:rPr>
          <w:sz w:val="22"/>
          <w:szCs w:val="22"/>
          <w:lang w:val="en-US"/>
        </w:rPr>
        <w:t>ili</w:t>
      </w:r>
      <w:proofErr w:type="gramEnd"/>
      <w:r w:rsidR="00E71ED6" w:rsidRPr="00BF57A3">
        <w:rPr>
          <w:sz w:val="22"/>
          <w:szCs w:val="22"/>
          <w:lang w:val="sr-Latn-CS"/>
        </w:rPr>
        <w:t xml:space="preserve"> </w:t>
      </w:r>
      <w:r w:rsidR="00E71ED6" w:rsidRPr="00BF57A3">
        <w:rPr>
          <w:sz w:val="22"/>
          <w:szCs w:val="22"/>
          <w:lang w:val="en-US"/>
        </w:rPr>
        <w:t>te</w:t>
      </w:r>
      <w:r w:rsidR="00E71ED6" w:rsidRPr="00BF57A3">
        <w:rPr>
          <w:sz w:val="22"/>
          <w:szCs w:val="22"/>
          <w:lang w:val="sr-Latn-CS"/>
        </w:rPr>
        <w:t>š</w:t>
      </w:r>
      <w:r w:rsidR="00E71ED6" w:rsidRPr="00BF57A3">
        <w:rPr>
          <w:sz w:val="22"/>
          <w:szCs w:val="22"/>
          <w:lang w:val="en-US"/>
        </w:rPr>
        <w:t>ke</w:t>
      </w:r>
      <w:r w:rsidR="00E71ED6" w:rsidRPr="00BF57A3">
        <w:rPr>
          <w:sz w:val="22"/>
          <w:szCs w:val="22"/>
          <w:lang w:val="sr-Latn-CS"/>
        </w:rPr>
        <w:t xml:space="preserve"> </w:t>
      </w:r>
      <w:r w:rsidR="00E71ED6" w:rsidRPr="00BF57A3">
        <w:rPr>
          <w:sz w:val="22"/>
          <w:szCs w:val="22"/>
          <w:lang w:val="en-US"/>
        </w:rPr>
        <w:t>senzorne</w:t>
      </w:r>
      <w:r w:rsidR="00E71ED6" w:rsidRPr="00BF57A3">
        <w:rPr>
          <w:sz w:val="22"/>
          <w:szCs w:val="22"/>
          <w:lang w:val="sr-Latn-CS"/>
        </w:rPr>
        <w:t xml:space="preserve"> </w:t>
      </w:r>
      <w:r w:rsidR="00E71ED6" w:rsidRPr="00BF57A3">
        <w:rPr>
          <w:sz w:val="22"/>
          <w:szCs w:val="22"/>
          <w:lang w:val="en-US"/>
        </w:rPr>
        <w:t>neuropatije</w:t>
      </w:r>
      <w:r w:rsidR="00E71ED6" w:rsidRPr="00BF57A3">
        <w:rPr>
          <w:sz w:val="22"/>
          <w:szCs w:val="22"/>
          <w:lang w:val="sr-Latn-CS"/>
        </w:rPr>
        <w:t xml:space="preserve"> </w:t>
      </w:r>
      <w:r w:rsidR="00E71ED6" w:rsidRPr="00BF57A3">
        <w:rPr>
          <w:sz w:val="22"/>
          <w:szCs w:val="22"/>
          <w:lang w:val="en-US"/>
        </w:rPr>
        <w:t>potrebno</w:t>
      </w:r>
      <w:r w:rsidR="00E71ED6" w:rsidRPr="00BF57A3">
        <w:rPr>
          <w:sz w:val="22"/>
          <w:szCs w:val="22"/>
          <w:lang w:val="sr-Latn-CS"/>
        </w:rPr>
        <w:t xml:space="preserve"> </w:t>
      </w:r>
      <w:r w:rsidR="00E71ED6" w:rsidRPr="00BF57A3">
        <w:rPr>
          <w:sz w:val="22"/>
          <w:szCs w:val="22"/>
          <w:lang w:val="en-US"/>
        </w:rPr>
        <w:t>je</w:t>
      </w:r>
      <w:r w:rsidR="00E71ED6" w:rsidRPr="00BF57A3">
        <w:rPr>
          <w:sz w:val="22"/>
          <w:szCs w:val="22"/>
          <w:lang w:val="sr-Latn-CS"/>
        </w:rPr>
        <w:t xml:space="preserve"> </w:t>
      </w:r>
      <w:r w:rsidR="00E71ED6" w:rsidRPr="00BF57A3">
        <w:rPr>
          <w:sz w:val="22"/>
          <w:szCs w:val="22"/>
          <w:lang w:val="en-US"/>
        </w:rPr>
        <w:t>dodatno</w:t>
      </w:r>
      <w:r w:rsidR="00E71ED6" w:rsidRPr="00BF57A3">
        <w:rPr>
          <w:sz w:val="22"/>
          <w:szCs w:val="22"/>
          <w:lang w:val="sr-Latn-CS"/>
        </w:rPr>
        <w:t xml:space="preserve"> </w:t>
      </w:r>
      <w:r w:rsidR="00E71ED6" w:rsidRPr="00BF57A3">
        <w:rPr>
          <w:sz w:val="22"/>
          <w:szCs w:val="22"/>
          <w:lang w:val="en-US"/>
        </w:rPr>
        <w:lastRenderedPageBreak/>
        <w:t>smanjiti</w:t>
      </w:r>
      <w:r w:rsidR="00E71ED6" w:rsidRPr="00BF57A3">
        <w:rPr>
          <w:sz w:val="22"/>
          <w:szCs w:val="22"/>
          <w:lang w:val="sr-Latn-CS"/>
        </w:rPr>
        <w:t xml:space="preserve"> </w:t>
      </w:r>
      <w:r w:rsidR="00E71ED6" w:rsidRPr="00BF57A3">
        <w:rPr>
          <w:sz w:val="22"/>
          <w:szCs w:val="22"/>
          <w:lang w:val="en-US"/>
        </w:rPr>
        <w:t>dozu</w:t>
      </w:r>
      <w:r w:rsidR="00E71ED6" w:rsidRPr="00BF57A3">
        <w:rPr>
          <w:sz w:val="22"/>
          <w:szCs w:val="22"/>
          <w:lang w:val="sr-Latn-CS"/>
        </w:rPr>
        <w:t xml:space="preserve"> </w:t>
      </w:r>
      <w:r w:rsidR="00E71ED6" w:rsidRPr="00BF57A3">
        <w:rPr>
          <w:sz w:val="22"/>
          <w:szCs w:val="22"/>
          <w:lang w:val="en-US"/>
        </w:rPr>
        <w:t>na</w:t>
      </w:r>
      <w:r w:rsidR="00E71ED6" w:rsidRPr="00BF57A3">
        <w:rPr>
          <w:sz w:val="22"/>
          <w:szCs w:val="22"/>
          <w:lang w:val="sr-Latn-CS"/>
        </w:rPr>
        <w:t xml:space="preserve"> 180 </w:t>
      </w:r>
      <w:r w:rsidR="00E71ED6" w:rsidRPr="00BF57A3">
        <w:rPr>
          <w:sz w:val="22"/>
          <w:szCs w:val="22"/>
          <w:lang w:val="en-US"/>
        </w:rPr>
        <w:t>mg</w:t>
      </w:r>
      <w:r w:rsidR="00E71ED6" w:rsidRPr="00BF57A3">
        <w:rPr>
          <w:sz w:val="22"/>
          <w:szCs w:val="22"/>
          <w:lang w:val="sr-Latn-CS"/>
        </w:rPr>
        <w:t>/</w:t>
      </w:r>
      <w:r w:rsidR="00E71ED6" w:rsidRPr="00BF57A3">
        <w:rPr>
          <w:sz w:val="22"/>
          <w:szCs w:val="22"/>
          <w:lang w:val="en-US"/>
        </w:rPr>
        <w:t>m</w:t>
      </w:r>
      <w:r w:rsidR="00E71ED6" w:rsidRPr="00BF57A3">
        <w:rPr>
          <w:sz w:val="22"/>
          <w:szCs w:val="22"/>
          <w:vertAlign w:val="superscript"/>
          <w:lang w:val="sr-Latn-CS"/>
        </w:rPr>
        <w:t>2</w:t>
      </w:r>
      <w:r w:rsidR="00E71ED6" w:rsidRPr="00BF57A3">
        <w:rPr>
          <w:sz w:val="22"/>
          <w:szCs w:val="22"/>
          <w:lang w:val="sr-Latn-CS"/>
        </w:rPr>
        <w:t xml:space="preserve">. </w:t>
      </w:r>
      <w:r w:rsidR="00E71ED6" w:rsidRPr="00BF57A3">
        <w:rPr>
          <w:sz w:val="22"/>
          <w:szCs w:val="22"/>
          <w:lang w:val="it-IT"/>
        </w:rPr>
        <w:t>Abraxane se ne sm</w:t>
      </w:r>
      <w:r w:rsidR="006354E4" w:rsidRPr="00BF57A3">
        <w:rPr>
          <w:sz w:val="22"/>
          <w:szCs w:val="22"/>
          <w:lang w:val="it-IT"/>
        </w:rPr>
        <w:t>ij</w:t>
      </w:r>
      <w:r w:rsidR="00E71ED6" w:rsidRPr="00BF57A3">
        <w:rPr>
          <w:sz w:val="22"/>
          <w:szCs w:val="22"/>
          <w:lang w:val="it-IT"/>
        </w:rPr>
        <w:t>e prim</w:t>
      </w:r>
      <w:r w:rsidR="005E1EC0" w:rsidRPr="00BF57A3">
        <w:rPr>
          <w:sz w:val="22"/>
          <w:szCs w:val="22"/>
          <w:lang w:val="it-IT"/>
        </w:rPr>
        <w:t>j</w:t>
      </w:r>
      <w:r w:rsidR="00E71ED6" w:rsidRPr="00BF57A3">
        <w:rPr>
          <w:sz w:val="22"/>
          <w:szCs w:val="22"/>
          <w:lang w:val="it-IT"/>
        </w:rPr>
        <w:t>enjivati sve dok broj neutrofila ne poraste na &gt; 1500 ćelija/mm</w:t>
      </w:r>
      <w:r w:rsidR="00E71ED6" w:rsidRPr="00BF57A3">
        <w:rPr>
          <w:sz w:val="22"/>
          <w:szCs w:val="22"/>
          <w:vertAlign w:val="superscript"/>
          <w:lang w:val="it-IT"/>
        </w:rPr>
        <w:t>3</w:t>
      </w:r>
      <w:r w:rsidR="00E71ED6" w:rsidRPr="00BF57A3">
        <w:rPr>
          <w:sz w:val="22"/>
          <w:szCs w:val="22"/>
          <w:lang w:val="it-IT"/>
        </w:rPr>
        <w:t>. Kod senzorne neuropatije stepena 3 potrebno je obustaviti l</w:t>
      </w:r>
      <w:r w:rsidR="006354E4" w:rsidRPr="00BF57A3">
        <w:rPr>
          <w:sz w:val="22"/>
          <w:szCs w:val="22"/>
          <w:lang w:val="it-IT"/>
        </w:rPr>
        <w:t>ij</w:t>
      </w:r>
      <w:r w:rsidR="00E71ED6" w:rsidRPr="00BF57A3">
        <w:rPr>
          <w:sz w:val="22"/>
          <w:szCs w:val="22"/>
          <w:lang w:val="it-IT"/>
        </w:rPr>
        <w:t>ečenje do oporavka na stepen 1 ili 2, i smanjiti dozu za sve naredne cikluse l</w:t>
      </w:r>
      <w:r w:rsidR="006354E4" w:rsidRPr="00BF57A3">
        <w:rPr>
          <w:sz w:val="22"/>
          <w:szCs w:val="22"/>
          <w:lang w:val="it-IT"/>
        </w:rPr>
        <w:t>ij</w:t>
      </w:r>
      <w:r w:rsidR="00E71ED6" w:rsidRPr="00BF57A3">
        <w:rPr>
          <w:sz w:val="22"/>
          <w:szCs w:val="22"/>
          <w:lang w:val="it-IT"/>
        </w:rPr>
        <w:t>ečenja.</w:t>
      </w:r>
    </w:p>
    <w:p w14:paraId="6DE76C6F" w14:textId="77777777" w:rsidR="00E71ED6" w:rsidRPr="00BF57A3" w:rsidRDefault="00E71ED6">
      <w:pPr>
        <w:tabs>
          <w:tab w:val="left" w:pos="540"/>
          <w:tab w:val="left" w:pos="569"/>
        </w:tabs>
        <w:jc w:val="both"/>
        <w:rPr>
          <w:bCs/>
          <w:sz w:val="22"/>
          <w:szCs w:val="22"/>
          <w:lang w:val="it-IT"/>
        </w:rPr>
      </w:pPr>
    </w:p>
    <w:p w14:paraId="6237D589" w14:textId="77777777" w:rsidR="00E71ED6" w:rsidRPr="00BF57A3" w:rsidRDefault="00E71ED6">
      <w:pPr>
        <w:pStyle w:val="Header"/>
        <w:tabs>
          <w:tab w:val="left" w:pos="284"/>
        </w:tabs>
        <w:jc w:val="both"/>
        <w:rPr>
          <w:i/>
          <w:sz w:val="22"/>
          <w:szCs w:val="22"/>
          <w:u w:val="single"/>
          <w:lang w:val="it-IT"/>
        </w:rPr>
      </w:pPr>
      <w:r w:rsidRPr="00BF57A3">
        <w:rPr>
          <w:i/>
          <w:sz w:val="22"/>
          <w:szCs w:val="22"/>
          <w:u w:val="single"/>
          <w:lang w:val="it-IT"/>
        </w:rPr>
        <w:t xml:space="preserve">Adenokarcinom pankreasa </w:t>
      </w:r>
    </w:p>
    <w:p w14:paraId="1307C250" w14:textId="77777777" w:rsidR="00E71ED6" w:rsidRPr="00BF57A3" w:rsidRDefault="00E71ED6">
      <w:pPr>
        <w:pStyle w:val="Header"/>
        <w:tabs>
          <w:tab w:val="left" w:pos="284"/>
        </w:tabs>
        <w:jc w:val="both"/>
        <w:rPr>
          <w:sz w:val="22"/>
          <w:szCs w:val="22"/>
          <w:lang w:val="it-IT"/>
        </w:rPr>
      </w:pPr>
      <w:r w:rsidRPr="00BF57A3">
        <w:rPr>
          <w:sz w:val="22"/>
          <w:szCs w:val="22"/>
          <w:lang w:val="it-IT"/>
        </w:rPr>
        <w:t>Preporučena doza l</w:t>
      </w:r>
      <w:r w:rsidR="001D2BFB" w:rsidRPr="00BF57A3">
        <w:rPr>
          <w:sz w:val="22"/>
          <w:szCs w:val="22"/>
          <w:lang w:val="it-IT"/>
        </w:rPr>
        <w:t>ij</w:t>
      </w:r>
      <w:r w:rsidRPr="00BF57A3">
        <w:rPr>
          <w:sz w:val="22"/>
          <w:szCs w:val="22"/>
          <w:lang w:val="it-IT"/>
        </w:rPr>
        <w:t>eka Abraxane u kombinaciji sa gemcitabinom iznosi 125 mg/m</w:t>
      </w:r>
      <w:r w:rsidRPr="00BF57A3">
        <w:rPr>
          <w:sz w:val="22"/>
          <w:szCs w:val="22"/>
          <w:vertAlign w:val="superscript"/>
          <w:lang w:val="it-IT"/>
        </w:rPr>
        <w:t>2</w:t>
      </w:r>
      <w:r w:rsidRPr="00BF57A3">
        <w:rPr>
          <w:sz w:val="22"/>
          <w:szCs w:val="22"/>
          <w:lang w:val="it-IT"/>
        </w:rPr>
        <w:t>, prim</w:t>
      </w:r>
      <w:r w:rsidR="00E47D47" w:rsidRPr="00BF57A3">
        <w:rPr>
          <w:sz w:val="22"/>
          <w:szCs w:val="22"/>
          <w:lang w:val="it-IT"/>
        </w:rPr>
        <w:t>i</w:t>
      </w:r>
      <w:r w:rsidR="001D2BFB" w:rsidRPr="00BF57A3">
        <w:rPr>
          <w:sz w:val="22"/>
          <w:szCs w:val="22"/>
          <w:lang w:val="it-IT"/>
        </w:rPr>
        <w:t>j</w:t>
      </w:r>
      <w:r w:rsidRPr="00BF57A3">
        <w:rPr>
          <w:sz w:val="22"/>
          <w:szCs w:val="22"/>
          <w:lang w:val="it-IT"/>
        </w:rPr>
        <w:t>enjena intravenski tokom 30 minuta 1., 8. i 15. dana svakog 28-dnevnog ciklusa. Istovremena preporučena doza gemcitabina iznosi 1000 mg/m</w:t>
      </w:r>
      <w:r w:rsidRPr="00BF57A3">
        <w:rPr>
          <w:sz w:val="22"/>
          <w:szCs w:val="22"/>
          <w:vertAlign w:val="superscript"/>
          <w:lang w:val="it-IT"/>
        </w:rPr>
        <w:t>2</w:t>
      </w:r>
      <w:r w:rsidR="00E47D47" w:rsidRPr="00BF57A3">
        <w:rPr>
          <w:sz w:val="22"/>
          <w:szCs w:val="22"/>
          <w:lang w:val="it-IT"/>
        </w:rPr>
        <w:t>,</w:t>
      </w:r>
      <w:r w:rsidRPr="00BF57A3">
        <w:rPr>
          <w:sz w:val="22"/>
          <w:szCs w:val="22"/>
          <w:lang w:val="it-IT"/>
        </w:rPr>
        <w:t xml:space="preserve"> prim</w:t>
      </w:r>
      <w:r w:rsidR="00E47D47" w:rsidRPr="00BF57A3">
        <w:rPr>
          <w:sz w:val="22"/>
          <w:szCs w:val="22"/>
          <w:lang w:val="it-IT"/>
        </w:rPr>
        <w:t>i</w:t>
      </w:r>
      <w:r w:rsidR="001D2BFB" w:rsidRPr="00BF57A3">
        <w:rPr>
          <w:sz w:val="22"/>
          <w:szCs w:val="22"/>
          <w:lang w:val="it-IT"/>
        </w:rPr>
        <w:t>j</w:t>
      </w:r>
      <w:r w:rsidRPr="00BF57A3">
        <w:rPr>
          <w:sz w:val="22"/>
          <w:szCs w:val="22"/>
          <w:lang w:val="it-IT"/>
        </w:rPr>
        <w:t>enjena intravenski tokom 30 minuta, odmah nakon završene prim</w:t>
      </w:r>
      <w:r w:rsidR="001D2BFB" w:rsidRPr="00BF57A3">
        <w:rPr>
          <w:sz w:val="22"/>
          <w:szCs w:val="22"/>
          <w:lang w:val="it-IT"/>
        </w:rPr>
        <w:t>j</w:t>
      </w:r>
      <w:r w:rsidRPr="00BF57A3">
        <w:rPr>
          <w:sz w:val="22"/>
          <w:szCs w:val="22"/>
          <w:lang w:val="it-IT"/>
        </w:rPr>
        <w:t>ene l</w:t>
      </w:r>
      <w:r w:rsidR="001D2BFB" w:rsidRPr="00BF57A3">
        <w:rPr>
          <w:sz w:val="22"/>
          <w:szCs w:val="22"/>
          <w:lang w:val="it-IT"/>
        </w:rPr>
        <w:t>ij</w:t>
      </w:r>
      <w:r w:rsidRPr="00BF57A3">
        <w:rPr>
          <w:sz w:val="22"/>
          <w:szCs w:val="22"/>
          <w:lang w:val="it-IT"/>
        </w:rPr>
        <w:t>eka Abraxane 1., 8. i 15. dana svakog 28-dnevnog ciklusa.</w:t>
      </w:r>
    </w:p>
    <w:p w14:paraId="2BB62CDD" w14:textId="77777777" w:rsidR="00E71ED6" w:rsidRPr="00BF57A3" w:rsidRDefault="00E71ED6">
      <w:pPr>
        <w:tabs>
          <w:tab w:val="left" w:pos="540"/>
          <w:tab w:val="left" w:pos="569"/>
        </w:tabs>
        <w:jc w:val="both"/>
        <w:rPr>
          <w:bCs/>
          <w:sz w:val="22"/>
          <w:szCs w:val="22"/>
          <w:lang w:val="it-IT"/>
        </w:rPr>
      </w:pPr>
    </w:p>
    <w:p w14:paraId="06E3DDCD" w14:textId="77777777" w:rsidR="00BA7A54" w:rsidRPr="00BF57A3" w:rsidRDefault="00BA7A54">
      <w:pPr>
        <w:pStyle w:val="Header"/>
        <w:tabs>
          <w:tab w:val="left" w:pos="284"/>
        </w:tabs>
        <w:jc w:val="both"/>
        <w:rPr>
          <w:i/>
          <w:sz w:val="22"/>
          <w:szCs w:val="22"/>
          <w:lang w:val="it-IT"/>
        </w:rPr>
      </w:pPr>
      <w:r w:rsidRPr="00BF57A3">
        <w:rPr>
          <w:i/>
          <w:sz w:val="22"/>
          <w:szCs w:val="22"/>
          <w:lang w:val="it-IT"/>
        </w:rPr>
        <w:t>Prilagođavanje doze tokom liječenja adenokarcinoma pankreasa</w:t>
      </w:r>
    </w:p>
    <w:p w14:paraId="6EC0A7D5" w14:textId="0967FDEE" w:rsidR="00BA7A54" w:rsidRPr="00BF57A3" w:rsidRDefault="00BA7A54">
      <w:pPr>
        <w:pStyle w:val="Header"/>
        <w:tabs>
          <w:tab w:val="left" w:pos="284"/>
        </w:tabs>
        <w:jc w:val="both"/>
        <w:rPr>
          <w:b/>
          <w:sz w:val="22"/>
          <w:szCs w:val="22"/>
          <w:lang w:val="it-IT"/>
        </w:rPr>
      </w:pPr>
      <w:r w:rsidRPr="00BF57A3">
        <w:rPr>
          <w:b/>
          <w:sz w:val="22"/>
          <w:szCs w:val="22"/>
          <w:lang w:val="it-IT"/>
        </w:rPr>
        <w:t xml:space="preserve">Tabela 1: Smanjivanje nivoa doza kod </w:t>
      </w:r>
      <w:r w:rsidR="00BF57A3">
        <w:rPr>
          <w:b/>
          <w:sz w:val="22"/>
          <w:szCs w:val="22"/>
          <w:lang w:val="it-IT"/>
        </w:rPr>
        <w:t>pacijenata</w:t>
      </w:r>
      <w:r w:rsidR="00BF57A3" w:rsidRPr="00BF57A3">
        <w:rPr>
          <w:b/>
          <w:sz w:val="22"/>
          <w:szCs w:val="22"/>
          <w:lang w:val="it-IT"/>
        </w:rPr>
        <w:t xml:space="preserve"> </w:t>
      </w:r>
      <w:r w:rsidRPr="00BF57A3">
        <w:rPr>
          <w:b/>
          <w:sz w:val="22"/>
          <w:szCs w:val="22"/>
          <w:lang w:val="it-IT"/>
        </w:rPr>
        <w:t>sa adenokarcinomom pankreasa</w:t>
      </w:r>
    </w:p>
    <w:p w14:paraId="6FF39694" w14:textId="77777777" w:rsidR="00BA7A54" w:rsidRPr="00BF57A3" w:rsidRDefault="00BA7A54" w:rsidP="006C640E">
      <w:pPr>
        <w:pStyle w:val="Header"/>
        <w:tabs>
          <w:tab w:val="left" w:pos="284"/>
        </w:tabs>
        <w:jc w:val="both"/>
        <w:rPr>
          <w:sz w:val="22"/>
          <w:szCs w:val="22"/>
          <w:lang w:val="it-IT"/>
        </w:rPr>
      </w:pPr>
    </w:p>
    <w:tbl>
      <w:tblPr>
        <w:tblW w:w="9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1"/>
        <w:gridCol w:w="2855"/>
        <w:gridCol w:w="2939"/>
      </w:tblGrid>
      <w:tr w:rsidR="00BA7A54" w:rsidRPr="00BF57A3" w14:paraId="0E7DCB4F" w14:textId="77777777" w:rsidTr="00EC24AF">
        <w:trPr>
          <w:trHeight w:val="383"/>
        </w:trPr>
        <w:tc>
          <w:tcPr>
            <w:tcW w:w="3421" w:type="dxa"/>
            <w:tcBorders>
              <w:top w:val="single" w:sz="4" w:space="0" w:color="auto"/>
              <w:bottom w:val="single" w:sz="4" w:space="0" w:color="auto"/>
            </w:tcBorders>
            <w:shd w:val="clear" w:color="auto" w:fill="auto"/>
            <w:vAlign w:val="center"/>
          </w:tcPr>
          <w:p w14:paraId="6EE4A3E0" w14:textId="77777777" w:rsidR="00BA7A54" w:rsidRPr="00BF57A3" w:rsidRDefault="00BA7A54" w:rsidP="006C640E">
            <w:pPr>
              <w:spacing w:before="60" w:after="60"/>
              <w:jc w:val="both"/>
              <w:rPr>
                <w:b/>
                <w:sz w:val="22"/>
                <w:szCs w:val="22"/>
                <w:lang w:val="it-IT"/>
              </w:rPr>
            </w:pPr>
            <w:r w:rsidRPr="00BF57A3">
              <w:rPr>
                <w:b/>
                <w:sz w:val="22"/>
                <w:szCs w:val="22"/>
                <w:lang w:val="it-IT"/>
              </w:rPr>
              <w:t xml:space="preserve">Nivo doze </w:t>
            </w:r>
          </w:p>
        </w:tc>
        <w:tc>
          <w:tcPr>
            <w:tcW w:w="2855" w:type="dxa"/>
            <w:tcBorders>
              <w:top w:val="single" w:sz="4" w:space="0" w:color="auto"/>
              <w:bottom w:val="single" w:sz="4" w:space="0" w:color="auto"/>
            </w:tcBorders>
            <w:shd w:val="clear" w:color="auto" w:fill="auto"/>
            <w:vAlign w:val="center"/>
          </w:tcPr>
          <w:p w14:paraId="546FA8CF" w14:textId="77777777" w:rsidR="00BA7A54" w:rsidRPr="00BF57A3" w:rsidRDefault="00BA7A54" w:rsidP="006C640E">
            <w:pPr>
              <w:spacing w:before="60" w:after="60"/>
              <w:jc w:val="both"/>
              <w:rPr>
                <w:b/>
                <w:sz w:val="22"/>
                <w:szCs w:val="22"/>
                <w:lang w:val="it-IT"/>
              </w:rPr>
            </w:pPr>
            <w:r w:rsidRPr="00BF57A3">
              <w:rPr>
                <w:b/>
                <w:sz w:val="22"/>
                <w:szCs w:val="22"/>
                <w:lang w:val="it-IT"/>
              </w:rPr>
              <w:t>Doza lijeka Abraxane (mg/m</w:t>
            </w:r>
            <w:r w:rsidRPr="00BF57A3">
              <w:rPr>
                <w:b/>
                <w:sz w:val="22"/>
                <w:szCs w:val="22"/>
                <w:vertAlign w:val="superscript"/>
                <w:lang w:val="it-IT"/>
              </w:rPr>
              <w:t>2</w:t>
            </w:r>
            <w:r w:rsidRPr="00BF57A3">
              <w:rPr>
                <w:b/>
                <w:sz w:val="22"/>
                <w:szCs w:val="22"/>
                <w:lang w:val="it-IT"/>
              </w:rPr>
              <w:t>)</w:t>
            </w:r>
          </w:p>
        </w:tc>
        <w:tc>
          <w:tcPr>
            <w:tcW w:w="2939" w:type="dxa"/>
            <w:tcBorders>
              <w:top w:val="single" w:sz="4" w:space="0" w:color="auto"/>
              <w:bottom w:val="single" w:sz="4" w:space="0" w:color="auto"/>
            </w:tcBorders>
            <w:shd w:val="clear" w:color="auto" w:fill="auto"/>
            <w:vAlign w:val="center"/>
          </w:tcPr>
          <w:p w14:paraId="5AABDE58" w14:textId="77777777" w:rsidR="00BA7A54" w:rsidRPr="00BF57A3" w:rsidRDefault="00BA7A54" w:rsidP="006C640E">
            <w:pPr>
              <w:spacing w:before="60" w:after="60"/>
              <w:jc w:val="both"/>
              <w:rPr>
                <w:b/>
                <w:sz w:val="22"/>
                <w:szCs w:val="22"/>
                <w:lang w:val="it-IT"/>
              </w:rPr>
            </w:pPr>
            <w:r w:rsidRPr="00BF57A3">
              <w:rPr>
                <w:b/>
                <w:sz w:val="22"/>
                <w:szCs w:val="22"/>
                <w:lang w:val="it-IT"/>
              </w:rPr>
              <w:t>Doza gemcitabina (mg/m</w:t>
            </w:r>
            <w:r w:rsidRPr="00BF57A3">
              <w:rPr>
                <w:b/>
                <w:sz w:val="22"/>
                <w:szCs w:val="22"/>
                <w:vertAlign w:val="superscript"/>
                <w:lang w:val="it-IT"/>
              </w:rPr>
              <w:t>2</w:t>
            </w:r>
            <w:r w:rsidRPr="00BF57A3">
              <w:rPr>
                <w:b/>
                <w:sz w:val="22"/>
                <w:szCs w:val="22"/>
                <w:lang w:val="it-IT"/>
              </w:rPr>
              <w:t>)</w:t>
            </w:r>
          </w:p>
        </w:tc>
      </w:tr>
      <w:tr w:rsidR="00BA7A54" w:rsidRPr="00BF57A3" w14:paraId="50A1E01D" w14:textId="77777777" w:rsidTr="00EC24AF">
        <w:trPr>
          <w:trHeight w:val="398"/>
        </w:trPr>
        <w:tc>
          <w:tcPr>
            <w:tcW w:w="3421" w:type="dxa"/>
            <w:tcBorders>
              <w:top w:val="single" w:sz="4" w:space="0" w:color="auto"/>
            </w:tcBorders>
            <w:shd w:val="clear" w:color="auto" w:fill="auto"/>
            <w:vAlign w:val="center"/>
          </w:tcPr>
          <w:p w14:paraId="0AED5A69" w14:textId="77777777" w:rsidR="00BA7A54" w:rsidRPr="00BF57A3" w:rsidRDefault="00BA7A54" w:rsidP="006C640E">
            <w:pPr>
              <w:spacing w:before="60" w:after="60"/>
              <w:ind w:firstLine="162"/>
              <w:jc w:val="both"/>
              <w:rPr>
                <w:sz w:val="22"/>
                <w:szCs w:val="22"/>
                <w:lang w:val="it-IT"/>
              </w:rPr>
            </w:pPr>
            <w:r w:rsidRPr="00BF57A3">
              <w:rPr>
                <w:sz w:val="22"/>
                <w:szCs w:val="22"/>
                <w:lang w:val="it-IT"/>
              </w:rPr>
              <w:t xml:space="preserve">Puna doza </w:t>
            </w:r>
          </w:p>
        </w:tc>
        <w:tc>
          <w:tcPr>
            <w:tcW w:w="2855" w:type="dxa"/>
            <w:tcBorders>
              <w:top w:val="single" w:sz="4" w:space="0" w:color="auto"/>
            </w:tcBorders>
            <w:shd w:val="clear" w:color="auto" w:fill="auto"/>
            <w:vAlign w:val="center"/>
          </w:tcPr>
          <w:p w14:paraId="4EB23746" w14:textId="77777777" w:rsidR="00BA7A54" w:rsidRPr="00BF57A3" w:rsidRDefault="00BA7A54" w:rsidP="006C640E">
            <w:pPr>
              <w:spacing w:before="60" w:after="60"/>
              <w:jc w:val="both"/>
              <w:rPr>
                <w:sz w:val="22"/>
                <w:szCs w:val="22"/>
                <w:lang w:val="it-IT"/>
              </w:rPr>
            </w:pPr>
            <w:r w:rsidRPr="00BF57A3">
              <w:rPr>
                <w:sz w:val="22"/>
                <w:szCs w:val="22"/>
                <w:lang w:val="it-IT"/>
              </w:rPr>
              <w:t>125</w:t>
            </w:r>
          </w:p>
        </w:tc>
        <w:tc>
          <w:tcPr>
            <w:tcW w:w="2939" w:type="dxa"/>
            <w:tcBorders>
              <w:top w:val="single" w:sz="4" w:space="0" w:color="auto"/>
            </w:tcBorders>
            <w:shd w:val="clear" w:color="auto" w:fill="auto"/>
            <w:vAlign w:val="center"/>
          </w:tcPr>
          <w:p w14:paraId="25FF5D0F" w14:textId="77777777" w:rsidR="00BA7A54" w:rsidRPr="00BF57A3" w:rsidRDefault="00BA7A54" w:rsidP="006C640E">
            <w:pPr>
              <w:spacing w:before="60" w:after="60"/>
              <w:jc w:val="both"/>
              <w:rPr>
                <w:sz w:val="22"/>
                <w:szCs w:val="22"/>
                <w:lang w:val="it-IT"/>
              </w:rPr>
            </w:pPr>
            <w:r w:rsidRPr="00BF57A3">
              <w:rPr>
                <w:sz w:val="22"/>
                <w:szCs w:val="22"/>
                <w:lang w:val="it-IT"/>
              </w:rPr>
              <w:t>1000</w:t>
            </w:r>
          </w:p>
        </w:tc>
      </w:tr>
      <w:tr w:rsidR="00BA7A54" w:rsidRPr="00BF57A3" w14:paraId="34916D7D" w14:textId="77777777" w:rsidTr="00EC24AF">
        <w:trPr>
          <w:trHeight w:val="383"/>
        </w:trPr>
        <w:tc>
          <w:tcPr>
            <w:tcW w:w="3421" w:type="dxa"/>
            <w:shd w:val="clear" w:color="auto" w:fill="auto"/>
            <w:vAlign w:val="center"/>
          </w:tcPr>
          <w:p w14:paraId="6D1FA64D" w14:textId="77777777" w:rsidR="00BA7A54" w:rsidRPr="00BF57A3" w:rsidRDefault="00BA7A54" w:rsidP="006C640E">
            <w:pPr>
              <w:spacing w:before="60" w:after="60"/>
              <w:ind w:firstLine="162"/>
              <w:jc w:val="both"/>
              <w:rPr>
                <w:sz w:val="22"/>
                <w:szCs w:val="22"/>
              </w:rPr>
            </w:pPr>
            <w:r w:rsidRPr="00BF57A3">
              <w:rPr>
                <w:sz w:val="22"/>
                <w:szCs w:val="22"/>
              </w:rPr>
              <w:t>1. smanjenje nivoa doze</w:t>
            </w:r>
          </w:p>
        </w:tc>
        <w:tc>
          <w:tcPr>
            <w:tcW w:w="2855" w:type="dxa"/>
            <w:shd w:val="clear" w:color="auto" w:fill="auto"/>
            <w:vAlign w:val="center"/>
          </w:tcPr>
          <w:p w14:paraId="723BDC25" w14:textId="77777777" w:rsidR="00BA7A54" w:rsidRPr="00BF57A3" w:rsidRDefault="00BA7A54" w:rsidP="006C640E">
            <w:pPr>
              <w:spacing w:before="60" w:after="60"/>
              <w:jc w:val="both"/>
              <w:rPr>
                <w:sz w:val="22"/>
                <w:szCs w:val="22"/>
              </w:rPr>
            </w:pPr>
            <w:r w:rsidRPr="00BF57A3">
              <w:rPr>
                <w:sz w:val="22"/>
                <w:szCs w:val="22"/>
              </w:rPr>
              <w:t>100</w:t>
            </w:r>
          </w:p>
        </w:tc>
        <w:tc>
          <w:tcPr>
            <w:tcW w:w="2939" w:type="dxa"/>
            <w:shd w:val="clear" w:color="auto" w:fill="auto"/>
            <w:vAlign w:val="center"/>
          </w:tcPr>
          <w:p w14:paraId="7D796129" w14:textId="77777777" w:rsidR="00BA7A54" w:rsidRPr="00BF57A3" w:rsidRDefault="00BA7A54" w:rsidP="006C640E">
            <w:pPr>
              <w:spacing w:before="60" w:after="60"/>
              <w:jc w:val="both"/>
              <w:rPr>
                <w:sz w:val="22"/>
                <w:szCs w:val="22"/>
              </w:rPr>
            </w:pPr>
            <w:r w:rsidRPr="00BF57A3">
              <w:rPr>
                <w:sz w:val="22"/>
                <w:szCs w:val="22"/>
              </w:rPr>
              <w:t>800</w:t>
            </w:r>
          </w:p>
        </w:tc>
      </w:tr>
      <w:tr w:rsidR="00BA7A54" w:rsidRPr="00BF57A3" w14:paraId="23E9A466" w14:textId="77777777" w:rsidTr="00EC24AF">
        <w:trPr>
          <w:trHeight w:val="398"/>
        </w:trPr>
        <w:tc>
          <w:tcPr>
            <w:tcW w:w="3421" w:type="dxa"/>
            <w:shd w:val="clear" w:color="auto" w:fill="auto"/>
            <w:vAlign w:val="center"/>
          </w:tcPr>
          <w:p w14:paraId="4A22172C" w14:textId="77777777" w:rsidR="00BA7A54" w:rsidRPr="00BF57A3" w:rsidRDefault="00BA7A54" w:rsidP="006C640E">
            <w:pPr>
              <w:spacing w:before="60" w:after="60"/>
              <w:ind w:firstLine="162"/>
              <w:jc w:val="both"/>
              <w:rPr>
                <w:sz w:val="22"/>
                <w:szCs w:val="22"/>
              </w:rPr>
            </w:pPr>
            <w:r w:rsidRPr="00BF57A3">
              <w:rPr>
                <w:sz w:val="22"/>
                <w:szCs w:val="22"/>
              </w:rPr>
              <w:t>2. smanjenje nivoa doze</w:t>
            </w:r>
          </w:p>
        </w:tc>
        <w:tc>
          <w:tcPr>
            <w:tcW w:w="2855" w:type="dxa"/>
            <w:shd w:val="clear" w:color="auto" w:fill="auto"/>
            <w:vAlign w:val="center"/>
          </w:tcPr>
          <w:p w14:paraId="18DFC6C2" w14:textId="77777777" w:rsidR="00BA7A54" w:rsidRPr="00BF57A3" w:rsidRDefault="00BA7A54" w:rsidP="006C640E">
            <w:pPr>
              <w:spacing w:before="60" w:after="60"/>
              <w:jc w:val="both"/>
              <w:rPr>
                <w:sz w:val="22"/>
                <w:szCs w:val="22"/>
              </w:rPr>
            </w:pPr>
            <w:r w:rsidRPr="00BF57A3">
              <w:rPr>
                <w:sz w:val="22"/>
                <w:szCs w:val="22"/>
              </w:rPr>
              <w:t>75</w:t>
            </w:r>
          </w:p>
        </w:tc>
        <w:tc>
          <w:tcPr>
            <w:tcW w:w="2939" w:type="dxa"/>
            <w:shd w:val="clear" w:color="auto" w:fill="auto"/>
            <w:vAlign w:val="center"/>
          </w:tcPr>
          <w:p w14:paraId="5BD8B6CC" w14:textId="77777777" w:rsidR="00BA7A54" w:rsidRPr="00BF57A3" w:rsidRDefault="00BA7A54" w:rsidP="006C640E">
            <w:pPr>
              <w:spacing w:before="60" w:after="60"/>
              <w:jc w:val="both"/>
              <w:rPr>
                <w:sz w:val="22"/>
                <w:szCs w:val="22"/>
              </w:rPr>
            </w:pPr>
            <w:r w:rsidRPr="00BF57A3">
              <w:rPr>
                <w:sz w:val="22"/>
                <w:szCs w:val="22"/>
              </w:rPr>
              <w:t>600</w:t>
            </w:r>
          </w:p>
        </w:tc>
      </w:tr>
      <w:tr w:rsidR="00BA7A54" w:rsidRPr="00BF57A3" w14:paraId="0C27AC58" w14:textId="77777777" w:rsidTr="00EC24AF">
        <w:trPr>
          <w:trHeight w:val="398"/>
        </w:trPr>
        <w:tc>
          <w:tcPr>
            <w:tcW w:w="3421" w:type="dxa"/>
            <w:tcBorders>
              <w:bottom w:val="single" w:sz="4" w:space="0" w:color="auto"/>
            </w:tcBorders>
            <w:shd w:val="clear" w:color="auto" w:fill="auto"/>
            <w:vAlign w:val="center"/>
          </w:tcPr>
          <w:p w14:paraId="5554B34C" w14:textId="77777777" w:rsidR="00BA7A54" w:rsidRPr="00BF57A3" w:rsidRDefault="00BA7A54" w:rsidP="006C640E">
            <w:pPr>
              <w:spacing w:before="60" w:after="60"/>
              <w:ind w:left="176"/>
              <w:jc w:val="both"/>
              <w:rPr>
                <w:sz w:val="22"/>
                <w:szCs w:val="22"/>
                <w:lang w:val="de-DE"/>
              </w:rPr>
            </w:pPr>
            <w:r w:rsidRPr="00BF57A3">
              <w:rPr>
                <w:sz w:val="22"/>
                <w:szCs w:val="22"/>
                <w:lang w:val="de-DE"/>
              </w:rPr>
              <w:t>Ako je potrebno dalje smanjivanje doze</w:t>
            </w:r>
          </w:p>
        </w:tc>
        <w:tc>
          <w:tcPr>
            <w:tcW w:w="2855" w:type="dxa"/>
            <w:shd w:val="clear" w:color="auto" w:fill="auto"/>
            <w:vAlign w:val="center"/>
          </w:tcPr>
          <w:p w14:paraId="2D6F4713" w14:textId="77777777" w:rsidR="00BA7A54" w:rsidRPr="00BF57A3" w:rsidRDefault="00BA7A54" w:rsidP="006C640E">
            <w:pPr>
              <w:spacing w:before="60" w:after="60"/>
              <w:jc w:val="both"/>
              <w:rPr>
                <w:sz w:val="22"/>
                <w:szCs w:val="22"/>
              </w:rPr>
            </w:pPr>
            <w:r w:rsidRPr="00BF57A3">
              <w:rPr>
                <w:sz w:val="22"/>
                <w:szCs w:val="22"/>
              </w:rPr>
              <w:t>Prekinuti liječenje</w:t>
            </w:r>
          </w:p>
        </w:tc>
        <w:tc>
          <w:tcPr>
            <w:tcW w:w="2939" w:type="dxa"/>
            <w:tcBorders>
              <w:bottom w:val="single" w:sz="4" w:space="0" w:color="auto"/>
            </w:tcBorders>
            <w:shd w:val="clear" w:color="auto" w:fill="auto"/>
            <w:vAlign w:val="center"/>
          </w:tcPr>
          <w:p w14:paraId="21065CED" w14:textId="77777777" w:rsidR="00BA7A54" w:rsidRPr="00BF57A3" w:rsidRDefault="00BA7A54" w:rsidP="006C640E">
            <w:pPr>
              <w:spacing w:before="60" w:after="60"/>
              <w:jc w:val="both"/>
              <w:rPr>
                <w:sz w:val="22"/>
                <w:szCs w:val="22"/>
              </w:rPr>
            </w:pPr>
            <w:r w:rsidRPr="00BF57A3">
              <w:rPr>
                <w:sz w:val="22"/>
                <w:szCs w:val="22"/>
              </w:rPr>
              <w:t>Prekinuti liječenje</w:t>
            </w:r>
          </w:p>
        </w:tc>
      </w:tr>
    </w:tbl>
    <w:p w14:paraId="690B60F1" w14:textId="77777777" w:rsidR="00BA7A54" w:rsidRPr="00BF57A3" w:rsidRDefault="00BA7A54" w:rsidP="006C640E">
      <w:pPr>
        <w:pStyle w:val="Header"/>
        <w:tabs>
          <w:tab w:val="left" w:pos="284"/>
        </w:tabs>
        <w:jc w:val="both"/>
        <w:rPr>
          <w:sz w:val="22"/>
          <w:szCs w:val="22"/>
          <w:lang w:val="en-US"/>
        </w:rPr>
      </w:pPr>
    </w:p>
    <w:p w14:paraId="7492E77F" w14:textId="77777777" w:rsidR="00BD6EAA" w:rsidRPr="00BF57A3" w:rsidRDefault="00BA7A54" w:rsidP="00BF57A3">
      <w:pPr>
        <w:pStyle w:val="Header"/>
        <w:tabs>
          <w:tab w:val="left" w:pos="284"/>
        </w:tabs>
        <w:jc w:val="both"/>
        <w:rPr>
          <w:b/>
          <w:sz w:val="22"/>
          <w:szCs w:val="22"/>
          <w:lang w:val="en-US"/>
        </w:rPr>
      </w:pPr>
      <w:r w:rsidRPr="00BF57A3">
        <w:rPr>
          <w:b/>
          <w:sz w:val="22"/>
          <w:szCs w:val="22"/>
          <w:lang w:val="en-US"/>
        </w:rPr>
        <w:t xml:space="preserve">Tabela 2: Promjene doze zbog neutropenije i/ili trombocitopenije </w:t>
      </w:r>
      <w:proofErr w:type="gramStart"/>
      <w:r w:rsidRPr="00BF57A3">
        <w:rPr>
          <w:b/>
          <w:sz w:val="22"/>
          <w:szCs w:val="22"/>
          <w:lang w:val="en-US"/>
        </w:rPr>
        <w:t>na</w:t>
      </w:r>
      <w:proofErr w:type="gramEnd"/>
      <w:r w:rsidRPr="00BF57A3">
        <w:rPr>
          <w:b/>
          <w:sz w:val="22"/>
          <w:szCs w:val="22"/>
          <w:lang w:val="en-US"/>
        </w:rPr>
        <w:t xml:space="preserve"> početku ciklusa ili tokom </w:t>
      </w:r>
    </w:p>
    <w:p w14:paraId="42C7ED32" w14:textId="758558FE" w:rsidR="00BA7A54" w:rsidRPr="00BF57A3" w:rsidRDefault="009A3CF1">
      <w:pPr>
        <w:pStyle w:val="Header"/>
        <w:tabs>
          <w:tab w:val="left" w:pos="284"/>
        </w:tabs>
        <w:jc w:val="both"/>
        <w:rPr>
          <w:b/>
          <w:sz w:val="22"/>
          <w:szCs w:val="22"/>
        </w:rPr>
      </w:pPr>
      <w:r w:rsidRPr="00BF57A3">
        <w:rPr>
          <w:b/>
          <w:sz w:val="22"/>
          <w:szCs w:val="22"/>
          <w:lang w:val="en-US"/>
        </w:rPr>
        <w:tab/>
        <w:t xml:space="preserve">            </w:t>
      </w:r>
      <w:proofErr w:type="gramStart"/>
      <w:r w:rsidR="00BA7A54" w:rsidRPr="00BF57A3">
        <w:rPr>
          <w:b/>
          <w:sz w:val="22"/>
          <w:szCs w:val="22"/>
          <w:lang w:val="en-US"/>
        </w:rPr>
        <w:t>ciklusa</w:t>
      </w:r>
      <w:proofErr w:type="gramEnd"/>
      <w:r w:rsidR="00BA7A54" w:rsidRPr="00BF57A3">
        <w:rPr>
          <w:b/>
          <w:sz w:val="22"/>
          <w:szCs w:val="22"/>
          <w:lang w:val="en-US"/>
        </w:rPr>
        <w:t xml:space="preserve"> kod </w:t>
      </w:r>
      <w:r w:rsidR="000E755D">
        <w:rPr>
          <w:b/>
          <w:sz w:val="22"/>
          <w:szCs w:val="22"/>
          <w:lang w:val="en-US"/>
        </w:rPr>
        <w:t>pacijenata</w:t>
      </w:r>
      <w:r w:rsidR="000E755D" w:rsidRPr="00BF57A3">
        <w:rPr>
          <w:b/>
          <w:sz w:val="22"/>
          <w:szCs w:val="22"/>
          <w:lang w:val="en-US"/>
        </w:rPr>
        <w:t xml:space="preserve"> </w:t>
      </w:r>
      <w:r w:rsidR="00BA7A54" w:rsidRPr="00BF57A3">
        <w:rPr>
          <w:b/>
          <w:sz w:val="22"/>
          <w:szCs w:val="22"/>
          <w:lang w:val="en-US"/>
        </w:rPr>
        <w:t>sa adenokarcinomom pankreasa</w:t>
      </w:r>
    </w:p>
    <w:p w14:paraId="0AE36CF6" w14:textId="77777777" w:rsidR="00BA7A54" w:rsidRPr="00BF57A3" w:rsidRDefault="00BA7A54" w:rsidP="006C640E">
      <w:pPr>
        <w:pStyle w:val="Header"/>
        <w:tabs>
          <w:tab w:val="left" w:pos="284"/>
        </w:tabs>
        <w:jc w:val="both"/>
        <w:rPr>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941"/>
        <w:gridCol w:w="736"/>
        <w:gridCol w:w="2235"/>
        <w:gridCol w:w="1843"/>
        <w:gridCol w:w="1559"/>
      </w:tblGrid>
      <w:tr w:rsidR="00BA7A54" w:rsidRPr="00BF57A3" w14:paraId="732E34F8" w14:textId="77777777" w:rsidTr="00EC24AF">
        <w:tc>
          <w:tcPr>
            <w:tcW w:w="900" w:type="dxa"/>
            <w:tcBorders>
              <w:top w:val="single" w:sz="4" w:space="0" w:color="auto"/>
              <w:bottom w:val="single" w:sz="4" w:space="0" w:color="auto"/>
            </w:tcBorders>
            <w:shd w:val="clear" w:color="auto" w:fill="auto"/>
            <w:vAlign w:val="center"/>
          </w:tcPr>
          <w:p w14:paraId="51D7CC05" w14:textId="77777777" w:rsidR="00BA7A54" w:rsidRPr="00BF57A3" w:rsidRDefault="00BA7A54" w:rsidP="006C640E">
            <w:pPr>
              <w:spacing w:before="60" w:after="60"/>
              <w:jc w:val="both"/>
              <w:rPr>
                <w:b/>
                <w:sz w:val="22"/>
                <w:szCs w:val="22"/>
              </w:rPr>
            </w:pPr>
            <w:r w:rsidRPr="00BF57A3">
              <w:rPr>
                <w:b/>
                <w:sz w:val="22"/>
                <w:szCs w:val="22"/>
              </w:rPr>
              <w:t>Dan ciklusa</w:t>
            </w:r>
          </w:p>
        </w:tc>
        <w:tc>
          <w:tcPr>
            <w:tcW w:w="1941" w:type="dxa"/>
            <w:tcBorders>
              <w:top w:val="single" w:sz="4" w:space="0" w:color="auto"/>
              <w:bottom w:val="single" w:sz="4" w:space="0" w:color="auto"/>
            </w:tcBorders>
            <w:shd w:val="clear" w:color="auto" w:fill="auto"/>
            <w:vAlign w:val="center"/>
          </w:tcPr>
          <w:p w14:paraId="5EBAAD90" w14:textId="77777777" w:rsidR="00BA7A54" w:rsidRPr="00BF57A3" w:rsidRDefault="00BA7A54" w:rsidP="006C640E">
            <w:pPr>
              <w:spacing w:before="60" w:after="60"/>
              <w:jc w:val="both"/>
              <w:rPr>
                <w:b/>
                <w:sz w:val="22"/>
                <w:szCs w:val="22"/>
              </w:rPr>
            </w:pPr>
            <w:r w:rsidRPr="00BF57A3">
              <w:rPr>
                <w:b/>
                <w:sz w:val="22"/>
                <w:szCs w:val="22"/>
              </w:rPr>
              <w:t>ABN</w:t>
            </w:r>
          </w:p>
          <w:p w14:paraId="3AA14DAC" w14:textId="77777777" w:rsidR="00BA7A54" w:rsidRPr="00BF57A3" w:rsidRDefault="00BA7A54" w:rsidP="006C640E">
            <w:pPr>
              <w:spacing w:before="60" w:after="60"/>
              <w:jc w:val="both"/>
              <w:rPr>
                <w:b/>
                <w:sz w:val="22"/>
                <w:szCs w:val="22"/>
              </w:rPr>
            </w:pPr>
            <w:r w:rsidRPr="00BF57A3">
              <w:rPr>
                <w:b/>
                <w:sz w:val="22"/>
                <w:szCs w:val="22"/>
              </w:rPr>
              <w:t xml:space="preserve"> (ćelije/mm</w:t>
            </w:r>
            <w:r w:rsidRPr="00BF57A3">
              <w:rPr>
                <w:b/>
                <w:sz w:val="22"/>
                <w:szCs w:val="22"/>
                <w:vertAlign w:val="superscript"/>
              </w:rPr>
              <w:t>3</w:t>
            </w:r>
            <w:r w:rsidRPr="00BF57A3">
              <w:rPr>
                <w:b/>
                <w:sz w:val="22"/>
                <w:szCs w:val="22"/>
              </w:rPr>
              <w:t>)</w:t>
            </w:r>
          </w:p>
        </w:tc>
        <w:tc>
          <w:tcPr>
            <w:tcW w:w="736" w:type="dxa"/>
            <w:tcBorders>
              <w:top w:val="single" w:sz="4" w:space="0" w:color="auto"/>
              <w:bottom w:val="single" w:sz="4" w:space="0" w:color="auto"/>
            </w:tcBorders>
            <w:shd w:val="clear" w:color="auto" w:fill="auto"/>
            <w:vAlign w:val="center"/>
          </w:tcPr>
          <w:p w14:paraId="592D8996" w14:textId="77777777" w:rsidR="00BA7A54" w:rsidRPr="00BF57A3" w:rsidRDefault="00BA7A54" w:rsidP="006C640E">
            <w:pPr>
              <w:spacing w:before="60" w:after="60"/>
              <w:jc w:val="both"/>
              <w:rPr>
                <w:b/>
                <w:sz w:val="22"/>
                <w:szCs w:val="22"/>
              </w:rPr>
            </w:pPr>
          </w:p>
        </w:tc>
        <w:tc>
          <w:tcPr>
            <w:tcW w:w="2235" w:type="dxa"/>
            <w:tcBorders>
              <w:top w:val="single" w:sz="4" w:space="0" w:color="auto"/>
              <w:bottom w:val="single" w:sz="4" w:space="0" w:color="auto"/>
            </w:tcBorders>
            <w:shd w:val="clear" w:color="auto" w:fill="auto"/>
            <w:vAlign w:val="center"/>
          </w:tcPr>
          <w:p w14:paraId="430431FC" w14:textId="77777777" w:rsidR="00BA7A54" w:rsidRPr="00BF57A3" w:rsidRDefault="00BA7A54" w:rsidP="006C640E">
            <w:pPr>
              <w:spacing w:before="60" w:after="60"/>
              <w:jc w:val="both"/>
              <w:rPr>
                <w:b/>
                <w:sz w:val="22"/>
                <w:szCs w:val="22"/>
              </w:rPr>
            </w:pPr>
            <w:r w:rsidRPr="00BF57A3">
              <w:rPr>
                <w:b/>
                <w:sz w:val="22"/>
                <w:szCs w:val="22"/>
              </w:rPr>
              <w:t>Trombociti (ćelije/mm</w:t>
            </w:r>
            <w:r w:rsidRPr="00BF57A3">
              <w:rPr>
                <w:b/>
                <w:sz w:val="22"/>
                <w:szCs w:val="22"/>
                <w:vertAlign w:val="superscript"/>
              </w:rPr>
              <w:t>3</w:t>
            </w:r>
            <w:r w:rsidRPr="00BF57A3">
              <w:rPr>
                <w:b/>
                <w:sz w:val="22"/>
                <w:szCs w:val="22"/>
              </w:rPr>
              <w:t>)</w:t>
            </w:r>
          </w:p>
        </w:tc>
        <w:tc>
          <w:tcPr>
            <w:tcW w:w="1843" w:type="dxa"/>
            <w:tcBorders>
              <w:top w:val="single" w:sz="4" w:space="0" w:color="auto"/>
              <w:bottom w:val="single" w:sz="4" w:space="0" w:color="auto"/>
            </w:tcBorders>
            <w:shd w:val="clear" w:color="auto" w:fill="auto"/>
            <w:vAlign w:val="center"/>
          </w:tcPr>
          <w:p w14:paraId="12FE5901" w14:textId="77777777" w:rsidR="00BA7A54" w:rsidRPr="00BF57A3" w:rsidRDefault="00BA7A54" w:rsidP="006C640E">
            <w:pPr>
              <w:spacing w:before="60" w:after="60"/>
              <w:jc w:val="both"/>
              <w:rPr>
                <w:sz w:val="22"/>
                <w:szCs w:val="22"/>
              </w:rPr>
            </w:pPr>
            <w:r w:rsidRPr="00BF57A3">
              <w:rPr>
                <w:b/>
                <w:bCs/>
                <w:sz w:val="22"/>
                <w:szCs w:val="22"/>
              </w:rPr>
              <w:t>Doza l</w:t>
            </w:r>
            <w:r w:rsidR="002B472E" w:rsidRPr="00BF57A3">
              <w:rPr>
                <w:b/>
                <w:bCs/>
                <w:sz w:val="22"/>
                <w:szCs w:val="22"/>
              </w:rPr>
              <w:t>ij</w:t>
            </w:r>
            <w:r w:rsidRPr="00BF57A3">
              <w:rPr>
                <w:b/>
                <w:bCs/>
                <w:sz w:val="22"/>
                <w:szCs w:val="22"/>
              </w:rPr>
              <w:t xml:space="preserve">eka Abraxane  </w:t>
            </w:r>
          </w:p>
        </w:tc>
        <w:tc>
          <w:tcPr>
            <w:tcW w:w="1559" w:type="dxa"/>
            <w:tcBorders>
              <w:top w:val="single" w:sz="4" w:space="0" w:color="auto"/>
              <w:bottom w:val="single" w:sz="4" w:space="0" w:color="auto"/>
            </w:tcBorders>
            <w:shd w:val="clear" w:color="auto" w:fill="auto"/>
            <w:vAlign w:val="center"/>
          </w:tcPr>
          <w:p w14:paraId="42A947A4" w14:textId="77777777" w:rsidR="00BA7A54" w:rsidRPr="00BF57A3" w:rsidRDefault="00BA7A54" w:rsidP="006C640E">
            <w:pPr>
              <w:spacing w:before="60" w:after="60"/>
              <w:jc w:val="both"/>
              <w:rPr>
                <w:sz w:val="22"/>
                <w:szCs w:val="22"/>
              </w:rPr>
            </w:pPr>
            <w:r w:rsidRPr="00BF57A3">
              <w:rPr>
                <w:b/>
                <w:bCs/>
                <w:sz w:val="22"/>
                <w:szCs w:val="22"/>
              </w:rPr>
              <w:t xml:space="preserve">Doza gemcitabina </w:t>
            </w:r>
          </w:p>
        </w:tc>
      </w:tr>
      <w:tr w:rsidR="00BA7A54" w:rsidRPr="00BF57A3" w14:paraId="6F09F396" w14:textId="77777777" w:rsidTr="00EC24AF">
        <w:tc>
          <w:tcPr>
            <w:tcW w:w="900" w:type="dxa"/>
            <w:tcBorders>
              <w:bottom w:val="single" w:sz="4" w:space="0" w:color="auto"/>
            </w:tcBorders>
            <w:shd w:val="clear" w:color="auto" w:fill="auto"/>
            <w:vAlign w:val="center"/>
          </w:tcPr>
          <w:p w14:paraId="4EB2F87E" w14:textId="77777777" w:rsidR="00BA7A54" w:rsidRPr="00BF57A3" w:rsidRDefault="00BA7A54" w:rsidP="006C640E">
            <w:pPr>
              <w:spacing w:before="60" w:after="60"/>
              <w:jc w:val="both"/>
              <w:rPr>
                <w:b/>
                <w:sz w:val="22"/>
                <w:szCs w:val="22"/>
              </w:rPr>
            </w:pPr>
            <w:r w:rsidRPr="00BF57A3">
              <w:rPr>
                <w:b/>
                <w:sz w:val="22"/>
                <w:szCs w:val="22"/>
              </w:rPr>
              <w:t>1.dan</w:t>
            </w:r>
          </w:p>
        </w:tc>
        <w:tc>
          <w:tcPr>
            <w:tcW w:w="1941" w:type="dxa"/>
            <w:tcBorders>
              <w:bottom w:val="single" w:sz="4" w:space="0" w:color="auto"/>
            </w:tcBorders>
            <w:shd w:val="clear" w:color="auto" w:fill="auto"/>
            <w:vAlign w:val="center"/>
          </w:tcPr>
          <w:p w14:paraId="42F3D0EA" w14:textId="77777777" w:rsidR="00BA7A54" w:rsidRPr="00BF57A3" w:rsidRDefault="00BA7A54" w:rsidP="006C640E">
            <w:pPr>
              <w:spacing w:before="60" w:after="60"/>
              <w:jc w:val="both"/>
              <w:rPr>
                <w:sz w:val="22"/>
                <w:szCs w:val="22"/>
              </w:rPr>
            </w:pPr>
            <w:r w:rsidRPr="00BF57A3">
              <w:rPr>
                <w:sz w:val="22"/>
                <w:szCs w:val="22"/>
              </w:rPr>
              <w:t xml:space="preserve">&lt; 1500 </w:t>
            </w:r>
          </w:p>
        </w:tc>
        <w:tc>
          <w:tcPr>
            <w:tcW w:w="736" w:type="dxa"/>
            <w:tcBorders>
              <w:bottom w:val="single" w:sz="4" w:space="0" w:color="auto"/>
            </w:tcBorders>
            <w:shd w:val="clear" w:color="auto" w:fill="auto"/>
            <w:vAlign w:val="center"/>
          </w:tcPr>
          <w:p w14:paraId="1EA2845D" w14:textId="77777777" w:rsidR="00BA7A54" w:rsidRPr="00BF57A3" w:rsidRDefault="00BA7A54" w:rsidP="006C640E">
            <w:pPr>
              <w:spacing w:before="60" w:after="60"/>
              <w:jc w:val="both"/>
              <w:rPr>
                <w:sz w:val="22"/>
                <w:szCs w:val="22"/>
              </w:rPr>
            </w:pPr>
            <w:r w:rsidRPr="00BF57A3">
              <w:rPr>
                <w:sz w:val="22"/>
                <w:szCs w:val="22"/>
              </w:rPr>
              <w:t>ILI</w:t>
            </w:r>
          </w:p>
        </w:tc>
        <w:tc>
          <w:tcPr>
            <w:tcW w:w="2235" w:type="dxa"/>
            <w:tcBorders>
              <w:bottom w:val="single" w:sz="4" w:space="0" w:color="auto"/>
            </w:tcBorders>
            <w:shd w:val="clear" w:color="auto" w:fill="auto"/>
            <w:vAlign w:val="center"/>
          </w:tcPr>
          <w:p w14:paraId="5BBCB814" w14:textId="77777777" w:rsidR="00BA7A54" w:rsidRPr="00BF57A3" w:rsidRDefault="00BA7A54" w:rsidP="006C640E">
            <w:pPr>
              <w:spacing w:before="60" w:after="60"/>
              <w:jc w:val="both"/>
              <w:rPr>
                <w:sz w:val="22"/>
                <w:szCs w:val="22"/>
              </w:rPr>
            </w:pPr>
            <w:r w:rsidRPr="00BF57A3">
              <w:rPr>
                <w:sz w:val="22"/>
                <w:szCs w:val="22"/>
              </w:rPr>
              <w:t>&lt; 100</w:t>
            </w:r>
            <w:r w:rsidR="00E22374" w:rsidRPr="00BF57A3">
              <w:rPr>
                <w:sz w:val="22"/>
                <w:szCs w:val="22"/>
              </w:rPr>
              <w:t>.</w:t>
            </w:r>
            <w:r w:rsidRPr="00BF57A3">
              <w:rPr>
                <w:sz w:val="22"/>
                <w:szCs w:val="22"/>
              </w:rPr>
              <w:t>000</w:t>
            </w:r>
          </w:p>
        </w:tc>
        <w:tc>
          <w:tcPr>
            <w:tcW w:w="3402" w:type="dxa"/>
            <w:gridSpan w:val="2"/>
            <w:tcBorders>
              <w:bottom w:val="single" w:sz="4" w:space="0" w:color="auto"/>
            </w:tcBorders>
            <w:shd w:val="clear" w:color="auto" w:fill="auto"/>
            <w:vAlign w:val="center"/>
          </w:tcPr>
          <w:p w14:paraId="71EEBE5D" w14:textId="77777777" w:rsidR="00BA7A54" w:rsidRPr="00BF57A3" w:rsidRDefault="00BA7A54" w:rsidP="006C640E">
            <w:pPr>
              <w:spacing w:before="60" w:after="60"/>
              <w:jc w:val="both"/>
              <w:rPr>
                <w:bCs/>
                <w:sz w:val="22"/>
                <w:szCs w:val="22"/>
              </w:rPr>
            </w:pPr>
            <w:r w:rsidRPr="00BF57A3">
              <w:rPr>
                <w:bCs/>
                <w:sz w:val="22"/>
                <w:szCs w:val="22"/>
              </w:rPr>
              <w:t>Odložiti doze do oporavka</w:t>
            </w:r>
          </w:p>
        </w:tc>
      </w:tr>
      <w:tr w:rsidR="00BA7A54" w:rsidRPr="00BF57A3" w14:paraId="73D6037C" w14:textId="77777777" w:rsidTr="00EC24AF">
        <w:tc>
          <w:tcPr>
            <w:tcW w:w="900" w:type="dxa"/>
            <w:shd w:val="clear" w:color="auto" w:fill="auto"/>
            <w:vAlign w:val="center"/>
          </w:tcPr>
          <w:p w14:paraId="6BD2C0CB" w14:textId="77777777" w:rsidR="00BA7A54" w:rsidRPr="00BF57A3" w:rsidRDefault="00BA7A54" w:rsidP="006C640E">
            <w:pPr>
              <w:spacing w:before="60" w:after="60"/>
              <w:jc w:val="both"/>
              <w:rPr>
                <w:b/>
                <w:sz w:val="22"/>
                <w:szCs w:val="22"/>
              </w:rPr>
            </w:pPr>
            <w:r w:rsidRPr="00BF57A3">
              <w:rPr>
                <w:b/>
                <w:sz w:val="22"/>
                <w:szCs w:val="22"/>
              </w:rPr>
              <w:t>8.dan</w:t>
            </w:r>
          </w:p>
        </w:tc>
        <w:tc>
          <w:tcPr>
            <w:tcW w:w="1941" w:type="dxa"/>
            <w:shd w:val="clear" w:color="auto" w:fill="auto"/>
            <w:vAlign w:val="center"/>
          </w:tcPr>
          <w:p w14:paraId="0F3B1CF7" w14:textId="77777777" w:rsidR="00BA7A54" w:rsidRPr="00BF57A3" w:rsidRDefault="00BA7A54" w:rsidP="006C640E">
            <w:pPr>
              <w:spacing w:before="60" w:after="60"/>
              <w:ind w:right="-108"/>
              <w:jc w:val="both"/>
              <w:rPr>
                <w:sz w:val="22"/>
                <w:szCs w:val="22"/>
              </w:rPr>
            </w:pPr>
            <w:r w:rsidRPr="00BF57A3">
              <w:rPr>
                <w:sz w:val="22"/>
                <w:szCs w:val="22"/>
              </w:rPr>
              <w:t>≥ 500 ali &lt; 1000</w:t>
            </w:r>
          </w:p>
        </w:tc>
        <w:tc>
          <w:tcPr>
            <w:tcW w:w="736" w:type="dxa"/>
            <w:shd w:val="clear" w:color="auto" w:fill="auto"/>
            <w:vAlign w:val="center"/>
          </w:tcPr>
          <w:p w14:paraId="69D2F4E3" w14:textId="77777777" w:rsidR="00BA7A54" w:rsidRPr="00BF57A3" w:rsidRDefault="00BA7A54" w:rsidP="006C640E">
            <w:pPr>
              <w:spacing w:before="60" w:after="60"/>
              <w:jc w:val="both"/>
              <w:rPr>
                <w:sz w:val="22"/>
                <w:szCs w:val="22"/>
              </w:rPr>
            </w:pPr>
            <w:r w:rsidRPr="00BF57A3">
              <w:rPr>
                <w:sz w:val="22"/>
                <w:szCs w:val="22"/>
              </w:rPr>
              <w:t>ILI</w:t>
            </w:r>
          </w:p>
        </w:tc>
        <w:tc>
          <w:tcPr>
            <w:tcW w:w="2235" w:type="dxa"/>
            <w:shd w:val="clear" w:color="auto" w:fill="auto"/>
            <w:vAlign w:val="center"/>
          </w:tcPr>
          <w:p w14:paraId="5D099B67" w14:textId="77777777" w:rsidR="00BA7A54" w:rsidRPr="00BF57A3" w:rsidRDefault="00BA7A54" w:rsidP="006C640E">
            <w:pPr>
              <w:spacing w:before="60" w:after="60"/>
              <w:jc w:val="both"/>
              <w:rPr>
                <w:sz w:val="22"/>
                <w:szCs w:val="22"/>
              </w:rPr>
            </w:pPr>
            <w:r w:rsidRPr="00BF57A3">
              <w:rPr>
                <w:sz w:val="22"/>
                <w:szCs w:val="22"/>
              </w:rPr>
              <w:t>≥ 50</w:t>
            </w:r>
            <w:r w:rsidR="00E22374" w:rsidRPr="00BF57A3">
              <w:rPr>
                <w:sz w:val="22"/>
                <w:szCs w:val="22"/>
              </w:rPr>
              <w:t>.</w:t>
            </w:r>
            <w:r w:rsidRPr="00BF57A3">
              <w:rPr>
                <w:sz w:val="22"/>
                <w:szCs w:val="22"/>
              </w:rPr>
              <w:t>000 ali &lt; 75</w:t>
            </w:r>
            <w:r w:rsidR="00E22374" w:rsidRPr="00BF57A3">
              <w:rPr>
                <w:sz w:val="22"/>
                <w:szCs w:val="22"/>
              </w:rPr>
              <w:t>.</w:t>
            </w:r>
            <w:r w:rsidRPr="00BF57A3">
              <w:rPr>
                <w:sz w:val="22"/>
                <w:szCs w:val="22"/>
              </w:rPr>
              <w:t>000</w:t>
            </w:r>
          </w:p>
        </w:tc>
        <w:tc>
          <w:tcPr>
            <w:tcW w:w="3402" w:type="dxa"/>
            <w:gridSpan w:val="2"/>
            <w:shd w:val="clear" w:color="auto" w:fill="auto"/>
            <w:vAlign w:val="center"/>
          </w:tcPr>
          <w:p w14:paraId="549BB0AF" w14:textId="77777777" w:rsidR="00BA7A54" w:rsidRPr="00BF57A3" w:rsidRDefault="00BA7A54" w:rsidP="006C640E">
            <w:pPr>
              <w:spacing w:before="60" w:after="60"/>
              <w:jc w:val="both"/>
              <w:rPr>
                <w:bCs/>
                <w:sz w:val="22"/>
                <w:szCs w:val="22"/>
              </w:rPr>
            </w:pPr>
            <w:r w:rsidRPr="00BF57A3">
              <w:rPr>
                <w:bCs/>
                <w:sz w:val="22"/>
                <w:szCs w:val="22"/>
              </w:rPr>
              <w:t>Smanjenje doza za 1 nivo</w:t>
            </w:r>
          </w:p>
        </w:tc>
      </w:tr>
      <w:tr w:rsidR="00BA7A54" w:rsidRPr="00BF57A3" w14:paraId="21936553" w14:textId="77777777" w:rsidTr="00EC24AF">
        <w:tc>
          <w:tcPr>
            <w:tcW w:w="900" w:type="dxa"/>
            <w:tcBorders>
              <w:bottom w:val="single" w:sz="4" w:space="0" w:color="auto"/>
            </w:tcBorders>
            <w:shd w:val="clear" w:color="auto" w:fill="auto"/>
            <w:vAlign w:val="center"/>
          </w:tcPr>
          <w:p w14:paraId="7450AB0C" w14:textId="77777777" w:rsidR="00BA7A54" w:rsidRPr="00BF57A3" w:rsidRDefault="00BA7A54" w:rsidP="006C640E">
            <w:pPr>
              <w:spacing w:before="60" w:after="60"/>
              <w:jc w:val="both"/>
              <w:rPr>
                <w:b/>
                <w:sz w:val="22"/>
                <w:szCs w:val="22"/>
              </w:rPr>
            </w:pPr>
          </w:p>
        </w:tc>
        <w:tc>
          <w:tcPr>
            <w:tcW w:w="1941" w:type="dxa"/>
            <w:tcBorders>
              <w:bottom w:val="single" w:sz="4" w:space="0" w:color="auto"/>
            </w:tcBorders>
            <w:shd w:val="clear" w:color="auto" w:fill="auto"/>
            <w:vAlign w:val="center"/>
          </w:tcPr>
          <w:p w14:paraId="55BEE711" w14:textId="77777777" w:rsidR="00BA7A54" w:rsidRPr="00BF57A3" w:rsidRDefault="00BA7A54" w:rsidP="006C640E">
            <w:pPr>
              <w:spacing w:before="60" w:after="60"/>
              <w:jc w:val="both"/>
              <w:rPr>
                <w:sz w:val="22"/>
                <w:szCs w:val="22"/>
              </w:rPr>
            </w:pPr>
            <w:r w:rsidRPr="00BF57A3">
              <w:rPr>
                <w:sz w:val="22"/>
                <w:szCs w:val="22"/>
              </w:rPr>
              <w:t>&lt; 500</w:t>
            </w:r>
          </w:p>
        </w:tc>
        <w:tc>
          <w:tcPr>
            <w:tcW w:w="736" w:type="dxa"/>
            <w:tcBorders>
              <w:bottom w:val="single" w:sz="4" w:space="0" w:color="auto"/>
            </w:tcBorders>
            <w:shd w:val="clear" w:color="auto" w:fill="auto"/>
            <w:vAlign w:val="center"/>
          </w:tcPr>
          <w:p w14:paraId="17B34CD2" w14:textId="77777777" w:rsidR="00BA7A54" w:rsidRPr="00BF57A3" w:rsidRDefault="00BA7A54" w:rsidP="006C640E">
            <w:pPr>
              <w:spacing w:before="60" w:after="60"/>
              <w:jc w:val="both"/>
              <w:rPr>
                <w:sz w:val="22"/>
                <w:szCs w:val="22"/>
              </w:rPr>
            </w:pPr>
            <w:r w:rsidRPr="00BF57A3">
              <w:rPr>
                <w:sz w:val="22"/>
                <w:szCs w:val="22"/>
              </w:rPr>
              <w:t>ILI</w:t>
            </w:r>
          </w:p>
        </w:tc>
        <w:tc>
          <w:tcPr>
            <w:tcW w:w="2235" w:type="dxa"/>
            <w:tcBorders>
              <w:bottom w:val="single" w:sz="4" w:space="0" w:color="auto"/>
            </w:tcBorders>
            <w:shd w:val="clear" w:color="auto" w:fill="auto"/>
            <w:vAlign w:val="center"/>
          </w:tcPr>
          <w:p w14:paraId="5496DF5E" w14:textId="77777777" w:rsidR="00BA7A54" w:rsidRPr="00BF57A3" w:rsidRDefault="00BA7A54" w:rsidP="006C640E">
            <w:pPr>
              <w:spacing w:before="60" w:after="60"/>
              <w:jc w:val="both"/>
              <w:rPr>
                <w:sz w:val="22"/>
                <w:szCs w:val="22"/>
              </w:rPr>
            </w:pPr>
            <w:r w:rsidRPr="00BF57A3">
              <w:rPr>
                <w:sz w:val="22"/>
                <w:szCs w:val="22"/>
              </w:rPr>
              <w:t>&lt; 50</w:t>
            </w:r>
            <w:r w:rsidR="00E22374" w:rsidRPr="00BF57A3">
              <w:rPr>
                <w:sz w:val="22"/>
                <w:szCs w:val="22"/>
              </w:rPr>
              <w:t>.</w:t>
            </w:r>
            <w:r w:rsidRPr="00BF57A3">
              <w:rPr>
                <w:sz w:val="22"/>
                <w:szCs w:val="22"/>
              </w:rPr>
              <w:t>000</w:t>
            </w:r>
          </w:p>
        </w:tc>
        <w:tc>
          <w:tcPr>
            <w:tcW w:w="3402" w:type="dxa"/>
            <w:gridSpan w:val="2"/>
            <w:tcBorders>
              <w:bottom w:val="single" w:sz="4" w:space="0" w:color="auto"/>
            </w:tcBorders>
            <w:shd w:val="clear" w:color="auto" w:fill="auto"/>
            <w:vAlign w:val="center"/>
          </w:tcPr>
          <w:p w14:paraId="3B03F323" w14:textId="77777777" w:rsidR="00BA7A54" w:rsidRPr="00BF57A3" w:rsidRDefault="00BA7A54" w:rsidP="006C640E">
            <w:pPr>
              <w:spacing w:before="60" w:after="60"/>
              <w:jc w:val="both"/>
              <w:rPr>
                <w:bCs/>
                <w:sz w:val="22"/>
                <w:szCs w:val="22"/>
              </w:rPr>
            </w:pPr>
            <w:r w:rsidRPr="00BF57A3">
              <w:rPr>
                <w:bCs/>
                <w:sz w:val="22"/>
                <w:szCs w:val="22"/>
              </w:rPr>
              <w:t xml:space="preserve">Obustava doze  </w:t>
            </w:r>
          </w:p>
        </w:tc>
      </w:tr>
      <w:tr w:rsidR="00BA7A54" w:rsidRPr="00BF57A3" w14:paraId="3C3642F3" w14:textId="77777777" w:rsidTr="00EC24AF">
        <w:tc>
          <w:tcPr>
            <w:tcW w:w="92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EA2F24D" w14:textId="77777777" w:rsidR="00BA7A54" w:rsidRPr="00BF57A3" w:rsidRDefault="00BA7A54" w:rsidP="006C640E">
            <w:pPr>
              <w:spacing w:before="60" w:after="60"/>
              <w:jc w:val="both"/>
              <w:rPr>
                <w:b/>
                <w:bCs/>
                <w:sz w:val="22"/>
                <w:szCs w:val="22"/>
                <w:lang w:val="de-DE"/>
              </w:rPr>
            </w:pPr>
            <w:r w:rsidRPr="00BF57A3">
              <w:rPr>
                <w:b/>
                <w:sz w:val="22"/>
                <w:szCs w:val="22"/>
                <w:lang w:val="de-DE"/>
              </w:rPr>
              <w:t xml:space="preserve">15. dan: </w:t>
            </w:r>
            <w:r w:rsidR="00B425FC" w:rsidRPr="00BF57A3">
              <w:rPr>
                <w:b/>
                <w:sz w:val="22"/>
                <w:szCs w:val="22"/>
                <w:lang w:val="de-DE"/>
              </w:rPr>
              <w:t xml:space="preserve">Ako </w:t>
            </w:r>
            <w:r w:rsidRPr="00BF57A3">
              <w:rPr>
                <w:b/>
                <w:sz w:val="22"/>
                <w:szCs w:val="22"/>
                <w:lang w:val="de-DE"/>
              </w:rPr>
              <w:t xml:space="preserve">doze 8. dana nisu bile promijenjene:  </w:t>
            </w:r>
          </w:p>
        </w:tc>
      </w:tr>
      <w:tr w:rsidR="00BA7A54" w:rsidRPr="00BF57A3" w14:paraId="18962442" w14:textId="77777777" w:rsidTr="00EC24AF">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8B328FE" w14:textId="77777777" w:rsidR="00BA7A54" w:rsidRPr="00BF57A3" w:rsidRDefault="00BA7A54" w:rsidP="006C640E">
            <w:pPr>
              <w:spacing w:before="60" w:after="60"/>
              <w:jc w:val="both"/>
              <w:rPr>
                <w:b/>
                <w:sz w:val="22"/>
                <w:szCs w:val="22"/>
              </w:rPr>
            </w:pPr>
            <w:r w:rsidRPr="00BF57A3">
              <w:rPr>
                <w:b/>
                <w:sz w:val="22"/>
                <w:szCs w:val="22"/>
              </w:rPr>
              <w:t>15. dan</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5C383B0A" w14:textId="77777777" w:rsidR="00BA7A54" w:rsidRPr="00BF57A3" w:rsidRDefault="00BA7A54" w:rsidP="006C640E">
            <w:pPr>
              <w:spacing w:before="60" w:after="60"/>
              <w:jc w:val="both"/>
              <w:rPr>
                <w:sz w:val="22"/>
                <w:szCs w:val="22"/>
              </w:rPr>
            </w:pPr>
            <w:r w:rsidRPr="00BF57A3">
              <w:rPr>
                <w:sz w:val="22"/>
                <w:szCs w:val="22"/>
              </w:rPr>
              <w:t>≥ 500 ali &lt; 1000</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743DD342" w14:textId="77777777" w:rsidR="00BA7A54" w:rsidRPr="00BF57A3" w:rsidRDefault="00BA7A54" w:rsidP="006C640E">
            <w:pPr>
              <w:spacing w:before="60" w:after="60"/>
              <w:jc w:val="both"/>
              <w:rPr>
                <w:sz w:val="22"/>
                <w:szCs w:val="22"/>
              </w:rPr>
            </w:pPr>
            <w:r w:rsidRPr="00BF57A3">
              <w:rPr>
                <w:sz w:val="22"/>
                <w:szCs w:val="22"/>
              </w:rPr>
              <w:t>ILI</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02DE8903" w14:textId="77777777" w:rsidR="00BA7A54" w:rsidRPr="00BF57A3" w:rsidRDefault="00BA7A54" w:rsidP="006C640E">
            <w:pPr>
              <w:spacing w:before="60" w:after="60"/>
              <w:jc w:val="both"/>
              <w:rPr>
                <w:sz w:val="22"/>
                <w:szCs w:val="22"/>
              </w:rPr>
            </w:pPr>
            <w:r w:rsidRPr="00BF57A3">
              <w:rPr>
                <w:sz w:val="22"/>
                <w:szCs w:val="22"/>
              </w:rPr>
              <w:t>≥ 50</w:t>
            </w:r>
            <w:r w:rsidR="00E22374" w:rsidRPr="00BF57A3">
              <w:rPr>
                <w:sz w:val="22"/>
                <w:szCs w:val="22"/>
              </w:rPr>
              <w:t>.</w:t>
            </w:r>
            <w:r w:rsidRPr="00BF57A3">
              <w:rPr>
                <w:sz w:val="22"/>
                <w:szCs w:val="22"/>
              </w:rPr>
              <w:t>000 ali &lt; 75</w:t>
            </w:r>
            <w:r w:rsidR="00E22374" w:rsidRPr="00BF57A3">
              <w:rPr>
                <w:sz w:val="22"/>
                <w:szCs w:val="22"/>
              </w:rPr>
              <w:t>.</w:t>
            </w:r>
            <w:r w:rsidRPr="00BF57A3">
              <w:rPr>
                <w:sz w:val="22"/>
                <w:szCs w:val="22"/>
              </w:rPr>
              <w:t>000</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3AD949" w14:textId="77777777" w:rsidR="00BA7A54" w:rsidRPr="00BF57A3" w:rsidRDefault="00BA7A54" w:rsidP="006C640E">
            <w:pPr>
              <w:spacing w:before="60" w:after="60"/>
              <w:jc w:val="both"/>
              <w:rPr>
                <w:bCs/>
                <w:sz w:val="22"/>
                <w:szCs w:val="22"/>
                <w:lang w:val="es-ES"/>
              </w:rPr>
            </w:pPr>
            <w:r w:rsidRPr="00BF57A3">
              <w:rPr>
                <w:bCs/>
                <w:sz w:val="22"/>
                <w:szCs w:val="22"/>
                <w:lang w:val="es-ES"/>
              </w:rPr>
              <w:t xml:space="preserve">Primjena nivoa doza 8. dana i zatim faktora rasta bijelih krvnih ćelija </w:t>
            </w:r>
          </w:p>
          <w:p w14:paraId="22AE8AE8" w14:textId="77777777" w:rsidR="00BA7A54" w:rsidRPr="00BF57A3" w:rsidRDefault="00BA7A54" w:rsidP="006C640E">
            <w:pPr>
              <w:spacing w:before="60" w:after="60"/>
              <w:jc w:val="both"/>
              <w:rPr>
                <w:bCs/>
                <w:sz w:val="22"/>
                <w:szCs w:val="22"/>
                <w:lang w:val="de-DE"/>
              </w:rPr>
            </w:pPr>
            <w:r w:rsidRPr="00BF57A3">
              <w:rPr>
                <w:bCs/>
                <w:sz w:val="22"/>
                <w:szCs w:val="22"/>
                <w:lang w:val="de-DE"/>
              </w:rPr>
              <w:t>ILI</w:t>
            </w:r>
          </w:p>
          <w:p w14:paraId="1D13B868" w14:textId="77777777" w:rsidR="00BA7A54" w:rsidRPr="00BF57A3" w:rsidRDefault="00BA7A54" w:rsidP="006C640E">
            <w:pPr>
              <w:spacing w:before="60" w:after="60"/>
              <w:jc w:val="both"/>
              <w:rPr>
                <w:bCs/>
                <w:sz w:val="22"/>
                <w:szCs w:val="22"/>
                <w:lang w:val="de-DE"/>
              </w:rPr>
            </w:pPr>
            <w:r w:rsidRPr="00BF57A3">
              <w:rPr>
                <w:bCs/>
                <w:sz w:val="22"/>
                <w:szCs w:val="22"/>
                <w:lang w:val="de-DE"/>
              </w:rPr>
              <w:t>smanjenje nivoa doza 8. dana za 1 nivo</w:t>
            </w:r>
          </w:p>
        </w:tc>
      </w:tr>
      <w:tr w:rsidR="00BA7A54" w:rsidRPr="00BF57A3" w14:paraId="2809EDDF" w14:textId="77777777" w:rsidTr="00EC24AF">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2F9AD79" w14:textId="77777777" w:rsidR="00BA7A54" w:rsidRPr="00BF57A3" w:rsidRDefault="00BA7A54" w:rsidP="006C640E">
            <w:pPr>
              <w:spacing w:before="60" w:after="60"/>
              <w:jc w:val="both"/>
              <w:rPr>
                <w:b/>
                <w:sz w:val="22"/>
                <w:szCs w:val="22"/>
                <w:lang w:val="de-DE"/>
              </w:rPr>
            </w:pP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4F80EF52" w14:textId="77777777" w:rsidR="00BA7A54" w:rsidRPr="00BF57A3" w:rsidRDefault="00BA7A54" w:rsidP="006C640E">
            <w:pPr>
              <w:spacing w:before="60" w:after="60"/>
              <w:jc w:val="both"/>
              <w:rPr>
                <w:sz w:val="22"/>
                <w:szCs w:val="22"/>
              </w:rPr>
            </w:pPr>
            <w:r w:rsidRPr="00BF57A3">
              <w:rPr>
                <w:sz w:val="22"/>
                <w:szCs w:val="22"/>
              </w:rPr>
              <w:t>&lt; 500</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2069FA01" w14:textId="77777777" w:rsidR="00BA7A54" w:rsidRPr="00BF57A3" w:rsidRDefault="00BA7A54" w:rsidP="006C640E">
            <w:pPr>
              <w:spacing w:before="60" w:after="60"/>
              <w:jc w:val="both"/>
              <w:rPr>
                <w:sz w:val="22"/>
                <w:szCs w:val="22"/>
              </w:rPr>
            </w:pPr>
            <w:r w:rsidRPr="00BF57A3">
              <w:rPr>
                <w:sz w:val="22"/>
                <w:szCs w:val="22"/>
              </w:rPr>
              <w:t>ILI</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1CA8AA58" w14:textId="77777777" w:rsidR="00BA7A54" w:rsidRPr="00BF57A3" w:rsidRDefault="00BA7A54" w:rsidP="006C640E">
            <w:pPr>
              <w:spacing w:before="60" w:after="60"/>
              <w:jc w:val="both"/>
              <w:rPr>
                <w:sz w:val="22"/>
                <w:szCs w:val="22"/>
              </w:rPr>
            </w:pPr>
            <w:r w:rsidRPr="00BF57A3">
              <w:rPr>
                <w:sz w:val="22"/>
                <w:szCs w:val="22"/>
              </w:rPr>
              <w:t>&lt; 50</w:t>
            </w:r>
            <w:r w:rsidR="00E22374" w:rsidRPr="00BF57A3">
              <w:rPr>
                <w:sz w:val="22"/>
                <w:szCs w:val="22"/>
              </w:rPr>
              <w:t>.</w:t>
            </w:r>
            <w:r w:rsidRPr="00BF57A3">
              <w:rPr>
                <w:sz w:val="22"/>
                <w:szCs w:val="22"/>
              </w:rPr>
              <w:t>000</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BAB5E" w14:textId="77777777" w:rsidR="00BA7A54" w:rsidRPr="00BF57A3" w:rsidRDefault="00BA7A54" w:rsidP="006C640E">
            <w:pPr>
              <w:spacing w:before="60" w:after="60"/>
              <w:jc w:val="both"/>
              <w:rPr>
                <w:bCs/>
                <w:sz w:val="22"/>
                <w:szCs w:val="22"/>
              </w:rPr>
            </w:pPr>
            <w:r w:rsidRPr="00BF57A3">
              <w:rPr>
                <w:bCs/>
                <w:sz w:val="22"/>
                <w:szCs w:val="22"/>
              </w:rPr>
              <w:t xml:space="preserve">Obustava doze  </w:t>
            </w:r>
          </w:p>
        </w:tc>
      </w:tr>
      <w:tr w:rsidR="00BA7A54" w:rsidRPr="00BF57A3" w14:paraId="6CFB46D8" w14:textId="77777777" w:rsidTr="00EC24AF">
        <w:tc>
          <w:tcPr>
            <w:tcW w:w="92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F74ABF" w14:textId="77777777" w:rsidR="00BA7A54" w:rsidRPr="00BF57A3" w:rsidRDefault="00BA7A54" w:rsidP="006C640E">
            <w:pPr>
              <w:spacing w:before="60" w:after="60"/>
              <w:jc w:val="both"/>
              <w:rPr>
                <w:b/>
                <w:bCs/>
                <w:sz w:val="22"/>
                <w:szCs w:val="22"/>
                <w:lang w:val="de-DE"/>
              </w:rPr>
            </w:pPr>
            <w:r w:rsidRPr="00BF57A3">
              <w:rPr>
                <w:b/>
                <w:sz w:val="22"/>
                <w:szCs w:val="22"/>
                <w:lang w:val="de-DE"/>
              </w:rPr>
              <w:t>15. dan: A</w:t>
            </w:r>
            <w:r w:rsidR="00B425FC" w:rsidRPr="00BF57A3">
              <w:rPr>
                <w:b/>
                <w:sz w:val="22"/>
                <w:szCs w:val="22"/>
                <w:lang w:val="de-DE"/>
              </w:rPr>
              <w:t>ko</w:t>
            </w:r>
            <w:r w:rsidRPr="00BF57A3">
              <w:rPr>
                <w:b/>
                <w:sz w:val="22"/>
                <w:szCs w:val="22"/>
                <w:lang w:val="de-DE"/>
              </w:rPr>
              <w:t xml:space="preserve"> su doze 8. dana bile smanjene:  </w:t>
            </w:r>
          </w:p>
        </w:tc>
      </w:tr>
      <w:tr w:rsidR="00BA7A54" w:rsidRPr="00BF57A3" w14:paraId="2072D951" w14:textId="77777777" w:rsidTr="00EC24AF">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ED9B4EA" w14:textId="77777777" w:rsidR="00BA7A54" w:rsidRPr="00BF57A3" w:rsidRDefault="00BA7A54" w:rsidP="006C640E">
            <w:pPr>
              <w:spacing w:before="60" w:after="60"/>
              <w:jc w:val="both"/>
              <w:rPr>
                <w:b/>
                <w:sz w:val="22"/>
                <w:szCs w:val="22"/>
              </w:rPr>
            </w:pPr>
            <w:r w:rsidRPr="00BF57A3">
              <w:rPr>
                <w:b/>
                <w:sz w:val="22"/>
                <w:szCs w:val="22"/>
              </w:rPr>
              <w:t>15. dan</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00FE7D4E" w14:textId="77777777" w:rsidR="00BA7A54" w:rsidRPr="00BF57A3" w:rsidRDefault="00BA7A54" w:rsidP="006C640E">
            <w:pPr>
              <w:spacing w:before="60" w:after="60"/>
              <w:jc w:val="both"/>
              <w:rPr>
                <w:sz w:val="22"/>
                <w:szCs w:val="22"/>
              </w:rPr>
            </w:pPr>
            <w:r w:rsidRPr="00BF57A3">
              <w:rPr>
                <w:sz w:val="22"/>
                <w:szCs w:val="22"/>
              </w:rPr>
              <w:t xml:space="preserve">≥ 1000 </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3E19DC66" w14:textId="77777777" w:rsidR="00BA7A54" w:rsidRPr="00BF57A3" w:rsidRDefault="00BA7A54" w:rsidP="006C640E">
            <w:pPr>
              <w:spacing w:before="60" w:after="60"/>
              <w:jc w:val="both"/>
              <w:rPr>
                <w:sz w:val="22"/>
                <w:szCs w:val="22"/>
              </w:rPr>
            </w:pPr>
            <w:r w:rsidRPr="00BF57A3">
              <w:rPr>
                <w:sz w:val="22"/>
                <w:szCs w:val="22"/>
              </w:rPr>
              <w:t>I</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0128FE57" w14:textId="77777777" w:rsidR="00BA7A54" w:rsidRPr="00BF57A3" w:rsidRDefault="00BA7A54" w:rsidP="006C640E">
            <w:pPr>
              <w:spacing w:before="60" w:after="60"/>
              <w:jc w:val="both"/>
              <w:rPr>
                <w:sz w:val="22"/>
                <w:szCs w:val="22"/>
              </w:rPr>
            </w:pPr>
            <w:r w:rsidRPr="00BF57A3">
              <w:rPr>
                <w:sz w:val="22"/>
                <w:szCs w:val="22"/>
              </w:rPr>
              <w:t>≥ 75</w:t>
            </w:r>
            <w:r w:rsidR="00E22374" w:rsidRPr="00BF57A3">
              <w:rPr>
                <w:sz w:val="22"/>
                <w:szCs w:val="22"/>
              </w:rPr>
              <w:t>.</w:t>
            </w:r>
            <w:r w:rsidRPr="00BF57A3">
              <w:rPr>
                <w:sz w:val="22"/>
                <w:szCs w:val="22"/>
              </w:rPr>
              <w:t xml:space="preserve">000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200E9" w14:textId="77777777" w:rsidR="00BA7A54" w:rsidRPr="00BF57A3" w:rsidRDefault="00BA7A54" w:rsidP="006C640E">
            <w:pPr>
              <w:spacing w:before="60" w:after="60"/>
              <w:jc w:val="both"/>
              <w:rPr>
                <w:bCs/>
                <w:sz w:val="22"/>
                <w:szCs w:val="22"/>
              </w:rPr>
            </w:pPr>
            <w:r w:rsidRPr="00BF57A3">
              <w:rPr>
                <w:bCs/>
                <w:sz w:val="22"/>
                <w:szCs w:val="22"/>
              </w:rPr>
              <w:t>Povratak na nivoe doza 1. dana i zatim primjena faktora rasta bijelih krvnih ćelija</w:t>
            </w:r>
          </w:p>
          <w:p w14:paraId="73D9B20D" w14:textId="77777777" w:rsidR="00BA7A54" w:rsidRPr="00BF57A3" w:rsidRDefault="00BA7A54" w:rsidP="006C640E">
            <w:pPr>
              <w:spacing w:before="60" w:after="60"/>
              <w:jc w:val="both"/>
              <w:rPr>
                <w:bCs/>
                <w:sz w:val="22"/>
                <w:szCs w:val="22"/>
                <w:lang w:val="de-DE"/>
              </w:rPr>
            </w:pPr>
            <w:r w:rsidRPr="00BF57A3">
              <w:rPr>
                <w:bCs/>
                <w:sz w:val="22"/>
                <w:szCs w:val="22"/>
                <w:lang w:val="de-DE"/>
              </w:rPr>
              <w:t xml:space="preserve">ILI </w:t>
            </w:r>
          </w:p>
          <w:p w14:paraId="0190860A" w14:textId="77777777" w:rsidR="00BA7A54" w:rsidRPr="00BF57A3" w:rsidRDefault="00BA7A54" w:rsidP="006C640E">
            <w:pPr>
              <w:spacing w:before="60" w:after="60"/>
              <w:jc w:val="both"/>
              <w:rPr>
                <w:bCs/>
                <w:sz w:val="22"/>
                <w:szCs w:val="22"/>
                <w:lang w:val="de-DE"/>
              </w:rPr>
            </w:pPr>
            <w:r w:rsidRPr="00BF57A3">
              <w:rPr>
                <w:bCs/>
                <w:sz w:val="22"/>
                <w:szCs w:val="22"/>
                <w:lang w:val="de-DE"/>
              </w:rPr>
              <w:t>liječenje istim dozama kao 8. dana</w:t>
            </w:r>
          </w:p>
        </w:tc>
      </w:tr>
      <w:tr w:rsidR="00BA7A54" w:rsidRPr="00BF57A3" w14:paraId="3EC33821" w14:textId="77777777" w:rsidTr="00EC24AF">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107CE4B" w14:textId="77777777" w:rsidR="00BA7A54" w:rsidRPr="00BF57A3" w:rsidRDefault="00BA7A54" w:rsidP="006C640E">
            <w:pPr>
              <w:spacing w:before="60" w:after="60"/>
              <w:jc w:val="both"/>
              <w:rPr>
                <w:b/>
                <w:sz w:val="22"/>
                <w:szCs w:val="22"/>
                <w:lang w:val="de-DE"/>
              </w:rPr>
            </w:pP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5381FEBB" w14:textId="77777777" w:rsidR="00BA7A54" w:rsidRPr="00BF57A3" w:rsidRDefault="00BA7A54" w:rsidP="006C640E">
            <w:pPr>
              <w:spacing w:before="60" w:after="60"/>
              <w:jc w:val="both"/>
              <w:rPr>
                <w:sz w:val="22"/>
                <w:szCs w:val="22"/>
              </w:rPr>
            </w:pPr>
            <w:r w:rsidRPr="00BF57A3">
              <w:rPr>
                <w:sz w:val="22"/>
                <w:szCs w:val="22"/>
              </w:rPr>
              <w:t>≥ 500 ali &lt; 1000</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3D162852" w14:textId="77777777" w:rsidR="00BA7A54" w:rsidRPr="00BF57A3" w:rsidRDefault="00BA7A54" w:rsidP="006C640E">
            <w:pPr>
              <w:spacing w:before="60" w:after="60"/>
              <w:jc w:val="both"/>
              <w:rPr>
                <w:sz w:val="22"/>
                <w:szCs w:val="22"/>
              </w:rPr>
            </w:pPr>
            <w:r w:rsidRPr="00BF57A3">
              <w:rPr>
                <w:sz w:val="22"/>
                <w:szCs w:val="22"/>
              </w:rPr>
              <w:t>ILI</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1615AA35" w14:textId="77777777" w:rsidR="00BA7A54" w:rsidRPr="00BF57A3" w:rsidRDefault="00BA7A54" w:rsidP="006C640E">
            <w:pPr>
              <w:spacing w:before="60" w:after="60"/>
              <w:jc w:val="both"/>
              <w:rPr>
                <w:sz w:val="22"/>
                <w:szCs w:val="22"/>
              </w:rPr>
            </w:pPr>
            <w:r w:rsidRPr="00BF57A3">
              <w:rPr>
                <w:sz w:val="22"/>
                <w:szCs w:val="22"/>
              </w:rPr>
              <w:t>≥ 50</w:t>
            </w:r>
            <w:r w:rsidR="00E22374" w:rsidRPr="00BF57A3">
              <w:rPr>
                <w:sz w:val="22"/>
                <w:szCs w:val="22"/>
              </w:rPr>
              <w:t>.</w:t>
            </w:r>
            <w:r w:rsidRPr="00BF57A3">
              <w:rPr>
                <w:sz w:val="22"/>
                <w:szCs w:val="22"/>
              </w:rPr>
              <w:t>000 ali &lt; 75</w:t>
            </w:r>
            <w:r w:rsidR="00E22374" w:rsidRPr="00BF57A3">
              <w:rPr>
                <w:sz w:val="22"/>
                <w:szCs w:val="22"/>
              </w:rPr>
              <w:t>.</w:t>
            </w:r>
            <w:r w:rsidRPr="00BF57A3">
              <w:rPr>
                <w:sz w:val="22"/>
                <w:szCs w:val="22"/>
              </w:rPr>
              <w:t>000</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F739E" w14:textId="77777777" w:rsidR="00BA7A54" w:rsidRPr="00BF57A3" w:rsidRDefault="00BA7A54" w:rsidP="006C640E">
            <w:pPr>
              <w:spacing w:before="60" w:after="60"/>
              <w:jc w:val="both"/>
              <w:rPr>
                <w:bCs/>
                <w:sz w:val="22"/>
                <w:szCs w:val="22"/>
                <w:lang w:val="es-ES"/>
              </w:rPr>
            </w:pPr>
            <w:r w:rsidRPr="00BF57A3">
              <w:rPr>
                <w:bCs/>
                <w:sz w:val="22"/>
                <w:szCs w:val="22"/>
                <w:lang w:val="es-ES"/>
              </w:rPr>
              <w:t xml:space="preserve">Primjena nivoa doza 8. dana i zatim faktora rasta bijelih krvnih ćelija </w:t>
            </w:r>
          </w:p>
          <w:p w14:paraId="2F734F5D" w14:textId="77777777" w:rsidR="00BA7A54" w:rsidRPr="00BF57A3" w:rsidRDefault="00BA7A54" w:rsidP="006C640E">
            <w:pPr>
              <w:spacing w:before="60" w:after="60"/>
              <w:jc w:val="both"/>
              <w:rPr>
                <w:bCs/>
                <w:sz w:val="22"/>
                <w:szCs w:val="22"/>
                <w:lang w:val="de-DE"/>
              </w:rPr>
            </w:pPr>
            <w:r w:rsidRPr="00BF57A3">
              <w:rPr>
                <w:bCs/>
                <w:sz w:val="22"/>
                <w:szCs w:val="22"/>
                <w:lang w:val="de-DE"/>
              </w:rPr>
              <w:t>ILI</w:t>
            </w:r>
          </w:p>
          <w:p w14:paraId="75B869E4" w14:textId="77777777" w:rsidR="00BA7A54" w:rsidRPr="00BF57A3" w:rsidRDefault="00BA7A54" w:rsidP="006C640E">
            <w:pPr>
              <w:spacing w:before="60" w:after="60"/>
              <w:jc w:val="both"/>
              <w:rPr>
                <w:bCs/>
                <w:sz w:val="22"/>
                <w:szCs w:val="22"/>
                <w:lang w:val="de-DE"/>
              </w:rPr>
            </w:pPr>
            <w:r w:rsidRPr="00BF57A3">
              <w:rPr>
                <w:bCs/>
                <w:sz w:val="22"/>
                <w:szCs w:val="22"/>
                <w:lang w:val="de-DE"/>
              </w:rPr>
              <w:t>smanjenje nivoa doza 8. dana za 1 nivo</w:t>
            </w:r>
          </w:p>
        </w:tc>
      </w:tr>
      <w:tr w:rsidR="00BA7A54" w:rsidRPr="00BF57A3" w14:paraId="1338E7D5" w14:textId="77777777" w:rsidTr="00EC24AF">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24D1DD5" w14:textId="77777777" w:rsidR="00BA7A54" w:rsidRPr="00BF57A3" w:rsidRDefault="00BA7A54" w:rsidP="006C640E">
            <w:pPr>
              <w:spacing w:before="60" w:after="60"/>
              <w:jc w:val="both"/>
              <w:rPr>
                <w:b/>
                <w:sz w:val="22"/>
                <w:szCs w:val="22"/>
                <w:lang w:val="de-DE"/>
              </w:rPr>
            </w:pP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437E5809" w14:textId="77777777" w:rsidR="00BA7A54" w:rsidRPr="00BF57A3" w:rsidRDefault="00BA7A54" w:rsidP="006C640E">
            <w:pPr>
              <w:spacing w:before="60" w:after="60"/>
              <w:jc w:val="both"/>
              <w:rPr>
                <w:sz w:val="22"/>
                <w:szCs w:val="22"/>
              </w:rPr>
            </w:pPr>
            <w:r w:rsidRPr="00BF57A3">
              <w:rPr>
                <w:sz w:val="22"/>
                <w:szCs w:val="22"/>
              </w:rPr>
              <w:t>&lt; 500</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61041B12" w14:textId="77777777" w:rsidR="00BA7A54" w:rsidRPr="00BF57A3" w:rsidRDefault="00BA7A54" w:rsidP="006C640E">
            <w:pPr>
              <w:spacing w:before="60" w:after="60"/>
              <w:jc w:val="both"/>
              <w:rPr>
                <w:sz w:val="22"/>
                <w:szCs w:val="22"/>
              </w:rPr>
            </w:pPr>
            <w:r w:rsidRPr="00BF57A3">
              <w:rPr>
                <w:sz w:val="22"/>
                <w:szCs w:val="22"/>
              </w:rPr>
              <w:t>ILI</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758F7E84" w14:textId="77777777" w:rsidR="00BA7A54" w:rsidRPr="00BF57A3" w:rsidRDefault="00BA7A54" w:rsidP="006C640E">
            <w:pPr>
              <w:spacing w:before="60" w:after="60"/>
              <w:jc w:val="both"/>
              <w:rPr>
                <w:sz w:val="22"/>
                <w:szCs w:val="22"/>
              </w:rPr>
            </w:pPr>
            <w:r w:rsidRPr="00BF57A3">
              <w:rPr>
                <w:sz w:val="22"/>
                <w:szCs w:val="22"/>
              </w:rPr>
              <w:t>&lt; 50</w:t>
            </w:r>
            <w:r w:rsidR="00E22374" w:rsidRPr="00BF57A3">
              <w:rPr>
                <w:sz w:val="22"/>
                <w:szCs w:val="22"/>
              </w:rPr>
              <w:t>.</w:t>
            </w:r>
            <w:r w:rsidRPr="00BF57A3">
              <w:rPr>
                <w:sz w:val="22"/>
                <w:szCs w:val="22"/>
              </w:rPr>
              <w:t>000</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F58D42" w14:textId="77777777" w:rsidR="00BA7A54" w:rsidRPr="00BF57A3" w:rsidRDefault="00BA7A54" w:rsidP="006C640E">
            <w:pPr>
              <w:spacing w:before="60" w:after="60"/>
              <w:jc w:val="both"/>
              <w:rPr>
                <w:bCs/>
                <w:sz w:val="22"/>
                <w:szCs w:val="22"/>
              </w:rPr>
            </w:pPr>
            <w:r w:rsidRPr="00BF57A3">
              <w:rPr>
                <w:bCs/>
                <w:sz w:val="22"/>
                <w:szCs w:val="22"/>
              </w:rPr>
              <w:t xml:space="preserve">Obustava doze  </w:t>
            </w:r>
          </w:p>
        </w:tc>
      </w:tr>
      <w:tr w:rsidR="00BA7A54" w:rsidRPr="00BF57A3" w14:paraId="0FB2E9D8" w14:textId="77777777" w:rsidTr="00EC24AF">
        <w:tc>
          <w:tcPr>
            <w:tcW w:w="921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229B77" w14:textId="77777777" w:rsidR="00BA7A54" w:rsidRPr="00BF57A3" w:rsidRDefault="00BA7A54" w:rsidP="006C640E">
            <w:pPr>
              <w:spacing w:before="60" w:after="60"/>
              <w:jc w:val="both"/>
              <w:rPr>
                <w:b/>
                <w:bCs/>
                <w:sz w:val="22"/>
                <w:szCs w:val="22"/>
                <w:lang w:val="de-DE"/>
              </w:rPr>
            </w:pPr>
            <w:r w:rsidRPr="00BF57A3">
              <w:rPr>
                <w:b/>
                <w:sz w:val="22"/>
                <w:szCs w:val="22"/>
                <w:lang w:val="de-DE"/>
              </w:rPr>
              <w:t>15. dan: A</w:t>
            </w:r>
            <w:r w:rsidR="00B425FC" w:rsidRPr="00BF57A3">
              <w:rPr>
                <w:b/>
                <w:sz w:val="22"/>
                <w:szCs w:val="22"/>
                <w:lang w:val="de-DE"/>
              </w:rPr>
              <w:t>ko</w:t>
            </w:r>
            <w:r w:rsidRPr="00BF57A3">
              <w:rPr>
                <w:b/>
                <w:sz w:val="22"/>
                <w:szCs w:val="22"/>
                <w:lang w:val="de-DE"/>
              </w:rPr>
              <w:t xml:space="preserve"> su doze 8. dana bile obustavljene:  </w:t>
            </w:r>
          </w:p>
        </w:tc>
      </w:tr>
      <w:tr w:rsidR="00BA7A54" w:rsidRPr="00BF57A3" w14:paraId="24436055" w14:textId="77777777" w:rsidTr="00EC24AF">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DC1AD21" w14:textId="77777777" w:rsidR="00BA7A54" w:rsidRPr="00BF57A3" w:rsidRDefault="00BA7A54" w:rsidP="006C640E">
            <w:pPr>
              <w:spacing w:before="60" w:after="60"/>
              <w:jc w:val="both"/>
              <w:rPr>
                <w:b/>
                <w:sz w:val="22"/>
                <w:szCs w:val="22"/>
              </w:rPr>
            </w:pPr>
            <w:r w:rsidRPr="00BF57A3">
              <w:rPr>
                <w:b/>
                <w:sz w:val="22"/>
                <w:szCs w:val="22"/>
              </w:rPr>
              <w:t>15. dan</w:t>
            </w: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6A1BA486" w14:textId="77777777" w:rsidR="00BA7A54" w:rsidRPr="00BF57A3" w:rsidRDefault="00BA7A54" w:rsidP="006C640E">
            <w:pPr>
              <w:spacing w:before="60" w:after="60"/>
              <w:jc w:val="both"/>
              <w:rPr>
                <w:sz w:val="22"/>
                <w:szCs w:val="22"/>
              </w:rPr>
            </w:pPr>
            <w:r w:rsidRPr="00BF57A3">
              <w:rPr>
                <w:sz w:val="22"/>
                <w:szCs w:val="22"/>
              </w:rPr>
              <w:t xml:space="preserve">≥ 1000 </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183AB34" w14:textId="77777777" w:rsidR="00BA7A54" w:rsidRPr="00BF57A3" w:rsidRDefault="00BA7A54" w:rsidP="006C640E">
            <w:pPr>
              <w:spacing w:before="60" w:after="60"/>
              <w:jc w:val="both"/>
              <w:rPr>
                <w:sz w:val="22"/>
                <w:szCs w:val="22"/>
              </w:rPr>
            </w:pPr>
            <w:r w:rsidRPr="00BF57A3">
              <w:rPr>
                <w:sz w:val="22"/>
                <w:szCs w:val="22"/>
              </w:rPr>
              <w:t>I</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734BD3C3" w14:textId="77777777" w:rsidR="00BA7A54" w:rsidRPr="00BF57A3" w:rsidRDefault="00BA7A54" w:rsidP="006C640E">
            <w:pPr>
              <w:spacing w:before="60" w:after="60"/>
              <w:jc w:val="both"/>
              <w:rPr>
                <w:sz w:val="22"/>
                <w:szCs w:val="22"/>
              </w:rPr>
            </w:pPr>
            <w:r w:rsidRPr="00BF57A3">
              <w:rPr>
                <w:sz w:val="22"/>
                <w:szCs w:val="22"/>
              </w:rPr>
              <w:t>≥ 75</w:t>
            </w:r>
            <w:r w:rsidR="00E22374" w:rsidRPr="00BF57A3">
              <w:rPr>
                <w:sz w:val="22"/>
                <w:szCs w:val="22"/>
              </w:rPr>
              <w:t>.</w:t>
            </w:r>
            <w:r w:rsidRPr="00BF57A3">
              <w:rPr>
                <w:sz w:val="22"/>
                <w:szCs w:val="22"/>
              </w:rPr>
              <w:t xml:space="preserve">000  </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7D2EE" w14:textId="77777777" w:rsidR="00BA7A54" w:rsidRPr="00BF57A3" w:rsidRDefault="00BA7A54" w:rsidP="006C640E">
            <w:pPr>
              <w:spacing w:before="60" w:after="60"/>
              <w:jc w:val="both"/>
              <w:rPr>
                <w:bCs/>
                <w:sz w:val="22"/>
                <w:szCs w:val="22"/>
              </w:rPr>
            </w:pPr>
            <w:r w:rsidRPr="00BF57A3">
              <w:rPr>
                <w:bCs/>
                <w:sz w:val="22"/>
                <w:szCs w:val="22"/>
              </w:rPr>
              <w:t>Povratak na nivoe doza 1. dana i zatim primjena faktora rasta bijelih krvnih ćelija</w:t>
            </w:r>
          </w:p>
          <w:p w14:paraId="2A33CE4D" w14:textId="77777777" w:rsidR="00BA7A54" w:rsidRPr="00BF57A3" w:rsidRDefault="00BA7A54" w:rsidP="006C640E">
            <w:pPr>
              <w:spacing w:before="60" w:after="60"/>
              <w:jc w:val="both"/>
              <w:rPr>
                <w:bCs/>
                <w:sz w:val="22"/>
                <w:szCs w:val="22"/>
                <w:lang w:val="de-DE"/>
              </w:rPr>
            </w:pPr>
            <w:r w:rsidRPr="00BF57A3">
              <w:rPr>
                <w:bCs/>
                <w:sz w:val="22"/>
                <w:szCs w:val="22"/>
                <w:lang w:val="de-DE"/>
              </w:rPr>
              <w:t xml:space="preserve">ILI </w:t>
            </w:r>
          </w:p>
          <w:p w14:paraId="207E31A6" w14:textId="77777777" w:rsidR="00BA7A54" w:rsidRPr="00BF57A3" w:rsidRDefault="00BA7A54" w:rsidP="006C640E">
            <w:pPr>
              <w:spacing w:before="60" w:after="60"/>
              <w:jc w:val="both"/>
              <w:rPr>
                <w:bCs/>
                <w:sz w:val="22"/>
                <w:szCs w:val="22"/>
                <w:lang w:val="de-DE"/>
              </w:rPr>
            </w:pPr>
            <w:r w:rsidRPr="00BF57A3">
              <w:rPr>
                <w:bCs/>
                <w:sz w:val="22"/>
                <w:szCs w:val="22"/>
                <w:lang w:val="de-DE"/>
              </w:rPr>
              <w:t>smanjenje nivoa doza 1. dana za 1 nivo</w:t>
            </w:r>
          </w:p>
        </w:tc>
      </w:tr>
      <w:tr w:rsidR="00BA7A54" w:rsidRPr="00BF57A3" w14:paraId="616DFF6B" w14:textId="77777777" w:rsidTr="00EC24AF">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7D36B1B" w14:textId="77777777" w:rsidR="00BA7A54" w:rsidRPr="00BF57A3" w:rsidRDefault="00BA7A54" w:rsidP="006C640E">
            <w:pPr>
              <w:spacing w:before="60" w:after="60"/>
              <w:jc w:val="both"/>
              <w:rPr>
                <w:b/>
                <w:sz w:val="22"/>
                <w:szCs w:val="22"/>
                <w:lang w:val="de-DE"/>
              </w:rPr>
            </w:pP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14C0B690" w14:textId="77777777" w:rsidR="00BA7A54" w:rsidRPr="00BF57A3" w:rsidRDefault="00BA7A54" w:rsidP="006C640E">
            <w:pPr>
              <w:spacing w:before="60" w:after="60"/>
              <w:ind w:right="-108"/>
              <w:jc w:val="both"/>
              <w:rPr>
                <w:sz w:val="22"/>
                <w:szCs w:val="22"/>
              </w:rPr>
            </w:pPr>
            <w:r w:rsidRPr="00BF57A3">
              <w:rPr>
                <w:sz w:val="22"/>
                <w:szCs w:val="22"/>
              </w:rPr>
              <w:t>≥ 500 ali &lt; 1000</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0287E4A" w14:textId="77777777" w:rsidR="00BA7A54" w:rsidRPr="00BF57A3" w:rsidRDefault="00BA7A54" w:rsidP="006C640E">
            <w:pPr>
              <w:spacing w:before="60" w:after="60"/>
              <w:jc w:val="both"/>
              <w:rPr>
                <w:sz w:val="22"/>
                <w:szCs w:val="22"/>
              </w:rPr>
            </w:pPr>
            <w:r w:rsidRPr="00BF57A3">
              <w:rPr>
                <w:sz w:val="22"/>
                <w:szCs w:val="22"/>
              </w:rPr>
              <w:t>ILI</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6C81BDC3" w14:textId="77777777" w:rsidR="00BA7A54" w:rsidRPr="00BF57A3" w:rsidRDefault="00BA7A54" w:rsidP="006C640E">
            <w:pPr>
              <w:spacing w:before="60" w:after="60"/>
              <w:jc w:val="both"/>
              <w:rPr>
                <w:sz w:val="22"/>
                <w:szCs w:val="22"/>
              </w:rPr>
            </w:pPr>
            <w:r w:rsidRPr="00BF57A3">
              <w:rPr>
                <w:sz w:val="22"/>
                <w:szCs w:val="22"/>
              </w:rPr>
              <w:t>≥ 50</w:t>
            </w:r>
            <w:r w:rsidR="00E22374" w:rsidRPr="00BF57A3">
              <w:rPr>
                <w:sz w:val="22"/>
                <w:szCs w:val="22"/>
              </w:rPr>
              <w:t>.</w:t>
            </w:r>
            <w:r w:rsidRPr="00BF57A3">
              <w:rPr>
                <w:sz w:val="22"/>
                <w:szCs w:val="22"/>
              </w:rPr>
              <w:t>000 ali &lt; 75</w:t>
            </w:r>
            <w:r w:rsidR="00E22374" w:rsidRPr="00BF57A3">
              <w:rPr>
                <w:sz w:val="22"/>
                <w:szCs w:val="22"/>
              </w:rPr>
              <w:t>.</w:t>
            </w:r>
            <w:r w:rsidRPr="00BF57A3">
              <w:rPr>
                <w:sz w:val="22"/>
                <w:szCs w:val="22"/>
              </w:rPr>
              <w:t>000</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59DCB9" w14:textId="77777777" w:rsidR="00BA7A54" w:rsidRPr="00BF57A3" w:rsidRDefault="00BA7A54" w:rsidP="006C640E">
            <w:pPr>
              <w:spacing w:before="60" w:after="60"/>
              <w:jc w:val="both"/>
              <w:rPr>
                <w:bCs/>
                <w:sz w:val="22"/>
                <w:szCs w:val="22"/>
              </w:rPr>
            </w:pPr>
            <w:r w:rsidRPr="00BF57A3">
              <w:rPr>
                <w:bCs/>
                <w:sz w:val="22"/>
                <w:szCs w:val="22"/>
              </w:rPr>
              <w:t>Smanjenje doza za 1 nivo i zatim primjena faktora rasta bijelih krvnih ćelija</w:t>
            </w:r>
          </w:p>
          <w:p w14:paraId="3A757ADA" w14:textId="77777777" w:rsidR="00BA7A54" w:rsidRPr="00BF57A3" w:rsidRDefault="00BA7A54" w:rsidP="006C640E">
            <w:pPr>
              <w:spacing w:before="60" w:after="60"/>
              <w:jc w:val="both"/>
              <w:rPr>
                <w:bCs/>
                <w:sz w:val="22"/>
                <w:szCs w:val="22"/>
                <w:lang w:val="de-DE"/>
              </w:rPr>
            </w:pPr>
            <w:r w:rsidRPr="00BF57A3">
              <w:rPr>
                <w:bCs/>
                <w:sz w:val="22"/>
                <w:szCs w:val="22"/>
                <w:lang w:val="de-DE"/>
              </w:rPr>
              <w:t xml:space="preserve">ILI </w:t>
            </w:r>
          </w:p>
          <w:p w14:paraId="47F6C846" w14:textId="77777777" w:rsidR="00BA7A54" w:rsidRPr="00BF57A3" w:rsidRDefault="00BA7A54" w:rsidP="006C640E">
            <w:pPr>
              <w:spacing w:before="60" w:after="60"/>
              <w:jc w:val="both"/>
              <w:rPr>
                <w:bCs/>
                <w:sz w:val="22"/>
                <w:szCs w:val="22"/>
                <w:lang w:val="de-DE"/>
              </w:rPr>
            </w:pPr>
            <w:r w:rsidRPr="00BF57A3">
              <w:rPr>
                <w:bCs/>
                <w:sz w:val="22"/>
                <w:szCs w:val="22"/>
                <w:lang w:val="de-DE"/>
              </w:rPr>
              <w:t>smanjenje nivoa doza 1. dana za 2 nivoa</w:t>
            </w:r>
          </w:p>
        </w:tc>
      </w:tr>
      <w:tr w:rsidR="00BA7A54" w:rsidRPr="00BF57A3" w14:paraId="1FFB864C" w14:textId="77777777" w:rsidTr="00EC24AF">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3EC8B7B" w14:textId="77777777" w:rsidR="00BA7A54" w:rsidRPr="00BF57A3" w:rsidRDefault="00BA7A54" w:rsidP="006C640E">
            <w:pPr>
              <w:spacing w:before="60" w:after="60"/>
              <w:jc w:val="both"/>
              <w:rPr>
                <w:b/>
                <w:sz w:val="22"/>
                <w:szCs w:val="22"/>
                <w:lang w:val="de-DE"/>
              </w:rPr>
            </w:pPr>
          </w:p>
        </w:tc>
        <w:tc>
          <w:tcPr>
            <w:tcW w:w="1941" w:type="dxa"/>
            <w:tcBorders>
              <w:top w:val="single" w:sz="4" w:space="0" w:color="auto"/>
              <w:left w:val="single" w:sz="4" w:space="0" w:color="auto"/>
              <w:bottom w:val="single" w:sz="4" w:space="0" w:color="auto"/>
              <w:right w:val="single" w:sz="4" w:space="0" w:color="auto"/>
            </w:tcBorders>
            <w:shd w:val="clear" w:color="auto" w:fill="auto"/>
            <w:vAlign w:val="center"/>
          </w:tcPr>
          <w:p w14:paraId="34AFBED5" w14:textId="77777777" w:rsidR="00BA7A54" w:rsidRPr="00BF57A3" w:rsidRDefault="00BA7A54" w:rsidP="006C640E">
            <w:pPr>
              <w:spacing w:before="60" w:after="60"/>
              <w:jc w:val="both"/>
              <w:rPr>
                <w:sz w:val="22"/>
                <w:szCs w:val="22"/>
                <w:lang w:val="it-IT"/>
              </w:rPr>
            </w:pPr>
            <w:r w:rsidRPr="00BF57A3">
              <w:rPr>
                <w:sz w:val="22"/>
                <w:szCs w:val="22"/>
                <w:lang w:val="it-IT"/>
              </w:rPr>
              <w:t>&lt; 500</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5538C05A" w14:textId="77777777" w:rsidR="00BA7A54" w:rsidRPr="00BF57A3" w:rsidRDefault="00BA7A54" w:rsidP="006C640E">
            <w:pPr>
              <w:spacing w:before="60" w:after="60"/>
              <w:jc w:val="both"/>
              <w:rPr>
                <w:sz w:val="22"/>
                <w:szCs w:val="22"/>
                <w:lang w:val="it-IT"/>
              </w:rPr>
            </w:pPr>
            <w:r w:rsidRPr="00BF57A3">
              <w:rPr>
                <w:sz w:val="22"/>
                <w:szCs w:val="22"/>
                <w:lang w:val="it-IT"/>
              </w:rPr>
              <w:t>ILI</w:t>
            </w: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7D3827C4" w14:textId="77777777" w:rsidR="00BA7A54" w:rsidRPr="00BF57A3" w:rsidRDefault="00BA7A54" w:rsidP="006C640E">
            <w:pPr>
              <w:spacing w:before="60" w:after="60"/>
              <w:jc w:val="both"/>
              <w:rPr>
                <w:sz w:val="22"/>
                <w:szCs w:val="22"/>
                <w:lang w:val="it-IT"/>
              </w:rPr>
            </w:pPr>
            <w:r w:rsidRPr="00BF57A3">
              <w:rPr>
                <w:sz w:val="22"/>
                <w:szCs w:val="22"/>
                <w:lang w:val="it-IT"/>
              </w:rPr>
              <w:t>&lt; 50</w:t>
            </w:r>
            <w:r w:rsidR="00E22374" w:rsidRPr="00BF57A3">
              <w:rPr>
                <w:sz w:val="22"/>
                <w:szCs w:val="22"/>
                <w:lang w:val="it-IT"/>
              </w:rPr>
              <w:t>.</w:t>
            </w:r>
            <w:r w:rsidRPr="00BF57A3">
              <w:rPr>
                <w:sz w:val="22"/>
                <w:szCs w:val="22"/>
                <w:lang w:val="it-IT"/>
              </w:rPr>
              <w:t>000</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5A79B2" w14:textId="77777777" w:rsidR="00BA7A54" w:rsidRPr="00BF57A3" w:rsidRDefault="00BA7A54" w:rsidP="006C640E">
            <w:pPr>
              <w:spacing w:before="60" w:after="60"/>
              <w:jc w:val="both"/>
              <w:rPr>
                <w:bCs/>
                <w:sz w:val="22"/>
                <w:szCs w:val="22"/>
                <w:lang w:val="it-IT"/>
              </w:rPr>
            </w:pPr>
            <w:r w:rsidRPr="00BF57A3">
              <w:rPr>
                <w:bCs/>
                <w:sz w:val="22"/>
                <w:szCs w:val="22"/>
                <w:lang w:val="it-IT"/>
              </w:rPr>
              <w:t xml:space="preserve">Obustava doze  </w:t>
            </w:r>
          </w:p>
        </w:tc>
      </w:tr>
    </w:tbl>
    <w:p w14:paraId="0F5BC2FE" w14:textId="77777777" w:rsidR="00BA7A54" w:rsidRPr="006C640E" w:rsidRDefault="009A3CF1" w:rsidP="00BF57A3">
      <w:pPr>
        <w:pStyle w:val="Header"/>
        <w:tabs>
          <w:tab w:val="left" w:pos="284"/>
        </w:tabs>
        <w:jc w:val="both"/>
        <w:rPr>
          <w:sz w:val="22"/>
          <w:szCs w:val="22"/>
          <w:lang w:val="it-IT"/>
        </w:rPr>
      </w:pPr>
      <w:r w:rsidRPr="006C640E">
        <w:rPr>
          <w:sz w:val="22"/>
          <w:szCs w:val="22"/>
          <w:lang w:val="it-IT"/>
        </w:rPr>
        <w:t xml:space="preserve">  </w:t>
      </w:r>
      <w:r w:rsidR="00BA7A54" w:rsidRPr="006C640E">
        <w:rPr>
          <w:sz w:val="22"/>
          <w:szCs w:val="22"/>
          <w:lang w:val="it-IT"/>
        </w:rPr>
        <w:t xml:space="preserve">Skraćenica: ABN = apsolutni broj neutrofila  </w:t>
      </w:r>
    </w:p>
    <w:p w14:paraId="4E543249" w14:textId="77777777" w:rsidR="00BA7A54" w:rsidRPr="00BF57A3" w:rsidRDefault="00BA7A54">
      <w:pPr>
        <w:pStyle w:val="Header"/>
        <w:tabs>
          <w:tab w:val="left" w:pos="284"/>
        </w:tabs>
        <w:jc w:val="both"/>
        <w:rPr>
          <w:sz w:val="22"/>
          <w:szCs w:val="22"/>
          <w:lang w:val="it-IT"/>
        </w:rPr>
      </w:pPr>
    </w:p>
    <w:p w14:paraId="0F19F436" w14:textId="17B3F7B2" w:rsidR="009A3CF1" w:rsidRPr="00BF57A3" w:rsidRDefault="00BA7A54">
      <w:pPr>
        <w:pStyle w:val="Header"/>
        <w:tabs>
          <w:tab w:val="left" w:pos="284"/>
        </w:tabs>
        <w:jc w:val="both"/>
        <w:rPr>
          <w:b/>
          <w:sz w:val="22"/>
          <w:szCs w:val="22"/>
          <w:lang w:val="it-IT"/>
        </w:rPr>
      </w:pPr>
      <w:r w:rsidRPr="00BF57A3">
        <w:rPr>
          <w:b/>
          <w:sz w:val="22"/>
          <w:szCs w:val="22"/>
          <w:lang w:val="it-IT"/>
        </w:rPr>
        <w:t xml:space="preserve">Tabela 3: Promjene doza zbog drugih neželjenih reakcija na lijek kod </w:t>
      </w:r>
      <w:r w:rsidR="00BF57A3">
        <w:rPr>
          <w:b/>
          <w:sz w:val="22"/>
          <w:szCs w:val="22"/>
          <w:lang w:val="it-IT"/>
        </w:rPr>
        <w:t>pacijenata</w:t>
      </w:r>
      <w:r w:rsidR="00BF57A3" w:rsidRPr="00BF57A3">
        <w:rPr>
          <w:b/>
          <w:sz w:val="22"/>
          <w:szCs w:val="22"/>
          <w:lang w:val="it-IT"/>
        </w:rPr>
        <w:t xml:space="preserve"> </w:t>
      </w:r>
      <w:r w:rsidRPr="00BF57A3">
        <w:rPr>
          <w:b/>
          <w:sz w:val="22"/>
          <w:szCs w:val="22"/>
          <w:lang w:val="it-IT"/>
        </w:rPr>
        <w:t xml:space="preserve">sa </w:t>
      </w:r>
    </w:p>
    <w:p w14:paraId="71BA7F5A" w14:textId="77777777" w:rsidR="00BA7A54" w:rsidRPr="00BF57A3" w:rsidRDefault="009A3CF1">
      <w:pPr>
        <w:pStyle w:val="Header"/>
        <w:tabs>
          <w:tab w:val="left" w:pos="284"/>
        </w:tabs>
        <w:jc w:val="both"/>
        <w:rPr>
          <w:b/>
          <w:sz w:val="22"/>
          <w:szCs w:val="22"/>
          <w:lang w:val="it-IT"/>
        </w:rPr>
      </w:pPr>
      <w:r w:rsidRPr="00BF57A3">
        <w:rPr>
          <w:b/>
          <w:sz w:val="22"/>
          <w:szCs w:val="22"/>
          <w:lang w:val="it-IT"/>
        </w:rPr>
        <w:tab/>
        <w:t xml:space="preserve">            </w:t>
      </w:r>
      <w:r w:rsidR="00BA7A54" w:rsidRPr="00BF57A3">
        <w:rPr>
          <w:b/>
          <w:sz w:val="22"/>
          <w:szCs w:val="22"/>
          <w:lang w:val="it-IT"/>
        </w:rPr>
        <w:t>adenokarcinomom pankreasa</w:t>
      </w:r>
    </w:p>
    <w:p w14:paraId="1AB48154" w14:textId="77777777" w:rsidR="00BA7A54" w:rsidRPr="00BF57A3" w:rsidRDefault="00BA7A54" w:rsidP="006C640E">
      <w:pPr>
        <w:pStyle w:val="Header"/>
        <w:tabs>
          <w:tab w:val="left" w:pos="284"/>
        </w:tabs>
        <w:jc w:val="both"/>
        <w:rPr>
          <w:sz w:val="22"/>
          <w:szCs w:val="22"/>
          <w:lang w:val="it-IT"/>
        </w:rPr>
      </w:pPr>
    </w:p>
    <w:tbl>
      <w:tblPr>
        <w:tblW w:w="92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6"/>
        <w:gridCol w:w="3191"/>
        <w:gridCol w:w="3359"/>
      </w:tblGrid>
      <w:tr w:rsidR="00BA7A54" w:rsidRPr="00BF57A3" w14:paraId="0CD57521" w14:textId="77777777" w:rsidTr="00EC24AF">
        <w:trPr>
          <w:trHeight w:val="630"/>
        </w:trPr>
        <w:tc>
          <w:tcPr>
            <w:tcW w:w="2666" w:type="dxa"/>
            <w:vAlign w:val="center"/>
          </w:tcPr>
          <w:p w14:paraId="19D24112" w14:textId="77777777" w:rsidR="00BA7A54" w:rsidRPr="00BF57A3" w:rsidRDefault="00BA7A54" w:rsidP="006C640E">
            <w:pPr>
              <w:spacing w:before="60" w:after="60"/>
              <w:jc w:val="both"/>
              <w:rPr>
                <w:b/>
                <w:sz w:val="22"/>
                <w:szCs w:val="22"/>
              </w:rPr>
            </w:pPr>
            <w:r w:rsidRPr="00BF57A3">
              <w:rPr>
                <w:b/>
                <w:sz w:val="22"/>
                <w:szCs w:val="22"/>
              </w:rPr>
              <w:t>Neželjena reakcija na lijek</w:t>
            </w:r>
          </w:p>
        </w:tc>
        <w:tc>
          <w:tcPr>
            <w:tcW w:w="3191" w:type="dxa"/>
            <w:vAlign w:val="center"/>
          </w:tcPr>
          <w:p w14:paraId="321702F1" w14:textId="77777777" w:rsidR="00BA7A54" w:rsidRPr="00BF57A3" w:rsidRDefault="00BA7A54" w:rsidP="006C640E">
            <w:pPr>
              <w:spacing w:before="60" w:after="60"/>
              <w:jc w:val="both"/>
              <w:rPr>
                <w:b/>
                <w:sz w:val="22"/>
                <w:szCs w:val="22"/>
              </w:rPr>
            </w:pPr>
            <w:r w:rsidRPr="00BF57A3">
              <w:rPr>
                <w:b/>
                <w:bCs/>
                <w:sz w:val="22"/>
                <w:szCs w:val="22"/>
              </w:rPr>
              <w:t>Doza lijeka Abraxane</w:t>
            </w:r>
          </w:p>
        </w:tc>
        <w:tc>
          <w:tcPr>
            <w:tcW w:w="3359" w:type="dxa"/>
            <w:vAlign w:val="center"/>
          </w:tcPr>
          <w:p w14:paraId="37D8A241" w14:textId="77777777" w:rsidR="00BA7A54" w:rsidRPr="00BF57A3" w:rsidRDefault="00BA7A54" w:rsidP="006C640E">
            <w:pPr>
              <w:spacing w:before="60" w:after="60"/>
              <w:jc w:val="both"/>
              <w:rPr>
                <w:b/>
                <w:sz w:val="22"/>
                <w:szCs w:val="22"/>
              </w:rPr>
            </w:pPr>
            <w:r w:rsidRPr="00BF57A3">
              <w:rPr>
                <w:b/>
                <w:bCs/>
                <w:sz w:val="22"/>
                <w:szCs w:val="22"/>
              </w:rPr>
              <w:t>Doza gemcitabina</w:t>
            </w:r>
          </w:p>
        </w:tc>
      </w:tr>
      <w:tr w:rsidR="00BA7A54" w:rsidRPr="00BF57A3" w14:paraId="088A933B" w14:textId="77777777" w:rsidTr="00EC24AF">
        <w:trPr>
          <w:trHeight w:val="690"/>
        </w:trPr>
        <w:tc>
          <w:tcPr>
            <w:tcW w:w="2666" w:type="dxa"/>
            <w:vAlign w:val="center"/>
          </w:tcPr>
          <w:p w14:paraId="73FB1A79" w14:textId="77777777" w:rsidR="00BA7A54" w:rsidRPr="00BF57A3" w:rsidRDefault="00BA7A54" w:rsidP="006C640E">
            <w:pPr>
              <w:spacing w:before="60" w:after="60"/>
              <w:ind w:left="432" w:hanging="360"/>
              <w:jc w:val="both"/>
              <w:rPr>
                <w:sz w:val="22"/>
                <w:szCs w:val="22"/>
              </w:rPr>
            </w:pPr>
            <w:r w:rsidRPr="00BF57A3">
              <w:rPr>
                <w:b/>
                <w:sz w:val="22"/>
                <w:szCs w:val="22"/>
              </w:rPr>
              <w:t>Febrilna neutropenija</w:t>
            </w:r>
            <w:r w:rsidRPr="00BF57A3">
              <w:rPr>
                <w:sz w:val="22"/>
                <w:szCs w:val="22"/>
              </w:rPr>
              <w:t>:</w:t>
            </w:r>
          </w:p>
          <w:p w14:paraId="03338999" w14:textId="77777777" w:rsidR="00BA7A54" w:rsidRPr="00BF57A3" w:rsidRDefault="00BA7A54" w:rsidP="006C640E">
            <w:pPr>
              <w:spacing w:before="60" w:after="60"/>
              <w:ind w:left="432" w:hanging="90"/>
              <w:jc w:val="both"/>
              <w:rPr>
                <w:sz w:val="22"/>
                <w:szCs w:val="22"/>
              </w:rPr>
            </w:pPr>
            <w:r w:rsidRPr="00BF57A3">
              <w:rPr>
                <w:sz w:val="22"/>
                <w:szCs w:val="22"/>
              </w:rPr>
              <w:t>stepena 3 ili 4</w:t>
            </w:r>
          </w:p>
        </w:tc>
        <w:tc>
          <w:tcPr>
            <w:tcW w:w="6550" w:type="dxa"/>
            <w:gridSpan w:val="2"/>
            <w:vAlign w:val="center"/>
          </w:tcPr>
          <w:p w14:paraId="6B326CF3" w14:textId="77777777" w:rsidR="00BA7A54" w:rsidRPr="00BF57A3" w:rsidRDefault="00BA7A54" w:rsidP="006C640E">
            <w:pPr>
              <w:spacing w:before="60" w:after="60"/>
              <w:ind w:left="72"/>
              <w:jc w:val="both"/>
              <w:rPr>
                <w:bCs/>
                <w:sz w:val="22"/>
                <w:szCs w:val="22"/>
              </w:rPr>
            </w:pPr>
            <w:r w:rsidRPr="00BF57A3">
              <w:rPr>
                <w:bCs/>
                <w:sz w:val="22"/>
                <w:szCs w:val="22"/>
              </w:rPr>
              <w:t>Obustava doza dok se groznica ne povuče i dostigne ABN ≥ 1500; nastaviti sa sljedećim nižim nivoom doza</w:t>
            </w:r>
            <w:r w:rsidRPr="00BF57A3">
              <w:rPr>
                <w:bCs/>
                <w:sz w:val="22"/>
                <w:szCs w:val="22"/>
                <w:vertAlign w:val="superscript"/>
              </w:rPr>
              <w:t>a</w:t>
            </w:r>
          </w:p>
        </w:tc>
      </w:tr>
      <w:tr w:rsidR="00BA7A54" w:rsidRPr="00BF57A3" w14:paraId="016A60D6" w14:textId="77777777" w:rsidTr="00EC24AF">
        <w:trPr>
          <w:trHeight w:val="945"/>
        </w:trPr>
        <w:tc>
          <w:tcPr>
            <w:tcW w:w="2666" w:type="dxa"/>
            <w:vAlign w:val="center"/>
          </w:tcPr>
          <w:p w14:paraId="473EE6AC" w14:textId="77777777" w:rsidR="00BA7A54" w:rsidRPr="00BF57A3" w:rsidRDefault="00BA7A54" w:rsidP="006C640E">
            <w:pPr>
              <w:spacing w:before="60" w:after="60"/>
              <w:ind w:left="432" w:hanging="360"/>
              <w:jc w:val="both"/>
              <w:rPr>
                <w:sz w:val="22"/>
                <w:szCs w:val="22"/>
              </w:rPr>
            </w:pPr>
            <w:r w:rsidRPr="00BF57A3">
              <w:rPr>
                <w:b/>
                <w:sz w:val="22"/>
                <w:szCs w:val="22"/>
              </w:rPr>
              <w:t>Periferna neuropatija</w:t>
            </w:r>
            <w:r w:rsidRPr="00BF57A3">
              <w:rPr>
                <w:sz w:val="22"/>
                <w:szCs w:val="22"/>
              </w:rPr>
              <w:t>:</w:t>
            </w:r>
          </w:p>
          <w:p w14:paraId="53241CB7" w14:textId="77777777" w:rsidR="00BA7A54" w:rsidRPr="00BF57A3" w:rsidRDefault="00BA7A54" w:rsidP="006C640E">
            <w:pPr>
              <w:spacing w:before="60" w:after="60"/>
              <w:ind w:left="432" w:hanging="90"/>
              <w:jc w:val="both"/>
              <w:rPr>
                <w:sz w:val="22"/>
                <w:szCs w:val="22"/>
              </w:rPr>
            </w:pPr>
            <w:r w:rsidRPr="00BF57A3">
              <w:rPr>
                <w:sz w:val="22"/>
                <w:szCs w:val="22"/>
              </w:rPr>
              <w:t>stepena 3 ili 4</w:t>
            </w:r>
          </w:p>
        </w:tc>
        <w:tc>
          <w:tcPr>
            <w:tcW w:w="3191" w:type="dxa"/>
            <w:vAlign w:val="center"/>
          </w:tcPr>
          <w:p w14:paraId="2B6E7638" w14:textId="77777777" w:rsidR="00BA7A54" w:rsidRPr="00BF57A3" w:rsidRDefault="00BA7A54" w:rsidP="006C640E">
            <w:pPr>
              <w:spacing w:before="60" w:after="60"/>
              <w:jc w:val="both"/>
              <w:rPr>
                <w:bCs/>
                <w:sz w:val="22"/>
                <w:szCs w:val="22"/>
                <w:lang w:val="it-IT"/>
              </w:rPr>
            </w:pPr>
            <w:r w:rsidRPr="00BF57A3">
              <w:rPr>
                <w:bCs/>
                <w:sz w:val="22"/>
                <w:szCs w:val="22"/>
                <w:lang w:val="it-IT"/>
              </w:rPr>
              <w:t xml:space="preserve">Obustava doza do poboljšanja </w:t>
            </w:r>
          </w:p>
          <w:p w14:paraId="47B9FEBC" w14:textId="77777777" w:rsidR="00BA7A54" w:rsidRPr="00BF57A3" w:rsidRDefault="00BA7A54" w:rsidP="006C640E">
            <w:pPr>
              <w:spacing w:before="60" w:after="60"/>
              <w:jc w:val="both"/>
              <w:rPr>
                <w:bCs/>
                <w:sz w:val="22"/>
                <w:szCs w:val="22"/>
                <w:lang w:val="it-IT"/>
              </w:rPr>
            </w:pPr>
            <w:r w:rsidRPr="00BF57A3">
              <w:rPr>
                <w:bCs/>
                <w:sz w:val="22"/>
                <w:szCs w:val="22"/>
                <w:lang w:val="it-IT"/>
              </w:rPr>
              <w:t xml:space="preserve">na ≤ stepen 1;  </w:t>
            </w:r>
          </w:p>
          <w:p w14:paraId="456E5B92" w14:textId="77777777" w:rsidR="00BA7A54" w:rsidRPr="00BF57A3" w:rsidRDefault="00BA7A54" w:rsidP="006C640E">
            <w:pPr>
              <w:spacing w:before="60" w:after="60"/>
              <w:jc w:val="both"/>
              <w:rPr>
                <w:bCs/>
                <w:sz w:val="22"/>
                <w:szCs w:val="22"/>
                <w:lang w:val="it-IT"/>
              </w:rPr>
            </w:pPr>
            <w:r w:rsidRPr="00BF57A3">
              <w:rPr>
                <w:bCs/>
                <w:sz w:val="22"/>
                <w:szCs w:val="22"/>
                <w:lang w:val="it-IT"/>
              </w:rPr>
              <w:t>nastaviti sa sljedećim nižim</w:t>
            </w:r>
            <w:r w:rsidRPr="006C640E">
              <w:rPr>
                <w:sz w:val="22"/>
                <w:szCs w:val="22"/>
                <w:lang w:val="it-IT"/>
              </w:rPr>
              <w:t xml:space="preserve"> </w:t>
            </w:r>
            <w:r w:rsidRPr="00BF57A3">
              <w:rPr>
                <w:bCs/>
                <w:sz w:val="22"/>
                <w:szCs w:val="22"/>
                <w:lang w:val="it-IT"/>
              </w:rPr>
              <w:t>nivoom doza</w:t>
            </w:r>
            <w:r w:rsidRPr="00BF57A3">
              <w:rPr>
                <w:bCs/>
                <w:sz w:val="22"/>
                <w:szCs w:val="22"/>
                <w:vertAlign w:val="superscript"/>
                <w:lang w:val="it-IT"/>
              </w:rPr>
              <w:t>a</w:t>
            </w:r>
          </w:p>
        </w:tc>
        <w:tc>
          <w:tcPr>
            <w:tcW w:w="3359" w:type="dxa"/>
            <w:vAlign w:val="center"/>
          </w:tcPr>
          <w:p w14:paraId="35BBD1BF" w14:textId="77777777" w:rsidR="00BA7A54" w:rsidRPr="00BF57A3" w:rsidRDefault="00BA7A54" w:rsidP="006C640E">
            <w:pPr>
              <w:spacing w:before="60" w:after="60"/>
              <w:jc w:val="both"/>
              <w:rPr>
                <w:bCs/>
                <w:sz w:val="22"/>
                <w:szCs w:val="22"/>
              </w:rPr>
            </w:pPr>
            <w:r w:rsidRPr="00BF57A3">
              <w:rPr>
                <w:bCs/>
                <w:sz w:val="22"/>
                <w:szCs w:val="22"/>
              </w:rPr>
              <w:t>Prim</w:t>
            </w:r>
            <w:r w:rsidR="00E47D47" w:rsidRPr="00BF57A3">
              <w:rPr>
                <w:bCs/>
                <w:sz w:val="22"/>
                <w:szCs w:val="22"/>
              </w:rPr>
              <w:t>i</w:t>
            </w:r>
            <w:r w:rsidRPr="00BF57A3">
              <w:rPr>
                <w:bCs/>
                <w:sz w:val="22"/>
                <w:szCs w:val="22"/>
              </w:rPr>
              <w:t>jeniti istu dozu</w:t>
            </w:r>
          </w:p>
        </w:tc>
      </w:tr>
      <w:tr w:rsidR="00BA7A54" w:rsidRPr="00BF57A3" w14:paraId="10ADA8B6" w14:textId="77777777" w:rsidTr="00EC24AF">
        <w:trPr>
          <w:trHeight w:val="690"/>
        </w:trPr>
        <w:tc>
          <w:tcPr>
            <w:tcW w:w="2666" w:type="dxa"/>
            <w:vAlign w:val="center"/>
          </w:tcPr>
          <w:p w14:paraId="69119A0D" w14:textId="77777777" w:rsidR="00BA7A54" w:rsidRPr="00BF57A3" w:rsidRDefault="00BA7A54" w:rsidP="006C640E">
            <w:pPr>
              <w:spacing w:before="60" w:after="60"/>
              <w:ind w:firstLine="72"/>
              <w:jc w:val="both"/>
              <w:rPr>
                <w:b/>
                <w:sz w:val="22"/>
                <w:szCs w:val="22"/>
              </w:rPr>
            </w:pPr>
            <w:r w:rsidRPr="00BF57A3">
              <w:rPr>
                <w:b/>
                <w:sz w:val="22"/>
                <w:szCs w:val="22"/>
              </w:rPr>
              <w:t>Kožna toksičnost:</w:t>
            </w:r>
          </w:p>
          <w:p w14:paraId="634FDA49" w14:textId="77777777" w:rsidR="00BA7A54" w:rsidRPr="00BF57A3" w:rsidRDefault="00BA7A54" w:rsidP="006C640E">
            <w:pPr>
              <w:spacing w:before="60" w:after="60"/>
              <w:ind w:firstLine="342"/>
              <w:jc w:val="both"/>
              <w:rPr>
                <w:b/>
                <w:sz w:val="22"/>
                <w:szCs w:val="22"/>
              </w:rPr>
            </w:pPr>
            <w:r w:rsidRPr="00BF57A3">
              <w:rPr>
                <w:sz w:val="22"/>
                <w:szCs w:val="22"/>
              </w:rPr>
              <w:t>stepena 2 ili 3</w:t>
            </w:r>
          </w:p>
        </w:tc>
        <w:tc>
          <w:tcPr>
            <w:tcW w:w="6550" w:type="dxa"/>
            <w:gridSpan w:val="2"/>
            <w:vAlign w:val="center"/>
          </w:tcPr>
          <w:p w14:paraId="0976079A" w14:textId="77777777" w:rsidR="00BA7A54" w:rsidRPr="00BF57A3" w:rsidRDefault="00BA7A54" w:rsidP="006C640E">
            <w:pPr>
              <w:spacing w:before="60" w:after="60"/>
              <w:jc w:val="both"/>
              <w:rPr>
                <w:bCs/>
                <w:sz w:val="22"/>
                <w:szCs w:val="22"/>
              </w:rPr>
            </w:pPr>
            <w:r w:rsidRPr="00BF57A3">
              <w:rPr>
                <w:bCs/>
                <w:sz w:val="22"/>
                <w:szCs w:val="22"/>
              </w:rPr>
              <w:t>Smanjiti na sljedeći niži nivo doza</w:t>
            </w:r>
            <w:r w:rsidRPr="00BF57A3">
              <w:rPr>
                <w:bCs/>
                <w:sz w:val="22"/>
                <w:szCs w:val="22"/>
                <w:vertAlign w:val="superscript"/>
              </w:rPr>
              <w:t>a</w:t>
            </w:r>
            <w:r w:rsidRPr="00BF57A3">
              <w:rPr>
                <w:bCs/>
                <w:sz w:val="22"/>
                <w:szCs w:val="22"/>
              </w:rPr>
              <w:t xml:space="preserve">; </w:t>
            </w:r>
          </w:p>
          <w:p w14:paraId="100E53B3" w14:textId="77777777" w:rsidR="00BA7A54" w:rsidRPr="00BF57A3" w:rsidRDefault="00BA7A54" w:rsidP="006C640E">
            <w:pPr>
              <w:spacing w:before="60" w:after="60"/>
              <w:jc w:val="both"/>
              <w:rPr>
                <w:bCs/>
                <w:sz w:val="22"/>
                <w:szCs w:val="22"/>
                <w:lang w:val="es-ES"/>
              </w:rPr>
            </w:pPr>
            <w:r w:rsidRPr="00BF57A3">
              <w:rPr>
                <w:bCs/>
                <w:sz w:val="22"/>
                <w:szCs w:val="22"/>
                <w:lang w:val="es-ES"/>
              </w:rPr>
              <w:t>prekinuti liječenje ako su neželjena dejstva i dalje prisutna</w:t>
            </w:r>
          </w:p>
        </w:tc>
      </w:tr>
      <w:tr w:rsidR="00BA7A54" w:rsidRPr="00BF57A3" w14:paraId="5CF4014F" w14:textId="77777777" w:rsidTr="00EC24AF">
        <w:trPr>
          <w:trHeight w:val="416"/>
        </w:trPr>
        <w:tc>
          <w:tcPr>
            <w:tcW w:w="2666" w:type="dxa"/>
            <w:vAlign w:val="center"/>
          </w:tcPr>
          <w:p w14:paraId="712E07CF" w14:textId="77777777" w:rsidR="00BA7A54" w:rsidRPr="00BF57A3" w:rsidRDefault="00BA7A54" w:rsidP="006C640E">
            <w:pPr>
              <w:spacing w:before="60" w:after="60"/>
              <w:ind w:left="139" w:hanging="67"/>
              <w:jc w:val="both"/>
              <w:rPr>
                <w:b/>
                <w:sz w:val="22"/>
                <w:szCs w:val="22"/>
              </w:rPr>
            </w:pPr>
            <w:r w:rsidRPr="00BF57A3">
              <w:rPr>
                <w:b/>
                <w:sz w:val="22"/>
                <w:szCs w:val="22"/>
              </w:rPr>
              <w:t>Gastrointestinalna  toksičnost:</w:t>
            </w:r>
          </w:p>
          <w:p w14:paraId="0DEE8B29" w14:textId="77777777" w:rsidR="00BA7A54" w:rsidRPr="00BF57A3" w:rsidRDefault="00BA7A54" w:rsidP="006C640E">
            <w:pPr>
              <w:spacing w:before="60" w:after="60"/>
              <w:ind w:left="409" w:hanging="67"/>
              <w:jc w:val="both"/>
              <w:rPr>
                <w:b/>
                <w:sz w:val="22"/>
                <w:szCs w:val="22"/>
              </w:rPr>
            </w:pPr>
            <w:r w:rsidRPr="00BF57A3">
              <w:rPr>
                <w:sz w:val="22"/>
                <w:szCs w:val="22"/>
              </w:rPr>
              <w:t>mukozitis ili dijareja stepena 3</w:t>
            </w:r>
          </w:p>
        </w:tc>
        <w:tc>
          <w:tcPr>
            <w:tcW w:w="6550" w:type="dxa"/>
            <w:gridSpan w:val="2"/>
            <w:vAlign w:val="center"/>
          </w:tcPr>
          <w:p w14:paraId="135D5A38" w14:textId="77777777" w:rsidR="00BA7A54" w:rsidRPr="00BF57A3" w:rsidRDefault="00BA7A54" w:rsidP="006C640E">
            <w:pPr>
              <w:spacing w:before="60" w:after="60"/>
              <w:jc w:val="both"/>
              <w:rPr>
                <w:bCs/>
                <w:sz w:val="22"/>
                <w:szCs w:val="22"/>
              </w:rPr>
            </w:pPr>
            <w:r w:rsidRPr="00BF57A3">
              <w:rPr>
                <w:bCs/>
                <w:sz w:val="22"/>
                <w:szCs w:val="22"/>
              </w:rPr>
              <w:t xml:space="preserve">Obustaviti doze do poboljšanja na ≤ stepen 1;  </w:t>
            </w:r>
          </w:p>
          <w:p w14:paraId="7F5AE444" w14:textId="77777777" w:rsidR="00BA7A54" w:rsidRPr="00BF57A3" w:rsidRDefault="00BA7A54" w:rsidP="006C640E">
            <w:pPr>
              <w:spacing w:before="60" w:after="60"/>
              <w:jc w:val="both"/>
              <w:rPr>
                <w:bCs/>
                <w:sz w:val="22"/>
                <w:szCs w:val="22"/>
              </w:rPr>
            </w:pPr>
            <w:r w:rsidRPr="00BF57A3">
              <w:rPr>
                <w:bCs/>
                <w:sz w:val="22"/>
                <w:szCs w:val="22"/>
              </w:rPr>
              <w:t>nastaviti sa sljedećim nižim</w:t>
            </w:r>
            <w:r w:rsidRPr="006C640E">
              <w:rPr>
                <w:sz w:val="22"/>
                <w:szCs w:val="22"/>
              </w:rPr>
              <w:t xml:space="preserve"> </w:t>
            </w:r>
            <w:r w:rsidRPr="00BF57A3">
              <w:rPr>
                <w:bCs/>
                <w:sz w:val="22"/>
                <w:szCs w:val="22"/>
              </w:rPr>
              <w:t>nivoom doza</w:t>
            </w:r>
            <w:r w:rsidRPr="00BF57A3">
              <w:rPr>
                <w:bCs/>
                <w:sz w:val="22"/>
                <w:szCs w:val="22"/>
                <w:vertAlign w:val="superscript"/>
              </w:rPr>
              <w:t>a</w:t>
            </w:r>
          </w:p>
        </w:tc>
      </w:tr>
    </w:tbl>
    <w:p w14:paraId="17E3103D" w14:textId="77777777" w:rsidR="00BA7A54" w:rsidRPr="006C640E" w:rsidRDefault="00BA7A54" w:rsidP="00BF57A3">
      <w:pPr>
        <w:pStyle w:val="Header"/>
        <w:tabs>
          <w:tab w:val="left" w:pos="284"/>
        </w:tabs>
        <w:jc w:val="both"/>
        <w:rPr>
          <w:sz w:val="22"/>
          <w:szCs w:val="22"/>
          <w:lang w:val="es-ES"/>
        </w:rPr>
      </w:pPr>
      <w:r w:rsidRPr="006C640E">
        <w:rPr>
          <w:sz w:val="22"/>
          <w:szCs w:val="22"/>
          <w:vertAlign w:val="superscript"/>
          <w:lang w:val="es-ES"/>
        </w:rPr>
        <w:t>a</w:t>
      </w:r>
      <w:r w:rsidRPr="006C640E">
        <w:rPr>
          <w:sz w:val="22"/>
          <w:szCs w:val="22"/>
          <w:lang w:val="es-ES"/>
        </w:rPr>
        <w:t>Za smanjenje nivoa doza vidjeti tabelu 1.</w:t>
      </w:r>
    </w:p>
    <w:p w14:paraId="7CF2B425" w14:textId="77777777" w:rsidR="00BA7A54" w:rsidRPr="00BF57A3" w:rsidRDefault="00BA7A54">
      <w:pPr>
        <w:pStyle w:val="Header"/>
        <w:tabs>
          <w:tab w:val="left" w:pos="284"/>
        </w:tabs>
        <w:jc w:val="both"/>
        <w:rPr>
          <w:sz w:val="22"/>
          <w:szCs w:val="22"/>
          <w:lang w:val="es-ES"/>
        </w:rPr>
      </w:pPr>
    </w:p>
    <w:p w14:paraId="05F5F44B" w14:textId="77777777" w:rsidR="00B425FC" w:rsidRPr="00BF57A3" w:rsidRDefault="00B425FC">
      <w:pPr>
        <w:pStyle w:val="Header"/>
        <w:tabs>
          <w:tab w:val="left" w:pos="284"/>
        </w:tabs>
        <w:jc w:val="both"/>
        <w:rPr>
          <w:i/>
          <w:sz w:val="22"/>
          <w:szCs w:val="22"/>
          <w:u w:val="single"/>
          <w:lang w:val="es-ES"/>
        </w:rPr>
      </w:pPr>
      <w:r w:rsidRPr="00BF57A3">
        <w:rPr>
          <w:i/>
          <w:sz w:val="22"/>
          <w:szCs w:val="22"/>
          <w:u w:val="single"/>
          <w:lang w:val="es-ES"/>
        </w:rPr>
        <w:t>Nemikrocelularni karcinom pluća</w:t>
      </w:r>
    </w:p>
    <w:p w14:paraId="47A996AB" w14:textId="77777777" w:rsidR="00B425FC" w:rsidRPr="00BF57A3" w:rsidRDefault="00B425FC">
      <w:pPr>
        <w:pStyle w:val="Header"/>
        <w:tabs>
          <w:tab w:val="left" w:pos="284"/>
        </w:tabs>
        <w:jc w:val="both"/>
        <w:rPr>
          <w:sz w:val="22"/>
          <w:szCs w:val="22"/>
          <w:lang w:val="es-ES"/>
        </w:rPr>
      </w:pPr>
      <w:r w:rsidRPr="00BF57A3">
        <w:rPr>
          <w:sz w:val="22"/>
          <w:szCs w:val="22"/>
          <w:lang w:val="es-ES"/>
        </w:rPr>
        <w:t>Preporučena doza lijeka Abraxane je 100 mg/m</w:t>
      </w:r>
      <w:r w:rsidRPr="00BF57A3">
        <w:rPr>
          <w:sz w:val="22"/>
          <w:szCs w:val="22"/>
          <w:vertAlign w:val="superscript"/>
          <w:lang w:val="es-ES"/>
        </w:rPr>
        <w:t>2</w:t>
      </w:r>
      <w:r w:rsidRPr="00BF57A3">
        <w:rPr>
          <w:sz w:val="22"/>
          <w:szCs w:val="22"/>
          <w:lang w:val="es-ES"/>
        </w:rPr>
        <w:t xml:space="preserve"> prim</w:t>
      </w:r>
      <w:r w:rsidR="00E47D47" w:rsidRPr="00BF57A3">
        <w:rPr>
          <w:sz w:val="22"/>
          <w:szCs w:val="22"/>
          <w:lang w:val="es-ES"/>
        </w:rPr>
        <w:t>i</w:t>
      </w:r>
      <w:r w:rsidRPr="00BF57A3">
        <w:rPr>
          <w:sz w:val="22"/>
          <w:szCs w:val="22"/>
          <w:lang w:val="es-ES"/>
        </w:rPr>
        <w:t>jenjena kao intravenska infuzija tokom 30 minuta 1., 8. i 15. dana svakog 21-dnevnog ciklusa. Preporučena doza karboplatina je PIK = 6 mg•min/ml, odmah nakon završene primjene lijeka Abraxane, samo 1. dana svakog 21-dnevnog ciklusa.</w:t>
      </w:r>
    </w:p>
    <w:p w14:paraId="50060B84" w14:textId="77777777" w:rsidR="00B425FC" w:rsidRPr="00BF57A3" w:rsidRDefault="00B425FC">
      <w:pPr>
        <w:pStyle w:val="Header"/>
        <w:tabs>
          <w:tab w:val="left" w:pos="284"/>
        </w:tabs>
        <w:jc w:val="both"/>
        <w:rPr>
          <w:sz w:val="22"/>
          <w:szCs w:val="22"/>
          <w:u w:val="single"/>
          <w:lang w:val="es-ES"/>
        </w:rPr>
      </w:pPr>
    </w:p>
    <w:p w14:paraId="12F4A84A" w14:textId="77777777" w:rsidR="00B425FC" w:rsidRPr="00BF57A3" w:rsidRDefault="00B425FC">
      <w:pPr>
        <w:pStyle w:val="Header"/>
        <w:tabs>
          <w:tab w:val="left" w:pos="284"/>
        </w:tabs>
        <w:jc w:val="both"/>
        <w:rPr>
          <w:i/>
          <w:sz w:val="22"/>
          <w:szCs w:val="22"/>
          <w:lang w:val="it-IT"/>
        </w:rPr>
      </w:pPr>
      <w:r w:rsidRPr="00BF57A3">
        <w:rPr>
          <w:i/>
          <w:sz w:val="22"/>
          <w:szCs w:val="22"/>
          <w:lang w:val="it-IT"/>
        </w:rPr>
        <w:t>Prilagođavanje doze tokom liječenja nemikrocelularnog karcinoma pluća</w:t>
      </w:r>
    </w:p>
    <w:p w14:paraId="4EE8D07C" w14:textId="335EF29B" w:rsidR="00B425FC" w:rsidRPr="00BF57A3" w:rsidRDefault="00D26F1A">
      <w:pPr>
        <w:pStyle w:val="Header"/>
        <w:tabs>
          <w:tab w:val="left" w:pos="284"/>
        </w:tabs>
        <w:jc w:val="both"/>
        <w:rPr>
          <w:sz w:val="22"/>
          <w:szCs w:val="22"/>
          <w:lang w:val="it-IT"/>
        </w:rPr>
      </w:pPr>
      <w:r w:rsidRPr="00BF57A3">
        <w:rPr>
          <w:sz w:val="22"/>
          <w:szCs w:val="22"/>
          <w:lang w:val="it-IT"/>
        </w:rPr>
        <w:t>Lijek Abraxane se ne smije primjenjivati 1.</w:t>
      </w:r>
      <w:r w:rsidR="00552A4E" w:rsidRPr="00BF57A3">
        <w:rPr>
          <w:sz w:val="22"/>
          <w:szCs w:val="22"/>
          <w:lang w:val="it-IT"/>
        </w:rPr>
        <w:t xml:space="preserve"> </w:t>
      </w:r>
      <w:r w:rsidRPr="00BF57A3">
        <w:rPr>
          <w:sz w:val="22"/>
          <w:szCs w:val="22"/>
          <w:lang w:val="it-IT"/>
        </w:rPr>
        <w:t>dana ciklusa sve dok apsolutni broj neutrofila (ABN) ne bude ≥ 1500 ćelija/mm</w:t>
      </w:r>
      <w:r w:rsidRPr="00BF57A3">
        <w:rPr>
          <w:sz w:val="22"/>
          <w:szCs w:val="22"/>
          <w:vertAlign w:val="superscript"/>
          <w:lang w:val="it-IT"/>
        </w:rPr>
        <w:t>3</w:t>
      </w:r>
      <w:r w:rsidRPr="00BF57A3">
        <w:rPr>
          <w:sz w:val="22"/>
          <w:szCs w:val="22"/>
          <w:lang w:val="it-IT"/>
        </w:rPr>
        <w:t xml:space="preserve"> a broj trombocita ≥ 100 000 ćelija/mm</w:t>
      </w:r>
      <w:r w:rsidRPr="00BF57A3">
        <w:rPr>
          <w:sz w:val="22"/>
          <w:szCs w:val="22"/>
          <w:vertAlign w:val="superscript"/>
          <w:lang w:val="it-IT"/>
        </w:rPr>
        <w:t>3</w:t>
      </w:r>
      <w:r w:rsidRPr="00BF57A3">
        <w:rPr>
          <w:sz w:val="22"/>
          <w:szCs w:val="22"/>
          <w:lang w:val="it-IT"/>
        </w:rPr>
        <w:t xml:space="preserve">. Pri svakoj sljedećoj nedjeljnoj dozi lijeka Abraxane, </w:t>
      </w:r>
      <w:r w:rsidR="00BF57A3">
        <w:rPr>
          <w:sz w:val="22"/>
          <w:szCs w:val="22"/>
          <w:lang w:val="it-IT"/>
        </w:rPr>
        <w:t>pacijenti</w:t>
      </w:r>
      <w:r w:rsidR="00BF57A3" w:rsidRPr="00BF57A3">
        <w:rPr>
          <w:sz w:val="22"/>
          <w:szCs w:val="22"/>
          <w:lang w:val="it-IT"/>
        </w:rPr>
        <w:t xml:space="preserve"> </w:t>
      </w:r>
      <w:r w:rsidRPr="00BF57A3">
        <w:rPr>
          <w:sz w:val="22"/>
          <w:szCs w:val="22"/>
          <w:lang w:val="it-IT"/>
        </w:rPr>
        <w:t xml:space="preserve">moraju imati vrijednosti ABN ≥ 500 </w:t>
      </w:r>
      <w:r w:rsidR="00243C04" w:rsidRPr="00BF57A3">
        <w:rPr>
          <w:sz w:val="22"/>
          <w:szCs w:val="22"/>
          <w:lang w:val="it-IT"/>
        </w:rPr>
        <w:t>ćelija/mm</w:t>
      </w:r>
      <w:r w:rsidR="00243C04" w:rsidRPr="00BF57A3">
        <w:rPr>
          <w:sz w:val="22"/>
          <w:szCs w:val="22"/>
          <w:vertAlign w:val="superscript"/>
          <w:lang w:val="it-IT"/>
        </w:rPr>
        <w:t>3</w:t>
      </w:r>
      <w:r w:rsidR="00243C04" w:rsidRPr="00BF57A3">
        <w:rPr>
          <w:sz w:val="22"/>
          <w:szCs w:val="22"/>
          <w:lang w:val="it-IT"/>
        </w:rPr>
        <w:t xml:space="preserve"> </w:t>
      </w:r>
      <w:r w:rsidRPr="00BF57A3">
        <w:rPr>
          <w:sz w:val="22"/>
          <w:szCs w:val="22"/>
          <w:lang w:val="it-IT"/>
        </w:rPr>
        <w:t xml:space="preserve">i trombocita &gt; 50 000 </w:t>
      </w:r>
      <w:r w:rsidR="00243C04" w:rsidRPr="00BF57A3">
        <w:rPr>
          <w:sz w:val="22"/>
          <w:szCs w:val="22"/>
          <w:lang w:val="it-IT"/>
        </w:rPr>
        <w:t>ćelija/mm</w:t>
      </w:r>
      <w:r w:rsidR="00243C04" w:rsidRPr="00BF57A3">
        <w:rPr>
          <w:sz w:val="22"/>
          <w:szCs w:val="22"/>
          <w:vertAlign w:val="superscript"/>
          <w:lang w:val="it-IT"/>
        </w:rPr>
        <w:t>3</w:t>
      </w:r>
      <w:r w:rsidR="00E47D47" w:rsidRPr="00BF57A3">
        <w:rPr>
          <w:sz w:val="22"/>
          <w:szCs w:val="22"/>
          <w:lang w:val="it-IT"/>
        </w:rPr>
        <w:t>,</w:t>
      </w:r>
      <w:r w:rsidR="00243C04" w:rsidRPr="00BF57A3">
        <w:rPr>
          <w:sz w:val="22"/>
          <w:szCs w:val="22"/>
          <w:lang w:val="it-IT"/>
        </w:rPr>
        <w:t xml:space="preserve"> </w:t>
      </w:r>
      <w:r w:rsidRPr="00BF57A3">
        <w:rPr>
          <w:sz w:val="22"/>
          <w:szCs w:val="22"/>
          <w:lang w:val="it-IT"/>
        </w:rPr>
        <w:t xml:space="preserve">ili dozu treba obustaviti dok se broj tih </w:t>
      </w:r>
      <w:r w:rsidR="00243C04" w:rsidRPr="00BF57A3">
        <w:rPr>
          <w:sz w:val="22"/>
          <w:szCs w:val="22"/>
          <w:lang w:val="it-IT"/>
        </w:rPr>
        <w:t>ćelija</w:t>
      </w:r>
      <w:r w:rsidRPr="00BF57A3">
        <w:rPr>
          <w:sz w:val="22"/>
          <w:szCs w:val="22"/>
          <w:lang w:val="it-IT"/>
        </w:rPr>
        <w:t xml:space="preserve"> ne oporavi. Kada brojevi </w:t>
      </w:r>
      <w:r w:rsidR="00243C04" w:rsidRPr="00BF57A3">
        <w:rPr>
          <w:sz w:val="22"/>
          <w:szCs w:val="22"/>
          <w:lang w:val="it-IT"/>
        </w:rPr>
        <w:t>ćelija</w:t>
      </w:r>
      <w:r w:rsidRPr="00BF57A3">
        <w:rPr>
          <w:sz w:val="22"/>
          <w:szCs w:val="22"/>
          <w:lang w:val="it-IT"/>
        </w:rPr>
        <w:t xml:space="preserve"> dosegnu </w:t>
      </w:r>
      <w:r w:rsidR="00243C04" w:rsidRPr="00BF57A3">
        <w:rPr>
          <w:sz w:val="22"/>
          <w:szCs w:val="22"/>
          <w:lang w:val="it-IT"/>
        </w:rPr>
        <w:t xml:space="preserve">potrebne vrijednosti, sljedeće nedjelje </w:t>
      </w:r>
      <w:r w:rsidR="00E47D47" w:rsidRPr="00BF57A3">
        <w:rPr>
          <w:sz w:val="22"/>
          <w:szCs w:val="22"/>
          <w:lang w:val="it-IT"/>
        </w:rPr>
        <w:t xml:space="preserve">nastaviti </w:t>
      </w:r>
      <w:r w:rsidRPr="00BF57A3">
        <w:rPr>
          <w:sz w:val="22"/>
          <w:szCs w:val="22"/>
          <w:lang w:val="it-IT"/>
        </w:rPr>
        <w:t>s</w:t>
      </w:r>
      <w:r w:rsidR="00243C04" w:rsidRPr="00BF57A3">
        <w:rPr>
          <w:sz w:val="22"/>
          <w:szCs w:val="22"/>
          <w:lang w:val="it-IT"/>
        </w:rPr>
        <w:t>a</w:t>
      </w:r>
      <w:r w:rsidRPr="00BF57A3">
        <w:rPr>
          <w:sz w:val="22"/>
          <w:szCs w:val="22"/>
          <w:lang w:val="it-IT"/>
        </w:rPr>
        <w:t xml:space="preserve"> dozom prema kriterijima navedenim u </w:t>
      </w:r>
      <w:r w:rsidR="00BF57A3">
        <w:rPr>
          <w:sz w:val="22"/>
          <w:szCs w:val="22"/>
          <w:lang w:val="it-IT"/>
        </w:rPr>
        <w:t>T</w:t>
      </w:r>
      <w:r w:rsidR="00243C04" w:rsidRPr="00BF57A3">
        <w:rPr>
          <w:sz w:val="22"/>
          <w:szCs w:val="22"/>
          <w:lang w:val="it-IT"/>
        </w:rPr>
        <w:t>abeli</w:t>
      </w:r>
      <w:r w:rsidRPr="00BF57A3">
        <w:rPr>
          <w:sz w:val="22"/>
          <w:szCs w:val="22"/>
          <w:lang w:val="it-IT"/>
        </w:rPr>
        <w:t xml:space="preserve"> 4. Sl</w:t>
      </w:r>
      <w:r w:rsidR="000A45C7" w:rsidRPr="00BF57A3">
        <w:rPr>
          <w:sz w:val="22"/>
          <w:szCs w:val="22"/>
          <w:lang w:val="it-IT"/>
        </w:rPr>
        <w:t xml:space="preserve">jedeću dozu </w:t>
      </w:r>
      <w:r w:rsidR="00E47D47" w:rsidRPr="00BF57A3">
        <w:rPr>
          <w:sz w:val="22"/>
          <w:szCs w:val="22"/>
          <w:lang w:val="it-IT"/>
        </w:rPr>
        <w:t xml:space="preserve">smanjiti </w:t>
      </w:r>
      <w:r w:rsidR="000A45C7" w:rsidRPr="00BF57A3">
        <w:rPr>
          <w:sz w:val="22"/>
          <w:szCs w:val="22"/>
          <w:lang w:val="it-IT"/>
        </w:rPr>
        <w:t xml:space="preserve">samo ako </w:t>
      </w:r>
      <w:r w:rsidRPr="00BF57A3">
        <w:rPr>
          <w:sz w:val="22"/>
          <w:szCs w:val="22"/>
          <w:lang w:val="it-IT"/>
        </w:rPr>
        <w:t xml:space="preserve">su ispunjeni </w:t>
      </w:r>
      <w:r w:rsidR="00A05809" w:rsidRPr="00BF57A3">
        <w:rPr>
          <w:sz w:val="22"/>
          <w:szCs w:val="22"/>
          <w:lang w:val="it-IT"/>
        </w:rPr>
        <w:t>kriterijumi</w:t>
      </w:r>
      <w:r w:rsidRPr="00BF57A3">
        <w:rPr>
          <w:sz w:val="22"/>
          <w:szCs w:val="22"/>
          <w:lang w:val="it-IT"/>
        </w:rPr>
        <w:t xml:space="preserve"> iz </w:t>
      </w:r>
      <w:r w:rsidR="00BF57A3">
        <w:rPr>
          <w:sz w:val="22"/>
          <w:szCs w:val="22"/>
          <w:lang w:val="it-IT"/>
        </w:rPr>
        <w:t>T</w:t>
      </w:r>
      <w:r w:rsidR="00243C04" w:rsidRPr="00BF57A3">
        <w:rPr>
          <w:sz w:val="22"/>
          <w:szCs w:val="22"/>
          <w:lang w:val="it-IT"/>
        </w:rPr>
        <w:t>abele</w:t>
      </w:r>
      <w:r w:rsidRPr="00BF57A3">
        <w:rPr>
          <w:sz w:val="22"/>
          <w:szCs w:val="22"/>
          <w:lang w:val="it-IT"/>
        </w:rPr>
        <w:t xml:space="preserve"> 4.</w:t>
      </w:r>
    </w:p>
    <w:p w14:paraId="54930853" w14:textId="77777777" w:rsidR="00A3546F" w:rsidRPr="00BF57A3" w:rsidRDefault="00A3546F">
      <w:pPr>
        <w:pStyle w:val="Header"/>
        <w:tabs>
          <w:tab w:val="left" w:pos="284"/>
        </w:tabs>
        <w:jc w:val="both"/>
        <w:rPr>
          <w:sz w:val="22"/>
          <w:szCs w:val="22"/>
          <w:u w:val="single"/>
          <w:lang w:val="it-IT"/>
        </w:rPr>
      </w:pPr>
    </w:p>
    <w:p w14:paraId="24716254" w14:textId="7F83BCDF" w:rsidR="00243C04" w:rsidRPr="00BF57A3" w:rsidRDefault="00A3546F">
      <w:pPr>
        <w:pStyle w:val="Header"/>
        <w:tabs>
          <w:tab w:val="left" w:pos="284"/>
        </w:tabs>
        <w:jc w:val="both"/>
        <w:rPr>
          <w:b/>
          <w:sz w:val="22"/>
          <w:szCs w:val="22"/>
          <w:lang w:val="it-IT"/>
        </w:rPr>
      </w:pPr>
      <w:r w:rsidRPr="00BF57A3">
        <w:rPr>
          <w:b/>
          <w:sz w:val="22"/>
          <w:szCs w:val="22"/>
          <w:lang w:val="it-IT"/>
        </w:rPr>
        <w:lastRenderedPageBreak/>
        <w:t xml:space="preserve">Tabela 4: Smanjivanje doza </w:t>
      </w:r>
      <w:r w:rsidR="002B472E" w:rsidRPr="00BF57A3">
        <w:rPr>
          <w:b/>
          <w:sz w:val="22"/>
          <w:szCs w:val="22"/>
          <w:lang w:val="it-IT"/>
        </w:rPr>
        <w:t xml:space="preserve">zbog hematoloških toksičnosti </w:t>
      </w:r>
      <w:r w:rsidRPr="00BF57A3">
        <w:rPr>
          <w:b/>
          <w:sz w:val="22"/>
          <w:szCs w:val="22"/>
          <w:lang w:val="it-IT"/>
        </w:rPr>
        <w:t xml:space="preserve">kod </w:t>
      </w:r>
      <w:r w:rsidR="00BF57A3">
        <w:rPr>
          <w:b/>
          <w:sz w:val="22"/>
          <w:szCs w:val="22"/>
          <w:lang w:val="it-IT"/>
        </w:rPr>
        <w:t>pacijenata</w:t>
      </w:r>
      <w:r w:rsidR="00BF57A3" w:rsidRPr="00BF57A3">
        <w:rPr>
          <w:b/>
          <w:sz w:val="22"/>
          <w:szCs w:val="22"/>
          <w:lang w:val="it-IT"/>
        </w:rPr>
        <w:t xml:space="preserve"> </w:t>
      </w:r>
      <w:r w:rsidRPr="00BF57A3">
        <w:rPr>
          <w:b/>
          <w:sz w:val="22"/>
          <w:szCs w:val="22"/>
          <w:lang w:val="it-IT"/>
        </w:rPr>
        <w:t xml:space="preserve">sa </w:t>
      </w:r>
      <w:r w:rsidR="002B472E" w:rsidRPr="00BF57A3">
        <w:rPr>
          <w:b/>
          <w:sz w:val="22"/>
          <w:szCs w:val="22"/>
          <w:lang w:val="it-IT"/>
        </w:rPr>
        <w:t xml:space="preserve">nemikrocelularnim </w:t>
      </w:r>
      <w:r w:rsidR="00F30E8C">
        <w:rPr>
          <w:b/>
          <w:sz w:val="22"/>
          <w:szCs w:val="22"/>
          <w:lang w:val="it-IT"/>
        </w:rPr>
        <w:t xml:space="preserve"> </w:t>
      </w:r>
      <w:r w:rsidR="002B472E" w:rsidRPr="00BF57A3">
        <w:rPr>
          <w:b/>
          <w:sz w:val="22"/>
          <w:szCs w:val="22"/>
          <w:lang w:val="it-IT"/>
        </w:rPr>
        <w:t>karcinomom pluća</w:t>
      </w:r>
    </w:p>
    <w:p w14:paraId="2CD60795" w14:textId="77777777" w:rsidR="002B472E" w:rsidRPr="00BF57A3" w:rsidRDefault="002B472E">
      <w:pPr>
        <w:pStyle w:val="Header"/>
        <w:tabs>
          <w:tab w:val="left" w:pos="284"/>
        </w:tabs>
        <w:jc w:val="both"/>
        <w:rPr>
          <w:sz w:val="22"/>
          <w:szCs w:val="22"/>
          <w:u w:val="single"/>
          <w:lang w:val="it-IT"/>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346"/>
        <w:gridCol w:w="1984"/>
        <w:gridCol w:w="2160"/>
      </w:tblGrid>
      <w:tr w:rsidR="00A3546F" w:rsidRPr="00BF57A3" w14:paraId="106B356C" w14:textId="77777777" w:rsidTr="007903C4">
        <w:tc>
          <w:tcPr>
            <w:tcW w:w="3865" w:type="dxa"/>
          </w:tcPr>
          <w:p w14:paraId="29EDBB84" w14:textId="77777777" w:rsidR="00A3546F" w:rsidRPr="00BF57A3" w:rsidRDefault="002B472E" w:rsidP="006C640E">
            <w:pPr>
              <w:pStyle w:val="C-TableHeader"/>
              <w:keepNext w:val="0"/>
              <w:widowControl w:val="0"/>
              <w:spacing w:before="0" w:after="0"/>
              <w:jc w:val="both"/>
              <w:rPr>
                <w:szCs w:val="22"/>
                <w:lang w:val="en-GB"/>
              </w:rPr>
            </w:pPr>
            <w:r w:rsidRPr="00BF57A3">
              <w:rPr>
                <w:szCs w:val="22"/>
                <w:lang w:val="en-GB"/>
              </w:rPr>
              <w:t>Hematološka toksičnost</w:t>
            </w:r>
          </w:p>
        </w:tc>
        <w:tc>
          <w:tcPr>
            <w:tcW w:w="1346" w:type="dxa"/>
          </w:tcPr>
          <w:p w14:paraId="203F8F5F" w14:textId="77777777" w:rsidR="00A3546F" w:rsidRPr="00BF57A3" w:rsidRDefault="002B472E" w:rsidP="006C640E">
            <w:pPr>
              <w:pStyle w:val="C-TableHeader"/>
              <w:keepNext w:val="0"/>
              <w:widowControl w:val="0"/>
              <w:spacing w:before="0" w:after="0"/>
              <w:jc w:val="both"/>
              <w:rPr>
                <w:szCs w:val="22"/>
                <w:lang w:val="en-GB"/>
              </w:rPr>
            </w:pPr>
            <w:r w:rsidRPr="00BF57A3">
              <w:rPr>
                <w:szCs w:val="22"/>
                <w:lang w:val="en-GB"/>
              </w:rPr>
              <w:t>Pojava</w:t>
            </w:r>
          </w:p>
        </w:tc>
        <w:tc>
          <w:tcPr>
            <w:tcW w:w="1984" w:type="dxa"/>
          </w:tcPr>
          <w:p w14:paraId="416BEFE0" w14:textId="77777777" w:rsidR="00A3546F" w:rsidRPr="00BF57A3" w:rsidRDefault="002B472E" w:rsidP="006C640E">
            <w:pPr>
              <w:pStyle w:val="C-TableText"/>
              <w:widowControl w:val="0"/>
              <w:spacing w:before="0" w:after="0"/>
              <w:jc w:val="both"/>
              <w:rPr>
                <w:b/>
                <w:szCs w:val="22"/>
                <w:lang w:val="de-DE"/>
              </w:rPr>
            </w:pPr>
            <w:r w:rsidRPr="00BF57A3">
              <w:rPr>
                <w:b/>
                <w:bCs/>
                <w:szCs w:val="22"/>
              </w:rPr>
              <w:t>Doza lijeka Abraxane</w:t>
            </w:r>
            <w:r w:rsidRPr="00BF57A3">
              <w:rPr>
                <w:b/>
                <w:szCs w:val="22"/>
                <w:lang w:val="de-DE"/>
              </w:rPr>
              <w:t xml:space="preserve"> </w:t>
            </w:r>
            <w:r w:rsidR="00A3546F" w:rsidRPr="00BF57A3">
              <w:rPr>
                <w:b/>
                <w:szCs w:val="22"/>
                <w:lang w:val="de-DE"/>
              </w:rPr>
              <w:t>(mg/m</w:t>
            </w:r>
            <w:r w:rsidR="00A3546F" w:rsidRPr="00BF57A3">
              <w:rPr>
                <w:b/>
                <w:szCs w:val="22"/>
                <w:vertAlign w:val="superscript"/>
                <w:lang w:val="de-DE"/>
              </w:rPr>
              <w:t>2</w:t>
            </w:r>
            <w:r w:rsidR="00A3546F" w:rsidRPr="00BF57A3">
              <w:rPr>
                <w:b/>
                <w:szCs w:val="22"/>
                <w:lang w:val="de-DE"/>
              </w:rPr>
              <w:t>)</w:t>
            </w:r>
            <w:r w:rsidR="00A3546F" w:rsidRPr="00BF57A3">
              <w:rPr>
                <w:b/>
                <w:szCs w:val="22"/>
                <w:vertAlign w:val="superscript"/>
                <w:lang w:val="de-DE"/>
              </w:rPr>
              <w:t>1</w:t>
            </w:r>
          </w:p>
        </w:tc>
        <w:tc>
          <w:tcPr>
            <w:tcW w:w="2160" w:type="dxa"/>
          </w:tcPr>
          <w:p w14:paraId="64DE3F56" w14:textId="77777777" w:rsidR="00A3546F" w:rsidRPr="00BF57A3" w:rsidRDefault="002B472E" w:rsidP="006C640E">
            <w:pPr>
              <w:pStyle w:val="C-TableHeader"/>
              <w:keepNext w:val="0"/>
              <w:widowControl w:val="0"/>
              <w:spacing w:before="0" w:after="0"/>
              <w:jc w:val="both"/>
              <w:rPr>
                <w:szCs w:val="22"/>
                <w:lang w:val="de-DE"/>
              </w:rPr>
            </w:pPr>
            <w:r w:rsidRPr="00BF57A3">
              <w:rPr>
                <w:szCs w:val="22"/>
                <w:lang w:val="de-DE"/>
              </w:rPr>
              <w:t>Doza karboplatina</w:t>
            </w:r>
          </w:p>
          <w:p w14:paraId="3D30B3B7" w14:textId="77777777" w:rsidR="00A3546F" w:rsidRPr="00BF57A3" w:rsidRDefault="00A3546F" w:rsidP="006C640E">
            <w:pPr>
              <w:pStyle w:val="C-TableText"/>
              <w:widowControl w:val="0"/>
              <w:spacing w:before="0" w:after="0"/>
              <w:jc w:val="both"/>
              <w:rPr>
                <w:b/>
                <w:szCs w:val="22"/>
                <w:lang w:val="de-DE"/>
              </w:rPr>
            </w:pPr>
            <w:r w:rsidRPr="00BF57A3">
              <w:rPr>
                <w:b/>
                <w:szCs w:val="22"/>
                <w:lang w:val="de-DE"/>
              </w:rPr>
              <w:t>(</w:t>
            </w:r>
            <w:r w:rsidR="002B472E" w:rsidRPr="00BF57A3">
              <w:rPr>
                <w:b/>
                <w:szCs w:val="22"/>
                <w:lang w:val="de-DE"/>
              </w:rPr>
              <w:t>PIK</w:t>
            </w:r>
            <w:r w:rsidRPr="00BF57A3">
              <w:rPr>
                <w:b/>
                <w:szCs w:val="22"/>
                <w:lang w:val="de-DE"/>
              </w:rPr>
              <w:t xml:space="preserve"> </w:t>
            </w:r>
            <w:r w:rsidRPr="00BF57A3">
              <w:rPr>
                <w:b/>
                <w:szCs w:val="22"/>
              </w:rPr>
              <w:t>mg•min/</w:t>
            </w:r>
            <w:r w:rsidR="00D72439" w:rsidRPr="00BF57A3">
              <w:rPr>
                <w:b/>
                <w:szCs w:val="22"/>
              </w:rPr>
              <w:t>mL</w:t>
            </w:r>
            <w:r w:rsidRPr="00BF57A3">
              <w:rPr>
                <w:b/>
                <w:szCs w:val="22"/>
                <w:lang w:val="de-DE"/>
              </w:rPr>
              <w:t>)</w:t>
            </w:r>
            <w:r w:rsidRPr="00BF57A3">
              <w:rPr>
                <w:b/>
                <w:szCs w:val="22"/>
                <w:vertAlign w:val="superscript"/>
                <w:lang w:val="de-DE"/>
              </w:rPr>
              <w:t>1</w:t>
            </w:r>
          </w:p>
        </w:tc>
      </w:tr>
      <w:tr w:rsidR="00A3546F" w:rsidRPr="00BF57A3" w14:paraId="52457962" w14:textId="77777777" w:rsidTr="007903C4">
        <w:trPr>
          <w:trHeight w:val="595"/>
        </w:trPr>
        <w:tc>
          <w:tcPr>
            <w:tcW w:w="3865" w:type="dxa"/>
            <w:vMerge w:val="restart"/>
          </w:tcPr>
          <w:p w14:paraId="7BED1DB6" w14:textId="77777777" w:rsidR="00A3546F" w:rsidRPr="00BF57A3" w:rsidRDefault="00A01A14" w:rsidP="006C640E">
            <w:pPr>
              <w:widowControl w:val="0"/>
              <w:autoSpaceDE w:val="0"/>
              <w:autoSpaceDN w:val="0"/>
              <w:adjustRightInd w:val="0"/>
              <w:jc w:val="both"/>
              <w:rPr>
                <w:sz w:val="22"/>
                <w:szCs w:val="22"/>
                <w:lang w:val="de-DE"/>
              </w:rPr>
            </w:pPr>
            <w:r w:rsidRPr="00BF57A3">
              <w:rPr>
                <w:sz w:val="22"/>
                <w:szCs w:val="22"/>
                <w:lang w:val="de-DE"/>
              </w:rPr>
              <w:t xml:space="preserve">Najniža vrijednost ABN </w:t>
            </w:r>
            <w:r w:rsidR="00A3546F" w:rsidRPr="00BF57A3">
              <w:rPr>
                <w:sz w:val="22"/>
                <w:szCs w:val="22"/>
                <w:lang w:val="de-DE"/>
              </w:rPr>
              <w:t>&lt;500/mm</w:t>
            </w:r>
            <w:r w:rsidR="00A3546F" w:rsidRPr="00BF57A3">
              <w:rPr>
                <w:sz w:val="22"/>
                <w:szCs w:val="22"/>
                <w:vertAlign w:val="superscript"/>
                <w:lang w:val="de-DE"/>
              </w:rPr>
              <w:t>3</w:t>
            </w:r>
            <w:r w:rsidR="00A3546F" w:rsidRPr="00BF57A3">
              <w:rPr>
                <w:sz w:val="22"/>
                <w:szCs w:val="22"/>
                <w:lang w:val="de-DE"/>
              </w:rPr>
              <w:t xml:space="preserve"> </w:t>
            </w:r>
            <w:r w:rsidRPr="00BF57A3">
              <w:rPr>
                <w:sz w:val="22"/>
                <w:szCs w:val="22"/>
                <w:lang w:val="de-DE"/>
              </w:rPr>
              <w:t xml:space="preserve">sa neutropenijskom groznicom </w:t>
            </w:r>
            <w:r w:rsidR="00A3546F" w:rsidRPr="00BF57A3">
              <w:rPr>
                <w:sz w:val="22"/>
                <w:szCs w:val="22"/>
                <w:lang w:val="de-DE"/>
              </w:rPr>
              <w:t>&gt; 38°C</w:t>
            </w:r>
          </w:p>
          <w:p w14:paraId="5299D922" w14:textId="77777777" w:rsidR="00A3546F" w:rsidRPr="00BF57A3" w:rsidRDefault="00A01A14" w:rsidP="006C640E">
            <w:pPr>
              <w:widowControl w:val="0"/>
              <w:autoSpaceDE w:val="0"/>
              <w:autoSpaceDN w:val="0"/>
              <w:adjustRightInd w:val="0"/>
              <w:jc w:val="both"/>
              <w:rPr>
                <w:sz w:val="22"/>
                <w:szCs w:val="22"/>
                <w:lang w:val="de-DE"/>
              </w:rPr>
            </w:pPr>
            <w:r w:rsidRPr="00BF57A3">
              <w:rPr>
                <w:sz w:val="22"/>
                <w:szCs w:val="22"/>
                <w:lang w:val="de-DE"/>
              </w:rPr>
              <w:t>ILI</w:t>
            </w:r>
          </w:p>
          <w:p w14:paraId="732BDDAB" w14:textId="77777777" w:rsidR="00A3546F" w:rsidRPr="00BF57A3" w:rsidRDefault="00631923" w:rsidP="006C640E">
            <w:pPr>
              <w:widowControl w:val="0"/>
              <w:autoSpaceDE w:val="0"/>
              <w:autoSpaceDN w:val="0"/>
              <w:adjustRightInd w:val="0"/>
              <w:jc w:val="both"/>
              <w:rPr>
                <w:sz w:val="22"/>
                <w:szCs w:val="22"/>
                <w:lang w:val="de-DE"/>
              </w:rPr>
            </w:pPr>
            <w:r w:rsidRPr="00BF57A3">
              <w:rPr>
                <w:sz w:val="22"/>
                <w:szCs w:val="22"/>
                <w:lang w:val="de-DE"/>
              </w:rPr>
              <w:t xml:space="preserve">Odlaganje sljedećeg ciklusa zbog </w:t>
            </w:r>
            <w:r w:rsidR="004C2FE7" w:rsidRPr="00BF57A3">
              <w:rPr>
                <w:sz w:val="22"/>
                <w:szCs w:val="22"/>
                <w:lang w:val="de-DE"/>
              </w:rPr>
              <w:t>uporne</w:t>
            </w:r>
            <w:r w:rsidRPr="00BF57A3">
              <w:rPr>
                <w:sz w:val="22"/>
                <w:szCs w:val="22"/>
                <w:lang w:val="de-DE"/>
              </w:rPr>
              <w:t xml:space="preserve"> </w:t>
            </w:r>
            <w:r w:rsidR="00A3546F" w:rsidRPr="00BF57A3">
              <w:rPr>
                <w:sz w:val="22"/>
                <w:szCs w:val="22"/>
                <w:lang w:val="de-DE"/>
              </w:rPr>
              <w:t>neutropeni</w:t>
            </w:r>
            <w:r w:rsidR="003C1E78" w:rsidRPr="00BF57A3">
              <w:rPr>
                <w:sz w:val="22"/>
                <w:szCs w:val="22"/>
                <w:lang w:val="de-DE"/>
              </w:rPr>
              <w:t>je</w:t>
            </w:r>
            <w:r w:rsidR="00A3546F" w:rsidRPr="00BF57A3">
              <w:rPr>
                <w:sz w:val="22"/>
                <w:szCs w:val="22"/>
                <w:vertAlign w:val="superscript"/>
                <w:lang w:val="de-DE"/>
              </w:rPr>
              <w:t>2</w:t>
            </w:r>
            <w:r w:rsidR="00A3546F" w:rsidRPr="00BF57A3">
              <w:rPr>
                <w:sz w:val="22"/>
                <w:szCs w:val="22"/>
                <w:lang w:val="de-DE"/>
              </w:rPr>
              <w:t xml:space="preserve"> (</w:t>
            </w:r>
            <w:r w:rsidRPr="00BF57A3">
              <w:rPr>
                <w:sz w:val="22"/>
                <w:szCs w:val="22"/>
                <w:lang w:val="de-DE"/>
              </w:rPr>
              <w:t xml:space="preserve">najniža vrijednost ABN </w:t>
            </w:r>
            <w:r w:rsidR="00A3546F" w:rsidRPr="00BF57A3">
              <w:rPr>
                <w:sz w:val="22"/>
                <w:szCs w:val="22"/>
                <w:lang w:val="de-DE"/>
              </w:rPr>
              <w:t>&lt;1500/mm</w:t>
            </w:r>
            <w:r w:rsidR="00A3546F" w:rsidRPr="00BF57A3">
              <w:rPr>
                <w:sz w:val="22"/>
                <w:szCs w:val="22"/>
                <w:vertAlign w:val="superscript"/>
                <w:lang w:val="de-DE"/>
              </w:rPr>
              <w:t>3</w:t>
            </w:r>
            <w:r w:rsidR="00A3546F" w:rsidRPr="00BF57A3">
              <w:rPr>
                <w:sz w:val="22"/>
                <w:szCs w:val="22"/>
                <w:lang w:val="de-DE"/>
              </w:rPr>
              <w:t>)</w:t>
            </w:r>
          </w:p>
          <w:p w14:paraId="74E3CDAC" w14:textId="77777777" w:rsidR="00A01A14" w:rsidRPr="00BF57A3" w:rsidRDefault="00A01A14" w:rsidP="006C640E">
            <w:pPr>
              <w:widowControl w:val="0"/>
              <w:autoSpaceDE w:val="0"/>
              <w:autoSpaceDN w:val="0"/>
              <w:adjustRightInd w:val="0"/>
              <w:jc w:val="both"/>
              <w:rPr>
                <w:sz w:val="22"/>
                <w:szCs w:val="22"/>
                <w:lang w:val="de-DE"/>
              </w:rPr>
            </w:pPr>
            <w:r w:rsidRPr="00BF57A3">
              <w:rPr>
                <w:sz w:val="22"/>
                <w:szCs w:val="22"/>
                <w:lang w:val="de-DE"/>
              </w:rPr>
              <w:t>ILI</w:t>
            </w:r>
          </w:p>
          <w:p w14:paraId="625636B2" w14:textId="77777777" w:rsidR="00A3546F" w:rsidRPr="00BF57A3" w:rsidRDefault="003C1E78" w:rsidP="006C640E">
            <w:pPr>
              <w:widowControl w:val="0"/>
              <w:autoSpaceDE w:val="0"/>
              <w:autoSpaceDN w:val="0"/>
              <w:adjustRightInd w:val="0"/>
              <w:jc w:val="both"/>
              <w:rPr>
                <w:sz w:val="22"/>
                <w:szCs w:val="22"/>
                <w:lang w:val="de-DE"/>
              </w:rPr>
            </w:pPr>
            <w:r w:rsidRPr="00BF57A3">
              <w:rPr>
                <w:sz w:val="22"/>
                <w:szCs w:val="22"/>
                <w:lang w:val="de-DE"/>
              </w:rPr>
              <w:t xml:space="preserve">Najniža vrijednost ABN </w:t>
            </w:r>
            <w:r w:rsidR="00A3546F" w:rsidRPr="00BF57A3">
              <w:rPr>
                <w:sz w:val="22"/>
                <w:szCs w:val="22"/>
                <w:lang w:val="de-DE"/>
              </w:rPr>
              <w:t>&lt;500/mm</w:t>
            </w:r>
            <w:r w:rsidR="00A3546F" w:rsidRPr="00BF57A3">
              <w:rPr>
                <w:sz w:val="22"/>
                <w:szCs w:val="22"/>
                <w:vertAlign w:val="superscript"/>
                <w:lang w:val="de-DE"/>
              </w:rPr>
              <w:t>3</w:t>
            </w:r>
            <w:r w:rsidR="00A3546F" w:rsidRPr="00BF57A3">
              <w:rPr>
                <w:sz w:val="22"/>
                <w:szCs w:val="22"/>
                <w:lang w:val="de-DE"/>
              </w:rPr>
              <w:t xml:space="preserve"> </w:t>
            </w:r>
            <w:r w:rsidR="00976705" w:rsidRPr="00BF57A3">
              <w:rPr>
                <w:sz w:val="22"/>
                <w:szCs w:val="22"/>
                <w:lang w:val="de-DE"/>
              </w:rPr>
              <w:t>tokom</w:t>
            </w:r>
            <w:r w:rsidR="00A3546F" w:rsidRPr="00BF57A3">
              <w:rPr>
                <w:sz w:val="22"/>
                <w:szCs w:val="22"/>
                <w:lang w:val="de-DE"/>
              </w:rPr>
              <w:t xml:space="preserve"> &gt; 1 </w:t>
            </w:r>
            <w:r w:rsidR="00976705" w:rsidRPr="00BF57A3">
              <w:rPr>
                <w:sz w:val="22"/>
                <w:szCs w:val="22"/>
                <w:lang w:val="de-DE"/>
              </w:rPr>
              <w:t>nedjelje</w:t>
            </w:r>
          </w:p>
        </w:tc>
        <w:tc>
          <w:tcPr>
            <w:tcW w:w="1346" w:type="dxa"/>
          </w:tcPr>
          <w:p w14:paraId="207D2435" w14:textId="77777777" w:rsidR="00A3546F" w:rsidRPr="00BF57A3" w:rsidRDefault="001142DC" w:rsidP="006C640E">
            <w:pPr>
              <w:pStyle w:val="C-TableText"/>
              <w:widowControl w:val="0"/>
              <w:spacing w:before="0" w:after="0"/>
              <w:jc w:val="both"/>
              <w:rPr>
                <w:szCs w:val="22"/>
                <w:lang w:val="en-GB"/>
              </w:rPr>
            </w:pPr>
            <w:r w:rsidRPr="00BF57A3">
              <w:rPr>
                <w:szCs w:val="22"/>
                <w:lang w:val="en-GB"/>
              </w:rPr>
              <w:t>Prvi put</w:t>
            </w:r>
          </w:p>
        </w:tc>
        <w:tc>
          <w:tcPr>
            <w:tcW w:w="1984" w:type="dxa"/>
          </w:tcPr>
          <w:p w14:paraId="7BE2BB0D" w14:textId="77777777" w:rsidR="00A3546F" w:rsidRPr="00BF57A3" w:rsidRDefault="00A3546F" w:rsidP="006C640E">
            <w:pPr>
              <w:pStyle w:val="C-TableText"/>
              <w:widowControl w:val="0"/>
              <w:spacing w:before="0" w:after="0"/>
              <w:jc w:val="both"/>
              <w:rPr>
                <w:szCs w:val="22"/>
                <w:lang w:val="en-GB"/>
              </w:rPr>
            </w:pPr>
            <w:r w:rsidRPr="00BF57A3">
              <w:rPr>
                <w:szCs w:val="22"/>
                <w:lang w:val="en-GB"/>
              </w:rPr>
              <w:t>75</w:t>
            </w:r>
          </w:p>
        </w:tc>
        <w:tc>
          <w:tcPr>
            <w:tcW w:w="2160" w:type="dxa"/>
          </w:tcPr>
          <w:p w14:paraId="442ECB99" w14:textId="77777777" w:rsidR="00A3546F" w:rsidRPr="00BF57A3" w:rsidRDefault="001142DC" w:rsidP="006C640E">
            <w:pPr>
              <w:pStyle w:val="C-TableText"/>
              <w:widowControl w:val="0"/>
              <w:spacing w:before="0" w:after="0"/>
              <w:jc w:val="both"/>
              <w:rPr>
                <w:szCs w:val="22"/>
                <w:lang w:val="en-GB"/>
              </w:rPr>
            </w:pPr>
            <w:r w:rsidRPr="00BF57A3">
              <w:rPr>
                <w:szCs w:val="22"/>
                <w:lang w:val="en-GB"/>
              </w:rPr>
              <w:t>4,</w:t>
            </w:r>
            <w:r w:rsidR="00A3546F" w:rsidRPr="00BF57A3">
              <w:rPr>
                <w:szCs w:val="22"/>
                <w:lang w:val="en-GB"/>
              </w:rPr>
              <w:t>5</w:t>
            </w:r>
          </w:p>
        </w:tc>
      </w:tr>
      <w:tr w:rsidR="00A3546F" w:rsidRPr="00BF57A3" w14:paraId="2A573D45" w14:textId="77777777" w:rsidTr="007903C4">
        <w:trPr>
          <w:trHeight w:val="595"/>
        </w:trPr>
        <w:tc>
          <w:tcPr>
            <w:tcW w:w="3865" w:type="dxa"/>
            <w:vMerge/>
          </w:tcPr>
          <w:p w14:paraId="4E4E8569" w14:textId="77777777" w:rsidR="00A3546F" w:rsidRPr="00BF57A3" w:rsidRDefault="00A3546F" w:rsidP="006C640E">
            <w:pPr>
              <w:widowControl w:val="0"/>
              <w:autoSpaceDE w:val="0"/>
              <w:autoSpaceDN w:val="0"/>
              <w:adjustRightInd w:val="0"/>
              <w:jc w:val="both"/>
              <w:rPr>
                <w:sz w:val="22"/>
                <w:szCs w:val="22"/>
              </w:rPr>
            </w:pPr>
          </w:p>
        </w:tc>
        <w:tc>
          <w:tcPr>
            <w:tcW w:w="1346" w:type="dxa"/>
          </w:tcPr>
          <w:p w14:paraId="3560DAB2" w14:textId="77777777" w:rsidR="00A3546F" w:rsidRPr="00BF57A3" w:rsidRDefault="001142DC" w:rsidP="006C640E">
            <w:pPr>
              <w:pStyle w:val="C-TableText"/>
              <w:widowControl w:val="0"/>
              <w:spacing w:before="0" w:after="0"/>
              <w:jc w:val="both"/>
              <w:rPr>
                <w:szCs w:val="22"/>
                <w:lang w:val="en-GB"/>
              </w:rPr>
            </w:pPr>
            <w:r w:rsidRPr="00BF57A3">
              <w:rPr>
                <w:szCs w:val="22"/>
                <w:lang w:val="en-GB"/>
              </w:rPr>
              <w:t>Drugi put</w:t>
            </w:r>
          </w:p>
        </w:tc>
        <w:tc>
          <w:tcPr>
            <w:tcW w:w="1984" w:type="dxa"/>
          </w:tcPr>
          <w:p w14:paraId="5FB2B86D" w14:textId="77777777" w:rsidR="00A3546F" w:rsidRPr="00BF57A3" w:rsidRDefault="00A3546F" w:rsidP="006C640E">
            <w:pPr>
              <w:pStyle w:val="C-TableText"/>
              <w:widowControl w:val="0"/>
              <w:spacing w:before="0" w:after="0"/>
              <w:jc w:val="both"/>
              <w:rPr>
                <w:szCs w:val="22"/>
                <w:lang w:val="en-GB"/>
              </w:rPr>
            </w:pPr>
            <w:r w:rsidRPr="00BF57A3">
              <w:rPr>
                <w:szCs w:val="22"/>
                <w:lang w:val="en-GB"/>
              </w:rPr>
              <w:t>50</w:t>
            </w:r>
          </w:p>
        </w:tc>
        <w:tc>
          <w:tcPr>
            <w:tcW w:w="2160" w:type="dxa"/>
          </w:tcPr>
          <w:p w14:paraId="665A1EAA" w14:textId="77777777" w:rsidR="00A3546F" w:rsidRPr="00BF57A3" w:rsidRDefault="001142DC" w:rsidP="006C640E">
            <w:pPr>
              <w:pStyle w:val="C-TableText"/>
              <w:widowControl w:val="0"/>
              <w:spacing w:before="0" w:after="0"/>
              <w:jc w:val="both"/>
              <w:rPr>
                <w:szCs w:val="22"/>
                <w:lang w:val="en-GB"/>
              </w:rPr>
            </w:pPr>
            <w:r w:rsidRPr="00BF57A3">
              <w:rPr>
                <w:szCs w:val="22"/>
                <w:lang w:val="en-GB"/>
              </w:rPr>
              <w:t>3,</w:t>
            </w:r>
            <w:r w:rsidR="00A3546F" w:rsidRPr="00BF57A3">
              <w:rPr>
                <w:szCs w:val="22"/>
                <w:lang w:val="en-GB"/>
              </w:rPr>
              <w:t>0</w:t>
            </w:r>
          </w:p>
        </w:tc>
      </w:tr>
      <w:tr w:rsidR="00A3546F" w:rsidRPr="00BF57A3" w14:paraId="6625DC6E" w14:textId="77777777" w:rsidTr="007903C4">
        <w:trPr>
          <w:trHeight w:val="595"/>
        </w:trPr>
        <w:tc>
          <w:tcPr>
            <w:tcW w:w="3865" w:type="dxa"/>
            <w:vMerge/>
          </w:tcPr>
          <w:p w14:paraId="6FD64DEA" w14:textId="77777777" w:rsidR="00A3546F" w:rsidRPr="00BF57A3" w:rsidRDefault="00A3546F" w:rsidP="006C640E">
            <w:pPr>
              <w:widowControl w:val="0"/>
              <w:autoSpaceDE w:val="0"/>
              <w:autoSpaceDN w:val="0"/>
              <w:adjustRightInd w:val="0"/>
              <w:jc w:val="both"/>
              <w:rPr>
                <w:sz w:val="22"/>
                <w:szCs w:val="22"/>
              </w:rPr>
            </w:pPr>
          </w:p>
        </w:tc>
        <w:tc>
          <w:tcPr>
            <w:tcW w:w="1346" w:type="dxa"/>
          </w:tcPr>
          <w:p w14:paraId="0B77FFA6" w14:textId="77777777" w:rsidR="00A3546F" w:rsidRPr="00BF57A3" w:rsidRDefault="001142DC" w:rsidP="006C640E">
            <w:pPr>
              <w:pStyle w:val="C-TableText"/>
              <w:widowControl w:val="0"/>
              <w:spacing w:before="0" w:after="0"/>
              <w:jc w:val="both"/>
              <w:rPr>
                <w:szCs w:val="22"/>
                <w:lang w:val="en-GB"/>
              </w:rPr>
            </w:pPr>
            <w:r w:rsidRPr="00BF57A3">
              <w:rPr>
                <w:szCs w:val="22"/>
                <w:lang w:val="en-GB"/>
              </w:rPr>
              <w:t>Treći put</w:t>
            </w:r>
          </w:p>
        </w:tc>
        <w:tc>
          <w:tcPr>
            <w:tcW w:w="4144" w:type="dxa"/>
            <w:gridSpan w:val="2"/>
          </w:tcPr>
          <w:p w14:paraId="15973DAD" w14:textId="77777777" w:rsidR="00A3546F" w:rsidRPr="00BF57A3" w:rsidRDefault="001142DC" w:rsidP="006C640E">
            <w:pPr>
              <w:pStyle w:val="C-TableText"/>
              <w:widowControl w:val="0"/>
              <w:spacing w:before="0" w:after="0"/>
              <w:jc w:val="both"/>
              <w:rPr>
                <w:szCs w:val="22"/>
                <w:lang w:val="en-GB"/>
              </w:rPr>
            </w:pPr>
            <w:r w:rsidRPr="00BF57A3">
              <w:rPr>
                <w:szCs w:val="22"/>
                <w:lang w:val="en-GB"/>
              </w:rPr>
              <w:t>Prekinuti liječenje</w:t>
            </w:r>
          </w:p>
        </w:tc>
      </w:tr>
      <w:tr w:rsidR="00A3546F" w:rsidRPr="00BF57A3" w14:paraId="3576F023" w14:textId="77777777" w:rsidTr="007903C4">
        <w:trPr>
          <w:trHeight w:val="287"/>
        </w:trPr>
        <w:tc>
          <w:tcPr>
            <w:tcW w:w="3865" w:type="dxa"/>
            <w:vMerge w:val="restart"/>
            <w:vAlign w:val="center"/>
          </w:tcPr>
          <w:p w14:paraId="558645D8" w14:textId="77777777" w:rsidR="00A3546F" w:rsidRPr="00BF57A3" w:rsidRDefault="00A01A14" w:rsidP="006C640E">
            <w:pPr>
              <w:pStyle w:val="C-TableText"/>
              <w:widowControl w:val="0"/>
              <w:spacing w:before="0" w:after="0"/>
              <w:jc w:val="both"/>
              <w:rPr>
                <w:szCs w:val="22"/>
                <w:lang w:val="en-GB"/>
              </w:rPr>
            </w:pPr>
            <w:r w:rsidRPr="00BF57A3">
              <w:rPr>
                <w:szCs w:val="22"/>
              </w:rPr>
              <w:t xml:space="preserve">Najniža vrijednost trombocita </w:t>
            </w:r>
            <w:r w:rsidR="00A3546F" w:rsidRPr="00BF57A3">
              <w:rPr>
                <w:szCs w:val="22"/>
                <w:lang w:val="en-GB"/>
              </w:rPr>
              <w:t>&lt;50,000/mm</w:t>
            </w:r>
            <w:r w:rsidR="00A3546F" w:rsidRPr="00BF57A3">
              <w:rPr>
                <w:szCs w:val="22"/>
                <w:vertAlign w:val="superscript"/>
                <w:lang w:val="en-GB"/>
              </w:rPr>
              <w:t>3</w:t>
            </w:r>
          </w:p>
        </w:tc>
        <w:tc>
          <w:tcPr>
            <w:tcW w:w="1346" w:type="dxa"/>
          </w:tcPr>
          <w:p w14:paraId="1B32602A" w14:textId="77777777" w:rsidR="00A3546F" w:rsidRPr="00BF57A3" w:rsidRDefault="001142DC" w:rsidP="006C640E">
            <w:pPr>
              <w:pStyle w:val="C-BodyText"/>
              <w:widowControl w:val="0"/>
              <w:spacing w:before="0" w:after="0" w:line="240" w:lineRule="auto"/>
              <w:jc w:val="both"/>
              <w:rPr>
                <w:sz w:val="22"/>
                <w:szCs w:val="22"/>
                <w:lang w:val="en-GB"/>
              </w:rPr>
            </w:pPr>
            <w:r w:rsidRPr="00BF57A3">
              <w:rPr>
                <w:sz w:val="22"/>
                <w:szCs w:val="22"/>
                <w:lang w:val="en-GB"/>
              </w:rPr>
              <w:t>Prvi put</w:t>
            </w:r>
          </w:p>
        </w:tc>
        <w:tc>
          <w:tcPr>
            <w:tcW w:w="1984" w:type="dxa"/>
          </w:tcPr>
          <w:p w14:paraId="769FE5EC" w14:textId="77777777" w:rsidR="00A3546F" w:rsidRPr="00BF57A3" w:rsidRDefault="00A3546F" w:rsidP="006C640E">
            <w:pPr>
              <w:pStyle w:val="C-BodyText"/>
              <w:widowControl w:val="0"/>
              <w:spacing w:before="0" w:after="0" w:line="240" w:lineRule="auto"/>
              <w:jc w:val="both"/>
              <w:rPr>
                <w:sz w:val="22"/>
                <w:szCs w:val="22"/>
                <w:lang w:val="en-GB"/>
              </w:rPr>
            </w:pPr>
            <w:r w:rsidRPr="00BF57A3">
              <w:rPr>
                <w:sz w:val="22"/>
                <w:szCs w:val="22"/>
                <w:lang w:val="en-GB"/>
              </w:rPr>
              <w:t>75</w:t>
            </w:r>
          </w:p>
        </w:tc>
        <w:tc>
          <w:tcPr>
            <w:tcW w:w="2160" w:type="dxa"/>
          </w:tcPr>
          <w:p w14:paraId="6F44978D" w14:textId="77777777" w:rsidR="00A3546F" w:rsidRPr="00BF57A3" w:rsidRDefault="001142DC" w:rsidP="006C640E">
            <w:pPr>
              <w:pStyle w:val="C-BodyText"/>
              <w:widowControl w:val="0"/>
              <w:spacing w:before="0" w:after="0" w:line="240" w:lineRule="auto"/>
              <w:jc w:val="both"/>
              <w:rPr>
                <w:sz w:val="22"/>
                <w:szCs w:val="22"/>
                <w:lang w:val="en-GB"/>
              </w:rPr>
            </w:pPr>
            <w:r w:rsidRPr="00BF57A3">
              <w:rPr>
                <w:sz w:val="22"/>
                <w:szCs w:val="22"/>
                <w:lang w:val="en-GB"/>
              </w:rPr>
              <w:t>4,</w:t>
            </w:r>
            <w:r w:rsidR="00A3546F" w:rsidRPr="00BF57A3">
              <w:rPr>
                <w:sz w:val="22"/>
                <w:szCs w:val="22"/>
                <w:lang w:val="en-GB"/>
              </w:rPr>
              <w:t>5</w:t>
            </w:r>
          </w:p>
        </w:tc>
      </w:tr>
      <w:tr w:rsidR="00A3546F" w:rsidRPr="00BF57A3" w14:paraId="666A9672" w14:textId="77777777" w:rsidTr="007903C4">
        <w:trPr>
          <w:trHeight w:val="260"/>
        </w:trPr>
        <w:tc>
          <w:tcPr>
            <w:tcW w:w="3865" w:type="dxa"/>
            <w:vMerge/>
          </w:tcPr>
          <w:p w14:paraId="2EE7488E" w14:textId="77777777" w:rsidR="00A3546F" w:rsidRPr="00BF57A3" w:rsidRDefault="00A3546F" w:rsidP="006C640E">
            <w:pPr>
              <w:pStyle w:val="C-TableText"/>
              <w:widowControl w:val="0"/>
              <w:spacing w:before="0" w:after="0"/>
              <w:jc w:val="both"/>
              <w:rPr>
                <w:szCs w:val="22"/>
                <w:lang w:val="en-GB"/>
              </w:rPr>
            </w:pPr>
          </w:p>
        </w:tc>
        <w:tc>
          <w:tcPr>
            <w:tcW w:w="1346" w:type="dxa"/>
          </w:tcPr>
          <w:p w14:paraId="79D74141" w14:textId="77777777" w:rsidR="00A3546F" w:rsidRPr="00BF57A3" w:rsidRDefault="001142DC" w:rsidP="006C640E">
            <w:pPr>
              <w:pStyle w:val="C-BodyText"/>
              <w:widowControl w:val="0"/>
              <w:spacing w:before="0" w:after="0" w:line="240" w:lineRule="auto"/>
              <w:jc w:val="both"/>
              <w:rPr>
                <w:sz w:val="22"/>
                <w:szCs w:val="22"/>
                <w:lang w:val="en-GB"/>
              </w:rPr>
            </w:pPr>
            <w:r w:rsidRPr="006C640E">
              <w:rPr>
                <w:sz w:val="22"/>
                <w:szCs w:val="22"/>
                <w:lang w:val="en-GB"/>
              </w:rPr>
              <w:t>Drugi put</w:t>
            </w:r>
          </w:p>
        </w:tc>
        <w:tc>
          <w:tcPr>
            <w:tcW w:w="4144" w:type="dxa"/>
            <w:gridSpan w:val="2"/>
          </w:tcPr>
          <w:p w14:paraId="51EF5A5E" w14:textId="77777777" w:rsidR="00A3546F" w:rsidRPr="00BF57A3" w:rsidRDefault="001142DC" w:rsidP="006C640E">
            <w:pPr>
              <w:pStyle w:val="C-BodyText"/>
              <w:widowControl w:val="0"/>
              <w:spacing w:before="0" w:after="0" w:line="240" w:lineRule="auto"/>
              <w:jc w:val="both"/>
              <w:rPr>
                <w:sz w:val="22"/>
                <w:szCs w:val="22"/>
                <w:lang w:val="en-GB"/>
              </w:rPr>
            </w:pPr>
            <w:r w:rsidRPr="00BF57A3">
              <w:rPr>
                <w:sz w:val="22"/>
                <w:szCs w:val="22"/>
                <w:lang w:val="en-GB"/>
              </w:rPr>
              <w:t>Prekinuti liječenje</w:t>
            </w:r>
          </w:p>
        </w:tc>
      </w:tr>
    </w:tbl>
    <w:p w14:paraId="221A8C80" w14:textId="77777777" w:rsidR="00E47D47" w:rsidRPr="006C640E" w:rsidRDefault="004C2FE7" w:rsidP="00BF57A3">
      <w:pPr>
        <w:pStyle w:val="Header"/>
        <w:tabs>
          <w:tab w:val="left" w:pos="284"/>
        </w:tabs>
        <w:jc w:val="both"/>
        <w:rPr>
          <w:sz w:val="22"/>
          <w:szCs w:val="22"/>
          <w:lang w:val="en-US"/>
        </w:rPr>
      </w:pPr>
      <w:r w:rsidRPr="006C640E">
        <w:rPr>
          <w:sz w:val="22"/>
          <w:szCs w:val="22"/>
          <w:vertAlign w:val="superscript"/>
          <w:lang w:val="en-US"/>
        </w:rPr>
        <w:t>1</w:t>
      </w:r>
      <w:r w:rsidR="00121123" w:rsidRPr="006C640E">
        <w:rPr>
          <w:sz w:val="22"/>
          <w:szCs w:val="22"/>
          <w:vertAlign w:val="superscript"/>
          <w:lang w:val="en-US"/>
        </w:rPr>
        <w:t xml:space="preserve"> </w:t>
      </w:r>
      <w:r w:rsidRPr="006C640E">
        <w:rPr>
          <w:sz w:val="22"/>
          <w:szCs w:val="22"/>
          <w:lang w:val="en-US"/>
        </w:rPr>
        <w:t xml:space="preserve">Dozu lijeka Abraxane i karboplatina </w:t>
      </w:r>
      <w:r w:rsidR="00121123" w:rsidRPr="006C640E">
        <w:rPr>
          <w:sz w:val="22"/>
          <w:szCs w:val="22"/>
          <w:lang w:val="en-US"/>
        </w:rPr>
        <w:t xml:space="preserve">istovremeno </w:t>
      </w:r>
      <w:r w:rsidR="00E47D47" w:rsidRPr="006C640E">
        <w:rPr>
          <w:sz w:val="22"/>
          <w:szCs w:val="22"/>
          <w:lang w:val="en-US"/>
        </w:rPr>
        <w:t xml:space="preserve">smanjiti </w:t>
      </w:r>
      <w:r w:rsidRPr="006C640E">
        <w:rPr>
          <w:sz w:val="22"/>
          <w:szCs w:val="22"/>
          <w:lang w:val="en-US"/>
        </w:rPr>
        <w:t xml:space="preserve">1. </w:t>
      </w:r>
      <w:proofErr w:type="gramStart"/>
      <w:r w:rsidRPr="006C640E">
        <w:rPr>
          <w:sz w:val="22"/>
          <w:szCs w:val="22"/>
          <w:lang w:val="en-US"/>
        </w:rPr>
        <w:t>dana</w:t>
      </w:r>
      <w:proofErr w:type="gramEnd"/>
      <w:r w:rsidRPr="006C640E">
        <w:rPr>
          <w:sz w:val="22"/>
          <w:szCs w:val="22"/>
          <w:lang w:val="en-US"/>
        </w:rPr>
        <w:t xml:space="preserve"> 21-dnevnog ciklusa. Dozu lijeka Abraxane </w:t>
      </w:r>
      <w:r w:rsidR="00E47D47" w:rsidRPr="006C640E">
        <w:rPr>
          <w:sz w:val="22"/>
          <w:szCs w:val="22"/>
          <w:lang w:val="en-US"/>
        </w:rPr>
        <w:t xml:space="preserve">smanjiti </w:t>
      </w:r>
      <w:r w:rsidRPr="006C640E">
        <w:rPr>
          <w:sz w:val="22"/>
          <w:szCs w:val="22"/>
          <w:lang w:val="en-US"/>
        </w:rPr>
        <w:t xml:space="preserve">8. </w:t>
      </w:r>
      <w:proofErr w:type="gramStart"/>
      <w:r w:rsidRPr="006C640E">
        <w:rPr>
          <w:sz w:val="22"/>
          <w:szCs w:val="22"/>
          <w:lang w:val="en-US"/>
        </w:rPr>
        <w:t>ili</w:t>
      </w:r>
      <w:proofErr w:type="gramEnd"/>
      <w:r w:rsidRPr="006C640E">
        <w:rPr>
          <w:sz w:val="22"/>
          <w:szCs w:val="22"/>
          <w:lang w:val="en-US"/>
        </w:rPr>
        <w:t xml:space="preserve"> 15. </w:t>
      </w:r>
      <w:proofErr w:type="gramStart"/>
      <w:r w:rsidRPr="006C640E">
        <w:rPr>
          <w:sz w:val="22"/>
          <w:szCs w:val="22"/>
          <w:lang w:val="en-US"/>
        </w:rPr>
        <w:t>dana</w:t>
      </w:r>
      <w:proofErr w:type="gramEnd"/>
      <w:r w:rsidRPr="006C640E">
        <w:rPr>
          <w:sz w:val="22"/>
          <w:szCs w:val="22"/>
          <w:lang w:val="en-US"/>
        </w:rPr>
        <w:t xml:space="preserve"> 21-dnevnog ciklusa; dozu karboplatina </w:t>
      </w:r>
      <w:r w:rsidR="00E47D47" w:rsidRPr="006C640E">
        <w:rPr>
          <w:sz w:val="22"/>
          <w:szCs w:val="22"/>
          <w:lang w:val="en-US"/>
        </w:rPr>
        <w:t xml:space="preserve">smanjiti </w:t>
      </w:r>
      <w:r w:rsidRPr="006C640E">
        <w:rPr>
          <w:sz w:val="22"/>
          <w:szCs w:val="22"/>
          <w:lang w:val="en-US"/>
        </w:rPr>
        <w:t>u sljedećem ciklusu</w:t>
      </w:r>
      <w:r w:rsidR="00121123" w:rsidRPr="006C640E">
        <w:rPr>
          <w:sz w:val="22"/>
          <w:szCs w:val="22"/>
          <w:lang w:val="en-US"/>
        </w:rPr>
        <w:t>.</w:t>
      </w:r>
      <w:r w:rsidRPr="006C640E">
        <w:rPr>
          <w:sz w:val="22"/>
          <w:szCs w:val="22"/>
          <w:lang w:val="en-US"/>
        </w:rPr>
        <w:t xml:space="preserve"> </w:t>
      </w:r>
    </w:p>
    <w:p w14:paraId="6F8CD25B" w14:textId="77777777" w:rsidR="00B425FC" w:rsidRPr="006C640E" w:rsidRDefault="004C2FE7">
      <w:pPr>
        <w:pStyle w:val="Header"/>
        <w:tabs>
          <w:tab w:val="left" w:pos="284"/>
        </w:tabs>
        <w:jc w:val="both"/>
        <w:rPr>
          <w:sz w:val="22"/>
          <w:szCs w:val="22"/>
          <w:lang w:val="en-US"/>
        </w:rPr>
      </w:pPr>
      <w:r w:rsidRPr="006C640E">
        <w:rPr>
          <w:sz w:val="22"/>
          <w:szCs w:val="22"/>
          <w:vertAlign w:val="superscript"/>
          <w:lang w:val="en-US"/>
        </w:rPr>
        <w:t>2</w:t>
      </w:r>
      <w:r w:rsidR="00121123" w:rsidRPr="006C640E">
        <w:rPr>
          <w:sz w:val="22"/>
          <w:szCs w:val="22"/>
          <w:vertAlign w:val="superscript"/>
          <w:lang w:val="en-US"/>
        </w:rPr>
        <w:t xml:space="preserve"> </w:t>
      </w:r>
      <w:r w:rsidRPr="006C640E">
        <w:rPr>
          <w:sz w:val="22"/>
          <w:szCs w:val="22"/>
          <w:lang w:val="en-US"/>
        </w:rPr>
        <w:t xml:space="preserve">Najviše 7 </w:t>
      </w:r>
      <w:proofErr w:type="gramStart"/>
      <w:r w:rsidRPr="006C640E">
        <w:rPr>
          <w:sz w:val="22"/>
          <w:szCs w:val="22"/>
          <w:lang w:val="en-US"/>
        </w:rPr>
        <w:t>dana</w:t>
      </w:r>
      <w:proofErr w:type="gramEnd"/>
      <w:r w:rsidRPr="006C640E">
        <w:rPr>
          <w:sz w:val="22"/>
          <w:szCs w:val="22"/>
          <w:lang w:val="en-US"/>
        </w:rPr>
        <w:t xml:space="preserve"> poslije predviđenog 1. </w:t>
      </w:r>
      <w:proofErr w:type="gramStart"/>
      <w:r w:rsidRPr="006C640E">
        <w:rPr>
          <w:sz w:val="22"/>
          <w:szCs w:val="22"/>
          <w:lang w:val="en-US"/>
        </w:rPr>
        <w:t>dana</w:t>
      </w:r>
      <w:proofErr w:type="gramEnd"/>
      <w:r w:rsidRPr="006C640E">
        <w:rPr>
          <w:sz w:val="22"/>
          <w:szCs w:val="22"/>
          <w:lang w:val="en-US"/>
        </w:rPr>
        <w:t xml:space="preserve"> sljedećeg ciklusa.</w:t>
      </w:r>
    </w:p>
    <w:p w14:paraId="086ECE52" w14:textId="77777777" w:rsidR="00A26FE3" w:rsidRPr="00BF57A3" w:rsidRDefault="00A26FE3">
      <w:pPr>
        <w:pStyle w:val="Header"/>
        <w:tabs>
          <w:tab w:val="left" w:pos="284"/>
        </w:tabs>
        <w:jc w:val="both"/>
        <w:rPr>
          <w:sz w:val="22"/>
          <w:szCs w:val="22"/>
          <w:lang w:val="en-US"/>
        </w:rPr>
      </w:pPr>
    </w:p>
    <w:p w14:paraId="1DEDCA93" w14:textId="77777777" w:rsidR="00A26FE3" w:rsidRPr="00BF57A3" w:rsidRDefault="00A26FE3">
      <w:pPr>
        <w:pStyle w:val="Header"/>
        <w:tabs>
          <w:tab w:val="left" w:pos="284"/>
        </w:tabs>
        <w:jc w:val="both"/>
        <w:rPr>
          <w:sz w:val="22"/>
          <w:szCs w:val="22"/>
          <w:lang w:val="es-ES"/>
        </w:rPr>
      </w:pPr>
      <w:r w:rsidRPr="00BF57A3">
        <w:rPr>
          <w:sz w:val="22"/>
          <w:szCs w:val="22"/>
          <w:lang w:val="en-US"/>
        </w:rPr>
        <w:t xml:space="preserve">U slučaju kožne toksičnosti stepena 2 ili 3, dijareje stepena 3 ili mukozitisa </w:t>
      </w:r>
      <w:r w:rsidR="001030AA" w:rsidRPr="00BF57A3">
        <w:rPr>
          <w:sz w:val="22"/>
          <w:szCs w:val="22"/>
          <w:lang w:val="en-US"/>
        </w:rPr>
        <w:t>stepena 3</w:t>
      </w:r>
      <w:r w:rsidRPr="00BF57A3">
        <w:rPr>
          <w:sz w:val="22"/>
          <w:szCs w:val="22"/>
          <w:lang w:val="en-US"/>
        </w:rPr>
        <w:t xml:space="preserve">, liječenje </w:t>
      </w:r>
      <w:r w:rsidR="00E47D47" w:rsidRPr="00BF57A3">
        <w:rPr>
          <w:sz w:val="22"/>
          <w:szCs w:val="22"/>
          <w:lang w:val="en-US"/>
        </w:rPr>
        <w:t xml:space="preserve">prekinuti </w:t>
      </w:r>
      <w:r w:rsidRPr="00BF57A3">
        <w:rPr>
          <w:sz w:val="22"/>
          <w:szCs w:val="22"/>
          <w:lang w:val="en-US"/>
        </w:rPr>
        <w:t xml:space="preserve">dok se toksičnost ne poboljša na ≤ </w:t>
      </w:r>
      <w:r w:rsidR="004725F1" w:rsidRPr="00BF57A3">
        <w:rPr>
          <w:sz w:val="22"/>
          <w:szCs w:val="22"/>
          <w:lang w:val="en-US"/>
        </w:rPr>
        <w:t>stepen 1</w:t>
      </w:r>
      <w:r w:rsidRPr="00BF57A3">
        <w:rPr>
          <w:sz w:val="22"/>
          <w:szCs w:val="22"/>
          <w:lang w:val="en-US"/>
        </w:rPr>
        <w:t xml:space="preserve">, a zatim ponovno </w:t>
      </w:r>
      <w:r w:rsidR="00E47D47" w:rsidRPr="00BF57A3">
        <w:rPr>
          <w:sz w:val="22"/>
          <w:szCs w:val="22"/>
          <w:lang w:val="en-US"/>
        </w:rPr>
        <w:t xml:space="preserve">započeti </w:t>
      </w:r>
      <w:r w:rsidRPr="00BF57A3">
        <w:rPr>
          <w:sz w:val="22"/>
          <w:szCs w:val="22"/>
          <w:lang w:val="en-US"/>
        </w:rPr>
        <w:t xml:space="preserve">liječenje prema smjernicama iz </w:t>
      </w:r>
      <w:r w:rsidR="00672BE7" w:rsidRPr="00BF57A3">
        <w:rPr>
          <w:sz w:val="22"/>
          <w:szCs w:val="22"/>
          <w:lang w:val="en-US"/>
        </w:rPr>
        <w:t>tabele</w:t>
      </w:r>
      <w:r w:rsidRPr="00BF57A3">
        <w:rPr>
          <w:sz w:val="22"/>
          <w:szCs w:val="22"/>
          <w:lang w:val="en-US"/>
        </w:rPr>
        <w:t xml:space="preserve"> 5. Kod periferne neuropatije ≥ </w:t>
      </w:r>
      <w:r w:rsidR="00672BE7" w:rsidRPr="00BF57A3">
        <w:rPr>
          <w:sz w:val="22"/>
          <w:szCs w:val="22"/>
          <w:lang w:val="en-US"/>
        </w:rPr>
        <w:t xml:space="preserve">stepena </w:t>
      </w:r>
      <w:r w:rsidRPr="00BF57A3">
        <w:rPr>
          <w:sz w:val="22"/>
          <w:szCs w:val="22"/>
          <w:lang w:val="en-US"/>
        </w:rPr>
        <w:t xml:space="preserve">3, liječenje </w:t>
      </w:r>
      <w:r w:rsidR="00E47D47" w:rsidRPr="00BF57A3">
        <w:rPr>
          <w:sz w:val="22"/>
          <w:szCs w:val="22"/>
          <w:lang w:val="en-US"/>
        </w:rPr>
        <w:t xml:space="preserve">obustaviti </w:t>
      </w:r>
      <w:r w:rsidRPr="00BF57A3">
        <w:rPr>
          <w:sz w:val="22"/>
          <w:szCs w:val="22"/>
          <w:lang w:val="en-US"/>
        </w:rPr>
        <w:t xml:space="preserve">do poboljšanja </w:t>
      </w:r>
      <w:proofErr w:type="gramStart"/>
      <w:r w:rsidRPr="00BF57A3">
        <w:rPr>
          <w:sz w:val="22"/>
          <w:szCs w:val="22"/>
          <w:lang w:val="en-US"/>
        </w:rPr>
        <w:t>na</w:t>
      </w:r>
      <w:proofErr w:type="gramEnd"/>
      <w:r w:rsidRPr="00BF57A3">
        <w:rPr>
          <w:sz w:val="22"/>
          <w:szCs w:val="22"/>
          <w:lang w:val="en-US"/>
        </w:rPr>
        <w:t xml:space="preserve"> ≤ </w:t>
      </w:r>
      <w:r w:rsidR="00672BE7" w:rsidRPr="00BF57A3">
        <w:rPr>
          <w:sz w:val="22"/>
          <w:szCs w:val="22"/>
          <w:lang w:val="en-US"/>
        </w:rPr>
        <w:t>stepen 1</w:t>
      </w:r>
      <w:r w:rsidRPr="00BF57A3">
        <w:rPr>
          <w:sz w:val="22"/>
          <w:szCs w:val="22"/>
          <w:lang w:val="en-US"/>
        </w:rPr>
        <w:t xml:space="preserve">. </w:t>
      </w:r>
      <w:r w:rsidRPr="00BF57A3">
        <w:rPr>
          <w:sz w:val="22"/>
          <w:szCs w:val="22"/>
          <w:lang w:val="es-ES"/>
        </w:rPr>
        <w:t>U idućim ciklusima</w:t>
      </w:r>
      <w:r w:rsidR="00E47D47" w:rsidRPr="00BF57A3">
        <w:rPr>
          <w:sz w:val="22"/>
          <w:szCs w:val="22"/>
          <w:lang w:val="es-ES"/>
        </w:rPr>
        <w:t>,</w:t>
      </w:r>
      <w:r w:rsidRPr="00BF57A3">
        <w:rPr>
          <w:sz w:val="22"/>
          <w:szCs w:val="22"/>
          <w:lang w:val="es-ES"/>
        </w:rPr>
        <w:t xml:space="preserve"> liječenje se može nastaviti pri sljedeć</w:t>
      </w:r>
      <w:r w:rsidR="00672BE7" w:rsidRPr="00BF57A3">
        <w:rPr>
          <w:sz w:val="22"/>
          <w:szCs w:val="22"/>
          <w:lang w:val="es-ES"/>
        </w:rPr>
        <w:t>em</w:t>
      </w:r>
      <w:r w:rsidRPr="00BF57A3">
        <w:rPr>
          <w:sz w:val="22"/>
          <w:szCs w:val="22"/>
          <w:lang w:val="es-ES"/>
        </w:rPr>
        <w:t xml:space="preserve"> niž</w:t>
      </w:r>
      <w:r w:rsidR="00672BE7" w:rsidRPr="00BF57A3">
        <w:rPr>
          <w:sz w:val="22"/>
          <w:szCs w:val="22"/>
          <w:lang w:val="es-ES"/>
        </w:rPr>
        <w:t>em</w:t>
      </w:r>
      <w:r w:rsidRPr="00BF57A3">
        <w:rPr>
          <w:sz w:val="22"/>
          <w:szCs w:val="22"/>
          <w:lang w:val="es-ES"/>
        </w:rPr>
        <w:t xml:space="preserve"> </w:t>
      </w:r>
      <w:r w:rsidR="00672BE7" w:rsidRPr="00BF57A3">
        <w:rPr>
          <w:sz w:val="22"/>
          <w:szCs w:val="22"/>
          <w:lang w:val="es-ES"/>
        </w:rPr>
        <w:t>nivou</w:t>
      </w:r>
      <w:r w:rsidRPr="00BF57A3">
        <w:rPr>
          <w:sz w:val="22"/>
          <w:szCs w:val="22"/>
          <w:lang w:val="es-ES"/>
        </w:rPr>
        <w:t xml:space="preserve"> doze prema smjernicama u </w:t>
      </w:r>
      <w:r w:rsidR="00672BE7" w:rsidRPr="00BF57A3">
        <w:rPr>
          <w:sz w:val="22"/>
          <w:szCs w:val="22"/>
          <w:lang w:val="es-ES"/>
        </w:rPr>
        <w:t>tabeli</w:t>
      </w:r>
      <w:r w:rsidRPr="00BF57A3">
        <w:rPr>
          <w:sz w:val="22"/>
          <w:szCs w:val="22"/>
          <w:lang w:val="es-ES"/>
        </w:rPr>
        <w:t xml:space="preserve"> 5. Za svaku drugu nehematološku toksičnost </w:t>
      </w:r>
      <w:r w:rsidR="00672BE7" w:rsidRPr="00BF57A3">
        <w:rPr>
          <w:sz w:val="22"/>
          <w:szCs w:val="22"/>
          <w:lang w:val="es-ES"/>
        </w:rPr>
        <w:t>stepena 3 ili 4</w:t>
      </w:r>
      <w:r w:rsidRPr="00BF57A3">
        <w:rPr>
          <w:sz w:val="22"/>
          <w:szCs w:val="22"/>
          <w:lang w:val="es-ES"/>
        </w:rPr>
        <w:t xml:space="preserve">, </w:t>
      </w:r>
      <w:r w:rsidR="00E47D47" w:rsidRPr="00BF57A3">
        <w:rPr>
          <w:sz w:val="22"/>
          <w:szCs w:val="22"/>
          <w:lang w:val="es-ES"/>
        </w:rPr>
        <w:t xml:space="preserve">prekinuti </w:t>
      </w:r>
      <w:r w:rsidRPr="00BF57A3">
        <w:rPr>
          <w:sz w:val="22"/>
          <w:szCs w:val="22"/>
          <w:lang w:val="es-ES"/>
        </w:rPr>
        <w:t xml:space="preserve">liječenje dok se toksičnost ne poboljša na ≤ </w:t>
      </w:r>
      <w:r w:rsidR="00672BE7" w:rsidRPr="00BF57A3">
        <w:rPr>
          <w:sz w:val="22"/>
          <w:szCs w:val="22"/>
          <w:lang w:val="es-ES"/>
        </w:rPr>
        <w:t>stepen 2</w:t>
      </w:r>
      <w:r w:rsidRPr="00BF57A3">
        <w:rPr>
          <w:sz w:val="22"/>
          <w:szCs w:val="22"/>
          <w:lang w:val="es-ES"/>
        </w:rPr>
        <w:t xml:space="preserve">, a zatim liječenje ponovno </w:t>
      </w:r>
      <w:r w:rsidR="00E47D47" w:rsidRPr="00BF57A3">
        <w:rPr>
          <w:sz w:val="22"/>
          <w:szCs w:val="22"/>
          <w:lang w:val="es-ES"/>
        </w:rPr>
        <w:t xml:space="preserve">započeti </w:t>
      </w:r>
      <w:r w:rsidRPr="00BF57A3">
        <w:rPr>
          <w:sz w:val="22"/>
          <w:szCs w:val="22"/>
          <w:lang w:val="es-ES"/>
        </w:rPr>
        <w:t xml:space="preserve">prema smjernicama u </w:t>
      </w:r>
      <w:r w:rsidR="00672BE7" w:rsidRPr="00BF57A3">
        <w:rPr>
          <w:sz w:val="22"/>
          <w:szCs w:val="22"/>
          <w:lang w:val="es-ES"/>
        </w:rPr>
        <w:t>tabeli</w:t>
      </w:r>
      <w:r w:rsidRPr="00BF57A3">
        <w:rPr>
          <w:sz w:val="22"/>
          <w:szCs w:val="22"/>
          <w:lang w:val="es-ES"/>
        </w:rPr>
        <w:t xml:space="preserve"> 5.</w:t>
      </w:r>
    </w:p>
    <w:p w14:paraId="46813860" w14:textId="77777777" w:rsidR="00A26FE3" w:rsidRPr="00BF57A3" w:rsidRDefault="00A26FE3">
      <w:pPr>
        <w:pStyle w:val="Header"/>
        <w:tabs>
          <w:tab w:val="left" w:pos="284"/>
        </w:tabs>
        <w:jc w:val="both"/>
        <w:rPr>
          <w:sz w:val="22"/>
          <w:szCs w:val="22"/>
          <w:u w:val="single"/>
          <w:lang w:val="es-ES"/>
        </w:rPr>
      </w:pPr>
    </w:p>
    <w:p w14:paraId="665CA5F2" w14:textId="7BF1A587" w:rsidR="009A3CF1" w:rsidRPr="00BF57A3" w:rsidRDefault="00A26FE3">
      <w:pPr>
        <w:pStyle w:val="Header"/>
        <w:tabs>
          <w:tab w:val="left" w:pos="284"/>
        </w:tabs>
        <w:jc w:val="both"/>
        <w:rPr>
          <w:b/>
          <w:sz w:val="22"/>
          <w:szCs w:val="22"/>
          <w:lang w:val="es-ES"/>
        </w:rPr>
      </w:pPr>
      <w:r w:rsidRPr="00BF57A3">
        <w:rPr>
          <w:b/>
          <w:sz w:val="22"/>
          <w:szCs w:val="22"/>
          <w:lang w:val="es-ES"/>
        </w:rPr>
        <w:t xml:space="preserve">Tabela 5: Smanjivanje doza zbog nehematoloških toksičnosti kod </w:t>
      </w:r>
      <w:r w:rsidR="00F30E8C">
        <w:rPr>
          <w:b/>
          <w:sz w:val="22"/>
          <w:szCs w:val="22"/>
          <w:lang w:val="es-ES"/>
        </w:rPr>
        <w:t>pacijenata</w:t>
      </w:r>
      <w:r w:rsidR="00F30E8C" w:rsidRPr="00BF57A3">
        <w:rPr>
          <w:b/>
          <w:sz w:val="22"/>
          <w:szCs w:val="22"/>
          <w:lang w:val="es-ES"/>
        </w:rPr>
        <w:t xml:space="preserve"> </w:t>
      </w:r>
      <w:r w:rsidRPr="00BF57A3">
        <w:rPr>
          <w:b/>
          <w:sz w:val="22"/>
          <w:szCs w:val="22"/>
          <w:lang w:val="es-ES"/>
        </w:rPr>
        <w:t xml:space="preserve">sa </w:t>
      </w:r>
    </w:p>
    <w:p w14:paraId="0B572469" w14:textId="77777777" w:rsidR="00A26FE3" w:rsidRPr="00BF57A3" w:rsidRDefault="009A3CF1">
      <w:pPr>
        <w:pStyle w:val="Header"/>
        <w:tabs>
          <w:tab w:val="left" w:pos="284"/>
        </w:tabs>
        <w:jc w:val="both"/>
        <w:rPr>
          <w:b/>
          <w:sz w:val="22"/>
          <w:szCs w:val="22"/>
          <w:lang w:val="es-ES"/>
        </w:rPr>
      </w:pPr>
      <w:r w:rsidRPr="00BF57A3">
        <w:rPr>
          <w:b/>
          <w:sz w:val="22"/>
          <w:szCs w:val="22"/>
          <w:lang w:val="es-ES"/>
        </w:rPr>
        <w:tab/>
        <w:t xml:space="preserve">            </w:t>
      </w:r>
      <w:r w:rsidR="00A26FE3" w:rsidRPr="00BF57A3">
        <w:rPr>
          <w:b/>
          <w:sz w:val="22"/>
          <w:szCs w:val="22"/>
          <w:lang w:val="es-ES"/>
        </w:rPr>
        <w:t>nemikrocelularnim karcinomom pluća</w:t>
      </w:r>
    </w:p>
    <w:p w14:paraId="291C8E69" w14:textId="77777777" w:rsidR="00A26FE3" w:rsidRPr="00BF57A3" w:rsidRDefault="00A26FE3" w:rsidP="006C640E">
      <w:pPr>
        <w:pStyle w:val="Header"/>
        <w:tabs>
          <w:tab w:val="left" w:pos="284"/>
        </w:tabs>
        <w:jc w:val="both"/>
        <w:rPr>
          <w:sz w:val="22"/>
          <w:szCs w:val="22"/>
          <w:u w:val="single"/>
          <w:lang w:val="es-ES"/>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65"/>
        <w:gridCol w:w="1346"/>
        <w:gridCol w:w="1984"/>
        <w:gridCol w:w="2160"/>
      </w:tblGrid>
      <w:tr w:rsidR="00A26FE3" w:rsidRPr="00BF57A3" w14:paraId="2D8BF53B" w14:textId="77777777" w:rsidTr="007903C4">
        <w:tc>
          <w:tcPr>
            <w:tcW w:w="3865" w:type="dxa"/>
          </w:tcPr>
          <w:p w14:paraId="479029CF" w14:textId="77777777" w:rsidR="00A26FE3" w:rsidRPr="00BF57A3" w:rsidRDefault="00A26FE3" w:rsidP="006C640E">
            <w:pPr>
              <w:pStyle w:val="C-TableHeader"/>
              <w:keepNext w:val="0"/>
              <w:widowControl w:val="0"/>
              <w:spacing w:before="0" w:after="0"/>
              <w:jc w:val="both"/>
              <w:rPr>
                <w:szCs w:val="22"/>
                <w:lang w:val="en-GB"/>
              </w:rPr>
            </w:pPr>
            <w:r w:rsidRPr="00BF57A3">
              <w:rPr>
                <w:szCs w:val="22"/>
                <w:lang w:val="en-GB"/>
              </w:rPr>
              <w:t>Nehematološka toksičnost</w:t>
            </w:r>
          </w:p>
        </w:tc>
        <w:tc>
          <w:tcPr>
            <w:tcW w:w="1346" w:type="dxa"/>
          </w:tcPr>
          <w:p w14:paraId="00A0D7F9" w14:textId="77777777" w:rsidR="00A26FE3" w:rsidRPr="00BF57A3" w:rsidRDefault="00A26FE3" w:rsidP="006C640E">
            <w:pPr>
              <w:pStyle w:val="C-TableHeader"/>
              <w:keepNext w:val="0"/>
              <w:widowControl w:val="0"/>
              <w:spacing w:before="0" w:after="0"/>
              <w:jc w:val="both"/>
              <w:rPr>
                <w:szCs w:val="22"/>
                <w:lang w:val="en-GB"/>
              </w:rPr>
            </w:pPr>
            <w:r w:rsidRPr="00BF57A3">
              <w:rPr>
                <w:szCs w:val="22"/>
                <w:lang w:val="en-GB"/>
              </w:rPr>
              <w:t>Pojava</w:t>
            </w:r>
          </w:p>
        </w:tc>
        <w:tc>
          <w:tcPr>
            <w:tcW w:w="1984" w:type="dxa"/>
          </w:tcPr>
          <w:p w14:paraId="358A22E8" w14:textId="77777777" w:rsidR="00A26FE3" w:rsidRPr="00BF57A3" w:rsidRDefault="00A26FE3" w:rsidP="006C640E">
            <w:pPr>
              <w:pStyle w:val="C-TableText"/>
              <w:widowControl w:val="0"/>
              <w:spacing w:before="0" w:after="0"/>
              <w:jc w:val="both"/>
              <w:rPr>
                <w:b/>
                <w:szCs w:val="22"/>
                <w:lang w:val="de-DE"/>
              </w:rPr>
            </w:pPr>
            <w:r w:rsidRPr="00BF57A3">
              <w:rPr>
                <w:b/>
                <w:bCs/>
                <w:szCs w:val="22"/>
              </w:rPr>
              <w:t>Doza lijeka Abraxane</w:t>
            </w:r>
            <w:r w:rsidRPr="00BF57A3">
              <w:rPr>
                <w:b/>
                <w:szCs w:val="22"/>
                <w:lang w:val="de-DE"/>
              </w:rPr>
              <w:t xml:space="preserve"> (mg/m</w:t>
            </w:r>
            <w:r w:rsidRPr="00BF57A3">
              <w:rPr>
                <w:b/>
                <w:szCs w:val="22"/>
                <w:vertAlign w:val="superscript"/>
                <w:lang w:val="de-DE"/>
              </w:rPr>
              <w:t>2</w:t>
            </w:r>
            <w:r w:rsidRPr="00BF57A3">
              <w:rPr>
                <w:b/>
                <w:szCs w:val="22"/>
                <w:lang w:val="de-DE"/>
              </w:rPr>
              <w:t>)</w:t>
            </w:r>
            <w:r w:rsidRPr="00BF57A3">
              <w:rPr>
                <w:b/>
                <w:szCs w:val="22"/>
                <w:vertAlign w:val="superscript"/>
                <w:lang w:val="de-DE"/>
              </w:rPr>
              <w:t>1</w:t>
            </w:r>
          </w:p>
        </w:tc>
        <w:tc>
          <w:tcPr>
            <w:tcW w:w="2160" w:type="dxa"/>
          </w:tcPr>
          <w:p w14:paraId="0F69E1A5" w14:textId="77777777" w:rsidR="00A26FE3" w:rsidRPr="00BF57A3" w:rsidRDefault="00A26FE3" w:rsidP="006C640E">
            <w:pPr>
              <w:pStyle w:val="C-TableHeader"/>
              <w:keepNext w:val="0"/>
              <w:widowControl w:val="0"/>
              <w:spacing w:before="0" w:after="0"/>
              <w:jc w:val="both"/>
              <w:rPr>
                <w:szCs w:val="22"/>
                <w:lang w:val="de-DE"/>
              </w:rPr>
            </w:pPr>
            <w:r w:rsidRPr="00BF57A3">
              <w:rPr>
                <w:szCs w:val="22"/>
                <w:lang w:val="de-DE"/>
              </w:rPr>
              <w:t>Doza karboplatina</w:t>
            </w:r>
          </w:p>
          <w:p w14:paraId="6C024131" w14:textId="77777777" w:rsidR="00A26FE3" w:rsidRPr="00BF57A3" w:rsidRDefault="00A26FE3" w:rsidP="006C640E">
            <w:pPr>
              <w:pStyle w:val="C-TableText"/>
              <w:widowControl w:val="0"/>
              <w:spacing w:before="0" w:after="0"/>
              <w:jc w:val="both"/>
              <w:rPr>
                <w:b/>
                <w:szCs w:val="22"/>
                <w:lang w:val="de-DE"/>
              </w:rPr>
            </w:pPr>
            <w:r w:rsidRPr="00BF57A3">
              <w:rPr>
                <w:b/>
                <w:szCs w:val="22"/>
                <w:lang w:val="de-DE"/>
              </w:rPr>
              <w:t xml:space="preserve">(PIK </w:t>
            </w:r>
            <w:r w:rsidRPr="00BF57A3">
              <w:rPr>
                <w:b/>
                <w:szCs w:val="22"/>
              </w:rPr>
              <w:t>mg•min/ml</w:t>
            </w:r>
            <w:r w:rsidRPr="00BF57A3">
              <w:rPr>
                <w:b/>
                <w:szCs w:val="22"/>
                <w:lang w:val="de-DE"/>
              </w:rPr>
              <w:t>)</w:t>
            </w:r>
            <w:r w:rsidRPr="00BF57A3">
              <w:rPr>
                <w:b/>
                <w:szCs w:val="22"/>
                <w:vertAlign w:val="superscript"/>
                <w:lang w:val="de-DE"/>
              </w:rPr>
              <w:t>1</w:t>
            </w:r>
          </w:p>
        </w:tc>
      </w:tr>
      <w:tr w:rsidR="00A26FE3" w:rsidRPr="00BF57A3" w14:paraId="28C2FE2E" w14:textId="77777777" w:rsidTr="007903C4">
        <w:trPr>
          <w:trHeight w:val="440"/>
        </w:trPr>
        <w:tc>
          <w:tcPr>
            <w:tcW w:w="3865" w:type="dxa"/>
            <w:vMerge w:val="restart"/>
          </w:tcPr>
          <w:p w14:paraId="6D4B98CB" w14:textId="77777777" w:rsidR="005B6A8F" w:rsidRPr="00BF57A3" w:rsidRDefault="005B6A8F" w:rsidP="006C640E">
            <w:pPr>
              <w:pStyle w:val="C-TableText"/>
              <w:widowControl w:val="0"/>
              <w:spacing w:before="0" w:after="0"/>
              <w:jc w:val="both"/>
              <w:rPr>
                <w:szCs w:val="22"/>
                <w:u w:val="single"/>
                <w:lang w:val="it-IT"/>
              </w:rPr>
            </w:pPr>
            <w:r w:rsidRPr="00BF57A3">
              <w:rPr>
                <w:szCs w:val="22"/>
                <w:u w:val="single"/>
                <w:lang w:val="it-IT"/>
              </w:rPr>
              <w:t>Kožna toksičnost stepena 2 ili 3</w:t>
            </w:r>
          </w:p>
          <w:p w14:paraId="0831A513" w14:textId="77777777" w:rsidR="00A26FE3" w:rsidRPr="00BF57A3" w:rsidRDefault="005B6A8F" w:rsidP="006C640E">
            <w:pPr>
              <w:pStyle w:val="C-TableText"/>
              <w:widowControl w:val="0"/>
              <w:spacing w:before="0" w:after="0"/>
              <w:jc w:val="both"/>
              <w:rPr>
                <w:szCs w:val="22"/>
                <w:lang w:val="it-IT"/>
              </w:rPr>
            </w:pPr>
            <w:r w:rsidRPr="00BF57A3">
              <w:rPr>
                <w:szCs w:val="22"/>
                <w:lang w:val="it-IT"/>
              </w:rPr>
              <w:t>Dijare</w:t>
            </w:r>
            <w:r w:rsidR="007A2344" w:rsidRPr="00BF57A3">
              <w:rPr>
                <w:szCs w:val="22"/>
                <w:lang w:val="it-IT"/>
              </w:rPr>
              <w:t>j</w:t>
            </w:r>
            <w:r w:rsidRPr="00BF57A3">
              <w:rPr>
                <w:szCs w:val="22"/>
                <w:lang w:val="it-IT"/>
              </w:rPr>
              <w:t>a stepena 3</w:t>
            </w:r>
          </w:p>
          <w:p w14:paraId="73969128" w14:textId="77777777" w:rsidR="00A26FE3" w:rsidRPr="00BF57A3" w:rsidRDefault="005B6A8F" w:rsidP="006C640E">
            <w:pPr>
              <w:pStyle w:val="C-TableText"/>
              <w:widowControl w:val="0"/>
              <w:spacing w:before="0" w:after="0"/>
              <w:jc w:val="both"/>
              <w:rPr>
                <w:szCs w:val="22"/>
                <w:lang w:val="it-IT"/>
              </w:rPr>
            </w:pPr>
            <w:r w:rsidRPr="00BF57A3">
              <w:rPr>
                <w:szCs w:val="22"/>
                <w:lang w:val="it-IT"/>
              </w:rPr>
              <w:t>Mukozitis stepena 3</w:t>
            </w:r>
          </w:p>
          <w:p w14:paraId="724BA1C4" w14:textId="77777777" w:rsidR="00A26FE3" w:rsidRPr="00BF57A3" w:rsidRDefault="005B6A8F" w:rsidP="006C640E">
            <w:pPr>
              <w:pStyle w:val="C-TableText"/>
              <w:widowControl w:val="0"/>
              <w:spacing w:before="0" w:after="0"/>
              <w:jc w:val="both"/>
              <w:rPr>
                <w:szCs w:val="22"/>
                <w:lang w:val="it-IT"/>
              </w:rPr>
            </w:pPr>
            <w:r w:rsidRPr="00BF57A3">
              <w:rPr>
                <w:szCs w:val="22"/>
                <w:lang w:val="it-IT"/>
              </w:rPr>
              <w:t xml:space="preserve">Periferna neuropatija </w:t>
            </w:r>
            <w:r w:rsidR="00A26FE3" w:rsidRPr="00BF57A3">
              <w:rPr>
                <w:szCs w:val="22"/>
                <w:lang w:val="it-IT"/>
              </w:rPr>
              <w:t xml:space="preserve">≥ </w:t>
            </w:r>
            <w:r w:rsidRPr="00BF57A3">
              <w:rPr>
                <w:szCs w:val="22"/>
                <w:lang w:val="it-IT"/>
              </w:rPr>
              <w:t>stepena</w:t>
            </w:r>
            <w:r w:rsidR="00A26FE3" w:rsidRPr="00BF57A3">
              <w:rPr>
                <w:szCs w:val="22"/>
                <w:lang w:val="it-IT"/>
              </w:rPr>
              <w:t xml:space="preserve"> 3 </w:t>
            </w:r>
          </w:p>
          <w:p w14:paraId="5A89CE51" w14:textId="77777777" w:rsidR="00A26FE3" w:rsidRPr="00BF57A3" w:rsidRDefault="005B6A8F" w:rsidP="006C640E">
            <w:pPr>
              <w:pStyle w:val="C-TableText"/>
              <w:widowControl w:val="0"/>
              <w:spacing w:before="0" w:after="0"/>
              <w:jc w:val="both"/>
              <w:rPr>
                <w:szCs w:val="22"/>
                <w:lang w:val="it-IT"/>
              </w:rPr>
            </w:pPr>
            <w:r w:rsidRPr="00BF57A3">
              <w:rPr>
                <w:szCs w:val="22"/>
                <w:u w:val="single"/>
                <w:lang w:val="it-IT"/>
              </w:rPr>
              <w:t>Svaka druga nehematološka toksičnost stepena 3 ili 4</w:t>
            </w:r>
          </w:p>
        </w:tc>
        <w:tc>
          <w:tcPr>
            <w:tcW w:w="1346" w:type="dxa"/>
          </w:tcPr>
          <w:p w14:paraId="73BCEBD7" w14:textId="77777777" w:rsidR="00A26FE3" w:rsidRPr="00BF57A3" w:rsidRDefault="00A26FE3" w:rsidP="006C640E">
            <w:pPr>
              <w:pStyle w:val="C-TableText"/>
              <w:widowControl w:val="0"/>
              <w:spacing w:before="0" w:after="0"/>
              <w:jc w:val="both"/>
              <w:rPr>
                <w:szCs w:val="22"/>
                <w:lang w:val="en-GB"/>
              </w:rPr>
            </w:pPr>
            <w:r w:rsidRPr="00BF57A3">
              <w:rPr>
                <w:szCs w:val="22"/>
                <w:lang w:val="en-GB"/>
              </w:rPr>
              <w:t>Prvi put</w:t>
            </w:r>
          </w:p>
        </w:tc>
        <w:tc>
          <w:tcPr>
            <w:tcW w:w="1984" w:type="dxa"/>
          </w:tcPr>
          <w:p w14:paraId="31B07EF5" w14:textId="77777777" w:rsidR="00A26FE3" w:rsidRPr="00BF57A3" w:rsidRDefault="00A26FE3" w:rsidP="006C640E">
            <w:pPr>
              <w:pStyle w:val="C-TableText"/>
              <w:widowControl w:val="0"/>
              <w:spacing w:before="0" w:after="0"/>
              <w:jc w:val="both"/>
              <w:rPr>
                <w:szCs w:val="22"/>
                <w:lang w:val="en-GB"/>
              </w:rPr>
            </w:pPr>
            <w:r w:rsidRPr="00BF57A3">
              <w:rPr>
                <w:szCs w:val="22"/>
                <w:lang w:val="en-GB"/>
              </w:rPr>
              <w:t>75</w:t>
            </w:r>
          </w:p>
        </w:tc>
        <w:tc>
          <w:tcPr>
            <w:tcW w:w="2160" w:type="dxa"/>
          </w:tcPr>
          <w:p w14:paraId="5B034D8D" w14:textId="77777777" w:rsidR="00A26FE3" w:rsidRPr="00BF57A3" w:rsidRDefault="00A26FE3" w:rsidP="006C640E">
            <w:pPr>
              <w:pStyle w:val="C-TableText"/>
              <w:widowControl w:val="0"/>
              <w:spacing w:before="0" w:after="0"/>
              <w:jc w:val="both"/>
              <w:rPr>
                <w:szCs w:val="22"/>
                <w:lang w:val="en-GB"/>
              </w:rPr>
            </w:pPr>
            <w:r w:rsidRPr="00BF57A3">
              <w:rPr>
                <w:szCs w:val="22"/>
                <w:lang w:val="en-GB"/>
              </w:rPr>
              <w:t>4,5</w:t>
            </w:r>
          </w:p>
        </w:tc>
      </w:tr>
      <w:tr w:rsidR="00A26FE3" w:rsidRPr="00BF57A3" w14:paraId="65E0F02F" w14:textId="77777777" w:rsidTr="007903C4">
        <w:trPr>
          <w:trHeight w:val="440"/>
        </w:trPr>
        <w:tc>
          <w:tcPr>
            <w:tcW w:w="3865" w:type="dxa"/>
            <w:vMerge/>
          </w:tcPr>
          <w:p w14:paraId="5B9DEA06" w14:textId="77777777" w:rsidR="00A26FE3" w:rsidRPr="00BF57A3" w:rsidRDefault="00A26FE3" w:rsidP="006C640E">
            <w:pPr>
              <w:pStyle w:val="C-TableText"/>
              <w:widowControl w:val="0"/>
              <w:spacing w:before="0" w:after="0"/>
              <w:jc w:val="both"/>
              <w:rPr>
                <w:szCs w:val="22"/>
                <w:lang w:val="en-GB"/>
              </w:rPr>
            </w:pPr>
          </w:p>
        </w:tc>
        <w:tc>
          <w:tcPr>
            <w:tcW w:w="1346" w:type="dxa"/>
          </w:tcPr>
          <w:p w14:paraId="5427D4AD" w14:textId="77777777" w:rsidR="00A26FE3" w:rsidRPr="00BF57A3" w:rsidRDefault="00A26FE3" w:rsidP="006C640E">
            <w:pPr>
              <w:pStyle w:val="C-TableText"/>
              <w:widowControl w:val="0"/>
              <w:spacing w:before="0" w:after="0"/>
              <w:jc w:val="both"/>
              <w:rPr>
                <w:szCs w:val="22"/>
                <w:lang w:val="en-GB"/>
              </w:rPr>
            </w:pPr>
            <w:r w:rsidRPr="00BF57A3">
              <w:rPr>
                <w:szCs w:val="22"/>
                <w:lang w:val="en-GB"/>
              </w:rPr>
              <w:t>Drugi put</w:t>
            </w:r>
          </w:p>
        </w:tc>
        <w:tc>
          <w:tcPr>
            <w:tcW w:w="1984" w:type="dxa"/>
          </w:tcPr>
          <w:p w14:paraId="1716CB4A" w14:textId="77777777" w:rsidR="00A26FE3" w:rsidRPr="00BF57A3" w:rsidRDefault="00A26FE3" w:rsidP="006C640E">
            <w:pPr>
              <w:pStyle w:val="C-TableText"/>
              <w:widowControl w:val="0"/>
              <w:spacing w:before="0" w:after="0"/>
              <w:jc w:val="both"/>
              <w:rPr>
                <w:szCs w:val="22"/>
                <w:lang w:val="en-GB"/>
              </w:rPr>
            </w:pPr>
            <w:r w:rsidRPr="00BF57A3">
              <w:rPr>
                <w:szCs w:val="22"/>
                <w:lang w:val="en-GB"/>
              </w:rPr>
              <w:t>50</w:t>
            </w:r>
          </w:p>
        </w:tc>
        <w:tc>
          <w:tcPr>
            <w:tcW w:w="2160" w:type="dxa"/>
          </w:tcPr>
          <w:p w14:paraId="60819293" w14:textId="77777777" w:rsidR="00A26FE3" w:rsidRPr="00BF57A3" w:rsidRDefault="00A26FE3" w:rsidP="006C640E">
            <w:pPr>
              <w:pStyle w:val="C-TableText"/>
              <w:widowControl w:val="0"/>
              <w:spacing w:before="0" w:after="0"/>
              <w:jc w:val="both"/>
              <w:rPr>
                <w:szCs w:val="22"/>
                <w:lang w:val="en-GB"/>
              </w:rPr>
            </w:pPr>
            <w:r w:rsidRPr="00BF57A3">
              <w:rPr>
                <w:szCs w:val="22"/>
                <w:lang w:val="en-GB"/>
              </w:rPr>
              <w:t>3,0</w:t>
            </w:r>
          </w:p>
        </w:tc>
      </w:tr>
      <w:tr w:rsidR="00A26FE3" w:rsidRPr="00BF57A3" w14:paraId="57D1E02B" w14:textId="77777777" w:rsidTr="007903C4">
        <w:trPr>
          <w:trHeight w:val="260"/>
        </w:trPr>
        <w:tc>
          <w:tcPr>
            <w:tcW w:w="3865" w:type="dxa"/>
            <w:vMerge/>
          </w:tcPr>
          <w:p w14:paraId="016B32AA" w14:textId="77777777" w:rsidR="00A26FE3" w:rsidRPr="00BF57A3" w:rsidRDefault="00A26FE3" w:rsidP="006C640E">
            <w:pPr>
              <w:pStyle w:val="C-TableText"/>
              <w:widowControl w:val="0"/>
              <w:spacing w:before="0" w:after="0"/>
              <w:jc w:val="both"/>
              <w:rPr>
                <w:szCs w:val="22"/>
                <w:lang w:val="en-GB"/>
              </w:rPr>
            </w:pPr>
          </w:p>
        </w:tc>
        <w:tc>
          <w:tcPr>
            <w:tcW w:w="1346" w:type="dxa"/>
          </w:tcPr>
          <w:p w14:paraId="08835357" w14:textId="77777777" w:rsidR="00A26FE3" w:rsidRPr="00BF57A3" w:rsidRDefault="00A26FE3" w:rsidP="006C640E">
            <w:pPr>
              <w:pStyle w:val="C-TableText"/>
              <w:widowControl w:val="0"/>
              <w:spacing w:before="0" w:after="0"/>
              <w:jc w:val="both"/>
              <w:rPr>
                <w:szCs w:val="22"/>
                <w:lang w:val="en-GB"/>
              </w:rPr>
            </w:pPr>
            <w:r w:rsidRPr="00BF57A3">
              <w:rPr>
                <w:szCs w:val="22"/>
                <w:lang w:val="en-GB"/>
              </w:rPr>
              <w:t>Treći put</w:t>
            </w:r>
          </w:p>
        </w:tc>
        <w:tc>
          <w:tcPr>
            <w:tcW w:w="4144" w:type="dxa"/>
            <w:gridSpan w:val="2"/>
          </w:tcPr>
          <w:p w14:paraId="3120F132" w14:textId="77777777" w:rsidR="00A26FE3" w:rsidRPr="00BF57A3" w:rsidRDefault="00A26FE3" w:rsidP="006C640E">
            <w:pPr>
              <w:pStyle w:val="C-TableText"/>
              <w:widowControl w:val="0"/>
              <w:spacing w:before="0" w:after="0"/>
              <w:jc w:val="both"/>
              <w:rPr>
                <w:szCs w:val="22"/>
                <w:lang w:val="en-GB"/>
              </w:rPr>
            </w:pPr>
            <w:r w:rsidRPr="00BF57A3">
              <w:rPr>
                <w:szCs w:val="22"/>
                <w:lang w:val="en-GB"/>
              </w:rPr>
              <w:t>Prekinuti liječenje</w:t>
            </w:r>
          </w:p>
        </w:tc>
      </w:tr>
      <w:tr w:rsidR="00A26FE3" w:rsidRPr="00BF57A3" w14:paraId="1BCA3345" w14:textId="77777777" w:rsidTr="007903C4">
        <w:tc>
          <w:tcPr>
            <w:tcW w:w="3865" w:type="dxa"/>
          </w:tcPr>
          <w:p w14:paraId="2991C161" w14:textId="77777777" w:rsidR="00A26FE3" w:rsidRPr="00BF57A3" w:rsidRDefault="005B6A8F" w:rsidP="006C640E">
            <w:pPr>
              <w:pStyle w:val="C-TableText"/>
              <w:widowControl w:val="0"/>
              <w:spacing w:before="0" w:after="0"/>
              <w:jc w:val="both"/>
              <w:rPr>
                <w:szCs w:val="22"/>
                <w:lang w:val="en-GB"/>
              </w:rPr>
            </w:pPr>
            <w:r w:rsidRPr="00BF57A3">
              <w:rPr>
                <w:szCs w:val="22"/>
                <w:u w:val="single"/>
              </w:rPr>
              <w:t>Kožna toksičnost, dijareja ili mukozitis stepena 4</w:t>
            </w:r>
          </w:p>
        </w:tc>
        <w:tc>
          <w:tcPr>
            <w:tcW w:w="1346" w:type="dxa"/>
          </w:tcPr>
          <w:p w14:paraId="57B469AC" w14:textId="77777777" w:rsidR="00A26FE3" w:rsidRPr="00BF57A3" w:rsidRDefault="00A26FE3" w:rsidP="006C640E">
            <w:pPr>
              <w:pStyle w:val="C-TableText"/>
              <w:widowControl w:val="0"/>
              <w:spacing w:before="0" w:after="0"/>
              <w:jc w:val="both"/>
              <w:rPr>
                <w:szCs w:val="22"/>
                <w:lang w:val="en-GB"/>
              </w:rPr>
            </w:pPr>
            <w:r w:rsidRPr="00BF57A3">
              <w:rPr>
                <w:szCs w:val="22"/>
                <w:lang w:val="en-GB"/>
              </w:rPr>
              <w:t>Prvi put</w:t>
            </w:r>
          </w:p>
        </w:tc>
        <w:tc>
          <w:tcPr>
            <w:tcW w:w="4144" w:type="dxa"/>
            <w:gridSpan w:val="2"/>
          </w:tcPr>
          <w:p w14:paraId="3F46D79B" w14:textId="77777777" w:rsidR="00A26FE3" w:rsidRPr="00BF57A3" w:rsidRDefault="00A26FE3" w:rsidP="006C640E">
            <w:pPr>
              <w:pStyle w:val="C-TableText"/>
              <w:widowControl w:val="0"/>
              <w:spacing w:before="0" w:after="0"/>
              <w:jc w:val="both"/>
              <w:rPr>
                <w:szCs w:val="22"/>
                <w:lang w:val="en-GB"/>
              </w:rPr>
            </w:pPr>
            <w:r w:rsidRPr="00BF57A3">
              <w:rPr>
                <w:szCs w:val="22"/>
                <w:lang w:val="en-GB"/>
              </w:rPr>
              <w:t>Prekinuti liječenje</w:t>
            </w:r>
          </w:p>
        </w:tc>
      </w:tr>
    </w:tbl>
    <w:p w14:paraId="371DAF5D" w14:textId="77777777" w:rsidR="00A26FE3" w:rsidRPr="006C640E" w:rsidRDefault="00A26FE3" w:rsidP="00BF57A3">
      <w:pPr>
        <w:pStyle w:val="Header"/>
        <w:tabs>
          <w:tab w:val="left" w:pos="284"/>
        </w:tabs>
        <w:jc w:val="both"/>
        <w:rPr>
          <w:sz w:val="22"/>
          <w:szCs w:val="22"/>
          <w:u w:val="single"/>
          <w:lang w:val="en-US"/>
        </w:rPr>
      </w:pPr>
      <w:r w:rsidRPr="006C640E">
        <w:rPr>
          <w:sz w:val="22"/>
          <w:szCs w:val="22"/>
          <w:u w:val="single"/>
          <w:vertAlign w:val="superscript"/>
          <w:lang w:val="en-US"/>
        </w:rPr>
        <w:t xml:space="preserve">1 </w:t>
      </w:r>
      <w:r w:rsidRPr="006C640E">
        <w:rPr>
          <w:sz w:val="22"/>
          <w:szCs w:val="22"/>
          <w:u w:val="single"/>
          <w:lang w:val="en-US"/>
        </w:rPr>
        <w:t xml:space="preserve">Dozu lijeka Abraxane i karboplatina istovremeno smanjite 1. </w:t>
      </w:r>
      <w:proofErr w:type="gramStart"/>
      <w:r w:rsidRPr="006C640E">
        <w:rPr>
          <w:sz w:val="22"/>
          <w:szCs w:val="22"/>
          <w:u w:val="single"/>
          <w:lang w:val="en-US"/>
        </w:rPr>
        <w:t>dana</w:t>
      </w:r>
      <w:proofErr w:type="gramEnd"/>
      <w:r w:rsidRPr="006C640E">
        <w:rPr>
          <w:sz w:val="22"/>
          <w:szCs w:val="22"/>
          <w:u w:val="single"/>
          <w:lang w:val="en-US"/>
        </w:rPr>
        <w:t xml:space="preserve"> 21-dnevnog ciklusa. Dozu lijeka Abraxane smanjite 8. </w:t>
      </w:r>
      <w:proofErr w:type="gramStart"/>
      <w:r w:rsidRPr="006C640E">
        <w:rPr>
          <w:sz w:val="22"/>
          <w:szCs w:val="22"/>
          <w:u w:val="single"/>
          <w:lang w:val="en-US"/>
        </w:rPr>
        <w:t>ili</w:t>
      </w:r>
      <w:proofErr w:type="gramEnd"/>
      <w:r w:rsidRPr="006C640E">
        <w:rPr>
          <w:sz w:val="22"/>
          <w:szCs w:val="22"/>
          <w:u w:val="single"/>
          <w:lang w:val="en-US"/>
        </w:rPr>
        <w:t xml:space="preserve"> 15. </w:t>
      </w:r>
      <w:proofErr w:type="gramStart"/>
      <w:r w:rsidRPr="006C640E">
        <w:rPr>
          <w:sz w:val="22"/>
          <w:szCs w:val="22"/>
          <w:u w:val="single"/>
          <w:lang w:val="en-US"/>
        </w:rPr>
        <w:t>dana</w:t>
      </w:r>
      <w:proofErr w:type="gramEnd"/>
      <w:r w:rsidRPr="006C640E">
        <w:rPr>
          <w:sz w:val="22"/>
          <w:szCs w:val="22"/>
          <w:u w:val="single"/>
          <w:lang w:val="en-US"/>
        </w:rPr>
        <w:t xml:space="preserve"> 21-dnevnog ciklusa; dozu karboplatina smanjite u sljedećem ciklusu.</w:t>
      </w:r>
    </w:p>
    <w:p w14:paraId="08DD5FB3" w14:textId="77777777" w:rsidR="00A26FE3" w:rsidRPr="00BF57A3" w:rsidRDefault="00A26FE3">
      <w:pPr>
        <w:pStyle w:val="Header"/>
        <w:tabs>
          <w:tab w:val="left" w:pos="284"/>
        </w:tabs>
        <w:jc w:val="both"/>
        <w:rPr>
          <w:sz w:val="22"/>
          <w:szCs w:val="22"/>
          <w:u w:val="single"/>
          <w:lang w:val="en-US"/>
        </w:rPr>
      </w:pPr>
    </w:p>
    <w:p w14:paraId="2FAD127F" w14:textId="77777777" w:rsidR="00BA7A54" w:rsidRPr="00BF57A3" w:rsidRDefault="00BA7A54">
      <w:pPr>
        <w:pStyle w:val="Header"/>
        <w:tabs>
          <w:tab w:val="left" w:pos="284"/>
        </w:tabs>
        <w:jc w:val="both"/>
        <w:rPr>
          <w:sz w:val="22"/>
          <w:szCs w:val="22"/>
          <w:u w:val="single"/>
          <w:lang w:val="en-US"/>
        </w:rPr>
      </w:pPr>
      <w:r w:rsidRPr="00BF57A3">
        <w:rPr>
          <w:sz w:val="22"/>
          <w:szCs w:val="22"/>
          <w:u w:val="single"/>
          <w:lang w:val="en-US"/>
        </w:rPr>
        <w:t>Posebne populacije</w:t>
      </w:r>
    </w:p>
    <w:p w14:paraId="1DAB5C05" w14:textId="77777777" w:rsidR="00BA7A54" w:rsidRPr="00BF57A3" w:rsidRDefault="00BA7A54">
      <w:pPr>
        <w:pStyle w:val="Header"/>
        <w:tabs>
          <w:tab w:val="left" w:pos="284"/>
        </w:tabs>
        <w:jc w:val="both"/>
        <w:rPr>
          <w:sz w:val="22"/>
          <w:szCs w:val="22"/>
          <w:u w:val="single"/>
          <w:lang w:val="en-US"/>
        </w:rPr>
      </w:pPr>
    </w:p>
    <w:p w14:paraId="51F5E30A" w14:textId="77777777" w:rsidR="00BA7A54" w:rsidRPr="00BF57A3" w:rsidRDefault="00265849">
      <w:pPr>
        <w:pStyle w:val="Header"/>
        <w:tabs>
          <w:tab w:val="left" w:pos="284"/>
        </w:tabs>
        <w:spacing w:before="80" w:after="80"/>
        <w:jc w:val="both"/>
        <w:rPr>
          <w:bCs/>
          <w:i/>
          <w:sz w:val="22"/>
          <w:szCs w:val="22"/>
          <w:lang w:val="pl-PL"/>
        </w:rPr>
      </w:pPr>
      <w:r w:rsidRPr="00BF57A3">
        <w:rPr>
          <w:bCs/>
          <w:i/>
          <w:sz w:val="22"/>
          <w:szCs w:val="22"/>
          <w:lang w:val="pl-PL"/>
        </w:rPr>
        <w:t>O</w:t>
      </w:r>
      <w:r w:rsidR="00BA7A54" w:rsidRPr="00BF57A3">
        <w:rPr>
          <w:bCs/>
          <w:i/>
          <w:sz w:val="22"/>
          <w:szCs w:val="22"/>
          <w:lang w:val="pl-PL"/>
        </w:rPr>
        <w:t>štećen</w:t>
      </w:r>
      <w:r w:rsidRPr="00BF57A3">
        <w:rPr>
          <w:bCs/>
          <w:i/>
          <w:sz w:val="22"/>
          <w:szCs w:val="22"/>
          <w:lang w:val="pl-PL"/>
        </w:rPr>
        <w:t>je</w:t>
      </w:r>
      <w:r w:rsidR="00BA7A54" w:rsidRPr="00BF57A3">
        <w:rPr>
          <w:bCs/>
          <w:i/>
          <w:sz w:val="22"/>
          <w:szCs w:val="22"/>
          <w:lang w:val="pl-PL"/>
        </w:rPr>
        <w:t xml:space="preserve"> funkcij</w:t>
      </w:r>
      <w:r w:rsidRPr="00BF57A3">
        <w:rPr>
          <w:bCs/>
          <w:i/>
          <w:sz w:val="22"/>
          <w:szCs w:val="22"/>
          <w:lang w:val="pl-PL"/>
        </w:rPr>
        <w:t>e</w:t>
      </w:r>
      <w:r w:rsidR="00BA7A54" w:rsidRPr="00BF57A3">
        <w:rPr>
          <w:bCs/>
          <w:i/>
          <w:sz w:val="22"/>
          <w:szCs w:val="22"/>
          <w:lang w:val="pl-PL"/>
        </w:rPr>
        <w:t xml:space="preserve"> jetre</w:t>
      </w:r>
    </w:p>
    <w:p w14:paraId="6113CB73" w14:textId="370343CF" w:rsidR="00BA7A54" w:rsidRPr="00BF57A3" w:rsidRDefault="00BA7A54">
      <w:pPr>
        <w:pStyle w:val="Header"/>
        <w:tabs>
          <w:tab w:val="left" w:pos="284"/>
        </w:tabs>
        <w:jc w:val="both"/>
        <w:rPr>
          <w:sz w:val="22"/>
          <w:szCs w:val="22"/>
          <w:lang w:val="pl-PL"/>
        </w:rPr>
      </w:pPr>
      <w:r w:rsidRPr="00BF57A3">
        <w:rPr>
          <w:sz w:val="22"/>
          <w:szCs w:val="22"/>
          <w:lang w:val="pl-PL"/>
        </w:rPr>
        <w:t xml:space="preserve">Kod </w:t>
      </w:r>
      <w:r w:rsidR="000E755D">
        <w:rPr>
          <w:sz w:val="22"/>
          <w:szCs w:val="22"/>
          <w:lang w:val="pl-PL"/>
        </w:rPr>
        <w:t>pacijenata</w:t>
      </w:r>
      <w:r w:rsidR="000E755D" w:rsidRPr="00BF57A3">
        <w:rPr>
          <w:sz w:val="22"/>
          <w:szCs w:val="22"/>
          <w:lang w:val="pl-PL"/>
        </w:rPr>
        <w:t xml:space="preserve"> </w:t>
      </w:r>
      <w:r w:rsidRPr="00BF57A3">
        <w:rPr>
          <w:sz w:val="22"/>
          <w:szCs w:val="22"/>
          <w:lang w:val="pl-PL"/>
        </w:rPr>
        <w:t>s</w:t>
      </w:r>
      <w:r w:rsidR="00C978BD" w:rsidRPr="00BF57A3">
        <w:rPr>
          <w:sz w:val="22"/>
          <w:szCs w:val="22"/>
          <w:lang w:val="pl-PL"/>
        </w:rPr>
        <w:t>a</w:t>
      </w:r>
      <w:r w:rsidRPr="00BF57A3">
        <w:rPr>
          <w:sz w:val="22"/>
          <w:szCs w:val="22"/>
          <w:lang w:val="pl-PL"/>
        </w:rPr>
        <w:t xml:space="preserve"> blagim oštećenjem funkcije jetre (ukupni bilirubin od &gt; 1 do ≤ 1,5 x GGN i aspartat aminotransferaza [AST] ≤ 10 x GGN), prilagođavanja doze nisu potrebna bez obzira na indikaciju. Liječenje treba sprovoditi dozama jednakim onima za </w:t>
      </w:r>
      <w:r w:rsidR="00F30E8C">
        <w:rPr>
          <w:sz w:val="22"/>
          <w:szCs w:val="22"/>
          <w:lang w:val="pl-PL"/>
        </w:rPr>
        <w:t>pacijente</w:t>
      </w:r>
      <w:r w:rsidR="00F30E8C" w:rsidRPr="00BF57A3">
        <w:rPr>
          <w:sz w:val="22"/>
          <w:szCs w:val="22"/>
          <w:lang w:val="pl-PL"/>
        </w:rPr>
        <w:t xml:space="preserve"> </w:t>
      </w:r>
      <w:r w:rsidRPr="00BF57A3">
        <w:rPr>
          <w:sz w:val="22"/>
          <w:szCs w:val="22"/>
          <w:lang w:val="pl-PL"/>
        </w:rPr>
        <w:t>sa normalnom funkcijom jetre.</w:t>
      </w:r>
    </w:p>
    <w:p w14:paraId="4F70EC4B" w14:textId="77777777" w:rsidR="00BA7A54" w:rsidRPr="00BF57A3" w:rsidRDefault="00BA7A54">
      <w:pPr>
        <w:pStyle w:val="Header"/>
        <w:tabs>
          <w:tab w:val="left" w:pos="284"/>
        </w:tabs>
        <w:jc w:val="both"/>
        <w:rPr>
          <w:sz w:val="22"/>
          <w:szCs w:val="22"/>
          <w:u w:val="single"/>
          <w:lang w:val="pl-PL"/>
        </w:rPr>
      </w:pPr>
    </w:p>
    <w:p w14:paraId="3A25DA34" w14:textId="0E008A63" w:rsidR="00BA7A54" w:rsidRPr="00BF57A3" w:rsidRDefault="00BA7A54">
      <w:pPr>
        <w:pStyle w:val="Header"/>
        <w:tabs>
          <w:tab w:val="left" w:pos="284"/>
        </w:tabs>
        <w:jc w:val="both"/>
        <w:rPr>
          <w:sz w:val="22"/>
          <w:szCs w:val="22"/>
          <w:lang w:val="pl-PL"/>
        </w:rPr>
      </w:pPr>
      <w:r w:rsidRPr="00BF57A3">
        <w:rPr>
          <w:sz w:val="22"/>
          <w:szCs w:val="22"/>
          <w:lang w:val="pl-PL"/>
        </w:rPr>
        <w:t xml:space="preserve">Za </w:t>
      </w:r>
      <w:r w:rsidR="00F30E8C">
        <w:rPr>
          <w:sz w:val="22"/>
          <w:szCs w:val="22"/>
          <w:lang w:val="pl-PL"/>
        </w:rPr>
        <w:t>pacijente</w:t>
      </w:r>
      <w:r w:rsidR="00F30E8C" w:rsidRPr="00BF57A3">
        <w:rPr>
          <w:sz w:val="22"/>
          <w:szCs w:val="22"/>
          <w:lang w:val="pl-PL"/>
        </w:rPr>
        <w:t xml:space="preserve"> </w:t>
      </w:r>
      <w:r w:rsidRPr="00BF57A3">
        <w:rPr>
          <w:sz w:val="22"/>
          <w:szCs w:val="22"/>
          <w:lang w:val="pl-PL"/>
        </w:rPr>
        <w:t xml:space="preserve">sa metastatskim </w:t>
      </w:r>
      <w:r w:rsidR="00F30E8C">
        <w:rPr>
          <w:sz w:val="22"/>
          <w:szCs w:val="22"/>
          <w:lang w:val="pl-PL"/>
        </w:rPr>
        <w:t>karcinomom</w:t>
      </w:r>
      <w:r w:rsidR="00F30E8C" w:rsidRPr="00BF57A3">
        <w:rPr>
          <w:sz w:val="22"/>
          <w:szCs w:val="22"/>
          <w:lang w:val="pl-PL"/>
        </w:rPr>
        <w:t xml:space="preserve"> </w:t>
      </w:r>
      <w:r w:rsidRPr="00BF57A3">
        <w:rPr>
          <w:sz w:val="22"/>
          <w:szCs w:val="22"/>
          <w:lang w:val="pl-PL"/>
        </w:rPr>
        <w:t>dojke</w:t>
      </w:r>
      <w:r w:rsidR="00413DCB" w:rsidRPr="00BF57A3">
        <w:rPr>
          <w:sz w:val="22"/>
          <w:szCs w:val="22"/>
          <w:lang w:val="pl-PL"/>
        </w:rPr>
        <w:t xml:space="preserve"> i </w:t>
      </w:r>
      <w:r w:rsidR="00F30E8C">
        <w:rPr>
          <w:sz w:val="22"/>
          <w:szCs w:val="22"/>
          <w:lang w:val="pl-PL"/>
        </w:rPr>
        <w:t>pacijent</w:t>
      </w:r>
      <w:r w:rsidR="00413DCB" w:rsidRPr="00BF57A3">
        <w:rPr>
          <w:sz w:val="22"/>
          <w:szCs w:val="22"/>
          <w:lang w:val="pl-PL"/>
        </w:rPr>
        <w:t>e sa nemikrocelularnim karcinomom pluća</w:t>
      </w:r>
      <w:r w:rsidRPr="00BF57A3">
        <w:rPr>
          <w:sz w:val="22"/>
          <w:szCs w:val="22"/>
          <w:lang w:val="pl-PL"/>
        </w:rPr>
        <w:t xml:space="preserve"> i umjerenim do teškim oštećenjem funkcije jetre (ukupni bilirubin od &gt; 1,5 do ≤ 5 x GGN i AST ≤ 10 x GGN), preporuka je smanjiti dozu za 20%. Smanjena doza može se povećati do doze za </w:t>
      </w:r>
      <w:r w:rsidR="00F30E8C">
        <w:rPr>
          <w:sz w:val="22"/>
          <w:szCs w:val="22"/>
          <w:lang w:val="pl-PL"/>
        </w:rPr>
        <w:t>pacijente</w:t>
      </w:r>
      <w:r w:rsidR="00F30E8C" w:rsidRPr="00BF57A3">
        <w:rPr>
          <w:sz w:val="22"/>
          <w:szCs w:val="22"/>
          <w:lang w:val="pl-PL"/>
        </w:rPr>
        <w:t xml:space="preserve"> </w:t>
      </w:r>
      <w:r w:rsidRPr="00BF57A3">
        <w:rPr>
          <w:sz w:val="22"/>
          <w:szCs w:val="22"/>
          <w:lang w:val="pl-PL"/>
        </w:rPr>
        <w:t xml:space="preserve">sa normalnom funkcijom jetre ako se u najmanje dva ciklusa pokaže da </w:t>
      </w:r>
      <w:r w:rsidR="00F30E8C">
        <w:rPr>
          <w:sz w:val="22"/>
          <w:szCs w:val="22"/>
          <w:lang w:val="pl-PL"/>
        </w:rPr>
        <w:t>pacijent</w:t>
      </w:r>
      <w:r w:rsidR="00F30E8C" w:rsidRPr="00BF57A3">
        <w:rPr>
          <w:sz w:val="22"/>
          <w:szCs w:val="22"/>
          <w:lang w:val="pl-PL"/>
        </w:rPr>
        <w:t xml:space="preserve"> </w:t>
      </w:r>
      <w:r w:rsidRPr="00BF57A3">
        <w:rPr>
          <w:sz w:val="22"/>
          <w:szCs w:val="22"/>
          <w:lang w:val="pl-PL"/>
        </w:rPr>
        <w:t>p</w:t>
      </w:r>
      <w:r w:rsidR="00EE1A59" w:rsidRPr="00BF57A3">
        <w:rPr>
          <w:sz w:val="22"/>
          <w:szCs w:val="22"/>
          <w:lang w:val="pl-PL"/>
        </w:rPr>
        <w:t xml:space="preserve">odnosi liječenje (vidjeti </w:t>
      </w:r>
      <w:r w:rsidR="00F30E8C">
        <w:rPr>
          <w:sz w:val="22"/>
          <w:szCs w:val="22"/>
          <w:lang w:val="pl-PL"/>
        </w:rPr>
        <w:t>djelove</w:t>
      </w:r>
      <w:r w:rsidR="00F30E8C" w:rsidRPr="00BF57A3">
        <w:rPr>
          <w:sz w:val="22"/>
          <w:szCs w:val="22"/>
          <w:lang w:val="pl-PL"/>
        </w:rPr>
        <w:t xml:space="preserve"> </w:t>
      </w:r>
      <w:r w:rsidRPr="00BF57A3">
        <w:rPr>
          <w:sz w:val="22"/>
          <w:szCs w:val="22"/>
          <w:lang w:val="pl-PL"/>
        </w:rPr>
        <w:t>4.4 i 5.2).</w:t>
      </w:r>
    </w:p>
    <w:p w14:paraId="5930D860" w14:textId="77777777" w:rsidR="00BA7A54" w:rsidRPr="00BF57A3" w:rsidRDefault="00BA7A54">
      <w:pPr>
        <w:pStyle w:val="Header"/>
        <w:tabs>
          <w:tab w:val="left" w:pos="284"/>
        </w:tabs>
        <w:jc w:val="both"/>
        <w:rPr>
          <w:sz w:val="22"/>
          <w:szCs w:val="22"/>
          <w:lang w:val="pl-PL"/>
        </w:rPr>
      </w:pPr>
    </w:p>
    <w:p w14:paraId="41E9D2C3" w14:textId="58AFFD2D" w:rsidR="00BA7A54" w:rsidRPr="00BF57A3" w:rsidRDefault="00BA7A54">
      <w:pPr>
        <w:pStyle w:val="Header"/>
        <w:tabs>
          <w:tab w:val="left" w:pos="284"/>
        </w:tabs>
        <w:jc w:val="both"/>
        <w:rPr>
          <w:sz w:val="22"/>
          <w:szCs w:val="22"/>
          <w:lang w:val="pl-PL"/>
        </w:rPr>
      </w:pPr>
      <w:r w:rsidRPr="00BF57A3">
        <w:rPr>
          <w:sz w:val="22"/>
          <w:szCs w:val="22"/>
          <w:lang w:val="pl-PL"/>
        </w:rPr>
        <w:t xml:space="preserve">Za </w:t>
      </w:r>
      <w:r w:rsidR="00F30E8C">
        <w:rPr>
          <w:sz w:val="22"/>
          <w:szCs w:val="22"/>
          <w:lang w:val="pl-PL"/>
        </w:rPr>
        <w:t>pacijente</w:t>
      </w:r>
      <w:r w:rsidRPr="00BF57A3">
        <w:rPr>
          <w:sz w:val="22"/>
          <w:szCs w:val="22"/>
          <w:lang w:val="pl-PL"/>
        </w:rPr>
        <w:t xml:space="preserve"> sa metastatskim adenokarcinomom pankreasa koji imaju umjereno do teško oštećenje funkcije jetre, nema dovoljno podataka koji bi omogućili preporuke doza (vidjeti </w:t>
      </w:r>
      <w:r w:rsidR="00F30E8C">
        <w:rPr>
          <w:sz w:val="22"/>
          <w:szCs w:val="22"/>
          <w:lang w:val="pl-PL"/>
        </w:rPr>
        <w:t>djelove</w:t>
      </w:r>
      <w:r w:rsidR="00F30E8C" w:rsidRPr="00BF57A3">
        <w:rPr>
          <w:sz w:val="22"/>
          <w:szCs w:val="22"/>
          <w:lang w:val="pl-PL"/>
        </w:rPr>
        <w:t xml:space="preserve">  </w:t>
      </w:r>
      <w:r w:rsidRPr="00BF57A3">
        <w:rPr>
          <w:sz w:val="22"/>
          <w:szCs w:val="22"/>
          <w:lang w:val="pl-PL"/>
        </w:rPr>
        <w:t>4.4 i 5.2).</w:t>
      </w:r>
    </w:p>
    <w:p w14:paraId="42474E4B" w14:textId="77777777" w:rsidR="00BA7A54" w:rsidRPr="00BF57A3" w:rsidRDefault="00BA7A54">
      <w:pPr>
        <w:pStyle w:val="Header"/>
        <w:tabs>
          <w:tab w:val="left" w:pos="284"/>
        </w:tabs>
        <w:jc w:val="both"/>
        <w:rPr>
          <w:sz w:val="22"/>
          <w:szCs w:val="22"/>
          <w:u w:val="single"/>
          <w:lang w:val="pl-PL"/>
        </w:rPr>
      </w:pPr>
    </w:p>
    <w:p w14:paraId="449369B7" w14:textId="635B7C69" w:rsidR="00BA7A54" w:rsidRPr="00BF57A3" w:rsidRDefault="00BA7A54">
      <w:pPr>
        <w:pStyle w:val="Header"/>
        <w:tabs>
          <w:tab w:val="left" w:pos="284"/>
        </w:tabs>
        <w:jc w:val="both"/>
        <w:rPr>
          <w:sz w:val="22"/>
          <w:szCs w:val="22"/>
          <w:lang w:val="pl-PL"/>
        </w:rPr>
      </w:pPr>
      <w:r w:rsidRPr="00BF57A3">
        <w:rPr>
          <w:sz w:val="22"/>
          <w:szCs w:val="22"/>
          <w:lang w:val="pl-PL"/>
        </w:rPr>
        <w:t xml:space="preserve">Za </w:t>
      </w:r>
      <w:r w:rsidR="00F30E8C">
        <w:rPr>
          <w:sz w:val="22"/>
          <w:szCs w:val="22"/>
          <w:lang w:val="pl-PL"/>
        </w:rPr>
        <w:t>pacijente</w:t>
      </w:r>
      <w:r w:rsidR="00F30E8C" w:rsidRPr="00BF57A3">
        <w:rPr>
          <w:sz w:val="22"/>
          <w:szCs w:val="22"/>
          <w:lang w:val="pl-PL"/>
        </w:rPr>
        <w:t xml:space="preserve"> </w:t>
      </w:r>
      <w:r w:rsidRPr="00BF57A3">
        <w:rPr>
          <w:sz w:val="22"/>
          <w:szCs w:val="22"/>
          <w:lang w:val="pl-PL"/>
        </w:rPr>
        <w:t xml:space="preserve">kod kojih je ukupni bilirubin &gt; 5 x GGN ili AST &gt; 10 x GGN, nema dovoljno podataka koji bi omogućili preporuke doza bez obzira na indikaciju (vidjeti </w:t>
      </w:r>
      <w:r w:rsidR="00F30E8C">
        <w:rPr>
          <w:sz w:val="22"/>
          <w:szCs w:val="22"/>
          <w:lang w:val="pl-PL"/>
        </w:rPr>
        <w:t>djelove</w:t>
      </w:r>
      <w:r w:rsidR="00F30E8C" w:rsidRPr="00BF57A3">
        <w:rPr>
          <w:sz w:val="22"/>
          <w:szCs w:val="22"/>
          <w:lang w:val="pl-PL"/>
        </w:rPr>
        <w:t xml:space="preserve">  </w:t>
      </w:r>
      <w:r w:rsidRPr="00BF57A3">
        <w:rPr>
          <w:sz w:val="22"/>
          <w:szCs w:val="22"/>
          <w:lang w:val="pl-PL"/>
        </w:rPr>
        <w:t>4.4 i 5.2).</w:t>
      </w:r>
    </w:p>
    <w:p w14:paraId="664B5C7B" w14:textId="77777777" w:rsidR="00BA7A54" w:rsidRPr="00BF57A3" w:rsidRDefault="00BA7A54">
      <w:pPr>
        <w:pStyle w:val="Header"/>
        <w:tabs>
          <w:tab w:val="left" w:pos="284"/>
        </w:tabs>
        <w:jc w:val="both"/>
        <w:rPr>
          <w:sz w:val="22"/>
          <w:szCs w:val="22"/>
          <w:u w:val="single"/>
          <w:lang w:val="pl-PL"/>
        </w:rPr>
      </w:pPr>
    </w:p>
    <w:p w14:paraId="7427D411" w14:textId="77777777" w:rsidR="00BA7A54" w:rsidRPr="00BF57A3" w:rsidRDefault="00BD71A9">
      <w:pPr>
        <w:pStyle w:val="Header"/>
        <w:tabs>
          <w:tab w:val="left" w:pos="284"/>
        </w:tabs>
        <w:spacing w:before="80" w:after="80"/>
        <w:jc w:val="both"/>
        <w:rPr>
          <w:bCs/>
          <w:i/>
          <w:sz w:val="22"/>
          <w:szCs w:val="22"/>
          <w:lang w:val="pl-PL"/>
        </w:rPr>
      </w:pPr>
      <w:r w:rsidRPr="00BF57A3">
        <w:rPr>
          <w:bCs/>
          <w:i/>
          <w:sz w:val="22"/>
          <w:szCs w:val="22"/>
          <w:lang w:val="pl-PL"/>
        </w:rPr>
        <w:t>O</w:t>
      </w:r>
      <w:r w:rsidR="00BA7A54" w:rsidRPr="00BF57A3">
        <w:rPr>
          <w:bCs/>
          <w:i/>
          <w:sz w:val="22"/>
          <w:szCs w:val="22"/>
          <w:lang w:val="pl-PL"/>
        </w:rPr>
        <w:t>štećen</w:t>
      </w:r>
      <w:r w:rsidRPr="00BF57A3">
        <w:rPr>
          <w:bCs/>
          <w:i/>
          <w:sz w:val="22"/>
          <w:szCs w:val="22"/>
          <w:lang w:val="pl-PL"/>
        </w:rPr>
        <w:t>je</w:t>
      </w:r>
      <w:r w:rsidR="00BA7A54" w:rsidRPr="00BF57A3">
        <w:rPr>
          <w:bCs/>
          <w:i/>
          <w:sz w:val="22"/>
          <w:szCs w:val="22"/>
          <w:lang w:val="pl-PL"/>
        </w:rPr>
        <w:t xml:space="preserve"> funkcij</w:t>
      </w:r>
      <w:r w:rsidRPr="00BF57A3">
        <w:rPr>
          <w:bCs/>
          <w:i/>
          <w:sz w:val="22"/>
          <w:szCs w:val="22"/>
          <w:lang w:val="pl-PL"/>
        </w:rPr>
        <w:t>e</w:t>
      </w:r>
      <w:r w:rsidR="00BA7A54" w:rsidRPr="00BF57A3">
        <w:rPr>
          <w:bCs/>
          <w:i/>
          <w:sz w:val="22"/>
          <w:szCs w:val="22"/>
          <w:lang w:val="pl-PL"/>
        </w:rPr>
        <w:t xml:space="preserve"> bubrega</w:t>
      </w:r>
    </w:p>
    <w:p w14:paraId="36FF73E8" w14:textId="5C522783" w:rsidR="00BA7A54" w:rsidRPr="00BF57A3" w:rsidRDefault="00BA7A54">
      <w:pPr>
        <w:pStyle w:val="Header"/>
        <w:tabs>
          <w:tab w:val="left" w:pos="284"/>
        </w:tabs>
        <w:jc w:val="both"/>
        <w:rPr>
          <w:sz w:val="22"/>
          <w:szCs w:val="22"/>
          <w:lang w:val="pl-PL"/>
        </w:rPr>
      </w:pPr>
      <w:r w:rsidRPr="00BF57A3">
        <w:rPr>
          <w:sz w:val="22"/>
          <w:szCs w:val="22"/>
          <w:lang w:val="pl-PL"/>
        </w:rPr>
        <w:t xml:space="preserve">Prilagođavanje početne doze lijeka Abraxane nije potrebno kod </w:t>
      </w:r>
      <w:r w:rsidR="00EB52E0">
        <w:rPr>
          <w:sz w:val="22"/>
          <w:szCs w:val="22"/>
          <w:lang w:val="pl-PL"/>
        </w:rPr>
        <w:t>pacijenata</w:t>
      </w:r>
      <w:r w:rsidR="00EB52E0" w:rsidRPr="00BF57A3">
        <w:rPr>
          <w:sz w:val="22"/>
          <w:szCs w:val="22"/>
          <w:lang w:val="pl-PL"/>
        </w:rPr>
        <w:t xml:space="preserve"> </w:t>
      </w:r>
      <w:r w:rsidRPr="00BF57A3">
        <w:rPr>
          <w:sz w:val="22"/>
          <w:szCs w:val="22"/>
          <w:lang w:val="pl-PL"/>
        </w:rPr>
        <w:t xml:space="preserve">sa blagim do umjerenim oštećenjem bubrežne funkcije (procijenjeni klirens kreatinina od ≥ 30 do &lt; 90 ml/min). Nema dovoljno podataka za preporuku prilagođavanja doze lijeka Abraxane kod </w:t>
      </w:r>
      <w:r w:rsidR="00EB52E0">
        <w:rPr>
          <w:sz w:val="22"/>
          <w:szCs w:val="22"/>
          <w:lang w:val="pl-PL"/>
        </w:rPr>
        <w:t>pacijenata</w:t>
      </w:r>
      <w:r w:rsidR="00EB52E0" w:rsidRPr="00BF57A3">
        <w:rPr>
          <w:sz w:val="22"/>
          <w:szCs w:val="22"/>
          <w:lang w:val="pl-PL"/>
        </w:rPr>
        <w:t xml:space="preserve"> </w:t>
      </w:r>
      <w:r w:rsidRPr="00BF57A3">
        <w:rPr>
          <w:sz w:val="22"/>
          <w:szCs w:val="22"/>
          <w:lang w:val="pl-PL"/>
        </w:rPr>
        <w:t xml:space="preserve">sa teškim oštećenjem funkcije bubrega ili sa krajnjim stadijumom bubrežne bolesti (procijenjeni klirens kreatinina &lt; 30 ml/min) (vidjeti </w:t>
      </w:r>
      <w:r w:rsidR="00EB52E0">
        <w:rPr>
          <w:sz w:val="22"/>
          <w:szCs w:val="22"/>
          <w:lang w:val="pl-PL"/>
        </w:rPr>
        <w:t>dio</w:t>
      </w:r>
      <w:r w:rsidR="00EB52E0" w:rsidRPr="00BF57A3">
        <w:rPr>
          <w:sz w:val="22"/>
          <w:szCs w:val="22"/>
          <w:lang w:val="pl-PL"/>
        </w:rPr>
        <w:t xml:space="preserve"> </w:t>
      </w:r>
      <w:r w:rsidRPr="00BF57A3">
        <w:rPr>
          <w:sz w:val="22"/>
          <w:szCs w:val="22"/>
          <w:lang w:val="pl-PL"/>
        </w:rPr>
        <w:t>5.2).</w:t>
      </w:r>
    </w:p>
    <w:p w14:paraId="010E5C22" w14:textId="77777777" w:rsidR="00BA7A54" w:rsidRPr="00BF57A3" w:rsidRDefault="00BA7A54">
      <w:pPr>
        <w:pStyle w:val="Header"/>
        <w:tabs>
          <w:tab w:val="left" w:pos="284"/>
        </w:tabs>
        <w:jc w:val="both"/>
        <w:rPr>
          <w:sz w:val="22"/>
          <w:szCs w:val="22"/>
          <w:u w:val="single"/>
          <w:lang w:val="pl-PL"/>
        </w:rPr>
      </w:pPr>
    </w:p>
    <w:p w14:paraId="1EF13774" w14:textId="77777777" w:rsidR="00BA7A54" w:rsidRPr="00BF57A3" w:rsidRDefault="00BA7A54">
      <w:pPr>
        <w:pStyle w:val="Header"/>
        <w:tabs>
          <w:tab w:val="left" w:pos="284"/>
        </w:tabs>
        <w:jc w:val="both"/>
        <w:rPr>
          <w:i/>
          <w:sz w:val="22"/>
          <w:szCs w:val="22"/>
          <w:lang w:val="pl-PL"/>
        </w:rPr>
      </w:pPr>
      <w:r w:rsidRPr="00BF57A3">
        <w:rPr>
          <w:i/>
          <w:sz w:val="22"/>
          <w:szCs w:val="22"/>
          <w:lang w:val="pl-PL"/>
        </w:rPr>
        <w:t>Starij</w:t>
      </w:r>
      <w:r w:rsidR="00BD71A9" w:rsidRPr="00BF57A3">
        <w:rPr>
          <w:i/>
          <w:sz w:val="22"/>
          <w:szCs w:val="22"/>
          <w:lang w:val="pl-PL"/>
        </w:rPr>
        <w:t xml:space="preserve">i </w:t>
      </w:r>
    </w:p>
    <w:p w14:paraId="26E93256" w14:textId="068E4395" w:rsidR="00BA7A54" w:rsidRPr="00BF57A3" w:rsidRDefault="00BA7A54">
      <w:pPr>
        <w:pStyle w:val="Header"/>
        <w:tabs>
          <w:tab w:val="left" w:pos="284"/>
        </w:tabs>
        <w:jc w:val="both"/>
        <w:rPr>
          <w:sz w:val="22"/>
          <w:szCs w:val="22"/>
          <w:lang w:val="pl-PL"/>
        </w:rPr>
      </w:pPr>
      <w:r w:rsidRPr="00BF57A3">
        <w:rPr>
          <w:sz w:val="22"/>
          <w:szCs w:val="22"/>
          <w:lang w:val="pl-PL"/>
        </w:rPr>
        <w:t xml:space="preserve">Nema preporuka za dodatno smanjenje doza kod </w:t>
      </w:r>
      <w:r w:rsidR="00EB52E0">
        <w:rPr>
          <w:sz w:val="22"/>
          <w:szCs w:val="22"/>
          <w:lang w:val="pl-PL"/>
        </w:rPr>
        <w:t>pacijenata</w:t>
      </w:r>
      <w:r w:rsidR="00EB52E0" w:rsidRPr="00BF57A3">
        <w:rPr>
          <w:sz w:val="22"/>
          <w:szCs w:val="22"/>
          <w:lang w:val="pl-PL"/>
        </w:rPr>
        <w:t xml:space="preserve"> </w:t>
      </w:r>
      <w:r w:rsidRPr="00BF57A3">
        <w:rPr>
          <w:sz w:val="22"/>
          <w:szCs w:val="22"/>
          <w:lang w:val="pl-PL"/>
        </w:rPr>
        <w:t xml:space="preserve">sa 65 i više godina, osim onih koje se odnose na sve </w:t>
      </w:r>
      <w:r w:rsidR="00EB52E0">
        <w:rPr>
          <w:sz w:val="22"/>
          <w:szCs w:val="22"/>
          <w:lang w:val="pl-PL"/>
        </w:rPr>
        <w:t>pacijente</w:t>
      </w:r>
      <w:r w:rsidRPr="00BF57A3">
        <w:rPr>
          <w:sz w:val="22"/>
          <w:szCs w:val="22"/>
          <w:lang w:val="pl-PL"/>
        </w:rPr>
        <w:t>.</w:t>
      </w:r>
    </w:p>
    <w:p w14:paraId="5B3CE060" w14:textId="77777777" w:rsidR="00BA7A54" w:rsidRPr="00BF57A3" w:rsidRDefault="00BA7A54">
      <w:pPr>
        <w:pStyle w:val="Header"/>
        <w:tabs>
          <w:tab w:val="left" w:pos="284"/>
        </w:tabs>
        <w:jc w:val="both"/>
        <w:rPr>
          <w:i/>
          <w:sz w:val="22"/>
          <w:szCs w:val="22"/>
          <w:lang w:val="pl-PL"/>
        </w:rPr>
      </w:pPr>
    </w:p>
    <w:p w14:paraId="49789DE0" w14:textId="6BD0EB22" w:rsidR="00BA7A54" w:rsidRPr="00BF57A3" w:rsidRDefault="00BA7A54">
      <w:pPr>
        <w:pStyle w:val="Header"/>
        <w:tabs>
          <w:tab w:val="left" w:pos="284"/>
        </w:tabs>
        <w:jc w:val="both"/>
        <w:rPr>
          <w:sz w:val="22"/>
          <w:szCs w:val="22"/>
          <w:lang w:val="pl-PL"/>
        </w:rPr>
      </w:pPr>
      <w:r w:rsidRPr="00BF57A3">
        <w:rPr>
          <w:sz w:val="22"/>
          <w:szCs w:val="22"/>
          <w:lang w:val="pl-PL"/>
        </w:rPr>
        <w:t xml:space="preserve">Od 229 ispitanika koji su u randomizovanom ispitivanju primali lijek Abraxane kao monoterapiju za karcinom dojke, 13% ih je imalo najmanje 65 godina, a &lt; 2% je imalo 75 i više godina. Nije opažen znatno učestaliji razvoj toksičnosti među </w:t>
      </w:r>
      <w:r w:rsidR="000E755D">
        <w:rPr>
          <w:sz w:val="22"/>
          <w:szCs w:val="22"/>
          <w:lang w:val="pl-PL"/>
        </w:rPr>
        <w:t>pacijentima</w:t>
      </w:r>
      <w:r w:rsidR="000E755D" w:rsidRPr="00BF57A3">
        <w:rPr>
          <w:sz w:val="22"/>
          <w:szCs w:val="22"/>
          <w:lang w:val="pl-PL"/>
        </w:rPr>
        <w:t xml:space="preserve"> </w:t>
      </w:r>
      <w:r w:rsidRPr="00BF57A3">
        <w:rPr>
          <w:sz w:val="22"/>
          <w:szCs w:val="22"/>
          <w:lang w:val="pl-PL"/>
        </w:rPr>
        <w:t xml:space="preserve">starosti od najmanje 65 godina koji su primali lijek Abraxane. Međutim, kasnija analiza sprovedena kod 981 </w:t>
      </w:r>
      <w:r w:rsidR="000E755D">
        <w:rPr>
          <w:sz w:val="22"/>
          <w:szCs w:val="22"/>
          <w:lang w:val="pl-PL"/>
        </w:rPr>
        <w:t>pacijenata</w:t>
      </w:r>
      <w:r w:rsidR="000E755D" w:rsidRPr="00BF57A3">
        <w:rPr>
          <w:sz w:val="22"/>
          <w:szCs w:val="22"/>
          <w:lang w:val="pl-PL"/>
        </w:rPr>
        <w:t xml:space="preserve"> </w:t>
      </w:r>
      <w:r w:rsidRPr="00BF57A3">
        <w:rPr>
          <w:sz w:val="22"/>
          <w:szCs w:val="22"/>
          <w:lang w:val="pl-PL"/>
        </w:rPr>
        <w:t xml:space="preserve">koji su primali lijek Abraxane kao monoterapiju za metastatski karcinom dojke, od kojih su 15%  imali ≥ 65 godina i 2%  imali ≥ 75 godina, pokazala je veću incidencu epistakse, dijareje, dehidracije, umora i perifernog edema kod </w:t>
      </w:r>
      <w:r w:rsidR="000E755D">
        <w:rPr>
          <w:sz w:val="22"/>
          <w:szCs w:val="22"/>
          <w:lang w:val="pl-PL"/>
        </w:rPr>
        <w:t>pacijenata</w:t>
      </w:r>
      <w:r w:rsidR="000E755D" w:rsidRPr="00BF57A3">
        <w:rPr>
          <w:sz w:val="22"/>
          <w:szCs w:val="22"/>
          <w:lang w:val="pl-PL"/>
        </w:rPr>
        <w:t xml:space="preserve"> </w:t>
      </w:r>
      <w:r w:rsidRPr="00BF57A3">
        <w:rPr>
          <w:sz w:val="22"/>
          <w:szCs w:val="22"/>
          <w:lang w:val="pl-PL"/>
        </w:rPr>
        <w:t>sa  ≥ 65 godina.</w:t>
      </w:r>
    </w:p>
    <w:p w14:paraId="334D7830" w14:textId="77777777" w:rsidR="00BA7A54" w:rsidRPr="00BF57A3" w:rsidRDefault="00BA7A54">
      <w:pPr>
        <w:pStyle w:val="Header"/>
        <w:tabs>
          <w:tab w:val="left" w:pos="284"/>
        </w:tabs>
        <w:jc w:val="both"/>
        <w:rPr>
          <w:sz w:val="22"/>
          <w:szCs w:val="22"/>
          <w:lang w:val="pl-PL"/>
        </w:rPr>
      </w:pPr>
    </w:p>
    <w:p w14:paraId="3E088CCC" w14:textId="7C8D2E3F" w:rsidR="00BA7A54" w:rsidRPr="00BF57A3" w:rsidRDefault="00BA7A54">
      <w:pPr>
        <w:pStyle w:val="Header"/>
        <w:tabs>
          <w:tab w:val="left" w:pos="284"/>
        </w:tabs>
        <w:jc w:val="both"/>
        <w:rPr>
          <w:sz w:val="22"/>
          <w:szCs w:val="22"/>
          <w:lang w:val="pl-PL"/>
        </w:rPr>
      </w:pPr>
      <w:r w:rsidRPr="00BF57A3">
        <w:rPr>
          <w:sz w:val="22"/>
          <w:szCs w:val="22"/>
          <w:lang w:val="pl-PL"/>
        </w:rPr>
        <w:t xml:space="preserve">U randomizovanom ispitivanju, od 421 </w:t>
      </w:r>
      <w:r w:rsidR="00EB52E0">
        <w:rPr>
          <w:sz w:val="22"/>
          <w:szCs w:val="22"/>
          <w:lang w:val="pl-PL"/>
        </w:rPr>
        <w:t>pacijenata</w:t>
      </w:r>
      <w:r w:rsidR="00EB52E0" w:rsidRPr="00BF57A3">
        <w:rPr>
          <w:sz w:val="22"/>
          <w:szCs w:val="22"/>
          <w:lang w:val="pl-PL"/>
        </w:rPr>
        <w:t xml:space="preserve"> </w:t>
      </w:r>
      <w:r w:rsidRPr="00BF57A3">
        <w:rPr>
          <w:sz w:val="22"/>
          <w:szCs w:val="22"/>
          <w:lang w:val="pl-PL"/>
        </w:rPr>
        <w:t xml:space="preserve">sa adenokarcinomom pankreasa koji su primali lijek Abraxane u kombinaciji sa gemcitabinom, 41% </w:t>
      </w:r>
      <w:r w:rsidR="000E755D">
        <w:rPr>
          <w:sz w:val="22"/>
          <w:szCs w:val="22"/>
          <w:lang w:val="pl-PL"/>
        </w:rPr>
        <w:t>pacijenata</w:t>
      </w:r>
      <w:r w:rsidR="000E755D" w:rsidRPr="00BF57A3">
        <w:rPr>
          <w:sz w:val="22"/>
          <w:szCs w:val="22"/>
          <w:lang w:val="pl-PL"/>
        </w:rPr>
        <w:t xml:space="preserve"> </w:t>
      </w:r>
      <w:r w:rsidRPr="00BF57A3">
        <w:rPr>
          <w:sz w:val="22"/>
          <w:szCs w:val="22"/>
          <w:lang w:val="pl-PL"/>
        </w:rPr>
        <w:t xml:space="preserve">je imalo 65 i više godina, a 10% je imalo 75 i više godina. Kod </w:t>
      </w:r>
      <w:r w:rsidR="00EB52E0">
        <w:rPr>
          <w:sz w:val="22"/>
          <w:szCs w:val="22"/>
          <w:lang w:val="pl-PL"/>
        </w:rPr>
        <w:t>pacijenata</w:t>
      </w:r>
      <w:r w:rsidR="00EB52E0" w:rsidRPr="00BF57A3">
        <w:rPr>
          <w:sz w:val="22"/>
          <w:szCs w:val="22"/>
          <w:lang w:val="pl-PL"/>
        </w:rPr>
        <w:t xml:space="preserve"> </w:t>
      </w:r>
      <w:r w:rsidRPr="00BF57A3">
        <w:rPr>
          <w:sz w:val="22"/>
          <w:szCs w:val="22"/>
          <w:lang w:val="pl-PL"/>
        </w:rPr>
        <w:t xml:space="preserve">sa 75 i više godina koji su primali lijek Abraxane i gemcitabin, bila je veća incidenca ozbiljnih neželjenih dejstava i neželjenih dejstava koja su dovela do prekida liječenja (vidjeti </w:t>
      </w:r>
      <w:r w:rsidR="00EB52E0">
        <w:rPr>
          <w:sz w:val="22"/>
          <w:szCs w:val="22"/>
          <w:lang w:val="pl-PL"/>
        </w:rPr>
        <w:t>dio</w:t>
      </w:r>
      <w:r w:rsidR="00EB52E0" w:rsidRPr="00BF57A3">
        <w:rPr>
          <w:sz w:val="22"/>
          <w:szCs w:val="22"/>
          <w:lang w:val="pl-PL"/>
        </w:rPr>
        <w:t xml:space="preserve"> </w:t>
      </w:r>
      <w:r w:rsidRPr="00BF57A3">
        <w:rPr>
          <w:sz w:val="22"/>
          <w:szCs w:val="22"/>
          <w:lang w:val="pl-PL"/>
        </w:rPr>
        <w:t xml:space="preserve">4.4). </w:t>
      </w:r>
      <w:r w:rsidR="00EB52E0">
        <w:rPr>
          <w:sz w:val="22"/>
          <w:szCs w:val="22"/>
          <w:lang w:val="pl-PL"/>
        </w:rPr>
        <w:t>Pacijente</w:t>
      </w:r>
      <w:r w:rsidR="00EB52E0" w:rsidRPr="00BF57A3">
        <w:rPr>
          <w:sz w:val="22"/>
          <w:szCs w:val="22"/>
          <w:lang w:val="pl-PL"/>
        </w:rPr>
        <w:t xml:space="preserve"> </w:t>
      </w:r>
      <w:r w:rsidRPr="00BF57A3">
        <w:rPr>
          <w:sz w:val="22"/>
          <w:szCs w:val="22"/>
          <w:lang w:val="pl-PL"/>
        </w:rPr>
        <w:t>sa adenokarcinomom pankreasa koji imaju 75 i više godina treba pažljivo procijeniti</w:t>
      </w:r>
      <w:r w:rsidRPr="006C640E">
        <w:rPr>
          <w:sz w:val="22"/>
          <w:szCs w:val="22"/>
          <w:lang w:val="pl-PL"/>
        </w:rPr>
        <w:t xml:space="preserve"> </w:t>
      </w:r>
      <w:r w:rsidRPr="00BF57A3">
        <w:rPr>
          <w:sz w:val="22"/>
          <w:szCs w:val="22"/>
          <w:lang w:val="pl-PL"/>
        </w:rPr>
        <w:t xml:space="preserve">prije nego što se razmatra liječenje (vidjeti </w:t>
      </w:r>
      <w:r w:rsidR="00EB52E0">
        <w:rPr>
          <w:sz w:val="22"/>
          <w:szCs w:val="22"/>
          <w:lang w:val="pl-PL"/>
        </w:rPr>
        <w:t>dio</w:t>
      </w:r>
      <w:r w:rsidR="00EB52E0" w:rsidRPr="00BF57A3">
        <w:rPr>
          <w:sz w:val="22"/>
          <w:szCs w:val="22"/>
          <w:lang w:val="pl-PL"/>
        </w:rPr>
        <w:t xml:space="preserve"> </w:t>
      </w:r>
      <w:r w:rsidRPr="00BF57A3">
        <w:rPr>
          <w:sz w:val="22"/>
          <w:szCs w:val="22"/>
          <w:lang w:val="pl-PL"/>
        </w:rPr>
        <w:t>4.4).</w:t>
      </w:r>
    </w:p>
    <w:p w14:paraId="690E5343" w14:textId="77777777" w:rsidR="00BA7A54" w:rsidRPr="00BF57A3" w:rsidRDefault="00BA7A54">
      <w:pPr>
        <w:pStyle w:val="Header"/>
        <w:tabs>
          <w:tab w:val="left" w:pos="284"/>
        </w:tabs>
        <w:jc w:val="both"/>
        <w:rPr>
          <w:sz w:val="22"/>
          <w:szCs w:val="22"/>
          <w:lang w:val="pl-PL"/>
        </w:rPr>
      </w:pPr>
    </w:p>
    <w:p w14:paraId="659D136B" w14:textId="28DE75FE" w:rsidR="003F221E" w:rsidRPr="00BF57A3" w:rsidRDefault="003F221E">
      <w:pPr>
        <w:pStyle w:val="Header"/>
        <w:tabs>
          <w:tab w:val="left" w:pos="284"/>
        </w:tabs>
        <w:jc w:val="both"/>
        <w:rPr>
          <w:sz w:val="22"/>
          <w:szCs w:val="22"/>
          <w:lang w:val="pl-PL"/>
        </w:rPr>
      </w:pPr>
      <w:r w:rsidRPr="00BF57A3">
        <w:rPr>
          <w:sz w:val="22"/>
          <w:szCs w:val="22"/>
          <w:lang w:val="pl-PL"/>
        </w:rPr>
        <w:t xml:space="preserve">Od 514 </w:t>
      </w:r>
      <w:r w:rsidR="00EB52E0">
        <w:rPr>
          <w:sz w:val="22"/>
          <w:szCs w:val="22"/>
          <w:lang w:val="pl-PL"/>
        </w:rPr>
        <w:t>pacijenata</w:t>
      </w:r>
      <w:r w:rsidR="00EB52E0" w:rsidRPr="00BF57A3">
        <w:rPr>
          <w:sz w:val="22"/>
          <w:szCs w:val="22"/>
          <w:lang w:val="pl-PL"/>
        </w:rPr>
        <w:t xml:space="preserve"> </w:t>
      </w:r>
      <w:r w:rsidRPr="00BF57A3">
        <w:rPr>
          <w:sz w:val="22"/>
          <w:szCs w:val="22"/>
          <w:lang w:val="pl-PL"/>
        </w:rPr>
        <w:t xml:space="preserve">sa nemikrocelularnim karcinomom pluća koji su u randomizovanom ispitivanju primali lijek Abraxane u kombinaciji sa karboplatinom, 31% je imalo 65 ili više godina, a 3,5% je imalo 75 ili više godina. Događaji mijelosupresije, periferne neuropatije i artralgije bili su češći kod </w:t>
      </w:r>
      <w:r w:rsidR="00EB52E0">
        <w:rPr>
          <w:sz w:val="22"/>
          <w:szCs w:val="22"/>
          <w:lang w:val="pl-PL"/>
        </w:rPr>
        <w:t>pacijenata</w:t>
      </w:r>
      <w:r w:rsidR="00EB52E0" w:rsidRPr="00BF57A3">
        <w:rPr>
          <w:sz w:val="22"/>
          <w:szCs w:val="22"/>
          <w:lang w:val="pl-PL"/>
        </w:rPr>
        <w:t xml:space="preserve"> </w:t>
      </w:r>
      <w:r w:rsidRPr="00BF57A3">
        <w:rPr>
          <w:sz w:val="22"/>
          <w:szCs w:val="22"/>
          <w:lang w:val="pl-PL"/>
        </w:rPr>
        <w:t>sa 65 ili više godina</w:t>
      </w:r>
      <w:r w:rsidR="002A2194" w:rsidRPr="00BF57A3">
        <w:rPr>
          <w:sz w:val="22"/>
          <w:szCs w:val="22"/>
          <w:lang w:val="pl-PL"/>
        </w:rPr>
        <w:t>,</w:t>
      </w:r>
      <w:r w:rsidRPr="00BF57A3">
        <w:rPr>
          <w:sz w:val="22"/>
          <w:szCs w:val="22"/>
          <w:lang w:val="pl-PL"/>
        </w:rPr>
        <w:t xml:space="preserve"> u poređenju sa </w:t>
      </w:r>
      <w:r w:rsidR="00EB52E0">
        <w:rPr>
          <w:sz w:val="22"/>
          <w:szCs w:val="22"/>
          <w:lang w:val="pl-PL"/>
        </w:rPr>
        <w:t>pacijentima</w:t>
      </w:r>
      <w:r w:rsidR="00EB52E0" w:rsidRPr="00BF57A3">
        <w:rPr>
          <w:sz w:val="22"/>
          <w:szCs w:val="22"/>
          <w:lang w:val="pl-PL"/>
        </w:rPr>
        <w:t xml:space="preserve"> </w:t>
      </w:r>
      <w:r w:rsidRPr="00BF57A3">
        <w:rPr>
          <w:sz w:val="22"/>
          <w:szCs w:val="22"/>
          <w:lang w:val="pl-PL"/>
        </w:rPr>
        <w:t xml:space="preserve">mlađim od 65 godina. Iskustvo sa primjenom lijeka Abraxane/karboplatina kod </w:t>
      </w:r>
      <w:r w:rsidR="00EB52E0">
        <w:rPr>
          <w:sz w:val="22"/>
          <w:szCs w:val="22"/>
          <w:lang w:val="pl-PL"/>
        </w:rPr>
        <w:t>pacijenata</w:t>
      </w:r>
      <w:r w:rsidR="00EB52E0" w:rsidRPr="00BF57A3">
        <w:rPr>
          <w:sz w:val="22"/>
          <w:szCs w:val="22"/>
          <w:lang w:val="pl-PL"/>
        </w:rPr>
        <w:t xml:space="preserve"> </w:t>
      </w:r>
      <w:r w:rsidRPr="00BF57A3">
        <w:rPr>
          <w:sz w:val="22"/>
          <w:szCs w:val="22"/>
          <w:lang w:val="pl-PL"/>
        </w:rPr>
        <w:t>sa 75 ili više godina je ograničeno.</w:t>
      </w:r>
    </w:p>
    <w:p w14:paraId="55FEE728" w14:textId="77777777" w:rsidR="003F221E" w:rsidRPr="00BF57A3" w:rsidRDefault="003F221E">
      <w:pPr>
        <w:pStyle w:val="Header"/>
        <w:tabs>
          <w:tab w:val="left" w:pos="284"/>
        </w:tabs>
        <w:jc w:val="both"/>
        <w:rPr>
          <w:sz w:val="22"/>
          <w:szCs w:val="22"/>
          <w:lang w:val="pl-PL"/>
        </w:rPr>
      </w:pPr>
    </w:p>
    <w:p w14:paraId="2EF6C9F7" w14:textId="2709C3B8" w:rsidR="00BA7A54" w:rsidRPr="00BF57A3" w:rsidRDefault="00BA7A54">
      <w:pPr>
        <w:pStyle w:val="Header"/>
        <w:tabs>
          <w:tab w:val="left" w:pos="284"/>
        </w:tabs>
        <w:jc w:val="both"/>
        <w:rPr>
          <w:sz w:val="22"/>
          <w:szCs w:val="22"/>
          <w:lang w:val="pl-PL"/>
        </w:rPr>
      </w:pPr>
      <w:r w:rsidRPr="00BF57A3">
        <w:rPr>
          <w:sz w:val="22"/>
          <w:szCs w:val="22"/>
          <w:lang w:val="pl-PL"/>
        </w:rPr>
        <w:t xml:space="preserve">Farmakokinetičko/farmakodinamičko modeliranje na osnovu podataka od 125 </w:t>
      </w:r>
      <w:r w:rsidR="00EB52E0">
        <w:rPr>
          <w:sz w:val="22"/>
          <w:szCs w:val="22"/>
          <w:lang w:val="pl-PL"/>
        </w:rPr>
        <w:t>pacijenata</w:t>
      </w:r>
      <w:r w:rsidR="00EB52E0" w:rsidRPr="00BF57A3">
        <w:rPr>
          <w:sz w:val="22"/>
          <w:szCs w:val="22"/>
          <w:lang w:val="pl-PL"/>
        </w:rPr>
        <w:t xml:space="preserve"> </w:t>
      </w:r>
      <w:r w:rsidRPr="00BF57A3">
        <w:rPr>
          <w:sz w:val="22"/>
          <w:szCs w:val="22"/>
          <w:lang w:val="pl-PL"/>
        </w:rPr>
        <w:t xml:space="preserve">sa uznapredovalim solidnim tumorima pokazuje da bi </w:t>
      </w:r>
      <w:r w:rsidR="00EB52E0">
        <w:rPr>
          <w:sz w:val="22"/>
          <w:szCs w:val="22"/>
          <w:lang w:val="pl-PL"/>
        </w:rPr>
        <w:t>pacijenti</w:t>
      </w:r>
      <w:r w:rsidR="00EB52E0" w:rsidRPr="00BF57A3">
        <w:rPr>
          <w:sz w:val="22"/>
          <w:szCs w:val="22"/>
          <w:lang w:val="pl-PL"/>
        </w:rPr>
        <w:t xml:space="preserve"> </w:t>
      </w:r>
      <w:r w:rsidRPr="00BF57A3">
        <w:rPr>
          <w:sz w:val="22"/>
          <w:szCs w:val="22"/>
          <w:lang w:val="pl-PL"/>
        </w:rPr>
        <w:t>koji imaju ≥ 65 godina mogli biti osjetljiviji na razvoj neutropenije tokom prvog ciklusa liječenja.</w:t>
      </w:r>
    </w:p>
    <w:p w14:paraId="4CAED9CD" w14:textId="77777777" w:rsidR="00BA7A54" w:rsidRPr="00BF57A3" w:rsidRDefault="00BA7A54">
      <w:pPr>
        <w:pStyle w:val="Header"/>
        <w:tabs>
          <w:tab w:val="left" w:pos="284"/>
        </w:tabs>
        <w:jc w:val="both"/>
        <w:rPr>
          <w:sz w:val="22"/>
          <w:szCs w:val="22"/>
          <w:lang w:val="pl-PL"/>
        </w:rPr>
      </w:pPr>
    </w:p>
    <w:p w14:paraId="6AE67BD7" w14:textId="77777777" w:rsidR="00BA7A54" w:rsidRPr="00BF57A3" w:rsidRDefault="00BA7A54">
      <w:pPr>
        <w:pStyle w:val="Header"/>
        <w:tabs>
          <w:tab w:val="left" w:pos="284"/>
        </w:tabs>
        <w:jc w:val="both"/>
        <w:rPr>
          <w:i/>
          <w:sz w:val="22"/>
          <w:szCs w:val="22"/>
          <w:lang w:val="pl-PL"/>
        </w:rPr>
      </w:pPr>
      <w:r w:rsidRPr="00BF57A3">
        <w:rPr>
          <w:i/>
          <w:sz w:val="22"/>
          <w:szCs w:val="22"/>
          <w:lang w:val="pl-PL"/>
        </w:rPr>
        <w:t>Pedijatrijska populacija</w:t>
      </w:r>
    </w:p>
    <w:p w14:paraId="2729D64D" w14:textId="348F5F9F" w:rsidR="00BA7A54" w:rsidRPr="00BF57A3" w:rsidRDefault="00BA7A54">
      <w:pPr>
        <w:pStyle w:val="Header"/>
        <w:tabs>
          <w:tab w:val="left" w:pos="284"/>
        </w:tabs>
        <w:jc w:val="both"/>
        <w:rPr>
          <w:sz w:val="22"/>
          <w:szCs w:val="22"/>
          <w:lang w:val="pl-PL"/>
        </w:rPr>
      </w:pPr>
      <w:r w:rsidRPr="00BF57A3">
        <w:rPr>
          <w:bCs/>
          <w:sz w:val="22"/>
          <w:szCs w:val="22"/>
          <w:lang w:val="pl-PL"/>
        </w:rPr>
        <w:t xml:space="preserve">Bezbjednost </w:t>
      </w:r>
      <w:r w:rsidRPr="00BF57A3">
        <w:rPr>
          <w:sz w:val="22"/>
          <w:szCs w:val="22"/>
          <w:lang w:val="pl-PL"/>
        </w:rPr>
        <w:t xml:space="preserve">i efikasnost lijeka Abraxane kod djece i adolescenata </w:t>
      </w:r>
      <w:r w:rsidRPr="00BF57A3">
        <w:rPr>
          <w:bCs/>
          <w:sz w:val="22"/>
          <w:szCs w:val="22"/>
          <w:lang w:val="pl-PL"/>
        </w:rPr>
        <w:t>od 0 do</w:t>
      </w:r>
      <w:r w:rsidR="0015014A" w:rsidRPr="00BF57A3">
        <w:rPr>
          <w:bCs/>
          <w:sz w:val="22"/>
          <w:szCs w:val="22"/>
          <w:lang w:val="pl-PL"/>
        </w:rPr>
        <w:t xml:space="preserve"> </w:t>
      </w:r>
      <w:r w:rsidR="00110CE6" w:rsidRPr="00BF57A3">
        <w:rPr>
          <w:bCs/>
          <w:sz w:val="22"/>
          <w:szCs w:val="22"/>
          <w:lang w:val="pl-PL"/>
        </w:rPr>
        <w:t>navršenih</w:t>
      </w:r>
      <w:r w:rsidR="00EB52E0">
        <w:rPr>
          <w:bCs/>
          <w:sz w:val="22"/>
          <w:szCs w:val="22"/>
          <w:lang w:val="pl-PL"/>
        </w:rPr>
        <w:t xml:space="preserve"> </w:t>
      </w:r>
      <w:r w:rsidRPr="00BF57A3">
        <w:rPr>
          <w:bCs/>
          <w:sz w:val="22"/>
          <w:szCs w:val="22"/>
          <w:lang w:val="pl-PL"/>
        </w:rPr>
        <w:t>1</w:t>
      </w:r>
      <w:r w:rsidR="0015014A" w:rsidRPr="00BF57A3">
        <w:rPr>
          <w:bCs/>
          <w:sz w:val="22"/>
          <w:szCs w:val="22"/>
          <w:lang w:val="pl-PL"/>
        </w:rPr>
        <w:t>8</w:t>
      </w:r>
      <w:r w:rsidRPr="00BF57A3">
        <w:rPr>
          <w:bCs/>
          <w:sz w:val="22"/>
          <w:szCs w:val="22"/>
          <w:lang w:val="pl-PL"/>
        </w:rPr>
        <w:t xml:space="preserve"> godina nije utvrđena</w:t>
      </w:r>
      <w:r w:rsidRPr="00BF57A3">
        <w:rPr>
          <w:sz w:val="22"/>
          <w:szCs w:val="22"/>
          <w:lang w:val="pl-PL"/>
        </w:rPr>
        <w:t xml:space="preserve">. </w:t>
      </w:r>
      <w:r w:rsidR="00110CE6" w:rsidRPr="00BF57A3">
        <w:rPr>
          <w:sz w:val="22"/>
          <w:szCs w:val="22"/>
          <w:lang w:val="pl-PL"/>
        </w:rPr>
        <w:t xml:space="preserve">Trenutno dostupni podaci </w:t>
      </w:r>
      <w:r w:rsidR="0015014A" w:rsidRPr="00BF57A3">
        <w:rPr>
          <w:sz w:val="22"/>
          <w:szCs w:val="22"/>
          <w:lang w:val="pl-PL"/>
        </w:rPr>
        <w:t xml:space="preserve"> opisani</w:t>
      </w:r>
      <w:r w:rsidR="00110CE6" w:rsidRPr="00BF57A3">
        <w:rPr>
          <w:sz w:val="22"/>
          <w:szCs w:val="22"/>
          <w:lang w:val="pl-PL"/>
        </w:rPr>
        <w:t xml:space="preserve"> su </w:t>
      </w:r>
      <w:r w:rsidR="0015014A" w:rsidRPr="00BF57A3">
        <w:rPr>
          <w:sz w:val="22"/>
          <w:szCs w:val="22"/>
          <w:lang w:val="pl-PL"/>
        </w:rPr>
        <w:t xml:space="preserve">u </w:t>
      </w:r>
      <w:r w:rsidR="00EB52E0">
        <w:rPr>
          <w:sz w:val="22"/>
          <w:szCs w:val="22"/>
          <w:lang w:val="pl-PL"/>
        </w:rPr>
        <w:t>djelovima</w:t>
      </w:r>
      <w:r w:rsidR="00EB52E0" w:rsidRPr="00BF57A3">
        <w:rPr>
          <w:sz w:val="22"/>
          <w:szCs w:val="22"/>
          <w:lang w:val="pl-PL"/>
        </w:rPr>
        <w:t xml:space="preserve"> </w:t>
      </w:r>
      <w:r w:rsidR="0015014A" w:rsidRPr="00BF57A3">
        <w:rPr>
          <w:sz w:val="22"/>
          <w:szCs w:val="22"/>
          <w:lang w:val="pl-PL"/>
        </w:rPr>
        <w:t xml:space="preserve">4.8, 5.1 i 5.2, </w:t>
      </w:r>
      <w:r w:rsidR="00110CE6" w:rsidRPr="00BF57A3">
        <w:rPr>
          <w:sz w:val="22"/>
          <w:szCs w:val="22"/>
          <w:lang w:val="pl-PL"/>
        </w:rPr>
        <w:t>međutim nije moguće dati preporuku</w:t>
      </w:r>
      <w:r w:rsidR="0015014A" w:rsidRPr="00BF57A3">
        <w:rPr>
          <w:sz w:val="22"/>
          <w:szCs w:val="22"/>
          <w:lang w:val="pl-PL"/>
        </w:rPr>
        <w:t xml:space="preserve"> o doziranju. </w:t>
      </w:r>
      <w:r w:rsidRPr="00BF57A3">
        <w:rPr>
          <w:sz w:val="22"/>
          <w:szCs w:val="22"/>
          <w:lang w:val="pl-PL"/>
        </w:rPr>
        <w:t>Nema relevantne primjene lijeka Abraxane u pedijatrijskoj populaciji za indikaciju metastatskog karcinoma dojke ili adenokarcinoma pankreasa</w:t>
      </w:r>
      <w:r w:rsidR="003966A2" w:rsidRPr="00BF57A3">
        <w:rPr>
          <w:sz w:val="22"/>
          <w:szCs w:val="22"/>
          <w:lang w:val="pl-PL"/>
        </w:rPr>
        <w:t xml:space="preserve"> ili nemikrocelularnog karcinoma pluća.</w:t>
      </w:r>
    </w:p>
    <w:p w14:paraId="0B0F10BB" w14:textId="77777777" w:rsidR="00BA7A54" w:rsidRPr="00BF57A3" w:rsidRDefault="00BA7A54">
      <w:pPr>
        <w:pStyle w:val="Header"/>
        <w:tabs>
          <w:tab w:val="left" w:pos="284"/>
        </w:tabs>
        <w:jc w:val="both"/>
        <w:rPr>
          <w:sz w:val="22"/>
          <w:szCs w:val="22"/>
          <w:lang w:val="pl-PL"/>
        </w:rPr>
      </w:pPr>
    </w:p>
    <w:p w14:paraId="5C0197B8" w14:textId="77777777" w:rsidR="00BA7A54" w:rsidRPr="00BF57A3" w:rsidRDefault="00BA7A54">
      <w:pPr>
        <w:pStyle w:val="Header"/>
        <w:tabs>
          <w:tab w:val="left" w:pos="284"/>
        </w:tabs>
        <w:jc w:val="both"/>
        <w:rPr>
          <w:sz w:val="22"/>
          <w:szCs w:val="22"/>
          <w:u w:val="single"/>
          <w:lang w:val="pl-PL"/>
        </w:rPr>
      </w:pPr>
      <w:r w:rsidRPr="00BF57A3">
        <w:rPr>
          <w:sz w:val="22"/>
          <w:szCs w:val="22"/>
          <w:u w:val="single"/>
          <w:lang w:val="pl-PL"/>
        </w:rPr>
        <w:t>Način primjene</w:t>
      </w:r>
    </w:p>
    <w:p w14:paraId="44265A1D" w14:textId="77777777" w:rsidR="00E36C30" w:rsidRPr="00BF57A3" w:rsidRDefault="00BA7A54">
      <w:pPr>
        <w:pStyle w:val="Header"/>
        <w:tabs>
          <w:tab w:val="left" w:pos="284"/>
        </w:tabs>
        <w:jc w:val="both"/>
        <w:rPr>
          <w:sz w:val="22"/>
          <w:szCs w:val="22"/>
          <w:lang w:val="pl-PL"/>
        </w:rPr>
      </w:pPr>
      <w:r w:rsidRPr="00BF57A3">
        <w:rPr>
          <w:sz w:val="22"/>
          <w:szCs w:val="22"/>
          <w:lang w:val="pl-PL"/>
        </w:rPr>
        <w:t xml:space="preserve">Rekonstituisanu </w:t>
      </w:r>
      <w:r w:rsidR="00465C43" w:rsidRPr="00BF57A3">
        <w:rPr>
          <w:sz w:val="22"/>
          <w:szCs w:val="22"/>
          <w:lang w:val="pl-PL"/>
        </w:rPr>
        <w:t xml:space="preserve">disperziju </w:t>
      </w:r>
      <w:r w:rsidRPr="00BF57A3">
        <w:rPr>
          <w:sz w:val="22"/>
          <w:szCs w:val="22"/>
          <w:lang w:val="pl-PL"/>
        </w:rPr>
        <w:t xml:space="preserve">lijeka Abraxane </w:t>
      </w:r>
      <w:r w:rsidR="002A2194" w:rsidRPr="00BF57A3">
        <w:rPr>
          <w:sz w:val="22"/>
          <w:szCs w:val="22"/>
          <w:lang w:val="pl-PL"/>
        </w:rPr>
        <w:t xml:space="preserve">primijeniti </w:t>
      </w:r>
      <w:r w:rsidRPr="00BF57A3">
        <w:rPr>
          <w:sz w:val="22"/>
          <w:szCs w:val="22"/>
          <w:lang w:val="pl-PL"/>
        </w:rPr>
        <w:t>intravenski koristeći komplet za infuziju opremljen filterom od 15 µm.</w:t>
      </w:r>
      <w:r w:rsidR="00E36C30" w:rsidRPr="00BF57A3">
        <w:rPr>
          <w:sz w:val="22"/>
          <w:szCs w:val="22"/>
          <w:lang w:val="pl-PL"/>
        </w:rPr>
        <w:t xml:space="preserve"> Nakon primjene</w:t>
      </w:r>
      <w:r w:rsidR="002A2194" w:rsidRPr="00BF57A3">
        <w:rPr>
          <w:sz w:val="22"/>
          <w:szCs w:val="22"/>
          <w:lang w:val="pl-PL"/>
        </w:rPr>
        <w:t>,</w:t>
      </w:r>
      <w:r w:rsidR="00E36C30" w:rsidRPr="00BF57A3">
        <w:rPr>
          <w:sz w:val="22"/>
          <w:szCs w:val="22"/>
          <w:lang w:val="pl-PL"/>
        </w:rPr>
        <w:t xml:space="preserve"> preporučuje se da se intravenska linija ispere rastvorom natrijum hlorida 9 mg/ml (0,9%) za injekciju</w:t>
      </w:r>
      <w:r w:rsidR="002A2194" w:rsidRPr="00BF57A3">
        <w:rPr>
          <w:sz w:val="22"/>
          <w:szCs w:val="22"/>
          <w:lang w:val="pl-PL"/>
        </w:rPr>
        <w:t>,</w:t>
      </w:r>
      <w:r w:rsidR="00E36C30" w:rsidRPr="00BF57A3">
        <w:rPr>
          <w:sz w:val="22"/>
          <w:szCs w:val="22"/>
          <w:lang w:val="pl-PL"/>
        </w:rPr>
        <w:t xml:space="preserve"> kako bi se osigurala primjena cijele doze. </w:t>
      </w:r>
    </w:p>
    <w:p w14:paraId="0E5BF66F" w14:textId="77777777" w:rsidR="00BA7A54" w:rsidRPr="00BF57A3" w:rsidRDefault="00BA7A54">
      <w:pPr>
        <w:pStyle w:val="Header"/>
        <w:tabs>
          <w:tab w:val="left" w:pos="284"/>
        </w:tabs>
        <w:jc w:val="both"/>
        <w:rPr>
          <w:sz w:val="22"/>
          <w:szCs w:val="22"/>
          <w:lang w:val="pl-PL"/>
        </w:rPr>
      </w:pPr>
    </w:p>
    <w:p w14:paraId="7909C960" w14:textId="3F54B388" w:rsidR="00BA7A54" w:rsidRPr="00BF57A3" w:rsidRDefault="00BA7A54">
      <w:pPr>
        <w:pStyle w:val="Header"/>
        <w:tabs>
          <w:tab w:val="left" w:pos="284"/>
        </w:tabs>
        <w:jc w:val="both"/>
        <w:rPr>
          <w:b/>
          <w:sz w:val="22"/>
          <w:szCs w:val="22"/>
          <w:lang w:val="pl-PL"/>
        </w:rPr>
      </w:pPr>
      <w:r w:rsidRPr="00BF57A3">
        <w:rPr>
          <w:sz w:val="22"/>
          <w:szCs w:val="22"/>
          <w:lang w:val="pl-PL"/>
        </w:rPr>
        <w:t xml:space="preserve">Za instrukcije o rekonstituciji lijeka prije primjene vidjeti </w:t>
      </w:r>
      <w:r w:rsidR="00EB52E0">
        <w:rPr>
          <w:sz w:val="22"/>
          <w:szCs w:val="22"/>
          <w:lang w:val="pl-PL"/>
        </w:rPr>
        <w:t>dio</w:t>
      </w:r>
      <w:r w:rsidR="00EB52E0" w:rsidRPr="00BF57A3">
        <w:rPr>
          <w:sz w:val="22"/>
          <w:szCs w:val="22"/>
          <w:lang w:val="pl-PL"/>
        </w:rPr>
        <w:t xml:space="preserve"> </w:t>
      </w:r>
      <w:r w:rsidRPr="00BF57A3">
        <w:rPr>
          <w:sz w:val="22"/>
          <w:szCs w:val="22"/>
          <w:lang w:val="pl-PL"/>
        </w:rPr>
        <w:t xml:space="preserve">6.6.  </w:t>
      </w:r>
    </w:p>
    <w:p w14:paraId="077F6BE7" w14:textId="77777777" w:rsidR="00BA7A54" w:rsidRPr="00BF57A3" w:rsidRDefault="00BA7A54">
      <w:pPr>
        <w:tabs>
          <w:tab w:val="left" w:pos="540"/>
          <w:tab w:val="left" w:pos="569"/>
        </w:tabs>
        <w:jc w:val="both"/>
        <w:rPr>
          <w:bCs/>
          <w:sz w:val="22"/>
          <w:szCs w:val="22"/>
          <w:lang w:val="pl-PL"/>
        </w:rPr>
      </w:pPr>
    </w:p>
    <w:p w14:paraId="3E5B327E" w14:textId="77777777" w:rsidR="00411B4B" w:rsidRPr="00BF57A3" w:rsidRDefault="00411B4B">
      <w:pPr>
        <w:tabs>
          <w:tab w:val="left" w:pos="540"/>
          <w:tab w:val="left" w:pos="569"/>
        </w:tabs>
        <w:jc w:val="both"/>
        <w:rPr>
          <w:b/>
          <w:bCs/>
          <w:sz w:val="22"/>
          <w:szCs w:val="22"/>
          <w:lang w:val="pl-PL"/>
        </w:rPr>
      </w:pPr>
      <w:r w:rsidRPr="00BF57A3">
        <w:rPr>
          <w:b/>
          <w:bCs/>
          <w:sz w:val="22"/>
          <w:szCs w:val="22"/>
          <w:lang w:val="pl-PL"/>
        </w:rPr>
        <w:t xml:space="preserve">4.3. </w:t>
      </w:r>
      <w:r w:rsidR="00480FB1" w:rsidRPr="00BF57A3">
        <w:rPr>
          <w:b/>
          <w:bCs/>
          <w:sz w:val="22"/>
          <w:szCs w:val="22"/>
          <w:lang w:val="pl-PL"/>
        </w:rPr>
        <w:tab/>
      </w:r>
      <w:r w:rsidRPr="00BF57A3">
        <w:rPr>
          <w:b/>
          <w:bCs/>
          <w:sz w:val="22"/>
          <w:szCs w:val="22"/>
          <w:lang w:val="pl-PL"/>
        </w:rPr>
        <w:t>Kontraindikacije</w:t>
      </w:r>
    </w:p>
    <w:p w14:paraId="4BACE0BE" w14:textId="77777777" w:rsidR="0072020E" w:rsidRPr="00BF57A3" w:rsidRDefault="0072020E">
      <w:pPr>
        <w:tabs>
          <w:tab w:val="left" w:pos="540"/>
          <w:tab w:val="left" w:pos="569"/>
        </w:tabs>
        <w:jc w:val="both"/>
        <w:rPr>
          <w:bCs/>
          <w:sz w:val="22"/>
          <w:szCs w:val="22"/>
          <w:lang w:val="pl-PL"/>
        </w:rPr>
      </w:pPr>
    </w:p>
    <w:p w14:paraId="4236B21D" w14:textId="2A07B079" w:rsidR="00F3544D" w:rsidRPr="00BF57A3" w:rsidRDefault="00F3544D">
      <w:pPr>
        <w:pStyle w:val="Header"/>
        <w:tabs>
          <w:tab w:val="left" w:pos="284"/>
        </w:tabs>
        <w:jc w:val="both"/>
        <w:rPr>
          <w:sz w:val="22"/>
          <w:szCs w:val="22"/>
          <w:lang w:val="pl-PL"/>
        </w:rPr>
      </w:pPr>
      <w:r w:rsidRPr="00BF57A3">
        <w:rPr>
          <w:sz w:val="22"/>
          <w:szCs w:val="22"/>
          <w:lang w:val="pl-PL"/>
        </w:rPr>
        <w:t xml:space="preserve">Preosjetljivost na aktivnu supstancu ili bilo koju od pomoćnih supstanci, navedenih u </w:t>
      </w:r>
      <w:r w:rsidR="00EB52E0">
        <w:rPr>
          <w:sz w:val="22"/>
          <w:szCs w:val="22"/>
          <w:lang w:val="pl-PL"/>
        </w:rPr>
        <w:t>dijelu</w:t>
      </w:r>
      <w:r w:rsidR="00EB52E0" w:rsidRPr="00BF57A3">
        <w:rPr>
          <w:sz w:val="22"/>
          <w:szCs w:val="22"/>
          <w:lang w:val="pl-PL"/>
        </w:rPr>
        <w:t xml:space="preserve"> </w:t>
      </w:r>
      <w:r w:rsidRPr="00BF57A3">
        <w:rPr>
          <w:sz w:val="22"/>
          <w:szCs w:val="22"/>
          <w:lang w:val="pl-PL"/>
        </w:rPr>
        <w:t>6.1.</w:t>
      </w:r>
    </w:p>
    <w:p w14:paraId="475BDB40" w14:textId="77777777" w:rsidR="00F3544D" w:rsidRPr="00BF57A3" w:rsidRDefault="00F3544D">
      <w:pPr>
        <w:pStyle w:val="Header"/>
        <w:tabs>
          <w:tab w:val="left" w:pos="284"/>
        </w:tabs>
        <w:jc w:val="both"/>
        <w:rPr>
          <w:sz w:val="22"/>
          <w:szCs w:val="22"/>
          <w:lang w:val="pl-PL"/>
        </w:rPr>
      </w:pPr>
    </w:p>
    <w:p w14:paraId="29F7027D" w14:textId="2841D0B4" w:rsidR="00F3544D" w:rsidRPr="00BF57A3" w:rsidRDefault="00F3544D">
      <w:pPr>
        <w:pStyle w:val="Header"/>
        <w:tabs>
          <w:tab w:val="left" w:pos="284"/>
        </w:tabs>
        <w:jc w:val="both"/>
        <w:rPr>
          <w:sz w:val="22"/>
          <w:szCs w:val="22"/>
          <w:lang w:val="pl-PL"/>
        </w:rPr>
      </w:pPr>
      <w:r w:rsidRPr="00BF57A3">
        <w:rPr>
          <w:sz w:val="22"/>
          <w:szCs w:val="22"/>
          <w:lang w:val="pl-PL"/>
        </w:rPr>
        <w:t xml:space="preserve">Laktacija (vidjeti </w:t>
      </w:r>
      <w:r w:rsidR="00EB52E0">
        <w:rPr>
          <w:sz w:val="22"/>
          <w:szCs w:val="22"/>
          <w:lang w:val="pl-PL"/>
        </w:rPr>
        <w:t>dio</w:t>
      </w:r>
      <w:r w:rsidR="00EB52E0" w:rsidRPr="00BF57A3">
        <w:rPr>
          <w:sz w:val="22"/>
          <w:szCs w:val="22"/>
          <w:lang w:val="pl-PL"/>
        </w:rPr>
        <w:t xml:space="preserve"> </w:t>
      </w:r>
      <w:r w:rsidRPr="00BF57A3">
        <w:rPr>
          <w:sz w:val="22"/>
          <w:szCs w:val="22"/>
          <w:lang w:val="pl-PL"/>
        </w:rPr>
        <w:t>4.6).</w:t>
      </w:r>
    </w:p>
    <w:p w14:paraId="04273FE5" w14:textId="77777777" w:rsidR="00F3544D" w:rsidRPr="00BF57A3" w:rsidRDefault="00F3544D">
      <w:pPr>
        <w:pStyle w:val="Header"/>
        <w:tabs>
          <w:tab w:val="left" w:pos="284"/>
        </w:tabs>
        <w:jc w:val="both"/>
        <w:rPr>
          <w:sz w:val="22"/>
          <w:szCs w:val="22"/>
          <w:lang w:val="pl-PL"/>
        </w:rPr>
      </w:pPr>
    </w:p>
    <w:p w14:paraId="70CAD66E" w14:textId="7FF0555D" w:rsidR="00F3544D" w:rsidRPr="00BF57A3" w:rsidRDefault="00EB52E0">
      <w:pPr>
        <w:pStyle w:val="Header"/>
        <w:tabs>
          <w:tab w:val="left" w:pos="284"/>
        </w:tabs>
        <w:jc w:val="both"/>
        <w:rPr>
          <w:sz w:val="22"/>
          <w:szCs w:val="22"/>
          <w:lang w:val="pl-PL"/>
        </w:rPr>
      </w:pPr>
      <w:r>
        <w:rPr>
          <w:sz w:val="22"/>
          <w:szCs w:val="22"/>
          <w:lang w:val="pl-PL"/>
        </w:rPr>
        <w:t>Pacijenti</w:t>
      </w:r>
      <w:r w:rsidRPr="00BF57A3">
        <w:rPr>
          <w:sz w:val="22"/>
          <w:szCs w:val="22"/>
          <w:lang w:val="pl-PL"/>
        </w:rPr>
        <w:t xml:space="preserve"> </w:t>
      </w:r>
      <w:r w:rsidR="00F3544D" w:rsidRPr="00BF57A3">
        <w:rPr>
          <w:sz w:val="22"/>
          <w:szCs w:val="22"/>
          <w:lang w:val="pl-PL"/>
        </w:rPr>
        <w:t>s početnim brojem neutrofila &lt; 1500 ćelija/mm</w:t>
      </w:r>
      <w:r w:rsidR="00F3544D" w:rsidRPr="00BF57A3">
        <w:rPr>
          <w:sz w:val="22"/>
          <w:szCs w:val="22"/>
          <w:vertAlign w:val="superscript"/>
          <w:lang w:val="pl-PL"/>
        </w:rPr>
        <w:t>3</w:t>
      </w:r>
      <w:r w:rsidR="00F3544D" w:rsidRPr="00BF57A3">
        <w:rPr>
          <w:sz w:val="22"/>
          <w:szCs w:val="22"/>
          <w:lang w:val="pl-PL"/>
        </w:rPr>
        <w:t>.</w:t>
      </w:r>
    </w:p>
    <w:p w14:paraId="30913A8A" w14:textId="77777777" w:rsidR="00F3544D" w:rsidRPr="00BF57A3" w:rsidRDefault="00F3544D">
      <w:pPr>
        <w:tabs>
          <w:tab w:val="left" w:pos="540"/>
          <w:tab w:val="left" w:pos="569"/>
        </w:tabs>
        <w:jc w:val="both"/>
        <w:rPr>
          <w:bCs/>
          <w:sz w:val="22"/>
          <w:szCs w:val="22"/>
          <w:lang w:val="pl-PL"/>
        </w:rPr>
      </w:pPr>
    </w:p>
    <w:p w14:paraId="4E7F8E48" w14:textId="77777777" w:rsidR="00411B4B" w:rsidRPr="00BF57A3" w:rsidRDefault="00411B4B">
      <w:pPr>
        <w:tabs>
          <w:tab w:val="left" w:pos="540"/>
          <w:tab w:val="left" w:pos="569"/>
        </w:tabs>
        <w:jc w:val="both"/>
        <w:rPr>
          <w:b/>
          <w:bCs/>
          <w:sz w:val="22"/>
          <w:szCs w:val="22"/>
          <w:lang w:val="pl-PL"/>
        </w:rPr>
      </w:pPr>
      <w:r w:rsidRPr="00BF57A3">
        <w:rPr>
          <w:b/>
          <w:bCs/>
          <w:sz w:val="22"/>
          <w:szCs w:val="22"/>
          <w:lang w:val="pl-PL"/>
        </w:rPr>
        <w:t xml:space="preserve">4.4. </w:t>
      </w:r>
      <w:r w:rsidR="00480FB1" w:rsidRPr="00BF57A3">
        <w:rPr>
          <w:b/>
          <w:bCs/>
          <w:sz w:val="22"/>
          <w:szCs w:val="22"/>
          <w:lang w:val="pl-PL"/>
        </w:rPr>
        <w:tab/>
      </w:r>
      <w:r w:rsidRPr="00BF57A3">
        <w:rPr>
          <w:b/>
          <w:bCs/>
          <w:sz w:val="22"/>
          <w:szCs w:val="22"/>
          <w:lang w:val="pl-PL"/>
        </w:rPr>
        <w:t>Posebna upozorenja i mjere opreza pri upotrebi lijeka</w:t>
      </w:r>
    </w:p>
    <w:p w14:paraId="0E824B4F" w14:textId="77777777" w:rsidR="0072020E" w:rsidRPr="00BF57A3" w:rsidRDefault="0072020E">
      <w:pPr>
        <w:tabs>
          <w:tab w:val="left" w:pos="540"/>
          <w:tab w:val="left" w:pos="569"/>
        </w:tabs>
        <w:jc w:val="both"/>
        <w:rPr>
          <w:bCs/>
          <w:sz w:val="22"/>
          <w:szCs w:val="22"/>
          <w:lang w:val="pl-PL"/>
        </w:rPr>
      </w:pPr>
    </w:p>
    <w:p w14:paraId="378FBF6F" w14:textId="7C6CD57D" w:rsidR="00C75DDD" w:rsidRPr="00BF57A3" w:rsidRDefault="00C75DDD">
      <w:pPr>
        <w:pStyle w:val="Header"/>
        <w:tabs>
          <w:tab w:val="left" w:pos="284"/>
        </w:tabs>
        <w:jc w:val="both"/>
        <w:rPr>
          <w:sz w:val="22"/>
          <w:szCs w:val="22"/>
          <w:lang w:val="sl-SI"/>
        </w:rPr>
      </w:pPr>
      <w:r w:rsidRPr="00BF57A3">
        <w:rPr>
          <w:sz w:val="22"/>
          <w:szCs w:val="22"/>
          <w:lang w:val="pl-PL"/>
        </w:rPr>
        <w:t>Lijek</w:t>
      </w:r>
      <w:r w:rsidRPr="00BF57A3">
        <w:rPr>
          <w:sz w:val="22"/>
          <w:szCs w:val="22"/>
          <w:lang w:val="ru-RU"/>
        </w:rPr>
        <w:t xml:space="preserve"> </w:t>
      </w:r>
      <w:r w:rsidRPr="00BF57A3">
        <w:rPr>
          <w:sz w:val="22"/>
          <w:szCs w:val="22"/>
          <w:lang w:val="pl-PL"/>
        </w:rPr>
        <w:t>Abraxane</w:t>
      </w:r>
      <w:r w:rsidRPr="00BF57A3">
        <w:rPr>
          <w:sz w:val="22"/>
          <w:szCs w:val="22"/>
          <w:lang w:val="ru-RU"/>
        </w:rPr>
        <w:t xml:space="preserve"> </w:t>
      </w:r>
      <w:r w:rsidRPr="00BF57A3">
        <w:rPr>
          <w:sz w:val="22"/>
          <w:szCs w:val="22"/>
          <w:lang w:val="pl-PL"/>
        </w:rPr>
        <w:t>je</w:t>
      </w:r>
      <w:r w:rsidRPr="00BF57A3">
        <w:rPr>
          <w:sz w:val="22"/>
          <w:szCs w:val="22"/>
          <w:lang w:val="ru-RU"/>
        </w:rPr>
        <w:t xml:space="preserve"> </w:t>
      </w:r>
      <w:r w:rsidRPr="00BF57A3">
        <w:rPr>
          <w:sz w:val="22"/>
          <w:szCs w:val="22"/>
          <w:lang w:val="pl-PL"/>
        </w:rPr>
        <w:t>paklitaksel</w:t>
      </w:r>
      <w:r w:rsidRPr="00BF57A3">
        <w:rPr>
          <w:sz w:val="22"/>
          <w:szCs w:val="22"/>
          <w:lang w:val="ru-RU"/>
        </w:rPr>
        <w:t xml:space="preserve"> </w:t>
      </w:r>
      <w:r w:rsidR="00E6791A" w:rsidRPr="00BF57A3">
        <w:rPr>
          <w:sz w:val="22"/>
          <w:szCs w:val="22"/>
          <w:lang w:val="sr-Latn-ME"/>
        </w:rPr>
        <w:t>u obliku nanočestica vezanih na albumin</w:t>
      </w:r>
      <w:r w:rsidR="003F355A" w:rsidRPr="00BF57A3">
        <w:rPr>
          <w:sz w:val="22"/>
          <w:szCs w:val="22"/>
          <w:lang w:val="sr-Latn-ME"/>
        </w:rPr>
        <w:t xml:space="preserve"> </w:t>
      </w:r>
      <w:r w:rsidRPr="00BF57A3">
        <w:rPr>
          <w:sz w:val="22"/>
          <w:szCs w:val="22"/>
          <w:lang w:val="pl-PL"/>
        </w:rPr>
        <w:t>koji</w:t>
      </w:r>
      <w:r w:rsidRPr="00BF57A3">
        <w:rPr>
          <w:sz w:val="22"/>
          <w:szCs w:val="22"/>
          <w:lang w:val="ru-RU"/>
        </w:rPr>
        <w:t xml:space="preserve"> </w:t>
      </w:r>
      <w:r w:rsidRPr="00BF57A3">
        <w:rPr>
          <w:sz w:val="22"/>
          <w:szCs w:val="22"/>
          <w:lang w:val="pl-PL"/>
        </w:rPr>
        <w:t>mo</w:t>
      </w:r>
      <w:r w:rsidRPr="00BF57A3">
        <w:rPr>
          <w:sz w:val="22"/>
          <w:szCs w:val="22"/>
          <w:lang w:val="ru-RU"/>
        </w:rPr>
        <w:t>ž</w:t>
      </w:r>
      <w:r w:rsidRPr="00BF57A3">
        <w:rPr>
          <w:sz w:val="22"/>
          <w:szCs w:val="22"/>
          <w:lang w:val="pl-PL"/>
        </w:rPr>
        <w:t>e</w:t>
      </w:r>
      <w:r w:rsidRPr="00BF57A3">
        <w:rPr>
          <w:sz w:val="22"/>
          <w:szCs w:val="22"/>
          <w:lang w:val="ru-RU"/>
        </w:rPr>
        <w:t xml:space="preserve"> </w:t>
      </w:r>
      <w:r w:rsidRPr="00BF57A3">
        <w:rPr>
          <w:sz w:val="22"/>
          <w:szCs w:val="22"/>
          <w:lang w:val="pl-PL"/>
        </w:rPr>
        <w:t>imati</w:t>
      </w:r>
      <w:r w:rsidRPr="00BF57A3">
        <w:rPr>
          <w:sz w:val="22"/>
          <w:szCs w:val="22"/>
          <w:lang w:val="ru-RU"/>
        </w:rPr>
        <w:t xml:space="preserve"> </w:t>
      </w:r>
      <w:r w:rsidRPr="00BF57A3">
        <w:rPr>
          <w:sz w:val="22"/>
          <w:szCs w:val="22"/>
          <w:lang w:val="pl-PL"/>
        </w:rPr>
        <w:t>znatno</w:t>
      </w:r>
      <w:r w:rsidRPr="00BF57A3">
        <w:rPr>
          <w:sz w:val="22"/>
          <w:szCs w:val="22"/>
          <w:lang w:val="ru-RU"/>
        </w:rPr>
        <w:t xml:space="preserve"> </w:t>
      </w:r>
      <w:r w:rsidRPr="00BF57A3">
        <w:rPr>
          <w:sz w:val="22"/>
          <w:szCs w:val="22"/>
          <w:lang w:val="pl-PL"/>
        </w:rPr>
        <w:t>druga</w:t>
      </w:r>
      <w:r w:rsidRPr="00BF57A3">
        <w:rPr>
          <w:sz w:val="22"/>
          <w:szCs w:val="22"/>
          <w:lang w:val="ru-RU"/>
        </w:rPr>
        <w:t>č</w:t>
      </w:r>
      <w:r w:rsidRPr="00BF57A3">
        <w:rPr>
          <w:sz w:val="22"/>
          <w:szCs w:val="22"/>
          <w:lang w:val="pl-PL"/>
        </w:rPr>
        <w:t>ija</w:t>
      </w:r>
      <w:r w:rsidRPr="00BF57A3">
        <w:rPr>
          <w:sz w:val="22"/>
          <w:szCs w:val="22"/>
          <w:lang w:val="ru-RU"/>
        </w:rPr>
        <w:t xml:space="preserve"> </w:t>
      </w:r>
      <w:r w:rsidRPr="00BF57A3">
        <w:rPr>
          <w:sz w:val="22"/>
          <w:szCs w:val="22"/>
          <w:lang w:val="pl-PL"/>
        </w:rPr>
        <w:t>farmakolo</w:t>
      </w:r>
      <w:r w:rsidRPr="00BF57A3">
        <w:rPr>
          <w:sz w:val="22"/>
          <w:szCs w:val="22"/>
          <w:lang w:val="ru-RU"/>
        </w:rPr>
        <w:t>š</w:t>
      </w:r>
      <w:r w:rsidRPr="00BF57A3">
        <w:rPr>
          <w:sz w:val="22"/>
          <w:szCs w:val="22"/>
          <w:lang w:val="pl-PL"/>
        </w:rPr>
        <w:t>ka</w:t>
      </w:r>
      <w:r w:rsidRPr="00BF57A3">
        <w:rPr>
          <w:sz w:val="22"/>
          <w:szCs w:val="22"/>
          <w:lang w:val="ru-RU"/>
        </w:rPr>
        <w:t xml:space="preserve"> </w:t>
      </w:r>
      <w:r w:rsidRPr="00BF57A3">
        <w:rPr>
          <w:sz w:val="22"/>
          <w:szCs w:val="22"/>
          <w:lang w:val="pl-PL"/>
        </w:rPr>
        <w:t>svojstva</w:t>
      </w:r>
      <w:r w:rsidRPr="00BF57A3">
        <w:rPr>
          <w:sz w:val="22"/>
          <w:szCs w:val="22"/>
          <w:lang w:val="ru-RU"/>
        </w:rPr>
        <w:t xml:space="preserve"> </w:t>
      </w:r>
      <w:r w:rsidRPr="00BF57A3">
        <w:rPr>
          <w:sz w:val="22"/>
          <w:szCs w:val="22"/>
          <w:lang w:val="pl-PL"/>
        </w:rPr>
        <w:t>u</w:t>
      </w:r>
      <w:r w:rsidRPr="00BF57A3">
        <w:rPr>
          <w:sz w:val="22"/>
          <w:szCs w:val="22"/>
          <w:lang w:val="ru-RU"/>
        </w:rPr>
        <w:t xml:space="preserve"> </w:t>
      </w:r>
      <w:r w:rsidRPr="00BF57A3">
        <w:rPr>
          <w:sz w:val="22"/>
          <w:szCs w:val="22"/>
          <w:lang w:val="pl-PL"/>
        </w:rPr>
        <w:t>pore</w:t>
      </w:r>
      <w:r w:rsidRPr="00BF57A3">
        <w:rPr>
          <w:sz w:val="22"/>
          <w:szCs w:val="22"/>
          <w:lang w:val="ru-RU"/>
        </w:rPr>
        <w:t>đ</w:t>
      </w:r>
      <w:r w:rsidRPr="00BF57A3">
        <w:rPr>
          <w:sz w:val="22"/>
          <w:szCs w:val="22"/>
          <w:lang w:val="pl-PL"/>
        </w:rPr>
        <w:t>enju</w:t>
      </w:r>
      <w:r w:rsidRPr="00BF57A3">
        <w:rPr>
          <w:sz w:val="22"/>
          <w:szCs w:val="22"/>
          <w:lang w:val="ru-RU"/>
        </w:rPr>
        <w:t xml:space="preserve"> </w:t>
      </w:r>
      <w:r w:rsidRPr="00BF57A3">
        <w:rPr>
          <w:sz w:val="22"/>
          <w:szCs w:val="22"/>
          <w:lang w:val="pl-PL"/>
        </w:rPr>
        <w:t>s</w:t>
      </w:r>
      <w:r w:rsidRPr="00BF57A3">
        <w:rPr>
          <w:sz w:val="22"/>
          <w:szCs w:val="22"/>
          <w:lang w:val="ru-RU"/>
        </w:rPr>
        <w:t xml:space="preserve"> </w:t>
      </w:r>
      <w:r w:rsidRPr="00BF57A3">
        <w:rPr>
          <w:sz w:val="22"/>
          <w:szCs w:val="22"/>
          <w:lang w:val="pl-PL"/>
        </w:rPr>
        <w:t>drugim</w:t>
      </w:r>
      <w:r w:rsidRPr="00BF57A3">
        <w:rPr>
          <w:sz w:val="22"/>
          <w:szCs w:val="22"/>
          <w:lang w:val="ru-RU"/>
        </w:rPr>
        <w:t xml:space="preserve"> </w:t>
      </w:r>
      <w:r w:rsidRPr="00BF57A3">
        <w:rPr>
          <w:sz w:val="22"/>
          <w:szCs w:val="22"/>
          <w:lang w:val="pl-PL"/>
        </w:rPr>
        <w:t>oblicima</w:t>
      </w:r>
      <w:r w:rsidRPr="00BF57A3">
        <w:rPr>
          <w:sz w:val="22"/>
          <w:szCs w:val="22"/>
          <w:lang w:val="ru-RU"/>
        </w:rPr>
        <w:t xml:space="preserve"> </w:t>
      </w:r>
      <w:r w:rsidRPr="00BF57A3">
        <w:rPr>
          <w:sz w:val="22"/>
          <w:szCs w:val="22"/>
          <w:lang w:val="pl-PL"/>
        </w:rPr>
        <w:t>paklitaksela</w:t>
      </w:r>
      <w:r w:rsidRPr="00BF57A3">
        <w:rPr>
          <w:sz w:val="22"/>
          <w:szCs w:val="22"/>
          <w:lang w:val="ru-RU"/>
        </w:rPr>
        <w:t xml:space="preserve"> (</w:t>
      </w:r>
      <w:r w:rsidRPr="00BF57A3">
        <w:rPr>
          <w:sz w:val="22"/>
          <w:szCs w:val="22"/>
          <w:lang w:val="pl-PL"/>
        </w:rPr>
        <w:t>vidjeti</w:t>
      </w:r>
      <w:r w:rsidRPr="00BF57A3">
        <w:rPr>
          <w:sz w:val="22"/>
          <w:szCs w:val="22"/>
          <w:lang w:val="ru-RU"/>
        </w:rPr>
        <w:t xml:space="preserve"> </w:t>
      </w:r>
      <w:r w:rsidR="00A44420">
        <w:rPr>
          <w:sz w:val="22"/>
          <w:szCs w:val="22"/>
          <w:lang w:val="pl-PL"/>
        </w:rPr>
        <w:t>djelove</w:t>
      </w:r>
      <w:r w:rsidR="00A44420" w:rsidRPr="00BF57A3">
        <w:rPr>
          <w:sz w:val="22"/>
          <w:szCs w:val="22"/>
          <w:lang w:val="ru-RU"/>
        </w:rPr>
        <w:t xml:space="preserve"> </w:t>
      </w:r>
      <w:r w:rsidRPr="00BF57A3">
        <w:rPr>
          <w:sz w:val="22"/>
          <w:szCs w:val="22"/>
          <w:lang w:val="ru-RU"/>
        </w:rPr>
        <w:t xml:space="preserve">5.1 </w:t>
      </w:r>
      <w:r w:rsidRPr="00BF57A3">
        <w:rPr>
          <w:sz w:val="22"/>
          <w:szCs w:val="22"/>
          <w:lang w:val="pl-PL"/>
        </w:rPr>
        <w:t>i</w:t>
      </w:r>
      <w:r w:rsidRPr="00BF57A3">
        <w:rPr>
          <w:sz w:val="22"/>
          <w:szCs w:val="22"/>
          <w:lang w:val="ru-RU"/>
        </w:rPr>
        <w:t xml:space="preserve"> 5.2). </w:t>
      </w:r>
      <w:r w:rsidRPr="00BF57A3">
        <w:rPr>
          <w:sz w:val="22"/>
          <w:szCs w:val="22"/>
          <w:lang w:val="it-IT"/>
        </w:rPr>
        <w:t>Ne</w:t>
      </w:r>
      <w:r w:rsidRPr="00BF57A3">
        <w:rPr>
          <w:sz w:val="22"/>
          <w:szCs w:val="22"/>
          <w:lang w:val="ru-RU"/>
        </w:rPr>
        <w:t xml:space="preserve"> </w:t>
      </w:r>
      <w:r w:rsidRPr="00BF57A3">
        <w:rPr>
          <w:sz w:val="22"/>
          <w:szCs w:val="22"/>
          <w:lang w:val="it-IT"/>
        </w:rPr>
        <w:t>smije</w:t>
      </w:r>
      <w:r w:rsidRPr="00BF57A3">
        <w:rPr>
          <w:sz w:val="22"/>
          <w:szCs w:val="22"/>
          <w:lang w:val="ru-RU"/>
        </w:rPr>
        <w:t xml:space="preserve"> </w:t>
      </w:r>
      <w:r w:rsidRPr="00BF57A3">
        <w:rPr>
          <w:sz w:val="22"/>
          <w:szCs w:val="22"/>
          <w:lang w:val="it-IT"/>
        </w:rPr>
        <w:t>se</w:t>
      </w:r>
      <w:r w:rsidRPr="00BF57A3">
        <w:rPr>
          <w:sz w:val="22"/>
          <w:szCs w:val="22"/>
          <w:lang w:val="ru-RU"/>
        </w:rPr>
        <w:t xml:space="preserve"> </w:t>
      </w:r>
      <w:r w:rsidRPr="00BF57A3">
        <w:rPr>
          <w:sz w:val="22"/>
          <w:szCs w:val="22"/>
          <w:lang w:val="it-IT"/>
        </w:rPr>
        <w:t>zamjenjivati</w:t>
      </w:r>
      <w:r w:rsidRPr="00BF57A3">
        <w:rPr>
          <w:sz w:val="22"/>
          <w:szCs w:val="22"/>
          <w:lang w:val="ru-RU"/>
        </w:rPr>
        <w:t xml:space="preserve"> </w:t>
      </w:r>
      <w:r w:rsidRPr="00BF57A3">
        <w:rPr>
          <w:sz w:val="22"/>
          <w:szCs w:val="22"/>
          <w:lang w:val="it-IT"/>
        </w:rPr>
        <w:t>drugim</w:t>
      </w:r>
      <w:r w:rsidRPr="00BF57A3">
        <w:rPr>
          <w:sz w:val="22"/>
          <w:szCs w:val="22"/>
          <w:lang w:val="ru-RU"/>
        </w:rPr>
        <w:t xml:space="preserve"> </w:t>
      </w:r>
      <w:r w:rsidRPr="00BF57A3">
        <w:rPr>
          <w:sz w:val="22"/>
          <w:szCs w:val="22"/>
          <w:lang w:val="it-IT"/>
        </w:rPr>
        <w:t>oblicima</w:t>
      </w:r>
      <w:r w:rsidRPr="00BF57A3">
        <w:rPr>
          <w:sz w:val="22"/>
          <w:szCs w:val="22"/>
          <w:lang w:val="ru-RU"/>
        </w:rPr>
        <w:t xml:space="preserve"> </w:t>
      </w:r>
      <w:r w:rsidRPr="00BF57A3">
        <w:rPr>
          <w:sz w:val="22"/>
          <w:szCs w:val="22"/>
          <w:lang w:val="it-IT"/>
        </w:rPr>
        <w:t>paklitaksela</w:t>
      </w:r>
      <w:r w:rsidRPr="00BF57A3">
        <w:rPr>
          <w:sz w:val="22"/>
          <w:szCs w:val="22"/>
          <w:lang w:val="ru-RU"/>
        </w:rPr>
        <w:t xml:space="preserve">, </w:t>
      </w:r>
      <w:r w:rsidRPr="00BF57A3">
        <w:rPr>
          <w:sz w:val="22"/>
          <w:szCs w:val="22"/>
          <w:lang w:val="it-IT"/>
        </w:rPr>
        <w:t>niti</w:t>
      </w:r>
      <w:r w:rsidRPr="00BF57A3">
        <w:rPr>
          <w:sz w:val="22"/>
          <w:szCs w:val="22"/>
          <w:lang w:val="ru-RU"/>
        </w:rPr>
        <w:t xml:space="preserve"> </w:t>
      </w:r>
      <w:r w:rsidRPr="00BF57A3">
        <w:rPr>
          <w:sz w:val="22"/>
          <w:szCs w:val="22"/>
          <w:lang w:val="it-IT"/>
        </w:rPr>
        <w:t>smije</w:t>
      </w:r>
      <w:r w:rsidRPr="00BF57A3">
        <w:rPr>
          <w:sz w:val="22"/>
          <w:szCs w:val="22"/>
          <w:lang w:val="ru-RU"/>
        </w:rPr>
        <w:t xml:space="preserve"> </w:t>
      </w:r>
      <w:r w:rsidRPr="00BF57A3">
        <w:rPr>
          <w:sz w:val="22"/>
          <w:szCs w:val="22"/>
          <w:lang w:val="it-IT"/>
        </w:rPr>
        <w:t>biti</w:t>
      </w:r>
      <w:r w:rsidRPr="00BF57A3">
        <w:rPr>
          <w:sz w:val="22"/>
          <w:szCs w:val="22"/>
          <w:lang w:val="ru-RU"/>
        </w:rPr>
        <w:t xml:space="preserve"> </w:t>
      </w:r>
      <w:r w:rsidRPr="00BF57A3">
        <w:rPr>
          <w:sz w:val="22"/>
          <w:szCs w:val="22"/>
          <w:lang w:val="it-IT"/>
        </w:rPr>
        <w:t>zamjena</w:t>
      </w:r>
      <w:r w:rsidRPr="00BF57A3">
        <w:rPr>
          <w:sz w:val="22"/>
          <w:szCs w:val="22"/>
          <w:lang w:val="ru-RU"/>
        </w:rPr>
        <w:t xml:space="preserve"> </w:t>
      </w:r>
      <w:r w:rsidRPr="00BF57A3">
        <w:rPr>
          <w:sz w:val="22"/>
          <w:szCs w:val="22"/>
          <w:lang w:val="it-IT"/>
        </w:rPr>
        <w:t>za</w:t>
      </w:r>
      <w:r w:rsidRPr="00BF57A3">
        <w:rPr>
          <w:sz w:val="22"/>
          <w:szCs w:val="22"/>
          <w:lang w:val="ru-RU"/>
        </w:rPr>
        <w:t xml:space="preserve"> </w:t>
      </w:r>
      <w:r w:rsidRPr="00BF57A3">
        <w:rPr>
          <w:sz w:val="22"/>
          <w:szCs w:val="22"/>
          <w:lang w:val="it-IT"/>
        </w:rPr>
        <w:t>druge</w:t>
      </w:r>
      <w:r w:rsidRPr="00BF57A3">
        <w:rPr>
          <w:sz w:val="22"/>
          <w:szCs w:val="22"/>
          <w:lang w:val="ru-RU"/>
        </w:rPr>
        <w:t xml:space="preserve"> </w:t>
      </w:r>
      <w:r w:rsidRPr="00BF57A3">
        <w:rPr>
          <w:sz w:val="22"/>
          <w:szCs w:val="22"/>
          <w:lang w:val="it-IT"/>
        </w:rPr>
        <w:t>oblike</w:t>
      </w:r>
      <w:r w:rsidRPr="00BF57A3">
        <w:rPr>
          <w:sz w:val="22"/>
          <w:szCs w:val="22"/>
          <w:lang w:val="ru-RU"/>
        </w:rPr>
        <w:t xml:space="preserve"> </w:t>
      </w:r>
      <w:r w:rsidRPr="00BF57A3">
        <w:rPr>
          <w:sz w:val="22"/>
          <w:szCs w:val="22"/>
          <w:lang w:val="it-IT"/>
        </w:rPr>
        <w:t>paklitaksela</w:t>
      </w:r>
      <w:r w:rsidRPr="00BF57A3">
        <w:rPr>
          <w:sz w:val="22"/>
          <w:szCs w:val="22"/>
          <w:lang w:val="ru-RU"/>
        </w:rPr>
        <w:t>.</w:t>
      </w:r>
    </w:p>
    <w:p w14:paraId="20AFE5D6" w14:textId="77777777" w:rsidR="00C75DDD" w:rsidRPr="00BF57A3" w:rsidRDefault="00C75DDD">
      <w:pPr>
        <w:pStyle w:val="Header"/>
        <w:tabs>
          <w:tab w:val="left" w:pos="284"/>
        </w:tabs>
        <w:jc w:val="both"/>
        <w:rPr>
          <w:sz w:val="22"/>
          <w:szCs w:val="22"/>
          <w:lang w:val="sl-SI"/>
        </w:rPr>
      </w:pPr>
    </w:p>
    <w:p w14:paraId="1710F46C" w14:textId="77777777" w:rsidR="00C75DDD" w:rsidRPr="00BF57A3" w:rsidRDefault="00C75DDD">
      <w:pPr>
        <w:pStyle w:val="Header"/>
        <w:tabs>
          <w:tab w:val="left" w:pos="284"/>
        </w:tabs>
        <w:jc w:val="both"/>
        <w:rPr>
          <w:sz w:val="22"/>
          <w:szCs w:val="22"/>
          <w:u w:val="single"/>
          <w:lang w:val="sl-SI"/>
        </w:rPr>
      </w:pPr>
      <w:r w:rsidRPr="00BF57A3">
        <w:rPr>
          <w:sz w:val="22"/>
          <w:szCs w:val="22"/>
          <w:u w:val="single"/>
          <w:lang w:val="sl-SI"/>
        </w:rPr>
        <w:t>Preosjetljivost</w:t>
      </w:r>
    </w:p>
    <w:p w14:paraId="007D9720" w14:textId="76471D22" w:rsidR="00C75DDD" w:rsidRPr="00BF57A3" w:rsidRDefault="00C75DDD">
      <w:pPr>
        <w:pStyle w:val="Header"/>
        <w:tabs>
          <w:tab w:val="left" w:pos="284"/>
        </w:tabs>
        <w:jc w:val="both"/>
        <w:rPr>
          <w:sz w:val="22"/>
          <w:szCs w:val="22"/>
          <w:lang w:val="sl-SI"/>
        </w:rPr>
      </w:pPr>
      <w:r w:rsidRPr="00BF57A3">
        <w:rPr>
          <w:sz w:val="22"/>
          <w:szCs w:val="22"/>
          <w:lang w:val="sl-SI"/>
        </w:rPr>
        <w:t>Prijavljene su rijetke pojave ozbiljnih reakcija preosjetljivosti, uključujući vrlo rijetke anafilaktičke reakcije sa smrtnim ishodom. U slučaju razvoja reakcije preosjetljivosti</w:t>
      </w:r>
      <w:r w:rsidR="002A2194" w:rsidRPr="00BF57A3">
        <w:rPr>
          <w:sz w:val="22"/>
          <w:szCs w:val="22"/>
          <w:lang w:val="sl-SI"/>
        </w:rPr>
        <w:t>,</w:t>
      </w:r>
      <w:r w:rsidRPr="00BF57A3">
        <w:rPr>
          <w:sz w:val="22"/>
          <w:szCs w:val="22"/>
          <w:lang w:val="sl-SI"/>
        </w:rPr>
        <w:t xml:space="preserve"> potrebno je odmah prekinuti upotrebu lijeka i započeti simptomatsko liječenje, a </w:t>
      </w:r>
      <w:r w:rsidR="00A44420">
        <w:rPr>
          <w:sz w:val="22"/>
          <w:szCs w:val="22"/>
          <w:lang w:val="sl-SI"/>
        </w:rPr>
        <w:t>pacijentu</w:t>
      </w:r>
      <w:r w:rsidR="00A44420" w:rsidRPr="00BF57A3">
        <w:rPr>
          <w:sz w:val="22"/>
          <w:szCs w:val="22"/>
          <w:lang w:val="sl-SI"/>
        </w:rPr>
        <w:t xml:space="preserve"> </w:t>
      </w:r>
      <w:r w:rsidRPr="00BF57A3">
        <w:rPr>
          <w:sz w:val="22"/>
          <w:szCs w:val="22"/>
          <w:lang w:val="sl-SI"/>
        </w:rPr>
        <w:t>se ne smije ponovno u terapiju uvesti paklitaksel.</w:t>
      </w:r>
    </w:p>
    <w:p w14:paraId="6D1B4977" w14:textId="77777777" w:rsidR="00C75DDD" w:rsidRPr="00BF57A3" w:rsidRDefault="00C75DDD">
      <w:pPr>
        <w:pStyle w:val="Header"/>
        <w:tabs>
          <w:tab w:val="left" w:pos="284"/>
        </w:tabs>
        <w:jc w:val="both"/>
        <w:rPr>
          <w:sz w:val="22"/>
          <w:szCs w:val="22"/>
          <w:lang w:val="sl-SI"/>
        </w:rPr>
      </w:pPr>
    </w:p>
    <w:p w14:paraId="4ADE45D4" w14:textId="77777777" w:rsidR="00C75DDD" w:rsidRPr="00BF57A3" w:rsidRDefault="00C75DDD">
      <w:pPr>
        <w:pStyle w:val="Header"/>
        <w:tabs>
          <w:tab w:val="left" w:pos="284"/>
        </w:tabs>
        <w:jc w:val="both"/>
        <w:rPr>
          <w:sz w:val="22"/>
          <w:szCs w:val="22"/>
          <w:u w:val="single"/>
          <w:lang w:val="sl-SI"/>
        </w:rPr>
      </w:pPr>
      <w:r w:rsidRPr="00BF57A3">
        <w:rPr>
          <w:sz w:val="22"/>
          <w:szCs w:val="22"/>
          <w:u w:val="single"/>
          <w:lang w:val="sl-SI"/>
        </w:rPr>
        <w:t>Hematologija</w:t>
      </w:r>
    </w:p>
    <w:p w14:paraId="4C29B519" w14:textId="0A4AC3C2" w:rsidR="00C75DDD" w:rsidRPr="00BF57A3" w:rsidRDefault="00C75DDD">
      <w:pPr>
        <w:pStyle w:val="Header"/>
        <w:tabs>
          <w:tab w:val="left" w:pos="284"/>
        </w:tabs>
        <w:jc w:val="both"/>
        <w:rPr>
          <w:sz w:val="22"/>
          <w:szCs w:val="22"/>
          <w:lang w:val="sl-SI"/>
        </w:rPr>
      </w:pPr>
      <w:r w:rsidRPr="00BF57A3">
        <w:rPr>
          <w:sz w:val="22"/>
          <w:szCs w:val="22"/>
          <w:lang w:val="sl-SI"/>
        </w:rPr>
        <w:t xml:space="preserve">Supresija </w:t>
      </w:r>
      <w:r w:rsidR="002A2194" w:rsidRPr="00BF57A3">
        <w:rPr>
          <w:sz w:val="22"/>
          <w:szCs w:val="22"/>
          <w:lang w:val="sl-SI"/>
        </w:rPr>
        <w:t xml:space="preserve">kostne </w:t>
      </w:r>
      <w:r w:rsidRPr="00BF57A3">
        <w:rPr>
          <w:sz w:val="22"/>
          <w:szCs w:val="22"/>
          <w:lang w:val="sl-SI"/>
        </w:rPr>
        <w:t xml:space="preserve">srži (primarno neutropenija) se često javlja u liječenju lijekom Abraxane. Neutropenija je toksičnost koja zavisi od doze i isto tako toksičnost koja ograničava dozu. Tokom liječenja lijekom Abraxane treba često kontrolisati broj krvnih ćelija. Ne smije se nastaviti liječenje </w:t>
      </w:r>
      <w:r w:rsidR="00A44420">
        <w:rPr>
          <w:sz w:val="22"/>
          <w:szCs w:val="22"/>
          <w:lang w:val="sl-SI"/>
        </w:rPr>
        <w:t>pacijenata</w:t>
      </w:r>
      <w:r w:rsidR="00A44420" w:rsidRPr="00BF57A3">
        <w:rPr>
          <w:sz w:val="22"/>
          <w:szCs w:val="22"/>
          <w:lang w:val="sl-SI"/>
        </w:rPr>
        <w:t xml:space="preserve"> </w:t>
      </w:r>
      <w:r w:rsidRPr="00BF57A3">
        <w:rPr>
          <w:sz w:val="22"/>
          <w:szCs w:val="22"/>
          <w:lang w:val="sl-SI"/>
        </w:rPr>
        <w:t>narednim ciklusima lijeka Abraxane sve dok broj neutrofila ne poraste na &gt; 1500 ćelija/mm</w:t>
      </w:r>
      <w:r w:rsidRPr="00BF57A3">
        <w:rPr>
          <w:sz w:val="22"/>
          <w:szCs w:val="22"/>
          <w:vertAlign w:val="superscript"/>
          <w:lang w:val="sl-SI"/>
        </w:rPr>
        <w:t>3</w:t>
      </w:r>
      <w:r w:rsidRPr="00BF57A3">
        <w:rPr>
          <w:sz w:val="22"/>
          <w:szCs w:val="22"/>
          <w:lang w:val="sl-SI"/>
        </w:rPr>
        <w:t xml:space="preserve">, a broj trombocita na &gt; 100 000 </w:t>
      </w:r>
      <w:r w:rsidR="00171C72" w:rsidRPr="00BF57A3">
        <w:rPr>
          <w:sz w:val="22"/>
          <w:szCs w:val="22"/>
          <w:lang w:val="sl-SI"/>
        </w:rPr>
        <w:t>ćelija</w:t>
      </w:r>
      <w:r w:rsidRPr="00BF57A3">
        <w:rPr>
          <w:sz w:val="22"/>
          <w:szCs w:val="22"/>
          <w:lang w:val="sl-SI"/>
        </w:rPr>
        <w:t>/mm</w:t>
      </w:r>
      <w:r w:rsidRPr="00BF57A3">
        <w:rPr>
          <w:sz w:val="22"/>
          <w:szCs w:val="22"/>
          <w:vertAlign w:val="superscript"/>
          <w:lang w:val="sl-SI"/>
        </w:rPr>
        <w:t>3</w:t>
      </w:r>
      <w:r w:rsidRPr="00BF57A3">
        <w:rPr>
          <w:sz w:val="22"/>
          <w:szCs w:val="22"/>
          <w:lang w:val="sl-SI"/>
        </w:rPr>
        <w:t xml:space="preserve"> (vidjeti </w:t>
      </w:r>
      <w:r w:rsidR="00A44420">
        <w:rPr>
          <w:sz w:val="22"/>
          <w:szCs w:val="22"/>
          <w:lang w:val="sl-SI"/>
        </w:rPr>
        <w:t>dio</w:t>
      </w:r>
      <w:r w:rsidR="00A44420" w:rsidRPr="00BF57A3">
        <w:rPr>
          <w:sz w:val="22"/>
          <w:szCs w:val="22"/>
          <w:lang w:val="sl-SI"/>
        </w:rPr>
        <w:t xml:space="preserve"> </w:t>
      </w:r>
      <w:r w:rsidRPr="00BF57A3">
        <w:rPr>
          <w:sz w:val="22"/>
          <w:szCs w:val="22"/>
          <w:lang w:val="sl-SI"/>
        </w:rPr>
        <w:t>4.2).</w:t>
      </w:r>
    </w:p>
    <w:p w14:paraId="77156D2D" w14:textId="77777777" w:rsidR="00C75DDD" w:rsidRPr="00BF57A3" w:rsidRDefault="00C75DDD">
      <w:pPr>
        <w:pStyle w:val="Header"/>
        <w:tabs>
          <w:tab w:val="left" w:pos="284"/>
        </w:tabs>
        <w:jc w:val="both"/>
        <w:rPr>
          <w:sz w:val="22"/>
          <w:szCs w:val="22"/>
          <w:lang w:val="sl-SI"/>
        </w:rPr>
      </w:pPr>
    </w:p>
    <w:p w14:paraId="0C0A432C" w14:textId="77777777" w:rsidR="00C75DDD" w:rsidRPr="00BF57A3" w:rsidRDefault="00C75DDD">
      <w:pPr>
        <w:pStyle w:val="Header"/>
        <w:tabs>
          <w:tab w:val="left" w:pos="284"/>
        </w:tabs>
        <w:jc w:val="both"/>
        <w:rPr>
          <w:sz w:val="22"/>
          <w:szCs w:val="22"/>
          <w:u w:val="single"/>
          <w:lang w:val="sl-SI"/>
        </w:rPr>
      </w:pPr>
      <w:r w:rsidRPr="00BF57A3">
        <w:rPr>
          <w:sz w:val="22"/>
          <w:szCs w:val="22"/>
          <w:u w:val="single"/>
          <w:lang w:val="sl-SI"/>
        </w:rPr>
        <w:t>Neuropatija</w:t>
      </w:r>
    </w:p>
    <w:p w14:paraId="00BFB126" w14:textId="7C3DB61D" w:rsidR="00C75DDD" w:rsidRPr="00BF57A3" w:rsidRDefault="00C75DDD">
      <w:pPr>
        <w:pStyle w:val="Header"/>
        <w:tabs>
          <w:tab w:val="left" w:pos="284"/>
        </w:tabs>
        <w:jc w:val="both"/>
        <w:rPr>
          <w:sz w:val="22"/>
          <w:szCs w:val="22"/>
          <w:lang w:val="sl-SI"/>
        </w:rPr>
      </w:pPr>
      <w:r w:rsidRPr="00BF57A3">
        <w:rPr>
          <w:sz w:val="22"/>
          <w:szCs w:val="22"/>
          <w:lang w:val="sl-SI"/>
        </w:rPr>
        <w:t>Senzorna neuropatija se često javlja uz lijek Abraxane, iako je razvoj ozbiljnih simptoma manje čest. Pojava senzorne neuropatije stepena 1 ili 2 obično ne zahtijeva smanjenje doze. Kada se lijek Abraxane primjenjuje kao monoterapija, u slučaju razvoja senzorne neuropatije stepena 3, liječenje treba obustaviti do oporavka na stepen 1 ili 2, nakon čega se preporučuje smanjenje doze za sve naredne cikluse liječenja lijekom Abra</w:t>
      </w:r>
      <w:r w:rsidR="00AE7B20" w:rsidRPr="00BF57A3">
        <w:rPr>
          <w:sz w:val="22"/>
          <w:szCs w:val="22"/>
          <w:lang w:val="sl-SI"/>
        </w:rPr>
        <w:t xml:space="preserve">xane (vidjeti </w:t>
      </w:r>
      <w:r w:rsidR="00A44420">
        <w:rPr>
          <w:sz w:val="22"/>
          <w:szCs w:val="22"/>
          <w:lang w:val="sl-SI"/>
        </w:rPr>
        <w:t>dio</w:t>
      </w:r>
      <w:r w:rsidR="00A44420" w:rsidRPr="00BF57A3">
        <w:rPr>
          <w:sz w:val="22"/>
          <w:szCs w:val="22"/>
          <w:lang w:val="sl-SI"/>
        </w:rPr>
        <w:t xml:space="preserve"> </w:t>
      </w:r>
      <w:r w:rsidRPr="00BF57A3">
        <w:rPr>
          <w:sz w:val="22"/>
          <w:szCs w:val="22"/>
          <w:lang w:val="sl-SI"/>
        </w:rPr>
        <w:t>4.2). Kod primjene lijeka Abraxane u kombinaciji sa gemcitabinom, u slučaju razvoja periferne neuropatije stepena 3 ili višeg, lijek Abraxane treba obustaviti, a liječenje gemcitabinom nastaviti u istoj dozi. Kada se periferna neuropatija poboljša na stepen 0 ili 1, ponovno treba uvesti lijek Abraxa</w:t>
      </w:r>
      <w:r w:rsidR="00AE7B20" w:rsidRPr="00BF57A3">
        <w:rPr>
          <w:sz w:val="22"/>
          <w:szCs w:val="22"/>
          <w:lang w:val="sl-SI"/>
        </w:rPr>
        <w:t>ne u smanjenoj dozi (vidjeti od</w:t>
      </w:r>
      <w:r w:rsidR="009E3CE3" w:rsidRPr="00BF57A3">
        <w:rPr>
          <w:sz w:val="22"/>
          <w:szCs w:val="22"/>
          <w:lang w:val="sl-SI"/>
        </w:rPr>
        <w:t>j</w:t>
      </w:r>
      <w:r w:rsidRPr="00BF57A3">
        <w:rPr>
          <w:sz w:val="22"/>
          <w:szCs w:val="22"/>
          <w:lang w:val="sl-SI"/>
        </w:rPr>
        <w:t>eljak 4.2).</w:t>
      </w:r>
      <w:r w:rsidR="00E36C30" w:rsidRPr="00BF57A3">
        <w:rPr>
          <w:sz w:val="22"/>
          <w:szCs w:val="22"/>
          <w:lang w:val="sl-SI"/>
        </w:rPr>
        <w:t xml:space="preserve"> Ako se kod primjene </w:t>
      </w:r>
      <w:r w:rsidR="00A5247D" w:rsidRPr="00BF57A3">
        <w:rPr>
          <w:sz w:val="22"/>
          <w:szCs w:val="22"/>
          <w:lang w:val="sl-SI"/>
        </w:rPr>
        <w:t xml:space="preserve">lijeka </w:t>
      </w:r>
      <w:r w:rsidR="00E36C30" w:rsidRPr="00BF57A3">
        <w:rPr>
          <w:sz w:val="22"/>
          <w:szCs w:val="22"/>
          <w:lang w:val="sl-SI"/>
        </w:rPr>
        <w:t xml:space="preserve">Abraxane u kombinaciji sa karboplatinom razvije periferna neuropatija stepena 3 ili više, liječenje se mora obustaviti do poboljšanja na stepen 0 ili 1, iza čega slijedi smanjenje doze u svim sljedećim ciklusima primjene lijeka Abraxane i karboplatina (vidjeti </w:t>
      </w:r>
      <w:r w:rsidR="009421C7">
        <w:rPr>
          <w:sz w:val="22"/>
          <w:szCs w:val="22"/>
          <w:lang w:val="sl-SI"/>
        </w:rPr>
        <w:t>dio</w:t>
      </w:r>
      <w:r w:rsidR="009421C7" w:rsidRPr="00BF57A3">
        <w:rPr>
          <w:sz w:val="22"/>
          <w:szCs w:val="22"/>
          <w:lang w:val="sl-SI"/>
        </w:rPr>
        <w:t xml:space="preserve"> </w:t>
      </w:r>
      <w:r w:rsidR="00E36C30" w:rsidRPr="00BF57A3">
        <w:rPr>
          <w:sz w:val="22"/>
          <w:szCs w:val="22"/>
          <w:lang w:val="sl-SI"/>
        </w:rPr>
        <w:t>4.2).</w:t>
      </w:r>
    </w:p>
    <w:p w14:paraId="54FBC131" w14:textId="77777777" w:rsidR="00C75DDD" w:rsidRPr="00BF57A3" w:rsidRDefault="00C75DDD">
      <w:pPr>
        <w:pStyle w:val="Header"/>
        <w:tabs>
          <w:tab w:val="left" w:pos="284"/>
        </w:tabs>
        <w:jc w:val="both"/>
        <w:rPr>
          <w:sz w:val="22"/>
          <w:szCs w:val="22"/>
          <w:lang w:val="sl-SI"/>
        </w:rPr>
      </w:pPr>
    </w:p>
    <w:p w14:paraId="592F4C18" w14:textId="77777777" w:rsidR="00C75DDD" w:rsidRPr="00BF57A3" w:rsidRDefault="00C75DDD">
      <w:pPr>
        <w:pStyle w:val="Header"/>
        <w:tabs>
          <w:tab w:val="left" w:pos="284"/>
        </w:tabs>
        <w:jc w:val="both"/>
        <w:rPr>
          <w:sz w:val="22"/>
          <w:szCs w:val="22"/>
          <w:u w:val="single"/>
          <w:lang w:val="sl-SI"/>
        </w:rPr>
      </w:pPr>
      <w:r w:rsidRPr="00BF57A3">
        <w:rPr>
          <w:sz w:val="22"/>
          <w:szCs w:val="22"/>
          <w:u w:val="single"/>
          <w:lang w:val="sl-SI"/>
        </w:rPr>
        <w:t>Sepsa</w:t>
      </w:r>
    </w:p>
    <w:p w14:paraId="06870B1D" w14:textId="49FAAFEF" w:rsidR="00C75DDD" w:rsidRPr="00BF57A3" w:rsidRDefault="00C75DDD">
      <w:pPr>
        <w:pStyle w:val="Header"/>
        <w:tabs>
          <w:tab w:val="left" w:pos="284"/>
        </w:tabs>
        <w:jc w:val="both"/>
        <w:rPr>
          <w:sz w:val="22"/>
          <w:szCs w:val="22"/>
          <w:lang w:val="sl-SI"/>
        </w:rPr>
      </w:pPr>
      <w:r w:rsidRPr="00BF57A3">
        <w:rPr>
          <w:sz w:val="22"/>
          <w:szCs w:val="22"/>
          <w:lang w:val="sl-SI"/>
        </w:rPr>
        <w:t xml:space="preserve">Sepsa je prijavljena u stopi od 5% kod </w:t>
      </w:r>
      <w:r w:rsidR="000E755D">
        <w:rPr>
          <w:sz w:val="22"/>
          <w:szCs w:val="22"/>
          <w:lang w:val="sl-SI"/>
        </w:rPr>
        <w:t>pacijenata</w:t>
      </w:r>
      <w:r w:rsidR="000E755D" w:rsidRPr="00BF57A3">
        <w:rPr>
          <w:sz w:val="22"/>
          <w:szCs w:val="22"/>
          <w:lang w:val="sl-SI"/>
        </w:rPr>
        <w:t xml:space="preserve"> </w:t>
      </w:r>
      <w:r w:rsidRPr="00BF57A3">
        <w:rPr>
          <w:sz w:val="22"/>
          <w:szCs w:val="22"/>
          <w:lang w:val="sl-SI"/>
        </w:rPr>
        <w:t xml:space="preserve">sa ili bez neutropenije koji su primali lijek Abraxane u kombinaciji sa gemcitabinom. Komplikacije zbog postojećeg karcinoma pankreasa, naročito  bilijarne opstrukcije ili prisutnost bilijarnog stenta, ustanovljene su kao značajan dodatni faktor. Ako </w:t>
      </w:r>
      <w:r w:rsidR="009421C7">
        <w:rPr>
          <w:sz w:val="22"/>
          <w:szCs w:val="22"/>
          <w:lang w:val="sl-SI"/>
        </w:rPr>
        <w:t>pacijent</w:t>
      </w:r>
      <w:r w:rsidR="009421C7" w:rsidRPr="00BF57A3">
        <w:rPr>
          <w:sz w:val="22"/>
          <w:szCs w:val="22"/>
          <w:lang w:val="sl-SI"/>
        </w:rPr>
        <w:t xml:space="preserve"> </w:t>
      </w:r>
      <w:r w:rsidRPr="00BF57A3">
        <w:rPr>
          <w:sz w:val="22"/>
          <w:szCs w:val="22"/>
          <w:lang w:val="sl-SI"/>
        </w:rPr>
        <w:t>razvije groznicu (bez obzira na broj neutrofila), treba započeti liječenje antibioticima širokog spektra. U slučaju febrilne neutropenije, treba obustaviti lijek Abraxane i gemcitabin dok se groznica ne</w:t>
      </w:r>
      <w:r w:rsidRPr="006C640E">
        <w:rPr>
          <w:sz w:val="22"/>
          <w:szCs w:val="22"/>
          <w:lang w:val="sl-SI"/>
        </w:rPr>
        <w:t xml:space="preserve"> </w:t>
      </w:r>
      <w:r w:rsidRPr="00BF57A3">
        <w:rPr>
          <w:sz w:val="22"/>
          <w:szCs w:val="22"/>
          <w:lang w:val="sl-SI"/>
        </w:rPr>
        <w:t>povuče i dok se ne dostigne ABN ≥ 1500 ćelija/mm</w:t>
      </w:r>
      <w:r w:rsidRPr="00BF57A3">
        <w:rPr>
          <w:sz w:val="22"/>
          <w:szCs w:val="22"/>
          <w:vertAlign w:val="superscript"/>
          <w:lang w:val="sl-SI"/>
        </w:rPr>
        <w:t>3</w:t>
      </w:r>
      <w:r w:rsidRPr="00BF57A3">
        <w:rPr>
          <w:sz w:val="22"/>
          <w:szCs w:val="22"/>
          <w:lang w:val="sl-SI"/>
        </w:rPr>
        <w:t>, a potom nastaviti liječenje sa sm</w:t>
      </w:r>
      <w:r w:rsidR="00AE7B20" w:rsidRPr="00BF57A3">
        <w:rPr>
          <w:sz w:val="22"/>
          <w:szCs w:val="22"/>
          <w:lang w:val="sl-SI"/>
        </w:rPr>
        <w:t xml:space="preserve">anjenim nivoom doza (vidjeti </w:t>
      </w:r>
      <w:r w:rsidR="009421C7">
        <w:rPr>
          <w:sz w:val="22"/>
          <w:szCs w:val="22"/>
          <w:lang w:val="sl-SI"/>
        </w:rPr>
        <w:t>dio</w:t>
      </w:r>
      <w:r w:rsidR="009421C7" w:rsidRPr="00BF57A3">
        <w:rPr>
          <w:sz w:val="22"/>
          <w:szCs w:val="22"/>
          <w:lang w:val="sl-SI"/>
        </w:rPr>
        <w:t xml:space="preserve"> </w:t>
      </w:r>
      <w:r w:rsidRPr="00BF57A3">
        <w:rPr>
          <w:sz w:val="22"/>
          <w:szCs w:val="22"/>
          <w:lang w:val="sl-SI"/>
        </w:rPr>
        <w:t>4.2).</w:t>
      </w:r>
    </w:p>
    <w:p w14:paraId="05C21B93" w14:textId="77777777" w:rsidR="00C75DDD" w:rsidRPr="00BF57A3" w:rsidRDefault="00C75DDD">
      <w:pPr>
        <w:pStyle w:val="Header"/>
        <w:tabs>
          <w:tab w:val="left" w:pos="284"/>
        </w:tabs>
        <w:jc w:val="both"/>
        <w:rPr>
          <w:sz w:val="22"/>
          <w:szCs w:val="22"/>
          <w:u w:val="single"/>
          <w:lang w:val="sl-SI"/>
        </w:rPr>
      </w:pPr>
    </w:p>
    <w:p w14:paraId="02A8872F" w14:textId="77777777" w:rsidR="00C75DDD" w:rsidRPr="00BF57A3" w:rsidRDefault="00C75DDD">
      <w:pPr>
        <w:pStyle w:val="Header"/>
        <w:tabs>
          <w:tab w:val="left" w:pos="284"/>
        </w:tabs>
        <w:jc w:val="both"/>
        <w:rPr>
          <w:sz w:val="22"/>
          <w:szCs w:val="22"/>
          <w:u w:val="single"/>
          <w:lang w:val="sl-SI"/>
        </w:rPr>
      </w:pPr>
      <w:r w:rsidRPr="00BF57A3">
        <w:rPr>
          <w:sz w:val="22"/>
          <w:szCs w:val="22"/>
          <w:u w:val="single"/>
          <w:lang w:val="sl-SI"/>
        </w:rPr>
        <w:t>Pneumonitis</w:t>
      </w:r>
    </w:p>
    <w:p w14:paraId="1656D312" w14:textId="54FEFCCE" w:rsidR="00C75DDD" w:rsidRPr="00BF57A3" w:rsidRDefault="00C75DDD">
      <w:pPr>
        <w:pStyle w:val="Header"/>
        <w:tabs>
          <w:tab w:val="left" w:pos="284"/>
        </w:tabs>
        <w:jc w:val="both"/>
        <w:rPr>
          <w:sz w:val="22"/>
          <w:szCs w:val="22"/>
          <w:lang w:val="sl-SI"/>
        </w:rPr>
      </w:pPr>
      <w:r w:rsidRPr="00BF57A3">
        <w:rPr>
          <w:sz w:val="22"/>
          <w:szCs w:val="22"/>
          <w:lang w:val="sl-SI"/>
        </w:rPr>
        <w:t xml:space="preserve">Pneumonitis se razvio kod 1% </w:t>
      </w:r>
      <w:r w:rsidR="009421C7">
        <w:rPr>
          <w:sz w:val="22"/>
          <w:szCs w:val="22"/>
          <w:lang w:val="sl-SI"/>
        </w:rPr>
        <w:t>pacijenata</w:t>
      </w:r>
      <w:r w:rsidR="009421C7" w:rsidRPr="00BF57A3">
        <w:rPr>
          <w:sz w:val="22"/>
          <w:szCs w:val="22"/>
          <w:lang w:val="sl-SI"/>
        </w:rPr>
        <w:t xml:space="preserve"> </w:t>
      </w:r>
      <w:r w:rsidRPr="00BF57A3">
        <w:rPr>
          <w:sz w:val="22"/>
          <w:szCs w:val="22"/>
          <w:lang w:val="sl-SI"/>
        </w:rPr>
        <w:t>kada je lijek Abraxane primjenjivan kao monoterapija</w:t>
      </w:r>
      <w:r w:rsidR="002A2194" w:rsidRPr="00BF57A3">
        <w:rPr>
          <w:sz w:val="22"/>
          <w:szCs w:val="22"/>
          <w:lang w:val="sl-SI"/>
        </w:rPr>
        <w:t>,</w:t>
      </w:r>
      <w:r w:rsidRPr="00BF57A3">
        <w:rPr>
          <w:sz w:val="22"/>
          <w:szCs w:val="22"/>
          <w:lang w:val="sl-SI"/>
        </w:rPr>
        <w:t xml:space="preserve"> i kod 4% </w:t>
      </w:r>
      <w:r w:rsidR="009421C7">
        <w:rPr>
          <w:sz w:val="22"/>
          <w:szCs w:val="22"/>
          <w:lang w:val="sl-SI"/>
        </w:rPr>
        <w:t>pacijenata</w:t>
      </w:r>
      <w:r w:rsidR="009421C7" w:rsidRPr="00BF57A3">
        <w:rPr>
          <w:sz w:val="22"/>
          <w:szCs w:val="22"/>
          <w:lang w:val="sl-SI"/>
        </w:rPr>
        <w:t xml:space="preserve"> </w:t>
      </w:r>
      <w:r w:rsidRPr="00BF57A3">
        <w:rPr>
          <w:sz w:val="22"/>
          <w:szCs w:val="22"/>
          <w:lang w:val="sl-SI"/>
        </w:rPr>
        <w:t xml:space="preserve">kada je lijek Abraxane primjenjivan u kombinaciji sa gemcitabinom. Sve </w:t>
      </w:r>
      <w:r w:rsidR="009421C7">
        <w:rPr>
          <w:sz w:val="22"/>
          <w:szCs w:val="22"/>
          <w:lang w:val="sl-SI"/>
        </w:rPr>
        <w:t>pacijente</w:t>
      </w:r>
      <w:r w:rsidR="009421C7" w:rsidRPr="00BF57A3">
        <w:rPr>
          <w:sz w:val="22"/>
          <w:szCs w:val="22"/>
          <w:lang w:val="sl-SI"/>
        </w:rPr>
        <w:t xml:space="preserve"> </w:t>
      </w:r>
      <w:r w:rsidRPr="00BF57A3">
        <w:rPr>
          <w:sz w:val="22"/>
          <w:szCs w:val="22"/>
          <w:lang w:val="sl-SI"/>
        </w:rPr>
        <w:t xml:space="preserve">treba pažljivo nadzirati zbog pojave znakova i simptoma pneumonitisa. Kada se isključi etiologija infekcije i nakon postavljene dijagnoze pneumonitisa, liječenje lijekom Abraxane i gemcitabinom treba trajno obustaviti i brzo započeti sa odgovarajućim liječenjem </w:t>
      </w:r>
      <w:r w:rsidR="00AE7B20" w:rsidRPr="00BF57A3">
        <w:rPr>
          <w:sz w:val="22"/>
          <w:szCs w:val="22"/>
          <w:lang w:val="sl-SI"/>
        </w:rPr>
        <w:t xml:space="preserve">i potpornim mjerama (vidjeti </w:t>
      </w:r>
      <w:r w:rsidR="009421C7">
        <w:rPr>
          <w:sz w:val="22"/>
          <w:szCs w:val="22"/>
          <w:lang w:val="sl-SI"/>
        </w:rPr>
        <w:t>dio</w:t>
      </w:r>
      <w:r w:rsidR="009421C7" w:rsidRPr="00BF57A3">
        <w:rPr>
          <w:sz w:val="22"/>
          <w:szCs w:val="22"/>
          <w:lang w:val="sl-SI"/>
        </w:rPr>
        <w:t xml:space="preserve"> </w:t>
      </w:r>
      <w:r w:rsidRPr="00BF57A3">
        <w:rPr>
          <w:sz w:val="22"/>
          <w:szCs w:val="22"/>
          <w:lang w:val="sl-SI"/>
        </w:rPr>
        <w:t>4.2).</w:t>
      </w:r>
    </w:p>
    <w:p w14:paraId="43E7FE20" w14:textId="77777777" w:rsidR="000840C3" w:rsidRDefault="000840C3" w:rsidP="000840C3">
      <w:pPr>
        <w:rPr>
          <w:sz w:val="22"/>
          <w:szCs w:val="22"/>
          <w:lang w:val="sl-SI"/>
        </w:rPr>
      </w:pPr>
    </w:p>
    <w:p w14:paraId="48E784B3" w14:textId="2056FB00" w:rsidR="00C75DDD" w:rsidRPr="000840C3" w:rsidRDefault="00C75DDD" w:rsidP="000840C3">
      <w:pPr>
        <w:rPr>
          <w:sz w:val="22"/>
          <w:szCs w:val="22"/>
          <w:lang w:val="sl-SI"/>
        </w:rPr>
      </w:pPr>
      <w:r w:rsidRPr="00BF57A3">
        <w:rPr>
          <w:sz w:val="22"/>
          <w:szCs w:val="22"/>
          <w:u w:val="single"/>
          <w:lang w:val="sl-SI"/>
        </w:rPr>
        <w:t>Oštećena funkcija jetre</w:t>
      </w:r>
    </w:p>
    <w:p w14:paraId="74DA9566" w14:textId="39994FE0" w:rsidR="00C75DDD" w:rsidRPr="00BF57A3" w:rsidRDefault="00C75DDD">
      <w:pPr>
        <w:pStyle w:val="Header"/>
        <w:tabs>
          <w:tab w:val="left" w:pos="284"/>
        </w:tabs>
        <w:jc w:val="both"/>
        <w:rPr>
          <w:sz w:val="22"/>
          <w:szCs w:val="22"/>
          <w:lang w:val="sl-SI"/>
        </w:rPr>
      </w:pPr>
      <w:r w:rsidRPr="00BF57A3">
        <w:rPr>
          <w:sz w:val="22"/>
          <w:szCs w:val="22"/>
          <w:lang w:val="sl-SI"/>
        </w:rPr>
        <w:t xml:space="preserve">Lijek Abraxane treba oprezno primjenjivati kod </w:t>
      </w:r>
      <w:r w:rsidR="009421C7">
        <w:rPr>
          <w:sz w:val="22"/>
          <w:szCs w:val="22"/>
          <w:lang w:val="sl-SI"/>
        </w:rPr>
        <w:t>pacijenata</w:t>
      </w:r>
      <w:r w:rsidR="009421C7" w:rsidRPr="00BF57A3">
        <w:rPr>
          <w:sz w:val="22"/>
          <w:szCs w:val="22"/>
          <w:lang w:val="sl-SI"/>
        </w:rPr>
        <w:t xml:space="preserve"> </w:t>
      </w:r>
      <w:r w:rsidRPr="00BF57A3">
        <w:rPr>
          <w:sz w:val="22"/>
          <w:szCs w:val="22"/>
          <w:lang w:val="sl-SI"/>
        </w:rPr>
        <w:t>sa oštećenom funkci</w:t>
      </w:r>
      <w:r w:rsidR="002A2194" w:rsidRPr="00BF57A3">
        <w:rPr>
          <w:sz w:val="22"/>
          <w:szCs w:val="22"/>
          <w:lang w:val="sl-SI"/>
        </w:rPr>
        <w:t>j</w:t>
      </w:r>
      <w:r w:rsidRPr="00BF57A3">
        <w:rPr>
          <w:sz w:val="22"/>
          <w:szCs w:val="22"/>
          <w:lang w:val="sl-SI"/>
        </w:rPr>
        <w:t>om jetre</w:t>
      </w:r>
      <w:r w:rsidR="002A2194" w:rsidRPr="00BF57A3">
        <w:rPr>
          <w:sz w:val="22"/>
          <w:szCs w:val="22"/>
          <w:lang w:val="sl-SI"/>
        </w:rPr>
        <w:t>,</w:t>
      </w:r>
      <w:r w:rsidRPr="00BF57A3">
        <w:rPr>
          <w:sz w:val="22"/>
          <w:szCs w:val="22"/>
          <w:lang w:val="sl-SI"/>
        </w:rPr>
        <w:t xml:space="preserve"> jer se toksičnost paklitaksela može povećati sa slabljenjem funkcije jetre. </w:t>
      </w:r>
      <w:r w:rsidR="009421C7">
        <w:rPr>
          <w:sz w:val="22"/>
          <w:szCs w:val="22"/>
          <w:lang w:val="sl-SI"/>
        </w:rPr>
        <w:t>Pacijenti</w:t>
      </w:r>
      <w:r w:rsidR="009421C7" w:rsidRPr="00BF57A3">
        <w:rPr>
          <w:sz w:val="22"/>
          <w:szCs w:val="22"/>
          <w:lang w:val="sl-SI"/>
        </w:rPr>
        <w:t xml:space="preserve"> </w:t>
      </w:r>
      <w:r w:rsidRPr="00BF57A3">
        <w:rPr>
          <w:sz w:val="22"/>
          <w:szCs w:val="22"/>
          <w:lang w:val="sl-SI"/>
        </w:rPr>
        <w:t xml:space="preserve">sa oštećenom funkciom jetre mogu biti u povećanom riziku za razvoj toksičnosti, naročito mijelosupresije; takve </w:t>
      </w:r>
      <w:r w:rsidR="009421C7">
        <w:rPr>
          <w:sz w:val="22"/>
          <w:szCs w:val="22"/>
          <w:lang w:val="sl-SI"/>
        </w:rPr>
        <w:t>pacijente</w:t>
      </w:r>
      <w:r w:rsidR="009421C7" w:rsidRPr="00BF57A3">
        <w:rPr>
          <w:sz w:val="22"/>
          <w:szCs w:val="22"/>
          <w:lang w:val="sl-SI"/>
        </w:rPr>
        <w:t xml:space="preserve"> </w:t>
      </w:r>
      <w:r w:rsidRPr="00BF57A3">
        <w:rPr>
          <w:sz w:val="22"/>
          <w:szCs w:val="22"/>
          <w:lang w:val="sl-SI"/>
        </w:rPr>
        <w:t xml:space="preserve">treba pomno nadzirati zbog mogućeg razvoja izrazite mijelosupresije.  </w:t>
      </w:r>
    </w:p>
    <w:p w14:paraId="00A26A1D" w14:textId="77777777" w:rsidR="00C75DDD" w:rsidRPr="00BF57A3" w:rsidRDefault="00C75DDD">
      <w:pPr>
        <w:pStyle w:val="Header"/>
        <w:tabs>
          <w:tab w:val="left" w:pos="284"/>
        </w:tabs>
        <w:jc w:val="both"/>
        <w:rPr>
          <w:sz w:val="22"/>
          <w:szCs w:val="22"/>
          <w:lang w:val="sl-SI"/>
        </w:rPr>
      </w:pPr>
    </w:p>
    <w:p w14:paraId="71CD77FB" w14:textId="2D0C52C9" w:rsidR="00C75DDD" w:rsidRPr="00BF57A3" w:rsidRDefault="00C75DDD">
      <w:pPr>
        <w:pStyle w:val="Header"/>
        <w:tabs>
          <w:tab w:val="left" w:pos="284"/>
        </w:tabs>
        <w:jc w:val="both"/>
        <w:rPr>
          <w:sz w:val="22"/>
          <w:szCs w:val="22"/>
          <w:lang w:val="sl-SI"/>
        </w:rPr>
      </w:pPr>
      <w:r w:rsidRPr="00BF57A3">
        <w:rPr>
          <w:sz w:val="22"/>
          <w:szCs w:val="22"/>
          <w:lang w:val="sl-SI"/>
        </w:rPr>
        <w:t xml:space="preserve">Abraxane se ne preporučuje kod </w:t>
      </w:r>
      <w:r w:rsidR="009421C7">
        <w:rPr>
          <w:sz w:val="22"/>
          <w:szCs w:val="22"/>
          <w:lang w:val="sl-SI"/>
        </w:rPr>
        <w:t>pacijenata</w:t>
      </w:r>
      <w:r w:rsidR="009421C7" w:rsidRPr="00BF57A3">
        <w:rPr>
          <w:sz w:val="22"/>
          <w:szCs w:val="22"/>
          <w:lang w:val="sl-SI"/>
        </w:rPr>
        <w:t xml:space="preserve"> </w:t>
      </w:r>
      <w:r w:rsidRPr="00BF57A3">
        <w:rPr>
          <w:sz w:val="22"/>
          <w:szCs w:val="22"/>
          <w:lang w:val="sl-SI"/>
        </w:rPr>
        <w:t xml:space="preserve">kod kojih je ukupni bilirubin &gt; 5 x GGN ili AST &gt; 10 x GGN. Dodatno, lijek Abraxane se ne preporučuje kod </w:t>
      </w:r>
      <w:r w:rsidR="009421C7">
        <w:rPr>
          <w:sz w:val="22"/>
          <w:szCs w:val="22"/>
          <w:lang w:val="sl-SI"/>
        </w:rPr>
        <w:t>pacijenata</w:t>
      </w:r>
      <w:r w:rsidR="009421C7" w:rsidRPr="00BF57A3">
        <w:rPr>
          <w:sz w:val="22"/>
          <w:szCs w:val="22"/>
          <w:lang w:val="sl-SI"/>
        </w:rPr>
        <w:t xml:space="preserve"> </w:t>
      </w:r>
      <w:r w:rsidRPr="00BF57A3">
        <w:rPr>
          <w:sz w:val="22"/>
          <w:szCs w:val="22"/>
          <w:lang w:val="sl-SI"/>
        </w:rPr>
        <w:t xml:space="preserve">sa metastatskim adenokarcinomom pankreasa i </w:t>
      </w:r>
      <w:r w:rsidRPr="00BF57A3">
        <w:rPr>
          <w:sz w:val="22"/>
          <w:szCs w:val="22"/>
          <w:lang w:val="sl-SI"/>
        </w:rPr>
        <w:lastRenderedPageBreak/>
        <w:t>umjerenim do teškim oštećenjem funkcije jetre (ukupni bilirubin &gt; 1,5 x GG</w:t>
      </w:r>
      <w:r w:rsidR="00AE7B20" w:rsidRPr="00BF57A3">
        <w:rPr>
          <w:sz w:val="22"/>
          <w:szCs w:val="22"/>
          <w:lang w:val="sl-SI"/>
        </w:rPr>
        <w:t xml:space="preserve">N i AST ≤ 10 x GGN) (vidjeti </w:t>
      </w:r>
      <w:r w:rsidR="009421C7">
        <w:rPr>
          <w:sz w:val="22"/>
          <w:szCs w:val="22"/>
          <w:lang w:val="sl-SI"/>
        </w:rPr>
        <w:t>dio</w:t>
      </w:r>
      <w:r w:rsidR="009421C7" w:rsidRPr="00BF57A3">
        <w:rPr>
          <w:sz w:val="22"/>
          <w:szCs w:val="22"/>
          <w:lang w:val="sl-SI"/>
        </w:rPr>
        <w:t xml:space="preserve"> </w:t>
      </w:r>
      <w:r w:rsidRPr="00BF57A3">
        <w:rPr>
          <w:sz w:val="22"/>
          <w:szCs w:val="22"/>
          <w:lang w:val="sl-SI"/>
        </w:rPr>
        <w:t>5.2).</w:t>
      </w:r>
    </w:p>
    <w:p w14:paraId="7280C0C8" w14:textId="77777777" w:rsidR="00C75DDD" w:rsidRPr="00BF57A3" w:rsidRDefault="00C75DDD">
      <w:pPr>
        <w:pStyle w:val="Header"/>
        <w:tabs>
          <w:tab w:val="left" w:pos="284"/>
        </w:tabs>
        <w:jc w:val="both"/>
        <w:rPr>
          <w:sz w:val="22"/>
          <w:szCs w:val="22"/>
          <w:lang w:val="sl-SI"/>
        </w:rPr>
      </w:pPr>
    </w:p>
    <w:p w14:paraId="5070B3EA" w14:textId="77777777" w:rsidR="00C75DDD" w:rsidRPr="00BF57A3" w:rsidRDefault="00C75DDD">
      <w:pPr>
        <w:pStyle w:val="Header"/>
        <w:tabs>
          <w:tab w:val="left" w:pos="284"/>
        </w:tabs>
        <w:jc w:val="both"/>
        <w:rPr>
          <w:sz w:val="22"/>
          <w:szCs w:val="22"/>
          <w:u w:val="single"/>
          <w:lang w:val="sl-SI"/>
        </w:rPr>
      </w:pPr>
      <w:r w:rsidRPr="00BF57A3">
        <w:rPr>
          <w:sz w:val="22"/>
          <w:szCs w:val="22"/>
          <w:u w:val="single"/>
          <w:lang w:val="sl-SI"/>
        </w:rPr>
        <w:t>Kardiotoksičnost</w:t>
      </w:r>
    </w:p>
    <w:p w14:paraId="0EB2EA35" w14:textId="7F96C62D" w:rsidR="00C75DDD" w:rsidRPr="00BF57A3" w:rsidRDefault="00C75DDD">
      <w:pPr>
        <w:pStyle w:val="Header"/>
        <w:tabs>
          <w:tab w:val="left" w:pos="284"/>
        </w:tabs>
        <w:jc w:val="both"/>
        <w:rPr>
          <w:sz w:val="22"/>
          <w:szCs w:val="22"/>
          <w:lang w:val="sl-SI"/>
        </w:rPr>
      </w:pPr>
      <w:r w:rsidRPr="00BF57A3">
        <w:rPr>
          <w:sz w:val="22"/>
          <w:szCs w:val="22"/>
          <w:lang w:val="sl-SI"/>
        </w:rPr>
        <w:t>Prim</w:t>
      </w:r>
      <w:r w:rsidR="004712A4" w:rsidRPr="00BF57A3">
        <w:rPr>
          <w:sz w:val="22"/>
          <w:szCs w:val="22"/>
          <w:lang w:val="sl-SI"/>
        </w:rPr>
        <w:t>i</w:t>
      </w:r>
      <w:r w:rsidRPr="00BF57A3">
        <w:rPr>
          <w:sz w:val="22"/>
          <w:szCs w:val="22"/>
          <w:lang w:val="sl-SI"/>
        </w:rPr>
        <w:t xml:space="preserve">jećeni su rijetki slučajevi kongestivne srčane insuficijencije i disfunkcije lijeve komore kod osoba koje primaju lijek Abraxane. Većina tih osoba je bila prethodno izložena kardiotoksičnim ljekovima, kao što su antraciklini ili je imala već postojeću anamnezu bolesti srca. Stoga ljekari treba pažljivo da prate pojavu srčanih tegoba kod </w:t>
      </w:r>
      <w:r w:rsidR="009421C7">
        <w:rPr>
          <w:sz w:val="22"/>
          <w:szCs w:val="22"/>
          <w:lang w:val="sl-SI"/>
        </w:rPr>
        <w:t>pacijenata</w:t>
      </w:r>
      <w:r w:rsidR="009421C7" w:rsidRPr="00BF57A3">
        <w:rPr>
          <w:sz w:val="22"/>
          <w:szCs w:val="22"/>
          <w:lang w:val="sl-SI"/>
        </w:rPr>
        <w:t xml:space="preserve"> </w:t>
      </w:r>
      <w:r w:rsidRPr="00BF57A3">
        <w:rPr>
          <w:sz w:val="22"/>
          <w:szCs w:val="22"/>
          <w:lang w:val="sl-SI"/>
        </w:rPr>
        <w:t>koji primaju lijek Abraxane.</w:t>
      </w:r>
    </w:p>
    <w:p w14:paraId="00CFB0B3" w14:textId="77777777" w:rsidR="00C75DDD" w:rsidRPr="00BF57A3" w:rsidRDefault="00C75DDD">
      <w:pPr>
        <w:pStyle w:val="Header"/>
        <w:tabs>
          <w:tab w:val="left" w:pos="284"/>
        </w:tabs>
        <w:jc w:val="both"/>
        <w:rPr>
          <w:sz w:val="22"/>
          <w:szCs w:val="22"/>
          <w:lang w:val="sl-SI"/>
        </w:rPr>
      </w:pPr>
    </w:p>
    <w:p w14:paraId="3ABA7468" w14:textId="77777777" w:rsidR="00C75DDD" w:rsidRPr="00BF57A3" w:rsidRDefault="00C75DDD">
      <w:pPr>
        <w:pStyle w:val="Header"/>
        <w:tabs>
          <w:tab w:val="left" w:pos="284"/>
        </w:tabs>
        <w:jc w:val="both"/>
        <w:rPr>
          <w:sz w:val="22"/>
          <w:szCs w:val="22"/>
          <w:u w:val="single"/>
          <w:lang w:val="sl-SI"/>
        </w:rPr>
      </w:pPr>
      <w:r w:rsidRPr="00BF57A3">
        <w:rPr>
          <w:sz w:val="22"/>
          <w:szCs w:val="22"/>
          <w:u w:val="single"/>
          <w:lang w:val="sl-SI"/>
        </w:rPr>
        <w:t>Metastaze u CNS</w:t>
      </w:r>
    </w:p>
    <w:p w14:paraId="1E108829" w14:textId="563DB1CB" w:rsidR="00C75DDD" w:rsidRPr="00BF57A3" w:rsidRDefault="00C75DDD">
      <w:pPr>
        <w:pStyle w:val="Header"/>
        <w:tabs>
          <w:tab w:val="left" w:pos="284"/>
        </w:tabs>
        <w:jc w:val="both"/>
        <w:rPr>
          <w:sz w:val="22"/>
          <w:szCs w:val="22"/>
          <w:lang w:val="sl-SI"/>
        </w:rPr>
      </w:pPr>
      <w:r w:rsidRPr="00BF57A3">
        <w:rPr>
          <w:sz w:val="22"/>
          <w:szCs w:val="22"/>
          <w:lang w:val="sl-SI"/>
        </w:rPr>
        <w:t xml:space="preserve">Efikasnost i bezbjednost lijeka Abraxane kod </w:t>
      </w:r>
      <w:r w:rsidR="009421C7">
        <w:rPr>
          <w:sz w:val="22"/>
          <w:szCs w:val="22"/>
          <w:lang w:val="sl-SI"/>
        </w:rPr>
        <w:t>pacijenata</w:t>
      </w:r>
      <w:r w:rsidR="009421C7" w:rsidRPr="00BF57A3">
        <w:rPr>
          <w:sz w:val="22"/>
          <w:szCs w:val="22"/>
          <w:lang w:val="sl-SI"/>
        </w:rPr>
        <w:t xml:space="preserve"> </w:t>
      </w:r>
      <w:r w:rsidRPr="00BF57A3">
        <w:rPr>
          <w:sz w:val="22"/>
          <w:szCs w:val="22"/>
          <w:lang w:val="sl-SI"/>
        </w:rPr>
        <w:t>sa metastazama u centralnom nervnom sistemu (CNS) još ni</w:t>
      </w:r>
      <w:r w:rsidR="008D31C9" w:rsidRPr="00BF57A3">
        <w:rPr>
          <w:sz w:val="22"/>
          <w:szCs w:val="22"/>
          <w:lang w:val="sl-SI"/>
        </w:rPr>
        <w:t>je</w:t>
      </w:r>
      <w:r w:rsidRPr="00BF57A3">
        <w:rPr>
          <w:sz w:val="22"/>
          <w:szCs w:val="22"/>
          <w:lang w:val="sl-SI"/>
        </w:rPr>
        <w:t>su ustanovljene. Metastaze u CNS se obično ne mogu dobro kontrolisa</w:t>
      </w:r>
      <w:r w:rsidR="004712A4" w:rsidRPr="00BF57A3">
        <w:rPr>
          <w:sz w:val="22"/>
          <w:szCs w:val="22"/>
          <w:lang w:val="sl-SI"/>
        </w:rPr>
        <w:t>t</w:t>
      </w:r>
      <w:r w:rsidRPr="00BF57A3">
        <w:rPr>
          <w:sz w:val="22"/>
          <w:szCs w:val="22"/>
          <w:lang w:val="sl-SI"/>
        </w:rPr>
        <w:t>i primjenom sistemske hemoterapije.</w:t>
      </w:r>
    </w:p>
    <w:p w14:paraId="7B444BAE" w14:textId="77777777" w:rsidR="00C75DDD" w:rsidRPr="00BF57A3" w:rsidRDefault="00C75DDD">
      <w:pPr>
        <w:pStyle w:val="Header"/>
        <w:tabs>
          <w:tab w:val="left" w:pos="284"/>
        </w:tabs>
        <w:jc w:val="both"/>
        <w:rPr>
          <w:sz w:val="22"/>
          <w:szCs w:val="22"/>
          <w:lang w:val="sl-SI"/>
        </w:rPr>
      </w:pPr>
    </w:p>
    <w:p w14:paraId="06185AA9" w14:textId="77777777" w:rsidR="00C75DDD" w:rsidRPr="00BF57A3" w:rsidRDefault="00C75DDD">
      <w:pPr>
        <w:pStyle w:val="Header"/>
        <w:tabs>
          <w:tab w:val="left" w:pos="284"/>
        </w:tabs>
        <w:jc w:val="both"/>
        <w:rPr>
          <w:sz w:val="22"/>
          <w:szCs w:val="22"/>
          <w:u w:val="single"/>
          <w:lang w:val="sl-SI"/>
        </w:rPr>
      </w:pPr>
      <w:r w:rsidRPr="00BF57A3">
        <w:rPr>
          <w:sz w:val="22"/>
          <w:szCs w:val="22"/>
          <w:u w:val="single"/>
          <w:lang w:val="sl-SI"/>
        </w:rPr>
        <w:t>Gastrointestinalni simptomi</w:t>
      </w:r>
    </w:p>
    <w:p w14:paraId="6F5AB007" w14:textId="17DAA5EB" w:rsidR="00C75DDD" w:rsidRPr="00BF57A3" w:rsidRDefault="00C75DDD">
      <w:pPr>
        <w:pStyle w:val="Header"/>
        <w:tabs>
          <w:tab w:val="left" w:pos="284"/>
        </w:tabs>
        <w:jc w:val="both"/>
        <w:rPr>
          <w:sz w:val="22"/>
          <w:szCs w:val="22"/>
          <w:lang w:val="sl-SI"/>
        </w:rPr>
      </w:pPr>
      <w:r w:rsidRPr="00BF57A3">
        <w:rPr>
          <w:sz w:val="22"/>
          <w:szCs w:val="22"/>
          <w:lang w:val="sl-SI"/>
        </w:rPr>
        <w:t xml:space="preserve">Ako nakon primjene lijeka Abraxane </w:t>
      </w:r>
      <w:r w:rsidR="009421C7">
        <w:rPr>
          <w:sz w:val="22"/>
          <w:szCs w:val="22"/>
          <w:lang w:val="sl-SI"/>
        </w:rPr>
        <w:t>pacijenti</w:t>
      </w:r>
      <w:r w:rsidR="009421C7" w:rsidRPr="00BF57A3">
        <w:rPr>
          <w:sz w:val="22"/>
          <w:szCs w:val="22"/>
          <w:lang w:val="sl-SI"/>
        </w:rPr>
        <w:t xml:space="preserve"> </w:t>
      </w:r>
      <w:r w:rsidRPr="00BF57A3">
        <w:rPr>
          <w:sz w:val="22"/>
          <w:szCs w:val="22"/>
          <w:lang w:val="sl-SI"/>
        </w:rPr>
        <w:t>osjećaju mučninu, povraćaju i imaju dijareju, mogu biti liječeni uobičajenim antiemeticima i ljekovima protiv dijareje.</w:t>
      </w:r>
    </w:p>
    <w:p w14:paraId="051FE3F3" w14:textId="77777777" w:rsidR="00C75DDD" w:rsidRPr="00BF57A3" w:rsidRDefault="00C75DDD">
      <w:pPr>
        <w:pStyle w:val="Header"/>
        <w:tabs>
          <w:tab w:val="left" w:pos="284"/>
        </w:tabs>
        <w:jc w:val="both"/>
        <w:rPr>
          <w:sz w:val="22"/>
          <w:szCs w:val="22"/>
          <w:lang w:val="sl-SI"/>
        </w:rPr>
      </w:pPr>
    </w:p>
    <w:p w14:paraId="337887DE" w14:textId="77777777" w:rsidR="009043FC" w:rsidRPr="006C640E" w:rsidRDefault="009043FC">
      <w:pPr>
        <w:pStyle w:val="Header"/>
        <w:tabs>
          <w:tab w:val="left" w:pos="284"/>
        </w:tabs>
        <w:jc w:val="both"/>
        <w:rPr>
          <w:sz w:val="22"/>
          <w:szCs w:val="22"/>
          <w:u w:val="single"/>
          <w:lang w:val="sl-SI"/>
        </w:rPr>
      </w:pPr>
      <w:r w:rsidRPr="006C640E">
        <w:rPr>
          <w:sz w:val="22"/>
          <w:szCs w:val="22"/>
          <w:u w:val="single"/>
          <w:lang w:val="sl-SI"/>
        </w:rPr>
        <w:t>Poremećaji</w:t>
      </w:r>
      <w:r w:rsidR="007E4168" w:rsidRPr="006C640E">
        <w:rPr>
          <w:sz w:val="22"/>
          <w:szCs w:val="22"/>
          <w:u w:val="single"/>
          <w:lang w:val="sl-SI"/>
        </w:rPr>
        <w:t xml:space="preserve"> na nivou</w:t>
      </w:r>
      <w:r w:rsidRPr="006C640E">
        <w:rPr>
          <w:sz w:val="22"/>
          <w:szCs w:val="22"/>
          <w:u w:val="single"/>
          <w:lang w:val="sl-SI"/>
        </w:rPr>
        <w:t xml:space="preserve"> oka</w:t>
      </w:r>
    </w:p>
    <w:p w14:paraId="32011808" w14:textId="3C821CD8" w:rsidR="009043FC" w:rsidRPr="00BF57A3" w:rsidRDefault="009043FC">
      <w:pPr>
        <w:pStyle w:val="Header"/>
        <w:tabs>
          <w:tab w:val="left" w:pos="284"/>
        </w:tabs>
        <w:jc w:val="both"/>
        <w:rPr>
          <w:sz w:val="22"/>
          <w:szCs w:val="22"/>
          <w:lang w:val="sl-SI"/>
        </w:rPr>
      </w:pPr>
      <w:r w:rsidRPr="00BF57A3">
        <w:rPr>
          <w:sz w:val="22"/>
          <w:szCs w:val="22"/>
          <w:lang w:val="sl-SI"/>
        </w:rPr>
        <w:t xml:space="preserve">Kod </w:t>
      </w:r>
      <w:r w:rsidR="009421C7">
        <w:rPr>
          <w:sz w:val="22"/>
          <w:szCs w:val="22"/>
          <w:lang w:val="sl-SI"/>
        </w:rPr>
        <w:t>pacijenata</w:t>
      </w:r>
      <w:r w:rsidR="009421C7" w:rsidRPr="00BF57A3">
        <w:rPr>
          <w:sz w:val="22"/>
          <w:szCs w:val="22"/>
          <w:lang w:val="sl-SI"/>
        </w:rPr>
        <w:t xml:space="preserve"> </w:t>
      </w:r>
      <w:r w:rsidRPr="00BF57A3">
        <w:rPr>
          <w:sz w:val="22"/>
          <w:szCs w:val="22"/>
          <w:lang w:val="sl-SI"/>
        </w:rPr>
        <w:t xml:space="preserve">liječenih ljekom Abraxane prijavljen je cistoidni makularni edem (CMO). </w:t>
      </w:r>
      <w:r w:rsidR="009421C7">
        <w:rPr>
          <w:sz w:val="22"/>
          <w:szCs w:val="22"/>
          <w:lang w:val="sl-SI"/>
        </w:rPr>
        <w:t>Pacijente</w:t>
      </w:r>
      <w:r w:rsidRPr="00BF57A3">
        <w:rPr>
          <w:sz w:val="22"/>
          <w:szCs w:val="22"/>
          <w:lang w:val="sl-SI"/>
        </w:rPr>
        <w:t xml:space="preserve"> sa oštećenim vidom treba podvrgnuti brzom i kompletnom oftalmološkom pregledu. U slučaju da se dijagnostikuje cistoidni makularni edem (CMO), terapiju ljekom Abraxane treba prekinuti i započeti odgovarajuće liječenje (vidjeti dio 4.8).</w:t>
      </w:r>
    </w:p>
    <w:p w14:paraId="6F03B036" w14:textId="77777777" w:rsidR="009043FC" w:rsidRPr="00BF57A3" w:rsidRDefault="009043FC">
      <w:pPr>
        <w:pStyle w:val="Header"/>
        <w:tabs>
          <w:tab w:val="left" w:pos="284"/>
        </w:tabs>
        <w:jc w:val="both"/>
        <w:rPr>
          <w:sz w:val="22"/>
          <w:szCs w:val="22"/>
          <w:lang w:val="sl-SI"/>
        </w:rPr>
      </w:pPr>
    </w:p>
    <w:p w14:paraId="7B8C087E" w14:textId="6699625C" w:rsidR="00C75DDD" w:rsidRPr="00BF57A3" w:rsidRDefault="009421C7">
      <w:pPr>
        <w:pStyle w:val="Header"/>
        <w:tabs>
          <w:tab w:val="left" w:pos="284"/>
        </w:tabs>
        <w:jc w:val="both"/>
        <w:rPr>
          <w:sz w:val="22"/>
          <w:szCs w:val="22"/>
          <w:u w:val="single"/>
          <w:lang w:val="sl-SI"/>
        </w:rPr>
      </w:pPr>
      <w:r>
        <w:rPr>
          <w:sz w:val="22"/>
          <w:szCs w:val="22"/>
          <w:u w:val="single"/>
          <w:lang w:val="sl-SI"/>
        </w:rPr>
        <w:t>Pacijenti</w:t>
      </w:r>
      <w:r w:rsidRPr="00BF57A3">
        <w:rPr>
          <w:sz w:val="22"/>
          <w:szCs w:val="22"/>
          <w:u w:val="single"/>
          <w:lang w:val="sl-SI"/>
        </w:rPr>
        <w:t xml:space="preserve"> </w:t>
      </w:r>
      <w:r w:rsidR="004712A4" w:rsidRPr="00BF57A3">
        <w:rPr>
          <w:sz w:val="22"/>
          <w:szCs w:val="22"/>
          <w:u w:val="single"/>
          <w:lang w:val="sl-SI"/>
        </w:rPr>
        <w:t xml:space="preserve">koji imaju </w:t>
      </w:r>
      <w:r w:rsidR="00C75DDD" w:rsidRPr="00BF57A3">
        <w:rPr>
          <w:sz w:val="22"/>
          <w:szCs w:val="22"/>
          <w:u w:val="single"/>
          <w:lang w:val="sl-SI"/>
        </w:rPr>
        <w:t xml:space="preserve">75 i više godina  </w:t>
      </w:r>
    </w:p>
    <w:p w14:paraId="462EB3CC" w14:textId="633D7FF1" w:rsidR="00C75DDD" w:rsidRPr="00BF57A3" w:rsidRDefault="00C75DDD">
      <w:pPr>
        <w:pStyle w:val="Header"/>
        <w:tabs>
          <w:tab w:val="left" w:pos="284"/>
        </w:tabs>
        <w:jc w:val="both"/>
        <w:rPr>
          <w:sz w:val="22"/>
          <w:szCs w:val="22"/>
          <w:lang w:val="sl-SI"/>
        </w:rPr>
      </w:pPr>
      <w:r w:rsidRPr="00BF57A3">
        <w:rPr>
          <w:sz w:val="22"/>
          <w:szCs w:val="22"/>
          <w:lang w:val="sl-SI"/>
        </w:rPr>
        <w:t xml:space="preserve">Za </w:t>
      </w:r>
      <w:r w:rsidR="009421C7">
        <w:rPr>
          <w:sz w:val="22"/>
          <w:szCs w:val="22"/>
          <w:lang w:val="sl-SI"/>
        </w:rPr>
        <w:t>pacijente</w:t>
      </w:r>
      <w:r w:rsidR="009421C7" w:rsidRPr="00BF57A3">
        <w:rPr>
          <w:sz w:val="22"/>
          <w:szCs w:val="22"/>
          <w:lang w:val="sl-SI"/>
        </w:rPr>
        <w:t xml:space="preserve"> </w:t>
      </w:r>
      <w:r w:rsidR="004712A4" w:rsidRPr="00BF57A3">
        <w:rPr>
          <w:sz w:val="22"/>
          <w:szCs w:val="22"/>
          <w:lang w:val="sl-SI"/>
        </w:rPr>
        <w:t xml:space="preserve">koji imaju </w:t>
      </w:r>
      <w:r w:rsidRPr="00BF57A3">
        <w:rPr>
          <w:sz w:val="22"/>
          <w:szCs w:val="22"/>
          <w:lang w:val="sl-SI"/>
        </w:rPr>
        <w:t xml:space="preserve">75 i više godina, nije dokazana korist od liječenja kombinacijom lijeka Abraxane i gemcitabina u poređenju sa monoterapijom gemcitabinom. Kod vrlo starih </w:t>
      </w:r>
      <w:r w:rsidR="009421C7">
        <w:rPr>
          <w:sz w:val="22"/>
          <w:szCs w:val="22"/>
          <w:lang w:val="sl-SI"/>
        </w:rPr>
        <w:t>pacijenata</w:t>
      </w:r>
      <w:r w:rsidR="009421C7" w:rsidRPr="00BF57A3">
        <w:rPr>
          <w:sz w:val="22"/>
          <w:szCs w:val="22"/>
          <w:lang w:val="sl-SI"/>
        </w:rPr>
        <w:t xml:space="preserve"> </w:t>
      </w:r>
      <w:r w:rsidRPr="00BF57A3">
        <w:rPr>
          <w:sz w:val="22"/>
          <w:szCs w:val="22"/>
          <w:lang w:val="sl-SI"/>
        </w:rPr>
        <w:t xml:space="preserve">(≥ 75 godina) koji su primali lijek Abraxane u kombinaciji sa gemcitabinom, bila je veća incidenca ozbiljnih neželjenih dejstava i neželjenih dejstava koja su dovela do prekida liječenja uključujući hematološke toksičnosti, perifernu neuropatiju, smanjeni apetit i dehidraciju. Kod </w:t>
      </w:r>
      <w:r w:rsidR="009421C7">
        <w:rPr>
          <w:sz w:val="22"/>
          <w:szCs w:val="22"/>
          <w:lang w:val="sl-SI"/>
        </w:rPr>
        <w:t>pacijenata</w:t>
      </w:r>
      <w:r w:rsidR="009421C7" w:rsidRPr="00BF57A3">
        <w:rPr>
          <w:sz w:val="22"/>
          <w:szCs w:val="22"/>
          <w:lang w:val="sl-SI"/>
        </w:rPr>
        <w:t xml:space="preserve"> </w:t>
      </w:r>
      <w:r w:rsidRPr="00BF57A3">
        <w:rPr>
          <w:sz w:val="22"/>
          <w:szCs w:val="22"/>
          <w:lang w:val="sl-SI"/>
        </w:rPr>
        <w:t xml:space="preserve">sa adenokarcinomom pankreasa </w:t>
      </w:r>
      <w:r w:rsidR="004712A4" w:rsidRPr="00BF57A3">
        <w:rPr>
          <w:sz w:val="22"/>
          <w:szCs w:val="22"/>
          <w:lang w:val="sl-SI"/>
        </w:rPr>
        <w:t xml:space="preserve">koji imaju </w:t>
      </w:r>
      <w:r w:rsidRPr="00BF57A3">
        <w:rPr>
          <w:sz w:val="22"/>
          <w:szCs w:val="22"/>
          <w:lang w:val="sl-SI"/>
        </w:rPr>
        <w:t>75 i više godina, treba pažljivo procijeniti njihovu sposobnost podnošenja lijeka Abraxane u kombinaciji sa gemcitabinom, a naročito opšti status, komorbiditete i povećani</w:t>
      </w:r>
      <w:r w:rsidR="00AE7B20" w:rsidRPr="00BF57A3">
        <w:rPr>
          <w:sz w:val="22"/>
          <w:szCs w:val="22"/>
          <w:lang w:val="sl-SI"/>
        </w:rPr>
        <w:t xml:space="preserve"> rizik od infekcija (vidjeti </w:t>
      </w:r>
      <w:r w:rsidR="009421C7">
        <w:rPr>
          <w:sz w:val="22"/>
          <w:szCs w:val="22"/>
          <w:lang w:val="sl-SI"/>
        </w:rPr>
        <w:t>djelove</w:t>
      </w:r>
      <w:r w:rsidR="009421C7" w:rsidRPr="00BF57A3">
        <w:rPr>
          <w:sz w:val="22"/>
          <w:szCs w:val="22"/>
          <w:lang w:val="sl-SI"/>
        </w:rPr>
        <w:t xml:space="preserve"> </w:t>
      </w:r>
      <w:r w:rsidRPr="00BF57A3">
        <w:rPr>
          <w:sz w:val="22"/>
          <w:szCs w:val="22"/>
          <w:lang w:val="sl-SI"/>
        </w:rPr>
        <w:t>4.2 i 4.8).</w:t>
      </w:r>
    </w:p>
    <w:p w14:paraId="08B473DA" w14:textId="77777777" w:rsidR="00C75DDD" w:rsidRPr="00BF57A3" w:rsidRDefault="00C75DDD">
      <w:pPr>
        <w:pStyle w:val="Header"/>
        <w:tabs>
          <w:tab w:val="left" w:pos="284"/>
        </w:tabs>
        <w:jc w:val="both"/>
        <w:rPr>
          <w:sz w:val="22"/>
          <w:szCs w:val="22"/>
          <w:lang w:val="sl-SI"/>
        </w:rPr>
      </w:pPr>
    </w:p>
    <w:p w14:paraId="0DCD2467" w14:textId="77777777" w:rsidR="00C75DDD" w:rsidRPr="00BF57A3" w:rsidRDefault="00C75DDD">
      <w:pPr>
        <w:pStyle w:val="Header"/>
        <w:tabs>
          <w:tab w:val="left" w:pos="284"/>
        </w:tabs>
        <w:jc w:val="both"/>
        <w:rPr>
          <w:sz w:val="22"/>
          <w:szCs w:val="22"/>
          <w:u w:val="single"/>
          <w:lang w:val="sl-SI"/>
        </w:rPr>
      </w:pPr>
      <w:r w:rsidRPr="00BF57A3">
        <w:rPr>
          <w:sz w:val="22"/>
          <w:szCs w:val="22"/>
          <w:u w:val="single"/>
          <w:lang w:val="sl-SI"/>
        </w:rPr>
        <w:t>Drugo</w:t>
      </w:r>
    </w:p>
    <w:p w14:paraId="11FA2B5C" w14:textId="57E572E3" w:rsidR="00C75DDD" w:rsidRPr="00BF57A3" w:rsidRDefault="00C75DDD">
      <w:pPr>
        <w:pStyle w:val="Header"/>
        <w:tabs>
          <w:tab w:val="left" w:pos="284"/>
        </w:tabs>
        <w:jc w:val="both"/>
        <w:rPr>
          <w:sz w:val="22"/>
          <w:szCs w:val="22"/>
          <w:lang w:val="sl-SI"/>
        </w:rPr>
      </w:pPr>
      <w:r w:rsidRPr="00BF57A3">
        <w:rPr>
          <w:sz w:val="22"/>
          <w:szCs w:val="22"/>
          <w:lang w:val="sl-SI"/>
        </w:rPr>
        <w:t xml:space="preserve">Iako postoje ograničeni podaci, nije dokazana jasna korist u smislu produženog opšteg preživljavanja kod </w:t>
      </w:r>
      <w:r w:rsidR="000E755D">
        <w:rPr>
          <w:sz w:val="22"/>
          <w:szCs w:val="22"/>
          <w:lang w:val="sl-SI"/>
        </w:rPr>
        <w:t>pacijenata</w:t>
      </w:r>
      <w:r w:rsidR="000E755D" w:rsidRPr="00BF57A3">
        <w:rPr>
          <w:sz w:val="22"/>
          <w:szCs w:val="22"/>
          <w:lang w:val="sl-SI"/>
        </w:rPr>
        <w:t xml:space="preserve"> </w:t>
      </w:r>
      <w:r w:rsidRPr="00BF57A3">
        <w:rPr>
          <w:sz w:val="22"/>
          <w:szCs w:val="22"/>
          <w:lang w:val="sl-SI"/>
        </w:rPr>
        <w:t>sa adenokarcinomom pankreasa i normalnim nivoima CA 19-9 prije početka terapije lijekom Abra</w:t>
      </w:r>
      <w:r w:rsidR="00AE7B20" w:rsidRPr="00BF57A3">
        <w:rPr>
          <w:sz w:val="22"/>
          <w:szCs w:val="22"/>
          <w:lang w:val="sl-SI"/>
        </w:rPr>
        <w:t xml:space="preserve">xane i gemcitabinom (vidjeti </w:t>
      </w:r>
      <w:r w:rsidR="009421C7">
        <w:rPr>
          <w:sz w:val="22"/>
          <w:szCs w:val="22"/>
          <w:lang w:val="sl-SI"/>
        </w:rPr>
        <w:t>dio</w:t>
      </w:r>
      <w:r w:rsidR="009421C7" w:rsidRPr="00BF57A3">
        <w:rPr>
          <w:sz w:val="22"/>
          <w:szCs w:val="22"/>
          <w:lang w:val="sl-SI"/>
        </w:rPr>
        <w:t xml:space="preserve"> </w:t>
      </w:r>
      <w:r w:rsidRPr="00BF57A3">
        <w:rPr>
          <w:sz w:val="22"/>
          <w:szCs w:val="22"/>
          <w:lang w:val="sl-SI"/>
        </w:rPr>
        <w:t>5.1).</w:t>
      </w:r>
    </w:p>
    <w:p w14:paraId="455E14C8" w14:textId="77777777" w:rsidR="00C75DDD" w:rsidRPr="00BF57A3" w:rsidRDefault="00C75DDD">
      <w:pPr>
        <w:pStyle w:val="Header"/>
        <w:tabs>
          <w:tab w:val="left" w:pos="284"/>
        </w:tabs>
        <w:jc w:val="both"/>
        <w:rPr>
          <w:sz w:val="22"/>
          <w:szCs w:val="22"/>
          <w:lang w:val="sl-SI"/>
        </w:rPr>
      </w:pPr>
    </w:p>
    <w:p w14:paraId="45500483" w14:textId="6A407D84" w:rsidR="00C75DDD" w:rsidRPr="00BF57A3" w:rsidRDefault="00C75DDD">
      <w:pPr>
        <w:pStyle w:val="Header"/>
        <w:tabs>
          <w:tab w:val="left" w:pos="284"/>
        </w:tabs>
        <w:jc w:val="both"/>
        <w:rPr>
          <w:sz w:val="22"/>
          <w:szCs w:val="22"/>
          <w:lang w:val="sl-SI"/>
        </w:rPr>
      </w:pPr>
      <w:r w:rsidRPr="00BF57A3">
        <w:rPr>
          <w:sz w:val="22"/>
          <w:szCs w:val="22"/>
          <w:lang w:val="sl-SI"/>
        </w:rPr>
        <w:t xml:space="preserve">Erlotinib se ne smije primjenjivati zajedno sa lijekom Abraxane u kombinaciji sa gemcitabinom (vidjeti </w:t>
      </w:r>
      <w:r w:rsidR="009421C7">
        <w:rPr>
          <w:sz w:val="22"/>
          <w:szCs w:val="22"/>
          <w:lang w:val="sl-SI"/>
        </w:rPr>
        <w:t>dio</w:t>
      </w:r>
      <w:r w:rsidR="009421C7" w:rsidRPr="00BF57A3">
        <w:rPr>
          <w:sz w:val="22"/>
          <w:szCs w:val="22"/>
          <w:lang w:val="sl-SI"/>
        </w:rPr>
        <w:t xml:space="preserve"> </w:t>
      </w:r>
      <w:r w:rsidRPr="00BF57A3">
        <w:rPr>
          <w:sz w:val="22"/>
          <w:szCs w:val="22"/>
          <w:lang w:val="sl-SI"/>
        </w:rPr>
        <w:t>4.5).</w:t>
      </w:r>
    </w:p>
    <w:p w14:paraId="29C9F6D9" w14:textId="77777777" w:rsidR="00C75DDD" w:rsidRPr="00BF57A3" w:rsidRDefault="00C75DDD">
      <w:pPr>
        <w:pStyle w:val="Header"/>
        <w:tabs>
          <w:tab w:val="left" w:pos="284"/>
        </w:tabs>
        <w:jc w:val="both"/>
        <w:rPr>
          <w:sz w:val="22"/>
          <w:szCs w:val="22"/>
          <w:lang w:val="sl-SI"/>
        </w:rPr>
      </w:pPr>
    </w:p>
    <w:p w14:paraId="440FB3D4" w14:textId="77777777" w:rsidR="00C75DDD" w:rsidRPr="00BF57A3" w:rsidRDefault="00AA4B76">
      <w:pPr>
        <w:pStyle w:val="Header"/>
        <w:tabs>
          <w:tab w:val="left" w:pos="284"/>
        </w:tabs>
        <w:jc w:val="both"/>
        <w:rPr>
          <w:sz w:val="22"/>
          <w:szCs w:val="22"/>
          <w:u w:val="single"/>
          <w:lang w:val="sl-SI"/>
        </w:rPr>
      </w:pPr>
      <w:r w:rsidRPr="00BF57A3">
        <w:rPr>
          <w:sz w:val="22"/>
          <w:szCs w:val="22"/>
          <w:u w:val="single"/>
          <w:lang w:val="sl-SI"/>
        </w:rPr>
        <w:t>Ekscipijensi</w:t>
      </w:r>
    </w:p>
    <w:p w14:paraId="2972B36B" w14:textId="77777777" w:rsidR="00C75DDD" w:rsidRPr="00BF57A3" w:rsidRDefault="00AA4B76">
      <w:pPr>
        <w:pStyle w:val="Header"/>
        <w:tabs>
          <w:tab w:val="left" w:pos="284"/>
        </w:tabs>
        <w:jc w:val="both"/>
        <w:rPr>
          <w:sz w:val="22"/>
          <w:szCs w:val="22"/>
          <w:lang w:val="sl-SI"/>
        </w:rPr>
      </w:pPr>
      <w:r w:rsidRPr="00BF57A3">
        <w:rPr>
          <w:sz w:val="22"/>
          <w:szCs w:val="22"/>
          <w:lang w:val="sl-SI"/>
        </w:rPr>
        <w:t>Ovaj lijek sadrži manje od 1mmol</w:t>
      </w:r>
      <w:r w:rsidR="00A64AC6" w:rsidRPr="00BF57A3">
        <w:rPr>
          <w:sz w:val="22"/>
          <w:szCs w:val="22"/>
          <w:lang w:val="sl-SI"/>
        </w:rPr>
        <w:t>a</w:t>
      </w:r>
      <w:r w:rsidRPr="00BF57A3">
        <w:rPr>
          <w:sz w:val="22"/>
          <w:szCs w:val="22"/>
          <w:lang w:val="sl-SI"/>
        </w:rPr>
        <w:t xml:space="preserve"> natrijuma (23 mg) u 100 mg, odnosno esencijalnog, »slobodnog« natrijuma.</w:t>
      </w:r>
    </w:p>
    <w:p w14:paraId="3059DCD3" w14:textId="77777777" w:rsidR="00C75DDD" w:rsidRPr="00BF57A3" w:rsidRDefault="00C75DDD">
      <w:pPr>
        <w:tabs>
          <w:tab w:val="left" w:pos="540"/>
          <w:tab w:val="left" w:pos="569"/>
        </w:tabs>
        <w:jc w:val="both"/>
        <w:rPr>
          <w:bCs/>
          <w:sz w:val="22"/>
          <w:szCs w:val="22"/>
          <w:lang w:val="sl-SI"/>
        </w:rPr>
      </w:pPr>
    </w:p>
    <w:p w14:paraId="0279530A" w14:textId="77777777" w:rsidR="00411B4B" w:rsidRPr="00BF57A3" w:rsidRDefault="00411B4B">
      <w:pPr>
        <w:tabs>
          <w:tab w:val="left" w:pos="540"/>
          <w:tab w:val="left" w:pos="569"/>
        </w:tabs>
        <w:jc w:val="both"/>
        <w:rPr>
          <w:b/>
          <w:bCs/>
          <w:sz w:val="22"/>
          <w:szCs w:val="22"/>
          <w:lang w:val="de-DE"/>
        </w:rPr>
      </w:pPr>
      <w:r w:rsidRPr="00BF57A3">
        <w:rPr>
          <w:b/>
          <w:bCs/>
          <w:sz w:val="22"/>
          <w:szCs w:val="22"/>
          <w:lang w:val="de-DE"/>
        </w:rPr>
        <w:t xml:space="preserve">4.5. </w:t>
      </w:r>
      <w:r w:rsidR="00480FB1" w:rsidRPr="00BF57A3">
        <w:rPr>
          <w:b/>
          <w:bCs/>
          <w:sz w:val="22"/>
          <w:szCs w:val="22"/>
          <w:lang w:val="de-DE"/>
        </w:rPr>
        <w:tab/>
      </w:r>
      <w:r w:rsidRPr="00BF57A3">
        <w:rPr>
          <w:b/>
          <w:bCs/>
          <w:sz w:val="22"/>
          <w:szCs w:val="22"/>
          <w:lang w:val="de-DE"/>
        </w:rPr>
        <w:t>Interakcije sa drugim ljekovima i druge vrste interakcija</w:t>
      </w:r>
    </w:p>
    <w:p w14:paraId="03734595" w14:textId="77777777" w:rsidR="0072020E" w:rsidRPr="00BF57A3" w:rsidRDefault="0072020E">
      <w:pPr>
        <w:tabs>
          <w:tab w:val="left" w:pos="540"/>
          <w:tab w:val="left" w:pos="569"/>
        </w:tabs>
        <w:jc w:val="both"/>
        <w:rPr>
          <w:bCs/>
          <w:sz w:val="22"/>
          <w:szCs w:val="22"/>
          <w:lang w:val="de-DE"/>
        </w:rPr>
      </w:pPr>
    </w:p>
    <w:p w14:paraId="78411947" w14:textId="1FCA5AE1" w:rsidR="004F3CF2" w:rsidRPr="00BF57A3" w:rsidRDefault="004F3CF2">
      <w:pPr>
        <w:pStyle w:val="Header"/>
        <w:tabs>
          <w:tab w:val="left" w:pos="284"/>
        </w:tabs>
        <w:jc w:val="both"/>
        <w:rPr>
          <w:sz w:val="22"/>
          <w:szCs w:val="22"/>
          <w:lang w:val="de-DE"/>
        </w:rPr>
      </w:pPr>
      <w:r w:rsidRPr="00BF57A3">
        <w:rPr>
          <w:sz w:val="22"/>
          <w:szCs w:val="22"/>
          <w:lang w:val="de-DE"/>
        </w:rPr>
        <w:t xml:space="preserve">Metabolizam paklitaksela je djelimično katalizovan izoenzimima citohroma P450 CYP2C8 i CYP3A4 (vidjeti </w:t>
      </w:r>
      <w:r w:rsidR="009421C7">
        <w:rPr>
          <w:sz w:val="22"/>
          <w:szCs w:val="22"/>
          <w:lang w:val="sl-SI"/>
        </w:rPr>
        <w:t>dio</w:t>
      </w:r>
      <w:r w:rsidR="009421C7" w:rsidRPr="00BF57A3">
        <w:rPr>
          <w:sz w:val="22"/>
          <w:szCs w:val="22"/>
          <w:lang w:val="sl-SI"/>
        </w:rPr>
        <w:t xml:space="preserve"> </w:t>
      </w:r>
      <w:r w:rsidRPr="00BF57A3">
        <w:rPr>
          <w:sz w:val="22"/>
          <w:szCs w:val="22"/>
          <w:lang w:val="de-DE"/>
        </w:rPr>
        <w:t>5.2). Stoga</w:t>
      </w:r>
      <w:r w:rsidR="00ED5709" w:rsidRPr="00BF57A3">
        <w:rPr>
          <w:sz w:val="22"/>
          <w:szCs w:val="22"/>
          <w:lang w:val="de-DE"/>
        </w:rPr>
        <w:t>, pošto nije sprovedeno farmakokinetičko ispitivanje interakcija</w:t>
      </w:r>
      <w:r w:rsidR="00652F40" w:rsidRPr="00BF57A3">
        <w:rPr>
          <w:sz w:val="22"/>
          <w:szCs w:val="22"/>
          <w:lang w:val="de-DE"/>
        </w:rPr>
        <w:t xml:space="preserve"> l</w:t>
      </w:r>
      <w:r w:rsidR="00ED5709" w:rsidRPr="00BF57A3">
        <w:rPr>
          <w:sz w:val="22"/>
          <w:szCs w:val="22"/>
          <w:lang w:val="de-DE"/>
        </w:rPr>
        <w:t xml:space="preserve">jekova, </w:t>
      </w:r>
      <w:r w:rsidRPr="00BF57A3">
        <w:rPr>
          <w:sz w:val="22"/>
          <w:szCs w:val="22"/>
          <w:lang w:val="de-DE"/>
        </w:rPr>
        <w:t xml:space="preserve"> potreban </w:t>
      </w:r>
      <w:r w:rsidR="00ED5709" w:rsidRPr="00BF57A3">
        <w:rPr>
          <w:sz w:val="22"/>
          <w:szCs w:val="22"/>
          <w:lang w:val="de-DE"/>
        </w:rPr>
        <w:t xml:space="preserve">je </w:t>
      </w:r>
      <w:r w:rsidRPr="00BF57A3">
        <w:rPr>
          <w:sz w:val="22"/>
          <w:szCs w:val="22"/>
          <w:lang w:val="de-DE"/>
        </w:rPr>
        <w:t xml:space="preserve">oprez prilikom primjene paklitaksela istovremeno sa ljekovima za koje je utvrđeno da inhibiraju </w:t>
      </w:r>
      <w:r w:rsidR="000012EC" w:rsidRPr="00BF57A3">
        <w:rPr>
          <w:sz w:val="22"/>
          <w:szCs w:val="22"/>
          <w:lang w:val="de-DE"/>
        </w:rPr>
        <w:t xml:space="preserve">bilo </w:t>
      </w:r>
      <w:r w:rsidR="006012A9" w:rsidRPr="00BF57A3">
        <w:rPr>
          <w:sz w:val="22"/>
          <w:szCs w:val="22"/>
          <w:lang w:val="de-DE"/>
        </w:rPr>
        <w:t xml:space="preserve">CYP2C8 ili CYP3A4 </w:t>
      </w:r>
      <w:r w:rsidRPr="00BF57A3">
        <w:rPr>
          <w:sz w:val="22"/>
          <w:szCs w:val="22"/>
          <w:lang w:val="de-DE"/>
        </w:rPr>
        <w:t xml:space="preserve">(na primjer ketokonazol i drugi imidazolni antifugalni agensi, eritromicin, fluoksetin, gemfibrozil, </w:t>
      </w:r>
      <w:r w:rsidR="00893377" w:rsidRPr="00BF57A3">
        <w:rPr>
          <w:sz w:val="22"/>
          <w:szCs w:val="22"/>
          <w:lang w:val="de-DE"/>
        </w:rPr>
        <w:t xml:space="preserve">klopidogrel, </w:t>
      </w:r>
      <w:r w:rsidRPr="00BF57A3">
        <w:rPr>
          <w:sz w:val="22"/>
          <w:szCs w:val="22"/>
          <w:lang w:val="de-DE"/>
        </w:rPr>
        <w:t>cimetidin, ritonavir, sakvinavir, indinavir i nelfinavir)</w:t>
      </w:r>
      <w:r w:rsidR="00730A49" w:rsidRPr="00BF57A3">
        <w:rPr>
          <w:sz w:val="22"/>
          <w:szCs w:val="22"/>
          <w:lang w:val="de-DE"/>
        </w:rPr>
        <w:t>, jer se toksičnost paklitaksela mož</w:t>
      </w:r>
      <w:r w:rsidR="000C5067" w:rsidRPr="00BF57A3">
        <w:rPr>
          <w:sz w:val="22"/>
          <w:szCs w:val="22"/>
          <w:lang w:val="de-DE"/>
        </w:rPr>
        <w:t>e povećati usl</w:t>
      </w:r>
      <w:r w:rsidR="004712A4" w:rsidRPr="00BF57A3">
        <w:rPr>
          <w:sz w:val="22"/>
          <w:szCs w:val="22"/>
          <w:lang w:val="de-DE"/>
        </w:rPr>
        <w:t>j</w:t>
      </w:r>
      <w:r w:rsidR="000C5067" w:rsidRPr="00BF57A3">
        <w:rPr>
          <w:sz w:val="22"/>
          <w:szCs w:val="22"/>
          <w:lang w:val="de-DE"/>
        </w:rPr>
        <w:t>ed veće izloženosti</w:t>
      </w:r>
      <w:r w:rsidR="00730A49" w:rsidRPr="00BF57A3">
        <w:rPr>
          <w:sz w:val="22"/>
          <w:szCs w:val="22"/>
          <w:lang w:val="de-DE"/>
        </w:rPr>
        <w:t xml:space="preserve"> paklitakselu.</w:t>
      </w:r>
      <w:r w:rsidR="00BD765F" w:rsidRPr="00BF57A3">
        <w:rPr>
          <w:sz w:val="22"/>
          <w:szCs w:val="22"/>
          <w:lang w:val="de-DE"/>
        </w:rPr>
        <w:t xml:space="preserve"> Istovremena primjena paklitaksela sa ljekovima koji</w:t>
      </w:r>
      <w:r w:rsidRPr="00BF57A3">
        <w:rPr>
          <w:sz w:val="22"/>
          <w:szCs w:val="22"/>
          <w:lang w:val="de-DE"/>
        </w:rPr>
        <w:t xml:space="preserve"> indukuju </w:t>
      </w:r>
      <w:r w:rsidR="000012EC" w:rsidRPr="00BF57A3">
        <w:rPr>
          <w:sz w:val="22"/>
          <w:szCs w:val="22"/>
          <w:lang w:val="de-DE"/>
        </w:rPr>
        <w:t>b</w:t>
      </w:r>
      <w:r w:rsidR="00724E80" w:rsidRPr="00BF57A3">
        <w:rPr>
          <w:sz w:val="22"/>
          <w:szCs w:val="22"/>
          <w:lang w:val="de-DE"/>
        </w:rPr>
        <w:t>ilo</w:t>
      </w:r>
      <w:r w:rsidR="00CA1B9E" w:rsidRPr="00BF57A3">
        <w:rPr>
          <w:sz w:val="22"/>
          <w:szCs w:val="22"/>
          <w:lang w:val="de-DE"/>
        </w:rPr>
        <w:t xml:space="preserve"> CYP2C8 ili CYP3A4 </w:t>
      </w:r>
      <w:r w:rsidRPr="00BF57A3">
        <w:rPr>
          <w:sz w:val="22"/>
          <w:szCs w:val="22"/>
          <w:lang w:val="de-DE"/>
        </w:rPr>
        <w:t>(na primjer rifampicin, karbamazepin, fenitoin, efavirenz, nevirapin)</w:t>
      </w:r>
      <w:r w:rsidR="00146C48" w:rsidRPr="00BF57A3">
        <w:rPr>
          <w:sz w:val="22"/>
          <w:szCs w:val="22"/>
          <w:lang w:val="de-DE"/>
        </w:rPr>
        <w:t xml:space="preserve"> se ne preporučuje</w:t>
      </w:r>
      <w:r w:rsidR="004712A4" w:rsidRPr="00BF57A3">
        <w:rPr>
          <w:sz w:val="22"/>
          <w:szCs w:val="22"/>
          <w:lang w:val="de-DE"/>
        </w:rPr>
        <w:t>,</w:t>
      </w:r>
      <w:r w:rsidR="00146C48" w:rsidRPr="00BF57A3">
        <w:rPr>
          <w:sz w:val="22"/>
          <w:szCs w:val="22"/>
          <w:lang w:val="de-DE"/>
        </w:rPr>
        <w:t xml:space="preserve"> zato što efikasnost može biti kompromitovana </w:t>
      </w:r>
      <w:r w:rsidR="00724E80" w:rsidRPr="00BF57A3">
        <w:rPr>
          <w:sz w:val="22"/>
          <w:szCs w:val="22"/>
          <w:lang w:val="de-DE"/>
        </w:rPr>
        <w:t>zbog</w:t>
      </w:r>
      <w:r w:rsidR="00574CF9" w:rsidRPr="00BF57A3">
        <w:rPr>
          <w:sz w:val="22"/>
          <w:szCs w:val="22"/>
          <w:lang w:val="de-DE"/>
        </w:rPr>
        <w:t xml:space="preserve"> manje izloženosti</w:t>
      </w:r>
      <w:r w:rsidR="006B7009" w:rsidRPr="00BF57A3">
        <w:rPr>
          <w:sz w:val="22"/>
          <w:szCs w:val="22"/>
          <w:lang w:val="de-DE"/>
        </w:rPr>
        <w:t xml:space="preserve"> paklitakselu.</w:t>
      </w:r>
      <w:r w:rsidRPr="00BF57A3">
        <w:rPr>
          <w:sz w:val="22"/>
          <w:szCs w:val="22"/>
          <w:lang w:val="de-DE"/>
        </w:rPr>
        <w:t xml:space="preserve"> </w:t>
      </w:r>
    </w:p>
    <w:p w14:paraId="7473B9CF" w14:textId="77777777" w:rsidR="004F3CF2" w:rsidRPr="00BF57A3" w:rsidRDefault="004F3CF2">
      <w:pPr>
        <w:pStyle w:val="Header"/>
        <w:tabs>
          <w:tab w:val="left" w:pos="284"/>
        </w:tabs>
        <w:jc w:val="both"/>
        <w:rPr>
          <w:sz w:val="22"/>
          <w:szCs w:val="22"/>
          <w:lang w:val="de-DE"/>
        </w:rPr>
      </w:pPr>
    </w:p>
    <w:p w14:paraId="16AC2307" w14:textId="77777777" w:rsidR="004F3CF2" w:rsidRPr="00BF57A3" w:rsidRDefault="004F3CF2">
      <w:pPr>
        <w:pStyle w:val="Header"/>
        <w:tabs>
          <w:tab w:val="left" w:pos="284"/>
        </w:tabs>
        <w:jc w:val="both"/>
        <w:rPr>
          <w:sz w:val="22"/>
          <w:szCs w:val="22"/>
          <w:lang w:val="de-DE"/>
        </w:rPr>
      </w:pPr>
      <w:r w:rsidRPr="00BF57A3">
        <w:rPr>
          <w:sz w:val="22"/>
          <w:szCs w:val="22"/>
          <w:lang w:val="de-DE"/>
        </w:rPr>
        <w:t xml:space="preserve">Paklitaksel i gemcitabin nemaju zajednički metabolički put. Klirens paklitaksela primarno je određen metabolizmom posredovanim CYP2C8 i CYP3A4 nakon čega slijedi bilijarna ekskrecija, dok se gemcitabin </w:t>
      </w:r>
      <w:r w:rsidRPr="00BF57A3">
        <w:rPr>
          <w:sz w:val="22"/>
          <w:szCs w:val="22"/>
          <w:lang w:val="de-DE"/>
        </w:rPr>
        <w:lastRenderedPageBreak/>
        <w:t>inaktivira citidin deaminazom</w:t>
      </w:r>
      <w:r w:rsidR="004712A4" w:rsidRPr="00BF57A3">
        <w:rPr>
          <w:sz w:val="22"/>
          <w:szCs w:val="22"/>
          <w:lang w:val="de-DE"/>
        </w:rPr>
        <w:t>,</w:t>
      </w:r>
      <w:r w:rsidRPr="00BF57A3">
        <w:rPr>
          <w:sz w:val="22"/>
          <w:szCs w:val="22"/>
          <w:lang w:val="de-DE"/>
        </w:rPr>
        <w:t xml:space="preserve"> nakon čega slijedi ekskrecija urinom. Farmakokinetičke interakcije između lijeka Abraxane i gemcitabina kod ljudi nisu procijenjene.</w:t>
      </w:r>
    </w:p>
    <w:p w14:paraId="64C87B83" w14:textId="77777777" w:rsidR="004F3CF2" w:rsidRPr="00BF57A3" w:rsidRDefault="004F3CF2">
      <w:pPr>
        <w:pStyle w:val="Header"/>
        <w:tabs>
          <w:tab w:val="left" w:pos="284"/>
        </w:tabs>
        <w:jc w:val="both"/>
        <w:rPr>
          <w:sz w:val="22"/>
          <w:szCs w:val="22"/>
          <w:lang w:val="de-DE"/>
        </w:rPr>
      </w:pPr>
    </w:p>
    <w:p w14:paraId="7A3744BA" w14:textId="310D1F50" w:rsidR="00ED5709" w:rsidRPr="00BF57A3" w:rsidRDefault="00ED5709">
      <w:pPr>
        <w:pStyle w:val="Header"/>
        <w:tabs>
          <w:tab w:val="left" w:pos="284"/>
        </w:tabs>
        <w:jc w:val="both"/>
        <w:rPr>
          <w:sz w:val="22"/>
          <w:szCs w:val="22"/>
          <w:lang w:val="de-DE"/>
        </w:rPr>
      </w:pPr>
      <w:r w:rsidRPr="00BF57A3">
        <w:rPr>
          <w:sz w:val="22"/>
          <w:szCs w:val="22"/>
          <w:lang w:val="de-DE"/>
        </w:rPr>
        <w:t xml:space="preserve">Farmakokinetičko ispitivanje </w:t>
      </w:r>
      <w:r w:rsidR="00B45D8E" w:rsidRPr="00BF57A3">
        <w:rPr>
          <w:sz w:val="22"/>
          <w:szCs w:val="22"/>
          <w:lang w:val="de-DE"/>
        </w:rPr>
        <w:t>s</w:t>
      </w:r>
      <w:r w:rsidRPr="00BF57A3">
        <w:rPr>
          <w:sz w:val="22"/>
          <w:szCs w:val="22"/>
          <w:lang w:val="de-DE"/>
        </w:rPr>
        <w:t>provedeno je s</w:t>
      </w:r>
      <w:r w:rsidR="00B45D8E" w:rsidRPr="00BF57A3">
        <w:rPr>
          <w:sz w:val="22"/>
          <w:szCs w:val="22"/>
          <w:lang w:val="de-DE"/>
        </w:rPr>
        <w:t>a</w:t>
      </w:r>
      <w:r w:rsidRPr="00BF57A3">
        <w:rPr>
          <w:sz w:val="22"/>
          <w:szCs w:val="22"/>
          <w:lang w:val="de-DE"/>
        </w:rPr>
        <w:t xml:space="preserve"> li</w:t>
      </w:r>
      <w:r w:rsidR="00B45D8E" w:rsidRPr="00BF57A3">
        <w:rPr>
          <w:sz w:val="22"/>
          <w:szCs w:val="22"/>
          <w:lang w:val="de-DE"/>
        </w:rPr>
        <w:t>jekom Abraxane i karboplatinom kod</w:t>
      </w:r>
      <w:r w:rsidRPr="00BF57A3">
        <w:rPr>
          <w:sz w:val="22"/>
          <w:szCs w:val="22"/>
          <w:lang w:val="de-DE"/>
        </w:rPr>
        <w:t xml:space="preserve"> </w:t>
      </w:r>
      <w:r w:rsidR="00CD3413">
        <w:rPr>
          <w:sz w:val="22"/>
          <w:szCs w:val="22"/>
          <w:lang w:val="de-DE"/>
        </w:rPr>
        <w:t>pacijenata</w:t>
      </w:r>
      <w:r w:rsidR="00CD3413" w:rsidRPr="00BF57A3">
        <w:rPr>
          <w:sz w:val="22"/>
          <w:szCs w:val="22"/>
          <w:lang w:val="de-DE"/>
        </w:rPr>
        <w:t xml:space="preserve"> </w:t>
      </w:r>
      <w:r w:rsidRPr="00BF57A3">
        <w:rPr>
          <w:sz w:val="22"/>
          <w:szCs w:val="22"/>
          <w:lang w:val="de-DE"/>
        </w:rPr>
        <w:t>s</w:t>
      </w:r>
      <w:r w:rsidR="00B45D8E" w:rsidRPr="00BF57A3">
        <w:rPr>
          <w:sz w:val="22"/>
          <w:szCs w:val="22"/>
          <w:lang w:val="de-DE"/>
        </w:rPr>
        <w:t>a</w:t>
      </w:r>
      <w:r w:rsidRPr="00BF57A3">
        <w:rPr>
          <w:sz w:val="22"/>
          <w:szCs w:val="22"/>
          <w:lang w:val="de-DE"/>
        </w:rPr>
        <w:t xml:space="preserve"> </w:t>
      </w:r>
      <w:r w:rsidR="00B45D8E" w:rsidRPr="00BF57A3">
        <w:rPr>
          <w:sz w:val="22"/>
          <w:szCs w:val="22"/>
          <w:lang w:val="pl-PL"/>
        </w:rPr>
        <w:t>nemikrocelularnim karcinomom pluća</w:t>
      </w:r>
      <w:r w:rsidRPr="00BF57A3">
        <w:rPr>
          <w:sz w:val="22"/>
          <w:szCs w:val="22"/>
          <w:lang w:val="de-DE"/>
        </w:rPr>
        <w:t xml:space="preserve">. Nije bilo klinički važnih farmakokinetičkih interakcija lijeka Abraxane i karboplatina. </w:t>
      </w:r>
    </w:p>
    <w:p w14:paraId="3554823E" w14:textId="77777777" w:rsidR="00ED5709" w:rsidRPr="00BF57A3" w:rsidRDefault="00ED5709">
      <w:pPr>
        <w:pStyle w:val="Header"/>
        <w:tabs>
          <w:tab w:val="left" w:pos="284"/>
        </w:tabs>
        <w:jc w:val="both"/>
        <w:rPr>
          <w:sz w:val="22"/>
          <w:szCs w:val="22"/>
          <w:lang w:val="de-DE"/>
        </w:rPr>
      </w:pPr>
    </w:p>
    <w:p w14:paraId="061542F1" w14:textId="766EACFE" w:rsidR="004F3CF2" w:rsidRPr="00BF57A3" w:rsidRDefault="004F3CF2">
      <w:pPr>
        <w:tabs>
          <w:tab w:val="left" w:pos="540"/>
          <w:tab w:val="left" w:pos="569"/>
        </w:tabs>
        <w:jc w:val="both"/>
        <w:rPr>
          <w:sz w:val="22"/>
          <w:szCs w:val="22"/>
          <w:lang w:val="de-DE"/>
        </w:rPr>
      </w:pPr>
      <w:r w:rsidRPr="00BF57A3">
        <w:rPr>
          <w:sz w:val="22"/>
          <w:szCs w:val="22"/>
          <w:lang w:val="de-DE"/>
        </w:rPr>
        <w:t>Lijek Abraxane je indikovan kao monoterapija za karcinom dojke</w:t>
      </w:r>
      <w:r w:rsidR="00B45D8E" w:rsidRPr="00BF57A3">
        <w:rPr>
          <w:sz w:val="22"/>
          <w:szCs w:val="22"/>
          <w:lang w:val="de-DE"/>
        </w:rPr>
        <w:t>,</w:t>
      </w:r>
      <w:r w:rsidRPr="00BF57A3">
        <w:rPr>
          <w:sz w:val="22"/>
          <w:szCs w:val="22"/>
          <w:lang w:val="de-DE"/>
        </w:rPr>
        <w:t xml:space="preserve"> u kombinaciji sa gemcitabinom za adenokarcinom pankreasa </w:t>
      </w:r>
      <w:r w:rsidR="00ED5709" w:rsidRPr="00BF57A3">
        <w:rPr>
          <w:sz w:val="22"/>
          <w:szCs w:val="22"/>
          <w:lang w:val="de-DE"/>
        </w:rPr>
        <w:t xml:space="preserve">ili u kombinaciji sa karboplatinom za </w:t>
      </w:r>
      <w:r w:rsidR="00ED5709" w:rsidRPr="00BF57A3">
        <w:rPr>
          <w:sz w:val="22"/>
          <w:szCs w:val="22"/>
          <w:lang w:val="pl-PL"/>
        </w:rPr>
        <w:t>nemikrocelularni karcinom pluća</w:t>
      </w:r>
      <w:r w:rsidR="00ED5709" w:rsidRPr="00BF57A3">
        <w:rPr>
          <w:sz w:val="22"/>
          <w:szCs w:val="22"/>
          <w:lang w:val="de-DE"/>
        </w:rPr>
        <w:t xml:space="preserve"> </w:t>
      </w:r>
      <w:r w:rsidRPr="00BF57A3">
        <w:rPr>
          <w:sz w:val="22"/>
          <w:szCs w:val="22"/>
          <w:lang w:val="de-DE"/>
        </w:rPr>
        <w:t xml:space="preserve">(vidjeti </w:t>
      </w:r>
      <w:r w:rsidR="00CD3413">
        <w:rPr>
          <w:sz w:val="22"/>
          <w:szCs w:val="22"/>
          <w:lang w:val="sl-SI"/>
        </w:rPr>
        <w:t>dio</w:t>
      </w:r>
      <w:r w:rsidR="00CD3413" w:rsidRPr="00BF57A3">
        <w:rPr>
          <w:sz w:val="22"/>
          <w:szCs w:val="22"/>
          <w:lang w:val="sl-SI"/>
        </w:rPr>
        <w:t xml:space="preserve"> </w:t>
      </w:r>
      <w:r w:rsidRPr="00BF57A3">
        <w:rPr>
          <w:sz w:val="22"/>
          <w:szCs w:val="22"/>
          <w:lang w:val="de-DE"/>
        </w:rPr>
        <w:t>4.1). Lijek Abraxane se ne smije primjenjivati u kombinaciji sa drugim ljekovima protiv kancera.</w:t>
      </w:r>
    </w:p>
    <w:p w14:paraId="78B5D6CA" w14:textId="77777777" w:rsidR="00110CE6" w:rsidRPr="00BF57A3" w:rsidRDefault="00110CE6">
      <w:pPr>
        <w:tabs>
          <w:tab w:val="left" w:pos="540"/>
          <w:tab w:val="left" w:pos="569"/>
        </w:tabs>
        <w:jc w:val="both"/>
        <w:rPr>
          <w:sz w:val="22"/>
          <w:szCs w:val="22"/>
          <w:lang w:val="de-DE"/>
        </w:rPr>
      </w:pPr>
    </w:p>
    <w:p w14:paraId="72FDE8E8" w14:textId="77777777" w:rsidR="00B57D34" w:rsidRPr="00BF57A3" w:rsidRDefault="00110CE6">
      <w:pPr>
        <w:pStyle w:val="Header"/>
        <w:tabs>
          <w:tab w:val="left" w:pos="284"/>
        </w:tabs>
        <w:jc w:val="both"/>
        <w:rPr>
          <w:sz w:val="22"/>
          <w:szCs w:val="22"/>
          <w:u w:val="single"/>
          <w:lang w:val="de-DE"/>
        </w:rPr>
      </w:pPr>
      <w:r w:rsidRPr="00BF57A3">
        <w:rPr>
          <w:sz w:val="22"/>
          <w:szCs w:val="22"/>
          <w:u w:val="single"/>
          <w:lang w:val="de-DE"/>
        </w:rPr>
        <w:t>Pedijatrijska populacija</w:t>
      </w:r>
    </w:p>
    <w:p w14:paraId="11DD1148" w14:textId="77777777" w:rsidR="00110CE6" w:rsidRPr="00BF57A3" w:rsidRDefault="00DD165C">
      <w:pPr>
        <w:pStyle w:val="Header"/>
        <w:tabs>
          <w:tab w:val="left" w:pos="284"/>
        </w:tabs>
        <w:jc w:val="both"/>
        <w:rPr>
          <w:sz w:val="22"/>
          <w:szCs w:val="22"/>
          <w:lang w:val="de-DE"/>
        </w:rPr>
      </w:pPr>
      <w:r w:rsidRPr="00BF57A3">
        <w:rPr>
          <w:sz w:val="22"/>
          <w:szCs w:val="22"/>
          <w:lang w:val="de-DE"/>
        </w:rPr>
        <w:t xml:space="preserve">Ispitivanja </w:t>
      </w:r>
      <w:r w:rsidR="00110CE6" w:rsidRPr="00BF57A3">
        <w:rPr>
          <w:sz w:val="22"/>
          <w:szCs w:val="22"/>
          <w:lang w:val="de-DE"/>
        </w:rPr>
        <w:t>interakcij</w:t>
      </w:r>
      <w:r w:rsidRPr="00BF57A3">
        <w:rPr>
          <w:sz w:val="22"/>
          <w:szCs w:val="22"/>
          <w:lang w:val="de-DE"/>
        </w:rPr>
        <w:t>a su sprovedena</w:t>
      </w:r>
      <w:r w:rsidR="00110CE6" w:rsidRPr="00BF57A3">
        <w:rPr>
          <w:sz w:val="22"/>
          <w:szCs w:val="22"/>
          <w:lang w:val="de-DE"/>
        </w:rPr>
        <w:t xml:space="preserve"> samo kod odrasllih.</w:t>
      </w:r>
    </w:p>
    <w:p w14:paraId="68ECBA84" w14:textId="77777777" w:rsidR="00110CE6" w:rsidRPr="00BF57A3" w:rsidRDefault="00110CE6">
      <w:pPr>
        <w:pStyle w:val="Header"/>
        <w:tabs>
          <w:tab w:val="left" w:pos="284"/>
        </w:tabs>
        <w:jc w:val="both"/>
        <w:rPr>
          <w:sz w:val="22"/>
          <w:szCs w:val="22"/>
          <w:lang w:val="de-DE"/>
        </w:rPr>
      </w:pPr>
    </w:p>
    <w:p w14:paraId="5CBC3F1B" w14:textId="77777777" w:rsidR="0072020E" w:rsidRPr="00BF57A3" w:rsidRDefault="0072020E">
      <w:pPr>
        <w:tabs>
          <w:tab w:val="left" w:pos="540"/>
          <w:tab w:val="left" w:pos="569"/>
        </w:tabs>
        <w:jc w:val="both"/>
        <w:rPr>
          <w:b/>
          <w:bCs/>
          <w:sz w:val="22"/>
          <w:szCs w:val="22"/>
          <w:lang w:val="de-DE"/>
        </w:rPr>
      </w:pPr>
      <w:r w:rsidRPr="00BF57A3">
        <w:rPr>
          <w:b/>
          <w:bCs/>
          <w:sz w:val="22"/>
          <w:szCs w:val="22"/>
          <w:lang w:val="de-DE"/>
        </w:rPr>
        <w:t xml:space="preserve">4.6. </w:t>
      </w:r>
      <w:r w:rsidR="00480FB1" w:rsidRPr="00BF57A3">
        <w:rPr>
          <w:b/>
          <w:bCs/>
          <w:sz w:val="22"/>
          <w:szCs w:val="22"/>
          <w:lang w:val="de-DE"/>
        </w:rPr>
        <w:tab/>
      </w:r>
      <w:r w:rsidR="002B1D81" w:rsidRPr="00BF57A3">
        <w:rPr>
          <w:b/>
          <w:bCs/>
          <w:sz w:val="22"/>
          <w:szCs w:val="22"/>
          <w:lang w:val="de-DE"/>
        </w:rPr>
        <w:t xml:space="preserve">Plodnost, </w:t>
      </w:r>
      <w:r w:rsidRPr="00BF57A3">
        <w:rPr>
          <w:b/>
          <w:bCs/>
          <w:sz w:val="22"/>
          <w:szCs w:val="22"/>
          <w:lang w:val="de-DE"/>
        </w:rPr>
        <w:t xml:space="preserve"> trudnoć</w:t>
      </w:r>
      <w:r w:rsidR="002B1D81" w:rsidRPr="00BF57A3">
        <w:rPr>
          <w:b/>
          <w:bCs/>
          <w:sz w:val="22"/>
          <w:szCs w:val="22"/>
          <w:lang w:val="de-DE"/>
        </w:rPr>
        <w:t>a</w:t>
      </w:r>
      <w:r w:rsidRPr="00BF57A3">
        <w:rPr>
          <w:b/>
          <w:bCs/>
          <w:sz w:val="22"/>
          <w:szCs w:val="22"/>
          <w:lang w:val="de-DE"/>
        </w:rPr>
        <w:t xml:space="preserve"> i </w:t>
      </w:r>
      <w:r w:rsidR="002B1D81" w:rsidRPr="00BF57A3">
        <w:rPr>
          <w:b/>
          <w:bCs/>
          <w:sz w:val="22"/>
          <w:szCs w:val="22"/>
          <w:lang w:val="de-DE"/>
        </w:rPr>
        <w:t>dojenje</w:t>
      </w:r>
    </w:p>
    <w:p w14:paraId="3CCDD0E4" w14:textId="77777777" w:rsidR="0072020E" w:rsidRPr="00BF57A3" w:rsidRDefault="0072020E">
      <w:pPr>
        <w:tabs>
          <w:tab w:val="left" w:pos="540"/>
          <w:tab w:val="left" w:pos="569"/>
        </w:tabs>
        <w:jc w:val="both"/>
        <w:rPr>
          <w:b/>
          <w:bCs/>
          <w:sz w:val="22"/>
          <w:szCs w:val="22"/>
          <w:lang w:val="de-DE"/>
        </w:rPr>
      </w:pPr>
    </w:p>
    <w:p w14:paraId="3ED38BC0" w14:textId="77777777" w:rsidR="00913C28" w:rsidRPr="00BF57A3" w:rsidRDefault="00913C28">
      <w:pPr>
        <w:pStyle w:val="Header"/>
        <w:tabs>
          <w:tab w:val="left" w:pos="284"/>
        </w:tabs>
        <w:jc w:val="both"/>
        <w:rPr>
          <w:sz w:val="22"/>
          <w:szCs w:val="22"/>
          <w:u w:val="single"/>
          <w:lang w:val="de-DE"/>
        </w:rPr>
      </w:pPr>
      <w:r w:rsidRPr="00BF57A3">
        <w:rPr>
          <w:sz w:val="22"/>
          <w:szCs w:val="22"/>
          <w:u w:val="single"/>
          <w:lang w:val="de-DE"/>
        </w:rPr>
        <w:t>Kontracepcija kod muškaraca i žena</w:t>
      </w:r>
    </w:p>
    <w:p w14:paraId="54A5252F" w14:textId="15AF96F2" w:rsidR="00913C28" w:rsidRPr="00BF57A3" w:rsidRDefault="00913C28">
      <w:pPr>
        <w:pStyle w:val="Header"/>
        <w:tabs>
          <w:tab w:val="left" w:pos="284"/>
        </w:tabs>
        <w:jc w:val="both"/>
        <w:rPr>
          <w:sz w:val="22"/>
          <w:szCs w:val="22"/>
          <w:lang w:val="de-DE"/>
        </w:rPr>
      </w:pPr>
      <w:r w:rsidRPr="00BF57A3">
        <w:rPr>
          <w:sz w:val="22"/>
          <w:szCs w:val="22"/>
          <w:lang w:val="de-DE"/>
        </w:rPr>
        <w:t xml:space="preserve">Žene </w:t>
      </w:r>
      <w:r w:rsidR="00237E6B" w:rsidRPr="00BF57A3">
        <w:rPr>
          <w:sz w:val="22"/>
          <w:szCs w:val="22"/>
          <w:lang w:val="de-DE"/>
        </w:rPr>
        <w:t>u reproduktivnom periodu</w:t>
      </w:r>
      <w:r w:rsidRPr="00BF57A3">
        <w:rPr>
          <w:sz w:val="22"/>
          <w:szCs w:val="22"/>
          <w:lang w:val="de-DE"/>
        </w:rPr>
        <w:t xml:space="preserve"> moraju koristiti efikasnu </w:t>
      </w:r>
      <w:r w:rsidR="004712A4" w:rsidRPr="00BF57A3">
        <w:rPr>
          <w:sz w:val="22"/>
          <w:szCs w:val="22"/>
          <w:lang w:val="de-DE"/>
        </w:rPr>
        <w:t xml:space="preserve">kontracepciju </w:t>
      </w:r>
      <w:r w:rsidRPr="00BF57A3">
        <w:rPr>
          <w:sz w:val="22"/>
          <w:szCs w:val="22"/>
          <w:lang w:val="de-DE"/>
        </w:rPr>
        <w:t xml:space="preserve">tokom liječenja i </w:t>
      </w:r>
      <w:r w:rsidR="00237E6B" w:rsidRPr="00BF57A3">
        <w:rPr>
          <w:sz w:val="22"/>
          <w:szCs w:val="22"/>
          <w:lang w:val="de-DE"/>
        </w:rPr>
        <w:t xml:space="preserve">najmanje šest </w:t>
      </w:r>
      <w:r w:rsidRPr="00BF57A3">
        <w:rPr>
          <w:sz w:val="22"/>
          <w:szCs w:val="22"/>
          <w:lang w:val="de-DE"/>
        </w:rPr>
        <w:t>mjesec</w:t>
      </w:r>
      <w:r w:rsidR="00237E6B" w:rsidRPr="00BF57A3">
        <w:rPr>
          <w:sz w:val="22"/>
          <w:szCs w:val="22"/>
          <w:lang w:val="de-DE"/>
        </w:rPr>
        <w:t>i</w:t>
      </w:r>
      <w:r w:rsidRPr="00BF57A3">
        <w:rPr>
          <w:sz w:val="22"/>
          <w:szCs w:val="22"/>
          <w:lang w:val="de-DE"/>
        </w:rPr>
        <w:t xml:space="preserve"> nakon </w:t>
      </w:r>
      <w:r w:rsidR="00237E6B" w:rsidRPr="00BF57A3">
        <w:rPr>
          <w:sz w:val="22"/>
          <w:szCs w:val="22"/>
          <w:lang w:val="de-DE"/>
        </w:rPr>
        <w:t>primjene posljednje doze lijeka</w:t>
      </w:r>
      <w:r w:rsidRPr="00BF57A3">
        <w:rPr>
          <w:sz w:val="22"/>
          <w:szCs w:val="22"/>
          <w:lang w:val="de-DE"/>
        </w:rPr>
        <w:t xml:space="preserve"> Abraxane. Muškim </w:t>
      </w:r>
      <w:r w:rsidR="00CD3413">
        <w:rPr>
          <w:sz w:val="22"/>
          <w:szCs w:val="22"/>
          <w:lang w:val="de-DE"/>
        </w:rPr>
        <w:t>pacijentima</w:t>
      </w:r>
      <w:r w:rsidR="00CD3413" w:rsidRPr="00BF57A3">
        <w:rPr>
          <w:sz w:val="22"/>
          <w:szCs w:val="22"/>
          <w:lang w:val="de-DE"/>
        </w:rPr>
        <w:t xml:space="preserve"> </w:t>
      </w:r>
      <w:r w:rsidR="00237E6B" w:rsidRPr="00BF57A3">
        <w:rPr>
          <w:sz w:val="22"/>
          <w:szCs w:val="22"/>
          <w:lang w:val="sr-Latn-RS"/>
        </w:rPr>
        <w:t xml:space="preserve">čije partnerke su u reproduktivnom periodu i </w:t>
      </w:r>
      <w:r w:rsidR="00237E6B" w:rsidRPr="00BF57A3">
        <w:rPr>
          <w:sz w:val="22"/>
          <w:szCs w:val="22"/>
          <w:lang w:val="es-ES"/>
        </w:rPr>
        <w:t>mogu</w:t>
      </w:r>
      <w:r w:rsidR="00237E6B" w:rsidRPr="00BF57A3">
        <w:rPr>
          <w:sz w:val="22"/>
          <w:szCs w:val="22"/>
          <w:lang w:val="ru-RU"/>
        </w:rPr>
        <w:t xml:space="preserve"> </w:t>
      </w:r>
      <w:r w:rsidR="00237E6B" w:rsidRPr="00BF57A3">
        <w:rPr>
          <w:sz w:val="22"/>
          <w:szCs w:val="22"/>
          <w:lang w:val="es-ES"/>
        </w:rPr>
        <w:t>da</w:t>
      </w:r>
      <w:r w:rsidR="00237E6B" w:rsidRPr="00BF57A3">
        <w:rPr>
          <w:sz w:val="22"/>
          <w:szCs w:val="22"/>
          <w:lang w:val="ru-RU"/>
        </w:rPr>
        <w:t xml:space="preserve"> </w:t>
      </w:r>
      <w:r w:rsidR="00237E6B" w:rsidRPr="00BF57A3">
        <w:rPr>
          <w:sz w:val="22"/>
          <w:szCs w:val="22"/>
          <w:lang w:val="es-ES"/>
        </w:rPr>
        <w:t>zatrudne</w:t>
      </w:r>
      <w:r w:rsidR="00237E6B" w:rsidRPr="00BF57A3">
        <w:rPr>
          <w:sz w:val="22"/>
          <w:szCs w:val="22"/>
          <w:lang w:val="ru-RU"/>
        </w:rPr>
        <w:t xml:space="preserve"> </w:t>
      </w:r>
      <w:r w:rsidRPr="00BF57A3">
        <w:rPr>
          <w:sz w:val="22"/>
          <w:szCs w:val="22"/>
          <w:lang w:val="de-DE"/>
        </w:rPr>
        <w:t xml:space="preserve">savjetuje se da </w:t>
      </w:r>
      <w:r w:rsidR="006F155D" w:rsidRPr="00BF57A3">
        <w:rPr>
          <w:sz w:val="22"/>
          <w:szCs w:val="22"/>
          <w:lang w:val="de-DE"/>
        </w:rPr>
        <w:t xml:space="preserve">koriste efikasnu kontracepciju </w:t>
      </w:r>
      <w:r w:rsidR="00F50D84" w:rsidRPr="00BF57A3">
        <w:rPr>
          <w:sz w:val="22"/>
          <w:szCs w:val="22"/>
          <w:lang w:val="de-DE"/>
        </w:rPr>
        <w:t xml:space="preserve">i </w:t>
      </w:r>
      <w:r w:rsidR="000F75C9" w:rsidRPr="00BF57A3">
        <w:rPr>
          <w:sz w:val="22"/>
          <w:szCs w:val="22"/>
          <w:lang w:val="de-DE"/>
        </w:rPr>
        <w:t xml:space="preserve"> ne začinju dijete </w:t>
      </w:r>
      <w:r w:rsidRPr="00BF57A3">
        <w:rPr>
          <w:sz w:val="22"/>
          <w:szCs w:val="22"/>
          <w:lang w:val="de-DE"/>
        </w:rPr>
        <w:t xml:space="preserve">tokom </w:t>
      </w:r>
      <w:r w:rsidR="00CD3413">
        <w:rPr>
          <w:sz w:val="22"/>
          <w:szCs w:val="22"/>
          <w:lang w:val="de-DE"/>
        </w:rPr>
        <w:t>l</w:t>
      </w:r>
      <w:r w:rsidRPr="00BF57A3">
        <w:rPr>
          <w:sz w:val="22"/>
          <w:szCs w:val="22"/>
          <w:lang w:val="de-DE"/>
        </w:rPr>
        <w:t>iječenja</w:t>
      </w:r>
      <w:r w:rsidR="00237E6B" w:rsidRPr="00BF57A3">
        <w:rPr>
          <w:sz w:val="22"/>
          <w:szCs w:val="22"/>
          <w:lang w:val="de-DE"/>
        </w:rPr>
        <w:t xml:space="preserve"> lijekom Abraxane</w:t>
      </w:r>
      <w:r w:rsidRPr="00BF57A3">
        <w:rPr>
          <w:sz w:val="22"/>
          <w:szCs w:val="22"/>
          <w:lang w:val="de-DE"/>
        </w:rPr>
        <w:t xml:space="preserve"> i</w:t>
      </w:r>
      <w:r w:rsidR="000910BF" w:rsidRPr="00BF57A3">
        <w:rPr>
          <w:sz w:val="22"/>
          <w:szCs w:val="22"/>
          <w:lang w:val="de-DE"/>
        </w:rPr>
        <w:t xml:space="preserve"> </w:t>
      </w:r>
      <w:r w:rsidR="00237E6B" w:rsidRPr="00BF57A3">
        <w:rPr>
          <w:sz w:val="22"/>
          <w:szCs w:val="22"/>
          <w:lang w:val="de-DE"/>
        </w:rPr>
        <w:t>najmanje tri</w:t>
      </w:r>
      <w:r w:rsidRPr="00BF57A3">
        <w:rPr>
          <w:sz w:val="22"/>
          <w:szCs w:val="22"/>
          <w:lang w:val="de-DE"/>
        </w:rPr>
        <w:t xml:space="preserve"> mjesec</w:t>
      </w:r>
      <w:r w:rsidR="00237E6B" w:rsidRPr="00BF57A3">
        <w:rPr>
          <w:sz w:val="22"/>
          <w:szCs w:val="22"/>
          <w:lang w:val="de-DE"/>
        </w:rPr>
        <w:t>a</w:t>
      </w:r>
      <w:r w:rsidRPr="00BF57A3">
        <w:rPr>
          <w:sz w:val="22"/>
          <w:szCs w:val="22"/>
          <w:lang w:val="de-DE"/>
        </w:rPr>
        <w:t xml:space="preserve"> nakon </w:t>
      </w:r>
      <w:r w:rsidR="00237E6B" w:rsidRPr="00BF57A3">
        <w:rPr>
          <w:sz w:val="22"/>
          <w:szCs w:val="22"/>
          <w:lang w:val="de-DE"/>
        </w:rPr>
        <w:t>primjene posljednje doze lijeka Abraxane</w:t>
      </w:r>
      <w:r w:rsidRPr="00BF57A3">
        <w:rPr>
          <w:sz w:val="22"/>
          <w:szCs w:val="22"/>
          <w:lang w:val="de-DE"/>
        </w:rPr>
        <w:t>.</w:t>
      </w:r>
      <w:r w:rsidR="000F75C9" w:rsidRPr="006C640E">
        <w:rPr>
          <w:sz w:val="22"/>
          <w:szCs w:val="22"/>
        </w:rPr>
        <w:t xml:space="preserve"> </w:t>
      </w:r>
    </w:p>
    <w:p w14:paraId="5E904D25" w14:textId="77777777" w:rsidR="00237E6B" w:rsidRPr="00BF57A3" w:rsidRDefault="00237E6B">
      <w:pPr>
        <w:pStyle w:val="Header"/>
        <w:tabs>
          <w:tab w:val="left" w:pos="284"/>
        </w:tabs>
        <w:jc w:val="both"/>
        <w:rPr>
          <w:sz w:val="22"/>
          <w:szCs w:val="22"/>
          <w:u w:val="single"/>
          <w:lang w:val="de-DE"/>
        </w:rPr>
      </w:pPr>
    </w:p>
    <w:p w14:paraId="60EC72CF" w14:textId="77777777" w:rsidR="00913C28" w:rsidRPr="00BF57A3" w:rsidRDefault="00913C28">
      <w:pPr>
        <w:pStyle w:val="Header"/>
        <w:tabs>
          <w:tab w:val="left" w:pos="284"/>
        </w:tabs>
        <w:jc w:val="both"/>
        <w:rPr>
          <w:sz w:val="22"/>
          <w:szCs w:val="22"/>
          <w:u w:val="single"/>
          <w:lang w:val="de-DE"/>
        </w:rPr>
      </w:pPr>
      <w:r w:rsidRPr="00BF57A3">
        <w:rPr>
          <w:sz w:val="22"/>
          <w:szCs w:val="22"/>
          <w:u w:val="single"/>
          <w:lang w:val="de-DE"/>
        </w:rPr>
        <w:t xml:space="preserve">Trudnoća </w:t>
      </w:r>
    </w:p>
    <w:p w14:paraId="69FD5E64" w14:textId="40859DD8" w:rsidR="00913C28" w:rsidRPr="00BF57A3" w:rsidRDefault="00913C28">
      <w:pPr>
        <w:pStyle w:val="Header"/>
        <w:tabs>
          <w:tab w:val="left" w:pos="284"/>
        </w:tabs>
        <w:jc w:val="both"/>
        <w:rPr>
          <w:sz w:val="22"/>
          <w:szCs w:val="22"/>
          <w:lang w:val="de-DE"/>
        </w:rPr>
      </w:pPr>
      <w:r w:rsidRPr="00BF57A3">
        <w:rPr>
          <w:sz w:val="22"/>
          <w:szCs w:val="22"/>
          <w:lang w:val="de-DE"/>
        </w:rPr>
        <w:t xml:space="preserve">Podaci o upotrebi paklitaksela u trudnoći kod ljudi su vrlo ograničeni. Postoji sumnja da paklitaksel uzrokuje ozbiljne urođene defekte kada se primjenjuje tokom trudnoće. Ispitivanja na životinjama pokazala su reproduktivnu toksičnost (vidjeti </w:t>
      </w:r>
      <w:r w:rsidR="00CD3413">
        <w:rPr>
          <w:sz w:val="22"/>
          <w:szCs w:val="22"/>
          <w:lang w:val="sl-SI"/>
        </w:rPr>
        <w:t>dio</w:t>
      </w:r>
      <w:r w:rsidR="00CD3413" w:rsidRPr="00BF57A3">
        <w:rPr>
          <w:sz w:val="22"/>
          <w:szCs w:val="22"/>
          <w:lang w:val="de-DE"/>
        </w:rPr>
        <w:t xml:space="preserve"> </w:t>
      </w:r>
      <w:r w:rsidRPr="00BF57A3">
        <w:rPr>
          <w:sz w:val="22"/>
          <w:szCs w:val="22"/>
          <w:lang w:val="de-DE"/>
        </w:rPr>
        <w:t>5.3).</w:t>
      </w:r>
      <w:r w:rsidR="006D2218" w:rsidRPr="00BF57A3">
        <w:rPr>
          <w:sz w:val="22"/>
          <w:szCs w:val="22"/>
          <w:lang w:val="de-DE"/>
        </w:rPr>
        <w:t xml:space="preserve"> </w:t>
      </w:r>
      <w:r w:rsidR="00D32368" w:rsidRPr="00BF57A3">
        <w:rPr>
          <w:sz w:val="22"/>
          <w:szCs w:val="22"/>
          <w:lang w:val="de-DE"/>
        </w:rPr>
        <w:t xml:space="preserve">Žene u reproduktivnom periodu treba da urade test na trudnoću prije početka liječenja sa </w:t>
      </w:r>
      <w:r w:rsidR="006D2218" w:rsidRPr="00BF57A3">
        <w:rPr>
          <w:sz w:val="22"/>
          <w:szCs w:val="22"/>
          <w:lang w:val="de-DE"/>
        </w:rPr>
        <w:t xml:space="preserve">lijekom </w:t>
      </w:r>
      <w:r w:rsidR="00D32368" w:rsidRPr="00BF57A3">
        <w:rPr>
          <w:sz w:val="22"/>
          <w:szCs w:val="22"/>
          <w:lang w:val="de-DE"/>
        </w:rPr>
        <w:t>Abraxane.</w:t>
      </w:r>
      <w:r w:rsidRPr="00BF57A3">
        <w:rPr>
          <w:sz w:val="22"/>
          <w:szCs w:val="22"/>
          <w:lang w:val="de-DE"/>
        </w:rPr>
        <w:t xml:space="preserve"> Lijek Abraxane se ne smije primjenjivati tokom trudnoće</w:t>
      </w:r>
      <w:r w:rsidR="004712A4" w:rsidRPr="00BF57A3">
        <w:rPr>
          <w:sz w:val="22"/>
          <w:szCs w:val="22"/>
          <w:lang w:val="de-DE"/>
        </w:rPr>
        <w:t>,</w:t>
      </w:r>
      <w:r w:rsidRPr="00BF57A3">
        <w:rPr>
          <w:sz w:val="22"/>
          <w:szCs w:val="22"/>
          <w:lang w:val="de-DE"/>
        </w:rPr>
        <w:t xml:space="preserve"> kao ni kod žena koje mogu da rađaju a ne koriste efikasnu kontracepciju, osim ako kliničko stanje trudnice ne zahtijeva liječenje paklitakselom.</w:t>
      </w:r>
    </w:p>
    <w:p w14:paraId="381B1173" w14:textId="77777777" w:rsidR="00913C28" w:rsidRPr="00BF57A3" w:rsidRDefault="00913C28">
      <w:pPr>
        <w:pStyle w:val="Header"/>
        <w:tabs>
          <w:tab w:val="left" w:pos="284"/>
        </w:tabs>
        <w:jc w:val="both"/>
        <w:rPr>
          <w:sz w:val="22"/>
          <w:szCs w:val="22"/>
          <w:lang w:val="de-DE"/>
        </w:rPr>
      </w:pPr>
    </w:p>
    <w:p w14:paraId="01792A92" w14:textId="77777777" w:rsidR="00913C28" w:rsidRPr="00BF57A3" w:rsidRDefault="00913C28">
      <w:pPr>
        <w:pStyle w:val="Header"/>
        <w:tabs>
          <w:tab w:val="left" w:pos="284"/>
        </w:tabs>
        <w:jc w:val="both"/>
        <w:rPr>
          <w:sz w:val="22"/>
          <w:szCs w:val="22"/>
          <w:u w:val="single"/>
          <w:lang w:val="de-DE"/>
        </w:rPr>
      </w:pPr>
      <w:r w:rsidRPr="00BF57A3">
        <w:rPr>
          <w:sz w:val="22"/>
          <w:szCs w:val="22"/>
          <w:u w:val="single"/>
          <w:lang w:val="de-DE"/>
        </w:rPr>
        <w:t>Dojenje</w:t>
      </w:r>
    </w:p>
    <w:p w14:paraId="2062C296" w14:textId="77777777" w:rsidR="00040D4B" w:rsidRPr="00BF57A3" w:rsidRDefault="00040D4B">
      <w:pPr>
        <w:pStyle w:val="Header"/>
        <w:tabs>
          <w:tab w:val="left" w:pos="284"/>
        </w:tabs>
        <w:jc w:val="both"/>
        <w:rPr>
          <w:sz w:val="22"/>
          <w:szCs w:val="22"/>
          <w:u w:val="single"/>
          <w:lang w:val="de-DE"/>
        </w:rPr>
      </w:pPr>
    </w:p>
    <w:p w14:paraId="07CFBA08" w14:textId="61053791" w:rsidR="00040D4B" w:rsidRPr="00BF57A3" w:rsidRDefault="00040D4B">
      <w:pPr>
        <w:pStyle w:val="Header"/>
        <w:tabs>
          <w:tab w:val="left" w:pos="284"/>
        </w:tabs>
        <w:jc w:val="both"/>
        <w:rPr>
          <w:sz w:val="22"/>
          <w:szCs w:val="22"/>
          <w:u w:val="single"/>
          <w:lang w:val="de-DE"/>
        </w:rPr>
      </w:pPr>
      <w:r w:rsidRPr="00BF57A3">
        <w:rPr>
          <w:sz w:val="22"/>
          <w:szCs w:val="22"/>
          <w:u w:val="single"/>
          <w:lang w:val="de-DE"/>
        </w:rPr>
        <w:t>Paklitaksel i / ili njegovi metaboliti s</w:t>
      </w:r>
      <w:r w:rsidR="003E1EE5" w:rsidRPr="00BF57A3">
        <w:rPr>
          <w:sz w:val="22"/>
          <w:szCs w:val="22"/>
          <w:u w:val="single"/>
          <w:lang w:val="de-DE"/>
        </w:rPr>
        <w:t>e prilikom laktacije izlučuju</w:t>
      </w:r>
      <w:r w:rsidRPr="00BF57A3">
        <w:rPr>
          <w:sz w:val="22"/>
          <w:szCs w:val="22"/>
          <w:u w:val="single"/>
          <w:lang w:val="de-DE"/>
        </w:rPr>
        <w:t xml:space="preserve"> u ml</w:t>
      </w:r>
      <w:r w:rsidR="002144AF" w:rsidRPr="00BF57A3">
        <w:rPr>
          <w:sz w:val="22"/>
          <w:szCs w:val="22"/>
          <w:u w:val="single"/>
          <w:lang w:val="de-DE"/>
        </w:rPr>
        <w:t>ij</w:t>
      </w:r>
      <w:r w:rsidR="003E1EE5" w:rsidRPr="00BF57A3">
        <w:rPr>
          <w:sz w:val="22"/>
          <w:szCs w:val="22"/>
          <w:u w:val="single"/>
          <w:lang w:val="de-DE"/>
        </w:rPr>
        <w:t xml:space="preserve">eko </w:t>
      </w:r>
      <w:r w:rsidRPr="00BF57A3">
        <w:rPr>
          <w:sz w:val="22"/>
          <w:szCs w:val="22"/>
          <w:u w:val="single"/>
          <w:lang w:val="de-DE"/>
        </w:rPr>
        <w:t xml:space="preserve">pacova (videti </w:t>
      </w:r>
      <w:r w:rsidR="00CD3413">
        <w:rPr>
          <w:sz w:val="22"/>
          <w:szCs w:val="22"/>
          <w:u w:val="single"/>
          <w:lang w:val="de-DE"/>
        </w:rPr>
        <w:t>dio</w:t>
      </w:r>
      <w:r w:rsidR="00CD3413" w:rsidRPr="00BF57A3">
        <w:rPr>
          <w:sz w:val="22"/>
          <w:szCs w:val="22"/>
          <w:u w:val="single"/>
          <w:lang w:val="de-DE"/>
        </w:rPr>
        <w:t xml:space="preserve"> </w:t>
      </w:r>
      <w:r w:rsidRPr="00BF57A3">
        <w:rPr>
          <w:sz w:val="22"/>
          <w:szCs w:val="22"/>
          <w:u w:val="single"/>
          <w:lang w:val="de-DE"/>
        </w:rPr>
        <w:t>5.3).</w:t>
      </w:r>
    </w:p>
    <w:p w14:paraId="47207319" w14:textId="77777777" w:rsidR="00913C28" w:rsidRPr="00BF57A3" w:rsidRDefault="00913C28">
      <w:pPr>
        <w:pStyle w:val="Header"/>
        <w:tabs>
          <w:tab w:val="left" w:pos="284"/>
        </w:tabs>
        <w:jc w:val="both"/>
        <w:rPr>
          <w:sz w:val="22"/>
          <w:szCs w:val="22"/>
          <w:lang w:val="es-ES"/>
        </w:rPr>
      </w:pPr>
      <w:r w:rsidRPr="00BF57A3">
        <w:rPr>
          <w:sz w:val="22"/>
          <w:szCs w:val="22"/>
          <w:lang w:val="es-ES"/>
        </w:rPr>
        <w:t xml:space="preserve">Nije poznato da li se paklitaksel izlučuje u majčino </w:t>
      </w:r>
      <w:r w:rsidR="004712A4" w:rsidRPr="00BF57A3">
        <w:rPr>
          <w:sz w:val="22"/>
          <w:szCs w:val="22"/>
          <w:lang w:val="es-ES"/>
        </w:rPr>
        <w:t>mlijeko</w:t>
      </w:r>
      <w:r w:rsidRPr="00BF57A3">
        <w:rPr>
          <w:sz w:val="22"/>
          <w:szCs w:val="22"/>
          <w:lang w:val="es-ES"/>
        </w:rPr>
        <w:t xml:space="preserve">. Zbog mogućih ozbiljnih neželjenih dejstava kod odojčadi, lijek Abraxane je kontraindikovan tokom laktacije. Dojenje se mora prekinuti za vrijeme trajanja liječenja.  </w:t>
      </w:r>
    </w:p>
    <w:p w14:paraId="42EC7264" w14:textId="77777777" w:rsidR="00913C28" w:rsidRPr="00BF57A3" w:rsidRDefault="00913C28">
      <w:pPr>
        <w:pStyle w:val="Header"/>
        <w:tabs>
          <w:tab w:val="left" w:pos="284"/>
        </w:tabs>
        <w:jc w:val="both"/>
        <w:rPr>
          <w:sz w:val="22"/>
          <w:szCs w:val="22"/>
          <w:lang w:val="es-ES"/>
        </w:rPr>
      </w:pPr>
    </w:p>
    <w:p w14:paraId="03ED427E" w14:textId="77777777" w:rsidR="00913C28" w:rsidRPr="00BF57A3" w:rsidRDefault="00913C28">
      <w:pPr>
        <w:pStyle w:val="Header"/>
        <w:tabs>
          <w:tab w:val="left" w:pos="284"/>
        </w:tabs>
        <w:jc w:val="both"/>
        <w:rPr>
          <w:sz w:val="22"/>
          <w:szCs w:val="22"/>
          <w:u w:val="single"/>
          <w:lang w:val="es-ES"/>
        </w:rPr>
      </w:pPr>
      <w:r w:rsidRPr="00BF57A3">
        <w:rPr>
          <w:sz w:val="22"/>
          <w:szCs w:val="22"/>
          <w:u w:val="single"/>
          <w:lang w:val="es-ES"/>
        </w:rPr>
        <w:t>Fertilitet</w:t>
      </w:r>
    </w:p>
    <w:p w14:paraId="401C9F49" w14:textId="31A97FC9" w:rsidR="00913C28" w:rsidRPr="00BF57A3" w:rsidRDefault="00913C28">
      <w:pPr>
        <w:pStyle w:val="Header"/>
        <w:tabs>
          <w:tab w:val="left" w:pos="284"/>
        </w:tabs>
        <w:jc w:val="both"/>
        <w:rPr>
          <w:sz w:val="22"/>
          <w:szCs w:val="22"/>
          <w:lang w:val="es-ES"/>
        </w:rPr>
      </w:pPr>
      <w:r w:rsidRPr="00BF57A3">
        <w:rPr>
          <w:sz w:val="22"/>
          <w:szCs w:val="22"/>
          <w:lang w:val="es-ES"/>
        </w:rPr>
        <w:t xml:space="preserve">Lijek Abraxane je izazvao neplodnost kod muških pacova (vidjeti </w:t>
      </w:r>
      <w:r w:rsidR="00CD3413">
        <w:rPr>
          <w:sz w:val="22"/>
          <w:szCs w:val="22"/>
          <w:lang w:val="es-ES"/>
        </w:rPr>
        <w:t>dio</w:t>
      </w:r>
      <w:r w:rsidR="00CD3413" w:rsidRPr="00BF57A3">
        <w:rPr>
          <w:sz w:val="22"/>
          <w:szCs w:val="22"/>
          <w:lang w:val="es-ES"/>
        </w:rPr>
        <w:t xml:space="preserve"> </w:t>
      </w:r>
      <w:r w:rsidRPr="00BF57A3">
        <w:rPr>
          <w:sz w:val="22"/>
          <w:szCs w:val="22"/>
          <w:lang w:val="es-ES"/>
        </w:rPr>
        <w:t xml:space="preserve">5.3). </w:t>
      </w:r>
      <w:r w:rsidR="00B768C1" w:rsidRPr="00BF57A3">
        <w:rPr>
          <w:sz w:val="22"/>
          <w:szCs w:val="22"/>
          <w:lang w:val="es-ES"/>
        </w:rPr>
        <w:t>Na osnovu podataka</w:t>
      </w:r>
      <w:r w:rsidR="002144AF" w:rsidRPr="00BF57A3">
        <w:rPr>
          <w:sz w:val="22"/>
          <w:szCs w:val="22"/>
          <w:lang w:val="es-ES"/>
        </w:rPr>
        <w:t xml:space="preserve"> kod životinja, muška i ženska plodnost može biti ugrožena. </w:t>
      </w:r>
      <w:r w:rsidRPr="00BF57A3">
        <w:rPr>
          <w:sz w:val="22"/>
          <w:szCs w:val="22"/>
          <w:lang w:val="es-ES"/>
        </w:rPr>
        <w:t xml:space="preserve">Muški </w:t>
      </w:r>
      <w:r w:rsidR="00BC764F">
        <w:rPr>
          <w:sz w:val="22"/>
          <w:szCs w:val="22"/>
          <w:lang w:val="es-ES"/>
        </w:rPr>
        <w:t>pacijent</w:t>
      </w:r>
      <w:r w:rsidR="00BC764F" w:rsidRPr="00BF57A3">
        <w:rPr>
          <w:sz w:val="22"/>
          <w:szCs w:val="22"/>
          <w:lang w:val="es-ES"/>
        </w:rPr>
        <w:t xml:space="preserve">i </w:t>
      </w:r>
      <w:r w:rsidRPr="00BF57A3">
        <w:rPr>
          <w:sz w:val="22"/>
          <w:szCs w:val="22"/>
          <w:lang w:val="es-ES"/>
        </w:rPr>
        <w:t>treba da potraže savjet o čuvanju sperme prije početka liječenja</w:t>
      </w:r>
      <w:r w:rsidR="004712A4" w:rsidRPr="00BF57A3">
        <w:rPr>
          <w:sz w:val="22"/>
          <w:szCs w:val="22"/>
          <w:lang w:val="es-ES"/>
        </w:rPr>
        <w:t>,</w:t>
      </w:r>
      <w:r w:rsidRPr="00BF57A3">
        <w:rPr>
          <w:sz w:val="22"/>
          <w:szCs w:val="22"/>
          <w:lang w:val="es-ES"/>
        </w:rPr>
        <w:t xml:space="preserve"> zbog mogućnosti ireverzibilne neplodnosti koja može nastati kao posljedica liječenja lijekom Abraxane.</w:t>
      </w:r>
    </w:p>
    <w:p w14:paraId="25178040" w14:textId="77777777" w:rsidR="00913C28" w:rsidRPr="00BF57A3" w:rsidRDefault="00913C28">
      <w:pPr>
        <w:tabs>
          <w:tab w:val="left" w:pos="540"/>
          <w:tab w:val="left" w:pos="569"/>
        </w:tabs>
        <w:jc w:val="both"/>
        <w:rPr>
          <w:b/>
          <w:bCs/>
          <w:sz w:val="22"/>
          <w:szCs w:val="22"/>
          <w:lang w:val="es-ES"/>
        </w:rPr>
      </w:pPr>
    </w:p>
    <w:p w14:paraId="119FCABB" w14:textId="77777777" w:rsidR="0072020E" w:rsidRPr="00BF57A3" w:rsidRDefault="0072020E">
      <w:pPr>
        <w:tabs>
          <w:tab w:val="left" w:pos="540"/>
          <w:tab w:val="left" w:pos="569"/>
        </w:tabs>
        <w:ind w:left="540" w:hanging="540"/>
        <w:jc w:val="both"/>
        <w:rPr>
          <w:b/>
          <w:bCs/>
          <w:sz w:val="22"/>
          <w:szCs w:val="22"/>
          <w:lang w:val="es-ES"/>
        </w:rPr>
      </w:pPr>
      <w:r w:rsidRPr="00BF57A3">
        <w:rPr>
          <w:b/>
          <w:bCs/>
          <w:sz w:val="22"/>
          <w:szCs w:val="22"/>
          <w:lang w:val="es-ES"/>
        </w:rPr>
        <w:t xml:space="preserve">4.7. </w:t>
      </w:r>
      <w:r w:rsidR="00480FB1" w:rsidRPr="00BF57A3">
        <w:rPr>
          <w:b/>
          <w:bCs/>
          <w:sz w:val="22"/>
          <w:szCs w:val="22"/>
          <w:lang w:val="es-ES"/>
        </w:rPr>
        <w:tab/>
      </w:r>
      <w:r w:rsidRPr="00BF57A3">
        <w:rPr>
          <w:b/>
          <w:bCs/>
          <w:sz w:val="22"/>
          <w:szCs w:val="22"/>
          <w:lang w:val="es-ES"/>
        </w:rPr>
        <w:t xml:space="preserve">Uticaj na sposobnost </w:t>
      </w:r>
      <w:r w:rsidR="00F34554" w:rsidRPr="00BF57A3">
        <w:rPr>
          <w:b/>
          <w:bCs/>
          <w:sz w:val="22"/>
          <w:szCs w:val="22"/>
          <w:lang w:val="es-ES"/>
        </w:rPr>
        <w:t>upravljanja vozili</w:t>
      </w:r>
      <w:r w:rsidRPr="00BF57A3">
        <w:rPr>
          <w:b/>
          <w:bCs/>
          <w:sz w:val="22"/>
          <w:szCs w:val="22"/>
          <w:lang w:val="es-ES"/>
        </w:rPr>
        <w:t>m</w:t>
      </w:r>
      <w:r w:rsidR="00F34554" w:rsidRPr="00BF57A3">
        <w:rPr>
          <w:b/>
          <w:bCs/>
          <w:sz w:val="22"/>
          <w:szCs w:val="22"/>
          <w:lang w:val="es-ES"/>
        </w:rPr>
        <w:t>a</w:t>
      </w:r>
      <w:r w:rsidRPr="00BF57A3">
        <w:rPr>
          <w:b/>
          <w:bCs/>
          <w:sz w:val="22"/>
          <w:szCs w:val="22"/>
          <w:lang w:val="es-ES"/>
        </w:rPr>
        <w:t xml:space="preserve"> i </w:t>
      </w:r>
      <w:r w:rsidR="002B1D81" w:rsidRPr="00BF57A3">
        <w:rPr>
          <w:b/>
          <w:bCs/>
          <w:sz w:val="22"/>
          <w:szCs w:val="22"/>
          <w:lang w:val="es-ES"/>
        </w:rPr>
        <w:t xml:space="preserve">rukovanje </w:t>
      </w:r>
      <w:r w:rsidRPr="00BF57A3">
        <w:rPr>
          <w:b/>
          <w:bCs/>
          <w:sz w:val="22"/>
          <w:szCs w:val="22"/>
          <w:lang w:val="es-ES"/>
        </w:rPr>
        <w:t>mašinama</w:t>
      </w:r>
    </w:p>
    <w:p w14:paraId="3A31133E" w14:textId="77777777" w:rsidR="0072020E" w:rsidRPr="00BF57A3" w:rsidRDefault="0072020E">
      <w:pPr>
        <w:tabs>
          <w:tab w:val="left" w:pos="540"/>
          <w:tab w:val="left" w:pos="569"/>
        </w:tabs>
        <w:jc w:val="both"/>
        <w:rPr>
          <w:b/>
          <w:bCs/>
          <w:sz w:val="22"/>
          <w:szCs w:val="22"/>
          <w:lang w:val="es-ES"/>
        </w:rPr>
      </w:pPr>
    </w:p>
    <w:p w14:paraId="07BC0AEB" w14:textId="39F3754E" w:rsidR="00D4218F" w:rsidRPr="00BF57A3" w:rsidRDefault="00D4218F">
      <w:pPr>
        <w:pStyle w:val="Header"/>
        <w:tabs>
          <w:tab w:val="left" w:pos="284"/>
        </w:tabs>
        <w:jc w:val="both"/>
        <w:rPr>
          <w:sz w:val="22"/>
          <w:szCs w:val="22"/>
          <w:lang w:val="ru-RU"/>
        </w:rPr>
      </w:pPr>
      <w:r w:rsidRPr="00BF57A3">
        <w:rPr>
          <w:sz w:val="22"/>
          <w:szCs w:val="22"/>
          <w:lang w:val="es-ES"/>
        </w:rPr>
        <w:t>Lijek</w:t>
      </w:r>
      <w:r w:rsidRPr="00BF57A3">
        <w:rPr>
          <w:sz w:val="22"/>
          <w:szCs w:val="22"/>
          <w:lang w:val="ru-RU"/>
        </w:rPr>
        <w:t xml:space="preserve"> </w:t>
      </w:r>
      <w:r w:rsidRPr="00BF57A3">
        <w:rPr>
          <w:sz w:val="22"/>
          <w:szCs w:val="22"/>
          <w:lang w:val="es-ES"/>
        </w:rPr>
        <w:t>Abraxane</w:t>
      </w:r>
      <w:r w:rsidRPr="00BF57A3">
        <w:rPr>
          <w:sz w:val="22"/>
          <w:szCs w:val="22"/>
          <w:lang w:val="ru-RU"/>
        </w:rPr>
        <w:t xml:space="preserve"> </w:t>
      </w:r>
      <w:r w:rsidRPr="00BF57A3">
        <w:rPr>
          <w:sz w:val="22"/>
          <w:szCs w:val="22"/>
          <w:lang w:val="sl-SI"/>
        </w:rPr>
        <w:t xml:space="preserve">ima </w:t>
      </w:r>
      <w:r w:rsidRPr="00BF57A3">
        <w:rPr>
          <w:sz w:val="22"/>
          <w:szCs w:val="22"/>
          <w:lang w:val="es-ES"/>
        </w:rPr>
        <w:t>mali</w:t>
      </w:r>
      <w:r w:rsidRPr="00BF57A3">
        <w:rPr>
          <w:sz w:val="22"/>
          <w:szCs w:val="22"/>
          <w:lang w:val="ru-RU"/>
        </w:rPr>
        <w:t xml:space="preserve"> </w:t>
      </w:r>
      <w:r w:rsidRPr="00BF57A3">
        <w:rPr>
          <w:sz w:val="22"/>
          <w:szCs w:val="22"/>
          <w:lang w:val="es-ES"/>
        </w:rPr>
        <w:t>ili</w:t>
      </w:r>
      <w:r w:rsidRPr="00BF57A3">
        <w:rPr>
          <w:sz w:val="22"/>
          <w:szCs w:val="22"/>
          <w:lang w:val="ru-RU"/>
        </w:rPr>
        <w:t xml:space="preserve"> </w:t>
      </w:r>
      <w:r w:rsidRPr="00BF57A3">
        <w:rPr>
          <w:sz w:val="22"/>
          <w:szCs w:val="22"/>
          <w:lang w:val="es-ES"/>
        </w:rPr>
        <w:t>umjeren</w:t>
      </w:r>
      <w:r w:rsidRPr="00BF57A3">
        <w:rPr>
          <w:sz w:val="22"/>
          <w:szCs w:val="22"/>
          <w:lang w:val="ru-RU"/>
        </w:rPr>
        <w:t xml:space="preserve"> </w:t>
      </w:r>
      <w:r w:rsidRPr="00BF57A3">
        <w:rPr>
          <w:sz w:val="22"/>
          <w:szCs w:val="22"/>
          <w:lang w:val="sl-SI"/>
        </w:rPr>
        <w:t xml:space="preserve">uticaj </w:t>
      </w:r>
      <w:r w:rsidRPr="00BF57A3">
        <w:rPr>
          <w:sz w:val="22"/>
          <w:szCs w:val="22"/>
          <w:lang w:val="es-ES"/>
        </w:rPr>
        <w:t>na</w:t>
      </w:r>
      <w:r w:rsidRPr="00BF57A3">
        <w:rPr>
          <w:sz w:val="22"/>
          <w:szCs w:val="22"/>
          <w:lang w:val="ru-RU"/>
        </w:rPr>
        <w:t xml:space="preserve"> </w:t>
      </w:r>
      <w:r w:rsidRPr="00BF57A3">
        <w:rPr>
          <w:sz w:val="22"/>
          <w:szCs w:val="22"/>
          <w:lang w:val="es-ES"/>
        </w:rPr>
        <w:t>psihofizi</w:t>
      </w:r>
      <w:r w:rsidRPr="00BF57A3">
        <w:rPr>
          <w:sz w:val="22"/>
          <w:szCs w:val="22"/>
          <w:lang w:val="ru-RU"/>
        </w:rPr>
        <w:t>č</w:t>
      </w:r>
      <w:r w:rsidRPr="00BF57A3">
        <w:rPr>
          <w:sz w:val="22"/>
          <w:szCs w:val="22"/>
          <w:lang w:val="es-ES"/>
        </w:rPr>
        <w:t>ke</w:t>
      </w:r>
      <w:r w:rsidRPr="00BF57A3">
        <w:rPr>
          <w:sz w:val="22"/>
          <w:szCs w:val="22"/>
          <w:lang w:val="ru-RU"/>
        </w:rPr>
        <w:t xml:space="preserve"> </w:t>
      </w:r>
      <w:r w:rsidRPr="00BF57A3">
        <w:rPr>
          <w:sz w:val="22"/>
          <w:szCs w:val="22"/>
          <w:lang w:val="es-ES"/>
        </w:rPr>
        <w:t>sposobnosti</w:t>
      </w:r>
      <w:r w:rsidRPr="00BF57A3">
        <w:rPr>
          <w:sz w:val="22"/>
          <w:szCs w:val="22"/>
          <w:lang w:val="ru-RU"/>
        </w:rPr>
        <w:t xml:space="preserve"> </w:t>
      </w:r>
      <w:r w:rsidRPr="00BF57A3">
        <w:rPr>
          <w:sz w:val="22"/>
          <w:szCs w:val="22"/>
          <w:lang w:val="es-ES"/>
        </w:rPr>
        <w:t>prilikom</w:t>
      </w:r>
      <w:r w:rsidRPr="00BF57A3">
        <w:rPr>
          <w:sz w:val="22"/>
          <w:szCs w:val="22"/>
          <w:lang w:val="ru-RU"/>
        </w:rPr>
        <w:t xml:space="preserve"> </w:t>
      </w:r>
      <w:r w:rsidRPr="00BF57A3">
        <w:rPr>
          <w:sz w:val="22"/>
          <w:szCs w:val="22"/>
          <w:lang w:val="es-ES"/>
        </w:rPr>
        <w:t>upravljanja</w:t>
      </w:r>
      <w:r w:rsidRPr="00BF57A3">
        <w:rPr>
          <w:sz w:val="22"/>
          <w:szCs w:val="22"/>
          <w:lang w:val="ru-RU"/>
        </w:rPr>
        <w:t xml:space="preserve"> </w:t>
      </w:r>
      <w:r w:rsidRPr="00BF57A3">
        <w:rPr>
          <w:sz w:val="22"/>
          <w:szCs w:val="22"/>
          <w:lang w:val="es-ES"/>
        </w:rPr>
        <w:t>motornim</w:t>
      </w:r>
      <w:r w:rsidRPr="00BF57A3">
        <w:rPr>
          <w:sz w:val="22"/>
          <w:szCs w:val="22"/>
          <w:lang w:val="ru-RU"/>
        </w:rPr>
        <w:t xml:space="preserve"> </w:t>
      </w:r>
      <w:r w:rsidRPr="00BF57A3">
        <w:rPr>
          <w:sz w:val="22"/>
          <w:szCs w:val="22"/>
          <w:lang w:val="es-ES"/>
        </w:rPr>
        <w:t>vozilom</w:t>
      </w:r>
      <w:r w:rsidRPr="00BF57A3">
        <w:rPr>
          <w:sz w:val="22"/>
          <w:szCs w:val="22"/>
          <w:lang w:val="ru-RU"/>
        </w:rPr>
        <w:t xml:space="preserve"> </w:t>
      </w:r>
      <w:r w:rsidRPr="00BF57A3">
        <w:rPr>
          <w:sz w:val="22"/>
          <w:szCs w:val="22"/>
          <w:lang w:val="es-ES"/>
        </w:rPr>
        <w:t>i</w:t>
      </w:r>
      <w:r w:rsidRPr="00BF57A3">
        <w:rPr>
          <w:sz w:val="22"/>
          <w:szCs w:val="22"/>
          <w:lang w:val="ru-RU"/>
        </w:rPr>
        <w:t xml:space="preserve"> </w:t>
      </w:r>
      <w:r w:rsidR="004712A4" w:rsidRPr="00BF57A3">
        <w:rPr>
          <w:sz w:val="22"/>
          <w:szCs w:val="22"/>
          <w:lang w:val="es-ES"/>
        </w:rPr>
        <w:t>rukovanja</w:t>
      </w:r>
      <w:r w:rsidR="004712A4" w:rsidRPr="00BF57A3">
        <w:rPr>
          <w:sz w:val="22"/>
          <w:szCs w:val="22"/>
          <w:lang w:val="ru-RU"/>
        </w:rPr>
        <w:t xml:space="preserve"> </w:t>
      </w:r>
      <w:r w:rsidRPr="00BF57A3">
        <w:rPr>
          <w:sz w:val="22"/>
          <w:szCs w:val="22"/>
          <w:lang w:val="es-ES"/>
        </w:rPr>
        <w:t>ma</w:t>
      </w:r>
      <w:r w:rsidRPr="00BF57A3">
        <w:rPr>
          <w:sz w:val="22"/>
          <w:szCs w:val="22"/>
          <w:lang w:val="ru-RU"/>
        </w:rPr>
        <w:t>š</w:t>
      </w:r>
      <w:r w:rsidRPr="00BF57A3">
        <w:rPr>
          <w:sz w:val="22"/>
          <w:szCs w:val="22"/>
          <w:lang w:val="es-ES"/>
        </w:rPr>
        <w:t>inama</w:t>
      </w:r>
      <w:r w:rsidRPr="00BF57A3">
        <w:rPr>
          <w:sz w:val="22"/>
          <w:szCs w:val="22"/>
          <w:lang w:val="ru-RU"/>
        </w:rPr>
        <w:t xml:space="preserve">. </w:t>
      </w:r>
      <w:r w:rsidRPr="00BF57A3">
        <w:rPr>
          <w:sz w:val="22"/>
          <w:szCs w:val="22"/>
          <w:lang w:val="sl-SI"/>
        </w:rPr>
        <w:t xml:space="preserve">Lijek </w:t>
      </w:r>
      <w:r w:rsidRPr="00BF57A3">
        <w:rPr>
          <w:sz w:val="22"/>
          <w:szCs w:val="22"/>
          <w:lang w:val="en-US"/>
        </w:rPr>
        <w:t>Abraxane</w:t>
      </w:r>
      <w:r w:rsidRPr="00BF57A3">
        <w:rPr>
          <w:sz w:val="22"/>
          <w:szCs w:val="22"/>
          <w:lang w:val="ru-RU"/>
        </w:rPr>
        <w:t xml:space="preserve"> </w:t>
      </w:r>
      <w:r w:rsidRPr="00BF57A3">
        <w:rPr>
          <w:sz w:val="22"/>
          <w:szCs w:val="22"/>
          <w:lang w:val="en-US"/>
        </w:rPr>
        <w:t>mo</w:t>
      </w:r>
      <w:r w:rsidRPr="00BF57A3">
        <w:rPr>
          <w:sz w:val="22"/>
          <w:szCs w:val="22"/>
          <w:lang w:val="ru-RU"/>
        </w:rPr>
        <w:t>ž</w:t>
      </w:r>
      <w:r w:rsidRPr="00BF57A3">
        <w:rPr>
          <w:sz w:val="22"/>
          <w:szCs w:val="22"/>
          <w:lang w:val="en-US"/>
        </w:rPr>
        <w:t>e</w:t>
      </w:r>
      <w:r w:rsidRPr="00BF57A3">
        <w:rPr>
          <w:sz w:val="22"/>
          <w:szCs w:val="22"/>
          <w:lang w:val="ru-RU"/>
        </w:rPr>
        <w:t xml:space="preserve"> </w:t>
      </w:r>
      <w:r w:rsidRPr="00BF57A3">
        <w:rPr>
          <w:sz w:val="22"/>
          <w:szCs w:val="22"/>
          <w:lang w:val="en-US"/>
        </w:rPr>
        <w:t>izazvati</w:t>
      </w:r>
      <w:r w:rsidRPr="00BF57A3">
        <w:rPr>
          <w:sz w:val="22"/>
          <w:szCs w:val="22"/>
          <w:lang w:val="ru-RU"/>
        </w:rPr>
        <w:t xml:space="preserve"> </w:t>
      </w:r>
      <w:r w:rsidRPr="00BF57A3">
        <w:rPr>
          <w:sz w:val="22"/>
          <w:szCs w:val="22"/>
          <w:lang w:val="en-US"/>
        </w:rPr>
        <w:t>ne</w:t>
      </w:r>
      <w:r w:rsidRPr="00BF57A3">
        <w:rPr>
          <w:sz w:val="22"/>
          <w:szCs w:val="22"/>
          <w:lang w:val="ru-RU"/>
        </w:rPr>
        <w:t>ž</w:t>
      </w:r>
      <w:r w:rsidRPr="00BF57A3">
        <w:rPr>
          <w:sz w:val="22"/>
          <w:szCs w:val="22"/>
          <w:lang w:val="en-US"/>
        </w:rPr>
        <w:t>eljena</w:t>
      </w:r>
      <w:r w:rsidRPr="00BF57A3">
        <w:rPr>
          <w:sz w:val="22"/>
          <w:szCs w:val="22"/>
          <w:lang w:val="ru-RU"/>
        </w:rPr>
        <w:t xml:space="preserve"> </w:t>
      </w:r>
      <w:r w:rsidRPr="00BF57A3">
        <w:rPr>
          <w:sz w:val="22"/>
          <w:szCs w:val="22"/>
          <w:lang w:val="en-US"/>
        </w:rPr>
        <w:t>dejstva</w:t>
      </w:r>
      <w:r w:rsidRPr="00BF57A3">
        <w:rPr>
          <w:sz w:val="22"/>
          <w:szCs w:val="22"/>
          <w:lang w:val="ru-RU"/>
        </w:rPr>
        <w:t xml:space="preserve"> </w:t>
      </w:r>
      <w:r w:rsidRPr="00BF57A3">
        <w:rPr>
          <w:sz w:val="22"/>
          <w:szCs w:val="22"/>
          <w:lang w:val="en-US"/>
        </w:rPr>
        <w:t>kao</w:t>
      </w:r>
      <w:r w:rsidRPr="00BF57A3">
        <w:rPr>
          <w:sz w:val="22"/>
          <w:szCs w:val="22"/>
          <w:lang w:val="ru-RU"/>
        </w:rPr>
        <w:t xml:space="preserve"> š</w:t>
      </w:r>
      <w:r w:rsidRPr="00BF57A3">
        <w:rPr>
          <w:sz w:val="22"/>
          <w:szCs w:val="22"/>
          <w:lang w:val="en-US"/>
        </w:rPr>
        <w:t>to</w:t>
      </w:r>
      <w:r w:rsidRPr="00BF57A3">
        <w:rPr>
          <w:sz w:val="22"/>
          <w:szCs w:val="22"/>
          <w:lang w:val="ru-RU"/>
        </w:rPr>
        <w:t xml:space="preserve"> </w:t>
      </w:r>
      <w:r w:rsidRPr="00BF57A3">
        <w:rPr>
          <w:sz w:val="22"/>
          <w:szCs w:val="22"/>
          <w:lang w:val="en-US"/>
        </w:rPr>
        <w:t>su</w:t>
      </w:r>
      <w:r w:rsidRPr="00BF57A3">
        <w:rPr>
          <w:sz w:val="22"/>
          <w:szCs w:val="22"/>
          <w:lang w:val="ru-RU"/>
        </w:rPr>
        <w:t xml:space="preserve"> </w:t>
      </w:r>
      <w:r w:rsidRPr="00BF57A3">
        <w:rPr>
          <w:sz w:val="22"/>
          <w:szCs w:val="22"/>
          <w:lang w:val="en-US"/>
        </w:rPr>
        <w:t>umor</w:t>
      </w:r>
      <w:r w:rsidRPr="00BF57A3">
        <w:rPr>
          <w:sz w:val="22"/>
          <w:szCs w:val="22"/>
          <w:lang w:val="ru-RU"/>
        </w:rPr>
        <w:t xml:space="preserve"> (</w:t>
      </w:r>
      <w:r w:rsidRPr="00BF57A3">
        <w:rPr>
          <w:sz w:val="22"/>
          <w:szCs w:val="22"/>
          <w:lang w:val="en-US"/>
        </w:rPr>
        <w:t>veoma</w:t>
      </w:r>
      <w:r w:rsidRPr="00BF57A3">
        <w:rPr>
          <w:sz w:val="22"/>
          <w:szCs w:val="22"/>
          <w:lang w:val="ru-RU"/>
        </w:rPr>
        <w:t xml:space="preserve"> č</w:t>
      </w:r>
      <w:r w:rsidRPr="00BF57A3">
        <w:rPr>
          <w:sz w:val="22"/>
          <w:szCs w:val="22"/>
          <w:lang w:val="en-US"/>
        </w:rPr>
        <w:t>esto</w:t>
      </w:r>
      <w:r w:rsidRPr="00BF57A3">
        <w:rPr>
          <w:sz w:val="22"/>
          <w:szCs w:val="22"/>
          <w:lang w:val="ru-RU"/>
        </w:rPr>
        <w:t xml:space="preserve">) </w:t>
      </w:r>
      <w:r w:rsidRPr="00BF57A3">
        <w:rPr>
          <w:sz w:val="22"/>
          <w:szCs w:val="22"/>
          <w:lang w:val="en-US"/>
        </w:rPr>
        <w:t>i</w:t>
      </w:r>
      <w:r w:rsidRPr="00BF57A3">
        <w:rPr>
          <w:sz w:val="22"/>
          <w:szCs w:val="22"/>
          <w:lang w:val="ru-RU"/>
        </w:rPr>
        <w:t xml:space="preserve"> </w:t>
      </w:r>
      <w:r w:rsidRPr="00BF57A3">
        <w:rPr>
          <w:sz w:val="22"/>
          <w:szCs w:val="22"/>
          <w:lang w:val="en-US"/>
        </w:rPr>
        <w:t>vrtoglavica</w:t>
      </w:r>
      <w:r w:rsidRPr="00BF57A3">
        <w:rPr>
          <w:sz w:val="22"/>
          <w:szCs w:val="22"/>
          <w:lang w:val="ru-RU"/>
        </w:rPr>
        <w:t xml:space="preserve"> (č</w:t>
      </w:r>
      <w:r w:rsidRPr="00BF57A3">
        <w:rPr>
          <w:sz w:val="22"/>
          <w:szCs w:val="22"/>
          <w:lang w:val="en-US"/>
        </w:rPr>
        <w:t>esto</w:t>
      </w:r>
      <w:r w:rsidRPr="00BF57A3">
        <w:rPr>
          <w:sz w:val="22"/>
          <w:szCs w:val="22"/>
          <w:lang w:val="ru-RU"/>
        </w:rPr>
        <w:t>)</w:t>
      </w:r>
      <w:r w:rsidR="004712A4" w:rsidRPr="00BF57A3">
        <w:rPr>
          <w:sz w:val="22"/>
          <w:szCs w:val="22"/>
          <w:lang w:val="sr-Latn-ME"/>
        </w:rPr>
        <w:t>,</w:t>
      </w:r>
      <w:r w:rsidRPr="00BF57A3">
        <w:rPr>
          <w:sz w:val="22"/>
          <w:szCs w:val="22"/>
          <w:lang w:val="ru-RU"/>
        </w:rPr>
        <w:t xml:space="preserve"> </w:t>
      </w:r>
      <w:r w:rsidR="004712A4" w:rsidRPr="00BF57A3">
        <w:rPr>
          <w:sz w:val="22"/>
          <w:szCs w:val="22"/>
          <w:lang w:val="en-US"/>
        </w:rPr>
        <w:t>koja</w:t>
      </w:r>
      <w:r w:rsidR="004712A4" w:rsidRPr="00BF57A3">
        <w:rPr>
          <w:sz w:val="22"/>
          <w:szCs w:val="22"/>
          <w:lang w:val="ru-RU"/>
        </w:rPr>
        <w:t xml:space="preserve"> </w:t>
      </w:r>
      <w:r w:rsidRPr="00BF57A3">
        <w:rPr>
          <w:sz w:val="22"/>
          <w:szCs w:val="22"/>
          <w:lang w:val="en-US"/>
        </w:rPr>
        <w:t>mogu</w:t>
      </w:r>
      <w:r w:rsidRPr="00BF57A3">
        <w:rPr>
          <w:sz w:val="22"/>
          <w:szCs w:val="22"/>
          <w:lang w:val="ru-RU"/>
        </w:rPr>
        <w:t xml:space="preserve"> </w:t>
      </w:r>
      <w:r w:rsidRPr="00BF57A3">
        <w:rPr>
          <w:sz w:val="22"/>
          <w:szCs w:val="22"/>
          <w:lang w:val="en-US"/>
        </w:rPr>
        <w:t>uticati</w:t>
      </w:r>
      <w:r w:rsidRPr="00BF57A3">
        <w:rPr>
          <w:sz w:val="22"/>
          <w:szCs w:val="22"/>
          <w:lang w:val="ru-RU"/>
        </w:rPr>
        <w:t xml:space="preserve"> </w:t>
      </w:r>
      <w:r w:rsidRPr="00BF57A3">
        <w:rPr>
          <w:sz w:val="22"/>
          <w:szCs w:val="22"/>
          <w:lang w:val="en-US"/>
        </w:rPr>
        <w:t>na</w:t>
      </w:r>
      <w:r w:rsidRPr="00BF57A3">
        <w:rPr>
          <w:sz w:val="22"/>
          <w:szCs w:val="22"/>
          <w:lang w:val="ru-RU"/>
        </w:rPr>
        <w:t xml:space="preserve"> </w:t>
      </w:r>
      <w:r w:rsidRPr="00BF57A3">
        <w:rPr>
          <w:sz w:val="22"/>
          <w:szCs w:val="22"/>
          <w:lang w:val="it-IT"/>
        </w:rPr>
        <w:t>sposobnosti</w:t>
      </w:r>
      <w:r w:rsidRPr="00BF57A3">
        <w:rPr>
          <w:sz w:val="22"/>
          <w:szCs w:val="22"/>
          <w:lang w:val="ru-RU"/>
        </w:rPr>
        <w:t xml:space="preserve"> </w:t>
      </w:r>
      <w:r w:rsidRPr="00BF57A3">
        <w:rPr>
          <w:sz w:val="22"/>
          <w:szCs w:val="22"/>
          <w:lang w:val="it-IT"/>
        </w:rPr>
        <w:t>prilikom</w:t>
      </w:r>
      <w:r w:rsidRPr="00BF57A3">
        <w:rPr>
          <w:sz w:val="22"/>
          <w:szCs w:val="22"/>
          <w:lang w:val="ru-RU"/>
        </w:rPr>
        <w:t xml:space="preserve"> </w:t>
      </w:r>
      <w:r w:rsidRPr="00BF57A3">
        <w:rPr>
          <w:sz w:val="22"/>
          <w:szCs w:val="22"/>
          <w:lang w:val="it-IT"/>
        </w:rPr>
        <w:t>upravljanja</w:t>
      </w:r>
      <w:r w:rsidRPr="00BF57A3">
        <w:rPr>
          <w:sz w:val="22"/>
          <w:szCs w:val="22"/>
          <w:lang w:val="ru-RU"/>
        </w:rPr>
        <w:t xml:space="preserve"> </w:t>
      </w:r>
      <w:r w:rsidRPr="00BF57A3">
        <w:rPr>
          <w:sz w:val="22"/>
          <w:szCs w:val="22"/>
          <w:lang w:val="it-IT"/>
        </w:rPr>
        <w:t>motornim</w:t>
      </w:r>
      <w:r w:rsidRPr="00BF57A3">
        <w:rPr>
          <w:sz w:val="22"/>
          <w:szCs w:val="22"/>
          <w:lang w:val="ru-RU"/>
        </w:rPr>
        <w:t xml:space="preserve"> </w:t>
      </w:r>
      <w:r w:rsidRPr="00BF57A3">
        <w:rPr>
          <w:sz w:val="22"/>
          <w:szCs w:val="22"/>
          <w:lang w:val="it-IT"/>
        </w:rPr>
        <w:t>vozilom</w:t>
      </w:r>
      <w:r w:rsidRPr="00BF57A3">
        <w:rPr>
          <w:sz w:val="22"/>
          <w:szCs w:val="22"/>
          <w:lang w:val="ru-RU"/>
        </w:rPr>
        <w:t xml:space="preserve"> </w:t>
      </w:r>
      <w:r w:rsidRPr="00BF57A3">
        <w:rPr>
          <w:sz w:val="22"/>
          <w:szCs w:val="22"/>
          <w:lang w:val="it-IT"/>
        </w:rPr>
        <w:t>i</w:t>
      </w:r>
      <w:r w:rsidRPr="00BF57A3">
        <w:rPr>
          <w:sz w:val="22"/>
          <w:szCs w:val="22"/>
          <w:lang w:val="ru-RU"/>
        </w:rPr>
        <w:t xml:space="preserve"> </w:t>
      </w:r>
      <w:r w:rsidR="004712A4" w:rsidRPr="00BF57A3">
        <w:rPr>
          <w:sz w:val="22"/>
          <w:szCs w:val="22"/>
          <w:lang w:val="it-IT"/>
        </w:rPr>
        <w:t>rukovanja</w:t>
      </w:r>
      <w:r w:rsidR="004712A4" w:rsidRPr="00BF57A3">
        <w:rPr>
          <w:sz w:val="22"/>
          <w:szCs w:val="22"/>
          <w:lang w:val="ru-RU"/>
        </w:rPr>
        <w:t xml:space="preserve"> </w:t>
      </w:r>
      <w:r w:rsidRPr="00BF57A3">
        <w:rPr>
          <w:sz w:val="22"/>
          <w:szCs w:val="22"/>
          <w:lang w:val="it-IT"/>
        </w:rPr>
        <w:t>ma</w:t>
      </w:r>
      <w:r w:rsidRPr="00BF57A3">
        <w:rPr>
          <w:sz w:val="22"/>
          <w:szCs w:val="22"/>
          <w:lang w:val="ru-RU"/>
        </w:rPr>
        <w:t>š</w:t>
      </w:r>
      <w:r w:rsidRPr="00BF57A3">
        <w:rPr>
          <w:sz w:val="22"/>
          <w:szCs w:val="22"/>
          <w:lang w:val="it-IT"/>
        </w:rPr>
        <w:t>inama</w:t>
      </w:r>
      <w:r w:rsidRPr="00BF57A3">
        <w:rPr>
          <w:sz w:val="22"/>
          <w:szCs w:val="22"/>
          <w:lang w:val="ru-RU"/>
        </w:rPr>
        <w:t xml:space="preserve">. </w:t>
      </w:r>
      <w:r w:rsidR="00CD3413">
        <w:rPr>
          <w:sz w:val="22"/>
          <w:szCs w:val="22"/>
          <w:lang w:val="it-IT"/>
        </w:rPr>
        <w:t>Pacijente</w:t>
      </w:r>
      <w:r w:rsidR="00CD3413" w:rsidRPr="00BF57A3">
        <w:rPr>
          <w:sz w:val="22"/>
          <w:szCs w:val="22"/>
          <w:lang w:val="ru-RU"/>
        </w:rPr>
        <w:t xml:space="preserve"> </w:t>
      </w:r>
      <w:r w:rsidRPr="00BF57A3">
        <w:rPr>
          <w:sz w:val="22"/>
          <w:szCs w:val="22"/>
          <w:lang w:val="it-IT"/>
        </w:rPr>
        <w:t>treba</w:t>
      </w:r>
      <w:r w:rsidRPr="00BF57A3">
        <w:rPr>
          <w:sz w:val="22"/>
          <w:szCs w:val="22"/>
          <w:lang w:val="ru-RU"/>
        </w:rPr>
        <w:t xml:space="preserve"> </w:t>
      </w:r>
      <w:r w:rsidRPr="00BF57A3">
        <w:rPr>
          <w:sz w:val="22"/>
          <w:szCs w:val="22"/>
          <w:lang w:val="it-IT"/>
        </w:rPr>
        <w:t>savjetovati</w:t>
      </w:r>
      <w:r w:rsidRPr="00BF57A3">
        <w:rPr>
          <w:sz w:val="22"/>
          <w:szCs w:val="22"/>
          <w:lang w:val="ru-RU"/>
        </w:rPr>
        <w:t xml:space="preserve"> </w:t>
      </w:r>
      <w:r w:rsidRPr="00BF57A3">
        <w:rPr>
          <w:sz w:val="22"/>
          <w:szCs w:val="22"/>
          <w:lang w:val="it-IT"/>
        </w:rPr>
        <w:t>da</w:t>
      </w:r>
      <w:r w:rsidRPr="00BF57A3">
        <w:rPr>
          <w:sz w:val="22"/>
          <w:szCs w:val="22"/>
          <w:lang w:val="ru-RU"/>
        </w:rPr>
        <w:t xml:space="preserve"> </w:t>
      </w:r>
      <w:r w:rsidRPr="00BF57A3">
        <w:rPr>
          <w:sz w:val="22"/>
          <w:szCs w:val="22"/>
          <w:lang w:val="it-IT"/>
        </w:rPr>
        <w:t>ne</w:t>
      </w:r>
      <w:r w:rsidRPr="00BF57A3">
        <w:rPr>
          <w:sz w:val="22"/>
          <w:szCs w:val="22"/>
          <w:lang w:val="ru-RU"/>
        </w:rPr>
        <w:t xml:space="preserve"> </w:t>
      </w:r>
      <w:r w:rsidRPr="00BF57A3">
        <w:rPr>
          <w:sz w:val="22"/>
          <w:szCs w:val="22"/>
          <w:lang w:val="it-IT"/>
        </w:rPr>
        <w:t>upravljaju</w:t>
      </w:r>
      <w:r w:rsidRPr="00BF57A3">
        <w:rPr>
          <w:sz w:val="22"/>
          <w:szCs w:val="22"/>
          <w:lang w:val="ru-RU"/>
        </w:rPr>
        <w:t xml:space="preserve"> </w:t>
      </w:r>
      <w:r w:rsidRPr="00BF57A3">
        <w:rPr>
          <w:sz w:val="22"/>
          <w:szCs w:val="22"/>
          <w:lang w:val="it-IT"/>
        </w:rPr>
        <w:t>vozilima</w:t>
      </w:r>
      <w:r w:rsidRPr="00BF57A3">
        <w:rPr>
          <w:sz w:val="22"/>
          <w:szCs w:val="22"/>
          <w:lang w:val="ru-RU"/>
        </w:rPr>
        <w:t xml:space="preserve"> </w:t>
      </w:r>
      <w:r w:rsidRPr="00BF57A3">
        <w:rPr>
          <w:sz w:val="22"/>
          <w:szCs w:val="22"/>
          <w:lang w:val="it-IT"/>
        </w:rPr>
        <w:t>i</w:t>
      </w:r>
      <w:r w:rsidRPr="00BF57A3">
        <w:rPr>
          <w:sz w:val="22"/>
          <w:szCs w:val="22"/>
          <w:lang w:val="ru-RU"/>
        </w:rPr>
        <w:t xml:space="preserve"> </w:t>
      </w:r>
      <w:r w:rsidRPr="00BF57A3">
        <w:rPr>
          <w:sz w:val="22"/>
          <w:szCs w:val="22"/>
          <w:lang w:val="it-IT"/>
        </w:rPr>
        <w:t>ne</w:t>
      </w:r>
      <w:r w:rsidRPr="00BF57A3">
        <w:rPr>
          <w:sz w:val="22"/>
          <w:szCs w:val="22"/>
          <w:lang w:val="ru-RU"/>
        </w:rPr>
        <w:t xml:space="preserve"> </w:t>
      </w:r>
      <w:r w:rsidRPr="00BF57A3">
        <w:rPr>
          <w:sz w:val="22"/>
          <w:szCs w:val="22"/>
          <w:lang w:val="it-IT"/>
        </w:rPr>
        <w:t>rukuju</w:t>
      </w:r>
      <w:r w:rsidRPr="00BF57A3">
        <w:rPr>
          <w:sz w:val="22"/>
          <w:szCs w:val="22"/>
          <w:lang w:val="ru-RU"/>
        </w:rPr>
        <w:t xml:space="preserve"> </w:t>
      </w:r>
      <w:r w:rsidRPr="00BF57A3">
        <w:rPr>
          <w:sz w:val="22"/>
          <w:szCs w:val="22"/>
          <w:lang w:val="it-IT"/>
        </w:rPr>
        <w:t>ma</w:t>
      </w:r>
      <w:r w:rsidRPr="00BF57A3">
        <w:rPr>
          <w:sz w:val="22"/>
          <w:szCs w:val="22"/>
          <w:lang w:val="ru-RU"/>
        </w:rPr>
        <w:t>š</w:t>
      </w:r>
      <w:r w:rsidRPr="00BF57A3">
        <w:rPr>
          <w:sz w:val="22"/>
          <w:szCs w:val="22"/>
          <w:lang w:val="it-IT"/>
        </w:rPr>
        <w:t>inama</w:t>
      </w:r>
      <w:r w:rsidRPr="00BF57A3">
        <w:rPr>
          <w:sz w:val="22"/>
          <w:szCs w:val="22"/>
          <w:lang w:val="ru-RU"/>
        </w:rPr>
        <w:t xml:space="preserve"> </w:t>
      </w:r>
      <w:r w:rsidRPr="00BF57A3">
        <w:rPr>
          <w:sz w:val="22"/>
          <w:szCs w:val="22"/>
          <w:lang w:val="it-IT"/>
        </w:rPr>
        <w:t>ako</w:t>
      </w:r>
      <w:r w:rsidRPr="00BF57A3">
        <w:rPr>
          <w:sz w:val="22"/>
          <w:szCs w:val="22"/>
          <w:lang w:val="ru-RU"/>
        </w:rPr>
        <w:t xml:space="preserve"> </w:t>
      </w:r>
      <w:r w:rsidRPr="00BF57A3">
        <w:rPr>
          <w:sz w:val="22"/>
          <w:szCs w:val="22"/>
          <w:lang w:val="it-IT"/>
        </w:rPr>
        <w:t>osjete</w:t>
      </w:r>
      <w:r w:rsidRPr="00BF57A3">
        <w:rPr>
          <w:sz w:val="22"/>
          <w:szCs w:val="22"/>
          <w:lang w:val="ru-RU"/>
        </w:rPr>
        <w:t xml:space="preserve"> </w:t>
      </w:r>
      <w:r w:rsidRPr="00BF57A3">
        <w:rPr>
          <w:sz w:val="22"/>
          <w:szCs w:val="22"/>
          <w:lang w:val="it-IT"/>
        </w:rPr>
        <w:t>umor</w:t>
      </w:r>
      <w:r w:rsidRPr="00BF57A3">
        <w:rPr>
          <w:sz w:val="22"/>
          <w:szCs w:val="22"/>
          <w:lang w:val="ru-RU"/>
        </w:rPr>
        <w:t xml:space="preserve"> </w:t>
      </w:r>
      <w:r w:rsidRPr="00BF57A3">
        <w:rPr>
          <w:sz w:val="22"/>
          <w:szCs w:val="22"/>
          <w:lang w:val="it-IT"/>
        </w:rPr>
        <w:t>ili</w:t>
      </w:r>
      <w:r w:rsidRPr="00BF57A3">
        <w:rPr>
          <w:sz w:val="22"/>
          <w:szCs w:val="22"/>
          <w:lang w:val="ru-RU"/>
        </w:rPr>
        <w:t xml:space="preserve"> </w:t>
      </w:r>
      <w:r w:rsidRPr="00BF57A3">
        <w:rPr>
          <w:sz w:val="22"/>
          <w:szCs w:val="22"/>
          <w:lang w:val="it-IT"/>
        </w:rPr>
        <w:t>vrtoglavicu</w:t>
      </w:r>
      <w:r w:rsidRPr="00BF57A3">
        <w:rPr>
          <w:sz w:val="22"/>
          <w:szCs w:val="22"/>
          <w:lang w:val="ru-RU"/>
        </w:rPr>
        <w:t>.</w:t>
      </w:r>
    </w:p>
    <w:p w14:paraId="53FB813B" w14:textId="77777777" w:rsidR="00D4218F" w:rsidRPr="00BF57A3" w:rsidRDefault="00D4218F" w:rsidP="006C640E">
      <w:pPr>
        <w:tabs>
          <w:tab w:val="left" w:pos="540"/>
          <w:tab w:val="left" w:pos="569"/>
        </w:tabs>
        <w:jc w:val="both"/>
        <w:rPr>
          <w:b/>
          <w:bCs/>
          <w:sz w:val="22"/>
          <w:szCs w:val="22"/>
          <w:lang w:val="ru-RU"/>
        </w:rPr>
      </w:pPr>
    </w:p>
    <w:p w14:paraId="7299A68C" w14:textId="77777777" w:rsidR="0072020E" w:rsidRPr="00BF57A3" w:rsidRDefault="0072020E" w:rsidP="006C640E">
      <w:pPr>
        <w:tabs>
          <w:tab w:val="left" w:pos="540"/>
          <w:tab w:val="left" w:pos="569"/>
        </w:tabs>
        <w:jc w:val="both"/>
        <w:rPr>
          <w:b/>
          <w:bCs/>
          <w:sz w:val="22"/>
          <w:szCs w:val="22"/>
          <w:lang w:val="ru-RU"/>
        </w:rPr>
      </w:pPr>
      <w:r w:rsidRPr="00994B38">
        <w:rPr>
          <w:b/>
          <w:bCs/>
          <w:sz w:val="22"/>
          <w:szCs w:val="22"/>
          <w:lang w:val="ru-RU"/>
        </w:rPr>
        <w:t xml:space="preserve">4.8. </w:t>
      </w:r>
      <w:r w:rsidR="00480FB1" w:rsidRPr="00994B38">
        <w:rPr>
          <w:b/>
          <w:bCs/>
          <w:sz w:val="22"/>
          <w:szCs w:val="22"/>
          <w:lang w:val="ru-RU"/>
        </w:rPr>
        <w:tab/>
      </w:r>
      <w:r w:rsidRPr="00994B38">
        <w:rPr>
          <w:b/>
          <w:bCs/>
          <w:sz w:val="22"/>
          <w:szCs w:val="22"/>
        </w:rPr>
        <w:t>Ne</w:t>
      </w:r>
      <w:r w:rsidRPr="00994B38">
        <w:rPr>
          <w:b/>
          <w:bCs/>
          <w:sz w:val="22"/>
          <w:szCs w:val="22"/>
          <w:lang w:val="ru-RU"/>
        </w:rPr>
        <w:t>ž</w:t>
      </w:r>
      <w:r w:rsidRPr="00994B38">
        <w:rPr>
          <w:b/>
          <w:bCs/>
          <w:sz w:val="22"/>
          <w:szCs w:val="22"/>
        </w:rPr>
        <w:t>eljena</w:t>
      </w:r>
      <w:r w:rsidRPr="00994B38">
        <w:rPr>
          <w:b/>
          <w:bCs/>
          <w:sz w:val="22"/>
          <w:szCs w:val="22"/>
          <w:lang w:val="ru-RU"/>
        </w:rPr>
        <w:t xml:space="preserve"> </w:t>
      </w:r>
      <w:r w:rsidRPr="00994B38">
        <w:rPr>
          <w:b/>
          <w:bCs/>
          <w:sz w:val="22"/>
          <w:szCs w:val="22"/>
        </w:rPr>
        <w:t>dejstva</w:t>
      </w:r>
    </w:p>
    <w:p w14:paraId="0B973B34" w14:textId="77777777" w:rsidR="005A23D2" w:rsidRPr="00BF57A3" w:rsidRDefault="005A23D2" w:rsidP="006C640E">
      <w:pPr>
        <w:tabs>
          <w:tab w:val="left" w:pos="540"/>
          <w:tab w:val="left" w:pos="569"/>
        </w:tabs>
        <w:jc w:val="both"/>
        <w:rPr>
          <w:b/>
          <w:bCs/>
          <w:sz w:val="22"/>
          <w:szCs w:val="22"/>
          <w:lang w:val="ru-RU"/>
        </w:rPr>
      </w:pPr>
    </w:p>
    <w:p w14:paraId="43C6F48F" w14:textId="77777777" w:rsidR="000C1ABA" w:rsidRPr="00BF57A3" w:rsidRDefault="000C1ABA" w:rsidP="00BF57A3">
      <w:pPr>
        <w:autoSpaceDE w:val="0"/>
        <w:autoSpaceDN w:val="0"/>
        <w:adjustRightInd w:val="0"/>
        <w:jc w:val="both"/>
        <w:rPr>
          <w:noProof/>
          <w:sz w:val="22"/>
          <w:szCs w:val="22"/>
          <w:u w:val="single"/>
          <w:lang w:val="hr-HR"/>
        </w:rPr>
      </w:pPr>
      <w:r w:rsidRPr="00BF57A3">
        <w:rPr>
          <w:noProof/>
          <w:sz w:val="22"/>
          <w:szCs w:val="22"/>
          <w:u w:val="single"/>
          <w:lang w:val="hr-HR"/>
        </w:rPr>
        <w:t>Sažetak bezbjednosnog profila</w:t>
      </w:r>
    </w:p>
    <w:p w14:paraId="42A0F468" w14:textId="77777777" w:rsidR="000C1ABA" w:rsidRPr="00BF57A3" w:rsidRDefault="000C1ABA">
      <w:pPr>
        <w:autoSpaceDE w:val="0"/>
        <w:autoSpaceDN w:val="0"/>
        <w:adjustRightInd w:val="0"/>
        <w:jc w:val="both"/>
        <w:rPr>
          <w:noProof/>
          <w:sz w:val="22"/>
          <w:szCs w:val="22"/>
          <w:lang w:val="hr-HR"/>
        </w:rPr>
      </w:pPr>
      <w:r w:rsidRPr="00BF57A3">
        <w:rPr>
          <w:noProof/>
          <w:sz w:val="22"/>
          <w:szCs w:val="22"/>
          <w:lang w:val="hr-HR"/>
        </w:rPr>
        <w:t>Najčešća klinički značajna neželjena dejstva povezana sa primjenom lijeka Abraxane bila su neutropenija, periferna neuropatija, artralgija/mijalgija i gastrointestinalni poremećaji.</w:t>
      </w:r>
    </w:p>
    <w:p w14:paraId="5B9961E6" w14:textId="77777777" w:rsidR="000C1ABA" w:rsidRPr="00BF57A3" w:rsidRDefault="000C1ABA">
      <w:pPr>
        <w:autoSpaceDE w:val="0"/>
        <w:autoSpaceDN w:val="0"/>
        <w:adjustRightInd w:val="0"/>
        <w:jc w:val="both"/>
        <w:rPr>
          <w:noProof/>
          <w:sz w:val="22"/>
          <w:szCs w:val="22"/>
          <w:u w:val="single"/>
          <w:lang w:val="hr-HR"/>
        </w:rPr>
      </w:pPr>
    </w:p>
    <w:p w14:paraId="3072268A" w14:textId="77777777" w:rsidR="000840C3" w:rsidRDefault="000840C3">
      <w:pPr>
        <w:autoSpaceDE w:val="0"/>
        <w:autoSpaceDN w:val="0"/>
        <w:adjustRightInd w:val="0"/>
        <w:jc w:val="both"/>
        <w:rPr>
          <w:i/>
          <w:noProof/>
          <w:sz w:val="22"/>
          <w:szCs w:val="22"/>
          <w:u w:val="single"/>
          <w:lang w:val="hr-HR"/>
        </w:rPr>
      </w:pPr>
    </w:p>
    <w:p w14:paraId="264DADDE" w14:textId="49287736" w:rsidR="000C1ABA" w:rsidRPr="00BF57A3" w:rsidRDefault="000C1ABA">
      <w:pPr>
        <w:autoSpaceDE w:val="0"/>
        <w:autoSpaceDN w:val="0"/>
        <w:adjustRightInd w:val="0"/>
        <w:jc w:val="both"/>
        <w:rPr>
          <w:i/>
          <w:noProof/>
          <w:sz w:val="22"/>
          <w:szCs w:val="22"/>
          <w:u w:val="single"/>
          <w:lang w:val="hr-HR"/>
        </w:rPr>
      </w:pPr>
      <w:r w:rsidRPr="00BF57A3">
        <w:rPr>
          <w:i/>
          <w:noProof/>
          <w:sz w:val="22"/>
          <w:szCs w:val="22"/>
          <w:u w:val="single"/>
          <w:lang w:val="hr-HR"/>
        </w:rPr>
        <w:lastRenderedPageBreak/>
        <w:t>Tabelarni prikaz neželjenih dejstava</w:t>
      </w:r>
    </w:p>
    <w:p w14:paraId="0D13D40D" w14:textId="1F1019E3" w:rsidR="008878C8" w:rsidRPr="00BF57A3" w:rsidRDefault="000C1ABA">
      <w:pPr>
        <w:autoSpaceDE w:val="0"/>
        <w:autoSpaceDN w:val="0"/>
        <w:adjustRightInd w:val="0"/>
        <w:jc w:val="both"/>
        <w:rPr>
          <w:noProof/>
          <w:sz w:val="22"/>
          <w:szCs w:val="22"/>
          <w:lang w:val="hr-HR"/>
        </w:rPr>
      </w:pPr>
      <w:r w:rsidRPr="00BF57A3">
        <w:rPr>
          <w:noProof/>
          <w:sz w:val="22"/>
          <w:szCs w:val="22"/>
          <w:lang w:val="hr-HR"/>
        </w:rPr>
        <w:t xml:space="preserve">Tabela </w:t>
      </w:r>
      <w:r w:rsidR="00DE2A21" w:rsidRPr="00BF57A3">
        <w:rPr>
          <w:noProof/>
          <w:sz w:val="22"/>
          <w:szCs w:val="22"/>
          <w:lang w:val="hr-HR"/>
        </w:rPr>
        <w:t xml:space="preserve">6 </w:t>
      </w:r>
      <w:r w:rsidRPr="00BF57A3">
        <w:rPr>
          <w:noProof/>
          <w:sz w:val="22"/>
          <w:szCs w:val="22"/>
          <w:lang w:val="hr-HR"/>
        </w:rPr>
        <w:t xml:space="preserve">navodi neželjena dejstva povezana sa </w:t>
      </w:r>
      <w:r w:rsidR="008878C8" w:rsidRPr="00BF57A3">
        <w:rPr>
          <w:noProof/>
          <w:sz w:val="22"/>
          <w:szCs w:val="22"/>
          <w:lang w:val="hr-HR"/>
        </w:rPr>
        <w:t xml:space="preserve">lijekom </w:t>
      </w:r>
      <w:r w:rsidRPr="00BF57A3">
        <w:rPr>
          <w:noProof/>
          <w:sz w:val="22"/>
          <w:szCs w:val="22"/>
          <w:lang w:val="hr-HR"/>
        </w:rPr>
        <w:t>Abraxane</w:t>
      </w:r>
      <w:r w:rsidR="008878C8" w:rsidRPr="00BF57A3">
        <w:rPr>
          <w:noProof/>
          <w:sz w:val="22"/>
          <w:szCs w:val="22"/>
          <w:lang w:val="hr-HR"/>
        </w:rPr>
        <w:t xml:space="preserve"> koji je</w:t>
      </w:r>
      <w:r w:rsidRPr="00BF57A3">
        <w:rPr>
          <w:noProof/>
          <w:sz w:val="22"/>
          <w:szCs w:val="22"/>
          <w:lang w:val="hr-HR"/>
        </w:rPr>
        <w:t xml:space="preserve"> davan </w:t>
      </w:r>
      <w:r w:rsidR="00511C3B">
        <w:rPr>
          <w:noProof/>
          <w:sz w:val="22"/>
          <w:szCs w:val="22"/>
          <w:lang w:val="hr-HR"/>
        </w:rPr>
        <w:t>pacijentima</w:t>
      </w:r>
      <w:r w:rsidR="00511C3B" w:rsidRPr="00BF57A3">
        <w:rPr>
          <w:noProof/>
          <w:sz w:val="22"/>
          <w:szCs w:val="22"/>
          <w:lang w:val="hr-HR"/>
        </w:rPr>
        <w:t xml:space="preserve"> </w:t>
      </w:r>
      <w:r w:rsidRPr="00BF57A3">
        <w:rPr>
          <w:noProof/>
          <w:sz w:val="22"/>
          <w:szCs w:val="22"/>
          <w:lang w:val="hr-HR"/>
        </w:rPr>
        <w:t xml:space="preserve">kao monoterapija, u bilo kojoj dozi i za bilo koju indikaciju </w:t>
      </w:r>
      <w:r w:rsidR="00CD3630" w:rsidRPr="00BF57A3">
        <w:rPr>
          <w:noProof/>
          <w:sz w:val="22"/>
          <w:szCs w:val="22"/>
          <w:lang w:val="hr-HR"/>
        </w:rPr>
        <w:t xml:space="preserve">tokom kliničkih ispitivanja </w:t>
      </w:r>
      <w:r w:rsidRPr="00BF57A3">
        <w:rPr>
          <w:noProof/>
          <w:sz w:val="22"/>
          <w:szCs w:val="22"/>
          <w:lang w:val="hr-HR"/>
        </w:rPr>
        <w:t>(N = 789)</w:t>
      </w:r>
      <w:r w:rsidR="00CD3630" w:rsidRPr="00BF57A3">
        <w:rPr>
          <w:noProof/>
          <w:sz w:val="22"/>
          <w:szCs w:val="22"/>
          <w:lang w:val="hr-HR"/>
        </w:rPr>
        <w:t>, lijek Abraxane u kombinaciji s</w:t>
      </w:r>
      <w:r w:rsidR="008878C8" w:rsidRPr="00BF57A3">
        <w:rPr>
          <w:noProof/>
          <w:sz w:val="22"/>
          <w:szCs w:val="22"/>
          <w:lang w:val="hr-HR"/>
        </w:rPr>
        <w:t>a</w:t>
      </w:r>
      <w:r w:rsidR="00CD3630" w:rsidRPr="00BF57A3">
        <w:rPr>
          <w:noProof/>
          <w:sz w:val="22"/>
          <w:szCs w:val="22"/>
          <w:lang w:val="hr-HR"/>
        </w:rPr>
        <w:t xml:space="preserve"> gemcitabinom za adenokarcinom </w:t>
      </w:r>
      <w:r w:rsidR="008878C8" w:rsidRPr="00BF57A3">
        <w:rPr>
          <w:noProof/>
          <w:sz w:val="22"/>
          <w:szCs w:val="22"/>
          <w:lang w:val="hr-HR"/>
        </w:rPr>
        <w:t>pankreasa</w:t>
      </w:r>
      <w:r w:rsidR="00CD3630" w:rsidRPr="00BF57A3">
        <w:rPr>
          <w:noProof/>
          <w:sz w:val="22"/>
          <w:szCs w:val="22"/>
          <w:lang w:val="hr-HR"/>
        </w:rPr>
        <w:t xml:space="preserve"> iz kliničkog ispitivanja faze III (N = 421), </w:t>
      </w:r>
      <w:r w:rsidR="008878C8" w:rsidRPr="00BF57A3">
        <w:rPr>
          <w:noProof/>
          <w:sz w:val="22"/>
          <w:szCs w:val="22"/>
          <w:lang w:val="hr-HR"/>
        </w:rPr>
        <w:t xml:space="preserve">lijek </w:t>
      </w:r>
      <w:r w:rsidR="00CD3630" w:rsidRPr="00BF57A3">
        <w:rPr>
          <w:noProof/>
          <w:sz w:val="22"/>
          <w:szCs w:val="22"/>
          <w:lang w:val="hr-HR"/>
        </w:rPr>
        <w:t>Abraxane u kombinaciji s</w:t>
      </w:r>
      <w:r w:rsidR="008878C8" w:rsidRPr="00BF57A3">
        <w:rPr>
          <w:noProof/>
          <w:sz w:val="22"/>
          <w:szCs w:val="22"/>
          <w:lang w:val="hr-HR"/>
        </w:rPr>
        <w:t>a</w:t>
      </w:r>
      <w:r w:rsidR="00CD3630" w:rsidRPr="00BF57A3">
        <w:rPr>
          <w:noProof/>
          <w:sz w:val="22"/>
          <w:szCs w:val="22"/>
          <w:lang w:val="hr-HR"/>
        </w:rPr>
        <w:t xml:space="preserve"> karboplatinom za</w:t>
      </w:r>
      <w:r w:rsidR="008878C8" w:rsidRPr="00BF57A3">
        <w:rPr>
          <w:noProof/>
          <w:sz w:val="22"/>
          <w:szCs w:val="22"/>
          <w:lang w:val="hr-HR"/>
        </w:rPr>
        <w:t xml:space="preserve"> </w:t>
      </w:r>
      <w:r w:rsidR="00CD3630" w:rsidRPr="00BF57A3">
        <w:rPr>
          <w:noProof/>
          <w:sz w:val="22"/>
          <w:szCs w:val="22"/>
          <w:lang w:val="hr-HR"/>
        </w:rPr>
        <w:t xml:space="preserve"> </w:t>
      </w:r>
      <w:r w:rsidR="008878C8" w:rsidRPr="00BF57A3">
        <w:rPr>
          <w:noProof/>
          <w:sz w:val="22"/>
          <w:szCs w:val="22"/>
          <w:lang w:val="hr-HR"/>
        </w:rPr>
        <w:t xml:space="preserve">nemikrocelularni karcinom pluća </w:t>
      </w:r>
      <w:r w:rsidR="00CD3630" w:rsidRPr="00BF57A3">
        <w:rPr>
          <w:noProof/>
          <w:sz w:val="22"/>
          <w:szCs w:val="22"/>
          <w:lang w:val="hr-HR"/>
        </w:rPr>
        <w:t>iz kliničkog ispitivanja faze III (N = 514) i iz primjene nakon stavljanja lijeka u</w:t>
      </w:r>
      <w:r w:rsidR="008878C8" w:rsidRPr="00BF57A3">
        <w:rPr>
          <w:noProof/>
          <w:sz w:val="22"/>
          <w:szCs w:val="22"/>
          <w:lang w:val="hr-HR"/>
        </w:rPr>
        <w:t xml:space="preserve"> </w:t>
      </w:r>
      <w:r w:rsidR="00CD3630" w:rsidRPr="00BF57A3">
        <w:rPr>
          <w:noProof/>
          <w:sz w:val="22"/>
          <w:szCs w:val="22"/>
          <w:lang w:val="hr-HR"/>
        </w:rPr>
        <w:t>promet</w:t>
      </w:r>
      <w:r w:rsidR="008878C8" w:rsidRPr="00BF57A3">
        <w:rPr>
          <w:noProof/>
          <w:sz w:val="22"/>
          <w:szCs w:val="22"/>
          <w:lang w:val="hr-HR"/>
        </w:rPr>
        <w:t>. Učestalost je definisana kao: veoma česta (≥ 1/10), česta (≥ 1/100 i &lt; 1/10), povremena (≥ 1/1000 i &lt; 1/100), rijetka (≥ 1/10 000 i &lt; 1/1000), veoma rijetka (&lt; 1/10 000), nepoznata (ne može se procijeniti iz dostupnih podataka). Unutar svake grupe učestalosti neželjena dejstva su prikazana prema opadajućoj ozbiljnosti.</w:t>
      </w:r>
    </w:p>
    <w:p w14:paraId="4CBAA541" w14:textId="77777777" w:rsidR="00146795" w:rsidRPr="00BF57A3" w:rsidRDefault="00146795">
      <w:pPr>
        <w:autoSpaceDE w:val="0"/>
        <w:autoSpaceDN w:val="0"/>
        <w:adjustRightInd w:val="0"/>
        <w:jc w:val="both"/>
        <w:rPr>
          <w:noProof/>
          <w:sz w:val="22"/>
          <w:szCs w:val="22"/>
          <w:lang w:val="hr-HR"/>
        </w:rPr>
      </w:pPr>
    </w:p>
    <w:p w14:paraId="2F6280BC" w14:textId="77777777" w:rsidR="000C1ABA" w:rsidRPr="00BF57A3" w:rsidRDefault="000C1ABA">
      <w:pPr>
        <w:autoSpaceDE w:val="0"/>
        <w:autoSpaceDN w:val="0"/>
        <w:adjustRightInd w:val="0"/>
        <w:jc w:val="both"/>
        <w:rPr>
          <w:b/>
          <w:noProof/>
          <w:sz w:val="22"/>
          <w:szCs w:val="22"/>
          <w:lang w:val="hr-HR"/>
        </w:rPr>
      </w:pPr>
      <w:r w:rsidRPr="00BF57A3">
        <w:rPr>
          <w:b/>
          <w:noProof/>
          <w:sz w:val="22"/>
          <w:szCs w:val="22"/>
          <w:lang w:val="hr-HR"/>
        </w:rPr>
        <w:t xml:space="preserve">Tabela </w:t>
      </w:r>
      <w:r w:rsidR="00DE2A21" w:rsidRPr="00BF57A3">
        <w:rPr>
          <w:b/>
          <w:noProof/>
          <w:sz w:val="22"/>
          <w:szCs w:val="22"/>
          <w:lang w:val="hr-HR"/>
        </w:rPr>
        <w:t>6</w:t>
      </w:r>
      <w:r w:rsidRPr="00BF57A3">
        <w:rPr>
          <w:b/>
          <w:noProof/>
          <w:sz w:val="22"/>
          <w:szCs w:val="22"/>
          <w:lang w:val="hr-HR"/>
        </w:rPr>
        <w:t xml:space="preserve">: Neželjena dejstva prijavljena uz lijek Abraxane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976"/>
        <w:gridCol w:w="2552"/>
        <w:gridCol w:w="2835"/>
      </w:tblGrid>
      <w:tr w:rsidR="008878C8" w:rsidRPr="00BF57A3" w14:paraId="50665686" w14:textId="77777777" w:rsidTr="000E0B31">
        <w:trPr>
          <w:cantSplit/>
        </w:trPr>
        <w:tc>
          <w:tcPr>
            <w:tcW w:w="1555" w:type="dxa"/>
            <w:vAlign w:val="center"/>
          </w:tcPr>
          <w:p w14:paraId="70F18921" w14:textId="77777777" w:rsidR="008878C8" w:rsidRPr="00BF57A3" w:rsidRDefault="008878C8" w:rsidP="006C640E">
            <w:pPr>
              <w:autoSpaceDE w:val="0"/>
              <w:autoSpaceDN w:val="0"/>
              <w:adjustRightInd w:val="0"/>
              <w:jc w:val="both"/>
              <w:rPr>
                <w:sz w:val="22"/>
                <w:szCs w:val="22"/>
                <w:lang w:val="es-ES"/>
              </w:rPr>
            </w:pPr>
          </w:p>
        </w:tc>
        <w:tc>
          <w:tcPr>
            <w:tcW w:w="2976" w:type="dxa"/>
            <w:vAlign w:val="center"/>
          </w:tcPr>
          <w:p w14:paraId="7D26B936" w14:textId="77777777" w:rsidR="008878C8" w:rsidRPr="00BF57A3" w:rsidRDefault="008878C8" w:rsidP="006C640E">
            <w:pPr>
              <w:jc w:val="both"/>
              <w:rPr>
                <w:i/>
                <w:sz w:val="22"/>
                <w:szCs w:val="22"/>
                <w:lang w:val="es-ES"/>
              </w:rPr>
            </w:pPr>
            <w:r w:rsidRPr="00BF57A3">
              <w:rPr>
                <w:b/>
                <w:color w:val="000000"/>
                <w:sz w:val="22"/>
                <w:szCs w:val="22"/>
              </w:rPr>
              <w:t>Monoterapija (N = 789)</w:t>
            </w:r>
          </w:p>
        </w:tc>
        <w:tc>
          <w:tcPr>
            <w:tcW w:w="2552" w:type="dxa"/>
            <w:vAlign w:val="center"/>
          </w:tcPr>
          <w:p w14:paraId="519C4121" w14:textId="77777777" w:rsidR="008878C8" w:rsidRPr="00BF57A3" w:rsidRDefault="008878C8" w:rsidP="006C640E">
            <w:pPr>
              <w:jc w:val="both"/>
              <w:rPr>
                <w:b/>
                <w:color w:val="000000"/>
                <w:sz w:val="22"/>
                <w:szCs w:val="22"/>
                <w:lang w:val="es-ES"/>
              </w:rPr>
            </w:pPr>
            <w:r w:rsidRPr="00BF57A3">
              <w:rPr>
                <w:b/>
                <w:color w:val="000000"/>
                <w:sz w:val="22"/>
                <w:szCs w:val="22"/>
                <w:lang w:val="es-ES"/>
              </w:rPr>
              <w:t xml:space="preserve">U kombinaciji sa gemcitabinom </w:t>
            </w:r>
          </w:p>
          <w:p w14:paraId="727B7A35" w14:textId="77777777" w:rsidR="008878C8" w:rsidRPr="00BF57A3" w:rsidRDefault="008878C8" w:rsidP="006C640E">
            <w:pPr>
              <w:autoSpaceDE w:val="0"/>
              <w:autoSpaceDN w:val="0"/>
              <w:adjustRightInd w:val="0"/>
              <w:ind w:left="-816" w:firstLine="816"/>
              <w:jc w:val="both"/>
              <w:rPr>
                <w:i/>
                <w:sz w:val="22"/>
                <w:szCs w:val="22"/>
                <w:lang w:val="es-ES"/>
              </w:rPr>
            </w:pPr>
            <w:r w:rsidRPr="00BF57A3">
              <w:rPr>
                <w:b/>
                <w:color w:val="000000"/>
                <w:sz w:val="22"/>
                <w:szCs w:val="22"/>
                <w:lang w:val="es-ES"/>
              </w:rPr>
              <w:t>(N =421)</w:t>
            </w:r>
          </w:p>
        </w:tc>
        <w:tc>
          <w:tcPr>
            <w:tcW w:w="2835" w:type="dxa"/>
          </w:tcPr>
          <w:p w14:paraId="060C40B0" w14:textId="77777777" w:rsidR="008878C8" w:rsidRPr="00BF57A3" w:rsidRDefault="008878C8" w:rsidP="006C640E">
            <w:pPr>
              <w:jc w:val="both"/>
              <w:rPr>
                <w:b/>
                <w:color w:val="000000"/>
                <w:sz w:val="22"/>
                <w:szCs w:val="22"/>
                <w:lang w:val="es-ES"/>
              </w:rPr>
            </w:pPr>
            <w:r w:rsidRPr="00BF57A3">
              <w:rPr>
                <w:b/>
                <w:color w:val="000000"/>
                <w:sz w:val="22"/>
                <w:szCs w:val="22"/>
                <w:lang w:val="es-ES"/>
              </w:rPr>
              <w:t xml:space="preserve">U kombinaciji sa karboplatinom </w:t>
            </w:r>
          </w:p>
          <w:p w14:paraId="1F1A561D" w14:textId="77777777" w:rsidR="008878C8" w:rsidRPr="00BF57A3" w:rsidRDefault="008878C8" w:rsidP="006C640E">
            <w:pPr>
              <w:autoSpaceDE w:val="0"/>
              <w:autoSpaceDN w:val="0"/>
              <w:adjustRightInd w:val="0"/>
              <w:ind w:left="-816" w:firstLine="816"/>
              <w:jc w:val="both"/>
              <w:rPr>
                <w:i/>
                <w:sz w:val="22"/>
                <w:szCs w:val="22"/>
                <w:lang w:val="es-ES"/>
              </w:rPr>
            </w:pPr>
            <w:r w:rsidRPr="00BF57A3">
              <w:rPr>
                <w:b/>
                <w:color w:val="000000"/>
                <w:sz w:val="22"/>
                <w:szCs w:val="22"/>
                <w:lang w:val="es-ES"/>
              </w:rPr>
              <w:t>(N = 514)</w:t>
            </w:r>
          </w:p>
        </w:tc>
      </w:tr>
      <w:tr w:rsidR="00A9746C" w:rsidRPr="00BF57A3" w14:paraId="31F4F3F9" w14:textId="77777777" w:rsidTr="00E9313F">
        <w:trPr>
          <w:cantSplit/>
        </w:trPr>
        <w:tc>
          <w:tcPr>
            <w:tcW w:w="9918" w:type="dxa"/>
            <w:gridSpan w:val="4"/>
            <w:vAlign w:val="center"/>
          </w:tcPr>
          <w:p w14:paraId="0112312B" w14:textId="77777777" w:rsidR="00A9746C" w:rsidRPr="00BF57A3" w:rsidRDefault="00A9746C" w:rsidP="006C640E">
            <w:pPr>
              <w:autoSpaceDE w:val="0"/>
              <w:autoSpaceDN w:val="0"/>
              <w:adjustRightInd w:val="0"/>
              <w:jc w:val="both"/>
              <w:rPr>
                <w:i/>
                <w:sz w:val="22"/>
                <w:szCs w:val="22"/>
                <w:lang w:val="es-ES"/>
              </w:rPr>
            </w:pPr>
            <w:r w:rsidRPr="00BF57A3">
              <w:rPr>
                <w:b/>
                <w:color w:val="000000"/>
                <w:sz w:val="22"/>
                <w:szCs w:val="22"/>
              </w:rPr>
              <w:t>Infekcije i infestacije</w:t>
            </w:r>
          </w:p>
        </w:tc>
      </w:tr>
      <w:tr w:rsidR="008878C8" w:rsidRPr="00BF57A3" w14:paraId="6861328F" w14:textId="77777777" w:rsidTr="00A6216F">
        <w:trPr>
          <w:cantSplit/>
          <w:trHeight w:val="1364"/>
        </w:trPr>
        <w:tc>
          <w:tcPr>
            <w:tcW w:w="1555" w:type="dxa"/>
            <w:vAlign w:val="center"/>
          </w:tcPr>
          <w:p w14:paraId="1D405786" w14:textId="77777777" w:rsidR="008878C8" w:rsidRPr="00BF57A3" w:rsidRDefault="00A9746C" w:rsidP="006C640E">
            <w:pPr>
              <w:autoSpaceDE w:val="0"/>
              <w:autoSpaceDN w:val="0"/>
              <w:adjustRightInd w:val="0"/>
              <w:jc w:val="both"/>
              <w:rPr>
                <w:sz w:val="22"/>
                <w:szCs w:val="22"/>
              </w:rPr>
            </w:pPr>
            <w:r w:rsidRPr="006C640E">
              <w:rPr>
                <w:sz w:val="22"/>
                <w:szCs w:val="22"/>
              </w:rPr>
              <w:t xml:space="preserve"> </w:t>
            </w:r>
            <w:r w:rsidRPr="00BF57A3">
              <w:rPr>
                <w:i/>
                <w:sz w:val="22"/>
                <w:szCs w:val="22"/>
              </w:rPr>
              <w:t>Česta:</w:t>
            </w:r>
          </w:p>
        </w:tc>
        <w:tc>
          <w:tcPr>
            <w:tcW w:w="2976" w:type="dxa"/>
            <w:vAlign w:val="center"/>
          </w:tcPr>
          <w:p w14:paraId="486A7A45" w14:textId="77777777" w:rsidR="008878C8" w:rsidRPr="00BF57A3" w:rsidRDefault="00A9746C" w:rsidP="006C640E">
            <w:pPr>
              <w:autoSpaceDE w:val="0"/>
              <w:autoSpaceDN w:val="0"/>
              <w:adjustRightInd w:val="0"/>
              <w:jc w:val="both"/>
              <w:rPr>
                <w:sz w:val="22"/>
                <w:szCs w:val="22"/>
                <w:lang w:val="es-ES"/>
              </w:rPr>
            </w:pPr>
            <w:r w:rsidRPr="00BF57A3">
              <w:rPr>
                <w:sz w:val="22"/>
                <w:szCs w:val="22"/>
                <w:lang w:val="es-ES"/>
              </w:rPr>
              <w:t>I</w:t>
            </w:r>
            <w:r w:rsidR="008878C8" w:rsidRPr="00BF57A3">
              <w:rPr>
                <w:sz w:val="22"/>
                <w:szCs w:val="22"/>
                <w:lang w:val="es-ES"/>
              </w:rPr>
              <w:t xml:space="preserve">nfekcija, infekcija urinarnog trakta, folikulitis, infekcija gornjeg </w:t>
            </w:r>
          </w:p>
          <w:p w14:paraId="37E18F4F" w14:textId="77777777" w:rsidR="008878C8" w:rsidRPr="00BF57A3" w:rsidRDefault="008878C8" w:rsidP="006C640E">
            <w:pPr>
              <w:autoSpaceDE w:val="0"/>
              <w:autoSpaceDN w:val="0"/>
              <w:adjustRightInd w:val="0"/>
              <w:jc w:val="both"/>
              <w:rPr>
                <w:sz w:val="22"/>
                <w:szCs w:val="22"/>
                <w:lang w:val="es-ES"/>
              </w:rPr>
            </w:pPr>
            <w:r w:rsidRPr="00BF57A3">
              <w:rPr>
                <w:sz w:val="22"/>
                <w:szCs w:val="22"/>
                <w:lang w:val="es-ES"/>
              </w:rPr>
              <w:t xml:space="preserve">respiratornog trakta, kandidijaza, sinusitis  </w:t>
            </w:r>
          </w:p>
        </w:tc>
        <w:tc>
          <w:tcPr>
            <w:tcW w:w="2552" w:type="dxa"/>
          </w:tcPr>
          <w:p w14:paraId="63438A96" w14:textId="77777777" w:rsidR="008878C8" w:rsidRPr="00BF57A3" w:rsidRDefault="00A9746C" w:rsidP="006C640E">
            <w:pPr>
              <w:autoSpaceDE w:val="0"/>
              <w:autoSpaceDN w:val="0"/>
              <w:adjustRightInd w:val="0"/>
              <w:jc w:val="both"/>
              <w:rPr>
                <w:i/>
                <w:sz w:val="22"/>
                <w:szCs w:val="22"/>
                <w:lang w:val="es-ES"/>
              </w:rPr>
            </w:pPr>
            <w:r w:rsidRPr="00BF57A3">
              <w:rPr>
                <w:sz w:val="22"/>
                <w:szCs w:val="22"/>
              </w:rPr>
              <w:t>Sepsa, pneumonija, oralna kandidijaza</w:t>
            </w:r>
          </w:p>
        </w:tc>
        <w:tc>
          <w:tcPr>
            <w:tcW w:w="2835" w:type="dxa"/>
          </w:tcPr>
          <w:p w14:paraId="312881DF" w14:textId="77777777" w:rsidR="00263F24" w:rsidRPr="00BF57A3" w:rsidRDefault="00263F24" w:rsidP="006C640E">
            <w:pPr>
              <w:autoSpaceDE w:val="0"/>
              <w:autoSpaceDN w:val="0"/>
              <w:adjustRightInd w:val="0"/>
              <w:jc w:val="both"/>
              <w:rPr>
                <w:sz w:val="22"/>
                <w:szCs w:val="22"/>
                <w:lang w:val="es-ES"/>
              </w:rPr>
            </w:pPr>
            <w:r w:rsidRPr="00BF57A3">
              <w:rPr>
                <w:sz w:val="22"/>
                <w:szCs w:val="22"/>
                <w:lang w:val="es-ES"/>
              </w:rPr>
              <w:t xml:space="preserve">Pneumonija, bronhitis, infekcija gornjeg respiratornog trakta, infekcija urinarnog trakta </w:t>
            </w:r>
          </w:p>
          <w:p w14:paraId="7A0B18A2" w14:textId="77777777" w:rsidR="00263F24" w:rsidRPr="00BF57A3" w:rsidRDefault="00263F24" w:rsidP="006C640E">
            <w:pPr>
              <w:autoSpaceDE w:val="0"/>
              <w:autoSpaceDN w:val="0"/>
              <w:adjustRightInd w:val="0"/>
              <w:jc w:val="both"/>
              <w:rPr>
                <w:i/>
                <w:sz w:val="22"/>
                <w:szCs w:val="22"/>
                <w:lang w:val="es-ES"/>
              </w:rPr>
            </w:pPr>
          </w:p>
          <w:p w14:paraId="16BCE9C7" w14:textId="77777777" w:rsidR="008878C8" w:rsidRPr="00BF57A3" w:rsidRDefault="008878C8" w:rsidP="006C640E">
            <w:pPr>
              <w:autoSpaceDE w:val="0"/>
              <w:autoSpaceDN w:val="0"/>
              <w:adjustRightInd w:val="0"/>
              <w:jc w:val="both"/>
              <w:rPr>
                <w:i/>
                <w:sz w:val="22"/>
                <w:szCs w:val="22"/>
                <w:lang w:val="es-ES"/>
              </w:rPr>
            </w:pPr>
          </w:p>
        </w:tc>
      </w:tr>
      <w:tr w:rsidR="00A9746C" w:rsidRPr="00BF57A3" w14:paraId="4970D18B" w14:textId="77777777" w:rsidTr="000E0B31">
        <w:trPr>
          <w:cantSplit/>
        </w:trPr>
        <w:tc>
          <w:tcPr>
            <w:tcW w:w="1555" w:type="dxa"/>
            <w:vAlign w:val="center"/>
          </w:tcPr>
          <w:p w14:paraId="73DD8BC9" w14:textId="77777777" w:rsidR="00A9746C" w:rsidRPr="00BF57A3" w:rsidDel="00A9746C" w:rsidRDefault="00A9746C" w:rsidP="006C640E">
            <w:pPr>
              <w:autoSpaceDE w:val="0"/>
              <w:autoSpaceDN w:val="0"/>
              <w:adjustRightInd w:val="0"/>
              <w:jc w:val="both"/>
              <w:rPr>
                <w:sz w:val="22"/>
                <w:szCs w:val="22"/>
              </w:rPr>
            </w:pPr>
            <w:r w:rsidRPr="00BF57A3">
              <w:rPr>
                <w:i/>
                <w:sz w:val="22"/>
                <w:szCs w:val="22"/>
                <w:lang w:val="es-ES"/>
              </w:rPr>
              <w:t>Povremena:</w:t>
            </w:r>
          </w:p>
        </w:tc>
        <w:tc>
          <w:tcPr>
            <w:tcW w:w="2976" w:type="dxa"/>
            <w:vAlign w:val="center"/>
          </w:tcPr>
          <w:p w14:paraId="1548972E" w14:textId="77777777" w:rsidR="00A9746C" w:rsidRPr="00BF57A3" w:rsidDel="00A9746C" w:rsidRDefault="00263F24" w:rsidP="006C640E">
            <w:pPr>
              <w:autoSpaceDE w:val="0"/>
              <w:autoSpaceDN w:val="0"/>
              <w:adjustRightInd w:val="0"/>
              <w:jc w:val="both"/>
              <w:rPr>
                <w:sz w:val="22"/>
                <w:szCs w:val="22"/>
              </w:rPr>
            </w:pPr>
            <w:r w:rsidRPr="00BF57A3">
              <w:rPr>
                <w:sz w:val="22"/>
                <w:szCs w:val="22"/>
              </w:rPr>
              <w:t>Sepsa</w:t>
            </w:r>
            <w:r w:rsidRPr="00BF57A3">
              <w:rPr>
                <w:sz w:val="22"/>
                <w:szCs w:val="22"/>
                <w:vertAlign w:val="superscript"/>
              </w:rPr>
              <w:t>1</w:t>
            </w:r>
            <w:r w:rsidRPr="00BF57A3">
              <w:rPr>
                <w:sz w:val="22"/>
                <w:szCs w:val="22"/>
              </w:rPr>
              <w:t>, neutropenijska sepsa</w:t>
            </w:r>
            <w:r w:rsidRPr="00BF57A3">
              <w:rPr>
                <w:sz w:val="22"/>
                <w:szCs w:val="22"/>
                <w:vertAlign w:val="superscript"/>
              </w:rPr>
              <w:t xml:space="preserve">1 </w:t>
            </w:r>
            <w:r w:rsidRPr="00BF57A3">
              <w:rPr>
                <w:sz w:val="22"/>
                <w:szCs w:val="22"/>
              </w:rPr>
              <w:t xml:space="preserve">, </w:t>
            </w:r>
            <w:r w:rsidR="00EB20EF" w:rsidRPr="00BF57A3">
              <w:rPr>
                <w:sz w:val="22"/>
                <w:szCs w:val="22"/>
              </w:rPr>
              <w:t xml:space="preserve">pneumonija, </w:t>
            </w:r>
            <w:r w:rsidR="00A9746C" w:rsidRPr="00BF57A3">
              <w:rPr>
                <w:sz w:val="22"/>
                <w:szCs w:val="22"/>
              </w:rPr>
              <w:t xml:space="preserve">oralna kandidijaza, nazofaringits, celulitis, herpes simplex, virusna infekcija, </w:t>
            </w:r>
            <w:r w:rsidR="00EB20EF" w:rsidRPr="00BF57A3">
              <w:rPr>
                <w:sz w:val="22"/>
                <w:szCs w:val="22"/>
              </w:rPr>
              <w:t xml:space="preserve">herpes zoster, </w:t>
            </w:r>
            <w:r w:rsidRPr="00BF57A3">
              <w:rPr>
                <w:sz w:val="22"/>
                <w:szCs w:val="22"/>
              </w:rPr>
              <w:t>gljivična infekcija</w:t>
            </w:r>
            <w:r w:rsidR="00EB20EF" w:rsidRPr="00BF57A3">
              <w:rPr>
                <w:sz w:val="22"/>
                <w:szCs w:val="22"/>
              </w:rPr>
              <w:t>,</w:t>
            </w:r>
            <w:r w:rsidR="00A9746C" w:rsidRPr="00BF57A3">
              <w:rPr>
                <w:sz w:val="22"/>
                <w:szCs w:val="22"/>
              </w:rPr>
              <w:t>infekcija povezana s kateterom</w:t>
            </w:r>
            <w:r w:rsidR="00A6216F" w:rsidRPr="00BF57A3">
              <w:rPr>
                <w:sz w:val="22"/>
                <w:szCs w:val="22"/>
              </w:rPr>
              <w:t>, infekcija na mjestu injekcije</w:t>
            </w:r>
          </w:p>
        </w:tc>
        <w:tc>
          <w:tcPr>
            <w:tcW w:w="2552" w:type="dxa"/>
          </w:tcPr>
          <w:p w14:paraId="1CDC8E9D" w14:textId="77777777" w:rsidR="00A9746C" w:rsidRPr="00BF57A3" w:rsidRDefault="00A9746C" w:rsidP="006C640E">
            <w:pPr>
              <w:autoSpaceDE w:val="0"/>
              <w:autoSpaceDN w:val="0"/>
              <w:adjustRightInd w:val="0"/>
              <w:jc w:val="both"/>
              <w:rPr>
                <w:i/>
                <w:sz w:val="22"/>
                <w:szCs w:val="22"/>
              </w:rPr>
            </w:pPr>
          </w:p>
        </w:tc>
        <w:tc>
          <w:tcPr>
            <w:tcW w:w="2835" w:type="dxa"/>
          </w:tcPr>
          <w:p w14:paraId="5457DAC6" w14:textId="77777777" w:rsidR="00A9746C" w:rsidRPr="00BF57A3" w:rsidRDefault="00263F24" w:rsidP="006C640E">
            <w:pPr>
              <w:autoSpaceDE w:val="0"/>
              <w:autoSpaceDN w:val="0"/>
              <w:adjustRightInd w:val="0"/>
              <w:jc w:val="both"/>
              <w:rPr>
                <w:i/>
                <w:sz w:val="22"/>
                <w:szCs w:val="22"/>
              </w:rPr>
            </w:pPr>
            <w:r w:rsidRPr="00BF57A3">
              <w:rPr>
                <w:sz w:val="22"/>
                <w:szCs w:val="22"/>
              </w:rPr>
              <w:t>Sepsa, oralna kandidijaza</w:t>
            </w:r>
          </w:p>
        </w:tc>
      </w:tr>
      <w:tr w:rsidR="00594BFA" w:rsidRPr="00BF57A3" w14:paraId="5A9A91F0" w14:textId="77777777" w:rsidTr="00E9313F">
        <w:trPr>
          <w:cantSplit/>
        </w:trPr>
        <w:tc>
          <w:tcPr>
            <w:tcW w:w="9918" w:type="dxa"/>
            <w:gridSpan w:val="4"/>
            <w:vAlign w:val="center"/>
          </w:tcPr>
          <w:p w14:paraId="0823A5C1" w14:textId="77777777" w:rsidR="00594BFA" w:rsidRPr="00BF57A3" w:rsidRDefault="00594BFA" w:rsidP="006C640E">
            <w:pPr>
              <w:autoSpaceDE w:val="0"/>
              <w:autoSpaceDN w:val="0"/>
              <w:adjustRightInd w:val="0"/>
              <w:jc w:val="both"/>
              <w:rPr>
                <w:i/>
                <w:sz w:val="22"/>
                <w:szCs w:val="22"/>
                <w:lang w:val="it-IT"/>
              </w:rPr>
            </w:pPr>
            <w:r w:rsidRPr="00BF57A3">
              <w:rPr>
                <w:b/>
                <w:color w:val="000000"/>
                <w:sz w:val="22"/>
                <w:szCs w:val="22"/>
              </w:rPr>
              <w:t>Maligne i benigne neoplazme (uključujući ciste i polipe)</w:t>
            </w:r>
          </w:p>
        </w:tc>
      </w:tr>
      <w:tr w:rsidR="008878C8" w:rsidRPr="00BF57A3" w14:paraId="63BBD301" w14:textId="77777777" w:rsidTr="000E0B31">
        <w:trPr>
          <w:cantSplit/>
        </w:trPr>
        <w:tc>
          <w:tcPr>
            <w:tcW w:w="1555" w:type="dxa"/>
            <w:vAlign w:val="center"/>
          </w:tcPr>
          <w:p w14:paraId="76DD8032" w14:textId="77777777" w:rsidR="008878C8" w:rsidRPr="00BF57A3" w:rsidRDefault="00594BFA" w:rsidP="006C640E">
            <w:pPr>
              <w:autoSpaceDE w:val="0"/>
              <w:autoSpaceDN w:val="0"/>
              <w:adjustRightInd w:val="0"/>
              <w:jc w:val="both"/>
              <w:rPr>
                <w:sz w:val="22"/>
                <w:szCs w:val="22"/>
                <w:lang w:val="it-IT"/>
              </w:rPr>
            </w:pPr>
            <w:r w:rsidRPr="00BF57A3">
              <w:rPr>
                <w:i/>
                <w:sz w:val="22"/>
                <w:szCs w:val="22"/>
                <w:lang w:val="it-IT"/>
              </w:rPr>
              <w:t xml:space="preserve"> Povremena:</w:t>
            </w:r>
          </w:p>
        </w:tc>
        <w:tc>
          <w:tcPr>
            <w:tcW w:w="2976" w:type="dxa"/>
            <w:vAlign w:val="center"/>
          </w:tcPr>
          <w:p w14:paraId="2A8C0077" w14:textId="77777777" w:rsidR="008878C8" w:rsidRPr="00BF57A3" w:rsidRDefault="00594BFA" w:rsidP="006C640E">
            <w:pPr>
              <w:autoSpaceDE w:val="0"/>
              <w:autoSpaceDN w:val="0"/>
              <w:adjustRightInd w:val="0"/>
              <w:jc w:val="both"/>
              <w:rPr>
                <w:sz w:val="22"/>
                <w:szCs w:val="22"/>
                <w:lang w:val="it-IT"/>
              </w:rPr>
            </w:pPr>
            <w:r w:rsidRPr="00BF57A3">
              <w:rPr>
                <w:sz w:val="22"/>
                <w:szCs w:val="22"/>
                <w:lang w:val="it-IT"/>
              </w:rPr>
              <w:t xml:space="preserve">Nekroza </w:t>
            </w:r>
            <w:r w:rsidR="008878C8" w:rsidRPr="00BF57A3">
              <w:rPr>
                <w:sz w:val="22"/>
                <w:szCs w:val="22"/>
                <w:lang w:val="it-IT"/>
              </w:rPr>
              <w:t>tumora</w:t>
            </w:r>
            <w:r w:rsidRPr="00BF57A3">
              <w:rPr>
                <w:sz w:val="22"/>
                <w:szCs w:val="22"/>
                <w:lang w:val="it-IT"/>
              </w:rPr>
              <w:t xml:space="preserve">, </w:t>
            </w:r>
            <w:r w:rsidRPr="006C640E">
              <w:rPr>
                <w:sz w:val="22"/>
                <w:szCs w:val="22"/>
              </w:rPr>
              <w:t xml:space="preserve"> </w:t>
            </w:r>
            <w:r w:rsidRPr="00BF57A3">
              <w:rPr>
                <w:sz w:val="22"/>
                <w:szCs w:val="22"/>
                <w:lang w:val="it-IT"/>
              </w:rPr>
              <w:t>metastatski bol</w:t>
            </w:r>
          </w:p>
        </w:tc>
        <w:tc>
          <w:tcPr>
            <w:tcW w:w="2552" w:type="dxa"/>
          </w:tcPr>
          <w:p w14:paraId="57FAAA46" w14:textId="77777777" w:rsidR="008878C8" w:rsidRPr="00BF57A3" w:rsidRDefault="008878C8" w:rsidP="006C640E">
            <w:pPr>
              <w:autoSpaceDE w:val="0"/>
              <w:autoSpaceDN w:val="0"/>
              <w:adjustRightInd w:val="0"/>
              <w:jc w:val="both"/>
              <w:rPr>
                <w:i/>
                <w:sz w:val="22"/>
                <w:szCs w:val="22"/>
                <w:lang w:val="it-IT"/>
              </w:rPr>
            </w:pPr>
          </w:p>
        </w:tc>
        <w:tc>
          <w:tcPr>
            <w:tcW w:w="2835" w:type="dxa"/>
          </w:tcPr>
          <w:p w14:paraId="46631F7D" w14:textId="77777777" w:rsidR="008878C8" w:rsidRPr="00BF57A3" w:rsidRDefault="008878C8" w:rsidP="006C640E">
            <w:pPr>
              <w:autoSpaceDE w:val="0"/>
              <w:autoSpaceDN w:val="0"/>
              <w:adjustRightInd w:val="0"/>
              <w:jc w:val="both"/>
              <w:rPr>
                <w:i/>
                <w:sz w:val="22"/>
                <w:szCs w:val="22"/>
                <w:lang w:val="it-IT"/>
              </w:rPr>
            </w:pPr>
          </w:p>
        </w:tc>
      </w:tr>
      <w:tr w:rsidR="002A2ECE" w:rsidRPr="00BF57A3" w14:paraId="4377A2C7" w14:textId="77777777" w:rsidTr="00E9313F">
        <w:trPr>
          <w:cantSplit/>
        </w:trPr>
        <w:tc>
          <w:tcPr>
            <w:tcW w:w="9918" w:type="dxa"/>
            <w:gridSpan w:val="4"/>
            <w:vAlign w:val="center"/>
          </w:tcPr>
          <w:p w14:paraId="379AA9FA" w14:textId="77777777" w:rsidR="002A2ECE" w:rsidRPr="00BF57A3" w:rsidRDefault="002A2ECE" w:rsidP="006C640E">
            <w:pPr>
              <w:autoSpaceDE w:val="0"/>
              <w:autoSpaceDN w:val="0"/>
              <w:adjustRightInd w:val="0"/>
              <w:jc w:val="both"/>
              <w:rPr>
                <w:i/>
                <w:sz w:val="22"/>
                <w:szCs w:val="22"/>
                <w:lang w:val="it-IT"/>
              </w:rPr>
            </w:pPr>
            <w:r w:rsidRPr="00BF57A3">
              <w:rPr>
                <w:b/>
                <w:color w:val="000000"/>
                <w:sz w:val="22"/>
                <w:szCs w:val="22"/>
                <w:lang w:val="es-ES"/>
              </w:rPr>
              <w:t>Poremećaji na nivou krvi i limfnog sistema</w:t>
            </w:r>
          </w:p>
        </w:tc>
      </w:tr>
      <w:tr w:rsidR="008878C8" w:rsidRPr="00BF57A3" w14:paraId="55E302A5" w14:textId="77777777" w:rsidTr="000E0B31">
        <w:trPr>
          <w:cantSplit/>
        </w:trPr>
        <w:tc>
          <w:tcPr>
            <w:tcW w:w="1555" w:type="dxa"/>
            <w:vAlign w:val="center"/>
          </w:tcPr>
          <w:p w14:paraId="5FAC86A8" w14:textId="77777777" w:rsidR="008878C8" w:rsidRPr="00BF57A3" w:rsidRDefault="002A2ECE" w:rsidP="006C640E">
            <w:pPr>
              <w:autoSpaceDE w:val="0"/>
              <w:autoSpaceDN w:val="0"/>
              <w:adjustRightInd w:val="0"/>
              <w:jc w:val="both"/>
              <w:rPr>
                <w:sz w:val="22"/>
                <w:szCs w:val="22"/>
                <w:lang w:val="it-IT"/>
              </w:rPr>
            </w:pPr>
            <w:r w:rsidRPr="00BF57A3">
              <w:rPr>
                <w:i/>
                <w:sz w:val="22"/>
                <w:szCs w:val="22"/>
                <w:lang w:val="it-IT"/>
              </w:rPr>
              <w:t xml:space="preserve">Veoma česta: </w:t>
            </w:r>
          </w:p>
        </w:tc>
        <w:tc>
          <w:tcPr>
            <w:tcW w:w="2976" w:type="dxa"/>
            <w:vAlign w:val="center"/>
          </w:tcPr>
          <w:p w14:paraId="78B6B71D" w14:textId="77777777" w:rsidR="002A2ECE" w:rsidRPr="00BF57A3" w:rsidRDefault="002A2ECE" w:rsidP="006C640E">
            <w:pPr>
              <w:jc w:val="both"/>
              <w:rPr>
                <w:sz w:val="22"/>
                <w:szCs w:val="22"/>
                <w:lang w:val="it-IT"/>
              </w:rPr>
            </w:pPr>
            <w:r w:rsidRPr="00BF57A3">
              <w:rPr>
                <w:sz w:val="22"/>
                <w:szCs w:val="22"/>
                <w:lang w:val="it-IT"/>
              </w:rPr>
              <w:t>Supresija koštane srži,</w:t>
            </w:r>
          </w:p>
          <w:p w14:paraId="149BDCCF" w14:textId="77777777" w:rsidR="008878C8" w:rsidRPr="00BF57A3" w:rsidRDefault="008878C8" w:rsidP="006C640E">
            <w:pPr>
              <w:autoSpaceDE w:val="0"/>
              <w:autoSpaceDN w:val="0"/>
              <w:adjustRightInd w:val="0"/>
              <w:jc w:val="both"/>
              <w:rPr>
                <w:sz w:val="22"/>
                <w:szCs w:val="22"/>
                <w:lang w:val="it-IT"/>
              </w:rPr>
            </w:pPr>
            <w:r w:rsidRPr="00BF57A3">
              <w:rPr>
                <w:sz w:val="22"/>
                <w:szCs w:val="22"/>
                <w:lang w:val="it-IT"/>
              </w:rPr>
              <w:t>neutropenija,</w:t>
            </w:r>
            <w:r w:rsidR="002A2ECE" w:rsidRPr="006C640E">
              <w:rPr>
                <w:sz w:val="22"/>
                <w:szCs w:val="22"/>
                <w:lang w:val="it-IT"/>
              </w:rPr>
              <w:t xml:space="preserve"> </w:t>
            </w:r>
            <w:r w:rsidR="002A2ECE" w:rsidRPr="00BF57A3">
              <w:rPr>
                <w:sz w:val="22"/>
                <w:szCs w:val="22"/>
                <w:lang w:val="it-IT"/>
              </w:rPr>
              <w:t xml:space="preserve">trombocitopenija, </w:t>
            </w:r>
            <w:r w:rsidRPr="00BF57A3">
              <w:rPr>
                <w:sz w:val="22"/>
                <w:szCs w:val="22"/>
                <w:lang w:val="it-IT"/>
              </w:rPr>
              <w:t xml:space="preserve"> anemija, leukopenija, </w:t>
            </w:r>
            <w:r w:rsidR="002A2ECE" w:rsidRPr="00BF57A3">
              <w:rPr>
                <w:sz w:val="22"/>
                <w:szCs w:val="22"/>
                <w:lang w:val="it-IT"/>
              </w:rPr>
              <w:t xml:space="preserve">limfopenija </w:t>
            </w:r>
          </w:p>
        </w:tc>
        <w:tc>
          <w:tcPr>
            <w:tcW w:w="2552" w:type="dxa"/>
          </w:tcPr>
          <w:p w14:paraId="3A729BAF" w14:textId="77777777" w:rsidR="003106AD" w:rsidRPr="00BF57A3" w:rsidRDefault="003106AD" w:rsidP="006C640E">
            <w:pPr>
              <w:autoSpaceDE w:val="0"/>
              <w:autoSpaceDN w:val="0"/>
              <w:adjustRightInd w:val="0"/>
              <w:jc w:val="both"/>
              <w:rPr>
                <w:sz w:val="22"/>
                <w:szCs w:val="22"/>
                <w:lang w:val="it-IT"/>
              </w:rPr>
            </w:pPr>
            <w:r w:rsidRPr="00BF57A3">
              <w:rPr>
                <w:sz w:val="22"/>
                <w:szCs w:val="22"/>
                <w:lang w:val="it-IT"/>
              </w:rPr>
              <w:t xml:space="preserve">Neutropenija, </w:t>
            </w:r>
            <w:r w:rsidR="00B6064D" w:rsidRPr="00BF57A3">
              <w:rPr>
                <w:sz w:val="22"/>
                <w:szCs w:val="22"/>
                <w:lang w:val="it-IT"/>
              </w:rPr>
              <w:t>trombocitopenija anemija</w:t>
            </w:r>
          </w:p>
          <w:p w14:paraId="59CB620A" w14:textId="77777777" w:rsidR="008878C8" w:rsidRPr="00BF57A3" w:rsidRDefault="008878C8" w:rsidP="006C640E">
            <w:pPr>
              <w:autoSpaceDE w:val="0"/>
              <w:autoSpaceDN w:val="0"/>
              <w:adjustRightInd w:val="0"/>
              <w:jc w:val="both"/>
              <w:rPr>
                <w:sz w:val="22"/>
                <w:szCs w:val="22"/>
                <w:lang w:val="it-IT"/>
              </w:rPr>
            </w:pPr>
          </w:p>
        </w:tc>
        <w:tc>
          <w:tcPr>
            <w:tcW w:w="2835" w:type="dxa"/>
          </w:tcPr>
          <w:p w14:paraId="6A7CEED3" w14:textId="77777777" w:rsidR="008878C8" w:rsidRPr="00BF57A3" w:rsidRDefault="001B1533" w:rsidP="006C640E">
            <w:pPr>
              <w:autoSpaceDE w:val="0"/>
              <w:autoSpaceDN w:val="0"/>
              <w:adjustRightInd w:val="0"/>
              <w:jc w:val="both"/>
              <w:rPr>
                <w:sz w:val="22"/>
                <w:szCs w:val="22"/>
                <w:lang w:val="it-IT"/>
              </w:rPr>
            </w:pPr>
            <w:r w:rsidRPr="00BF57A3">
              <w:rPr>
                <w:sz w:val="22"/>
                <w:szCs w:val="22"/>
                <w:lang w:val="it-IT"/>
              </w:rPr>
              <w:t>Neutropenija</w:t>
            </w:r>
            <w:r w:rsidRPr="00BF57A3">
              <w:rPr>
                <w:sz w:val="22"/>
                <w:szCs w:val="22"/>
                <w:vertAlign w:val="superscript"/>
                <w:lang w:val="it-IT"/>
              </w:rPr>
              <w:t>3</w:t>
            </w:r>
            <w:r w:rsidRPr="00BF57A3">
              <w:rPr>
                <w:sz w:val="22"/>
                <w:szCs w:val="22"/>
                <w:lang w:val="it-IT"/>
              </w:rPr>
              <w:t>, trombocitopenija</w:t>
            </w:r>
            <w:r w:rsidRPr="00BF57A3">
              <w:rPr>
                <w:sz w:val="22"/>
                <w:szCs w:val="22"/>
                <w:vertAlign w:val="superscript"/>
                <w:lang w:val="it-IT"/>
              </w:rPr>
              <w:t>3</w:t>
            </w:r>
            <w:r w:rsidRPr="00BF57A3">
              <w:rPr>
                <w:sz w:val="22"/>
                <w:szCs w:val="22"/>
                <w:lang w:val="it-IT"/>
              </w:rPr>
              <w:t>, anemija</w:t>
            </w:r>
            <w:r w:rsidRPr="00BF57A3">
              <w:rPr>
                <w:sz w:val="22"/>
                <w:szCs w:val="22"/>
                <w:vertAlign w:val="superscript"/>
                <w:lang w:val="it-IT"/>
              </w:rPr>
              <w:t>3</w:t>
            </w:r>
            <w:r w:rsidRPr="00BF57A3">
              <w:rPr>
                <w:sz w:val="22"/>
                <w:szCs w:val="22"/>
                <w:lang w:val="it-IT"/>
              </w:rPr>
              <w:t>, leukopenija</w:t>
            </w:r>
            <w:r w:rsidRPr="00BF57A3">
              <w:rPr>
                <w:sz w:val="22"/>
                <w:szCs w:val="22"/>
                <w:vertAlign w:val="superscript"/>
                <w:lang w:val="it-IT"/>
              </w:rPr>
              <w:t>3</w:t>
            </w:r>
          </w:p>
        </w:tc>
      </w:tr>
      <w:tr w:rsidR="002A2ECE" w:rsidRPr="00BF57A3" w14:paraId="3468D199" w14:textId="77777777" w:rsidTr="000E0B31">
        <w:trPr>
          <w:cantSplit/>
        </w:trPr>
        <w:tc>
          <w:tcPr>
            <w:tcW w:w="1555" w:type="dxa"/>
            <w:vAlign w:val="center"/>
          </w:tcPr>
          <w:p w14:paraId="00E966A9" w14:textId="77777777" w:rsidR="002A2ECE" w:rsidRPr="00BF57A3" w:rsidDel="002A2ECE" w:rsidRDefault="002A2ECE" w:rsidP="006C640E">
            <w:pPr>
              <w:autoSpaceDE w:val="0"/>
              <w:autoSpaceDN w:val="0"/>
              <w:adjustRightInd w:val="0"/>
              <w:jc w:val="both"/>
              <w:rPr>
                <w:sz w:val="22"/>
                <w:szCs w:val="22"/>
                <w:lang w:val="it-IT"/>
              </w:rPr>
            </w:pPr>
            <w:r w:rsidRPr="00BF57A3">
              <w:rPr>
                <w:i/>
                <w:sz w:val="22"/>
                <w:szCs w:val="22"/>
                <w:lang w:val="it-IT"/>
              </w:rPr>
              <w:t>Česta:</w:t>
            </w:r>
          </w:p>
        </w:tc>
        <w:tc>
          <w:tcPr>
            <w:tcW w:w="2976" w:type="dxa"/>
            <w:vAlign w:val="center"/>
          </w:tcPr>
          <w:p w14:paraId="15141865" w14:textId="77777777" w:rsidR="002A2ECE" w:rsidRPr="00BF57A3" w:rsidRDefault="00A6216F" w:rsidP="006C640E">
            <w:pPr>
              <w:autoSpaceDE w:val="0"/>
              <w:autoSpaceDN w:val="0"/>
              <w:adjustRightInd w:val="0"/>
              <w:jc w:val="both"/>
              <w:rPr>
                <w:i/>
                <w:sz w:val="22"/>
                <w:szCs w:val="22"/>
                <w:lang w:val="it-IT"/>
              </w:rPr>
            </w:pPr>
            <w:r w:rsidRPr="00BF57A3">
              <w:rPr>
                <w:sz w:val="22"/>
                <w:szCs w:val="22"/>
                <w:lang w:val="it-IT"/>
              </w:rPr>
              <w:t>F</w:t>
            </w:r>
            <w:r w:rsidR="002A2ECE" w:rsidRPr="00BF57A3">
              <w:rPr>
                <w:sz w:val="22"/>
                <w:szCs w:val="22"/>
                <w:lang w:val="it-IT"/>
              </w:rPr>
              <w:t>ebrilna neutropenija</w:t>
            </w:r>
            <w:r w:rsidR="002A2ECE" w:rsidRPr="00BF57A3">
              <w:rPr>
                <w:i/>
                <w:sz w:val="22"/>
                <w:szCs w:val="22"/>
                <w:lang w:val="it-IT"/>
              </w:rPr>
              <w:t xml:space="preserve"> </w:t>
            </w:r>
          </w:p>
        </w:tc>
        <w:tc>
          <w:tcPr>
            <w:tcW w:w="2552" w:type="dxa"/>
          </w:tcPr>
          <w:p w14:paraId="3EF89A9B" w14:textId="77777777" w:rsidR="002A2ECE" w:rsidRPr="00BF57A3" w:rsidRDefault="00B6064D" w:rsidP="006C640E">
            <w:pPr>
              <w:autoSpaceDE w:val="0"/>
              <w:autoSpaceDN w:val="0"/>
              <w:adjustRightInd w:val="0"/>
              <w:jc w:val="both"/>
              <w:rPr>
                <w:sz w:val="22"/>
                <w:szCs w:val="22"/>
                <w:lang w:val="it-IT"/>
              </w:rPr>
            </w:pPr>
            <w:r w:rsidRPr="00BF57A3">
              <w:rPr>
                <w:sz w:val="22"/>
                <w:szCs w:val="22"/>
                <w:lang w:val="it-IT"/>
              </w:rPr>
              <w:t>P</w:t>
            </w:r>
            <w:r w:rsidR="003106AD" w:rsidRPr="00BF57A3">
              <w:rPr>
                <w:sz w:val="22"/>
                <w:szCs w:val="22"/>
                <w:lang w:val="it-IT"/>
              </w:rPr>
              <w:t>ancitopenija</w:t>
            </w:r>
          </w:p>
        </w:tc>
        <w:tc>
          <w:tcPr>
            <w:tcW w:w="2835" w:type="dxa"/>
          </w:tcPr>
          <w:p w14:paraId="62500F53" w14:textId="77777777" w:rsidR="002A2ECE" w:rsidRPr="00BF57A3" w:rsidRDefault="001B1533" w:rsidP="006C640E">
            <w:pPr>
              <w:autoSpaceDE w:val="0"/>
              <w:autoSpaceDN w:val="0"/>
              <w:adjustRightInd w:val="0"/>
              <w:jc w:val="both"/>
              <w:rPr>
                <w:sz w:val="22"/>
                <w:szCs w:val="22"/>
                <w:lang w:val="it-IT"/>
              </w:rPr>
            </w:pPr>
            <w:r w:rsidRPr="00BF57A3">
              <w:rPr>
                <w:sz w:val="22"/>
                <w:szCs w:val="22"/>
                <w:lang w:val="it-IT"/>
              </w:rPr>
              <w:t>Febrilna neutropenija, limfopenija</w:t>
            </w:r>
          </w:p>
        </w:tc>
      </w:tr>
      <w:tr w:rsidR="002A2ECE" w:rsidRPr="00BF57A3" w14:paraId="059B536E" w14:textId="77777777" w:rsidTr="000E0B31">
        <w:trPr>
          <w:cantSplit/>
        </w:trPr>
        <w:tc>
          <w:tcPr>
            <w:tcW w:w="1555" w:type="dxa"/>
            <w:vAlign w:val="center"/>
          </w:tcPr>
          <w:p w14:paraId="343DAA62" w14:textId="77777777" w:rsidR="002A2ECE" w:rsidRPr="00BF57A3" w:rsidRDefault="002A2ECE" w:rsidP="006C640E">
            <w:pPr>
              <w:autoSpaceDE w:val="0"/>
              <w:autoSpaceDN w:val="0"/>
              <w:adjustRightInd w:val="0"/>
              <w:jc w:val="both"/>
              <w:rPr>
                <w:i/>
                <w:sz w:val="22"/>
                <w:szCs w:val="22"/>
                <w:lang w:val="it-IT"/>
              </w:rPr>
            </w:pPr>
            <w:r w:rsidRPr="00BF57A3">
              <w:rPr>
                <w:i/>
                <w:sz w:val="22"/>
                <w:szCs w:val="22"/>
                <w:lang w:val="it-IT"/>
              </w:rPr>
              <w:t>Povremena:</w:t>
            </w:r>
          </w:p>
        </w:tc>
        <w:tc>
          <w:tcPr>
            <w:tcW w:w="2976" w:type="dxa"/>
            <w:vAlign w:val="center"/>
          </w:tcPr>
          <w:p w14:paraId="3CBE363D" w14:textId="77777777" w:rsidR="002A2ECE" w:rsidRPr="00BF57A3" w:rsidRDefault="002A2ECE" w:rsidP="006C640E">
            <w:pPr>
              <w:autoSpaceDE w:val="0"/>
              <w:autoSpaceDN w:val="0"/>
              <w:adjustRightInd w:val="0"/>
              <w:jc w:val="both"/>
              <w:rPr>
                <w:sz w:val="22"/>
                <w:szCs w:val="22"/>
                <w:lang w:val="it-IT"/>
              </w:rPr>
            </w:pPr>
          </w:p>
        </w:tc>
        <w:tc>
          <w:tcPr>
            <w:tcW w:w="2552" w:type="dxa"/>
          </w:tcPr>
          <w:p w14:paraId="68338452" w14:textId="77777777" w:rsidR="002A2ECE" w:rsidRPr="00BF57A3" w:rsidRDefault="00B6064D" w:rsidP="006C640E">
            <w:pPr>
              <w:autoSpaceDE w:val="0"/>
              <w:autoSpaceDN w:val="0"/>
              <w:adjustRightInd w:val="0"/>
              <w:jc w:val="both"/>
              <w:rPr>
                <w:sz w:val="22"/>
                <w:szCs w:val="22"/>
                <w:lang w:val="it-IT"/>
              </w:rPr>
            </w:pPr>
            <w:r w:rsidRPr="00BF57A3">
              <w:rPr>
                <w:sz w:val="22"/>
                <w:szCs w:val="22"/>
                <w:lang w:val="it-IT"/>
              </w:rPr>
              <w:t>T</w:t>
            </w:r>
            <w:r w:rsidR="003106AD" w:rsidRPr="00BF57A3">
              <w:rPr>
                <w:sz w:val="22"/>
                <w:szCs w:val="22"/>
                <w:lang w:val="it-IT"/>
              </w:rPr>
              <w:t>rombotska trombocitopenična purpura</w:t>
            </w:r>
          </w:p>
        </w:tc>
        <w:tc>
          <w:tcPr>
            <w:tcW w:w="2835" w:type="dxa"/>
          </w:tcPr>
          <w:p w14:paraId="1B68268B" w14:textId="77777777" w:rsidR="002A2ECE" w:rsidRPr="00BF57A3" w:rsidRDefault="001B1533" w:rsidP="006C640E">
            <w:pPr>
              <w:autoSpaceDE w:val="0"/>
              <w:autoSpaceDN w:val="0"/>
              <w:adjustRightInd w:val="0"/>
              <w:jc w:val="both"/>
              <w:rPr>
                <w:sz w:val="22"/>
                <w:szCs w:val="22"/>
                <w:lang w:val="it-IT"/>
              </w:rPr>
            </w:pPr>
            <w:r w:rsidRPr="00BF57A3">
              <w:rPr>
                <w:sz w:val="22"/>
                <w:szCs w:val="22"/>
                <w:lang w:val="it-IT"/>
              </w:rPr>
              <w:t>Pancitopenija</w:t>
            </w:r>
          </w:p>
        </w:tc>
      </w:tr>
      <w:tr w:rsidR="002A2ECE" w:rsidRPr="00BF57A3" w14:paraId="2BF685B5" w14:textId="77777777" w:rsidTr="000E0B31">
        <w:trPr>
          <w:cantSplit/>
        </w:trPr>
        <w:tc>
          <w:tcPr>
            <w:tcW w:w="1555" w:type="dxa"/>
            <w:vAlign w:val="center"/>
          </w:tcPr>
          <w:p w14:paraId="32DC4787" w14:textId="77777777" w:rsidR="002A2ECE" w:rsidRPr="00BF57A3" w:rsidDel="002A2ECE" w:rsidRDefault="002A2ECE" w:rsidP="006C640E">
            <w:pPr>
              <w:autoSpaceDE w:val="0"/>
              <w:autoSpaceDN w:val="0"/>
              <w:adjustRightInd w:val="0"/>
              <w:jc w:val="both"/>
              <w:rPr>
                <w:sz w:val="22"/>
                <w:szCs w:val="22"/>
                <w:lang w:val="it-IT"/>
              </w:rPr>
            </w:pPr>
            <w:r w:rsidRPr="00BF57A3">
              <w:rPr>
                <w:i/>
                <w:sz w:val="22"/>
                <w:szCs w:val="22"/>
                <w:lang w:val="it-IT"/>
              </w:rPr>
              <w:t>Rijetka:</w:t>
            </w:r>
          </w:p>
        </w:tc>
        <w:tc>
          <w:tcPr>
            <w:tcW w:w="2976" w:type="dxa"/>
            <w:vAlign w:val="center"/>
          </w:tcPr>
          <w:p w14:paraId="47B0D218" w14:textId="77777777" w:rsidR="002A2ECE" w:rsidRPr="00BF57A3" w:rsidRDefault="001B1533" w:rsidP="006C640E">
            <w:pPr>
              <w:autoSpaceDE w:val="0"/>
              <w:autoSpaceDN w:val="0"/>
              <w:adjustRightInd w:val="0"/>
              <w:jc w:val="both"/>
              <w:rPr>
                <w:i/>
                <w:sz w:val="22"/>
                <w:szCs w:val="22"/>
                <w:lang w:val="it-IT"/>
              </w:rPr>
            </w:pPr>
            <w:r w:rsidRPr="00BF57A3">
              <w:rPr>
                <w:sz w:val="22"/>
                <w:szCs w:val="22"/>
                <w:lang w:val="it-IT"/>
              </w:rPr>
              <w:t>P</w:t>
            </w:r>
            <w:r w:rsidR="002A2ECE" w:rsidRPr="00BF57A3">
              <w:rPr>
                <w:sz w:val="22"/>
                <w:szCs w:val="22"/>
                <w:lang w:val="it-IT"/>
              </w:rPr>
              <w:t>ancitopenija</w:t>
            </w:r>
          </w:p>
        </w:tc>
        <w:tc>
          <w:tcPr>
            <w:tcW w:w="2552" w:type="dxa"/>
          </w:tcPr>
          <w:p w14:paraId="6578CA91" w14:textId="77777777" w:rsidR="002A2ECE" w:rsidRPr="00BF57A3" w:rsidRDefault="002A2ECE" w:rsidP="006C640E">
            <w:pPr>
              <w:autoSpaceDE w:val="0"/>
              <w:autoSpaceDN w:val="0"/>
              <w:adjustRightInd w:val="0"/>
              <w:jc w:val="both"/>
              <w:rPr>
                <w:i/>
                <w:sz w:val="22"/>
                <w:szCs w:val="22"/>
                <w:lang w:val="it-IT"/>
              </w:rPr>
            </w:pPr>
          </w:p>
        </w:tc>
        <w:tc>
          <w:tcPr>
            <w:tcW w:w="2835" w:type="dxa"/>
          </w:tcPr>
          <w:p w14:paraId="6600136F" w14:textId="77777777" w:rsidR="002A2ECE" w:rsidRPr="00BF57A3" w:rsidRDefault="002A2ECE" w:rsidP="006C640E">
            <w:pPr>
              <w:autoSpaceDE w:val="0"/>
              <w:autoSpaceDN w:val="0"/>
              <w:adjustRightInd w:val="0"/>
              <w:jc w:val="both"/>
              <w:rPr>
                <w:i/>
                <w:sz w:val="22"/>
                <w:szCs w:val="22"/>
                <w:lang w:val="it-IT"/>
              </w:rPr>
            </w:pPr>
          </w:p>
        </w:tc>
      </w:tr>
      <w:tr w:rsidR="002A2ECE" w:rsidRPr="00BF57A3" w14:paraId="24A11A73" w14:textId="77777777" w:rsidTr="00E9313F">
        <w:trPr>
          <w:cantSplit/>
        </w:trPr>
        <w:tc>
          <w:tcPr>
            <w:tcW w:w="9918" w:type="dxa"/>
            <w:gridSpan w:val="4"/>
            <w:vAlign w:val="center"/>
          </w:tcPr>
          <w:p w14:paraId="2B743850" w14:textId="77777777" w:rsidR="002A2ECE" w:rsidRPr="00BF57A3" w:rsidRDefault="002A2ECE" w:rsidP="006C640E">
            <w:pPr>
              <w:autoSpaceDE w:val="0"/>
              <w:autoSpaceDN w:val="0"/>
              <w:adjustRightInd w:val="0"/>
              <w:jc w:val="both"/>
              <w:rPr>
                <w:i/>
                <w:sz w:val="22"/>
                <w:szCs w:val="22"/>
                <w:lang w:val="it-IT"/>
              </w:rPr>
            </w:pPr>
            <w:r w:rsidRPr="00BF57A3">
              <w:rPr>
                <w:b/>
                <w:color w:val="000000"/>
                <w:sz w:val="22"/>
                <w:szCs w:val="22"/>
              </w:rPr>
              <w:t>Imunološki poremećaji</w:t>
            </w:r>
          </w:p>
        </w:tc>
      </w:tr>
      <w:tr w:rsidR="008878C8" w:rsidRPr="00BF57A3" w14:paraId="343A525B" w14:textId="77777777" w:rsidTr="000E0B31">
        <w:trPr>
          <w:cantSplit/>
        </w:trPr>
        <w:tc>
          <w:tcPr>
            <w:tcW w:w="1555" w:type="dxa"/>
            <w:vAlign w:val="center"/>
          </w:tcPr>
          <w:p w14:paraId="538068E5" w14:textId="77777777" w:rsidR="008878C8" w:rsidRPr="00BF57A3" w:rsidRDefault="00E979AF" w:rsidP="006C640E">
            <w:pPr>
              <w:autoSpaceDE w:val="0"/>
              <w:autoSpaceDN w:val="0"/>
              <w:adjustRightInd w:val="0"/>
              <w:jc w:val="both"/>
              <w:rPr>
                <w:sz w:val="22"/>
                <w:szCs w:val="22"/>
              </w:rPr>
            </w:pPr>
            <w:r w:rsidRPr="00BF57A3">
              <w:rPr>
                <w:i/>
                <w:sz w:val="22"/>
                <w:szCs w:val="22"/>
              </w:rPr>
              <w:t xml:space="preserve"> Povremena:</w:t>
            </w:r>
          </w:p>
        </w:tc>
        <w:tc>
          <w:tcPr>
            <w:tcW w:w="2976" w:type="dxa"/>
            <w:vAlign w:val="center"/>
          </w:tcPr>
          <w:p w14:paraId="0044FF19" w14:textId="77777777" w:rsidR="008878C8" w:rsidRPr="00BF57A3" w:rsidRDefault="00E979AF" w:rsidP="006C640E">
            <w:pPr>
              <w:jc w:val="both"/>
              <w:rPr>
                <w:sz w:val="22"/>
                <w:szCs w:val="22"/>
              </w:rPr>
            </w:pPr>
            <w:r w:rsidRPr="00BF57A3">
              <w:rPr>
                <w:sz w:val="22"/>
                <w:szCs w:val="22"/>
              </w:rPr>
              <w:t>P</w:t>
            </w:r>
            <w:r w:rsidR="008878C8" w:rsidRPr="00BF57A3">
              <w:rPr>
                <w:sz w:val="22"/>
                <w:szCs w:val="22"/>
              </w:rPr>
              <w:t>reosjetljivost</w:t>
            </w:r>
          </w:p>
          <w:p w14:paraId="71FB16C1" w14:textId="77777777" w:rsidR="008878C8" w:rsidRPr="00BF57A3" w:rsidRDefault="008878C8" w:rsidP="006C640E">
            <w:pPr>
              <w:jc w:val="both"/>
              <w:rPr>
                <w:sz w:val="22"/>
                <w:szCs w:val="22"/>
              </w:rPr>
            </w:pPr>
          </w:p>
          <w:p w14:paraId="48A4DE8E" w14:textId="77777777" w:rsidR="008878C8" w:rsidRPr="00BF57A3" w:rsidRDefault="008878C8" w:rsidP="006C640E">
            <w:pPr>
              <w:jc w:val="both"/>
              <w:rPr>
                <w:i/>
                <w:sz w:val="22"/>
                <w:szCs w:val="22"/>
              </w:rPr>
            </w:pPr>
          </w:p>
        </w:tc>
        <w:tc>
          <w:tcPr>
            <w:tcW w:w="2552" w:type="dxa"/>
          </w:tcPr>
          <w:p w14:paraId="77FAB9C9" w14:textId="77777777" w:rsidR="008878C8" w:rsidRPr="00BF57A3" w:rsidRDefault="008878C8" w:rsidP="006C640E">
            <w:pPr>
              <w:jc w:val="both"/>
              <w:rPr>
                <w:sz w:val="22"/>
                <w:szCs w:val="22"/>
              </w:rPr>
            </w:pPr>
          </w:p>
        </w:tc>
        <w:tc>
          <w:tcPr>
            <w:tcW w:w="2835" w:type="dxa"/>
          </w:tcPr>
          <w:p w14:paraId="68B649CE" w14:textId="77777777" w:rsidR="008878C8" w:rsidRPr="00BF57A3" w:rsidRDefault="00291801" w:rsidP="006C640E">
            <w:pPr>
              <w:jc w:val="both"/>
              <w:rPr>
                <w:sz w:val="22"/>
                <w:szCs w:val="22"/>
              </w:rPr>
            </w:pPr>
            <w:r w:rsidRPr="00BF57A3">
              <w:rPr>
                <w:sz w:val="22"/>
                <w:szCs w:val="22"/>
              </w:rPr>
              <w:t>Preosjetljivost na lijek, preosjetljivost</w:t>
            </w:r>
          </w:p>
        </w:tc>
      </w:tr>
      <w:tr w:rsidR="001B1533" w:rsidRPr="00BF57A3" w14:paraId="63683C57" w14:textId="77777777" w:rsidTr="000E0B31">
        <w:trPr>
          <w:cantSplit/>
        </w:trPr>
        <w:tc>
          <w:tcPr>
            <w:tcW w:w="1555" w:type="dxa"/>
            <w:vAlign w:val="center"/>
          </w:tcPr>
          <w:p w14:paraId="3C7643D3" w14:textId="77777777" w:rsidR="001B1533" w:rsidRPr="00BF57A3" w:rsidDel="002A2ECE" w:rsidRDefault="00E979AF" w:rsidP="006C640E">
            <w:pPr>
              <w:autoSpaceDE w:val="0"/>
              <w:autoSpaceDN w:val="0"/>
              <w:adjustRightInd w:val="0"/>
              <w:jc w:val="both"/>
              <w:rPr>
                <w:sz w:val="22"/>
                <w:szCs w:val="22"/>
              </w:rPr>
            </w:pPr>
            <w:r w:rsidRPr="00BF57A3">
              <w:rPr>
                <w:i/>
                <w:sz w:val="22"/>
                <w:szCs w:val="22"/>
              </w:rPr>
              <w:t>Rijetka:</w:t>
            </w:r>
          </w:p>
        </w:tc>
        <w:tc>
          <w:tcPr>
            <w:tcW w:w="2976" w:type="dxa"/>
            <w:vAlign w:val="center"/>
          </w:tcPr>
          <w:p w14:paraId="2014DC88" w14:textId="77777777" w:rsidR="001B1533" w:rsidRPr="00BF57A3" w:rsidRDefault="00E979AF" w:rsidP="006C640E">
            <w:pPr>
              <w:jc w:val="both"/>
              <w:rPr>
                <w:i/>
                <w:sz w:val="22"/>
                <w:szCs w:val="22"/>
                <w:vertAlign w:val="superscript"/>
              </w:rPr>
            </w:pPr>
            <w:r w:rsidRPr="00BF57A3">
              <w:rPr>
                <w:sz w:val="22"/>
                <w:szCs w:val="22"/>
              </w:rPr>
              <w:t>Ozbiljna preosjetljivost</w:t>
            </w:r>
            <w:r w:rsidRPr="00BF57A3">
              <w:rPr>
                <w:sz w:val="22"/>
                <w:szCs w:val="22"/>
                <w:vertAlign w:val="superscript"/>
              </w:rPr>
              <w:t>1</w:t>
            </w:r>
          </w:p>
        </w:tc>
        <w:tc>
          <w:tcPr>
            <w:tcW w:w="2552" w:type="dxa"/>
          </w:tcPr>
          <w:p w14:paraId="5B5D0FF1" w14:textId="77777777" w:rsidR="001B1533" w:rsidRPr="00BF57A3" w:rsidRDefault="001B1533" w:rsidP="006C640E">
            <w:pPr>
              <w:jc w:val="both"/>
              <w:rPr>
                <w:i/>
                <w:sz w:val="22"/>
                <w:szCs w:val="22"/>
              </w:rPr>
            </w:pPr>
          </w:p>
        </w:tc>
        <w:tc>
          <w:tcPr>
            <w:tcW w:w="2835" w:type="dxa"/>
          </w:tcPr>
          <w:p w14:paraId="1C3975C8" w14:textId="77777777" w:rsidR="001B1533" w:rsidRPr="00BF57A3" w:rsidRDefault="001B1533" w:rsidP="006C640E">
            <w:pPr>
              <w:jc w:val="both"/>
              <w:rPr>
                <w:i/>
                <w:sz w:val="22"/>
                <w:szCs w:val="22"/>
              </w:rPr>
            </w:pPr>
          </w:p>
        </w:tc>
      </w:tr>
      <w:tr w:rsidR="00291801" w:rsidRPr="00BF57A3" w14:paraId="14260E60" w14:textId="77777777" w:rsidTr="00E9313F">
        <w:trPr>
          <w:cantSplit/>
        </w:trPr>
        <w:tc>
          <w:tcPr>
            <w:tcW w:w="9918" w:type="dxa"/>
            <w:gridSpan w:val="4"/>
            <w:vAlign w:val="center"/>
          </w:tcPr>
          <w:p w14:paraId="30DFC8C6" w14:textId="77777777" w:rsidR="00291801" w:rsidRPr="00BF57A3" w:rsidRDefault="00291801" w:rsidP="006C640E">
            <w:pPr>
              <w:autoSpaceDE w:val="0"/>
              <w:autoSpaceDN w:val="0"/>
              <w:adjustRightInd w:val="0"/>
              <w:jc w:val="both"/>
              <w:rPr>
                <w:i/>
                <w:sz w:val="22"/>
                <w:szCs w:val="22"/>
                <w:lang w:val="es-ES"/>
              </w:rPr>
            </w:pPr>
            <w:r w:rsidRPr="00BF57A3">
              <w:rPr>
                <w:b/>
                <w:color w:val="000000"/>
                <w:sz w:val="22"/>
                <w:szCs w:val="22"/>
              </w:rPr>
              <w:t>Poremećaji metabolizma i ishrane</w:t>
            </w:r>
          </w:p>
        </w:tc>
      </w:tr>
      <w:tr w:rsidR="008878C8" w:rsidRPr="00BF57A3" w14:paraId="79200FC3" w14:textId="77777777" w:rsidTr="000E0B31">
        <w:trPr>
          <w:cantSplit/>
        </w:trPr>
        <w:tc>
          <w:tcPr>
            <w:tcW w:w="1555" w:type="dxa"/>
            <w:vAlign w:val="center"/>
          </w:tcPr>
          <w:p w14:paraId="1302466E" w14:textId="77777777" w:rsidR="008878C8" w:rsidRPr="00BF57A3" w:rsidRDefault="00291801" w:rsidP="006C640E">
            <w:pPr>
              <w:autoSpaceDE w:val="0"/>
              <w:autoSpaceDN w:val="0"/>
              <w:adjustRightInd w:val="0"/>
              <w:jc w:val="both"/>
              <w:rPr>
                <w:sz w:val="22"/>
                <w:szCs w:val="22"/>
              </w:rPr>
            </w:pPr>
            <w:r w:rsidRPr="00BF57A3">
              <w:rPr>
                <w:i/>
                <w:sz w:val="22"/>
                <w:szCs w:val="22"/>
                <w:lang w:val="es-ES"/>
              </w:rPr>
              <w:t xml:space="preserve">Veoma česta: </w:t>
            </w:r>
          </w:p>
        </w:tc>
        <w:tc>
          <w:tcPr>
            <w:tcW w:w="2976" w:type="dxa"/>
            <w:vAlign w:val="center"/>
          </w:tcPr>
          <w:p w14:paraId="59549D5C" w14:textId="77777777" w:rsidR="008878C8" w:rsidRPr="00BF57A3" w:rsidRDefault="00291801" w:rsidP="006C640E">
            <w:pPr>
              <w:jc w:val="both"/>
              <w:rPr>
                <w:sz w:val="22"/>
                <w:szCs w:val="22"/>
                <w:lang w:val="es-ES"/>
              </w:rPr>
            </w:pPr>
            <w:r w:rsidRPr="00BF57A3">
              <w:rPr>
                <w:sz w:val="22"/>
                <w:szCs w:val="22"/>
                <w:lang w:val="es-ES"/>
              </w:rPr>
              <w:t>A</w:t>
            </w:r>
            <w:r w:rsidR="008878C8" w:rsidRPr="00BF57A3">
              <w:rPr>
                <w:sz w:val="22"/>
                <w:szCs w:val="22"/>
                <w:lang w:val="es-ES"/>
              </w:rPr>
              <w:t>noreksija</w:t>
            </w:r>
          </w:p>
          <w:p w14:paraId="1E25C37E" w14:textId="77777777" w:rsidR="008878C8" w:rsidRPr="00BF57A3" w:rsidRDefault="008878C8" w:rsidP="006C640E">
            <w:pPr>
              <w:autoSpaceDE w:val="0"/>
              <w:autoSpaceDN w:val="0"/>
              <w:adjustRightInd w:val="0"/>
              <w:jc w:val="both"/>
              <w:rPr>
                <w:i/>
                <w:sz w:val="22"/>
                <w:szCs w:val="22"/>
                <w:lang w:val="es-ES"/>
              </w:rPr>
            </w:pPr>
          </w:p>
        </w:tc>
        <w:tc>
          <w:tcPr>
            <w:tcW w:w="2552" w:type="dxa"/>
          </w:tcPr>
          <w:p w14:paraId="29C96FEC" w14:textId="77777777" w:rsidR="008878C8" w:rsidRPr="00BF57A3" w:rsidRDefault="00291801" w:rsidP="006C640E">
            <w:pPr>
              <w:jc w:val="both"/>
              <w:rPr>
                <w:sz w:val="22"/>
                <w:szCs w:val="22"/>
                <w:lang w:val="es-ES"/>
              </w:rPr>
            </w:pPr>
            <w:r w:rsidRPr="00BF57A3">
              <w:rPr>
                <w:sz w:val="22"/>
                <w:szCs w:val="22"/>
                <w:lang w:val="es-ES"/>
              </w:rPr>
              <w:t>Dehidracija, smanjeni apetit, hipokalemija</w:t>
            </w:r>
          </w:p>
        </w:tc>
        <w:tc>
          <w:tcPr>
            <w:tcW w:w="2835" w:type="dxa"/>
          </w:tcPr>
          <w:p w14:paraId="2FD77E96" w14:textId="77777777" w:rsidR="008878C8" w:rsidRPr="00BF57A3" w:rsidRDefault="00291801" w:rsidP="006C640E">
            <w:pPr>
              <w:jc w:val="both"/>
              <w:rPr>
                <w:sz w:val="22"/>
                <w:szCs w:val="22"/>
                <w:lang w:val="es-ES"/>
              </w:rPr>
            </w:pPr>
            <w:r w:rsidRPr="00BF57A3">
              <w:rPr>
                <w:sz w:val="22"/>
                <w:szCs w:val="22"/>
                <w:lang w:val="es-ES"/>
              </w:rPr>
              <w:t>Smanjeni apetit</w:t>
            </w:r>
          </w:p>
        </w:tc>
      </w:tr>
      <w:tr w:rsidR="00291801" w:rsidRPr="00BF57A3" w14:paraId="312A3818" w14:textId="77777777" w:rsidTr="000E0B31">
        <w:trPr>
          <w:cantSplit/>
        </w:trPr>
        <w:tc>
          <w:tcPr>
            <w:tcW w:w="1555" w:type="dxa"/>
            <w:vAlign w:val="center"/>
          </w:tcPr>
          <w:p w14:paraId="5E09B2C9" w14:textId="77777777" w:rsidR="00291801" w:rsidRPr="00BF57A3" w:rsidDel="00291801" w:rsidRDefault="00291801" w:rsidP="006C640E">
            <w:pPr>
              <w:autoSpaceDE w:val="0"/>
              <w:autoSpaceDN w:val="0"/>
              <w:adjustRightInd w:val="0"/>
              <w:jc w:val="both"/>
              <w:rPr>
                <w:sz w:val="22"/>
                <w:szCs w:val="22"/>
              </w:rPr>
            </w:pPr>
            <w:r w:rsidRPr="00BF57A3">
              <w:rPr>
                <w:i/>
                <w:color w:val="000000"/>
                <w:sz w:val="22"/>
                <w:szCs w:val="22"/>
                <w:lang w:val="es-ES"/>
              </w:rPr>
              <w:t>Česta:</w:t>
            </w:r>
          </w:p>
        </w:tc>
        <w:tc>
          <w:tcPr>
            <w:tcW w:w="2976" w:type="dxa"/>
            <w:vAlign w:val="center"/>
          </w:tcPr>
          <w:p w14:paraId="351CA81B" w14:textId="77777777" w:rsidR="00291801" w:rsidRPr="00BF57A3" w:rsidRDefault="00291801" w:rsidP="006C640E">
            <w:pPr>
              <w:jc w:val="both"/>
              <w:rPr>
                <w:sz w:val="22"/>
                <w:szCs w:val="22"/>
                <w:lang w:val="es-ES"/>
              </w:rPr>
            </w:pPr>
            <w:r w:rsidRPr="00BF57A3">
              <w:rPr>
                <w:sz w:val="22"/>
                <w:szCs w:val="22"/>
                <w:lang w:val="es-ES"/>
              </w:rPr>
              <w:t>Dehidracija, smanjeni apetit, hipokalemija</w:t>
            </w:r>
          </w:p>
        </w:tc>
        <w:tc>
          <w:tcPr>
            <w:tcW w:w="2552" w:type="dxa"/>
          </w:tcPr>
          <w:p w14:paraId="2769DA8B" w14:textId="77777777" w:rsidR="00291801" w:rsidRPr="00BF57A3" w:rsidRDefault="00291801" w:rsidP="006C640E">
            <w:pPr>
              <w:jc w:val="both"/>
              <w:rPr>
                <w:sz w:val="22"/>
                <w:szCs w:val="22"/>
                <w:lang w:val="es-ES"/>
              </w:rPr>
            </w:pPr>
          </w:p>
        </w:tc>
        <w:tc>
          <w:tcPr>
            <w:tcW w:w="2835" w:type="dxa"/>
          </w:tcPr>
          <w:p w14:paraId="22F1CBF5" w14:textId="77777777" w:rsidR="00291801" w:rsidRPr="00BF57A3" w:rsidRDefault="00291801" w:rsidP="006C640E">
            <w:pPr>
              <w:jc w:val="both"/>
              <w:rPr>
                <w:sz w:val="22"/>
                <w:szCs w:val="22"/>
                <w:lang w:val="es-ES"/>
              </w:rPr>
            </w:pPr>
            <w:r w:rsidRPr="00BF57A3">
              <w:rPr>
                <w:sz w:val="22"/>
                <w:szCs w:val="22"/>
                <w:lang w:val="es-ES"/>
              </w:rPr>
              <w:t>Dehidratacija</w:t>
            </w:r>
          </w:p>
        </w:tc>
      </w:tr>
      <w:tr w:rsidR="00291801" w:rsidRPr="00BF57A3" w14:paraId="6A59A6A1" w14:textId="77777777" w:rsidTr="000E0B31">
        <w:trPr>
          <w:cantSplit/>
        </w:trPr>
        <w:tc>
          <w:tcPr>
            <w:tcW w:w="1555" w:type="dxa"/>
            <w:vAlign w:val="center"/>
          </w:tcPr>
          <w:p w14:paraId="3BB6AC23" w14:textId="77777777" w:rsidR="00291801" w:rsidRPr="00BF57A3" w:rsidDel="00291801" w:rsidRDefault="00291801" w:rsidP="006C640E">
            <w:pPr>
              <w:autoSpaceDE w:val="0"/>
              <w:autoSpaceDN w:val="0"/>
              <w:adjustRightInd w:val="0"/>
              <w:jc w:val="both"/>
              <w:rPr>
                <w:sz w:val="22"/>
                <w:szCs w:val="22"/>
              </w:rPr>
            </w:pPr>
            <w:r w:rsidRPr="00BF57A3">
              <w:rPr>
                <w:i/>
                <w:color w:val="000000"/>
                <w:sz w:val="22"/>
                <w:szCs w:val="22"/>
                <w:lang w:val="es-ES"/>
              </w:rPr>
              <w:lastRenderedPageBreak/>
              <w:t>Povremena:</w:t>
            </w:r>
          </w:p>
        </w:tc>
        <w:tc>
          <w:tcPr>
            <w:tcW w:w="2976" w:type="dxa"/>
            <w:vAlign w:val="center"/>
          </w:tcPr>
          <w:p w14:paraId="69F69620" w14:textId="77777777" w:rsidR="00291801" w:rsidRPr="00BF57A3" w:rsidRDefault="00291801" w:rsidP="006C640E">
            <w:pPr>
              <w:jc w:val="both"/>
              <w:rPr>
                <w:i/>
                <w:sz w:val="22"/>
                <w:szCs w:val="22"/>
              </w:rPr>
            </w:pPr>
            <w:r w:rsidRPr="00BF57A3">
              <w:rPr>
                <w:color w:val="000000"/>
                <w:sz w:val="22"/>
                <w:szCs w:val="22"/>
              </w:rPr>
              <w:t>Hipofosfatemija, retencija tečnosti, hipoalbuminemija, polidipsija, hiperglikemija, hipokalcemija, hipoglikemija, hiponatremija</w:t>
            </w:r>
          </w:p>
        </w:tc>
        <w:tc>
          <w:tcPr>
            <w:tcW w:w="2552" w:type="dxa"/>
          </w:tcPr>
          <w:p w14:paraId="33EA3A8B" w14:textId="77777777" w:rsidR="00291801" w:rsidRPr="00BF57A3" w:rsidRDefault="00291801" w:rsidP="006C640E">
            <w:pPr>
              <w:jc w:val="both"/>
              <w:rPr>
                <w:i/>
                <w:sz w:val="22"/>
                <w:szCs w:val="22"/>
              </w:rPr>
            </w:pPr>
          </w:p>
        </w:tc>
        <w:tc>
          <w:tcPr>
            <w:tcW w:w="2835" w:type="dxa"/>
          </w:tcPr>
          <w:p w14:paraId="3BD4B612" w14:textId="77777777" w:rsidR="00291801" w:rsidRPr="00BF57A3" w:rsidRDefault="00291801" w:rsidP="006C640E">
            <w:pPr>
              <w:jc w:val="both"/>
              <w:rPr>
                <w:i/>
                <w:sz w:val="22"/>
                <w:szCs w:val="22"/>
              </w:rPr>
            </w:pPr>
          </w:p>
        </w:tc>
      </w:tr>
      <w:tr w:rsidR="00291801" w:rsidRPr="00BF57A3" w14:paraId="7672F27C" w14:textId="77777777" w:rsidTr="000E0B31">
        <w:trPr>
          <w:cantSplit/>
        </w:trPr>
        <w:tc>
          <w:tcPr>
            <w:tcW w:w="1555" w:type="dxa"/>
            <w:vAlign w:val="center"/>
          </w:tcPr>
          <w:p w14:paraId="0C5A6361" w14:textId="77777777" w:rsidR="00291801" w:rsidRPr="00BF57A3" w:rsidRDefault="00291801" w:rsidP="006C640E">
            <w:pPr>
              <w:autoSpaceDE w:val="0"/>
              <w:autoSpaceDN w:val="0"/>
              <w:adjustRightInd w:val="0"/>
              <w:jc w:val="both"/>
              <w:rPr>
                <w:i/>
                <w:color w:val="000000"/>
                <w:sz w:val="22"/>
                <w:szCs w:val="22"/>
                <w:lang w:val="es-ES"/>
              </w:rPr>
            </w:pPr>
            <w:r w:rsidRPr="00BF57A3">
              <w:rPr>
                <w:i/>
                <w:color w:val="000000"/>
                <w:sz w:val="22"/>
                <w:szCs w:val="22"/>
                <w:lang w:val="es-ES"/>
              </w:rPr>
              <w:t>Nepoznata</w:t>
            </w:r>
          </w:p>
        </w:tc>
        <w:tc>
          <w:tcPr>
            <w:tcW w:w="2976" w:type="dxa"/>
            <w:vAlign w:val="center"/>
          </w:tcPr>
          <w:p w14:paraId="02A34181" w14:textId="77777777" w:rsidR="00291801" w:rsidRPr="00BF57A3" w:rsidRDefault="00291801" w:rsidP="006C640E">
            <w:pPr>
              <w:jc w:val="both"/>
              <w:rPr>
                <w:color w:val="000000"/>
                <w:sz w:val="22"/>
                <w:szCs w:val="22"/>
                <w:vertAlign w:val="superscript"/>
              </w:rPr>
            </w:pPr>
            <w:r w:rsidRPr="00BF57A3">
              <w:rPr>
                <w:color w:val="000000"/>
                <w:sz w:val="22"/>
                <w:szCs w:val="22"/>
              </w:rPr>
              <w:t>Sindrom lize tumora</w:t>
            </w:r>
            <w:r w:rsidRPr="00BF57A3">
              <w:rPr>
                <w:color w:val="000000"/>
                <w:sz w:val="22"/>
                <w:szCs w:val="22"/>
                <w:vertAlign w:val="superscript"/>
              </w:rPr>
              <w:t>1</w:t>
            </w:r>
          </w:p>
        </w:tc>
        <w:tc>
          <w:tcPr>
            <w:tcW w:w="2552" w:type="dxa"/>
          </w:tcPr>
          <w:p w14:paraId="4C14AD5B" w14:textId="77777777" w:rsidR="00291801" w:rsidRPr="00BF57A3" w:rsidRDefault="00291801" w:rsidP="006C640E">
            <w:pPr>
              <w:jc w:val="both"/>
              <w:rPr>
                <w:i/>
                <w:sz w:val="22"/>
                <w:szCs w:val="22"/>
              </w:rPr>
            </w:pPr>
          </w:p>
        </w:tc>
        <w:tc>
          <w:tcPr>
            <w:tcW w:w="2835" w:type="dxa"/>
          </w:tcPr>
          <w:p w14:paraId="504B5E71" w14:textId="77777777" w:rsidR="00291801" w:rsidRPr="00BF57A3" w:rsidRDefault="00291801" w:rsidP="006C640E">
            <w:pPr>
              <w:jc w:val="both"/>
              <w:rPr>
                <w:i/>
                <w:sz w:val="22"/>
                <w:szCs w:val="22"/>
              </w:rPr>
            </w:pPr>
          </w:p>
        </w:tc>
      </w:tr>
      <w:tr w:rsidR="006F25F1" w:rsidRPr="00BF57A3" w14:paraId="0DC04CCB" w14:textId="77777777" w:rsidTr="00E9313F">
        <w:trPr>
          <w:cantSplit/>
        </w:trPr>
        <w:tc>
          <w:tcPr>
            <w:tcW w:w="9918" w:type="dxa"/>
            <w:gridSpan w:val="4"/>
            <w:vAlign w:val="center"/>
          </w:tcPr>
          <w:p w14:paraId="32CD6C4B" w14:textId="77777777" w:rsidR="006F25F1" w:rsidRPr="00BF57A3" w:rsidRDefault="006F25F1" w:rsidP="006C640E">
            <w:pPr>
              <w:autoSpaceDE w:val="0"/>
              <w:autoSpaceDN w:val="0"/>
              <w:adjustRightInd w:val="0"/>
              <w:jc w:val="both"/>
              <w:rPr>
                <w:i/>
                <w:sz w:val="22"/>
                <w:szCs w:val="22"/>
                <w:lang w:val="it-IT"/>
              </w:rPr>
            </w:pPr>
            <w:r w:rsidRPr="00BF57A3">
              <w:rPr>
                <w:b/>
                <w:color w:val="000000"/>
                <w:sz w:val="22"/>
                <w:szCs w:val="22"/>
              </w:rPr>
              <w:t>Psihijatrijski poremećaji</w:t>
            </w:r>
          </w:p>
        </w:tc>
      </w:tr>
      <w:tr w:rsidR="006F25F1" w:rsidRPr="00BF57A3" w14:paraId="22D3143C" w14:textId="77777777" w:rsidTr="000E0B31">
        <w:trPr>
          <w:cantSplit/>
        </w:trPr>
        <w:tc>
          <w:tcPr>
            <w:tcW w:w="1555" w:type="dxa"/>
            <w:vAlign w:val="center"/>
          </w:tcPr>
          <w:p w14:paraId="254ECF88" w14:textId="77777777" w:rsidR="006F25F1" w:rsidRPr="00BF57A3" w:rsidRDefault="006F25F1" w:rsidP="006C640E">
            <w:pPr>
              <w:autoSpaceDE w:val="0"/>
              <w:autoSpaceDN w:val="0"/>
              <w:adjustRightInd w:val="0"/>
              <w:jc w:val="both"/>
              <w:rPr>
                <w:i/>
                <w:sz w:val="22"/>
                <w:szCs w:val="22"/>
                <w:lang w:val="it-IT"/>
              </w:rPr>
            </w:pPr>
            <w:r w:rsidRPr="00BF57A3">
              <w:rPr>
                <w:i/>
                <w:sz w:val="22"/>
                <w:szCs w:val="22"/>
                <w:lang w:val="es-ES"/>
              </w:rPr>
              <w:t>Veoma česta:</w:t>
            </w:r>
          </w:p>
        </w:tc>
        <w:tc>
          <w:tcPr>
            <w:tcW w:w="2976" w:type="dxa"/>
            <w:vAlign w:val="center"/>
          </w:tcPr>
          <w:p w14:paraId="5B7C4855" w14:textId="77777777" w:rsidR="006F25F1" w:rsidRPr="00BF57A3" w:rsidDel="006F25F1" w:rsidRDefault="006F25F1" w:rsidP="006C640E">
            <w:pPr>
              <w:autoSpaceDE w:val="0"/>
              <w:autoSpaceDN w:val="0"/>
              <w:adjustRightInd w:val="0"/>
              <w:jc w:val="both"/>
              <w:rPr>
                <w:i/>
                <w:sz w:val="22"/>
                <w:szCs w:val="22"/>
                <w:lang w:val="it-IT"/>
              </w:rPr>
            </w:pPr>
          </w:p>
        </w:tc>
        <w:tc>
          <w:tcPr>
            <w:tcW w:w="2552" w:type="dxa"/>
          </w:tcPr>
          <w:p w14:paraId="49EFB9FF" w14:textId="77777777" w:rsidR="006F25F1" w:rsidRPr="00BF57A3" w:rsidRDefault="006F25F1" w:rsidP="006C640E">
            <w:pPr>
              <w:autoSpaceDE w:val="0"/>
              <w:autoSpaceDN w:val="0"/>
              <w:adjustRightInd w:val="0"/>
              <w:jc w:val="both"/>
              <w:rPr>
                <w:i/>
                <w:sz w:val="22"/>
                <w:szCs w:val="22"/>
                <w:lang w:val="it-IT"/>
              </w:rPr>
            </w:pPr>
            <w:r w:rsidRPr="00BF57A3">
              <w:rPr>
                <w:sz w:val="22"/>
                <w:szCs w:val="22"/>
                <w:lang w:val="it-IT"/>
              </w:rPr>
              <w:t>Depresija, nesanica</w:t>
            </w:r>
          </w:p>
        </w:tc>
        <w:tc>
          <w:tcPr>
            <w:tcW w:w="2835" w:type="dxa"/>
          </w:tcPr>
          <w:p w14:paraId="0CBF52AB" w14:textId="77777777" w:rsidR="006F25F1" w:rsidRPr="00BF57A3" w:rsidRDefault="006F25F1" w:rsidP="006C640E">
            <w:pPr>
              <w:autoSpaceDE w:val="0"/>
              <w:autoSpaceDN w:val="0"/>
              <w:adjustRightInd w:val="0"/>
              <w:jc w:val="both"/>
              <w:rPr>
                <w:i/>
                <w:sz w:val="22"/>
                <w:szCs w:val="22"/>
                <w:lang w:val="it-IT"/>
              </w:rPr>
            </w:pPr>
          </w:p>
        </w:tc>
      </w:tr>
      <w:tr w:rsidR="008878C8" w:rsidRPr="00BF57A3" w14:paraId="419A0C58" w14:textId="77777777" w:rsidTr="000E0B31">
        <w:trPr>
          <w:cantSplit/>
        </w:trPr>
        <w:tc>
          <w:tcPr>
            <w:tcW w:w="1555" w:type="dxa"/>
            <w:vAlign w:val="center"/>
          </w:tcPr>
          <w:p w14:paraId="16BBF86C" w14:textId="77777777" w:rsidR="008878C8" w:rsidRPr="00BF57A3" w:rsidRDefault="006F25F1" w:rsidP="006C640E">
            <w:pPr>
              <w:autoSpaceDE w:val="0"/>
              <w:autoSpaceDN w:val="0"/>
              <w:adjustRightInd w:val="0"/>
              <w:jc w:val="both"/>
              <w:rPr>
                <w:sz w:val="22"/>
                <w:szCs w:val="22"/>
              </w:rPr>
            </w:pPr>
            <w:r w:rsidRPr="00BF57A3">
              <w:rPr>
                <w:i/>
                <w:sz w:val="22"/>
                <w:szCs w:val="22"/>
                <w:lang w:val="it-IT"/>
              </w:rPr>
              <w:t>Česta:</w:t>
            </w:r>
            <w:r w:rsidRPr="00BF57A3">
              <w:rPr>
                <w:sz w:val="22"/>
                <w:szCs w:val="22"/>
              </w:rPr>
              <w:t xml:space="preserve"> </w:t>
            </w:r>
          </w:p>
        </w:tc>
        <w:tc>
          <w:tcPr>
            <w:tcW w:w="2976" w:type="dxa"/>
            <w:vAlign w:val="center"/>
          </w:tcPr>
          <w:p w14:paraId="44360AAB" w14:textId="77777777" w:rsidR="008878C8" w:rsidRPr="00BF57A3" w:rsidRDefault="006F25F1" w:rsidP="006C640E">
            <w:pPr>
              <w:autoSpaceDE w:val="0"/>
              <w:autoSpaceDN w:val="0"/>
              <w:adjustRightInd w:val="0"/>
              <w:jc w:val="both"/>
              <w:rPr>
                <w:sz w:val="22"/>
                <w:szCs w:val="22"/>
                <w:lang w:val="it-IT"/>
              </w:rPr>
            </w:pPr>
            <w:r w:rsidRPr="00BF57A3">
              <w:rPr>
                <w:sz w:val="22"/>
                <w:szCs w:val="22"/>
                <w:lang w:val="it-IT"/>
              </w:rPr>
              <w:t>D</w:t>
            </w:r>
            <w:r w:rsidR="008878C8" w:rsidRPr="00BF57A3">
              <w:rPr>
                <w:sz w:val="22"/>
                <w:szCs w:val="22"/>
                <w:lang w:val="it-IT"/>
              </w:rPr>
              <w:t xml:space="preserve">epresija, </w:t>
            </w:r>
            <w:r w:rsidRPr="00BF57A3">
              <w:rPr>
                <w:sz w:val="22"/>
                <w:szCs w:val="22"/>
                <w:lang w:val="it-IT"/>
              </w:rPr>
              <w:t xml:space="preserve">nesanica, </w:t>
            </w:r>
            <w:r w:rsidR="008878C8" w:rsidRPr="00BF57A3">
              <w:rPr>
                <w:sz w:val="22"/>
                <w:szCs w:val="22"/>
                <w:lang w:val="it-IT"/>
              </w:rPr>
              <w:t>anksioznost</w:t>
            </w:r>
          </w:p>
        </w:tc>
        <w:tc>
          <w:tcPr>
            <w:tcW w:w="2552" w:type="dxa"/>
          </w:tcPr>
          <w:p w14:paraId="68442E3E" w14:textId="77777777" w:rsidR="008878C8" w:rsidRPr="00BF57A3" w:rsidRDefault="006F25F1" w:rsidP="006C640E">
            <w:pPr>
              <w:autoSpaceDE w:val="0"/>
              <w:autoSpaceDN w:val="0"/>
              <w:adjustRightInd w:val="0"/>
              <w:jc w:val="both"/>
              <w:rPr>
                <w:i/>
                <w:sz w:val="22"/>
                <w:szCs w:val="22"/>
                <w:lang w:val="it-IT"/>
              </w:rPr>
            </w:pPr>
            <w:r w:rsidRPr="00BF57A3">
              <w:rPr>
                <w:sz w:val="22"/>
                <w:szCs w:val="22"/>
                <w:lang w:val="it-IT"/>
              </w:rPr>
              <w:t>Anksioznost</w:t>
            </w:r>
          </w:p>
        </w:tc>
        <w:tc>
          <w:tcPr>
            <w:tcW w:w="2835" w:type="dxa"/>
          </w:tcPr>
          <w:p w14:paraId="1AAEDE7C" w14:textId="77777777" w:rsidR="008878C8" w:rsidRPr="00BF57A3" w:rsidRDefault="006F25F1" w:rsidP="006C640E">
            <w:pPr>
              <w:autoSpaceDE w:val="0"/>
              <w:autoSpaceDN w:val="0"/>
              <w:adjustRightInd w:val="0"/>
              <w:jc w:val="both"/>
              <w:rPr>
                <w:i/>
                <w:sz w:val="22"/>
                <w:szCs w:val="22"/>
                <w:lang w:val="it-IT"/>
              </w:rPr>
            </w:pPr>
            <w:r w:rsidRPr="00BF57A3">
              <w:rPr>
                <w:sz w:val="22"/>
                <w:szCs w:val="22"/>
                <w:lang w:val="it-IT"/>
              </w:rPr>
              <w:t>Nesanica</w:t>
            </w:r>
          </w:p>
        </w:tc>
      </w:tr>
      <w:tr w:rsidR="006F25F1" w:rsidRPr="00BF57A3" w14:paraId="58184AD3" w14:textId="77777777" w:rsidTr="000E0B31">
        <w:trPr>
          <w:cantSplit/>
        </w:trPr>
        <w:tc>
          <w:tcPr>
            <w:tcW w:w="1555" w:type="dxa"/>
            <w:vAlign w:val="center"/>
          </w:tcPr>
          <w:p w14:paraId="4DD868E1" w14:textId="77777777" w:rsidR="006F25F1" w:rsidRPr="00BF57A3" w:rsidRDefault="006F25F1" w:rsidP="006C640E">
            <w:pPr>
              <w:autoSpaceDE w:val="0"/>
              <w:autoSpaceDN w:val="0"/>
              <w:adjustRightInd w:val="0"/>
              <w:jc w:val="both"/>
              <w:rPr>
                <w:sz w:val="22"/>
                <w:szCs w:val="22"/>
              </w:rPr>
            </w:pPr>
            <w:r w:rsidRPr="00BF57A3">
              <w:rPr>
                <w:i/>
                <w:sz w:val="22"/>
                <w:szCs w:val="22"/>
                <w:lang w:val="it-IT"/>
              </w:rPr>
              <w:t>Povremena</w:t>
            </w:r>
            <w:r w:rsidRPr="00BF57A3">
              <w:rPr>
                <w:sz w:val="22"/>
                <w:szCs w:val="22"/>
                <w:lang w:val="it-IT"/>
              </w:rPr>
              <w:t>:</w:t>
            </w:r>
          </w:p>
        </w:tc>
        <w:tc>
          <w:tcPr>
            <w:tcW w:w="2976" w:type="dxa"/>
            <w:vAlign w:val="center"/>
          </w:tcPr>
          <w:p w14:paraId="023C6293" w14:textId="77777777" w:rsidR="006F25F1" w:rsidRPr="00BF57A3" w:rsidDel="006F25F1" w:rsidRDefault="006F25F1" w:rsidP="006C640E">
            <w:pPr>
              <w:autoSpaceDE w:val="0"/>
              <w:autoSpaceDN w:val="0"/>
              <w:adjustRightInd w:val="0"/>
              <w:jc w:val="both"/>
              <w:rPr>
                <w:i/>
                <w:sz w:val="22"/>
                <w:szCs w:val="22"/>
                <w:lang w:val="it-IT"/>
              </w:rPr>
            </w:pPr>
            <w:r w:rsidRPr="00BF57A3">
              <w:rPr>
                <w:color w:val="000000"/>
                <w:sz w:val="22"/>
                <w:szCs w:val="22"/>
                <w:lang w:val="it-IT"/>
              </w:rPr>
              <w:t>Uznemirenost</w:t>
            </w:r>
          </w:p>
        </w:tc>
        <w:tc>
          <w:tcPr>
            <w:tcW w:w="2552" w:type="dxa"/>
          </w:tcPr>
          <w:p w14:paraId="619E44EB" w14:textId="77777777" w:rsidR="006F25F1" w:rsidRPr="00BF57A3" w:rsidRDefault="006F25F1" w:rsidP="006C640E">
            <w:pPr>
              <w:autoSpaceDE w:val="0"/>
              <w:autoSpaceDN w:val="0"/>
              <w:adjustRightInd w:val="0"/>
              <w:jc w:val="both"/>
              <w:rPr>
                <w:i/>
                <w:sz w:val="22"/>
                <w:szCs w:val="22"/>
                <w:lang w:val="it-IT"/>
              </w:rPr>
            </w:pPr>
          </w:p>
        </w:tc>
        <w:tc>
          <w:tcPr>
            <w:tcW w:w="2835" w:type="dxa"/>
          </w:tcPr>
          <w:p w14:paraId="0FC6C8F6" w14:textId="77777777" w:rsidR="006F25F1" w:rsidRPr="00BF57A3" w:rsidRDefault="006F25F1" w:rsidP="006C640E">
            <w:pPr>
              <w:autoSpaceDE w:val="0"/>
              <w:autoSpaceDN w:val="0"/>
              <w:adjustRightInd w:val="0"/>
              <w:jc w:val="both"/>
              <w:rPr>
                <w:i/>
                <w:sz w:val="22"/>
                <w:szCs w:val="22"/>
                <w:lang w:val="it-IT"/>
              </w:rPr>
            </w:pPr>
          </w:p>
        </w:tc>
      </w:tr>
      <w:tr w:rsidR="0035476E" w:rsidRPr="00BF57A3" w14:paraId="65FBEC3A" w14:textId="77777777" w:rsidTr="00E9313F">
        <w:trPr>
          <w:cantSplit/>
        </w:trPr>
        <w:tc>
          <w:tcPr>
            <w:tcW w:w="9918" w:type="dxa"/>
            <w:gridSpan w:val="4"/>
            <w:vAlign w:val="center"/>
          </w:tcPr>
          <w:p w14:paraId="36FB691A" w14:textId="77777777" w:rsidR="0035476E" w:rsidRPr="00BF57A3" w:rsidRDefault="0035476E" w:rsidP="006C640E">
            <w:pPr>
              <w:autoSpaceDE w:val="0"/>
              <w:autoSpaceDN w:val="0"/>
              <w:adjustRightInd w:val="0"/>
              <w:jc w:val="both"/>
              <w:rPr>
                <w:i/>
                <w:sz w:val="22"/>
                <w:szCs w:val="22"/>
                <w:lang w:val="es-ES"/>
              </w:rPr>
            </w:pPr>
            <w:r w:rsidRPr="00BF57A3">
              <w:rPr>
                <w:b/>
                <w:color w:val="000000"/>
                <w:sz w:val="22"/>
                <w:szCs w:val="22"/>
              </w:rPr>
              <w:t>Poremećaji nervnog sistema</w:t>
            </w:r>
          </w:p>
        </w:tc>
      </w:tr>
      <w:tr w:rsidR="008878C8" w:rsidRPr="00BF57A3" w14:paraId="076C33C1" w14:textId="77777777" w:rsidTr="000E0B31">
        <w:trPr>
          <w:cantSplit/>
        </w:trPr>
        <w:tc>
          <w:tcPr>
            <w:tcW w:w="1555" w:type="dxa"/>
            <w:vAlign w:val="center"/>
          </w:tcPr>
          <w:p w14:paraId="0CA2487C" w14:textId="77777777" w:rsidR="008878C8" w:rsidRPr="00BF57A3" w:rsidRDefault="0099695D" w:rsidP="006C640E">
            <w:pPr>
              <w:autoSpaceDE w:val="0"/>
              <w:autoSpaceDN w:val="0"/>
              <w:adjustRightInd w:val="0"/>
              <w:jc w:val="both"/>
              <w:rPr>
                <w:sz w:val="22"/>
                <w:szCs w:val="22"/>
              </w:rPr>
            </w:pPr>
            <w:r w:rsidRPr="00BF57A3">
              <w:rPr>
                <w:i/>
                <w:sz w:val="22"/>
                <w:szCs w:val="22"/>
                <w:lang w:val="es-ES"/>
              </w:rPr>
              <w:t>Veoma česta</w:t>
            </w:r>
            <w:r w:rsidRPr="00BF57A3">
              <w:rPr>
                <w:sz w:val="22"/>
                <w:szCs w:val="22"/>
                <w:lang w:val="es-ES"/>
              </w:rPr>
              <w:t xml:space="preserve">: </w:t>
            </w:r>
          </w:p>
        </w:tc>
        <w:tc>
          <w:tcPr>
            <w:tcW w:w="2976" w:type="dxa"/>
            <w:vAlign w:val="center"/>
          </w:tcPr>
          <w:p w14:paraId="48C3879A" w14:textId="77777777" w:rsidR="008878C8" w:rsidRPr="00BF57A3" w:rsidRDefault="0099695D" w:rsidP="006C640E">
            <w:pPr>
              <w:autoSpaceDE w:val="0"/>
              <w:autoSpaceDN w:val="0"/>
              <w:adjustRightInd w:val="0"/>
              <w:jc w:val="both"/>
              <w:rPr>
                <w:sz w:val="22"/>
                <w:szCs w:val="22"/>
                <w:lang w:val="es-ES"/>
              </w:rPr>
            </w:pPr>
            <w:r w:rsidRPr="00BF57A3">
              <w:rPr>
                <w:sz w:val="22"/>
                <w:szCs w:val="22"/>
                <w:lang w:val="es-ES"/>
              </w:rPr>
              <w:t>P</w:t>
            </w:r>
            <w:r w:rsidR="008878C8" w:rsidRPr="00BF57A3">
              <w:rPr>
                <w:sz w:val="22"/>
                <w:szCs w:val="22"/>
                <w:lang w:val="es-ES"/>
              </w:rPr>
              <w:t xml:space="preserve">eriferna neuropatija, neuropatija, hipoestezija, parestezije </w:t>
            </w:r>
          </w:p>
        </w:tc>
        <w:tc>
          <w:tcPr>
            <w:tcW w:w="2552" w:type="dxa"/>
          </w:tcPr>
          <w:p w14:paraId="1035EE86" w14:textId="77777777" w:rsidR="0099695D" w:rsidRPr="00BF57A3" w:rsidRDefault="0099695D" w:rsidP="006C640E">
            <w:pPr>
              <w:autoSpaceDE w:val="0"/>
              <w:autoSpaceDN w:val="0"/>
              <w:adjustRightInd w:val="0"/>
              <w:jc w:val="both"/>
              <w:rPr>
                <w:sz w:val="22"/>
                <w:szCs w:val="22"/>
                <w:lang w:val="es-ES"/>
              </w:rPr>
            </w:pPr>
            <w:r w:rsidRPr="00BF57A3">
              <w:rPr>
                <w:sz w:val="22"/>
                <w:szCs w:val="22"/>
                <w:lang w:val="es-ES"/>
              </w:rPr>
              <w:t>Periferna neuropatija, vrtoglavica, glavobolja,</w:t>
            </w:r>
          </w:p>
          <w:p w14:paraId="000C3A6A" w14:textId="77777777" w:rsidR="008878C8" w:rsidRPr="00BF57A3" w:rsidRDefault="0099695D" w:rsidP="006C640E">
            <w:pPr>
              <w:autoSpaceDE w:val="0"/>
              <w:autoSpaceDN w:val="0"/>
              <w:adjustRightInd w:val="0"/>
              <w:jc w:val="both"/>
              <w:rPr>
                <w:i/>
                <w:sz w:val="22"/>
                <w:szCs w:val="22"/>
                <w:lang w:val="es-ES"/>
              </w:rPr>
            </w:pPr>
            <w:r w:rsidRPr="00BF57A3">
              <w:rPr>
                <w:sz w:val="22"/>
                <w:szCs w:val="22"/>
                <w:lang w:val="es-ES"/>
              </w:rPr>
              <w:t>disgeuzija</w:t>
            </w:r>
          </w:p>
        </w:tc>
        <w:tc>
          <w:tcPr>
            <w:tcW w:w="2835" w:type="dxa"/>
          </w:tcPr>
          <w:p w14:paraId="70299CAB" w14:textId="77777777" w:rsidR="008878C8" w:rsidRPr="00BF57A3" w:rsidRDefault="0099695D" w:rsidP="006C640E">
            <w:pPr>
              <w:autoSpaceDE w:val="0"/>
              <w:autoSpaceDN w:val="0"/>
              <w:adjustRightInd w:val="0"/>
              <w:jc w:val="both"/>
              <w:rPr>
                <w:i/>
                <w:sz w:val="22"/>
                <w:szCs w:val="22"/>
                <w:lang w:val="es-ES"/>
              </w:rPr>
            </w:pPr>
            <w:r w:rsidRPr="00BF57A3">
              <w:rPr>
                <w:sz w:val="22"/>
                <w:szCs w:val="22"/>
                <w:lang w:val="es-ES"/>
              </w:rPr>
              <w:t>Periferna neuropatija</w:t>
            </w:r>
          </w:p>
        </w:tc>
      </w:tr>
      <w:tr w:rsidR="0099695D" w:rsidRPr="00BF57A3" w14:paraId="3209CD36" w14:textId="77777777" w:rsidTr="000E0B31">
        <w:trPr>
          <w:cantSplit/>
        </w:trPr>
        <w:tc>
          <w:tcPr>
            <w:tcW w:w="1555" w:type="dxa"/>
            <w:vAlign w:val="center"/>
          </w:tcPr>
          <w:p w14:paraId="5D0A15F4" w14:textId="77777777" w:rsidR="0099695D" w:rsidRPr="00BF57A3" w:rsidRDefault="0099695D" w:rsidP="006C640E">
            <w:pPr>
              <w:autoSpaceDE w:val="0"/>
              <w:autoSpaceDN w:val="0"/>
              <w:adjustRightInd w:val="0"/>
              <w:jc w:val="both"/>
              <w:rPr>
                <w:i/>
                <w:sz w:val="22"/>
                <w:szCs w:val="22"/>
                <w:lang w:val="es-ES"/>
              </w:rPr>
            </w:pPr>
            <w:r w:rsidRPr="00BF57A3">
              <w:rPr>
                <w:i/>
                <w:sz w:val="22"/>
                <w:szCs w:val="22"/>
                <w:lang w:val="es-ES"/>
              </w:rPr>
              <w:t>Česta</w:t>
            </w:r>
            <w:r w:rsidRPr="00BF57A3">
              <w:rPr>
                <w:sz w:val="22"/>
                <w:szCs w:val="22"/>
                <w:lang w:val="es-ES"/>
              </w:rPr>
              <w:t>:</w:t>
            </w:r>
          </w:p>
        </w:tc>
        <w:tc>
          <w:tcPr>
            <w:tcW w:w="2976" w:type="dxa"/>
            <w:vAlign w:val="center"/>
          </w:tcPr>
          <w:p w14:paraId="66F91D3C" w14:textId="77777777" w:rsidR="0099695D" w:rsidRPr="00BF57A3" w:rsidDel="0099695D" w:rsidRDefault="0099695D" w:rsidP="006C640E">
            <w:pPr>
              <w:autoSpaceDE w:val="0"/>
              <w:autoSpaceDN w:val="0"/>
              <w:adjustRightInd w:val="0"/>
              <w:jc w:val="both"/>
              <w:rPr>
                <w:i/>
                <w:sz w:val="22"/>
                <w:szCs w:val="22"/>
                <w:lang w:val="es-ES"/>
              </w:rPr>
            </w:pPr>
            <w:r w:rsidRPr="00BF57A3">
              <w:rPr>
                <w:sz w:val="22"/>
                <w:szCs w:val="22"/>
                <w:lang w:val="es-ES"/>
              </w:rPr>
              <w:t>Periferna senzorna neuropatija, vrtoglavica, periferna motorna neuropatija,</w:t>
            </w:r>
            <w:r w:rsidRPr="006C640E">
              <w:rPr>
                <w:sz w:val="22"/>
                <w:szCs w:val="22"/>
                <w:lang w:val="es-ES"/>
              </w:rPr>
              <w:t xml:space="preserve"> </w:t>
            </w:r>
            <w:r w:rsidRPr="00BF57A3">
              <w:rPr>
                <w:sz w:val="22"/>
                <w:szCs w:val="22"/>
                <w:lang w:val="es-ES"/>
              </w:rPr>
              <w:t>ataksija, glavobolja, senzorni poremećaj, somnolencija,</w:t>
            </w:r>
            <w:r w:rsidRPr="006C640E">
              <w:rPr>
                <w:sz w:val="22"/>
                <w:szCs w:val="22"/>
                <w:lang w:val="es-ES"/>
              </w:rPr>
              <w:t xml:space="preserve"> </w:t>
            </w:r>
            <w:r w:rsidRPr="00BF57A3">
              <w:rPr>
                <w:sz w:val="22"/>
                <w:szCs w:val="22"/>
                <w:lang w:val="es-ES"/>
              </w:rPr>
              <w:t>disgeuzija</w:t>
            </w:r>
          </w:p>
        </w:tc>
        <w:tc>
          <w:tcPr>
            <w:tcW w:w="2552" w:type="dxa"/>
          </w:tcPr>
          <w:p w14:paraId="7DE380B4" w14:textId="77777777" w:rsidR="0099695D" w:rsidRPr="00BF57A3" w:rsidRDefault="0099695D" w:rsidP="006C640E">
            <w:pPr>
              <w:autoSpaceDE w:val="0"/>
              <w:autoSpaceDN w:val="0"/>
              <w:adjustRightInd w:val="0"/>
              <w:jc w:val="both"/>
              <w:rPr>
                <w:i/>
                <w:sz w:val="22"/>
                <w:szCs w:val="22"/>
                <w:lang w:val="es-ES"/>
              </w:rPr>
            </w:pPr>
          </w:p>
        </w:tc>
        <w:tc>
          <w:tcPr>
            <w:tcW w:w="2835" w:type="dxa"/>
          </w:tcPr>
          <w:p w14:paraId="1BCD678A" w14:textId="77777777" w:rsidR="0099695D" w:rsidRPr="00BF57A3" w:rsidRDefault="0099695D" w:rsidP="006C640E">
            <w:pPr>
              <w:autoSpaceDE w:val="0"/>
              <w:autoSpaceDN w:val="0"/>
              <w:adjustRightInd w:val="0"/>
              <w:jc w:val="both"/>
              <w:rPr>
                <w:i/>
                <w:sz w:val="22"/>
                <w:szCs w:val="22"/>
                <w:lang w:val="es-ES"/>
              </w:rPr>
            </w:pPr>
            <w:r w:rsidRPr="00BF57A3">
              <w:rPr>
                <w:sz w:val="22"/>
                <w:szCs w:val="22"/>
                <w:lang w:val="es-ES"/>
              </w:rPr>
              <w:t>Vrtoglavica, glavobolja, disgeuzija</w:t>
            </w:r>
          </w:p>
        </w:tc>
      </w:tr>
      <w:tr w:rsidR="0099695D" w:rsidRPr="00BF57A3" w14:paraId="53EB1FAC" w14:textId="77777777" w:rsidTr="000E0B31">
        <w:trPr>
          <w:cantSplit/>
        </w:trPr>
        <w:tc>
          <w:tcPr>
            <w:tcW w:w="1555" w:type="dxa"/>
            <w:vAlign w:val="center"/>
          </w:tcPr>
          <w:p w14:paraId="3D124D4F" w14:textId="77777777" w:rsidR="0099695D" w:rsidRPr="00BF57A3" w:rsidRDefault="0099695D" w:rsidP="006C640E">
            <w:pPr>
              <w:autoSpaceDE w:val="0"/>
              <w:autoSpaceDN w:val="0"/>
              <w:adjustRightInd w:val="0"/>
              <w:jc w:val="both"/>
              <w:rPr>
                <w:i/>
                <w:sz w:val="22"/>
                <w:szCs w:val="22"/>
                <w:lang w:val="es-ES"/>
              </w:rPr>
            </w:pPr>
            <w:r w:rsidRPr="00BF57A3">
              <w:rPr>
                <w:i/>
                <w:sz w:val="22"/>
                <w:szCs w:val="22"/>
                <w:lang w:val="es-ES"/>
              </w:rPr>
              <w:t>Povremena</w:t>
            </w:r>
            <w:r w:rsidRPr="00BF57A3">
              <w:rPr>
                <w:sz w:val="22"/>
                <w:szCs w:val="22"/>
                <w:lang w:val="es-ES"/>
              </w:rPr>
              <w:t>:</w:t>
            </w:r>
          </w:p>
        </w:tc>
        <w:tc>
          <w:tcPr>
            <w:tcW w:w="2976" w:type="dxa"/>
            <w:vAlign w:val="center"/>
          </w:tcPr>
          <w:p w14:paraId="022CAE7D" w14:textId="77777777" w:rsidR="0099695D" w:rsidRPr="00BF57A3" w:rsidDel="0099695D" w:rsidRDefault="0099695D" w:rsidP="006C640E">
            <w:pPr>
              <w:autoSpaceDE w:val="0"/>
              <w:autoSpaceDN w:val="0"/>
              <w:adjustRightInd w:val="0"/>
              <w:jc w:val="both"/>
              <w:rPr>
                <w:sz w:val="22"/>
                <w:szCs w:val="22"/>
                <w:lang w:val="es-ES"/>
              </w:rPr>
            </w:pPr>
            <w:r w:rsidRPr="00BF57A3">
              <w:rPr>
                <w:sz w:val="22"/>
                <w:szCs w:val="22"/>
                <w:lang w:val="es-ES"/>
              </w:rPr>
              <w:t>Polineuropatija, arefleksija, sinkopa, posturalna vrtoglavica, diskinezija, hiporefleksija, neuralgija, neuropatski bol, tremor</w:t>
            </w:r>
            <w:r w:rsidRPr="006C640E">
              <w:rPr>
                <w:sz w:val="22"/>
                <w:szCs w:val="22"/>
                <w:lang w:val="es-ES"/>
              </w:rPr>
              <w:t>,</w:t>
            </w:r>
            <w:r w:rsidRPr="00BF57A3">
              <w:rPr>
                <w:sz w:val="22"/>
                <w:szCs w:val="22"/>
                <w:lang w:val="es-ES"/>
              </w:rPr>
              <w:t>gubitak čula</w:t>
            </w:r>
          </w:p>
        </w:tc>
        <w:tc>
          <w:tcPr>
            <w:tcW w:w="2552" w:type="dxa"/>
          </w:tcPr>
          <w:p w14:paraId="072E9C46" w14:textId="77777777" w:rsidR="0099695D" w:rsidRPr="00BF57A3" w:rsidRDefault="0099695D" w:rsidP="006C640E">
            <w:pPr>
              <w:autoSpaceDE w:val="0"/>
              <w:autoSpaceDN w:val="0"/>
              <w:adjustRightInd w:val="0"/>
              <w:jc w:val="both"/>
              <w:rPr>
                <w:i/>
                <w:sz w:val="22"/>
                <w:szCs w:val="22"/>
                <w:lang w:val="es-ES"/>
              </w:rPr>
            </w:pPr>
            <w:r w:rsidRPr="00BF57A3">
              <w:rPr>
                <w:sz w:val="22"/>
                <w:szCs w:val="22"/>
              </w:rPr>
              <w:t>Paraliza VII. nerva</w:t>
            </w:r>
          </w:p>
        </w:tc>
        <w:tc>
          <w:tcPr>
            <w:tcW w:w="2835" w:type="dxa"/>
          </w:tcPr>
          <w:p w14:paraId="222DD903" w14:textId="77777777" w:rsidR="0099695D" w:rsidRPr="00BF57A3" w:rsidRDefault="0099695D" w:rsidP="006C640E">
            <w:pPr>
              <w:autoSpaceDE w:val="0"/>
              <w:autoSpaceDN w:val="0"/>
              <w:adjustRightInd w:val="0"/>
              <w:jc w:val="both"/>
              <w:rPr>
                <w:i/>
                <w:sz w:val="22"/>
                <w:szCs w:val="22"/>
                <w:lang w:val="es-ES"/>
              </w:rPr>
            </w:pPr>
          </w:p>
        </w:tc>
      </w:tr>
      <w:tr w:rsidR="0099695D" w:rsidRPr="00BF57A3" w14:paraId="12B79D97" w14:textId="77777777" w:rsidTr="000E0B31">
        <w:trPr>
          <w:cantSplit/>
        </w:trPr>
        <w:tc>
          <w:tcPr>
            <w:tcW w:w="1555" w:type="dxa"/>
            <w:vAlign w:val="center"/>
          </w:tcPr>
          <w:p w14:paraId="7E2AE109" w14:textId="77777777" w:rsidR="0099695D" w:rsidRPr="00BF57A3" w:rsidRDefault="0099695D" w:rsidP="006C640E">
            <w:pPr>
              <w:autoSpaceDE w:val="0"/>
              <w:autoSpaceDN w:val="0"/>
              <w:adjustRightInd w:val="0"/>
              <w:jc w:val="both"/>
              <w:rPr>
                <w:sz w:val="22"/>
                <w:szCs w:val="22"/>
              </w:rPr>
            </w:pPr>
            <w:r w:rsidRPr="00BF57A3">
              <w:rPr>
                <w:i/>
                <w:sz w:val="22"/>
                <w:szCs w:val="22"/>
                <w:lang w:val="es-ES"/>
              </w:rPr>
              <w:t>Nepoznata:</w:t>
            </w:r>
          </w:p>
        </w:tc>
        <w:tc>
          <w:tcPr>
            <w:tcW w:w="2976" w:type="dxa"/>
            <w:vAlign w:val="center"/>
          </w:tcPr>
          <w:p w14:paraId="4E080CCE" w14:textId="77777777" w:rsidR="0099695D" w:rsidRPr="00BF57A3" w:rsidRDefault="0099695D" w:rsidP="006C640E">
            <w:pPr>
              <w:autoSpaceDE w:val="0"/>
              <w:autoSpaceDN w:val="0"/>
              <w:adjustRightInd w:val="0"/>
              <w:jc w:val="both"/>
              <w:rPr>
                <w:i/>
                <w:sz w:val="22"/>
                <w:szCs w:val="22"/>
                <w:vertAlign w:val="superscript"/>
              </w:rPr>
            </w:pPr>
            <w:r w:rsidRPr="00BF57A3">
              <w:rPr>
                <w:sz w:val="22"/>
                <w:szCs w:val="22"/>
                <w:lang w:val="es-ES"/>
              </w:rPr>
              <w:t>Paraliza kranijalnih nerava višestruka</w:t>
            </w:r>
            <w:r w:rsidRPr="00BF57A3">
              <w:rPr>
                <w:sz w:val="22"/>
                <w:szCs w:val="22"/>
                <w:vertAlign w:val="superscript"/>
                <w:lang w:val="es-ES"/>
              </w:rPr>
              <w:t>1</w:t>
            </w:r>
          </w:p>
        </w:tc>
        <w:tc>
          <w:tcPr>
            <w:tcW w:w="2552" w:type="dxa"/>
          </w:tcPr>
          <w:p w14:paraId="25E02277" w14:textId="77777777" w:rsidR="0099695D" w:rsidRPr="00BF57A3" w:rsidRDefault="0099695D" w:rsidP="006C640E">
            <w:pPr>
              <w:autoSpaceDE w:val="0"/>
              <w:autoSpaceDN w:val="0"/>
              <w:adjustRightInd w:val="0"/>
              <w:jc w:val="both"/>
              <w:rPr>
                <w:i/>
                <w:sz w:val="22"/>
                <w:szCs w:val="22"/>
              </w:rPr>
            </w:pPr>
          </w:p>
        </w:tc>
        <w:tc>
          <w:tcPr>
            <w:tcW w:w="2835" w:type="dxa"/>
          </w:tcPr>
          <w:p w14:paraId="2296EABA" w14:textId="77777777" w:rsidR="0099695D" w:rsidRPr="00BF57A3" w:rsidRDefault="0099695D" w:rsidP="006C640E">
            <w:pPr>
              <w:autoSpaceDE w:val="0"/>
              <w:autoSpaceDN w:val="0"/>
              <w:adjustRightInd w:val="0"/>
              <w:jc w:val="both"/>
              <w:rPr>
                <w:i/>
                <w:sz w:val="22"/>
                <w:szCs w:val="22"/>
              </w:rPr>
            </w:pPr>
          </w:p>
        </w:tc>
      </w:tr>
      <w:tr w:rsidR="0099695D" w:rsidRPr="00BF57A3" w14:paraId="1C5196D5" w14:textId="77777777" w:rsidTr="00E9313F">
        <w:trPr>
          <w:cantSplit/>
        </w:trPr>
        <w:tc>
          <w:tcPr>
            <w:tcW w:w="9918" w:type="dxa"/>
            <w:gridSpan w:val="4"/>
            <w:vAlign w:val="center"/>
          </w:tcPr>
          <w:p w14:paraId="2925704A" w14:textId="77777777" w:rsidR="0099695D" w:rsidRPr="00BF57A3" w:rsidRDefault="0099695D" w:rsidP="006C640E">
            <w:pPr>
              <w:autoSpaceDE w:val="0"/>
              <w:autoSpaceDN w:val="0"/>
              <w:adjustRightInd w:val="0"/>
              <w:jc w:val="both"/>
              <w:rPr>
                <w:i/>
                <w:sz w:val="22"/>
                <w:szCs w:val="22"/>
              </w:rPr>
            </w:pPr>
            <w:r w:rsidRPr="00BF57A3">
              <w:rPr>
                <w:b/>
                <w:color w:val="000000"/>
                <w:sz w:val="22"/>
                <w:szCs w:val="22"/>
              </w:rPr>
              <w:t>Poremećaji na nivou oka</w:t>
            </w:r>
          </w:p>
        </w:tc>
      </w:tr>
      <w:tr w:rsidR="008878C8" w:rsidRPr="00BF57A3" w14:paraId="6AB244A7" w14:textId="77777777" w:rsidTr="000E0B31">
        <w:trPr>
          <w:cantSplit/>
        </w:trPr>
        <w:tc>
          <w:tcPr>
            <w:tcW w:w="1555" w:type="dxa"/>
            <w:vAlign w:val="center"/>
          </w:tcPr>
          <w:p w14:paraId="01143BF4" w14:textId="77777777" w:rsidR="008878C8" w:rsidRPr="00BF57A3" w:rsidRDefault="0099770B" w:rsidP="006C640E">
            <w:pPr>
              <w:autoSpaceDE w:val="0"/>
              <w:autoSpaceDN w:val="0"/>
              <w:adjustRightInd w:val="0"/>
              <w:jc w:val="both"/>
              <w:rPr>
                <w:sz w:val="22"/>
                <w:szCs w:val="22"/>
              </w:rPr>
            </w:pPr>
            <w:r w:rsidRPr="00BF57A3">
              <w:rPr>
                <w:i/>
                <w:sz w:val="22"/>
                <w:szCs w:val="22"/>
              </w:rPr>
              <w:t>Česta:</w:t>
            </w:r>
            <w:r w:rsidRPr="00BF57A3">
              <w:rPr>
                <w:sz w:val="22"/>
                <w:szCs w:val="22"/>
              </w:rPr>
              <w:t xml:space="preserve"> </w:t>
            </w:r>
          </w:p>
        </w:tc>
        <w:tc>
          <w:tcPr>
            <w:tcW w:w="2976" w:type="dxa"/>
            <w:vAlign w:val="center"/>
          </w:tcPr>
          <w:p w14:paraId="004CB990" w14:textId="77777777" w:rsidR="008878C8" w:rsidRPr="00BF57A3" w:rsidRDefault="007268B1" w:rsidP="006C640E">
            <w:pPr>
              <w:autoSpaceDE w:val="0"/>
              <w:autoSpaceDN w:val="0"/>
              <w:adjustRightInd w:val="0"/>
              <w:jc w:val="both"/>
              <w:rPr>
                <w:i/>
                <w:sz w:val="22"/>
                <w:szCs w:val="22"/>
                <w:lang w:val="es-ES"/>
              </w:rPr>
            </w:pPr>
            <w:r w:rsidRPr="00BF57A3">
              <w:rPr>
                <w:sz w:val="22"/>
                <w:szCs w:val="22"/>
                <w:lang w:val="es-ES"/>
              </w:rPr>
              <w:t>Zamućen vid</w:t>
            </w:r>
            <w:r w:rsidRPr="00BF57A3">
              <w:rPr>
                <w:i/>
                <w:sz w:val="22"/>
                <w:szCs w:val="22"/>
                <w:lang w:val="es-ES"/>
              </w:rPr>
              <w:t xml:space="preserve">, </w:t>
            </w:r>
            <w:r w:rsidR="008878C8" w:rsidRPr="00BF57A3">
              <w:rPr>
                <w:sz w:val="22"/>
                <w:szCs w:val="22"/>
                <w:lang w:val="es-ES"/>
              </w:rPr>
              <w:t xml:space="preserve">pojačano suzenje, suvo oko, keratokonjunktivitis sicca, madaroza </w:t>
            </w:r>
          </w:p>
        </w:tc>
        <w:tc>
          <w:tcPr>
            <w:tcW w:w="2552" w:type="dxa"/>
          </w:tcPr>
          <w:p w14:paraId="1A778C74" w14:textId="77777777" w:rsidR="008878C8" w:rsidRPr="00BF57A3" w:rsidRDefault="00006CB4" w:rsidP="006C640E">
            <w:pPr>
              <w:autoSpaceDE w:val="0"/>
              <w:autoSpaceDN w:val="0"/>
              <w:adjustRightInd w:val="0"/>
              <w:jc w:val="both"/>
              <w:rPr>
                <w:i/>
                <w:sz w:val="22"/>
                <w:szCs w:val="22"/>
                <w:lang w:val="es-ES"/>
              </w:rPr>
            </w:pPr>
            <w:r w:rsidRPr="00BF57A3">
              <w:rPr>
                <w:sz w:val="22"/>
                <w:szCs w:val="22"/>
                <w:lang w:val="es-ES"/>
              </w:rPr>
              <w:t>Pojačano suzenje</w:t>
            </w:r>
          </w:p>
        </w:tc>
        <w:tc>
          <w:tcPr>
            <w:tcW w:w="2835" w:type="dxa"/>
          </w:tcPr>
          <w:p w14:paraId="7753F386" w14:textId="77777777" w:rsidR="008878C8" w:rsidRPr="00BF57A3" w:rsidRDefault="00006CB4" w:rsidP="006C640E">
            <w:pPr>
              <w:autoSpaceDE w:val="0"/>
              <w:autoSpaceDN w:val="0"/>
              <w:adjustRightInd w:val="0"/>
              <w:jc w:val="both"/>
              <w:rPr>
                <w:i/>
                <w:sz w:val="22"/>
                <w:szCs w:val="22"/>
                <w:lang w:val="es-ES"/>
              </w:rPr>
            </w:pPr>
            <w:r w:rsidRPr="00BF57A3">
              <w:rPr>
                <w:sz w:val="22"/>
                <w:szCs w:val="22"/>
                <w:lang w:val="es-ES"/>
              </w:rPr>
              <w:t>Zamućen vid</w:t>
            </w:r>
          </w:p>
        </w:tc>
      </w:tr>
      <w:tr w:rsidR="0099770B" w:rsidRPr="00BF57A3" w14:paraId="505CCF9A" w14:textId="77777777" w:rsidTr="0099695D">
        <w:trPr>
          <w:cantSplit/>
        </w:trPr>
        <w:tc>
          <w:tcPr>
            <w:tcW w:w="1555" w:type="dxa"/>
            <w:vAlign w:val="center"/>
          </w:tcPr>
          <w:p w14:paraId="5400A6F0" w14:textId="77777777" w:rsidR="0099770B" w:rsidRPr="00BF57A3" w:rsidDel="0099695D" w:rsidRDefault="0099770B" w:rsidP="006C640E">
            <w:pPr>
              <w:autoSpaceDE w:val="0"/>
              <w:autoSpaceDN w:val="0"/>
              <w:adjustRightInd w:val="0"/>
              <w:jc w:val="both"/>
              <w:rPr>
                <w:sz w:val="22"/>
                <w:szCs w:val="22"/>
              </w:rPr>
            </w:pPr>
            <w:r w:rsidRPr="00BF57A3">
              <w:rPr>
                <w:i/>
                <w:sz w:val="22"/>
                <w:szCs w:val="22"/>
              </w:rPr>
              <w:t>Povremena</w:t>
            </w:r>
            <w:r w:rsidRPr="00BF57A3">
              <w:rPr>
                <w:sz w:val="22"/>
                <w:szCs w:val="22"/>
              </w:rPr>
              <w:t>:</w:t>
            </w:r>
          </w:p>
        </w:tc>
        <w:tc>
          <w:tcPr>
            <w:tcW w:w="2976" w:type="dxa"/>
            <w:vAlign w:val="center"/>
          </w:tcPr>
          <w:p w14:paraId="38113116" w14:textId="77777777" w:rsidR="0099770B" w:rsidRPr="00BF57A3" w:rsidRDefault="007268B1" w:rsidP="006C640E">
            <w:pPr>
              <w:autoSpaceDE w:val="0"/>
              <w:autoSpaceDN w:val="0"/>
              <w:adjustRightInd w:val="0"/>
              <w:jc w:val="both"/>
              <w:rPr>
                <w:sz w:val="22"/>
                <w:szCs w:val="22"/>
              </w:rPr>
            </w:pPr>
            <w:r w:rsidRPr="00BF57A3">
              <w:rPr>
                <w:sz w:val="22"/>
                <w:szCs w:val="22"/>
              </w:rPr>
              <w:t>Smanjena vidna oštrina,  abnormalni vid, iritacija oka, bol u oku</w:t>
            </w:r>
            <w:r w:rsidR="0099770B" w:rsidRPr="00BF57A3">
              <w:rPr>
                <w:sz w:val="22"/>
                <w:szCs w:val="22"/>
              </w:rPr>
              <w:t xml:space="preserve">, konjunktivitis, poremećaji vida, svrab oka, keratitis </w:t>
            </w:r>
          </w:p>
        </w:tc>
        <w:tc>
          <w:tcPr>
            <w:tcW w:w="2552" w:type="dxa"/>
          </w:tcPr>
          <w:p w14:paraId="0694E20D" w14:textId="77777777" w:rsidR="0099770B" w:rsidRPr="00BF57A3" w:rsidRDefault="00006CB4" w:rsidP="006C640E">
            <w:pPr>
              <w:autoSpaceDE w:val="0"/>
              <w:autoSpaceDN w:val="0"/>
              <w:adjustRightInd w:val="0"/>
              <w:jc w:val="both"/>
              <w:rPr>
                <w:i/>
                <w:sz w:val="22"/>
                <w:szCs w:val="22"/>
              </w:rPr>
            </w:pPr>
            <w:r w:rsidRPr="00BF57A3">
              <w:rPr>
                <w:color w:val="000000"/>
                <w:sz w:val="22"/>
                <w:szCs w:val="22"/>
              </w:rPr>
              <w:t>Cistoidni makularni edem</w:t>
            </w:r>
          </w:p>
        </w:tc>
        <w:tc>
          <w:tcPr>
            <w:tcW w:w="2835" w:type="dxa"/>
          </w:tcPr>
          <w:p w14:paraId="18B0C406" w14:textId="77777777" w:rsidR="0099770B" w:rsidRPr="00BF57A3" w:rsidRDefault="0099770B" w:rsidP="006C640E">
            <w:pPr>
              <w:autoSpaceDE w:val="0"/>
              <w:autoSpaceDN w:val="0"/>
              <w:adjustRightInd w:val="0"/>
              <w:jc w:val="both"/>
              <w:rPr>
                <w:i/>
                <w:sz w:val="22"/>
                <w:szCs w:val="22"/>
              </w:rPr>
            </w:pPr>
          </w:p>
        </w:tc>
      </w:tr>
      <w:tr w:rsidR="0099770B" w:rsidRPr="00BF57A3" w14:paraId="34E0851B" w14:textId="77777777" w:rsidTr="0099695D">
        <w:trPr>
          <w:cantSplit/>
        </w:trPr>
        <w:tc>
          <w:tcPr>
            <w:tcW w:w="1555" w:type="dxa"/>
            <w:vAlign w:val="center"/>
          </w:tcPr>
          <w:p w14:paraId="13953458" w14:textId="77777777" w:rsidR="0099770B" w:rsidRPr="00BF57A3" w:rsidDel="0099695D" w:rsidRDefault="0099770B" w:rsidP="006C640E">
            <w:pPr>
              <w:autoSpaceDE w:val="0"/>
              <w:autoSpaceDN w:val="0"/>
              <w:adjustRightInd w:val="0"/>
              <w:jc w:val="both"/>
              <w:rPr>
                <w:sz w:val="22"/>
                <w:szCs w:val="22"/>
              </w:rPr>
            </w:pPr>
            <w:r w:rsidRPr="00BF57A3">
              <w:rPr>
                <w:i/>
                <w:sz w:val="22"/>
                <w:szCs w:val="22"/>
              </w:rPr>
              <w:t>Rijetka</w:t>
            </w:r>
            <w:r w:rsidRPr="00BF57A3">
              <w:rPr>
                <w:color w:val="000000"/>
                <w:sz w:val="22"/>
                <w:szCs w:val="22"/>
              </w:rPr>
              <w:t>:</w:t>
            </w:r>
          </w:p>
        </w:tc>
        <w:tc>
          <w:tcPr>
            <w:tcW w:w="2976" w:type="dxa"/>
            <w:vAlign w:val="center"/>
          </w:tcPr>
          <w:p w14:paraId="5E05CEF0" w14:textId="77777777" w:rsidR="0099770B" w:rsidRPr="00BF57A3" w:rsidRDefault="007268B1" w:rsidP="006C640E">
            <w:pPr>
              <w:autoSpaceDE w:val="0"/>
              <w:autoSpaceDN w:val="0"/>
              <w:adjustRightInd w:val="0"/>
              <w:jc w:val="both"/>
              <w:rPr>
                <w:i/>
                <w:sz w:val="22"/>
                <w:szCs w:val="22"/>
              </w:rPr>
            </w:pPr>
            <w:r w:rsidRPr="00BF57A3">
              <w:rPr>
                <w:color w:val="000000"/>
                <w:sz w:val="22"/>
                <w:szCs w:val="22"/>
              </w:rPr>
              <w:t>C</w:t>
            </w:r>
            <w:r w:rsidR="0099770B" w:rsidRPr="00BF57A3">
              <w:rPr>
                <w:color w:val="000000"/>
                <w:sz w:val="22"/>
                <w:szCs w:val="22"/>
              </w:rPr>
              <w:t>istoidni makularni edem</w:t>
            </w:r>
            <w:r w:rsidRPr="00BF57A3">
              <w:rPr>
                <w:color w:val="000000"/>
                <w:sz w:val="22"/>
                <w:szCs w:val="22"/>
                <w:vertAlign w:val="superscript"/>
              </w:rPr>
              <w:t>1</w:t>
            </w:r>
            <w:r w:rsidR="00C82BC3" w:rsidRPr="00BF57A3">
              <w:rPr>
                <w:color w:val="000000"/>
                <w:sz w:val="22"/>
                <w:szCs w:val="22"/>
                <w:vertAlign w:val="superscript"/>
              </w:rPr>
              <w:t>,4</w:t>
            </w:r>
          </w:p>
        </w:tc>
        <w:tc>
          <w:tcPr>
            <w:tcW w:w="2552" w:type="dxa"/>
          </w:tcPr>
          <w:p w14:paraId="1FE0A528" w14:textId="77777777" w:rsidR="0099770B" w:rsidRPr="00BF57A3" w:rsidRDefault="0099770B" w:rsidP="006C640E">
            <w:pPr>
              <w:autoSpaceDE w:val="0"/>
              <w:autoSpaceDN w:val="0"/>
              <w:adjustRightInd w:val="0"/>
              <w:jc w:val="both"/>
              <w:rPr>
                <w:i/>
                <w:sz w:val="22"/>
                <w:szCs w:val="22"/>
              </w:rPr>
            </w:pPr>
          </w:p>
        </w:tc>
        <w:tc>
          <w:tcPr>
            <w:tcW w:w="2835" w:type="dxa"/>
          </w:tcPr>
          <w:p w14:paraId="082CAC74" w14:textId="77777777" w:rsidR="0099770B" w:rsidRPr="00BF57A3" w:rsidRDefault="0099770B" w:rsidP="006C640E">
            <w:pPr>
              <w:autoSpaceDE w:val="0"/>
              <w:autoSpaceDN w:val="0"/>
              <w:adjustRightInd w:val="0"/>
              <w:jc w:val="both"/>
              <w:rPr>
                <w:i/>
                <w:sz w:val="22"/>
                <w:szCs w:val="22"/>
              </w:rPr>
            </w:pPr>
          </w:p>
        </w:tc>
      </w:tr>
      <w:tr w:rsidR="00EB2D8C" w:rsidRPr="00BF57A3" w14:paraId="709B742F" w14:textId="77777777" w:rsidTr="00E9313F">
        <w:trPr>
          <w:cantSplit/>
        </w:trPr>
        <w:tc>
          <w:tcPr>
            <w:tcW w:w="9918" w:type="dxa"/>
            <w:gridSpan w:val="4"/>
            <w:vAlign w:val="center"/>
          </w:tcPr>
          <w:p w14:paraId="245F21AB" w14:textId="77777777" w:rsidR="00EB2D8C" w:rsidRPr="00BF57A3" w:rsidRDefault="00EB2D8C" w:rsidP="006C640E">
            <w:pPr>
              <w:autoSpaceDE w:val="0"/>
              <w:autoSpaceDN w:val="0"/>
              <w:adjustRightInd w:val="0"/>
              <w:jc w:val="both"/>
              <w:rPr>
                <w:i/>
                <w:sz w:val="22"/>
                <w:szCs w:val="22"/>
                <w:lang w:val="es-ES"/>
              </w:rPr>
            </w:pPr>
            <w:r w:rsidRPr="00BF57A3">
              <w:rPr>
                <w:b/>
                <w:color w:val="000000"/>
                <w:sz w:val="22"/>
                <w:szCs w:val="22"/>
                <w:lang w:val="es-ES"/>
              </w:rPr>
              <w:t>Poremećaji na nivou uha i centra za ravnotežu</w:t>
            </w:r>
          </w:p>
        </w:tc>
      </w:tr>
      <w:tr w:rsidR="008878C8" w:rsidRPr="00BF57A3" w14:paraId="265E636A" w14:textId="77777777" w:rsidTr="000E0B31">
        <w:trPr>
          <w:cantSplit/>
        </w:trPr>
        <w:tc>
          <w:tcPr>
            <w:tcW w:w="1555" w:type="dxa"/>
            <w:vAlign w:val="center"/>
          </w:tcPr>
          <w:p w14:paraId="16C531D4" w14:textId="77777777" w:rsidR="008878C8" w:rsidRPr="00BF57A3" w:rsidRDefault="00EB2D8C" w:rsidP="006C640E">
            <w:pPr>
              <w:autoSpaceDE w:val="0"/>
              <w:autoSpaceDN w:val="0"/>
              <w:adjustRightInd w:val="0"/>
              <w:jc w:val="both"/>
              <w:rPr>
                <w:sz w:val="22"/>
                <w:szCs w:val="22"/>
                <w:lang w:val="it-IT"/>
              </w:rPr>
            </w:pPr>
            <w:r w:rsidRPr="00BF57A3">
              <w:rPr>
                <w:i/>
                <w:sz w:val="22"/>
                <w:szCs w:val="22"/>
                <w:lang w:val="es-ES"/>
              </w:rPr>
              <w:t>Česta</w:t>
            </w:r>
            <w:r w:rsidRPr="00BF57A3">
              <w:rPr>
                <w:sz w:val="22"/>
                <w:szCs w:val="22"/>
                <w:lang w:val="es-ES"/>
              </w:rPr>
              <w:t xml:space="preserve">: </w:t>
            </w:r>
          </w:p>
        </w:tc>
        <w:tc>
          <w:tcPr>
            <w:tcW w:w="2976" w:type="dxa"/>
            <w:vAlign w:val="center"/>
          </w:tcPr>
          <w:p w14:paraId="26154425" w14:textId="77777777" w:rsidR="008878C8" w:rsidRPr="00BF57A3" w:rsidRDefault="00EB2D8C" w:rsidP="006C640E">
            <w:pPr>
              <w:autoSpaceDE w:val="0"/>
              <w:autoSpaceDN w:val="0"/>
              <w:adjustRightInd w:val="0"/>
              <w:jc w:val="both"/>
              <w:rPr>
                <w:sz w:val="22"/>
                <w:szCs w:val="22"/>
                <w:lang w:val="es-ES"/>
              </w:rPr>
            </w:pPr>
            <w:r w:rsidRPr="00BF57A3">
              <w:rPr>
                <w:sz w:val="22"/>
                <w:szCs w:val="22"/>
                <w:lang w:val="es-ES"/>
              </w:rPr>
              <w:t>V</w:t>
            </w:r>
            <w:r w:rsidR="008878C8" w:rsidRPr="00BF57A3">
              <w:rPr>
                <w:sz w:val="22"/>
                <w:szCs w:val="22"/>
                <w:lang w:val="es-ES"/>
              </w:rPr>
              <w:t>ertigo</w:t>
            </w:r>
          </w:p>
        </w:tc>
        <w:tc>
          <w:tcPr>
            <w:tcW w:w="2552" w:type="dxa"/>
          </w:tcPr>
          <w:p w14:paraId="18E406C7" w14:textId="77777777" w:rsidR="008878C8" w:rsidRPr="00BF57A3" w:rsidRDefault="008878C8" w:rsidP="006C640E">
            <w:pPr>
              <w:autoSpaceDE w:val="0"/>
              <w:autoSpaceDN w:val="0"/>
              <w:adjustRightInd w:val="0"/>
              <w:jc w:val="both"/>
              <w:rPr>
                <w:i/>
                <w:sz w:val="22"/>
                <w:szCs w:val="22"/>
                <w:lang w:val="es-ES"/>
              </w:rPr>
            </w:pPr>
          </w:p>
        </w:tc>
        <w:tc>
          <w:tcPr>
            <w:tcW w:w="2835" w:type="dxa"/>
          </w:tcPr>
          <w:p w14:paraId="7EE4B0C5" w14:textId="77777777" w:rsidR="008878C8" w:rsidRPr="00BF57A3" w:rsidRDefault="008878C8" w:rsidP="006C640E">
            <w:pPr>
              <w:autoSpaceDE w:val="0"/>
              <w:autoSpaceDN w:val="0"/>
              <w:adjustRightInd w:val="0"/>
              <w:jc w:val="both"/>
              <w:rPr>
                <w:i/>
                <w:sz w:val="22"/>
                <w:szCs w:val="22"/>
                <w:lang w:val="es-ES"/>
              </w:rPr>
            </w:pPr>
          </w:p>
        </w:tc>
      </w:tr>
      <w:tr w:rsidR="00EB2D8C" w:rsidRPr="00BF57A3" w14:paraId="15954F0C" w14:textId="77777777" w:rsidTr="0099695D">
        <w:trPr>
          <w:cantSplit/>
        </w:trPr>
        <w:tc>
          <w:tcPr>
            <w:tcW w:w="1555" w:type="dxa"/>
            <w:vAlign w:val="center"/>
          </w:tcPr>
          <w:p w14:paraId="0E189814" w14:textId="77777777" w:rsidR="00EB2D8C" w:rsidRPr="00BF57A3" w:rsidRDefault="00EB2D8C" w:rsidP="006C640E">
            <w:pPr>
              <w:autoSpaceDE w:val="0"/>
              <w:autoSpaceDN w:val="0"/>
              <w:adjustRightInd w:val="0"/>
              <w:jc w:val="both"/>
              <w:rPr>
                <w:i/>
                <w:sz w:val="22"/>
                <w:szCs w:val="22"/>
                <w:lang w:val="es-ES"/>
              </w:rPr>
            </w:pPr>
            <w:r w:rsidRPr="00BF57A3">
              <w:rPr>
                <w:i/>
                <w:sz w:val="22"/>
                <w:szCs w:val="22"/>
                <w:lang w:val="es-ES"/>
              </w:rPr>
              <w:t>Povremena</w:t>
            </w:r>
            <w:r w:rsidRPr="00BF57A3">
              <w:rPr>
                <w:sz w:val="22"/>
                <w:szCs w:val="22"/>
                <w:lang w:val="es-ES"/>
              </w:rPr>
              <w:t>:</w:t>
            </w:r>
          </w:p>
        </w:tc>
        <w:tc>
          <w:tcPr>
            <w:tcW w:w="2976" w:type="dxa"/>
            <w:vAlign w:val="center"/>
          </w:tcPr>
          <w:p w14:paraId="608EDE14" w14:textId="77777777" w:rsidR="00EB2D8C" w:rsidRPr="00BF57A3" w:rsidDel="00EB2D8C" w:rsidRDefault="00EB2D8C" w:rsidP="006C640E">
            <w:pPr>
              <w:autoSpaceDE w:val="0"/>
              <w:autoSpaceDN w:val="0"/>
              <w:adjustRightInd w:val="0"/>
              <w:jc w:val="both"/>
              <w:rPr>
                <w:i/>
                <w:sz w:val="22"/>
                <w:szCs w:val="22"/>
                <w:lang w:val="es-ES"/>
              </w:rPr>
            </w:pPr>
            <w:r w:rsidRPr="00BF57A3">
              <w:rPr>
                <w:sz w:val="22"/>
                <w:szCs w:val="22"/>
                <w:lang w:val="es-ES"/>
              </w:rPr>
              <w:t>Tinitus, bol u uhu</w:t>
            </w:r>
          </w:p>
        </w:tc>
        <w:tc>
          <w:tcPr>
            <w:tcW w:w="2552" w:type="dxa"/>
          </w:tcPr>
          <w:p w14:paraId="63EA828D" w14:textId="77777777" w:rsidR="00EB2D8C" w:rsidRPr="00BF57A3" w:rsidRDefault="00EB2D8C" w:rsidP="006C640E">
            <w:pPr>
              <w:autoSpaceDE w:val="0"/>
              <w:autoSpaceDN w:val="0"/>
              <w:adjustRightInd w:val="0"/>
              <w:jc w:val="both"/>
              <w:rPr>
                <w:i/>
                <w:sz w:val="22"/>
                <w:szCs w:val="22"/>
                <w:lang w:val="es-ES"/>
              </w:rPr>
            </w:pPr>
          </w:p>
        </w:tc>
        <w:tc>
          <w:tcPr>
            <w:tcW w:w="2835" w:type="dxa"/>
          </w:tcPr>
          <w:p w14:paraId="369F3A88" w14:textId="77777777" w:rsidR="00EB2D8C" w:rsidRPr="00BF57A3" w:rsidRDefault="00EB2D8C" w:rsidP="006C640E">
            <w:pPr>
              <w:autoSpaceDE w:val="0"/>
              <w:autoSpaceDN w:val="0"/>
              <w:adjustRightInd w:val="0"/>
              <w:jc w:val="both"/>
              <w:rPr>
                <w:i/>
                <w:sz w:val="22"/>
                <w:szCs w:val="22"/>
                <w:lang w:val="es-ES"/>
              </w:rPr>
            </w:pPr>
          </w:p>
        </w:tc>
      </w:tr>
      <w:tr w:rsidR="00AF2CC5" w:rsidRPr="00BF57A3" w14:paraId="35B0A3B7" w14:textId="77777777" w:rsidTr="00E9313F">
        <w:trPr>
          <w:cantSplit/>
        </w:trPr>
        <w:tc>
          <w:tcPr>
            <w:tcW w:w="9918" w:type="dxa"/>
            <w:gridSpan w:val="4"/>
            <w:vAlign w:val="center"/>
          </w:tcPr>
          <w:p w14:paraId="1C063875" w14:textId="77777777" w:rsidR="00AF2CC5" w:rsidRPr="00BF57A3" w:rsidRDefault="00AF2CC5" w:rsidP="006C640E">
            <w:pPr>
              <w:autoSpaceDE w:val="0"/>
              <w:autoSpaceDN w:val="0"/>
              <w:adjustRightInd w:val="0"/>
              <w:jc w:val="both"/>
              <w:rPr>
                <w:i/>
                <w:sz w:val="22"/>
                <w:szCs w:val="22"/>
              </w:rPr>
            </w:pPr>
            <w:r w:rsidRPr="00BF57A3">
              <w:rPr>
                <w:b/>
                <w:color w:val="000000"/>
                <w:sz w:val="22"/>
                <w:szCs w:val="22"/>
              </w:rPr>
              <w:t>Kardiološki poremećaji</w:t>
            </w:r>
          </w:p>
        </w:tc>
      </w:tr>
      <w:tr w:rsidR="008878C8" w:rsidRPr="00BF57A3" w14:paraId="71FE2ABA" w14:textId="77777777" w:rsidTr="00AF2CC5">
        <w:trPr>
          <w:cantSplit/>
        </w:trPr>
        <w:tc>
          <w:tcPr>
            <w:tcW w:w="1555" w:type="dxa"/>
            <w:vAlign w:val="center"/>
          </w:tcPr>
          <w:p w14:paraId="54857AB2" w14:textId="77777777" w:rsidR="008878C8" w:rsidRPr="00BF57A3" w:rsidRDefault="00AF2CC5" w:rsidP="006C640E">
            <w:pPr>
              <w:autoSpaceDE w:val="0"/>
              <w:autoSpaceDN w:val="0"/>
              <w:adjustRightInd w:val="0"/>
              <w:jc w:val="both"/>
              <w:rPr>
                <w:sz w:val="22"/>
                <w:szCs w:val="22"/>
              </w:rPr>
            </w:pPr>
            <w:r w:rsidRPr="00BF57A3">
              <w:rPr>
                <w:i/>
                <w:sz w:val="22"/>
                <w:szCs w:val="22"/>
              </w:rPr>
              <w:t>Česta</w:t>
            </w:r>
            <w:r w:rsidRPr="00BF57A3">
              <w:rPr>
                <w:sz w:val="22"/>
                <w:szCs w:val="22"/>
              </w:rPr>
              <w:t xml:space="preserve">: </w:t>
            </w:r>
          </w:p>
        </w:tc>
        <w:tc>
          <w:tcPr>
            <w:tcW w:w="2976" w:type="dxa"/>
            <w:vAlign w:val="center"/>
          </w:tcPr>
          <w:p w14:paraId="1FC0E8FD" w14:textId="77777777" w:rsidR="008878C8" w:rsidRPr="00BF57A3" w:rsidRDefault="00AF2CC5" w:rsidP="006C640E">
            <w:pPr>
              <w:autoSpaceDE w:val="0"/>
              <w:autoSpaceDN w:val="0"/>
              <w:adjustRightInd w:val="0"/>
              <w:jc w:val="both"/>
              <w:rPr>
                <w:sz w:val="22"/>
                <w:szCs w:val="22"/>
              </w:rPr>
            </w:pPr>
            <w:r w:rsidRPr="00BF57A3">
              <w:rPr>
                <w:sz w:val="22"/>
                <w:szCs w:val="22"/>
              </w:rPr>
              <w:t>A</w:t>
            </w:r>
            <w:r w:rsidR="008878C8" w:rsidRPr="00BF57A3">
              <w:rPr>
                <w:sz w:val="22"/>
                <w:szCs w:val="22"/>
              </w:rPr>
              <w:t xml:space="preserve">ritmija, </w:t>
            </w:r>
            <w:r w:rsidRPr="00BF57A3">
              <w:rPr>
                <w:sz w:val="22"/>
                <w:szCs w:val="22"/>
              </w:rPr>
              <w:t>tahikardija,</w:t>
            </w:r>
            <w:r w:rsidR="008878C8" w:rsidRPr="00BF57A3">
              <w:rPr>
                <w:sz w:val="22"/>
                <w:szCs w:val="22"/>
              </w:rPr>
              <w:t>supraventrikularna tahikardija</w:t>
            </w:r>
          </w:p>
        </w:tc>
        <w:tc>
          <w:tcPr>
            <w:tcW w:w="2552" w:type="dxa"/>
          </w:tcPr>
          <w:p w14:paraId="46B70215" w14:textId="77777777" w:rsidR="008878C8" w:rsidRPr="00BF57A3" w:rsidRDefault="00AF64F9" w:rsidP="006C640E">
            <w:pPr>
              <w:autoSpaceDE w:val="0"/>
              <w:autoSpaceDN w:val="0"/>
              <w:adjustRightInd w:val="0"/>
              <w:jc w:val="both"/>
              <w:rPr>
                <w:i/>
                <w:sz w:val="22"/>
                <w:szCs w:val="22"/>
                <w:lang w:val="es-ES"/>
              </w:rPr>
            </w:pPr>
            <w:r w:rsidRPr="00BF57A3">
              <w:rPr>
                <w:sz w:val="22"/>
                <w:szCs w:val="22"/>
              </w:rPr>
              <w:t>Kongestivna insuficijencija srca, tahikardija</w:t>
            </w:r>
            <w:r w:rsidRPr="00BF57A3">
              <w:rPr>
                <w:i/>
                <w:sz w:val="22"/>
                <w:szCs w:val="22"/>
                <w:lang w:val="es-ES"/>
              </w:rPr>
              <w:t xml:space="preserve">  </w:t>
            </w:r>
          </w:p>
        </w:tc>
        <w:tc>
          <w:tcPr>
            <w:tcW w:w="2835" w:type="dxa"/>
          </w:tcPr>
          <w:p w14:paraId="75D7C71A" w14:textId="77777777" w:rsidR="008878C8" w:rsidRPr="00BF57A3" w:rsidRDefault="008878C8" w:rsidP="006C640E">
            <w:pPr>
              <w:autoSpaceDE w:val="0"/>
              <w:autoSpaceDN w:val="0"/>
              <w:adjustRightInd w:val="0"/>
              <w:jc w:val="both"/>
              <w:rPr>
                <w:i/>
                <w:sz w:val="22"/>
                <w:szCs w:val="22"/>
                <w:lang w:val="es-ES"/>
              </w:rPr>
            </w:pPr>
          </w:p>
        </w:tc>
      </w:tr>
      <w:tr w:rsidR="00AF2CC5" w:rsidRPr="00BF57A3" w14:paraId="73FAA846" w14:textId="77777777" w:rsidTr="00AF2CC5">
        <w:trPr>
          <w:cantSplit/>
        </w:trPr>
        <w:tc>
          <w:tcPr>
            <w:tcW w:w="1555" w:type="dxa"/>
            <w:vAlign w:val="center"/>
          </w:tcPr>
          <w:p w14:paraId="3EBA0C32" w14:textId="77777777" w:rsidR="00AF2CC5" w:rsidRPr="00BF57A3" w:rsidRDefault="00AF2CC5" w:rsidP="006C640E">
            <w:pPr>
              <w:autoSpaceDE w:val="0"/>
              <w:autoSpaceDN w:val="0"/>
              <w:adjustRightInd w:val="0"/>
              <w:jc w:val="both"/>
              <w:rPr>
                <w:i/>
                <w:sz w:val="22"/>
                <w:szCs w:val="22"/>
              </w:rPr>
            </w:pPr>
            <w:r w:rsidRPr="00BF57A3">
              <w:rPr>
                <w:i/>
                <w:sz w:val="22"/>
                <w:szCs w:val="22"/>
              </w:rPr>
              <w:t>Rijetka:</w:t>
            </w:r>
          </w:p>
        </w:tc>
        <w:tc>
          <w:tcPr>
            <w:tcW w:w="2976" w:type="dxa"/>
            <w:vAlign w:val="center"/>
          </w:tcPr>
          <w:p w14:paraId="02729FED" w14:textId="577D4A72" w:rsidR="00AF2CC5" w:rsidRPr="00BF57A3" w:rsidDel="00AF2CC5" w:rsidRDefault="00AF2CC5" w:rsidP="006C640E">
            <w:pPr>
              <w:autoSpaceDE w:val="0"/>
              <w:autoSpaceDN w:val="0"/>
              <w:adjustRightInd w:val="0"/>
              <w:jc w:val="both"/>
              <w:rPr>
                <w:i/>
                <w:sz w:val="22"/>
                <w:szCs w:val="22"/>
              </w:rPr>
            </w:pPr>
            <w:r w:rsidRPr="00BF57A3">
              <w:rPr>
                <w:color w:val="000000"/>
                <w:sz w:val="22"/>
                <w:szCs w:val="22"/>
              </w:rPr>
              <w:t>Srčani zastoj, kongestivna srčana insuficijencija, disfunkcija lijeve komore,  atrioventrikularni blok</w:t>
            </w:r>
            <w:r w:rsidRPr="00BF57A3">
              <w:rPr>
                <w:color w:val="000000"/>
                <w:sz w:val="22"/>
                <w:szCs w:val="22"/>
                <w:vertAlign w:val="superscript"/>
              </w:rPr>
              <w:t xml:space="preserve">1 </w:t>
            </w:r>
            <w:r w:rsidRPr="00BF57A3">
              <w:rPr>
                <w:color w:val="000000"/>
                <w:sz w:val="22"/>
                <w:szCs w:val="22"/>
              </w:rPr>
              <w:t xml:space="preserve"> </w:t>
            </w:r>
            <w:r w:rsidR="00511C3B">
              <w:rPr>
                <w:color w:val="000000"/>
                <w:sz w:val="22"/>
                <w:szCs w:val="22"/>
              </w:rPr>
              <w:t xml:space="preserve">, </w:t>
            </w:r>
            <w:r w:rsidRPr="00BF57A3">
              <w:rPr>
                <w:color w:val="000000"/>
                <w:sz w:val="22"/>
                <w:szCs w:val="22"/>
              </w:rPr>
              <w:t>bradikardija</w:t>
            </w:r>
          </w:p>
        </w:tc>
        <w:tc>
          <w:tcPr>
            <w:tcW w:w="2552" w:type="dxa"/>
          </w:tcPr>
          <w:p w14:paraId="026DFEB3" w14:textId="77777777" w:rsidR="00AF2CC5" w:rsidRPr="00BF57A3" w:rsidRDefault="00AF2CC5" w:rsidP="006C640E">
            <w:pPr>
              <w:autoSpaceDE w:val="0"/>
              <w:autoSpaceDN w:val="0"/>
              <w:adjustRightInd w:val="0"/>
              <w:jc w:val="both"/>
              <w:rPr>
                <w:i/>
                <w:sz w:val="22"/>
                <w:szCs w:val="22"/>
              </w:rPr>
            </w:pPr>
          </w:p>
        </w:tc>
        <w:tc>
          <w:tcPr>
            <w:tcW w:w="2835" w:type="dxa"/>
          </w:tcPr>
          <w:p w14:paraId="50D0C3F7" w14:textId="77777777" w:rsidR="00AF2CC5" w:rsidRPr="00BF57A3" w:rsidRDefault="00AF2CC5" w:rsidP="006C640E">
            <w:pPr>
              <w:autoSpaceDE w:val="0"/>
              <w:autoSpaceDN w:val="0"/>
              <w:adjustRightInd w:val="0"/>
              <w:jc w:val="both"/>
              <w:rPr>
                <w:i/>
                <w:sz w:val="22"/>
                <w:szCs w:val="22"/>
              </w:rPr>
            </w:pPr>
          </w:p>
        </w:tc>
      </w:tr>
      <w:tr w:rsidR="00AF64F9" w:rsidRPr="00BF57A3" w14:paraId="63E956D8" w14:textId="77777777" w:rsidTr="00E9313F">
        <w:trPr>
          <w:cantSplit/>
        </w:trPr>
        <w:tc>
          <w:tcPr>
            <w:tcW w:w="9918" w:type="dxa"/>
            <w:gridSpan w:val="4"/>
            <w:vAlign w:val="center"/>
          </w:tcPr>
          <w:p w14:paraId="72167DE9" w14:textId="77777777" w:rsidR="00AF64F9" w:rsidRPr="00BF57A3" w:rsidRDefault="00AF64F9" w:rsidP="006C640E">
            <w:pPr>
              <w:autoSpaceDE w:val="0"/>
              <w:autoSpaceDN w:val="0"/>
              <w:adjustRightInd w:val="0"/>
              <w:jc w:val="both"/>
              <w:rPr>
                <w:i/>
                <w:sz w:val="22"/>
                <w:szCs w:val="22"/>
                <w:lang w:val="es-ES"/>
              </w:rPr>
            </w:pPr>
            <w:r w:rsidRPr="00BF57A3">
              <w:rPr>
                <w:b/>
                <w:color w:val="000000"/>
                <w:sz w:val="22"/>
                <w:szCs w:val="22"/>
              </w:rPr>
              <w:t>Vaskularni poremećaji</w:t>
            </w:r>
          </w:p>
        </w:tc>
      </w:tr>
      <w:tr w:rsidR="008878C8" w:rsidRPr="00BF57A3" w14:paraId="230B3C87" w14:textId="77777777" w:rsidTr="00AF2CC5">
        <w:trPr>
          <w:cantSplit/>
        </w:trPr>
        <w:tc>
          <w:tcPr>
            <w:tcW w:w="1555" w:type="dxa"/>
            <w:vAlign w:val="center"/>
          </w:tcPr>
          <w:p w14:paraId="09B57869" w14:textId="77777777" w:rsidR="008878C8" w:rsidRPr="00BF57A3" w:rsidRDefault="00AF64F9" w:rsidP="006C640E">
            <w:pPr>
              <w:autoSpaceDE w:val="0"/>
              <w:autoSpaceDN w:val="0"/>
              <w:adjustRightInd w:val="0"/>
              <w:jc w:val="both"/>
              <w:rPr>
                <w:sz w:val="22"/>
                <w:szCs w:val="22"/>
              </w:rPr>
            </w:pPr>
            <w:r w:rsidRPr="00BF57A3">
              <w:rPr>
                <w:i/>
                <w:sz w:val="22"/>
                <w:szCs w:val="22"/>
                <w:lang w:val="es-ES"/>
              </w:rPr>
              <w:t>Česta</w:t>
            </w:r>
            <w:r w:rsidRPr="00BF57A3">
              <w:rPr>
                <w:sz w:val="22"/>
                <w:szCs w:val="22"/>
                <w:lang w:val="es-ES"/>
              </w:rPr>
              <w:t xml:space="preserve">: </w:t>
            </w:r>
          </w:p>
        </w:tc>
        <w:tc>
          <w:tcPr>
            <w:tcW w:w="2976" w:type="dxa"/>
            <w:vAlign w:val="center"/>
          </w:tcPr>
          <w:p w14:paraId="11D902C1" w14:textId="77777777" w:rsidR="008878C8" w:rsidRPr="00BF57A3" w:rsidRDefault="00A6216F" w:rsidP="006C640E">
            <w:pPr>
              <w:autoSpaceDE w:val="0"/>
              <w:autoSpaceDN w:val="0"/>
              <w:adjustRightInd w:val="0"/>
              <w:jc w:val="both"/>
              <w:rPr>
                <w:sz w:val="22"/>
                <w:szCs w:val="22"/>
                <w:lang w:val="es-ES"/>
              </w:rPr>
            </w:pPr>
            <w:r w:rsidRPr="00BF57A3">
              <w:rPr>
                <w:sz w:val="22"/>
                <w:szCs w:val="22"/>
                <w:lang w:val="es-ES"/>
              </w:rPr>
              <w:t>H</w:t>
            </w:r>
            <w:r w:rsidR="008878C8" w:rsidRPr="00BF57A3">
              <w:rPr>
                <w:sz w:val="22"/>
                <w:szCs w:val="22"/>
                <w:lang w:val="es-ES"/>
              </w:rPr>
              <w:t>ipertenzija, limfedem</w:t>
            </w:r>
            <w:r w:rsidR="00AF64F9" w:rsidRPr="006C640E">
              <w:rPr>
                <w:sz w:val="22"/>
                <w:szCs w:val="22"/>
                <w:lang w:val="es-ES"/>
              </w:rPr>
              <w:t xml:space="preserve">, </w:t>
            </w:r>
            <w:r w:rsidR="00AF64F9" w:rsidRPr="00BF57A3">
              <w:rPr>
                <w:sz w:val="22"/>
                <w:szCs w:val="22"/>
                <w:lang w:val="es-ES"/>
              </w:rPr>
              <w:t>crvenilo uz osjećaj vrućine, navale vrućine</w:t>
            </w:r>
          </w:p>
        </w:tc>
        <w:tc>
          <w:tcPr>
            <w:tcW w:w="2552" w:type="dxa"/>
          </w:tcPr>
          <w:p w14:paraId="4D4B58D7" w14:textId="77777777" w:rsidR="008878C8" w:rsidRPr="00BF57A3" w:rsidRDefault="00AF64F9" w:rsidP="006C640E">
            <w:pPr>
              <w:autoSpaceDE w:val="0"/>
              <w:autoSpaceDN w:val="0"/>
              <w:adjustRightInd w:val="0"/>
              <w:jc w:val="both"/>
              <w:rPr>
                <w:i/>
                <w:sz w:val="22"/>
                <w:szCs w:val="22"/>
                <w:lang w:val="es-ES"/>
              </w:rPr>
            </w:pPr>
            <w:r w:rsidRPr="00BF57A3">
              <w:rPr>
                <w:sz w:val="22"/>
                <w:szCs w:val="22"/>
                <w:lang w:val="es-ES"/>
              </w:rPr>
              <w:t>Hipotenzija, hipertenzija</w:t>
            </w:r>
          </w:p>
        </w:tc>
        <w:tc>
          <w:tcPr>
            <w:tcW w:w="2835" w:type="dxa"/>
          </w:tcPr>
          <w:p w14:paraId="5E9C08D2" w14:textId="77777777" w:rsidR="008878C8" w:rsidRPr="00BF57A3" w:rsidRDefault="00AF64F9" w:rsidP="006C640E">
            <w:pPr>
              <w:autoSpaceDE w:val="0"/>
              <w:autoSpaceDN w:val="0"/>
              <w:adjustRightInd w:val="0"/>
              <w:jc w:val="both"/>
              <w:rPr>
                <w:i/>
                <w:sz w:val="22"/>
                <w:szCs w:val="22"/>
                <w:lang w:val="es-ES"/>
              </w:rPr>
            </w:pPr>
            <w:r w:rsidRPr="00BF57A3">
              <w:rPr>
                <w:sz w:val="22"/>
                <w:szCs w:val="22"/>
                <w:lang w:val="es-ES"/>
              </w:rPr>
              <w:t>Hipotenzija, hipertenzija</w:t>
            </w:r>
          </w:p>
        </w:tc>
      </w:tr>
      <w:tr w:rsidR="00AF64F9" w:rsidRPr="00BF57A3" w14:paraId="7F620AA4" w14:textId="77777777" w:rsidTr="00AF2CC5">
        <w:trPr>
          <w:cantSplit/>
        </w:trPr>
        <w:tc>
          <w:tcPr>
            <w:tcW w:w="1555" w:type="dxa"/>
            <w:vAlign w:val="center"/>
          </w:tcPr>
          <w:p w14:paraId="011DD187" w14:textId="77777777" w:rsidR="00AF64F9" w:rsidRPr="00BF57A3" w:rsidRDefault="00AF64F9" w:rsidP="006C640E">
            <w:pPr>
              <w:autoSpaceDE w:val="0"/>
              <w:autoSpaceDN w:val="0"/>
              <w:adjustRightInd w:val="0"/>
              <w:jc w:val="both"/>
              <w:rPr>
                <w:i/>
                <w:sz w:val="22"/>
                <w:szCs w:val="22"/>
                <w:lang w:val="es-ES"/>
              </w:rPr>
            </w:pPr>
            <w:r w:rsidRPr="00BF57A3">
              <w:rPr>
                <w:i/>
                <w:sz w:val="22"/>
                <w:szCs w:val="22"/>
                <w:lang w:val="es-ES"/>
              </w:rPr>
              <w:lastRenderedPageBreak/>
              <w:t>Povremena</w:t>
            </w:r>
            <w:r w:rsidRPr="00BF57A3">
              <w:rPr>
                <w:sz w:val="22"/>
                <w:szCs w:val="22"/>
                <w:lang w:val="es-ES"/>
              </w:rPr>
              <w:t>:</w:t>
            </w:r>
          </w:p>
        </w:tc>
        <w:tc>
          <w:tcPr>
            <w:tcW w:w="2976" w:type="dxa"/>
            <w:vAlign w:val="center"/>
          </w:tcPr>
          <w:p w14:paraId="6FFBCA48" w14:textId="77777777" w:rsidR="00AF64F9" w:rsidRPr="00BF57A3" w:rsidDel="00AF64F9" w:rsidRDefault="00AF64F9" w:rsidP="006C640E">
            <w:pPr>
              <w:autoSpaceDE w:val="0"/>
              <w:autoSpaceDN w:val="0"/>
              <w:adjustRightInd w:val="0"/>
              <w:jc w:val="both"/>
              <w:rPr>
                <w:sz w:val="22"/>
                <w:szCs w:val="22"/>
                <w:lang w:val="es-ES"/>
              </w:rPr>
            </w:pPr>
            <w:r w:rsidRPr="00BF57A3">
              <w:rPr>
                <w:sz w:val="22"/>
                <w:szCs w:val="22"/>
                <w:lang w:val="es-ES"/>
              </w:rPr>
              <w:t>Hipotenzija, ortostatska hipotenzija,</w:t>
            </w:r>
            <w:r w:rsidRPr="006C640E">
              <w:rPr>
                <w:sz w:val="22"/>
                <w:szCs w:val="22"/>
                <w:lang w:val="es-ES"/>
              </w:rPr>
              <w:t xml:space="preserve"> </w:t>
            </w:r>
            <w:r w:rsidRPr="00BF57A3">
              <w:rPr>
                <w:sz w:val="22"/>
                <w:szCs w:val="22"/>
                <w:lang w:val="es-ES"/>
              </w:rPr>
              <w:t>periferna hladnoća</w:t>
            </w:r>
          </w:p>
        </w:tc>
        <w:tc>
          <w:tcPr>
            <w:tcW w:w="2552" w:type="dxa"/>
          </w:tcPr>
          <w:p w14:paraId="298C2CBC" w14:textId="77777777" w:rsidR="00AF64F9" w:rsidRPr="00BF57A3" w:rsidRDefault="00662930" w:rsidP="006C640E">
            <w:pPr>
              <w:autoSpaceDE w:val="0"/>
              <w:autoSpaceDN w:val="0"/>
              <w:adjustRightInd w:val="0"/>
              <w:jc w:val="both"/>
              <w:rPr>
                <w:i/>
                <w:sz w:val="22"/>
                <w:szCs w:val="22"/>
                <w:lang w:val="es-ES"/>
              </w:rPr>
            </w:pPr>
            <w:r w:rsidRPr="00BF57A3">
              <w:rPr>
                <w:sz w:val="22"/>
                <w:szCs w:val="22"/>
                <w:lang w:val="es-ES"/>
              </w:rPr>
              <w:t>C</w:t>
            </w:r>
            <w:r w:rsidR="00AF64F9" w:rsidRPr="00BF57A3">
              <w:rPr>
                <w:sz w:val="22"/>
                <w:szCs w:val="22"/>
                <w:lang w:val="es-ES"/>
              </w:rPr>
              <w:t>rvenilo uz osjećaj vrućine</w:t>
            </w:r>
          </w:p>
        </w:tc>
        <w:tc>
          <w:tcPr>
            <w:tcW w:w="2835" w:type="dxa"/>
          </w:tcPr>
          <w:p w14:paraId="019D01FD" w14:textId="77777777" w:rsidR="00AF64F9" w:rsidRPr="00BF57A3" w:rsidRDefault="00662930" w:rsidP="006C640E">
            <w:pPr>
              <w:autoSpaceDE w:val="0"/>
              <w:autoSpaceDN w:val="0"/>
              <w:adjustRightInd w:val="0"/>
              <w:jc w:val="both"/>
              <w:rPr>
                <w:i/>
                <w:sz w:val="22"/>
                <w:szCs w:val="22"/>
                <w:lang w:val="es-ES"/>
              </w:rPr>
            </w:pPr>
            <w:r w:rsidRPr="00BF57A3">
              <w:rPr>
                <w:sz w:val="22"/>
                <w:szCs w:val="22"/>
                <w:lang w:val="es-ES"/>
              </w:rPr>
              <w:t>C</w:t>
            </w:r>
            <w:r w:rsidR="00AF64F9" w:rsidRPr="00BF57A3">
              <w:rPr>
                <w:sz w:val="22"/>
                <w:szCs w:val="22"/>
                <w:lang w:val="es-ES"/>
              </w:rPr>
              <w:t>rvenilo uz osjećaj vrućine,</w:t>
            </w:r>
          </w:p>
        </w:tc>
      </w:tr>
      <w:tr w:rsidR="00AF64F9" w:rsidRPr="00BF57A3" w14:paraId="5D6526AC" w14:textId="77777777" w:rsidTr="00AF2CC5">
        <w:trPr>
          <w:cantSplit/>
        </w:trPr>
        <w:tc>
          <w:tcPr>
            <w:tcW w:w="1555" w:type="dxa"/>
            <w:vAlign w:val="center"/>
          </w:tcPr>
          <w:p w14:paraId="6F3F3D92" w14:textId="77777777" w:rsidR="00AF64F9" w:rsidRPr="00BF57A3" w:rsidRDefault="00AF64F9" w:rsidP="006C640E">
            <w:pPr>
              <w:autoSpaceDE w:val="0"/>
              <w:autoSpaceDN w:val="0"/>
              <w:adjustRightInd w:val="0"/>
              <w:jc w:val="both"/>
              <w:rPr>
                <w:i/>
                <w:sz w:val="22"/>
                <w:szCs w:val="22"/>
                <w:lang w:val="es-ES"/>
              </w:rPr>
            </w:pPr>
            <w:r w:rsidRPr="00BF57A3">
              <w:rPr>
                <w:i/>
                <w:sz w:val="22"/>
                <w:szCs w:val="22"/>
              </w:rPr>
              <w:t>Rijetka:</w:t>
            </w:r>
          </w:p>
        </w:tc>
        <w:tc>
          <w:tcPr>
            <w:tcW w:w="2976" w:type="dxa"/>
            <w:vAlign w:val="center"/>
          </w:tcPr>
          <w:p w14:paraId="682A097D" w14:textId="77777777" w:rsidR="00AF64F9" w:rsidRPr="00BF57A3" w:rsidDel="00AF64F9" w:rsidRDefault="00662930" w:rsidP="006C640E">
            <w:pPr>
              <w:autoSpaceDE w:val="0"/>
              <w:autoSpaceDN w:val="0"/>
              <w:adjustRightInd w:val="0"/>
              <w:jc w:val="both"/>
              <w:rPr>
                <w:sz w:val="22"/>
                <w:szCs w:val="22"/>
                <w:lang w:val="es-ES"/>
              </w:rPr>
            </w:pPr>
            <w:r w:rsidRPr="00BF57A3">
              <w:rPr>
                <w:sz w:val="22"/>
                <w:szCs w:val="22"/>
                <w:lang w:val="es-ES"/>
              </w:rPr>
              <w:t>T</w:t>
            </w:r>
            <w:r w:rsidR="00AF64F9" w:rsidRPr="00BF57A3">
              <w:rPr>
                <w:sz w:val="22"/>
                <w:szCs w:val="22"/>
                <w:lang w:val="es-ES"/>
              </w:rPr>
              <w:t>romboza</w:t>
            </w:r>
          </w:p>
        </w:tc>
        <w:tc>
          <w:tcPr>
            <w:tcW w:w="2552" w:type="dxa"/>
          </w:tcPr>
          <w:p w14:paraId="2FBAFF91" w14:textId="77777777" w:rsidR="00AF64F9" w:rsidRPr="00BF57A3" w:rsidRDefault="00AF64F9" w:rsidP="006C640E">
            <w:pPr>
              <w:autoSpaceDE w:val="0"/>
              <w:autoSpaceDN w:val="0"/>
              <w:adjustRightInd w:val="0"/>
              <w:jc w:val="both"/>
              <w:rPr>
                <w:i/>
                <w:sz w:val="22"/>
                <w:szCs w:val="22"/>
                <w:lang w:val="es-ES"/>
              </w:rPr>
            </w:pPr>
          </w:p>
        </w:tc>
        <w:tc>
          <w:tcPr>
            <w:tcW w:w="2835" w:type="dxa"/>
          </w:tcPr>
          <w:p w14:paraId="33EB1A85" w14:textId="77777777" w:rsidR="00AF64F9" w:rsidRPr="00BF57A3" w:rsidRDefault="00AF64F9" w:rsidP="006C640E">
            <w:pPr>
              <w:autoSpaceDE w:val="0"/>
              <w:autoSpaceDN w:val="0"/>
              <w:adjustRightInd w:val="0"/>
              <w:jc w:val="both"/>
              <w:rPr>
                <w:i/>
                <w:sz w:val="22"/>
                <w:szCs w:val="22"/>
                <w:lang w:val="es-ES"/>
              </w:rPr>
            </w:pPr>
          </w:p>
        </w:tc>
      </w:tr>
      <w:tr w:rsidR="006A4D39" w:rsidRPr="00BF57A3" w14:paraId="129332B6" w14:textId="77777777" w:rsidTr="00E9313F">
        <w:trPr>
          <w:cantSplit/>
        </w:trPr>
        <w:tc>
          <w:tcPr>
            <w:tcW w:w="9918" w:type="dxa"/>
            <w:gridSpan w:val="4"/>
            <w:vAlign w:val="center"/>
          </w:tcPr>
          <w:p w14:paraId="0C8983D5" w14:textId="77777777" w:rsidR="006A4D39" w:rsidRPr="00BF57A3" w:rsidRDefault="006A4D39" w:rsidP="006C640E">
            <w:pPr>
              <w:autoSpaceDE w:val="0"/>
              <w:autoSpaceDN w:val="0"/>
              <w:adjustRightInd w:val="0"/>
              <w:jc w:val="both"/>
              <w:rPr>
                <w:i/>
                <w:sz w:val="22"/>
                <w:szCs w:val="22"/>
                <w:lang w:val="it-IT"/>
              </w:rPr>
            </w:pPr>
            <w:r w:rsidRPr="00BF57A3">
              <w:rPr>
                <w:b/>
                <w:color w:val="000000"/>
                <w:sz w:val="22"/>
                <w:szCs w:val="22"/>
                <w:lang w:val="es-ES"/>
              </w:rPr>
              <w:t>Respiratorni, torakalni i medijastinalni poremećaji</w:t>
            </w:r>
          </w:p>
        </w:tc>
      </w:tr>
      <w:tr w:rsidR="006A4D39" w:rsidRPr="00BF57A3" w14:paraId="004A6A6D" w14:textId="77777777" w:rsidTr="00AF2CC5">
        <w:trPr>
          <w:cantSplit/>
        </w:trPr>
        <w:tc>
          <w:tcPr>
            <w:tcW w:w="1555" w:type="dxa"/>
            <w:vAlign w:val="center"/>
          </w:tcPr>
          <w:p w14:paraId="340D29AA" w14:textId="77777777" w:rsidR="006A4D39" w:rsidRPr="00BF57A3" w:rsidRDefault="006A4D39" w:rsidP="006C640E">
            <w:pPr>
              <w:autoSpaceDE w:val="0"/>
              <w:autoSpaceDN w:val="0"/>
              <w:adjustRightInd w:val="0"/>
              <w:jc w:val="both"/>
              <w:rPr>
                <w:i/>
                <w:sz w:val="22"/>
                <w:szCs w:val="22"/>
                <w:lang w:val="it-IT"/>
              </w:rPr>
            </w:pPr>
            <w:r w:rsidRPr="00BF57A3">
              <w:rPr>
                <w:i/>
                <w:sz w:val="22"/>
                <w:szCs w:val="22"/>
                <w:lang w:val="it-IT"/>
              </w:rPr>
              <w:t>Veoma česta:</w:t>
            </w:r>
          </w:p>
        </w:tc>
        <w:tc>
          <w:tcPr>
            <w:tcW w:w="2976" w:type="dxa"/>
            <w:vAlign w:val="center"/>
          </w:tcPr>
          <w:p w14:paraId="78042569" w14:textId="77777777" w:rsidR="006A4D39" w:rsidRPr="00BF57A3" w:rsidDel="006A4D39" w:rsidRDefault="006A4D39" w:rsidP="006C640E">
            <w:pPr>
              <w:autoSpaceDE w:val="0"/>
              <w:autoSpaceDN w:val="0"/>
              <w:adjustRightInd w:val="0"/>
              <w:jc w:val="both"/>
              <w:rPr>
                <w:i/>
                <w:sz w:val="22"/>
                <w:szCs w:val="22"/>
                <w:lang w:val="it-IT"/>
              </w:rPr>
            </w:pPr>
          </w:p>
        </w:tc>
        <w:tc>
          <w:tcPr>
            <w:tcW w:w="2552" w:type="dxa"/>
          </w:tcPr>
          <w:p w14:paraId="521C385C" w14:textId="77777777" w:rsidR="006A4D39" w:rsidRPr="00BF57A3" w:rsidRDefault="00081A4E" w:rsidP="006C640E">
            <w:pPr>
              <w:autoSpaceDE w:val="0"/>
              <w:autoSpaceDN w:val="0"/>
              <w:adjustRightInd w:val="0"/>
              <w:jc w:val="both"/>
              <w:rPr>
                <w:i/>
                <w:sz w:val="22"/>
                <w:szCs w:val="22"/>
                <w:lang w:val="it-IT"/>
              </w:rPr>
            </w:pPr>
            <w:r w:rsidRPr="00BF57A3">
              <w:rPr>
                <w:sz w:val="22"/>
                <w:szCs w:val="22"/>
                <w:lang w:val="it-IT"/>
              </w:rPr>
              <w:t>Dispneja, epistaksa, kašalj</w:t>
            </w:r>
          </w:p>
        </w:tc>
        <w:tc>
          <w:tcPr>
            <w:tcW w:w="2835" w:type="dxa"/>
          </w:tcPr>
          <w:p w14:paraId="1FAB0E25" w14:textId="77777777" w:rsidR="006A4D39" w:rsidRPr="00BF57A3" w:rsidRDefault="00081A4E" w:rsidP="006C640E">
            <w:pPr>
              <w:autoSpaceDE w:val="0"/>
              <w:autoSpaceDN w:val="0"/>
              <w:adjustRightInd w:val="0"/>
              <w:jc w:val="both"/>
              <w:rPr>
                <w:i/>
                <w:sz w:val="22"/>
                <w:szCs w:val="22"/>
                <w:lang w:val="it-IT"/>
              </w:rPr>
            </w:pPr>
            <w:r w:rsidRPr="00BF57A3">
              <w:rPr>
                <w:sz w:val="22"/>
                <w:szCs w:val="22"/>
                <w:lang w:val="it-IT"/>
              </w:rPr>
              <w:t>Dispneja</w:t>
            </w:r>
          </w:p>
        </w:tc>
      </w:tr>
      <w:tr w:rsidR="008878C8" w:rsidRPr="00BF57A3" w14:paraId="6FAAD674" w14:textId="77777777" w:rsidTr="00AF2CC5">
        <w:trPr>
          <w:cantSplit/>
        </w:trPr>
        <w:tc>
          <w:tcPr>
            <w:tcW w:w="1555" w:type="dxa"/>
            <w:vAlign w:val="center"/>
          </w:tcPr>
          <w:p w14:paraId="41E187ED" w14:textId="77777777" w:rsidR="008878C8" w:rsidRPr="00BF57A3" w:rsidRDefault="006A4D39" w:rsidP="006C640E">
            <w:pPr>
              <w:autoSpaceDE w:val="0"/>
              <w:autoSpaceDN w:val="0"/>
              <w:adjustRightInd w:val="0"/>
              <w:jc w:val="both"/>
              <w:rPr>
                <w:sz w:val="22"/>
                <w:szCs w:val="22"/>
                <w:lang w:val="it-IT"/>
              </w:rPr>
            </w:pPr>
            <w:r w:rsidRPr="00BF57A3">
              <w:rPr>
                <w:i/>
                <w:sz w:val="22"/>
                <w:szCs w:val="22"/>
                <w:lang w:val="it-IT"/>
              </w:rPr>
              <w:t>Česta</w:t>
            </w:r>
            <w:r w:rsidRPr="00BF57A3">
              <w:rPr>
                <w:sz w:val="22"/>
                <w:szCs w:val="22"/>
                <w:lang w:val="it-IT"/>
              </w:rPr>
              <w:t xml:space="preserve">: </w:t>
            </w:r>
          </w:p>
        </w:tc>
        <w:tc>
          <w:tcPr>
            <w:tcW w:w="2976" w:type="dxa"/>
            <w:vAlign w:val="center"/>
          </w:tcPr>
          <w:p w14:paraId="04286F03" w14:textId="77777777" w:rsidR="008878C8" w:rsidRPr="00BF57A3" w:rsidRDefault="006A4D39" w:rsidP="006C640E">
            <w:pPr>
              <w:autoSpaceDE w:val="0"/>
              <w:autoSpaceDN w:val="0"/>
              <w:adjustRightInd w:val="0"/>
              <w:jc w:val="both"/>
              <w:rPr>
                <w:sz w:val="22"/>
                <w:szCs w:val="22"/>
                <w:lang w:val="it-IT"/>
              </w:rPr>
            </w:pPr>
            <w:r w:rsidRPr="00BF57A3">
              <w:rPr>
                <w:sz w:val="22"/>
                <w:szCs w:val="22"/>
                <w:lang w:val="it-IT"/>
              </w:rPr>
              <w:t>I</w:t>
            </w:r>
            <w:r w:rsidR="008878C8" w:rsidRPr="00BF57A3">
              <w:rPr>
                <w:sz w:val="22"/>
                <w:szCs w:val="22"/>
                <w:lang w:val="it-IT"/>
              </w:rPr>
              <w:t>ntersticijalni pneumonitis</w:t>
            </w:r>
            <w:r w:rsidRPr="00BF57A3">
              <w:rPr>
                <w:sz w:val="22"/>
                <w:szCs w:val="22"/>
                <w:vertAlign w:val="superscript"/>
                <w:lang w:val="it-IT"/>
              </w:rPr>
              <w:t>2</w:t>
            </w:r>
            <w:r w:rsidR="008878C8" w:rsidRPr="00BF57A3">
              <w:rPr>
                <w:sz w:val="22"/>
                <w:szCs w:val="22"/>
                <w:lang w:val="it-IT"/>
              </w:rPr>
              <w:t>, dispneja, epistaksa, faringolaringealni bol, kašalj, rinitis, rinoreja</w:t>
            </w:r>
          </w:p>
        </w:tc>
        <w:tc>
          <w:tcPr>
            <w:tcW w:w="2552" w:type="dxa"/>
          </w:tcPr>
          <w:p w14:paraId="1E3774C6" w14:textId="77777777" w:rsidR="00081A4E" w:rsidRPr="00BF57A3" w:rsidRDefault="00081A4E" w:rsidP="006C640E">
            <w:pPr>
              <w:autoSpaceDE w:val="0"/>
              <w:autoSpaceDN w:val="0"/>
              <w:adjustRightInd w:val="0"/>
              <w:jc w:val="both"/>
              <w:rPr>
                <w:sz w:val="22"/>
                <w:szCs w:val="22"/>
                <w:lang w:val="it-IT"/>
              </w:rPr>
            </w:pPr>
            <w:r w:rsidRPr="00BF57A3">
              <w:rPr>
                <w:sz w:val="22"/>
                <w:szCs w:val="22"/>
                <w:lang w:val="it-IT"/>
              </w:rPr>
              <w:t>Pneumonitis, nazalna kongestija</w:t>
            </w:r>
          </w:p>
          <w:p w14:paraId="508789A0" w14:textId="77777777" w:rsidR="008878C8" w:rsidRPr="00BF57A3" w:rsidRDefault="008878C8" w:rsidP="006C640E">
            <w:pPr>
              <w:autoSpaceDE w:val="0"/>
              <w:autoSpaceDN w:val="0"/>
              <w:adjustRightInd w:val="0"/>
              <w:jc w:val="both"/>
              <w:rPr>
                <w:i/>
                <w:sz w:val="22"/>
                <w:szCs w:val="22"/>
                <w:lang w:val="it-IT"/>
              </w:rPr>
            </w:pPr>
          </w:p>
        </w:tc>
        <w:tc>
          <w:tcPr>
            <w:tcW w:w="2835" w:type="dxa"/>
          </w:tcPr>
          <w:p w14:paraId="7AB793B7" w14:textId="77777777" w:rsidR="008878C8" w:rsidRPr="00BF57A3" w:rsidRDefault="005D3298" w:rsidP="006C640E">
            <w:pPr>
              <w:autoSpaceDE w:val="0"/>
              <w:autoSpaceDN w:val="0"/>
              <w:adjustRightInd w:val="0"/>
              <w:jc w:val="both"/>
              <w:rPr>
                <w:i/>
                <w:sz w:val="22"/>
                <w:szCs w:val="22"/>
                <w:lang w:val="it-IT"/>
              </w:rPr>
            </w:pPr>
            <w:r w:rsidRPr="006C640E">
              <w:rPr>
                <w:sz w:val="22"/>
                <w:szCs w:val="22"/>
              </w:rPr>
              <w:t>Hemoptiza</w:t>
            </w:r>
            <w:r w:rsidRPr="00BF57A3">
              <w:rPr>
                <w:sz w:val="22"/>
                <w:szCs w:val="22"/>
                <w:lang w:val="it-IT"/>
              </w:rPr>
              <w:t>, epistaksa, kašalj</w:t>
            </w:r>
          </w:p>
        </w:tc>
      </w:tr>
      <w:tr w:rsidR="006A4D39" w:rsidRPr="00BF57A3" w14:paraId="7C022D7F" w14:textId="77777777" w:rsidTr="00AF2CC5">
        <w:trPr>
          <w:cantSplit/>
        </w:trPr>
        <w:tc>
          <w:tcPr>
            <w:tcW w:w="1555" w:type="dxa"/>
            <w:vAlign w:val="center"/>
          </w:tcPr>
          <w:p w14:paraId="07F20D77" w14:textId="77777777" w:rsidR="006A4D39" w:rsidRPr="00BF57A3" w:rsidRDefault="006A4D39" w:rsidP="006C640E">
            <w:pPr>
              <w:autoSpaceDE w:val="0"/>
              <w:autoSpaceDN w:val="0"/>
              <w:adjustRightInd w:val="0"/>
              <w:jc w:val="both"/>
              <w:rPr>
                <w:i/>
                <w:sz w:val="22"/>
                <w:szCs w:val="22"/>
                <w:lang w:val="it-IT"/>
              </w:rPr>
            </w:pPr>
            <w:r w:rsidRPr="00BF57A3">
              <w:rPr>
                <w:i/>
                <w:sz w:val="22"/>
                <w:szCs w:val="22"/>
                <w:lang w:val="it-IT"/>
              </w:rPr>
              <w:t>Povremena</w:t>
            </w:r>
            <w:r w:rsidRPr="00BF57A3">
              <w:rPr>
                <w:sz w:val="22"/>
                <w:szCs w:val="22"/>
                <w:lang w:val="it-IT"/>
              </w:rPr>
              <w:t>:</w:t>
            </w:r>
          </w:p>
        </w:tc>
        <w:tc>
          <w:tcPr>
            <w:tcW w:w="2976" w:type="dxa"/>
            <w:vAlign w:val="center"/>
          </w:tcPr>
          <w:p w14:paraId="6BFB424E" w14:textId="77777777" w:rsidR="006A4D39" w:rsidRPr="00BF57A3" w:rsidDel="006A4D39" w:rsidRDefault="006A4D39" w:rsidP="006C640E">
            <w:pPr>
              <w:autoSpaceDE w:val="0"/>
              <w:autoSpaceDN w:val="0"/>
              <w:adjustRightInd w:val="0"/>
              <w:jc w:val="both"/>
              <w:rPr>
                <w:i/>
                <w:sz w:val="22"/>
                <w:szCs w:val="22"/>
                <w:lang w:val="it-IT"/>
              </w:rPr>
            </w:pPr>
            <w:r w:rsidRPr="00BF57A3">
              <w:rPr>
                <w:sz w:val="22"/>
                <w:szCs w:val="22"/>
                <w:lang w:val="it-IT"/>
              </w:rPr>
              <w:t>Plućni embolusi, plućna tromboembolija, pleuralna efuzija,  dispneja pri naporu, kongestija sinusa, manje čujno disanje, produktivni kašalj, alergijski rinitis, promuklost, nazalna kongestija, suvoća nosa, šištanje</w:t>
            </w:r>
          </w:p>
        </w:tc>
        <w:tc>
          <w:tcPr>
            <w:tcW w:w="2552" w:type="dxa"/>
          </w:tcPr>
          <w:p w14:paraId="212B8D65" w14:textId="77777777" w:rsidR="006A4D39" w:rsidRPr="00BF57A3" w:rsidRDefault="00081A4E" w:rsidP="006C640E">
            <w:pPr>
              <w:autoSpaceDE w:val="0"/>
              <w:autoSpaceDN w:val="0"/>
              <w:adjustRightInd w:val="0"/>
              <w:jc w:val="both"/>
              <w:rPr>
                <w:i/>
                <w:sz w:val="22"/>
                <w:szCs w:val="22"/>
                <w:lang w:val="it-IT"/>
              </w:rPr>
            </w:pPr>
            <w:r w:rsidRPr="00BF57A3">
              <w:rPr>
                <w:sz w:val="22"/>
                <w:szCs w:val="22"/>
                <w:lang w:val="it-IT"/>
              </w:rPr>
              <w:t>Suvo grlo, suvoća nosa</w:t>
            </w:r>
          </w:p>
        </w:tc>
        <w:tc>
          <w:tcPr>
            <w:tcW w:w="2835" w:type="dxa"/>
          </w:tcPr>
          <w:p w14:paraId="1EDC1444" w14:textId="77777777" w:rsidR="006A4D39" w:rsidRPr="00BF57A3" w:rsidRDefault="00081A4E" w:rsidP="006C640E">
            <w:pPr>
              <w:autoSpaceDE w:val="0"/>
              <w:autoSpaceDN w:val="0"/>
              <w:adjustRightInd w:val="0"/>
              <w:jc w:val="both"/>
              <w:rPr>
                <w:i/>
                <w:sz w:val="22"/>
                <w:szCs w:val="22"/>
                <w:lang w:val="it-IT"/>
              </w:rPr>
            </w:pPr>
            <w:r w:rsidRPr="00BF57A3">
              <w:rPr>
                <w:sz w:val="22"/>
                <w:szCs w:val="22"/>
                <w:lang w:val="it-IT"/>
              </w:rPr>
              <w:t>Pneumonitis</w:t>
            </w:r>
          </w:p>
        </w:tc>
      </w:tr>
      <w:tr w:rsidR="006A4D39" w:rsidRPr="00BF57A3" w14:paraId="4410380B" w14:textId="77777777" w:rsidTr="00AF2CC5">
        <w:trPr>
          <w:cantSplit/>
        </w:trPr>
        <w:tc>
          <w:tcPr>
            <w:tcW w:w="1555" w:type="dxa"/>
            <w:vAlign w:val="center"/>
          </w:tcPr>
          <w:p w14:paraId="7A985533" w14:textId="77777777" w:rsidR="006A4D39" w:rsidRPr="00BF57A3" w:rsidRDefault="00655EA0" w:rsidP="006C640E">
            <w:pPr>
              <w:autoSpaceDE w:val="0"/>
              <w:autoSpaceDN w:val="0"/>
              <w:adjustRightInd w:val="0"/>
              <w:jc w:val="both"/>
              <w:rPr>
                <w:i/>
                <w:sz w:val="22"/>
                <w:szCs w:val="22"/>
                <w:lang w:val="it-IT"/>
              </w:rPr>
            </w:pPr>
            <w:r w:rsidRPr="00BF57A3">
              <w:rPr>
                <w:i/>
                <w:sz w:val="22"/>
                <w:szCs w:val="22"/>
                <w:lang w:val="it-IT"/>
              </w:rPr>
              <w:t>Nepoznata:</w:t>
            </w:r>
          </w:p>
        </w:tc>
        <w:tc>
          <w:tcPr>
            <w:tcW w:w="2976" w:type="dxa"/>
            <w:vAlign w:val="center"/>
          </w:tcPr>
          <w:p w14:paraId="41096D4E" w14:textId="77777777" w:rsidR="006A4D39" w:rsidRPr="00BF57A3" w:rsidDel="006A4D39" w:rsidRDefault="00824B7C" w:rsidP="006C640E">
            <w:pPr>
              <w:autoSpaceDE w:val="0"/>
              <w:autoSpaceDN w:val="0"/>
              <w:adjustRightInd w:val="0"/>
              <w:jc w:val="both"/>
              <w:rPr>
                <w:i/>
                <w:sz w:val="22"/>
                <w:szCs w:val="22"/>
                <w:vertAlign w:val="superscript"/>
                <w:lang w:val="it-IT"/>
              </w:rPr>
            </w:pPr>
            <w:r w:rsidRPr="00BF57A3">
              <w:rPr>
                <w:noProof/>
                <w:sz w:val="22"/>
                <w:szCs w:val="22"/>
                <w:lang w:val="hr-HR"/>
              </w:rPr>
              <w:t>Pareza glasnih žica</w:t>
            </w:r>
            <w:r w:rsidRPr="00BF57A3">
              <w:rPr>
                <w:noProof/>
                <w:sz w:val="22"/>
                <w:szCs w:val="22"/>
                <w:vertAlign w:val="superscript"/>
                <w:lang w:val="hr-HR"/>
              </w:rPr>
              <w:t>1</w:t>
            </w:r>
          </w:p>
        </w:tc>
        <w:tc>
          <w:tcPr>
            <w:tcW w:w="2552" w:type="dxa"/>
          </w:tcPr>
          <w:p w14:paraId="21B312D8" w14:textId="77777777" w:rsidR="006A4D39" w:rsidRPr="00BF57A3" w:rsidRDefault="006A4D39" w:rsidP="006C640E">
            <w:pPr>
              <w:autoSpaceDE w:val="0"/>
              <w:autoSpaceDN w:val="0"/>
              <w:adjustRightInd w:val="0"/>
              <w:jc w:val="both"/>
              <w:rPr>
                <w:i/>
                <w:sz w:val="22"/>
                <w:szCs w:val="22"/>
                <w:lang w:val="it-IT"/>
              </w:rPr>
            </w:pPr>
          </w:p>
        </w:tc>
        <w:tc>
          <w:tcPr>
            <w:tcW w:w="2835" w:type="dxa"/>
          </w:tcPr>
          <w:p w14:paraId="6DE6A336" w14:textId="77777777" w:rsidR="006A4D39" w:rsidRPr="00BF57A3" w:rsidRDefault="006A4D39" w:rsidP="006C640E">
            <w:pPr>
              <w:autoSpaceDE w:val="0"/>
              <w:autoSpaceDN w:val="0"/>
              <w:adjustRightInd w:val="0"/>
              <w:jc w:val="both"/>
              <w:rPr>
                <w:i/>
                <w:sz w:val="22"/>
                <w:szCs w:val="22"/>
                <w:lang w:val="it-IT"/>
              </w:rPr>
            </w:pPr>
          </w:p>
        </w:tc>
      </w:tr>
      <w:tr w:rsidR="00824B7C" w:rsidRPr="00BF57A3" w14:paraId="45E69ADE" w14:textId="77777777" w:rsidTr="00E9313F">
        <w:trPr>
          <w:cantSplit/>
        </w:trPr>
        <w:tc>
          <w:tcPr>
            <w:tcW w:w="9918" w:type="dxa"/>
            <w:gridSpan w:val="4"/>
            <w:vAlign w:val="center"/>
          </w:tcPr>
          <w:p w14:paraId="3D42C75A" w14:textId="77777777" w:rsidR="00824B7C" w:rsidRPr="00BF57A3" w:rsidRDefault="00824B7C" w:rsidP="006C640E">
            <w:pPr>
              <w:autoSpaceDE w:val="0"/>
              <w:autoSpaceDN w:val="0"/>
              <w:adjustRightInd w:val="0"/>
              <w:jc w:val="both"/>
              <w:rPr>
                <w:b/>
                <w:color w:val="000000"/>
                <w:sz w:val="22"/>
                <w:szCs w:val="22"/>
              </w:rPr>
            </w:pPr>
            <w:r w:rsidRPr="00BF57A3">
              <w:rPr>
                <w:b/>
                <w:color w:val="000000"/>
                <w:sz w:val="22"/>
                <w:szCs w:val="22"/>
              </w:rPr>
              <w:t>Gastrointestinalni poremećaji</w:t>
            </w:r>
          </w:p>
        </w:tc>
      </w:tr>
      <w:tr w:rsidR="008878C8" w:rsidRPr="00BF57A3" w14:paraId="5EC4765B" w14:textId="77777777" w:rsidTr="00AF2CC5">
        <w:trPr>
          <w:cantSplit/>
        </w:trPr>
        <w:tc>
          <w:tcPr>
            <w:tcW w:w="1555" w:type="dxa"/>
            <w:vAlign w:val="center"/>
          </w:tcPr>
          <w:p w14:paraId="3AD001F4" w14:textId="77777777" w:rsidR="008878C8" w:rsidRPr="00BF57A3" w:rsidRDefault="005F0CC8" w:rsidP="006C640E">
            <w:pPr>
              <w:snapToGrid w:val="0"/>
              <w:jc w:val="both"/>
              <w:rPr>
                <w:sz w:val="22"/>
                <w:szCs w:val="22"/>
              </w:rPr>
            </w:pPr>
            <w:r w:rsidRPr="00BF57A3">
              <w:rPr>
                <w:i/>
                <w:sz w:val="22"/>
                <w:szCs w:val="22"/>
                <w:lang w:val="es-ES"/>
              </w:rPr>
              <w:t>Veoma česta</w:t>
            </w:r>
            <w:r w:rsidRPr="00BF57A3">
              <w:rPr>
                <w:sz w:val="22"/>
                <w:szCs w:val="22"/>
                <w:lang w:val="es-ES"/>
              </w:rPr>
              <w:t xml:space="preserve">: </w:t>
            </w:r>
          </w:p>
        </w:tc>
        <w:tc>
          <w:tcPr>
            <w:tcW w:w="2976" w:type="dxa"/>
            <w:vAlign w:val="center"/>
          </w:tcPr>
          <w:p w14:paraId="58E7B62C" w14:textId="77777777" w:rsidR="008878C8" w:rsidRPr="00BF57A3" w:rsidRDefault="005F0CC8" w:rsidP="006C640E">
            <w:pPr>
              <w:autoSpaceDE w:val="0"/>
              <w:autoSpaceDN w:val="0"/>
              <w:adjustRightInd w:val="0"/>
              <w:jc w:val="both"/>
              <w:rPr>
                <w:sz w:val="22"/>
                <w:szCs w:val="22"/>
                <w:lang w:val="es-ES"/>
              </w:rPr>
            </w:pPr>
            <w:r w:rsidRPr="00BF57A3">
              <w:rPr>
                <w:sz w:val="22"/>
                <w:szCs w:val="22"/>
                <w:lang w:val="es-ES"/>
              </w:rPr>
              <w:t>D</w:t>
            </w:r>
            <w:r w:rsidR="008878C8" w:rsidRPr="00BF57A3">
              <w:rPr>
                <w:sz w:val="22"/>
                <w:szCs w:val="22"/>
                <w:lang w:val="es-ES"/>
              </w:rPr>
              <w:t xml:space="preserve">ijareja, povraćanje, </w:t>
            </w:r>
            <w:r w:rsidRPr="00BF57A3">
              <w:rPr>
                <w:sz w:val="22"/>
                <w:szCs w:val="22"/>
                <w:lang w:val="es-ES"/>
              </w:rPr>
              <w:t xml:space="preserve">mučnina, </w:t>
            </w:r>
            <w:r w:rsidR="008878C8" w:rsidRPr="00BF57A3">
              <w:rPr>
                <w:sz w:val="22"/>
                <w:szCs w:val="22"/>
                <w:lang w:val="es-ES"/>
              </w:rPr>
              <w:t>konstipacija, stomatitis</w:t>
            </w:r>
          </w:p>
          <w:p w14:paraId="4C44893B" w14:textId="77777777" w:rsidR="008878C8" w:rsidRPr="00BF57A3" w:rsidRDefault="008878C8" w:rsidP="006C640E">
            <w:pPr>
              <w:jc w:val="both"/>
              <w:rPr>
                <w:sz w:val="22"/>
                <w:szCs w:val="22"/>
                <w:lang w:val="es-ES"/>
              </w:rPr>
            </w:pPr>
          </w:p>
          <w:p w14:paraId="7C516EB4" w14:textId="77777777" w:rsidR="008878C8" w:rsidRPr="00BF57A3" w:rsidRDefault="008878C8" w:rsidP="006C640E">
            <w:pPr>
              <w:autoSpaceDE w:val="0"/>
              <w:autoSpaceDN w:val="0"/>
              <w:adjustRightInd w:val="0"/>
              <w:jc w:val="both"/>
              <w:rPr>
                <w:i/>
                <w:sz w:val="22"/>
                <w:szCs w:val="22"/>
                <w:lang w:val="es-ES"/>
              </w:rPr>
            </w:pPr>
          </w:p>
        </w:tc>
        <w:tc>
          <w:tcPr>
            <w:tcW w:w="2552" w:type="dxa"/>
          </w:tcPr>
          <w:p w14:paraId="5B10DA2A" w14:textId="77777777" w:rsidR="008878C8" w:rsidRPr="00BF57A3" w:rsidRDefault="00FC6279" w:rsidP="006C640E">
            <w:pPr>
              <w:autoSpaceDE w:val="0"/>
              <w:autoSpaceDN w:val="0"/>
              <w:adjustRightInd w:val="0"/>
              <w:jc w:val="both"/>
              <w:rPr>
                <w:sz w:val="22"/>
                <w:szCs w:val="22"/>
                <w:lang w:val="es-ES"/>
              </w:rPr>
            </w:pPr>
            <w:r w:rsidRPr="00BF57A3">
              <w:rPr>
                <w:sz w:val="22"/>
                <w:szCs w:val="22"/>
                <w:lang w:val="es-ES"/>
              </w:rPr>
              <w:t>Dijareja, povraćanje, mučnina, konstipacija, bol u abdomenu, bol u gornjem dijelu abdomena</w:t>
            </w:r>
          </w:p>
        </w:tc>
        <w:tc>
          <w:tcPr>
            <w:tcW w:w="2835" w:type="dxa"/>
          </w:tcPr>
          <w:p w14:paraId="308E50F4" w14:textId="77777777" w:rsidR="008878C8" w:rsidRPr="00BF57A3" w:rsidRDefault="004B6901" w:rsidP="006C640E">
            <w:pPr>
              <w:autoSpaceDE w:val="0"/>
              <w:autoSpaceDN w:val="0"/>
              <w:adjustRightInd w:val="0"/>
              <w:jc w:val="both"/>
              <w:rPr>
                <w:i/>
                <w:sz w:val="22"/>
                <w:szCs w:val="22"/>
                <w:lang w:val="es-ES"/>
              </w:rPr>
            </w:pPr>
            <w:r w:rsidRPr="00BF57A3">
              <w:rPr>
                <w:sz w:val="22"/>
                <w:szCs w:val="22"/>
                <w:lang w:val="es-ES"/>
              </w:rPr>
              <w:t>Dijareja, povraćanje, mučnina, konstipacija</w:t>
            </w:r>
          </w:p>
        </w:tc>
      </w:tr>
      <w:tr w:rsidR="005F0CC8" w:rsidRPr="00BF57A3" w14:paraId="4FD54D05" w14:textId="77777777" w:rsidTr="00AF2CC5">
        <w:trPr>
          <w:cantSplit/>
        </w:trPr>
        <w:tc>
          <w:tcPr>
            <w:tcW w:w="1555" w:type="dxa"/>
            <w:vAlign w:val="center"/>
          </w:tcPr>
          <w:p w14:paraId="31FD7978" w14:textId="77777777" w:rsidR="005F0CC8" w:rsidRPr="00BF57A3" w:rsidDel="00824B7C" w:rsidRDefault="005F0CC8" w:rsidP="006C640E">
            <w:pPr>
              <w:snapToGrid w:val="0"/>
              <w:jc w:val="both"/>
              <w:rPr>
                <w:sz w:val="22"/>
                <w:szCs w:val="22"/>
              </w:rPr>
            </w:pPr>
            <w:r w:rsidRPr="00BF57A3">
              <w:rPr>
                <w:i/>
                <w:sz w:val="22"/>
                <w:szCs w:val="22"/>
                <w:lang w:val="es-ES"/>
              </w:rPr>
              <w:t>Česta</w:t>
            </w:r>
            <w:r w:rsidRPr="00BF57A3">
              <w:rPr>
                <w:sz w:val="22"/>
                <w:szCs w:val="22"/>
                <w:lang w:val="es-ES"/>
              </w:rPr>
              <w:t>:</w:t>
            </w:r>
          </w:p>
        </w:tc>
        <w:tc>
          <w:tcPr>
            <w:tcW w:w="2976" w:type="dxa"/>
            <w:vAlign w:val="center"/>
          </w:tcPr>
          <w:p w14:paraId="6429C676" w14:textId="77777777" w:rsidR="005F0CC8" w:rsidRPr="00BF57A3" w:rsidRDefault="002F1E2D" w:rsidP="006C640E">
            <w:pPr>
              <w:autoSpaceDE w:val="0"/>
              <w:autoSpaceDN w:val="0"/>
              <w:adjustRightInd w:val="0"/>
              <w:jc w:val="both"/>
              <w:rPr>
                <w:sz w:val="22"/>
                <w:szCs w:val="22"/>
                <w:lang w:val="es-ES"/>
              </w:rPr>
            </w:pPr>
            <w:r w:rsidRPr="00BF57A3">
              <w:rPr>
                <w:sz w:val="22"/>
                <w:szCs w:val="22"/>
                <w:lang w:val="es-ES"/>
              </w:rPr>
              <w:t xml:space="preserve">Gastroezofagealna refluksna bolest, </w:t>
            </w:r>
            <w:r w:rsidR="002C00B1" w:rsidRPr="00BF57A3">
              <w:rPr>
                <w:sz w:val="22"/>
                <w:szCs w:val="22"/>
                <w:lang w:val="es-ES"/>
              </w:rPr>
              <w:t>dispepsija, bol</w:t>
            </w:r>
            <w:r w:rsidR="005F0CC8" w:rsidRPr="00BF57A3">
              <w:rPr>
                <w:sz w:val="22"/>
                <w:szCs w:val="22"/>
                <w:lang w:val="es-ES"/>
              </w:rPr>
              <w:t xml:space="preserve"> u abdomenu, distenzija abdomena, bol u gornjem dijelu abdomena, oralna hipoestezija</w:t>
            </w:r>
          </w:p>
        </w:tc>
        <w:tc>
          <w:tcPr>
            <w:tcW w:w="2552" w:type="dxa"/>
          </w:tcPr>
          <w:p w14:paraId="31AF7CDA" w14:textId="77777777" w:rsidR="005F0CC8" w:rsidRPr="00BF57A3" w:rsidRDefault="00FC6279" w:rsidP="006C640E">
            <w:pPr>
              <w:autoSpaceDE w:val="0"/>
              <w:autoSpaceDN w:val="0"/>
              <w:adjustRightInd w:val="0"/>
              <w:jc w:val="both"/>
              <w:rPr>
                <w:i/>
                <w:sz w:val="22"/>
                <w:szCs w:val="22"/>
                <w:lang w:val="es-ES"/>
              </w:rPr>
            </w:pPr>
            <w:r w:rsidRPr="00BF57A3">
              <w:rPr>
                <w:sz w:val="22"/>
                <w:szCs w:val="22"/>
                <w:lang w:val="es-ES"/>
              </w:rPr>
              <w:t>Intestinalna opstrukcija, kolitis, stomatitis,  suva usta</w:t>
            </w:r>
          </w:p>
        </w:tc>
        <w:tc>
          <w:tcPr>
            <w:tcW w:w="2835" w:type="dxa"/>
          </w:tcPr>
          <w:p w14:paraId="345584D2" w14:textId="77777777" w:rsidR="005F0CC8" w:rsidRPr="00BF57A3" w:rsidRDefault="002C00B1" w:rsidP="006C640E">
            <w:pPr>
              <w:autoSpaceDE w:val="0"/>
              <w:autoSpaceDN w:val="0"/>
              <w:adjustRightInd w:val="0"/>
              <w:jc w:val="both"/>
              <w:rPr>
                <w:i/>
                <w:sz w:val="22"/>
                <w:szCs w:val="22"/>
                <w:lang w:val="es-ES"/>
              </w:rPr>
            </w:pPr>
            <w:r w:rsidRPr="00BF57A3">
              <w:rPr>
                <w:sz w:val="22"/>
                <w:szCs w:val="22"/>
                <w:lang w:val="es-ES"/>
              </w:rPr>
              <w:t>Stomatitis, dispepsija, disfagija, bol u abdomenu</w:t>
            </w:r>
          </w:p>
        </w:tc>
      </w:tr>
      <w:tr w:rsidR="005F0CC8" w:rsidRPr="00BF57A3" w14:paraId="757C28F2" w14:textId="77777777" w:rsidTr="00AF2CC5">
        <w:trPr>
          <w:cantSplit/>
        </w:trPr>
        <w:tc>
          <w:tcPr>
            <w:tcW w:w="1555" w:type="dxa"/>
            <w:vAlign w:val="center"/>
          </w:tcPr>
          <w:p w14:paraId="44F8A5C3" w14:textId="77777777" w:rsidR="005F0CC8" w:rsidRPr="00BF57A3" w:rsidRDefault="005F0CC8" w:rsidP="006C640E">
            <w:pPr>
              <w:snapToGrid w:val="0"/>
              <w:jc w:val="both"/>
              <w:rPr>
                <w:sz w:val="22"/>
                <w:szCs w:val="22"/>
              </w:rPr>
            </w:pPr>
            <w:r w:rsidRPr="00BF57A3">
              <w:rPr>
                <w:i/>
                <w:sz w:val="22"/>
                <w:szCs w:val="22"/>
                <w:lang w:val="es-ES"/>
              </w:rPr>
              <w:t>Povremena</w:t>
            </w:r>
            <w:r w:rsidRPr="00BF57A3">
              <w:rPr>
                <w:sz w:val="22"/>
                <w:szCs w:val="22"/>
                <w:lang w:val="es-ES"/>
              </w:rPr>
              <w:t>:</w:t>
            </w:r>
          </w:p>
        </w:tc>
        <w:tc>
          <w:tcPr>
            <w:tcW w:w="2976" w:type="dxa"/>
            <w:vAlign w:val="center"/>
          </w:tcPr>
          <w:p w14:paraId="11FC07BA" w14:textId="77777777" w:rsidR="005F0CC8" w:rsidRPr="00BF57A3" w:rsidRDefault="003A649F" w:rsidP="006C640E">
            <w:pPr>
              <w:autoSpaceDE w:val="0"/>
              <w:autoSpaceDN w:val="0"/>
              <w:adjustRightInd w:val="0"/>
              <w:jc w:val="both"/>
              <w:rPr>
                <w:i/>
                <w:sz w:val="22"/>
                <w:szCs w:val="22"/>
                <w:lang w:val="es-ES"/>
              </w:rPr>
            </w:pPr>
            <w:r w:rsidRPr="00BF57A3">
              <w:rPr>
                <w:sz w:val="22"/>
                <w:szCs w:val="22"/>
                <w:lang w:val="es-ES"/>
              </w:rPr>
              <w:t xml:space="preserve">Krvarenje iz rektuma,  </w:t>
            </w:r>
            <w:r w:rsidR="005F0CC8" w:rsidRPr="00BF57A3">
              <w:rPr>
                <w:sz w:val="22"/>
                <w:szCs w:val="22"/>
                <w:lang w:val="es-ES"/>
              </w:rPr>
              <w:t>disfagija, flatulencija, glosodinija, suva usta, bol u desnima, rijetke stolice, ezofagitis, bol u donjem dijelu abdomena, ul</w:t>
            </w:r>
            <w:r w:rsidR="00A6216F" w:rsidRPr="00BF57A3">
              <w:rPr>
                <w:sz w:val="22"/>
                <w:szCs w:val="22"/>
                <w:lang w:val="es-ES"/>
              </w:rPr>
              <w:t>ceracije u ustima, bol u ustima</w:t>
            </w:r>
          </w:p>
        </w:tc>
        <w:tc>
          <w:tcPr>
            <w:tcW w:w="2552" w:type="dxa"/>
          </w:tcPr>
          <w:p w14:paraId="0CC134E7" w14:textId="77777777" w:rsidR="005F0CC8" w:rsidRPr="00BF57A3" w:rsidRDefault="005F0CC8" w:rsidP="006C640E">
            <w:pPr>
              <w:autoSpaceDE w:val="0"/>
              <w:autoSpaceDN w:val="0"/>
              <w:adjustRightInd w:val="0"/>
              <w:jc w:val="both"/>
              <w:rPr>
                <w:i/>
                <w:sz w:val="22"/>
                <w:szCs w:val="22"/>
                <w:lang w:val="es-ES"/>
              </w:rPr>
            </w:pPr>
          </w:p>
        </w:tc>
        <w:tc>
          <w:tcPr>
            <w:tcW w:w="2835" w:type="dxa"/>
          </w:tcPr>
          <w:p w14:paraId="6B173C96" w14:textId="77777777" w:rsidR="005F0CC8" w:rsidRPr="00BF57A3" w:rsidRDefault="005F0CC8" w:rsidP="006C640E">
            <w:pPr>
              <w:autoSpaceDE w:val="0"/>
              <w:autoSpaceDN w:val="0"/>
              <w:adjustRightInd w:val="0"/>
              <w:jc w:val="both"/>
              <w:rPr>
                <w:i/>
                <w:sz w:val="22"/>
                <w:szCs w:val="22"/>
                <w:lang w:val="es-ES"/>
              </w:rPr>
            </w:pPr>
          </w:p>
        </w:tc>
      </w:tr>
      <w:tr w:rsidR="00682D41" w:rsidRPr="00BF57A3" w14:paraId="0A3B01DC" w14:textId="77777777" w:rsidTr="00E9313F">
        <w:trPr>
          <w:cantSplit/>
        </w:trPr>
        <w:tc>
          <w:tcPr>
            <w:tcW w:w="9918" w:type="dxa"/>
            <w:gridSpan w:val="4"/>
            <w:vAlign w:val="center"/>
          </w:tcPr>
          <w:p w14:paraId="373BBFD4" w14:textId="77777777" w:rsidR="00682D41" w:rsidRPr="00BF57A3" w:rsidRDefault="00682D41" w:rsidP="006C640E">
            <w:pPr>
              <w:autoSpaceDE w:val="0"/>
              <w:autoSpaceDN w:val="0"/>
              <w:adjustRightInd w:val="0"/>
              <w:jc w:val="both"/>
              <w:rPr>
                <w:i/>
                <w:sz w:val="22"/>
                <w:szCs w:val="22"/>
              </w:rPr>
            </w:pPr>
            <w:r w:rsidRPr="00BF57A3">
              <w:rPr>
                <w:b/>
                <w:color w:val="000000"/>
                <w:sz w:val="22"/>
                <w:szCs w:val="22"/>
              </w:rPr>
              <w:t>Hepatobilijarni poremećaji</w:t>
            </w:r>
          </w:p>
        </w:tc>
      </w:tr>
      <w:tr w:rsidR="00682D41" w:rsidRPr="00BF57A3" w14:paraId="093380D4" w14:textId="77777777" w:rsidTr="00AF2CC5">
        <w:trPr>
          <w:cantSplit/>
        </w:trPr>
        <w:tc>
          <w:tcPr>
            <w:tcW w:w="1555" w:type="dxa"/>
            <w:vAlign w:val="center"/>
          </w:tcPr>
          <w:p w14:paraId="14C3003C" w14:textId="77777777" w:rsidR="00682D41" w:rsidRPr="00BF57A3" w:rsidDel="00682D41" w:rsidRDefault="00682D41" w:rsidP="006C640E">
            <w:pPr>
              <w:snapToGrid w:val="0"/>
              <w:jc w:val="both"/>
              <w:rPr>
                <w:sz w:val="22"/>
                <w:szCs w:val="22"/>
              </w:rPr>
            </w:pPr>
            <w:r w:rsidRPr="00BF57A3">
              <w:rPr>
                <w:i/>
                <w:sz w:val="22"/>
                <w:szCs w:val="22"/>
              </w:rPr>
              <w:t>Česta:</w:t>
            </w:r>
          </w:p>
        </w:tc>
        <w:tc>
          <w:tcPr>
            <w:tcW w:w="2976" w:type="dxa"/>
            <w:vAlign w:val="center"/>
          </w:tcPr>
          <w:p w14:paraId="17ECB0D3" w14:textId="77777777" w:rsidR="00682D41" w:rsidRPr="00BF57A3" w:rsidRDefault="00682D41" w:rsidP="006C640E">
            <w:pPr>
              <w:autoSpaceDE w:val="0"/>
              <w:autoSpaceDN w:val="0"/>
              <w:adjustRightInd w:val="0"/>
              <w:jc w:val="both"/>
              <w:rPr>
                <w:i/>
                <w:sz w:val="22"/>
                <w:szCs w:val="22"/>
              </w:rPr>
            </w:pPr>
          </w:p>
        </w:tc>
        <w:tc>
          <w:tcPr>
            <w:tcW w:w="2552" w:type="dxa"/>
          </w:tcPr>
          <w:p w14:paraId="6E485CE0" w14:textId="77777777" w:rsidR="00682D41" w:rsidRPr="00BF57A3" w:rsidRDefault="00682D41" w:rsidP="006C640E">
            <w:pPr>
              <w:autoSpaceDE w:val="0"/>
              <w:autoSpaceDN w:val="0"/>
              <w:adjustRightInd w:val="0"/>
              <w:jc w:val="both"/>
              <w:rPr>
                <w:sz w:val="22"/>
                <w:szCs w:val="22"/>
              </w:rPr>
            </w:pPr>
            <w:r w:rsidRPr="00BF57A3">
              <w:rPr>
                <w:sz w:val="22"/>
                <w:szCs w:val="22"/>
              </w:rPr>
              <w:t>Holangitis</w:t>
            </w:r>
          </w:p>
        </w:tc>
        <w:tc>
          <w:tcPr>
            <w:tcW w:w="2835" w:type="dxa"/>
          </w:tcPr>
          <w:p w14:paraId="691FEF7D" w14:textId="77777777" w:rsidR="00682D41" w:rsidRPr="00BF57A3" w:rsidRDefault="00682D41" w:rsidP="006C640E">
            <w:pPr>
              <w:autoSpaceDE w:val="0"/>
              <w:autoSpaceDN w:val="0"/>
              <w:adjustRightInd w:val="0"/>
              <w:jc w:val="both"/>
              <w:rPr>
                <w:sz w:val="22"/>
                <w:szCs w:val="22"/>
              </w:rPr>
            </w:pPr>
            <w:r w:rsidRPr="00BF57A3">
              <w:rPr>
                <w:sz w:val="22"/>
                <w:szCs w:val="22"/>
              </w:rPr>
              <w:t>Hiperbilirubinemija</w:t>
            </w:r>
          </w:p>
        </w:tc>
      </w:tr>
      <w:tr w:rsidR="008878C8" w:rsidRPr="00BF57A3" w14:paraId="01083192" w14:textId="77777777" w:rsidTr="00AF2CC5">
        <w:trPr>
          <w:cantSplit/>
        </w:trPr>
        <w:tc>
          <w:tcPr>
            <w:tcW w:w="1555" w:type="dxa"/>
            <w:vAlign w:val="center"/>
          </w:tcPr>
          <w:p w14:paraId="17E20681" w14:textId="77777777" w:rsidR="008878C8" w:rsidRPr="00BF57A3" w:rsidRDefault="00682D41" w:rsidP="006C640E">
            <w:pPr>
              <w:snapToGrid w:val="0"/>
              <w:jc w:val="both"/>
              <w:rPr>
                <w:sz w:val="22"/>
                <w:szCs w:val="22"/>
              </w:rPr>
            </w:pPr>
            <w:r w:rsidRPr="00BF57A3">
              <w:rPr>
                <w:i/>
                <w:sz w:val="22"/>
                <w:szCs w:val="22"/>
              </w:rPr>
              <w:t>Povremena</w:t>
            </w:r>
            <w:r w:rsidRPr="00BF57A3">
              <w:rPr>
                <w:sz w:val="22"/>
                <w:szCs w:val="22"/>
              </w:rPr>
              <w:t xml:space="preserve">: </w:t>
            </w:r>
          </w:p>
        </w:tc>
        <w:tc>
          <w:tcPr>
            <w:tcW w:w="2976" w:type="dxa"/>
            <w:vAlign w:val="center"/>
          </w:tcPr>
          <w:p w14:paraId="55205343" w14:textId="77777777" w:rsidR="008878C8" w:rsidRPr="00BF57A3" w:rsidRDefault="00682D41" w:rsidP="006C640E">
            <w:pPr>
              <w:autoSpaceDE w:val="0"/>
              <w:autoSpaceDN w:val="0"/>
              <w:adjustRightInd w:val="0"/>
              <w:jc w:val="both"/>
              <w:rPr>
                <w:color w:val="000000"/>
                <w:sz w:val="22"/>
                <w:szCs w:val="22"/>
              </w:rPr>
            </w:pPr>
            <w:r w:rsidRPr="00BF57A3">
              <w:rPr>
                <w:sz w:val="22"/>
                <w:szCs w:val="22"/>
              </w:rPr>
              <w:t>H</w:t>
            </w:r>
            <w:r w:rsidR="008878C8" w:rsidRPr="00BF57A3">
              <w:rPr>
                <w:sz w:val="22"/>
                <w:szCs w:val="22"/>
              </w:rPr>
              <w:t>epatomegalija</w:t>
            </w:r>
          </w:p>
        </w:tc>
        <w:tc>
          <w:tcPr>
            <w:tcW w:w="2552" w:type="dxa"/>
          </w:tcPr>
          <w:p w14:paraId="5427075B" w14:textId="77777777" w:rsidR="008878C8" w:rsidRPr="00BF57A3" w:rsidRDefault="008878C8" w:rsidP="006C640E">
            <w:pPr>
              <w:autoSpaceDE w:val="0"/>
              <w:autoSpaceDN w:val="0"/>
              <w:adjustRightInd w:val="0"/>
              <w:jc w:val="both"/>
              <w:rPr>
                <w:i/>
                <w:sz w:val="22"/>
                <w:szCs w:val="22"/>
              </w:rPr>
            </w:pPr>
          </w:p>
        </w:tc>
        <w:tc>
          <w:tcPr>
            <w:tcW w:w="2835" w:type="dxa"/>
          </w:tcPr>
          <w:p w14:paraId="78521BFA" w14:textId="77777777" w:rsidR="008878C8" w:rsidRPr="00BF57A3" w:rsidRDefault="008878C8" w:rsidP="006C640E">
            <w:pPr>
              <w:autoSpaceDE w:val="0"/>
              <w:autoSpaceDN w:val="0"/>
              <w:adjustRightInd w:val="0"/>
              <w:jc w:val="both"/>
              <w:rPr>
                <w:i/>
                <w:sz w:val="22"/>
                <w:szCs w:val="22"/>
              </w:rPr>
            </w:pPr>
          </w:p>
        </w:tc>
      </w:tr>
      <w:tr w:rsidR="00682D41" w:rsidRPr="00BF57A3" w14:paraId="046EC92E" w14:textId="77777777" w:rsidTr="00E9313F">
        <w:trPr>
          <w:cantSplit/>
        </w:trPr>
        <w:tc>
          <w:tcPr>
            <w:tcW w:w="9918" w:type="dxa"/>
            <w:gridSpan w:val="4"/>
            <w:vAlign w:val="center"/>
          </w:tcPr>
          <w:p w14:paraId="3262694F" w14:textId="77777777" w:rsidR="00682D41" w:rsidRPr="00BF57A3" w:rsidRDefault="00682D41" w:rsidP="006C640E">
            <w:pPr>
              <w:autoSpaceDE w:val="0"/>
              <w:autoSpaceDN w:val="0"/>
              <w:adjustRightInd w:val="0"/>
              <w:jc w:val="both"/>
              <w:rPr>
                <w:b/>
                <w:i/>
                <w:sz w:val="22"/>
                <w:szCs w:val="22"/>
              </w:rPr>
            </w:pPr>
            <w:r w:rsidRPr="00BF57A3">
              <w:rPr>
                <w:b/>
                <w:bCs/>
                <w:sz w:val="22"/>
                <w:szCs w:val="22"/>
              </w:rPr>
              <w:t>Poremećaji na nivou kože i potkožnog tkiva</w:t>
            </w:r>
          </w:p>
        </w:tc>
      </w:tr>
      <w:tr w:rsidR="008878C8" w:rsidRPr="00BF57A3" w14:paraId="5A1D0160" w14:textId="77777777" w:rsidTr="00AF2CC5">
        <w:trPr>
          <w:cantSplit/>
        </w:trPr>
        <w:tc>
          <w:tcPr>
            <w:tcW w:w="1555" w:type="dxa"/>
            <w:vAlign w:val="center"/>
          </w:tcPr>
          <w:p w14:paraId="2928A1A6" w14:textId="77777777" w:rsidR="008878C8" w:rsidRPr="00BF57A3" w:rsidRDefault="00682D41" w:rsidP="006C640E">
            <w:pPr>
              <w:snapToGrid w:val="0"/>
              <w:jc w:val="both"/>
              <w:rPr>
                <w:bCs/>
                <w:sz w:val="22"/>
                <w:szCs w:val="22"/>
              </w:rPr>
            </w:pPr>
            <w:r w:rsidRPr="00BF57A3">
              <w:rPr>
                <w:i/>
                <w:sz w:val="22"/>
                <w:szCs w:val="22"/>
              </w:rPr>
              <w:t>Veoma česta</w:t>
            </w:r>
            <w:r w:rsidRPr="00BF57A3">
              <w:rPr>
                <w:sz w:val="22"/>
                <w:szCs w:val="22"/>
              </w:rPr>
              <w:t xml:space="preserve">: </w:t>
            </w:r>
          </w:p>
        </w:tc>
        <w:tc>
          <w:tcPr>
            <w:tcW w:w="2976" w:type="dxa"/>
            <w:vAlign w:val="center"/>
          </w:tcPr>
          <w:p w14:paraId="16CE146B" w14:textId="77777777" w:rsidR="008878C8" w:rsidRPr="00BF57A3" w:rsidRDefault="00682D41" w:rsidP="006C640E">
            <w:pPr>
              <w:autoSpaceDE w:val="0"/>
              <w:autoSpaceDN w:val="0"/>
              <w:adjustRightInd w:val="0"/>
              <w:jc w:val="both"/>
              <w:rPr>
                <w:sz w:val="22"/>
                <w:szCs w:val="22"/>
              </w:rPr>
            </w:pPr>
            <w:r w:rsidRPr="00BF57A3">
              <w:rPr>
                <w:sz w:val="22"/>
                <w:szCs w:val="22"/>
              </w:rPr>
              <w:t>A</w:t>
            </w:r>
            <w:r w:rsidR="008878C8" w:rsidRPr="00BF57A3">
              <w:rPr>
                <w:sz w:val="22"/>
                <w:szCs w:val="22"/>
              </w:rPr>
              <w:t>lopecija, osip</w:t>
            </w:r>
          </w:p>
        </w:tc>
        <w:tc>
          <w:tcPr>
            <w:tcW w:w="2552" w:type="dxa"/>
          </w:tcPr>
          <w:p w14:paraId="7AF2040D" w14:textId="77777777" w:rsidR="008878C8" w:rsidRPr="00BF57A3" w:rsidRDefault="00682D41" w:rsidP="006C640E">
            <w:pPr>
              <w:autoSpaceDE w:val="0"/>
              <w:autoSpaceDN w:val="0"/>
              <w:adjustRightInd w:val="0"/>
              <w:jc w:val="both"/>
              <w:rPr>
                <w:i/>
                <w:sz w:val="22"/>
                <w:szCs w:val="22"/>
              </w:rPr>
            </w:pPr>
            <w:r w:rsidRPr="00BF57A3">
              <w:rPr>
                <w:sz w:val="22"/>
                <w:szCs w:val="22"/>
              </w:rPr>
              <w:t>Alopecija, osip</w:t>
            </w:r>
          </w:p>
        </w:tc>
        <w:tc>
          <w:tcPr>
            <w:tcW w:w="2835" w:type="dxa"/>
          </w:tcPr>
          <w:p w14:paraId="3192719A" w14:textId="77777777" w:rsidR="008878C8" w:rsidRPr="00BF57A3" w:rsidRDefault="00682D41" w:rsidP="006C640E">
            <w:pPr>
              <w:autoSpaceDE w:val="0"/>
              <w:autoSpaceDN w:val="0"/>
              <w:adjustRightInd w:val="0"/>
              <w:jc w:val="both"/>
              <w:rPr>
                <w:i/>
                <w:sz w:val="22"/>
                <w:szCs w:val="22"/>
              </w:rPr>
            </w:pPr>
            <w:r w:rsidRPr="00BF57A3">
              <w:rPr>
                <w:sz w:val="22"/>
                <w:szCs w:val="22"/>
              </w:rPr>
              <w:t>Alopecija, osip</w:t>
            </w:r>
          </w:p>
        </w:tc>
      </w:tr>
      <w:tr w:rsidR="00682D41" w:rsidRPr="00BF57A3" w14:paraId="7320BCED" w14:textId="77777777" w:rsidTr="00AF2CC5">
        <w:trPr>
          <w:cantSplit/>
        </w:trPr>
        <w:tc>
          <w:tcPr>
            <w:tcW w:w="1555" w:type="dxa"/>
            <w:vAlign w:val="center"/>
          </w:tcPr>
          <w:p w14:paraId="25CAB750" w14:textId="77777777" w:rsidR="00682D41" w:rsidRPr="00BF57A3" w:rsidDel="00682D41" w:rsidRDefault="00682D41" w:rsidP="006C640E">
            <w:pPr>
              <w:snapToGrid w:val="0"/>
              <w:jc w:val="both"/>
              <w:rPr>
                <w:bCs/>
                <w:sz w:val="22"/>
                <w:szCs w:val="22"/>
              </w:rPr>
            </w:pPr>
            <w:r w:rsidRPr="00BF57A3">
              <w:rPr>
                <w:i/>
                <w:sz w:val="22"/>
                <w:szCs w:val="22"/>
              </w:rPr>
              <w:t>Česta</w:t>
            </w:r>
            <w:r w:rsidRPr="00BF57A3">
              <w:rPr>
                <w:sz w:val="22"/>
                <w:szCs w:val="22"/>
              </w:rPr>
              <w:t>:</w:t>
            </w:r>
          </w:p>
        </w:tc>
        <w:tc>
          <w:tcPr>
            <w:tcW w:w="2976" w:type="dxa"/>
            <w:vAlign w:val="center"/>
          </w:tcPr>
          <w:p w14:paraId="6CE74011" w14:textId="77777777" w:rsidR="00682D41" w:rsidRPr="00BF57A3" w:rsidDel="00682D41" w:rsidRDefault="00682D41" w:rsidP="006C640E">
            <w:pPr>
              <w:autoSpaceDE w:val="0"/>
              <w:autoSpaceDN w:val="0"/>
              <w:adjustRightInd w:val="0"/>
              <w:jc w:val="both"/>
              <w:rPr>
                <w:i/>
                <w:sz w:val="22"/>
                <w:szCs w:val="22"/>
              </w:rPr>
            </w:pPr>
            <w:r w:rsidRPr="00BF57A3">
              <w:rPr>
                <w:sz w:val="22"/>
                <w:szCs w:val="22"/>
              </w:rPr>
              <w:t>Pruritus, suva koža, poremećaji noktiju, eritem, pigmentacija noktiju/promjena boje, hiperpigmentacija kože, oniholiza, promjene na noktima</w:t>
            </w:r>
          </w:p>
        </w:tc>
        <w:tc>
          <w:tcPr>
            <w:tcW w:w="2552" w:type="dxa"/>
          </w:tcPr>
          <w:p w14:paraId="7E91BB5E" w14:textId="77777777" w:rsidR="00682D41" w:rsidRPr="00BF57A3" w:rsidRDefault="00682D41" w:rsidP="006C640E">
            <w:pPr>
              <w:autoSpaceDE w:val="0"/>
              <w:autoSpaceDN w:val="0"/>
              <w:adjustRightInd w:val="0"/>
              <w:jc w:val="both"/>
              <w:rPr>
                <w:i/>
                <w:sz w:val="22"/>
                <w:szCs w:val="22"/>
                <w:lang w:val="es-ES"/>
              </w:rPr>
            </w:pPr>
            <w:r w:rsidRPr="00BF57A3">
              <w:rPr>
                <w:sz w:val="22"/>
                <w:szCs w:val="22"/>
                <w:lang w:val="es-ES"/>
              </w:rPr>
              <w:t>Pruritus, suva koža, poremećaji noktiju</w:t>
            </w:r>
          </w:p>
        </w:tc>
        <w:tc>
          <w:tcPr>
            <w:tcW w:w="2835" w:type="dxa"/>
          </w:tcPr>
          <w:p w14:paraId="37CDF445" w14:textId="77777777" w:rsidR="00682D41" w:rsidRPr="00BF57A3" w:rsidRDefault="00682D41" w:rsidP="006C640E">
            <w:pPr>
              <w:autoSpaceDE w:val="0"/>
              <w:autoSpaceDN w:val="0"/>
              <w:adjustRightInd w:val="0"/>
              <w:jc w:val="both"/>
              <w:rPr>
                <w:i/>
                <w:sz w:val="22"/>
                <w:szCs w:val="22"/>
                <w:lang w:val="es-ES"/>
              </w:rPr>
            </w:pPr>
            <w:r w:rsidRPr="00BF57A3">
              <w:rPr>
                <w:sz w:val="22"/>
                <w:szCs w:val="22"/>
                <w:lang w:val="es-ES"/>
              </w:rPr>
              <w:t>Pruritus, poremećaji noktiju</w:t>
            </w:r>
          </w:p>
        </w:tc>
      </w:tr>
      <w:tr w:rsidR="00682D41" w:rsidRPr="00BF57A3" w14:paraId="339079BF" w14:textId="77777777" w:rsidTr="00AF2CC5">
        <w:trPr>
          <w:cantSplit/>
        </w:trPr>
        <w:tc>
          <w:tcPr>
            <w:tcW w:w="1555" w:type="dxa"/>
            <w:vAlign w:val="center"/>
          </w:tcPr>
          <w:p w14:paraId="49FCC356" w14:textId="77777777" w:rsidR="00682D41" w:rsidRPr="00BF57A3" w:rsidDel="00682D41" w:rsidRDefault="00682D41" w:rsidP="006C640E">
            <w:pPr>
              <w:snapToGrid w:val="0"/>
              <w:jc w:val="both"/>
              <w:rPr>
                <w:bCs/>
                <w:sz w:val="22"/>
                <w:szCs w:val="22"/>
              </w:rPr>
            </w:pPr>
            <w:r w:rsidRPr="00BF57A3">
              <w:rPr>
                <w:i/>
                <w:sz w:val="22"/>
                <w:szCs w:val="22"/>
              </w:rPr>
              <w:lastRenderedPageBreak/>
              <w:t>Povremena</w:t>
            </w:r>
            <w:r w:rsidRPr="00BF57A3">
              <w:rPr>
                <w:sz w:val="22"/>
                <w:szCs w:val="22"/>
              </w:rPr>
              <w:t>:</w:t>
            </w:r>
          </w:p>
        </w:tc>
        <w:tc>
          <w:tcPr>
            <w:tcW w:w="2976" w:type="dxa"/>
            <w:vAlign w:val="center"/>
          </w:tcPr>
          <w:p w14:paraId="00DEA22C" w14:textId="77777777" w:rsidR="00682D41" w:rsidRPr="00BF57A3" w:rsidDel="00682D41" w:rsidRDefault="00682D41" w:rsidP="006C640E">
            <w:pPr>
              <w:autoSpaceDE w:val="0"/>
              <w:autoSpaceDN w:val="0"/>
              <w:adjustRightInd w:val="0"/>
              <w:jc w:val="both"/>
              <w:rPr>
                <w:i/>
                <w:sz w:val="22"/>
                <w:szCs w:val="22"/>
              </w:rPr>
            </w:pPr>
            <w:r w:rsidRPr="00BF57A3">
              <w:rPr>
                <w:sz w:val="22"/>
                <w:szCs w:val="22"/>
              </w:rPr>
              <w:t>Fotosenzitivna reakcija, urtikarija,  bolna koža,  generalizovani pruritus, pruritički osip, poremećaj kože, poremećaj pigmentacije, hiperhidroza, onihomadeza, eritematozni osip, generalizovani osip, dermatitis, noćno znojenje, makulopapularni osip, vitiligo, hipotrihoza, osjetljivost ležišta nokta, nelagoda u noktima, makularni osip, papularni osip, lezije na koži, natečeno lice</w:t>
            </w:r>
          </w:p>
        </w:tc>
        <w:tc>
          <w:tcPr>
            <w:tcW w:w="2552" w:type="dxa"/>
          </w:tcPr>
          <w:p w14:paraId="780022FC" w14:textId="77777777" w:rsidR="00682D41" w:rsidRPr="00BF57A3" w:rsidRDefault="00682D41" w:rsidP="006C640E">
            <w:pPr>
              <w:autoSpaceDE w:val="0"/>
              <w:autoSpaceDN w:val="0"/>
              <w:adjustRightInd w:val="0"/>
              <w:jc w:val="both"/>
              <w:rPr>
                <w:i/>
                <w:sz w:val="22"/>
                <w:szCs w:val="22"/>
              </w:rPr>
            </w:pPr>
          </w:p>
        </w:tc>
        <w:tc>
          <w:tcPr>
            <w:tcW w:w="2835" w:type="dxa"/>
          </w:tcPr>
          <w:p w14:paraId="384B15CF" w14:textId="77777777" w:rsidR="00682D41" w:rsidRPr="00BF57A3" w:rsidRDefault="005A574F" w:rsidP="006C640E">
            <w:pPr>
              <w:autoSpaceDE w:val="0"/>
              <w:autoSpaceDN w:val="0"/>
              <w:adjustRightInd w:val="0"/>
              <w:jc w:val="both"/>
              <w:rPr>
                <w:i/>
                <w:sz w:val="22"/>
                <w:szCs w:val="22"/>
                <w:lang w:val="es-ES"/>
              </w:rPr>
            </w:pPr>
            <w:r w:rsidRPr="00BF57A3">
              <w:rPr>
                <w:sz w:val="22"/>
                <w:szCs w:val="22"/>
                <w:lang w:val="es-ES"/>
              </w:rPr>
              <w:t>Eksfolijacija kože, alergijski dermatitis, urtikarija</w:t>
            </w:r>
          </w:p>
        </w:tc>
      </w:tr>
      <w:tr w:rsidR="00682D41" w:rsidRPr="00BF57A3" w14:paraId="0767E220" w14:textId="77777777" w:rsidTr="00AF2CC5">
        <w:trPr>
          <w:cantSplit/>
        </w:trPr>
        <w:tc>
          <w:tcPr>
            <w:tcW w:w="1555" w:type="dxa"/>
            <w:vAlign w:val="center"/>
          </w:tcPr>
          <w:p w14:paraId="489B5C2B" w14:textId="77777777" w:rsidR="00682D41" w:rsidRPr="00BF57A3" w:rsidDel="00682D41" w:rsidRDefault="00682D41" w:rsidP="006C640E">
            <w:pPr>
              <w:snapToGrid w:val="0"/>
              <w:jc w:val="both"/>
              <w:rPr>
                <w:bCs/>
                <w:sz w:val="22"/>
                <w:szCs w:val="22"/>
              </w:rPr>
            </w:pPr>
            <w:r w:rsidRPr="00BF57A3">
              <w:rPr>
                <w:i/>
                <w:color w:val="000000"/>
                <w:sz w:val="22"/>
                <w:szCs w:val="22"/>
              </w:rPr>
              <w:t>Veoma r</w:t>
            </w:r>
            <w:r w:rsidRPr="00BF57A3">
              <w:rPr>
                <w:i/>
                <w:sz w:val="22"/>
                <w:szCs w:val="22"/>
              </w:rPr>
              <w:t>ijetka</w:t>
            </w:r>
            <w:r w:rsidRPr="00BF57A3">
              <w:rPr>
                <w:i/>
                <w:color w:val="000000"/>
                <w:sz w:val="22"/>
                <w:szCs w:val="22"/>
              </w:rPr>
              <w:t>:</w:t>
            </w:r>
          </w:p>
        </w:tc>
        <w:tc>
          <w:tcPr>
            <w:tcW w:w="2976" w:type="dxa"/>
            <w:vAlign w:val="center"/>
          </w:tcPr>
          <w:p w14:paraId="0B2BB7EA" w14:textId="77777777" w:rsidR="00682D41" w:rsidRPr="00BF57A3" w:rsidDel="00682D41" w:rsidRDefault="00682D41" w:rsidP="006C640E">
            <w:pPr>
              <w:autoSpaceDE w:val="0"/>
              <w:autoSpaceDN w:val="0"/>
              <w:adjustRightInd w:val="0"/>
              <w:jc w:val="both"/>
              <w:rPr>
                <w:i/>
                <w:sz w:val="22"/>
                <w:szCs w:val="22"/>
              </w:rPr>
            </w:pPr>
            <w:r w:rsidRPr="00BF57A3">
              <w:rPr>
                <w:sz w:val="22"/>
                <w:szCs w:val="22"/>
              </w:rPr>
              <w:t>Stevens-Johnson-ov sindrom</w:t>
            </w:r>
            <w:r w:rsidR="00B1345A" w:rsidRPr="00BF57A3">
              <w:rPr>
                <w:sz w:val="22"/>
                <w:szCs w:val="22"/>
                <w:vertAlign w:val="superscript"/>
              </w:rPr>
              <w:t>1</w:t>
            </w:r>
            <w:r w:rsidRPr="00BF57A3">
              <w:rPr>
                <w:sz w:val="22"/>
                <w:szCs w:val="22"/>
              </w:rPr>
              <w:t>, toksična epidermalna nekroliza</w:t>
            </w:r>
            <w:r w:rsidR="00B1345A" w:rsidRPr="00BF57A3">
              <w:rPr>
                <w:sz w:val="22"/>
                <w:szCs w:val="22"/>
                <w:vertAlign w:val="superscript"/>
              </w:rPr>
              <w:t>1</w:t>
            </w:r>
          </w:p>
        </w:tc>
        <w:tc>
          <w:tcPr>
            <w:tcW w:w="2552" w:type="dxa"/>
          </w:tcPr>
          <w:p w14:paraId="273B3AC4" w14:textId="77777777" w:rsidR="00682D41" w:rsidRPr="00BF57A3" w:rsidRDefault="00682D41" w:rsidP="006C640E">
            <w:pPr>
              <w:autoSpaceDE w:val="0"/>
              <w:autoSpaceDN w:val="0"/>
              <w:adjustRightInd w:val="0"/>
              <w:jc w:val="both"/>
              <w:rPr>
                <w:i/>
                <w:sz w:val="22"/>
                <w:szCs w:val="22"/>
              </w:rPr>
            </w:pPr>
          </w:p>
        </w:tc>
        <w:tc>
          <w:tcPr>
            <w:tcW w:w="2835" w:type="dxa"/>
          </w:tcPr>
          <w:p w14:paraId="264A31DE" w14:textId="77777777" w:rsidR="00682D41" w:rsidRPr="00BF57A3" w:rsidRDefault="00682D41" w:rsidP="006C640E">
            <w:pPr>
              <w:autoSpaceDE w:val="0"/>
              <w:autoSpaceDN w:val="0"/>
              <w:adjustRightInd w:val="0"/>
              <w:jc w:val="both"/>
              <w:rPr>
                <w:i/>
                <w:sz w:val="22"/>
                <w:szCs w:val="22"/>
              </w:rPr>
            </w:pPr>
          </w:p>
        </w:tc>
      </w:tr>
      <w:tr w:rsidR="00B1345A" w:rsidRPr="00BF57A3" w14:paraId="2F1DDB26" w14:textId="77777777" w:rsidTr="00AF2CC5">
        <w:trPr>
          <w:cantSplit/>
        </w:trPr>
        <w:tc>
          <w:tcPr>
            <w:tcW w:w="1555" w:type="dxa"/>
            <w:vAlign w:val="center"/>
          </w:tcPr>
          <w:p w14:paraId="375A9C40" w14:textId="77777777" w:rsidR="00B1345A" w:rsidRPr="00BF57A3" w:rsidRDefault="00B1345A" w:rsidP="006C640E">
            <w:pPr>
              <w:snapToGrid w:val="0"/>
              <w:jc w:val="both"/>
              <w:rPr>
                <w:bCs/>
                <w:i/>
                <w:sz w:val="22"/>
                <w:szCs w:val="22"/>
                <w:lang w:val="fi-FI"/>
              </w:rPr>
            </w:pPr>
            <w:r w:rsidRPr="00BF57A3">
              <w:rPr>
                <w:bCs/>
                <w:i/>
                <w:sz w:val="22"/>
                <w:szCs w:val="22"/>
                <w:lang w:val="fi-FI"/>
              </w:rPr>
              <w:t>Nepoznata:</w:t>
            </w:r>
          </w:p>
        </w:tc>
        <w:tc>
          <w:tcPr>
            <w:tcW w:w="2976" w:type="dxa"/>
            <w:vAlign w:val="center"/>
          </w:tcPr>
          <w:p w14:paraId="2A2906B0" w14:textId="77777777" w:rsidR="00B1345A" w:rsidRPr="00BF57A3" w:rsidRDefault="00B1345A" w:rsidP="006C640E">
            <w:pPr>
              <w:autoSpaceDE w:val="0"/>
              <w:autoSpaceDN w:val="0"/>
              <w:adjustRightInd w:val="0"/>
              <w:jc w:val="both"/>
              <w:rPr>
                <w:sz w:val="22"/>
                <w:szCs w:val="22"/>
                <w:lang w:val="es-ES"/>
              </w:rPr>
            </w:pPr>
            <w:r w:rsidRPr="00BF57A3">
              <w:rPr>
                <w:sz w:val="22"/>
                <w:szCs w:val="22"/>
                <w:lang w:val="es-ES"/>
              </w:rPr>
              <w:t>Sindrom palmarno-plantarna</w:t>
            </w:r>
          </w:p>
          <w:p w14:paraId="02F253B3" w14:textId="77777777" w:rsidR="00B1345A" w:rsidRPr="00BF57A3" w:rsidRDefault="00B1345A" w:rsidP="006C640E">
            <w:pPr>
              <w:autoSpaceDE w:val="0"/>
              <w:autoSpaceDN w:val="0"/>
              <w:adjustRightInd w:val="0"/>
              <w:jc w:val="both"/>
              <w:rPr>
                <w:i/>
                <w:sz w:val="22"/>
                <w:szCs w:val="22"/>
                <w:lang w:val="es-ES"/>
              </w:rPr>
            </w:pPr>
            <w:r w:rsidRPr="00BF57A3">
              <w:rPr>
                <w:sz w:val="22"/>
                <w:szCs w:val="22"/>
                <w:lang w:val="es-ES"/>
              </w:rPr>
              <w:t>eritrodisestezija</w:t>
            </w:r>
            <w:r w:rsidRPr="00BF57A3">
              <w:rPr>
                <w:sz w:val="22"/>
                <w:szCs w:val="22"/>
                <w:vertAlign w:val="superscript"/>
                <w:lang w:val="es-ES"/>
              </w:rPr>
              <w:t>1</w:t>
            </w:r>
            <w:r w:rsidRPr="00BF57A3">
              <w:rPr>
                <w:iCs/>
                <w:sz w:val="22"/>
                <w:szCs w:val="22"/>
                <w:vertAlign w:val="superscript"/>
                <w:lang w:val="es-ES"/>
              </w:rPr>
              <w:t>,</w:t>
            </w:r>
            <w:r w:rsidR="00392211" w:rsidRPr="00BF57A3">
              <w:rPr>
                <w:iCs/>
                <w:sz w:val="22"/>
                <w:szCs w:val="22"/>
                <w:vertAlign w:val="superscript"/>
                <w:lang w:val="es-ES"/>
              </w:rPr>
              <w:t>4</w:t>
            </w:r>
            <w:r w:rsidRPr="00BF57A3">
              <w:rPr>
                <w:i/>
                <w:sz w:val="22"/>
                <w:szCs w:val="22"/>
                <w:lang w:val="es-ES"/>
              </w:rPr>
              <w:t xml:space="preserve"> </w:t>
            </w:r>
            <w:r w:rsidR="00EA4A30" w:rsidRPr="00BF57A3">
              <w:rPr>
                <w:sz w:val="22"/>
                <w:szCs w:val="22"/>
                <w:lang w:val="es-ES"/>
              </w:rPr>
              <w:t>skleroderm</w:t>
            </w:r>
            <w:r w:rsidRPr="00BF57A3">
              <w:rPr>
                <w:sz w:val="22"/>
                <w:szCs w:val="22"/>
                <w:lang w:val="es-ES"/>
              </w:rPr>
              <w:t>a</w:t>
            </w:r>
            <w:r w:rsidRPr="00BF57A3">
              <w:rPr>
                <w:sz w:val="22"/>
                <w:szCs w:val="22"/>
                <w:vertAlign w:val="superscript"/>
                <w:lang w:val="es-ES"/>
              </w:rPr>
              <w:t>1</w:t>
            </w:r>
            <w:r w:rsidR="00EA4A30" w:rsidRPr="00BF57A3">
              <w:rPr>
                <w:sz w:val="22"/>
                <w:szCs w:val="22"/>
                <w:lang w:val="es-ES"/>
              </w:rPr>
              <w:t xml:space="preserve"> </w:t>
            </w:r>
          </w:p>
        </w:tc>
        <w:tc>
          <w:tcPr>
            <w:tcW w:w="2552" w:type="dxa"/>
          </w:tcPr>
          <w:p w14:paraId="2581B1A0" w14:textId="77777777" w:rsidR="00B1345A" w:rsidRPr="00BF57A3" w:rsidRDefault="00B1345A" w:rsidP="006C640E">
            <w:pPr>
              <w:autoSpaceDE w:val="0"/>
              <w:autoSpaceDN w:val="0"/>
              <w:adjustRightInd w:val="0"/>
              <w:jc w:val="both"/>
              <w:rPr>
                <w:i/>
                <w:sz w:val="22"/>
                <w:szCs w:val="22"/>
                <w:lang w:val="es-ES"/>
              </w:rPr>
            </w:pPr>
          </w:p>
        </w:tc>
        <w:tc>
          <w:tcPr>
            <w:tcW w:w="2835" w:type="dxa"/>
          </w:tcPr>
          <w:p w14:paraId="7B88186C" w14:textId="77777777" w:rsidR="00B1345A" w:rsidRPr="00BF57A3" w:rsidRDefault="00B1345A" w:rsidP="006C640E">
            <w:pPr>
              <w:autoSpaceDE w:val="0"/>
              <w:autoSpaceDN w:val="0"/>
              <w:adjustRightInd w:val="0"/>
              <w:jc w:val="both"/>
              <w:rPr>
                <w:i/>
                <w:sz w:val="22"/>
                <w:szCs w:val="22"/>
                <w:lang w:val="es-ES"/>
              </w:rPr>
            </w:pPr>
          </w:p>
        </w:tc>
      </w:tr>
      <w:tr w:rsidR="00B1345A" w:rsidRPr="00BF57A3" w14:paraId="1FA3FD9E" w14:textId="77777777" w:rsidTr="00E9313F">
        <w:trPr>
          <w:cantSplit/>
        </w:trPr>
        <w:tc>
          <w:tcPr>
            <w:tcW w:w="9918" w:type="dxa"/>
            <w:gridSpan w:val="4"/>
            <w:vAlign w:val="center"/>
          </w:tcPr>
          <w:p w14:paraId="276D1AA5" w14:textId="77777777" w:rsidR="00B1345A" w:rsidRPr="00BF57A3" w:rsidRDefault="00B1345A" w:rsidP="006C640E">
            <w:pPr>
              <w:autoSpaceDE w:val="0"/>
              <w:autoSpaceDN w:val="0"/>
              <w:adjustRightInd w:val="0"/>
              <w:jc w:val="both"/>
              <w:rPr>
                <w:i/>
                <w:sz w:val="22"/>
                <w:szCs w:val="22"/>
                <w:lang w:val="es-ES"/>
              </w:rPr>
            </w:pPr>
            <w:r w:rsidRPr="00BF57A3">
              <w:rPr>
                <w:b/>
                <w:bCs/>
                <w:sz w:val="22"/>
                <w:szCs w:val="22"/>
                <w:lang w:val="es-ES"/>
              </w:rPr>
              <w:t>Poremećaji mišićno-skeletnog, vezivnog i koštanog tkiva</w:t>
            </w:r>
          </w:p>
        </w:tc>
      </w:tr>
      <w:tr w:rsidR="008878C8" w:rsidRPr="00BF57A3" w14:paraId="06839E25" w14:textId="77777777" w:rsidTr="00AF2CC5">
        <w:trPr>
          <w:cantSplit/>
        </w:trPr>
        <w:tc>
          <w:tcPr>
            <w:tcW w:w="1555" w:type="dxa"/>
            <w:vAlign w:val="center"/>
          </w:tcPr>
          <w:p w14:paraId="7145496C" w14:textId="77777777" w:rsidR="008878C8" w:rsidRPr="00BF57A3" w:rsidRDefault="00C909E8" w:rsidP="006C640E">
            <w:pPr>
              <w:snapToGrid w:val="0"/>
              <w:jc w:val="both"/>
              <w:rPr>
                <w:bCs/>
                <w:sz w:val="22"/>
                <w:szCs w:val="22"/>
                <w:lang w:val="fi-FI"/>
              </w:rPr>
            </w:pPr>
            <w:r w:rsidRPr="00BF57A3">
              <w:rPr>
                <w:i/>
                <w:sz w:val="22"/>
                <w:szCs w:val="22"/>
                <w:lang w:val="es-ES"/>
              </w:rPr>
              <w:t>Veoma česta</w:t>
            </w:r>
            <w:r w:rsidRPr="00BF57A3">
              <w:rPr>
                <w:sz w:val="22"/>
                <w:szCs w:val="22"/>
                <w:lang w:val="es-ES"/>
              </w:rPr>
              <w:t xml:space="preserve">: </w:t>
            </w:r>
          </w:p>
        </w:tc>
        <w:tc>
          <w:tcPr>
            <w:tcW w:w="2976" w:type="dxa"/>
            <w:vAlign w:val="center"/>
          </w:tcPr>
          <w:p w14:paraId="0A1EA8D4" w14:textId="77777777" w:rsidR="008878C8" w:rsidRPr="00BF57A3" w:rsidRDefault="00C909E8" w:rsidP="006C640E">
            <w:pPr>
              <w:autoSpaceDE w:val="0"/>
              <w:autoSpaceDN w:val="0"/>
              <w:adjustRightInd w:val="0"/>
              <w:jc w:val="both"/>
              <w:rPr>
                <w:sz w:val="22"/>
                <w:szCs w:val="22"/>
                <w:lang w:val="es-ES"/>
              </w:rPr>
            </w:pPr>
            <w:r w:rsidRPr="00BF57A3">
              <w:rPr>
                <w:sz w:val="22"/>
                <w:szCs w:val="22"/>
                <w:lang w:val="es-ES"/>
              </w:rPr>
              <w:t>A</w:t>
            </w:r>
            <w:r w:rsidR="008878C8" w:rsidRPr="00BF57A3">
              <w:rPr>
                <w:sz w:val="22"/>
                <w:szCs w:val="22"/>
                <w:lang w:val="es-ES"/>
              </w:rPr>
              <w:t>rtralgija, mijalgija</w:t>
            </w:r>
          </w:p>
          <w:p w14:paraId="553F7267" w14:textId="77777777" w:rsidR="008878C8" w:rsidRPr="00BF57A3" w:rsidRDefault="008878C8" w:rsidP="006C640E">
            <w:pPr>
              <w:autoSpaceDE w:val="0"/>
              <w:autoSpaceDN w:val="0"/>
              <w:adjustRightInd w:val="0"/>
              <w:jc w:val="both"/>
              <w:rPr>
                <w:i/>
                <w:sz w:val="22"/>
                <w:szCs w:val="22"/>
                <w:lang w:val="es-ES"/>
              </w:rPr>
            </w:pPr>
          </w:p>
        </w:tc>
        <w:tc>
          <w:tcPr>
            <w:tcW w:w="2552" w:type="dxa"/>
          </w:tcPr>
          <w:p w14:paraId="7E14CBC1" w14:textId="77777777" w:rsidR="008878C8" w:rsidRPr="00BF57A3" w:rsidRDefault="00C909E8" w:rsidP="006C640E">
            <w:pPr>
              <w:autoSpaceDE w:val="0"/>
              <w:autoSpaceDN w:val="0"/>
              <w:adjustRightInd w:val="0"/>
              <w:jc w:val="both"/>
              <w:rPr>
                <w:sz w:val="22"/>
                <w:szCs w:val="22"/>
                <w:lang w:val="es-ES"/>
              </w:rPr>
            </w:pPr>
            <w:r w:rsidRPr="00BF57A3">
              <w:rPr>
                <w:sz w:val="22"/>
                <w:szCs w:val="22"/>
                <w:lang w:val="es-ES"/>
              </w:rPr>
              <w:t>Artralgija, mijalgija, bol u ekstremitetima</w:t>
            </w:r>
          </w:p>
        </w:tc>
        <w:tc>
          <w:tcPr>
            <w:tcW w:w="2835" w:type="dxa"/>
          </w:tcPr>
          <w:p w14:paraId="7ED9B25B" w14:textId="77777777" w:rsidR="00C909E8" w:rsidRPr="00BF57A3" w:rsidRDefault="00C909E8" w:rsidP="006C640E">
            <w:pPr>
              <w:autoSpaceDE w:val="0"/>
              <w:autoSpaceDN w:val="0"/>
              <w:adjustRightInd w:val="0"/>
              <w:jc w:val="both"/>
              <w:rPr>
                <w:sz w:val="22"/>
                <w:szCs w:val="22"/>
                <w:lang w:val="es-ES"/>
              </w:rPr>
            </w:pPr>
            <w:r w:rsidRPr="00BF57A3">
              <w:rPr>
                <w:sz w:val="22"/>
                <w:szCs w:val="22"/>
                <w:lang w:val="es-ES"/>
              </w:rPr>
              <w:t>Artralgija, mijalgija</w:t>
            </w:r>
          </w:p>
          <w:p w14:paraId="009C4805" w14:textId="77777777" w:rsidR="008878C8" w:rsidRPr="00BF57A3" w:rsidRDefault="008878C8" w:rsidP="006C640E">
            <w:pPr>
              <w:autoSpaceDE w:val="0"/>
              <w:autoSpaceDN w:val="0"/>
              <w:adjustRightInd w:val="0"/>
              <w:jc w:val="both"/>
              <w:rPr>
                <w:i/>
                <w:sz w:val="22"/>
                <w:szCs w:val="22"/>
                <w:lang w:val="es-ES"/>
              </w:rPr>
            </w:pPr>
          </w:p>
        </w:tc>
      </w:tr>
      <w:tr w:rsidR="00C909E8" w:rsidRPr="00BF57A3" w14:paraId="37E5B449" w14:textId="77777777" w:rsidTr="00AF2CC5">
        <w:trPr>
          <w:cantSplit/>
        </w:trPr>
        <w:tc>
          <w:tcPr>
            <w:tcW w:w="1555" w:type="dxa"/>
            <w:vAlign w:val="center"/>
          </w:tcPr>
          <w:p w14:paraId="02569902" w14:textId="77777777" w:rsidR="00C909E8" w:rsidRPr="00BF57A3" w:rsidDel="00B1345A" w:rsidRDefault="00C909E8" w:rsidP="006C640E">
            <w:pPr>
              <w:snapToGrid w:val="0"/>
              <w:jc w:val="both"/>
              <w:rPr>
                <w:bCs/>
                <w:sz w:val="22"/>
                <w:szCs w:val="22"/>
                <w:lang w:val="fi-FI"/>
              </w:rPr>
            </w:pPr>
            <w:r w:rsidRPr="00BF57A3">
              <w:rPr>
                <w:i/>
                <w:sz w:val="22"/>
                <w:szCs w:val="22"/>
                <w:lang w:val="es-ES"/>
              </w:rPr>
              <w:t>Česta</w:t>
            </w:r>
            <w:r w:rsidRPr="00BF57A3">
              <w:rPr>
                <w:sz w:val="22"/>
                <w:szCs w:val="22"/>
                <w:lang w:val="es-ES"/>
              </w:rPr>
              <w:t>:</w:t>
            </w:r>
          </w:p>
        </w:tc>
        <w:tc>
          <w:tcPr>
            <w:tcW w:w="2976" w:type="dxa"/>
            <w:vAlign w:val="center"/>
          </w:tcPr>
          <w:p w14:paraId="4F389D1A" w14:textId="77777777" w:rsidR="00C909E8" w:rsidRPr="00BF57A3" w:rsidRDefault="00C909E8" w:rsidP="006C640E">
            <w:pPr>
              <w:autoSpaceDE w:val="0"/>
              <w:autoSpaceDN w:val="0"/>
              <w:adjustRightInd w:val="0"/>
              <w:jc w:val="both"/>
              <w:rPr>
                <w:i/>
                <w:sz w:val="22"/>
                <w:szCs w:val="22"/>
                <w:lang w:val="es-ES"/>
              </w:rPr>
            </w:pPr>
            <w:r w:rsidRPr="00BF57A3">
              <w:rPr>
                <w:sz w:val="22"/>
                <w:szCs w:val="22"/>
                <w:lang w:val="fi-FI"/>
              </w:rPr>
              <w:t>B</w:t>
            </w:r>
            <w:r w:rsidRPr="00BF57A3">
              <w:rPr>
                <w:sz w:val="22"/>
                <w:szCs w:val="22"/>
                <w:lang w:val="es-ES"/>
              </w:rPr>
              <w:t>ol u leđima, bol u ekstremitetima, bol u kostima, grčevi u mišićima, bol u udovima</w:t>
            </w:r>
          </w:p>
        </w:tc>
        <w:tc>
          <w:tcPr>
            <w:tcW w:w="2552" w:type="dxa"/>
          </w:tcPr>
          <w:p w14:paraId="49EFD1EE" w14:textId="77777777" w:rsidR="00C909E8" w:rsidRPr="00BF57A3" w:rsidRDefault="00C909E8" w:rsidP="006C640E">
            <w:pPr>
              <w:autoSpaceDE w:val="0"/>
              <w:autoSpaceDN w:val="0"/>
              <w:adjustRightInd w:val="0"/>
              <w:jc w:val="both"/>
              <w:rPr>
                <w:i/>
                <w:sz w:val="22"/>
                <w:szCs w:val="22"/>
                <w:lang w:val="es-ES"/>
              </w:rPr>
            </w:pPr>
            <w:r w:rsidRPr="00BF57A3">
              <w:rPr>
                <w:sz w:val="22"/>
                <w:szCs w:val="22"/>
                <w:lang w:val="fi-FI"/>
              </w:rPr>
              <w:t>Mišićna slabost, bol u kostima</w:t>
            </w:r>
          </w:p>
        </w:tc>
        <w:tc>
          <w:tcPr>
            <w:tcW w:w="2835" w:type="dxa"/>
          </w:tcPr>
          <w:p w14:paraId="10556A8F" w14:textId="77777777" w:rsidR="00C909E8" w:rsidRPr="00BF57A3" w:rsidRDefault="00C909E8" w:rsidP="006C640E">
            <w:pPr>
              <w:autoSpaceDE w:val="0"/>
              <w:autoSpaceDN w:val="0"/>
              <w:adjustRightInd w:val="0"/>
              <w:jc w:val="both"/>
              <w:rPr>
                <w:i/>
                <w:sz w:val="22"/>
                <w:szCs w:val="22"/>
                <w:lang w:val="es-ES"/>
              </w:rPr>
            </w:pPr>
            <w:r w:rsidRPr="00BF57A3">
              <w:rPr>
                <w:sz w:val="22"/>
                <w:szCs w:val="22"/>
                <w:lang w:val="fi-FI"/>
              </w:rPr>
              <w:t>B</w:t>
            </w:r>
            <w:r w:rsidRPr="00BF57A3">
              <w:rPr>
                <w:sz w:val="22"/>
                <w:szCs w:val="22"/>
                <w:lang w:val="es-ES"/>
              </w:rPr>
              <w:t xml:space="preserve">ol u leđima, bol u ekstremitetima, </w:t>
            </w:r>
            <w:r w:rsidRPr="00BF57A3">
              <w:rPr>
                <w:sz w:val="22"/>
                <w:szCs w:val="22"/>
                <w:lang w:val="fi-FI"/>
              </w:rPr>
              <w:t>bol u kostima i mišićima</w:t>
            </w:r>
          </w:p>
        </w:tc>
      </w:tr>
      <w:tr w:rsidR="00C909E8" w:rsidRPr="00BF57A3" w14:paraId="2761932A" w14:textId="77777777" w:rsidTr="00AF2CC5">
        <w:trPr>
          <w:cantSplit/>
        </w:trPr>
        <w:tc>
          <w:tcPr>
            <w:tcW w:w="1555" w:type="dxa"/>
            <w:vAlign w:val="center"/>
          </w:tcPr>
          <w:p w14:paraId="0242212D" w14:textId="77777777" w:rsidR="00C909E8" w:rsidRPr="00BF57A3" w:rsidDel="00B1345A" w:rsidRDefault="00C909E8" w:rsidP="006C640E">
            <w:pPr>
              <w:snapToGrid w:val="0"/>
              <w:jc w:val="both"/>
              <w:rPr>
                <w:bCs/>
                <w:sz w:val="22"/>
                <w:szCs w:val="22"/>
                <w:lang w:val="fi-FI"/>
              </w:rPr>
            </w:pPr>
            <w:r w:rsidRPr="00BF57A3">
              <w:rPr>
                <w:i/>
                <w:sz w:val="22"/>
                <w:szCs w:val="22"/>
                <w:lang w:val="es-ES"/>
              </w:rPr>
              <w:t>Povremena</w:t>
            </w:r>
            <w:r w:rsidRPr="00BF57A3">
              <w:rPr>
                <w:sz w:val="22"/>
                <w:szCs w:val="22"/>
                <w:lang w:val="es-ES"/>
              </w:rPr>
              <w:t>:</w:t>
            </w:r>
          </w:p>
        </w:tc>
        <w:tc>
          <w:tcPr>
            <w:tcW w:w="2976" w:type="dxa"/>
            <w:vAlign w:val="center"/>
          </w:tcPr>
          <w:p w14:paraId="3DFF67DB" w14:textId="77777777" w:rsidR="00C909E8" w:rsidRPr="00BF57A3" w:rsidRDefault="00C909E8" w:rsidP="006C640E">
            <w:pPr>
              <w:autoSpaceDE w:val="0"/>
              <w:autoSpaceDN w:val="0"/>
              <w:adjustRightInd w:val="0"/>
              <w:jc w:val="both"/>
              <w:rPr>
                <w:i/>
                <w:sz w:val="22"/>
                <w:szCs w:val="22"/>
                <w:lang w:val="fi-FI"/>
              </w:rPr>
            </w:pPr>
            <w:r w:rsidRPr="00BF57A3">
              <w:rPr>
                <w:sz w:val="22"/>
                <w:szCs w:val="22"/>
                <w:lang w:val="fi-FI"/>
              </w:rPr>
              <w:t>Bol u zidu grudnog koša, mišićna slabost, bol u vratu, bol u preponama, spazam mišića, bol u kostima i mišićima, bol u slabinama, nelagoda u udovima, slabost mišića</w:t>
            </w:r>
          </w:p>
        </w:tc>
        <w:tc>
          <w:tcPr>
            <w:tcW w:w="2552" w:type="dxa"/>
          </w:tcPr>
          <w:p w14:paraId="0A40125C" w14:textId="77777777" w:rsidR="00C909E8" w:rsidRPr="00BF57A3" w:rsidRDefault="00C909E8" w:rsidP="006C640E">
            <w:pPr>
              <w:autoSpaceDE w:val="0"/>
              <w:autoSpaceDN w:val="0"/>
              <w:adjustRightInd w:val="0"/>
              <w:jc w:val="both"/>
              <w:rPr>
                <w:i/>
                <w:sz w:val="22"/>
                <w:szCs w:val="22"/>
                <w:lang w:val="fi-FI"/>
              </w:rPr>
            </w:pPr>
          </w:p>
        </w:tc>
        <w:tc>
          <w:tcPr>
            <w:tcW w:w="2835" w:type="dxa"/>
          </w:tcPr>
          <w:p w14:paraId="570CF6B6" w14:textId="77777777" w:rsidR="00C909E8" w:rsidRPr="00BF57A3" w:rsidRDefault="00C909E8" w:rsidP="006C640E">
            <w:pPr>
              <w:autoSpaceDE w:val="0"/>
              <w:autoSpaceDN w:val="0"/>
              <w:adjustRightInd w:val="0"/>
              <w:jc w:val="both"/>
              <w:rPr>
                <w:i/>
                <w:sz w:val="22"/>
                <w:szCs w:val="22"/>
                <w:lang w:val="fi-FI"/>
              </w:rPr>
            </w:pPr>
          </w:p>
        </w:tc>
      </w:tr>
      <w:tr w:rsidR="007B0C61" w:rsidRPr="00BF57A3" w14:paraId="6600624B" w14:textId="77777777" w:rsidTr="00E9313F">
        <w:trPr>
          <w:cantSplit/>
        </w:trPr>
        <w:tc>
          <w:tcPr>
            <w:tcW w:w="9918" w:type="dxa"/>
            <w:gridSpan w:val="4"/>
            <w:vAlign w:val="center"/>
          </w:tcPr>
          <w:p w14:paraId="65576D13" w14:textId="77777777" w:rsidR="007B0C61" w:rsidRPr="00BF57A3" w:rsidRDefault="007B0C61" w:rsidP="006C640E">
            <w:pPr>
              <w:autoSpaceDE w:val="0"/>
              <w:autoSpaceDN w:val="0"/>
              <w:adjustRightInd w:val="0"/>
              <w:jc w:val="both"/>
              <w:rPr>
                <w:i/>
                <w:sz w:val="22"/>
                <w:szCs w:val="22"/>
                <w:lang w:val="fi-FI"/>
              </w:rPr>
            </w:pPr>
            <w:r w:rsidRPr="00BF57A3">
              <w:rPr>
                <w:b/>
                <w:bCs/>
                <w:sz w:val="22"/>
                <w:szCs w:val="22"/>
                <w:lang w:val="es-ES"/>
              </w:rPr>
              <w:t>Poremećaji na nivou bubrega i urinarnog sistema</w:t>
            </w:r>
          </w:p>
        </w:tc>
      </w:tr>
      <w:tr w:rsidR="007B0C61" w:rsidRPr="00BF57A3" w14:paraId="5CA246BE" w14:textId="77777777" w:rsidTr="00AF2CC5">
        <w:trPr>
          <w:cantSplit/>
        </w:trPr>
        <w:tc>
          <w:tcPr>
            <w:tcW w:w="1555" w:type="dxa"/>
            <w:vAlign w:val="center"/>
          </w:tcPr>
          <w:p w14:paraId="37C7C2C5" w14:textId="77777777" w:rsidR="007B0C61" w:rsidRPr="00BF57A3" w:rsidDel="007B0C61" w:rsidRDefault="007B0C61" w:rsidP="006C640E">
            <w:pPr>
              <w:snapToGrid w:val="0"/>
              <w:jc w:val="both"/>
              <w:rPr>
                <w:bCs/>
                <w:i/>
                <w:sz w:val="22"/>
                <w:szCs w:val="22"/>
                <w:lang w:val="es-ES"/>
              </w:rPr>
            </w:pPr>
            <w:r w:rsidRPr="00BF57A3">
              <w:rPr>
                <w:bCs/>
                <w:i/>
                <w:sz w:val="22"/>
                <w:szCs w:val="22"/>
                <w:lang w:val="es-ES"/>
              </w:rPr>
              <w:t>Česta:</w:t>
            </w:r>
          </w:p>
        </w:tc>
        <w:tc>
          <w:tcPr>
            <w:tcW w:w="2976" w:type="dxa"/>
            <w:vAlign w:val="center"/>
          </w:tcPr>
          <w:p w14:paraId="0587CC26" w14:textId="77777777" w:rsidR="007B0C61" w:rsidRPr="00BF57A3" w:rsidRDefault="007B0C61" w:rsidP="006C640E">
            <w:pPr>
              <w:autoSpaceDE w:val="0"/>
              <w:autoSpaceDN w:val="0"/>
              <w:adjustRightInd w:val="0"/>
              <w:jc w:val="both"/>
              <w:rPr>
                <w:i/>
                <w:sz w:val="22"/>
                <w:szCs w:val="22"/>
                <w:lang w:val="es-ES"/>
              </w:rPr>
            </w:pPr>
          </w:p>
        </w:tc>
        <w:tc>
          <w:tcPr>
            <w:tcW w:w="2552" w:type="dxa"/>
          </w:tcPr>
          <w:p w14:paraId="45AF7358" w14:textId="77777777" w:rsidR="007B0C61" w:rsidRPr="00BF57A3" w:rsidRDefault="00E9313F" w:rsidP="006C640E">
            <w:pPr>
              <w:autoSpaceDE w:val="0"/>
              <w:autoSpaceDN w:val="0"/>
              <w:adjustRightInd w:val="0"/>
              <w:jc w:val="both"/>
              <w:rPr>
                <w:sz w:val="22"/>
                <w:szCs w:val="22"/>
                <w:lang w:val="es-ES"/>
              </w:rPr>
            </w:pPr>
            <w:r w:rsidRPr="00BF57A3">
              <w:rPr>
                <w:sz w:val="22"/>
                <w:szCs w:val="22"/>
                <w:lang w:val="es-ES"/>
              </w:rPr>
              <w:t>Akutna insuficijencija bubrega</w:t>
            </w:r>
          </w:p>
        </w:tc>
        <w:tc>
          <w:tcPr>
            <w:tcW w:w="2835" w:type="dxa"/>
          </w:tcPr>
          <w:p w14:paraId="76E8D0E1" w14:textId="77777777" w:rsidR="007B0C61" w:rsidRPr="00BF57A3" w:rsidRDefault="007B0C61" w:rsidP="006C640E">
            <w:pPr>
              <w:autoSpaceDE w:val="0"/>
              <w:autoSpaceDN w:val="0"/>
              <w:adjustRightInd w:val="0"/>
              <w:jc w:val="both"/>
              <w:rPr>
                <w:i/>
                <w:sz w:val="22"/>
                <w:szCs w:val="22"/>
                <w:lang w:val="es-ES"/>
              </w:rPr>
            </w:pPr>
          </w:p>
        </w:tc>
      </w:tr>
      <w:tr w:rsidR="008878C8" w:rsidRPr="00BF57A3" w14:paraId="637833FB" w14:textId="77777777" w:rsidTr="00AF2CC5">
        <w:trPr>
          <w:cantSplit/>
        </w:trPr>
        <w:tc>
          <w:tcPr>
            <w:tcW w:w="1555" w:type="dxa"/>
            <w:vAlign w:val="center"/>
          </w:tcPr>
          <w:p w14:paraId="5880BC5E" w14:textId="77777777" w:rsidR="008878C8" w:rsidRPr="00BF57A3" w:rsidRDefault="007B0C61" w:rsidP="006C640E">
            <w:pPr>
              <w:snapToGrid w:val="0"/>
              <w:jc w:val="both"/>
              <w:rPr>
                <w:bCs/>
                <w:sz w:val="22"/>
                <w:szCs w:val="22"/>
                <w:lang w:val="es-ES"/>
              </w:rPr>
            </w:pPr>
            <w:r w:rsidRPr="00BF57A3">
              <w:rPr>
                <w:i/>
                <w:sz w:val="22"/>
                <w:szCs w:val="22"/>
                <w:lang w:val="es-ES"/>
              </w:rPr>
              <w:t>Povremena</w:t>
            </w:r>
            <w:r w:rsidRPr="00BF57A3">
              <w:rPr>
                <w:sz w:val="22"/>
                <w:szCs w:val="22"/>
                <w:lang w:val="es-ES"/>
              </w:rPr>
              <w:t xml:space="preserve">: </w:t>
            </w:r>
          </w:p>
        </w:tc>
        <w:tc>
          <w:tcPr>
            <w:tcW w:w="2976" w:type="dxa"/>
            <w:vAlign w:val="center"/>
          </w:tcPr>
          <w:p w14:paraId="5DC737B7" w14:textId="77777777" w:rsidR="008878C8" w:rsidRPr="00BF57A3" w:rsidRDefault="00E9313F" w:rsidP="006C640E">
            <w:pPr>
              <w:autoSpaceDE w:val="0"/>
              <w:autoSpaceDN w:val="0"/>
              <w:adjustRightInd w:val="0"/>
              <w:jc w:val="both"/>
              <w:rPr>
                <w:color w:val="000000"/>
                <w:sz w:val="22"/>
                <w:szCs w:val="22"/>
                <w:lang w:val="es-ES"/>
              </w:rPr>
            </w:pPr>
            <w:r w:rsidRPr="00BF57A3">
              <w:rPr>
                <w:sz w:val="22"/>
                <w:szCs w:val="22"/>
                <w:lang w:val="es-ES"/>
              </w:rPr>
              <w:t xml:space="preserve">Hematurija, </w:t>
            </w:r>
            <w:r w:rsidR="008878C8" w:rsidRPr="00BF57A3">
              <w:rPr>
                <w:sz w:val="22"/>
                <w:szCs w:val="22"/>
                <w:lang w:val="es-ES"/>
              </w:rPr>
              <w:t xml:space="preserve">dizurija, polakiurija, nokturija, poliurija, urinarna inkontinencija </w:t>
            </w:r>
          </w:p>
        </w:tc>
        <w:tc>
          <w:tcPr>
            <w:tcW w:w="2552" w:type="dxa"/>
          </w:tcPr>
          <w:p w14:paraId="3EB151F4" w14:textId="77777777" w:rsidR="008878C8" w:rsidRPr="00BF57A3" w:rsidRDefault="00E9313F" w:rsidP="006C640E">
            <w:pPr>
              <w:autoSpaceDE w:val="0"/>
              <w:autoSpaceDN w:val="0"/>
              <w:adjustRightInd w:val="0"/>
              <w:jc w:val="both"/>
              <w:rPr>
                <w:i/>
                <w:sz w:val="22"/>
                <w:szCs w:val="22"/>
                <w:lang w:val="es-ES"/>
              </w:rPr>
            </w:pPr>
            <w:r w:rsidRPr="00BF57A3">
              <w:rPr>
                <w:sz w:val="22"/>
                <w:szCs w:val="22"/>
                <w:lang w:val="es-ES"/>
              </w:rPr>
              <w:t>Hemolitički uremijski sindrom</w:t>
            </w:r>
          </w:p>
        </w:tc>
        <w:tc>
          <w:tcPr>
            <w:tcW w:w="2835" w:type="dxa"/>
          </w:tcPr>
          <w:p w14:paraId="33A1DBC0" w14:textId="77777777" w:rsidR="008878C8" w:rsidRPr="00BF57A3" w:rsidRDefault="008878C8" w:rsidP="006C640E">
            <w:pPr>
              <w:autoSpaceDE w:val="0"/>
              <w:autoSpaceDN w:val="0"/>
              <w:adjustRightInd w:val="0"/>
              <w:jc w:val="both"/>
              <w:rPr>
                <w:i/>
                <w:sz w:val="22"/>
                <w:szCs w:val="22"/>
                <w:lang w:val="es-ES"/>
              </w:rPr>
            </w:pPr>
          </w:p>
        </w:tc>
      </w:tr>
      <w:tr w:rsidR="00F36719" w:rsidRPr="00BF57A3" w14:paraId="630D648F" w14:textId="77777777" w:rsidTr="000053A0">
        <w:trPr>
          <w:cantSplit/>
        </w:trPr>
        <w:tc>
          <w:tcPr>
            <w:tcW w:w="9918" w:type="dxa"/>
            <w:gridSpan w:val="4"/>
            <w:vAlign w:val="center"/>
          </w:tcPr>
          <w:p w14:paraId="156F1F38" w14:textId="77777777" w:rsidR="00F36719" w:rsidRPr="00BF57A3" w:rsidRDefault="00F36719" w:rsidP="006C640E">
            <w:pPr>
              <w:autoSpaceDE w:val="0"/>
              <w:autoSpaceDN w:val="0"/>
              <w:adjustRightInd w:val="0"/>
              <w:jc w:val="both"/>
              <w:rPr>
                <w:b/>
                <w:i/>
                <w:sz w:val="22"/>
                <w:szCs w:val="22"/>
                <w:lang w:val="es-ES"/>
              </w:rPr>
            </w:pPr>
            <w:r w:rsidRPr="00BF57A3">
              <w:rPr>
                <w:b/>
                <w:bCs/>
                <w:sz w:val="22"/>
                <w:szCs w:val="22"/>
                <w:lang w:val="es-ES"/>
              </w:rPr>
              <w:t>Poremećaji reproduktivnog sistema i na nivou dojki</w:t>
            </w:r>
          </w:p>
        </w:tc>
      </w:tr>
      <w:tr w:rsidR="008878C8" w:rsidRPr="00BF57A3" w14:paraId="30153B42" w14:textId="77777777" w:rsidTr="00AF2CC5">
        <w:trPr>
          <w:cantSplit/>
        </w:trPr>
        <w:tc>
          <w:tcPr>
            <w:tcW w:w="1555" w:type="dxa"/>
            <w:vAlign w:val="center"/>
          </w:tcPr>
          <w:p w14:paraId="13D7AB27" w14:textId="77777777" w:rsidR="008878C8" w:rsidRPr="00BF57A3" w:rsidRDefault="00F36719" w:rsidP="006C640E">
            <w:pPr>
              <w:snapToGrid w:val="0"/>
              <w:jc w:val="both"/>
              <w:rPr>
                <w:bCs/>
                <w:sz w:val="22"/>
                <w:szCs w:val="22"/>
                <w:lang w:val="es-ES"/>
              </w:rPr>
            </w:pPr>
            <w:r w:rsidRPr="00BF57A3">
              <w:rPr>
                <w:i/>
                <w:sz w:val="22"/>
                <w:szCs w:val="22"/>
              </w:rPr>
              <w:t>Povremena</w:t>
            </w:r>
            <w:r w:rsidRPr="00BF57A3">
              <w:rPr>
                <w:sz w:val="22"/>
                <w:szCs w:val="22"/>
              </w:rPr>
              <w:t xml:space="preserve">: </w:t>
            </w:r>
          </w:p>
        </w:tc>
        <w:tc>
          <w:tcPr>
            <w:tcW w:w="2976" w:type="dxa"/>
            <w:vAlign w:val="center"/>
          </w:tcPr>
          <w:p w14:paraId="53CDAB8B" w14:textId="77777777" w:rsidR="008878C8" w:rsidRPr="00BF57A3" w:rsidRDefault="00F36719" w:rsidP="006C640E">
            <w:pPr>
              <w:autoSpaceDE w:val="0"/>
              <w:autoSpaceDN w:val="0"/>
              <w:adjustRightInd w:val="0"/>
              <w:jc w:val="both"/>
              <w:rPr>
                <w:sz w:val="22"/>
                <w:szCs w:val="22"/>
              </w:rPr>
            </w:pPr>
            <w:r w:rsidRPr="00BF57A3">
              <w:rPr>
                <w:sz w:val="22"/>
                <w:szCs w:val="22"/>
              </w:rPr>
              <w:t>B</w:t>
            </w:r>
            <w:r w:rsidR="008878C8" w:rsidRPr="00BF57A3">
              <w:rPr>
                <w:sz w:val="22"/>
                <w:szCs w:val="22"/>
              </w:rPr>
              <w:t>ol u dojkama</w:t>
            </w:r>
          </w:p>
        </w:tc>
        <w:tc>
          <w:tcPr>
            <w:tcW w:w="2552" w:type="dxa"/>
          </w:tcPr>
          <w:p w14:paraId="143ACC10" w14:textId="77777777" w:rsidR="008878C8" w:rsidRPr="00BF57A3" w:rsidRDefault="008878C8" w:rsidP="006C640E">
            <w:pPr>
              <w:autoSpaceDE w:val="0"/>
              <w:autoSpaceDN w:val="0"/>
              <w:adjustRightInd w:val="0"/>
              <w:jc w:val="both"/>
              <w:rPr>
                <w:i/>
                <w:sz w:val="22"/>
                <w:szCs w:val="22"/>
              </w:rPr>
            </w:pPr>
          </w:p>
        </w:tc>
        <w:tc>
          <w:tcPr>
            <w:tcW w:w="2835" w:type="dxa"/>
          </w:tcPr>
          <w:p w14:paraId="2EB3501D" w14:textId="77777777" w:rsidR="008878C8" w:rsidRPr="00BF57A3" w:rsidRDefault="008878C8" w:rsidP="006C640E">
            <w:pPr>
              <w:autoSpaceDE w:val="0"/>
              <w:autoSpaceDN w:val="0"/>
              <w:adjustRightInd w:val="0"/>
              <w:jc w:val="both"/>
              <w:rPr>
                <w:i/>
                <w:sz w:val="22"/>
                <w:szCs w:val="22"/>
              </w:rPr>
            </w:pPr>
          </w:p>
        </w:tc>
      </w:tr>
      <w:tr w:rsidR="00EB2C36" w:rsidRPr="00BF57A3" w14:paraId="42053EA3" w14:textId="77777777" w:rsidTr="000053A0">
        <w:trPr>
          <w:cantSplit/>
        </w:trPr>
        <w:tc>
          <w:tcPr>
            <w:tcW w:w="9918" w:type="dxa"/>
            <w:gridSpan w:val="4"/>
            <w:vAlign w:val="center"/>
          </w:tcPr>
          <w:p w14:paraId="398F1AD5" w14:textId="77777777" w:rsidR="00EB2C36" w:rsidRPr="00BF57A3" w:rsidRDefault="00EB2C36" w:rsidP="006C640E">
            <w:pPr>
              <w:autoSpaceDE w:val="0"/>
              <w:autoSpaceDN w:val="0"/>
              <w:adjustRightInd w:val="0"/>
              <w:jc w:val="both"/>
              <w:rPr>
                <w:bCs/>
                <w:sz w:val="22"/>
                <w:szCs w:val="22"/>
                <w:lang w:val="fi-FI"/>
              </w:rPr>
            </w:pPr>
            <w:r w:rsidRPr="00BF57A3">
              <w:rPr>
                <w:b/>
                <w:bCs/>
                <w:sz w:val="22"/>
                <w:szCs w:val="22"/>
                <w:lang w:val="es-ES"/>
              </w:rPr>
              <w:t>Opšti poremećaji i reakcije na mjestu primjene</w:t>
            </w:r>
          </w:p>
        </w:tc>
      </w:tr>
      <w:tr w:rsidR="008878C8" w:rsidRPr="00BF57A3" w14:paraId="3297A60C" w14:textId="77777777" w:rsidTr="00AF2CC5">
        <w:trPr>
          <w:cantSplit/>
        </w:trPr>
        <w:tc>
          <w:tcPr>
            <w:tcW w:w="1555" w:type="dxa"/>
            <w:vAlign w:val="center"/>
          </w:tcPr>
          <w:p w14:paraId="5E40C436" w14:textId="77777777" w:rsidR="008878C8" w:rsidRPr="00BF57A3" w:rsidRDefault="00EB2C36" w:rsidP="006C640E">
            <w:pPr>
              <w:snapToGrid w:val="0"/>
              <w:jc w:val="both"/>
              <w:rPr>
                <w:bCs/>
                <w:sz w:val="22"/>
                <w:szCs w:val="22"/>
                <w:lang w:val="fi-FI"/>
              </w:rPr>
            </w:pPr>
            <w:r w:rsidRPr="00BF57A3">
              <w:rPr>
                <w:i/>
                <w:sz w:val="22"/>
                <w:szCs w:val="22"/>
                <w:lang w:val="fi-FI"/>
              </w:rPr>
              <w:t>Veoma česta</w:t>
            </w:r>
            <w:r w:rsidRPr="00BF57A3">
              <w:rPr>
                <w:sz w:val="22"/>
                <w:szCs w:val="22"/>
                <w:lang w:val="fi-FI"/>
              </w:rPr>
              <w:t xml:space="preserve">: </w:t>
            </w:r>
          </w:p>
        </w:tc>
        <w:tc>
          <w:tcPr>
            <w:tcW w:w="2976" w:type="dxa"/>
            <w:vAlign w:val="center"/>
          </w:tcPr>
          <w:p w14:paraId="75B43304" w14:textId="77777777" w:rsidR="008878C8" w:rsidRPr="00BF57A3" w:rsidRDefault="00A32545" w:rsidP="006C640E">
            <w:pPr>
              <w:autoSpaceDE w:val="0"/>
              <w:autoSpaceDN w:val="0"/>
              <w:adjustRightInd w:val="0"/>
              <w:jc w:val="both"/>
              <w:rPr>
                <w:sz w:val="22"/>
                <w:szCs w:val="22"/>
                <w:lang w:val="fi-FI"/>
              </w:rPr>
            </w:pPr>
            <w:r w:rsidRPr="00BF57A3">
              <w:rPr>
                <w:sz w:val="22"/>
                <w:szCs w:val="22"/>
                <w:lang w:val="fi-FI"/>
              </w:rPr>
              <w:t>U</w:t>
            </w:r>
            <w:r w:rsidR="008878C8" w:rsidRPr="00BF57A3">
              <w:rPr>
                <w:sz w:val="22"/>
                <w:szCs w:val="22"/>
                <w:lang w:val="fi-FI"/>
              </w:rPr>
              <w:t>mor, astenija, groznica</w:t>
            </w:r>
          </w:p>
          <w:p w14:paraId="1D1613C5" w14:textId="77777777" w:rsidR="008878C8" w:rsidRPr="00BF57A3" w:rsidRDefault="008878C8" w:rsidP="006C640E">
            <w:pPr>
              <w:jc w:val="both"/>
              <w:rPr>
                <w:sz w:val="22"/>
                <w:szCs w:val="22"/>
              </w:rPr>
            </w:pPr>
          </w:p>
        </w:tc>
        <w:tc>
          <w:tcPr>
            <w:tcW w:w="2552" w:type="dxa"/>
          </w:tcPr>
          <w:p w14:paraId="73013505" w14:textId="77777777" w:rsidR="008878C8" w:rsidRPr="00BF57A3" w:rsidRDefault="00A32545" w:rsidP="006C640E">
            <w:pPr>
              <w:autoSpaceDE w:val="0"/>
              <w:autoSpaceDN w:val="0"/>
              <w:adjustRightInd w:val="0"/>
              <w:jc w:val="both"/>
              <w:rPr>
                <w:i/>
                <w:sz w:val="22"/>
                <w:szCs w:val="22"/>
                <w:lang w:val="fi-FI"/>
              </w:rPr>
            </w:pPr>
            <w:r w:rsidRPr="00BF57A3">
              <w:rPr>
                <w:sz w:val="22"/>
                <w:szCs w:val="22"/>
                <w:lang w:val="fi-FI"/>
              </w:rPr>
              <w:t>Umor,</w:t>
            </w:r>
            <w:r w:rsidRPr="006C640E">
              <w:rPr>
                <w:sz w:val="22"/>
                <w:szCs w:val="22"/>
                <w:lang w:val="es-ES"/>
              </w:rPr>
              <w:t xml:space="preserve"> </w:t>
            </w:r>
            <w:r w:rsidRPr="00BF57A3">
              <w:rPr>
                <w:sz w:val="22"/>
                <w:szCs w:val="22"/>
                <w:lang w:val="fi-FI"/>
              </w:rPr>
              <w:t>astenija, pireksija, periferni edem, jeza</w:t>
            </w:r>
          </w:p>
        </w:tc>
        <w:tc>
          <w:tcPr>
            <w:tcW w:w="2835" w:type="dxa"/>
          </w:tcPr>
          <w:p w14:paraId="105BF376" w14:textId="77777777" w:rsidR="008878C8" w:rsidRPr="00BF57A3" w:rsidRDefault="00A32545" w:rsidP="006C640E">
            <w:pPr>
              <w:autoSpaceDE w:val="0"/>
              <w:autoSpaceDN w:val="0"/>
              <w:adjustRightInd w:val="0"/>
              <w:jc w:val="both"/>
              <w:rPr>
                <w:i/>
                <w:sz w:val="22"/>
                <w:szCs w:val="22"/>
                <w:lang w:val="fi-FI"/>
              </w:rPr>
            </w:pPr>
            <w:r w:rsidRPr="00BF57A3">
              <w:rPr>
                <w:sz w:val="22"/>
                <w:szCs w:val="22"/>
                <w:lang w:val="fi-FI"/>
              </w:rPr>
              <w:t>Umor,</w:t>
            </w:r>
            <w:r w:rsidRPr="006C640E">
              <w:rPr>
                <w:sz w:val="22"/>
                <w:szCs w:val="22"/>
                <w:lang w:val="es-ES"/>
              </w:rPr>
              <w:t xml:space="preserve"> </w:t>
            </w:r>
            <w:r w:rsidRPr="00BF57A3">
              <w:rPr>
                <w:sz w:val="22"/>
                <w:szCs w:val="22"/>
                <w:lang w:val="fi-FI"/>
              </w:rPr>
              <w:t>astenija, periferni edem</w:t>
            </w:r>
          </w:p>
        </w:tc>
      </w:tr>
      <w:tr w:rsidR="00EB2C36" w:rsidRPr="00BF57A3" w14:paraId="31925861" w14:textId="77777777" w:rsidTr="00AF2CC5">
        <w:trPr>
          <w:cantSplit/>
        </w:trPr>
        <w:tc>
          <w:tcPr>
            <w:tcW w:w="1555" w:type="dxa"/>
            <w:vAlign w:val="center"/>
          </w:tcPr>
          <w:p w14:paraId="7EC9EC54" w14:textId="77777777" w:rsidR="00EB2C36" w:rsidRPr="00BF57A3" w:rsidRDefault="00EB2C36" w:rsidP="006C640E">
            <w:pPr>
              <w:snapToGrid w:val="0"/>
              <w:jc w:val="both"/>
              <w:rPr>
                <w:i/>
                <w:sz w:val="22"/>
                <w:szCs w:val="22"/>
                <w:lang w:val="fi-FI"/>
              </w:rPr>
            </w:pPr>
            <w:r w:rsidRPr="00BF57A3">
              <w:rPr>
                <w:i/>
                <w:sz w:val="22"/>
                <w:szCs w:val="22"/>
                <w:lang w:val="fi-FI"/>
              </w:rPr>
              <w:t>Česta</w:t>
            </w:r>
            <w:r w:rsidRPr="00BF57A3">
              <w:rPr>
                <w:sz w:val="22"/>
                <w:szCs w:val="22"/>
                <w:lang w:val="fi-FI"/>
              </w:rPr>
              <w:t>:</w:t>
            </w:r>
          </w:p>
        </w:tc>
        <w:tc>
          <w:tcPr>
            <w:tcW w:w="2976" w:type="dxa"/>
            <w:vAlign w:val="center"/>
          </w:tcPr>
          <w:p w14:paraId="237C47C8" w14:textId="77777777" w:rsidR="00EB2C36" w:rsidRPr="00BF57A3" w:rsidDel="00EB2C36" w:rsidRDefault="00EB2C36" w:rsidP="006C640E">
            <w:pPr>
              <w:autoSpaceDE w:val="0"/>
              <w:autoSpaceDN w:val="0"/>
              <w:adjustRightInd w:val="0"/>
              <w:jc w:val="both"/>
              <w:rPr>
                <w:i/>
                <w:sz w:val="22"/>
                <w:szCs w:val="22"/>
                <w:lang w:val="fi-FI"/>
              </w:rPr>
            </w:pPr>
            <w:r w:rsidRPr="00BF57A3">
              <w:rPr>
                <w:sz w:val="22"/>
                <w:szCs w:val="22"/>
                <w:lang w:val="fi-FI"/>
              </w:rPr>
              <w:t>M</w:t>
            </w:r>
            <w:r w:rsidR="001A148F" w:rsidRPr="00BF57A3">
              <w:rPr>
                <w:sz w:val="22"/>
                <w:szCs w:val="22"/>
                <w:lang w:val="fi-FI"/>
              </w:rPr>
              <w:t xml:space="preserve">alaksalost, letargija,slabost </w:t>
            </w:r>
            <w:r w:rsidRPr="00BF57A3">
              <w:rPr>
                <w:sz w:val="22"/>
                <w:szCs w:val="22"/>
                <w:lang w:val="fi-FI"/>
              </w:rPr>
              <w:t>periferni edem, upala sluznice, bol, ukočenost, edem, pogoršano opšte stanje, bol u grudima, bolest nalik gripu, hiperpireksija</w:t>
            </w:r>
          </w:p>
        </w:tc>
        <w:tc>
          <w:tcPr>
            <w:tcW w:w="2552" w:type="dxa"/>
          </w:tcPr>
          <w:p w14:paraId="71DA8178" w14:textId="77777777" w:rsidR="00EB2C36" w:rsidRPr="00BF57A3" w:rsidRDefault="00A32545" w:rsidP="006C640E">
            <w:pPr>
              <w:autoSpaceDE w:val="0"/>
              <w:autoSpaceDN w:val="0"/>
              <w:adjustRightInd w:val="0"/>
              <w:jc w:val="both"/>
              <w:rPr>
                <w:i/>
                <w:sz w:val="22"/>
                <w:szCs w:val="22"/>
                <w:lang w:val="fi-FI"/>
              </w:rPr>
            </w:pPr>
            <w:r w:rsidRPr="00BF57A3">
              <w:rPr>
                <w:sz w:val="22"/>
                <w:szCs w:val="22"/>
                <w:lang w:val="fi-FI"/>
              </w:rPr>
              <w:t>Reakcija na mjestu infuzije</w:t>
            </w:r>
          </w:p>
        </w:tc>
        <w:tc>
          <w:tcPr>
            <w:tcW w:w="2835" w:type="dxa"/>
          </w:tcPr>
          <w:p w14:paraId="66A5D32D" w14:textId="77777777" w:rsidR="00D8323E" w:rsidRPr="00BF57A3" w:rsidRDefault="00B10813" w:rsidP="006C640E">
            <w:pPr>
              <w:autoSpaceDE w:val="0"/>
              <w:autoSpaceDN w:val="0"/>
              <w:adjustRightInd w:val="0"/>
              <w:jc w:val="both"/>
              <w:rPr>
                <w:sz w:val="22"/>
                <w:szCs w:val="22"/>
                <w:lang w:val="fi-FI"/>
              </w:rPr>
            </w:pPr>
            <w:r w:rsidRPr="00BF57A3">
              <w:rPr>
                <w:sz w:val="22"/>
                <w:szCs w:val="22"/>
                <w:lang w:val="fi-FI"/>
              </w:rPr>
              <w:t>Pireksija,</w:t>
            </w:r>
            <w:r w:rsidR="00D8323E" w:rsidRPr="00BF57A3">
              <w:rPr>
                <w:sz w:val="22"/>
                <w:szCs w:val="22"/>
                <w:lang w:val="fi-FI"/>
              </w:rPr>
              <w:t xml:space="preserve"> bol u grudima</w:t>
            </w:r>
          </w:p>
          <w:p w14:paraId="02A3457C" w14:textId="77777777" w:rsidR="00D8323E" w:rsidRPr="00BF57A3" w:rsidRDefault="00D8323E" w:rsidP="006C640E">
            <w:pPr>
              <w:autoSpaceDE w:val="0"/>
              <w:autoSpaceDN w:val="0"/>
              <w:adjustRightInd w:val="0"/>
              <w:jc w:val="both"/>
              <w:rPr>
                <w:sz w:val="22"/>
                <w:szCs w:val="22"/>
                <w:lang w:val="fi-FI"/>
              </w:rPr>
            </w:pPr>
          </w:p>
          <w:p w14:paraId="4CAD5B3F" w14:textId="77777777" w:rsidR="00EB2C36" w:rsidRPr="00BF57A3" w:rsidRDefault="00EB2C36" w:rsidP="006C640E">
            <w:pPr>
              <w:autoSpaceDE w:val="0"/>
              <w:autoSpaceDN w:val="0"/>
              <w:adjustRightInd w:val="0"/>
              <w:jc w:val="both"/>
              <w:rPr>
                <w:i/>
                <w:sz w:val="22"/>
                <w:szCs w:val="22"/>
                <w:lang w:val="fi-FI"/>
              </w:rPr>
            </w:pPr>
          </w:p>
        </w:tc>
      </w:tr>
      <w:tr w:rsidR="00EB2C36" w:rsidRPr="00BF57A3" w14:paraId="4DDB302A" w14:textId="77777777" w:rsidTr="00AF2CC5">
        <w:trPr>
          <w:cantSplit/>
        </w:trPr>
        <w:tc>
          <w:tcPr>
            <w:tcW w:w="1555" w:type="dxa"/>
            <w:vAlign w:val="center"/>
          </w:tcPr>
          <w:p w14:paraId="56555F92" w14:textId="77777777" w:rsidR="00EB2C36" w:rsidRPr="00BF57A3" w:rsidRDefault="00EB2C36" w:rsidP="006C640E">
            <w:pPr>
              <w:snapToGrid w:val="0"/>
              <w:jc w:val="both"/>
              <w:rPr>
                <w:i/>
                <w:sz w:val="22"/>
                <w:szCs w:val="22"/>
                <w:lang w:val="fi-FI"/>
              </w:rPr>
            </w:pPr>
            <w:r w:rsidRPr="00BF57A3">
              <w:rPr>
                <w:i/>
                <w:sz w:val="22"/>
                <w:szCs w:val="22"/>
                <w:lang w:val="fi-FI"/>
              </w:rPr>
              <w:t>Povremena</w:t>
            </w:r>
            <w:r w:rsidRPr="00BF57A3">
              <w:rPr>
                <w:sz w:val="22"/>
                <w:szCs w:val="22"/>
                <w:lang w:val="fi-FI"/>
              </w:rPr>
              <w:t>:</w:t>
            </w:r>
          </w:p>
        </w:tc>
        <w:tc>
          <w:tcPr>
            <w:tcW w:w="2976" w:type="dxa"/>
            <w:vAlign w:val="center"/>
          </w:tcPr>
          <w:p w14:paraId="2440582E" w14:textId="77777777" w:rsidR="00EB2C36" w:rsidRPr="00BF57A3" w:rsidDel="00EB2C36" w:rsidRDefault="00EB2C36" w:rsidP="006C640E">
            <w:pPr>
              <w:autoSpaceDE w:val="0"/>
              <w:autoSpaceDN w:val="0"/>
              <w:adjustRightInd w:val="0"/>
              <w:jc w:val="both"/>
              <w:rPr>
                <w:i/>
                <w:sz w:val="22"/>
                <w:szCs w:val="22"/>
                <w:lang w:val="fi-FI"/>
              </w:rPr>
            </w:pPr>
            <w:r w:rsidRPr="00BF57A3">
              <w:rPr>
                <w:sz w:val="22"/>
                <w:szCs w:val="22"/>
                <w:lang w:val="fi-FI"/>
              </w:rPr>
              <w:t>Nelagoda u grudnom košu, abnormalni hod, oticanje, reakcija na mjestu injiciranja</w:t>
            </w:r>
          </w:p>
        </w:tc>
        <w:tc>
          <w:tcPr>
            <w:tcW w:w="2552" w:type="dxa"/>
          </w:tcPr>
          <w:p w14:paraId="5383A504" w14:textId="77777777" w:rsidR="00EB2C36" w:rsidRPr="00BF57A3" w:rsidRDefault="00EB2C36" w:rsidP="006C640E">
            <w:pPr>
              <w:autoSpaceDE w:val="0"/>
              <w:autoSpaceDN w:val="0"/>
              <w:adjustRightInd w:val="0"/>
              <w:jc w:val="both"/>
              <w:rPr>
                <w:i/>
                <w:sz w:val="22"/>
                <w:szCs w:val="22"/>
                <w:lang w:val="fi-FI"/>
              </w:rPr>
            </w:pPr>
          </w:p>
        </w:tc>
        <w:tc>
          <w:tcPr>
            <w:tcW w:w="2835" w:type="dxa"/>
          </w:tcPr>
          <w:p w14:paraId="7C5E6F27" w14:textId="77777777" w:rsidR="00EB2C36" w:rsidRPr="00BF57A3" w:rsidRDefault="00D8323E" w:rsidP="006C640E">
            <w:pPr>
              <w:autoSpaceDE w:val="0"/>
              <w:autoSpaceDN w:val="0"/>
              <w:adjustRightInd w:val="0"/>
              <w:jc w:val="both"/>
              <w:rPr>
                <w:i/>
                <w:sz w:val="22"/>
                <w:szCs w:val="22"/>
                <w:lang w:val="fi-FI"/>
              </w:rPr>
            </w:pPr>
            <w:r w:rsidRPr="00BF57A3">
              <w:rPr>
                <w:sz w:val="22"/>
                <w:szCs w:val="22"/>
                <w:lang w:val="fi-FI"/>
              </w:rPr>
              <w:t>Upala sluznice, ekstravazacija na mjestu infuzije, upala na na mjestu infuzije,  osip na mjestu infuzije</w:t>
            </w:r>
          </w:p>
        </w:tc>
      </w:tr>
      <w:tr w:rsidR="00EB2C36" w:rsidRPr="00BF57A3" w14:paraId="7B6D451D" w14:textId="77777777" w:rsidTr="00AF2CC5">
        <w:trPr>
          <w:cantSplit/>
        </w:trPr>
        <w:tc>
          <w:tcPr>
            <w:tcW w:w="1555" w:type="dxa"/>
            <w:vAlign w:val="center"/>
          </w:tcPr>
          <w:p w14:paraId="6CD3A4FB" w14:textId="77777777" w:rsidR="00EB2C36" w:rsidRPr="00BF57A3" w:rsidRDefault="00EB2C36" w:rsidP="006C640E">
            <w:pPr>
              <w:autoSpaceDE w:val="0"/>
              <w:autoSpaceDN w:val="0"/>
              <w:adjustRightInd w:val="0"/>
              <w:jc w:val="both"/>
              <w:rPr>
                <w:sz w:val="22"/>
                <w:szCs w:val="22"/>
              </w:rPr>
            </w:pPr>
            <w:r w:rsidRPr="00BF57A3">
              <w:rPr>
                <w:i/>
                <w:sz w:val="22"/>
                <w:szCs w:val="22"/>
              </w:rPr>
              <w:t>Rijetka:</w:t>
            </w:r>
          </w:p>
        </w:tc>
        <w:tc>
          <w:tcPr>
            <w:tcW w:w="2976" w:type="dxa"/>
            <w:vAlign w:val="center"/>
          </w:tcPr>
          <w:p w14:paraId="0E6D1657" w14:textId="77777777" w:rsidR="00EB2C36" w:rsidRPr="00BF57A3" w:rsidRDefault="001A148F" w:rsidP="006C640E">
            <w:pPr>
              <w:autoSpaceDE w:val="0"/>
              <w:autoSpaceDN w:val="0"/>
              <w:adjustRightInd w:val="0"/>
              <w:jc w:val="both"/>
              <w:rPr>
                <w:i/>
                <w:sz w:val="22"/>
                <w:szCs w:val="22"/>
              </w:rPr>
            </w:pPr>
            <w:r w:rsidRPr="00BF57A3">
              <w:rPr>
                <w:sz w:val="22"/>
                <w:szCs w:val="22"/>
              </w:rPr>
              <w:t>E</w:t>
            </w:r>
            <w:r w:rsidR="00EB2C36" w:rsidRPr="00BF57A3">
              <w:rPr>
                <w:sz w:val="22"/>
                <w:szCs w:val="22"/>
              </w:rPr>
              <w:t>kstravazacija</w:t>
            </w:r>
          </w:p>
        </w:tc>
        <w:tc>
          <w:tcPr>
            <w:tcW w:w="2552" w:type="dxa"/>
          </w:tcPr>
          <w:p w14:paraId="09FEC37A" w14:textId="77777777" w:rsidR="00EB2C36" w:rsidRPr="00BF57A3" w:rsidRDefault="00EB2C36" w:rsidP="006C640E">
            <w:pPr>
              <w:autoSpaceDE w:val="0"/>
              <w:autoSpaceDN w:val="0"/>
              <w:adjustRightInd w:val="0"/>
              <w:jc w:val="both"/>
              <w:rPr>
                <w:i/>
                <w:sz w:val="22"/>
                <w:szCs w:val="22"/>
              </w:rPr>
            </w:pPr>
          </w:p>
        </w:tc>
        <w:tc>
          <w:tcPr>
            <w:tcW w:w="2835" w:type="dxa"/>
          </w:tcPr>
          <w:p w14:paraId="0D9DD7D2" w14:textId="77777777" w:rsidR="00EB2C36" w:rsidRPr="00BF57A3" w:rsidRDefault="00EB2C36" w:rsidP="006C640E">
            <w:pPr>
              <w:autoSpaceDE w:val="0"/>
              <w:autoSpaceDN w:val="0"/>
              <w:adjustRightInd w:val="0"/>
              <w:jc w:val="both"/>
              <w:rPr>
                <w:i/>
                <w:sz w:val="22"/>
                <w:szCs w:val="22"/>
              </w:rPr>
            </w:pPr>
          </w:p>
        </w:tc>
      </w:tr>
      <w:tr w:rsidR="00D8323E" w:rsidRPr="00BF57A3" w14:paraId="120EB72C" w14:textId="77777777" w:rsidTr="000053A0">
        <w:trPr>
          <w:cantSplit/>
        </w:trPr>
        <w:tc>
          <w:tcPr>
            <w:tcW w:w="9918" w:type="dxa"/>
            <w:gridSpan w:val="4"/>
            <w:vAlign w:val="center"/>
          </w:tcPr>
          <w:p w14:paraId="2A0161B9" w14:textId="77777777" w:rsidR="00D8323E" w:rsidRPr="00BF57A3" w:rsidRDefault="00D8323E" w:rsidP="006C640E">
            <w:pPr>
              <w:autoSpaceDE w:val="0"/>
              <w:autoSpaceDN w:val="0"/>
              <w:adjustRightInd w:val="0"/>
              <w:jc w:val="both"/>
              <w:rPr>
                <w:sz w:val="22"/>
                <w:szCs w:val="22"/>
              </w:rPr>
            </w:pPr>
            <w:r w:rsidRPr="00BF57A3">
              <w:rPr>
                <w:b/>
                <w:bCs/>
                <w:sz w:val="22"/>
                <w:szCs w:val="22"/>
                <w:lang w:val="es-ES"/>
              </w:rPr>
              <w:t>Ispitivanja</w:t>
            </w:r>
          </w:p>
        </w:tc>
      </w:tr>
      <w:tr w:rsidR="00D8323E" w:rsidRPr="00BF57A3" w14:paraId="05649B2E" w14:textId="77777777" w:rsidTr="00AF2CC5">
        <w:trPr>
          <w:cantSplit/>
        </w:trPr>
        <w:tc>
          <w:tcPr>
            <w:tcW w:w="1555" w:type="dxa"/>
            <w:vAlign w:val="center"/>
          </w:tcPr>
          <w:p w14:paraId="5995D8F7" w14:textId="77777777" w:rsidR="00D8323E" w:rsidRPr="00BF57A3" w:rsidRDefault="00D8323E" w:rsidP="006C640E">
            <w:pPr>
              <w:autoSpaceDE w:val="0"/>
              <w:autoSpaceDN w:val="0"/>
              <w:adjustRightInd w:val="0"/>
              <w:jc w:val="both"/>
              <w:rPr>
                <w:i/>
                <w:sz w:val="22"/>
                <w:szCs w:val="22"/>
                <w:lang w:val="sr-Latn-ME"/>
              </w:rPr>
            </w:pPr>
            <w:r w:rsidRPr="00BF57A3">
              <w:rPr>
                <w:i/>
                <w:sz w:val="22"/>
                <w:szCs w:val="22"/>
              </w:rPr>
              <w:lastRenderedPageBreak/>
              <w:t xml:space="preserve">Veoma </w:t>
            </w:r>
            <w:r w:rsidRPr="00BF57A3">
              <w:rPr>
                <w:i/>
                <w:sz w:val="22"/>
                <w:szCs w:val="22"/>
                <w:lang w:val="sr-Latn-ME"/>
              </w:rPr>
              <w:t>česta:</w:t>
            </w:r>
          </w:p>
        </w:tc>
        <w:tc>
          <w:tcPr>
            <w:tcW w:w="2976" w:type="dxa"/>
            <w:vAlign w:val="center"/>
          </w:tcPr>
          <w:p w14:paraId="64B16E98" w14:textId="77777777" w:rsidR="00D8323E" w:rsidRPr="00BF57A3" w:rsidDel="00D8323E" w:rsidRDefault="00D8323E" w:rsidP="006C640E">
            <w:pPr>
              <w:autoSpaceDE w:val="0"/>
              <w:autoSpaceDN w:val="0"/>
              <w:adjustRightInd w:val="0"/>
              <w:jc w:val="both"/>
              <w:rPr>
                <w:i/>
                <w:sz w:val="22"/>
                <w:szCs w:val="22"/>
              </w:rPr>
            </w:pPr>
          </w:p>
        </w:tc>
        <w:tc>
          <w:tcPr>
            <w:tcW w:w="2552" w:type="dxa"/>
          </w:tcPr>
          <w:p w14:paraId="05ECA885" w14:textId="77777777" w:rsidR="00D8323E" w:rsidRPr="00BF57A3" w:rsidRDefault="00C55B4A" w:rsidP="006C640E">
            <w:pPr>
              <w:autoSpaceDE w:val="0"/>
              <w:autoSpaceDN w:val="0"/>
              <w:adjustRightInd w:val="0"/>
              <w:jc w:val="both"/>
              <w:rPr>
                <w:i/>
                <w:sz w:val="22"/>
                <w:szCs w:val="22"/>
                <w:lang w:val="es-ES"/>
              </w:rPr>
            </w:pPr>
            <w:r w:rsidRPr="00BF57A3">
              <w:rPr>
                <w:sz w:val="22"/>
                <w:szCs w:val="22"/>
                <w:lang w:val="fi-FI"/>
              </w:rPr>
              <w:t>Smanjena težina, povišen nivo alanin aminotransferaze</w:t>
            </w:r>
          </w:p>
        </w:tc>
        <w:tc>
          <w:tcPr>
            <w:tcW w:w="2835" w:type="dxa"/>
          </w:tcPr>
          <w:p w14:paraId="6309ADFC" w14:textId="77777777" w:rsidR="00D8323E" w:rsidRPr="00BF57A3" w:rsidRDefault="00D8323E" w:rsidP="006C640E">
            <w:pPr>
              <w:autoSpaceDE w:val="0"/>
              <w:autoSpaceDN w:val="0"/>
              <w:adjustRightInd w:val="0"/>
              <w:jc w:val="both"/>
              <w:rPr>
                <w:i/>
                <w:sz w:val="22"/>
                <w:szCs w:val="22"/>
                <w:lang w:val="es-ES"/>
              </w:rPr>
            </w:pPr>
          </w:p>
        </w:tc>
      </w:tr>
      <w:tr w:rsidR="008878C8" w:rsidRPr="00BF57A3" w14:paraId="18BAA143" w14:textId="77777777" w:rsidTr="00AF2CC5">
        <w:trPr>
          <w:cantSplit/>
        </w:trPr>
        <w:tc>
          <w:tcPr>
            <w:tcW w:w="1555" w:type="dxa"/>
            <w:vAlign w:val="center"/>
          </w:tcPr>
          <w:p w14:paraId="7FA1E622" w14:textId="77777777" w:rsidR="008878C8" w:rsidRPr="00BF57A3" w:rsidRDefault="00D8323E" w:rsidP="006C640E">
            <w:pPr>
              <w:autoSpaceDE w:val="0"/>
              <w:autoSpaceDN w:val="0"/>
              <w:adjustRightInd w:val="0"/>
              <w:jc w:val="both"/>
              <w:rPr>
                <w:sz w:val="22"/>
                <w:szCs w:val="22"/>
              </w:rPr>
            </w:pPr>
            <w:r w:rsidRPr="00BF57A3">
              <w:rPr>
                <w:i/>
                <w:sz w:val="22"/>
                <w:szCs w:val="22"/>
              </w:rPr>
              <w:t>Česta</w:t>
            </w:r>
            <w:r w:rsidRPr="00BF57A3">
              <w:rPr>
                <w:sz w:val="22"/>
                <w:szCs w:val="22"/>
              </w:rPr>
              <w:t xml:space="preserve">: </w:t>
            </w:r>
          </w:p>
        </w:tc>
        <w:tc>
          <w:tcPr>
            <w:tcW w:w="2976" w:type="dxa"/>
            <w:vAlign w:val="center"/>
          </w:tcPr>
          <w:p w14:paraId="0106AFED" w14:textId="77777777" w:rsidR="008878C8" w:rsidRPr="00BF57A3" w:rsidRDefault="00A6216F" w:rsidP="006C640E">
            <w:pPr>
              <w:autoSpaceDE w:val="0"/>
              <w:autoSpaceDN w:val="0"/>
              <w:adjustRightInd w:val="0"/>
              <w:jc w:val="both"/>
              <w:rPr>
                <w:sz w:val="22"/>
                <w:szCs w:val="22"/>
              </w:rPr>
            </w:pPr>
            <w:r w:rsidRPr="00BF57A3">
              <w:rPr>
                <w:sz w:val="22"/>
                <w:szCs w:val="22"/>
              </w:rPr>
              <w:t>S</w:t>
            </w:r>
            <w:r w:rsidR="008878C8" w:rsidRPr="00BF57A3">
              <w:rPr>
                <w:sz w:val="22"/>
                <w:szCs w:val="22"/>
              </w:rPr>
              <w:t>manjena težina, povišen nivo alanin aminotransferaze, povišen nivo aspartat aminotransferaze, smanjen hematokrit, smanjen broj eritrocita, povišena tjelesna temperatura, povišen nivo gama glutamiltransferaze, povišen nivo alkalne fosfataze u krvi</w:t>
            </w:r>
          </w:p>
        </w:tc>
        <w:tc>
          <w:tcPr>
            <w:tcW w:w="2552" w:type="dxa"/>
          </w:tcPr>
          <w:p w14:paraId="7897B717" w14:textId="77777777" w:rsidR="008878C8" w:rsidRPr="00BF57A3" w:rsidRDefault="00C55B4A" w:rsidP="006C640E">
            <w:pPr>
              <w:autoSpaceDE w:val="0"/>
              <w:autoSpaceDN w:val="0"/>
              <w:adjustRightInd w:val="0"/>
              <w:jc w:val="both"/>
              <w:rPr>
                <w:i/>
                <w:sz w:val="22"/>
                <w:szCs w:val="22"/>
                <w:lang w:val="es-ES"/>
              </w:rPr>
            </w:pPr>
            <w:r w:rsidRPr="00BF57A3">
              <w:rPr>
                <w:sz w:val="22"/>
                <w:szCs w:val="22"/>
                <w:lang w:val="es-ES"/>
              </w:rPr>
              <w:t>Povišen nivo aspartat aminotransferaze, povišen bilirubin u krvi, povišen kreatinin u krvi</w:t>
            </w:r>
          </w:p>
        </w:tc>
        <w:tc>
          <w:tcPr>
            <w:tcW w:w="2835" w:type="dxa"/>
          </w:tcPr>
          <w:p w14:paraId="6F57DCB3" w14:textId="77777777" w:rsidR="008878C8" w:rsidRPr="00BF57A3" w:rsidRDefault="0067186C" w:rsidP="006C640E">
            <w:pPr>
              <w:autoSpaceDE w:val="0"/>
              <w:autoSpaceDN w:val="0"/>
              <w:adjustRightInd w:val="0"/>
              <w:jc w:val="both"/>
              <w:rPr>
                <w:i/>
                <w:sz w:val="22"/>
                <w:szCs w:val="22"/>
                <w:lang w:val="es-ES"/>
              </w:rPr>
            </w:pPr>
            <w:r w:rsidRPr="00BF57A3">
              <w:rPr>
                <w:sz w:val="22"/>
                <w:szCs w:val="22"/>
                <w:lang w:val="es-ES"/>
              </w:rPr>
              <w:t xml:space="preserve">Smanjena težina, </w:t>
            </w:r>
            <w:r w:rsidR="00C55B4A" w:rsidRPr="00BF57A3">
              <w:rPr>
                <w:sz w:val="22"/>
                <w:szCs w:val="22"/>
                <w:lang w:val="es-ES"/>
              </w:rPr>
              <w:t xml:space="preserve">ovišen nivo alanin aminotransferaze, povišen nivo aspartat aminotransferaze, povišen nivo alkalne fosfataze u krvi, </w:t>
            </w:r>
          </w:p>
        </w:tc>
      </w:tr>
      <w:tr w:rsidR="00D8323E" w:rsidRPr="00BF57A3" w14:paraId="42A09F6B" w14:textId="77777777" w:rsidTr="00AF2CC5">
        <w:trPr>
          <w:cantSplit/>
        </w:trPr>
        <w:tc>
          <w:tcPr>
            <w:tcW w:w="1555" w:type="dxa"/>
            <w:vAlign w:val="center"/>
          </w:tcPr>
          <w:p w14:paraId="4AC93FE9" w14:textId="77777777" w:rsidR="00D8323E" w:rsidRPr="00BF57A3" w:rsidRDefault="00D8323E" w:rsidP="006C640E">
            <w:pPr>
              <w:autoSpaceDE w:val="0"/>
              <w:autoSpaceDN w:val="0"/>
              <w:adjustRightInd w:val="0"/>
              <w:jc w:val="both"/>
              <w:rPr>
                <w:i/>
                <w:sz w:val="22"/>
                <w:szCs w:val="22"/>
              </w:rPr>
            </w:pPr>
            <w:r w:rsidRPr="00BF57A3">
              <w:rPr>
                <w:i/>
                <w:sz w:val="22"/>
                <w:szCs w:val="22"/>
              </w:rPr>
              <w:t>Povremena</w:t>
            </w:r>
            <w:r w:rsidRPr="00BF57A3">
              <w:rPr>
                <w:sz w:val="22"/>
                <w:szCs w:val="22"/>
              </w:rPr>
              <w:t>:</w:t>
            </w:r>
          </w:p>
        </w:tc>
        <w:tc>
          <w:tcPr>
            <w:tcW w:w="2976" w:type="dxa"/>
            <w:vAlign w:val="center"/>
          </w:tcPr>
          <w:p w14:paraId="25A5ACCE" w14:textId="77777777" w:rsidR="00D8323E" w:rsidRPr="00BF57A3" w:rsidDel="00D8323E" w:rsidRDefault="00C55B4A" w:rsidP="006C640E">
            <w:pPr>
              <w:autoSpaceDE w:val="0"/>
              <w:autoSpaceDN w:val="0"/>
              <w:adjustRightInd w:val="0"/>
              <w:jc w:val="both"/>
              <w:rPr>
                <w:i/>
                <w:sz w:val="22"/>
                <w:szCs w:val="22"/>
              </w:rPr>
            </w:pPr>
            <w:r w:rsidRPr="00BF57A3">
              <w:rPr>
                <w:sz w:val="22"/>
                <w:szCs w:val="22"/>
              </w:rPr>
              <w:t>P</w:t>
            </w:r>
            <w:r w:rsidR="00D8323E" w:rsidRPr="00BF57A3">
              <w:rPr>
                <w:sz w:val="22"/>
                <w:szCs w:val="22"/>
              </w:rPr>
              <w:t>ovišeni krvni pritisak, povećana tjelesna težina, povišen nivo laktat-dehidrogenaze u krvi, povišen kreatinin u krvi, povišena glukoza u krvi, povišen fosfor u krvi, snižen kalijum u krvi, povišeni bilirubin</w:t>
            </w:r>
          </w:p>
        </w:tc>
        <w:tc>
          <w:tcPr>
            <w:tcW w:w="2552" w:type="dxa"/>
          </w:tcPr>
          <w:p w14:paraId="5FE32889" w14:textId="77777777" w:rsidR="00D8323E" w:rsidRPr="00BF57A3" w:rsidRDefault="00D8323E" w:rsidP="006C640E">
            <w:pPr>
              <w:autoSpaceDE w:val="0"/>
              <w:autoSpaceDN w:val="0"/>
              <w:adjustRightInd w:val="0"/>
              <w:jc w:val="both"/>
              <w:rPr>
                <w:i/>
                <w:sz w:val="22"/>
                <w:szCs w:val="22"/>
              </w:rPr>
            </w:pPr>
          </w:p>
        </w:tc>
        <w:tc>
          <w:tcPr>
            <w:tcW w:w="2835" w:type="dxa"/>
          </w:tcPr>
          <w:p w14:paraId="2896F779" w14:textId="77777777" w:rsidR="00D8323E" w:rsidRPr="00BF57A3" w:rsidRDefault="00D8323E" w:rsidP="006C640E">
            <w:pPr>
              <w:autoSpaceDE w:val="0"/>
              <w:autoSpaceDN w:val="0"/>
              <w:adjustRightInd w:val="0"/>
              <w:jc w:val="both"/>
              <w:rPr>
                <w:i/>
                <w:sz w:val="22"/>
                <w:szCs w:val="22"/>
              </w:rPr>
            </w:pPr>
          </w:p>
        </w:tc>
      </w:tr>
      <w:tr w:rsidR="00D8323E" w:rsidRPr="00BF57A3" w14:paraId="455BA129" w14:textId="77777777" w:rsidTr="000053A0">
        <w:trPr>
          <w:cantSplit/>
        </w:trPr>
        <w:tc>
          <w:tcPr>
            <w:tcW w:w="9918" w:type="dxa"/>
            <w:gridSpan w:val="4"/>
            <w:tcBorders>
              <w:top w:val="single" w:sz="4" w:space="0" w:color="auto"/>
              <w:left w:val="single" w:sz="4" w:space="0" w:color="auto"/>
              <w:bottom w:val="single" w:sz="4" w:space="0" w:color="auto"/>
              <w:right w:val="single" w:sz="4" w:space="0" w:color="auto"/>
            </w:tcBorders>
            <w:vAlign w:val="center"/>
          </w:tcPr>
          <w:p w14:paraId="2710AA22" w14:textId="77777777" w:rsidR="00D8323E" w:rsidRPr="00BF57A3" w:rsidRDefault="00C55B4A" w:rsidP="006C640E">
            <w:pPr>
              <w:autoSpaceDE w:val="0"/>
              <w:autoSpaceDN w:val="0"/>
              <w:adjustRightInd w:val="0"/>
              <w:jc w:val="both"/>
              <w:rPr>
                <w:i/>
                <w:sz w:val="22"/>
                <w:szCs w:val="22"/>
                <w:lang w:val="it-IT"/>
              </w:rPr>
            </w:pPr>
            <w:r w:rsidRPr="00BF57A3">
              <w:rPr>
                <w:b/>
                <w:bCs/>
                <w:sz w:val="22"/>
                <w:szCs w:val="22"/>
                <w:lang w:val="es-ES"/>
              </w:rPr>
              <w:t>Povrede, trovanja i proceduralne komplikacije</w:t>
            </w:r>
          </w:p>
        </w:tc>
      </w:tr>
      <w:tr w:rsidR="008878C8" w:rsidRPr="00BF57A3" w14:paraId="00731FE1" w14:textId="77777777" w:rsidTr="00AF2CC5">
        <w:trPr>
          <w:cantSplit/>
        </w:trPr>
        <w:tc>
          <w:tcPr>
            <w:tcW w:w="1555" w:type="dxa"/>
            <w:tcBorders>
              <w:top w:val="single" w:sz="4" w:space="0" w:color="auto"/>
              <w:left w:val="single" w:sz="4" w:space="0" w:color="auto"/>
              <w:bottom w:val="single" w:sz="4" w:space="0" w:color="auto"/>
              <w:right w:val="single" w:sz="4" w:space="0" w:color="auto"/>
            </w:tcBorders>
            <w:vAlign w:val="center"/>
          </w:tcPr>
          <w:p w14:paraId="67426E52" w14:textId="77777777" w:rsidR="008878C8" w:rsidRPr="00BF57A3" w:rsidRDefault="00D861A3" w:rsidP="006C640E">
            <w:pPr>
              <w:autoSpaceDE w:val="0"/>
              <w:autoSpaceDN w:val="0"/>
              <w:adjustRightInd w:val="0"/>
              <w:jc w:val="both"/>
              <w:rPr>
                <w:sz w:val="22"/>
                <w:szCs w:val="22"/>
                <w:lang w:val="it-IT"/>
              </w:rPr>
            </w:pPr>
            <w:r w:rsidRPr="00BF57A3">
              <w:rPr>
                <w:i/>
                <w:sz w:val="22"/>
                <w:szCs w:val="22"/>
                <w:lang w:val="it-IT"/>
              </w:rPr>
              <w:t>Povremena:</w:t>
            </w:r>
          </w:p>
        </w:tc>
        <w:tc>
          <w:tcPr>
            <w:tcW w:w="2976" w:type="dxa"/>
            <w:tcBorders>
              <w:top w:val="single" w:sz="4" w:space="0" w:color="auto"/>
              <w:left w:val="single" w:sz="4" w:space="0" w:color="auto"/>
              <w:bottom w:val="single" w:sz="4" w:space="0" w:color="auto"/>
              <w:right w:val="single" w:sz="4" w:space="0" w:color="auto"/>
            </w:tcBorders>
            <w:vAlign w:val="center"/>
          </w:tcPr>
          <w:p w14:paraId="7A8F241D" w14:textId="77777777" w:rsidR="008878C8" w:rsidRPr="00BF57A3" w:rsidRDefault="00D861A3" w:rsidP="006C640E">
            <w:pPr>
              <w:autoSpaceDE w:val="0"/>
              <w:autoSpaceDN w:val="0"/>
              <w:adjustRightInd w:val="0"/>
              <w:jc w:val="both"/>
              <w:rPr>
                <w:i/>
                <w:sz w:val="22"/>
                <w:szCs w:val="22"/>
                <w:lang w:val="it-IT"/>
              </w:rPr>
            </w:pPr>
            <w:r w:rsidRPr="00BF57A3">
              <w:rPr>
                <w:sz w:val="22"/>
                <w:szCs w:val="22"/>
                <w:lang w:val="it-IT"/>
              </w:rPr>
              <w:t>K</w:t>
            </w:r>
            <w:r w:rsidR="008878C8" w:rsidRPr="00BF57A3">
              <w:rPr>
                <w:sz w:val="22"/>
                <w:szCs w:val="22"/>
                <w:lang w:val="it-IT"/>
              </w:rPr>
              <w:t>ontuzija</w:t>
            </w:r>
          </w:p>
        </w:tc>
        <w:tc>
          <w:tcPr>
            <w:tcW w:w="2552" w:type="dxa"/>
            <w:tcBorders>
              <w:top w:val="single" w:sz="4" w:space="0" w:color="auto"/>
              <w:left w:val="single" w:sz="4" w:space="0" w:color="auto"/>
              <w:bottom w:val="single" w:sz="4" w:space="0" w:color="auto"/>
              <w:right w:val="single" w:sz="4" w:space="0" w:color="auto"/>
            </w:tcBorders>
          </w:tcPr>
          <w:p w14:paraId="6069750E" w14:textId="77777777" w:rsidR="008878C8" w:rsidRPr="00BF57A3" w:rsidRDefault="008878C8" w:rsidP="006C640E">
            <w:pPr>
              <w:autoSpaceDE w:val="0"/>
              <w:autoSpaceDN w:val="0"/>
              <w:adjustRightInd w:val="0"/>
              <w:jc w:val="both"/>
              <w:rPr>
                <w:i/>
                <w:sz w:val="22"/>
                <w:szCs w:val="22"/>
                <w:lang w:val="it-IT"/>
              </w:rPr>
            </w:pPr>
          </w:p>
        </w:tc>
        <w:tc>
          <w:tcPr>
            <w:tcW w:w="2835" w:type="dxa"/>
            <w:tcBorders>
              <w:top w:val="single" w:sz="4" w:space="0" w:color="auto"/>
              <w:left w:val="single" w:sz="4" w:space="0" w:color="auto"/>
              <w:bottom w:val="single" w:sz="4" w:space="0" w:color="auto"/>
              <w:right w:val="single" w:sz="4" w:space="0" w:color="auto"/>
            </w:tcBorders>
          </w:tcPr>
          <w:p w14:paraId="48BC7220" w14:textId="77777777" w:rsidR="008878C8" w:rsidRPr="00BF57A3" w:rsidRDefault="008878C8" w:rsidP="006C640E">
            <w:pPr>
              <w:autoSpaceDE w:val="0"/>
              <w:autoSpaceDN w:val="0"/>
              <w:adjustRightInd w:val="0"/>
              <w:jc w:val="both"/>
              <w:rPr>
                <w:i/>
                <w:sz w:val="22"/>
                <w:szCs w:val="22"/>
                <w:lang w:val="it-IT"/>
              </w:rPr>
            </w:pPr>
          </w:p>
        </w:tc>
      </w:tr>
      <w:tr w:rsidR="00D861A3" w:rsidRPr="00BF57A3" w14:paraId="58AF2FF4" w14:textId="77777777" w:rsidTr="00AF2CC5">
        <w:trPr>
          <w:cantSplit/>
        </w:trPr>
        <w:tc>
          <w:tcPr>
            <w:tcW w:w="1555" w:type="dxa"/>
            <w:tcBorders>
              <w:top w:val="single" w:sz="4" w:space="0" w:color="auto"/>
              <w:left w:val="single" w:sz="4" w:space="0" w:color="auto"/>
              <w:bottom w:val="single" w:sz="4" w:space="0" w:color="auto"/>
              <w:right w:val="single" w:sz="4" w:space="0" w:color="auto"/>
            </w:tcBorders>
            <w:vAlign w:val="center"/>
          </w:tcPr>
          <w:p w14:paraId="5B9A9D94" w14:textId="77777777" w:rsidR="00D861A3" w:rsidRPr="00BF57A3" w:rsidRDefault="00D861A3" w:rsidP="006C640E">
            <w:pPr>
              <w:autoSpaceDE w:val="0"/>
              <w:autoSpaceDN w:val="0"/>
              <w:adjustRightInd w:val="0"/>
              <w:jc w:val="both"/>
              <w:rPr>
                <w:sz w:val="22"/>
                <w:szCs w:val="22"/>
                <w:lang w:val="it-IT"/>
              </w:rPr>
            </w:pPr>
            <w:r w:rsidRPr="00BF57A3">
              <w:rPr>
                <w:i/>
                <w:sz w:val="22"/>
                <w:szCs w:val="22"/>
                <w:lang w:val="it-IT"/>
              </w:rPr>
              <w:t>Rijetka:</w:t>
            </w:r>
          </w:p>
        </w:tc>
        <w:tc>
          <w:tcPr>
            <w:tcW w:w="2976" w:type="dxa"/>
            <w:tcBorders>
              <w:top w:val="single" w:sz="4" w:space="0" w:color="auto"/>
              <w:left w:val="single" w:sz="4" w:space="0" w:color="auto"/>
              <w:bottom w:val="single" w:sz="4" w:space="0" w:color="auto"/>
              <w:right w:val="single" w:sz="4" w:space="0" w:color="auto"/>
            </w:tcBorders>
            <w:vAlign w:val="center"/>
          </w:tcPr>
          <w:p w14:paraId="559C225D" w14:textId="77777777" w:rsidR="00D861A3" w:rsidRPr="00BF57A3" w:rsidRDefault="00D861A3" w:rsidP="006C640E">
            <w:pPr>
              <w:autoSpaceDE w:val="0"/>
              <w:autoSpaceDN w:val="0"/>
              <w:adjustRightInd w:val="0"/>
              <w:jc w:val="both"/>
              <w:rPr>
                <w:i/>
                <w:sz w:val="22"/>
                <w:szCs w:val="22"/>
                <w:lang w:val="it-IT"/>
              </w:rPr>
            </w:pPr>
            <w:r w:rsidRPr="00BF57A3">
              <w:rPr>
                <w:sz w:val="22"/>
                <w:szCs w:val="22"/>
                <w:lang w:val="it-IT"/>
              </w:rPr>
              <w:t>Pojava recidiva kožnih reakcija izazvanih zračenjem, radijacioni pneumonitis</w:t>
            </w:r>
          </w:p>
        </w:tc>
        <w:tc>
          <w:tcPr>
            <w:tcW w:w="2552" w:type="dxa"/>
            <w:tcBorders>
              <w:top w:val="single" w:sz="4" w:space="0" w:color="auto"/>
              <w:left w:val="single" w:sz="4" w:space="0" w:color="auto"/>
              <w:bottom w:val="single" w:sz="4" w:space="0" w:color="auto"/>
              <w:right w:val="single" w:sz="4" w:space="0" w:color="auto"/>
            </w:tcBorders>
          </w:tcPr>
          <w:p w14:paraId="61DF28CB" w14:textId="77777777" w:rsidR="00D861A3" w:rsidRPr="00BF57A3" w:rsidRDefault="00D861A3" w:rsidP="006C640E">
            <w:pPr>
              <w:autoSpaceDE w:val="0"/>
              <w:autoSpaceDN w:val="0"/>
              <w:adjustRightInd w:val="0"/>
              <w:jc w:val="both"/>
              <w:rPr>
                <w:i/>
                <w:sz w:val="22"/>
                <w:szCs w:val="22"/>
                <w:lang w:val="it-IT"/>
              </w:rPr>
            </w:pPr>
          </w:p>
        </w:tc>
        <w:tc>
          <w:tcPr>
            <w:tcW w:w="2835" w:type="dxa"/>
            <w:tcBorders>
              <w:top w:val="single" w:sz="4" w:space="0" w:color="auto"/>
              <w:left w:val="single" w:sz="4" w:space="0" w:color="auto"/>
              <w:bottom w:val="single" w:sz="4" w:space="0" w:color="auto"/>
              <w:right w:val="single" w:sz="4" w:space="0" w:color="auto"/>
            </w:tcBorders>
          </w:tcPr>
          <w:p w14:paraId="492CD9E0" w14:textId="77777777" w:rsidR="00D861A3" w:rsidRPr="00BF57A3" w:rsidRDefault="00D861A3" w:rsidP="006C640E">
            <w:pPr>
              <w:autoSpaceDE w:val="0"/>
              <w:autoSpaceDN w:val="0"/>
              <w:adjustRightInd w:val="0"/>
              <w:jc w:val="both"/>
              <w:rPr>
                <w:i/>
                <w:sz w:val="22"/>
                <w:szCs w:val="22"/>
                <w:lang w:val="it-IT"/>
              </w:rPr>
            </w:pPr>
          </w:p>
        </w:tc>
      </w:tr>
    </w:tbl>
    <w:p w14:paraId="53CF8BB7" w14:textId="77777777" w:rsidR="000C1ABA" w:rsidRPr="006C640E" w:rsidRDefault="00D861A3" w:rsidP="00BF57A3">
      <w:pPr>
        <w:autoSpaceDE w:val="0"/>
        <w:autoSpaceDN w:val="0"/>
        <w:adjustRightInd w:val="0"/>
        <w:jc w:val="both"/>
        <w:rPr>
          <w:noProof/>
          <w:sz w:val="22"/>
          <w:szCs w:val="22"/>
          <w:lang w:val="hr-HR"/>
        </w:rPr>
      </w:pPr>
      <w:r w:rsidRPr="006C640E">
        <w:rPr>
          <w:noProof/>
          <w:sz w:val="22"/>
          <w:szCs w:val="22"/>
          <w:vertAlign w:val="superscript"/>
          <w:lang w:val="hr-HR"/>
        </w:rPr>
        <w:t>1</w:t>
      </w:r>
      <w:r w:rsidR="000C1ABA" w:rsidRPr="006C640E">
        <w:rPr>
          <w:noProof/>
          <w:sz w:val="22"/>
          <w:szCs w:val="22"/>
          <w:lang w:val="hr-HR"/>
        </w:rPr>
        <w:t xml:space="preserve"> Kako je prijavljeno u postmarketinškom praćenju lijeka Abraxane.</w:t>
      </w:r>
    </w:p>
    <w:p w14:paraId="5C2FD0C8" w14:textId="7C9DDE70" w:rsidR="000053A0" w:rsidRPr="006C640E" w:rsidRDefault="00D861A3">
      <w:pPr>
        <w:autoSpaceDE w:val="0"/>
        <w:autoSpaceDN w:val="0"/>
        <w:adjustRightInd w:val="0"/>
        <w:jc w:val="both"/>
        <w:rPr>
          <w:noProof/>
          <w:sz w:val="22"/>
          <w:szCs w:val="22"/>
          <w:lang w:val="hr-HR"/>
        </w:rPr>
      </w:pPr>
      <w:r w:rsidRPr="006C640E">
        <w:rPr>
          <w:noProof/>
          <w:sz w:val="22"/>
          <w:szCs w:val="22"/>
          <w:vertAlign w:val="superscript"/>
          <w:lang w:val="hr-HR"/>
        </w:rPr>
        <w:t>2</w:t>
      </w:r>
      <w:r w:rsidR="000C1ABA" w:rsidRPr="006C640E">
        <w:rPr>
          <w:noProof/>
          <w:sz w:val="22"/>
          <w:szCs w:val="22"/>
          <w:vertAlign w:val="superscript"/>
          <w:lang w:val="hr-HR"/>
        </w:rPr>
        <w:t xml:space="preserve"> </w:t>
      </w:r>
      <w:r w:rsidR="000C1ABA" w:rsidRPr="006C640E">
        <w:rPr>
          <w:noProof/>
          <w:sz w:val="22"/>
          <w:szCs w:val="22"/>
          <w:lang w:val="hr-HR"/>
        </w:rPr>
        <w:t xml:space="preserve">Učestalost pneumonitisa izračunata je na osnovu objedinjenih podataka kliničkih ispitivanja u kojima je 1310 </w:t>
      </w:r>
      <w:r w:rsidR="00BC764F">
        <w:rPr>
          <w:noProof/>
          <w:sz w:val="22"/>
          <w:szCs w:val="22"/>
          <w:lang w:val="hr-HR"/>
        </w:rPr>
        <w:t>pacijenata</w:t>
      </w:r>
      <w:r w:rsidR="00BC764F" w:rsidRPr="006C640E">
        <w:rPr>
          <w:noProof/>
          <w:sz w:val="22"/>
          <w:szCs w:val="22"/>
          <w:lang w:val="hr-HR"/>
        </w:rPr>
        <w:t xml:space="preserve"> </w:t>
      </w:r>
      <w:r w:rsidR="000C1ABA" w:rsidRPr="006C640E">
        <w:rPr>
          <w:noProof/>
          <w:sz w:val="22"/>
          <w:szCs w:val="22"/>
          <w:lang w:val="hr-HR"/>
        </w:rPr>
        <w:t xml:space="preserve">primalo lijek Abraxane kao monoterapiju za karcinom dojke i za druge indikacije </w:t>
      </w:r>
    </w:p>
    <w:p w14:paraId="316978AD" w14:textId="77777777" w:rsidR="00D861A3" w:rsidRPr="006C640E" w:rsidRDefault="00D861A3">
      <w:pPr>
        <w:autoSpaceDE w:val="0"/>
        <w:autoSpaceDN w:val="0"/>
        <w:adjustRightInd w:val="0"/>
        <w:jc w:val="both"/>
        <w:rPr>
          <w:noProof/>
          <w:sz w:val="22"/>
          <w:szCs w:val="22"/>
          <w:lang w:val="hr-HR"/>
        </w:rPr>
      </w:pPr>
      <w:r w:rsidRPr="006C640E">
        <w:rPr>
          <w:noProof/>
          <w:sz w:val="22"/>
          <w:szCs w:val="22"/>
          <w:vertAlign w:val="superscript"/>
          <w:lang w:val="hr-HR"/>
        </w:rPr>
        <w:t>3</w:t>
      </w:r>
      <w:r w:rsidRPr="006C640E">
        <w:rPr>
          <w:noProof/>
          <w:sz w:val="22"/>
          <w:szCs w:val="22"/>
          <w:lang w:val="hr-HR"/>
        </w:rPr>
        <w:t>Na osnovu laboratorijskih procjena: maksimalni stepen mijelosupresije (liječena populacija).</w:t>
      </w:r>
    </w:p>
    <w:p w14:paraId="36474D87" w14:textId="6622A2D0" w:rsidR="000C1ABA" w:rsidRPr="006C640E" w:rsidRDefault="00D861A3">
      <w:pPr>
        <w:autoSpaceDE w:val="0"/>
        <w:autoSpaceDN w:val="0"/>
        <w:adjustRightInd w:val="0"/>
        <w:jc w:val="both"/>
        <w:rPr>
          <w:noProof/>
          <w:sz w:val="22"/>
          <w:szCs w:val="22"/>
          <w:lang w:val="hr-HR"/>
        </w:rPr>
      </w:pPr>
      <w:r w:rsidRPr="006C640E">
        <w:rPr>
          <w:noProof/>
          <w:sz w:val="22"/>
          <w:szCs w:val="22"/>
          <w:vertAlign w:val="superscript"/>
          <w:lang w:val="hr-HR"/>
        </w:rPr>
        <w:t xml:space="preserve">4 </w:t>
      </w:r>
      <w:r w:rsidRPr="006C640E">
        <w:rPr>
          <w:noProof/>
          <w:sz w:val="22"/>
          <w:szCs w:val="22"/>
          <w:lang w:val="hr-HR"/>
        </w:rPr>
        <w:t>Kod nekih pacijenata koji su prethodno bili izloženi kapecitabinu.</w:t>
      </w:r>
    </w:p>
    <w:p w14:paraId="68761539" w14:textId="77777777" w:rsidR="00D861A3" w:rsidRPr="00BF57A3" w:rsidRDefault="00D861A3">
      <w:pPr>
        <w:autoSpaceDE w:val="0"/>
        <w:autoSpaceDN w:val="0"/>
        <w:adjustRightInd w:val="0"/>
        <w:jc w:val="both"/>
        <w:rPr>
          <w:noProof/>
          <w:sz w:val="22"/>
          <w:szCs w:val="22"/>
          <w:lang w:val="hr-HR"/>
        </w:rPr>
      </w:pPr>
    </w:p>
    <w:p w14:paraId="15191C1A" w14:textId="77777777" w:rsidR="00D861A3" w:rsidRPr="00BF57A3" w:rsidRDefault="000C1ABA" w:rsidP="006C640E">
      <w:pPr>
        <w:autoSpaceDE w:val="0"/>
        <w:autoSpaceDN w:val="0"/>
        <w:adjustRightInd w:val="0"/>
        <w:spacing w:line="360" w:lineRule="auto"/>
        <w:jc w:val="both"/>
        <w:rPr>
          <w:i/>
          <w:noProof/>
          <w:sz w:val="22"/>
          <w:szCs w:val="22"/>
          <w:u w:val="single"/>
          <w:lang w:val="hr-HR"/>
        </w:rPr>
      </w:pPr>
      <w:r w:rsidRPr="00BF57A3">
        <w:rPr>
          <w:i/>
          <w:noProof/>
          <w:sz w:val="22"/>
          <w:szCs w:val="22"/>
          <w:u w:val="single"/>
          <w:lang w:val="hr-HR"/>
        </w:rPr>
        <w:t>Opis izabranih neželjenih dejstava</w:t>
      </w:r>
    </w:p>
    <w:p w14:paraId="7F57D69A" w14:textId="281E307E" w:rsidR="00D861A3" w:rsidRPr="00BF57A3" w:rsidRDefault="00D861A3">
      <w:pPr>
        <w:autoSpaceDE w:val="0"/>
        <w:autoSpaceDN w:val="0"/>
        <w:adjustRightInd w:val="0"/>
        <w:jc w:val="both"/>
        <w:rPr>
          <w:noProof/>
          <w:sz w:val="22"/>
          <w:szCs w:val="22"/>
          <w:lang w:val="hr-HR"/>
        </w:rPr>
      </w:pPr>
      <w:r w:rsidRPr="00BF57A3">
        <w:rPr>
          <w:noProof/>
          <w:sz w:val="22"/>
          <w:szCs w:val="22"/>
          <w:lang w:val="hr-HR"/>
        </w:rPr>
        <w:t xml:space="preserve">Ovaj </w:t>
      </w:r>
      <w:r w:rsidR="002C01DA">
        <w:rPr>
          <w:noProof/>
          <w:sz w:val="22"/>
          <w:szCs w:val="22"/>
          <w:lang w:val="hr-HR"/>
        </w:rPr>
        <w:t>dio</w:t>
      </w:r>
      <w:r w:rsidR="002C01DA" w:rsidRPr="00BF57A3">
        <w:rPr>
          <w:noProof/>
          <w:sz w:val="22"/>
          <w:szCs w:val="22"/>
          <w:lang w:val="hr-HR"/>
        </w:rPr>
        <w:t xml:space="preserve"> </w:t>
      </w:r>
      <w:r w:rsidRPr="00BF57A3">
        <w:rPr>
          <w:noProof/>
          <w:sz w:val="22"/>
          <w:szCs w:val="22"/>
          <w:lang w:val="hr-HR"/>
        </w:rPr>
        <w:t xml:space="preserve">sadrži </w:t>
      </w:r>
      <w:r w:rsidR="000C1ABA" w:rsidRPr="00BF57A3">
        <w:rPr>
          <w:noProof/>
          <w:sz w:val="22"/>
          <w:szCs w:val="22"/>
          <w:lang w:val="hr-HR"/>
        </w:rPr>
        <w:t>najčešća i klinički značajna neželjena dejstva zabilježena kod</w:t>
      </w:r>
      <w:r w:rsidRPr="00BF57A3">
        <w:rPr>
          <w:noProof/>
          <w:sz w:val="22"/>
          <w:szCs w:val="22"/>
          <w:lang w:val="hr-HR"/>
        </w:rPr>
        <w:t xml:space="preserve"> primjene lijeka Abraxane.</w:t>
      </w:r>
    </w:p>
    <w:p w14:paraId="67D0C4E2" w14:textId="77777777" w:rsidR="008623D6" w:rsidRPr="00BF57A3" w:rsidRDefault="008623D6">
      <w:pPr>
        <w:autoSpaceDE w:val="0"/>
        <w:autoSpaceDN w:val="0"/>
        <w:adjustRightInd w:val="0"/>
        <w:jc w:val="both"/>
        <w:rPr>
          <w:noProof/>
          <w:sz w:val="22"/>
          <w:szCs w:val="22"/>
          <w:lang w:val="hr-HR"/>
        </w:rPr>
      </w:pPr>
    </w:p>
    <w:p w14:paraId="4F1E0484" w14:textId="29370A1F" w:rsidR="000C1ABA" w:rsidRPr="00BF57A3" w:rsidRDefault="00D861A3">
      <w:pPr>
        <w:autoSpaceDE w:val="0"/>
        <w:autoSpaceDN w:val="0"/>
        <w:adjustRightInd w:val="0"/>
        <w:jc w:val="both"/>
        <w:rPr>
          <w:noProof/>
          <w:sz w:val="22"/>
          <w:szCs w:val="22"/>
          <w:lang w:val="hr-HR"/>
        </w:rPr>
      </w:pPr>
      <w:r w:rsidRPr="00BF57A3">
        <w:rPr>
          <w:noProof/>
          <w:sz w:val="22"/>
          <w:szCs w:val="22"/>
          <w:lang w:val="hr-HR"/>
        </w:rPr>
        <w:t xml:space="preserve">Neželjena dejstava su procijenjena kod </w:t>
      </w:r>
      <w:r w:rsidR="000C1ABA" w:rsidRPr="00BF57A3">
        <w:rPr>
          <w:noProof/>
          <w:sz w:val="22"/>
          <w:szCs w:val="22"/>
          <w:lang w:val="hr-HR"/>
        </w:rPr>
        <w:t xml:space="preserve">229 </w:t>
      </w:r>
      <w:r w:rsidR="002C01DA">
        <w:rPr>
          <w:noProof/>
          <w:sz w:val="22"/>
          <w:szCs w:val="22"/>
          <w:lang w:val="hr-HR"/>
        </w:rPr>
        <w:t>pacijenata</w:t>
      </w:r>
      <w:r w:rsidR="002C01DA" w:rsidRPr="00BF57A3">
        <w:rPr>
          <w:noProof/>
          <w:sz w:val="22"/>
          <w:szCs w:val="22"/>
          <w:lang w:val="hr-HR"/>
        </w:rPr>
        <w:t xml:space="preserve"> </w:t>
      </w:r>
      <w:r w:rsidR="000C1ABA" w:rsidRPr="00BF57A3">
        <w:rPr>
          <w:noProof/>
          <w:sz w:val="22"/>
          <w:szCs w:val="22"/>
          <w:lang w:val="hr-HR"/>
        </w:rPr>
        <w:t>sa metastatskim karcinomom dojke koji su bili liječeni sa 260 mg/m</w:t>
      </w:r>
      <w:r w:rsidR="000C1ABA" w:rsidRPr="00BF57A3">
        <w:rPr>
          <w:noProof/>
          <w:sz w:val="22"/>
          <w:szCs w:val="22"/>
          <w:vertAlign w:val="superscript"/>
          <w:lang w:val="hr-HR"/>
        </w:rPr>
        <w:t>2</w:t>
      </w:r>
      <w:r w:rsidR="000C1ABA" w:rsidRPr="00BF57A3">
        <w:rPr>
          <w:noProof/>
          <w:sz w:val="22"/>
          <w:szCs w:val="22"/>
          <w:lang w:val="hr-HR"/>
        </w:rPr>
        <w:t xml:space="preserve"> lijeka Abraxane jednom u svake tri ned</w:t>
      </w:r>
      <w:r w:rsidR="001E3363" w:rsidRPr="00BF57A3">
        <w:rPr>
          <w:noProof/>
          <w:sz w:val="22"/>
          <w:szCs w:val="22"/>
          <w:lang w:val="hr-HR"/>
        </w:rPr>
        <w:t>j</w:t>
      </w:r>
      <w:r w:rsidR="000C1ABA" w:rsidRPr="00BF57A3">
        <w:rPr>
          <w:noProof/>
          <w:sz w:val="22"/>
          <w:szCs w:val="22"/>
          <w:lang w:val="hr-HR"/>
        </w:rPr>
        <w:t xml:space="preserve">elje u fazi III </w:t>
      </w:r>
      <w:r w:rsidR="00924355" w:rsidRPr="00BF57A3">
        <w:rPr>
          <w:noProof/>
          <w:sz w:val="22"/>
          <w:szCs w:val="22"/>
          <w:lang w:val="hr-HR"/>
        </w:rPr>
        <w:t xml:space="preserve">pivotalnog </w:t>
      </w:r>
      <w:r w:rsidR="000C1ABA" w:rsidRPr="00BF57A3">
        <w:rPr>
          <w:noProof/>
          <w:sz w:val="22"/>
          <w:szCs w:val="22"/>
          <w:lang w:val="hr-HR"/>
        </w:rPr>
        <w:t>kliničkog ispitivanja</w:t>
      </w:r>
      <w:r w:rsidRPr="00BF57A3">
        <w:rPr>
          <w:noProof/>
          <w:sz w:val="22"/>
          <w:szCs w:val="22"/>
          <w:lang w:val="hr-HR"/>
        </w:rPr>
        <w:t xml:space="preserve"> (monoterapija lijekom Abraxane).</w:t>
      </w:r>
    </w:p>
    <w:p w14:paraId="4DA023CE" w14:textId="77777777" w:rsidR="008623D6" w:rsidRPr="00BF57A3" w:rsidRDefault="008623D6">
      <w:pPr>
        <w:autoSpaceDE w:val="0"/>
        <w:autoSpaceDN w:val="0"/>
        <w:adjustRightInd w:val="0"/>
        <w:jc w:val="both"/>
        <w:rPr>
          <w:noProof/>
          <w:sz w:val="22"/>
          <w:szCs w:val="22"/>
          <w:lang w:val="hr-HR"/>
        </w:rPr>
      </w:pPr>
    </w:p>
    <w:p w14:paraId="138A663D" w14:textId="4A7AB308" w:rsidR="00FA2B43" w:rsidRPr="00BF57A3" w:rsidRDefault="00D861A3">
      <w:pPr>
        <w:autoSpaceDE w:val="0"/>
        <w:autoSpaceDN w:val="0"/>
        <w:adjustRightInd w:val="0"/>
        <w:jc w:val="both"/>
        <w:rPr>
          <w:noProof/>
          <w:sz w:val="22"/>
          <w:szCs w:val="22"/>
          <w:lang w:val="hr-HR"/>
        </w:rPr>
      </w:pPr>
      <w:r w:rsidRPr="00BF57A3">
        <w:rPr>
          <w:noProof/>
          <w:sz w:val="22"/>
          <w:szCs w:val="22"/>
          <w:lang w:val="hr-HR"/>
        </w:rPr>
        <w:t xml:space="preserve">Neželjena dejstva su procijenjena kod 421 </w:t>
      </w:r>
      <w:r w:rsidR="009F6D89">
        <w:rPr>
          <w:noProof/>
          <w:sz w:val="22"/>
          <w:szCs w:val="22"/>
          <w:lang w:val="hr-HR"/>
        </w:rPr>
        <w:t>pacijenta</w:t>
      </w:r>
      <w:r w:rsidR="009F6D89" w:rsidRPr="00BF57A3">
        <w:rPr>
          <w:noProof/>
          <w:sz w:val="22"/>
          <w:szCs w:val="22"/>
          <w:lang w:val="hr-HR"/>
        </w:rPr>
        <w:t xml:space="preserve"> </w:t>
      </w:r>
      <w:r w:rsidR="008623D6" w:rsidRPr="00BF57A3">
        <w:rPr>
          <w:noProof/>
          <w:sz w:val="22"/>
          <w:szCs w:val="22"/>
          <w:lang w:val="hr-HR"/>
        </w:rPr>
        <w:t>sa metastatskim karcinomom pankreasa</w:t>
      </w:r>
      <w:r w:rsidRPr="00BF57A3">
        <w:rPr>
          <w:noProof/>
          <w:sz w:val="22"/>
          <w:szCs w:val="22"/>
          <w:lang w:val="hr-HR"/>
        </w:rPr>
        <w:t xml:space="preserve"> liječenog lijekom Abraxane u kombinaciji sa gemcitabinom (</w:t>
      </w:r>
      <w:r w:rsidR="00FA2B43" w:rsidRPr="00BF57A3">
        <w:rPr>
          <w:noProof/>
          <w:sz w:val="22"/>
          <w:szCs w:val="22"/>
          <w:lang w:val="hr-HR"/>
        </w:rPr>
        <w:t>125 mg/m</w:t>
      </w:r>
      <w:r w:rsidR="00FA2B43" w:rsidRPr="00BF57A3">
        <w:rPr>
          <w:noProof/>
          <w:sz w:val="22"/>
          <w:szCs w:val="22"/>
          <w:vertAlign w:val="superscript"/>
          <w:lang w:val="hr-HR"/>
        </w:rPr>
        <w:t>2</w:t>
      </w:r>
      <w:r w:rsidR="00FA2B43" w:rsidRPr="00BF57A3">
        <w:rPr>
          <w:noProof/>
          <w:sz w:val="22"/>
          <w:szCs w:val="22"/>
          <w:lang w:val="hr-HR"/>
        </w:rPr>
        <w:t xml:space="preserve"> lijeka Abraxane u kombinaciji sa gemcitabinom u dozi od 1000 mg/m</w:t>
      </w:r>
      <w:r w:rsidR="00FA2B43" w:rsidRPr="00BF57A3">
        <w:rPr>
          <w:noProof/>
          <w:sz w:val="22"/>
          <w:szCs w:val="22"/>
          <w:vertAlign w:val="superscript"/>
          <w:lang w:val="hr-HR"/>
        </w:rPr>
        <w:t>2</w:t>
      </w:r>
      <w:r w:rsidR="00FA2B43" w:rsidRPr="00BF57A3">
        <w:rPr>
          <w:noProof/>
          <w:sz w:val="22"/>
          <w:szCs w:val="22"/>
          <w:lang w:val="hr-HR"/>
        </w:rPr>
        <w:t>, davanoj 1., 8. i 15. dana svakog 28-dnevnog ciklusa</w:t>
      </w:r>
      <w:r w:rsidRPr="00BF57A3">
        <w:rPr>
          <w:noProof/>
          <w:sz w:val="22"/>
          <w:szCs w:val="22"/>
          <w:lang w:val="hr-HR"/>
        </w:rPr>
        <w:t xml:space="preserve">) i 402 </w:t>
      </w:r>
      <w:r w:rsidR="009F6D89">
        <w:rPr>
          <w:noProof/>
          <w:sz w:val="22"/>
          <w:szCs w:val="22"/>
          <w:lang w:val="hr-HR"/>
        </w:rPr>
        <w:t>pacijenta</w:t>
      </w:r>
      <w:r w:rsidR="009F6D89" w:rsidRPr="00BF57A3">
        <w:rPr>
          <w:noProof/>
          <w:sz w:val="22"/>
          <w:szCs w:val="22"/>
          <w:lang w:val="hr-HR"/>
        </w:rPr>
        <w:t xml:space="preserve"> </w:t>
      </w:r>
      <w:r w:rsidRPr="00BF57A3">
        <w:rPr>
          <w:noProof/>
          <w:sz w:val="22"/>
          <w:szCs w:val="22"/>
          <w:lang w:val="hr-HR"/>
        </w:rPr>
        <w:t xml:space="preserve">liječena gemcitabinom kao monoterapijom koji su primali prvu liniju sistemskog liječenja za metastatski adenokarcinom pankreasa </w:t>
      </w:r>
    </w:p>
    <w:p w14:paraId="3F80E1D1" w14:textId="77777777" w:rsidR="00FA2B43" w:rsidRPr="00BF57A3" w:rsidRDefault="00FA2B43">
      <w:pPr>
        <w:autoSpaceDE w:val="0"/>
        <w:autoSpaceDN w:val="0"/>
        <w:adjustRightInd w:val="0"/>
        <w:jc w:val="both"/>
        <w:rPr>
          <w:noProof/>
          <w:sz w:val="22"/>
          <w:szCs w:val="22"/>
          <w:lang w:val="hr-HR"/>
        </w:rPr>
      </w:pPr>
      <w:r w:rsidRPr="00BF57A3">
        <w:rPr>
          <w:noProof/>
          <w:sz w:val="22"/>
          <w:szCs w:val="22"/>
          <w:lang w:val="hr-HR"/>
        </w:rPr>
        <w:t>(Abraxane/gemcitabin).</w:t>
      </w:r>
    </w:p>
    <w:p w14:paraId="4E63D67B" w14:textId="77777777" w:rsidR="008623D6" w:rsidRPr="00BF57A3" w:rsidRDefault="008623D6">
      <w:pPr>
        <w:autoSpaceDE w:val="0"/>
        <w:autoSpaceDN w:val="0"/>
        <w:adjustRightInd w:val="0"/>
        <w:jc w:val="both"/>
        <w:rPr>
          <w:noProof/>
          <w:sz w:val="22"/>
          <w:szCs w:val="22"/>
          <w:lang w:val="hr-HR"/>
        </w:rPr>
      </w:pPr>
    </w:p>
    <w:p w14:paraId="6728186E" w14:textId="20A0AE0C" w:rsidR="00FA2B43" w:rsidRPr="00BF57A3" w:rsidRDefault="001B6327">
      <w:pPr>
        <w:autoSpaceDE w:val="0"/>
        <w:autoSpaceDN w:val="0"/>
        <w:adjustRightInd w:val="0"/>
        <w:jc w:val="both"/>
        <w:rPr>
          <w:noProof/>
          <w:sz w:val="22"/>
          <w:szCs w:val="22"/>
          <w:lang w:val="hr-HR"/>
        </w:rPr>
      </w:pPr>
      <w:r w:rsidRPr="00BF57A3">
        <w:rPr>
          <w:noProof/>
          <w:sz w:val="22"/>
          <w:szCs w:val="22"/>
          <w:lang w:val="hr-HR"/>
        </w:rPr>
        <w:t xml:space="preserve">Neželjena dejstva su procijenjena kod 514 </w:t>
      </w:r>
      <w:r w:rsidR="002C01DA">
        <w:rPr>
          <w:noProof/>
          <w:sz w:val="22"/>
          <w:szCs w:val="22"/>
          <w:lang w:val="hr-HR"/>
        </w:rPr>
        <w:t>pacijenata</w:t>
      </w:r>
      <w:r w:rsidR="002C01DA" w:rsidRPr="00BF57A3">
        <w:rPr>
          <w:noProof/>
          <w:sz w:val="22"/>
          <w:szCs w:val="22"/>
          <w:lang w:val="hr-HR"/>
        </w:rPr>
        <w:t xml:space="preserve"> </w:t>
      </w:r>
      <w:r w:rsidR="00FA2B43" w:rsidRPr="00BF57A3">
        <w:rPr>
          <w:noProof/>
          <w:sz w:val="22"/>
          <w:szCs w:val="22"/>
          <w:lang w:val="hr-HR"/>
        </w:rPr>
        <w:t xml:space="preserve">sa nemikrocelularnim karcinomom pluća liječenim lijekom Abraxane u kombinaciji sa karboplatinom </w:t>
      </w:r>
      <w:r w:rsidRPr="00BF57A3">
        <w:rPr>
          <w:noProof/>
          <w:sz w:val="22"/>
          <w:szCs w:val="22"/>
          <w:lang w:val="hr-HR"/>
        </w:rPr>
        <w:t>(100 mg/m</w:t>
      </w:r>
      <w:r w:rsidRPr="00BF57A3">
        <w:rPr>
          <w:noProof/>
          <w:sz w:val="22"/>
          <w:szCs w:val="22"/>
          <w:vertAlign w:val="superscript"/>
          <w:lang w:val="hr-HR"/>
        </w:rPr>
        <w:t>2</w:t>
      </w:r>
      <w:r w:rsidRPr="00BF57A3">
        <w:rPr>
          <w:noProof/>
          <w:sz w:val="22"/>
          <w:szCs w:val="22"/>
          <w:lang w:val="hr-HR"/>
        </w:rPr>
        <w:t xml:space="preserve"> lijeka Abraxane koji je davan 1., 8. i 15. dana svakog 21-dnevnog ciklusa u kombinaciji sa karboplatinom koji je davan prvog dana svakog ciklusa) </w:t>
      </w:r>
      <w:r w:rsidR="00F937A6" w:rsidRPr="00BF57A3">
        <w:rPr>
          <w:noProof/>
          <w:sz w:val="22"/>
          <w:szCs w:val="22"/>
          <w:lang w:val="hr-HR"/>
        </w:rPr>
        <w:t>u randomizovanom, kontrolisanom, kliničkom ispitivanju faze III (Abraxane/karboplatin).</w:t>
      </w:r>
      <w:r w:rsidR="00A1018E" w:rsidRPr="00BF57A3">
        <w:rPr>
          <w:noProof/>
          <w:sz w:val="22"/>
          <w:szCs w:val="22"/>
          <w:lang w:val="hr-HR"/>
        </w:rPr>
        <w:t xml:space="preserve"> </w:t>
      </w:r>
      <w:r w:rsidR="00FA2B43" w:rsidRPr="00BF57A3">
        <w:rPr>
          <w:noProof/>
          <w:sz w:val="22"/>
          <w:szCs w:val="22"/>
          <w:lang w:val="hr-HR"/>
        </w:rPr>
        <w:t xml:space="preserve">Toksičnost povezana sa taksanom prema samoprocjeni </w:t>
      </w:r>
      <w:r w:rsidR="002C01DA">
        <w:rPr>
          <w:noProof/>
          <w:sz w:val="22"/>
          <w:szCs w:val="22"/>
          <w:lang w:val="hr-HR"/>
        </w:rPr>
        <w:t>pacijenata</w:t>
      </w:r>
      <w:r w:rsidR="002C01DA" w:rsidRPr="00BF57A3">
        <w:rPr>
          <w:noProof/>
          <w:sz w:val="22"/>
          <w:szCs w:val="22"/>
          <w:lang w:val="hr-HR"/>
        </w:rPr>
        <w:t xml:space="preserve"> </w:t>
      </w:r>
      <w:r w:rsidR="00FA2B43" w:rsidRPr="00BF57A3">
        <w:rPr>
          <w:noProof/>
          <w:sz w:val="22"/>
          <w:szCs w:val="22"/>
          <w:lang w:val="hr-HR"/>
        </w:rPr>
        <w:t>dobijena je na osnovu 4 podskale upitnika za funkcionalnu procjenu terapije karcinoma taksanom (Functional Assessment of Cancer Therapy (FACT) - Taxane). Prema analizi ponovljenog mjerenja, 3 od 4 podskale (periferna neuropatija, bol u šakama/stopalima i sluh) bile su u korist lijeka Abraxane i karboplatin (p ≤ 0,002). Za drugu podskalu (edem) nije bilo razlike između liječenih grupa.</w:t>
      </w:r>
    </w:p>
    <w:p w14:paraId="083E1572" w14:textId="77777777" w:rsidR="008B5FEF" w:rsidRPr="00BF57A3" w:rsidRDefault="002C01DA" w:rsidP="006C640E">
      <w:pPr>
        <w:rPr>
          <w:i/>
          <w:noProof/>
          <w:sz w:val="22"/>
          <w:szCs w:val="22"/>
          <w:lang w:val="hr-HR"/>
        </w:rPr>
      </w:pPr>
      <w:r>
        <w:rPr>
          <w:i/>
          <w:noProof/>
          <w:sz w:val="22"/>
          <w:szCs w:val="22"/>
          <w:lang w:val="hr-HR"/>
        </w:rPr>
        <w:br w:type="page"/>
      </w:r>
    </w:p>
    <w:p w14:paraId="50C975F4" w14:textId="77777777" w:rsidR="008B5FEF" w:rsidRPr="006C640E" w:rsidRDefault="008B5FEF" w:rsidP="006C640E">
      <w:pPr>
        <w:autoSpaceDE w:val="0"/>
        <w:autoSpaceDN w:val="0"/>
        <w:adjustRightInd w:val="0"/>
        <w:spacing w:line="480" w:lineRule="auto"/>
        <w:jc w:val="both"/>
        <w:rPr>
          <w:i/>
          <w:noProof/>
          <w:sz w:val="22"/>
          <w:szCs w:val="22"/>
          <w:u w:val="single"/>
          <w:lang w:val="hr-HR"/>
        </w:rPr>
      </w:pPr>
      <w:r w:rsidRPr="006C640E">
        <w:rPr>
          <w:i/>
          <w:noProof/>
          <w:sz w:val="22"/>
          <w:szCs w:val="22"/>
          <w:u w:val="single"/>
          <w:lang w:val="hr-HR"/>
        </w:rPr>
        <w:lastRenderedPageBreak/>
        <w:t>Infekcije i infestacije</w:t>
      </w:r>
    </w:p>
    <w:p w14:paraId="5BBEECAD" w14:textId="77777777" w:rsidR="000053A0" w:rsidRPr="00BF57A3" w:rsidRDefault="008B5FEF">
      <w:pPr>
        <w:autoSpaceDE w:val="0"/>
        <w:autoSpaceDN w:val="0"/>
        <w:adjustRightInd w:val="0"/>
        <w:jc w:val="both"/>
        <w:rPr>
          <w:i/>
          <w:noProof/>
          <w:sz w:val="22"/>
          <w:szCs w:val="22"/>
          <w:lang w:val="hr-HR"/>
        </w:rPr>
      </w:pPr>
      <w:r w:rsidRPr="00BF57A3">
        <w:rPr>
          <w:i/>
          <w:noProof/>
          <w:sz w:val="22"/>
          <w:szCs w:val="22"/>
          <w:lang w:val="hr-HR"/>
        </w:rPr>
        <w:t xml:space="preserve">Abraxane/gemcitabin </w:t>
      </w:r>
    </w:p>
    <w:p w14:paraId="468A9D49" w14:textId="5789BDEA" w:rsidR="008C44D9" w:rsidRPr="00BF57A3" w:rsidRDefault="008C44D9">
      <w:pPr>
        <w:autoSpaceDE w:val="0"/>
        <w:autoSpaceDN w:val="0"/>
        <w:adjustRightInd w:val="0"/>
        <w:jc w:val="both"/>
        <w:rPr>
          <w:sz w:val="22"/>
          <w:szCs w:val="22"/>
          <w:lang w:val="sl-SI"/>
        </w:rPr>
      </w:pPr>
      <w:r w:rsidRPr="00BF57A3">
        <w:rPr>
          <w:sz w:val="22"/>
          <w:szCs w:val="22"/>
          <w:lang w:val="sl-SI"/>
        </w:rPr>
        <w:t xml:space="preserve">Sepsa je prijavljena u stopi od 5% kod </w:t>
      </w:r>
      <w:r w:rsidR="002C01DA">
        <w:rPr>
          <w:sz w:val="22"/>
          <w:szCs w:val="22"/>
          <w:lang w:val="sl-SI"/>
        </w:rPr>
        <w:t>pacijenata</w:t>
      </w:r>
      <w:r w:rsidR="002C01DA" w:rsidRPr="00BF57A3">
        <w:rPr>
          <w:sz w:val="22"/>
          <w:szCs w:val="22"/>
          <w:lang w:val="sl-SI"/>
        </w:rPr>
        <w:t xml:space="preserve"> </w:t>
      </w:r>
      <w:r w:rsidRPr="00BF57A3">
        <w:rPr>
          <w:sz w:val="22"/>
          <w:szCs w:val="22"/>
          <w:lang w:val="sl-SI"/>
        </w:rPr>
        <w:t xml:space="preserve">sa ili bez neutropenije koji su primali lijek Abraxane </w:t>
      </w:r>
      <w:r w:rsidRPr="00BF57A3">
        <w:rPr>
          <w:noProof/>
          <w:sz w:val="22"/>
          <w:szCs w:val="22"/>
          <w:lang w:val="hr-HR"/>
        </w:rPr>
        <w:t xml:space="preserve">u kombinaciji sa gemcitabinom u ispitivanju adenokarcinoma pankreasa. </w:t>
      </w:r>
      <w:r w:rsidR="00C55115" w:rsidRPr="00BF57A3">
        <w:rPr>
          <w:noProof/>
          <w:sz w:val="22"/>
          <w:szCs w:val="22"/>
          <w:lang w:val="hr-HR"/>
        </w:rPr>
        <w:t>Od 22 slučaja sepse zab</w:t>
      </w:r>
      <w:r w:rsidR="009F6D89">
        <w:rPr>
          <w:noProof/>
          <w:sz w:val="22"/>
          <w:szCs w:val="22"/>
          <w:lang w:val="hr-HR"/>
        </w:rPr>
        <w:t>i</w:t>
      </w:r>
      <w:r w:rsidR="00C55115" w:rsidRPr="00BF57A3">
        <w:rPr>
          <w:noProof/>
          <w:sz w:val="22"/>
          <w:szCs w:val="22"/>
          <w:lang w:val="hr-HR"/>
        </w:rPr>
        <w:t>l</w:t>
      </w:r>
      <w:r w:rsidR="009F6D89">
        <w:rPr>
          <w:noProof/>
          <w:sz w:val="22"/>
          <w:szCs w:val="22"/>
          <w:lang w:val="hr-HR"/>
        </w:rPr>
        <w:t>j</w:t>
      </w:r>
      <w:r w:rsidR="00C55115" w:rsidRPr="00BF57A3">
        <w:rPr>
          <w:noProof/>
          <w:sz w:val="22"/>
          <w:szCs w:val="22"/>
          <w:lang w:val="hr-HR"/>
        </w:rPr>
        <w:t xml:space="preserve">eženih kod </w:t>
      </w:r>
      <w:r w:rsidR="009F6D89">
        <w:rPr>
          <w:noProof/>
          <w:sz w:val="22"/>
          <w:szCs w:val="22"/>
          <w:lang w:val="hr-HR"/>
        </w:rPr>
        <w:t>pacijenata</w:t>
      </w:r>
      <w:r w:rsidR="009F6D89" w:rsidRPr="00BF57A3">
        <w:rPr>
          <w:noProof/>
          <w:sz w:val="22"/>
          <w:szCs w:val="22"/>
          <w:lang w:val="hr-HR"/>
        </w:rPr>
        <w:t xml:space="preserve"> </w:t>
      </w:r>
      <w:r w:rsidR="00C55115" w:rsidRPr="00BF57A3">
        <w:rPr>
          <w:noProof/>
          <w:sz w:val="22"/>
          <w:szCs w:val="22"/>
          <w:lang w:val="hr-HR"/>
        </w:rPr>
        <w:t xml:space="preserve">liječenih lijekom Abraxane u kombinaciji sa gemcitabinom, 5 je imalo letalni ishod. </w:t>
      </w:r>
      <w:r w:rsidRPr="00BF57A3">
        <w:rPr>
          <w:sz w:val="22"/>
          <w:szCs w:val="22"/>
          <w:lang w:val="sl-SI"/>
        </w:rPr>
        <w:t xml:space="preserve">Komplikacije zbog postojećeg karcinoma pankreasa, naročito </w:t>
      </w:r>
      <w:r w:rsidRPr="00BF57A3">
        <w:rPr>
          <w:noProof/>
          <w:sz w:val="22"/>
          <w:szCs w:val="22"/>
          <w:lang w:val="hr-HR"/>
        </w:rPr>
        <w:t xml:space="preserve">bilijarne opstrukcije ili prisutnosti bilijarnog stenta, ustanovljene su kao značajan dodatni faktor. </w:t>
      </w:r>
      <w:r w:rsidRPr="00BF57A3">
        <w:rPr>
          <w:sz w:val="22"/>
          <w:szCs w:val="22"/>
          <w:lang w:val="sl-SI"/>
        </w:rPr>
        <w:t xml:space="preserve">Ako </w:t>
      </w:r>
      <w:r w:rsidR="00A06278">
        <w:rPr>
          <w:sz w:val="22"/>
          <w:szCs w:val="22"/>
          <w:lang w:val="sl-SI"/>
        </w:rPr>
        <w:t>pacijenat</w:t>
      </w:r>
      <w:r w:rsidR="00A06278" w:rsidRPr="00BF57A3">
        <w:rPr>
          <w:sz w:val="22"/>
          <w:szCs w:val="22"/>
          <w:lang w:val="sl-SI"/>
        </w:rPr>
        <w:t xml:space="preserve"> </w:t>
      </w:r>
      <w:r w:rsidRPr="00BF57A3">
        <w:rPr>
          <w:sz w:val="22"/>
          <w:szCs w:val="22"/>
          <w:lang w:val="sl-SI"/>
        </w:rPr>
        <w:t>razvije groznicu (bez obzira na broj neutrofila), treba započeti liječenje antibioticima širokog spektra. U slučaju febrilne neutropenije, treba obustaviti lijek Abraxane i gemcitabin dok se groznica ne</w:t>
      </w:r>
      <w:r w:rsidRPr="006C640E">
        <w:rPr>
          <w:sz w:val="22"/>
          <w:szCs w:val="22"/>
          <w:lang w:val="sl-SI"/>
        </w:rPr>
        <w:t xml:space="preserve"> </w:t>
      </w:r>
      <w:r w:rsidRPr="00BF57A3">
        <w:rPr>
          <w:sz w:val="22"/>
          <w:szCs w:val="22"/>
          <w:lang w:val="sl-SI"/>
        </w:rPr>
        <w:t>povuče i dok se ne dostigne ABN ≥ 1500 ćelija/mm</w:t>
      </w:r>
      <w:r w:rsidRPr="00BF57A3">
        <w:rPr>
          <w:sz w:val="22"/>
          <w:szCs w:val="22"/>
          <w:vertAlign w:val="superscript"/>
          <w:lang w:val="sl-SI"/>
        </w:rPr>
        <w:t>3</w:t>
      </w:r>
      <w:r w:rsidRPr="00BF57A3">
        <w:rPr>
          <w:sz w:val="22"/>
          <w:szCs w:val="22"/>
          <w:lang w:val="sl-SI"/>
        </w:rPr>
        <w:t xml:space="preserve">, a potom nastaviti liječenje sa smanjenim nivoom doza (vidjeti </w:t>
      </w:r>
      <w:r w:rsidR="009F6D89">
        <w:rPr>
          <w:sz w:val="22"/>
          <w:szCs w:val="22"/>
          <w:lang w:val="sl-SI"/>
        </w:rPr>
        <w:t>dio</w:t>
      </w:r>
      <w:r w:rsidR="009F6D89" w:rsidRPr="00BF57A3">
        <w:rPr>
          <w:sz w:val="22"/>
          <w:szCs w:val="22"/>
          <w:lang w:val="sl-SI"/>
        </w:rPr>
        <w:t xml:space="preserve"> </w:t>
      </w:r>
      <w:r w:rsidRPr="00BF57A3">
        <w:rPr>
          <w:sz w:val="22"/>
          <w:szCs w:val="22"/>
          <w:lang w:val="sl-SI"/>
        </w:rPr>
        <w:t>4.2).</w:t>
      </w:r>
    </w:p>
    <w:p w14:paraId="4EC0DDB3" w14:textId="77777777" w:rsidR="008C44D9" w:rsidRPr="00BF57A3" w:rsidRDefault="008C44D9">
      <w:pPr>
        <w:autoSpaceDE w:val="0"/>
        <w:autoSpaceDN w:val="0"/>
        <w:adjustRightInd w:val="0"/>
        <w:jc w:val="both"/>
        <w:rPr>
          <w:i/>
          <w:sz w:val="22"/>
          <w:szCs w:val="22"/>
          <w:lang w:val="it-IT"/>
        </w:rPr>
      </w:pPr>
    </w:p>
    <w:p w14:paraId="5805F03F" w14:textId="77777777" w:rsidR="000C1ABA" w:rsidRDefault="000C1ABA">
      <w:pPr>
        <w:autoSpaceDE w:val="0"/>
        <w:autoSpaceDN w:val="0"/>
        <w:adjustRightInd w:val="0"/>
        <w:jc w:val="both"/>
        <w:rPr>
          <w:i/>
          <w:noProof/>
          <w:sz w:val="22"/>
          <w:szCs w:val="22"/>
          <w:u w:val="single"/>
          <w:lang w:val="hr-HR"/>
        </w:rPr>
      </w:pPr>
      <w:r w:rsidRPr="006C640E">
        <w:rPr>
          <w:i/>
          <w:sz w:val="22"/>
          <w:szCs w:val="22"/>
          <w:u w:val="single"/>
          <w:lang w:val="it-IT"/>
        </w:rPr>
        <w:t>Poremećaji na nivou krvi i limfnog sistema</w:t>
      </w:r>
      <w:r w:rsidRPr="009F6D89">
        <w:rPr>
          <w:i/>
          <w:noProof/>
          <w:sz w:val="22"/>
          <w:szCs w:val="22"/>
          <w:u w:val="single"/>
          <w:lang w:val="hr-HR"/>
        </w:rPr>
        <w:t xml:space="preserve"> </w:t>
      </w:r>
    </w:p>
    <w:p w14:paraId="76DE8104" w14:textId="77777777" w:rsidR="009F6D89" w:rsidRPr="009F6D89" w:rsidRDefault="009F6D89">
      <w:pPr>
        <w:autoSpaceDE w:val="0"/>
        <w:autoSpaceDN w:val="0"/>
        <w:adjustRightInd w:val="0"/>
        <w:jc w:val="both"/>
        <w:rPr>
          <w:i/>
          <w:noProof/>
          <w:sz w:val="22"/>
          <w:szCs w:val="22"/>
          <w:u w:val="single"/>
          <w:lang w:val="hr-HR"/>
        </w:rPr>
      </w:pPr>
    </w:p>
    <w:p w14:paraId="4CFEF9E1" w14:textId="5A47981E" w:rsidR="008B5FEF" w:rsidRPr="00BF57A3" w:rsidRDefault="008B5FEF">
      <w:pPr>
        <w:autoSpaceDE w:val="0"/>
        <w:autoSpaceDN w:val="0"/>
        <w:adjustRightInd w:val="0"/>
        <w:jc w:val="both"/>
        <w:rPr>
          <w:noProof/>
          <w:sz w:val="22"/>
          <w:szCs w:val="22"/>
          <w:lang w:val="hr-HR"/>
        </w:rPr>
      </w:pPr>
      <w:r w:rsidRPr="006C640E">
        <w:rPr>
          <w:i/>
          <w:noProof/>
          <w:sz w:val="22"/>
          <w:szCs w:val="22"/>
          <w:lang w:val="hr-HR"/>
        </w:rPr>
        <w:t>Monoterapija lijekom Abraxane za liječenje metastatskog karcinoma dojke</w:t>
      </w:r>
    </w:p>
    <w:p w14:paraId="6CC50201" w14:textId="33EE0260" w:rsidR="000C1ABA" w:rsidRDefault="008B5FEF">
      <w:pPr>
        <w:autoSpaceDE w:val="0"/>
        <w:autoSpaceDN w:val="0"/>
        <w:adjustRightInd w:val="0"/>
        <w:jc w:val="both"/>
        <w:rPr>
          <w:noProof/>
          <w:sz w:val="22"/>
          <w:szCs w:val="22"/>
          <w:lang w:val="hr-HR"/>
        </w:rPr>
      </w:pPr>
      <w:r w:rsidRPr="00BF57A3">
        <w:rPr>
          <w:noProof/>
          <w:sz w:val="22"/>
          <w:szCs w:val="22"/>
          <w:lang w:val="hr-HR"/>
        </w:rPr>
        <w:t xml:space="preserve">Kod </w:t>
      </w:r>
      <w:r w:rsidR="00A06278">
        <w:rPr>
          <w:noProof/>
          <w:sz w:val="22"/>
          <w:szCs w:val="22"/>
          <w:lang w:val="hr-HR"/>
        </w:rPr>
        <w:t>pacijenata</w:t>
      </w:r>
      <w:r w:rsidR="00A06278" w:rsidRPr="00BF57A3">
        <w:rPr>
          <w:noProof/>
          <w:sz w:val="22"/>
          <w:szCs w:val="22"/>
          <w:lang w:val="hr-HR"/>
        </w:rPr>
        <w:t xml:space="preserve"> </w:t>
      </w:r>
      <w:r w:rsidRPr="00BF57A3">
        <w:rPr>
          <w:noProof/>
          <w:sz w:val="22"/>
          <w:szCs w:val="22"/>
          <w:lang w:val="hr-HR"/>
        </w:rPr>
        <w:t>sa metastatskim karcinomom dojke, n</w:t>
      </w:r>
      <w:r w:rsidR="000C1ABA" w:rsidRPr="00BF57A3">
        <w:rPr>
          <w:noProof/>
          <w:sz w:val="22"/>
          <w:szCs w:val="22"/>
          <w:lang w:val="hr-HR"/>
        </w:rPr>
        <w:t xml:space="preserve">eutropenija je bila najuočljivija važna hematološka toksičnost (prijavljena kod 79% </w:t>
      </w:r>
      <w:r w:rsidR="009F6D89">
        <w:rPr>
          <w:noProof/>
          <w:sz w:val="22"/>
          <w:szCs w:val="22"/>
          <w:lang w:val="hr-HR"/>
        </w:rPr>
        <w:t>pacijenata</w:t>
      </w:r>
      <w:r w:rsidR="000C1ABA" w:rsidRPr="00BF57A3">
        <w:rPr>
          <w:noProof/>
          <w:sz w:val="22"/>
          <w:szCs w:val="22"/>
          <w:lang w:val="hr-HR"/>
        </w:rPr>
        <w:t xml:space="preserve">), a bila je lako reverzibilna i dozno-zavisna; leukopenija je prijavljena </w:t>
      </w:r>
      <w:r w:rsidR="00924355" w:rsidRPr="00BF57A3">
        <w:rPr>
          <w:noProof/>
          <w:sz w:val="22"/>
          <w:szCs w:val="22"/>
          <w:lang w:val="hr-HR"/>
        </w:rPr>
        <w:t xml:space="preserve">kod </w:t>
      </w:r>
      <w:r w:rsidR="000C1ABA" w:rsidRPr="00BF57A3">
        <w:rPr>
          <w:noProof/>
          <w:sz w:val="22"/>
          <w:szCs w:val="22"/>
          <w:lang w:val="hr-HR"/>
        </w:rPr>
        <w:t xml:space="preserve">71% </w:t>
      </w:r>
      <w:r w:rsidR="009F6D89">
        <w:rPr>
          <w:noProof/>
          <w:sz w:val="22"/>
          <w:szCs w:val="22"/>
          <w:lang w:val="hr-HR"/>
        </w:rPr>
        <w:t>pacijenata</w:t>
      </w:r>
      <w:r w:rsidR="000C1ABA" w:rsidRPr="00BF57A3">
        <w:rPr>
          <w:noProof/>
          <w:sz w:val="22"/>
          <w:szCs w:val="22"/>
          <w:lang w:val="hr-HR"/>
        </w:rPr>
        <w:t>. Neutropenija stepena 4 (&lt; 500 ćelija/mm</w:t>
      </w:r>
      <w:r w:rsidR="000C1ABA" w:rsidRPr="00BF57A3">
        <w:rPr>
          <w:noProof/>
          <w:sz w:val="22"/>
          <w:szCs w:val="22"/>
          <w:vertAlign w:val="superscript"/>
          <w:lang w:val="hr-HR"/>
        </w:rPr>
        <w:t>3</w:t>
      </w:r>
      <w:r w:rsidR="000C1ABA" w:rsidRPr="00BF57A3">
        <w:rPr>
          <w:noProof/>
          <w:sz w:val="22"/>
          <w:szCs w:val="22"/>
          <w:lang w:val="hr-HR"/>
        </w:rPr>
        <w:t xml:space="preserve">) javila se kod 9% </w:t>
      </w:r>
      <w:r w:rsidR="009F6D89">
        <w:rPr>
          <w:noProof/>
          <w:sz w:val="22"/>
          <w:szCs w:val="22"/>
          <w:lang w:val="hr-HR"/>
        </w:rPr>
        <w:t>pacijenata</w:t>
      </w:r>
      <w:r w:rsidR="009F6D89" w:rsidRPr="00BF57A3">
        <w:rPr>
          <w:noProof/>
          <w:sz w:val="22"/>
          <w:szCs w:val="22"/>
          <w:lang w:val="hr-HR"/>
        </w:rPr>
        <w:t xml:space="preserve"> </w:t>
      </w:r>
      <w:r w:rsidR="000C1ABA" w:rsidRPr="00BF57A3">
        <w:rPr>
          <w:noProof/>
          <w:sz w:val="22"/>
          <w:szCs w:val="22"/>
          <w:lang w:val="hr-HR"/>
        </w:rPr>
        <w:t xml:space="preserve">liječenih lijekom Abraxane. Febrilna neutropenija javila se kod četiri </w:t>
      </w:r>
      <w:r w:rsidR="00A06278">
        <w:rPr>
          <w:noProof/>
          <w:sz w:val="22"/>
          <w:szCs w:val="22"/>
          <w:lang w:val="hr-HR"/>
        </w:rPr>
        <w:t>pacijenta</w:t>
      </w:r>
      <w:r w:rsidR="00A06278" w:rsidRPr="00BF57A3">
        <w:rPr>
          <w:noProof/>
          <w:sz w:val="22"/>
          <w:szCs w:val="22"/>
          <w:lang w:val="hr-HR"/>
        </w:rPr>
        <w:t xml:space="preserve"> </w:t>
      </w:r>
      <w:r w:rsidR="000C1ABA" w:rsidRPr="00BF57A3">
        <w:rPr>
          <w:noProof/>
          <w:sz w:val="22"/>
          <w:szCs w:val="22"/>
          <w:lang w:val="hr-HR"/>
        </w:rPr>
        <w:t xml:space="preserve">koji su primali lijek Abraxane. Anemija (Hb &lt; 10 g/dl) je primjećena kod 46% </w:t>
      </w:r>
      <w:r w:rsidR="00A06278">
        <w:rPr>
          <w:noProof/>
          <w:sz w:val="22"/>
          <w:szCs w:val="22"/>
          <w:lang w:val="hr-HR"/>
        </w:rPr>
        <w:t>pacijenata</w:t>
      </w:r>
      <w:r w:rsidR="00A06278" w:rsidRPr="00BF57A3">
        <w:rPr>
          <w:noProof/>
          <w:sz w:val="22"/>
          <w:szCs w:val="22"/>
          <w:lang w:val="hr-HR"/>
        </w:rPr>
        <w:t xml:space="preserve"> </w:t>
      </w:r>
      <w:r w:rsidR="000C1ABA" w:rsidRPr="00BF57A3">
        <w:rPr>
          <w:noProof/>
          <w:sz w:val="22"/>
          <w:szCs w:val="22"/>
          <w:lang w:val="hr-HR"/>
        </w:rPr>
        <w:t xml:space="preserve">koji su primali lijek Abraxane i bila je ozbiljna (Hb &lt; 8 g/dl) u tri slučaja. Limfopenija je primjećena kod 45% </w:t>
      </w:r>
      <w:r w:rsidR="00A06278">
        <w:rPr>
          <w:noProof/>
          <w:sz w:val="22"/>
          <w:szCs w:val="22"/>
          <w:lang w:val="hr-HR"/>
        </w:rPr>
        <w:t>pacijenata</w:t>
      </w:r>
      <w:r w:rsidR="000C1ABA" w:rsidRPr="00BF57A3">
        <w:rPr>
          <w:noProof/>
          <w:sz w:val="22"/>
          <w:szCs w:val="22"/>
          <w:lang w:val="hr-HR"/>
        </w:rPr>
        <w:t>.</w:t>
      </w:r>
    </w:p>
    <w:p w14:paraId="5CEAD553" w14:textId="77777777" w:rsidR="00A06278" w:rsidRPr="00BF57A3" w:rsidRDefault="00A06278">
      <w:pPr>
        <w:autoSpaceDE w:val="0"/>
        <w:autoSpaceDN w:val="0"/>
        <w:adjustRightInd w:val="0"/>
        <w:jc w:val="both"/>
        <w:rPr>
          <w:noProof/>
          <w:sz w:val="22"/>
          <w:szCs w:val="22"/>
          <w:u w:val="single"/>
          <w:lang w:val="hr-HR"/>
        </w:rPr>
      </w:pPr>
    </w:p>
    <w:p w14:paraId="3806BFD2" w14:textId="77777777" w:rsidR="007D4376" w:rsidRPr="006C640E" w:rsidRDefault="007D4376">
      <w:pPr>
        <w:autoSpaceDE w:val="0"/>
        <w:autoSpaceDN w:val="0"/>
        <w:adjustRightInd w:val="0"/>
        <w:jc w:val="both"/>
        <w:rPr>
          <w:i/>
          <w:noProof/>
          <w:sz w:val="22"/>
          <w:szCs w:val="22"/>
          <w:lang w:val="hr-HR"/>
        </w:rPr>
      </w:pPr>
      <w:r w:rsidRPr="006C640E">
        <w:rPr>
          <w:i/>
          <w:noProof/>
          <w:sz w:val="22"/>
          <w:szCs w:val="22"/>
          <w:lang w:val="hr-HR"/>
        </w:rPr>
        <w:t>Abraxane/gemcitabin</w:t>
      </w:r>
    </w:p>
    <w:p w14:paraId="75F9BFFD" w14:textId="4CDDE4BB" w:rsidR="000C1ABA" w:rsidRPr="00BF57A3" w:rsidRDefault="000C1ABA">
      <w:pPr>
        <w:autoSpaceDE w:val="0"/>
        <w:autoSpaceDN w:val="0"/>
        <w:adjustRightInd w:val="0"/>
        <w:jc w:val="both"/>
        <w:rPr>
          <w:noProof/>
          <w:sz w:val="22"/>
          <w:szCs w:val="22"/>
          <w:lang w:val="hr-HR"/>
        </w:rPr>
      </w:pPr>
      <w:r w:rsidRPr="00BF57A3">
        <w:rPr>
          <w:noProof/>
          <w:sz w:val="22"/>
          <w:szCs w:val="22"/>
          <w:lang w:val="hr-HR"/>
        </w:rPr>
        <w:t xml:space="preserve">U tabeli </w:t>
      </w:r>
      <w:r w:rsidR="007D4376" w:rsidRPr="00BF57A3">
        <w:rPr>
          <w:noProof/>
          <w:sz w:val="22"/>
          <w:szCs w:val="22"/>
          <w:lang w:val="hr-HR"/>
        </w:rPr>
        <w:t>7</w:t>
      </w:r>
      <w:r w:rsidR="003A049D" w:rsidRPr="00BF57A3">
        <w:rPr>
          <w:noProof/>
          <w:sz w:val="22"/>
          <w:szCs w:val="22"/>
          <w:lang w:val="hr-HR"/>
        </w:rPr>
        <w:t xml:space="preserve"> </w:t>
      </w:r>
      <w:r w:rsidRPr="00BF57A3">
        <w:rPr>
          <w:noProof/>
          <w:sz w:val="22"/>
          <w:szCs w:val="22"/>
          <w:lang w:val="hr-HR"/>
        </w:rPr>
        <w:t xml:space="preserve">su navedene učestalosti i ozbiljnost hematoloških abnormalnosti ustanovljenih laboratorijskim ispitivanjima kod </w:t>
      </w:r>
      <w:r w:rsidR="00A06278">
        <w:rPr>
          <w:noProof/>
          <w:sz w:val="22"/>
          <w:szCs w:val="22"/>
          <w:lang w:val="hr-HR"/>
        </w:rPr>
        <w:t>pacijenata</w:t>
      </w:r>
      <w:r w:rsidR="00A06278" w:rsidRPr="00BF57A3">
        <w:rPr>
          <w:noProof/>
          <w:sz w:val="22"/>
          <w:szCs w:val="22"/>
          <w:lang w:val="hr-HR"/>
        </w:rPr>
        <w:t xml:space="preserve"> </w:t>
      </w:r>
      <w:r w:rsidRPr="00BF57A3">
        <w:rPr>
          <w:noProof/>
          <w:sz w:val="22"/>
          <w:szCs w:val="22"/>
          <w:lang w:val="hr-HR"/>
        </w:rPr>
        <w:t>liječenih lijekom Abraxane u kombinaciji sa gemcitabinom ili samo gemcitabinom.</w:t>
      </w:r>
    </w:p>
    <w:p w14:paraId="094751E9" w14:textId="77777777" w:rsidR="000C1ABA" w:rsidRPr="00BF57A3" w:rsidRDefault="000C1ABA">
      <w:pPr>
        <w:autoSpaceDE w:val="0"/>
        <w:autoSpaceDN w:val="0"/>
        <w:adjustRightInd w:val="0"/>
        <w:jc w:val="both"/>
        <w:rPr>
          <w:noProof/>
          <w:sz w:val="22"/>
          <w:szCs w:val="22"/>
          <w:lang w:val="hr-HR"/>
        </w:rPr>
      </w:pPr>
    </w:p>
    <w:p w14:paraId="101E1B02" w14:textId="77777777" w:rsidR="009A3CF1" w:rsidRPr="00BF57A3" w:rsidRDefault="000C1ABA">
      <w:pPr>
        <w:autoSpaceDE w:val="0"/>
        <w:autoSpaceDN w:val="0"/>
        <w:adjustRightInd w:val="0"/>
        <w:jc w:val="both"/>
        <w:rPr>
          <w:b/>
          <w:noProof/>
          <w:sz w:val="22"/>
          <w:szCs w:val="22"/>
          <w:lang w:val="hr-HR"/>
        </w:rPr>
      </w:pPr>
      <w:r w:rsidRPr="00BF57A3">
        <w:rPr>
          <w:b/>
          <w:noProof/>
          <w:sz w:val="22"/>
          <w:szCs w:val="22"/>
          <w:lang w:val="hr-HR"/>
        </w:rPr>
        <w:t xml:space="preserve">Tabela </w:t>
      </w:r>
      <w:r w:rsidR="007D4376" w:rsidRPr="00BF57A3">
        <w:rPr>
          <w:b/>
          <w:noProof/>
          <w:sz w:val="22"/>
          <w:szCs w:val="22"/>
          <w:lang w:val="hr-HR"/>
        </w:rPr>
        <w:t>7</w:t>
      </w:r>
      <w:r w:rsidRPr="00BF57A3">
        <w:rPr>
          <w:b/>
          <w:noProof/>
          <w:sz w:val="22"/>
          <w:szCs w:val="22"/>
          <w:lang w:val="hr-HR"/>
        </w:rPr>
        <w:t xml:space="preserve">: Hematološke abnormalnosti ustanovljene laboratorijskim ispitivanjima u </w:t>
      </w:r>
    </w:p>
    <w:p w14:paraId="6DFEDA84" w14:textId="77777777" w:rsidR="000C1ABA" w:rsidRPr="00BF57A3" w:rsidRDefault="009A3CF1">
      <w:pPr>
        <w:autoSpaceDE w:val="0"/>
        <w:autoSpaceDN w:val="0"/>
        <w:adjustRightInd w:val="0"/>
        <w:ind w:firstLine="720"/>
        <w:jc w:val="both"/>
        <w:rPr>
          <w:b/>
          <w:noProof/>
          <w:sz w:val="22"/>
          <w:szCs w:val="22"/>
          <w:lang w:val="hr-HR"/>
        </w:rPr>
      </w:pPr>
      <w:r w:rsidRPr="00BF57A3">
        <w:rPr>
          <w:b/>
          <w:noProof/>
          <w:sz w:val="22"/>
          <w:szCs w:val="22"/>
          <w:lang w:val="hr-HR"/>
        </w:rPr>
        <w:t xml:space="preserve">    </w:t>
      </w:r>
      <w:r w:rsidR="000C1ABA" w:rsidRPr="00BF57A3">
        <w:rPr>
          <w:b/>
          <w:noProof/>
          <w:sz w:val="22"/>
          <w:szCs w:val="22"/>
          <w:lang w:val="hr-HR"/>
        </w:rPr>
        <w:t>ispitivanju adenokarcinoma pankreasa</w:t>
      </w:r>
    </w:p>
    <w:p w14:paraId="6511DC08" w14:textId="77777777" w:rsidR="000C1ABA" w:rsidRPr="00BF57A3" w:rsidRDefault="000C1ABA" w:rsidP="006C640E">
      <w:pPr>
        <w:autoSpaceDE w:val="0"/>
        <w:autoSpaceDN w:val="0"/>
        <w:adjustRightInd w:val="0"/>
        <w:jc w:val="both"/>
        <w:rPr>
          <w:noProof/>
          <w:sz w:val="22"/>
          <w:szCs w:val="22"/>
          <w:lang w:val="hr-HR"/>
        </w:rPr>
      </w:pPr>
    </w:p>
    <w:tbl>
      <w:tblPr>
        <w:tblW w:w="9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22"/>
        <w:gridCol w:w="1616"/>
        <w:gridCol w:w="1702"/>
        <w:gridCol w:w="1616"/>
        <w:gridCol w:w="1533"/>
      </w:tblGrid>
      <w:tr w:rsidR="000C1ABA" w:rsidRPr="00BF57A3" w14:paraId="1361BF39" w14:textId="77777777" w:rsidTr="00EC24AF">
        <w:trPr>
          <w:trHeight w:val="721"/>
          <w:jc w:val="center"/>
        </w:trPr>
        <w:tc>
          <w:tcPr>
            <w:tcW w:w="2922" w:type="dxa"/>
            <w:vMerge w:val="restart"/>
            <w:tcBorders>
              <w:top w:val="single" w:sz="4" w:space="0" w:color="auto"/>
              <w:left w:val="single" w:sz="4" w:space="0" w:color="auto"/>
              <w:bottom w:val="single" w:sz="4" w:space="0" w:color="auto"/>
              <w:right w:val="single" w:sz="4" w:space="0" w:color="auto"/>
            </w:tcBorders>
            <w:vAlign w:val="center"/>
          </w:tcPr>
          <w:p w14:paraId="79331644" w14:textId="77777777" w:rsidR="000C1ABA" w:rsidRPr="00BF57A3" w:rsidRDefault="000C1ABA" w:rsidP="006C640E">
            <w:pPr>
              <w:autoSpaceDE w:val="0"/>
              <w:autoSpaceDN w:val="0"/>
              <w:adjustRightInd w:val="0"/>
              <w:jc w:val="both"/>
              <w:rPr>
                <w:b/>
                <w:bCs/>
                <w:sz w:val="22"/>
                <w:szCs w:val="22"/>
                <w:lang w:val="hr-HR"/>
              </w:rPr>
            </w:pPr>
          </w:p>
        </w:tc>
        <w:tc>
          <w:tcPr>
            <w:tcW w:w="3318" w:type="dxa"/>
            <w:gridSpan w:val="2"/>
            <w:tcBorders>
              <w:top w:val="single" w:sz="4" w:space="0" w:color="auto"/>
              <w:left w:val="single" w:sz="4" w:space="0" w:color="auto"/>
              <w:bottom w:val="single" w:sz="4" w:space="0" w:color="auto"/>
              <w:right w:val="single" w:sz="4" w:space="0" w:color="auto"/>
            </w:tcBorders>
            <w:vAlign w:val="center"/>
          </w:tcPr>
          <w:p w14:paraId="37EA161B" w14:textId="77777777" w:rsidR="000C1ABA" w:rsidRPr="00BF57A3" w:rsidRDefault="000C1ABA">
            <w:pPr>
              <w:autoSpaceDE w:val="0"/>
              <w:autoSpaceDN w:val="0"/>
              <w:adjustRightInd w:val="0"/>
              <w:jc w:val="center"/>
              <w:rPr>
                <w:b/>
                <w:bCs/>
                <w:sz w:val="22"/>
                <w:szCs w:val="22"/>
              </w:rPr>
            </w:pPr>
            <w:r w:rsidRPr="00BF57A3">
              <w:rPr>
                <w:b/>
                <w:bCs/>
                <w:sz w:val="22"/>
                <w:szCs w:val="22"/>
              </w:rPr>
              <w:t>Abraxane</w:t>
            </w:r>
            <w:r w:rsidR="006D2218" w:rsidRPr="00BF57A3">
              <w:rPr>
                <w:b/>
                <w:bCs/>
                <w:sz w:val="22"/>
                <w:szCs w:val="22"/>
              </w:rPr>
              <w:t xml:space="preserve"> </w:t>
            </w:r>
            <w:r w:rsidRPr="00BF57A3">
              <w:rPr>
                <w:b/>
                <w:color w:val="000000"/>
                <w:sz w:val="22"/>
                <w:szCs w:val="22"/>
              </w:rPr>
              <w:t>(125 mg/m</w:t>
            </w:r>
            <w:r w:rsidRPr="00BF57A3">
              <w:rPr>
                <w:b/>
                <w:color w:val="000000"/>
                <w:sz w:val="22"/>
                <w:szCs w:val="22"/>
                <w:vertAlign w:val="superscript"/>
              </w:rPr>
              <w:t>2</w:t>
            </w:r>
            <w:r w:rsidRPr="00BF57A3">
              <w:rPr>
                <w:b/>
                <w:color w:val="000000"/>
                <w:sz w:val="22"/>
                <w:szCs w:val="22"/>
              </w:rPr>
              <w:t>)</w:t>
            </w:r>
            <w:r w:rsidRPr="00BF57A3">
              <w:rPr>
                <w:b/>
                <w:bCs/>
                <w:sz w:val="22"/>
                <w:szCs w:val="22"/>
              </w:rPr>
              <w:t>/ gemcitabin</w:t>
            </w:r>
          </w:p>
        </w:tc>
        <w:tc>
          <w:tcPr>
            <w:tcW w:w="3149" w:type="dxa"/>
            <w:gridSpan w:val="2"/>
            <w:tcBorders>
              <w:top w:val="single" w:sz="4" w:space="0" w:color="auto"/>
              <w:left w:val="single" w:sz="4" w:space="0" w:color="auto"/>
              <w:bottom w:val="single" w:sz="4" w:space="0" w:color="auto"/>
            </w:tcBorders>
            <w:vAlign w:val="center"/>
          </w:tcPr>
          <w:p w14:paraId="2A5ED6C3" w14:textId="77777777" w:rsidR="000C1ABA" w:rsidRPr="00BF57A3" w:rsidRDefault="000C1ABA">
            <w:pPr>
              <w:autoSpaceDE w:val="0"/>
              <w:autoSpaceDN w:val="0"/>
              <w:adjustRightInd w:val="0"/>
              <w:jc w:val="center"/>
              <w:rPr>
                <w:b/>
                <w:bCs/>
                <w:sz w:val="22"/>
                <w:szCs w:val="22"/>
              </w:rPr>
            </w:pPr>
            <w:r w:rsidRPr="00BF57A3">
              <w:rPr>
                <w:b/>
                <w:bCs/>
                <w:sz w:val="22"/>
                <w:szCs w:val="22"/>
              </w:rPr>
              <w:t>Gemcitabin</w:t>
            </w:r>
          </w:p>
        </w:tc>
      </w:tr>
      <w:tr w:rsidR="000C1ABA" w:rsidRPr="00BF57A3" w14:paraId="3403F82D" w14:textId="77777777" w:rsidTr="00EC24AF">
        <w:trPr>
          <w:trHeight w:val="140"/>
          <w:jc w:val="center"/>
        </w:trPr>
        <w:tc>
          <w:tcPr>
            <w:tcW w:w="2922" w:type="dxa"/>
            <w:vMerge/>
            <w:tcBorders>
              <w:top w:val="single" w:sz="4" w:space="0" w:color="auto"/>
              <w:left w:val="single" w:sz="4" w:space="0" w:color="auto"/>
              <w:bottom w:val="single" w:sz="4" w:space="0" w:color="auto"/>
              <w:right w:val="single" w:sz="4" w:space="0" w:color="auto"/>
            </w:tcBorders>
            <w:vAlign w:val="center"/>
          </w:tcPr>
          <w:p w14:paraId="27F1B304" w14:textId="77777777" w:rsidR="000C1ABA" w:rsidRPr="00BF57A3" w:rsidRDefault="000C1ABA" w:rsidP="006C640E">
            <w:pPr>
              <w:autoSpaceDE w:val="0"/>
              <w:autoSpaceDN w:val="0"/>
              <w:adjustRightInd w:val="0"/>
              <w:spacing w:before="60" w:after="60"/>
              <w:jc w:val="both"/>
              <w:rPr>
                <w:sz w:val="22"/>
                <w:szCs w:val="22"/>
              </w:rPr>
            </w:pPr>
          </w:p>
        </w:tc>
        <w:tc>
          <w:tcPr>
            <w:tcW w:w="1616" w:type="dxa"/>
            <w:tcBorders>
              <w:top w:val="single" w:sz="4" w:space="0" w:color="auto"/>
              <w:left w:val="single" w:sz="4" w:space="0" w:color="auto"/>
              <w:bottom w:val="single" w:sz="4" w:space="0" w:color="auto"/>
              <w:right w:val="single" w:sz="4" w:space="0" w:color="auto"/>
            </w:tcBorders>
            <w:vAlign w:val="center"/>
          </w:tcPr>
          <w:p w14:paraId="7E6D7AF7" w14:textId="77777777" w:rsidR="000C1ABA" w:rsidRPr="00BF57A3" w:rsidRDefault="000C1ABA">
            <w:pPr>
              <w:autoSpaceDE w:val="0"/>
              <w:autoSpaceDN w:val="0"/>
              <w:adjustRightInd w:val="0"/>
              <w:spacing w:before="60" w:after="60"/>
              <w:jc w:val="center"/>
              <w:rPr>
                <w:b/>
                <w:bCs/>
                <w:sz w:val="22"/>
                <w:szCs w:val="22"/>
              </w:rPr>
            </w:pPr>
            <w:r w:rsidRPr="00BF57A3">
              <w:rPr>
                <w:b/>
                <w:bCs/>
                <w:sz w:val="22"/>
                <w:szCs w:val="22"/>
              </w:rPr>
              <w:t>stepen 1-4</w:t>
            </w:r>
          </w:p>
          <w:p w14:paraId="49133FC1" w14:textId="77777777" w:rsidR="000C1ABA" w:rsidRPr="00BF57A3" w:rsidRDefault="000C1ABA">
            <w:pPr>
              <w:autoSpaceDE w:val="0"/>
              <w:autoSpaceDN w:val="0"/>
              <w:adjustRightInd w:val="0"/>
              <w:spacing w:before="60" w:after="60"/>
              <w:jc w:val="center"/>
              <w:rPr>
                <w:b/>
                <w:bCs/>
                <w:sz w:val="22"/>
                <w:szCs w:val="22"/>
              </w:rPr>
            </w:pPr>
            <w:r w:rsidRPr="00BF57A3">
              <w:rPr>
                <w:b/>
                <w:bCs/>
                <w:sz w:val="22"/>
                <w:szCs w:val="22"/>
              </w:rPr>
              <w:t>(%)</w:t>
            </w:r>
          </w:p>
        </w:tc>
        <w:tc>
          <w:tcPr>
            <w:tcW w:w="1702" w:type="dxa"/>
            <w:tcBorders>
              <w:top w:val="single" w:sz="4" w:space="0" w:color="auto"/>
              <w:left w:val="single" w:sz="4" w:space="0" w:color="auto"/>
              <w:bottom w:val="single" w:sz="4" w:space="0" w:color="auto"/>
              <w:right w:val="single" w:sz="4" w:space="0" w:color="auto"/>
            </w:tcBorders>
            <w:vAlign w:val="center"/>
          </w:tcPr>
          <w:p w14:paraId="0281A9DB" w14:textId="77777777" w:rsidR="000C1ABA" w:rsidRPr="00BF57A3" w:rsidRDefault="000C1ABA">
            <w:pPr>
              <w:autoSpaceDE w:val="0"/>
              <w:autoSpaceDN w:val="0"/>
              <w:adjustRightInd w:val="0"/>
              <w:spacing w:before="60" w:after="60"/>
              <w:jc w:val="center"/>
              <w:rPr>
                <w:b/>
                <w:bCs/>
                <w:sz w:val="22"/>
                <w:szCs w:val="22"/>
              </w:rPr>
            </w:pPr>
            <w:r w:rsidRPr="00BF57A3">
              <w:rPr>
                <w:b/>
                <w:bCs/>
                <w:sz w:val="22"/>
                <w:szCs w:val="22"/>
              </w:rPr>
              <w:t>stepen 3-4</w:t>
            </w:r>
          </w:p>
          <w:p w14:paraId="435DE8C3" w14:textId="77777777" w:rsidR="000C1ABA" w:rsidRPr="00BF57A3" w:rsidRDefault="000C1ABA">
            <w:pPr>
              <w:autoSpaceDE w:val="0"/>
              <w:autoSpaceDN w:val="0"/>
              <w:adjustRightInd w:val="0"/>
              <w:spacing w:before="60" w:after="60"/>
              <w:jc w:val="center"/>
              <w:rPr>
                <w:b/>
                <w:bCs/>
                <w:sz w:val="22"/>
                <w:szCs w:val="22"/>
              </w:rPr>
            </w:pPr>
            <w:r w:rsidRPr="00BF57A3">
              <w:rPr>
                <w:b/>
                <w:bCs/>
                <w:sz w:val="22"/>
                <w:szCs w:val="22"/>
              </w:rPr>
              <w:t>(%)</w:t>
            </w:r>
          </w:p>
        </w:tc>
        <w:tc>
          <w:tcPr>
            <w:tcW w:w="1616" w:type="dxa"/>
            <w:tcBorders>
              <w:top w:val="single" w:sz="4" w:space="0" w:color="auto"/>
              <w:left w:val="single" w:sz="4" w:space="0" w:color="auto"/>
              <w:bottom w:val="single" w:sz="4" w:space="0" w:color="auto"/>
              <w:right w:val="single" w:sz="4" w:space="0" w:color="auto"/>
            </w:tcBorders>
            <w:vAlign w:val="center"/>
          </w:tcPr>
          <w:p w14:paraId="04B74F25" w14:textId="77777777" w:rsidR="000C1ABA" w:rsidRPr="00BF57A3" w:rsidRDefault="000C1ABA">
            <w:pPr>
              <w:autoSpaceDE w:val="0"/>
              <w:autoSpaceDN w:val="0"/>
              <w:adjustRightInd w:val="0"/>
              <w:spacing w:before="60" w:after="60"/>
              <w:jc w:val="center"/>
              <w:rPr>
                <w:b/>
                <w:bCs/>
                <w:sz w:val="22"/>
                <w:szCs w:val="22"/>
              </w:rPr>
            </w:pPr>
            <w:r w:rsidRPr="00BF57A3">
              <w:rPr>
                <w:b/>
                <w:bCs/>
                <w:sz w:val="22"/>
                <w:szCs w:val="22"/>
              </w:rPr>
              <w:t>stepen 1-4</w:t>
            </w:r>
          </w:p>
          <w:p w14:paraId="076401CE" w14:textId="77777777" w:rsidR="000C1ABA" w:rsidRPr="00BF57A3" w:rsidRDefault="000C1ABA">
            <w:pPr>
              <w:autoSpaceDE w:val="0"/>
              <w:autoSpaceDN w:val="0"/>
              <w:adjustRightInd w:val="0"/>
              <w:spacing w:before="60" w:after="60"/>
              <w:jc w:val="center"/>
              <w:rPr>
                <w:b/>
                <w:bCs/>
                <w:sz w:val="22"/>
                <w:szCs w:val="22"/>
              </w:rPr>
            </w:pPr>
            <w:r w:rsidRPr="00BF57A3">
              <w:rPr>
                <w:b/>
                <w:bCs/>
                <w:sz w:val="22"/>
                <w:szCs w:val="22"/>
              </w:rPr>
              <w:t>(%)</w:t>
            </w:r>
          </w:p>
        </w:tc>
        <w:tc>
          <w:tcPr>
            <w:tcW w:w="1532" w:type="dxa"/>
            <w:tcBorders>
              <w:top w:val="single" w:sz="4" w:space="0" w:color="auto"/>
              <w:left w:val="single" w:sz="4" w:space="0" w:color="auto"/>
              <w:bottom w:val="single" w:sz="4" w:space="0" w:color="auto"/>
            </w:tcBorders>
            <w:vAlign w:val="center"/>
          </w:tcPr>
          <w:p w14:paraId="22A5FAA1" w14:textId="77777777" w:rsidR="000C1ABA" w:rsidRPr="00BF57A3" w:rsidRDefault="000C1ABA">
            <w:pPr>
              <w:autoSpaceDE w:val="0"/>
              <w:autoSpaceDN w:val="0"/>
              <w:adjustRightInd w:val="0"/>
              <w:spacing w:before="60" w:after="60"/>
              <w:jc w:val="center"/>
              <w:rPr>
                <w:b/>
                <w:bCs/>
                <w:sz w:val="22"/>
                <w:szCs w:val="22"/>
              </w:rPr>
            </w:pPr>
            <w:r w:rsidRPr="00BF57A3">
              <w:rPr>
                <w:b/>
                <w:bCs/>
                <w:sz w:val="22"/>
                <w:szCs w:val="22"/>
              </w:rPr>
              <w:t>stepen 3-4</w:t>
            </w:r>
          </w:p>
          <w:p w14:paraId="548CAE35" w14:textId="77777777" w:rsidR="000C1ABA" w:rsidRPr="00BF57A3" w:rsidRDefault="000C1ABA">
            <w:pPr>
              <w:autoSpaceDE w:val="0"/>
              <w:autoSpaceDN w:val="0"/>
              <w:adjustRightInd w:val="0"/>
              <w:spacing w:before="60" w:after="60"/>
              <w:jc w:val="center"/>
              <w:rPr>
                <w:b/>
                <w:bCs/>
                <w:sz w:val="22"/>
                <w:szCs w:val="22"/>
              </w:rPr>
            </w:pPr>
            <w:r w:rsidRPr="00BF57A3">
              <w:rPr>
                <w:b/>
                <w:bCs/>
                <w:sz w:val="22"/>
                <w:szCs w:val="22"/>
              </w:rPr>
              <w:t>(%)</w:t>
            </w:r>
          </w:p>
        </w:tc>
      </w:tr>
      <w:tr w:rsidR="000C1ABA" w:rsidRPr="00BF57A3" w14:paraId="7BED5135" w14:textId="77777777" w:rsidTr="00EC24AF">
        <w:trPr>
          <w:trHeight w:val="248"/>
          <w:jc w:val="center"/>
        </w:trPr>
        <w:tc>
          <w:tcPr>
            <w:tcW w:w="2922" w:type="dxa"/>
            <w:tcBorders>
              <w:top w:val="single" w:sz="4" w:space="0" w:color="auto"/>
              <w:left w:val="single" w:sz="4" w:space="0" w:color="auto"/>
              <w:bottom w:val="single" w:sz="4" w:space="0" w:color="auto"/>
              <w:right w:val="single" w:sz="4" w:space="0" w:color="auto"/>
            </w:tcBorders>
            <w:vAlign w:val="center"/>
          </w:tcPr>
          <w:p w14:paraId="1754B6C8" w14:textId="77777777" w:rsidR="000C1ABA" w:rsidRPr="00BF57A3" w:rsidRDefault="000C1ABA" w:rsidP="006C640E">
            <w:pPr>
              <w:autoSpaceDE w:val="0"/>
              <w:autoSpaceDN w:val="0"/>
              <w:adjustRightInd w:val="0"/>
              <w:spacing w:before="60" w:after="60"/>
              <w:jc w:val="both"/>
              <w:rPr>
                <w:sz w:val="22"/>
                <w:szCs w:val="22"/>
              </w:rPr>
            </w:pPr>
            <w:r w:rsidRPr="00BF57A3">
              <w:rPr>
                <w:sz w:val="22"/>
                <w:szCs w:val="22"/>
              </w:rPr>
              <w:t>Anaemija</w:t>
            </w:r>
            <w:r w:rsidRPr="00BF57A3">
              <w:rPr>
                <w:sz w:val="22"/>
                <w:szCs w:val="22"/>
                <w:vertAlign w:val="superscript"/>
              </w:rPr>
              <w:t>a,b</w:t>
            </w:r>
          </w:p>
        </w:tc>
        <w:tc>
          <w:tcPr>
            <w:tcW w:w="1616" w:type="dxa"/>
            <w:tcBorders>
              <w:top w:val="single" w:sz="4" w:space="0" w:color="auto"/>
              <w:left w:val="single" w:sz="4" w:space="0" w:color="auto"/>
              <w:bottom w:val="single" w:sz="4" w:space="0" w:color="auto"/>
              <w:right w:val="single" w:sz="4" w:space="0" w:color="auto"/>
            </w:tcBorders>
            <w:vAlign w:val="center"/>
          </w:tcPr>
          <w:p w14:paraId="27F4E7BB" w14:textId="77777777" w:rsidR="000C1ABA" w:rsidRPr="00BF57A3" w:rsidRDefault="000C1ABA">
            <w:pPr>
              <w:autoSpaceDE w:val="0"/>
              <w:autoSpaceDN w:val="0"/>
              <w:adjustRightInd w:val="0"/>
              <w:spacing w:before="60" w:after="60"/>
              <w:jc w:val="center"/>
              <w:rPr>
                <w:sz w:val="22"/>
                <w:szCs w:val="22"/>
              </w:rPr>
            </w:pPr>
            <w:r w:rsidRPr="00BF57A3">
              <w:rPr>
                <w:sz w:val="22"/>
                <w:szCs w:val="22"/>
              </w:rPr>
              <w:t>97</w:t>
            </w:r>
          </w:p>
        </w:tc>
        <w:tc>
          <w:tcPr>
            <w:tcW w:w="1702" w:type="dxa"/>
            <w:tcBorders>
              <w:top w:val="single" w:sz="4" w:space="0" w:color="auto"/>
              <w:left w:val="single" w:sz="4" w:space="0" w:color="auto"/>
              <w:bottom w:val="single" w:sz="4" w:space="0" w:color="auto"/>
              <w:right w:val="single" w:sz="4" w:space="0" w:color="auto"/>
            </w:tcBorders>
            <w:vAlign w:val="center"/>
          </w:tcPr>
          <w:p w14:paraId="796AB8F0" w14:textId="77777777" w:rsidR="000C1ABA" w:rsidRPr="00BF57A3" w:rsidRDefault="000C1ABA">
            <w:pPr>
              <w:autoSpaceDE w:val="0"/>
              <w:autoSpaceDN w:val="0"/>
              <w:adjustRightInd w:val="0"/>
              <w:spacing w:before="60" w:after="60"/>
              <w:jc w:val="center"/>
              <w:rPr>
                <w:sz w:val="22"/>
                <w:szCs w:val="22"/>
              </w:rPr>
            </w:pPr>
            <w:r w:rsidRPr="00BF57A3">
              <w:rPr>
                <w:sz w:val="22"/>
                <w:szCs w:val="22"/>
              </w:rPr>
              <w:t>13</w:t>
            </w:r>
          </w:p>
        </w:tc>
        <w:tc>
          <w:tcPr>
            <w:tcW w:w="1616" w:type="dxa"/>
            <w:tcBorders>
              <w:top w:val="single" w:sz="4" w:space="0" w:color="auto"/>
              <w:left w:val="single" w:sz="4" w:space="0" w:color="auto"/>
              <w:bottom w:val="single" w:sz="4" w:space="0" w:color="auto"/>
              <w:right w:val="single" w:sz="4" w:space="0" w:color="auto"/>
            </w:tcBorders>
            <w:vAlign w:val="center"/>
          </w:tcPr>
          <w:p w14:paraId="0E45BE62" w14:textId="77777777" w:rsidR="000C1ABA" w:rsidRPr="00BF57A3" w:rsidRDefault="000C1ABA">
            <w:pPr>
              <w:autoSpaceDE w:val="0"/>
              <w:autoSpaceDN w:val="0"/>
              <w:adjustRightInd w:val="0"/>
              <w:spacing w:before="60" w:after="60"/>
              <w:jc w:val="center"/>
              <w:rPr>
                <w:sz w:val="22"/>
                <w:szCs w:val="22"/>
              </w:rPr>
            </w:pPr>
            <w:r w:rsidRPr="00BF57A3">
              <w:rPr>
                <w:sz w:val="22"/>
                <w:szCs w:val="22"/>
              </w:rPr>
              <w:t>96</w:t>
            </w:r>
          </w:p>
        </w:tc>
        <w:tc>
          <w:tcPr>
            <w:tcW w:w="1532" w:type="dxa"/>
            <w:tcBorders>
              <w:top w:val="single" w:sz="4" w:space="0" w:color="auto"/>
              <w:left w:val="single" w:sz="4" w:space="0" w:color="auto"/>
              <w:bottom w:val="single" w:sz="4" w:space="0" w:color="auto"/>
            </w:tcBorders>
            <w:vAlign w:val="center"/>
          </w:tcPr>
          <w:p w14:paraId="24A57E5C" w14:textId="77777777" w:rsidR="000C1ABA" w:rsidRPr="00BF57A3" w:rsidRDefault="000C1ABA">
            <w:pPr>
              <w:autoSpaceDE w:val="0"/>
              <w:autoSpaceDN w:val="0"/>
              <w:adjustRightInd w:val="0"/>
              <w:spacing w:before="60" w:after="60"/>
              <w:jc w:val="center"/>
              <w:rPr>
                <w:sz w:val="22"/>
                <w:szCs w:val="22"/>
              </w:rPr>
            </w:pPr>
            <w:r w:rsidRPr="00BF57A3">
              <w:rPr>
                <w:sz w:val="22"/>
                <w:szCs w:val="22"/>
              </w:rPr>
              <w:t>12</w:t>
            </w:r>
          </w:p>
        </w:tc>
      </w:tr>
      <w:tr w:rsidR="000C1ABA" w:rsidRPr="00BF57A3" w14:paraId="70F68572" w14:textId="77777777" w:rsidTr="00EC24AF">
        <w:trPr>
          <w:trHeight w:val="248"/>
          <w:jc w:val="center"/>
        </w:trPr>
        <w:tc>
          <w:tcPr>
            <w:tcW w:w="2922" w:type="dxa"/>
            <w:tcBorders>
              <w:top w:val="single" w:sz="4" w:space="0" w:color="auto"/>
              <w:left w:val="single" w:sz="4" w:space="0" w:color="auto"/>
              <w:bottom w:val="single" w:sz="4" w:space="0" w:color="auto"/>
              <w:right w:val="single" w:sz="4" w:space="0" w:color="auto"/>
            </w:tcBorders>
          </w:tcPr>
          <w:p w14:paraId="5A514A86" w14:textId="77777777" w:rsidR="000C1ABA" w:rsidRPr="00BF57A3" w:rsidRDefault="000C1ABA" w:rsidP="006C640E">
            <w:pPr>
              <w:autoSpaceDE w:val="0"/>
              <w:autoSpaceDN w:val="0"/>
              <w:adjustRightInd w:val="0"/>
              <w:spacing w:before="60" w:after="60"/>
              <w:jc w:val="both"/>
              <w:rPr>
                <w:sz w:val="22"/>
                <w:szCs w:val="22"/>
              </w:rPr>
            </w:pPr>
            <w:r w:rsidRPr="00BF57A3">
              <w:rPr>
                <w:sz w:val="22"/>
                <w:szCs w:val="22"/>
              </w:rPr>
              <w:t>Neutropenija</w:t>
            </w:r>
            <w:r w:rsidRPr="00BF57A3">
              <w:rPr>
                <w:sz w:val="22"/>
                <w:szCs w:val="22"/>
                <w:vertAlign w:val="superscript"/>
              </w:rPr>
              <w:t xml:space="preserve"> a,b</w:t>
            </w:r>
          </w:p>
        </w:tc>
        <w:tc>
          <w:tcPr>
            <w:tcW w:w="1616" w:type="dxa"/>
            <w:tcBorders>
              <w:top w:val="single" w:sz="4" w:space="0" w:color="auto"/>
              <w:left w:val="single" w:sz="4" w:space="0" w:color="auto"/>
              <w:bottom w:val="single" w:sz="4" w:space="0" w:color="auto"/>
              <w:right w:val="single" w:sz="4" w:space="0" w:color="auto"/>
            </w:tcBorders>
            <w:vAlign w:val="center"/>
          </w:tcPr>
          <w:p w14:paraId="7BA4E2A6" w14:textId="77777777" w:rsidR="000C1ABA" w:rsidRPr="00BF57A3" w:rsidRDefault="000C1ABA">
            <w:pPr>
              <w:autoSpaceDE w:val="0"/>
              <w:autoSpaceDN w:val="0"/>
              <w:adjustRightInd w:val="0"/>
              <w:spacing w:before="60" w:after="60"/>
              <w:jc w:val="center"/>
              <w:rPr>
                <w:sz w:val="22"/>
                <w:szCs w:val="22"/>
              </w:rPr>
            </w:pPr>
            <w:r w:rsidRPr="00BF57A3">
              <w:rPr>
                <w:sz w:val="22"/>
                <w:szCs w:val="22"/>
              </w:rPr>
              <w:t>73</w:t>
            </w:r>
          </w:p>
        </w:tc>
        <w:tc>
          <w:tcPr>
            <w:tcW w:w="1702" w:type="dxa"/>
            <w:tcBorders>
              <w:top w:val="single" w:sz="4" w:space="0" w:color="auto"/>
              <w:left w:val="single" w:sz="4" w:space="0" w:color="auto"/>
              <w:bottom w:val="single" w:sz="4" w:space="0" w:color="auto"/>
              <w:right w:val="single" w:sz="4" w:space="0" w:color="auto"/>
            </w:tcBorders>
            <w:vAlign w:val="center"/>
          </w:tcPr>
          <w:p w14:paraId="7F97F0B0" w14:textId="77777777" w:rsidR="000C1ABA" w:rsidRPr="00BF57A3" w:rsidRDefault="000C1ABA">
            <w:pPr>
              <w:autoSpaceDE w:val="0"/>
              <w:autoSpaceDN w:val="0"/>
              <w:adjustRightInd w:val="0"/>
              <w:spacing w:before="60" w:after="60"/>
              <w:jc w:val="center"/>
              <w:rPr>
                <w:sz w:val="22"/>
                <w:szCs w:val="22"/>
              </w:rPr>
            </w:pPr>
            <w:r w:rsidRPr="00BF57A3">
              <w:rPr>
                <w:sz w:val="22"/>
                <w:szCs w:val="22"/>
              </w:rPr>
              <w:t>38</w:t>
            </w:r>
          </w:p>
        </w:tc>
        <w:tc>
          <w:tcPr>
            <w:tcW w:w="1616" w:type="dxa"/>
            <w:tcBorders>
              <w:top w:val="single" w:sz="4" w:space="0" w:color="auto"/>
              <w:left w:val="single" w:sz="4" w:space="0" w:color="auto"/>
              <w:bottom w:val="single" w:sz="4" w:space="0" w:color="auto"/>
              <w:right w:val="single" w:sz="4" w:space="0" w:color="auto"/>
            </w:tcBorders>
            <w:vAlign w:val="center"/>
          </w:tcPr>
          <w:p w14:paraId="02F98FD8" w14:textId="77777777" w:rsidR="000C1ABA" w:rsidRPr="00BF57A3" w:rsidRDefault="000C1ABA">
            <w:pPr>
              <w:autoSpaceDE w:val="0"/>
              <w:autoSpaceDN w:val="0"/>
              <w:adjustRightInd w:val="0"/>
              <w:spacing w:before="60" w:after="60"/>
              <w:jc w:val="center"/>
              <w:rPr>
                <w:sz w:val="22"/>
                <w:szCs w:val="22"/>
              </w:rPr>
            </w:pPr>
            <w:r w:rsidRPr="00BF57A3">
              <w:rPr>
                <w:sz w:val="22"/>
                <w:szCs w:val="22"/>
              </w:rPr>
              <w:t>58</w:t>
            </w:r>
          </w:p>
        </w:tc>
        <w:tc>
          <w:tcPr>
            <w:tcW w:w="1532" w:type="dxa"/>
            <w:tcBorders>
              <w:top w:val="single" w:sz="4" w:space="0" w:color="auto"/>
              <w:left w:val="single" w:sz="4" w:space="0" w:color="auto"/>
              <w:bottom w:val="single" w:sz="4" w:space="0" w:color="auto"/>
            </w:tcBorders>
            <w:vAlign w:val="center"/>
          </w:tcPr>
          <w:p w14:paraId="3B100758" w14:textId="77777777" w:rsidR="000C1ABA" w:rsidRPr="00BF57A3" w:rsidRDefault="000C1ABA">
            <w:pPr>
              <w:autoSpaceDE w:val="0"/>
              <w:autoSpaceDN w:val="0"/>
              <w:adjustRightInd w:val="0"/>
              <w:spacing w:before="60" w:after="60"/>
              <w:jc w:val="center"/>
              <w:rPr>
                <w:sz w:val="22"/>
                <w:szCs w:val="22"/>
              </w:rPr>
            </w:pPr>
            <w:r w:rsidRPr="00BF57A3">
              <w:rPr>
                <w:sz w:val="22"/>
                <w:szCs w:val="22"/>
              </w:rPr>
              <w:t>27</w:t>
            </w:r>
          </w:p>
        </w:tc>
      </w:tr>
      <w:tr w:rsidR="000C1ABA" w:rsidRPr="00BF57A3" w14:paraId="135F1D14" w14:textId="77777777" w:rsidTr="00EC24AF">
        <w:trPr>
          <w:trHeight w:val="248"/>
          <w:jc w:val="center"/>
        </w:trPr>
        <w:tc>
          <w:tcPr>
            <w:tcW w:w="2922" w:type="dxa"/>
            <w:tcBorders>
              <w:top w:val="single" w:sz="4" w:space="0" w:color="auto"/>
              <w:left w:val="single" w:sz="4" w:space="0" w:color="auto"/>
              <w:bottom w:val="single" w:sz="4" w:space="0" w:color="auto"/>
              <w:right w:val="single" w:sz="4" w:space="0" w:color="auto"/>
            </w:tcBorders>
            <w:vAlign w:val="center"/>
          </w:tcPr>
          <w:p w14:paraId="3C6A6C63" w14:textId="77777777" w:rsidR="000C1ABA" w:rsidRPr="00BF57A3" w:rsidRDefault="000C1ABA" w:rsidP="006C640E">
            <w:pPr>
              <w:autoSpaceDE w:val="0"/>
              <w:autoSpaceDN w:val="0"/>
              <w:adjustRightInd w:val="0"/>
              <w:spacing w:before="60" w:after="60"/>
              <w:jc w:val="both"/>
              <w:rPr>
                <w:sz w:val="22"/>
                <w:szCs w:val="22"/>
              </w:rPr>
            </w:pPr>
            <w:r w:rsidRPr="00BF57A3">
              <w:rPr>
                <w:sz w:val="22"/>
                <w:szCs w:val="22"/>
              </w:rPr>
              <w:t>Trombocitopenija</w:t>
            </w:r>
            <w:r w:rsidRPr="00BF57A3">
              <w:rPr>
                <w:sz w:val="22"/>
                <w:szCs w:val="22"/>
                <w:vertAlign w:val="superscript"/>
              </w:rPr>
              <w:t>b,c</w:t>
            </w:r>
          </w:p>
        </w:tc>
        <w:tc>
          <w:tcPr>
            <w:tcW w:w="1616" w:type="dxa"/>
            <w:tcBorders>
              <w:top w:val="single" w:sz="4" w:space="0" w:color="auto"/>
              <w:left w:val="single" w:sz="4" w:space="0" w:color="auto"/>
              <w:bottom w:val="single" w:sz="4" w:space="0" w:color="auto"/>
              <w:right w:val="single" w:sz="4" w:space="0" w:color="auto"/>
            </w:tcBorders>
            <w:vAlign w:val="center"/>
          </w:tcPr>
          <w:p w14:paraId="59CCE31C" w14:textId="77777777" w:rsidR="000C1ABA" w:rsidRPr="00BF57A3" w:rsidRDefault="000C1ABA">
            <w:pPr>
              <w:autoSpaceDE w:val="0"/>
              <w:autoSpaceDN w:val="0"/>
              <w:adjustRightInd w:val="0"/>
              <w:spacing w:before="60" w:after="60"/>
              <w:jc w:val="center"/>
              <w:rPr>
                <w:sz w:val="22"/>
                <w:szCs w:val="22"/>
              </w:rPr>
            </w:pPr>
            <w:r w:rsidRPr="00BF57A3">
              <w:rPr>
                <w:sz w:val="22"/>
                <w:szCs w:val="22"/>
              </w:rPr>
              <w:t>74</w:t>
            </w:r>
          </w:p>
        </w:tc>
        <w:tc>
          <w:tcPr>
            <w:tcW w:w="1702" w:type="dxa"/>
            <w:tcBorders>
              <w:top w:val="single" w:sz="4" w:space="0" w:color="auto"/>
              <w:left w:val="single" w:sz="4" w:space="0" w:color="auto"/>
              <w:bottom w:val="single" w:sz="4" w:space="0" w:color="auto"/>
              <w:right w:val="single" w:sz="4" w:space="0" w:color="auto"/>
            </w:tcBorders>
            <w:vAlign w:val="center"/>
          </w:tcPr>
          <w:p w14:paraId="24319E83" w14:textId="77777777" w:rsidR="000C1ABA" w:rsidRPr="00BF57A3" w:rsidRDefault="000C1ABA">
            <w:pPr>
              <w:autoSpaceDE w:val="0"/>
              <w:autoSpaceDN w:val="0"/>
              <w:adjustRightInd w:val="0"/>
              <w:spacing w:before="60" w:after="60"/>
              <w:jc w:val="center"/>
              <w:rPr>
                <w:sz w:val="22"/>
                <w:szCs w:val="22"/>
              </w:rPr>
            </w:pPr>
            <w:r w:rsidRPr="00BF57A3">
              <w:rPr>
                <w:sz w:val="22"/>
                <w:szCs w:val="22"/>
              </w:rPr>
              <w:t>13</w:t>
            </w:r>
          </w:p>
        </w:tc>
        <w:tc>
          <w:tcPr>
            <w:tcW w:w="1616" w:type="dxa"/>
            <w:tcBorders>
              <w:top w:val="single" w:sz="4" w:space="0" w:color="auto"/>
              <w:left w:val="single" w:sz="4" w:space="0" w:color="auto"/>
              <w:bottom w:val="single" w:sz="4" w:space="0" w:color="auto"/>
              <w:right w:val="single" w:sz="4" w:space="0" w:color="auto"/>
            </w:tcBorders>
            <w:vAlign w:val="center"/>
          </w:tcPr>
          <w:p w14:paraId="1E9ACC4D" w14:textId="77777777" w:rsidR="000C1ABA" w:rsidRPr="00BF57A3" w:rsidRDefault="000C1ABA">
            <w:pPr>
              <w:autoSpaceDE w:val="0"/>
              <w:autoSpaceDN w:val="0"/>
              <w:adjustRightInd w:val="0"/>
              <w:spacing w:before="60" w:after="60"/>
              <w:jc w:val="center"/>
              <w:rPr>
                <w:sz w:val="22"/>
                <w:szCs w:val="22"/>
              </w:rPr>
            </w:pPr>
            <w:r w:rsidRPr="00BF57A3">
              <w:rPr>
                <w:sz w:val="22"/>
                <w:szCs w:val="22"/>
              </w:rPr>
              <w:t>70</w:t>
            </w:r>
          </w:p>
        </w:tc>
        <w:tc>
          <w:tcPr>
            <w:tcW w:w="1532" w:type="dxa"/>
            <w:tcBorders>
              <w:top w:val="single" w:sz="4" w:space="0" w:color="auto"/>
              <w:left w:val="single" w:sz="4" w:space="0" w:color="auto"/>
              <w:bottom w:val="single" w:sz="4" w:space="0" w:color="auto"/>
            </w:tcBorders>
            <w:vAlign w:val="center"/>
          </w:tcPr>
          <w:p w14:paraId="339C6F1B" w14:textId="77777777" w:rsidR="000C1ABA" w:rsidRPr="00BF57A3" w:rsidRDefault="000C1ABA">
            <w:pPr>
              <w:autoSpaceDE w:val="0"/>
              <w:autoSpaceDN w:val="0"/>
              <w:adjustRightInd w:val="0"/>
              <w:spacing w:before="60" w:after="60"/>
              <w:jc w:val="center"/>
              <w:rPr>
                <w:sz w:val="22"/>
                <w:szCs w:val="22"/>
              </w:rPr>
            </w:pPr>
            <w:r w:rsidRPr="00BF57A3">
              <w:rPr>
                <w:sz w:val="22"/>
                <w:szCs w:val="22"/>
              </w:rPr>
              <w:t>9</w:t>
            </w:r>
          </w:p>
        </w:tc>
      </w:tr>
    </w:tbl>
    <w:p w14:paraId="42EB3992" w14:textId="779CBB30" w:rsidR="000C1ABA" w:rsidRPr="006C640E" w:rsidRDefault="000C1ABA" w:rsidP="00BF57A3">
      <w:pPr>
        <w:jc w:val="both"/>
        <w:rPr>
          <w:sz w:val="22"/>
          <w:szCs w:val="22"/>
          <w:lang w:val="es-ES"/>
        </w:rPr>
      </w:pPr>
      <w:r w:rsidRPr="006C640E">
        <w:rPr>
          <w:sz w:val="22"/>
          <w:szCs w:val="22"/>
          <w:vertAlign w:val="superscript"/>
          <w:lang w:val="es-ES"/>
        </w:rPr>
        <w:t>a</w:t>
      </w:r>
      <w:r w:rsidRPr="006C640E">
        <w:rPr>
          <w:sz w:val="22"/>
          <w:szCs w:val="22"/>
          <w:lang w:val="es-ES"/>
        </w:rPr>
        <w:t xml:space="preserve"> 405 </w:t>
      </w:r>
      <w:r w:rsidR="00A06278">
        <w:rPr>
          <w:sz w:val="22"/>
          <w:szCs w:val="22"/>
          <w:lang w:val="es-ES"/>
        </w:rPr>
        <w:t>pacijenata</w:t>
      </w:r>
      <w:r w:rsidR="00A06278" w:rsidRPr="006C640E">
        <w:rPr>
          <w:sz w:val="22"/>
          <w:szCs w:val="22"/>
          <w:lang w:val="es-ES"/>
        </w:rPr>
        <w:t xml:space="preserve"> </w:t>
      </w:r>
      <w:r w:rsidRPr="006C640E">
        <w:rPr>
          <w:sz w:val="22"/>
          <w:szCs w:val="22"/>
          <w:lang w:val="es-ES"/>
        </w:rPr>
        <w:t>procijenjeno u grupi liječenoj lijekom Abraxane/gemcitabinom</w:t>
      </w:r>
    </w:p>
    <w:p w14:paraId="550C5D72" w14:textId="52C617CC" w:rsidR="000C1ABA" w:rsidRPr="006C640E" w:rsidRDefault="000C1ABA">
      <w:pPr>
        <w:jc w:val="both"/>
        <w:rPr>
          <w:sz w:val="22"/>
          <w:szCs w:val="22"/>
          <w:lang w:val="es-ES"/>
        </w:rPr>
      </w:pPr>
      <w:r w:rsidRPr="006C640E">
        <w:rPr>
          <w:sz w:val="22"/>
          <w:szCs w:val="22"/>
          <w:vertAlign w:val="superscript"/>
          <w:lang w:val="es-ES"/>
        </w:rPr>
        <w:t xml:space="preserve">b </w:t>
      </w:r>
      <w:r w:rsidRPr="006C640E">
        <w:rPr>
          <w:sz w:val="22"/>
          <w:szCs w:val="22"/>
          <w:lang w:val="es-ES"/>
        </w:rPr>
        <w:t xml:space="preserve">388 </w:t>
      </w:r>
      <w:r w:rsidR="00A06278">
        <w:rPr>
          <w:sz w:val="22"/>
          <w:szCs w:val="22"/>
          <w:lang w:val="es-ES"/>
        </w:rPr>
        <w:t>pacijenata</w:t>
      </w:r>
      <w:r w:rsidR="00A06278" w:rsidRPr="006C640E">
        <w:rPr>
          <w:sz w:val="22"/>
          <w:szCs w:val="22"/>
          <w:lang w:val="es-ES"/>
        </w:rPr>
        <w:t xml:space="preserve"> </w:t>
      </w:r>
      <w:r w:rsidRPr="006C640E">
        <w:rPr>
          <w:sz w:val="22"/>
          <w:szCs w:val="22"/>
          <w:lang w:val="es-ES"/>
        </w:rPr>
        <w:t xml:space="preserve">procijenjeno u grupi liječenoj gemcitabinom  </w:t>
      </w:r>
    </w:p>
    <w:p w14:paraId="5669BC39" w14:textId="148BD497" w:rsidR="000C1ABA" w:rsidRPr="006C640E" w:rsidRDefault="000C1ABA">
      <w:pPr>
        <w:jc w:val="both"/>
        <w:rPr>
          <w:sz w:val="22"/>
          <w:szCs w:val="22"/>
          <w:lang w:val="es-ES"/>
        </w:rPr>
      </w:pPr>
      <w:r w:rsidRPr="006C640E">
        <w:rPr>
          <w:sz w:val="22"/>
          <w:szCs w:val="22"/>
          <w:vertAlign w:val="superscript"/>
          <w:lang w:val="es-ES"/>
        </w:rPr>
        <w:t xml:space="preserve">c </w:t>
      </w:r>
      <w:r w:rsidRPr="006C640E">
        <w:rPr>
          <w:sz w:val="22"/>
          <w:szCs w:val="22"/>
          <w:lang w:val="es-ES"/>
        </w:rPr>
        <w:t xml:space="preserve">404 </w:t>
      </w:r>
      <w:r w:rsidR="00A06278">
        <w:rPr>
          <w:sz w:val="22"/>
          <w:szCs w:val="22"/>
          <w:lang w:val="es-ES"/>
        </w:rPr>
        <w:t>pacijenata</w:t>
      </w:r>
      <w:r w:rsidR="00A06278" w:rsidRPr="006C640E">
        <w:rPr>
          <w:sz w:val="22"/>
          <w:szCs w:val="22"/>
          <w:lang w:val="es-ES"/>
        </w:rPr>
        <w:t xml:space="preserve"> </w:t>
      </w:r>
      <w:r w:rsidRPr="006C640E">
        <w:rPr>
          <w:sz w:val="22"/>
          <w:szCs w:val="22"/>
          <w:lang w:val="es-ES"/>
        </w:rPr>
        <w:t>procijenjeno u grupi liječenoj lijekom Abraxane/gemcitabinom</w:t>
      </w:r>
    </w:p>
    <w:p w14:paraId="3166C06F" w14:textId="77777777" w:rsidR="007D4376" w:rsidRPr="00BF57A3" w:rsidRDefault="007D4376">
      <w:pPr>
        <w:autoSpaceDE w:val="0"/>
        <w:autoSpaceDN w:val="0"/>
        <w:adjustRightInd w:val="0"/>
        <w:jc w:val="both"/>
        <w:rPr>
          <w:i/>
          <w:noProof/>
          <w:sz w:val="22"/>
          <w:szCs w:val="22"/>
          <w:lang w:val="hr-HR"/>
        </w:rPr>
      </w:pPr>
    </w:p>
    <w:p w14:paraId="4DF1211D" w14:textId="77777777" w:rsidR="007D4376" w:rsidRPr="00BF57A3" w:rsidRDefault="007D4376">
      <w:pPr>
        <w:autoSpaceDE w:val="0"/>
        <w:autoSpaceDN w:val="0"/>
        <w:adjustRightInd w:val="0"/>
        <w:jc w:val="both"/>
        <w:rPr>
          <w:i/>
          <w:noProof/>
          <w:sz w:val="22"/>
          <w:szCs w:val="22"/>
          <w:lang w:val="hr-HR"/>
        </w:rPr>
      </w:pPr>
      <w:r w:rsidRPr="00BF57A3">
        <w:rPr>
          <w:i/>
          <w:noProof/>
          <w:sz w:val="22"/>
          <w:szCs w:val="22"/>
          <w:lang w:val="hr-HR"/>
        </w:rPr>
        <w:t>Abraxane/karboplatin</w:t>
      </w:r>
    </w:p>
    <w:p w14:paraId="3690379E" w14:textId="77777777" w:rsidR="007D4376" w:rsidRPr="00BF57A3" w:rsidRDefault="007D4376">
      <w:pPr>
        <w:autoSpaceDE w:val="0"/>
        <w:autoSpaceDN w:val="0"/>
        <w:adjustRightInd w:val="0"/>
        <w:jc w:val="both"/>
        <w:rPr>
          <w:noProof/>
          <w:sz w:val="22"/>
          <w:szCs w:val="22"/>
          <w:lang w:val="hr-HR"/>
        </w:rPr>
      </w:pPr>
      <w:r w:rsidRPr="00BF57A3">
        <w:rPr>
          <w:noProof/>
          <w:sz w:val="22"/>
          <w:szCs w:val="22"/>
          <w:lang w:val="hr-HR"/>
        </w:rPr>
        <w:t xml:space="preserve">Anemija i trombocitopenija bile su češće zabilježene u grupi koja je primala lijek Abraxane nego u onoj koja je primala Taxol i karboplatin  (54% prema 28% odnosno 45% prema 27%).  </w:t>
      </w:r>
    </w:p>
    <w:p w14:paraId="55B27952" w14:textId="77777777" w:rsidR="00E001C8" w:rsidRPr="00BF57A3" w:rsidRDefault="00E001C8">
      <w:pPr>
        <w:autoSpaceDE w:val="0"/>
        <w:autoSpaceDN w:val="0"/>
        <w:adjustRightInd w:val="0"/>
        <w:jc w:val="both"/>
        <w:rPr>
          <w:i/>
          <w:sz w:val="22"/>
          <w:szCs w:val="22"/>
          <w:lang w:val="hr-HR"/>
        </w:rPr>
      </w:pPr>
    </w:p>
    <w:p w14:paraId="3AE51F39" w14:textId="77777777" w:rsidR="00E001C8" w:rsidRDefault="00E001C8">
      <w:pPr>
        <w:autoSpaceDE w:val="0"/>
        <w:autoSpaceDN w:val="0"/>
        <w:adjustRightInd w:val="0"/>
        <w:jc w:val="both"/>
        <w:rPr>
          <w:i/>
          <w:sz w:val="22"/>
          <w:szCs w:val="22"/>
          <w:u w:val="single"/>
          <w:lang w:val="hr-HR"/>
        </w:rPr>
      </w:pPr>
      <w:r w:rsidRPr="006C640E">
        <w:rPr>
          <w:i/>
          <w:sz w:val="22"/>
          <w:szCs w:val="22"/>
          <w:u w:val="single"/>
          <w:lang w:val="hr-HR"/>
        </w:rPr>
        <w:t>Poremećaji nervnog sistema</w:t>
      </w:r>
    </w:p>
    <w:p w14:paraId="02EB9EC9" w14:textId="77777777" w:rsidR="00A06278" w:rsidRPr="006C640E" w:rsidRDefault="00A06278">
      <w:pPr>
        <w:autoSpaceDE w:val="0"/>
        <w:autoSpaceDN w:val="0"/>
        <w:adjustRightInd w:val="0"/>
        <w:jc w:val="both"/>
        <w:rPr>
          <w:i/>
          <w:sz w:val="22"/>
          <w:szCs w:val="22"/>
          <w:u w:val="single"/>
          <w:lang w:val="hr-HR"/>
        </w:rPr>
      </w:pPr>
    </w:p>
    <w:p w14:paraId="243726AA" w14:textId="77777777" w:rsidR="00E001C8" w:rsidRPr="006C640E" w:rsidRDefault="00E001C8">
      <w:pPr>
        <w:autoSpaceDE w:val="0"/>
        <w:autoSpaceDN w:val="0"/>
        <w:adjustRightInd w:val="0"/>
        <w:jc w:val="both"/>
        <w:rPr>
          <w:i/>
          <w:noProof/>
          <w:sz w:val="22"/>
          <w:szCs w:val="22"/>
          <w:lang w:val="hr-HR"/>
        </w:rPr>
      </w:pPr>
      <w:r w:rsidRPr="006C640E">
        <w:rPr>
          <w:i/>
          <w:noProof/>
          <w:sz w:val="22"/>
          <w:szCs w:val="22"/>
          <w:lang w:val="hr-HR"/>
        </w:rPr>
        <w:t>Monoterapija lijekom Abraxane za liječenje metastatskog karcinoma dojke</w:t>
      </w:r>
    </w:p>
    <w:p w14:paraId="72D31096" w14:textId="6DBB28F0" w:rsidR="00E001C8" w:rsidRPr="00BF57A3" w:rsidRDefault="00E001C8">
      <w:pPr>
        <w:autoSpaceDE w:val="0"/>
        <w:autoSpaceDN w:val="0"/>
        <w:adjustRightInd w:val="0"/>
        <w:jc w:val="both"/>
        <w:rPr>
          <w:sz w:val="22"/>
          <w:szCs w:val="22"/>
          <w:lang w:val="hr-HR"/>
        </w:rPr>
      </w:pPr>
      <w:r w:rsidRPr="00BF57A3">
        <w:rPr>
          <w:sz w:val="22"/>
          <w:szCs w:val="22"/>
          <w:lang w:val="it-IT"/>
        </w:rPr>
        <w:t>Generalno</w:t>
      </w:r>
      <w:r w:rsidRPr="00BF57A3">
        <w:rPr>
          <w:sz w:val="22"/>
          <w:szCs w:val="22"/>
          <w:lang w:val="hr-HR"/>
        </w:rPr>
        <w:t xml:space="preserve">, </w:t>
      </w:r>
      <w:r w:rsidRPr="00BF57A3">
        <w:rPr>
          <w:sz w:val="22"/>
          <w:szCs w:val="22"/>
          <w:lang w:val="it-IT"/>
        </w:rPr>
        <w:t>kod</w:t>
      </w:r>
      <w:r w:rsidRPr="00BF57A3">
        <w:rPr>
          <w:sz w:val="22"/>
          <w:szCs w:val="22"/>
          <w:lang w:val="hr-HR"/>
        </w:rPr>
        <w:t xml:space="preserve"> </w:t>
      </w:r>
      <w:r w:rsidR="00A06278">
        <w:rPr>
          <w:sz w:val="22"/>
          <w:szCs w:val="22"/>
          <w:lang w:val="it-IT"/>
        </w:rPr>
        <w:t>pacijenata</w:t>
      </w:r>
      <w:r w:rsidR="00A06278" w:rsidRPr="00BF57A3">
        <w:rPr>
          <w:sz w:val="22"/>
          <w:szCs w:val="22"/>
          <w:lang w:val="hr-HR"/>
        </w:rPr>
        <w:t xml:space="preserve"> </w:t>
      </w:r>
      <w:r w:rsidRPr="00BF57A3">
        <w:rPr>
          <w:sz w:val="22"/>
          <w:szCs w:val="22"/>
          <w:lang w:val="it-IT"/>
        </w:rPr>
        <w:t>koji</w:t>
      </w:r>
      <w:r w:rsidRPr="00BF57A3">
        <w:rPr>
          <w:sz w:val="22"/>
          <w:szCs w:val="22"/>
          <w:lang w:val="hr-HR"/>
        </w:rPr>
        <w:t xml:space="preserve"> </w:t>
      </w:r>
      <w:r w:rsidRPr="00BF57A3">
        <w:rPr>
          <w:sz w:val="22"/>
          <w:szCs w:val="22"/>
          <w:lang w:val="it-IT"/>
        </w:rPr>
        <w:t>su</w:t>
      </w:r>
      <w:r w:rsidRPr="00BF57A3">
        <w:rPr>
          <w:sz w:val="22"/>
          <w:szCs w:val="22"/>
          <w:lang w:val="hr-HR"/>
        </w:rPr>
        <w:t xml:space="preserve"> </w:t>
      </w:r>
      <w:r w:rsidRPr="00BF57A3">
        <w:rPr>
          <w:sz w:val="22"/>
          <w:szCs w:val="22"/>
          <w:lang w:val="it-IT"/>
        </w:rPr>
        <w:t>primali</w:t>
      </w:r>
      <w:r w:rsidRPr="00BF57A3">
        <w:rPr>
          <w:sz w:val="22"/>
          <w:szCs w:val="22"/>
          <w:lang w:val="hr-HR"/>
        </w:rPr>
        <w:t xml:space="preserve"> </w:t>
      </w:r>
      <w:r w:rsidRPr="00BF57A3">
        <w:rPr>
          <w:sz w:val="22"/>
          <w:szCs w:val="22"/>
          <w:lang w:val="it-IT"/>
        </w:rPr>
        <w:t>lijek</w:t>
      </w:r>
      <w:r w:rsidRPr="00BF57A3">
        <w:rPr>
          <w:sz w:val="22"/>
          <w:szCs w:val="22"/>
          <w:lang w:val="hr-HR"/>
        </w:rPr>
        <w:t xml:space="preserve"> </w:t>
      </w:r>
      <w:r w:rsidRPr="00BF57A3">
        <w:rPr>
          <w:sz w:val="22"/>
          <w:szCs w:val="22"/>
          <w:lang w:val="it-IT"/>
        </w:rPr>
        <w:t>Abraxane</w:t>
      </w:r>
      <w:r w:rsidRPr="00BF57A3">
        <w:rPr>
          <w:sz w:val="22"/>
          <w:szCs w:val="22"/>
          <w:lang w:val="hr-HR"/>
        </w:rPr>
        <w:t xml:space="preserve">, </w:t>
      </w:r>
      <w:r w:rsidRPr="00BF57A3">
        <w:rPr>
          <w:sz w:val="22"/>
          <w:szCs w:val="22"/>
          <w:lang w:val="it-IT"/>
        </w:rPr>
        <w:t>u</w:t>
      </w:r>
      <w:r w:rsidRPr="00BF57A3">
        <w:rPr>
          <w:sz w:val="22"/>
          <w:szCs w:val="22"/>
          <w:lang w:val="hr-HR"/>
        </w:rPr>
        <w:t>č</w:t>
      </w:r>
      <w:r w:rsidRPr="00BF57A3">
        <w:rPr>
          <w:sz w:val="22"/>
          <w:szCs w:val="22"/>
          <w:lang w:val="it-IT"/>
        </w:rPr>
        <w:t>estalost</w:t>
      </w:r>
      <w:r w:rsidRPr="00BF57A3">
        <w:rPr>
          <w:sz w:val="22"/>
          <w:szCs w:val="22"/>
          <w:lang w:val="hr-HR"/>
        </w:rPr>
        <w:t xml:space="preserve"> </w:t>
      </w:r>
      <w:r w:rsidRPr="00BF57A3">
        <w:rPr>
          <w:sz w:val="22"/>
          <w:szCs w:val="22"/>
          <w:lang w:val="it-IT"/>
        </w:rPr>
        <w:t>i</w:t>
      </w:r>
      <w:r w:rsidRPr="00BF57A3">
        <w:rPr>
          <w:sz w:val="22"/>
          <w:szCs w:val="22"/>
          <w:lang w:val="hr-HR"/>
        </w:rPr>
        <w:t xml:space="preserve"> </w:t>
      </w:r>
      <w:r w:rsidRPr="00BF57A3">
        <w:rPr>
          <w:sz w:val="22"/>
          <w:szCs w:val="22"/>
          <w:lang w:val="it-IT"/>
        </w:rPr>
        <w:t>ozbiljnost</w:t>
      </w:r>
      <w:r w:rsidRPr="00BF57A3">
        <w:rPr>
          <w:sz w:val="22"/>
          <w:szCs w:val="22"/>
          <w:lang w:val="hr-HR"/>
        </w:rPr>
        <w:t xml:space="preserve"> </w:t>
      </w:r>
      <w:r w:rsidRPr="00BF57A3">
        <w:rPr>
          <w:sz w:val="22"/>
          <w:szCs w:val="22"/>
          <w:lang w:val="it-IT"/>
        </w:rPr>
        <w:t>neurotoksi</w:t>
      </w:r>
      <w:r w:rsidRPr="00BF57A3">
        <w:rPr>
          <w:sz w:val="22"/>
          <w:szCs w:val="22"/>
          <w:lang w:val="hr-HR"/>
        </w:rPr>
        <w:t>č</w:t>
      </w:r>
      <w:r w:rsidRPr="00BF57A3">
        <w:rPr>
          <w:sz w:val="22"/>
          <w:szCs w:val="22"/>
          <w:lang w:val="it-IT"/>
        </w:rPr>
        <w:t>nosti</w:t>
      </w:r>
      <w:r w:rsidRPr="00BF57A3">
        <w:rPr>
          <w:sz w:val="22"/>
          <w:szCs w:val="22"/>
          <w:lang w:val="hr-HR"/>
        </w:rPr>
        <w:t xml:space="preserve"> </w:t>
      </w:r>
      <w:r w:rsidRPr="00BF57A3">
        <w:rPr>
          <w:sz w:val="22"/>
          <w:szCs w:val="22"/>
          <w:lang w:val="it-IT"/>
        </w:rPr>
        <w:t>bile</w:t>
      </w:r>
      <w:r w:rsidRPr="00BF57A3">
        <w:rPr>
          <w:sz w:val="22"/>
          <w:szCs w:val="22"/>
          <w:lang w:val="hr-HR"/>
        </w:rPr>
        <w:t xml:space="preserve"> </w:t>
      </w:r>
      <w:r w:rsidRPr="00BF57A3">
        <w:rPr>
          <w:sz w:val="22"/>
          <w:szCs w:val="22"/>
          <w:lang w:val="it-IT"/>
        </w:rPr>
        <w:t>su</w:t>
      </w:r>
      <w:r w:rsidRPr="00BF57A3">
        <w:rPr>
          <w:sz w:val="22"/>
          <w:szCs w:val="22"/>
          <w:lang w:val="hr-HR"/>
        </w:rPr>
        <w:t xml:space="preserve"> </w:t>
      </w:r>
      <w:r w:rsidRPr="00BF57A3">
        <w:rPr>
          <w:sz w:val="22"/>
          <w:szCs w:val="22"/>
          <w:lang w:val="it-IT"/>
        </w:rPr>
        <w:t>zavisne</w:t>
      </w:r>
      <w:r w:rsidRPr="00BF57A3">
        <w:rPr>
          <w:sz w:val="22"/>
          <w:szCs w:val="22"/>
          <w:lang w:val="hr-HR"/>
        </w:rPr>
        <w:t xml:space="preserve"> </w:t>
      </w:r>
      <w:r w:rsidRPr="00BF57A3">
        <w:rPr>
          <w:sz w:val="22"/>
          <w:szCs w:val="22"/>
          <w:lang w:val="it-IT"/>
        </w:rPr>
        <w:t>od</w:t>
      </w:r>
      <w:r w:rsidRPr="00BF57A3">
        <w:rPr>
          <w:sz w:val="22"/>
          <w:szCs w:val="22"/>
          <w:lang w:val="hr-HR"/>
        </w:rPr>
        <w:t xml:space="preserve"> </w:t>
      </w:r>
      <w:r w:rsidRPr="00BF57A3">
        <w:rPr>
          <w:sz w:val="22"/>
          <w:szCs w:val="22"/>
          <w:lang w:val="it-IT"/>
        </w:rPr>
        <w:t>doze</w:t>
      </w:r>
      <w:r w:rsidRPr="00BF57A3">
        <w:rPr>
          <w:sz w:val="22"/>
          <w:szCs w:val="22"/>
          <w:lang w:val="hr-HR"/>
        </w:rPr>
        <w:t xml:space="preserve">. </w:t>
      </w:r>
      <w:r w:rsidRPr="00BF57A3">
        <w:rPr>
          <w:sz w:val="22"/>
          <w:szCs w:val="22"/>
          <w:lang w:val="it-IT"/>
        </w:rPr>
        <w:t>Periferna</w:t>
      </w:r>
      <w:r w:rsidRPr="00BF57A3">
        <w:rPr>
          <w:sz w:val="22"/>
          <w:szCs w:val="22"/>
          <w:lang w:val="hr-HR"/>
        </w:rPr>
        <w:t xml:space="preserve"> </w:t>
      </w:r>
      <w:r w:rsidRPr="00BF57A3">
        <w:rPr>
          <w:sz w:val="22"/>
          <w:szCs w:val="22"/>
          <w:lang w:val="it-IT"/>
        </w:rPr>
        <w:t>neuropatija</w:t>
      </w:r>
      <w:r w:rsidRPr="00BF57A3">
        <w:rPr>
          <w:sz w:val="22"/>
          <w:szCs w:val="22"/>
          <w:lang w:val="hr-HR"/>
        </w:rPr>
        <w:t xml:space="preserve"> (</w:t>
      </w:r>
      <w:r w:rsidRPr="00BF57A3">
        <w:rPr>
          <w:sz w:val="22"/>
          <w:szCs w:val="22"/>
          <w:lang w:val="it-IT"/>
        </w:rPr>
        <w:t>uglavnom</w:t>
      </w:r>
      <w:r w:rsidRPr="00BF57A3">
        <w:rPr>
          <w:sz w:val="22"/>
          <w:szCs w:val="22"/>
          <w:lang w:val="hr-HR"/>
        </w:rPr>
        <w:t xml:space="preserve"> </w:t>
      </w:r>
      <w:r w:rsidRPr="00BF57A3">
        <w:rPr>
          <w:sz w:val="22"/>
          <w:szCs w:val="22"/>
          <w:lang w:val="it-IT"/>
        </w:rPr>
        <w:t>senzorna</w:t>
      </w:r>
      <w:r w:rsidRPr="00BF57A3">
        <w:rPr>
          <w:sz w:val="22"/>
          <w:szCs w:val="22"/>
          <w:lang w:val="hr-HR"/>
        </w:rPr>
        <w:t xml:space="preserve"> </w:t>
      </w:r>
      <w:r w:rsidRPr="00BF57A3">
        <w:rPr>
          <w:sz w:val="22"/>
          <w:szCs w:val="22"/>
          <w:lang w:val="it-IT"/>
        </w:rPr>
        <w:t>neuropatija</w:t>
      </w:r>
      <w:r w:rsidRPr="00BF57A3">
        <w:rPr>
          <w:sz w:val="22"/>
          <w:szCs w:val="22"/>
          <w:lang w:val="hr-HR"/>
        </w:rPr>
        <w:t xml:space="preserve"> </w:t>
      </w:r>
      <w:r w:rsidRPr="00BF57A3">
        <w:rPr>
          <w:sz w:val="22"/>
          <w:szCs w:val="22"/>
          <w:lang w:val="it-IT"/>
        </w:rPr>
        <w:t>stepena</w:t>
      </w:r>
      <w:r w:rsidRPr="00BF57A3">
        <w:rPr>
          <w:sz w:val="22"/>
          <w:szCs w:val="22"/>
          <w:lang w:val="hr-HR"/>
        </w:rPr>
        <w:t xml:space="preserve"> 1 </w:t>
      </w:r>
      <w:r w:rsidRPr="00BF57A3">
        <w:rPr>
          <w:sz w:val="22"/>
          <w:szCs w:val="22"/>
          <w:lang w:val="it-IT"/>
        </w:rPr>
        <w:t>ili</w:t>
      </w:r>
      <w:r w:rsidRPr="00BF57A3">
        <w:rPr>
          <w:sz w:val="22"/>
          <w:szCs w:val="22"/>
          <w:lang w:val="hr-HR"/>
        </w:rPr>
        <w:t xml:space="preserve"> 2) </w:t>
      </w:r>
      <w:r w:rsidRPr="00BF57A3">
        <w:rPr>
          <w:noProof/>
          <w:sz w:val="22"/>
          <w:szCs w:val="22"/>
          <w:lang w:val="hr-HR"/>
        </w:rPr>
        <w:t xml:space="preserve">primjećena </w:t>
      </w:r>
      <w:r w:rsidRPr="00BF57A3">
        <w:rPr>
          <w:sz w:val="22"/>
          <w:szCs w:val="22"/>
          <w:lang w:val="it-IT"/>
        </w:rPr>
        <w:t>je</w:t>
      </w:r>
      <w:r w:rsidRPr="00BF57A3">
        <w:rPr>
          <w:sz w:val="22"/>
          <w:szCs w:val="22"/>
          <w:lang w:val="hr-HR"/>
        </w:rPr>
        <w:t xml:space="preserve"> </w:t>
      </w:r>
      <w:r w:rsidRPr="00BF57A3">
        <w:rPr>
          <w:sz w:val="22"/>
          <w:szCs w:val="22"/>
          <w:lang w:val="it-IT"/>
        </w:rPr>
        <w:t>kod</w:t>
      </w:r>
      <w:r w:rsidRPr="00BF57A3">
        <w:rPr>
          <w:sz w:val="22"/>
          <w:szCs w:val="22"/>
          <w:lang w:val="hr-HR"/>
        </w:rPr>
        <w:t xml:space="preserve"> 68% </w:t>
      </w:r>
      <w:r w:rsidR="00BC764F">
        <w:rPr>
          <w:sz w:val="22"/>
          <w:szCs w:val="22"/>
          <w:lang w:val="it-IT"/>
        </w:rPr>
        <w:t>pacijenata</w:t>
      </w:r>
      <w:r w:rsidR="00BC764F" w:rsidRPr="00BF57A3">
        <w:rPr>
          <w:sz w:val="22"/>
          <w:szCs w:val="22"/>
          <w:lang w:val="hr-HR"/>
        </w:rPr>
        <w:t xml:space="preserve"> </w:t>
      </w:r>
      <w:r w:rsidRPr="00BF57A3">
        <w:rPr>
          <w:sz w:val="22"/>
          <w:szCs w:val="22"/>
          <w:lang w:val="it-IT"/>
        </w:rPr>
        <w:t>koji</w:t>
      </w:r>
      <w:r w:rsidRPr="00BF57A3">
        <w:rPr>
          <w:sz w:val="22"/>
          <w:szCs w:val="22"/>
          <w:lang w:val="hr-HR"/>
        </w:rPr>
        <w:t xml:space="preserve"> </w:t>
      </w:r>
      <w:r w:rsidRPr="00BF57A3">
        <w:rPr>
          <w:sz w:val="22"/>
          <w:szCs w:val="22"/>
          <w:lang w:val="it-IT"/>
        </w:rPr>
        <w:t>su</w:t>
      </w:r>
      <w:r w:rsidRPr="00BF57A3">
        <w:rPr>
          <w:sz w:val="22"/>
          <w:szCs w:val="22"/>
          <w:lang w:val="hr-HR"/>
        </w:rPr>
        <w:t xml:space="preserve"> </w:t>
      </w:r>
      <w:r w:rsidRPr="00BF57A3">
        <w:rPr>
          <w:sz w:val="22"/>
          <w:szCs w:val="22"/>
          <w:lang w:val="it-IT"/>
        </w:rPr>
        <w:t>primali</w:t>
      </w:r>
      <w:r w:rsidRPr="00BF57A3">
        <w:rPr>
          <w:sz w:val="22"/>
          <w:szCs w:val="22"/>
          <w:lang w:val="hr-HR"/>
        </w:rPr>
        <w:t xml:space="preserve"> lijek </w:t>
      </w:r>
      <w:r w:rsidRPr="00BF57A3">
        <w:rPr>
          <w:sz w:val="22"/>
          <w:szCs w:val="22"/>
          <w:lang w:val="it-IT"/>
        </w:rPr>
        <w:t>Abraxane</w:t>
      </w:r>
      <w:r w:rsidRPr="00BF57A3">
        <w:rPr>
          <w:sz w:val="22"/>
          <w:szCs w:val="22"/>
          <w:lang w:val="hr-HR"/>
        </w:rPr>
        <w:t xml:space="preserve">, i </w:t>
      </w:r>
      <w:r w:rsidRPr="00BF57A3">
        <w:rPr>
          <w:sz w:val="22"/>
          <w:szCs w:val="22"/>
          <w:lang w:val="it-IT"/>
        </w:rPr>
        <w:t>kod</w:t>
      </w:r>
      <w:r w:rsidRPr="00BF57A3">
        <w:rPr>
          <w:sz w:val="22"/>
          <w:szCs w:val="22"/>
          <w:lang w:val="hr-HR"/>
        </w:rPr>
        <w:t xml:space="preserve"> 10% </w:t>
      </w:r>
      <w:r w:rsidR="00BC764F">
        <w:rPr>
          <w:sz w:val="22"/>
          <w:szCs w:val="22"/>
          <w:lang w:val="it-IT"/>
        </w:rPr>
        <w:t>pacijenata</w:t>
      </w:r>
      <w:r w:rsidRPr="00BF57A3">
        <w:rPr>
          <w:sz w:val="22"/>
          <w:szCs w:val="22"/>
          <w:lang w:val="hr-HR"/>
        </w:rPr>
        <w:t xml:space="preserve"> </w:t>
      </w:r>
      <w:r w:rsidRPr="00BF57A3">
        <w:rPr>
          <w:sz w:val="22"/>
          <w:szCs w:val="22"/>
          <w:lang w:val="it-IT"/>
        </w:rPr>
        <w:t>bila</w:t>
      </w:r>
      <w:r w:rsidRPr="00BF57A3">
        <w:rPr>
          <w:sz w:val="22"/>
          <w:szCs w:val="22"/>
          <w:lang w:val="hr-HR"/>
        </w:rPr>
        <w:t xml:space="preserve"> je </w:t>
      </w:r>
      <w:r w:rsidRPr="00BF57A3">
        <w:rPr>
          <w:sz w:val="22"/>
          <w:szCs w:val="22"/>
          <w:lang w:val="it-IT"/>
        </w:rPr>
        <w:t>stepena</w:t>
      </w:r>
      <w:r w:rsidRPr="00BF57A3">
        <w:rPr>
          <w:sz w:val="22"/>
          <w:szCs w:val="22"/>
          <w:lang w:val="hr-HR"/>
        </w:rPr>
        <w:t xml:space="preserve"> 3, </w:t>
      </w:r>
      <w:r w:rsidRPr="00BF57A3">
        <w:rPr>
          <w:sz w:val="22"/>
          <w:szCs w:val="22"/>
          <w:lang w:val="it-IT"/>
        </w:rPr>
        <w:t>a</w:t>
      </w:r>
      <w:r w:rsidRPr="00BF57A3">
        <w:rPr>
          <w:sz w:val="22"/>
          <w:szCs w:val="22"/>
          <w:lang w:val="hr-HR"/>
        </w:rPr>
        <w:t xml:space="preserve"> </w:t>
      </w:r>
      <w:r w:rsidRPr="00BF57A3">
        <w:rPr>
          <w:sz w:val="22"/>
          <w:szCs w:val="22"/>
          <w:lang w:val="it-IT"/>
        </w:rPr>
        <w:t>nije</w:t>
      </w:r>
      <w:r w:rsidRPr="00BF57A3">
        <w:rPr>
          <w:sz w:val="22"/>
          <w:szCs w:val="22"/>
          <w:lang w:val="hr-HR"/>
        </w:rPr>
        <w:t xml:space="preserve"> </w:t>
      </w:r>
      <w:r w:rsidRPr="00BF57A3">
        <w:rPr>
          <w:sz w:val="22"/>
          <w:szCs w:val="22"/>
          <w:lang w:val="it-IT"/>
        </w:rPr>
        <w:t>bilo</w:t>
      </w:r>
      <w:r w:rsidRPr="00BF57A3">
        <w:rPr>
          <w:sz w:val="22"/>
          <w:szCs w:val="22"/>
          <w:lang w:val="hr-HR"/>
        </w:rPr>
        <w:t xml:space="preserve"> </w:t>
      </w:r>
      <w:r w:rsidRPr="00BF57A3">
        <w:rPr>
          <w:sz w:val="22"/>
          <w:szCs w:val="22"/>
          <w:lang w:val="it-IT"/>
        </w:rPr>
        <w:t>slu</w:t>
      </w:r>
      <w:r w:rsidRPr="00BF57A3">
        <w:rPr>
          <w:sz w:val="22"/>
          <w:szCs w:val="22"/>
          <w:lang w:val="hr-HR"/>
        </w:rPr>
        <w:t>č</w:t>
      </w:r>
      <w:r w:rsidRPr="00BF57A3">
        <w:rPr>
          <w:sz w:val="22"/>
          <w:szCs w:val="22"/>
          <w:lang w:val="it-IT"/>
        </w:rPr>
        <w:t>ajeva</w:t>
      </w:r>
      <w:r w:rsidRPr="00BF57A3">
        <w:rPr>
          <w:sz w:val="22"/>
          <w:szCs w:val="22"/>
          <w:lang w:val="hr-HR"/>
        </w:rPr>
        <w:t xml:space="preserve"> </w:t>
      </w:r>
      <w:r w:rsidRPr="00BF57A3">
        <w:rPr>
          <w:sz w:val="22"/>
          <w:szCs w:val="22"/>
          <w:lang w:val="it-IT"/>
        </w:rPr>
        <w:t>stepena</w:t>
      </w:r>
      <w:r w:rsidRPr="00BF57A3">
        <w:rPr>
          <w:sz w:val="22"/>
          <w:szCs w:val="22"/>
          <w:lang w:val="hr-HR"/>
        </w:rPr>
        <w:t xml:space="preserve"> 4.</w:t>
      </w:r>
    </w:p>
    <w:p w14:paraId="2630509E" w14:textId="77777777" w:rsidR="007D4376" w:rsidRPr="00BF57A3" w:rsidRDefault="00A06278" w:rsidP="006C640E">
      <w:pPr>
        <w:rPr>
          <w:i/>
          <w:noProof/>
          <w:sz w:val="22"/>
          <w:szCs w:val="22"/>
          <w:lang w:val="hr-HR"/>
        </w:rPr>
      </w:pPr>
      <w:r>
        <w:rPr>
          <w:i/>
          <w:noProof/>
          <w:sz w:val="22"/>
          <w:szCs w:val="22"/>
          <w:lang w:val="hr-HR"/>
        </w:rPr>
        <w:br w:type="page"/>
      </w:r>
    </w:p>
    <w:p w14:paraId="26917645" w14:textId="77777777" w:rsidR="00E001C8" w:rsidRPr="00BF57A3" w:rsidRDefault="00E001C8">
      <w:pPr>
        <w:autoSpaceDE w:val="0"/>
        <w:autoSpaceDN w:val="0"/>
        <w:adjustRightInd w:val="0"/>
        <w:jc w:val="both"/>
        <w:rPr>
          <w:i/>
          <w:noProof/>
          <w:sz w:val="22"/>
          <w:szCs w:val="22"/>
          <w:lang w:val="hr-HR"/>
        </w:rPr>
      </w:pPr>
      <w:r w:rsidRPr="00BF57A3">
        <w:rPr>
          <w:i/>
          <w:noProof/>
          <w:sz w:val="22"/>
          <w:szCs w:val="22"/>
          <w:lang w:val="hr-HR"/>
        </w:rPr>
        <w:lastRenderedPageBreak/>
        <w:t>Abraxane/gemcitabin</w:t>
      </w:r>
    </w:p>
    <w:p w14:paraId="357309BD" w14:textId="333261A0" w:rsidR="000C1ABA" w:rsidRPr="00BF57A3" w:rsidRDefault="000C1ABA">
      <w:pPr>
        <w:autoSpaceDE w:val="0"/>
        <w:autoSpaceDN w:val="0"/>
        <w:adjustRightInd w:val="0"/>
        <w:jc w:val="both"/>
        <w:rPr>
          <w:noProof/>
          <w:sz w:val="22"/>
          <w:szCs w:val="22"/>
          <w:lang w:val="hr-HR"/>
        </w:rPr>
      </w:pPr>
      <w:r w:rsidRPr="00BF57A3">
        <w:rPr>
          <w:noProof/>
          <w:sz w:val="22"/>
          <w:szCs w:val="22"/>
          <w:lang w:val="hr-HR"/>
        </w:rPr>
        <w:t xml:space="preserve">Za </w:t>
      </w:r>
      <w:r w:rsidR="00A06278">
        <w:rPr>
          <w:noProof/>
          <w:sz w:val="22"/>
          <w:szCs w:val="22"/>
          <w:lang w:val="hr-HR"/>
        </w:rPr>
        <w:t>pacijente</w:t>
      </w:r>
      <w:r w:rsidR="00A06278" w:rsidRPr="00BF57A3">
        <w:rPr>
          <w:noProof/>
          <w:sz w:val="22"/>
          <w:szCs w:val="22"/>
          <w:lang w:val="hr-HR"/>
        </w:rPr>
        <w:t xml:space="preserve"> </w:t>
      </w:r>
      <w:r w:rsidRPr="00BF57A3">
        <w:rPr>
          <w:noProof/>
          <w:sz w:val="22"/>
          <w:szCs w:val="22"/>
          <w:lang w:val="hr-HR"/>
        </w:rPr>
        <w:t>liječene lijekom Abraxane u kombinaciji sa gemcitabinom medijan vremena do prve pojave periferne neuropatije stepena 3 iznosio je 140 dana. Medijan</w:t>
      </w:r>
      <w:r w:rsidR="00A06278">
        <w:rPr>
          <w:noProof/>
          <w:sz w:val="22"/>
          <w:szCs w:val="22"/>
          <w:lang w:val="hr-HR"/>
        </w:rPr>
        <w:t>a</w:t>
      </w:r>
      <w:r w:rsidRPr="00BF57A3">
        <w:rPr>
          <w:noProof/>
          <w:sz w:val="22"/>
          <w:szCs w:val="22"/>
          <w:lang w:val="hr-HR"/>
        </w:rPr>
        <w:t xml:space="preserve"> vremena do poboljšanja za najmanje 1 stepen bi</w:t>
      </w:r>
      <w:r w:rsidR="00A06278">
        <w:rPr>
          <w:noProof/>
          <w:sz w:val="22"/>
          <w:szCs w:val="22"/>
          <w:lang w:val="hr-HR"/>
        </w:rPr>
        <w:t>la</w:t>
      </w:r>
      <w:r w:rsidRPr="00BF57A3">
        <w:rPr>
          <w:noProof/>
          <w:sz w:val="22"/>
          <w:szCs w:val="22"/>
          <w:lang w:val="hr-HR"/>
        </w:rPr>
        <w:t xml:space="preserve"> je 21 dan, a medijan</w:t>
      </w:r>
      <w:r w:rsidR="00A06278">
        <w:rPr>
          <w:noProof/>
          <w:sz w:val="22"/>
          <w:szCs w:val="22"/>
          <w:lang w:val="hr-HR"/>
        </w:rPr>
        <w:t>a</w:t>
      </w:r>
      <w:r w:rsidRPr="00BF57A3">
        <w:rPr>
          <w:noProof/>
          <w:sz w:val="22"/>
          <w:szCs w:val="22"/>
          <w:lang w:val="hr-HR"/>
        </w:rPr>
        <w:t xml:space="preserve"> vremena do poboljšanja periferne neuropatije sa stepena 3 na stepen 0 ili 1 bi</w:t>
      </w:r>
      <w:r w:rsidR="00A06278">
        <w:rPr>
          <w:noProof/>
          <w:sz w:val="22"/>
          <w:szCs w:val="22"/>
          <w:lang w:val="hr-HR"/>
        </w:rPr>
        <w:t>la</w:t>
      </w:r>
      <w:r w:rsidRPr="00BF57A3">
        <w:rPr>
          <w:noProof/>
          <w:sz w:val="22"/>
          <w:szCs w:val="22"/>
          <w:lang w:val="hr-HR"/>
        </w:rPr>
        <w:t xml:space="preserve"> je 29 dana. Od </w:t>
      </w:r>
      <w:r w:rsidR="00A06278">
        <w:rPr>
          <w:noProof/>
          <w:sz w:val="22"/>
          <w:szCs w:val="22"/>
          <w:lang w:val="hr-HR"/>
        </w:rPr>
        <w:t>pacijenata</w:t>
      </w:r>
      <w:r w:rsidR="00A06278" w:rsidRPr="00BF57A3">
        <w:rPr>
          <w:noProof/>
          <w:sz w:val="22"/>
          <w:szCs w:val="22"/>
          <w:lang w:val="hr-HR"/>
        </w:rPr>
        <w:t xml:space="preserve"> </w:t>
      </w:r>
      <w:r w:rsidRPr="00BF57A3">
        <w:rPr>
          <w:noProof/>
          <w:sz w:val="22"/>
          <w:szCs w:val="22"/>
          <w:lang w:val="hr-HR"/>
        </w:rPr>
        <w:t xml:space="preserve">kojima je liječenje prekinuto zbog periferne neuropatije, 44% (31/70 </w:t>
      </w:r>
      <w:r w:rsidR="00A06278">
        <w:rPr>
          <w:noProof/>
          <w:sz w:val="22"/>
          <w:szCs w:val="22"/>
          <w:lang w:val="hr-HR"/>
        </w:rPr>
        <w:t>pacijenata</w:t>
      </w:r>
      <w:r w:rsidRPr="00BF57A3">
        <w:rPr>
          <w:noProof/>
          <w:sz w:val="22"/>
          <w:szCs w:val="22"/>
          <w:lang w:val="hr-HR"/>
        </w:rPr>
        <w:t xml:space="preserve">) je moglo da nastavi liječenje lijekom Abraxane uz smanjenje doze. Nijedan </w:t>
      </w:r>
      <w:r w:rsidR="00A06278">
        <w:rPr>
          <w:noProof/>
          <w:sz w:val="22"/>
          <w:szCs w:val="22"/>
          <w:lang w:val="hr-HR"/>
        </w:rPr>
        <w:t>pacijent</w:t>
      </w:r>
      <w:r w:rsidR="00A06278" w:rsidRPr="00BF57A3">
        <w:rPr>
          <w:noProof/>
          <w:sz w:val="22"/>
          <w:szCs w:val="22"/>
          <w:lang w:val="hr-HR"/>
        </w:rPr>
        <w:t xml:space="preserve"> </w:t>
      </w:r>
      <w:r w:rsidRPr="00BF57A3">
        <w:rPr>
          <w:noProof/>
          <w:sz w:val="22"/>
          <w:szCs w:val="22"/>
          <w:lang w:val="hr-HR"/>
        </w:rPr>
        <w:t>liječen lijekom Abraxane u kombinaciji sa gemcitabinom nije imao perifernu neuropatiju stepena 4.</w:t>
      </w:r>
    </w:p>
    <w:p w14:paraId="194954E1" w14:textId="77777777" w:rsidR="00663EBC" w:rsidRPr="00BF57A3" w:rsidRDefault="00663EBC">
      <w:pPr>
        <w:autoSpaceDE w:val="0"/>
        <w:autoSpaceDN w:val="0"/>
        <w:adjustRightInd w:val="0"/>
        <w:jc w:val="both"/>
        <w:rPr>
          <w:i/>
          <w:noProof/>
          <w:sz w:val="22"/>
          <w:szCs w:val="22"/>
          <w:lang w:val="hr-HR"/>
        </w:rPr>
      </w:pPr>
    </w:p>
    <w:p w14:paraId="2D49FE93" w14:textId="77777777" w:rsidR="00663EBC" w:rsidRPr="00BF57A3" w:rsidRDefault="00663EBC">
      <w:pPr>
        <w:autoSpaceDE w:val="0"/>
        <w:autoSpaceDN w:val="0"/>
        <w:adjustRightInd w:val="0"/>
        <w:jc w:val="both"/>
        <w:rPr>
          <w:i/>
          <w:noProof/>
          <w:sz w:val="22"/>
          <w:szCs w:val="22"/>
          <w:lang w:val="hr-HR"/>
        </w:rPr>
      </w:pPr>
      <w:r w:rsidRPr="00BF57A3">
        <w:rPr>
          <w:i/>
          <w:noProof/>
          <w:sz w:val="22"/>
          <w:szCs w:val="22"/>
          <w:lang w:val="hr-HR"/>
        </w:rPr>
        <w:t>Abraxane/karboplatin</w:t>
      </w:r>
    </w:p>
    <w:p w14:paraId="0AB82825" w14:textId="31FE662E" w:rsidR="00663EBC" w:rsidRPr="00BF57A3" w:rsidRDefault="00663EBC">
      <w:pPr>
        <w:autoSpaceDE w:val="0"/>
        <w:autoSpaceDN w:val="0"/>
        <w:adjustRightInd w:val="0"/>
        <w:jc w:val="both"/>
        <w:rPr>
          <w:noProof/>
          <w:sz w:val="22"/>
          <w:szCs w:val="22"/>
          <w:lang w:val="hr-HR"/>
        </w:rPr>
      </w:pPr>
      <w:r w:rsidRPr="00BF57A3">
        <w:rPr>
          <w:noProof/>
          <w:sz w:val="22"/>
          <w:szCs w:val="22"/>
          <w:lang w:val="hr-HR"/>
        </w:rPr>
        <w:t xml:space="preserve">Za </w:t>
      </w:r>
      <w:r w:rsidR="00A06278">
        <w:rPr>
          <w:noProof/>
          <w:sz w:val="22"/>
          <w:szCs w:val="22"/>
          <w:lang w:val="hr-HR"/>
        </w:rPr>
        <w:t>pacijente</w:t>
      </w:r>
      <w:r w:rsidR="00A06278" w:rsidRPr="00BF57A3">
        <w:rPr>
          <w:noProof/>
          <w:sz w:val="22"/>
          <w:szCs w:val="22"/>
          <w:lang w:val="hr-HR"/>
        </w:rPr>
        <w:t xml:space="preserve"> </w:t>
      </w:r>
      <w:r w:rsidRPr="00BF57A3">
        <w:rPr>
          <w:noProof/>
          <w:sz w:val="22"/>
          <w:szCs w:val="22"/>
          <w:lang w:val="hr-HR"/>
        </w:rPr>
        <w:t>sa nemikrocelularnim karcinomom pluća liječenim lijekom Abraxane u kombinaciji sa karboplatinom, medijan</w:t>
      </w:r>
      <w:r w:rsidR="00ED2CE5">
        <w:rPr>
          <w:noProof/>
          <w:sz w:val="22"/>
          <w:szCs w:val="22"/>
          <w:lang w:val="hr-HR"/>
        </w:rPr>
        <w:t>a</w:t>
      </w:r>
      <w:r w:rsidRPr="00BF57A3">
        <w:rPr>
          <w:noProof/>
          <w:sz w:val="22"/>
          <w:szCs w:val="22"/>
          <w:lang w:val="hr-HR"/>
        </w:rPr>
        <w:t xml:space="preserve"> vremena do prve pojave periferne neuropatije stepena 3 povezane sa liječenjem iznosio je 121 dan, a medijan</w:t>
      </w:r>
      <w:r w:rsidR="00ED2CE5">
        <w:rPr>
          <w:noProof/>
          <w:sz w:val="22"/>
          <w:szCs w:val="22"/>
          <w:lang w:val="hr-HR"/>
        </w:rPr>
        <w:t>a</w:t>
      </w:r>
      <w:r w:rsidRPr="00BF57A3">
        <w:rPr>
          <w:noProof/>
          <w:sz w:val="22"/>
          <w:szCs w:val="22"/>
          <w:lang w:val="hr-HR"/>
        </w:rPr>
        <w:t xml:space="preserve"> vremena do poboljšanja periferne neuropatije sa stepena 3 na stepen 1 bio je 38 dana. Nijedan </w:t>
      </w:r>
      <w:r w:rsidR="00ED2CE5">
        <w:rPr>
          <w:noProof/>
          <w:sz w:val="22"/>
          <w:szCs w:val="22"/>
          <w:lang w:val="hr-HR"/>
        </w:rPr>
        <w:t>pacijent</w:t>
      </w:r>
      <w:r w:rsidR="00ED2CE5" w:rsidRPr="00BF57A3">
        <w:rPr>
          <w:noProof/>
          <w:sz w:val="22"/>
          <w:szCs w:val="22"/>
          <w:lang w:val="hr-HR"/>
        </w:rPr>
        <w:t xml:space="preserve"> </w:t>
      </w:r>
      <w:r w:rsidRPr="00BF57A3">
        <w:rPr>
          <w:noProof/>
          <w:sz w:val="22"/>
          <w:szCs w:val="22"/>
          <w:lang w:val="hr-HR"/>
        </w:rPr>
        <w:t>liječen lijekom Abraxane sa karboplatinom nije imao perifernu neuropatiju stepena 4.</w:t>
      </w:r>
    </w:p>
    <w:p w14:paraId="55E8C5A4" w14:textId="77777777" w:rsidR="00962E7F" w:rsidRPr="00BF57A3" w:rsidRDefault="00962E7F">
      <w:pPr>
        <w:autoSpaceDE w:val="0"/>
        <w:autoSpaceDN w:val="0"/>
        <w:adjustRightInd w:val="0"/>
        <w:jc w:val="both"/>
        <w:rPr>
          <w:i/>
          <w:noProof/>
          <w:sz w:val="22"/>
          <w:szCs w:val="22"/>
          <w:u w:val="single"/>
          <w:lang w:val="hr-HR"/>
        </w:rPr>
      </w:pPr>
    </w:p>
    <w:p w14:paraId="5DF3193D" w14:textId="77777777" w:rsidR="000C1ABA" w:rsidRPr="00BF57A3" w:rsidRDefault="00663EBC">
      <w:pPr>
        <w:autoSpaceDE w:val="0"/>
        <w:autoSpaceDN w:val="0"/>
        <w:adjustRightInd w:val="0"/>
        <w:jc w:val="both"/>
        <w:rPr>
          <w:i/>
          <w:noProof/>
          <w:sz w:val="22"/>
          <w:szCs w:val="22"/>
          <w:u w:val="single"/>
          <w:lang w:val="hr-HR"/>
        </w:rPr>
      </w:pPr>
      <w:r w:rsidRPr="00BF57A3">
        <w:rPr>
          <w:i/>
          <w:noProof/>
          <w:sz w:val="22"/>
          <w:szCs w:val="22"/>
          <w:u w:val="single"/>
          <w:lang w:val="hr-HR"/>
        </w:rPr>
        <w:t>Poremećaji na nivou oka</w:t>
      </w:r>
    </w:p>
    <w:p w14:paraId="521C323E" w14:textId="77777777" w:rsidR="00EA6A9F" w:rsidRPr="00BF57A3" w:rsidRDefault="00EA6A9F">
      <w:pPr>
        <w:autoSpaceDE w:val="0"/>
        <w:autoSpaceDN w:val="0"/>
        <w:adjustRightInd w:val="0"/>
        <w:jc w:val="both"/>
        <w:rPr>
          <w:noProof/>
          <w:sz w:val="22"/>
          <w:szCs w:val="22"/>
          <w:lang w:val="hr-HR"/>
        </w:rPr>
      </w:pPr>
      <w:r w:rsidRPr="00BF57A3">
        <w:rPr>
          <w:noProof/>
          <w:sz w:val="22"/>
          <w:szCs w:val="22"/>
          <w:lang w:val="hr-HR"/>
        </w:rPr>
        <w:t>Tokom postmarketinškog praćenja prijavljeni su rijetki slučajevi smanjene oštrine vida zbog cistoidnog makularnog edema</w:t>
      </w:r>
      <w:r w:rsidRPr="006C640E">
        <w:rPr>
          <w:sz w:val="22"/>
          <w:szCs w:val="22"/>
          <w:lang w:val="hr-HR"/>
        </w:rPr>
        <w:t xml:space="preserve"> </w:t>
      </w:r>
      <w:r w:rsidRPr="00BF57A3">
        <w:rPr>
          <w:noProof/>
          <w:sz w:val="22"/>
          <w:szCs w:val="22"/>
          <w:lang w:val="hr-HR"/>
        </w:rPr>
        <w:t>tokom liječenja lijekom Abraxane</w:t>
      </w:r>
      <w:r w:rsidR="00962E7F" w:rsidRPr="00BF57A3">
        <w:rPr>
          <w:noProof/>
          <w:sz w:val="22"/>
          <w:szCs w:val="22"/>
          <w:lang w:val="hr-HR"/>
        </w:rPr>
        <w:t xml:space="preserve"> (vidjeti dio 4.4)</w:t>
      </w:r>
      <w:r w:rsidRPr="00BF57A3">
        <w:rPr>
          <w:noProof/>
          <w:sz w:val="22"/>
          <w:szCs w:val="22"/>
          <w:lang w:val="hr-HR"/>
        </w:rPr>
        <w:t xml:space="preserve">. </w:t>
      </w:r>
    </w:p>
    <w:p w14:paraId="1EC062BF" w14:textId="77777777" w:rsidR="008D1828" w:rsidRPr="00BF57A3" w:rsidRDefault="008D1828">
      <w:pPr>
        <w:autoSpaceDE w:val="0"/>
        <w:autoSpaceDN w:val="0"/>
        <w:adjustRightInd w:val="0"/>
        <w:jc w:val="both"/>
        <w:rPr>
          <w:noProof/>
          <w:sz w:val="22"/>
          <w:szCs w:val="22"/>
          <w:lang w:val="hr-HR"/>
        </w:rPr>
      </w:pPr>
    </w:p>
    <w:p w14:paraId="5598F448" w14:textId="77777777" w:rsidR="00EA6A9F" w:rsidRDefault="008D1828">
      <w:pPr>
        <w:autoSpaceDE w:val="0"/>
        <w:autoSpaceDN w:val="0"/>
        <w:adjustRightInd w:val="0"/>
        <w:jc w:val="both"/>
        <w:rPr>
          <w:i/>
          <w:sz w:val="22"/>
          <w:szCs w:val="22"/>
          <w:u w:val="single"/>
          <w:lang w:val="it-IT"/>
        </w:rPr>
      </w:pPr>
      <w:r w:rsidRPr="006C640E">
        <w:rPr>
          <w:i/>
          <w:sz w:val="22"/>
          <w:szCs w:val="22"/>
          <w:u w:val="single"/>
          <w:lang w:val="it-IT"/>
        </w:rPr>
        <w:t>Respiratorni, torakalni i medijastinalni poremećaji</w:t>
      </w:r>
    </w:p>
    <w:p w14:paraId="67E03F27" w14:textId="77777777" w:rsidR="00ED2CE5" w:rsidRPr="006C640E" w:rsidRDefault="00ED2CE5">
      <w:pPr>
        <w:autoSpaceDE w:val="0"/>
        <w:autoSpaceDN w:val="0"/>
        <w:adjustRightInd w:val="0"/>
        <w:jc w:val="both"/>
        <w:rPr>
          <w:i/>
          <w:sz w:val="22"/>
          <w:szCs w:val="22"/>
          <w:u w:val="single"/>
          <w:lang w:val="it-IT"/>
        </w:rPr>
      </w:pPr>
    </w:p>
    <w:p w14:paraId="20E3A292" w14:textId="77777777" w:rsidR="008D1828" w:rsidRPr="00BF57A3" w:rsidRDefault="008D1828">
      <w:pPr>
        <w:autoSpaceDE w:val="0"/>
        <w:autoSpaceDN w:val="0"/>
        <w:adjustRightInd w:val="0"/>
        <w:jc w:val="both"/>
        <w:rPr>
          <w:i/>
          <w:noProof/>
          <w:sz w:val="22"/>
          <w:szCs w:val="22"/>
          <w:lang w:val="hr-HR"/>
        </w:rPr>
      </w:pPr>
      <w:r w:rsidRPr="00BF57A3">
        <w:rPr>
          <w:i/>
          <w:noProof/>
          <w:sz w:val="22"/>
          <w:szCs w:val="22"/>
          <w:lang w:val="hr-HR"/>
        </w:rPr>
        <w:t>Abraxane/gemcitabin</w:t>
      </w:r>
    </w:p>
    <w:p w14:paraId="57E087FD" w14:textId="0E8BDF71" w:rsidR="000C1ABA" w:rsidRPr="00BF57A3" w:rsidRDefault="000C1ABA">
      <w:pPr>
        <w:autoSpaceDE w:val="0"/>
        <w:autoSpaceDN w:val="0"/>
        <w:adjustRightInd w:val="0"/>
        <w:jc w:val="both"/>
        <w:rPr>
          <w:noProof/>
          <w:sz w:val="22"/>
          <w:szCs w:val="22"/>
          <w:lang w:val="hr-HR"/>
        </w:rPr>
      </w:pPr>
      <w:r w:rsidRPr="00BF57A3">
        <w:rPr>
          <w:noProof/>
          <w:sz w:val="22"/>
          <w:szCs w:val="22"/>
          <w:lang w:val="hr-HR"/>
        </w:rPr>
        <w:t xml:space="preserve">Pneumonitis je prijavljen u stopi od 4% </w:t>
      </w:r>
      <w:r w:rsidR="00ED2CE5">
        <w:rPr>
          <w:noProof/>
          <w:sz w:val="22"/>
          <w:szCs w:val="22"/>
          <w:lang w:val="hr-HR"/>
        </w:rPr>
        <w:t>pacijenata</w:t>
      </w:r>
      <w:r w:rsidR="00ED2CE5" w:rsidRPr="00BF57A3">
        <w:rPr>
          <w:noProof/>
          <w:sz w:val="22"/>
          <w:szCs w:val="22"/>
          <w:lang w:val="hr-HR"/>
        </w:rPr>
        <w:t xml:space="preserve"> </w:t>
      </w:r>
      <w:r w:rsidRPr="00BF57A3">
        <w:rPr>
          <w:noProof/>
          <w:sz w:val="22"/>
          <w:szCs w:val="22"/>
          <w:lang w:val="hr-HR"/>
        </w:rPr>
        <w:t xml:space="preserve">kada je lijek Abraxane </w:t>
      </w:r>
      <w:r w:rsidRPr="00BF57A3">
        <w:rPr>
          <w:sz w:val="22"/>
          <w:szCs w:val="22"/>
          <w:lang w:val="sl-SI"/>
        </w:rPr>
        <w:t xml:space="preserve">primjenjivan </w:t>
      </w:r>
      <w:r w:rsidRPr="00BF57A3">
        <w:rPr>
          <w:noProof/>
          <w:sz w:val="22"/>
          <w:szCs w:val="22"/>
          <w:lang w:val="hr-HR"/>
        </w:rPr>
        <w:t xml:space="preserve">u kombinaciji sa gemcitabinom. Od 17 slučajeva pneumonitisa zabilježenih kod </w:t>
      </w:r>
      <w:r w:rsidR="00BC764F">
        <w:rPr>
          <w:noProof/>
          <w:sz w:val="22"/>
          <w:szCs w:val="22"/>
          <w:lang w:val="hr-HR"/>
        </w:rPr>
        <w:t>pacijenata</w:t>
      </w:r>
      <w:r w:rsidR="00BC764F" w:rsidRPr="00BF57A3">
        <w:rPr>
          <w:noProof/>
          <w:sz w:val="22"/>
          <w:szCs w:val="22"/>
          <w:lang w:val="hr-HR"/>
        </w:rPr>
        <w:t xml:space="preserve"> </w:t>
      </w:r>
      <w:r w:rsidRPr="00BF57A3">
        <w:rPr>
          <w:noProof/>
          <w:sz w:val="22"/>
          <w:szCs w:val="22"/>
          <w:lang w:val="hr-HR"/>
        </w:rPr>
        <w:t xml:space="preserve">liječenih lijekom Abraxane u kombinaciji sa gemcitabinom, u 2 slučaja je ishod bila smrt. </w:t>
      </w:r>
      <w:r w:rsidR="00ED2CE5">
        <w:rPr>
          <w:noProof/>
          <w:sz w:val="22"/>
          <w:szCs w:val="22"/>
          <w:lang w:val="hr-HR"/>
        </w:rPr>
        <w:t>Pacijente</w:t>
      </w:r>
      <w:r w:rsidR="00ED2CE5" w:rsidRPr="00BF57A3">
        <w:rPr>
          <w:noProof/>
          <w:sz w:val="22"/>
          <w:szCs w:val="22"/>
          <w:lang w:val="hr-HR"/>
        </w:rPr>
        <w:t xml:space="preserve"> </w:t>
      </w:r>
      <w:r w:rsidRPr="00BF57A3">
        <w:rPr>
          <w:noProof/>
          <w:sz w:val="22"/>
          <w:szCs w:val="22"/>
          <w:lang w:val="hr-HR"/>
        </w:rPr>
        <w:t xml:space="preserve">treba pažljivo nadzirati zbog pojave znakova i simptoma pneumonitisa. Kada se isključi etiologija infekcije i nakon postavljene dijagnoze pneumonitisa, liječenje </w:t>
      </w:r>
      <w:r w:rsidRPr="00BF57A3">
        <w:rPr>
          <w:sz w:val="22"/>
          <w:szCs w:val="22"/>
          <w:lang w:val="sl-SI"/>
        </w:rPr>
        <w:t xml:space="preserve">lijekom Abraxane </w:t>
      </w:r>
      <w:r w:rsidRPr="00BF57A3">
        <w:rPr>
          <w:noProof/>
          <w:sz w:val="22"/>
          <w:szCs w:val="22"/>
          <w:lang w:val="hr-HR"/>
        </w:rPr>
        <w:t xml:space="preserve">i gemcitabinom </w:t>
      </w:r>
      <w:r w:rsidRPr="00BF57A3">
        <w:rPr>
          <w:sz w:val="22"/>
          <w:szCs w:val="22"/>
          <w:lang w:val="sl-SI"/>
        </w:rPr>
        <w:t xml:space="preserve">treba trajno obustaviti </w:t>
      </w:r>
      <w:r w:rsidRPr="00BF57A3">
        <w:rPr>
          <w:noProof/>
          <w:sz w:val="22"/>
          <w:szCs w:val="22"/>
          <w:lang w:val="hr-HR"/>
        </w:rPr>
        <w:t xml:space="preserve">i brzo započeti sa odgovarajućim liječenjem i potpornim mjerama (vidjeti </w:t>
      </w:r>
      <w:r w:rsidR="00ED2CE5">
        <w:rPr>
          <w:sz w:val="22"/>
          <w:szCs w:val="22"/>
          <w:lang w:val="sl-SI"/>
        </w:rPr>
        <w:t xml:space="preserve">dio </w:t>
      </w:r>
      <w:r w:rsidRPr="00BF57A3">
        <w:rPr>
          <w:noProof/>
          <w:sz w:val="22"/>
          <w:szCs w:val="22"/>
          <w:lang w:val="hr-HR"/>
        </w:rPr>
        <w:t>4.2).</w:t>
      </w:r>
    </w:p>
    <w:p w14:paraId="5BCDE3A7" w14:textId="77777777" w:rsidR="008D1828" w:rsidRPr="00BF57A3" w:rsidRDefault="008D1828">
      <w:pPr>
        <w:autoSpaceDE w:val="0"/>
        <w:autoSpaceDN w:val="0"/>
        <w:adjustRightInd w:val="0"/>
        <w:jc w:val="both"/>
        <w:rPr>
          <w:noProof/>
          <w:sz w:val="22"/>
          <w:szCs w:val="22"/>
          <w:lang w:val="hr-HR"/>
        </w:rPr>
      </w:pPr>
    </w:p>
    <w:p w14:paraId="04A36958" w14:textId="77777777" w:rsidR="008D1828" w:rsidRPr="006C640E" w:rsidRDefault="008D1828">
      <w:pPr>
        <w:snapToGrid w:val="0"/>
        <w:jc w:val="both"/>
        <w:rPr>
          <w:i/>
          <w:sz w:val="22"/>
          <w:szCs w:val="22"/>
          <w:u w:val="single"/>
          <w:lang w:val="hr-HR"/>
        </w:rPr>
      </w:pPr>
      <w:r w:rsidRPr="006C640E">
        <w:rPr>
          <w:i/>
          <w:sz w:val="22"/>
          <w:szCs w:val="22"/>
          <w:u w:val="single"/>
          <w:lang w:val="hr-HR"/>
        </w:rPr>
        <w:t>Gastrointestinalni poremećaji</w:t>
      </w:r>
    </w:p>
    <w:p w14:paraId="0C0D091F" w14:textId="77777777" w:rsidR="00A6216F" w:rsidRPr="00BF57A3" w:rsidRDefault="00A6216F">
      <w:pPr>
        <w:snapToGrid w:val="0"/>
        <w:jc w:val="both"/>
        <w:rPr>
          <w:i/>
          <w:sz w:val="22"/>
          <w:szCs w:val="22"/>
          <w:lang w:val="hr-HR"/>
        </w:rPr>
      </w:pPr>
    </w:p>
    <w:p w14:paraId="6B23ADEB" w14:textId="77777777" w:rsidR="008D1828" w:rsidRPr="006C640E" w:rsidRDefault="008D1828">
      <w:pPr>
        <w:autoSpaceDE w:val="0"/>
        <w:autoSpaceDN w:val="0"/>
        <w:adjustRightInd w:val="0"/>
        <w:jc w:val="both"/>
        <w:rPr>
          <w:i/>
          <w:noProof/>
          <w:sz w:val="22"/>
          <w:szCs w:val="22"/>
          <w:lang w:val="hr-HR"/>
        </w:rPr>
      </w:pPr>
      <w:r w:rsidRPr="006C640E">
        <w:rPr>
          <w:i/>
          <w:noProof/>
          <w:sz w:val="22"/>
          <w:szCs w:val="22"/>
          <w:lang w:val="hr-HR"/>
        </w:rPr>
        <w:t>Monoterapija lijekom Abraxane za liječenje metastatskog karcinoma dojke</w:t>
      </w:r>
    </w:p>
    <w:p w14:paraId="52D41166" w14:textId="6EF254D8" w:rsidR="008D1828" w:rsidRPr="00BF57A3" w:rsidRDefault="008D1828">
      <w:pPr>
        <w:autoSpaceDE w:val="0"/>
        <w:autoSpaceDN w:val="0"/>
        <w:adjustRightInd w:val="0"/>
        <w:jc w:val="both"/>
        <w:rPr>
          <w:i/>
          <w:sz w:val="22"/>
          <w:szCs w:val="22"/>
          <w:lang w:val="hr-HR"/>
        </w:rPr>
      </w:pPr>
      <w:r w:rsidRPr="00BF57A3">
        <w:rPr>
          <w:sz w:val="22"/>
          <w:szCs w:val="22"/>
          <w:lang w:val="es-ES"/>
        </w:rPr>
        <w:t>Mu</w:t>
      </w:r>
      <w:r w:rsidRPr="00BF57A3">
        <w:rPr>
          <w:sz w:val="22"/>
          <w:szCs w:val="22"/>
          <w:lang w:val="hr-HR"/>
        </w:rPr>
        <w:t>č</w:t>
      </w:r>
      <w:r w:rsidRPr="00BF57A3">
        <w:rPr>
          <w:sz w:val="22"/>
          <w:szCs w:val="22"/>
          <w:lang w:val="es-ES"/>
        </w:rPr>
        <w:t>nina</w:t>
      </w:r>
      <w:r w:rsidRPr="00BF57A3">
        <w:rPr>
          <w:sz w:val="22"/>
          <w:szCs w:val="22"/>
          <w:lang w:val="hr-HR"/>
        </w:rPr>
        <w:t xml:space="preserve"> </w:t>
      </w:r>
      <w:r w:rsidRPr="00BF57A3">
        <w:rPr>
          <w:sz w:val="22"/>
          <w:szCs w:val="22"/>
          <w:lang w:val="es-ES"/>
        </w:rPr>
        <w:t>se</w:t>
      </w:r>
      <w:r w:rsidRPr="00BF57A3">
        <w:rPr>
          <w:sz w:val="22"/>
          <w:szCs w:val="22"/>
          <w:lang w:val="hr-HR"/>
        </w:rPr>
        <w:t xml:space="preserve"> </w:t>
      </w:r>
      <w:r w:rsidRPr="00BF57A3">
        <w:rPr>
          <w:sz w:val="22"/>
          <w:szCs w:val="22"/>
          <w:lang w:val="es-ES"/>
        </w:rPr>
        <w:t>javila</w:t>
      </w:r>
      <w:r w:rsidRPr="00BF57A3">
        <w:rPr>
          <w:sz w:val="22"/>
          <w:szCs w:val="22"/>
          <w:lang w:val="hr-HR"/>
        </w:rPr>
        <w:t xml:space="preserve"> </w:t>
      </w:r>
      <w:r w:rsidRPr="00BF57A3">
        <w:rPr>
          <w:sz w:val="22"/>
          <w:szCs w:val="22"/>
          <w:lang w:val="es-ES"/>
        </w:rPr>
        <w:t>kod</w:t>
      </w:r>
      <w:r w:rsidRPr="00BF57A3">
        <w:rPr>
          <w:sz w:val="22"/>
          <w:szCs w:val="22"/>
          <w:lang w:val="hr-HR"/>
        </w:rPr>
        <w:t xml:space="preserve"> 29% </w:t>
      </w:r>
      <w:r w:rsidR="00ED2CE5">
        <w:rPr>
          <w:sz w:val="22"/>
          <w:szCs w:val="22"/>
          <w:lang w:val="es-ES"/>
        </w:rPr>
        <w:t>pacijenata</w:t>
      </w:r>
      <w:r w:rsidRPr="00BF57A3">
        <w:rPr>
          <w:sz w:val="22"/>
          <w:szCs w:val="22"/>
          <w:lang w:val="hr-HR"/>
        </w:rPr>
        <w:t xml:space="preserve">, </w:t>
      </w:r>
      <w:r w:rsidRPr="00BF57A3">
        <w:rPr>
          <w:sz w:val="22"/>
          <w:szCs w:val="22"/>
          <w:lang w:val="es-ES"/>
        </w:rPr>
        <w:t>a</w:t>
      </w:r>
      <w:r w:rsidRPr="00BF57A3">
        <w:rPr>
          <w:sz w:val="22"/>
          <w:szCs w:val="22"/>
          <w:lang w:val="hr-HR"/>
        </w:rPr>
        <w:t xml:space="preserve"> </w:t>
      </w:r>
      <w:r w:rsidRPr="00BF57A3">
        <w:rPr>
          <w:sz w:val="22"/>
          <w:szCs w:val="22"/>
          <w:lang w:val="es-ES"/>
        </w:rPr>
        <w:t>dijareja</w:t>
      </w:r>
      <w:r w:rsidRPr="00BF57A3">
        <w:rPr>
          <w:sz w:val="22"/>
          <w:szCs w:val="22"/>
          <w:lang w:val="hr-HR"/>
        </w:rPr>
        <w:t xml:space="preserve"> </w:t>
      </w:r>
      <w:r w:rsidRPr="00BF57A3">
        <w:rPr>
          <w:sz w:val="22"/>
          <w:szCs w:val="22"/>
          <w:lang w:val="es-ES"/>
        </w:rPr>
        <w:t>kod</w:t>
      </w:r>
      <w:r w:rsidRPr="00BF57A3">
        <w:rPr>
          <w:sz w:val="22"/>
          <w:szCs w:val="22"/>
          <w:lang w:val="hr-HR"/>
        </w:rPr>
        <w:t xml:space="preserve"> 25% </w:t>
      </w:r>
      <w:r w:rsidR="00ED2CE5">
        <w:rPr>
          <w:sz w:val="22"/>
          <w:szCs w:val="22"/>
          <w:lang w:val="es-ES"/>
        </w:rPr>
        <w:t>pacijenata</w:t>
      </w:r>
      <w:r w:rsidRPr="00BF57A3">
        <w:rPr>
          <w:i/>
          <w:sz w:val="22"/>
          <w:szCs w:val="22"/>
          <w:lang w:val="hr-HR"/>
        </w:rPr>
        <w:t xml:space="preserve">.  </w:t>
      </w:r>
    </w:p>
    <w:p w14:paraId="2CAC47CE" w14:textId="77777777" w:rsidR="008D1828" w:rsidRPr="00BF57A3" w:rsidRDefault="008D1828">
      <w:pPr>
        <w:autoSpaceDE w:val="0"/>
        <w:autoSpaceDN w:val="0"/>
        <w:adjustRightInd w:val="0"/>
        <w:jc w:val="both"/>
        <w:rPr>
          <w:i/>
          <w:sz w:val="22"/>
          <w:szCs w:val="22"/>
          <w:lang w:val="hr-HR"/>
        </w:rPr>
      </w:pPr>
    </w:p>
    <w:p w14:paraId="684B63D4" w14:textId="77777777" w:rsidR="008D1828" w:rsidRPr="006C640E" w:rsidRDefault="008D1828">
      <w:pPr>
        <w:autoSpaceDE w:val="0"/>
        <w:autoSpaceDN w:val="0"/>
        <w:adjustRightInd w:val="0"/>
        <w:jc w:val="both"/>
        <w:rPr>
          <w:bCs/>
          <w:i/>
          <w:sz w:val="22"/>
          <w:szCs w:val="22"/>
          <w:u w:val="single"/>
          <w:lang w:val="hr-HR"/>
        </w:rPr>
      </w:pPr>
      <w:r w:rsidRPr="006C640E">
        <w:rPr>
          <w:bCs/>
          <w:i/>
          <w:sz w:val="22"/>
          <w:szCs w:val="22"/>
          <w:u w:val="single"/>
          <w:lang w:val="hr-HR"/>
        </w:rPr>
        <w:t>Poremećaji na nivou kože i potkožnog tkiva</w:t>
      </w:r>
    </w:p>
    <w:p w14:paraId="2F41AC7C" w14:textId="77777777" w:rsidR="00A6216F" w:rsidRPr="00BF57A3" w:rsidRDefault="00A6216F">
      <w:pPr>
        <w:autoSpaceDE w:val="0"/>
        <w:autoSpaceDN w:val="0"/>
        <w:adjustRightInd w:val="0"/>
        <w:jc w:val="both"/>
        <w:rPr>
          <w:bCs/>
          <w:i/>
          <w:sz w:val="22"/>
          <w:szCs w:val="22"/>
          <w:lang w:val="hr-HR"/>
        </w:rPr>
      </w:pPr>
    </w:p>
    <w:p w14:paraId="0582DD2E" w14:textId="77777777" w:rsidR="008D1828" w:rsidRPr="006C640E" w:rsidRDefault="008D1828">
      <w:pPr>
        <w:autoSpaceDE w:val="0"/>
        <w:autoSpaceDN w:val="0"/>
        <w:adjustRightInd w:val="0"/>
        <w:jc w:val="both"/>
        <w:rPr>
          <w:i/>
          <w:noProof/>
          <w:sz w:val="22"/>
          <w:szCs w:val="22"/>
          <w:lang w:val="hr-HR"/>
        </w:rPr>
      </w:pPr>
      <w:r w:rsidRPr="006C640E">
        <w:rPr>
          <w:i/>
          <w:noProof/>
          <w:sz w:val="22"/>
          <w:szCs w:val="22"/>
          <w:lang w:val="hr-HR"/>
        </w:rPr>
        <w:t>Monoterapija lijekom Abraxane za liječenje metastatskog karcinoma dojke</w:t>
      </w:r>
    </w:p>
    <w:p w14:paraId="086BCFCF" w14:textId="5C187B62" w:rsidR="008D1828" w:rsidRPr="00BF57A3" w:rsidRDefault="008D1828">
      <w:pPr>
        <w:autoSpaceDE w:val="0"/>
        <w:autoSpaceDN w:val="0"/>
        <w:adjustRightInd w:val="0"/>
        <w:jc w:val="both"/>
        <w:rPr>
          <w:bCs/>
          <w:sz w:val="22"/>
          <w:szCs w:val="22"/>
          <w:lang w:val="hr-HR"/>
        </w:rPr>
      </w:pPr>
      <w:r w:rsidRPr="00BF57A3">
        <w:rPr>
          <w:bCs/>
          <w:sz w:val="22"/>
          <w:szCs w:val="22"/>
          <w:lang w:val="hr-HR"/>
        </w:rPr>
        <w:t xml:space="preserve">Alopecija je </w:t>
      </w:r>
      <w:r w:rsidRPr="00BF57A3">
        <w:rPr>
          <w:noProof/>
          <w:sz w:val="22"/>
          <w:szCs w:val="22"/>
          <w:lang w:val="hr-HR"/>
        </w:rPr>
        <w:t xml:space="preserve">primjećena </w:t>
      </w:r>
      <w:r w:rsidR="00ED2CE5">
        <w:rPr>
          <w:bCs/>
          <w:sz w:val="22"/>
          <w:szCs w:val="22"/>
          <w:lang w:val="hr-HR"/>
        </w:rPr>
        <w:t>kod</w:t>
      </w:r>
      <w:r w:rsidRPr="00BF57A3">
        <w:rPr>
          <w:bCs/>
          <w:sz w:val="22"/>
          <w:szCs w:val="22"/>
          <w:lang w:val="hr-HR"/>
        </w:rPr>
        <w:t xml:space="preserve"> &gt; 80% </w:t>
      </w:r>
      <w:r w:rsidR="00ED2CE5">
        <w:rPr>
          <w:bCs/>
          <w:sz w:val="22"/>
          <w:szCs w:val="22"/>
          <w:lang w:val="hr-HR"/>
        </w:rPr>
        <w:t>pacijenata</w:t>
      </w:r>
      <w:r w:rsidR="00ED2CE5" w:rsidRPr="00BF57A3">
        <w:rPr>
          <w:bCs/>
          <w:sz w:val="22"/>
          <w:szCs w:val="22"/>
          <w:lang w:val="hr-HR"/>
        </w:rPr>
        <w:t xml:space="preserve"> </w:t>
      </w:r>
      <w:r w:rsidRPr="00BF57A3">
        <w:rPr>
          <w:bCs/>
          <w:sz w:val="22"/>
          <w:szCs w:val="22"/>
          <w:lang w:val="hr-HR"/>
        </w:rPr>
        <w:t xml:space="preserve">liječenih lijekom Abraxane. Alopecija se većinom pojavila u periodu kraćem od mjesec dana nakon početka primjene lijeka Abraxane. Za većinu </w:t>
      </w:r>
      <w:r w:rsidR="00ED2CE5">
        <w:rPr>
          <w:bCs/>
          <w:sz w:val="22"/>
          <w:szCs w:val="22"/>
          <w:lang w:val="hr-HR"/>
        </w:rPr>
        <w:t>pacijenata</w:t>
      </w:r>
      <w:r w:rsidR="00ED2CE5" w:rsidRPr="00BF57A3">
        <w:rPr>
          <w:bCs/>
          <w:sz w:val="22"/>
          <w:szCs w:val="22"/>
          <w:lang w:val="hr-HR"/>
        </w:rPr>
        <w:t xml:space="preserve"> </w:t>
      </w:r>
      <w:r w:rsidRPr="00BF57A3">
        <w:rPr>
          <w:bCs/>
          <w:sz w:val="22"/>
          <w:szCs w:val="22"/>
          <w:lang w:val="hr-HR"/>
        </w:rPr>
        <w:t>kojima se pojavi alopecija, očekuje se izraziti gubitak kose od ≥ 50%.</w:t>
      </w:r>
    </w:p>
    <w:p w14:paraId="2B0FDE1D" w14:textId="77777777" w:rsidR="008D1828" w:rsidRPr="00BF57A3" w:rsidRDefault="008D1828">
      <w:pPr>
        <w:autoSpaceDE w:val="0"/>
        <w:autoSpaceDN w:val="0"/>
        <w:adjustRightInd w:val="0"/>
        <w:jc w:val="both"/>
        <w:rPr>
          <w:bCs/>
          <w:i/>
          <w:sz w:val="22"/>
          <w:szCs w:val="22"/>
          <w:lang w:val="hr-HR"/>
        </w:rPr>
      </w:pPr>
    </w:p>
    <w:p w14:paraId="1AC8D4EE" w14:textId="77777777" w:rsidR="008D1828" w:rsidRPr="00ED2CE5" w:rsidRDefault="008D1828">
      <w:pPr>
        <w:autoSpaceDE w:val="0"/>
        <w:autoSpaceDN w:val="0"/>
        <w:adjustRightInd w:val="0"/>
        <w:jc w:val="both"/>
        <w:rPr>
          <w:i/>
          <w:noProof/>
          <w:sz w:val="22"/>
          <w:szCs w:val="22"/>
          <w:u w:val="single"/>
          <w:lang w:val="hr-HR"/>
        </w:rPr>
      </w:pPr>
      <w:r w:rsidRPr="006C640E">
        <w:rPr>
          <w:bCs/>
          <w:i/>
          <w:sz w:val="22"/>
          <w:szCs w:val="22"/>
          <w:u w:val="single"/>
          <w:lang w:val="fi-FI"/>
        </w:rPr>
        <w:t>Poremećaji mišićno-skeletnog, vezivnog i koštanog tkiva</w:t>
      </w:r>
      <w:r w:rsidRPr="00ED2CE5">
        <w:rPr>
          <w:i/>
          <w:noProof/>
          <w:sz w:val="22"/>
          <w:szCs w:val="22"/>
          <w:u w:val="single"/>
          <w:lang w:val="hr-HR"/>
        </w:rPr>
        <w:t xml:space="preserve"> </w:t>
      </w:r>
    </w:p>
    <w:p w14:paraId="259D727F" w14:textId="77777777" w:rsidR="00A6216F" w:rsidRPr="00ED2CE5" w:rsidRDefault="00A6216F">
      <w:pPr>
        <w:autoSpaceDE w:val="0"/>
        <w:autoSpaceDN w:val="0"/>
        <w:adjustRightInd w:val="0"/>
        <w:jc w:val="both"/>
        <w:rPr>
          <w:i/>
          <w:noProof/>
          <w:sz w:val="22"/>
          <w:szCs w:val="22"/>
          <w:u w:val="single"/>
          <w:lang w:val="hr-HR"/>
        </w:rPr>
      </w:pPr>
    </w:p>
    <w:p w14:paraId="243E4948" w14:textId="77777777" w:rsidR="008D1828" w:rsidRPr="006C640E" w:rsidRDefault="008D1828">
      <w:pPr>
        <w:autoSpaceDE w:val="0"/>
        <w:autoSpaceDN w:val="0"/>
        <w:adjustRightInd w:val="0"/>
        <w:jc w:val="both"/>
        <w:rPr>
          <w:i/>
          <w:noProof/>
          <w:sz w:val="22"/>
          <w:szCs w:val="22"/>
          <w:lang w:val="hr-HR"/>
        </w:rPr>
      </w:pPr>
      <w:r w:rsidRPr="006C640E">
        <w:rPr>
          <w:i/>
          <w:noProof/>
          <w:sz w:val="22"/>
          <w:szCs w:val="22"/>
          <w:lang w:val="hr-HR"/>
        </w:rPr>
        <w:t>Monoterapija lijekom Abraxane za liječenje metastatskog karcinoma dojke</w:t>
      </w:r>
    </w:p>
    <w:p w14:paraId="048E0C27" w14:textId="361C6371" w:rsidR="008D1828" w:rsidRPr="00BF57A3" w:rsidRDefault="008D1828">
      <w:pPr>
        <w:autoSpaceDE w:val="0"/>
        <w:autoSpaceDN w:val="0"/>
        <w:adjustRightInd w:val="0"/>
        <w:jc w:val="both"/>
        <w:rPr>
          <w:bCs/>
          <w:sz w:val="22"/>
          <w:szCs w:val="22"/>
          <w:lang w:val="fi-FI"/>
        </w:rPr>
      </w:pPr>
      <w:r w:rsidRPr="00BF57A3">
        <w:rPr>
          <w:bCs/>
          <w:sz w:val="22"/>
          <w:szCs w:val="22"/>
          <w:lang w:val="fi-FI"/>
        </w:rPr>
        <w:t xml:space="preserve">Artralgija se javila kod 32% </w:t>
      </w:r>
      <w:r w:rsidR="00ED2CE5">
        <w:rPr>
          <w:bCs/>
          <w:sz w:val="22"/>
          <w:szCs w:val="22"/>
          <w:lang w:val="fi-FI"/>
        </w:rPr>
        <w:t>pacijenata</w:t>
      </w:r>
      <w:r w:rsidR="00ED2CE5" w:rsidRPr="00BF57A3">
        <w:rPr>
          <w:bCs/>
          <w:sz w:val="22"/>
          <w:szCs w:val="22"/>
          <w:lang w:val="fi-FI"/>
        </w:rPr>
        <w:t xml:space="preserve"> </w:t>
      </w:r>
      <w:r w:rsidRPr="00BF57A3">
        <w:rPr>
          <w:bCs/>
          <w:sz w:val="22"/>
          <w:szCs w:val="22"/>
          <w:lang w:val="fi-FI"/>
        </w:rPr>
        <w:t xml:space="preserve">koji su primali lijek Abraxane i bila je ozbiljna u 6% slučajeva. Mijalgija se javila kod 24% </w:t>
      </w:r>
      <w:r w:rsidR="00ED2CE5">
        <w:rPr>
          <w:bCs/>
          <w:sz w:val="22"/>
          <w:szCs w:val="22"/>
          <w:lang w:val="fi-FI"/>
        </w:rPr>
        <w:t>pacijenata</w:t>
      </w:r>
      <w:r w:rsidR="00ED2CE5" w:rsidRPr="00BF57A3">
        <w:rPr>
          <w:bCs/>
          <w:sz w:val="22"/>
          <w:szCs w:val="22"/>
          <w:lang w:val="fi-FI"/>
        </w:rPr>
        <w:t xml:space="preserve"> </w:t>
      </w:r>
      <w:r w:rsidRPr="00BF57A3">
        <w:rPr>
          <w:bCs/>
          <w:sz w:val="22"/>
          <w:szCs w:val="22"/>
          <w:lang w:val="fi-FI"/>
        </w:rPr>
        <w:t>koji su primali lijek Abraxane i bila je ozbiljna u 7% slučajeva. Simptomi su obično bili prolazni, obično su se pojavljivali tri dana nakon primjene lijeka Abraxane i povukli bi se tokom nedjelju dana.</w:t>
      </w:r>
    </w:p>
    <w:p w14:paraId="5874E219" w14:textId="77777777" w:rsidR="008D1828" w:rsidRPr="00BF57A3" w:rsidRDefault="008D1828">
      <w:pPr>
        <w:snapToGrid w:val="0"/>
        <w:jc w:val="both"/>
        <w:rPr>
          <w:bCs/>
          <w:i/>
          <w:sz w:val="22"/>
          <w:szCs w:val="22"/>
          <w:lang w:val="fi-FI"/>
        </w:rPr>
      </w:pPr>
    </w:p>
    <w:p w14:paraId="1712C030" w14:textId="77777777" w:rsidR="008D1828" w:rsidRDefault="008D1828">
      <w:pPr>
        <w:autoSpaceDE w:val="0"/>
        <w:autoSpaceDN w:val="0"/>
        <w:adjustRightInd w:val="0"/>
        <w:jc w:val="both"/>
        <w:rPr>
          <w:i/>
          <w:noProof/>
          <w:sz w:val="22"/>
          <w:szCs w:val="22"/>
          <w:u w:val="single"/>
          <w:lang w:val="hr-HR"/>
        </w:rPr>
      </w:pPr>
      <w:r w:rsidRPr="006C640E">
        <w:rPr>
          <w:bCs/>
          <w:i/>
          <w:sz w:val="22"/>
          <w:szCs w:val="22"/>
          <w:u w:val="single"/>
          <w:lang w:val="fi-FI"/>
        </w:rPr>
        <w:t>Opšti poremećaji i reakcije na mjestu primjene</w:t>
      </w:r>
      <w:r w:rsidRPr="00ED2CE5">
        <w:rPr>
          <w:i/>
          <w:noProof/>
          <w:sz w:val="22"/>
          <w:szCs w:val="22"/>
          <w:u w:val="single"/>
          <w:lang w:val="hr-HR"/>
        </w:rPr>
        <w:t xml:space="preserve"> </w:t>
      </w:r>
    </w:p>
    <w:p w14:paraId="4563A284" w14:textId="77777777" w:rsidR="00ED2CE5" w:rsidRPr="00ED2CE5" w:rsidRDefault="00ED2CE5">
      <w:pPr>
        <w:autoSpaceDE w:val="0"/>
        <w:autoSpaceDN w:val="0"/>
        <w:adjustRightInd w:val="0"/>
        <w:jc w:val="both"/>
        <w:rPr>
          <w:i/>
          <w:noProof/>
          <w:sz w:val="22"/>
          <w:szCs w:val="22"/>
          <w:u w:val="single"/>
          <w:lang w:val="hr-HR"/>
        </w:rPr>
      </w:pPr>
    </w:p>
    <w:p w14:paraId="1A5E7AD2" w14:textId="77777777" w:rsidR="008D1828" w:rsidRPr="00BF57A3" w:rsidRDefault="008D1828">
      <w:pPr>
        <w:autoSpaceDE w:val="0"/>
        <w:autoSpaceDN w:val="0"/>
        <w:adjustRightInd w:val="0"/>
        <w:jc w:val="both"/>
        <w:rPr>
          <w:i/>
          <w:noProof/>
          <w:sz w:val="22"/>
          <w:szCs w:val="22"/>
          <w:u w:val="single"/>
          <w:lang w:val="hr-HR"/>
        </w:rPr>
      </w:pPr>
      <w:r w:rsidRPr="00BF57A3">
        <w:rPr>
          <w:i/>
          <w:noProof/>
          <w:sz w:val="22"/>
          <w:szCs w:val="22"/>
          <w:u w:val="single"/>
          <w:lang w:val="hr-HR"/>
        </w:rPr>
        <w:t>M</w:t>
      </w:r>
      <w:r w:rsidRPr="006C640E">
        <w:rPr>
          <w:i/>
          <w:noProof/>
          <w:sz w:val="22"/>
          <w:szCs w:val="22"/>
          <w:lang w:val="hr-HR"/>
        </w:rPr>
        <w:t>onoterapija lijekom Abraxane za liječenje metastatskog karcinoma dojke</w:t>
      </w:r>
    </w:p>
    <w:p w14:paraId="359A8E1A" w14:textId="7A1FB58C" w:rsidR="008D1828" w:rsidRPr="00BF57A3" w:rsidRDefault="008D1828">
      <w:pPr>
        <w:autoSpaceDE w:val="0"/>
        <w:autoSpaceDN w:val="0"/>
        <w:adjustRightInd w:val="0"/>
        <w:jc w:val="both"/>
        <w:rPr>
          <w:bCs/>
          <w:sz w:val="22"/>
          <w:szCs w:val="22"/>
          <w:lang w:val="fi-FI"/>
        </w:rPr>
      </w:pPr>
      <w:r w:rsidRPr="00BF57A3">
        <w:rPr>
          <w:bCs/>
          <w:sz w:val="22"/>
          <w:szCs w:val="22"/>
          <w:lang w:val="fi-FI"/>
        </w:rPr>
        <w:t xml:space="preserve">Astenija/umor prijavljeni su kod 40% </w:t>
      </w:r>
      <w:r w:rsidR="00BC764F">
        <w:rPr>
          <w:bCs/>
          <w:sz w:val="22"/>
          <w:szCs w:val="22"/>
          <w:lang w:val="fi-FI"/>
        </w:rPr>
        <w:t>pacijenata</w:t>
      </w:r>
      <w:r w:rsidRPr="00BF57A3">
        <w:rPr>
          <w:bCs/>
          <w:sz w:val="22"/>
          <w:szCs w:val="22"/>
          <w:lang w:val="fi-FI"/>
        </w:rPr>
        <w:t>.</w:t>
      </w:r>
    </w:p>
    <w:p w14:paraId="054A3DB0" w14:textId="77777777" w:rsidR="00A0554D" w:rsidRPr="00BF57A3" w:rsidRDefault="00A0554D">
      <w:pPr>
        <w:autoSpaceDE w:val="0"/>
        <w:autoSpaceDN w:val="0"/>
        <w:adjustRightInd w:val="0"/>
        <w:jc w:val="both"/>
        <w:rPr>
          <w:noProof/>
          <w:sz w:val="22"/>
          <w:szCs w:val="22"/>
          <w:lang w:val="hr-HR"/>
        </w:rPr>
      </w:pPr>
    </w:p>
    <w:p w14:paraId="0C2D2BEF" w14:textId="77777777" w:rsidR="00A0554D" w:rsidRPr="00BF57A3" w:rsidRDefault="00A0554D">
      <w:pPr>
        <w:autoSpaceDE w:val="0"/>
        <w:autoSpaceDN w:val="0"/>
        <w:adjustRightInd w:val="0"/>
        <w:jc w:val="both"/>
        <w:rPr>
          <w:noProof/>
          <w:sz w:val="22"/>
          <w:szCs w:val="22"/>
          <w:u w:val="single"/>
          <w:lang w:val="hr-HR"/>
        </w:rPr>
      </w:pPr>
      <w:r w:rsidRPr="00BF57A3">
        <w:rPr>
          <w:noProof/>
          <w:sz w:val="22"/>
          <w:szCs w:val="22"/>
          <w:u w:val="single"/>
          <w:lang w:val="hr-HR"/>
        </w:rPr>
        <w:t>Pedijatrijska populacija</w:t>
      </w:r>
    </w:p>
    <w:p w14:paraId="3BFB1CA2" w14:textId="361AF2DE" w:rsidR="00A0554D" w:rsidRPr="00BF57A3" w:rsidRDefault="00A0554D">
      <w:pPr>
        <w:autoSpaceDE w:val="0"/>
        <w:autoSpaceDN w:val="0"/>
        <w:adjustRightInd w:val="0"/>
        <w:jc w:val="both"/>
        <w:rPr>
          <w:noProof/>
          <w:vanish/>
          <w:sz w:val="22"/>
          <w:szCs w:val="22"/>
          <w:lang w:val="hr-HR"/>
          <w:specVanish/>
        </w:rPr>
      </w:pPr>
      <w:r w:rsidRPr="00BF57A3">
        <w:rPr>
          <w:noProof/>
          <w:sz w:val="22"/>
          <w:szCs w:val="22"/>
          <w:lang w:val="hr-HR"/>
        </w:rPr>
        <w:t xml:space="preserve">Studija je uključivala 106 pacijenata, od kojih su 104 bili pedijatrijski pacijenti uzrasta od 6 mjeseci do navršenih 18 godina (vidjeti </w:t>
      </w:r>
      <w:r w:rsidR="00ED2CE5">
        <w:rPr>
          <w:noProof/>
          <w:sz w:val="22"/>
          <w:szCs w:val="22"/>
          <w:lang w:val="hr-HR"/>
        </w:rPr>
        <w:t>dio</w:t>
      </w:r>
      <w:r w:rsidR="00ED2CE5" w:rsidRPr="00BF57A3">
        <w:rPr>
          <w:noProof/>
          <w:sz w:val="22"/>
          <w:szCs w:val="22"/>
          <w:lang w:val="hr-HR"/>
        </w:rPr>
        <w:t xml:space="preserve"> </w:t>
      </w:r>
      <w:r w:rsidRPr="00BF57A3">
        <w:rPr>
          <w:noProof/>
          <w:sz w:val="22"/>
          <w:szCs w:val="22"/>
          <w:lang w:val="hr-HR"/>
        </w:rPr>
        <w:t xml:space="preserve">5.1).  Svaki pacijent je prijavio najmanje jednu </w:t>
      </w:r>
      <w:r w:rsidR="00786695" w:rsidRPr="00BF57A3">
        <w:rPr>
          <w:noProof/>
          <w:sz w:val="22"/>
          <w:szCs w:val="22"/>
          <w:lang w:val="hr-HR"/>
        </w:rPr>
        <w:t>než</w:t>
      </w:r>
      <w:r w:rsidRPr="00BF57A3">
        <w:rPr>
          <w:noProof/>
          <w:sz w:val="22"/>
          <w:szCs w:val="22"/>
          <w:lang w:val="hr-HR"/>
        </w:rPr>
        <w:t>eljenu reakciju.</w:t>
      </w:r>
      <w:r w:rsidR="00786695" w:rsidRPr="00BF57A3">
        <w:rPr>
          <w:noProof/>
          <w:sz w:val="22"/>
          <w:szCs w:val="22"/>
          <w:lang w:val="hr-HR"/>
        </w:rPr>
        <w:t xml:space="preserve"> Najčešće zabilježene</w:t>
      </w:r>
      <w:r w:rsidRPr="00BF57A3">
        <w:rPr>
          <w:noProof/>
          <w:sz w:val="22"/>
          <w:szCs w:val="22"/>
          <w:lang w:val="hr-HR"/>
        </w:rPr>
        <w:t xml:space="preserve"> ne</w:t>
      </w:r>
      <w:r w:rsidR="00786695" w:rsidRPr="00BF57A3">
        <w:rPr>
          <w:noProof/>
          <w:sz w:val="22"/>
          <w:szCs w:val="22"/>
          <w:lang w:val="hr-HR"/>
        </w:rPr>
        <w:t>ž</w:t>
      </w:r>
      <w:r w:rsidRPr="00BF57A3">
        <w:rPr>
          <w:noProof/>
          <w:sz w:val="22"/>
          <w:szCs w:val="22"/>
          <w:lang w:val="hr-HR"/>
        </w:rPr>
        <w:t xml:space="preserve">eljene reakcije </w:t>
      </w:r>
      <w:r w:rsidR="00786695" w:rsidRPr="00BF57A3">
        <w:rPr>
          <w:noProof/>
          <w:sz w:val="22"/>
          <w:szCs w:val="22"/>
          <w:lang w:val="hr-HR"/>
        </w:rPr>
        <w:t xml:space="preserve">bile </w:t>
      </w:r>
      <w:r w:rsidRPr="00BF57A3">
        <w:rPr>
          <w:noProof/>
          <w:sz w:val="22"/>
          <w:szCs w:val="22"/>
          <w:lang w:val="hr-HR"/>
        </w:rPr>
        <w:t xml:space="preserve">su: neutropenija, anemija, leukopenija i pireksija. Ozbiljne </w:t>
      </w:r>
      <w:r w:rsidR="00786695" w:rsidRPr="00BF57A3">
        <w:rPr>
          <w:noProof/>
          <w:sz w:val="22"/>
          <w:szCs w:val="22"/>
          <w:lang w:val="hr-HR"/>
        </w:rPr>
        <w:t>neželjene reakcije</w:t>
      </w:r>
      <w:r w:rsidRPr="00BF57A3">
        <w:rPr>
          <w:noProof/>
          <w:sz w:val="22"/>
          <w:szCs w:val="22"/>
          <w:lang w:val="hr-HR"/>
        </w:rPr>
        <w:t xml:space="preserve">, koje su </w:t>
      </w:r>
      <w:r w:rsidR="00786695" w:rsidRPr="00BF57A3">
        <w:rPr>
          <w:noProof/>
          <w:sz w:val="22"/>
          <w:szCs w:val="22"/>
          <w:lang w:val="hr-HR"/>
        </w:rPr>
        <w:t xml:space="preserve">zabilježene </w:t>
      </w:r>
      <w:r w:rsidRPr="00BF57A3">
        <w:rPr>
          <w:noProof/>
          <w:sz w:val="22"/>
          <w:szCs w:val="22"/>
          <w:lang w:val="hr-HR"/>
        </w:rPr>
        <w:t xml:space="preserve">kod više od 2 pacijenta bile su: pireksija, bol u leđima, periferni edem,  povraćanje. </w:t>
      </w:r>
      <w:r w:rsidRPr="00BF57A3">
        <w:rPr>
          <w:noProof/>
          <w:sz w:val="22"/>
          <w:szCs w:val="22"/>
          <w:lang w:val="hr-HR"/>
        </w:rPr>
        <w:lastRenderedPageBreak/>
        <w:t>Nov</w:t>
      </w:r>
      <w:r w:rsidR="002C6A73" w:rsidRPr="00BF57A3">
        <w:rPr>
          <w:noProof/>
          <w:sz w:val="22"/>
          <w:szCs w:val="22"/>
          <w:lang w:val="hr-HR"/>
        </w:rPr>
        <w:t>i</w:t>
      </w:r>
      <w:r w:rsidRPr="00BF57A3">
        <w:rPr>
          <w:noProof/>
          <w:sz w:val="22"/>
          <w:szCs w:val="22"/>
          <w:lang w:val="hr-HR"/>
        </w:rPr>
        <w:t xml:space="preserve"> bezbjednosni signal</w:t>
      </w:r>
      <w:r w:rsidR="002C6A73" w:rsidRPr="00BF57A3">
        <w:rPr>
          <w:noProof/>
          <w:sz w:val="22"/>
          <w:szCs w:val="22"/>
          <w:lang w:val="hr-HR"/>
        </w:rPr>
        <w:t>i</w:t>
      </w:r>
      <w:r w:rsidRPr="00BF57A3">
        <w:rPr>
          <w:noProof/>
          <w:sz w:val="22"/>
          <w:szCs w:val="22"/>
          <w:lang w:val="hr-HR"/>
        </w:rPr>
        <w:t xml:space="preserve"> nisu identifikovani kod limitiranog broja predijatrijskih pacijenata, koji su liječeni  sa lijekom Abraxane, a bezbjednosni profil je bio sličan </w:t>
      </w:r>
      <w:r w:rsidR="00786695" w:rsidRPr="00BF57A3">
        <w:rPr>
          <w:noProof/>
          <w:sz w:val="22"/>
          <w:szCs w:val="22"/>
          <w:lang w:val="hr-HR"/>
        </w:rPr>
        <w:t xml:space="preserve">bezbjednosnom profilu  za </w:t>
      </w:r>
      <w:r w:rsidRPr="00BF57A3">
        <w:rPr>
          <w:noProof/>
          <w:sz w:val="22"/>
          <w:szCs w:val="22"/>
          <w:lang w:val="hr-HR"/>
        </w:rPr>
        <w:t>odrasl</w:t>
      </w:r>
      <w:r w:rsidR="00786695" w:rsidRPr="00BF57A3">
        <w:rPr>
          <w:noProof/>
          <w:sz w:val="22"/>
          <w:szCs w:val="22"/>
          <w:lang w:val="hr-HR"/>
        </w:rPr>
        <w:t>u populaciju</w:t>
      </w:r>
      <w:r w:rsidRPr="00BF57A3">
        <w:rPr>
          <w:noProof/>
          <w:sz w:val="22"/>
          <w:szCs w:val="22"/>
          <w:lang w:val="hr-HR"/>
        </w:rPr>
        <w:t xml:space="preserve">. </w:t>
      </w:r>
    </w:p>
    <w:p w14:paraId="2B863E28" w14:textId="77777777" w:rsidR="00A0554D" w:rsidRPr="00BF57A3" w:rsidRDefault="00786695">
      <w:pPr>
        <w:autoSpaceDE w:val="0"/>
        <w:autoSpaceDN w:val="0"/>
        <w:adjustRightInd w:val="0"/>
        <w:jc w:val="both"/>
        <w:rPr>
          <w:noProof/>
          <w:sz w:val="22"/>
          <w:szCs w:val="22"/>
          <w:lang w:val="hr-HR"/>
        </w:rPr>
      </w:pPr>
      <w:r w:rsidRPr="00BF57A3">
        <w:rPr>
          <w:noProof/>
          <w:sz w:val="22"/>
          <w:szCs w:val="22"/>
          <w:lang w:val="hr-HR"/>
        </w:rPr>
        <w:t xml:space="preserve"> </w:t>
      </w:r>
    </w:p>
    <w:p w14:paraId="580B4D10" w14:textId="77777777" w:rsidR="00A0554D" w:rsidRPr="00BF57A3" w:rsidRDefault="00A0554D">
      <w:pPr>
        <w:autoSpaceDE w:val="0"/>
        <w:autoSpaceDN w:val="0"/>
        <w:adjustRightInd w:val="0"/>
        <w:jc w:val="both"/>
        <w:rPr>
          <w:noProof/>
          <w:sz w:val="22"/>
          <w:szCs w:val="22"/>
          <w:lang w:val="hr-HR"/>
        </w:rPr>
      </w:pPr>
    </w:p>
    <w:p w14:paraId="4498320F" w14:textId="77777777" w:rsidR="000C1ABA" w:rsidRPr="00BF57A3" w:rsidRDefault="000C1ABA">
      <w:pPr>
        <w:autoSpaceDE w:val="0"/>
        <w:autoSpaceDN w:val="0"/>
        <w:adjustRightInd w:val="0"/>
        <w:jc w:val="both"/>
        <w:rPr>
          <w:noProof/>
          <w:sz w:val="22"/>
          <w:szCs w:val="22"/>
          <w:u w:val="single"/>
          <w:lang w:val="hr-HR"/>
        </w:rPr>
      </w:pPr>
    </w:p>
    <w:p w14:paraId="1DC53BB9" w14:textId="77777777" w:rsidR="005A23D2" w:rsidRPr="00BF57A3" w:rsidRDefault="005A23D2">
      <w:pPr>
        <w:spacing w:after="200" w:line="276" w:lineRule="auto"/>
        <w:jc w:val="both"/>
        <w:rPr>
          <w:rFonts w:eastAsia="Calibri"/>
          <w:sz w:val="22"/>
          <w:szCs w:val="22"/>
          <w:u w:val="single"/>
          <w:lang w:val="sr-Latn-RS"/>
        </w:rPr>
      </w:pPr>
      <w:r w:rsidRPr="00BF57A3">
        <w:rPr>
          <w:rFonts w:eastAsia="Calibri"/>
          <w:sz w:val="22"/>
          <w:szCs w:val="22"/>
          <w:u w:val="single"/>
          <w:lang w:val="sr-Latn-RS"/>
        </w:rPr>
        <w:t>Prijavljivanje sumnji na neželjena dejstva</w:t>
      </w:r>
    </w:p>
    <w:p w14:paraId="3290EC9E" w14:textId="77777777" w:rsidR="005A23D2" w:rsidRPr="00BF57A3" w:rsidRDefault="005A23D2">
      <w:pPr>
        <w:spacing w:after="200"/>
        <w:jc w:val="both"/>
        <w:rPr>
          <w:rFonts w:eastAsia="Calibri"/>
          <w:sz w:val="22"/>
          <w:szCs w:val="22"/>
          <w:lang w:val="sr-Latn-RS"/>
        </w:rPr>
      </w:pPr>
      <w:r w:rsidRPr="00BF57A3">
        <w:rPr>
          <w:rFonts w:eastAsia="Calibri"/>
          <w:sz w:val="22"/>
          <w:szCs w:val="22"/>
          <w:lang w:val="sr-Latn-RS"/>
        </w:rPr>
        <w:t>Prijavljivanje neželjenih dejstava nakon dobijanja dozvole je od velikog značaja jer obezbjeđuje kont</w:t>
      </w:r>
      <w:r w:rsidR="00EA5765" w:rsidRPr="00BF57A3">
        <w:rPr>
          <w:rFonts w:eastAsia="Calibri"/>
          <w:sz w:val="22"/>
          <w:szCs w:val="22"/>
          <w:lang w:val="sr-Latn-RS"/>
        </w:rPr>
        <w:t>inuirano praćenje odnosa korist</w:t>
      </w:r>
      <w:r w:rsidRPr="00BF57A3">
        <w:rPr>
          <w:rFonts w:eastAsia="Calibri"/>
          <w:sz w:val="22"/>
          <w:szCs w:val="22"/>
          <w:lang w:val="sr-Latn-RS"/>
        </w:rPr>
        <w:t>/rizik primjene lijeka. Zdravstveni radnici treba da prijave svaku sumnju na neželjeno</w:t>
      </w:r>
      <w:r w:rsidR="009B062A" w:rsidRPr="00BF57A3">
        <w:rPr>
          <w:rFonts w:eastAsia="Calibri"/>
          <w:sz w:val="22"/>
          <w:szCs w:val="22"/>
          <w:lang w:val="sr-Latn-RS"/>
        </w:rPr>
        <w:t xml:space="preserve"> </w:t>
      </w:r>
      <w:r w:rsidRPr="00BF57A3">
        <w:rPr>
          <w:rFonts w:eastAsia="Calibri"/>
          <w:sz w:val="22"/>
          <w:szCs w:val="22"/>
          <w:lang w:val="sr-Latn-RS"/>
        </w:rPr>
        <w:t xml:space="preserve">dejstvo ovog lijeka </w:t>
      </w:r>
      <w:r w:rsidR="004B2A39" w:rsidRPr="00BF57A3">
        <w:rPr>
          <w:rFonts w:eastAsia="Calibri"/>
          <w:sz w:val="22"/>
          <w:szCs w:val="22"/>
          <w:lang w:val="sr-Latn-RS"/>
        </w:rPr>
        <w:t xml:space="preserve">Institutu  </w:t>
      </w:r>
      <w:r w:rsidRPr="00BF57A3">
        <w:rPr>
          <w:rFonts w:eastAsia="Calibri"/>
          <w:sz w:val="22"/>
          <w:szCs w:val="22"/>
          <w:lang w:val="sr-Latn-RS"/>
        </w:rPr>
        <w:t>za ljekove i medicinska sredstva (C</w:t>
      </w:r>
      <w:r w:rsidR="004B2A39" w:rsidRPr="00BF57A3">
        <w:rPr>
          <w:rFonts w:eastAsia="Calibri"/>
          <w:sz w:val="22"/>
          <w:szCs w:val="22"/>
          <w:lang w:val="sr-Latn-RS"/>
        </w:rPr>
        <w:t>InMED</w:t>
      </w:r>
      <w:r w:rsidRPr="00BF57A3">
        <w:rPr>
          <w:rFonts w:eastAsia="Calibri"/>
          <w:sz w:val="22"/>
          <w:szCs w:val="22"/>
          <w:lang w:val="sr-Latn-RS"/>
        </w:rPr>
        <w:t>):</w:t>
      </w:r>
    </w:p>
    <w:p w14:paraId="7CD23D04" w14:textId="77777777" w:rsidR="005A23D2" w:rsidRPr="00511C3B" w:rsidRDefault="004B2A39">
      <w:pPr>
        <w:pStyle w:val="NoSpacing"/>
        <w:jc w:val="both"/>
        <w:rPr>
          <w:rFonts w:eastAsia="Calibri"/>
          <w:sz w:val="22"/>
          <w:szCs w:val="22"/>
          <w:lang w:val="sr-Latn-RS"/>
        </w:rPr>
      </w:pPr>
      <w:r w:rsidRPr="00994B38">
        <w:rPr>
          <w:rFonts w:eastAsia="Calibri"/>
          <w:sz w:val="22"/>
          <w:szCs w:val="22"/>
          <w:lang w:val="sr-Latn-RS"/>
        </w:rPr>
        <w:t xml:space="preserve">Institut </w:t>
      </w:r>
      <w:r w:rsidR="005A23D2" w:rsidRPr="00994B38">
        <w:rPr>
          <w:rFonts w:eastAsia="Calibri"/>
          <w:sz w:val="22"/>
          <w:szCs w:val="22"/>
          <w:lang w:val="sr-Latn-RS"/>
        </w:rPr>
        <w:t xml:space="preserve">za ljekove i medicinska sredstva </w:t>
      </w:r>
    </w:p>
    <w:p w14:paraId="287BB791" w14:textId="77777777" w:rsidR="005A23D2" w:rsidRPr="00E01B47" w:rsidRDefault="005A23D2">
      <w:pPr>
        <w:pStyle w:val="NoSpacing"/>
        <w:jc w:val="both"/>
        <w:rPr>
          <w:rFonts w:eastAsia="Calibri"/>
          <w:sz w:val="22"/>
          <w:szCs w:val="22"/>
          <w:lang w:val="sr-Latn-RS"/>
        </w:rPr>
      </w:pPr>
      <w:r w:rsidRPr="00E01B47">
        <w:rPr>
          <w:rFonts w:eastAsia="Calibri"/>
          <w:sz w:val="22"/>
          <w:szCs w:val="22"/>
          <w:lang w:val="sr-Latn-RS"/>
        </w:rPr>
        <w:t>Odjeljenje za farmakovigilancu</w:t>
      </w:r>
    </w:p>
    <w:p w14:paraId="2D3E0BEB" w14:textId="77777777" w:rsidR="00EA5765" w:rsidRPr="00E01B47" w:rsidRDefault="005A23D2">
      <w:pPr>
        <w:pStyle w:val="NoSpacing"/>
        <w:jc w:val="both"/>
        <w:rPr>
          <w:rFonts w:eastAsia="Calibri"/>
          <w:sz w:val="22"/>
          <w:szCs w:val="22"/>
          <w:lang w:val="sr-Latn-RS"/>
        </w:rPr>
      </w:pPr>
      <w:r w:rsidRPr="00E01B47">
        <w:rPr>
          <w:rFonts w:eastAsia="Calibri"/>
          <w:sz w:val="22"/>
          <w:szCs w:val="22"/>
          <w:lang w:val="sr-Latn-RS"/>
        </w:rPr>
        <w:t>Bulevar Ivana Crnojevića 64a, 81000 Podgorica</w:t>
      </w:r>
    </w:p>
    <w:p w14:paraId="405C12D5" w14:textId="77777777" w:rsidR="00EA5765" w:rsidRPr="00E01B47" w:rsidRDefault="00EA5765">
      <w:pPr>
        <w:pStyle w:val="NoSpacing"/>
        <w:jc w:val="both"/>
        <w:rPr>
          <w:rFonts w:eastAsia="Calibri"/>
          <w:sz w:val="22"/>
          <w:szCs w:val="22"/>
          <w:lang w:val="sr-Latn-RS"/>
        </w:rPr>
      </w:pPr>
    </w:p>
    <w:p w14:paraId="274B54C4" w14:textId="77777777" w:rsidR="005A23D2" w:rsidRPr="00E01B47" w:rsidRDefault="005A23D2">
      <w:pPr>
        <w:pStyle w:val="NoSpacing"/>
        <w:jc w:val="both"/>
        <w:rPr>
          <w:rFonts w:eastAsia="Calibri"/>
          <w:sz w:val="22"/>
          <w:szCs w:val="22"/>
          <w:lang w:val="sr-Latn-RS"/>
        </w:rPr>
      </w:pPr>
      <w:r w:rsidRPr="00E01B47">
        <w:rPr>
          <w:rFonts w:eastAsia="Calibri"/>
          <w:sz w:val="22"/>
          <w:szCs w:val="22"/>
          <w:lang w:val="sr-Latn-RS"/>
        </w:rPr>
        <w:t>tel: +382 (0) 20 310 280</w:t>
      </w:r>
    </w:p>
    <w:p w14:paraId="0FFF9F73" w14:textId="77777777" w:rsidR="00EA5765" w:rsidRPr="00E01B47" w:rsidRDefault="005A23D2">
      <w:pPr>
        <w:pStyle w:val="NoSpacing"/>
        <w:jc w:val="both"/>
        <w:rPr>
          <w:rFonts w:eastAsia="Calibri"/>
          <w:sz w:val="22"/>
          <w:szCs w:val="22"/>
          <w:lang w:val="sr-Latn-RS"/>
        </w:rPr>
      </w:pPr>
      <w:r w:rsidRPr="00E01B47">
        <w:rPr>
          <w:rFonts w:eastAsia="Calibri"/>
          <w:sz w:val="22"/>
          <w:szCs w:val="22"/>
          <w:lang w:val="sr-Latn-RS"/>
        </w:rPr>
        <w:t>fax:</w:t>
      </w:r>
      <w:r w:rsidR="00EA5765" w:rsidRPr="00E01B47">
        <w:rPr>
          <w:rFonts w:eastAsia="Calibri"/>
          <w:sz w:val="22"/>
          <w:szCs w:val="22"/>
          <w:lang w:val="sr-Latn-RS"/>
        </w:rPr>
        <w:t xml:space="preserve"> </w:t>
      </w:r>
      <w:r w:rsidRPr="00E01B47">
        <w:rPr>
          <w:rFonts w:eastAsia="Calibri"/>
          <w:sz w:val="22"/>
          <w:szCs w:val="22"/>
          <w:lang w:val="sr-Latn-RS"/>
        </w:rPr>
        <w:t>+382 (0) 20 310 581</w:t>
      </w:r>
    </w:p>
    <w:p w14:paraId="5C94B3C0" w14:textId="77777777" w:rsidR="005A23D2" w:rsidRPr="00BF57A3" w:rsidRDefault="00A91ECE">
      <w:pPr>
        <w:pStyle w:val="NoSpacing"/>
        <w:jc w:val="both"/>
        <w:rPr>
          <w:rFonts w:eastAsia="Calibri"/>
          <w:sz w:val="22"/>
          <w:szCs w:val="22"/>
          <w:lang w:val="sr-Latn-RS"/>
        </w:rPr>
      </w:pPr>
      <w:hyperlink r:id="rId8" w:history="1">
        <w:r w:rsidR="004B2A39" w:rsidRPr="00E01B47">
          <w:rPr>
            <w:rStyle w:val="Hyperlink"/>
            <w:rFonts w:eastAsia="Calibri"/>
            <w:sz w:val="22"/>
            <w:szCs w:val="22"/>
            <w:lang w:val="sr-Latn-RS"/>
          </w:rPr>
          <w:t>www.cinmed.me</w:t>
        </w:r>
      </w:hyperlink>
    </w:p>
    <w:p w14:paraId="4FC0B6B3" w14:textId="77777777" w:rsidR="00EA5765" w:rsidRPr="00BF57A3" w:rsidRDefault="00A91ECE">
      <w:pPr>
        <w:pStyle w:val="NoSpacing"/>
        <w:jc w:val="both"/>
        <w:rPr>
          <w:rFonts w:eastAsia="Calibri"/>
          <w:color w:val="0000FF"/>
          <w:sz w:val="22"/>
          <w:szCs w:val="22"/>
          <w:u w:val="single"/>
          <w:lang w:val="sr-Latn-RS"/>
        </w:rPr>
      </w:pPr>
      <w:hyperlink r:id="rId9" w:history="1">
        <w:r w:rsidR="009904A1" w:rsidRPr="00E01B47">
          <w:rPr>
            <w:rStyle w:val="Hyperlink"/>
            <w:rFonts w:eastAsia="Calibri"/>
            <w:sz w:val="22"/>
            <w:szCs w:val="22"/>
            <w:lang w:val="sr-Latn-RS"/>
          </w:rPr>
          <w:t>nezeljenadejstva@cinmed.me</w:t>
        </w:r>
      </w:hyperlink>
    </w:p>
    <w:p w14:paraId="2F2DC4B9" w14:textId="77777777" w:rsidR="005A23D2" w:rsidRDefault="005A23D2">
      <w:pPr>
        <w:pStyle w:val="NoSpacing"/>
        <w:jc w:val="both"/>
        <w:rPr>
          <w:rFonts w:eastAsia="Calibri"/>
          <w:sz w:val="22"/>
          <w:szCs w:val="22"/>
          <w:lang w:val="sr-Latn-RS"/>
        </w:rPr>
      </w:pPr>
      <w:r w:rsidRPr="00BF57A3">
        <w:rPr>
          <w:rFonts w:eastAsia="Calibri"/>
          <w:sz w:val="22"/>
          <w:szCs w:val="22"/>
          <w:lang w:val="sr-Latn-RS"/>
        </w:rPr>
        <w:t>putem IS zdravstvene zaštite</w:t>
      </w:r>
    </w:p>
    <w:p w14:paraId="09E0C2EE" w14:textId="77777777" w:rsidR="00ED2CE5" w:rsidRPr="007E2A24" w:rsidRDefault="00ED2CE5" w:rsidP="00ED2CE5">
      <w:pPr>
        <w:rPr>
          <w:sz w:val="22"/>
          <w:szCs w:val="22"/>
          <w:lang w:val="sr-Latn-ME"/>
        </w:rPr>
      </w:pPr>
      <w:r w:rsidRPr="007E2A24">
        <w:rPr>
          <w:sz w:val="22"/>
          <w:szCs w:val="22"/>
          <w:lang w:val="sr-Latn-ME"/>
        </w:rPr>
        <w:t>QR kod za online prijavu sumnje na neželjeno dejstvo lijeka:</w:t>
      </w:r>
    </w:p>
    <w:p w14:paraId="0EA2D026" w14:textId="77777777" w:rsidR="00ED2CE5" w:rsidRPr="007E2A24" w:rsidRDefault="00ED2CE5" w:rsidP="00ED2CE5">
      <w:pPr>
        <w:rPr>
          <w:sz w:val="22"/>
          <w:szCs w:val="22"/>
          <w:lang w:val="sr-Latn-ME"/>
        </w:rPr>
      </w:pPr>
    </w:p>
    <w:p w14:paraId="1717F150" w14:textId="77777777" w:rsidR="00ED2CE5" w:rsidRPr="007E2A24" w:rsidRDefault="00ED2CE5" w:rsidP="00ED2CE5">
      <w:pPr>
        <w:rPr>
          <w:sz w:val="22"/>
          <w:szCs w:val="22"/>
          <w:lang w:val="sr-Latn-ME"/>
        </w:rPr>
      </w:pPr>
      <w:r w:rsidRPr="007E2A24">
        <w:rPr>
          <w:noProof/>
        </w:rPr>
        <w:drawing>
          <wp:inline distT="0" distB="0" distL="0" distR="0" wp14:anchorId="68E105D2" wp14:editId="1BA92F1F">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BDE5E33" w14:textId="19BE36A3" w:rsidR="00836B35" w:rsidRPr="00BF57A3" w:rsidRDefault="00836B35" w:rsidP="006C640E">
      <w:pPr>
        <w:tabs>
          <w:tab w:val="left" w:pos="540"/>
          <w:tab w:val="left" w:pos="569"/>
        </w:tabs>
        <w:jc w:val="both"/>
        <w:rPr>
          <w:b/>
          <w:bCs/>
          <w:sz w:val="22"/>
          <w:szCs w:val="22"/>
          <w:lang w:val="sr-Latn-RS"/>
        </w:rPr>
      </w:pPr>
    </w:p>
    <w:p w14:paraId="5CD0AB42" w14:textId="77777777" w:rsidR="0072020E" w:rsidRPr="00BF57A3" w:rsidRDefault="0072020E" w:rsidP="00BF57A3">
      <w:pPr>
        <w:tabs>
          <w:tab w:val="left" w:pos="540"/>
          <w:tab w:val="left" w:pos="569"/>
        </w:tabs>
        <w:jc w:val="both"/>
        <w:rPr>
          <w:b/>
          <w:bCs/>
          <w:sz w:val="22"/>
          <w:szCs w:val="22"/>
          <w:lang w:val="sr-Latn-RS"/>
        </w:rPr>
      </w:pPr>
      <w:r w:rsidRPr="00BF57A3">
        <w:rPr>
          <w:b/>
          <w:bCs/>
          <w:sz w:val="22"/>
          <w:szCs w:val="22"/>
          <w:lang w:val="sr-Latn-RS"/>
        </w:rPr>
        <w:t xml:space="preserve">4.9. </w:t>
      </w:r>
      <w:r w:rsidR="00480FB1" w:rsidRPr="00BF57A3">
        <w:rPr>
          <w:b/>
          <w:bCs/>
          <w:sz w:val="22"/>
          <w:szCs w:val="22"/>
          <w:lang w:val="sr-Latn-RS"/>
        </w:rPr>
        <w:tab/>
      </w:r>
      <w:r w:rsidRPr="00BF57A3">
        <w:rPr>
          <w:b/>
          <w:bCs/>
          <w:sz w:val="22"/>
          <w:szCs w:val="22"/>
          <w:lang w:val="sr-Latn-RS"/>
        </w:rPr>
        <w:t>Predoziranje</w:t>
      </w:r>
      <w:r w:rsidR="002846DB" w:rsidRPr="00BF57A3">
        <w:rPr>
          <w:b/>
          <w:bCs/>
          <w:sz w:val="22"/>
          <w:szCs w:val="22"/>
          <w:lang w:val="sr-Latn-RS"/>
        </w:rPr>
        <w:t xml:space="preserve"> </w:t>
      </w:r>
    </w:p>
    <w:p w14:paraId="4C46EFEC" w14:textId="77777777" w:rsidR="00CD6F02" w:rsidRPr="00BF57A3" w:rsidRDefault="00CD6F02">
      <w:pPr>
        <w:tabs>
          <w:tab w:val="left" w:pos="540"/>
          <w:tab w:val="left" w:pos="569"/>
        </w:tabs>
        <w:jc w:val="both"/>
        <w:rPr>
          <w:b/>
          <w:bCs/>
          <w:sz w:val="22"/>
          <w:szCs w:val="22"/>
          <w:lang w:val="sr-Latn-RS"/>
        </w:rPr>
      </w:pPr>
    </w:p>
    <w:p w14:paraId="586F0E9E" w14:textId="42E3ED24" w:rsidR="0064092D" w:rsidRPr="00BF57A3" w:rsidRDefault="0064092D">
      <w:pPr>
        <w:tabs>
          <w:tab w:val="left" w:pos="540"/>
          <w:tab w:val="left" w:pos="569"/>
        </w:tabs>
        <w:jc w:val="both"/>
        <w:rPr>
          <w:sz w:val="22"/>
          <w:szCs w:val="22"/>
          <w:lang w:val="sr-Latn-RS"/>
        </w:rPr>
      </w:pPr>
      <w:r w:rsidRPr="00BF57A3">
        <w:rPr>
          <w:sz w:val="22"/>
          <w:szCs w:val="22"/>
          <w:lang w:val="sr-Latn-RS"/>
        </w:rPr>
        <w:t>Nije poznat antidot za predoziranje paklitakselom. U slučaju predoziranja</w:t>
      </w:r>
      <w:r w:rsidR="0018755E" w:rsidRPr="00BF57A3">
        <w:rPr>
          <w:sz w:val="22"/>
          <w:szCs w:val="22"/>
          <w:lang w:val="sr-Latn-RS"/>
        </w:rPr>
        <w:t>,</w:t>
      </w:r>
      <w:r w:rsidRPr="00BF57A3">
        <w:rPr>
          <w:sz w:val="22"/>
          <w:szCs w:val="22"/>
          <w:lang w:val="sr-Latn-RS"/>
        </w:rPr>
        <w:t xml:space="preserve"> potrebno je pomno nadzirati </w:t>
      </w:r>
      <w:r w:rsidR="00BC764F">
        <w:rPr>
          <w:sz w:val="22"/>
          <w:szCs w:val="22"/>
          <w:lang w:val="sr-Latn-RS"/>
        </w:rPr>
        <w:t>pacijente</w:t>
      </w:r>
      <w:r w:rsidRPr="00BF57A3">
        <w:rPr>
          <w:sz w:val="22"/>
          <w:szCs w:val="22"/>
          <w:lang w:val="sr-Latn-RS"/>
        </w:rPr>
        <w:t>. Liječenje treba usmjeriti na glavne očekivane toksičnosti</w:t>
      </w:r>
      <w:r w:rsidR="0018755E" w:rsidRPr="00BF57A3">
        <w:rPr>
          <w:sz w:val="22"/>
          <w:szCs w:val="22"/>
          <w:lang w:val="sr-Latn-RS"/>
        </w:rPr>
        <w:t>,</w:t>
      </w:r>
      <w:r w:rsidRPr="00BF57A3">
        <w:rPr>
          <w:sz w:val="22"/>
          <w:szCs w:val="22"/>
          <w:lang w:val="sr-Latn-RS"/>
        </w:rPr>
        <w:t xml:space="preserve"> kao što su supresija </w:t>
      </w:r>
      <w:r w:rsidR="0018755E" w:rsidRPr="00BF57A3">
        <w:rPr>
          <w:sz w:val="22"/>
          <w:szCs w:val="22"/>
          <w:lang w:val="sr-Latn-RS"/>
        </w:rPr>
        <w:t xml:space="preserve">kostne </w:t>
      </w:r>
      <w:r w:rsidRPr="00BF57A3">
        <w:rPr>
          <w:sz w:val="22"/>
          <w:szCs w:val="22"/>
          <w:lang w:val="sr-Latn-RS"/>
        </w:rPr>
        <w:t>srži, mukozitis i periferna neuropatija.</w:t>
      </w:r>
    </w:p>
    <w:p w14:paraId="4559B763" w14:textId="741ECB43" w:rsidR="00ED2CE5" w:rsidRPr="00BF57A3" w:rsidRDefault="00ED2CE5">
      <w:pPr>
        <w:tabs>
          <w:tab w:val="left" w:pos="540"/>
          <w:tab w:val="left" w:pos="569"/>
        </w:tabs>
        <w:jc w:val="both"/>
        <w:rPr>
          <w:b/>
          <w:bCs/>
          <w:sz w:val="22"/>
          <w:szCs w:val="22"/>
          <w:lang w:val="sr-Latn-RS"/>
        </w:rPr>
      </w:pPr>
    </w:p>
    <w:p w14:paraId="1DDD336C" w14:textId="77777777" w:rsidR="0072020E" w:rsidRPr="00BF57A3" w:rsidRDefault="0072020E">
      <w:pPr>
        <w:tabs>
          <w:tab w:val="left" w:pos="540"/>
          <w:tab w:val="left" w:pos="569"/>
        </w:tabs>
        <w:jc w:val="both"/>
        <w:rPr>
          <w:b/>
          <w:bCs/>
          <w:sz w:val="22"/>
          <w:szCs w:val="22"/>
          <w:lang w:val="sr-Latn-RS"/>
        </w:rPr>
      </w:pPr>
      <w:r w:rsidRPr="00BF57A3">
        <w:rPr>
          <w:b/>
          <w:bCs/>
          <w:sz w:val="22"/>
          <w:szCs w:val="22"/>
          <w:lang w:val="sr-Latn-RS"/>
        </w:rPr>
        <w:t xml:space="preserve">5. </w:t>
      </w:r>
      <w:r w:rsidR="00480FB1" w:rsidRPr="00BF57A3">
        <w:rPr>
          <w:b/>
          <w:bCs/>
          <w:sz w:val="22"/>
          <w:szCs w:val="22"/>
          <w:lang w:val="sr-Latn-RS"/>
        </w:rPr>
        <w:tab/>
      </w:r>
      <w:r w:rsidRPr="00BF57A3">
        <w:rPr>
          <w:b/>
          <w:bCs/>
          <w:sz w:val="22"/>
          <w:szCs w:val="22"/>
          <w:lang w:val="sr-Latn-RS"/>
        </w:rPr>
        <w:t>FARMAKOLOŠK</w:t>
      </w:r>
      <w:r w:rsidR="000D425A" w:rsidRPr="00BF57A3">
        <w:rPr>
          <w:b/>
          <w:bCs/>
          <w:sz w:val="22"/>
          <w:szCs w:val="22"/>
          <w:lang w:val="sr-Latn-RS"/>
        </w:rPr>
        <w:t>I</w:t>
      </w:r>
      <w:r w:rsidRPr="00BF57A3">
        <w:rPr>
          <w:b/>
          <w:bCs/>
          <w:sz w:val="22"/>
          <w:szCs w:val="22"/>
          <w:lang w:val="sr-Latn-RS"/>
        </w:rPr>
        <w:t xml:space="preserve"> PODACI</w:t>
      </w:r>
    </w:p>
    <w:p w14:paraId="4A0A83A3" w14:textId="77777777" w:rsidR="0072020E" w:rsidRPr="00BF57A3" w:rsidRDefault="0072020E">
      <w:pPr>
        <w:tabs>
          <w:tab w:val="left" w:pos="540"/>
          <w:tab w:val="left" w:pos="569"/>
        </w:tabs>
        <w:jc w:val="both"/>
        <w:rPr>
          <w:b/>
          <w:bCs/>
          <w:sz w:val="22"/>
          <w:szCs w:val="22"/>
          <w:lang w:val="sr-Latn-RS"/>
        </w:rPr>
      </w:pPr>
    </w:p>
    <w:p w14:paraId="1068D00C" w14:textId="77777777" w:rsidR="0072020E" w:rsidRPr="00BF57A3" w:rsidRDefault="0072020E">
      <w:pPr>
        <w:tabs>
          <w:tab w:val="left" w:pos="540"/>
          <w:tab w:val="left" w:pos="569"/>
        </w:tabs>
        <w:jc w:val="both"/>
        <w:rPr>
          <w:b/>
          <w:bCs/>
          <w:sz w:val="22"/>
          <w:szCs w:val="22"/>
          <w:lang w:val="sr-Latn-RS"/>
        </w:rPr>
      </w:pPr>
      <w:r w:rsidRPr="00BF57A3">
        <w:rPr>
          <w:b/>
          <w:bCs/>
          <w:sz w:val="22"/>
          <w:szCs w:val="22"/>
          <w:lang w:val="sr-Latn-RS"/>
        </w:rPr>
        <w:t xml:space="preserve">5.1. </w:t>
      </w:r>
      <w:r w:rsidR="00480FB1" w:rsidRPr="00BF57A3">
        <w:rPr>
          <w:b/>
          <w:bCs/>
          <w:sz w:val="22"/>
          <w:szCs w:val="22"/>
          <w:lang w:val="sr-Latn-RS"/>
        </w:rPr>
        <w:tab/>
      </w:r>
      <w:r w:rsidRPr="00BF57A3">
        <w:rPr>
          <w:b/>
          <w:bCs/>
          <w:sz w:val="22"/>
          <w:szCs w:val="22"/>
          <w:lang w:val="sr-Latn-RS"/>
        </w:rPr>
        <w:t>Farmakodinamski podaci</w:t>
      </w:r>
    </w:p>
    <w:p w14:paraId="200208F2" w14:textId="77777777" w:rsidR="00F45F77" w:rsidRPr="00BF57A3" w:rsidRDefault="00F45F77">
      <w:pPr>
        <w:tabs>
          <w:tab w:val="left" w:pos="540"/>
          <w:tab w:val="left" w:pos="569"/>
        </w:tabs>
        <w:jc w:val="both"/>
        <w:rPr>
          <w:b/>
          <w:bCs/>
          <w:sz w:val="22"/>
          <w:szCs w:val="22"/>
          <w:lang w:val="sr-Latn-RS"/>
        </w:rPr>
      </w:pPr>
    </w:p>
    <w:p w14:paraId="091DE251" w14:textId="77777777" w:rsidR="0072020E" w:rsidRPr="00BF57A3" w:rsidRDefault="0072020E">
      <w:pPr>
        <w:tabs>
          <w:tab w:val="left" w:pos="540"/>
          <w:tab w:val="left" w:pos="569"/>
        </w:tabs>
        <w:jc w:val="both"/>
        <w:rPr>
          <w:bCs/>
          <w:sz w:val="22"/>
          <w:szCs w:val="22"/>
          <w:lang w:val="sr-Latn-RS"/>
        </w:rPr>
      </w:pPr>
      <w:r w:rsidRPr="00BF57A3">
        <w:rPr>
          <w:bCs/>
          <w:sz w:val="22"/>
          <w:szCs w:val="22"/>
          <w:lang w:val="sr-Latn-RS"/>
        </w:rPr>
        <w:t>Farmakoterapijska grupa:</w:t>
      </w:r>
      <w:r w:rsidR="00AA7CC9" w:rsidRPr="00BF57A3">
        <w:rPr>
          <w:sz w:val="22"/>
          <w:szCs w:val="22"/>
          <w:lang w:val="sr-Latn-RS"/>
        </w:rPr>
        <w:t xml:space="preserve"> antineoplastici, biljni alkaloid</w:t>
      </w:r>
      <w:r w:rsidR="00A0585C" w:rsidRPr="00BF57A3">
        <w:rPr>
          <w:sz w:val="22"/>
          <w:szCs w:val="22"/>
          <w:lang w:val="sr-Latn-RS"/>
        </w:rPr>
        <w:t>i</w:t>
      </w:r>
      <w:r w:rsidR="00AA7CC9" w:rsidRPr="00BF57A3">
        <w:rPr>
          <w:sz w:val="22"/>
          <w:szCs w:val="22"/>
          <w:lang w:val="sr-Latn-RS"/>
        </w:rPr>
        <w:t xml:space="preserve"> ii drugi prirodni proizvodi, taksani</w:t>
      </w:r>
    </w:p>
    <w:p w14:paraId="5A7FEBF4" w14:textId="77777777" w:rsidR="005B630A" w:rsidRPr="00BF57A3" w:rsidRDefault="005B630A">
      <w:pPr>
        <w:tabs>
          <w:tab w:val="left" w:pos="540"/>
          <w:tab w:val="left" w:pos="569"/>
        </w:tabs>
        <w:jc w:val="both"/>
        <w:rPr>
          <w:bCs/>
          <w:sz w:val="22"/>
          <w:szCs w:val="22"/>
          <w:lang w:val="sr-Latn-RS"/>
        </w:rPr>
      </w:pPr>
    </w:p>
    <w:p w14:paraId="788BE81F" w14:textId="77777777" w:rsidR="00A06278" w:rsidRDefault="0072020E">
      <w:pPr>
        <w:tabs>
          <w:tab w:val="left" w:pos="540"/>
          <w:tab w:val="left" w:pos="569"/>
        </w:tabs>
        <w:jc w:val="both"/>
        <w:rPr>
          <w:sz w:val="22"/>
          <w:szCs w:val="22"/>
        </w:rPr>
      </w:pPr>
      <w:r w:rsidRPr="00BF57A3">
        <w:rPr>
          <w:bCs/>
          <w:sz w:val="22"/>
          <w:szCs w:val="22"/>
        </w:rPr>
        <w:t>ATC kod:</w:t>
      </w:r>
      <w:r w:rsidR="00AA7CC9" w:rsidRPr="00BF57A3">
        <w:rPr>
          <w:sz w:val="22"/>
          <w:szCs w:val="22"/>
        </w:rPr>
        <w:t xml:space="preserve"> L01CD01</w:t>
      </w:r>
    </w:p>
    <w:p w14:paraId="2A54F076" w14:textId="77777777" w:rsidR="0072020E" w:rsidRPr="00A06278" w:rsidRDefault="0072020E" w:rsidP="006C640E">
      <w:pPr>
        <w:rPr>
          <w:sz w:val="22"/>
          <w:szCs w:val="22"/>
        </w:rPr>
      </w:pPr>
    </w:p>
    <w:tbl>
      <w:tblPr>
        <w:tblW w:w="10188" w:type="dxa"/>
        <w:tblInd w:w="-142" w:type="dxa"/>
        <w:tblLayout w:type="fixed"/>
        <w:tblLook w:val="0000" w:firstRow="0" w:lastRow="0" w:firstColumn="0" w:lastColumn="0" w:noHBand="0" w:noVBand="0"/>
      </w:tblPr>
      <w:tblGrid>
        <w:gridCol w:w="10188"/>
      </w:tblGrid>
      <w:tr w:rsidR="00AA7CC9" w:rsidRPr="00BF57A3" w14:paraId="7F10B723" w14:textId="77777777" w:rsidTr="006C640E">
        <w:trPr>
          <w:trHeight w:val="1995"/>
        </w:trPr>
        <w:tc>
          <w:tcPr>
            <w:tcW w:w="10188" w:type="dxa"/>
            <w:vAlign w:val="center"/>
          </w:tcPr>
          <w:p w14:paraId="7FA045CD" w14:textId="77777777" w:rsidR="00AA7CC9" w:rsidRPr="00BF57A3" w:rsidRDefault="00AA7CC9">
            <w:pPr>
              <w:pStyle w:val="Header"/>
              <w:tabs>
                <w:tab w:val="left" w:pos="284"/>
              </w:tabs>
              <w:jc w:val="both"/>
              <w:rPr>
                <w:sz w:val="22"/>
                <w:szCs w:val="22"/>
                <w:u w:val="single"/>
                <w:lang w:val="en-US"/>
              </w:rPr>
            </w:pPr>
            <w:r w:rsidRPr="00BF57A3">
              <w:rPr>
                <w:sz w:val="22"/>
                <w:szCs w:val="22"/>
                <w:u w:val="single"/>
                <w:lang w:val="en-US"/>
              </w:rPr>
              <w:t>Mehanizam djelovanja</w:t>
            </w:r>
          </w:p>
          <w:p w14:paraId="42A2C8ED" w14:textId="77777777" w:rsidR="00AA7CC9" w:rsidRPr="00BF57A3" w:rsidRDefault="00AA7CC9">
            <w:pPr>
              <w:pStyle w:val="Header"/>
              <w:tabs>
                <w:tab w:val="left" w:pos="284"/>
              </w:tabs>
              <w:jc w:val="both"/>
              <w:rPr>
                <w:sz w:val="22"/>
                <w:szCs w:val="22"/>
                <w:lang w:val="en-US"/>
              </w:rPr>
            </w:pPr>
            <w:r w:rsidRPr="00BF57A3">
              <w:rPr>
                <w:sz w:val="22"/>
                <w:szCs w:val="22"/>
                <w:lang w:val="en-US"/>
              </w:rPr>
              <w:t xml:space="preserve">Paklitaksel je antimikrotubularni lijek koji potstiče stvaranje mikrotubula od dimera tubulina i stabilizuje mikrotubule sprječavanjem depolimerizacije. Ta stabilnost rezultira inhibicijom normalne dinamičke reorganizacije mreže mikrotubula koja je ključna za vitalnu interfazu i mitotske funkcije ćelije. Pored toga, paklitaksel indukuje abnormalne nizove ili "snopove" mikrotubula kroz ćelijski ciklus i umnožava astere mikrotubula tokom mitoze.  </w:t>
            </w:r>
          </w:p>
          <w:p w14:paraId="7A0304E2" w14:textId="77777777" w:rsidR="00AA7CC9" w:rsidRPr="00BF57A3" w:rsidRDefault="00AA7CC9" w:rsidP="006C640E">
            <w:pPr>
              <w:pStyle w:val="Header"/>
              <w:tabs>
                <w:tab w:val="left" w:pos="284"/>
              </w:tabs>
              <w:jc w:val="both"/>
              <w:rPr>
                <w:sz w:val="22"/>
                <w:szCs w:val="22"/>
                <w:lang w:val="en-US"/>
              </w:rPr>
            </w:pPr>
          </w:p>
          <w:p w14:paraId="60DF5BAB" w14:textId="77777777" w:rsidR="00AA7CC9" w:rsidRPr="00BF57A3" w:rsidRDefault="00AA7CC9" w:rsidP="00BF57A3">
            <w:pPr>
              <w:pStyle w:val="Header"/>
              <w:tabs>
                <w:tab w:val="left" w:pos="284"/>
              </w:tabs>
              <w:jc w:val="both"/>
              <w:rPr>
                <w:sz w:val="22"/>
                <w:szCs w:val="22"/>
                <w:lang w:val="de-DE"/>
              </w:rPr>
            </w:pPr>
            <w:r w:rsidRPr="00BF57A3">
              <w:rPr>
                <w:sz w:val="22"/>
                <w:szCs w:val="22"/>
                <w:lang w:val="en-US"/>
              </w:rPr>
              <w:t xml:space="preserve">Lijek Abraxane sadrži nanočestice </w:t>
            </w:r>
            <w:r w:rsidR="009346B5" w:rsidRPr="00BF57A3">
              <w:rPr>
                <w:sz w:val="22"/>
                <w:szCs w:val="22"/>
                <w:lang w:val="en-US"/>
              </w:rPr>
              <w:t xml:space="preserve">humanog serumskog albumina sa </w:t>
            </w:r>
            <w:r w:rsidRPr="00BF57A3">
              <w:rPr>
                <w:sz w:val="22"/>
                <w:szCs w:val="22"/>
                <w:lang w:val="en-US"/>
              </w:rPr>
              <w:t>paklitaksel</w:t>
            </w:r>
            <w:r w:rsidR="009346B5" w:rsidRPr="00BF57A3">
              <w:rPr>
                <w:sz w:val="22"/>
                <w:szCs w:val="22"/>
                <w:lang w:val="en-US"/>
              </w:rPr>
              <w:t>om</w:t>
            </w:r>
            <w:r w:rsidRPr="00BF57A3">
              <w:rPr>
                <w:sz w:val="22"/>
                <w:szCs w:val="22"/>
                <w:lang w:val="en-US"/>
              </w:rPr>
              <w:t>, veličine približno 130 nm, gdje je paklitaksel zastupljen u nekristalizovanom, amorfnom stanju. Nakon intravenske primjene</w:t>
            </w:r>
            <w:r w:rsidR="00A0585C" w:rsidRPr="00BF57A3">
              <w:rPr>
                <w:sz w:val="22"/>
                <w:szCs w:val="22"/>
                <w:lang w:val="en-US"/>
              </w:rPr>
              <w:t>,</w:t>
            </w:r>
            <w:r w:rsidRPr="00BF57A3">
              <w:rPr>
                <w:sz w:val="22"/>
                <w:szCs w:val="22"/>
                <w:lang w:val="en-US"/>
              </w:rPr>
              <w:t xml:space="preserve"> nanočestice se brzo raspadnu u rastvorljive komplekse paklitaksela vezanog na albumin, veličine približno 10 nm. Poznato je da albumin posreduje u endotelnoj kaveolarnoj transcitozi sastojaka plazme, </w:t>
            </w:r>
            <w:proofErr w:type="gramStart"/>
            <w:r w:rsidRPr="00BF57A3">
              <w:rPr>
                <w:sz w:val="22"/>
                <w:szCs w:val="22"/>
                <w:lang w:val="en-US"/>
              </w:rPr>
              <w:t>a</w:t>
            </w:r>
            <w:proofErr w:type="gramEnd"/>
            <w:r w:rsidRPr="00BF57A3">
              <w:rPr>
                <w:sz w:val="22"/>
                <w:szCs w:val="22"/>
                <w:lang w:val="en-US"/>
              </w:rPr>
              <w:t xml:space="preserve"> </w:t>
            </w:r>
            <w:r w:rsidRPr="00BF57A3">
              <w:rPr>
                <w:i/>
                <w:sz w:val="22"/>
                <w:szCs w:val="22"/>
                <w:lang w:val="en-US"/>
              </w:rPr>
              <w:t>in vitro</w:t>
            </w:r>
            <w:r w:rsidRPr="00BF57A3">
              <w:rPr>
                <w:sz w:val="22"/>
                <w:szCs w:val="22"/>
                <w:lang w:val="en-US"/>
              </w:rPr>
              <w:t xml:space="preserve"> ispitivanja pokazala su da prisustvo albumina u lijeku Abraxane povećava prenos paklitaksela kroz endotelne ćelije. Pretpostavlja se da je ovaj povećani transendotelni kaveolarni prijenos posredovan albuminskim receptorom gp-60 i da postoji povećana akumulacija paklitaksela u području tumora zbog izlučenog kiselog proteina bogatog cisteinom (SPARC od engl. </w:t>
            </w:r>
            <w:r w:rsidRPr="00BF57A3">
              <w:rPr>
                <w:sz w:val="22"/>
                <w:szCs w:val="22"/>
                <w:lang w:val="de-DE"/>
              </w:rPr>
              <w:t>Secreted Protein Acidic Rich in Cysteine) koji na sebe veže albumin.</w:t>
            </w:r>
          </w:p>
          <w:p w14:paraId="73CC9BD7" w14:textId="77777777" w:rsidR="00AA7CC9" w:rsidRPr="00BF57A3" w:rsidRDefault="00AA7CC9">
            <w:pPr>
              <w:pStyle w:val="Header"/>
              <w:tabs>
                <w:tab w:val="left" w:pos="284"/>
              </w:tabs>
              <w:jc w:val="both"/>
              <w:rPr>
                <w:sz w:val="22"/>
                <w:szCs w:val="22"/>
                <w:lang w:val="de-DE"/>
              </w:rPr>
            </w:pPr>
          </w:p>
          <w:p w14:paraId="0B837674" w14:textId="77777777" w:rsidR="00AA7CC9" w:rsidRPr="00BF57A3" w:rsidRDefault="00AA7CC9">
            <w:pPr>
              <w:pStyle w:val="Header"/>
              <w:tabs>
                <w:tab w:val="left" w:pos="284"/>
              </w:tabs>
              <w:jc w:val="both"/>
              <w:rPr>
                <w:sz w:val="22"/>
                <w:szCs w:val="22"/>
                <w:u w:val="single"/>
                <w:lang w:val="de-DE"/>
              </w:rPr>
            </w:pPr>
            <w:r w:rsidRPr="00BF57A3">
              <w:rPr>
                <w:sz w:val="22"/>
                <w:szCs w:val="22"/>
                <w:u w:val="single"/>
                <w:lang w:val="de-DE"/>
              </w:rPr>
              <w:lastRenderedPageBreak/>
              <w:t>Klinička efikasnost i bezbjednost</w:t>
            </w:r>
          </w:p>
          <w:p w14:paraId="4D63F09E" w14:textId="77777777" w:rsidR="00AA7CC9" w:rsidRPr="00BF57A3" w:rsidRDefault="00AA7CC9">
            <w:pPr>
              <w:pStyle w:val="Header"/>
              <w:tabs>
                <w:tab w:val="left" w:pos="284"/>
              </w:tabs>
              <w:jc w:val="both"/>
              <w:rPr>
                <w:sz w:val="22"/>
                <w:szCs w:val="22"/>
                <w:lang w:val="de-DE"/>
              </w:rPr>
            </w:pPr>
          </w:p>
          <w:p w14:paraId="0E12CB3F" w14:textId="77777777" w:rsidR="00AA7CC9" w:rsidRPr="00BF57A3" w:rsidRDefault="00AA7CC9">
            <w:pPr>
              <w:pStyle w:val="Header"/>
              <w:tabs>
                <w:tab w:val="left" w:pos="284"/>
              </w:tabs>
              <w:jc w:val="both"/>
              <w:rPr>
                <w:i/>
                <w:sz w:val="22"/>
                <w:szCs w:val="22"/>
                <w:u w:val="single"/>
                <w:lang w:val="de-DE"/>
              </w:rPr>
            </w:pPr>
            <w:r w:rsidRPr="00BF57A3">
              <w:rPr>
                <w:i/>
                <w:sz w:val="22"/>
                <w:szCs w:val="22"/>
                <w:u w:val="single"/>
                <w:lang w:val="de-DE"/>
              </w:rPr>
              <w:t>Karcinom dojke</w:t>
            </w:r>
          </w:p>
          <w:p w14:paraId="020BEE4E" w14:textId="410185ED" w:rsidR="00AA7CC9" w:rsidRPr="00BF57A3" w:rsidRDefault="00AA7CC9">
            <w:pPr>
              <w:pStyle w:val="Header"/>
              <w:tabs>
                <w:tab w:val="left" w:pos="284"/>
              </w:tabs>
              <w:jc w:val="both"/>
              <w:rPr>
                <w:sz w:val="22"/>
                <w:szCs w:val="22"/>
                <w:lang w:val="it-IT"/>
              </w:rPr>
            </w:pPr>
            <w:r w:rsidRPr="00BF57A3">
              <w:rPr>
                <w:sz w:val="22"/>
                <w:szCs w:val="22"/>
                <w:lang w:val="de-DE"/>
              </w:rPr>
              <w:t xml:space="preserve">Podaci 106 </w:t>
            </w:r>
            <w:r w:rsidR="009A2061">
              <w:rPr>
                <w:sz w:val="22"/>
                <w:szCs w:val="22"/>
                <w:lang w:val="de-DE"/>
              </w:rPr>
              <w:t>pacijenata</w:t>
            </w:r>
            <w:r w:rsidR="009A2061" w:rsidRPr="00BF57A3">
              <w:rPr>
                <w:sz w:val="22"/>
                <w:szCs w:val="22"/>
                <w:lang w:val="de-DE"/>
              </w:rPr>
              <w:t xml:space="preserve"> </w:t>
            </w:r>
            <w:r w:rsidRPr="00BF57A3">
              <w:rPr>
                <w:sz w:val="22"/>
                <w:szCs w:val="22"/>
                <w:lang w:val="de-DE"/>
              </w:rPr>
              <w:t>uključenih u dva otvorena ispitivanja sa jednom grupom</w:t>
            </w:r>
            <w:r w:rsidR="00A0585C" w:rsidRPr="00BF57A3">
              <w:rPr>
                <w:sz w:val="22"/>
                <w:szCs w:val="22"/>
                <w:lang w:val="de-DE"/>
              </w:rPr>
              <w:t>,</w:t>
            </w:r>
            <w:r w:rsidRPr="00BF57A3">
              <w:rPr>
                <w:sz w:val="22"/>
                <w:szCs w:val="22"/>
                <w:lang w:val="de-DE"/>
              </w:rPr>
              <w:t xml:space="preserve"> i 454 </w:t>
            </w:r>
            <w:r w:rsidR="009A2061">
              <w:rPr>
                <w:sz w:val="22"/>
                <w:szCs w:val="22"/>
                <w:lang w:val="de-DE"/>
              </w:rPr>
              <w:t>pacijenata</w:t>
            </w:r>
            <w:r w:rsidR="009A2061" w:rsidRPr="00BF57A3">
              <w:rPr>
                <w:sz w:val="22"/>
                <w:szCs w:val="22"/>
                <w:lang w:val="de-DE"/>
              </w:rPr>
              <w:t xml:space="preserve"> </w:t>
            </w:r>
            <w:r w:rsidRPr="00BF57A3">
              <w:rPr>
                <w:sz w:val="22"/>
                <w:szCs w:val="22"/>
                <w:lang w:val="de-DE"/>
              </w:rPr>
              <w:t xml:space="preserve">liječenih u fazi III komparativnog, randomizovanog ispitivanja, dostupni su kako bi poduprli upotrebu lijeka Abraxane kod metastatskog karcinoma dojke. </w:t>
            </w:r>
            <w:r w:rsidRPr="00BF57A3">
              <w:rPr>
                <w:sz w:val="22"/>
                <w:szCs w:val="22"/>
                <w:lang w:val="it-IT"/>
              </w:rPr>
              <w:t>Ovi podaci prikazani su u nastavku.</w:t>
            </w:r>
          </w:p>
          <w:p w14:paraId="1EC1E594" w14:textId="77777777" w:rsidR="00AA7CC9" w:rsidRPr="00BF57A3" w:rsidRDefault="00AA7CC9" w:rsidP="006C640E">
            <w:pPr>
              <w:pStyle w:val="Header"/>
              <w:tabs>
                <w:tab w:val="left" w:pos="284"/>
              </w:tabs>
              <w:jc w:val="both"/>
              <w:rPr>
                <w:sz w:val="22"/>
                <w:szCs w:val="22"/>
                <w:lang w:val="it-IT"/>
              </w:rPr>
            </w:pPr>
          </w:p>
          <w:p w14:paraId="0F911DF0" w14:textId="77777777" w:rsidR="00AA7CC9" w:rsidRPr="00BF57A3" w:rsidRDefault="00AA7CC9" w:rsidP="00BF57A3">
            <w:pPr>
              <w:pStyle w:val="Header"/>
              <w:tabs>
                <w:tab w:val="left" w:pos="284"/>
              </w:tabs>
              <w:jc w:val="both"/>
              <w:rPr>
                <w:i/>
                <w:sz w:val="22"/>
                <w:szCs w:val="22"/>
                <w:lang w:val="it-IT"/>
              </w:rPr>
            </w:pPr>
            <w:r w:rsidRPr="00BF57A3">
              <w:rPr>
                <w:i/>
                <w:sz w:val="22"/>
                <w:szCs w:val="22"/>
                <w:lang w:val="it-IT"/>
              </w:rPr>
              <w:t>Otvorena ispitivanja sa jednom grupom</w:t>
            </w:r>
          </w:p>
          <w:p w14:paraId="4D362906" w14:textId="035E33D2" w:rsidR="00AA7CC9" w:rsidRPr="00BF57A3" w:rsidRDefault="00AA7CC9">
            <w:pPr>
              <w:pStyle w:val="Header"/>
              <w:tabs>
                <w:tab w:val="left" w:pos="284"/>
              </w:tabs>
              <w:jc w:val="both"/>
              <w:rPr>
                <w:sz w:val="22"/>
                <w:szCs w:val="22"/>
                <w:lang w:val="it-IT"/>
              </w:rPr>
            </w:pPr>
            <w:r w:rsidRPr="00BF57A3">
              <w:rPr>
                <w:sz w:val="22"/>
                <w:szCs w:val="22"/>
                <w:lang w:val="it-IT"/>
              </w:rPr>
              <w:t>U jednom ispitivanju, lijek Abraxane je prim</w:t>
            </w:r>
            <w:r w:rsidR="0094041A" w:rsidRPr="00BF57A3">
              <w:rPr>
                <w:sz w:val="22"/>
                <w:szCs w:val="22"/>
                <w:lang w:val="it-IT"/>
              </w:rPr>
              <w:t>i</w:t>
            </w:r>
            <w:r w:rsidRPr="00BF57A3">
              <w:rPr>
                <w:sz w:val="22"/>
                <w:szCs w:val="22"/>
                <w:lang w:val="it-IT"/>
              </w:rPr>
              <w:t>jenjen kao 30-minutna infuzija u dozi od 175 mg/m</w:t>
            </w:r>
            <w:r w:rsidRPr="00BF57A3">
              <w:rPr>
                <w:sz w:val="22"/>
                <w:szCs w:val="22"/>
                <w:vertAlign w:val="superscript"/>
                <w:lang w:val="it-IT"/>
              </w:rPr>
              <w:t>2</w:t>
            </w:r>
            <w:r w:rsidRPr="00BF57A3">
              <w:rPr>
                <w:sz w:val="22"/>
                <w:szCs w:val="22"/>
                <w:lang w:val="it-IT"/>
              </w:rPr>
              <w:t xml:space="preserve"> kod 43 </w:t>
            </w:r>
            <w:r w:rsidR="00BC764F">
              <w:rPr>
                <w:sz w:val="22"/>
                <w:szCs w:val="22"/>
                <w:lang w:val="it-IT"/>
              </w:rPr>
              <w:t>pacijenta</w:t>
            </w:r>
            <w:r w:rsidR="00BC764F" w:rsidRPr="00BF57A3">
              <w:rPr>
                <w:sz w:val="22"/>
                <w:szCs w:val="22"/>
                <w:lang w:val="it-IT"/>
              </w:rPr>
              <w:t xml:space="preserve"> </w:t>
            </w:r>
            <w:r w:rsidRPr="00BF57A3">
              <w:rPr>
                <w:sz w:val="22"/>
                <w:szCs w:val="22"/>
                <w:lang w:val="it-IT"/>
              </w:rPr>
              <w:t>sa metastatskim karcinomom dojke. U drugom ispitivanju je korišćena doza od 300 mg/m</w:t>
            </w:r>
            <w:r w:rsidRPr="00BF57A3">
              <w:rPr>
                <w:sz w:val="22"/>
                <w:szCs w:val="22"/>
                <w:vertAlign w:val="superscript"/>
                <w:lang w:val="it-IT"/>
              </w:rPr>
              <w:t>2</w:t>
            </w:r>
            <w:r w:rsidRPr="00BF57A3">
              <w:rPr>
                <w:sz w:val="22"/>
                <w:szCs w:val="22"/>
                <w:lang w:val="it-IT"/>
              </w:rPr>
              <w:t xml:space="preserve"> kao 30-minutna infuzija kod 63 </w:t>
            </w:r>
            <w:r w:rsidR="009A2061">
              <w:rPr>
                <w:sz w:val="22"/>
                <w:szCs w:val="22"/>
                <w:lang w:val="it-IT"/>
              </w:rPr>
              <w:t>pacijenta</w:t>
            </w:r>
            <w:r w:rsidR="009A2061" w:rsidRPr="00BF57A3">
              <w:rPr>
                <w:sz w:val="22"/>
                <w:szCs w:val="22"/>
                <w:lang w:val="it-IT"/>
              </w:rPr>
              <w:t xml:space="preserve"> </w:t>
            </w:r>
            <w:r w:rsidRPr="00BF57A3">
              <w:rPr>
                <w:sz w:val="22"/>
                <w:szCs w:val="22"/>
                <w:lang w:val="it-IT"/>
              </w:rPr>
              <w:t xml:space="preserve">s metastatskim karcinomom dojke. </w:t>
            </w:r>
            <w:r w:rsidR="009A2061">
              <w:rPr>
                <w:sz w:val="22"/>
                <w:szCs w:val="22"/>
                <w:lang w:val="it-IT"/>
              </w:rPr>
              <w:t>Pacijenti</w:t>
            </w:r>
            <w:r w:rsidR="009A2061" w:rsidRPr="00BF57A3">
              <w:rPr>
                <w:sz w:val="22"/>
                <w:szCs w:val="22"/>
                <w:lang w:val="it-IT"/>
              </w:rPr>
              <w:t xml:space="preserve"> </w:t>
            </w:r>
            <w:r w:rsidRPr="00BF57A3">
              <w:rPr>
                <w:sz w:val="22"/>
                <w:szCs w:val="22"/>
                <w:lang w:val="it-IT"/>
              </w:rPr>
              <w:t>su liječeni bez premedikacije steroidima ili planirane potporne primjene G-CSF-a. Ciklusi su primjenjivani u intervalima od tri ned</w:t>
            </w:r>
            <w:r w:rsidR="006B4D87" w:rsidRPr="00BF57A3">
              <w:rPr>
                <w:sz w:val="22"/>
                <w:szCs w:val="22"/>
                <w:lang w:val="it-IT"/>
              </w:rPr>
              <w:t>j</w:t>
            </w:r>
            <w:r w:rsidRPr="00BF57A3">
              <w:rPr>
                <w:sz w:val="22"/>
                <w:szCs w:val="22"/>
                <w:lang w:val="it-IT"/>
              </w:rPr>
              <w:t xml:space="preserve">elje. Stope odgovora kod svih </w:t>
            </w:r>
            <w:r w:rsidR="009A2061">
              <w:rPr>
                <w:sz w:val="22"/>
                <w:szCs w:val="22"/>
                <w:lang w:val="it-IT"/>
              </w:rPr>
              <w:t>pacijenata</w:t>
            </w:r>
            <w:r w:rsidR="009A2061" w:rsidRPr="00BF57A3">
              <w:rPr>
                <w:sz w:val="22"/>
                <w:szCs w:val="22"/>
                <w:lang w:val="it-IT"/>
              </w:rPr>
              <w:t xml:space="preserve"> </w:t>
            </w:r>
            <w:r w:rsidRPr="00BF57A3">
              <w:rPr>
                <w:sz w:val="22"/>
                <w:szCs w:val="22"/>
                <w:lang w:val="it-IT"/>
              </w:rPr>
              <w:t>iznosile su 39,5% (95% CI: 24,9%-54,2%) i 47,6% (95% CI: 35,3%-60,0%). Medijan</w:t>
            </w:r>
            <w:r w:rsidR="0094041A" w:rsidRPr="00BF57A3">
              <w:rPr>
                <w:sz w:val="22"/>
                <w:szCs w:val="22"/>
                <w:lang w:val="it-IT"/>
              </w:rPr>
              <w:t>a</w:t>
            </w:r>
            <w:r w:rsidRPr="00BF57A3">
              <w:rPr>
                <w:sz w:val="22"/>
                <w:szCs w:val="22"/>
                <w:lang w:val="it-IT"/>
              </w:rPr>
              <w:t xml:space="preserve"> vremena do progresije bolesti </w:t>
            </w:r>
            <w:r w:rsidR="0094041A" w:rsidRPr="00BF57A3">
              <w:rPr>
                <w:sz w:val="22"/>
                <w:szCs w:val="22"/>
                <w:lang w:val="it-IT"/>
              </w:rPr>
              <w:t xml:space="preserve">iznosila </w:t>
            </w:r>
            <w:r w:rsidRPr="00BF57A3">
              <w:rPr>
                <w:sz w:val="22"/>
                <w:szCs w:val="22"/>
                <w:lang w:val="it-IT"/>
              </w:rPr>
              <w:t>je 5,3 mjeseca (175 mg/m</w:t>
            </w:r>
            <w:r w:rsidRPr="00BF57A3">
              <w:rPr>
                <w:sz w:val="22"/>
                <w:szCs w:val="22"/>
                <w:vertAlign w:val="superscript"/>
                <w:lang w:val="it-IT"/>
              </w:rPr>
              <w:t>2</w:t>
            </w:r>
            <w:r w:rsidRPr="00BF57A3">
              <w:rPr>
                <w:sz w:val="22"/>
                <w:szCs w:val="22"/>
                <w:lang w:val="it-IT"/>
              </w:rPr>
              <w:t>;95% CI: 4,6-6,2 mjeseca) i 6,1 mjesec (300 mg/m</w:t>
            </w:r>
            <w:r w:rsidRPr="00BF57A3">
              <w:rPr>
                <w:sz w:val="22"/>
                <w:szCs w:val="22"/>
                <w:vertAlign w:val="superscript"/>
                <w:lang w:val="it-IT"/>
              </w:rPr>
              <w:t>2</w:t>
            </w:r>
            <w:r w:rsidRPr="00BF57A3">
              <w:rPr>
                <w:sz w:val="22"/>
                <w:szCs w:val="22"/>
                <w:lang w:val="it-IT"/>
              </w:rPr>
              <w:t>; 95% CI: 4,2-9,8 mjeseci).</w:t>
            </w:r>
          </w:p>
          <w:p w14:paraId="31D0A4CC" w14:textId="77777777" w:rsidR="00AA7CC9" w:rsidRPr="00BF57A3" w:rsidRDefault="00AA7CC9">
            <w:pPr>
              <w:pStyle w:val="Header"/>
              <w:tabs>
                <w:tab w:val="left" w:pos="284"/>
              </w:tabs>
              <w:jc w:val="both"/>
              <w:rPr>
                <w:sz w:val="22"/>
                <w:szCs w:val="22"/>
                <w:lang w:val="it-IT"/>
              </w:rPr>
            </w:pPr>
          </w:p>
          <w:p w14:paraId="2C4EE2E1" w14:textId="77777777" w:rsidR="00AA7CC9" w:rsidRPr="00BF57A3" w:rsidRDefault="00AA7CC9">
            <w:pPr>
              <w:pStyle w:val="Header"/>
              <w:tabs>
                <w:tab w:val="left" w:pos="284"/>
              </w:tabs>
              <w:jc w:val="both"/>
              <w:rPr>
                <w:i/>
                <w:sz w:val="22"/>
                <w:szCs w:val="22"/>
                <w:lang w:val="it-IT"/>
              </w:rPr>
            </w:pPr>
            <w:r w:rsidRPr="00BF57A3">
              <w:rPr>
                <w:i/>
                <w:sz w:val="22"/>
                <w:szCs w:val="22"/>
                <w:lang w:val="it-IT"/>
              </w:rPr>
              <w:t xml:space="preserve">Randomizovano komparativno ispitivanje </w:t>
            </w:r>
          </w:p>
          <w:p w14:paraId="69629120" w14:textId="4FF6B982" w:rsidR="00AA7CC9" w:rsidRPr="00BF57A3" w:rsidRDefault="00AA7CC9">
            <w:pPr>
              <w:pStyle w:val="Header"/>
              <w:tabs>
                <w:tab w:val="left" w:pos="284"/>
              </w:tabs>
              <w:jc w:val="both"/>
              <w:rPr>
                <w:sz w:val="22"/>
                <w:szCs w:val="22"/>
                <w:lang w:val="it-IT"/>
              </w:rPr>
            </w:pPr>
            <w:r w:rsidRPr="00BF57A3">
              <w:rPr>
                <w:sz w:val="22"/>
                <w:szCs w:val="22"/>
                <w:lang w:val="it-IT"/>
              </w:rPr>
              <w:t xml:space="preserve">Ovo multicentrično ispitivanje sprovedeno je kod </w:t>
            </w:r>
            <w:r w:rsidR="009A2061">
              <w:rPr>
                <w:sz w:val="22"/>
                <w:szCs w:val="22"/>
                <w:lang w:val="it-IT"/>
              </w:rPr>
              <w:t>pacijenata</w:t>
            </w:r>
            <w:r w:rsidR="009A2061" w:rsidRPr="00BF57A3">
              <w:rPr>
                <w:sz w:val="22"/>
                <w:szCs w:val="22"/>
                <w:lang w:val="it-IT"/>
              </w:rPr>
              <w:t xml:space="preserve"> </w:t>
            </w:r>
            <w:r w:rsidRPr="00BF57A3">
              <w:rPr>
                <w:sz w:val="22"/>
                <w:szCs w:val="22"/>
                <w:lang w:val="it-IT"/>
              </w:rPr>
              <w:t>sa metastatskim karcinomom dojke, koji su liječeni svake tri ned</w:t>
            </w:r>
            <w:r w:rsidR="00334AE6" w:rsidRPr="00BF57A3">
              <w:rPr>
                <w:sz w:val="22"/>
                <w:szCs w:val="22"/>
                <w:lang w:val="it-IT"/>
              </w:rPr>
              <w:t>j</w:t>
            </w:r>
            <w:r w:rsidRPr="00BF57A3">
              <w:rPr>
                <w:sz w:val="22"/>
                <w:szCs w:val="22"/>
                <w:lang w:val="it-IT"/>
              </w:rPr>
              <w:t xml:space="preserve">elje paklitakselom kao jedinim lijekom, bilo paklitakselom </w:t>
            </w:r>
            <w:r w:rsidR="006660A6" w:rsidRPr="00BF57A3">
              <w:rPr>
                <w:sz w:val="22"/>
                <w:szCs w:val="22"/>
                <w:lang w:val="it-IT"/>
              </w:rPr>
              <w:t>u</w:t>
            </w:r>
            <w:r w:rsidR="00AE49AA" w:rsidRPr="00BF57A3">
              <w:rPr>
                <w:sz w:val="22"/>
                <w:szCs w:val="22"/>
                <w:lang w:val="it-IT"/>
              </w:rPr>
              <w:t xml:space="preserve"> rastvaraču</w:t>
            </w:r>
            <w:r w:rsidRPr="00BF57A3">
              <w:rPr>
                <w:sz w:val="22"/>
                <w:szCs w:val="22"/>
                <w:lang w:val="it-IT"/>
              </w:rPr>
              <w:t xml:space="preserve"> u dozi od 175 mg/m</w:t>
            </w:r>
            <w:r w:rsidRPr="00BF57A3">
              <w:rPr>
                <w:sz w:val="22"/>
                <w:szCs w:val="22"/>
                <w:vertAlign w:val="superscript"/>
                <w:lang w:val="it-IT"/>
              </w:rPr>
              <w:t>2</w:t>
            </w:r>
            <w:r w:rsidRPr="00BF57A3">
              <w:rPr>
                <w:sz w:val="22"/>
                <w:szCs w:val="22"/>
                <w:lang w:val="it-IT"/>
              </w:rPr>
              <w:t xml:space="preserve"> u obliku trosatne infuzije sa premedikacijom za sprječavanje preosjetljivosti (N = 225) ili lijekom Abraxane u dozi od 260 mg/m</w:t>
            </w:r>
            <w:r w:rsidRPr="00BF57A3">
              <w:rPr>
                <w:sz w:val="22"/>
                <w:szCs w:val="22"/>
                <w:vertAlign w:val="superscript"/>
                <w:lang w:val="it-IT"/>
              </w:rPr>
              <w:t>2</w:t>
            </w:r>
            <w:r w:rsidRPr="00BF57A3">
              <w:rPr>
                <w:sz w:val="22"/>
                <w:szCs w:val="22"/>
                <w:lang w:val="it-IT"/>
              </w:rPr>
              <w:t xml:space="preserve"> u obliku 30-minutne infuzije bez premedikacije (N = 229).</w:t>
            </w:r>
          </w:p>
          <w:p w14:paraId="05666C18" w14:textId="77777777" w:rsidR="00AA7CC9" w:rsidRPr="00BF57A3" w:rsidRDefault="00AA7CC9" w:rsidP="006C640E">
            <w:pPr>
              <w:pStyle w:val="Header"/>
              <w:tabs>
                <w:tab w:val="left" w:pos="284"/>
              </w:tabs>
              <w:jc w:val="both"/>
              <w:rPr>
                <w:sz w:val="22"/>
                <w:szCs w:val="22"/>
                <w:lang w:val="it-IT"/>
              </w:rPr>
            </w:pPr>
          </w:p>
          <w:p w14:paraId="454D84AC" w14:textId="52080BAD" w:rsidR="00AA7CC9" w:rsidRPr="00BF57A3" w:rsidRDefault="00AA7CC9" w:rsidP="00BF57A3">
            <w:pPr>
              <w:pStyle w:val="Header"/>
              <w:tabs>
                <w:tab w:val="left" w:pos="284"/>
              </w:tabs>
              <w:jc w:val="both"/>
              <w:rPr>
                <w:sz w:val="22"/>
                <w:szCs w:val="22"/>
                <w:lang w:val="it-IT"/>
              </w:rPr>
            </w:pPr>
            <w:r w:rsidRPr="00BF57A3">
              <w:rPr>
                <w:sz w:val="22"/>
                <w:szCs w:val="22"/>
                <w:lang w:val="it-IT"/>
              </w:rPr>
              <w:t xml:space="preserve">Šezdeset i četiri procenta </w:t>
            </w:r>
            <w:r w:rsidR="009A2061">
              <w:rPr>
                <w:sz w:val="22"/>
                <w:szCs w:val="22"/>
                <w:lang w:val="it-IT"/>
              </w:rPr>
              <w:t>pacijenata</w:t>
            </w:r>
            <w:r w:rsidR="009A2061" w:rsidRPr="00BF57A3">
              <w:rPr>
                <w:sz w:val="22"/>
                <w:szCs w:val="22"/>
                <w:lang w:val="it-IT"/>
              </w:rPr>
              <w:t xml:space="preserve"> </w:t>
            </w:r>
            <w:r w:rsidRPr="00BF57A3">
              <w:rPr>
                <w:sz w:val="22"/>
                <w:szCs w:val="22"/>
                <w:lang w:val="it-IT"/>
              </w:rPr>
              <w:t xml:space="preserve">imalo je pogoršano opšte stanje (ECOG 1 ili 2) pri ulasku u ispitivanje; 79% imalo je visceralne metastaze; a 76% imalo je &gt; 3 mjesta metastaza. Četrnaest procenata </w:t>
            </w:r>
            <w:r w:rsidR="009A2061">
              <w:rPr>
                <w:sz w:val="22"/>
                <w:szCs w:val="22"/>
                <w:lang w:val="it-IT"/>
              </w:rPr>
              <w:t>pacijenata</w:t>
            </w:r>
            <w:r w:rsidR="009A2061" w:rsidRPr="00BF57A3">
              <w:rPr>
                <w:sz w:val="22"/>
                <w:szCs w:val="22"/>
                <w:lang w:val="it-IT"/>
              </w:rPr>
              <w:t xml:space="preserve"> </w:t>
            </w:r>
            <w:r w:rsidRPr="00BF57A3">
              <w:rPr>
                <w:sz w:val="22"/>
                <w:szCs w:val="22"/>
                <w:lang w:val="it-IT"/>
              </w:rPr>
              <w:t xml:space="preserve">nije prethodno primalo hemoterapiju; 27% je primalo samo adjuvantnu hemoterapiju, 40% samo hemoterapiju za metastatsku bolest, a 19% i adjuvantnu hemoterapiju i hemoterapiju za metastatsku bolest. Pedeset i devet procenata primilo je ispitivani lijek kao drugu ili sljedeću po redu liniju liječenja. Sedamdeset sedam procenata </w:t>
            </w:r>
            <w:r w:rsidR="009A2061">
              <w:rPr>
                <w:sz w:val="22"/>
                <w:szCs w:val="22"/>
                <w:lang w:val="it-IT"/>
              </w:rPr>
              <w:t>pacijenata</w:t>
            </w:r>
            <w:r w:rsidR="009A2061" w:rsidRPr="00BF57A3">
              <w:rPr>
                <w:sz w:val="22"/>
                <w:szCs w:val="22"/>
                <w:lang w:val="it-IT"/>
              </w:rPr>
              <w:t xml:space="preserve"> </w:t>
            </w:r>
            <w:r w:rsidRPr="00BF57A3">
              <w:rPr>
                <w:sz w:val="22"/>
                <w:szCs w:val="22"/>
                <w:lang w:val="it-IT"/>
              </w:rPr>
              <w:t>bilo je prethodno izloženo antraciklinima.</w:t>
            </w:r>
          </w:p>
          <w:p w14:paraId="49E79DEA" w14:textId="77777777" w:rsidR="00AA7CC9" w:rsidRPr="00BF57A3" w:rsidRDefault="00AA7CC9">
            <w:pPr>
              <w:pStyle w:val="Header"/>
              <w:tabs>
                <w:tab w:val="left" w:pos="284"/>
              </w:tabs>
              <w:jc w:val="both"/>
              <w:rPr>
                <w:sz w:val="22"/>
                <w:szCs w:val="22"/>
                <w:lang w:val="it-IT"/>
              </w:rPr>
            </w:pPr>
          </w:p>
          <w:p w14:paraId="55A1F545" w14:textId="19B4D3ED" w:rsidR="00AA7CC9" w:rsidRPr="00BF57A3" w:rsidRDefault="00AA7CC9">
            <w:pPr>
              <w:pStyle w:val="Header"/>
              <w:tabs>
                <w:tab w:val="left" w:pos="284"/>
              </w:tabs>
              <w:jc w:val="both"/>
              <w:rPr>
                <w:sz w:val="22"/>
                <w:szCs w:val="22"/>
                <w:lang w:val="it-IT"/>
              </w:rPr>
            </w:pPr>
            <w:r w:rsidRPr="00BF57A3">
              <w:rPr>
                <w:sz w:val="22"/>
                <w:szCs w:val="22"/>
                <w:lang w:val="it-IT"/>
              </w:rPr>
              <w:t xml:space="preserve">Rezultati ukupne stope odgovora i vrijeme do progresije bolesti i preživljavanje bez progresije bolesti i preživljavanje za </w:t>
            </w:r>
            <w:r w:rsidR="009A2061">
              <w:rPr>
                <w:sz w:val="22"/>
                <w:szCs w:val="22"/>
                <w:lang w:val="it-IT"/>
              </w:rPr>
              <w:t>pacijente</w:t>
            </w:r>
            <w:r w:rsidR="009A2061" w:rsidRPr="00BF57A3">
              <w:rPr>
                <w:sz w:val="22"/>
                <w:szCs w:val="22"/>
                <w:lang w:val="it-IT"/>
              </w:rPr>
              <w:t xml:space="preserve"> </w:t>
            </w:r>
            <w:r w:rsidRPr="00BF57A3">
              <w:rPr>
                <w:sz w:val="22"/>
                <w:szCs w:val="22"/>
                <w:lang w:val="it-IT"/>
              </w:rPr>
              <w:t>koji su primali &gt; 1. linije liječenja prikazani su u nastavku.</w:t>
            </w:r>
          </w:p>
          <w:p w14:paraId="414B3B0C" w14:textId="66AC0231" w:rsidR="00AA7CC9" w:rsidRDefault="00AA7CC9">
            <w:pPr>
              <w:pStyle w:val="Header"/>
              <w:tabs>
                <w:tab w:val="left" w:pos="284"/>
              </w:tabs>
              <w:jc w:val="both"/>
              <w:rPr>
                <w:sz w:val="22"/>
                <w:szCs w:val="22"/>
                <w:lang w:val="it-IT"/>
              </w:rPr>
            </w:pPr>
          </w:p>
          <w:tbl>
            <w:tblPr>
              <w:tblW w:w="9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3"/>
              <w:gridCol w:w="2884"/>
              <w:gridCol w:w="2884"/>
              <w:gridCol w:w="1264"/>
            </w:tblGrid>
            <w:tr w:rsidR="00B80618" w:rsidRPr="00BF57A3" w14:paraId="3B0E6A83" w14:textId="77777777" w:rsidTr="00072088">
              <w:trPr>
                <w:trHeight w:val="705"/>
                <w:tblHeader/>
              </w:trPr>
              <w:tc>
                <w:tcPr>
                  <w:tcW w:w="9195" w:type="dxa"/>
                  <w:gridSpan w:val="4"/>
                  <w:tcBorders>
                    <w:top w:val="nil"/>
                    <w:left w:val="nil"/>
                    <w:right w:val="nil"/>
                  </w:tcBorders>
                </w:tcPr>
                <w:p w14:paraId="2E666E8E" w14:textId="77777777" w:rsidR="00B80618" w:rsidRPr="00BF57A3" w:rsidRDefault="00B80618" w:rsidP="00B80618">
                  <w:pPr>
                    <w:pStyle w:val="Header"/>
                    <w:tabs>
                      <w:tab w:val="left" w:pos="284"/>
                    </w:tabs>
                    <w:jc w:val="both"/>
                    <w:rPr>
                      <w:b/>
                      <w:sz w:val="22"/>
                      <w:szCs w:val="22"/>
                      <w:lang w:val="it-IT"/>
                    </w:rPr>
                  </w:pPr>
                </w:p>
                <w:p w14:paraId="2AAC06F1" w14:textId="77777777" w:rsidR="00B80618" w:rsidRPr="00BF57A3" w:rsidRDefault="00B80618" w:rsidP="00B80618">
                  <w:pPr>
                    <w:pStyle w:val="Header"/>
                    <w:tabs>
                      <w:tab w:val="left" w:pos="0"/>
                    </w:tabs>
                    <w:jc w:val="both"/>
                    <w:rPr>
                      <w:b/>
                      <w:sz w:val="22"/>
                      <w:szCs w:val="22"/>
                      <w:lang w:val="it-IT"/>
                    </w:rPr>
                  </w:pPr>
                  <w:r w:rsidRPr="00BF57A3">
                    <w:rPr>
                      <w:b/>
                      <w:sz w:val="22"/>
                      <w:szCs w:val="22"/>
                      <w:lang w:val="it-IT"/>
                    </w:rPr>
                    <w:t xml:space="preserve">Tabela 8: Rezultati ukupne stope odgovora, medijana vremena do progresije bolesti i preživljavanje bez progresije bolesti prema procjeni ispitivača  </w:t>
                  </w:r>
                </w:p>
                <w:p w14:paraId="24931EB9" w14:textId="77777777" w:rsidR="00B80618" w:rsidRPr="00BF57A3" w:rsidRDefault="00B80618" w:rsidP="00B80618">
                  <w:pPr>
                    <w:keepNext/>
                    <w:keepLines/>
                    <w:widowControl w:val="0"/>
                    <w:tabs>
                      <w:tab w:val="left" w:pos="567"/>
                    </w:tabs>
                    <w:jc w:val="both"/>
                    <w:rPr>
                      <w:sz w:val="22"/>
                      <w:szCs w:val="22"/>
                      <w:lang w:val="it-IT"/>
                    </w:rPr>
                  </w:pPr>
                </w:p>
              </w:tc>
            </w:tr>
            <w:tr w:rsidR="00B80618" w:rsidRPr="00BF57A3" w14:paraId="3999C44F" w14:textId="77777777" w:rsidTr="00072088">
              <w:trPr>
                <w:trHeight w:val="466"/>
                <w:tblHeader/>
              </w:trPr>
              <w:tc>
                <w:tcPr>
                  <w:tcW w:w="2163" w:type="dxa"/>
                  <w:vAlign w:val="center"/>
                </w:tcPr>
                <w:p w14:paraId="3318EC1F" w14:textId="77777777" w:rsidR="00B80618" w:rsidRPr="00BF57A3" w:rsidRDefault="00B80618" w:rsidP="00B80618">
                  <w:pPr>
                    <w:keepNext/>
                    <w:keepLines/>
                    <w:widowControl w:val="0"/>
                    <w:tabs>
                      <w:tab w:val="left" w:pos="567"/>
                    </w:tabs>
                    <w:jc w:val="both"/>
                    <w:rPr>
                      <w:sz w:val="22"/>
                      <w:szCs w:val="22"/>
                    </w:rPr>
                  </w:pPr>
                  <w:r w:rsidRPr="00BF57A3">
                    <w:rPr>
                      <w:sz w:val="22"/>
                      <w:szCs w:val="22"/>
                    </w:rPr>
                    <w:t>Varijabla efikasnosti</w:t>
                  </w:r>
                </w:p>
              </w:tc>
              <w:tc>
                <w:tcPr>
                  <w:tcW w:w="2884" w:type="dxa"/>
                  <w:vAlign w:val="center"/>
                </w:tcPr>
                <w:p w14:paraId="5E273481" w14:textId="77777777" w:rsidR="00B80618" w:rsidRPr="00BF57A3" w:rsidRDefault="00B80618" w:rsidP="00B80618">
                  <w:pPr>
                    <w:keepNext/>
                    <w:keepLines/>
                    <w:widowControl w:val="0"/>
                    <w:tabs>
                      <w:tab w:val="left" w:pos="567"/>
                    </w:tabs>
                    <w:jc w:val="both"/>
                    <w:rPr>
                      <w:sz w:val="22"/>
                      <w:szCs w:val="22"/>
                    </w:rPr>
                  </w:pPr>
                  <w:r w:rsidRPr="00BF57A3">
                    <w:rPr>
                      <w:sz w:val="22"/>
                      <w:szCs w:val="22"/>
                    </w:rPr>
                    <w:t>Abraxane</w:t>
                  </w:r>
                </w:p>
                <w:p w14:paraId="21163180" w14:textId="77777777" w:rsidR="00B80618" w:rsidRPr="00BF57A3" w:rsidRDefault="00B80618" w:rsidP="00B80618">
                  <w:pPr>
                    <w:keepNext/>
                    <w:keepLines/>
                    <w:widowControl w:val="0"/>
                    <w:tabs>
                      <w:tab w:val="left" w:pos="567"/>
                    </w:tabs>
                    <w:jc w:val="both"/>
                    <w:rPr>
                      <w:sz w:val="22"/>
                      <w:szCs w:val="22"/>
                    </w:rPr>
                  </w:pPr>
                  <w:r w:rsidRPr="00BF57A3">
                    <w:rPr>
                      <w:sz w:val="22"/>
                      <w:szCs w:val="22"/>
                    </w:rPr>
                    <w:t>(260 mg/m</w:t>
                  </w:r>
                  <w:r w:rsidRPr="00BF57A3">
                    <w:rPr>
                      <w:sz w:val="22"/>
                      <w:szCs w:val="22"/>
                      <w:vertAlign w:val="superscript"/>
                    </w:rPr>
                    <w:t>2</w:t>
                  </w:r>
                  <w:r w:rsidRPr="00BF57A3">
                    <w:rPr>
                      <w:sz w:val="22"/>
                      <w:szCs w:val="22"/>
                    </w:rPr>
                    <w:t>)</w:t>
                  </w:r>
                </w:p>
              </w:tc>
              <w:tc>
                <w:tcPr>
                  <w:tcW w:w="2884" w:type="dxa"/>
                  <w:vAlign w:val="center"/>
                </w:tcPr>
                <w:p w14:paraId="6B75BFE8" w14:textId="77777777" w:rsidR="00B80618" w:rsidRPr="00BF57A3" w:rsidRDefault="00B80618" w:rsidP="00B80618">
                  <w:pPr>
                    <w:keepNext/>
                    <w:keepLines/>
                    <w:widowControl w:val="0"/>
                    <w:tabs>
                      <w:tab w:val="left" w:pos="567"/>
                    </w:tabs>
                    <w:jc w:val="both"/>
                    <w:rPr>
                      <w:sz w:val="22"/>
                      <w:szCs w:val="22"/>
                      <w:lang w:val="es-ES"/>
                    </w:rPr>
                  </w:pPr>
                  <w:r w:rsidRPr="00BF57A3">
                    <w:rPr>
                      <w:sz w:val="22"/>
                      <w:szCs w:val="22"/>
                      <w:lang w:val="es-ES"/>
                    </w:rPr>
                    <w:t>Paklitaksel u rastvaraču</w:t>
                  </w:r>
                </w:p>
                <w:p w14:paraId="1F502144" w14:textId="77777777" w:rsidR="00B80618" w:rsidRPr="00BF57A3" w:rsidRDefault="00B80618" w:rsidP="00B80618">
                  <w:pPr>
                    <w:keepNext/>
                    <w:keepLines/>
                    <w:widowControl w:val="0"/>
                    <w:tabs>
                      <w:tab w:val="left" w:pos="567"/>
                    </w:tabs>
                    <w:jc w:val="both"/>
                    <w:rPr>
                      <w:sz w:val="22"/>
                      <w:szCs w:val="22"/>
                      <w:lang w:val="es-ES"/>
                    </w:rPr>
                  </w:pPr>
                  <w:r w:rsidRPr="00BF57A3">
                    <w:rPr>
                      <w:sz w:val="22"/>
                      <w:szCs w:val="22"/>
                      <w:lang w:val="es-ES"/>
                    </w:rPr>
                    <w:t xml:space="preserve"> (175 mg/m</w:t>
                  </w:r>
                  <w:r w:rsidRPr="00BF57A3">
                    <w:rPr>
                      <w:sz w:val="22"/>
                      <w:szCs w:val="22"/>
                      <w:vertAlign w:val="superscript"/>
                      <w:lang w:val="es-ES"/>
                    </w:rPr>
                    <w:t>2</w:t>
                  </w:r>
                  <w:r w:rsidRPr="00BF57A3">
                    <w:rPr>
                      <w:sz w:val="22"/>
                      <w:szCs w:val="22"/>
                      <w:lang w:val="es-ES"/>
                    </w:rPr>
                    <w:t>)</w:t>
                  </w:r>
                </w:p>
              </w:tc>
              <w:tc>
                <w:tcPr>
                  <w:tcW w:w="1264" w:type="dxa"/>
                  <w:vAlign w:val="center"/>
                </w:tcPr>
                <w:p w14:paraId="6018FC73" w14:textId="77777777" w:rsidR="00B80618" w:rsidRPr="00BF57A3" w:rsidRDefault="00B80618" w:rsidP="00B80618">
                  <w:pPr>
                    <w:keepNext/>
                    <w:keepLines/>
                    <w:widowControl w:val="0"/>
                    <w:tabs>
                      <w:tab w:val="left" w:pos="567"/>
                    </w:tabs>
                    <w:jc w:val="both"/>
                    <w:rPr>
                      <w:sz w:val="22"/>
                      <w:szCs w:val="22"/>
                    </w:rPr>
                  </w:pPr>
                  <w:r w:rsidRPr="00BF57A3">
                    <w:rPr>
                      <w:sz w:val="22"/>
                      <w:szCs w:val="22"/>
                    </w:rPr>
                    <w:t>p-vrijednost</w:t>
                  </w:r>
                </w:p>
              </w:tc>
            </w:tr>
            <w:tr w:rsidR="00B80618" w:rsidRPr="00BF57A3" w14:paraId="18019B4F" w14:textId="77777777" w:rsidTr="00072088">
              <w:trPr>
                <w:trHeight w:val="240"/>
              </w:trPr>
              <w:tc>
                <w:tcPr>
                  <w:tcW w:w="9195" w:type="dxa"/>
                  <w:gridSpan w:val="4"/>
                </w:tcPr>
                <w:p w14:paraId="5B0CE031" w14:textId="77777777" w:rsidR="00B80618" w:rsidRPr="00BF57A3" w:rsidRDefault="00B80618" w:rsidP="00B80618">
                  <w:pPr>
                    <w:keepNext/>
                    <w:keepLines/>
                    <w:widowControl w:val="0"/>
                    <w:tabs>
                      <w:tab w:val="left" w:pos="567"/>
                    </w:tabs>
                    <w:jc w:val="both"/>
                    <w:rPr>
                      <w:i/>
                      <w:sz w:val="22"/>
                      <w:szCs w:val="22"/>
                    </w:rPr>
                  </w:pPr>
                  <w:r w:rsidRPr="00BF57A3">
                    <w:rPr>
                      <w:i/>
                      <w:sz w:val="22"/>
                      <w:szCs w:val="22"/>
                    </w:rPr>
                    <w:t>Stopa odgovora [95% CI] (%)</w:t>
                  </w:r>
                </w:p>
              </w:tc>
            </w:tr>
            <w:tr w:rsidR="00B80618" w:rsidRPr="00BF57A3" w14:paraId="5AC3F0C3" w14:textId="77777777" w:rsidTr="00072088">
              <w:trPr>
                <w:trHeight w:val="273"/>
              </w:trPr>
              <w:tc>
                <w:tcPr>
                  <w:tcW w:w="2163" w:type="dxa"/>
                  <w:tcBorders>
                    <w:top w:val="single" w:sz="4" w:space="0" w:color="auto"/>
                  </w:tcBorders>
                </w:tcPr>
                <w:p w14:paraId="10AFE192" w14:textId="77777777" w:rsidR="00B80618" w:rsidRPr="00BF57A3" w:rsidRDefault="00B80618" w:rsidP="00B80618">
                  <w:pPr>
                    <w:keepNext/>
                    <w:keepLines/>
                    <w:widowControl w:val="0"/>
                    <w:tabs>
                      <w:tab w:val="left" w:pos="567"/>
                    </w:tabs>
                    <w:jc w:val="both"/>
                    <w:rPr>
                      <w:sz w:val="22"/>
                      <w:szCs w:val="22"/>
                    </w:rPr>
                  </w:pPr>
                  <w:r w:rsidRPr="00BF57A3">
                    <w:rPr>
                      <w:sz w:val="22"/>
                      <w:szCs w:val="22"/>
                    </w:rPr>
                    <w:t>&gt; 1. linije terapije</w:t>
                  </w:r>
                </w:p>
              </w:tc>
              <w:tc>
                <w:tcPr>
                  <w:tcW w:w="2884" w:type="dxa"/>
                </w:tcPr>
                <w:p w14:paraId="466D5689" w14:textId="77777777" w:rsidR="00B80618" w:rsidRPr="00BF57A3" w:rsidRDefault="00B80618" w:rsidP="00B80618">
                  <w:pPr>
                    <w:keepNext/>
                    <w:keepLines/>
                    <w:widowControl w:val="0"/>
                    <w:tabs>
                      <w:tab w:val="left" w:pos="567"/>
                    </w:tabs>
                    <w:jc w:val="both"/>
                    <w:rPr>
                      <w:sz w:val="22"/>
                      <w:szCs w:val="22"/>
                    </w:rPr>
                  </w:pPr>
                  <w:r w:rsidRPr="00BF57A3">
                    <w:rPr>
                      <w:sz w:val="22"/>
                      <w:szCs w:val="22"/>
                    </w:rPr>
                    <w:t>26,5 [18,98, 34,05] (n = 132)</w:t>
                  </w:r>
                </w:p>
              </w:tc>
              <w:tc>
                <w:tcPr>
                  <w:tcW w:w="2884" w:type="dxa"/>
                </w:tcPr>
                <w:p w14:paraId="6B9D9DF5" w14:textId="77777777" w:rsidR="00B80618" w:rsidRPr="00BF57A3" w:rsidRDefault="00B80618" w:rsidP="00B80618">
                  <w:pPr>
                    <w:keepNext/>
                    <w:keepLines/>
                    <w:widowControl w:val="0"/>
                    <w:tabs>
                      <w:tab w:val="left" w:pos="567"/>
                    </w:tabs>
                    <w:jc w:val="both"/>
                    <w:rPr>
                      <w:sz w:val="22"/>
                      <w:szCs w:val="22"/>
                    </w:rPr>
                  </w:pPr>
                  <w:r w:rsidRPr="00BF57A3">
                    <w:rPr>
                      <w:sz w:val="22"/>
                      <w:szCs w:val="22"/>
                    </w:rPr>
                    <w:t>13,2 [7,54, 18,93] (n = 136)</w:t>
                  </w:r>
                </w:p>
              </w:tc>
              <w:tc>
                <w:tcPr>
                  <w:tcW w:w="1264" w:type="dxa"/>
                </w:tcPr>
                <w:p w14:paraId="18C1B831" w14:textId="77777777" w:rsidR="00B80618" w:rsidRPr="00BF57A3" w:rsidRDefault="00B80618" w:rsidP="00B80618">
                  <w:pPr>
                    <w:keepNext/>
                    <w:keepLines/>
                    <w:widowControl w:val="0"/>
                    <w:tabs>
                      <w:tab w:val="left" w:pos="567"/>
                    </w:tabs>
                    <w:jc w:val="both"/>
                    <w:rPr>
                      <w:sz w:val="22"/>
                      <w:szCs w:val="22"/>
                    </w:rPr>
                  </w:pPr>
                  <w:r w:rsidRPr="00BF57A3">
                    <w:rPr>
                      <w:sz w:val="22"/>
                      <w:szCs w:val="22"/>
                    </w:rPr>
                    <w:t>0,006</w:t>
                  </w:r>
                  <w:r w:rsidRPr="00BF57A3">
                    <w:rPr>
                      <w:sz w:val="22"/>
                      <w:szCs w:val="22"/>
                      <w:vertAlign w:val="superscript"/>
                    </w:rPr>
                    <w:t>a</w:t>
                  </w:r>
                </w:p>
              </w:tc>
            </w:tr>
            <w:tr w:rsidR="00B80618" w:rsidRPr="00BF57A3" w14:paraId="36E8DEF1" w14:textId="77777777" w:rsidTr="00072088">
              <w:trPr>
                <w:trHeight w:val="226"/>
              </w:trPr>
              <w:tc>
                <w:tcPr>
                  <w:tcW w:w="9195" w:type="dxa"/>
                  <w:gridSpan w:val="4"/>
                </w:tcPr>
                <w:p w14:paraId="29F85530" w14:textId="77777777" w:rsidR="00B80618" w:rsidRPr="00BF57A3" w:rsidRDefault="00B80618" w:rsidP="00B80618">
                  <w:pPr>
                    <w:keepNext/>
                    <w:keepLines/>
                    <w:widowControl w:val="0"/>
                    <w:tabs>
                      <w:tab w:val="left" w:pos="567"/>
                    </w:tabs>
                    <w:jc w:val="both"/>
                    <w:rPr>
                      <w:i/>
                      <w:sz w:val="22"/>
                      <w:szCs w:val="22"/>
                      <w:lang w:val="it-IT"/>
                    </w:rPr>
                  </w:pPr>
                  <w:r w:rsidRPr="00BF57A3">
                    <w:rPr>
                      <w:i/>
                      <w:sz w:val="22"/>
                      <w:szCs w:val="22"/>
                      <w:lang w:val="it-IT"/>
                    </w:rPr>
                    <w:t>*</w:t>
                  </w:r>
                  <w:r w:rsidRPr="006C640E">
                    <w:rPr>
                      <w:sz w:val="22"/>
                      <w:szCs w:val="22"/>
                      <w:lang w:val="it-IT"/>
                    </w:rPr>
                    <w:t xml:space="preserve"> </w:t>
                  </w:r>
                  <w:r w:rsidRPr="00BF57A3">
                    <w:rPr>
                      <w:i/>
                      <w:sz w:val="22"/>
                      <w:szCs w:val="22"/>
                      <w:lang w:val="it-IT"/>
                    </w:rPr>
                    <w:t>Medijana vremena do progresije bolesti [95% CI] (nedjelje)</w:t>
                  </w:r>
                </w:p>
              </w:tc>
            </w:tr>
            <w:tr w:rsidR="00B80618" w:rsidRPr="00BF57A3" w14:paraId="08AA5164" w14:textId="77777777" w:rsidTr="00072088">
              <w:trPr>
                <w:trHeight w:val="295"/>
              </w:trPr>
              <w:tc>
                <w:tcPr>
                  <w:tcW w:w="2163" w:type="dxa"/>
                </w:tcPr>
                <w:p w14:paraId="1EBD887D" w14:textId="77777777" w:rsidR="00B80618" w:rsidRPr="00BF57A3" w:rsidRDefault="00B80618" w:rsidP="00B80618">
                  <w:pPr>
                    <w:keepNext/>
                    <w:keepLines/>
                    <w:widowControl w:val="0"/>
                    <w:tabs>
                      <w:tab w:val="left" w:pos="567"/>
                    </w:tabs>
                    <w:jc w:val="both"/>
                    <w:rPr>
                      <w:sz w:val="22"/>
                      <w:szCs w:val="22"/>
                    </w:rPr>
                  </w:pPr>
                  <w:r w:rsidRPr="00BF57A3">
                    <w:rPr>
                      <w:sz w:val="22"/>
                      <w:szCs w:val="22"/>
                    </w:rPr>
                    <w:t>&gt; 1. linije terapije</w:t>
                  </w:r>
                </w:p>
              </w:tc>
              <w:tc>
                <w:tcPr>
                  <w:tcW w:w="2884" w:type="dxa"/>
                </w:tcPr>
                <w:p w14:paraId="6829DB14" w14:textId="77777777" w:rsidR="00B80618" w:rsidRPr="00BF57A3" w:rsidRDefault="00B80618" w:rsidP="00B80618">
                  <w:pPr>
                    <w:keepNext/>
                    <w:keepLines/>
                    <w:widowControl w:val="0"/>
                    <w:tabs>
                      <w:tab w:val="left" w:pos="567"/>
                    </w:tabs>
                    <w:jc w:val="both"/>
                    <w:rPr>
                      <w:sz w:val="22"/>
                      <w:szCs w:val="22"/>
                    </w:rPr>
                  </w:pPr>
                  <w:r w:rsidRPr="00BF57A3">
                    <w:rPr>
                      <w:sz w:val="22"/>
                      <w:szCs w:val="22"/>
                    </w:rPr>
                    <w:t>20,9 [15,7, 25,9] (n = 131)</w:t>
                  </w:r>
                </w:p>
              </w:tc>
              <w:tc>
                <w:tcPr>
                  <w:tcW w:w="2884" w:type="dxa"/>
                </w:tcPr>
                <w:p w14:paraId="28C68CE5" w14:textId="77777777" w:rsidR="00B80618" w:rsidRPr="00BF57A3" w:rsidRDefault="00B80618" w:rsidP="00B80618">
                  <w:pPr>
                    <w:keepNext/>
                    <w:keepLines/>
                    <w:widowControl w:val="0"/>
                    <w:tabs>
                      <w:tab w:val="left" w:pos="567"/>
                    </w:tabs>
                    <w:jc w:val="both"/>
                    <w:rPr>
                      <w:sz w:val="22"/>
                      <w:szCs w:val="22"/>
                    </w:rPr>
                  </w:pPr>
                  <w:r w:rsidRPr="00BF57A3">
                    <w:rPr>
                      <w:sz w:val="22"/>
                      <w:szCs w:val="22"/>
                    </w:rPr>
                    <w:t>16,1 [15,0, 19,3] (n = 135)</w:t>
                  </w:r>
                </w:p>
              </w:tc>
              <w:tc>
                <w:tcPr>
                  <w:tcW w:w="1264" w:type="dxa"/>
                </w:tcPr>
                <w:p w14:paraId="641805FB" w14:textId="77777777" w:rsidR="00B80618" w:rsidRPr="00BF57A3" w:rsidRDefault="00B80618" w:rsidP="00B80618">
                  <w:pPr>
                    <w:keepNext/>
                    <w:keepLines/>
                    <w:widowControl w:val="0"/>
                    <w:tabs>
                      <w:tab w:val="left" w:pos="567"/>
                    </w:tabs>
                    <w:jc w:val="both"/>
                    <w:rPr>
                      <w:sz w:val="22"/>
                      <w:szCs w:val="22"/>
                    </w:rPr>
                  </w:pPr>
                  <w:r w:rsidRPr="00BF57A3">
                    <w:rPr>
                      <w:sz w:val="22"/>
                      <w:szCs w:val="22"/>
                    </w:rPr>
                    <w:t>0,011</w:t>
                  </w:r>
                  <w:r w:rsidRPr="00BF57A3">
                    <w:rPr>
                      <w:sz w:val="22"/>
                      <w:szCs w:val="22"/>
                      <w:vertAlign w:val="superscript"/>
                    </w:rPr>
                    <w:t>b</w:t>
                  </w:r>
                </w:p>
              </w:tc>
            </w:tr>
            <w:tr w:rsidR="00B80618" w:rsidRPr="00BF57A3" w14:paraId="0D8F3BEC" w14:textId="77777777" w:rsidTr="00072088">
              <w:trPr>
                <w:trHeight w:val="226"/>
              </w:trPr>
              <w:tc>
                <w:tcPr>
                  <w:tcW w:w="9195" w:type="dxa"/>
                  <w:gridSpan w:val="4"/>
                </w:tcPr>
                <w:p w14:paraId="09012FB1" w14:textId="77777777" w:rsidR="00B80618" w:rsidRPr="00BF57A3" w:rsidRDefault="00B80618" w:rsidP="00B80618">
                  <w:pPr>
                    <w:keepNext/>
                    <w:keepLines/>
                    <w:widowControl w:val="0"/>
                    <w:tabs>
                      <w:tab w:val="left" w:pos="567"/>
                    </w:tabs>
                    <w:jc w:val="both"/>
                    <w:rPr>
                      <w:i/>
                      <w:sz w:val="22"/>
                      <w:szCs w:val="22"/>
                      <w:lang w:val="it-IT"/>
                    </w:rPr>
                  </w:pPr>
                  <w:r w:rsidRPr="00BF57A3">
                    <w:rPr>
                      <w:i/>
                      <w:sz w:val="22"/>
                      <w:szCs w:val="22"/>
                      <w:lang w:val="it-IT"/>
                    </w:rPr>
                    <w:t>*</w:t>
                  </w:r>
                  <w:r w:rsidRPr="006C640E">
                    <w:rPr>
                      <w:sz w:val="22"/>
                      <w:szCs w:val="22"/>
                      <w:lang w:val="it-IT"/>
                    </w:rPr>
                    <w:t xml:space="preserve"> </w:t>
                  </w:r>
                  <w:r w:rsidRPr="00BF57A3">
                    <w:rPr>
                      <w:i/>
                      <w:sz w:val="22"/>
                      <w:szCs w:val="22"/>
                      <w:lang w:val="it-IT"/>
                    </w:rPr>
                    <w:t>Medijana preživljavanja bez progresije bolesti [95% CI] (nedjelje)</w:t>
                  </w:r>
                </w:p>
              </w:tc>
            </w:tr>
            <w:tr w:rsidR="00B80618" w:rsidRPr="00BF57A3" w14:paraId="3BC95F49" w14:textId="77777777" w:rsidTr="00072088">
              <w:trPr>
                <w:trHeight w:val="304"/>
              </w:trPr>
              <w:tc>
                <w:tcPr>
                  <w:tcW w:w="2163" w:type="dxa"/>
                  <w:tcBorders>
                    <w:top w:val="single" w:sz="4" w:space="0" w:color="auto"/>
                  </w:tcBorders>
                </w:tcPr>
                <w:p w14:paraId="4AFA7D10" w14:textId="77777777" w:rsidR="00B80618" w:rsidRPr="00BF57A3" w:rsidRDefault="00B80618" w:rsidP="00B80618">
                  <w:pPr>
                    <w:keepNext/>
                    <w:keepLines/>
                    <w:widowControl w:val="0"/>
                    <w:tabs>
                      <w:tab w:val="left" w:pos="567"/>
                    </w:tabs>
                    <w:jc w:val="both"/>
                    <w:rPr>
                      <w:sz w:val="22"/>
                      <w:szCs w:val="22"/>
                      <w:lang w:val="it-IT"/>
                    </w:rPr>
                  </w:pPr>
                  <w:r w:rsidRPr="00BF57A3">
                    <w:rPr>
                      <w:sz w:val="22"/>
                      <w:szCs w:val="22"/>
                      <w:lang w:val="it-IT"/>
                    </w:rPr>
                    <w:t>&gt; 1. linije terapije</w:t>
                  </w:r>
                </w:p>
              </w:tc>
              <w:tc>
                <w:tcPr>
                  <w:tcW w:w="2884" w:type="dxa"/>
                </w:tcPr>
                <w:p w14:paraId="069CAEB9" w14:textId="77777777" w:rsidR="00B80618" w:rsidRPr="00BF57A3" w:rsidRDefault="00B80618" w:rsidP="00B80618">
                  <w:pPr>
                    <w:keepNext/>
                    <w:keepLines/>
                    <w:widowControl w:val="0"/>
                    <w:tabs>
                      <w:tab w:val="left" w:pos="567"/>
                    </w:tabs>
                    <w:jc w:val="both"/>
                    <w:rPr>
                      <w:sz w:val="22"/>
                      <w:szCs w:val="22"/>
                      <w:lang w:val="it-IT"/>
                    </w:rPr>
                  </w:pPr>
                  <w:r w:rsidRPr="00BF57A3">
                    <w:rPr>
                      <w:sz w:val="22"/>
                      <w:szCs w:val="22"/>
                      <w:lang w:val="it-IT"/>
                    </w:rPr>
                    <w:t>20,6 [15,6, 25,9] (n = 131)</w:t>
                  </w:r>
                </w:p>
              </w:tc>
              <w:tc>
                <w:tcPr>
                  <w:tcW w:w="2884" w:type="dxa"/>
                </w:tcPr>
                <w:p w14:paraId="43E7B5DD" w14:textId="77777777" w:rsidR="00B80618" w:rsidRPr="00BF57A3" w:rsidRDefault="00B80618" w:rsidP="00B80618">
                  <w:pPr>
                    <w:keepNext/>
                    <w:keepLines/>
                    <w:widowControl w:val="0"/>
                    <w:tabs>
                      <w:tab w:val="left" w:pos="567"/>
                    </w:tabs>
                    <w:jc w:val="both"/>
                    <w:rPr>
                      <w:sz w:val="22"/>
                      <w:szCs w:val="22"/>
                      <w:lang w:val="it-IT"/>
                    </w:rPr>
                  </w:pPr>
                  <w:r w:rsidRPr="00BF57A3">
                    <w:rPr>
                      <w:sz w:val="22"/>
                      <w:szCs w:val="22"/>
                      <w:lang w:val="it-IT"/>
                    </w:rPr>
                    <w:t>16,1 [15,0, 18,3] (n = 135)</w:t>
                  </w:r>
                </w:p>
              </w:tc>
              <w:tc>
                <w:tcPr>
                  <w:tcW w:w="1264" w:type="dxa"/>
                </w:tcPr>
                <w:p w14:paraId="2B38C424" w14:textId="77777777" w:rsidR="00B80618" w:rsidRPr="00BF57A3" w:rsidRDefault="00B80618" w:rsidP="00B80618">
                  <w:pPr>
                    <w:keepNext/>
                    <w:keepLines/>
                    <w:widowControl w:val="0"/>
                    <w:tabs>
                      <w:tab w:val="left" w:pos="567"/>
                    </w:tabs>
                    <w:jc w:val="both"/>
                    <w:rPr>
                      <w:sz w:val="22"/>
                      <w:szCs w:val="22"/>
                      <w:lang w:val="it-IT"/>
                    </w:rPr>
                  </w:pPr>
                  <w:r w:rsidRPr="00BF57A3">
                    <w:rPr>
                      <w:sz w:val="22"/>
                      <w:szCs w:val="22"/>
                      <w:lang w:val="it-IT"/>
                    </w:rPr>
                    <w:t>0,010</w:t>
                  </w:r>
                  <w:r w:rsidRPr="00BF57A3">
                    <w:rPr>
                      <w:sz w:val="22"/>
                      <w:szCs w:val="22"/>
                      <w:vertAlign w:val="superscript"/>
                      <w:lang w:val="it-IT"/>
                    </w:rPr>
                    <w:t>b</w:t>
                  </w:r>
                </w:p>
              </w:tc>
            </w:tr>
            <w:tr w:rsidR="00B80618" w:rsidRPr="00BF57A3" w14:paraId="791BE707" w14:textId="77777777" w:rsidTr="00072088">
              <w:trPr>
                <w:trHeight w:val="226"/>
              </w:trPr>
              <w:tc>
                <w:tcPr>
                  <w:tcW w:w="9195" w:type="dxa"/>
                  <w:gridSpan w:val="4"/>
                </w:tcPr>
                <w:p w14:paraId="375954ED" w14:textId="77777777" w:rsidR="00B80618" w:rsidRPr="00BF57A3" w:rsidRDefault="00B80618" w:rsidP="00B80618">
                  <w:pPr>
                    <w:keepNext/>
                    <w:keepLines/>
                    <w:widowControl w:val="0"/>
                    <w:tabs>
                      <w:tab w:val="left" w:pos="567"/>
                    </w:tabs>
                    <w:jc w:val="both"/>
                    <w:rPr>
                      <w:i/>
                      <w:sz w:val="22"/>
                      <w:szCs w:val="22"/>
                      <w:lang w:val="it-IT"/>
                    </w:rPr>
                  </w:pPr>
                  <w:r w:rsidRPr="00BF57A3">
                    <w:rPr>
                      <w:i/>
                      <w:sz w:val="22"/>
                      <w:szCs w:val="22"/>
                      <w:lang w:val="it-IT"/>
                    </w:rPr>
                    <w:t>*Preživljavanje [95% CI] (nedjelje)</w:t>
                  </w:r>
                </w:p>
              </w:tc>
            </w:tr>
            <w:tr w:rsidR="00B80618" w:rsidRPr="00BF57A3" w14:paraId="38FAC63D" w14:textId="77777777" w:rsidTr="00072088">
              <w:trPr>
                <w:trHeight w:val="283"/>
              </w:trPr>
              <w:tc>
                <w:tcPr>
                  <w:tcW w:w="2163" w:type="dxa"/>
                </w:tcPr>
                <w:p w14:paraId="3E7AFD11" w14:textId="77777777" w:rsidR="00B80618" w:rsidRPr="00BF57A3" w:rsidRDefault="00B80618" w:rsidP="00B80618">
                  <w:pPr>
                    <w:keepNext/>
                    <w:keepLines/>
                    <w:widowControl w:val="0"/>
                    <w:tabs>
                      <w:tab w:val="left" w:pos="567"/>
                    </w:tabs>
                    <w:jc w:val="both"/>
                    <w:rPr>
                      <w:sz w:val="22"/>
                      <w:szCs w:val="22"/>
                      <w:lang w:val="it-IT"/>
                    </w:rPr>
                  </w:pPr>
                  <w:r w:rsidRPr="00BF57A3">
                    <w:rPr>
                      <w:sz w:val="22"/>
                      <w:szCs w:val="22"/>
                      <w:lang w:val="it-IT"/>
                    </w:rPr>
                    <w:t>&gt; 1. linije terapije</w:t>
                  </w:r>
                </w:p>
              </w:tc>
              <w:tc>
                <w:tcPr>
                  <w:tcW w:w="2884" w:type="dxa"/>
                </w:tcPr>
                <w:p w14:paraId="0F4B4308" w14:textId="77777777" w:rsidR="00B80618" w:rsidRPr="00BF57A3" w:rsidRDefault="00B80618" w:rsidP="00B80618">
                  <w:pPr>
                    <w:keepNext/>
                    <w:keepLines/>
                    <w:widowControl w:val="0"/>
                    <w:tabs>
                      <w:tab w:val="left" w:pos="567"/>
                    </w:tabs>
                    <w:jc w:val="both"/>
                    <w:rPr>
                      <w:sz w:val="22"/>
                      <w:szCs w:val="22"/>
                      <w:lang w:val="it-IT"/>
                    </w:rPr>
                  </w:pPr>
                  <w:r w:rsidRPr="00BF57A3">
                    <w:rPr>
                      <w:sz w:val="22"/>
                      <w:szCs w:val="22"/>
                      <w:lang w:val="it-IT"/>
                    </w:rPr>
                    <w:t>56,4 [45,1, 76,9] (n = 131)</w:t>
                  </w:r>
                </w:p>
              </w:tc>
              <w:tc>
                <w:tcPr>
                  <w:tcW w:w="2884" w:type="dxa"/>
                </w:tcPr>
                <w:p w14:paraId="555732D1" w14:textId="77777777" w:rsidR="00B80618" w:rsidRPr="00BF57A3" w:rsidRDefault="00B80618" w:rsidP="00B80618">
                  <w:pPr>
                    <w:keepNext/>
                    <w:keepLines/>
                    <w:widowControl w:val="0"/>
                    <w:tabs>
                      <w:tab w:val="left" w:pos="567"/>
                    </w:tabs>
                    <w:jc w:val="both"/>
                    <w:rPr>
                      <w:sz w:val="22"/>
                      <w:szCs w:val="22"/>
                      <w:lang w:val="it-IT"/>
                    </w:rPr>
                  </w:pPr>
                  <w:r w:rsidRPr="00BF57A3">
                    <w:rPr>
                      <w:sz w:val="22"/>
                      <w:szCs w:val="22"/>
                      <w:lang w:val="it-IT"/>
                    </w:rPr>
                    <w:t>46,7 [39,0, 55,3] (n = 136)</w:t>
                  </w:r>
                </w:p>
              </w:tc>
              <w:tc>
                <w:tcPr>
                  <w:tcW w:w="1264" w:type="dxa"/>
                </w:tcPr>
                <w:p w14:paraId="0D455C83" w14:textId="77777777" w:rsidR="00B80618" w:rsidRPr="00BF57A3" w:rsidRDefault="00B80618" w:rsidP="00B80618">
                  <w:pPr>
                    <w:keepNext/>
                    <w:keepLines/>
                    <w:widowControl w:val="0"/>
                    <w:tabs>
                      <w:tab w:val="left" w:pos="567"/>
                    </w:tabs>
                    <w:jc w:val="both"/>
                    <w:rPr>
                      <w:sz w:val="22"/>
                      <w:szCs w:val="22"/>
                      <w:lang w:val="it-IT"/>
                    </w:rPr>
                  </w:pPr>
                  <w:r w:rsidRPr="00BF57A3">
                    <w:rPr>
                      <w:sz w:val="22"/>
                      <w:szCs w:val="22"/>
                      <w:lang w:val="it-IT"/>
                    </w:rPr>
                    <w:t>0,020</w:t>
                  </w:r>
                  <w:r w:rsidRPr="00BF57A3">
                    <w:rPr>
                      <w:sz w:val="22"/>
                      <w:szCs w:val="22"/>
                      <w:vertAlign w:val="superscript"/>
                      <w:lang w:val="it-IT"/>
                    </w:rPr>
                    <w:t>b</w:t>
                  </w:r>
                </w:p>
              </w:tc>
            </w:tr>
          </w:tbl>
          <w:p w14:paraId="0793D1EE" w14:textId="77777777" w:rsidR="00B80618" w:rsidRPr="006C640E" w:rsidRDefault="00B80618" w:rsidP="00B80618">
            <w:pPr>
              <w:keepNext/>
              <w:keepLines/>
              <w:widowControl w:val="0"/>
              <w:tabs>
                <w:tab w:val="left" w:pos="567"/>
              </w:tabs>
              <w:jc w:val="both"/>
              <w:rPr>
                <w:sz w:val="22"/>
                <w:szCs w:val="22"/>
                <w:vertAlign w:val="superscript"/>
                <w:lang w:val="es-ES"/>
              </w:rPr>
            </w:pPr>
            <w:r w:rsidRPr="00BF57A3">
              <w:rPr>
                <w:sz w:val="22"/>
                <w:szCs w:val="22"/>
                <w:lang w:val="it-IT"/>
              </w:rPr>
              <w:t>*</w:t>
            </w:r>
            <w:r w:rsidRPr="006C640E">
              <w:rPr>
                <w:sz w:val="22"/>
                <w:szCs w:val="22"/>
                <w:lang w:val="it-IT"/>
              </w:rPr>
              <w:t>Ovi podaci se zasnivaju na Izvještaju kliničkog ispitivanja: CA012-0, konačna dopuna datirana 23. marta 2005</w:t>
            </w:r>
            <w:r w:rsidRPr="00BF57A3">
              <w:rPr>
                <w:sz w:val="22"/>
                <w:szCs w:val="22"/>
                <w:lang w:val="it-IT"/>
              </w:rPr>
              <w:t>.</w:t>
            </w:r>
            <w:r w:rsidRPr="006C640E">
              <w:rPr>
                <w:sz w:val="22"/>
                <w:szCs w:val="22"/>
                <w:vertAlign w:val="superscript"/>
                <w:lang w:val="es-ES"/>
              </w:rPr>
              <w:t xml:space="preserve"> </w:t>
            </w:r>
          </w:p>
          <w:p w14:paraId="4CE93AAD" w14:textId="77777777" w:rsidR="00B80618" w:rsidRPr="006C640E" w:rsidRDefault="00B80618" w:rsidP="00B80618">
            <w:pPr>
              <w:keepNext/>
              <w:keepLines/>
              <w:widowControl w:val="0"/>
              <w:tabs>
                <w:tab w:val="left" w:pos="567"/>
              </w:tabs>
              <w:jc w:val="both"/>
              <w:rPr>
                <w:sz w:val="22"/>
                <w:szCs w:val="22"/>
              </w:rPr>
            </w:pPr>
            <w:r w:rsidRPr="006C640E">
              <w:rPr>
                <w:sz w:val="22"/>
                <w:szCs w:val="22"/>
                <w:vertAlign w:val="superscript"/>
              </w:rPr>
              <w:t>a</w:t>
            </w:r>
            <w:r w:rsidRPr="006C640E">
              <w:rPr>
                <w:sz w:val="22"/>
                <w:szCs w:val="22"/>
              </w:rPr>
              <w:t xml:space="preserve"> Hi-kvadrat test</w:t>
            </w:r>
          </w:p>
          <w:p w14:paraId="2A7CE6ED" w14:textId="77777777" w:rsidR="00B80618" w:rsidRPr="006C640E" w:rsidRDefault="00B80618" w:rsidP="00B80618">
            <w:pPr>
              <w:keepNext/>
              <w:keepLines/>
              <w:widowControl w:val="0"/>
              <w:tabs>
                <w:tab w:val="left" w:pos="567"/>
              </w:tabs>
              <w:jc w:val="both"/>
              <w:rPr>
                <w:sz w:val="22"/>
                <w:szCs w:val="22"/>
              </w:rPr>
            </w:pPr>
            <w:r w:rsidRPr="006C640E">
              <w:rPr>
                <w:sz w:val="22"/>
                <w:szCs w:val="22"/>
                <w:vertAlign w:val="superscript"/>
              </w:rPr>
              <w:t>b</w:t>
            </w:r>
            <w:r w:rsidRPr="006C640E">
              <w:rPr>
                <w:sz w:val="22"/>
                <w:szCs w:val="22"/>
              </w:rPr>
              <w:t xml:space="preserve"> Log</w:t>
            </w:r>
            <w:r w:rsidRPr="006C640E">
              <w:rPr>
                <w:sz w:val="22"/>
                <w:szCs w:val="22"/>
              </w:rPr>
              <w:noBreakHyphen/>
              <w:t>rank test</w:t>
            </w:r>
          </w:p>
          <w:p w14:paraId="6FDCF3CE" w14:textId="77777777" w:rsidR="00B80618" w:rsidRDefault="00B80618">
            <w:pPr>
              <w:pStyle w:val="Header"/>
              <w:tabs>
                <w:tab w:val="left" w:pos="284"/>
              </w:tabs>
              <w:jc w:val="both"/>
              <w:rPr>
                <w:sz w:val="22"/>
                <w:szCs w:val="22"/>
                <w:lang w:val="it-IT"/>
              </w:rPr>
            </w:pPr>
          </w:p>
          <w:p w14:paraId="44F419D6" w14:textId="098217A1" w:rsidR="00AA7CC9" w:rsidRPr="00BF57A3" w:rsidRDefault="00AA7CC9">
            <w:pPr>
              <w:keepNext/>
              <w:keepLines/>
              <w:widowControl w:val="0"/>
              <w:tabs>
                <w:tab w:val="left" w:pos="567"/>
              </w:tabs>
              <w:jc w:val="both"/>
              <w:rPr>
                <w:sz w:val="22"/>
                <w:szCs w:val="22"/>
              </w:rPr>
            </w:pPr>
            <w:r w:rsidRPr="00BF57A3">
              <w:rPr>
                <w:sz w:val="22"/>
                <w:szCs w:val="22"/>
              </w:rPr>
              <w:lastRenderedPageBreak/>
              <w:t xml:space="preserve">U randomizovanom, kontrolisanom kliničkom ispitivanju 229 </w:t>
            </w:r>
            <w:r w:rsidR="009A2061">
              <w:rPr>
                <w:sz w:val="22"/>
                <w:szCs w:val="22"/>
              </w:rPr>
              <w:t>pacijenata</w:t>
            </w:r>
            <w:r w:rsidR="009A2061" w:rsidRPr="00BF57A3">
              <w:rPr>
                <w:sz w:val="22"/>
                <w:szCs w:val="22"/>
              </w:rPr>
              <w:t xml:space="preserve"> </w:t>
            </w:r>
            <w:r w:rsidRPr="00BF57A3">
              <w:rPr>
                <w:sz w:val="22"/>
                <w:szCs w:val="22"/>
              </w:rPr>
              <w:t xml:space="preserve">liječenih lijekom Abraxane podvrgnuto je procjeni bezbjednosti. Neurotoksičnost paklitaksela procijenjena je na osnovu poboljšanja za jedan stepen kod </w:t>
            </w:r>
            <w:r w:rsidR="009A2061">
              <w:rPr>
                <w:sz w:val="22"/>
                <w:szCs w:val="22"/>
              </w:rPr>
              <w:t>pacijenata</w:t>
            </w:r>
            <w:r w:rsidR="009A2061" w:rsidRPr="00BF57A3">
              <w:rPr>
                <w:sz w:val="22"/>
                <w:szCs w:val="22"/>
              </w:rPr>
              <w:t xml:space="preserve"> </w:t>
            </w:r>
            <w:r w:rsidRPr="00BF57A3">
              <w:rPr>
                <w:sz w:val="22"/>
                <w:szCs w:val="22"/>
              </w:rPr>
              <w:t>sa perifernom neuropatijom stepena 3, u bilo kom trenutku tokom terapije. Prirodni tok izl</w:t>
            </w:r>
            <w:r w:rsidR="00B179CF" w:rsidRPr="00BF57A3">
              <w:rPr>
                <w:sz w:val="22"/>
                <w:szCs w:val="22"/>
              </w:rPr>
              <w:t>i</w:t>
            </w:r>
            <w:r w:rsidRPr="00BF57A3">
              <w:rPr>
                <w:sz w:val="22"/>
                <w:szCs w:val="22"/>
              </w:rPr>
              <w:t>ječenja periferne neuropatije u odnosu na početno stanje zbog kumulativne toksičnosti lijeka Abraxane nakon &gt; 6 ciklusa liječenja nije procijenjen i ostaje nepoznat.</w:t>
            </w:r>
          </w:p>
          <w:p w14:paraId="638FFB1C" w14:textId="77777777" w:rsidR="00AA7CC9" w:rsidRPr="00BF57A3" w:rsidRDefault="00AA7CC9">
            <w:pPr>
              <w:keepNext/>
              <w:keepLines/>
              <w:widowControl w:val="0"/>
              <w:tabs>
                <w:tab w:val="left" w:pos="567"/>
              </w:tabs>
              <w:jc w:val="both"/>
              <w:rPr>
                <w:sz w:val="22"/>
                <w:szCs w:val="22"/>
              </w:rPr>
            </w:pPr>
          </w:p>
          <w:p w14:paraId="25A14F3E" w14:textId="77777777" w:rsidR="00AA7CC9" w:rsidRPr="00BF57A3" w:rsidRDefault="00AA7CC9">
            <w:pPr>
              <w:keepNext/>
              <w:keepLines/>
              <w:widowControl w:val="0"/>
              <w:tabs>
                <w:tab w:val="left" w:pos="567"/>
              </w:tabs>
              <w:jc w:val="both"/>
              <w:rPr>
                <w:i/>
                <w:sz w:val="22"/>
                <w:szCs w:val="22"/>
                <w:u w:val="single"/>
              </w:rPr>
            </w:pPr>
            <w:r w:rsidRPr="00BF57A3">
              <w:rPr>
                <w:i/>
                <w:sz w:val="22"/>
                <w:szCs w:val="22"/>
                <w:u w:val="single"/>
              </w:rPr>
              <w:t>Adenokarcinom pankreasa</w:t>
            </w:r>
          </w:p>
          <w:p w14:paraId="3869D0D8" w14:textId="20751E05" w:rsidR="00AA7CC9" w:rsidRPr="00BF57A3" w:rsidRDefault="00AA7CC9">
            <w:pPr>
              <w:keepNext/>
              <w:keepLines/>
              <w:widowControl w:val="0"/>
              <w:tabs>
                <w:tab w:val="left" w:pos="567"/>
              </w:tabs>
              <w:jc w:val="both"/>
              <w:rPr>
                <w:sz w:val="22"/>
                <w:szCs w:val="22"/>
                <w:lang w:val="it-IT"/>
              </w:rPr>
            </w:pPr>
            <w:r w:rsidRPr="00BF57A3">
              <w:rPr>
                <w:sz w:val="22"/>
                <w:szCs w:val="22"/>
              </w:rPr>
              <w:t xml:space="preserve">Sprovedeno je multicentrično, multinacionalno, randomizovano, otvoreno ispitivanje kod 861 </w:t>
            </w:r>
            <w:r w:rsidR="00B575E2">
              <w:rPr>
                <w:sz w:val="22"/>
                <w:szCs w:val="22"/>
              </w:rPr>
              <w:t>pacijenta</w:t>
            </w:r>
            <w:r w:rsidR="00B179CF" w:rsidRPr="00BF57A3">
              <w:rPr>
                <w:sz w:val="22"/>
                <w:szCs w:val="22"/>
              </w:rPr>
              <w:t>,</w:t>
            </w:r>
            <w:r w:rsidRPr="00BF57A3">
              <w:rPr>
                <w:sz w:val="22"/>
                <w:szCs w:val="22"/>
              </w:rPr>
              <w:t xml:space="preserve"> kako bi se uporedila primjena kombinacije Abraxane/gemcitabin sa monoterapijom gemcitabinom kao prva linija liječenja kod </w:t>
            </w:r>
            <w:r w:rsidR="00B575E2">
              <w:rPr>
                <w:sz w:val="22"/>
                <w:szCs w:val="22"/>
              </w:rPr>
              <w:t>pacijenata</w:t>
            </w:r>
            <w:r w:rsidR="00B575E2" w:rsidRPr="00BF57A3">
              <w:rPr>
                <w:sz w:val="22"/>
                <w:szCs w:val="22"/>
              </w:rPr>
              <w:t xml:space="preserve"> </w:t>
            </w:r>
            <w:r w:rsidRPr="00BF57A3">
              <w:rPr>
                <w:sz w:val="22"/>
                <w:szCs w:val="22"/>
              </w:rPr>
              <w:t>sa metastatskim adenokarcinomom pankreasa. Lijek Abraxane je prim</w:t>
            </w:r>
            <w:r w:rsidR="00B179CF" w:rsidRPr="00BF57A3">
              <w:rPr>
                <w:sz w:val="22"/>
                <w:szCs w:val="22"/>
              </w:rPr>
              <w:t>i</w:t>
            </w:r>
            <w:r w:rsidRPr="00BF57A3">
              <w:rPr>
                <w:sz w:val="22"/>
                <w:szCs w:val="22"/>
              </w:rPr>
              <w:t xml:space="preserve">jenjen </w:t>
            </w:r>
            <w:r w:rsidR="00B575E2">
              <w:rPr>
                <w:sz w:val="22"/>
                <w:szCs w:val="22"/>
              </w:rPr>
              <w:t>pacijentima</w:t>
            </w:r>
            <w:r w:rsidR="00B575E2" w:rsidRPr="00BF57A3">
              <w:rPr>
                <w:sz w:val="22"/>
                <w:szCs w:val="22"/>
              </w:rPr>
              <w:t xml:space="preserve"> </w:t>
            </w:r>
            <w:r w:rsidRPr="00BF57A3">
              <w:rPr>
                <w:sz w:val="22"/>
                <w:szCs w:val="22"/>
              </w:rPr>
              <w:t>(N = 431) kao intravenska infuzija u trajanju od 30 do 40 minuta u dozi od 125 mg/m</w:t>
            </w:r>
            <w:r w:rsidRPr="00BF57A3">
              <w:rPr>
                <w:sz w:val="22"/>
                <w:szCs w:val="22"/>
                <w:vertAlign w:val="superscript"/>
              </w:rPr>
              <w:t>2</w:t>
            </w:r>
            <w:r w:rsidRPr="00BF57A3">
              <w:rPr>
                <w:sz w:val="22"/>
                <w:szCs w:val="22"/>
              </w:rPr>
              <w:t>, nakon čega je primijenjen gemcitabin kao intravenska infuzija u trajanju od 30 do 40 minuta u dozi od 1000 mg/m</w:t>
            </w:r>
            <w:r w:rsidRPr="00BF57A3">
              <w:rPr>
                <w:sz w:val="22"/>
                <w:szCs w:val="22"/>
                <w:vertAlign w:val="superscript"/>
              </w:rPr>
              <w:t>2</w:t>
            </w:r>
            <w:r w:rsidRPr="00BF57A3">
              <w:rPr>
                <w:sz w:val="22"/>
                <w:szCs w:val="22"/>
              </w:rPr>
              <w:t xml:space="preserve"> davanoj 1., 8. </w:t>
            </w:r>
            <w:proofErr w:type="gramStart"/>
            <w:r w:rsidRPr="00BF57A3">
              <w:rPr>
                <w:sz w:val="22"/>
                <w:szCs w:val="22"/>
              </w:rPr>
              <w:t>i</w:t>
            </w:r>
            <w:proofErr w:type="gramEnd"/>
            <w:r w:rsidRPr="00BF57A3">
              <w:rPr>
                <w:sz w:val="22"/>
                <w:szCs w:val="22"/>
              </w:rPr>
              <w:t xml:space="preserve"> 15. </w:t>
            </w:r>
            <w:proofErr w:type="gramStart"/>
            <w:r w:rsidRPr="00BF57A3">
              <w:rPr>
                <w:sz w:val="22"/>
                <w:szCs w:val="22"/>
              </w:rPr>
              <w:t>dana</w:t>
            </w:r>
            <w:proofErr w:type="gramEnd"/>
            <w:r w:rsidRPr="00BF57A3">
              <w:rPr>
                <w:sz w:val="22"/>
                <w:szCs w:val="22"/>
              </w:rPr>
              <w:t xml:space="preserve"> svakog 28-dnevnog ciklusa. U poredbenoj grupi, </w:t>
            </w:r>
            <w:r w:rsidR="00B575E2">
              <w:rPr>
                <w:sz w:val="22"/>
                <w:szCs w:val="22"/>
              </w:rPr>
              <w:t>pacijentima</w:t>
            </w:r>
            <w:r w:rsidR="00B575E2" w:rsidRPr="00BF57A3">
              <w:rPr>
                <w:sz w:val="22"/>
                <w:szCs w:val="22"/>
              </w:rPr>
              <w:t xml:space="preserve"> </w:t>
            </w:r>
            <w:r w:rsidRPr="00BF57A3">
              <w:rPr>
                <w:sz w:val="22"/>
                <w:szCs w:val="22"/>
              </w:rPr>
              <w:t>je prim</w:t>
            </w:r>
            <w:r w:rsidR="00B179CF" w:rsidRPr="00BF57A3">
              <w:rPr>
                <w:sz w:val="22"/>
                <w:szCs w:val="22"/>
              </w:rPr>
              <w:t>i</w:t>
            </w:r>
            <w:r w:rsidRPr="00BF57A3">
              <w:rPr>
                <w:sz w:val="22"/>
                <w:szCs w:val="22"/>
              </w:rPr>
              <w:t xml:space="preserve">jenjen gemcitabin kao monoterapija (N = 430) u skladu sa preporučenom dozom i režimom doziranja. </w:t>
            </w:r>
            <w:r w:rsidRPr="00BF57A3">
              <w:rPr>
                <w:sz w:val="22"/>
                <w:szCs w:val="22"/>
                <w:lang w:val="it-IT"/>
              </w:rPr>
              <w:t>Liječenje se sprovodilo do progresije bolesti ili razvoja neprihvatljive</w:t>
            </w:r>
            <w:r w:rsidRPr="006C640E">
              <w:rPr>
                <w:sz w:val="22"/>
                <w:szCs w:val="22"/>
                <w:lang w:val="it-IT"/>
              </w:rPr>
              <w:t xml:space="preserve"> </w:t>
            </w:r>
            <w:r w:rsidRPr="00BF57A3">
              <w:rPr>
                <w:sz w:val="22"/>
                <w:szCs w:val="22"/>
                <w:lang w:val="it-IT"/>
              </w:rPr>
              <w:t xml:space="preserve">toksičnosti. Od 431 </w:t>
            </w:r>
            <w:r w:rsidR="00B575E2">
              <w:rPr>
                <w:sz w:val="22"/>
                <w:szCs w:val="22"/>
                <w:lang w:val="it-IT"/>
              </w:rPr>
              <w:t>pacijenata</w:t>
            </w:r>
            <w:r w:rsidR="00B575E2" w:rsidRPr="00BF57A3">
              <w:rPr>
                <w:sz w:val="22"/>
                <w:szCs w:val="22"/>
                <w:lang w:val="it-IT"/>
              </w:rPr>
              <w:t xml:space="preserve"> </w:t>
            </w:r>
            <w:r w:rsidRPr="00BF57A3">
              <w:rPr>
                <w:sz w:val="22"/>
                <w:szCs w:val="22"/>
                <w:lang w:val="it-IT"/>
              </w:rPr>
              <w:t>sa adenokarcinomom pankreasa koji su bili randomizovani da primaju lijek Abraxane u kombinaciji sa gemcitabinom, većina su (93%) bili bijele rase, 4% crne rase i 2% Azijati. Kod 16%</w:t>
            </w:r>
            <w:r w:rsidR="00B179CF" w:rsidRPr="00BF57A3">
              <w:rPr>
                <w:sz w:val="22"/>
                <w:szCs w:val="22"/>
                <w:lang w:val="it-IT"/>
              </w:rPr>
              <w:t>,</w:t>
            </w:r>
            <w:r w:rsidRPr="00BF57A3">
              <w:rPr>
                <w:sz w:val="22"/>
                <w:szCs w:val="22"/>
                <w:lang w:val="it-IT"/>
              </w:rPr>
              <w:t xml:space="preserve"> funkcionalni status prema Karnofsky Performance Status (KPS) iznosio je 100; 42% imalo je KPS od 90; 35% KPS od 80; 7% KPS od 70; a &lt; 1% </w:t>
            </w:r>
            <w:r w:rsidR="00B575E2">
              <w:rPr>
                <w:sz w:val="22"/>
                <w:szCs w:val="22"/>
                <w:lang w:val="it-IT"/>
              </w:rPr>
              <w:t>pacijenata</w:t>
            </w:r>
            <w:r w:rsidR="00B575E2" w:rsidRPr="00BF57A3">
              <w:rPr>
                <w:sz w:val="22"/>
                <w:szCs w:val="22"/>
                <w:lang w:val="it-IT"/>
              </w:rPr>
              <w:t xml:space="preserve"> </w:t>
            </w:r>
            <w:r w:rsidRPr="00BF57A3">
              <w:rPr>
                <w:sz w:val="22"/>
                <w:szCs w:val="22"/>
                <w:lang w:val="it-IT"/>
              </w:rPr>
              <w:t xml:space="preserve">imalo je KPS manji od 70. </w:t>
            </w:r>
            <w:r w:rsidR="00B575E2">
              <w:rPr>
                <w:sz w:val="22"/>
                <w:szCs w:val="22"/>
                <w:lang w:val="it-IT"/>
              </w:rPr>
              <w:t>Pacijenti</w:t>
            </w:r>
            <w:r w:rsidR="00B575E2" w:rsidRPr="00BF57A3">
              <w:rPr>
                <w:sz w:val="22"/>
                <w:szCs w:val="22"/>
                <w:lang w:val="it-IT"/>
              </w:rPr>
              <w:t xml:space="preserve"> </w:t>
            </w:r>
            <w:r w:rsidRPr="00BF57A3">
              <w:rPr>
                <w:sz w:val="22"/>
                <w:szCs w:val="22"/>
                <w:lang w:val="it-IT"/>
              </w:rPr>
              <w:t>sa visokim kardiovaskularnim rizikom, oboljenjem perifernih arterija u anamnezi i/ili poremećajima vezivnog tkiva i/ili intersticijskom bolesti pluća, bili su isključeni iz ispitivanja.</w:t>
            </w:r>
          </w:p>
          <w:p w14:paraId="4E7DC7B5" w14:textId="77777777" w:rsidR="00AA7CC9" w:rsidRPr="00BF57A3" w:rsidRDefault="00AA7CC9">
            <w:pPr>
              <w:keepNext/>
              <w:keepLines/>
              <w:widowControl w:val="0"/>
              <w:tabs>
                <w:tab w:val="left" w:pos="567"/>
              </w:tabs>
              <w:jc w:val="both"/>
              <w:rPr>
                <w:sz w:val="22"/>
                <w:szCs w:val="22"/>
                <w:lang w:val="it-IT"/>
              </w:rPr>
            </w:pPr>
          </w:p>
          <w:p w14:paraId="4A635168" w14:textId="46F7B1AE" w:rsidR="00AA7CC9" w:rsidRPr="00BF57A3" w:rsidRDefault="00AA7CC9">
            <w:pPr>
              <w:keepNext/>
              <w:keepLines/>
              <w:widowControl w:val="0"/>
              <w:tabs>
                <w:tab w:val="left" w:pos="567"/>
              </w:tabs>
              <w:jc w:val="both"/>
              <w:rPr>
                <w:sz w:val="22"/>
                <w:szCs w:val="22"/>
                <w:lang w:val="it-IT"/>
              </w:rPr>
            </w:pPr>
            <w:r w:rsidRPr="00BF57A3">
              <w:rPr>
                <w:sz w:val="22"/>
                <w:szCs w:val="22"/>
                <w:lang w:val="it-IT"/>
              </w:rPr>
              <w:t>Medijan</w:t>
            </w:r>
            <w:r w:rsidR="00B179CF" w:rsidRPr="00BF57A3">
              <w:rPr>
                <w:sz w:val="22"/>
                <w:szCs w:val="22"/>
                <w:lang w:val="it-IT"/>
              </w:rPr>
              <w:t>a</w:t>
            </w:r>
            <w:r w:rsidRPr="00BF57A3">
              <w:rPr>
                <w:sz w:val="22"/>
                <w:szCs w:val="22"/>
                <w:lang w:val="it-IT"/>
              </w:rPr>
              <w:t xml:space="preserve"> trajanja liječenja </w:t>
            </w:r>
            <w:r w:rsidR="00B179CF" w:rsidRPr="00BF57A3">
              <w:rPr>
                <w:sz w:val="22"/>
                <w:szCs w:val="22"/>
                <w:lang w:val="it-IT"/>
              </w:rPr>
              <w:t xml:space="preserve">bila </w:t>
            </w:r>
            <w:r w:rsidRPr="00BF57A3">
              <w:rPr>
                <w:sz w:val="22"/>
                <w:szCs w:val="22"/>
                <w:lang w:val="it-IT"/>
              </w:rPr>
              <w:t xml:space="preserve">je 3,9 mjeseci za </w:t>
            </w:r>
            <w:r w:rsidR="00B575E2">
              <w:rPr>
                <w:sz w:val="22"/>
                <w:szCs w:val="22"/>
                <w:lang w:val="it-IT"/>
              </w:rPr>
              <w:t>pacijente</w:t>
            </w:r>
            <w:r w:rsidR="00B575E2" w:rsidRPr="00BF57A3">
              <w:rPr>
                <w:sz w:val="22"/>
                <w:szCs w:val="22"/>
                <w:lang w:val="it-IT"/>
              </w:rPr>
              <w:t xml:space="preserve"> </w:t>
            </w:r>
            <w:r w:rsidRPr="00BF57A3">
              <w:rPr>
                <w:sz w:val="22"/>
                <w:szCs w:val="22"/>
                <w:lang w:val="it-IT"/>
              </w:rPr>
              <w:t>iz grupe koja je primala Abraxane/gemcitabin</w:t>
            </w:r>
            <w:r w:rsidR="00B179CF" w:rsidRPr="00BF57A3">
              <w:rPr>
                <w:sz w:val="22"/>
                <w:szCs w:val="22"/>
                <w:lang w:val="it-IT"/>
              </w:rPr>
              <w:t>,</w:t>
            </w:r>
            <w:r w:rsidRPr="00BF57A3">
              <w:rPr>
                <w:sz w:val="22"/>
                <w:szCs w:val="22"/>
                <w:lang w:val="it-IT"/>
              </w:rPr>
              <w:t xml:space="preserve"> i 2,8 mjeseci u grupi koja je primala gemcitabin. U grupi koja je primala Abraxane/gemcitabin</w:t>
            </w:r>
            <w:r w:rsidR="00B179CF" w:rsidRPr="00BF57A3">
              <w:rPr>
                <w:sz w:val="22"/>
                <w:szCs w:val="22"/>
                <w:lang w:val="it-IT"/>
              </w:rPr>
              <w:t>,</w:t>
            </w:r>
            <w:r w:rsidRPr="00BF57A3">
              <w:rPr>
                <w:sz w:val="22"/>
                <w:szCs w:val="22"/>
                <w:lang w:val="it-IT"/>
              </w:rPr>
              <w:t xml:space="preserve"> 32% </w:t>
            </w:r>
            <w:r w:rsidR="00B575E2">
              <w:rPr>
                <w:sz w:val="22"/>
                <w:szCs w:val="22"/>
                <w:lang w:val="it-IT"/>
              </w:rPr>
              <w:t>pacijenata</w:t>
            </w:r>
            <w:r w:rsidR="00B575E2" w:rsidRPr="00BF57A3">
              <w:rPr>
                <w:sz w:val="22"/>
                <w:szCs w:val="22"/>
                <w:lang w:val="it-IT"/>
              </w:rPr>
              <w:t xml:space="preserve"> </w:t>
            </w:r>
            <w:r w:rsidRPr="00BF57A3">
              <w:rPr>
                <w:sz w:val="22"/>
                <w:szCs w:val="22"/>
                <w:lang w:val="it-IT"/>
              </w:rPr>
              <w:t xml:space="preserve">u poređenju sa 15% </w:t>
            </w:r>
            <w:r w:rsidR="00B575E2">
              <w:rPr>
                <w:sz w:val="22"/>
                <w:szCs w:val="22"/>
                <w:lang w:val="it-IT"/>
              </w:rPr>
              <w:t>pacijenata</w:t>
            </w:r>
            <w:r w:rsidR="00B575E2" w:rsidRPr="00BF57A3">
              <w:rPr>
                <w:sz w:val="22"/>
                <w:szCs w:val="22"/>
                <w:lang w:val="it-IT"/>
              </w:rPr>
              <w:t xml:space="preserve"> </w:t>
            </w:r>
            <w:r w:rsidRPr="00BF57A3">
              <w:rPr>
                <w:sz w:val="22"/>
                <w:szCs w:val="22"/>
                <w:lang w:val="it-IT"/>
              </w:rPr>
              <w:t>iz grupe koja je primala gemcitabin, primalo je terapiju 6 mjeseci ili više. Za liječenu populaciju, medijan</w:t>
            </w:r>
            <w:r w:rsidR="00B179CF" w:rsidRPr="00BF57A3">
              <w:rPr>
                <w:sz w:val="22"/>
                <w:szCs w:val="22"/>
                <w:lang w:val="it-IT"/>
              </w:rPr>
              <w:t>a</w:t>
            </w:r>
            <w:r w:rsidRPr="00BF57A3">
              <w:rPr>
                <w:sz w:val="22"/>
                <w:szCs w:val="22"/>
                <w:lang w:val="it-IT"/>
              </w:rPr>
              <w:t xml:space="preserve"> relativnog intenziteta doze za gemcitabin </w:t>
            </w:r>
            <w:r w:rsidR="00B179CF" w:rsidRPr="00BF57A3">
              <w:rPr>
                <w:sz w:val="22"/>
                <w:szCs w:val="22"/>
                <w:lang w:val="it-IT"/>
              </w:rPr>
              <w:t xml:space="preserve">bila </w:t>
            </w:r>
            <w:r w:rsidRPr="00BF57A3">
              <w:rPr>
                <w:sz w:val="22"/>
                <w:szCs w:val="22"/>
                <w:lang w:val="it-IT"/>
              </w:rPr>
              <w:t>je 75% u grupi koja je primala Abraxane/gemcitabin</w:t>
            </w:r>
            <w:r w:rsidR="00B179CF" w:rsidRPr="00BF57A3">
              <w:rPr>
                <w:sz w:val="22"/>
                <w:szCs w:val="22"/>
                <w:lang w:val="it-IT"/>
              </w:rPr>
              <w:t>,</w:t>
            </w:r>
            <w:r w:rsidRPr="00BF57A3">
              <w:rPr>
                <w:sz w:val="22"/>
                <w:szCs w:val="22"/>
                <w:lang w:val="it-IT"/>
              </w:rPr>
              <w:t xml:space="preserve"> i 85% u grupi koja je primala gemcitabin. Medijan</w:t>
            </w:r>
            <w:r w:rsidR="00B179CF" w:rsidRPr="00BF57A3">
              <w:rPr>
                <w:sz w:val="22"/>
                <w:szCs w:val="22"/>
                <w:lang w:val="it-IT"/>
              </w:rPr>
              <w:t>a</w:t>
            </w:r>
            <w:r w:rsidRPr="00BF57A3">
              <w:rPr>
                <w:sz w:val="22"/>
                <w:szCs w:val="22"/>
                <w:lang w:val="it-IT"/>
              </w:rPr>
              <w:t xml:space="preserve"> relativnog intenziteta doze za Abraxane </w:t>
            </w:r>
            <w:r w:rsidR="00B179CF" w:rsidRPr="00BF57A3">
              <w:rPr>
                <w:sz w:val="22"/>
                <w:szCs w:val="22"/>
                <w:lang w:val="it-IT"/>
              </w:rPr>
              <w:t xml:space="preserve">bila </w:t>
            </w:r>
            <w:r w:rsidRPr="00BF57A3">
              <w:rPr>
                <w:sz w:val="22"/>
                <w:szCs w:val="22"/>
                <w:lang w:val="it-IT"/>
              </w:rPr>
              <w:t xml:space="preserve">je 81%. </w:t>
            </w:r>
            <w:r w:rsidR="00B179CF" w:rsidRPr="00BF57A3">
              <w:rPr>
                <w:sz w:val="22"/>
                <w:szCs w:val="22"/>
                <w:lang w:val="it-IT"/>
              </w:rPr>
              <w:t xml:space="preserve">Veću </w:t>
            </w:r>
            <w:r w:rsidRPr="00BF57A3">
              <w:rPr>
                <w:sz w:val="22"/>
                <w:szCs w:val="22"/>
                <w:lang w:val="it-IT"/>
              </w:rPr>
              <w:t>medijan</w:t>
            </w:r>
            <w:r w:rsidR="00B179CF" w:rsidRPr="00BF57A3">
              <w:rPr>
                <w:sz w:val="22"/>
                <w:szCs w:val="22"/>
                <w:lang w:val="it-IT"/>
              </w:rPr>
              <w:t>u</w:t>
            </w:r>
            <w:r w:rsidRPr="00BF57A3">
              <w:rPr>
                <w:sz w:val="22"/>
                <w:szCs w:val="22"/>
                <w:lang w:val="it-IT"/>
              </w:rPr>
              <w:t xml:space="preserve"> kumulativne doze gemcitabina primili su </w:t>
            </w:r>
            <w:r w:rsidR="00B575E2">
              <w:rPr>
                <w:sz w:val="22"/>
                <w:szCs w:val="22"/>
                <w:lang w:val="it-IT"/>
              </w:rPr>
              <w:t>pacijenti</w:t>
            </w:r>
            <w:r w:rsidR="00B575E2" w:rsidRPr="00BF57A3">
              <w:rPr>
                <w:sz w:val="22"/>
                <w:szCs w:val="22"/>
                <w:lang w:val="it-IT"/>
              </w:rPr>
              <w:t xml:space="preserve"> </w:t>
            </w:r>
            <w:r w:rsidRPr="00BF57A3">
              <w:rPr>
                <w:sz w:val="22"/>
                <w:szCs w:val="22"/>
                <w:lang w:val="it-IT"/>
              </w:rPr>
              <w:t>u grupi Abraxane/gemcitabin (11 400 mg/m</w:t>
            </w:r>
            <w:r w:rsidRPr="00BF57A3">
              <w:rPr>
                <w:sz w:val="22"/>
                <w:szCs w:val="22"/>
                <w:vertAlign w:val="superscript"/>
                <w:lang w:val="it-IT"/>
              </w:rPr>
              <w:t>2</w:t>
            </w:r>
            <w:r w:rsidRPr="00BF57A3">
              <w:rPr>
                <w:sz w:val="22"/>
                <w:szCs w:val="22"/>
                <w:lang w:val="it-IT"/>
              </w:rPr>
              <w:t>) u poređenju sa grupom koja je primala gemcitabin (9000 mg/m</w:t>
            </w:r>
            <w:r w:rsidRPr="00BF57A3">
              <w:rPr>
                <w:sz w:val="22"/>
                <w:szCs w:val="22"/>
                <w:vertAlign w:val="superscript"/>
                <w:lang w:val="it-IT"/>
              </w:rPr>
              <w:t>2</w:t>
            </w:r>
            <w:r w:rsidRPr="00BF57A3">
              <w:rPr>
                <w:sz w:val="22"/>
                <w:szCs w:val="22"/>
                <w:lang w:val="it-IT"/>
              </w:rPr>
              <w:t>).</w:t>
            </w:r>
          </w:p>
          <w:p w14:paraId="5F36D6C6" w14:textId="77777777" w:rsidR="00AA7CC9" w:rsidRPr="00BF57A3" w:rsidRDefault="00AA7CC9">
            <w:pPr>
              <w:keepNext/>
              <w:keepLines/>
              <w:widowControl w:val="0"/>
              <w:tabs>
                <w:tab w:val="left" w:pos="567"/>
              </w:tabs>
              <w:jc w:val="both"/>
              <w:rPr>
                <w:sz w:val="22"/>
                <w:szCs w:val="22"/>
                <w:lang w:val="it-IT"/>
              </w:rPr>
            </w:pPr>
          </w:p>
          <w:p w14:paraId="3540C6BA" w14:textId="3AE27C77" w:rsidR="00A6216F" w:rsidRPr="00BF57A3" w:rsidRDefault="00AA7CC9">
            <w:pPr>
              <w:keepNext/>
              <w:keepLines/>
              <w:widowControl w:val="0"/>
              <w:tabs>
                <w:tab w:val="left" w:pos="567"/>
              </w:tabs>
              <w:jc w:val="both"/>
              <w:rPr>
                <w:b/>
                <w:sz w:val="22"/>
                <w:szCs w:val="22"/>
                <w:lang w:val="it-IT"/>
              </w:rPr>
            </w:pPr>
            <w:r w:rsidRPr="00BF57A3">
              <w:rPr>
                <w:sz w:val="22"/>
                <w:szCs w:val="22"/>
                <w:lang w:val="it-IT"/>
              </w:rPr>
              <w:t>Primarni ciljni parametar efikasnosti bilo je ukupno preživljavanje (OS). Ključni sekundarni parametri bili su preživljavanje bez progresije bolesti (PFS) i stopa ukupnog odgovora (ORR), a oba parametra procijenjena su nezavisnom, centralnom, sl</w:t>
            </w:r>
            <w:r w:rsidR="000423EF" w:rsidRPr="00BF57A3">
              <w:rPr>
                <w:sz w:val="22"/>
                <w:szCs w:val="22"/>
                <w:lang w:val="it-IT"/>
              </w:rPr>
              <w:t>ij</w:t>
            </w:r>
            <w:r w:rsidRPr="00BF57A3">
              <w:rPr>
                <w:sz w:val="22"/>
                <w:szCs w:val="22"/>
                <w:lang w:val="it-IT"/>
              </w:rPr>
              <w:t>epom radiološkom procjenom pomoću smjernica RECIST (verzija 1.0).</w:t>
            </w:r>
          </w:p>
          <w:p w14:paraId="11149581" w14:textId="77777777" w:rsidR="00A6216F" w:rsidRPr="00BF57A3" w:rsidRDefault="00A6216F">
            <w:pPr>
              <w:keepNext/>
              <w:keepLines/>
              <w:widowControl w:val="0"/>
              <w:tabs>
                <w:tab w:val="left" w:pos="567"/>
              </w:tabs>
              <w:jc w:val="both"/>
              <w:rPr>
                <w:b/>
                <w:sz w:val="22"/>
                <w:szCs w:val="22"/>
                <w:lang w:val="it-IT"/>
              </w:rPr>
            </w:pPr>
          </w:p>
          <w:p w14:paraId="5DB837B9" w14:textId="1DCDA8A4" w:rsidR="009A3CF1" w:rsidRPr="00BF57A3" w:rsidRDefault="00AA7CC9">
            <w:pPr>
              <w:keepNext/>
              <w:keepLines/>
              <w:widowControl w:val="0"/>
              <w:tabs>
                <w:tab w:val="left" w:pos="567"/>
              </w:tabs>
              <w:jc w:val="both"/>
              <w:rPr>
                <w:b/>
                <w:sz w:val="22"/>
                <w:szCs w:val="22"/>
                <w:lang w:val="it-IT"/>
              </w:rPr>
            </w:pPr>
            <w:r w:rsidRPr="00BF57A3">
              <w:rPr>
                <w:b/>
                <w:sz w:val="22"/>
                <w:szCs w:val="22"/>
                <w:lang w:val="it-IT"/>
              </w:rPr>
              <w:t xml:space="preserve">Tabela </w:t>
            </w:r>
            <w:r w:rsidR="009904A1" w:rsidRPr="00BF57A3">
              <w:rPr>
                <w:b/>
                <w:sz w:val="22"/>
                <w:szCs w:val="22"/>
                <w:lang w:val="it-IT"/>
              </w:rPr>
              <w:t>9</w:t>
            </w:r>
            <w:r w:rsidRPr="00BF57A3">
              <w:rPr>
                <w:b/>
                <w:sz w:val="22"/>
                <w:szCs w:val="22"/>
                <w:lang w:val="it-IT"/>
              </w:rPr>
              <w:t xml:space="preserve">: Rezultati efikasnosti dobijeni u randomizovanom ispitivanju kod </w:t>
            </w:r>
            <w:r w:rsidR="00B575E2">
              <w:rPr>
                <w:b/>
                <w:sz w:val="22"/>
                <w:szCs w:val="22"/>
                <w:lang w:val="it-IT"/>
              </w:rPr>
              <w:t>pacijenata</w:t>
            </w:r>
            <w:r w:rsidR="00B575E2" w:rsidRPr="00BF57A3">
              <w:rPr>
                <w:b/>
                <w:sz w:val="22"/>
                <w:szCs w:val="22"/>
                <w:lang w:val="it-IT"/>
              </w:rPr>
              <w:t xml:space="preserve"> </w:t>
            </w:r>
            <w:r w:rsidRPr="00BF57A3">
              <w:rPr>
                <w:b/>
                <w:sz w:val="22"/>
                <w:szCs w:val="22"/>
                <w:lang w:val="it-IT"/>
              </w:rPr>
              <w:t xml:space="preserve">sa </w:t>
            </w:r>
          </w:p>
          <w:p w14:paraId="7F3EA771" w14:textId="77777777" w:rsidR="00AA7CC9" w:rsidRPr="00BF57A3" w:rsidRDefault="00AA7CC9">
            <w:pPr>
              <w:keepNext/>
              <w:keepLines/>
              <w:widowControl w:val="0"/>
              <w:tabs>
                <w:tab w:val="left" w:pos="567"/>
              </w:tabs>
              <w:jc w:val="both"/>
              <w:rPr>
                <w:b/>
                <w:sz w:val="22"/>
                <w:szCs w:val="22"/>
                <w:lang w:val="it-IT"/>
              </w:rPr>
            </w:pPr>
            <w:r w:rsidRPr="00BF57A3">
              <w:rPr>
                <w:b/>
                <w:sz w:val="22"/>
                <w:szCs w:val="22"/>
                <w:lang w:val="it-IT"/>
              </w:rPr>
              <w:t>adenokarcinomom pankreasa (populacija za koju je nam</w:t>
            </w:r>
            <w:r w:rsidR="000423EF" w:rsidRPr="00BF57A3">
              <w:rPr>
                <w:b/>
                <w:sz w:val="22"/>
                <w:szCs w:val="22"/>
                <w:lang w:val="it-IT"/>
              </w:rPr>
              <w:t>i</w:t>
            </w:r>
            <w:r w:rsidR="00FB18D3" w:rsidRPr="00BF57A3">
              <w:rPr>
                <w:b/>
                <w:sz w:val="22"/>
                <w:szCs w:val="22"/>
                <w:lang w:val="it-IT"/>
              </w:rPr>
              <w:t>j</w:t>
            </w:r>
            <w:r w:rsidRPr="00BF57A3">
              <w:rPr>
                <w:b/>
                <w:sz w:val="22"/>
                <w:szCs w:val="22"/>
                <w:lang w:val="it-IT"/>
              </w:rPr>
              <w:t>enjeno liječenje)</w:t>
            </w:r>
          </w:p>
          <w:p w14:paraId="21AAA831" w14:textId="77777777" w:rsidR="00AA7CC9" w:rsidRPr="00BF57A3" w:rsidRDefault="00AA7CC9" w:rsidP="006C640E">
            <w:pPr>
              <w:keepNext/>
              <w:keepLines/>
              <w:widowControl w:val="0"/>
              <w:tabs>
                <w:tab w:val="left" w:pos="567"/>
              </w:tabs>
              <w:jc w:val="both"/>
              <w:rPr>
                <w:sz w:val="22"/>
                <w:szCs w:val="22"/>
                <w:lang w:val="it-IT"/>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0" w:firstRow="1" w:lastRow="1" w:firstColumn="0" w:lastColumn="0" w:noHBand="0" w:noVBand="0"/>
            </w:tblPr>
            <w:tblGrid>
              <w:gridCol w:w="3118"/>
              <w:gridCol w:w="3231"/>
              <w:gridCol w:w="3227"/>
            </w:tblGrid>
            <w:tr w:rsidR="00AA7CC9" w:rsidRPr="00BF57A3" w14:paraId="4BAFF326" w14:textId="77777777" w:rsidTr="00EC24AF">
              <w:trPr>
                <w:trHeight w:val="541"/>
                <w:jc w:val="center"/>
              </w:trPr>
              <w:tc>
                <w:tcPr>
                  <w:tcW w:w="3118" w:type="dxa"/>
                  <w:shd w:val="clear" w:color="auto" w:fill="auto"/>
                  <w:vAlign w:val="bottom"/>
                </w:tcPr>
                <w:p w14:paraId="2B03294F" w14:textId="77777777" w:rsidR="00AA7CC9" w:rsidRPr="00BF57A3" w:rsidRDefault="00AA7CC9" w:rsidP="006C640E">
                  <w:pPr>
                    <w:pStyle w:val="C-TableHeader"/>
                    <w:keepNext w:val="0"/>
                    <w:spacing w:before="0" w:after="0"/>
                    <w:jc w:val="both"/>
                    <w:rPr>
                      <w:bCs/>
                      <w:szCs w:val="22"/>
                      <w:lang w:val="it-IT"/>
                    </w:rPr>
                  </w:pPr>
                </w:p>
              </w:tc>
              <w:tc>
                <w:tcPr>
                  <w:tcW w:w="3231" w:type="dxa"/>
                  <w:shd w:val="clear" w:color="auto" w:fill="auto"/>
                </w:tcPr>
                <w:p w14:paraId="33547672" w14:textId="77777777" w:rsidR="00AA7CC9" w:rsidRPr="00BF57A3" w:rsidRDefault="00AA7CC9" w:rsidP="006C640E">
                  <w:pPr>
                    <w:pStyle w:val="C-BodyText"/>
                    <w:spacing w:before="0" w:after="0" w:line="240" w:lineRule="auto"/>
                    <w:jc w:val="both"/>
                    <w:rPr>
                      <w:b/>
                      <w:sz w:val="22"/>
                      <w:szCs w:val="22"/>
                      <w:lang w:val="de-DE"/>
                    </w:rPr>
                  </w:pPr>
                  <w:r w:rsidRPr="00BF57A3">
                    <w:rPr>
                      <w:b/>
                      <w:sz w:val="22"/>
                      <w:szCs w:val="22"/>
                      <w:lang w:val="de-DE"/>
                    </w:rPr>
                    <w:t>Abraxane</w:t>
                  </w:r>
                  <w:r w:rsidR="006D2218" w:rsidRPr="00BF57A3">
                    <w:rPr>
                      <w:b/>
                      <w:sz w:val="22"/>
                      <w:szCs w:val="22"/>
                      <w:lang w:val="de-DE"/>
                    </w:rPr>
                    <w:t xml:space="preserve"> </w:t>
                  </w:r>
                  <w:r w:rsidRPr="00BF57A3">
                    <w:rPr>
                      <w:b/>
                      <w:color w:val="000000"/>
                      <w:sz w:val="22"/>
                      <w:szCs w:val="22"/>
                      <w:lang w:val="de-DE"/>
                    </w:rPr>
                    <w:t>(125 mg/m</w:t>
                  </w:r>
                  <w:r w:rsidRPr="00BF57A3">
                    <w:rPr>
                      <w:b/>
                      <w:color w:val="000000"/>
                      <w:sz w:val="22"/>
                      <w:szCs w:val="22"/>
                      <w:vertAlign w:val="superscript"/>
                      <w:lang w:val="de-DE"/>
                    </w:rPr>
                    <w:t>2</w:t>
                  </w:r>
                  <w:r w:rsidRPr="00BF57A3">
                    <w:rPr>
                      <w:b/>
                      <w:color w:val="000000"/>
                      <w:sz w:val="22"/>
                      <w:szCs w:val="22"/>
                      <w:lang w:val="de-DE"/>
                    </w:rPr>
                    <w:t>)</w:t>
                  </w:r>
                  <w:r w:rsidRPr="00BF57A3">
                    <w:rPr>
                      <w:b/>
                      <w:sz w:val="22"/>
                      <w:szCs w:val="22"/>
                      <w:lang w:val="de-DE"/>
                    </w:rPr>
                    <w:t>/</w:t>
                  </w:r>
                </w:p>
                <w:p w14:paraId="4A50B679" w14:textId="77777777" w:rsidR="00AA7CC9" w:rsidRPr="00BF57A3" w:rsidRDefault="00AA7CC9" w:rsidP="006C640E">
                  <w:pPr>
                    <w:pStyle w:val="C-BodyText"/>
                    <w:spacing w:before="0" w:after="0" w:line="240" w:lineRule="auto"/>
                    <w:jc w:val="both"/>
                    <w:rPr>
                      <w:b/>
                      <w:sz w:val="22"/>
                      <w:szCs w:val="22"/>
                      <w:lang w:val="de-DE"/>
                    </w:rPr>
                  </w:pPr>
                  <w:r w:rsidRPr="00BF57A3">
                    <w:rPr>
                      <w:b/>
                      <w:sz w:val="22"/>
                      <w:szCs w:val="22"/>
                      <w:lang w:val="de-DE"/>
                    </w:rPr>
                    <w:t>gemcitabin</w:t>
                  </w:r>
                  <w:r w:rsidRPr="00BF57A3">
                    <w:rPr>
                      <w:b/>
                      <w:sz w:val="22"/>
                      <w:szCs w:val="22"/>
                      <w:lang w:val="de-DE"/>
                    </w:rPr>
                    <w:br/>
                    <w:t>(N=431)</w:t>
                  </w:r>
                </w:p>
              </w:tc>
              <w:tc>
                <w:tcPr>
                  <w:tcW w:w="3227" w:type="dxa"/>
                  <w:shd w:val="clear" w:color="auto" w:fill="auto"/>
                </w:tcPr>
                <w:p w14:paraId="15752F9A" w14:textId="77777777" w:rsidR="00AA7CC9" w:rsidRPr="00BF57A3" w:rsidRDefault="00AA7CC9" w:rsidP="006C640E">
                  <w:pPr>
                    <w:pStyle w:val="C-BodyText"/>
                    <w:spacing w:before="0" w:after="0" w:line="240" w:lineRule="auto"/>
                    <w:jc w:val="both"/>
                    <w:rPr>
                      <w:b/>
                      <w:sz w:val="22"/>
                      <w:szCs w:val="22"/>
                    </w:rPr>
                  </w:pPr>
                  <w:r w:rsidRPr="00BF57A3">
                    <w:rPr>
                      <w:b/>
                      <w:sz w:val="22"/>
                      <w:szCs w:val="22"/>
                    </w:rPr>
                    <w:t>Gemcitabin</w:t>
                  </w:r>
                  <w:r w:rsidRPr="00BF57A3">
                    <w:rPr>
                      <w:b/>
                      <w:sz w:val="22"/>
                      <w:szCs w:val="22"/>
                    </w:rPr>
                    <w:br/>
                    <w:t>(N=430)</w:t>
                  </w:r>
                </w:p>
              </w:tc>
            </w:tr>
            <w:tr w:rsidR="00AA7CC9" w:rsidRPr="00BF57A3" w14:paraId="50814797" w14:textId="77777777" w:rsidTr="00EC24AF">
              <w:trPr>
                <w:jc w:val="center"/>
              </w:trPr>
              <w:tc>
                <w:tcPr>
                  <w:tcW w:w="9576" w:type="dxa"/>
                  <w:gridSpan w:val="3"/>
                  <w:shd w:val="clear" w:color="auto" w:fill="auto"/>
                  <w:vAlign w:val="bottom"/>
                </w:tcPr>
                <w:p w14:paraId="380FC83B" w14:textId="77777777" w:rsidR="00AA7CC9" w:rsidRPr="00BF57A3" w:rsidRDefault="00AA7CC9" w:rsidP="006C640E">
                  <w:pPr>
                    <w:pStyle w:val="C-TableText"/>
                    <w:spacing w:before="0" w:after="0"/>
                    <w:jc w:val="both"/>
                    <w:rPr>
                      <w:b/>
                      <w:szCs w:val="22"/>
                    </w:rPr>
                  </w:pPr>
                  <w:r w:rsidRPr="00BF57A3">
                    <w:rPr>
                      <w:b/>
                      <w:szCs w:val="22"/>
                    </w:rPr>
                    <w:t>Ukupno preživljavanje</w:t>
                  </w:r>
                </w:p>
              </w:tc>
            </w:tr>
            <w:tr w:rsidR="00AA7CC9" w:rsidRPr="00BF57A3" w14:paraId="2452CFC4" w14:textId="77777777" w:rsidTr="00EC24AF">
              <w:trPr>
                <w:jc w:val="center"/>
              </w:trPr>
              <w:tc>
                <w:tcPr>
                  <w:tcW w:w="3118" w:type="dxa"/>
                  <w:shd w:val="clear" w:color="auto" w:fill="auto"/>
                  <w:vAlign w:val="bottom"/>
                </w:tcPr>
                <w:p w14:paraId="0AA442A0" w14:textId="77777777" w:rsidR="00AA7CC9" w:rsidRPr="00BF57A3" w:rsidRDefault="00AA7CC9" w:rsidP="006C640E">
                  <w:pPr>
                    <w:pStyle w:val="C-TableText"/>
                    <w:spacing w:before="0" w:after="0"/>
                    <w:jc w:val="both"/>
                    <w:rPr>
                      <w:szCs w:val="22"/>
                    </w:rPr>
                  </w:pPr>
                  <w:r w:rsidRPr="00BF57A3">
                    <w:rPr>
                      <w:szCs w:val="22"/>
                    </w:rPr>
                    <w:t>Broj smrti (%)</w:t>
                  </w:r>
                </w:p>
              </w:tc>
              <w:tc>
                <w:tcPr>
                  <w:tcW w:w="3231" w:type="dxa"/>
                  <w:shd w:val="clear" w:color="auto" w:fill="auto"/>
                  <w:vAlign w:val="bottom"/>
                </w:tcPr>
                <w:p w14:paraId="5A9CB4A3" w14:textId="77777777" w:rsidR="00AA7CC9" w:rsidRPr="00BF57A3" w:rsidRDefault="00AA7CC9" w:rsidP="006C640E">
                  <w:pPr>
                    <w:pStyle w:val="C-TableText"/>
                    <w:keepNext/>
                    <w:spacing w:before="0" w:after="0"/>
                    <w:jc w:val="both"/>
                    <w:rPr>
                      <w:szCs w:val="22"/>
                    </w:rPr>
                  </w:pPr>
                  <w:r w:rsidRPr="00BF57A3">
                    <w:rPr>
                      <w:szCs w:val="22"/>
                    </w:rPr>
                    <w:t>333 (77)</w:t>
                  </w:r>
                </w:p>
              </w:tc>
              <w:tc>
                <w:tcPr>
                  <w:tcW w:w="3227" w:type="dxa"/>
                  <w:shd w:val="clear" w:color="auto" w:fill="auto"/>
                  <w:vAlign w:val="bottom"/>
                </w:tcPr>
                <w:p w14:paraId="48CABA1D" w14:textId="77777777" w:rsidR="00AA7CC9" w:rsidRPr="00BF57A3" w:rsidRDefault="00AA7CC9" w:rsidP="006C640E">
                  <w:pPr>
                    <w:pStyle w:val="C-TableText"/>
                    <w:keepNext/>
                    <w:spacing w:before="0" w:after="0"/>
                    <w:jc w:val="both"/>
                    <w:rPr>
                      <w:szCs w:val="22"/>
                    </w:rPr>
                  </w:pPr>
                  <w:r w:rsidRPr="00BF57A3">
                    <w:rPr>
                      <w:szCs w:val="22"/>
                    </w:rPr>
                    <w:t>359 (83)</w:t>
                  </w:r>
                </w:p>
              </w:tc>
            </w:tr>
            <w:tr w:rsidR="00AA7CC9" w:rsidRPr="00BF57A3" w14:paraId="40692129" w14:textId="77777777" w:rsidTr="00EC24AF">
              <w:trPr>
                <w:jc w:val="center"/>
              </w:trPr>
              <w:tc>
                <w:tcPr>
                  <w:tcW w:w="3118" w:type="dxa"/>
                  <w:shd w:val="clear" w:color="auto" w:fill="auto"/>
                  <w:vAlign w:val="bottom"/>
                </w:tcPr>
                <w:p w14:paraId="17F954E4" w14:textId="77777777" w:rsidR="00AA7CC9" w:rsidRPr="00BF57A3" w:rsidRDefault="00AA7CC9" w:rsidP="006C640E">
                  <w:pPr>
                    <w:pStyle w:val="C-TableText"/>
                    <w:spacing w:before="0" w:after="0"/>
                    <w:jc w:val="both"/>
                    <w:rPr>
                      <w:szCs w:val="22"/>
                    </w:rPr>
                  </w:pPr>
                  <w:r w:rsidRPr="00BF57A3">
                    <w:rPr>
                      <w:szCs w:val="22"/>
                    </w:rPr>
                    <w:t>Medijan</w:t>
                  </w:r>
                  <w:r w:rsidR="000423EF" w:rsidRPr="00BF57A3">
                    <w:rPr>
                      <w:szCs w:val="22"/>
                    </w:rPr>
                    <w:t>a</w:t>
                  </w:r>
                  <w:r w:rsidRPr="00BF57A3">
                    <w:rPr>
                      <w:szCs w:val="22"/>
                    </w:rPr>
                    <w:t xml:space="preserve"> ukupnog preživljavanja, mjeseci (95% CI)</w:t>
                  </w:r>
                </w:p>
              </w:tc>
              <w:tc>
                <w:tcPr>
                  <w:tcW w:w="3231" w:type="dxa"/>
                  <w:shd w:val="clear" w:color="auto" w:fill="auto"/>
                  <w:vAlign w:val="center"/>
                </w:tcPr>
                <w:p w14:paraId="533A7BA1" w14:textId="77777777" w:rsidR="00AA7CC9" w:rsidRPr="00BF57A3" w:rsidRDefault="00AA7CC9" w:rsidP="006C640E">
                  <w:pPr>
                    <w:pStyle w:val="C-TableText"/>
                    <w:keepNext/>
                    <w:spacing w:before="0" w:after="0"/>
                    <w:jc w:val="both"/>
                    <w:rPr>
                      <w:b/>
                      <w:szCs w:val="22"/>
                    </w:rPr>
                  </w:pPr>
                  <w:r w:rsidRPr="00BF57A3">
                    <w:rPr>
                      <w:b/>
                      <w:szCs w:val="22"/>
                    </w:rPr>
                    <w:t>8</w:t>
                  </w:r>
                  <w:r w:rsidR="000423EF" w:rsidRPr="00BF57A3">
                    <w:rPr>
                      <w:b/>
                      <w:szCs w:val="22"/>
                    </w:rPr>
                    <w:t>,</w:t>
                  </w:r>
                  <w:r w:rsidRPr="00BF57A3">
                    <w:rPr>
                      <w:b/>
                      <w:szCs w:val="22"/>
                    </w:rPr>
                    <w:t xml:space="preserve">5 </w:t>
                  </w:r>
                  <w:r w:rsidRPr="00BF57A3">
                    <w:rPr>
                      <w:szCs w:val="22"/>
                    </w:rPr>
                    <w:t>(7</w:t>
                  </w:r>
                  <w:r w:rsidR="000423EF" w:rsidRPr="00BF57A3">
                    <w:rPr>
                      <w:szCs w:val="22"/>
                    </w:rPr>
                    <w:t>,</w:t>
                  </w:r>
                  <w:r w:rsidRPr="00BF57A3">
                    <w:rPr>
                      <w:szCs w:val="22"/>
                    </w:rPr>
                    <w:t>89, 9</w:t>
                  </w:r>
                  <w:r w:rsidR="000423EF" w:rsidRPr="00BF57A3">
                    <w:rPr>
                      <w:szCs w:val="22"/>
                    </w:rPr>
                    <w:t>,</w:t>
                  </w:r>
                  <w:r w:rsidRPr="00BF57A3">
                    <w:rPr>
                      <w:szCs w:val="22"/>
                    </w:rPr>
                    <w:t>53)</w:t>
                  </w:r>
                </w:p>
              </w:tc>
              <w:tc>
                <w:tcPr>
                  <w:tcW w:w="3227" w:type="dxa"/>
                  <w:shd w:val="clear" w:color="auto" w:fill="auto"/>
                  <w:vAlign w:val="center"/>
                </w:tcPr>
                <w:p w14:paraId="05A5B04D" w14:textId="77777777" w:rsidR="00AA7CC9" w:rsidRPr="00BF57A3" w:rsidRDefault="00AA7CC9" w:rsidP="006C640E">
                  <w:pPr>
                    <w:pStyle w:val="C-TableText"/>
                    <w:keepNext/>
                    <w:spacing w:before="0" w:after="0"/>
                    <w:jc w:val="both"/>
                    <w:rPr>
                      <w:b/>
                      <w:szCs w:val="22"/>
                    </w:rPr>
                  </w:pPr>
                  <w:r w:rsidRPr="00BF57A3">
                    <w:rPr>
                      <w:b/>
                      <w:szCs w:val="22"/>
                    </w:rPr>
                    <w:t>6</w:t>
                  </w:r>
                  <w:r w:rsidR="000423EF" w:rsidRPr="00BF57A3">
                    <w:rPr>
                      <w:b/>
                      <w:szCs w:val="22"/>
                    </w:rPr>
                    <w:t>,</w:t>
                  </w:r>
                  <w:r w:rsidRPr="00BF57A3">
                    <w:rPr>
                      <w:b/>
                      <w:szCs w:val="22"/>
                    </w:rPr>
                    <w:t xml:space="preserve">7 </w:t>
                  </w:r>
                  <w:r w:rsidRPr="00BF57A3">
                    <w:rPr>
                      <w:szCs w:val="22"/>
                    </w:rPr>
                    <w:t>(6</w:t>
                  </w:r>
                  <w:r w:rsidR="000423EF" w:rsidRPr="00BF57A3">
                    <w:rPr>
                      <w:szCs w:val="22"/>
                    </w:rPr>
                    <w:t>,</w:t>
                  </w:r>
                  <w:r w:rsidRPr="00BF57A3">
                    <w:rPr>
                      <w:szCs w:val="22"/>
                    </w:rPr>
                    <w:t>01, 7</w:t>
                  </w:r>
                  <w:r w:rsidR="000423EF" w:rsidRPr="00BF57A3">
                    <w:rPr>
                      <w:szCs w:val="22"/>
                    </w:rPr>
                    <w:t>,</w:t>
                  </w:r>
                  <w:r w:rsidRPr="00BF57A3">
                    <w:rPr>
                      <w:szCs w:val="22"/>
                    </w:rPr>
                    <w:t>23)</w:t>
                  </w:r>
                </w:p>
              </w:tc>
            </w:tr>
            <w:tr w:rsidR="00AA7CC9" w:rsidRPr="00BF57A3" w14:paraId="00A29599" w14:textId="77777777" w:rsidTr="00EC24AF">
              <w:trPr>
                <w:jc w:val="center"/>
              </w:trPr>
              <w:tc>
                <w:tcPr>
                  <w:tcW w:w="3118" w:type="dxa"/>
                  <w:shd w:val="clear" w:color="auto" w:fill="auto"/>
                  <w:vAlign w:val="bottom"/>
                </w:tcPr>
                <w:p w14:paraId="1C29FBA9" w14:textId="77777777" w:rsidR="00AA7CC9" w:rsidRPr="00BF57A3" w:rsidRDefault="00AA7CC9" w:rsidP="006C640E">
                  <w:pPr>
                    <w:pStyle w:val="C-TableText"/>
                    <w:spacing w:before="0" w:after="0"/>
                    <w:jc w:val="both"/>
                    <w:rPr>
                      <w:szCs w:val="22"/>
                    </w:rPr>
                  </w:pPr>
                  <w:r w:rsidRPr="00BF57A3">
                    <w:rPr>
                      <w:szCs w:val="22"/>
                    </w:rPr>
                    <w:t>HR</w:t>
                  </w:r>
                  <w:r w:rsidRPr="00BF57A3">
                    <w:rPr>
                      <w:szCs w:val="22"/>
                      <w:vertAlign w:val="subscript"/>
                    </w:rPr>
                    <w:t>A</w:t>
                  </w:r>
                  <w:r w:rsidRPr="006C640E">
                    <w:rPr>
                      <w:szCs w:val="22"/>
                      <w:vertAlign w:val="subscript"/>
                    </w:rPr>
                    <w:t>+G/G</w:t>
                  </w:r>
                  <w:r w:rsidRPr="00BF57A3">
                    <w:rPr>
                      <w:szCs w:val="22"/>
                    </w:rPr>
                    <w:t xml:space="preserve"> (95% CI)</w:t>
                  </w:r>
                  <w:r w:rsidRPr="00BF57A3">
                    <w:rPr>
                      <w:szCs w:val="22"/>
                      <w:vertAlign w:val="superscript"/>
                    </w:rPr>
                    <w:t xml:space="preserve">a </w:t>
                  </w:r>
                </w:p>
              </w:tc>
              <w:tc>
                <w:tcPr>
                  <w:tcW w:w="6458" w:type="dxa"/>
                  <w:gridSpan w:val="2"/>
                  <w:shd w:val="clear" w:color="auto" w:fill="auto"/>
                  <w:vAlign w:val="bottom"/>
                </w:tcPr>
                <w:p w14:paraId="11A84D1A" w14:textId="77777777" w:rsidR="00AA7CC9" w:rsidRPr="00BF57A3" w:rsidRDefault="00AA7CC9" w:rsidP="006C640E">
                  <w:pPr>
                    <w:pStyle w:val="C-TableText"/>
                    <w:keepNext/>
                    <w:spacing w:before="0" w:after="0"/>
                    <w:jc w:val="both"/>
                    <w:rPr>
                      <w:szCs w:val="22"/>
                    </w:rPr>
                  </w:pPr>
                  <w:r w:rsidRPr="00BF57A3">
                    <w:rPr>
                      <w:szCs w:val="22"/>
                    </w:rPr>
                    <w:t>0</w:t>
                  </w:r>
                  <w:r w:rsidR="000423EF" w:rsidRPr="00BF57A3">
                    <w:rPr>
                      <w:szCs w:val="22"/>
                    </w:rPr>
                    <w:t>,</w:t>
                  </w:r>
                  <w:r w:rsidRPr="00BF57A3">
                    <w:rPr>
                      <w:szCs w:val="22"/>
                    </w:rPr>
                    <w:t>72 (0</w:t>
                  </w:r>
                  <w:r w:rsidR="000423EF" w:rsidRPr="00BF57A3">
                    <w:rPr>
                      <w:szCs w:val="22"/>
                    </w:rPr>
                    <w:t>,</w:t>
                  </w:r>
                  <w:r w:rsidRPr="00BF57A3">
                    <w:rPr>
                      <w:szCs w:val="22"/>
                    </w:rPr>
                    <w:t>617, 0</w:t>
                  </w:r>
                  <w:r w:rsidR="000423EF" w:rsidRPr="00BF57A3">
                    <w:rPr>
                      <w:szCs w:val="22"/>
                    </w:rPr>
                    <w:t>,</w:t>
                  </w:r>
                  <w:r w:rsidRPr="00BF57A3">
                    <w:rPr>
                      <w:szCs w:val="22"/>
                    </w:rPr>
                    <w:t>835)</w:t>
                  </w:r>
                </w:p>
              </w:tc>
            </w:tr>
            <w:tr w:rsidR="00AA7CC9" w:rsidRPr="00BF57A3" w14:paraId="5279DAAF" w14:textId="77777777" w:rsidTr="00EC24AF">
              <w:trPr>
                <w:jc w:val="center"/>
              </w:trPr>
              <w:tc>
                <w:tcPr>
                  <w:tcW w:w="3118" w:type="dxa"/>
                  <w:shd w:val="clear" w:color="auto" w:fill="auto"/>
                  <w:vAlign w:val="bottom"/>
                </w:tcPr>
                <w:p w14:paraId="7851B611" w14:textId="77777777" w:rsidR="00AA7CC9" w:rsidRPr="00BF57A3" w:rsidRDefault="00AA7CC9" w:rsidP="006C640E">
                  <w:pPr>
                    <w:pStyle w:val="C-TableText"/>
                    <w:spacing w:before="0" w:after="0"/>
                    <w:jc w:val="both"/>
                    <w:rPr>
                      <w:szCs w:val="22"/>
                    </w:rPr>
                  </w:pPr>
                  <w:r w:rsidRPr="00BF57A3">
                    <w:rPr>
                      <w:szCs w:val="22"/>
                    </w:rPr>
                    <w:t>P</w:t>
                  </w:r>
                  <w:r w:rsidRPr="00BF57A3">
                    <w:rPr>
                      <w:szCs w:val="22"/>
                    </w:rPr>
                    <w:noBreakHyphen/>
                    <w:t>vrijednost</w:t>
                  </w:r>
                  <w:r w:rsidRPr="00BF57A3">
                    <w:rPr>
                      <w:rStyle w:val="C-TableCallout"/>
                    </w:rPr>
                    <w:t xml:space="preserve">b </w:t>
                  </w:r>
                </w:p>
              </w:tc>
              <w:tc>
                <w:tcPr>
                  <w:tcW w:w="6458" w:type="dxa"/>
                  <w:gridSpan w:val="2"/>
                  <w:shd w:val="clear" w:color="auto" w:fill="auto"/>
                  <w:vAlign w:val="bottom"/>
                </w:tcPr>
                <w:p w14:paraId="71C29FD0" w14:textId="77777777" w:rsidR="00AA7CC9" w:rsidRPr="00BF57A3" w:rsidRDefault="00AA7CC9" w:rsidP="006C640E">
                  <w:pPr>
                    <w:pStyle w:val="C-TableText"/>
                    <w:keepNext/>
                    <w:spacing w:before="0" w:after="0"/>
                    <w:jc w:val="both"/>
                    <w:rPr>
                      <w:szCs w:val="22"/>
                    </w:rPr>
                  </w:pPr>
                  <w:r w:rsidRPr="00BF57A3">
                    <w:rPr>
                      <w:szCs w:val="22"/>
                    </w:rPr>
                    <w:t>&lt;0</w:t>
                  </w:r>
                  <w:r w:rsidR="000423EF" w:rsidRPr="00BF57A3">
                    <w:rPr>
                      <w:szCs w:val="22"/>
                    </w:rPr>
                    <w:t>,</w:t>
                  </w:r>
                  <w:r w:rsidRPr="00BF57A3">
                    <w:rPr>
                      <w:szCs w:val="22"/>
                    </w:rPr>
                    <w:t>0001</w:t>
                  </w:r>
                </w:p>
              </w:tc>
            </w:tr>
            <w:tr w:rsidR="00AA7CC9" w:rsidRPr="00BF57A3" w14:paraId="2B0678FB" w14:textId="77777777" w:rsidTr="00EC24AF">
              <w:trPr>
                <w:jc w:val="center"/>
              </w:trPr>
              <w:tc>
                <w:tcPr>
                  <w:tcW w:w="3118" w:type="dxa"/>
                  <w:shd w:val="clear" w:color="auto" w:fill="auto"/>
                  <w:vAlign w:val="bottom"/>
                </w:tcPr>
                <w:p w14:paraId="27C7499C" w14:textId="77777777" w:rsidR="00AA7CC9" w:rsidRPr="00BF57A3" w:rsidRDefault="00AA7CC9" w:rsidP="006C640E">
                  <w:pPr>
                    <w:pStyle w:val="C-TableText"/>
                    <w:spacing w:before="0" w:after="0"/>
                    <w:jc w:val="both"/>
                    <w:rPr>
                      <w:szCs w:val="22"/>
                    </w:rPr>
                  </w:pPr>
                  <w:r w:rsidRPr="00BF57A3">
                    <w:rPr>
                      <w:szCs w:val="22"/>
                    </w:rPr>
                    <w:t>Stopa preživljavanja % (95% CI) u</w:t>
                  </w:r>
                </w:p>
              </w:tc>
              <w:tc>
                <w:tcPr>
                  <w:tcW w:w="6458" w:type="dxa"/>
                  <w:gridSpan w:val="2"/>
                  <w:shd w:val="clear" w:color="auto" w:fill="auto"/>
                  <w:vAlign w:val="bottom"/>
                </w:tcPr>
                <w:p w14:paraId="235FBDF1" w14:textId="77777777" w:rsidR="00AA7CC9" w:rsidRPr="00BF57A3" w:rsidRDefault="00AA7CC9" w:rsidP="006C640E">
                  <w:pPr>
                    <w:pStyle w:val="C-TableText"/>
                    <w:keepNext/>
                    <w:spacing w:before="0" w:after="0"/>
                    <w:jc w:val="both"/>
                    <w:rPr>
                      <w:szCs w:val="22"/>
                    </w:rPr>
                  </w:pPr>
                </w:p>
              </w:tc>
            </w:tr>
            <w:tr w:rsidR="00AA7CC9" w:rsidRPr="00BF57A3" w14:paraId="6B4AF83F" w14:textId="77777777" w:rsidTr="00EC24AF">
              <w:trPr>
                <w:jc w:val="center"/>
              </w:trPr>
              <w:tc>
                <w:tcPr>
                  <w:tcW w:w="3118" w:type="dxa"/>
                  <w:shd w:val="clear" w:color="auto" w:fill="auto"/>
                  <w:vAlign w:val="bottom"/>
                </w:tcPr>
                <w:p w14:paraId="325BF207" w14:textId="77777777" w:rsidR="00AA7CC9" w:rsidRPr="00BF57A3" w:rsidRDefault="00AA7CC9" w:rsidP="006C640E">
                  <w:pPr>
                    <w:pStyle w:val="C-TableText"/>
                    <w:spacing w:before="0" w:after="0"/>
                    <w:ind w:left="334" w:firstLine="170"/>
                    <w:jc w:val="both"/>
                    <w:rPr>
                      <w:szCs w:val="22"/>
                    </w:rPr>
                  </w:pPr>
                  <w:r w:rsidRPr="00BF57A3">
                    <w:rPr>
                      <w:szCs w:val="22"/>
                    </w:rPr>
                    <w:t>1. godini</w:t>
                  </w:r>
                </w:p>
              </w:tc>
              <w:tc>
                <w:tcPr>
                  <w:tcW w:w="3231" w:type="dxa"/>
                  <w:shd w:val="clear" w:color="auto" w:fill="auto"/>
                  <w:vAlign w:val="bottom"/>
                </w:tcPr>
                <w:p w14:paraId="0C60BCE7" w14:textId="77777777" w:rsidR="00AA7CC9" w:rsidRPr="00BF57A3" w:rsidRDefault="00AA7CC9" w:rsidP="006C640E">
                  <w:pPr>
                    <w:pStyle w:val="C-TableText"/>
                    <w:keepNext/>
                    <w:spacing w:before="0" w:after="0"/>
                    <w:jc w:val="both"/>
                    <w:rPr>
                      <w:szCs w:val="22"/>
                    </w:rPr>
                  </w:pPr>
                  <w:r w:rsidRPr="00994B38">
                    <w:rPr>
                      <w:szCs w:val="22"/>
                    </w:rPr>
                    <w:t>35% (29</w:t>
                  </w:r>
                  <w:r w:rsidR="000423EF" w:rsidRPr="00994B38">
                    <w:rPr>
                      <w:szCs w:val="22"/>
                    </w:rPr>
                    <w:t>,</w:t>
                  </w:r>
                  <w:r w:rsidRPr="00511C3B">
                    <w:rPr>
                      <w:szCs w:val="22"/>
                    </w:rPr>
                    <w:t>7, 39</w:t>
                  </w:r>
                  <w:r w:rsidR="000423EF" w:rsidRPr="00E01B47">
                    <w:rPr>
                      <w:szCs w:val="22"/>
                    </w:rPr>
                    <w:t>,</w:t>
                  </w:r>
                  <w:r w:rsidRPr="00E01B47">
                    <w:rPr>
                      <w:szCs w:val="22"/>
                    </w:rPr>
                    <w:t>5)</w:t>
                  </w:r>
                </w:p>
              </w:tc>
              <w:tc>
                <w:tcPr>
                  <w:tcW w:w="3227" w:type="dxa"/>
                  <w:shd w:val="clear" w:color="auto" w:fill="auto"/>
                  <w:vAlign w:val="bottom"/>
                </w:tcPr>
                <w:p w14:paraId="763BB2E5" w14:textId="77777777" w:rsidR="00AA7CC9" w:rsidRPr="00BF57A3" w:rsidRDefault="00AA7CC9" w:rsidP="006C640E">
                  <w:pPr>
                    <w:pStyle w:val="C-TableText"/>
                    <w:keepNext/>
                    <w:spacing w:before="0" w:after="0"/>
                    <w:jc w:val="both"/>
                    <w:rPr>
                      <w:szCs w:val="22"/>
                    </w:rPr>
                  </w:pPr>
                  <w:r w:rsidRPr="00994B38">
                    <w:rPr>
                      <w:szCs w:val="22"/>
                    </w:rPr>
                    <w:t>22% (18</w:t>
                  </w:r>
                  <w:r w:rsidR="000423EF" w:rsidRPr="00994B38">
                    <w:rPr>
                      <w:szCs w:val="22"/>
                    </w:rPr>
                    <w:t>,</w:t>
                  </w:r>
                  <w:r w:rsidRPr="00511C3B">
                    <w:rPr>
                      <w:szCs w:val="22"/>
                    </w:rPr>
                    <w:t>1, 26.7)</w:t>
                  </w:r>
                </w:p>
              </w:tc>
            </w:tr>
            <w:tr w:rsidR="00AA7CC9" w:rsidRPr="00BF57A3" w14:paraId="560093C0" w14:textId="77777777" w:rsidTr="00EC24AF">
              <w:trPr>
                <w:jc w:val="center"/>
              </w:trPr>
              <w:tc>
                <w:tcPr>
                  <w:tcW w:w="3118" w:type="dxa"/>
                  <w:shd w:val="clear" w:color="auto" w:fill="auto"/>
                  <w:vAlign w:val="bottom"/>
                </w:tcPr>
                <w:p w14:paraId="362268DF" w14:textId="77777777" w:rsidR="00AA7CC9" w:rsidRPr="00BF57A3" w:rsidRDefault="00AA7CC9" w:rsidP="006C640E">
                  <w:pPr>
                    <w:pStyle w:val="C-TableText"/>
                    <w:spacing w:before="0" w:after="0"/>
                    <w:ind w:left="334" w:firstLine="170"/>
                    <w:jc w:val="both"/>
                    <w:rPr>
                      <w:szCs w:val="22"/>
                    </w:rPr>
                  </w:pPr>
                  <w:r w:rsidRPr="00BF57A3">
                    <w:rPr>
                      <w:szCs w:val="22"/>
                    </w:rPr>
                    <w:t>2. godini</w:t>
                  </w:r>
                </w:p>
              </w:tc>
              <w:tc>
                <w:tcPr>
                  <w:tcW w:w="3231" w:type="dxa"/>
                  <w:shd w:val="clear" w:color="auto" w:fill="auto"/>
                  <w:vAlign w:val="bottom"/>
                </w:tcPr>
                <w:p w14:paraId="611E00B6" w14:textId="77777777" w:rsidR="00AA7CC9" w:rsidRPr="00BF57A3" w:rsidRDefault="00AA7CC9" w:rsidP="006C640E">
                  <w:pPr>
                    <w:pStyle w:val="C-TableText"/>
                    <w:keepNext/>
                    <w:spacing w:before="0" w:after="0"/>
                    <w:jc w:val="both"/>
                    <w:rPr>
                      <w:szCs w:val="22"/>
                    </w:rPr>
                  </w:pPr>
                  <w:r w:rsidRPr="00994B38">
                    <w:rPr>
                      <w:szCs w:val="22"/>
                    </w:rPr>
                    <w:t>9% (6</w:t>
                  </w:r>
                  <w:r w:rsidR="000423EF" w:rsidRPr="00994B38">
                    <w:rPr>
                      <w:szCs w:val="22"/>
                    </w:rPr>
                    <w:t>,</w:t>
                  </w:r>
                  <w:r w:rsidRPr="00511C3B">
                    <w:rPr>
                      <w:szCs w:val="22"/>
                    </w:rPr>
                    <w:t>2, 13.1)</w:t>
                  </w:r>
                </w:p>
              </w:tc>
              <w:tc>
                <w:tcPr>
                  <w:tcW w:w="3227" w:type="dxa"/>
                  <w:shd w:val="clear" w:color="auto" w:fill="auto"/>
                  <w:vAlign w:val="bottom"/>
                </w:tcPr>
                <w:p w14:paraId="570E2DD1" w14:textId="77777777" w:rsidR="00AA7CC9" w:rsidRPr="00BF57A3" w:rsidRDefault="00AA7CC9" w:rsidP="006C640E">
                  <w:pPr>
                    <w:pStyle w:val="C-TableText"/>
                    <w:keepNext/>
                    <w:spacing w:before="0" w:after="0"/>
                    <w:jc w:val="both"/>
                    <w:rPr>
                      <w:szCs w:val="22"/>
                    </w:rPr>
                  </w:pPr>
                  <w:r w:rsidRPr="00994B38">
                    <w:rPr>
                      <w:szCs w:val="22"/>
                    </w:rPr>
                    <w:t>4% (2</w:t>
                  </w:r>
                  <w:r w:rsidR="000423EF" w:rsidRPr="00994B38">
                    <w:rPr>
                      <w:szCs w:val="22"/>
                    </w:rPr>
                    <w:t>,</w:t>
                  </w:r>
                  <w:r w:rsidRPr="00511C3B">
                    <w:rPr>
                      <w:szCs w:val="22"/>
                    </w:rPr>
                    <w:t>3, 7</w:t>
                  </w:r>
                  <w:r w:rsidR="000423EF" w:rsidRPr="00E01B47">
                    <w:rPr>
                      <w:szCs w:val="22"/>
                    </w:rPr>
                    <w:t>,</w:t>
                  </w:r>
                  <w:r w:rsidRPr="00E01B47">
                    <w:rPr>
                      <w:szCs w:val="22"/>
                    </w:rPr>
                    <w:t>2)</w:t>
                  </w:r>
                </w:p>
              </w:tc>
            </w:tr>
            <w:tr w:rsidR="00AA7CC9" w:rsidRPr="00BF57A3" w14:paraId="1456B063" w14:textId="77777777" w:rsidTr="00EC24AF">
              <w:trPr>
                <w:jc w:val="center"/>
              </w:trPr>
              <w:tc>
                <w:tcPr>
                  <w:tcW w:w="3118" w:type="dxa"/>
                  <w:shd w:val="clear" w:color="auto" w:fill="auto"/>
                  <w:vAlign w:val="bottom"/>
                </w:tcPr>
                <w:p w14:paraId="6F310B02" w14:textId="77777777" w:rsidR="00AA7CC9" w:rsidRPr="00BF57A3" w:rsidRDefault="00AA7CC9" w:rsidP="006C640E">
                  <w:pPr>
                    <w:pStyle w:val="C-TableText"/>
                    <w:spacing w:before="0" w:after="0"/>
                    <w:jc w:val="both"/>
                    <w:rPr>
                      <w:szCs w:val="22"/>
                    </w:rPr>
                  </w:pPr>
                  <w:r w:rsidRPr="00BF57A3">
                    <w:rPr>
                      <w:szCs w:val="22"/>
                    </w:rPr>
                    <w:t>75. percentil ukupnog preživljavanja  (mjeseci)</w:t>
                  </w:r>
                </w:p>
              </w:tc>
              <w:tc>
                <w:tcPr>
                  <w:tcW w:w="3231" w:type="dxa"/>
                  <w:shd w:val="clear" w:color="auto" w:fill="auto"/>
                  <w:vAlign w:val="center"/>
                </w:tcPr>
                <w:p w14:paraId="478038E6" w14:textId="77777777" w:rsidR="00AA7CC9" w:rsidRPr="00511C3B" w:rsidRDefault="00AA7CC9" w:rsidP="006C640E">
                  <w:pPr>
                    <w:pStyle w:val="C-TableText"/>
                    <w:keepNext/>
                    <w:spacing w:before="0" w:after="0"/>
                    <w:jc w:val="both"/>
                    <w:rPr>
                      <w:szCs w:val="22"/>
                    </w:rPr>
                  </w:pPr>
                  <w:r w:rsidRPr="00994B38">
                    <w:rPr>
                      <w:szCs w:val="22"/>
                    </w:rPr>
                    <w:t>14</w:t>
                  </w:r>
                  <w:r w:rsidR="000423EF" w:rsidRPr="00994B38">
                    <w:rPr>
                      <w:szCs w:val="22"/>
                    </w:rPr>
                    <w:t>,</w:t>
                  </w:r>
                  <w:r w:rsidRPr="00511C3B">
                    <w:rPr>
                      <w:szCs w:val="22"/>
                    </w:rPr>
                    <w:t>8</w:t>
                  </w:r>
                </w:p>
              </w:tc>
              <w:tc>
                <w:tcPr>
                  <w:tcW w:w="3227" w:type="dxa"/>
                  <w:shd w:val="clear" w:color="auto" w:fill="auto"/>
                  <w:vAlign w:val="center"/>
                </w:tcPr>
                <w:p w14:paraId="1D139C0F" w14:textId="77777777" w:rsidR="00AA7CC9" w:rsidRPr="00E01B47" w:rsidRDefault="00AA7CC9" w:rsidP="006C640E">
                  <w:pPr>
                    <w:pStyle w:val="C-TableText"/>
                    <w:keepNext/>
                    <w:spacing w:before="0" w:after="0"/>
                    <w:jc w:val="both"/>
                    <w:rPr>
                      <w:szCs w:val="22"/>
                    </w:rPr>
                  </w:pPr>
                  <w:r w:rsidRPr="00E01B47">
                    <w:rPr>
                      <w:szCs w:val="22"/>
                    </w:rPr>
                    <w:t>11</w:t>
                  </w:r>
                  <w:r w:rsidR="000423EF" w:rsidRPr="00E01B47">
                    <w:rPr>
                      <w:szCs w:val="22"/>
                    </w:rPr>
                    <w:t>,</w:t>
                  </w:r>
                  <w:r w:rsidRPr="00E01B47">
                    <w:rPr>
                      <w:szCs w:val="22"/>
                    </w:rPr>
                    <w:t>4</w:t>
                  </w:r>
                </w:p>
              </w:tc>
            </w:tr>
            <w:tr w:rsidR="00AA7CC9" w:rsidRPr="00BF57A3" w14:paraId="5315AE7B" w14:textId="77777777" w:rsidTr="00EC24AF">
              <w:trPr>
                <w:jc w:val="center"/>
              </w:trPr>
              <w:tc>
                <w:tcPr>
                  <w:tcW w:w="9576" w:type="dxa"/>
                  <w:gridSpan w:val="3"/>
                  <w:shd w:val="clear" w:color="auto" w:fill="auto"/>
                  <w:vAlign w:val="bottom"/>
                </w:tcPr>
                <w:p w14:paraId="5CB97DA3" w14:textId="77777777" w:rsidR="00AA7CC9" w:rsidRPr="00BF57A3" w:rsidRDefault="00AA7CC9" w:rsidP="006C640E">
                  <w:pPr>
                    <w:pStyle w:val="C-TableText"/>
                    <w:spacing w:before="0" w:after="0"/>
                    <w:jc w:val="both"/>
                    <w:rPr>
                      <w:b/>
                      <w:szCs w:val="22"/>
                    </w:rPr>
                  </w:pPr>
                  <w:r w:rsidRPr="00BF57A3">
                    <w:rPr>
                      <w:b/>
                      <w:szCs w:val="22"/>
                    </w:rPr>
                    <w:t>Preživljavanje bez progresije bolesti</w:t>
                  </w:r>
                </w:p>
              </w:tc>
            </w:tr>
            <w:tr w:rsidR="00AA7CC9" w:rsidRPr="00BF57A3" w14:paraId="7C6D1861" w14:textId="77777777" w:rsidTr="00EC24AF">
              <w:trPr>
                <w:jc w:val="center"/>
              </w:trPr>
              <w:tc>
                <w:tcPr>
                  <w:tcW w:w="3118" w:type="dxa"/>
                  <w:shd w:val="clear" w:color="auto" w:fill="auto"/>
                  <w:vAlign w:val="bottom"/>
                </w:tcPr>
                <w:p w14:paraId="01D37D7A" w14:textId="77777777" w:rsidR="00AA7CC9" w:rsidRPr="00BF57A3" w:rsidRDefault="00AA7CC9" w:rsidP="006C640E">
                  <w:pPr>
                    <w:pStyle w:val="C-TableText"/>
                    <w:spacing w:before="0" w:after="0"/>
                    <w:jc w:val="both"/>
                    <w:rPr>
                      <w:szCs w:val="22"/>
                    </w:rPr>
                  </w:pPr>
                  <w:r w:rsidRPr="00BF57A3">
                    <w:rPr>
                      <w:szCs w:val="22"/>
                    </w:rPr>
                    <w:t>Smrt ili progresija, n (%)</w:t>
                  </w:r>
                </w:p>
              </w:tc>
              <w:tc>
                <w:tcPr>
                  <w:tcW w:w="3231" w:type="dxa"/>
                  <w:shd w:val="clear" w:color="auto" w:fill="auto"/>
                  <w:vAlign w:val="bottom"/>
                </w:tcPr>
                <w:p w14:paraId="29816E2A" w14:textId="77777777" w:rsidR="00AA7CC9" w:rsidRPr="00BF57A3" w:rsidRDefault="00AA7CC9" w:rsidP="006C640E">
                  <w:pPr>
                    <w:pStyle w:val="C-TableText"/>
                    <w:keepNext/>
                    <w:spacing w:before="0" w:after="0"/>
                    <w:jc w:val="both"/>
                    <w:rPr>
                      <w:szCs w:val="22"/>
                    </w:rPr>
                  </w:pPr>
                  <w:r w:rsidRPr="00BF57A3">
                    <w:rPr>
                      <w:szCs w:val="22"/>
                    </w:rPr>
                    <w:t>277 (64)</w:t>
                  </w:r>
                </w:p>
              </w:tc>
              <w:tc>
                <w:tcPr>
                  <w:tcW w:w="3227" w:type="dxa"/>
                  <w:shd w:val="clear" w:color="auto" w:fill="auto"/>
                  <w:vAlign w:val="bottom"/>
                </w:tcPr>
                <w:p w14:paraId="656C079E" w14:textId="77777777" w:rsidR="00AA7CC9" w:rsidRPr="00BF57A3" w:rsidRDefault="00AA7CC9" w:rsidP="006C640E">
                  <w:pPr>
                    <w:pStyle w:val="C-TableText"/>
                    <w:keepNext/>
                    <w:spacing w:before="0" w:after="0"/>
                    <w:jc w:val="both"/>
                    <w:rPr>
                      <w:szCs w:val="22"/>
                    </w:rPr>
                  </w:pPr>
                  <w:r w:rsidRPr="00BF57A3">
                    <w:rPr>
                      <w:szCs w:val="22"/>
                    </w:rPr>
                    <w:t>265 (62)</w:t>
                  </w:r>
                </w:p>
              </w:tc>
            </w:tr>
            <w:tr w:rsidR="00AA7CC9" w:rsidRPr="00BF57A3" w14:paraId="555BC824" w14:textId="77777777" w:rsidTr="00EC24AF">
              <w:trPr>
                <w:jc w:val="center"/>
              </w:trPr>
              <w:tc>
                <w:tcPr>
                  <w:tcW w:w="3118" w:type="dxa"/>
                  <w:shd w:val="clear" w:color="auto" w:fill="auto"/>
                  <w:vAlign w:val="bottom"/>
                </w:tcPr>
                <w:p w14:paraId="004D353B" w14:textId="77777777" w:rsidR="00AA7CC9" w:rsidRPr="00BF57A3" w:rsidRDefault="00AA7CC9" w:rsidP="006C640E">
                  <w:pPr>
                    <w:pStyle w:val="C-TableText"/>
                    <w:spacing w:before="0" w:after="0"/>
                    <w:jc w:val="both"/>
                    <w:rPr>
                      <w:szCs w:val="22"/>
                      <w:lang w:val="it-IT"/>
                    </w:rPr>
                  </w:pPr>
                  <w:r w:rsidRPr="00BF57A3">
                    <w:rPr>
                      <w:szCs w:val="22"/>
                      <w:lang w:val="it-IT"/>
                    </w:rPr>
                    <w:t>Medijan</w:t>
                  </w:r>
                  <w:r w:rsidR="003203C1" w:rsidRPr="00BF57A3">
                    <w:rPr>
                      <w:szCs w:val="22"/>
                      <w:lang w:val="it-IT"/>
                    </w:rPr>
                    <w:t>a</w:t>
                  </w:r>
                  <w:r w:rsidRPr="00BF57A3">
                    <w:rPr>
                      <w:szCs w:val="22"/>
                      <w:lang w:val="it-IT"/>
                    </w:rPr>
                    <w:t xml:space="preserve"> preživljavanja bez progresije bolesti, mjeseci (95% CI)</w:t>
                  </w:r>
                </w:p>
              </w:tc>
              <w:tc>
                <w:tcPr>
                  <w:tcW w:w="3231" w:type="dxa"/>
                  <w:shd w:val="clear" w:color="auto" w:fill="auto"/>
                  <w:vAlign w:val="center"/>
                </w:tcPr>
                <w:p w14:paraId="2CFFD2CE" w14:textId="77777777" w:rsidR="00AA7CC9" w:rsidRPr="00BF57A3" w:rsidRDefault="00AA7CC9" w:rsidP="006C640E">
                  <w:pPr>
                    <w:pStyle w:val="C-TableText"/>
                    <w:keepNext/>
                    <w:spacing w:before="0" w:after="0"/>
                    <w:jc w:val="both"/>
                    <w:rPr>
                      <w:szCs w:val="22"/>
                    </w:rPr>
                  </w:pPr>
                  <w:r w:rsidRPr="00BF57A3">
                    <w:rPr>
                      <w:b/>
                      <w:szCs w:val="22"/>
                    </w:rPr>
                    <w:t>5</w:t>
                  </w:r>
                  <w:r w:rsidR="003203C1" w:rsidRPr="00BF57A3">
                    <w:rPr>
                      <w:b/>
                      <w:szCs w:val="22"/>
                    </w:rPr>
                    <w:t>,</w:t>
                  </w:r>
                  <w:r w:rsidRPr="00BF57A3">
                    <w:rPr>
                      <w:b/>
                      <w:szCs w:val="22"/>
                    </w:rPr>
                    <w:t xml:space="preserve">5 </w:t>
                  </w:r>
                  <w:r w:rsidRPr="00BF57A3">
                    <w:rPr>
                      <w:szCs w:val="22"/>
                    </w:rPr>
                    <w:t>(4</w:t>
                  </w:r>
                  <w:r w:rsidR="003203C1" w:rsidRPr="00BF57A3">
                    <w:rPr>
                      <w:szCs w:val="22"/>
                    </w:rPr>
                    <w:t>,</w:t>
                  </w:r>
                  <w:r w:rsidRPr="00BF57A3">
                    <w:rPr>
                      <w:szCs w:val="22"/>
                    </w:rPr>
                    <w:t>47, 5</w:t>
                  </w:r>
                  <w:r w:rsidR="003203C1" w:rsidRPr="00BF57A3">
                    <w:rPr>
                      <w:szCs w:val="22"/>
                    </w:rPr>
                    <w:t>,</w:t>
                  </w:r>
                  <w:r w:rsidRPr="00BF57A3">
                    <w:rPr>
                      <w:szCs w:val="22"/>
                    </w:rPr>
                    <w:t>95)</w:t>
                  </w:r>
                </w:p>
              </w:tc>
              <w:tc>
                <w:tcPr>
                  <w:tcW w:w="3227" w:type="dxa"/>
                  <w:shd w:val="clear" w:color="auto" w:fill="auto"/>
                  <w:vAlign w:val="center"/>
                </w:tcPr>
                <w:p w14:paraId="6D46EF6B" w14:textId="77777777" w:rsidR="00AA7CC9" w:rsidRPr="00BF57A3" w:rsidRDefault="00AA7CC9" w:rsidP="006C640E">
                  <w:pPr>
                    <w:pStyle w:val="C-TableText"/>
                    <w:keepNext/>
                    <w:spacing w:before="0" w:after="0"/>
                    <w:jc w:val="both"/>
                    <w:rPr>
                      <w:b/>
                      <w:szCs w:val="22"/>
                    </w:rPr>
                  </w:pPr>
                  <w:r w:rsidRPr="00BF57A3">
                    <w:rPr>
                      <w:b/>
                      <w:szCs w:val="22"/>
                    </w:rPr>
                    <w:t>3</w:t>
                  </w:r>
                  <w:r w:rsidR="003203C1" w:rsidRPr="00BF57A3">
                    <w:rPr>
                      <w:b/>
                      <w:szCs w:val="22"/>
                    </w:rPr>
                    <w:t>,</w:t>
                  </w:r>
                  <w:r w:rsidRPr="00BF57A3">
                    <w:rPr>
                      <w:b/>
                      <w:szCs w:val="22"/>
                    </w:rPr>
                    <w:t xml:space="preserve">7 </w:t>
                  </w:r>
                  <w:r w:rsidRPr="00BF57A3">
                    <w:rPr>
                      <w:szCs w:val="22"/>
                    </w:rPr>
                    <w:t>(3</w:t>
                  </w:r>
                  <w:r w:rsidR="003203C1" w:rsidRPr="00BF57A3">
                    <w:rPr>
                      <w:szCs w:val="22"/>
                    </w:rPr>
                    <w:t>,</w:t>
                  </w:r>
                  <w:r w:rsidRPr="00BF57A3">
                    <w:rPr>
                      <w:szCs w:val="22"/>
                    </w:rPr>
                    <w:t>61, 4</w:t>
                  </w:r>
                  <w:r w:rsidR="003203C1" w:rsidRPr="00BF57A3">
                    <w:rPr>
                      <w:szCs w:val="22"/>
                    </w:rPr>
                    <w:t>,</w:t>
                  </w:r>
                  <w:r w:rsidRPr="00BF57A3">
                    <w:rPr>
                      <w:szCs w:val="22"/>
                    </w:rPr>
                    <w:t>04)</w:t>
                  </w:r>
                </w:p>
              </w:tc>
            </w:tr>
            <w:tr w:rsidR="00AA7CC9" w:rsidRPr="00BF57A3" w14:paraId="0D8B73EE" w14:textId="77777777" w:rsidTr="00EC24AF">
              <w:trPr>
                <w:jc w:val="center"/>
              </w:trPr>
              <w:tc>
                <w:tcPr>
                  <w:tcW w:w="3118" w:type="dxa"/>
                  <w:shd w:val="clear" w:color="auto" w:fill="auto"/>
                  <w:vAlign w:val="bottom"/>
                </w:tcPr>
                <w:p w14:paraId="3D19F90D" w14:textId="77777777" w:rsidR="00AA7CC9" w:rsidRPr="00BF57A3" w:rsidRDefault="00AA7CC9" w:rsidP="006C640E">
                  <w:pPr>
                    <w:pStyle w:val="C-TableText"/>
                    <w:spacing w:before="0" w:after="0"/>
                    <w:jc w:val="both"/>
                    <w:rPr>
                      <w:szCs w:val="22"/>
                    </w:rPr>
                  </w:pPr>
                  <w:r w:rsidRPr="00BF57A3">
                    <w:rPr>
                      <w:szCs w:val="22"/>
                    </w:rPr>
                    <w:t>HR</w:t>
                  </w:r>
                  <w:r w:rsidRPr="00BF57A3">
                    <w:rPr>
                      <w:szCs w:val="22"/>
                      <w:vertAlign w:val="subscript"/>
                    </w:rPr>
                    <w:t>A</w:t>
                  </w:r>
                  <w:r w:rsidRPr="006C640E">
                    <w:rPr>
                      <w:szCs w:val="22"/>
                      <w:vertAlign w:val="subscript"/>
                    </w:rPr>
                    <w:t>+G/G</w:t>
                  </w:r>
                  <w:r w:rsidRPr="00BF57A3">
                    <w:rPr>
                      <w:szCs w:val="22"/>
                    </w:rPr>
                    <w:t xml:space="preserve"> (95% CI)</w:t>
                  </w:r>
                  <w:r w:rsidRPr="00BF57A3">
                    <w:rPr>
                      <w:szCs w:val="22"/>
                      <w:vertAlign w:val="superscript"/>
                    </w:rPr>
                    <w:t>a</w:t>
                  </w:r>
                </w:p>
              </w:tc>
              <w:tc>
                <w:tcPr>
                  <w:tcW w:w="6458" w:type="dxa"/>
                  <w:gridSpan w:val="2"/>
                  <w:shd w:val="clear" w:color="auto" w:fill="auto"/>
                  <w:vAlign w:val="bottom"/>
                </w:tcPr>
                <w:p w14:paraId="287437BF" w14:textId="77777777" w:rsidR="00AA7CC9" w:rsidRPr="00BF57A3" w:rsidRDefault="00AA7CC9" w:rsidP="006C640E">
                  <w:pPr>
                    <w:pStyle w:val="C-TableText"/>
                    <w:keepNext/>
                    <w:spacing w:before="0" w:after="0"/>
                    <w:jc w:val="both"/>
                    <w:rPr>
                      <w:szCs w:val="22"/>
                    </w:rPr>
                  </w:pPr>
                  <w:r w:rsidRPr="00BF57A3">
                    <w:rPr>
                      <w:szCs w:val="22"/>
                    </w:rPr>
                    <w:t>0</w:t>
                  </w:r>
                  <w:r w:rsidR="003203C1" w:rsidRPr="00BF57A3">
                    <w:rPr>
                      <w:szCs w:val="22"/>
                    </w:rPr>
                    <w:t>,</w:t>
                  </w:r>
                  <w:r w:rsidRPr="00BF57A3">
                    <w:rPr>
                      <w:szCs w:val="22"/>
                    </w:rPr>
                    <w:t>69 (0</w:t>
                  </w:r>
                  <w:r w:rsidR="003203C1" w:rsidRPr="00BF57A3">
                    <w:rPr>
                      <w:szCs w:val="22"/>
                    </w:rPr>
                    <w:t>,</w:t>
                  </w:r>
                  <w:r w:rsidRPr="00BF57A3">
                    <w:rPr>
                      <w:szCs w:val="22"/>
                    </w:rPr>
                    <w:t>581, 0</w:t>
                  </w:r>
                  <w:r w:rsidR="003203C1" w:rsidRPr="00BF57A3">
                    <w:rPr>
                      <w:szCs w:val="22"/>
                    </w:rPr>
                    <w:t>,</w:t>
                  </w:r>
                  <w:r w:rsidRPr="00BF57A3">
                    <w:rPr>
                      <w:szCs w:val="22"/>
                    </w:rPr>
                    <w:t>821)</w:t>
                  </w:r>
                </w:p>
              </w:tc>
            </w:tr>
            <w:tr w:rsidR="00AA7CC9" w:rsidRPr="00BF57A3" w14:paraId="03508FED" w14:textId="77777777" w:rsidTr="00EC24AF">
              <w:trPr>
                <w:jc w:val="center"/>
              </w:trPr>
              <w:tc>
                <w:tcPr>
                  <w:tcW w:w="3118" w:type="dxa"/>
                  <w:shd w:val="clear" w:color="auto" w:fill="auto"/>
                  <w:vAlign w:val="bottom"/>
                </w:tcPr>
                <w:p w14:paraId="39EB2743" w14:textId="77777777" w:rsidR="00AA7CC9" w:rsidRPr="00BF57A3" w:rsidRDefault="00AA7CC9" w:rsidP="006C640E">
                  <w:pPr>
                    <w:pStyle w:val="C-TableText"/>
                    <w:tabs>
                      <w:tab w:val="left" w:pos="851"/>
                    </w:tabs>
                    <w:spacing w:before="0" w:after="0"/>
                    <w:jc w:val="both"/>
                    <w:rPr>
                      <w:szCs w:val="22"/>
                    </w:rPr>
                  </w:pPr>
                  <w:r w:rsidRPr="00BF57A3">
                    <w:rPr>
                      <w:szCs w:val="22"/>
                    </w:rPr>
                    <w:lastRenderedPageBreak/>
                    <w:t>P</w:t>
                  </w:r>
                  <w:r w:rsidRPr="00BF57A3">
                    <w:rPr>
                      <w:szCs w:val="22"/>
                    </w:rPr>
                    <w:noBreakHyphen/>
                    <w:t>vrijednost</w:t>
                  </w:r>
                  <w:r w:rsidRPr="00BF57A3">
                    <w:rPr>
                      <w:rStyle w:val="C-TableCallout"/>
                    </w:rPr>
                    <w:t>b</w:t>
                  </w:r>
                </w:p>
              </w:tc>
              <w:tc>
                <w:tcPr>
                  <w:tcW w:w="6458" w:type="dxa"/>
                  <w:gridSpan w:val="2"/>
                  <w:shd w:val="clear" w:color="auto" w:fill="auto"/>
                  <w:vAlign w:val="bottom"/>
                </w:tcPr>
                <w:p w14:paraId="0D4DF8DB" w14:textId="77777777" w:rsidR="00AA7CC9" w:rsidRPr="00BF57A3" w:rsidRDefault="00AA7CC9" w:rsidP="006C640E">
                  <w:pPr>
                    <w:pStyle w:val="C-TableText"/>
                    <w:keepNext/>
                    <w:spacing w:before="0" w:after="0"/>
                    <w:jc w:val="both"/>
                    <w:rPr>
                      <w:szCs w:val="22"/>
                    </w:rPr>
                  </w:pPr>
                  <w:r w:rsidRPr="00BF57A3">
                    <w:rPr>
                      <w:szCs w:val="22"/>
                    </w:rPr>
                    <w:t>&lt;0</w:t>
                  </w:r>
                  <w:r w:rsidR="003203C1" w:rsidRPr="00BF57A3">
                    <w:rPr>
                      <w:szCs w:val="22"/>
                    </w:rPr>
                    <w:t>,</w:t>
                  </w:r>
                  <w:r w:rsidRPr="00BF57A3">
                    <w:rPr>
                      <w:szCs w:val="22"/>
                    </w:rPr>
                    <w:t>0001</w:t>
                  </w:r>
                </w:p>
              </w:tc>
            </w:tr>
            <w:tr w:rsidR="00AA7CC9" w:rsidRPr="00BF57A3" w14:paraId="68A41B13" w14:textId="77777777" w:rsidTr="00EC24AF">
              <w:trPr>
                <w:jc w:val="center"/>
              </w:trPr>
              <w:tc>
                <w:tcPr>
                  <w:tcW w:w="9576" w:type="dxa"/>
                  <w:gridSpan w:val="3"/>
                  <w:shd w:val="clear" w:color="auto" w:fill="auto"/>
                  <w:vAlign w:val="bottom"/>
                </w:tcPr>
                <w:p w14:paraId="44AE2A93" w14:textId="77777777" w:rsidR="00AA7CC9" w:rsidRPr="00BF57A3" w:rsidRDefault="00AA7CC9" w:rsidP="006C640E">
                  <w:pPr>
                    <w:pStyle w:val="C-TableText"/>
                    <w:spacing w:before="0" w:after="0"/>
                    <w:jc w:val="both"/>
                    <w:rPr>
                      <w:b/>
                      <w:szCs w:val="22"/>
                    </w:rPr>
                  </w:pPr>
                  <w:r w:rsidRPr="00BF57A3">
                    <w:rPr>
                      <w:b/>
                      <w:szCs w:val="22"/>
                    </w:rPr>
                    <w:t>Stopa ukupnog odgovora</w:t>
                  </w:r>
                </w:p>
              </w:tc>
            </w:tr>
            <w:tr w:rsidR="00AA7CC9" w:rsidRPr="00BF57A3" w14:paraId="114E6138" w14:textId="77777777" w:rsidTr="00EC24AF">
              <w:trPr>
                <w:jc w:val="center"/>
              </w:trPr>
              <w:tc>
                <w:tcPr>
                  <w:tcW w:w="3118" w:type="dxa"/>
                  <w:shd w:val="clear" w:color="auto" w:fill="auto"/>
                  <w:vAlign w:val="bottom"/>
                </w:tcPr>
                <w:p w14:paraId="7AAF984B" w14:textId="77777777" w:rsidR="00AA7CC9" w:rsidRPr="00BF57A3" w:rsidRDefault="00AA7CC9" w:rsidP="006C640E">
                  <w:pPr>
                    <w:pStyle w:val="C-TableText"/>
                    <w:spacing w:before="0" w:after="0"/>
                    <w:jc w:val="both"/>
                    <w:rPr>
                      <w:szCs w:val="22"/>
                    </w:rPr>
                  </w:pPr>
                  <w:r w:rsidRPr="00BF57A3">
                    <w:rPr>
                      <w:szCs w:val="22"/>
                    </w:rPr>
                    <w:t>Potvrđeni potpuni ili parcijalni ukupni odgovor, n (%)</w:t>
                  </w:r>
                </w:p>
              </w:tc>
              <w:tc>
                <w:tcPr>
                  <w:tcW w:w="3231" w:type="dxa"/>
                  <w:shd w:val="clear" w:color="auto" w:fill="auto"/>
                  <w:vAlign w:val="center"/>
                </w:tcPr>
                <w:p w14:paraId="3D7260C5" w14:textId="77777777" w:rsidR="00AA7CC9" w:rsidRPr="00BF57A3" w:rsidRDefault="00AA7CC9" w:rsidP="006C640E">
                  <w:pPr>
                    <w:pStyle w:val="C-TableText"/>
                    <w:keepNext/>
                    <w:spacing w:before="0" w:after="0"/>
                    <w:jc w:val="both"/>
                    <w:rPr>
                      <w:b/>
                      <w:szCs w:val="22"/>
                    </w:rPr>
                  </w:pPr>
                  <w:r w:rsidRPr="00BF57A3">
                    <w:rPr>
                      <w:b/>
                      <w:szCs w:val="22"/>
                    </w:rPr>
                    <w:t xml:space="preserve">99 </w:t>
                  </w:r>
                  <w:r w:rsidRPr="00BF57A3">
                    <w:rPr>
                      <w:szCs w:val="22"/>
                    </w:rPr>
                    <w:t>(23)</w:t>
                  </w:r>
                </w:p>
              </w:tc>
              <w:tc>
                <w:tcPr>
                  <w:tcW w:w="3227" w:type="dxa"/>
                  <w:shd w:val="clear" w:color="auto" w:fill="auto"/>
                  <w:vAlign w:val="center"/>
                </w:tcPr>
                <w:p w14:paraId="67F73237" w14:textId="77777777" w:rsidR="00AA7CC9" w:rsidRPr="00BF57A3" w:rsidRDefault="00AA7CC9" w:rsidP="006C640E">
                  <w:pPr>
                    <w:pStyle w:val="C-TableText"/>
                    <w:keepNext/>
                    <w:spacing w:before="0" w:after="0"/>
                    <w:jc w:val="both"/>
                    <w:rPr>
                      <w:b/>
                      <w:szCs w:val="22"/>
                    </w:rPr>
                  </w:pPr>
                  <w:r w:rsidRPr="00BF57A3">
                    <w:rPr>
                      <w:b/>
                      <w:szCs w:val="22"/>
                    </w:rPr>
                    <w:t xml:space="preserve">31 </w:t>
                  </w:r>
                  <w:r w:rsidRPr="00BF57A3">
                    <w:rPr>
                      <w:szCs w:val="22"/>
                    </w:rPr>
                    <w:t>(7)</w:t>
                  </w:r>
                </w:p>
              </w:tc>
            </w:tr>
            <w:tr w:rsidR="00AA7CC9" w:rsidRPr="00BF57A3" w14:paraId="6A3408C0" w14:textId="77777777" w:rsidTr="00EC24AF">
              <w:trPr>
                <w:jc w:val="center"/>
              </w:trPr>
              <w:tc>
                <w:tcPr>
                  <w:tcW w:w="3118" w:type="dxa"/>
                  <w:shd w:val="clear" w:color="auto" w:fill="auto"/>
                  <w:vAlign w:val="bottom"/>
                </w:tcPr>
                <w:p w14:paraId="06F450C7" w14:textId="77777777" w:rsidR="00AA7CC9" w:rsidRPr="00BF57A3" w:rsidRDefault="00AA7CC9" w:rsidP="006C640E">
                  <w:pPr>
                    <w:pStyle w:val="C-TableText"/>
                    <w:spacing w:before="0" w:after="0"/>
                    <w:ind w:left="334"/>
                    <w:jc w:val="both"/>
                    <w:rPr>
                      <w:szCs w:val="22"/>
                    </w:rPr>
                  </w:pPr>
                  <w:r w:rsidRPr="00BF57A3">
                    <w:rPr>
                      <w:szCs w:val="22"/>
                    </w:rPr>
                    <w:t>95% CI</w:t>
                  </w:r>
                </w:p>
              </w:tc>
              <w:tc>
                <w:tcPr>
                  <w:tcW w:w="3231" w:type="dxa"/>
                  <w:shd w:val="clear" w:color="auto" w:fill="auto"/>
                  <w:vAlign w:val="bottom"/>
                </w:tcPr>
                <w:p w14:paraId="65CB94F1" w14:textId="77777777" w:rsidR="00AA7CC9" w:rsidRPr="00BF57A3" w:rsidRDefault="00AA7CC9" w:rsidP="006C640E">
                  <w:pPr>
                    <w:pStyle w:val="C-TableText"/>
                    <w:keepNext/>
                    <w:spacing w:before="0" w:after="0"/>
                    <w:jc w:val="both"/>
                    <w:rPr>
                      <w:szCs w:val="22"/>
                    </w:rPr>
                  </w:pPr>
                  <w:r w:rsidRPr="00BF57A3">
                    <w:rPr>
                      <w:szCs w:val="22"/>
                    </w:rPr>
                    <w:t>19</w:t>
                  </w:r>
                  <w:r w:rsidR="003203C1" w:rsidRPr="00BF57A3">
                    <w:rPr>
                      <w:szCs w:val="22"/>
                    </w:rPr>
                    <w:t>,</w:t>
                  </w:r>
                  <w:r w:rsidRPr="00BF57A3">
                    <w:rPr>
                      <w:szCs w:val="22"/>
                    </w:rPr>
                    <w:t>1, 27</w:t>
                  </w:r>
                  <w:r w:rsidR="003203C1" w:rsidRPr="00BF57A3">
                    <w:rPr>
                      <w:szCs w:val="22"/>
                    </w:rPr>
                    <w:t>,</w:t>
                  </w:r>
                  <w:r w:rsidRPr="00BF57A3">
                    <w:rPr>
                      <w:szCs w:val="22"/>
                    </w:rPr>
                    <w:t>2</w:t>
                  </w:r>
                </w:p>
              </w:tc>
              <w:tc>
                <w:tcPr>
                  <w:tcW w:w="3227" w:type="dxa"/>
                  <w:shd w:val="clear" w:color="auto" w:fill="auto"/>
                  <w:vAlign w:val="bottom"/>
                </w:tcPr>
                <w:p w14:paraId="4E1DD9A9" w14:textId="77777777" w:rsidR="00AA7CC9" w:rsidRPr="00BF57A3" w:rsidRDefault="00AA7CC9" w:rsidP="006C640E">
                  <w:pPr>
                    <w:pStyle w:val="C-TableText"/>
                    <w:keepNext/>
                    <w:spacing w:before="0" w:after="0"/>
                    <w:jc w:val="both"/>
                    <w:rPr>
                      <w:szCs w:val="22"/>
                    </w:rPr>
                  </w:pPr>
                  <w:r w:rsidRPr="00BF57A3">
                    <w:rPr>
                      <w:szCs w:val="22"/>
                    </w:rPr>
                    <w:t>5</w:t>
                  </w:r>
                  <w:r w:rsidR="003203C1" w:rsidRPr="00BF57A3">
                    <w:rPr>
                      <w:szCs w:val="22"/>
                    </w:rPr>
                    <w:t>,</w:t>
                  </w:r>
                  <w:r w:rsidRPr="00BF57A3">
                    <w:rPr>
                      <w:szCs w:val="22"/>
                    </w:rPr>
                    <w:t>0, 10.1</w:t>
                  </w:r>
                </w:p>
              </w:tc>
            </w:tr>
            <w:tr w:rsidR="00AA7CC9" w:rsidRPr="00BF57A3" w14:paraId="51536869" w14:textId="77777777" w:rsidTr="00EC24AF">
              <w:trPr>
                <w:jc w:val="center"/>
              </w:trPr>
              <w:tc>
                <w:tcPr>
                  <w:tcW w:w="3118" w:type="dxa"/>
                  <w:shd w:val="clear" w:color="auto" w:fill="auto"/>
                  <w:vAlign w:val="bottom"/>
                </w:tcPr>
                <w:p w14:paraId="69409E37" w14:textId="77777777" w:rsidR="00AA7CC9" w:rsidRPr="00BF57A3" w:rsidRDefault="00AA7CC9" w:rsidP="006C640E">
                  <w:pPr>
                    <w:pStyle w:val="C-TableText"/>
                    <w:spacing w:before="0" w:after="0"/>
                    <w:ind w:left="334"/>
                    <w:jc w:val="both"/>
                    <w:rPr>
                      <w:szCs w:val="22"/>
                    </w:rPr>
                  </w:pPr>
                  <w:r w:rsidRPr="00BF57A3">
                    <w:rPr>
                      <w:bCs/>
                      <w:szCs w:val="22"/>
                    </w:rPr>
                    <w:t>p</w:t>
                  </w:r>
                  <w:r w:rsidRPr="00BF57A3">
                    <w:rPr>
                      <w:szCs w:val="22"/>
                      <w:vertAlign w:val="subscript"/>
                    </w:rPr>
                    <w:t>A</w:t>
                  </w:r>
                  <w:r w:rsidRPr="006C640E">
                    <w:rPr>
                      <w:szCs w:val="22"/>
                      <w:vertAlign w:val="subscript"/>
                    </w:rPr>
                    <w:t>+G</w:t>
                  </w:r>
                  <w:r w:rsidRPr="00BF57A3">
                    <w:rPr>
                      <w:bCs/>
                      <w:szCs w:val="22"/>
                    </w:rPr>
                    <w:t>/p</w:t>
                  </w:r>
                  <w:r w:rsidRPr="00BF57A3">
                    <w:rPr>
                      <w:bCs/>
                      <w:szCs w:val="22"/>
                      <w:vertAlign w:val="subscript"/>
                    </w:rPr>
                    <w:t>G</w:t>
                  </w:r>
                  <w:r w:rsidRPr="00BF57A3">
                    <w:rPr>
                      <w:bCs/>
                      <w:szCs w:val="22"/>
                    </w:rPr>
                    <w:t xml:space="preserve"> (</w:t>
                  </w:r>
                  <w:r w:rsidRPr="00BF57A3">
                    <w:rPr>
                      <w:szCs w:val="22"/>
                    </w:rPr>
                    <w:t>95% CI)</w:t>
                  </w:r>
                </w:p>
              </w:tc>
              <w:tc>
                <w:tcPr>
                  <w:tcW w:w="6458" w:type="dxa"/>
                  <w:gridSpan w:val="2"/>
                  <w:shd w:val="clear" w:color="auto" w:fill="auto"/>
                  <w:vAlign w:val="bottom"/>
                </w:tcPr>
                <w:p w14:paraId="6F029678" w14:textId="77777777" w:rsidR="00AA7CC9" w:rsidRPr="00BF57A3" w:rsidRDefault="00AA7CC9" w:rsidP="006C640E">
                  <w:pPr>
                    <w:pStyle w:val="C-TableText"/>
                    <w:keepNext/>
                    <w:spacing w:before="0" w:after="0"/>
                    <w:jc w:val="both"/>
                    <w:rPr>
                      <w:szCs w:val="22"/>
                    </w:rPr>
                  </w:pPr>
                  <w:r w:rsidRPr="00BF57A3">
                    <w:rPr>
                      <w:szCs w:val="22"/>
                    </w:rPr>
                    <w:t>3</w:t>
                  </w:r>
                  <w:r w:rsidR="003203C1" w:rsidRPr="00BF57A3">
                    <w:rPr>
                      <w:szCs w:val="22"/>
                    </w:rPr>
                    <w:t>,</w:t>
                  </w:r>
                  <w:r w:rsidRPr="00BF57A3">
                    <w:rPr>
                      <w:szCs w:val="22"/>
                    </w:rPr>
                    <w:t>19 (2</w:t>
                  </w:r>
                  <w:r w:rsidR="003203C1" w:rsidRPr="00BF57A3">
                    <w:rPr>
                      <w:szCs w:val="22"/>
                    </w:rPr>
                    <w:t>,</w:t>
                  </w:r>
                  <w:r w:rsidRPr="00BF57A3">
                    <w:rPr>
                      <w:szCs w:val="22"/>
                    </w:rPr>
                    <w:t>178, 4</w:t>
                  </w:r>
                  <w:r w:rsidR="003203C1" w:rsidRPr="00BF57A3">
                    <w:rPr>
                      <w:szCs w:val="22"/>
                    </w:rPr>
                    <w:t>,</w:t>
                  </w:r>
                  <w:r w:rsidRPr="00BF57A3">
                    <w:rPr>
                      <w:szCs w:val="22"/>
                    </w:rPr>
                    <w:t>662)</w:t>
                  </w:r>
                </w:p>
              </w:tc>
            </w:tr>
            <w:tr w:rsidR="00AA7CC9" w:rsidRPr="00BF57A3" w14:paraId="0837B770" w14:textId="77777777" w:rsidTr="00EC24AF">
              <w:trPr>
                <w:jc w:val="center"/>
              </w:trPr>
              <w:tc>
                <w:tcPr>
                  <w:tcW w:w="3118" w:type="dxa"/>
                  <w:shd w:val="clear" w:color="auto" w:fill="auto"/>
                  <w:vAlign w:val="bottom"/>
                </w:tcPr>
                <w:p w14:paraId="07D976DD" w14:textId="77777777" w:rsidR="00AA7CC9" w:rsidRPr="00BF57A3" w:rsidRDefault="00AA7CC9" w:rsidP="006C640E">
                  <w:pPr>
                    <w:pStyle w:val="C-TableText"/>
                    <w:spacing w:before="0" w:after="0"/>
                    <w:ind w:left="334"/>
                    <w:jc w:val="both"/>
                    <w:rPr>
                      <w:szCs w:val="22"/>
                    </w:rPr>
                  </w:pPr>
                  <w:r w:rsidRPr="00BF57A3">
                    <w:rPr>
                      <w:szCs w:val="22"/>
                    </w:rPr>
                    <w:t>P-vrijednost (hi-kvadrat test)</w:t>
                  </w:r>
                </w:p>
              </w:tc>
              <w:tc>
                <w:tcPr>
                  <w:tcW w:w="6458" w:type="dxa"/>
                  <w:gridSpan w:val="2"/>
                  <w:shd w:val="clear" w:color="auto" w:fill="auto"/>
                  <w:vAlign w:val="bottom"/>
                </w:tcPr>
                <w:p w14:paraId="3CB1B348" w14:textId="77777777" w:rsidR="00AA7CC9" w:rsidRPr="00BF57A3" w:rsidRDefault="00AA7CC9" w:rsidP="006C640E">
                  <w:pPr>
                    <w:pStyle w:val="C-TableText"/>
                    <w:keepNext/>
                    <w:spacing w:before="0" w:after="0"/>
                    <w:jc w:val="both"/>
                    <w:rPr>
                      <w:szCs w:val="22"/>
                    </w:rPr>
                  </w:pPr>
                  <w:r w:rsidRPr="00BF57A3">
                    <w:rPr>
                      <w:szCs w:val="22"/>
                    </w:rPr>
                    <w:t>&lt;0</w:t>
                  </w:r>
                  <w:r w:rsidR="003203C1" w:rsidRPr="00BF57A3">
                    <w:rPr>
                      <w:szCs w:val="22"/>
                    </w:rPr>
                    <w:t>,</w:t>
                  </w:r>
                  <w:r w:rsidRPr="00BF57A3">
                    <w:rPr>
                      <w:szCs w:val="22"/>
                    </w:rPr>
                    <w:t>0001</w:t>
                  </w:r>
                </w:p>
              </w:tc>
            </w:tr>
          </w:tbl>
          <w:p w14:paraId="5C84F4D7" w14:textId="77777777" w:rsidR="00AA7CC9" w:rsidRPr="00BF57A3" w:rsidRDefault="00AA7CC9" w:rsidP="006C640E">
            <w:pPr>
              <w:pStyle w:val="Header"/>
              <w:tabs>
                <w:tab w:val="left" w:pos="284"/>
              </w:tabs>
              <w:jc w:val="both"/>
              <w:rPr>
                <w:sz w:val="22"/>
                <w:szCs w:val="22"/>
                <w:lang w:val="sr-Latn-ME"/>
              </w:rPr>
            </w:pPr>
          </w:p>
          <w:p w14:paraId="73B1BBF0" w14:textId="77777777" w:rsidR="00AA7CC9" w:rsidRPr="006C640E" w:rsidRDefault="00AA7CC9" w:rsidP="00BF57A3">
            <w:pPr>
              <w:pStyle w:val="Header"/>
              <w:tabs>
                <w:tab w:val="left" w:pos="284"/>
              </w:tabs>
              <w:jc w:val="both"/>
              <w:rPr>
                <w:sz w:val="22"/>
                <w:szCs w:val="22"/>
                <w:lang w:val="sr-Latn-ME"/>
              </w:rPr>
            </w:pPr>
            <w:r w:rsidRPr="006C640E">
              <w:rPr>
                <w:sz w:val="22"/>
                <w:szCs w:val="22"/>
                <w:lang w:val="en-US"/>
              </w:rPr>
              <w:t>CI</w:t>
            </w:r>
            <w:r w:rsidRPr="006C640E">
              <w:rPr>
                <w:sz w:val="22"/>
                <w:szCs w:val="22"/>
                <w:lang w:val="sr-Latn-ME"/>
              </w:rPr>
              <w:t xml:space="preserve"> = </w:t>
            </w:r>
            <w:r w:rsidRPr="006C640E">
              <w:rPr>
                <w:sz w:val="22"/>
                <w:szCs w:val="22"/>
                <w:lang w:val="en-US"/>
              </w:rPr>
              <w:t>interval</w:t>
            </w:r>
            <w:r w:rsidRPr="006C640E">
              <w:rPr>
                <w:sz w:val="22"/>
                <w:szCs w:val="22"/>
                <w:lang w:val="sr-Latn-ME"/>
              </w:rPr>
              <w:t xml:space="preserve"> </w:t>
            </w:r>
            <w:r w:rsidRPr="006C640E">
              <w:rPr>
                <w:sz w:val="22"/>
                <w:szCs w:val="22"/>
                <w:lang w:val="en-US"/>
              </w:rPr>
              <w:t>pouzdanosti</w:t>
            </w:r>
            <w:r w:rsidRPr="006C640E">
              <w:rPr>
                <w:sz w:val="22"/>
                <w:szCs w:val="22"/>
                <w:lang w:val="sr-Latn-ME"/>
              </w:rPr>
              <w:t xml:space="preserve">, </w:t>
            </w:r>
            <w:r w:rsidRPr="006C640E">
              <w:rPr>
                <w:sz w:val="22"/>
                <w:szCs w:val="22"/>
                <w:lang w:val="en-US"/>
              </w:rPr>
              <w:t>HR</w:t>
            </w:r>
            <w:r w:rsidRPr="006C640E">
              <w:rPr>
                <w:sz w:val="22"/>
                <w:szCs w:val="22"/>
                <w:vertAlign w:val="subscript"/>
                <w:lang w:val="en-US"/>
              </w:rPr>
              <w:t>A</w:t>
            </w:r>
            <w:r w:rsidRPr="006C640E">
              <w:rPr>
                <w:sz w:val="22"/>
                <w:szCs w:val="22"/>
                <w:vertAlign w:val="subscript"/>
                <w:lang w:val="sr-Latn-ME"/>
              </w:rPr>
              <w:t>+</w:t>
            </w:r>
            <w:r w:rsidRPr="006C640E">
              <w:rPr>
                <w:sz w:val="22"/>
                <w:szCs w:val="22"/>
                <w:vertAlign w:val="subscript"/>
                <w:lang w:val="en-US"/>
              </w:rPr>
              <w:t>G</w:t>
            </w:r>
            <w:r w:rsidRPr="006C640E">
              <w:rPr>
                <w:sz w:val="22"/>
                <w:szCs w:val="22"/>
                <w:vertAlign w:val="subscript"/>
                <w:lang w:val="sr-Latn-ME"/>
              </w:rPr>
              <w:t>/</w:t>
            </w:r>
            <w:r w:rsidRPr="006C640E">
              <w:rPr>
                <w:sz w:val="22"/>
                <w:szCs w:val="22"/>
                <w:vertAlign w:val="subscript"/>
                <w:lang w:val="en-US"/>
              </w:rPr>
              <w:t>G</w:t>
            </w:r>
            <w:r w:rsidRPr="006C640E">
              <w:rPr>
                <w:sz w:val="22"/>
                <w:szCs w:val="22"/>
                <w:lang w:val="sr-Latn-ME"/>
              </w:rPr>
              <w:t xml:space="preserve"> = </w:t>
            </w:r>
            <w:r w:rsidRPr="006C640E">
              <w:rPr>
                <w:i/>
                <w:sz w:val="22"/>
                <w:szCs w:val="22"/>
                <w:lang w:val="en-US"/>
              </w:rPr>
              <w:t>hazard</w:t>
            </w:r>
            <w:r w:rsidRPr="006C640E">
              <w:rPr>
                <w:i/>
                <w:sz w:val="22"/>
                <w:szCs w:val="22"/>
                <w:lang w:val="sr-Latn-ME"/>
              </w:rPr>
              <w:t xml:space="preserve"> </w:t>
            </w:r>
            <w:r w:rsidRPr="006C640E">
              <w:rPr>
                <w:i/>
                <w:sz w:val="22"/>
                <w:szCs w:val="22"/>
                <w:lang w:val="en-US"/>
              </w:rPr>
              <w:t>ratio</w:t>
            </w:r>
            <w:r w:rsidRPr="006C640E">
              <w:rPr>
                <w:sz w:val="22"/>
                <w:szCs w:val="22"/>
                <w:lang w:val="sr-Latn-ME"/>
              </w:rPr>
              <w:t xml:space="preserve"> </w:t>
            </w:r>
            <w:r w:rsidRPr="006C640E">
              <w:rPr>
                <w:sz w:val="22"/>
                <w:szCs w:val="22"/>
                <w:lang w:val="en-US"/>
              </w:rPr>
              <w:t>za</w:t>
            </w:r>
            <w:r w:rsidRPr="006C640E">
              <w:rPr>
                <w:sz w:val="22"/>
                <w:szCs w:val="22"/>
                <w:lang w:val="sr-Latn-ME"/>
              </w:rPr>
              <w:t xml:space="preserve"> </w:t>
            </w:r>
            <w:r w:rsidRPr="006C640E">
              <w:rPr>
                <w:sz w:val="22"/>
                <w:szCs w:val="22"/>
                <w:lang w:val="en-US"/>
              </w:rPr>
              <w:t>Abraxane</w:t>
            </w:r>
            <w:r w:rsidRPr="006C640E">
              <w:rPr>
                <w:sz w:val="22"/>
                <w:szCs w:val="22"/>
                <w:lang w:val="sr-Latn-ME"/>
              </w:rPr>
              <w:t>+</w:t>
            </w:r>
            <w:r w:rsidRPr="006C640E">
              <w:rPr>
                <w:sz w:val="22"/>
                <w:szCs w:val="22"/>
                <w:lang w:val="en-US"/>
              </w:rPr>
              <w:t>gemcitabin</w:t>
            </w:r>
            <w:r w:rsidRPr="006C640E">
              <w:rPr>
                <w:sz w:val="22"/>
                <w:szCs w:val="22"/>
                <w:lang w:val="sr-Latn-ME"/>
              </w:rPr>
              <w:t>/</w:t>
            </w:r>
            <w:r w:rsidRPr="006C640E">
              <w:rPr>
                <w:sz w:val="22"/>
                <w:szCs w:val="22"/>
                <w:lang w:val="en-US"/>
              </w:rPr>
              <w:t>gemcitabin</w:t>
            </w:r>
            <w:r w:rsidRPr="006C640E">
              <w:rPr>
                <w:sz w:val="22"/>
                <w:szCs w:val="22"/>
                <w:lang w:val="sr-Latn-ME"/>
              </w:rPr>
              <w:t xml:space="preserve">, </w:t>
            </w:r>
            <w:r w:rsidRPr="006C640E">
              <w:rPr>
                <w:sz w:val="22"/>
                <w:szCs w:val="22"/>
                <w:lang w:val="en-US"/>
              </w:rPr>
              <w:t>p</w:t>
            </w:r>
            <w:r w:rsidRPr="006C640E">
              <w:rPr>
                <w:sz w:val="22"/>
                <w:szCs w:val="22"/>
                <w:vertAlign w:val="subscript"/>
                <w:lang w:val="en-US"/>
              </w:rPr>
              <w:t>A</w:t>
            </w:r>
            <w:r w:rsidRPr="006C640E">
              <w:rPr>
                <w:sz w:val="22"/>
                <w:szCs w:val="22"/>
                <w:vertAlign w:val="subscript"/>
                <w:lang w:val="sr-Latn-ME"/>
              </w:rPr>
              <w:t>+</w:t>
            </w:r>
            <w:r w:rsidRPr="006C640E">
              <w:rPr>
                <w:sz w:val="22"/>
                <w:szCs w:val="22"/>
                <w:vertAlign w:val="subscript"/>
                <w:lang w:val="en-US"/>
              </w:rPr>
              <w:t>G</w:t>
            </w:r>
            <w:r w:rsidRPr="006C640E">
              <w:rPr>
                <w:sz w:val="22"/>
                <w:szCs w:val="22"/>
                <w:lang w:val="sr-Latn-ME"/>
              </w:rPr>
              <w:t>/</w:t>
            </w:r>
            <w:r w:rsidRPr="006C640E">
              <w:rPr>
                <w:sz w:val="22"/>
                <w:szCs w:val="22"/>
                <w:lang w:val="en-US"/>
              </w:rPr>
              <w:t>p</w:t>
            </w:r>
            <w:r w:rsidRPr="006C640E">
              <w:rPr>
                <w:sz w:val="22"/>
                <w:szCs w:val="22"/>
                <w:vertAlign w:val="subscript"/>
                <w:lang w:val="en-US"/>
              </w:rPr>
              <w:t>G</w:t>
            </w:r>
            <w:r w:rsidRPr="006C640E">
              <w:rPr>
                <w:sz w:val="22"/>
                <w:szCs w:val="22"/>
                <w:lang w:val="sr-Latn-ME"/>
              </w:rPr>
              <w:t xml:space="preserve"> = </w:t>
            </w:r>
            <w:r w:rsidRPr="006C640E">
              <w:rPr>
                <w:sz w:val="22"/>
                <w:szCs w:val="22"/>
                <w:lang w:val="en-US"/>
              </w:rPr>
              <w:t>odnos</w:t>
            </w:r>
            <w:r w:rsidRPr="006C640E">
              <w:rPr>
                <w:sz w:val="22"/>
                <w:szCs w:val="22"/>
                <w:lang w:val="sr-Latn-ME"/>
              </w:rPr>
              <w:t xml:space="preserve"> </w:t>
            </w:r>
            <w:r w:rsidRPr="006C640E">
              <w:rPr>
                <w:sz w:val="22"/>
                <w:szCs w:val="22"/>
                <w:lang w:val="en-US"/>
              </w:rPr>
              <w:t>stope</w:t>
            </w:r>
            <w:r w:rsidRPr="006C640E">
              <w:rPr>
                <w:sz w:val="22"/>
                <w:szCs w:val="22"/>
                <w:lang w:val="sr-Latn-ME"/>
              </w:rPr>
              <w:t xml:space="preserve"> </w:t>
            </w:r>
            <w:r w:rsidRPr="006C640E">
              <w:rPr>
                <w:sz w:val="22"/>
                <w:szCs w:val="22"/>
                <w:lang w:val="en-US"/>
              </w:rPr>
              <w:t>odgovora</w:t>
            </w:r>
            <w:r w:rsidRPr="006C640E">
              <w:rPr>
                <w:sz w:val="22"/>
                <w:szCs w:val="22"/>
                <w:lang w:val="sr-Latn-ME"/>
              </w:rPr>
              <w:t xml:space="preserve"> </w:t>
            </w:r>
            <w:r w:rsidRPr="006C640E">
              <w:rPr>
                <w:sz w:val="22"/>
                <w:szCs w:val="22"/>
                <w:lang w:val="en-US"/>
              </w:rPr>
              <w:t>za</w:t>
            </w:r>
            <w:r w:rsidRPr="006C640E">
              <w:rPr>
                <w:sz w:val="22"/>
                <w:szCs w:val="22"/>
                <w:lang w:val="sr-Latn-ME"/>
              </w:rPr>
              <w:t xml:space="preserve"> </w:t>
            </w:r>
            <w:r w:rsidRPr="006C640E">
              <w:rPr>
                <w:sz w:val="22"/>
                <w:szCs w:val="22"/>
                <w:lang w:val="en-US"/>
              </w:rPr>
              <w:t>Abraxane</w:t>
            </w:r>
            <w:r w:rsidRPr="006C640E">
              <w:rPr>
                <w:sz w:val="22"/>
                <w:szCs w:val="22"/>
                <w:lang w:val="sr-Latn-ME"/>
              </w:rPr>
              <w:t>+</w:t>
            </w:r>
            <w:r w:rsidRPr="006C640E">
              <w:rPr>
                <w:sz w:val="22"/>
                <w:szCs w:val="22"/>
                <w:lang w:val="en-US"/>
              </w:rPr>
              <w:t>gemcitabin</w:t>
            </w:r>
            <w:r w:rsidRPr="006C640E">
              <w:rPr>
                <w:sz w:val="22"/>
                <w:szCs w:val="22"/>
                <w:lang w:val="sr-Latn-ME"/>
              </w:rPr>
              <w:t>/</w:t>
            </w:r>
            <w:r w:rsidRPr="006C640E">
              <w:rPr>
                <w:sz w:val="22"/>
                <w:szCs w:val="22"/>
                <w:lang w:val="en-US"/>
              </w:rPr>
              <w:t>gemcitabin</w:t>
            </w:r>
          </w:p>
          <w:p w14:paraId="0483CC3E" w14:textId="77777777" w:rsidR="00AA7CC9" w:rsidRPr="006C640E" w:rsidRDefault="00AA7CC9">
            <w:pPr>
              <w:pStyle w:val="Header"/>
              <w:tabs>
                <w:tab w:val="left" w:pos="284"/>
              </w:tabs>
              <w:jc w:val="both"/>
              <w:rPr>
                <w:sz w:val="22"/>
                <w:szCs w:val="22"/>
                <w:lang w:val="es-ES"/>
              </w:rPr>
            </w:pPr>
            <w:r w:rsidRPr="006C640E">
              <w:rPr>
                <w:sz w:val="22"/>
                <w:szCs w:val="22"/>
                <w:vertAlign w:val="superscript"/>
                <w:lang w:val="es-ES"/>
              </w:rPr>
              <w:t>a</w:t>
            </w:r>
            <w:r w:rsidRPr="006C640E">
              <w:rPr>
                <w:sz w:val="22"/>
                <w:szCs w:val="22"/>
                <w:lang w:val="es-ES"/>
              </w:rPr>
              <w:t xml:space="preserve"> stratifikovani Cox-ov model proporcionalnog hazarda </w:t>
            </w:r>
          </w:p>
          <w:p w14:paraId="4F3F2949" w14:textId="77777777" w:rsidR="00AA7CC9" w:rsidRPr="006C640E" w:rsidRDefault="00AA7CC9">
            <w:pPr>
              <w:pStyle w:val="Header"/>
              <w:tabs>
                <w:tab w:val="left" w:pos="284"/>
              </w:tabs>
              <w:jc w:val="both"/>
              <w:rPr>
                <w:sz w:val="22"/>
                <w:szCs w:val="22"/>
                <w:lang w:val="es-ES"/>
              </w:rPr>
            </w:pPr>
            <w:r w:rsidRPr="006C640E">
              <w:rPr>
                <w:sz w:val="22"/>
                <w:szCs w:val="22"/>
                <w:vertAlign w:val="superscript"/>
                <w:lang w:val="es-ES"/>
              </w:rPr>
              <w:t>b</w:t>
            </w:r>
            <w:r w:rsidRPr="006C640E">
              <w:rPr>
                <w:sz w:val="22"/>
                <w:szCs w:val="22"/>
                <w:lang w:val="es-ES"/>
              </w:rPr>
              <w:t xml:space="preserve"> stratifikovani log-</w:t>
            </w:r>
            <w:r w:rsidR="005E189A" w:rsidRPr="006C640E">
              <w:rPr>
                <w:sz w:val="22"/>
                <w:szCs w:val="22"/>
                <w:lang w:val="es-ES"/>
              </w:rPr>
              <w:t xml:space="preserve">rank </w:t>
            </w:r>
            <w:r w:rsidRPr="006C640E">
              <w:rPr>
                <w:sz w:val="22"/>
                <w:szCs w:val="22"/>
                <w:lang w:val="es-ES"/>
              </w:rPr>
              <w:t>test, stratifikovan prema geografskom regionu (Sjeverna Amerika prema ostalim regijama), KPS (70 do 80 prema 90 do 100) i prisutnost metastaza jetre (‘da’ prema ‘ne’).</w:t>
            </w:r>
          </w:p>
          <w:p w14:paraId="451FA94A" w14:textId="77777777" w:rsidR="00AA7CC9" w:rsidRPr="00BF57A3" w:rsidRDefault="00AA7CC9">
            <w:pPr>
              <w:pStyle w:val="Header"/>
              <w:tabs>
                <w:tab w:val="left" w:pos="284"/>
              </w:tabs>
              <w:jc w:val="both"/>
              <w:rPr>
                <w:sz w:val="22"/>
                <w:szCs w:val="22"/>
                <w:lang w:val="es-ES"/>
              </w:rPr>
            </w:pPr>
          </w:p>
          <w:p w14:paraId="6AAE5891" w14:textId="143CF6E8" w:rsidR="00AA7CC9" w:rsidRPr="00BF57A3" w:rsidRDefault="00AA7CC9">
            <w:pPr>
              <w:pStyle w:val="Header"/>
              <w:tabs>
                <w:tab w:val="left" w:pos="284"/>
              </w:tabs>
              <w:jc w:val="both"/>
              <w:rPr>
                <w:sz w:val="22"/>
                <w:szCs w:val="22"/>
                <w:lang w:val="es-ES"/>
              </w:rPr>
            </w:pPr>
            <w:r w:rsidRPr="00BF57A3">
              <w:rPr>
                <w:sz w:val="22"/>
                <w:szCs w:val="22"/>
                <w:lang w:val="es-ES"/>
              </w:rPr>
              <w:t xml:space="preserve">Kod </w:t>
            </w:r>
            <w:r w:rsidR="00B575E2">
              <w:rPr>
                <w:sz w:val="22"/>
                <w:szCs w:val="22"/>
                <w:lang w:val="es-ES"/>
              </w:rPr>
              <w:t>pacijenata</w:t>
            </w:r>
            <w:r w:rsidR="00B575E2" w:rsidRPr="00BF57A3">
              <w:rPr>
                <w:sz w:val="22"/>
                <w:szCs w:val="22"/>
                <w:lang w:val="es-ES"/>
              </w:rPr>
              <w:t xml:space="preserve"> </w:t>
            </w:r>
            <w:r w:rsidRPr="00BF57A3">
              <w:rPr>
                <w:sz w:val="22"/>
                <w:szCs w:val="22"/>
                <w:lang w:val="es-ES"/>
              </w:rPr>
              <w:t>koji su primali Abraxane/gemcitabin</w:t>
            </w:r>
            <w:r w:rsidR="005E189A" w:rsidRPr="00BF57A3">
              <w:rPr>
                <w:sz w:val="22"/>
                <w:szCs w:val="22"/>
                <w:lang w:val="es-ES"/>
              </w:rPr>
              <w:t>,</w:t>
            </w:r>
            <w:r w:rsidRPr="00BF57A3">
              <w:rPr>
                <w:sz w:val="22"/>
                <w:szCs w:val="22"/>
                <w:lang w:val="es-ES"/>
              </w:rPr>
              <w:t xml:space="preserve"> postojalo je statistički značajno poboljšanje u OS u odnosu na </w:t>
            </w:r>
            <w:r w:rsidR="00B575E2">
              <w:rPr>
                <w:sz w:val="22"/>
                <w:szCs w:val="22"/>
                <w:lang w:val="es-ES"/>
              </w:rPr>
              <w:t>pacijente</w:t>
            </w:r>
            <w:r w:rsidR="00B575E2" w:rsidRPr="00BF57A3">
              <w:rPr>
                <w:sz w:val="22"/>
                <w:szCs w:val="22"/>
                <w:lang w:val="es-ES"/>
              </w:rPr>
              <w:t xml:space="preserve"> </w:t>
            </w:r>
            <w:r w:rsidRPr="00BF57A3">
              <w:rPr>
                <w:sz w:val="22"/>
                <w:szCs w:val="22"/>
                <w:lang w:val="es-ES"/>
              </w:rPr>
              <w:t>liječene samo gemcitabinom, sa povećanjem medijana OS od 1,8 mjeseci, ukupnim smanjenjem rizika od smrti od 28%, poboljšanjem stope preživljavanja u 1 godini od 59% i poboljšanjem stope dvogodišnjeg preživljavanja od 125%.</w:t>
            </w:r>
          </w:p>
          <w:p w14:paraId="2B3D48EE" w14:textId="490AD0BB" w:rsidR="00A6216F" w:rsidRPr="00BF57A3" w:rsidRDefault="00A6216F">
            <w:pPr>
              <w:pStyle w:val="Header"/>
              <w:tabs>
                <w:tab w:val="left" w:pos="284"/>
              </w:tabs>
              <w:jc w:val="both"/>
              <w:rPr>
                <w:sz w:val="22"/>
                <w:szCs w:val="22"/>
                <w:lang w:val="es-ES"/>
              </w:rPr>
            </w:pPr>
          </w:p>
          <w:p w14:paraId="6923A5B4" w14:textId="77777777" w:rsidR="00AA7CC9" w:rsidRPr="00BF57A3" w:rsidRDefault="00AA7CC9">
            <w:pPr>
              <w:pStyle w:val="Header"/>
              <w:tabs>
                <w:tab w:val="left" w:pos="284"/>
              </w:tabs>
              <w:jc w:val="both"/>
              <w:rPr>
                <w:b/>
                <w:sz w:val="22"/>
                <w:szCs w:val="22"/>
                <w:lang w:val="es-ES"/>
              </w:rPr>
            </w:pPr>
            <w:r w:rsidRPr="00BF57A3">
              <w:rPr>
                <w:b/>
                <w:sz w:val="22"/>
                <w:szCs w:val="22"/>
                <w:lang w:val="es-ES"/>
              </w:rPr>
              <w:t>Slika 1: Kaplan-Meier-ova kriva ukupnog preživljavanja (populacija za koju je nam</w:t>
            </w:r>
            <w:r w:rsidR="005E189A" w:rsidRPr="00BF57A3">
              <w:rPr>
                <w:b/>
                <w:sz w:val="22"/>
                <w:szCs w:val="22"/>
                <w:lang w:val="es-ES"/>
              </w:rPr>
              <w:t>i</w:t>
            </w:r>
            <w:r w:rsidR="00B66453" w:rsidRPr="00BF57A3">
              <w:rPr>
                <w:b/>
                <w:sz w:val="22"/>
                <w:szCs w:val="22"/>
                <w:lang w:val="es-ES"/>
              </w:rPr>
              <w:t>j</w:t>
            </w:r>
            <w:r w:rsidRPr="00BF57A3">
              <w:rPr>
                <w:b/>
                <w:sz w:val="22"/>
                <w:szCs w:val="22"/>
                <w:lang w:val="es-ES"/>
              </w:rPr>
              <w:t>enjeno liječenje)</w:t>
            </w:r>
          </w:p>
          <w:p w14:paraId="1798E307" w14:textId="77777777" w:rsidR="00AA7CC9" w:rsidRPr="00BF57A3" w:rsidRDefault="00AA7CC9" w:rsidP="006C640E">
            <w:pPr>
              <w:pStyle w:val="Header"/>
              <w:tabs>
                <w:tab w:val="left" w:pos="284"/>
              </w:tabs>
              <w:jc w:val="both"/>
              <w:rPr>
                <w:sz w:val="22"/>
                <w:szCs w:val="22"/>
                <w:lang w:val="es-ES"/>
              </w:rPr>
            </w:pPr>
          </w:p>
          <w:p w14:paraId="5F4A47F3" w14:textId="77777777" w:rsidR="00AA7CC9" w:rsidRPr="00BF57A3" w:rsidRDefault="00B72BEA" w:rsidP="006C640E">
            <w:pPr>
              <w:pStyle w:val="Header"/>
              <w:tabs>
                <w:tab w:val="left" w:pos="284"/>
              </w:tabs>
              <w:jc w:val="both"/>
              <w:rPr>
                <w:sz w:val="22"/>
                <w:szCs w:val="22"/>
                <w:lang w:val="es-ES"/>
              </w:rPr>
            </w:pPr>
            <w:r w:rsidRPr="00BF57A3">
              <w:rPr>
                <w:noProof/>
                <w:sz w:val="22"/>
                <w:szCs w:val="22"/>
                <w:lang w:val="en-US"/>
              </w:rPr>
              <w:drawing>
                <wp:anchor distT="0" distB="0" distL="114300" distR="114300" simplePos="0" relativeHeight="251652096" behindDoc="0" locked="0" layoutInCell="1" allowOverlap="1" wp14:anchorId="448165F8" wp14:editId="3331AD4B">
                  <wp:simplePos x="0" y="0"/>
                  <wp:positionH relativeFrom="column">
                    <wp:posOffset>485775</wp:posOffset>
                  </wp:positionH>
                  <wp:positionV relativeFrom="paragraph">
                    <wp:posOffset>34925</wp:posOffset>
                  </wp:positionV>
                  <wp:extent cx="4761865" cy="382206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1865" cy="3822065"/>
                          </a:xfrm>
                          <a:prstGeom prst="rect">
                            <a:avLst/>
                          </a:prstGeom>
                          <a:noFill/>
                        </pic:spPr>
                      </pic:pic>
                    </a:graphicData>
                  </a:graphic>
                  <wp14:sizeRelH relativeFrom="page">
                    <wp14:pctWidth>0</wp14:pctWidth>
                  </wp14:sizeRelH>
                  <wp14:sizeRelV relativeFrom="page">
                    <wp14:pctHeight>0</wp14:pctHeight>
                  </wp14:sizeRelV>
                </wp:anchor>
              </w:drawing>
            </w:r>
          </w:p>
          <w:p w14:paraId="3FB72F43" w14:textId="77777777" w:rsidR="00AA7CC9" w:rsidRPr="00BF57A3" w:rsidRDefault="00B72BEA" w:rsidP="006C640E">
            <w:pPr>
              <w:pStyle w:val="Header"/>
              <w:tabs>
                <w:tab w:val="left" w:pos="284"/>
              </w:tabs>
              <w:jc w:val="both"/>
              <w:rPr>
                <w:sz w:val="22"/>
                <w:szCs w:val="22"/>
                <w:lang w:val="es-ES"/>
              </w:rPr>
            </w:pPr>
            <w:r w:rsidRPr="00BF57A3">
              <w:rPr>
                <w:noProof/>
                <w:sz w:val="22"/>
                <w:szCs w:val="22"/>
                <w:lang w:val="en-US"/>
              </w:rPr>
              <mc:AlternateContent>
                <mc:Choice Requires="wps">
                  <w:drawing>
                    <wp:anchor distT="0" distB="0" distL="114300" distR="114300" simplePos="0" relativeHeight="251654144" behindDoc="0" locked="0" layoutInCell="1" allowOverlap="1" wp14:anchorId="13D1D3B1" wp14:editId="73B2DEAD">
                      <wp:simplePos x="0" y="0"/>
                      <wp:positionH relativeFrom="column">
                        <wp:posOffset>4000500</wp:posOffset>
                      </wp:positionH>
                      <wp:positionV relativeFrom="paragraph">
                        <wp:posOffset>13970</wp:posOffset>
                      </wp:positionV>
                      <wp:extent cx="1184910" cy="283210"/>
                      <wp:effectExtent l="1270" t="0" r="444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4910" cy="28321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7D8F929E" w14:textId="77777777" w:rsidR="00B575E2" w:rsidRPr="005F0E15" w:rsidRDefault="00B575E2" w:rsidP="00AA7CC9">
                                  <w:pPr>
                                    <w:rPr>
                                      <w:sz w:val="14"/>
                                      <w:szCs w:val="14"/>
                                      <w:lang w:val="sl-SI"/>
                                    </w:rPr>
                                  </w:pPr>
                                  <w:r w:rsidRPr="005F0E15">
                                    <w:rPr>
                                      <w:sz w:val="14"/>
                                      <w:szCs w:val="14"/>
                                      <w:lang w:val="sl-SI"/>
                                    </w:rPr>
                                    <w:t>ABRAXANE +gemcitabin</w:t>
                                  </w:r>
                                </w:p>
                                <w:p w14:paraId="07F8B56E" w14:textId="77777777" w:rsidR="00B575E2" w:rsidRPr="005F0E15" w:rsidRDefault="00B575E2" w:rsidP="00AA7CC9">
                                  <w:pPr>
                                    <w:rPr>
                                      <w:sz w:val="14"/>
                                      <w:szCs w:val="14"/>
                                      <w:lang w:val="sl-SI"/>
                                    </w:rPr>
                                  </w:pPr>
                                  <w:r w:rsidRPr="005F0E15">
                                    <w:rPr>
                                      <w:sz w:val="14"/>
                                      <w:szCs w:val="14"/>
                                      <w:lang w:val="sl-SI"/>
                                    </w:rPr>
                                    <w:t>gemcitabin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1D3B1" id="_x0000_t202" coordsize="21600,21600" o:spt="202" path="m,l,21600r21600,l21600,xe">
                      <v:stroke joinstyle="miter"/>
                      <v:path gradientshapeok="t" o:connecttype="rect"/>
                    </v:shapetype>
                    <v:shape id="Text Box 3" o:spid="_x0000_s1026" type="#_x0000_t202" style="position:absolute;left:0;text-align:left;margin-left:315pt;margin-top:1.1pt;width:93.3pt;height:22.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oyfQIAAAwFAAAOAAAAZHJzL2Uyb0RvYy54bWysVFtv2yAUfp+0/4B4T32pm8ZWnKppl2lS&#10;d5Ha/QACOEbDwIDE7qr99x1wkqa7SNM0P9jgc/jO5fsO86uhk2jHrRNa1Tg7SzHiimom1KbGnx9W&#10;kxlGzhPFiNSK1/iRO3y1eP1q3puK57rVknGLAES5qjc1br03VZI42vKOuDNtuAJjo21HPGztJmGW&#10;9IDeySRP02nSa8uM1ZQ7B39vRyNeRPym4dR/bBrHPZI1htx8fNv4Xod3spiTamOJaQXdp0H+IYuO&#10;CAVBj1C3xBO0teIXqE5Qq51u/BnVXaKbRlAea4BqsvSnau5bYnisBZrjzLFN7v/B0g+7TxYJVuMp&#10;Rop0QNEDHzxa6gGdh+70xlXgdG/AzQ/wG1iOlTpzp+kXh5S+aYna8Gtrdd9ywiC7LJxMTo6OOC6A&#10;rPv3mkEYsvU6Ag2N7ULroBkI0IGlxyMzIRUaQmazoszARMGWz85zWIcQpDqcNtb5t1x3KCxqbIH5&#10;iE52d86PrgeXEMxpKdhKSBk3drO+kRbtCKhkFZ89+gs3qYKz0uHYiDj+gSQhRrCFdCPrT2WWF+ky&#10;Lyer6exyUqyKi0l5mc4maVYuy2lalMXt6ntIMCuqVjDG1Z1Q/KDArPg7hvezMGonahD1oXexqD9W&#10;mMbndxV2wsM0StHVeHZ0IlVg9Y1iUDOpPBFyXCcvc49sQAMO39iSqIFA+ygAP6wHQAnCWGv2CGqw&#10;GsgCXuEKgUWr7TeMehjHGruvW2I5RvKdAkWVWVGE+Y2b4uIyh409taxPLURRgKqxx2hc3vhx5rfG&#10;ik0LkUYNK30NKmxEFMhzVnvtwsjFYvbXQ5jp0330er7EFj8AAAD//wMAUEsDBBQABgAIAAAAIQC8&#10;mCo+3QAAAAgBAAAPAAAAZHJzL2Rvd25yZXYueG1sTI9PS8NAFMTvgt9heYI3u2ksS4jZFCnxqGBb&#10;qMdt9jUJzb5N908bv73rSY/DDDO/qdazGdkVnR8sSVguMmBIrdUDdRL2u7enApgPirQaLaGEb/Sw&#10;ru/vKlVqe6NPvG5Dx1IJ+VJJ6EOYSs5926NRfmEnpOSdrDMqJOk6rp26pXIz8jzLBDdqoLTQqwk3&#10;PbbnbTQSdofmq0XRmLhqNrG4XOK7O3xI+fgwv74ACziHvzD84id0qBPT0UbSno0SxHOWvgQJeQ4s&#10;+cVSCGBHCStRAK8r/v9A/QMAAP//AwBQSwECLQAUAAYACAAAACEAtoM4kv4AAADhAQAAEwAAAAAA&#10;AAAAAAAAAAAAAAAAW0NvbnRlbnRfVHlwZXNdLnhtbFBLAQItABQABgAIAAAAIQA4/SH/1gAAAJQB&#10;AAALAAAAAAAAAAAAAAAAAC8BAABfcmVscy8ucmVsc1BLAQItABQABgAIAAAAIQD3wroyfQIAAAwF&#10;AAAOAAAAAAAAAAAAAAAAAC4CAABkcnMvZTJvRG9jLnhtbFBLAQItABQABgAIAAAAIQC8mCo+3QAA&#10;AAgBAAAPAAAAAAAAAAAAAAAAANcEAABkcnMvZG93bnJldi54bWxQSwUGAAAAAAQABADzAAAA4QUA&#10;AAAA&#10;" stroked="f" strokeweight="0">
                      <v:textbox>
                        <w:txbxContent>
                          <w:p w14:paraId="7D8F929E" w14:textId="77777777" w:rsidR="00B575E2" w:rsidRPr="005F0E15" w:rsidRDefault="00B575E2" w:rsidP="00AA7CC9">
                            <w:pPr>
                              <w:rPr>
                                <w:sz w:val="14"/>
                                <w:szCs w:val="14"/>
                                <w:lang w:val="sl-SI"/>
                              </w:rPr>
                            </w:pPr>
                            <w:r w:rsidRPr="005F0E15">
                              <w:rPr>
                                <w:sz w:val="14"/>
                                <w:szCs w:val="14"/>
                                <w:lang w:val="sl-SI"/>
                              </w:rPr>
                              <w:t>ABRAXANE +gemcitabin</w:t>
                            </w:r>
                          </w:p>
                          <w:p w14:paraId="07F8B56E" w14:textId="77777777" w:rsidR="00B575E2" w:rsidRPr="005F0E15" w:rsidRDefault="00B575E2" w:rsidP="00AA7CC9">
                            <w:pPr>
                              <w:rPr>
                                <w:sz w:val="14"/>
                                <w:szCs w:val="14"/>
                                <w:lang w:val="sl-SI"/>
                              </w:rPr>
                            </w:pPr>
                            <w:r w:rsidRPr="005F0E15">
                              <w:rPr>
                                <w:sz w:val="14"/>
                                <w:szCs w:val="14"/>
                                <w:lang w:val="sl-SI"/>
                              </w:rPr>
                              <w:t>gemcitabin</w:t>
                            </w:r>
                          </w:p>
                        </w:txbxContent>
                      </v:textbox>
                    </v:shape>
                  </w:pict>
                </mc:Fallback>
              </mc:AlternateContent>
            </w:r>
          </w:p>
          <w:p w14:paraId="719CEC16" w14:textId="77777777" w:rsidR="00AA7CC9" w:rsidRPr="00BF57A3" w:rsidRDefault="00B72BEA" w:rsidP="006C640E">
            <w:pPr>
              <w:pStyle w:val="Header"/>
              <w:tabs>
                <w:tab w:val="left" w:pos="284"/>
              </w:tabs>
              <w:jc w:val="both"/>
              <w:rPr>
                <w:sz w:val="22"/>
                <w:szCs w:val="22"/>
                <w:lang w:val="es-ES"/>
              </w:rPr>
            </w:pPr>
            <w:r w:rsidRPr="00BF57A3">
              <w:rPr>
                <w:noProof/>
                <w:sz w:val="22"/>
                <w:szCs w:val="22"/>
                <w:lang w:val="en-US"/>
              </w:rPr>
              <mc:AlternateContent>
                <mc:Choice Requires="wps">
                  <w:drawing>
                    <wp:anchor distT="0" distB="0" distL="114300" distR="114300" simplePos="0" relativeHeight="251657216" behindDoc="0" locked="0" layoutInCell="1" allowOverlap="1" wp14:anchorId="30158796" wp14:editId="44FF5F55">
                      <wp:simplePos x="0" y="0"/>
                      <wp:positionH relativeFrom="column">
                        <wp:posOffset>81915</wp:posOffset>
                      </wp:positionH>
                      <wp:positionV relativeFrom="paragraph">
                        <wp:posOffset>64770</wp:posOffset>
                      </wp:positionV>
                      <wp:extent cx="352425" cy="2381250"/>
                      <wp:effectExtent l="0" t="0" r="2540"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0"/>
                              </a:xfrm>
                              <a:prstGeom prst="rect">
                                <a:avLst/>
                              </a:prstGeom>
                              <a:solidFill>
                                <a:srgbClr val="FFFFFF"/>
                              </a:solidFill>
                              <a:ln>
                                <a:noFill/>
                              </a:ln>
                              <a:effectLst/>
                              <a:extLs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9B27B3" w14:textId="77777777" w:rsidR="00B575E2" w:rsidRPr="004F359E" w:rsidRDefault="00B575E2" w:rsidP="00AA7CC9">
                                  <w:pPr>
                                    <w:rPr>
                                      <w:sz w:val="22"/>
                                      <w:szCs w:val="22"/>
                                      <w:lang w:val="sl-SI"/>
                                    </w:rPr>
                                  </w:pPr>
                                  <w:r w:rsidRPr="004F359E">
                                    <w:rPr>
                                      <w:sz w:val="22"/>
                                      <w:szCs w:val="22"/>
                                      <w:lang w:val="sl-SI"/>
                                    </w:rPr>
                                    <w:t>Ud</w:t>
                                  </w:r>
                                  <w:r>
                                    <w:rPr>
                                      <w:sz w:val="22"/>
                                      <w:szCs w:val="22"/>
                                      <w:lang w:val="sl-SI"/>
                                    </w:rPr>
                                    <w:t>i</w:t>
                                  </w:r>
                                  <w:r w:rsidRPr="004F359E">
                                    <w:rPr>
                                      <w:sz w:val="22"/>
                                      <w:szCs w:val="22"/>
                                      <w:lang w:val="sl-SI"/>
                                    </w:rPr>
                                    <w:t>o preživljavanja</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58796" id="Text Box 4" o:spid="_x0000_s1027" type="#_x0000_t202" style="position:absolute;left:0;text-align:left;margin-left:6.45pt;margin-top:5.1pt;width:27.7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3bh+QIAAFoGAAAOAAAAZHJzL2Uyb0RvYy54bWysVVmL2zAQfi/0Pwi9e33Ejg/WWZJsXArb&#10;A3ZLnxVbjkVtyZWUOEvpf+9IzrltobR1QGik0cx83xy5vdt3LdpRqZjgOfZvPIwoL0XF+CbHn54K&#10;J8FIacIr0gpOc/xMFb6bvX51O/QZDUQj2opKBEa4yoY+x43Wfea6qmxoR9SN6CmHy1rIjmgQ5cat&#10;JBnAete6gedN3UHIqpeipErB6f14iWfWfl3TUn+oa0U1anMMsWm7SruuzerObkm2kaRvWHkIg/xF&#10;FB1hHJyeTN0TTdBWsp9MdayUQola35Sic0Vds5JaDIDG916geWxITy0WIEf1J5rU/zNbvt99lIhV&#10;OY4w4qSDFD3RvUYLsUehYWfoVQZKjz2o6T0cQ5YtUtU/iPKLQlwsG8I3dC6lGBpKKojONy/di6ej&#10;HWWMrId3ogI3ZKuFNbSvZWeoAzIQWIcsPZ8yY0Ip4XASBWEAEZZwFUwSP4hs6lySHV/3Uuk3VHTI&#10;bHIsIfPWOtk9KG2iIdlRxThTomVVwdrWCnKzXrYS7QhUSWE/C+CFWsuNMhfm2WhxPKG2zkY3JIOQ&#10;YWs0TfC2Br6lfhB6iyB1imkSO2ERRk4ae4nj+ekinXphGt4X3024fpg1rKoof2CcHuvRD/8s34fO&#10;GCvJViQaLJ+k3UBzllqOifstdM9+v4LeMQ1t2rIux8lJiWQm3SteARkk04S14969hmG5By6uKZkX&#10;kReHk8SJ42jihJOV5yySYunMl/50Gq8Wy8XKv6ZkZWlW/86KDeSYMyOILaB7bKoBVcwUzyRKAx+D&#10;AIMiiEe86EwikkJ/Zrqx7WkINjbUZQ0lnvkdiDxZH4k4O77g6YDtTBWU67GQbB+Z1hmbSO/Xe9uw&#10;tslMj61F9QyNBVHZbMM0ho1ZIXaMBhhuOVZft0RSjNq3HPoz9cPQTEMrhFEcgCAvb9aXN4SXjQAq&#10;NEbjdqnHCbrtJds04GycCFzMoadrZtvtHBiAMgIMMAvvMGzNhLyUrdb5L2H2AwAA//8DAFBLAwQU&#10;AAYACAAAACEAgNm2cNoAAAAIAQAADwAAAGRycy9kb3ducmV2LnhtbEyPzU7DMBCE70i8g7VIvVGn&#10;oVQhxKlQpZwLbR/AjZckIl5H/mnTt+9ygtNqNKPZb6rtbEdxQR8GRwpWywwEUuvMQJ2C07F5LkCE&#10;qMno0REquGGAbf34UOnSuCt94eUQO8ElFEqtoI9xKqUMbY9Wh6WbkNj7dt7qyNJ30nh95XI7yjzL&#10;NtLqgfhDryfc9dj+HJJVgGhvx9S49ecuNZ72Sa7Q75VaPM0f7yAizvEvDL/4jA41M51dIhPEyDp/&#10;4yTfLAfB/qZYgzgreClec5B1Jf8PqO8AAAD//wMAUEsBAi0AFAAGAAgAAAAhALaDOJL+AAAA4QEA&#10;ABMAAAAAAAAAAAAAAAAAAAAAAFtDb250ZW50X1R5cGVzXS54bWxQSwECLQAUAAYACAAAACEAOP0h&#10;/9YAAACUAQAACwAAAAAAAAAAAAAAAAAvAQAAX3JlbHMvLnJlbHNQSwECLQAUAAYACAAAACEAnTN2&#10;4fkCAABaBgAADgAAAAAAAAAAAAAAAAAuAgAAZHJzL2Uyb0RvYy54bWxQSwECLQAUAAYACAAAACEA&#10;gNm2cNoAAAAIAQAADwAAAAAAAAAAAAAAAABTBQAAZHJzL2Rvd25yZXYueG1sUEsFBgAAAAAEAAQA&#10;8wAAAFoGAAAAAA==&#10;" stroked="f" strokeweight="0">
                      <v:textbox style="layout-flow:vertical;mso-layout-flow-alt:bottom-to-top">
                        <w:txbxContent>
                          <w:p w14:paraId="379B27B3" w14:textId="77777777" w:rsidR="00B575E2" w:rsidRPr="004F359E" w:rsidRDefault="00B575E2" w:rsidP="00AA7CC9">
                            <w:pPr>
                              <w:rPr>
                                <w:sz w:val="22"/>
                                <w:szCs w:val="22"/>
                                <w:lang w:val="sl-SI"/>
                              </w:rPr>
                            </w:pPr>
                            <w:r w:rsidRPr="004F359E">
                              <w:rPr>
                                <w:sz w:val="22"/>
                                <w:szCs w:val="22"/>
                                <w:lang w:val="sl-SI"/>
                              </w:rPr>
                              <w:t>Ud</w:t>
                            </w:r>
                            <w:r>
                              <w:rPr>
                                <w:sz w:val="22"/>
                                <w:szCs w:val="22"/>
                                <w:lang w:val="sl-SI"/>
                              </w:rPr>
                              <w:t>i</w:t>
                            </w:r>
                            <w:r w:rsidRPr="004F359E">
                              <w:rPr>
                                <w:sz w:val="22"/>
                                <w:szCs w:val="22"/>
                                <w:lang w:val="sl-SI"/>
                              </w:rPr>
                              <w:t>o preživljavanja</w:t>
                            </w:r>
                          </w:p>
                        </w:txbxContent>
                      </v:textbox>
                    </v:shape>
                  </w:pict>
                </mc:Fallback>
              </mc:AlternateContent>
            </w:r>
          </w:p>
          <w:p w14:paraId="2C1A0486" w14:textId="77777777" w:rsidR="00AA7CC9" w:rsidRPr="00BF57A3" w:rsidRDefault="00AA7CC9" w:rsidP="006C640E">
            <w:pPr>
              <w:pStyle w:val="Header"/>
              <w:tabs>
                <w:tab w:val="left" w:pos="284"/>
              </w:tabs>
              <w:jc w:val="both"/>
              <w:rPr>
                <w:sz w:val="22"/>
                <w:szCs w:val="22"/>
                <w:lang w:val="es-ES"/>
              </w:rPr>
            </w:pPr>
          </w:p>
          <w:p w14:paraId="7D2C5E52" w14:textId="77777777" w:rsidR="00AA7CC9" w:rsidRPr="00BF57A3" w:rsidRDefault="00AA7CC9" w:rsidP="006C640E">
            <w:pPr>
              <w:pStyle w:val="Header"/>
              <w:tabs>
                <w:tab w:val="left" w:pos="284"/>
              </w:tabs>
              <w:jc w:val="both"/>
              <w:rPr>
                <w:sz w:val="22"/>
                <w:szCs w:val="22"/>
                <w:lang w:val="es-ES"/>
              </w:rPr>
            </w:pPr>
          </w:p>
          <w:p w14:paraId="2A2B613B" w14:textId="77777777" w:rsidR="00AA7CC9" w:rsidRPr="00BF57A3" w:rsidRDefault="00AA7CC9" w:rsidP="006C640E">
            <w:pPr>
              <w:pStyle w:val="Header"/>
              <w:tabs>
                <w:tab w:val="left" w:pos="284"/>
              </w:tabs>
              <w:jc w:val="both"/>
              <w:rPr>
                <w:sz w:val="22"/>
                <w:szCs w:val="22"/>
                <w:lang w:val="es-ES"/>
              </w:rPr>
            </w:pPr>
          </w:p>
          <w:p w14:paraId="5D3DEE92" w14:textId="77777777" w:rsidR="00AA7CC9" w:rsidRPr="00BF57A3" w:rsidRDefault="00AA7CC9" w:rsidP="006C640E">
            <w:pPr>
              <w:pStyle w:val="Header"/>
              <w:tabs>
                <w:tab w:val="left" w:pos="284"/>
              </w:tabs>
              <w:jc w:val="both"/>
              <w:rPr>
                <w:sz w:val="22"/>
                <w:szCs w:val="22"/>
                <w:lang w:val="es-ES"/>
              </w:rPr>
            </w:pPr>
          </w:p>
          <w:p w14:paraId="2BF64496" w14:textId="77777777" w:rsidR="00AA7CC9" w:rsidRPr="00BF57A3" w:rsidRDefault="00AA7CC9" w:rsidP="006C640E">
            <w:pPr>
              <w:pStyle w:val="Header"/>
              <w:tabs>
                <w:tab w:val="left" w:pos="284"/>
              </w:tabs>
              <w:jc w:val="both"/>
              <w:rPr>
                <w:sz w:val="22"/>
                <w:szCs w:val="22"/>
                <w:lang w:val="es-ES"/>
              </w:rPr>
            </w:pPr>
          </w:p>
          <w:p w14:paraId="21B1F766" w14:textId="77777777" w:rsidR="00AA7CC9" w:rsidRPr="00BF57A3" w:rsidRDefault="00AA7CC9" w:rsidP="006C640E">
            <w:pPr>
              <w:pStyle w:val="Header"/>
              <w:tabs>
                <w:tab w:val="left" w:pos="284"/>
              </w:tabs>
              <w:jc w:val="both"/>
              <w:rPr>
                <w:sz w:val="22"/>
                <w:szCs w:val="22"/>
                <w:lang w:val="es-ES"/>
              </w:rPr>
            </w:pPr>
          </w:p>
          <w:p w14:paraId="436CD3C7" w14:textId="77777777" w:rsidR="00AA7CC9" w:rsidRPr="00BF57A3" w:rsidRDefault="00AA7CC9" w:rsidP="006C640E">
            <w:pPr>
              <w:pStyle w:val="Header"/>
              <w:tabs>
                <w:tab w:val="left" w:pos="284"/>
              </w:tabs>
              <w:jc w:val="both"/>
              <w:rPr>
                <w:sz w:val="22"/>
                <w:szCs w:val="22"/>
                <w:lang w:val="es-ES"/>
              </w:rPr>
            </w:pPr>
          </w:p>
          <w:p w14:paraId="41055D53" w14:textId="77777777" w:rsidR="00AA7CC9" w:rsidRPr="00BF57A3" w:rsidRDefault="00AA7CC9" w:rsidP="006C640E">
            <w:pPr>
              <w:pStyle w:val="Header"/>
              <w:tabs>
                <w:tab w:val="left" w:pos="284"/>
              </w:tabs>
              <w:jc w:val="both"/>
              <w:rPr>
                <w:sz w:val="22"/>
                <w:szCs w:val="22"/>
                <w:lang w:val="es-ES"/>
              </w:rPr>
            </w:pPr>
          </w:p>
          <w:p w14:paraId="05D9FF70" w14:textId="77777777" w:rsidR="00AA7CC9" w:rsidRPr="00BF57A3" w:rsidRDefault="00AA7CC9" w:rsidP="006C640E">
            <w:pPr>
              <w:pStyle w:val="Header"/>
              <w:tabs>
                <w:tab w:val="left" w:pos="284"/>
              </w:tabs>
              <w:jc w:val="both"/>
              <w:rPr>
                <w:sz w:val="22"/>
                <w:szCs w:val="22"/>
                <w:lang w:val="es-ES"/>
              </w:rPr>
            </w:pPr>
          </w:p>
          <w:p w14:paraId="17292DB4" w14:textId="77777777" w:rsidR="00AA7CC9" w:rsidRPr="00BF57A3" w:rsidRDefault="00AA7CC9" w:rsidP="006C640E">
            <w:pPr>
              <w:pStyle w:val="Header"/>
              <w:tabs>
                <w:tab w:val="left" w:pos="284"/>
              </w:tabs>
              <w:jc w:val="both"/>
              <w:rPr>
                <w:sz w:val="22"/>
                <w:szCs w:val="22"/>
                <w:lang w:val="es-ES"/>
              </w:rPr>
            </w:pPr>
          </w:p>
          <w:p w14:paraId="21CB06D8" w14:textId="77777777" w:rsidR="00AA7CC9" w:rsidRPr="00BF57A3" w:rsidRDefault="00AA7CC9" w:rsidP="006C640E">
            <w:pPr>
              <w:pStyle w:val="Header"/>
              <w:tabs>
                <w:tab w:val="left" w:pos="284"/>
              </w:tabs>
              <w:jc w:val="both"/>
              <w:rPr>
                <w:sz w:val="22"/>
                <w:szCs w:val="22"/>
                <w:lang w:val="es-ES"/>
              </w:rPr>
            </w:pPr>
          </w:p>
          <w:p w14:paraId="04D245A5" w14:textId="77777777" w:rsidR="00AA7CC9" w:rsidRPr="00BF57A3" w:rsidRDefault="00AA7CC9" w:rsidP="006C640E">
            <w:pPr>
              <w:pStyle w:val="Header"/>
              <w:tabs>
                <w:tab w:val="left" w:pos="284"/>
              </w:tabs>
              <w:jc w:val="both"/>
              <w:rPr>
                <w:sz w:val="22"/>
                <w:szCs w:val="22"/>
                <w:lang w:val="es-ES"/>
              </w:rPr>
            </w:pPr>
          </w:p>
          <w:p w14:paraId="11C66EC3" w14:textId="77777777" w:rsidR="00AA7CC9" w:rsidRPr="00BF57A3" w:rsidRDefault="00AA7CC9" w:rsidP="006C640E">
            <w:pPr>
              <w:pStyle w:val="Header"/>
              <w:tabs>
                <w:tab w:val="left" w:pos="284"/>
              </w:tabs>
              <w:jc w:val="both"/>
              <w:rPr>
                <w:sz w:val="22"/>
                <w:szCs w:val="22"/>
                <w:lang w:val="es-ES"/>
              </w:rPr>
            </w:pPr>
          </w:p>
          <w:p w14:paraId="0493DB93" w14:textId="77777777" w:rsidR="00AA7CC9" w:rsidRPr="00BF57A3" w:rsidRDefault="00AA7CC9" w:rsidP="006C640E">
            <w:pPr>
              <w:pStyle w:val="Header"/>
              <w:tabs>
                <w:tab w:val="left" w:pos="284"/>
              </w:tabs>
              <w:jc w:val="both"/>
              <w:rPr>
                <w:sz w:val="22"/>
                <w:szCs w:val="22"/>
                <w:lang w:val="es-ES"/>
              </w:rPr>
            </w:pPr>
          </w:p>
          <w:p w14:paraId="375B5ABD" w14:textId="77777777" w:rsidR="00AA7CC9" w:rsidRPr="00BF57A3" w:rsidRDefault="00AA7CC9" w:rsidP="006C640E">
            <w:pPr>
              <w:pStyle w:val="Header"/>
              <w:tabs>
                <w:tab w:val="left" w:pos="284"/>
              </w:tabs>
              <w:jc w:val="both"/>
              <w:rPr>
                <w:sz w:val="22"/>
                <w:szCs w:val="22"/>
                <w:lang w:val="es-ES"/>
              </w:rPr>
            </w:pPr>
          </w:p>
          <w:p w14:paraId="46B4D150" w14:textId="77777777" w:rsidR="00AA7CC9" w:rsidRPr="00BF57A3" w:rsidRDefault="00AA7CC9" w:rsidP="006C640E">
            <w:pPr>
              <w:pStyle w:val="Header"/>
              <w:tabs>
                <w:tab w:val="left" w:pos="284"/>
              </w:tabs>
              <w:jc w:val="both"/>
              <w:rPr>
                <w:sz w:val="22"/>
                <w:szCs w:val="22"/>
                <w:lang w:val="es-ES"/>
              </w:rPr>
            </w:pPr>
          </w:p>
          <w:p w14:paraId="21CEBCEF" w14:textId="77777777" w:rsidR="00AA7CC9" w:rsidRPr="00BF57A3" w:rsidRDefault="00AA7CC9" w:rsidP="006C640E">
            <w:pPr>
              <w:pStyle w:val="Header"/>
              <w:tabs>
                <w:tab w:val="left" w:pos="284"/>
              </w:tabs>
              <w:jc w:val="both"/>
              <w:rPr>
                <w:sz w:val="22"/>
                <w:szCs w:val="22"/>
                <w:lang w:val="es-ES"/>
              </w:rPr>
            </w:pPr>
          </w:p>
          <w:p w14:paraId="1332F29F" w14:textId="77777777" w:rsidR="00AA7CC9" w:rsidRPr="00BF57A3" w:rsidRDefault="00AA7CC9" w:rsidP="006C640E">
            <w:pPr>
              <w:pStyle w:val="Header"/>
              <w:tabs>
                <w:tab w:val="left" w:pos="284"/>
              </w:tabs>
              <w:jc w:val="both"/>
              <w:rPr>
                <w:sz w:val="22"/>
                <w:szCs w:val="22"/>
                <w:lang w:val="es-ES"/>
              </w:rPr>
            </w:pPr>
          </w:p>
          <w:p w14:paraId="2492706A" w14:textId="77777777" w:rsidR="00AA7CC9" w:rsidRPr="00BF57A3" w:rsidRDefault="00B72BEA" w:rsidP="006C640E">
            <w:pPr>
              <w:pStyle w:val="Header"/>
              <w:tabs>
                <w:tab w:val="left" w:pos="284"/>
              </w:tabs>
              <w:jc w:val="both"/>
              <w:rPr>
                <w:sz w:val="22"/>
                <w:szCs w:val="22"/>
                <w:lang w:val="es-ES"/>
              </w:rPr>
            </w:pPr>
            <w:r w:rsidRPr="00BF57A3">
              <w:rPr>
                <w:noProof/>
                <w:sz w:val="22"/>
                <w:szCs w:val="22"/>
                <w:lang w:val="en-US"/>
              </w:rPr>
              <mc:AlternateContent>
                <mc:Choice Requires="wps">
                  <w:drawing>
                    <wp:anchor distT="0" distB="0" distL="114300" distR="114300" simplePos="0" relativeHeight="251660288" behindDoc="0" locked="0" layoutInCell="1" allowOverlap="1" wp14:anchorId="13F9118E" wp14:editId="5523279C">
                      <wp:simplePos x="0" y="0"/>
                      <wp:positionH relativeFrom="column">
                        <wp:posOffset>-419100</wp:posOffset>
                      </wp:positionH>
                      <wp:positionV relativeFrom="paragraph">
                        <wp:posOffset>3175</wp:posOffset>
                      </wp:positionV>
                      <wp:extent cx="1274445" cy="211455"/>
                      <wp:effectExtent l="1270" t="0" r="63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4445" cy="211455"/>
                              </a:xfrm>
                              <a:prstGeom prst="rect">
                                <a:avLst/>
                              </a:prstGeom>
                              <a:solidFill>
                                <a:srgbClr val="FFFFFF"/>
                              </a:solidFill>
                              <a:ln>
                                <a:noFill/>
                              </a:ln>
                              <a:effectLst/>
                              <a:extLs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AE723DF" w14:textId="15390BB6" w:rsidR="00B575E2" w:rsidRPr="005F0E15" w:rsidRDefault="00B575E2" w:rsidP="00AA7CC9">
                                  <w:pPr>
                                    <w:rPr>
                                      <w:sz w:val="16"/>
                                      <w:szCs w:val="16"/>
                                      <w:lang w:val="sl-SI"/>
                                    </w:rPr>
                                  </w:pPr>
                                  <w:r w:rsidRPr="005F0E15">
                                    <w:rPr>
                                      <w:sz w:val="16"/>
                                      <w:szCs w:val="16"/>
                                      <w:lang w:val="sl-SI"/>
                                    </w:rPr>
                                    <w:t>(</w:t>
                                  </w:r>
                                  <w:r w:rsidR="000E755D">
                                    <w:rPr>
                                      <w:sz w:val="16"/>
                                      <w:szCs w:val="16"/>
                                      <w:lang w:val="sl-SI"/>
                                    </w:rPr>
                                    <w:t>pacijenti</w:t>
                                  </w:r>
                                  <w:r w:rsidR="000E755D" w:rsidRPr="005F0E15">
                                    <w:rPr>
                                      <w:sz w:val="16"/>
                                      <w:szCs w:val="16"/>
                                      <w:lang w:val="sl-SI"/>
                                    </w:rPr>
                                    <w:t xml:space="preserve"> </w:t>
                                  </w:r>
                                  <w:r w:rsidRPr="005F0E15">
                                    <w:rPr>
                                      <w:sz w:val="16"/>
                                      <w:szCs w:val="16"/>
                                      <w:lang w:val="sl-SI"/>
                                    </w:rPr>
                                    <w:t>pod rizikom)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9118E" id="Text Box 6" o:spid="_x0000_s1028" type="#_x0000_t202" style="position:absolute;left:0;text-align:left;margin-left:-33pt;margin-top:.25pt;width:100.3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hY+QIAAFcGAAAOAAAAZHJzL2Uyb0RvYy54bWysVVmL2zAQfi/0Pwi9e31EiWOzzpJk41LY&#10;HrBb+qzYcixqS66kxNmW/veO5Jw9oLR1QGik0Tcz3xy5vdu3DdoxpbkUGQ5vAoyYKGTJxSbDH55y&#10;b4qRNlSUtJGCZfiZaXw3e/nitu9SFslaNiVTCECETvsuw7UxXer7uqhZS/WN7JiAy0qqlhoQ1cYv&#10;Fe0BvW38KAgmfi9V2SlZMK3h9H64xDOHX1WsMO+qSjODmgyDb8atyq1ru/qzW5puFO1qXhzcoH/h&#10;RUu5AKMnqHtqKNoq/hNUywsltazMTSFbX1YVL5iLAaIJgx+ieaxpx1wsQI7uTjTp/wdbvN29V4iX&#10;GSYYCdpCip7Y3qCF3KOJZafvdApKjx2omT0cQ5ZdpLp7kMUnjYRc1lRs2Fwp2deMluBdaF/6F08H&#10;HG1B1v0bWYIZujXSAe0r1VrqgAwE6JCl51NmrCuFNRnFhJAxRgXcRWFIxmNngqbH153S5hWTLbKb&#10;DCvIvEOnuwdtrDc0PapYY1o2vMx50zhBbdbLRqEdhSrJ3XdAv1JrhFUW0j4bEIcT5upsMENTcBm2&#10;VtM672rgaxJGJFhEiZdPprFHcjL2kjiYekGYLJJJQBJyn3+z7oYkrXlZMvHABTvWY0j+LN+Hzhgq&#10;yVUk6h2ftNlAcxZGDYn7beiB+34VessNtGnD2wxPT0o0teleiRLIoKmhvBn2/nUYjnvg4pqSeT4O&#10;YjKaenE8HnlktAq8xTRfevNlOJnEq8VysQqvKVk5mvW/s+IcOebMCnIL0T3WZY9KbotnNE6iEIMA&#10;gyKKh3jRmUSkpPnITe3a0xJsMfRlDU0D+zsQeUIfiDgbvuDpENuZKijXYyG5PrKtMzSR2a/3rmEj&#10;i297bC3LZ2gs8MplG6YxbGqpvmDUw2TLsP68pYph1LwW0JxJSIgdhU4g4zgCQV3erC9vqCgAKsMG&#10;o2G7NMP43HaKb2qwNIwDIefQ0BV3vXb2CiKyAkwvF9th0trxeCk7rfP/wew7AAAA//8DAFBLAwQU&#10;AAYACAAAACEAVD8l1d0AAAAHAQAADwAAAGRycy9kb3ducmV2LnhtbEyPwU7DMBBE70j8g7VI3FoH&#10;UkIUsqlQFY4g0SKVoxsvSUS8TmO7DX+Pe4LjaEYzb8r1bAZxosn1lhHulgkI4sbqnluEj93LIgfh&#10;vGKtBsuE8EMO1tX1VakKbc/8Tqetb0UsYVcohM77sZDSNR0Z5ZZ2JI7el52M8lFOrdSTOsdyM8j7&#10;JMmkUT3HhU6NtOmo+d4Gg7Db158NZbUJq3oT8uMxvE77N8Tbm/n5CYSn2f+F4YIf0aGKTAcbWDsx&#10;ICyyLH7xCA8gLna6egRxQEjTHGRVyv/81S8AAAD//wMAUEsBAi0AFAAGAAgAAAAhALaDOJL+AAAA&#10;4QEAABMAAAAAAAAAAAAAAAAAAAAAAFtDb250ZW50X1R5cGVzXS54bWxQSwECLQAUAAYACAAAACEA&#10;OP0h/9YAAACUAQAACwAAAAAAAAAAAAAAAAAvAQAAX3JlbHMvLnJlbHNQSwECLQAUAAYACAAAACEA&#10;b06oWPkCAABXBgAADgAAAAAAAAAAAAAAAAAuAgAAZHJzL2Uyb0RvYy54bWxQSwECLQAUAAYACAAA&#10;ACEAVD8l1d0AAAAHAQAADwAAAAAAAAAAAAAAAABTBQAAZHJzL2Rvd25yZXYueG1sUEsFBgAAAAAE&#10;AAQA8wAAAF0GAAAAAA==&#10;" stroked="f" strokeweight="0">
                      <v:textbox>
                        <w:txbxContent>
                          <w:p w14:paraId="2AE723DF" w14:textId="15390BB6" w:rsidR="00B575E2" w:rsidRPr="005F0E15" w:rsidRDefault="00B575E2" w:rsidP="00AA7CC9">
                            <w:pPr>
                              <w:rPr>
                                <w:sz w:val="16"/>
                                <w:szCs w:val="16"/>
                                <w:lang w:val="sl-SI"/>
                              </w:rPr>
                            </w:pPr>
                            <w:r w:rsidRPr="005F0E15">
                              <w:rPr>
                                <w:sz w:val="16"/>
                                <w:szCs w:val="16"/>
                                <w:lang w:val="sl-SI"/>
                              </w:rPr>
                              <w:t>(</w:t>
                            </w:r>
                            <w:r w:rsidR="000E755D">
                              <w:rPr>
                                <w:sz w:val="16"/>
                                <w:szCs w:val="16"/>
                                <w:lang w:val="sl-SI"/>
                              </w:rPr>
                              <w:t>pacijenti</w:t>
                            </w:r>
                            <w:r w:rsidR="000E755D" w:rsidRPr="005F0E15">
                              <w:rPr>
                                <w:sz w:val="16"/>
                                <w:szCs w:val="16"/>
                                <w:lang w:val="sl-SI"/>
                              </w:rPr>
                              <w:t xml:space="preserve"> </w:t>
                            </w:r>
                            <w:r w:rsidRPr="005F0E15">
                              <w:rPr>
                                <w:sz w:val="16"/>
                                <w:szCs w:val="16"/>
                                <w:lang w:val="sl-SI"/>
                              </w:rPr>
                              <w:t>pod rizikom)</w:t>
                            </w:r>
                          </w:p>
                        </w:txbxContent>
                      </v:textbox>
                    </v:shape>
                  </w:pict>
                </mc:Fallback>
              </mc:AlternateContent>
            </w:r>
          </w:p>
          <w:p w14:paraId="20EF6442" w14:textId="77777777" w:rsidR="00AA7CC9" w:rsidRPr="00BF57A3" w:rsidRDefault="00B72BEA" w:rsidP="006C640E">
            <w:pPr>
              <w:pStyle w:val="Header"/>
              <w:tabs>
                <w:tab w:val="left" w:pos="284"/>
              </w:tabs>
              <w:jc w:val="both"/>
              <w:rPr>
                <w:sz w:val="22"/>
                <w:szCs w:val="22"/>
                <w:lang w:val="es-ES"/>
              </w:rPr>
            </w:pPr>
            <w:r w:rsidRPr="00BF57A3">
              <w:rPr>
                <w:noProof/>
                <w:sz w:val="22"/>
                <w:szCs w:val="22"/>
                <w:lang w:val="en-US"/>
              </w:rPr>
              <mc:AlternateContent>
                <mc:Choice Requires="wps">
                  <w:drawing>
                    <wp:anchor distT="0" distB="0" distL="114300" distR="114300" simplePos="0" relativeHeight="251662336" behindDoc="0" locked="0" layoutInCell="1" allowOverlap="1" wp14:anchorId="40B38043" wp14:editId="414C5618">
                      <wp:simplePos x="0" y="0"/>
                      <wp:positionH relativeFrom="column">
                        <wp:posOffset>-352425</wp:posOffset>
                      </wp:positionH>
                      <wp:positionV relativeFrom="paragraph">
                        <wp:posOffset>38100</wp:posOffset>
                      </wp:positionV>
                      <wp:extent cx="691515" cy="294640"/>
                      <wp:effectExtent l="1270" t="3810" r="254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294640"/>
                              </a:xfrm>
                              <a:prstGeom prst="rect">
                                <a:avLst/>
                              </a:prstGeom>
                              <a:solidFill>
                                <a:srgbClr val="FFFFFF"/>
                              </a:solidFill>
                              <a:ln>
                                <a:noFill/>
                              </a:ln>
                              <a:effectLst/>
                              <a:extLs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577806" w14:textId="77777777" w:rsidR="00B575E2" w:rsidRPr="004F359E" w:rsidRDefault="00B575E2" w:rsidP="00AA7CC9">
                                  <w:pPr>
                                    <w:rPr>
                                      <w:sz w:val="16"/>
                                      <w:szCs w:val="16"/>
                                      <w:lang w:val="sl-SI"/>
                                    </w:rPr>
                                  </w:pPr>
                                  <w:r w:rsidRPr="004F359E">
                                    <w:rPr>
                                      <w:sz w:val="16"/>
                                      <w:szCs w:val="16"/>
                                      <w:lang w:val="sl-SI"/>
                                    </w:rPr>
                                    <w:t>ABX/GEM:</w:t>
                                  </w:r>
                                </w:p>
                                <w:p w14:paraId="3BA45B51" w14:textId="77777777" w:rsidR="00B575E2" w:rsidRPr="004F359E" w:rsidRDefault="00B575E2" w:rsidP="00AA7CC9">
                                  <w:pPr>
                                    <w:rPr>
                                      <w:sz w:val="16"/>
                                      <w:szCs w:val="16"/>
                                      <w:lang w:val="sl-SI"/>
                                    </w:rPr>
                                  </w:pPr>
                                  <w:r w:rsidRPr="004F359E">
                                    <w:rPr>
                                      <w:sz w:val="16"/>
                                      <w:szCs w:val="16"/>
                                      <w:lang w:val="sl-SI"/>
                                    </w:rPr>
                                    <w:t>GEM: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38043" id="Text Box 7" o:spid="_x0000_s1029" type="#_x0000_t202" style="position:absolute;left:0;text-align:left;margin-left:-27.75pt;margin-top:3pt;width:54.45pt;height:2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oor+wIAAFYGAAAOAAAAZHJzL2Uyb0RvYy54bWysVdtu2zAMfR+wfxD07voSJ46NOkWSxsOA&#10;7gK0w54VS46F2ZInKXHaYf8+Ss6t3QYM2xzAEC3qiDzkYa5v9m2DdkxpLkWOw6sAIyZKSbnY5PjT&#10;Q+FNMdKGCEoaKViOH5nGN7PXr677LmORrGVDmUIAInTWdzmujeky39dlzVqir2THBGxWUrXEgKk2&#10;PlWkB/S28aMgmPi9VLRTsmRaw9fbYRPPHH5VsdJ8qCrNDGpyDLEZ91buvbZvf3ZNso0iXc3LQxjk&#10;L6JoCRdw6QnqlhiCtor/BNXyUkktK3NVytaXVcVL5nKAbMLgRTb3NemYywXI0d2JJv3/YMv3u48K&#10;cZrjEUaCtFCiB7Y3aCH3KLHs9J3OwOm+Azezh89QZZep7u5k+UUjIZc1ERs2V0r2NSMUogvtSf/i&#10;6ICjLci6fycpXEO2RjqgfaVaSx2QgQAdqvR4qowNpYSPkzQch2OMStiK0ngSu8r5JDse7pQ2b5hs&#10;kV3kWEHhHTjZ3WljgyHZ0cXepWXDacGbxhlqs142Cu0INEnhHhf/C7dGWGch7bEBcfjCXJsN15AM&#10;Ioal9bSxuxb4loZRHCyi1Csm08SLi3jspUkw9YIwXaSTIE7j2+K7DTeMs5pTysQdF+zYjmH8Z+U+&#10;CGNoJNeQqHd0kmYD2iyNGur229QD9/wq9ZYbUGnD2xxPT04ks9VeCQpkkMwQ3gxr/3kajnvg4jkl&#10;82IcJPFo6iXJeOTFo1XgLabF0psvw8kkWS2Wi1X4nJKVo1n/OysukGPNrCG3kN19TXtEuW2e0TiN&#10;QgwGzIkoGfJFZxKRkuYzN7VTpyXYYujLHpoG9ncg8oQ+EHG++IKnQ25nqqBdj43kZGSVM2jI7Nf7&#10;g16BdyuxtaSPoCuIylUbhjEsaqmeMOphsOVYf90SxTBq3grQZhrGoB5knBGPkwgMdbmzvtwhogSo&#10;HBuMhuXSDNNz2ym+qeGmYRoIOQc9V9xp7RwVZGQNGF4ut8OgtdPx0nZe57+D2Q8AAAD//wMAUEsD&#10;BBQABgAIAAAAIQBCkKaX3QAAAAcBAAAPAAAAZHJzL2Rvd25yZXYueG1sTI/BTsMwEETvSPyDtUjc&#10;WoeSRFWIU6EqHEGiRSpHN16SiHid2k4b/p7lRE+j1Yxm3pab2Q7ijD70jhQ8LBMQSI0zPbUKPvYv&#10;izWIEDUZPThCBT8YYFPd3pS6MO5C73jexVZwCYVCK+hiHAspQ9Oh1WHpRiT2vpy3OvLpW2m8vnC5&#10;HeQqSXJpdU+80OkRtx0237vJKtgf6s8G89pOab2d1qfT9OoPb0rd383PTyAizvE/DH/4jA4VMx3d&#10;RCaIQcEiyzKOKsj5JfazxxTEkXWVgqxKec1f/QIAAP//AwBQSwECLQAUAAYACAAAACEAtoM4kv4A&#10;AADhAQAAEwAAAAAAAAAAAAAAAAAAAAAAW0NvbnRlbnRfVHlwZXNdLnhtbFBLAQItABQABgAIAAAA&#10;IQA4/SH/1gAAAJQBAAALAAAAAAAAAAAAAAAAAC8BAABfcmVscy8ucmVsc1BLAQItABQABgAIAAAA&#10;IQACjoor+wIAAFYGAAAOAAAAAAAAAAAAAAAAAC4CAABkcnMvZTJvRG9jLnhtbFBLAQItABQABgAI&#10;AAAAIQBCkKaX3QAAAAcBAAAPAAAAAAAAAAAAAAAAAFUFAABkcnMvZG93bnJldi54bWxQSwUGAAAA&#10;AAQABADzAAAAXwYAAAAA&#10;" stroked="f" strokeweight="0">
                      <v:textbox>
                        <w:txbxContent>
                          <w:p w14:paraId="49577806" w14:textId="77777777" w:rsidR="00B575E2" w:rsidRPr="004F359E" w:rsidRDefault="00B575E2" w:rsidP="00AA7CC9">
                            <w:pPr>
                              <w:rPr>
                                <w:sz w:val="16"/>
                                <w:szCs w:val="16"/>
                                <w:lang w:val="sl-SI"/>
                              </w:rPr>
                            </w:pPr>
                            <w:r w:rsidRPr="004F359E">
                              <w:rPr>
                                <w:sz w:val="16"/>
                                <w:szCs w:val="16"/>
                                <w:lang w:val="sl-SI"/>
                              </w:rPr>
                              <w:t>ABX/GEM:</w:t>
                            </w:r>
                          </w:p>
                          <w:p w14:paraId="3BA45B51" w14:textId="77777777" w:rsidR="00B575E2" w:rsidRPr="004F359E" w:rsidRDefault="00B575E2" w:rsidP="00AA7CC9">
                            <w:pPr>
                              <w:rPr>
                                <w:sz w:val="16"/>
                                <w:szCs w:val="16"/>
                                <w:lang w:val="sl-SI"/>
                              </w:rPr>
                            </w:pPr>
                            <w:r w:rsidRPr="004F359E">
                              <w:rPr>
                                <w:sz w:val="16"/>
                                <w:szCs w:val="16"/>
                                <w:lang w:val="sl-SI"/>
                              </w:rPr>
                              <w:t>GEM:</w:t>
                            </w:r>
                          </w:p>
                        </w:txbxContent>
                      </v:textbox>
                    </v:shape>
                  </w:pict>
                </mc:Fallback>
              </mc:AlternateContent>
            </w:r>
          </w:p>
          <w:p w14:paraId="1AE5F1F9" w14:textId="77777777" w:rsidR="00AA7CC9" w:rsidRPr="00BF57A3" w:rsidRDefault="00AA7CC9" w:rsidP="006C640E">
            <w:pPr>
              <w:pStyle w:val="Header"/>
              <w:tabs>
                <w:tab w:val="left" w:pos="284"/>
              </w:tabs>
              <w:jc w:val="both"/>
              <w:rPr>
                <w:sz w:val="22"/>
                <w:szCs w:val="22"/>
                <w:lang w:val="es-ES"/>
              </w:rPr>
            </w:pPr>
          </w:p>
          <w:p w14:paraId="0280A791" w14:textId="77777777" w:rsidR="00AA7CC9" w:rsidRPr="00BF57A3" w:rsidRDefault="00B72BEA" w:rsidP="006C640E">
            <w:pPr>
              <w:pStyle w:val="Header"/>
              <w:tabs>
                <w:tab w:val="left" w:pos="284"/>
              </w:tabs>
              <w:jc w:val="both"/>
              <w:rPr>
                <w:sz w:val="22"/>
                <w:szCs w:val="22"/>
                <w:lang w:val="es-ES"/>
              </w:rPr>
            </w:pPr>
            <w:r w:rsidRPr="00BF57A3">
              <w:rPr>
                <w:noProof/>
                <w:sz w:val="22"/>
                <w:szCs w:val="22"/>
                <w:lang w:val="en-US"/>
              </w:rPr>
              <mc:AlternateContent>
                <mc:Choice Requires="wps">
                  <w:drawing>
                    <wp:anchor distT="0" distB="0" distL="114300" distR="114300" simplePos="0" relativeHeight="251658240" behindDoc="0" locked="0" layoutInCell="1" allowOverlap="1" wp14:anchorId="288FA2B3" wp14:editId="2961678C">
                      <wp:simplePos x="0" y="0"/>
                      <wp:positionH relativeFrom="column">
                        <wp:posOffset>2087880</wp:posOffset>
                      </wp:positionH>
                      <wp:positionV relativeFrom="paragraph">
                        <wp:posOffset>71755</wp:posOffset>
                      </wp:positionV>
                      <wp:extent cx="1914525" cy="257175"/>
                      <wp:effectExtent l="3175" t="0" r="0"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57175"/>
                              </a:xfrm>
                              <a:prstGeom prst="rect">
                                <a:avLst/>
                              </a:prstGeom>
                              <a:solidFill>
                                <a:srgbClr val="FFFFFF"/>
                              </a:solidFill>
                              <a:ln>
                                <a:noFill/>
                              </a:ln>
                              <a:effectLst/>
                              <a:extLst>
                                <a:ext uri="{91240B29-F687-4F45-9708-019B960494DF}">
                                  <a14:hiddenLine xmlns:a14="http://schemas.microsoft.com/office/drawing/2010/main" w="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D67429" w14:textId="77777777" w:rsidR="00B575E2" w:rsidRPr="004F359E" w:rsidRDefault="00B575E2" w:rsidP="00AA7CC9">
                                  <w:pPr>
                                    <w:rPr>
                                      <w:sz w:val="20"/>
                                      <w:szCs w:val="20"/>
                                      <w:lang w:val="sl-SI"/>
                                    </w:rPr>
                                  </w:pPr>
                                  <w:r w:rsidRPr="004F359E">
                                    <w:rPr>
                                      <w:sz w:val="20"/>
                                      <w:szCs w:val="20"/>
                                      <w:lang w:val="sl-SI"/>
                                    </w:rPr>
                                    <w:t>Vrijeme (mjeseci)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FA2B3" id="Text Box 5" o:spid="_x0000_s1030" type="#_x0000_t202" style="position:absolute;left:0;text-align:left;margin-left:164.4pt;margin-top:5.65pt;width:150.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9Fn+QIAAFcGAAAOAAAAZHJzL2Uyb0RvYy54bWysVduO0zAQfUfiHyy/Z3Np0jTRpqjtNghp&#10;uUi7iGc3dhqLxA62u+mC+HfGTm+7gISAVIo88fh4zplLr1/tuxY9MKW5FAUOrwKMmKgk5WJb4I/3&#10;pTfDSBsiKGmlYAV+ZBq/mr98cT30OYtkI1vKFAIQofOhL3BjTJ/7vq4a1hF9JXsmYLOWqiMGTLX1&#10;qSIDoHetHwXB1B+kor2SFdMavt6Mm3ju8OuaVeZ9XWtmUFtgiM24t3LvjX3782uSbxXpG14dwiB/&#10;EUVHuIBLT1A3xBC0U/wnqI5XSmpZm6tKdr6sa14xxwHYhMEzNncN6ZnjAuLo/iST/n+w1buHDwpx&#10;WuAII0E6SNE92xu0lHuUWHWGXufgdNeDm9nDZ8iyY6r7W1l91kjIVUPEli2UkkPDCIXoQnvSvzg6&#10;4mgLshneSgrXkJ2RDmhfq85KB2IgQIcsPZ4yY0Op7JVZGCdRglEFe1GShqkLzif58XSvtHnNZIfs&#10;osAKMu/QycOtNjYakh9d7GVatpyWvG2dobabVavQA4EqKd3jCDxza4V1FtIeGxHHL8zV2XgNySFk&#10;WFpPG7yrgW9ZGMXBMsq8cjpLvbiMEy9Lg5kXhNkymwZxFt+U3224YZw3nFImbrlgx3oM4z/L96Ez&#10;xkpyFYkGpydpt9CclVFj4n5LPXDPr6h33ECbtrwr8OzkRHKb7rWgIAbJDeHtuPaf0nDagxZPJVmU&#10;SZDGk5mXpsnEiyfrwFvOypW3WIXTabperpbr8Kkkayez/ndVXCDHnFlD7oDdXUMHRLktnkmSRSEG&#10;AwZFlI580VlEpKT5xE3j2tMKbDH0ZQ3NAvs7CHlCH4U4X3yh04HbWSoo12MhuT6yrTM2kdlv9q5h&#10;Y4tve2wj6SM0FkTlsg3TGBaNVF8xGmCyFVh/2RHFMGrfCGhOaKXYjkJnxEkagaEudzaXO0RUAFVg&#10;g9G4XJlxfO56xbcN3DSOAyEX0NA1d712jgoYWQOml+N2mLR2PF7azuv8fzD/AQAA//8DAFBLAwQU&#10;AAYACAAAACEA5r2hEN4AAAAJAQAADwAAAGRycy9kb3ducmV2LnhtbEyPwU7DMBBE70j8g7VI3KiT&#10;BqIoxKlQFY4g0SKVoxsvSUS8Tm2nDX/PcoLbrGY087baLHYUZ/RhcKQgXSUgkFpnBuoUvO+f7woQ&#10;IWoyenSECr4xwKa+vqp0adyF3vC8i53gEgqlVtDHOJVShrZHq8PKTUjsfTpvdeTTd9J4feFyO8p1&#10;kuTS6oF4odcTbntsv3azVbA/NB8t5o2d75vtXJxO84s/vCp1e7M8PYKIuMS/MPziMzrUzHR0M5kg&#10;RgXZumD0yEaageBAniUsjgoe0gJkXcn/H9Q/AAAA//8DAFBLAQItABQABgAIAAAAIQC2gziS/gAA&#10;AOEBAAATAAAAAAAAAAAAAAAAAAAAAABbQ29udGVudF9UeXBlc10ueG1sUEsBAi0AFAAGAAgAAAAh&#10;ADj9If/WAAAAlAEAAAsAAAAAAAAAAAAAAAAALwEAAF9yZWxzLy5yZWxzUEsBAi0AFAAGAAgAAAAh&#10;AL2/0Wf5AgAAVwYAAA4AAAAAAAAAAAAAAAAALgIAAGRycy9lMm9Eb2MueG1sUEsBAi0AFAAGAAgA&#10;AAAhAOa9oRDeAAAACQEAAA8AAAAAAAAAAAAAAAAAUwUAAGRycy9kb3ducmV2LnhtbFBLBQYAAAAA&#10;BAAEAPMAAABeBgAAAAA=&#10;" stroked="f" strokeweight="0">
                      <v:textbox>
                        <w:txbxContent>
                          <w:p w14:paraId="39D67429" w14:textId="77777777" w:rsidR="00B575E2" w:rsidRPr="004F359E" w:rsidRDefault="00B575E2" w:rsidP="00AA7CC9">
                            <w:pPr>
                              <w:rPr>
                                <w:sz w:val="20"/>
                                <w:szCs w:val="20"/>
                                <w:lang w:val="sl-SI"/>
                              </w:rPr>
                            </w:pPr>
                            <w:r w:rsidRPr="004F359E">
                              <w:rPr>
                                <w:sz w:val="20"/>
                                <w:szCs w:val="20"/>
                                <w:lang w:val="sl-SI"/>
                              </w:rPr>
                              <w:t>Vrijeme (mjeseci)</w:t>
                            </w:r>
                          </w:p>
                        </w:txbxContent>
                      </v:textbox>
                    </v:shape>
                  </w:pict>
                </mc:Fallback>
              </mc:AlternateContent>
            </w:r>
          </w:p>
          <w:p w14:paraId="1CA90B71" w14:textId="77777777" w:rsidR="00AA7CC9" w:rsidRPr="00BF57A3" w:rsidRDefault="00AA7CC9" w:rsidP="006C640E">
            <w:pPr>
              <w:pStyle w:val="Header"/>
              <w:tabs>
                <w:tab w:val="left" w:pos="284"/>
              </w:tabs>
              <w:jc w:val="both"/>
              <w:rPr>
                <w:sz w:val="22"/>
                <w:szCs w:val="22"/>
                <w:lang w:val="es-ES"/>
              </w:rPr>
            </w:pPr>
          </w:p>
          <w:p w14:paraId="1C28B683" w14:textId="77777777" w:rsidR="00AA7CC9" w:rsidRPr="00BF57A3" w:rsidRDefault="00AA7CC9" w:rsidP="006C640E">
            <w:pPr>
              <w:pStyle w:val="Header"/>
              <w:tabs>
                <w:tab w:val="left" w:pos="284"/>
              </w:tabs>
              <w:jc w:val="both"/>
              <w:rPr>
                <w:sz w:val="22"/>
                <w:szCs w:val="22"/>
                <w:lang w:val="es-ES"/>
              </w:rPr>
            </w:pPr>
          </w:p>
          <w:p w14:paraId="60EE7C81" w14:textId="7842317D" w:rsidR="00AA7CC9" w:rsidRPr="00BF57A3" w:rsidRDefault="00AA7CC9" w:rsidP="00BF57A3">
            <w:pPr>
              <w:pStyle w:val="Header"/>
              <w:tabs>
                <w:tab w:val="left" w:pos="284"/>
              </w:tabs>
              <w:jc w:val="both"/>
              <w:rPr>
                <w:sz w:val="22"/>
                <w:szCs w:val="22"/>
                <w:lang w:val="es-ES"/>
              </w:rPr>
            </w:pPr>
            <w:r w:rsidRPr="00BF57A3">
              <w:rPr>
                <w:sz w:val="22"/>
                <w:szCs w:val="22"/>
                <w:lang w:val="es-ES"/>
              </w:rPr>
              <w:t xml:space="preserve">Efekti liječenja na ukupno preživljavanje išli su u prilog grupe koja je primala Abraxane/gemcitabin u većini unaprijed određenih podgrupa (uključujući pol, KPS, geografski region, primarno mjesto karcinoma pankreasa, stadijum prilikom dijagnoze, prisutnost metastaza jetre, prisutnost peritonealne karcinomatoze, prethodni Whipple-ov postupak, prisutnost bilijarnog stenta na početku, prisutnost plućnih metastaza i broj metastatskih mjesta). Za </w:t>
            </w:r>
            <w:r w:rsidR="00B575E2">
              <w:rPr>
                <w:sz w:val="22"/>
                <w:szCs w:val="22"/>
                <w:lang w:val="es-ES"/>
              </w:rPr>
              <w:t>pacijente</w:t>
            </w:r>
            <w:r w:rsidR="00B575E2" w:rsidRPr="00BF57A3">
              <w:rPr>
                <w:sz w:val="22"/>
                <w:szCs w:val="22"/>
                <w:lang w:val="es-ES"/>
              </w:rPr>
              <w:t xml:space="preserve"> </w:t>
            </w:r>
            <w:r w:rsidRPr="00BF57A3">
              <w:rPr>
                <w:sz w:val="22"/>
                <w:szCs w:val="22"/>
                <w:lang w:val="es-ES"/>
              </w:rPr>
              <w:t xml:space="preserve">starosti ≥ 75 godina u grupi koja je primala Abraxane/gemcitabin i grupama koje su primale gemcitabin, </w:t>
            </w:r>
            <w:r w:rsidRPr="00BF57A3">
              <w:rPr>
                <w:i/>
                <w:sz w:val="22"/>
                <w:szCs w:val="22"/>
                <w:lang w:val="es-ES"/>
              </w:rPr>
              <w:t>hazard ratio</w:t>
            </w:r>
            <w:r w:rsidRPr="00BF57A3">
              <w:rPr>
                <w:sz w:val="22"/>
                <w:szCs w:val="22"/>
                <w:lang w:val="es-ES"/>
              </w:rPr>
              <w:t xml:space="preserve"> (HR) preživljavanja je iznosio 1,08 (95% CI 0,653; 1, 797). Za </w:t>
            </w:r>
            <w:r w:rsidR="00B575E2">
              <w:rPr>
                <w:sz w:val="22"/>
                <w:szCs w:val="22"/>
                <w:lang w:val="es-ES"/>
              </w:rPr>
              <w:t>pacijente</w:t>
            </w:r>
            <w:r w:rsidR="00B575E2" w:rsidRPr="00BF57A3">
              <w:rPr>
                <w:sz w:val="22"/>
                <w:szCs w:val="22"/>
                <w:lang w:val="es-ES"/>
              </w:rPr>
              <w:t xml:space="preserve"> </w:t>
            </w:r>
            <w:r w:rsidRPr="00BF57A3">
              <w:rPr>
                <w:sz w:val="22"/>
                <w:szCs w:val="22"/>
                <w:lang w:val="es-ES"/>
              </w:rPr>
              <w:t xml:space="preserve">sa normalnim nivoima CA19-9 na početku, HR preživljavanja je bio 1,07 (95% CI 0,692; 1,661).  </w:t>
            </w:r>
          </w:p>
          <w:p w14:paraId="382B548E" w14:textId="77777777" w:rsidR="00AA7CC9" w:rsidRPr="00BF57A3" w:rsidRDefault="00AA7CC9">
            <w:pPr>
              <w:pStyle w:val="Header"/>
              <w:tabs>
                <w:tab w:val="left" w:pos="284"/>
              </w:tabs>
              <w:jc w:val="both"/>
              <w:rPr>
                <w:sz w:val="22"/>
                <w:szCs w:val="22"/>
                <w:lang w:val="es-ES"/>
              </w:rPr>
            </w:pPr>
          </w:p>
          <w:p w14:paraId="71579071" w14:textId="1E717B94" w:rsidR="00AA7CC9" w:rsidRPr="00BF57A3" w:rsidRDefault="00AA7CC9">
            <w:pPr>
              <w:pStyle w:val="Header"/>
              <w:tabs>
                <w:tab w:val="left" w:pos="284"/>
              </w:tabs>
              <w:jc w:val="both"/>
              <w:rPr>
                <w:sz w:val="22"/>
                <w:szCs w:val="22"/>
                <w:lang w:val="es-ES"/>
              </w:rPr>
            </w:pPr>
            <w:r w:rsidRPr="00BF57A3">
              <w:rPr>
                <w:sz w:val="22"/>
                <w:szCs w:val="22"/>
                <w:lang w:val="es-ES"/>
              </w:rPr>
              <w:lastRenderedPageBreak/>
              <w:t xml:space="preserve">Kod </w:t>
            </w:r>
            <w:r w:rsidR="00C5146E">
              <w:rPr>
                <w:sz w:val="22"/>
                <w:szCs w:val="22"/>
                <w:lang w:val="es-ES"/>
              </w:rPr>
              <w:t>pacijenata</w:t>
            </w:r>
            <w:r w:rsidR="00C5146E" w:rsidRPr="00BF57A3">
              <w:rPr>
                <w:sz w:val="22"/>
                <w:szCs w:val="22"/>
                <w:lang w:val="es-ES"/>
              </w:rPr>
              <w:t xml:space="preserve"> </w:t>
            </w:r>
            <w:r w:rsidRPr="00BF57A3">
              <w:rPr>
                <w:sz w:val="22"/>
                <w:szCs w:val="22"/>
                <w:lang w:val="es-ES"/>
              </w:rPr>
              <w:t>liječenih kombinacijom Abraxane/gemcitabin</w:t>
            </w:r>
            <w:r w:rsidR="00755051" w:rsidRPr="00BF57A3">
              <w:rPr>
                <w:sz w:val="22"/>
                <w:szCs w:val="22"/>
                <w:lang w:val="es-ES"/>
              </w:rPr>
              <w:t>,</w:t>
            </w:r>
            <w:r w:rsidRPr="00BF57A3">
              <w:rPr>
                <w:sz w:val="22"/>
                <w:szCs w:val="22"/>
                <w:lang w:val="es-ES"/>
              </w:rPr>
              <w:t xml:space="preserve"> zabilježeno je statistički značajno poboljšanje u PFS u poređenju sa onima koji su liječeni samo gemcitabinom, uz povećanje </w:t>
            </w:r>
            <w:r w:rsidR="00755051" w:rsidRPr="00BF57A3">
              <w:rPr>
                <w:sz w:val="22"/>
                <w:szCs w:val="22"/>
                <w:lang w:val="es-ES"/>
              </w:rPr>
              <w:t xml:space="preserve">medijane </w:t>
            </w:r>
            <w:r w:rsidRPr="00BF57A3">
              <w:rPr>
                <w:sz w:val="22"/>
                <w:szCs w:val="22"/>
                <w:lang w:val="es-ES"/>
              </w:rPr>
              <w:t>PFS od 1,8 mjeseci.</w:t>
            </w:r>
          </w:p>
          <w:p w14:paraId="474D3C7B" w14:textId="77777777" w:rsidR="00AA7CC9" w:rsidRPr="00BF57A3" w:rsidRDefault="00AA7CC9">
            <w:pPr>
              <w:pStyle w:val="Header"/>
              <w:tabs>
                <w:tab w:val="left" w:pos="284"/>
              </w:tabs>
              <w:jc w:val="both"/>
              <w:rPr>
                <w:sz w:val="22"/>
                <w:szCs w:val="22"/>
                <w:lang w:val="es-ES"/>
              </w:rPr>
            </w:pPr>
          </w:p>
          <w:p w14:paraId="79161738" w14:textId="77777777" w:rsidR="00742D40" w:rsidRPr="00BF57A3" w:rsidRDefault="00742D40">
            <w:pPr>
              <w:keepNext/>
              <w:keepLines/>
              <w:widowControl w:val="0"/>
              <w:tabs>
                <w:tab w:val="left" w:pos="567"/>
              </w:tabs>
              <w:jc w:val="both"/>
              <w:rPr>
                <w:noProof/>
                <w:sz w:val="22"/>
                <w:szCs w:val="22"/>
                <w:u w:val="single"/>
                <w:lang w:val="hr-HR"/>
              </w:rPr>
            </w:pPr>
            <w:r w:rsidRPr="00BF57A3">
              <w:rPr>
                <w:i/>
                <w:sz w:val="22"/>
                <w:szCs w:val="22"/>
                <w:u w:val="single"/>
                <w:lang w:val="es-ES"/>
              </w:rPr>
              <w:t xml:space="preserve">Nemikrocelularni karcinom pluća </w:t>
            </w:r>
          </w:p>
          <w:p w14:paraId="5F85A5B2" w14:textId="47D59C04" w:rsidR="00411646" w:rsidRPr="00BF57A3" w:rsidRDefault="00411646">
            <w:pPr>
              <w:pStyle w:val="Header"/>
              <w:tabs>
                <w:tab w:val="left" w:pos="284"/>
              </w:tabs>
              <w:jc w:val="both"/>
              <w:rPr>
                <w:sz w:val="22"/>
                <w:szCs w:val="22"/>
                <w:lang w:val="es-ES"/>
              </w:rPr>
            </w:pPr>
            <w:r w:rsidRPr="00BF57A3">
              <w:rPr>
                <w:sz w:val="22"/>
                <w:szCs w:val="22"/>
                <w:lang w:val="hr-HR"/>
              </w:rPr>
              <w:t xml:space="preserve">Multicentrično, </w:t>
            </w:r>
            <w:r w:rsidR="00742D40" w:rsidRPr="00BF57A3">
              <w:rPr>
                <w:sz w:val="22"/>
                <w:szCs w:val="22"/>
                <w:lang w:val="hr-HR"/>
              </w:rPr>
              <w:t>randomizovano</w:t>
            </w:r>
            <w:r w:rsidRPr="00BF57A3">
              <w:rPr>
                <w:sz w:val="22"/>
                <w:szCs w:val="22"/>
                <w:lang w:val="hr-HR"/>
              </w:rPr>
              <w:t xml:space="preserve">, otvoreno ispitivanje </w:t>
            </w:r>
            <w:r w:rsidR="00257CA7" w:rsidRPr="00BF57A3">
              <w:rPr>
                <w:sz w:val="22"/>
                <w:szCs w:val="22"/>
                <w:lang w:val="hr-HR"/>
              </w:rPr>
              <w:t>s</w:t>
            </w:r>
            <w:r w:rsidRPr="00BF57A3">
              <w:rPr>
                <w:sz w:val="22"/>
                <w:szCs w:val="22"/>
                <w:lang w:val="hr-HR"/>
              </w:rPr>
              <w:t xml:space="preserve">provedeno je </w:t>
            </w:r>
            <w:r w:rsidR="003757CE" w:rsidRPr="00BF57A3">
              <w:rPr>
                <w:sz w:val="22"/>
                <w:szCs w:val="22"/>
                <w:lang w:val="hr-HR"/>
              </w:rPr>
              <w:t>kod</w:t>
            </w:r>
            <w:r w:rsidRPr="00BF57A3">
              <w:rPr>
                <w:sz w:val="22"/>
                <w:szCs w:val="22"/>
                <w:lang w:val="hr-HR"/>
              </w:rPr>
              <w:t xml:space="preserve"> 1052 </w:t>
            </w:r>
            <w:r w:rsidR="00C5146E">
              <w:rPr>
                <w:sz w:val="22"/>
                <w:szCs w:val="22"/>
                <w:lang w:val="hr-HR"/>
              </w:rPr>
              <w:t>pacijenata</w:t>
            </w:r>
            <w:r w:rsidR="00C5146E" w:rsidRPr="00BF57A3">
              <w:rPr>
                <w:sz w:val="22"/>
                <w:szCs w:val="22"/>
                <w:lang w:val="hr-HR"/>
              </w:rPr>
              <w:t xml:space="preserve"> </w:t>
            </w:r>
            <w:r w:rsidRPr="00BF57A3">
              <w:rPr>
                <w:sz w:val="22"/>
                <w:szCs w:val="22"/>
                <w:lang w:val="hr-HR"/>
              </w:rPr>
              <w:t>s</w:t>
            </w:r>
            <w:r w:rsidR="003757CE" w:rsidRPr="00BF57A3">
              <w:rPr>
                <w:sz w:val="22"/>
                <w:szCs w:val="22"/>
                <w:lang w:val="hr-HR"/>
              </w:rPr>
              <w:t>a</w:t>
            </w:r>
            <w:r w:rsidRPr="00BF57A3">
              <w:rPr>
                <w:sz w:val="22"/>
                <w:szCs w:val="22"/>
                <w:lang w:val="hr-HR"/>
              </w:rPr>
              <w:t xml:space="preserve"> </w:t>
            </w:r>
            <w:r w:rsidR="003757CE" w:rsidRPr="00BF57A3">
              <w:rPr>
                <w:sz w:val="22"/>
                <w:szCs w:val="22"/>
                <w:lang w:val="hr-HR"/>
              </w:rPr>
              <w:t xml:space="preserve">nemikrocelularnim karcinomom pluća </w:t>
            </w:r>
            <w:r w:rsidRPr="00BF57A3">
              <w:rPr>
                <w:sz w:val="22"/>
                <w:szCs w:val="22"/>
                <w:lang w:val="hr-HR"/>
              </w:rPr>
              <w:t xml:space="preserve"> IIIb/IV stadij</w:t>
            </w:r>
            <w:r w:rsidR="003757CE" w:rsidRPr="00BF57A3">
              <w:rPr>
                <w:sz w:val="22"/>
                <w:szCs w:val="22"/>
                <w:lang w:val="hr-HR"/>
              </w:rPr>
              <w:t>uma</w:t>
            </w:r>
            <w:r w:rsidRPr="00BF57A3">
              <w:rPr>
                <w:sz w:val="22"/>
                <w:szCs w:val="22"/>
                <w:lang w:val="hr-HR"/>
              </w:rPr>
              <w:t>,</w:t>
            </w:r>
            <w:r w:rsidR="00742D40" w:rsidRPr="00BF57A3">
              <w:rPr>
                <w:sz w:val="22"/>
                <w:szCs w:val="22"/>
                <w:lang w:val="hr-HR"/>
              </w:rPr>
              <w:t xml:space="preserve"> koji prije ni</w:t>
            </w:r>
            <w:r w:rsidR="00224FBC" w:rsidRPr="00BF57A3">
              <w:rPr>
                <w:sz w:val="22"/>
                <w:szCs w:val="22"/>
                <w:lang w:val="hr-HR"/>
              </w:rPr>
              <w:t>je</w:t>
            </w:r>
            <w:r w:rsidR="00742D40" w:rsidRPr="00BF57A3">
              <w:rPr>
                <w:sz w:val="22"/>
                <w:szCs w:val="22"/>
                <w:lang w:val="hr-HR"/>
              </w:rPr>
              <w:t>su bili liječeni h</w:t>
            </w:r>
            <w:r w:rsidRPr="00BF57A3">
              <w:rPr>
                <w:sz w:val="22"/>
                <w:szCs w:val="22"/>
                <w:lang w:val="hr-HR"/>
              </w:rPr>
              <w:t>e</w:t>
            </w:r>
            <w:r w:rsidR="00742D40" w:rsidRPr="00BF57A3">
              <w:rPr>
                <w:sz w:val="22"/>
                <w:szCs w:val="22"/>
                <w:lang w:val="hr-HR"/>
              </w:rPr>
              <w:t>moterapijom. U ispitivanju se u</w:t>
            </w:r>
            <w:r w:rsidRPr="00BF57A3">
              <w:rPr>
                <w:sz w:val="22"/>
                <w:szCs w:val="22"/>
                <w:lang w:val="hr-HR"/>
              </w:rPr>
              <w:t>poređivao</w:t>
            </w:r>
            <w:r w:rsidR="00742D40" w:rsidRPr="00BF57A3">
              <w:rPr>
                <w:sz w:val="22"/>
                <w:szCs w:val="22"/>
                <w:lang w:val="hr-HR"/>
              </w:rPr>
              <w:t xml:space="preserve"> lijek</w:t>
            </w:r>
            <w:r w:rsidRPr="00BF57A3">
              <w:rPr>
                <w:sz w:val="22"/>
                <w:szCs w:val="22"/>
                <w:lang w:val="hr-HR"/>
              </w:rPr>
              <w:t xml:space="preserve"> Abraxane u kombinaciji s</w:t>
            </w:r>
            <w:r w:rsidR="003757CE" w:rsidRPr="00BF57A3">
              <w:rPr>
                <w:sz w:val="22"/>
                <w:szCs w:val="22"/>
                <w:lang w:val="hr-HR"/>
              </w:rPr>
              <w:t>a</w:t>
            </w:r>
            <w:r w:rsidRPr="00BF57A3">
              <w:rPr>
                <w:sz w:val="22"/>
                <w:szCs w:val="22"/>
                <w:lang w:val="hr-HR"/>
              </w:rPr>
              <w:t xml:space="preserve"> karboplatinom i paklitaksel </w:t>
            </w:r>
            <w:r w:rsidR="00C11DB2" w:rsidRPr="00BF57A3">
              <w:rPr>
                <w:sz w:val="22"/>
                <w:szCs w:val="22"/>
                <w:lang w:val="hr-HR"/>
              </w:rPr>
              <w:t>u rastvaraču</w:t>
            </w:r>
            <w:r w:rsidRPr="00BF57A3">
              <w:rPr>
                <w:sz w:val="22"/>
                <w:szCs w:val="22"/>
                <w:lang w:val="hr-HR"/>
              </w:rPr>
              <w:t xml:space="preserve"> u kombinaciji s</w:t>
            </w:r>
            <w:r w:rsidR="00C11DB2" w:rsidRPr="00BF57A3">
              <w:rPr>
                <w:sz w:val="22"/>
                <w:szCs w:val="22"/>
                <w:lang w:val="hr-HR"/>
              </w:rPr>
              <w:t>a</w:t>
            </w:r>
            <w:r w:rsidRPr="00BF57A3">
              <w:rPr>
                <w:sz w:val="22"/>
                <w:szCs w:val="22"/>
                <w:lang w:val="hr-HR"/>
              </w:rPr>
              <w:t xml:space="preserve"> karboplatinom kao prva linija liječenja </w:t>
            </w:r>
            <w:r w:rsidR="00C5146E">
              <w:rPr>
                <w:sz w:val="22"/>
                <w:szCs w:val="22"/>
                <w:lang w:val="hr-HR"/>
              </w:rPr>
              <w:t>pacijenata</w:t>
            </w:r>
            <w:r w:rsidR="00C5146E" w:rsidRPr="00BF57A3">
              <w:rPr>
                <w:sz w:val="22"/>
                <w:szCs w:val="22"/>
                <w:lang w:val="hr-HR"/>
              </w:rPr>
              <w:t xml:space="preserve"> </w:t>
            </w:r>
            <w:r w:rsidRPr="00BF57A3">
              <w:rPr>
                <w:sz w:val="22"/>
                <w:szCs w:val="22"/>
                <w:lang w:val="hr-HR"/>
              </w:rPr>
              <w:t>s</w:t>
            </w:r>
            <w:r w:rsidR="00C11DB2" w:rsidRPr="00BF57A3">
              <w:rPr>
                <w:sz w:val="22"/>
                <w:szCs w:val="22"/>
                <w:lang w:val="hr-HR"/>
              </w:rPr>
              <w:t>a</w:t>
            </w:r>
            <w:r w:rsidRPr="00BF57A3">
              <w:rPr>
                <w:sz w:val="22"/>
                <w:szCs w:val="22"/>
                <w:lang w:val="hr-HR"/>
              </w:rPr>
              <w:t xml:space="preserve"> uznapredovalim </w:t>
            </w:r>
            <w:r w:rsidR="00C11DB2" w:rsidRPr="00BF57A3">
              <w:rPr>
                <w:sz w:val="22"/>
                <w:szCs w:val="22"/>
                <w:lang w:val="hr-HR"/>
              </w:rPr>
              <w:t>nemikrocelularnim karcinomom</w:t>
            </w:r>
            <w:r w:rsidRPr="00BF57A3">
              <w:rPr>
                <w:sz w:val="22"/>
                <w:szCs w:val="22"/>
                <w:lang w:val="hr-HR"/>
              </w:rPr>
              <w:t xml:space="preserve"> pluća. </w:t>
            </w:r>
            <w:r w:rsidRPr="00BF57A3">
              <w:rPr>
                <w:sz w:val="22"/>
                <w:szCs w:val="22"/>
                <w:lang w:val="en-US"/>
              </w:rPr>
              <w:t>Vi</w:t>
            </w:r>
            <w:r w:rsidRPr="00BF57A3">
              <w:rPr>
                <w:sz w:val="22"/>
                <w:szCs w:val="22"/>
                <w:lang w:val="hr-HR"/>
              </w:rPr>
              <w:t>š</w:t>
            </w:r>
            <w:r w:rsidRPr="00BF57A3">
              <w:rPr>
                <w:sz w:val="22"/>
                <w:szCs w:val="22"/>
                <w:lang w:val="en-US"/>
              </w:rPr>
              <w:t>e</w:t>
            </w:r>
            <w:r w:rsidRPr="00BF57A3">
              <w:rPr>
                <w:sz w:val="22"/>
                <w:szCs w:val="22"/>
                <w:lang w:val="hr-HR"/>
              </w:rPr>
              <w:t xml:space="preserve"> </w:t>
            </w:r>
            <w:r w:rsidRPr="00BF57A3">
              <w:rPr>
                <w:sz w:val="22"/>
                <w:szCs w:val="22"/>
                <w:lang w:val="en-US"/>
              </w:rPr>
              <w:t>od</w:t>
            </w:r>
            <w:r w:rsidRPr="00BF57A3">
              <w:rPr>
                <w:sz w:val="22"/>
                <w:szCs w:val="22"/>
                <w:lang w:val="hr-HR"/>
              </w:rPr>
              <w:t xml:space="preserve"> 99% </w:t>
            </w:r>
            <w:r w:rsidR="00C5146E">
              <w:rPr>
                <w:sz w:val="22"/>
                <w:szCs w:val="22"/>
                <w:lang w:val="en-US"/>
              </w:rPr>
              <w:t>pacijenata</w:t>
            </w:r>
            <w:r w:rsidR="00C5146E" w:rsidRPr="00BF57A3">
              <w:rPr>
                <w:sz w:val="22"/>
                <w:szCs w:val="22"/>
                <w:lang w:val="hr-HR"/>
              </w:rPr>
              <w:t xml:space="preserve"> </w:t>
            </w:r>
            <w:r w:rsidRPr="00BF57A3">
              <w:rPr>
                <w:sz w:val="22"/>
                <w:szCs w:val="22"/>
                <w:lang w:val="en-US"/>
              </w:rPr>
              <w:t>imalo</w:t>
            </w:r>
            <w:r w:rsidRPr="00BF57A3">
              <w:rPr>
                <w:sz w:val="22"/>
                <w:szCs w:val="22"/>
                <w:lang w:val="hr-HR"/>
              </w:rPr>
              <w:t xml:space="preserve"> </w:t>
            </w:r>
            <w:r w:rsidRPr="00BF57A3">
              <w:rPr>
                <w:sz w:val="22"/>
                <w:szCs w:val="22"/>
                <w:lang w:val="en-US"/>
              </w:rPr>
              <w:t>je</w:t>
            </w:r>
            <w:r w:rsidRPr="00BF57A3">
              <w:rPr>
                <w:sz w:val="22"/>
                <w:szCs w:val="22"/>
                <w:lang w:val="hr-HR"/>
              </w:rPr>
              <w:t xml:space="preserve"> </w:t>
            </w:r>
            <w:r w:rsidRPr="00BF57A3">
              <w:rPr>
                <w:sz w:val="22"/>
                <w:szCs w:val="22"/>
                <w:lang w:val="en-US"/>
              </w:rPr>
              <w:t>status</w:t>
            </w:r>
            <w:r w:rsidRPr="00BF57A3">
              <w:rPr>
                <w:sz w:val="22"/>
                <w:szCs w:val="22"/>
                <w:lang w:val="hr-HR"/>
              </w:rPr>
              <w:t xml:space="preserve"> </w:t>
            </w:r>
            <w:r w:rsidRPr="00BF57A3">
              <w:rPr>
                <w:sz w:val="22"/>
                <w:szCs w:val="22"/>
                <w:lang w:val="en-US"/>
              </w:rPr>
              <w:t>op</w:t>
            </w:r>
            <w:r w:rsidR="00B04968" w:rsidRPr="00BF57A3">
              <w:rPr>
                <w:sz w:val="22"/>
                <w:szCs w:val="22"/>
                <w:lang w:val="hr-HR"/>
              </w:rPr>
              <w:t>š</w:t>
            </w:r>
            <w:r w:rsidR="00B04968" w:rsidRPr="00BF57A3">
              <w:rPr>
                <w:sz w:val="22"/>
                <w:szCs w:val="22"/>
                <w:lang w:val="en-US"/>
              </w:rPr>
              <w:t>t</w:t>
            </w:r>
            <w:r w:rsidRPr="00BF57A3">
              <w:rPr>
                <w:sz w:val="22"/>
                <w:szCs w:val="22"/>
                <w:lang w:val="en-US"/>
              </w:rPr>
              <w:t>eg</w:t>
            </w:r>
            <w:r w:rsidRPr="00BF57A3">
              <w:rPr>
                <w:sz w:val="22"/>
                <w:szCs w:val="22"/>
                <w:lang w:val="hr-HR"/>
              </w:rPr>
              <w:t xml:space="preserve"> </w:t>
            </w:r>
            <w:r w:rsidRPr="00BF57A3">
              <w:rPr>
                <w:sz w:val="22"/>
                <w:szCs w:val="22"/>
                <w:lang w:val="en-US"/>
              </w:rPr>
              <w:t>zdravlja</w:t>
            </w:r>
            <w:r w:rsidRPr="00BF57A3">
              <w:rPr>
                <w:sz w:val="22"/>
                <w:szCs w:val="22"/>
                <w:lang w:val="hr-HR"/>
              </w:rPr>
              <w:t xml:space="preserve"> </w:t>
            </w:r>
            <w:r w:rsidRPr="00BF57A3">
              <w:rPr>
                <w:sz w:val="22"/>
                <w:szCs w:val="22"/>
                <w:lang w:val="en-US"/>
              </w:rPr>
              <w:t>prema</w:t>
            </w:r>
            <w:r w:rsidRPr="00BF57A3">
              <w:rPr>
                <w:sz w:val="22"/>
                <w:szCs w:val="22"/>
                <w:lang w:val="hr-HR"/>
              </w:rPr>
              <w:t xml:space="preserve"> </w:t>
            </w:r>
            <w:r w:rsidRPr="00BF57A3">
              <w:rPr>
                <w:sz w:val="22"/>
                <w:szCs w:val="22"/>
                <w:lang w:val="en-US"/>
              </w:rPr>
              <w:t>ECOG</w:t>
            </w:r>
            <w:r w:rsidRPr="00BF57A3">
              <w:rPr>
                <w:sz w:val="22"/>
                <w:szCs w:val="22"/>
                <w:lang w:val="hr-HR"/>
              </w:rPr>
              <w:t>-</w:t>
            </w:r>
            <w:r w:rsidRPr="00BF57A3">
              <w:rPr>
                <w:sz w:val="22"/>
                <w:szCs w:val="22"/>
                <w:lang w:val="en-US"/>
              </w:rPr>
              <w:t>u</w:t>
            </w:r>
            <w:r w:rsidRPr="00BF57A3">
              <w:rPr>
                <w:sz w:val="22"/>
                <w:szCs w:val="22"/>
                <w:lang w:val="hr-HR"/>
              </w:rPr>
              <w:t xml:space="preserve"> (</w:t>
            </w:r>
            <w:r w:rsidRPr="00BF57A3">
              <w:rPr>
                <w:sz w:val="22"/>
                <w:szCs w:val="22"/>
                <w:lang w:val="en-US"/>
              </w:rPr>
              <w:t>Eastern</w:t>
            </w:r>
            <w:r w:rsidRPr="00BF57A3">
              <w:rPr>
                <w:sz w:val="22"/>
                <w:szCs w:val="22"/>
                <w:lang w:val="hr-HR"/>
              </w:rPr>
              <w:t xml:space="preserve"> </w:t>
            </w:r>
            <w:r w:rsidRPr="00BF57A3">
              <w:rPr>
                <w:sz w:val="22"/>
                <w:szCs w:val="22"/>
                <w:lang w:val="en-US"/>
              </w:rPr>
              <w:t>Cooperative</w:t>
            </w:r>
            <w:r w:rsidRPr="00BF57A3">
              <w:rPr>
                <w:sz w:val="22"/>
                <w:szCs w:val="22"/>
                <w:lang w:val="hr-HR"/>
              </w:rPr>
              <w:t xml:space="preserve"> </w:t>
            </w:r>
            <w:r w:rsidRPr="00BF57A3">
              <w:rPr>
                <w:sz w:val="22"/>
                <w:szCs w:val="22"/>
                <w:lang w:val="en-US"/>
              </w:rPr>
              <w:t>Oncology</w:t>
            </w:r>
            <w:r w:rsidRPr="00BF57A3">
              <w:rPr>
                <w:sz w:val="22"/>
                <w:szCs w:val="22"/>
                <w:lang w:val="hr-HR"/>
              </w:rPr>
              <w:t xml:space="preserve"> </w:t>
            </w:r>
            <w:r w:rsidRPr="00BF57A3">
              <w:rPr>
                <w:sz w:val="22"/>
                <w:szCs w:val="22"/>
                <w:lang w:val="en-US"/>
              </w:rPr>
              <w:t>Group</w:t>
            </w:r>
            <w:r w:rsidRPr="00BF57A3">
              <w:rPr>
                <w:sz w:val="22"/>
                <w:szCs w:val="22"/>
                <w:lang w:val="hr-HR"/>
              </w:rPr>
              <w:t xml:space="preserve">) 0 </w:t>
            </w:r>
            <w:r w:rsidRPr="00BF57A3">
              <w:rPr>
                <w:sz w:val="22"/>
                <w:szCs w:val="22"/>
                <w:lang w:val="en-US"/>
              </w:rPr>
              <w:t>ili</w:t>
            </w:r>
            <w:r w:rsidRPr="00BF57A3">
              <w:rPr>
                <w:sz w:val="22"/>
                <w:szCs w:val="22"/>
                <w:lang w:val="hr-HR"/>
              </w:rPr>
              <w:t xml:space="preserve"> 1. </w:t>
            </w:r>
            <w:r w:rsidR="00C5146E">
              <w:rPr>
                <w:sz w:val="22"/>
                <w:szCs w:val="22"/>
                <w:lang w:val="hr-HR"/>
              </w:rPr>
              <w:t>Pacijenti</w:t>
            </w:r>
            <w:r w:rsidR="00C5146E" w:rsidRPr="00BF57A3">
              <w:rPr>
                <w:sz w:val="22"/>
                <w:szCs w:val="22"/>
                <w:lang w:val="hr-HR"/>
              </w:rPr>
              <w:t xml:space="preserve"> </w:t>
            </w:r>
            <w:r w:rsidRPr="00BF57A3">
              <w:rPr>
                <w:sz w:val="22"/>
                <w:szCs w:val="22"/>
                <w:lang w:val="hr-HR"/>
              </w:rPr>
              <w:t>s</w:t>
            </w:r>
            <w:r w:rsidR="008C00D0" w:rsidRPr="00BF57A3">
              <w:rPr>
                <w:sz w:val="22"/>
                <w:szCs w:val="22"/>
                <w:lang w:val="hr-HR"/>
              </w:rPr>
              <w:t>a</w:t>
            </w:r>
            <w:r w:rsidRPr="00BF57A3">
              <w:rPr>
                <w:sz w:val="22"/>
                <w:szCs w:val="22"/>
                <w:lang w:val="hr-HR"/>
              </w:rPr>
              <w:t xml:space="preserve"> postojećom neuropatijom ≥ </w:t>
            </w:r>
            <w:r w:rsidR="008C00D0" w:rsidRPr="00BF57A3">
              <w:rPr>
                <w:sz w:val="22"/>
                <w:szCs w:val="22"/>
                <w:lang w:val="hr-HR"/>
              </w:rPr>
              <w:t>stepena 2</w:t>
            </w:r>
            <w:r w:rsidRPr="00BF57A3">
              <w:rPr>
                <w:sz w:val="22"/>
                <w:szCs w:val="22"/>
                <w:lang w:val="hr-HR"/>
              </w:rPr>
              <w:t xml:space="preserve"> ili ozbiljnim medicinskim </w:t>
            </w:r>
            <w:r w:rsidR="008C00D0" w:rsidRPr="00BF57A3">
              <w:rPr>
                <w:sz w:val="22"/>
                <w:szCs w:val="22"/>
                <w:lang w:val="hr-HR"/>
              </w:rPr>
              <w:t>faktorima</w:t>
            </w:r>
            <w:r w:rsidRPr="00BF57A3">
              <w:rPr>
                <w:sz w:val="22"/>
                <w:szCs w:val="22"/>
                <w:lang w:val="hr-HR"/>
              </w:rPr>
              <w:t xml:space="preserve"> rizika koji su uključivali bilo koji od glavnih organskih </w:t>
            </w:r>
            <w:r w:rsidR="008C00D0" w:rsidRPr="00BF57A3">
              <w:rPr>
                <w:sz w:val="22"/>
                <w:szCs w:val="22"/>
                <w:lang w:val="hr-HR"/>
              </w:rPr>
              <w:t>sistema</w:t>
            </w:r>
            <w:r w:rsidRPr="00BF57A3">
              <w:rPr>
                <w:sz w:val="22"/>
                <w:szCs w:val="22"/>
                <w:lang w:val="hr-HR"/>
              </w:rPr>
              <w:t xml:space="preserve">, bili su isključeni. </w:t>
            </w:r>
            <w:r w:rsidR="008C00D0" w:rsidRPr="00BF57A3">
              <w:rPr>
                <w:sz w:val="22"/>
                <w:szCs w:val="22"/>
                <w:lang w:val="hr-HR"/>
              </w:rPr>
              <w:t xml:space="preserve">Lijek </w:t>
            </w:r>
            <w:r w:rsidRPr="00BF57A3">
              <w:rPr>
                <w:sz w:val="22"/>
                <w:szCs w:val="22"/>
                <w:lang w:val="hr-HR"/>
              </w:rPr>
              <w:t>Abraxane je bio prim</w:t>
            </w:r>
            <w:r w:rsidR="00E80EA9" w:rsidRPr="00BF57A3">
              <w:rPr>
                <w:sz w:val="22"/>
                <w:szCs w:val="22"/>
                <w:lang w:val="hr-HR"/>
              </w:rPr>
              <w:t>i</w:t>
            </w:r>
            <w:r w:rsidRPr="00BF57A3">
              <w:rPr>
                <w:sz w:val="22"/>
                <w:szCs w:val="22"/>
                <w:lang w:val="hr-HR"/>
              </w:rPr>
              <w:t xml:space="preserve">jenjen </w:t>
            </w:r>
            <w:r w:rsidR="00C5146E">
              <w:rPr>
                <w:sz w:val="22"/>
                <w:szCs w:val="22"/>
                <w:lang w:val="hr-HR"/>
              </w:rPr>
              <w:t>pacijentima</w:t>
            </w:r>
            <w:r w:rsidR="00C5146E" w:rsidRPr="00BF57A3">
              <w:rPr>
                <w:sz w:val="22"/>
                <w:szCs w:val="22"/>
                <w:lang w:val="hr-HR"/>
              </w:rPr>
              <w:t xml:space="preserve"> </w:t>
            </w:r>
            <w:r w:rsidRPr="00BF57A3">
              <w:rPr>
                <w:sz w:val="22"/>
                <w:szCs w:val="22"/>
                <w:lang w:val="hr-HR"/>
              </w:rPr>
              <w:t xml:space="preserve">(N = 521) kao intravenska infuzija </w:t>
            </w:r>
            <w:r w:rsidR="008C00D0" w:rsidRPr="00BF57A3">
              <w:rPr>
                <w:sz w:val="22"/>
                <w:szCs w:val="22"/>
                <w:lang w:val="hr-HR"/>
              </w:rPr>
              <w:t>to</w:t>
            </w:r>
            <w:r w:rsidRPr="00BF57A3">
              <w:rPr>
                <w:sz w:val="22"/>
                <w:szCs w:val="22"/>
                <w:lang w:val="hr-HR"/>
              </w:rPr>
              <w:t>kom 30 minuta u dozi od 100 mg/m</w:t>
            </w:r>
            <w:r w:rsidRPr="00BF57A3">
              <w:rPr>
                <w:sz w:val="22"/>
                <w:szCs w:val="22"/>
                <w:vertAlign w:val="superscript"/>
                <w:lang w:val="hr-HR"/>
              </w:rPr>
              <w:t>2</w:t>
            </w:r>
            <w:r w:rsidRPr="00BF57A3">
              <w:rPr>
                <w:sz w:val="22"/>
                <w:szCs w:val="22"/>
                <w:lang w:val="hr-HR"/>
              </w:rPr>
              <w:t xml:space="preserve"> davanoj 1., 8. i 15. dana svakog 21-dnevnog ciklusa bez premedikacije sterodima i bez profilaktičke primjene G-CSF-a. Počevši odmah nakon završetka primjene </w:t>
            </w:r>
            <w:r w:rsidR="00DD6EDB" w:rsidRPr="00BF57A3">
              <w:rPr>
                <w:sz w:val="22"/>
                <w:szCs w:val="22"/>
                <w:lang w:val="hr-HR"/>
              </w:rPr>
              <w:t xml:space="preserve">lijeka </w:t>
            </w:r>
            <w:r w:rsidRPr="00BF57A3">
              <w:rPr>
                <w:sz w:val="22"/>
                <w:szCs w:val="22"/>
                <w:lang w:val="hr-HR"/>
              </w:rPr>
              <w:t xml:space="preserve">Abraxane, karboplatin je davan intravenski u dozi </w:t>
            </w:r>
            <w:r w:rsidR="00DD6EDB" w:rsidRPr="00BF57A3">
              <w:rPr>
                <w:sz w:val="22"/>
                <w:szCs w:val="22"/>
                <w:lang w:val="hr-HR"/>
              </w:rPr>
              <w:t>PIK</w:t>
            </w:r>
            <w:r w:rsidRPr="00BF57A3">
              <w:rPr>
                <w:sz w:val="22"/>
                <w:szCs w:val="22"/>
                <w:lang w:val="hr-HR"/>
              </w:rPr>
              <w:t xml:space="preserve"> = 6 mg•min/ml samo 1. dana svakog 21-dnevnog ciklusa. Paklitaksel </w:t>
            </w:r>
            <w:r w:rsidR="00DD6EDB" w:rsidRPr="00BF57A3">
              <w:rPr>
                <w:sz w:val="22"/>
                <w:szCs w:val="22"/>
                <w:lang w:val="hr-HR"/>
              </w:rPr>
              <w:t>u rastvaraču</w:t>
            </w:r>
            <w:r w:rsidRPr="00BF57A3">
              <w:rPr>
                <w:sz w:val="22"/>
                <w:szCs w:val="22"/>
                <w:lang w:val="hr-HR"/>
              </w:rPr>
              <w:t xml:space="preserve"> prim</w:t>
            </w:r>
            <w:r w:rsidR="00E80EA9" w:rsidRPr="00BF57A3">
              <w:rPr>
                <w:sz w:val="22"/>
                <w:szCs w:val="22"/>
                <w:lang w:val="hr-HR"/>
              </w:rPr>
              <w:t>i</w:t>
            </w:r>
            <w:r w:rsidRPr="00BF57A3">
              <w:rPr>
                <w:sz w:val="22"/>
                <w:szCs w:val="22"/>
                <w:lang w:val="hr-HR"/>
              </w:rPr>
              <w:t xml:space="preserve">jenjen je </w:t>
            </w:r>
            <w:r w:rsidR="00C5146E">
              <w:rPr>
                <w:sz w:val="22"/>
                <w:szCs w:val="22"/>
                <w:lang w:val="hr-HR"/>
              </w:rPr>
              <w:t>pacijentima</w:t>
            </w:r>
            <w:r w:rsidR="00C5146E" w:rsidRPr="00BF57A3">
              <w:rPr>
                <w:sz w:val="22"/>
                <w:szCs w:val="22"/>
                <w:lang w:val="hr-HR"/>
              </w:rPr>
              <w:t xml:space="preserve"> </w:t>
            </w:r>
            <w:r w:rsidRPr="00BF57A3">
              <w:rPr>
                <w:sz w:val="22"/>
                <w:szCs w:val="22"/>
                <w:lang w:val="hr-HR"/>
              </w:rPr>
              <w:t>(N = 531) u dozi od 200 mg/m</w:t>
            </w:r>
            <w:r w:rsidRPr="00BF57A3">
              <w:rPr>
                <w:sz w:val="22"/>
                <w:szCs w:val="22"/>
                <w:vertAlign w:val="superscript"/>
                <w:lang w:val="hr-HR"/>
              </w:rPr>
              <w:t>2</w:t>
            </w:r>
            <w:r w:rsidRPr="00BF57A3">
              <w:rPr>
                <w:sz w:val="22"/>
                <w:szCs w:val="22"/>
                <w:lang w:val="hr-HR"/>
              </w:rPr>
              <w:t xml:space="preserve"> kao intravenska infuzija t</w:t>
            </w:r>
            <w:r w:rsidR="0034432C" w:rsidRPr="00BF57A3">
              <w:rPr>
                <w:sz w:val="22"/>
                <w:szCs w:val="22"/>
                <w:lang w:val="hr-HR"/>
              </w:rPr>
              <w:t>o</w:t>
            </w:r>
            <w:r w:rsidRPr="00BF57A3">
              <w:rPr>
                <w:sz w:val="22"/>
                <w:szCs w:val="22"/>
                <w:lang w:val="hr-HR"/>
              </w:rPr>
              <w:t xml:space="preserve">kom 3 sata uz standardnu premedikaciju, iza čega je odmah slijedila intravenska primjena karboplatina u dozi </w:t>
            </w:r>
            <w:r w:rsidR="00EA60B3" w:rsidRPr="00BF57A3">
              <w:rPr>
                <w:sz w:val="22"/>
                <w:szCs w:val="22"/>
                <w:lang w:val="hr-HR"/>
              </w:rPr>
              <w:t xml:space="preserve">PIK </w:t>
            </w:r>
            <w:r w:rsidRPr="00BF57A3">
              <w:rPr>
                <w:sz w:val="22"/>
                <w:szCs w:val="22"/>
                <w:lang w:val="hr-HR"/>
              </w:rPr>
              <w:t>= 6 mg•min/ml. Svaki lijek davan je 1. dana svakog 21-dnevnog ciklusa. U ob</w:t>
            </w:r>
            <w:r w:rsidR="00E80EA9" w:rsidRPr="00BF57A3">
              <w:rPr>
                <w:sz w:val="22"/>
                <w:szCs w:val="22"/>
                <w:lang w:val="hr-HR"/>
              </w:rPr>
              <w:t>i</w:t>
            </w:r>
            <w:r w:rsidRPr="00BF57A3">
              <w:rPr>
                <w:sz w:val="22"/>
                <w:szCs w:val="22"/>
                <w:lang w:val="hr-HR"/>
              </w:rPr>
              <w:t xml:space="preserve">je ispitivane </w:t>
            </w:r>
            <w:r w:rsidR="000E196A" w:rsidRPr="00BF57A3">
              <w:rPr>
                <w:sz w:val="22"/>
                <w:szCs w:val="22"/>
                <w:lang w:val="hr-HR"/>
              </w:rPr>
              <w:t>grupe</w:t>
            </w:r>
            <w:r w:rsidRPr="00BF57A3">
              <w:rPr>
                <w:sz w:val="22"/>
                <w:szCs w:val="22"/>
                <w:lang w:val="hr-HR"/>
              </w:rPr>
              <w:t xml:space="preserve"> terapija je primjenjivana do progresije bolesti ili razvoja neprihvatljive toksičnosti. </w:t>
            </w:r>
            <w:r w:rsidRPr="00BF57A3">
              <w:rPr>
                <w:sz w:val="22"/>
                <w:szCs w:val="22"/>
                <w:lang w:val="es-ES"/>
              </w:rPr>
              <w:t>U ob</w:t>
            </w:r>
            <w:r w:rsidR="00E80EA9" w:rsidRPr="00BF57A3">
              <w:rPr>
                <w:sz w:val="22"/>
                <w:szCs w:val="22"/>
                <w:lang w:val="es-ES"/>
              </w:rPr>
              <w:t>i</w:t>
            </w:r>
            <w:r w:rsidRPr="00BF57A3">
              <w:rPr>
                <w:sz w:val="22"/>
                <w:szCs w:val="22"/>
                <w:lang w:val="es-ES"/>
              </w:rPr>
              <w:t xml:space="preserve">je </w:t>
            </w:r>
            <w:r w:rsidR="000E196A" w:rsidRPr="00BF57A3">
              <w:rPr>
                <w:sz w:val="22"/>
                <w:szCs w:val="22"/>
                <w:lang w:val="es-ES"/>
              </w:rPr>
              <w:t>grupe</w:t>
            </w:r>
            <w:r w:rsidRPr="00BF57A3">
              <w:rPr>
                <w:sz w:val="22"/>
                <w:szCs w:val="22"/>
                <w:lang w:val="es-ES"/>
              </w:rPr>
              <w:t xml:space="preserve"> </w:t>
            </w:r>
            <w:r w:rsidR="00BC764F">
              <w:rPr>
                <w:sz w:val="22"/>
                <w:szCs w:val="22"/>
                <w:lang w:val="es-ES"/>
              </w:rPr>
              <w:t>pacijenti</w:t>
            </w:r>
            <w:r w:rsidR="00BC764F" w:rsidRPr="00BF57A3">
              <w:rPr>
                <w:sz w:val="22"/>
                <w:szCs w:val="22"/>
                <w:lang w:val="es-ES"/>
              </w:rPr>
              <w:t xml:space="preserve"> </w:t>
            </w:r>
            <w:r w:rsidRPr="00BF57A3">
              <w:rPr>
                <w:sz w:val="22"/>
                <w:szCs w:val="22"/>
                <w:lang w:val="es-ES"/>
              </w:rPr>
              <w:t>su primili medijan</w:t>
            </w:r>
            <w:r w:rsidR="00E80EA9" w:rsidRPr="00BF57A3">
              <w:rPr>
                <w:sz w:val="22"/>
                <w:szCs w:val="22"/>
                <w:lang w:val="es-ES"/>
              </w:rPr>
              <w:t>u</w:t>
            </w:r>
            <w:r w:rsidRPr="00BF57A3">
              <w:rPr>
                <w:sz w:val="22"/>
                <w:szCs w:val="22"/>
                <w:lang w:val="es-ES"/>
              </w:rPr>
              <w:t xml:space="preserve"> od 6 ciklusa liječenja.  </w:t>
            </w:r>
          </w:p>
          <w:p w14:paraId="25327C4D" w14:textId="77777777" w:rsidR="00411646" w:rsidRPr="00BF57A3" w:rsidRDefault="00411646">
            <w:pPr>
              <w:pStyle w:val="Header"/>
              <w:tabs>
                <w:tab w:val="left" w:pos="284"/>
              </w:tabs>
              <w:jc w:val="both"/>
              <w:rPr>
                <w:sz w:val="22"/>
                <w:szCs w:val="22"/>
                <w:lang w:val="es-ES"/>
              </w:rPr>
            </w:pPr>
          </w:p>
          <w:p w14:paraId="1CD75943" w14:textId="30E4F73C" w:rsidR="00411646" w:rsidRPr="00BF57A3" w:rsidRDefault="00411646">
            <w:pPr>
              <w:pStyle w:val="Header"/>
              <w:tabs>
                <w:tab w:val="left" w:pos="284"/>
              </w:tabs>
              <w:jc w:val="both"/>
              <w:rPr>
                <w:sz w:val="22"/>
                <w:szCs w:val="22"/>
                <w:lang w:val="es-ES"/>
              </w:rPr>
            </w:pPr>
            <w:r w:rsidRPr="00BF57A3">
              <w:rPr>
                <w:sz w:val="22"/>
                <w:szCs w:val="22"/>
                <w:lang w:val="es-ES"/>
              </w:rPr>
              <w:t xml:space="preserve">Primarni ishod </w:t>
            </w:r>
            <w:r w:rsidR="00C5146E">
              <w:rPr>
                <w:sz w:val="22"/>
                <w:szCs w:val="22"/>
                <w:lang w:val="es-ES"/>
              </w:rPr>
              <w:t>efikasnosti</w:t>
            </w:r>
            <w:r w:rsidR="00C5146E" w:rsidRPr="00BF57A3">
              <w:rPr>
                <w:sz w:val="22"/>
                <w:szCs w:val="22"/>
                <w:lang w:val="es-ES"/>
              </w:rPr>
              <w:t xml:space="preserve"> </w:t>
            </w:r>
            <w:r w:rsidRPr="00BF57A3">
              <w:rPr>
                <w:sz w:val="22"/>
                <w:szCs w:val="22"/>
                <w:lang w:val="es-ES"/>
              </w:rPr>
              <w:t xml:space="preserve">bila je ukupna stopa odgovora </w:t>
            </w:r>
            <w:r w:rsidR="00502F05" w:rsidRPr="00BF57A3">
              <w:rPr>
                <w:sz w:val="22"/>
                <w:szCs w:val="22"/>
                <w:lang w:val="es-ES"/>
              </w:rPr>
              <w:t>definisana</w:t>
            </w:r>
            <w:r w:rsidRPr="00BF57A3">
              <w:rPr>
                <w:sz w:val="22"/>
                <w:szCs w:val="22"/>
                <w:lang w:val="es-ES"/>
              </w:rPr>
              <w:t xml:space="preserve"> kao </w:t>
            </w:r>
            <w:r w:rsidR="00C15E74" w:rsidRPr="00BF57A3">
              <w:rPr>
                <w:sz w:val="22"/>
                <w:szCs w:val="22"/>
                <w:lang w:val="es-ES"/>
              </w:rPr>
              <w:t>procenat</w:t>
            </w:r>
            <w:r w:rsidRPr="00BF57A3">
              <w:rPr>
                <w:sz w:val="22"/>
                <w:szCs w:val="22"/>
                <w:lang w:val="es-ES"/>
              </w:rPr>
              <w:t xml:space="preserve"> </w:t>
            </w:r>
            <w:r w:rsidR="00C5146E">
              <w:rPr>
                <w:sz w:val="22"/>
                <w:szCs w:val="22"/>
                <w:lang w:val="es-ES"/>
              </w:rPr>
              <w:t>pacijenata</w:t>
            </w:r>
            <w:r w:rsidR="00C5146E" w:rsidRPr="00BF57A3">
              <w:rPr>
                <w:sz w:val="22"/>
                <w:szCs w:val="22"/>
                <w:lang w:val="es-ES"/>
              </w:rPr>
              <w:t xml:space="preserve"> </w:t>
            </w:r>
            <w:r w:rsidRPr="00BF57A3">
              <w:rPr>
                <w:sz w:val="22"/>
                <w:szCs w:val="22"/>
                <w:lang w:val="es-ES"/>
              </w:rPr>
              <w:t xml:space="preserve">koji su postigli objektivno potvrđen potpuni odgovor ili </w:t>
            </w:r>
            <w:r w:rsidR="005A4EEE" w:rsidRPr="00BF57A3">
              <w:rPr>
                <w:sz w:val="22"/>
                <w:szCs w:val="22"/>
                <w:lang w:val="es-ES"/>
              </w:rPr>
              <w:t>parcijalni</w:t>
            </w:r>
            <w:r w:rsidRPr="00BF57A3">
              <w:rPr>
                <w:sz w:val="22"/>
                <w:szCs w:val="22"/>
                <w:lang w:val="es-ES"/>
              </w:rPr>
              <w:t xml:space="preserve"> odgovor prema </w:t>
            </w:r>
            <w:r w:rsidR="005A4EEE" w:rsidRPr="00BF57A3">
              <w:rPr>
                <w:sz w:val="22"/>
                <w:szCs w:val="22"/>
                <w:lang w:val="es-ES"/>
              </w:rPr>
              <w:t>nezavisnoj</w:t>
            </w:r>
            <w:r w:rsidRPr="00BF57A3">
              <w:rPr>
                <w:sz w:val="22"/>
                <w:szCs w:val="22"/>
                <w:lang w:val="es-ES"/>
              </w:rPr>
              <w:t xml:space="preserve">, centralnoj, </w:t>
            </w:r>
            <w:r w:rsidR="008735E4" w:rsidRPr="00BF57A3">
              <w:rPr>
                <w:sz w:val="22"/>
                <w:szCs w:val="22"/>
                <w:lang w:val="es-ES"/>
              </w:rPr>
              <w:t>sl</w:t>
            </w:r>
            <w:r w:rsidR="0067501B" w:rsidRPr="00BF57A3">
              <w:rPr>
                <w:sz w:val="22"/>
                <w:szCs w:val="22"/>
                <w:lang w:val="es-ES"/>
              </w:rPr>
              <w:t>i</w:t>
            </w:r>
            <w:r w:rsidR="00E01DE2" w:rsidRPr="00BF57A3">
              <w:rPr>
                <w:sz w:val="22"/>
                <w:szCs w:val="22"/>
                <w:lang w:val="es-ES"/>
              </w:rPr>
              <w:t>j</w:t>
            </w:r>
            <w:r w:rsidR="008735E4" w:rsidRPr="00BF57A3">
              <w:rPr>
                <w:sz w:val="22"/>
                <w:szCs w:val="22"/>
                <w:lang w:val="es-ES"/>
              </w:rPr>
              <w:t>epoj</w:t>
            </w:r>
            <w:r w:rsidRPr="00BF57A3">
              <w:rPr>
                <w:sz w:val="22"/>
                <w:szCs w:val="22"/>
                <w:lang w:val="es-ES"/>
              </w:rPr>
              <w:t xml:space="preserve"> radiološkoj procjeni na </w:t>
            </w:r>
            <w:r w:rsidR="00036730" w:rsidRPr="00BF57A3">
              <w:rPr>
                <w:sz w:val="22"/>
                <w:szCs w:val="22"/>
                <w:lang w:val="es-ES"/>
              </w:rPr>
              <w:t>bazi</w:t>
            </w:r>
            <w:r w:rsidRPr="00BF57A3">
              <w:rPr>
                <w:sz w:val="22"/>
                <w:szCs w:val="22"/>
                <w:lang w:val="es-ES"/>
              </w:rPr>
              <w:t xml:space="preserve"> smjernica RECIST (verzija 1.0). </w:t>
            </w:r>
            <w:r w:rsidR="00C5146E">
              <w:rPr>
                <w:sz w:val="22"/>
                <w:szCs w:val="22"/>
                <w:lang w:val="es-ES"/>
              </w:rPr>
              <w:t>Pacijenti</w:t>
            </w:r>
            <w:r w:rsidR="00C5146E" w:rsidRPr="00BF57A3">
              <w:rPr>
                <w:sz w:val="22"/>
                <w:szCs w:val="22"/>
                <w:lang w:val="es-ES"/>
              </w:rPr>
              <w:t xml:space="preserve"> </w:t>
            </w:r>
            <w:r w:rsidRPr="00BF57A3">
              <w:rPr>
                <w:sz w:val="22"/>
                <w:szCs w:val="22"/>
                <w:lang w:val="es-ES"/>
              </w:rPr>
              <w:t xml:space="preserve">u </w:t>
            </w:r>
            <w:r w:rsidR="005A4EEE" w:rsidRPr="00BF57A3">
              <w:rPr>
                <w:sz w:val="22"/>
                <w:szCs w:val="22"/>
                <w:lang w:val="es-ES"/>
              </w:rPr>
              <w:t>grupi</w:t>
            </w:r>
            <w:r w:rsidRPr="00BF57A3">
              <w:rPr>
                <w:sz w:val="22"/>
                <w:szCs w:val="22"/>
                <w:lang w:val="es-ES"/>
              </w:rPr>
              <w:t xml:space="preserve"> Abraxane/karboplatin imali su značajno višu ukupnu stopu odgovora u </w:t>
            </w:r>
            <w:r w:rsidR="005A4EEE" w:rsidRPr="00BF57A3">
              <w:rPr>
                <w:sz w:val="22"/>
                <w:szCs w:val="22"/>
                <w:lang w:val="es-ES"/>
              </w:rPr>
              <w:t>poređenju</w:t>
            </w:r>
            <w:r w:rsidRPr="00BF57A3">
              <w:rPr>
                <w:sz w:val="22"/>
                <w:szCs w:val="22"/>
                <w:lang w:val="es-ES"/>
              </w:rPr>
              <w:t xml:space="preserve"> s</w:t>
            </w:r>
            <w:r w:rsidR="005A4EEE" w:rsidRPr="00BF57A3">
              <w:rPr>
                <w:sz w:val="22"/>
                <w:szCs w:val="22"/>
                <w:lang w:val="es-ES"/>
              </w:rPr>
              <w:t>a</w:t>
            </w:r>
            <w:r w:rsidRPr="00BF57A3">
              <w:rPr>
                <w:sz w:val="22"/>
                <w:szCs w:val="22"/>
                <w:lang w:val="es-ES"/>
              </w:rPr>
              <w:t xml:space="preserve"> kontrolnom </w:t>
            </w:r>
            <w:r w:rsidR="00AA1158" w:rsidRPr="00BF57A3">
              <w:rPr>
                <w:sz w:val="22"/>
                <w:szCs w:val="22"/>
                <w:lang w:val="es-ES"/>
              </w:rPr>
              <w:t>grupom</w:t>
            </w:r>
            <w:r w:rsidRPr="00BF57A3">
              <w:rPr>
                <w:sz w:val="22"/>
                <w:szCs w:val="22"/>
                <w:lang w:val="es-ES"/>
              </w:rPr>
              <w:t xml:space="preserve">: 33% </w:t>
            </w:r>
            <w:r w:rsidR="005A4EEE" w:rsidRPr="00BF57A3">
              <w:rPr>
                <w:sz w:val="22"/>
                <w:szCs w:val="22"/>
                <w:lang w:val="es-ES"/>
              </w:rPr>
              <w:t>prema</w:t>
            </w:r>
            <w:r w:rsidRPr="00BF57A3">
              <w:rPr>
                <w:sz w:val="22"/>
                <w:szCs w:val="22"/>
                <w:lang w:val="es-ES"/>
              </w:rPr>
              <w:t xml:space="preserve"> 25%, p = 0,005 (</w:t>
            </w:r>
            <w:r w:rsidR="005A4EEE" w:rsidRPr="00BF57A3">
              <w:rPr>
                <w:sz w:val="22"/>
                <w:szCs w:val="22"/>
                <w:lang w:val="es-ES"/>
              </w:rPr>
              <w:t xml:space="preserve">tabela </w:t>
            </w:r>
            <w:r w:rsidR="009904A1" w:rsidRPr="00BF57A3">
              <w:rPr>
                <w:sz w:val="22"/>
                <w:szCs w:val="22"/>
                <w:lang w:val="es-ES"/>
              </w:rPr>
              <w:t>10</w:t>
            </w:r>
            <w:r w:rsidR="005A4EEE" w:rsidRPr="00BF57A3">
              <w:rPr>
                <w:sz w:val="22"/>
                <w:szCs w:val="22"/>
                <w:lang w:val="es-ES"/>
              </w:rPr>
              <w:t xml:space="preserve">). Stopa </w:t>
            </w:r>
            <w:r w:rsidRPr="00BF57A3">
              <w:rPr>
                <w:sz w:val="22"/>
                <w:szCs w:val="22"/>
                <w:lang w:val="es-ES"/>
              </w:rPr>
              <w:t xml:space="preserve">ukupnog odgovora pokazala je značajnu razliku u </w:t>
            </w:r>
            <w:r w:rsidR="007E3390" w:rsidRPr="00BF57A3">
              <w:rPr>
                <w:sz w:val="22"/>
                <w:szCs w:val="22"/>
                <w:lang w:val="es-ES"/>
              </w:rPr>
              <w:t>grupi</w:t>
            </w:r>
            <w:r w:rsidRPr="00BF57A3">
              <w:rPr>
                <w:sz w:val="22"/>
                <w:szCs w:val="22"/>
                <w:lang w:val="es-ES"/>
              </w:rPr>
              <w:t xml:space="preserve"> koja je primala Abraxane/karboplatin u </w:t>
            </w:r>
            <w:r w:rsidR="007E3390" w:rsidRPr="00BF57A3">
              <w:rPr>
                <w:sz w:val="22"/>
                <w:szCs w:val="22"/>
                <w:lang w:val="es-ES"/>
              </w:rPr>
              <w:t>poređenju</w:t>
            </w:r>
            <w:r w:rsidRPr="00BF57A3">
              <w:rPr>
                <w:sz w:val="22"/>
                <w:szCs w:val="22"/>
                <w:lang w:val="es-ES"/>
              </w:rPr>
              <w:t xml:space="preserve"> s</w:t>
            </w:r>
            <w:r w:rsidR="007E3390" w:rsidRPr="00BF57A3">
              <w:rPr>
                <w:sz w:val="22"/>
                <w:szCs w:val="22"/>
                <w:lang w:val="es-ES"/>
              </w:rPr>
              <w:t>a</w:t>
            </w:r>
            <w:r w:rsidRPr="00BF57A3">
              <w:rPr>
                <w:sz w:val="22"/>
                <w:szCs w:val="22"/>
                <w:lang w:val="es-ES"/>
              </w:rPr>
              <w:t xml:space="preserve"> kontrolnom </w:t>
            </w:r>
            <w:r w:rsidR="007E3390" w:rsidRPr="00BF57A3">
              <w:rPr>
                <w:sz w:val="22"/>
                <w:szCs w:val="22"/>
                <w:lang w:val="es-ES"/>
              </w:rPr>
              <w:t xml:space="preserve">grupom kod </w:t>
            </w:r>
            <w:r w:rsidR="00C5146E">
              <w:rPr>
                <w:sz w:val="22"/>
                <w:szCs w:val="22"/>
                <w:lang w:val="es-ES"/>
              </w:rPr>
              <w:t>pacijenata</w:t>
            </w:r>
            <w:r w:rsidR="00C5146E" w:rsidRPr="00BF57A3">
              <w:rPr>
                <w:sz w:val="22"/>
                <w:szCs w:val="22"/>
                <w:lang w:val="es-ES"/>
              </w:rPr>
              <w:t xml:space="preserve"> </w:t>
            </w:r>
            <w:r w:rsidRPr="00BF57A3">
              <w:rPr>
                <w:sz w:val="22"/>
                <w:szCs w:val="22"/>
                <w:lang w:val="es-ES"/>
              </w:rPr>
              <w:t>s</w:t>
            </w:r>
            <w:r w:rsidR="007E3390" w:rsidRPr="00BF57A3">
              <w:rPr>
                <w:sz w:val="22"/>
                <w:szCs w:val="22"/>
                <w:lang w:val="es-ES"/>
              </w:rPr>
              <w:t>a</w:t>
            </w:r>
            <w:r w:rsidRPr="00BF57A3">
              <w:rPr>
                <w:sz w:val="22"/>
                <w:szCs w:val="22"/>
                <w:lang w:val="es-ES"/>
              </w:rPr>
              <w:t xml:space="preserve"> </w:t>
            </w:r>
            <w:r w:rsidR="007E3390" w:rsidRPr="00BF57A3">
              <w:rPr>
                <w:sz w:val="22"/>
                <w:szCs w:val="22"/>
                <w:lang w:val="es-ES"/>
              </w:rPr>
              <w:t>nemikrocelularnim</w:t>
            </w:r>
            <w:r w:rsidR="007E3390" w:rsidRPr="00BF57A3">
              <w:rPr>
                <w:sz w:val="22"/>
                <w:szCs w:val="22"/>
                <w:lang w:val="hr-HR"/>
              </w:rPr>
              <w:t xml:space="preserve"> </w:t>
            </w:r>
            <w:r w:rsidR="007E3390" w:rsidRPr="00BF57A3">
              <w:rPr>
                <w:sz w:val="22"/>
                <w:szCs w:val="22"/>
                <w:lang w:val="es-ES"/>
              </w:rPr>
              <w:t>karcinomom</w:t>
            </w:r>
            <w:r w:rsidR="007E3390" w:rsidRPr="00BF57A3">
              <w:rPr>
                <w:sz w:val="22"/>
                <w:szCs w:val="22"/>
                <w:lang w:val="hr-HR"/>
              </w:rPr>
              <w:t xml:space="preserve"> </w:t>
            </w:r>
            <w:r w:rsidR="007E3390" w:rsidRPr="00BF57A3">
              <w:rPr>
                <w:sz w:val="22"/>
                <w:szCs w:val="22"/>
                <w:lang w:val="es-ES"/>
              </w:rPr>
              <w:t>plu</w:t>
            </w:r>
            <w:r w:rsidR="007E3390" w:rsidRPr="00BF57A3">
              <w:rPr>
                <w:sz w:val="22"/>
                <w:szCs w:val="22"/>
                <w:lang w:val="hr-HR"/>
              </w:rPr>
              <w:t>ć</w:t>
            </w:r>
            <w:r w:rsidR="007E3390" w:rsidRPr="00BF57A3">
              <w:rPr>
                <w:sz w:val="22"/>
                <w:szCs w:val="22"/>
                <w:lang w:val="es-ES"/>
              </w:rPr>
              <w:t xml:space="preserve">a </w:t>
            </w:r>
            <w:r w:rsidRPr="00BF57A3">
              <w:rPr>
                <w:sz w:val="22"/>
                <w:szCs w:val="22"/>
                <w:lang w:val="es-ES"/>
              </w:rPr>
              <w:t xml:space="preserve">skvamoznog histološkog tipa (N = 450, 41% </w:t>
            </w:r>
            <w:r w:rsidR="007E3390" w:rsidRPr="00BF57A3">
              <w:rPr>
                <w:sz w:val="22"/>
                <w:szCs w:val="22"/>
                <w:lang w:val="es-ES"/>
              </w:rPr>
              <w:t>prema</w:t>
            </w:r>
            <w:r w:rsidRPr="00BF57A3">
              <w:rPr>
                <w:sz w:val="22"/>
                <w:szCs w:val="22"/>
                <w:lang w:val="es-ES"/>
              </w:rPr>
              <w:t xml:space="preserve"> 24%, p &lt; 0,001), međutim, ta se razlika nije odrazila kao razlika u </w:t>
            </w:r>
            <w:r w:rsidR="009C6818" w:rsidRPr="00BF57A3">
              <w:rPr>
                <w:sz w:val="22"/>
                <w:szCs w:val="22"/>
                <w:lang w:val="es-ES"/>
              </w:rPr>
              <w:t>PFS ili OS</w:t>
            </w:r>
            <w:r w:rsidR="007E3390" w:rsidRPr="00BF57A3">
              <w:rPr>
                <w:sz w:val="22"/>
                <w:szCs w:val="22"/>
                <w:lang w:val="es-ES"/>
              </w:rPr>
              <w:t xml:space="preserve">. Nije bilo razlike u </w:t>
            </w:r>
            <w:r w:rsidR="009C6818" w:rsidRPr="00BF57A3">
              <w:rPr>
                <w:sz w:val="22"/>
                <w:szCs w:val="22"/>
                <w:lang w:val="es-ES"/>
              </w:rPr>
              <w:t>ORR</w:t>
            </w:r>
            <w:r w:rsidRPr="00BF57A3">
              <w:rPr>
                <w:sz w:val="22"/>
                <w:szCs w:val="22"/>
                <w:lang w:val="es-ES"/>
              </w:rPr>
              <w:t xml:space="preserve"> između terapijskih </w:t>
            </w:r>
            <w:r w:rsidR="007E3390" w:rsidRPr="00BF57A3">
              <w:rPr>
                <w:sz w:val="22"/>
                <w:szCs w:val="22"/>
                <w:lang w:val="es-ES"/>
              </w:rPr>
              <w:t>grupa kod</w:t>
            </w:r>
            <w:r w:rsidRPr="00BF57A3">
              <w:rPr>
                <w:sz w:val="22"/>
                <w:szCs w:val="22"/>
                <w:lang w:val="es-ES"/>
              </w:rPr>
              <w:t xml:space="preserve"> </w:t>
            </w:r>
            <w:r w:rsidR="00BC764F">
              <w:rPr>
                <w:sz w:val="22"/>
                <w:szCs w:val="22"/>
                <w:lang w:val="es-ES"/>
              </w:rPr>
              <w:t>pacijenata</w:t>
            </w:r>
            <w:r w:rsidR="00BC764F" w:rsidRPr="00BF57A3">
              <w:rPr>
                <w:sz w:val="22"/>
                <w:szCs w:val="22"/>
                <w:lang w:val="es-ES"/>
              </w:rPr>
              <w:t xml:space="preserve"> </w:t>
            </w:r>
            <w:r w:rsidRPr="00BF57A3">
              <w:rPr>
                <w:sz w:val="22"/>
                <w:szCs w:val="22"/>
                <w:lang w:val="es-ES"/>
              </w:rPr>
              <w:t>s</w:t>
            </w:r>
            <w:r w:rsidR="00E70B0B" w:rsidRPr="00BF57A3">
              <w:rPr>
                <w:sz w:val="22"/>
                <w:szCs w:val="22"/>
                <w:lang w:val="es-ES"/>
              </w:rPr>
              <w:t>a</w:t>
            </w:r>
            <w:r w:rsidRPr="00BF57A3">
              <w:rPr>
                <w:sz w:val="22"/>
                <w:szCs w:val="22"/>
                <w:lang w:val="es-ES"/>
              </w:rPr>
              <w:t xml:space="preserve"> histološkim tipom neskvamoznih </w:t>
            </w:r>
            <w:r w:rsidR="00E70B0B" w:rsidRPr="00BF57A3">
              <w:rPr>
                <w:sz w:val="22"/>
                <w:szCs w:val="22"/>
                <w:lang w:val="es-ES"/>
              </w:rPr>
              <w:t>ćelija</w:t>
            </w:r>
            <w:r w:rsidRPr="00BF57A3">
              <w:rPr>
                <w:sz w:val="22"/>
                <w:szCs w:val="22"/>
                <w:lang w:val="es-ES"/>
              </w:rPr>
              <w:t xml:space="preserve"> (N = 602, 26% </w:t>
            </w:r>
            <w:r w:rsidR="00E70B0B" w:rsidRPr="00BF57A3">
              <w:rPr>
                <w:sz w:val="22"/>
                <w:szCs w:val="22"/>
                <w:lang w:val="es-ES"/>
              </w:rPr>
              <w:t>prema</w:t>
            </w:r>
            <w:r w:rsidRPr="00BF57A3">
              <w:rPr>
                <w:sz w:val="22"/>
                <w:szCs w:val="22"/>
                <w:lang w:val="es-ES"/>
              </w:rPr>
              <w:t xml:space="preserve"> 25%, p = 0,808).</w:t>
            </w:r>
          </w:p>
          <w:p w14:paraId="0C88172A" w14:textId="77777777" w:rsidR="00411646" w:rsidRPr="00BF57A3" w:rsidRDefault="00411646">
            <w:pPr>
              <w:pStyle w:val="Header"/>
              <w:tabs>
                <w:tab w:val="left" w:pos="284"/>
              </w:tabs>
              <w:jc w:val="both"/>
              <w:rPr>
                <w:sz w:val="22"/>
                <w:szCs w:val="22"/>
                <w:lang w:val="es-ES"/>
              </w:rPr>
            </w:pPr>
          </w:p>
          <w:p w14:paraId="5BED6618" w14:textId="5AED7902" w:rsidR="00411646" w:rsidRPr="00BF57A3" w:rsidRDefault="00411646">
            <w:pPr>
              <w:pStyle w:val="Header"/>
              <w:tabs>
                <w:tab w:val="left" w:pos="284"/>
              </w:tabs>
              <w:jc w:val="both"/>
              <w:rPr>
                <w:b/>
                <w:sz w:val="22"/>
                <w:szCs w:val="22"/>
                <w:lang w:val="es-ES"/>
              </w:rPr>
            </w:pPr>
            <w:r w:rsidRPr="00BF57A3">
              <w:rPr>
                <w:b/>
                <w:sz w:val="22"/>
                <w:szCs w:val="22"/>
                <w:lang w:val="es-ES"/>
              </w:rPr>
              <w:t xml:space="preserve">Tabela </w:t>
            </w:r>
            <w:r w:rsidR="009904A1" w:rsidRPr="00BF57A3">
              <w:rPr>
                <w:b/>
                <w:sz w:val="22"/>
                <w:szCs w:val="22"/>
                <w:lang w:val="es-ES"/>
              </w:rPr>
              <w:t>10</w:t>
            </w:r>
            <w:r w:rsidRPr="00BF57A3">
              <w:rPr>
                <w:b/>
                <w:sz w:val="22"/>
                <w:szCs w:val="22"/>
                <w:lang w:val="es-ES"/>
              </w:rPr>
              <w:t xml:space="preserve">: Ukupna stopa odgovora u </w:t>
            </w:r>
            <w:r w:rsidR="0058759A" w:rsidRPr="00BF57A3">
              <w:rPr>
                <w:b/>
                <w:sz w:val="22"/>
                <w:szCs w:val="22"/>
                <w:lang w:val="es-ES"/>
              </w:rPr>
              <w:t>randomizovanom</w:t>
            </w:r>
            <w:r w:rsidRPr="00BF57A3">
              <w:rPr>
                <w:b/>
                <w:sz w:val="22"/>
                <w:szCs w:val="22"/>
                <w:lang w:val="es-ES"/>
              </w:rPr>
              <w:t xml:space="preserve"> kliničkom ispitivanju </w:t>
            </w:r>
            <w:r w:rsidR="00F0319A">
              <w:rPr>
                <w:b/>
                <w:sz w:val="22"/>
                <w:szCs w:val="22"/>
                <w:lang w:val="es-ES"/>
              </w:rPr>
              <w:t>pacijenata</w:t>
            </w:r>
            <w:r w:rsidR="00F0319A" w:rsidRPr="00BF57A3">
              <w:rPr>
                <w:b/>
                <w:sz w:val="22"/>
                <w:szCs w:val="22"/>
                <w:lang w:val="es-ES"/>
              </w:rPr>
              <w:t xml:space="preserve"> </w:t>
            </w:r>
            <w:r w:rsidRPr="00BF57A3">
              <w:rPr>
                <w:b/>
                <w:sz w:val="22"/>
                <w:szCs w:val="22"/>
                <w:lang w:val="es-ES"/>
              </w:rPr>
              <w:t>s</w:t>
            </w:r>
            <w:r w:rsidR="0058759A" w:rsidRPr="00BF57A3">
              <w:rPr>
                <w:b/>
                <w:sz w:val="22"/>
                <w:szCs w:val="22"/>
                <w:lang w:val="es-ES"/>
              </w:rPr>
              <w:t>a</w:t>
            </w:r>
            <w:r w:rsidRPr="00BF57A3">
              <w:rPr>
                <w:b/>
                <w:sz w:val="22"/>
                <w:szCs w:val="22"/>
                <w:lang w:val="es-ES"/>
              </w:rPr>
              <w:t xml:space="preserve"> </w:t>
            </w:r>
            <w:r w:rsidR="0058759A" w:rsidRPr="00BF57A3">
              <w:rPr>
                <w:b/>
                <w:sz w:val="22"/>
                <w:szCs w:val="22"/>
                <w:lang w:val="es-ES"/>
              </w:rPr>
              <w:t>nemikrocelularnim karcinomom</w:t>
            </w:r>
            <w:r w:rsidRPr="00BF57A3">
              <w:rPr>
                <w:b/>
                <w:sz w:val="22"/>
                <w:szCs w:val="22"/>
                <w:lang w:val="es-ES"/>
              </w:rPr>
              <w:t xml:space="preserve"> pluća (</w:t>
            </w:r>
            <w:r w:rsidR="0058759A" w:rsidRPr="00BF57A3">
              <w:rPr>
                <w:b/>
                <w:sz w:val="22"/>
                <w:szCs w:val="22"/>
                <w:lang w:val="es-ES"/>
              </w:rPr>
              <w:t>populacija za koju je nam</w:t>
            </w:r>
            <w:r w:rsidR="00442B80" w:rsidRPr="00BF57A3">
              <w:rPr>
                <w:b/>
                <w:sz w:val="22"/>
                <w:szCs w:val="22"/>
                <w:lang w:val="es-ES"/>
              </w:rPr>
              <w:t>i</w:t>
            </w:r>
            <w:r w:rsidR="00FE0ABD" w:rsidRPr="00BF57A3">
              <w:rPr>
                <w:b/>
                <w:sz w:val="22"/>
                <w:szCs w:val="22"/>
                <w:lang w:val="es-ES"/>
              </w:rPr>
              <w:t>j</w:t>
            </w:r>
            <w:r w:rsidR="0058759A" w:rsidRPr="00BF57A3">
              <w:rPr>
                <w:b/>
                <w:sz w:val="22"/>
                <w:szCs w:val="22"/>
                <w:lang w:val="es-ES"/>
              </w:rPr>
              <w:t>enjeno liječenje</w:t>
            </w:r>
            <w:r w:rsidRPr="00BF57A3">
              <w:rPr>
                <w:b/>
                <w:sz w:val="22"/>
                <w:szCs w:val="22"/>
                <w:lang w:val="es-ES"/>
              </w:rPr>
              <w:t xml:space="preserve">)  </w:t>
            </w:r>
          </w:p>
          <w:p w14:paraId="3D729DA1" w14:textId="77777777" w:rsidR="00411646" w:rsidRPr="00BF57A3" w:rsidRDefault="00411646" w:rsidP="006C640E">
            <w:pPr>
              <w:pStyle w:val="Header"/>
              <w:tabs>
                <w:tab w:val="left" w:pos="284"/>
              </w:tabs>
              <w:jc w:val="both"/>
              <w:rPr>
                <w:sz w:val="22"/>
                <w:szCs w:val="22"/>
                <w:lang w:val="es-E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60" w:firstRow="1" w:lastRow="1" w:firstColumn="0" w:lastColumn="0" w:noHBand="0" w:noVBand="0"/>
            </w:tblPr>
            <w:tblGrid>
              <w:gridCol w:w="5068"/>
              <w:gridCol w:w="2204"/>
              <w:gridCol w:w="2684"/>
            </w:tblGrid>
            <w:tr w:rsidR="002B7D28" w:rsidRPr="00BF57A3" w14:paraId="363017E0" w14:textId="77777777" w:rsidTr="007903C4">
              <w:trPr>
                <w:jc w:val="center"/>
              </w:trPr>
              <w:tc>
                <w:tcPr>
                  <w:tcW w:w="2545" w:type="pct"/>
                  <w:tcBorders>
                    <w:bottom w:val="single" w:sz="12" w:space="0" w:color="auto"/>
                  </w:tcBorders>
                  <w:shd w:val="clear" w:color="auto" w:fill="auto"/>
                  <w:vAlign w:val="bottom"/>
                </w:tcPr>
                <w:p w14:paraId="71160D71" w14:textId="77777777" w:rsidR="002B7D28" w:rsidRPr="006C640E" w:rsidRDefault="00BE7C3E" w:rsidP="006C640E">
                  <w:pPr>
                    <w:pStyle w:val="C-TableHeader"/>
                    <w:spacing w:before="0" w:after="0"/>
                    <w:jc w:val="both"/>
                    <w:rPr>
                      <w:bCs/>
                      <w:szCs w:val="22"/>
                      <w:lang w:val="en-GB"/>
                    </w:rPr>
                  </w:pPr>
                  <w:r w:rsidRPr="006C640E">
                    <w:rPr>
                      <w:bCs/>
                      <w:szCs w:val="22"/>
                      <w:lang w:val="en-GB"/>
                    </w:rPr>
                    <w:t>Parametar efikasnosti</w:t>
                  </w:r>
                </w:p>
              </w:tc>
              <w:tc>
                <w:tcPr>
                  <w:tcW w:w="1107" w:type="pct"/>
                  <w:tcBorders>
                    <w:bottom w:val="single" w:sz="12" w:space="0" w:color="auto"/>
                  </w:tcBorders>
                  <w:shd w:val="clear" w:color="auto" w:fill="auto"/>
                </w:tcPr>
                <w:p w14:paraId="760E8DBA" w14:textId="77777777" w:rsidR="002B7D28" w:rsidRPr="006C640E" w:rsidRDefault="002B7D28" w:rsidP="006C640E">
                  <w:pPr>
                    <w:pStyle w:val="C-BodyText"/>
                    <w:spacing w:before="0" w:after="0" w:line="240" w:lineRule="auto"/>
                    <w:jc w:val="both"/>
                    <w:rPr>
                      <w:b/>
                      <w:sz w:val="22"/>
                      <w:szCs w:val="22"/>
                      <w:lang w:val="en-GB"/>
                    </w:rPr>
                  </w:pPr>
                  <w:r w:rsidRPr="006C640E">
                    <w:rPr>
                      <w:b/>
                      <w:sz w:val="22"/>
                      <w:szCs w:val="22"/>
                      <w:lang w:val="en-GB"/>
                    </w:rPr>
                    <w:t>Abraxane (100 mg/m</w:t>
                  </w:r>
                  <w:r w:rsidRPr="006C640E">
                    <w:rPr>
                      <w:b/>
                      <w:sz w:val="22"/>
                      <w:szCs w:val="22"/>
                      <w:vertAlign w:val="superscript"/>
                      <w:lang w:val="en-GB"/>
                    </w:rPr>
                    <w:t>2</w:t>
                  </w:r>
                  <w:r w:rsidRPr="006C640E">
                    <w:rPr>
                      <w:b/>
                      <w:sz w:val="22"/>
                      <w:szCs w:val="22"/>
                      <w:lang w:val="en-GB"/>
                    </w:rPr>
                    <w:t>/</w:t>
                  </w:r>
                  <w:r w:rsidR="00BE7C3E" w:rsidRPr="006C640E">
                    <w:rPr>
                      <w:b/>
                      <w:sz w:val="22"/>
                      <w:szCs w:val="22"/>
                      <w:lang w:val="en-GB"/>
                    </w:rPr>
                    <w:t>nedjeljno)</w:t>
                  </w:r>
                  <w:r w:rsidR="00BE7C3E" w:rsidRPr="006C640E">
                    <w:rPr>
                      <w:b/>
                      <w:sz w:val="22"/>
                      <w:szCs w:val="22"/>
                      <w:lang w:val="en-GB"/>
                    </w:rPr>
                    <w:br/>
                    <w:t>+ k</w:t>
                  </w:r>
                  <w:r w:rsidRPr="006C640E">
                    <w:rPr>
                      <w:b/>
                      <w:sz w:val="22"/>
                      <w:szCs w:val="22"/>
                      <w:lang w:val="en-GB"/>
                    </w:rPr>
                    <w:t>arboplatin</w:t>
                  </w:r>
                </w:p>
                <w:p w14:paraId="27600525" w14:textId="77777777" w:rsidR="002B7D28" w:rsidRPr="006C640E" w:rsidRDefault="002B7D28" w:rsidP="006C640E">
                  <w:pPr>
                    <w:pStyle w:val="C-BodyText"/>
                    <w:spacing w:before="0" w:after="0" w:line="240" w:lineRule="auto"/>
                    <w:jc w:val="both"/>
                    <w:rPr>
                      <w:b/>
                      <w:sz w:val="22"/>
                      <w:szCs w:val="22"/>
                      <w:lang w:val="en-GB"/>
                    </w:rPr>
                  </w:pPr>
                  <w:r w:rsidRPr="006C640E">
                    <w:rPr>
                      <w:b/>
                      <w:sz w:val="22"/>
                      <w:szCs w:val="22"/>
                      <w:lang w:val="en-GB"/>
                    </w:rPr>
                    <w:t>(N=521)</w:t>
                  </w:r>
                </w:p>
              </w:tc>
              <w:tc>
                <w:tcPr>
                  <w:tcW w:w="1348" w:type="pct"/>
                  <w:tcBorders>
                    <w:bottom w:val="single" w:sz="12" w:space="0" w:color="auto"/>
                  </w:tcBorders>
                  <w:shd w:val="clear" w:color="auto" w:fill="auto"/>
                </w:tcPr>
                <w:p w14:paraId="29B21790" w14:textId="77777777" w:rsidR="002B7D28" w:rsidRPr="006C640E" w:rsidRDefault="00BE7C3E" w:rsidP="006C640E">
                  <w:pPr>
                    <w:pStyle w:val="C-BodyText"/>
                    <w:spacing w:before="0" w:after="0" w:line="240" w:lineRule="auto"/>
                    <w:jc w:val="both"/>
                    <w:rPr>
                      <w:b/>
                      <w:sz w:val="22"/>
                      <w:szCs w:val="22"/>
                      <w:lang w:val="en-GB"/>
                    </w:rPr>
                  </w:pPr>
                  <w:r w:rsidRPr="006C640E">
                    <w:rPr>
                      <w:b/>
                      <w:sz w:val="22"/>
                      <w:szCs w:val="22"/>
                      <w:lang w:val="en-GB"/>
                    </w:rPr>
                    <w:t xml:space="preserve">Paklitaksel u rastvaraču </w:t>
                  </w:r>
                  <w:r w:rsidR="002B7D28" w:rsidRPr="006C640E">
                    <w:rPr>
                      <w:b/>
                      <w:sz w:val="22"/>
                      <w:szCs w:val="22"/>
                      <w:lang w:val="en-GB"/>
                    </w:rPr>
                    <w:t>(200 mg/m</w:t>
                  </w:r>
                  <w:r w:rsidR="002B7D28" w:rsidRPr="006C640E">
                    <w:rPr>
                      <w:b/>
                      <w:sz w:val="22"/>
                      <w:szCs w:val="22"/>
                      <w:vertAlign w:val="superscript"/>
                      <w:lang w:val="en-GB"/>
                    </w:rPr>
                    <w:t>2</w:t>
                  </w:r>
                  <w:r w:rsidR="002B7D28" w:rsidRPr="006C640E">
                    <w:rPr>
                      <w:b/>
                      <w:sz w:val="22"/>
                      <w:szCs w:val="22"/>
                      <w:lang w:val="en-GB"/>
                    </w:rPr>
                    <w:t xml:space="preserve"> </w:t>
                  </w:r>
                  <w:r w:rsidR="00B1453F" w:rsidRPr="006C640E">
                    <w:rPr>
                      <w:b/>
                      <w:sz w:val="22"/>
                      <w:szCs w:val="22"/>
                      <w:lang w:val="en-GB"/>
                    </w:rPr>
                    <w:t>svakih</w:t>
                  </w:r>
                  <w:r w:rsidR="002B7D28" w:rsidRPr="006C640E">
                    <w:rPr>
                      <w:b/>
                      <w:sz w:val="22"/>
                      <w:szCs w:val="22"/>
                      <w:lang w:val="en-GB"/>
                    </w:rPr>
                    <w:t xml:space="preserve"> 3 </w:t>
                  </w:r>
                  <w:r w:rsidR="00B1453F" w:rsidRPr="006C640E">
                    <w:rPr>
                      <w:b/>
                      <w:sz w:val="22"/>
                      <w:szCs w:val="22"/>
                      <w:lang w:val="en-GB"/>
                    </w:rPr>
                    <w:t>nedjelje</w:t>
                  </w:r>
                  <w:r w:rsidR="002B7D28" w:rsidRPr="006C640E">
                    <w:rPr>
                      <w:b/>
                      <w:sz w:val="22"/>
                      <w:szCs w:val="22"/>
                      <w:lang w:val="en-GB"/>
                    </w:rPr>
                    <w:t>)</w:t>
                  </w:r>
                </w:p>
                <w:p w14:paraId="303EAEDA" w14:textId="77777777" w:rsidR="002B7D28" w:rsidRPr="006C640E" w:rsidRDefault="00B1453F" w:rsidP="006C640E">
                  <w:pPr>
                    <w:pStyle w:val="C-BodyText"/>
                    <w:spacing w:before="0" w:after="0" w:line="240" w:lineRule="auto"/>
                    <w:jc w:val="both"/>
                    <w:rPr>
                      <w:b/>
                      <w:sz w:val="22"/>
                      <w:szCs w:val="22"/>
                      <w:lang w:val="en-GB"/>
                    </w:rPr>
                  </w:pPr>
                  <w:r w:rsidRPr="006C640E">
                    <w:rPr>
                      <w:b/>
                      <w:sz w:val="22"/>
                      <w:szCs w:val="22"/>
                      <w:lang w:val="en-GB"/>
                    </w:rPr>
                    <w:t>+ k</w:t>
                  </w:r>
                  <w:r w:rsidR="002B7D28" w:rsidRPr="006C640E">
                    <w:rPr>
                      <w:b/>
                      <w:sz w:val="22"/>
                      <w:szCs w:val="22"/>
                      <w:lang w:val="en-GB"/>
                    </w:rPr>
                    <w:t>arboplatin</w:t>
                  </w:r>
                </w:p>
                <w:p w14:paraId="6FC6BC3B" w14:textId="77777777" w:rsidR="002B7D28" w:rsidRPr="006C640E" w:rsidRDefault="002B7D28" w:rsidP="006C640E">
                  <w:pPr>
                    <w:pStyle w:val="C-BodyText"/>
                    <w:spacing w:before="0" w:after="0" w:line="240" w:lineRule="auto"/>
                    <w:jc w:val="both"/>
                    <w:rPr>
                      <w:b/>
                      <w:sz w:val="22"/>
                      <w:szCs w:val="22"/>
                      <w:lang w:val="en-GB"/>
                    </w:rPr>
                  </w:pPr>
                  <w:r w:rsidRPr="006C640E">
                    <w:rPr>
                      <w:b/>
                      <w:sz w:val="22"/>
                      <w:szCs w:val="22"/>
                      <w:lang w:val="en-GB"/>
                    </w:rPr>
                    <w:t>(N=531)</w:t>
                  </w:r>
                </w:p>
              </w:tc>
            </w:tr>
            <w:tr w:rsidR="002B7D28" w:rsidRPr="00BF57A3" w14:paraId="1063ADC4" w14:textId="77777777" w:rsidTr="007903C4">
              <w:trPr>
                <w:jc w:val="center"/>
              </w:trPr>
              <w:tc>
                <w:tcPr>
                  <w:tcW w:w="5000" w:type="pct"/>
                  <w:gridSpan w:val="3"/>
                  <w:tcBorders>
                    <w:top w:val="single" w:sz="12" w:space="0" w:color="auto"/>
                  </w:tcBorders>
                  <w:shd w:val="clear" w:color="auto" w:fill="auto"/>
                  <w:vAlign w:val="bottom"/>
                </w:tcPr>
                <w:p w14:paraId="6E10AA57" w14:textId="77777777" w:rsidR="002B7D28" w:rsidRPr="006C640E" w:rsidRDefault="00BE7C3E" w:rsidP="006C640E">
                  <w:pPr>
                    <w:pStyle w:val="C-TableText"/>
                    <w:keepNext/>
                    <w:spacing w:before="0" w:after="0"/>
                    <w:jc w:val="both"/>
                    <w:rPr>
                      <w:b/>
                      <w:szCs w:val="22"/>
                      <w:lang w:val="es-ES"/>
                    </w:rPr>
                  </w:pPr>
                  <w:r w:rsidRPr="006C640E">
                    <w:rPr>
                      <w:b/>
                      <w:szCs w:val="22"/>
                    </w:rPr>
                    <w:t>Stopa ukupnog odgovora</w:t>
                  </w:r>
                  <w:r w:rsidRPr="006C640E">
                    <w:rPr>
                      <w:b/>
                      <w:szCs w:val="22"/>
                      <w:lang w:val="es-ES"/>
                    </w:rPr>
                    <w:t xml:space="preserve"> </w:t>
                  </w:r>
                  <w:r w:rsidR="002B7D28" w:rsidRPr="006C640E">
                    <w:rPr>
                      <w:b/>
                      <w:szCs w:val="22"/>
                      <w:lang w:val="es-ES"/>
                    </w:rPr>
                    <w:t>(</w:t>
                  </w:r>
                  <w:r w:rsidRPr="006C640E">
                    <w:rPr>
                      <w:b/>
                      <w:szCs w:val="22"/>
                      <w:lang w:val="es-ES"/>
                    </w:rPr>
                    <w:t>nezavisna procjena</w:t>
                  </w:r>
                  <w:r w:rsidR="002B7D28" w:rsidRPr="006C640E">
                    <w:rPr>
                      <w:b/>
                      <w:szCs w:val="22"/>
                      <w:lang w:val="es-ES"/>
                    </w:rPr>
                    <w:t>)</w:t>
                  </w:r>
                </w:p>
              </w:tc>
            </w:tr>
            <w:tr w:rsidR="002B7D28" w:rsidRPr="00BF57A3" w14:paraId="16D54123" w14:textId="77777777" w:rsidTr="007903C4">
              <w:trPr>
                <w:jc w:val="center"/>
              </w:trPr>
              <w:tc>
                <w:tcPr>
                  <w:tcW w:w="2545" w:type="pct"/>
                  <w:shd w:val="clear" w:color="auto" w:fill="auto"/>
                  <w:vAlign w:val="bottom"/>
                </w:tcPr>
                <w:p w14:paraId="5B0DE9E1" w14:textId="77777777" w:rsidR="002B7D28" w:rsidRPr="006C640E" w:rsidRDefault="00BE7C3E" w:rsidP="006C640E">
                  <w:pPr>
                    <w:pStyle w:val="C-TableText"/>
                    <w:keepNext/>
                    <w:spacing w:before="0" w:after="0"/>
                    <w:jc w:val="both"/>
                    <w:rPr>
                      <w:szCs w:val="22"/>
                      <w:lang w:val="es-ES"/>
                    </w:rPr>
                  </w:pPr>
                  <w:r w:rsidRPr="006C640E">
                    <w:rPr>
                      <w:szCs w:val="22"/>
                    </w:rPr>
                    <w:t>Potvrđeni potpuni ili parcijalni ukupni odgovor, n (%)</w:t>
                  </w:r>
                </w:p>
              </w:tc>
              <w:tc>
                <w:tcPr>
                  <w:tcW w:w="1107" w:type="pct"/>
                  <w:shd w:val="clear" w:color="auto" w:fill="auto"/>
                  <w:vAlign w:val="bottom"/>
                </w:tcPr>
                <w:p w14:paraId="3FD246FD" w14:textId="77777777" w:rsidR="002B7D28" w:rsidRPr="006C640E" w:rsidRDefault="002B7D28" w:rsidP="006C640E">
                  <w:pPr>
                    <w:pStyle w:val="C-TableText"/>
                    <w:keepNext/>
                    <w:spacing w:before="0" w:after="0"/>
                    <w:jc w:val="both"/>
                    <w:rPr>
                      <w:szCs w:val="22"/>
                      <w:lang w:val="es-ES"/>
                    </w:rPr>
                  </w:pPr>
                  <w:r w:rsidRPr="006C640E">
                    <w:rPr>
                      <w:szCs w:val="22"/>
                      <w:lang w:val="es-ES"/>
                    </w:rPr>
                    <w:t>170 (33%)</w:t>
                  </w:r>
                </w:p>
              </w:tc>
              <w:tc>
                <w:tcPr>
                  <w:tcW w:w="1348" w:type="pct"/>
                  <w:shd w:val="clear" w:color="auto" w:fill="auto"/>
                  <w:vAlign w:val="bottom"/>
                </w:tcPr>
                <w:p w14:paraId="00FA211F" w14:textId="77777777" w:rsidR="002B7D28" w:rsidRPr="006C640E" w:rsidRDefault="002B7D28" w:rsidP="006C640E">
                  <w:pPr>
                    <w:pStyle w:val="C-TableText"/>
                    <w:keepNext/>
                    <w:spacing w:before="0" w:after="0"/>
                    <w:jc w:val="both"/>
                    <w:rPr>
                      <w:szCs w:val="22"/>
                      <w:lang w:val="es-ES"/>
                    </w:rPr>
                  </w:pPr>
                  <w:r w:rsidRPr="006C640E">
                    <w:rPr>
                      <w:szCs w:val="22"/>
                      <w:lang w:val="es-ES"/>
                    </w:rPr>
                    <w:t>132 (25%)</w:t>
                  </w:r>
                </w:p>
              </w:tc>
            </w:tr>
            <w:tr w:rsidR="002B7D28" w:rsidRPr="00BF57A3" w14:paraId="688F7CDA" w14:textId="77777777" w:rsidTr="007903C4">
              <w:trPr>
                <w:jc w:val="center"/>
              </w:trPr>
              <w:tc>
                <w:tcPr>
                  <w:tcW w:w="2545" w:type="pct"/>
                  <w:shd w:val="clear" w:color="auto" w:fill="auto"/>
                  <w:vAlign w:val="bottom"/>
                </w:tcPr>
                <w:p w14:paraId="0E3088E7" w14:textId="77777777" w:rsidR="002B7D28" w:rsidRPr="006C640E" w:rsidRDefault="002B7D28" w:rsidP="006C640E">
                  <w:pPr>
                    <w:pStyle w:val="C-TableText"/>
                    <w:keepNext/>
                    <w:spacing w:before="0" w:after="0"/>
                    <w:ind w:left="334"/>
                    <w:jc w:val="both"/>
                    <w:rPr>
                      <w:szCs w:val="22"/>
                      <w:lang w:val="es-ES"/>
                    </w:rPr>
                  </w:pPr>
                  <w:r w:rsidRPr="006C640E">
                    <w:rPr>
                      <w:szCs w:val="22"/>
                      <w:lang w:val="es-ES"/>
                    </w:rPr>
                    <w:t>95% CI (%)</w:t>
                  </w:r>
                  <w:r w:rsidR="00BE7C3E" w:rsidRPr="006C640E">
                    <w:rPr>
                      <w:szCs w:val="22"/>
                      <w:lang w:val="es-ES"/>
                    </w:rPr>
                    <w:t xml:space="preserve"> </w:t>
                  </w:r>
                </w:p>
              </w:tc>
              <w:tc>
                <w:tcPr>
                  <w:tcW w:w="1107" w:type="pct"/>
                  <w:shd w:val="clear" w:color="auto" w:fill="auto"/>
                  <w:vAlign w:val="bottom"/>
                </w:tcPr>
                <w:p w14:paraId="7700B2D6" w14:textId="77777777" w:rsidR="002B7D28" w:rsidRPr="006C640E" w:rsidRDefault="00BE7C3E" w:rsidP="006C640E">
                  <w:pPr>
                    <w:pStyle w:val="C-TableText"/>
                    <w:keepNext/>
                    <w:spacing w:before="0" w:after="0"/>
                    <w:jc w:val="both"/>
                    <w:rPr>
                      <w:szCs w:val="22"/>
                      <w:lang w:val="es-ES"/>
                    </w:rPr>
                  </w:pPr>
                  <w:r w:rsidRPr="006C640E">
                    <w:rPr>
                      <w:szCs w:val="22"/>
                      <w:lang w:val="es-ES"/>
                    </w:rPr>
                    <w:t>28,6; 36,</w:t>
                  </w:r>
                  <w:r w:rsidR="002B7D28" w:rsidRPr="006C640E">
                    <w:rPr>
                      <w:szCs w:val="22"/>
                      <w:lang w:val="es-ES"/>
                    </w:rPr>
                    <w:t>7</w:t>
                  </w:r>
                </w:p>
              </w:tc>
              <w:tc>
                <w:tcPr>
                  <w:tcW w:w="1348" w:type="pct"/>
                  <w:shd w:val="clear" w:color="auto" w:fill="auto"/>
                  <w:vAlign w:val="bottom"/>
                </w:tcPr>
                <w:p w14:paraId="70D9A4AD" w14:textId="77777777" w:rsidR="002B7D28" w:rsidRPr="006C640E" w:rsidRDefault="00B1453F" w:rsidP="006C640E">
                  <w:pPr>
                    <w:pStyle w:val="C-TableText"/>
                    <w:keepNext/>
                    <w:spacing w:before="0" w:after="0"/>
                    <w:jc w:val="both"/>
                    <w:rPr>
                      <w:szCs w:val="22"/>
                      <w:lang w:val="es-ES"/>
                    </w:rPr>
                  </w:pPr>
                  <w:r w:rsidRPr="006C640E">
                    <w:rPr>
                      <w:szCs w:val="22"/>
                      <w:lang w:val="es-ES"/>
                    </w:rPr>
                    <w:t>21,</w:t>
                  </w:r>
                  <w:r w:rsidR="002B7D28" w:rsidRPr="006C640E">
                    <w:rPr>
                      <w:szCs w:val="22"/>
                      <w:lang w:val="es-ES"/>
                    </w:rPr>
                    <w:t>2</w:t>
                  </w:r>
                  <w:r w:rsidRPr="006C640E">
                    <w:rPr>
                      <w:szCs w:val="22"/>
                      <w:lang w:val="es-ES"/>
                    </w:rPr>
                    <w:t>;</w:t>
                  </w:r>
                  <w:r w:rsidR="002B7D28" w:rsidRPr="006C640E">
                    <w:rPr>
                      <w:szCs w:val="22"/>
                      <w:lang w:val="es-ES"/>
                    </w:rPr>
                    <w:t xml:space="preserve"> 28</w:t>
                  </w:r>
                  <w:r w:rsidRPr="006C640E">
                    <w:rPr>
                      <w:szCs w:val="22"/>
                      <w:lang w:val="es-ES"/>
                    </w:rPr>
                    <w:t>,</w:t>
                  </w:r>
                  <w:r w:rsidR="002B7D28" w:rsidRPr="006C640E">
                    <w:rPr>
                      <w:szCs w:val="22"/>
                      <w:lang w:val="es-ES"/>
                    </w:rPr>
                    <w:t>5</w:t>
                  </w:r>
                </w:p>
              </w:tc>
            </w:tr>
            <w:tr w:rsidR="002B7D28" w:rsidRPr="00BF57A3" w14:paraId="2D18C764" w14:textId="77777777" w:rsidTr="007903C4">
              <w:trPr>
                <w:jc w:val="center"/>
              </w:trPr>
              <w:tc>
                <w:tcPr>
                  <w:tcW w:w="2545" w:type="pct"/>
                  <w:shd w:val="clear" w:color="auto" w:fill="auto"/>
                  <w:vAlign w:val="bottom"/>
                </w:tcPr>
                <w:p w14:paraId="63B5A8B6" w14:textId="77777777" w:rsidR="002B7D28" w:rsidRPr="006C640E" w:rsidRDefault="002B7D28" w:rsidP="006C640E">
                  <w:pPr>
                    <w:pStyle w:val="C-TableText"/>
                    <w:keepNext/>
                    <w:spacing w:before="0" w:after="0"/>
                    <w:ind w:left="334"/>
                    <w:jc w:val="both"/>
                    <w:rPr>
                      <w:szCs w:val="22"/>
                      <w:lang w:val="es-ES"/>
                    </w:rPr>
                  </w:pPr>
                  <w:r w:rsidRPr="006C640E">
                    <w:rPr>
                      <w:bCs/>
                      <w:szCs w:val="22"/>
                      <w:lang w:val="es-ES"/>
                    </w:rPr>
                    <w:t>p</w:t>
                  </w:r>
                  <w:r w:rsidRPr="006C640E">
                    <w:rPr>
                      <w:bCs/>
                      <w:szCs w:val="22"/>
                      <w:vertAlign w:val="subscript"/>
                      <w:lang w:val="es-ES"/>
                    </w:rPr>
                    <w:t>A</w:t>
                  </w:r>
                  <w:r w:rsidRPr="006C640E">
                    <w:rPr>
                      <w:bCs/>
                      <w:szCs w:val="22"/>
                      <w:lang w:val="es-ES"/>
                    </w:rPr>
                    <w:t>/p</w:t>
                  </w:r>
                  <w:r w:rsidRPr="006C640E">
                    <w:rPr>
                      <w:bCs/>
                      <w:szCs w:val="22"/>
                      <w:vertAlign w:val="subscript"/>
                      <w:lang w:val="es-ES"/>
                    </w:rPr>
                    <w:t>T</w:t>
                  </w:r>
                  <w:r w:rsidRPr="006C640E">
                    <w:rPr>
                      <w:bCs/>
                      <w:szCs w:val="22"/>
                      <w:lang w:val="es-ES"/>
                    </w:rPr>
                    <w:t xml:space="preserve"> (</w:t>
                  </w:r>
                  <w:r w:rsidRPr="006C640E">
                    <w:rPr>
                      <w:szCs w:val="22"/>
                      <w:lang w:val="es-ES"/>
                    </w:rPr>
                    <w:t>95.1% CI)</w:t>
                  </w:r>
                </w:p>
              </w:tc>
              <w:tc>
                <w:tcPr>
                  <w:tcW w:w="2455" w:type="pct"/>
                  <w:gridSpan w:val="2"/>
                  <w:shd w:val="clear" w:color="auto" w:fill="auto"/>
                  <w:vAlign w:val="bottom"/>
                </w:tcPr>
                <w:p w14:paraId="4B162F13" w14:textId="77777777" w:rsidR="002B7D28" w:rsidRPr="006C640E" w:rsidRDefault="001D7B4D" w:rsidP="006C640E">
                  <w:pPr>
                    <w:pStyle w:val="C-TableText"/>
                    <w:keepNext/>
                    <w:spacing w:before="0" w:after="0"/>
                    <w:jc w:val="both"/>
                    <w:rPr>
                      <w:szCs w:val="22"/>
                      <w:lang w:val="es-ES"/>
                    </w:rPr>
                  </w:pPr>
                  <w:r w:rsidRPr="006C640E">
                    <w:rPr>
                      <w:szCs w:val="22"/>
                      <w:lang w:val="es-ES"/>
                    </w:rPr>
                    <w:t>1,</w:t>
                  </w:r>
                  <w:r w:rsidR="00B1453F" w:rsidRPr="006C640E">
                    <w:rPr>
                      <w:szCs w:val="22"/>
                      <w:lang w:val="es-ES"/>
                    </w:rPr>
                    <w:t>313 (1,</w:t>
                  </w:r>
                  <w:r w:rsidR="002B7D28" w:rsidRPr="006C640E">
                    <w:rPr>
                      <w:szCs w:val="22"/>
                      <w:lang w:val="es-ES"/>
                    </w:rPr>
                    <w:t>082</w:t>
                  </w:r>
                  <w:r w:rsidR="00B1453F" w:rsidRPr="006C640E">
                    <w:rPr>
                      <w:szCs w:val="22"/>
                      <w:lang w:val="es-ES"/>
                    </w:rPr>
                    <w:t>;</w:t>
                  </w:r>
                  <w:r w:rsidR="002B7D28" w:rsidRPr="006C640E">
                    <w:rPr>
                      <w:szCs w:val="22"/>
                      <w:lang w:val="es-ES"/>
                    </w:rPr>
                    <w:t xml:space="preserve"> 1</w:t>
                  </w:r>
                  <w:r w:rsidR="00B1453F" w:rsidRPr="006C640E">
                    <w:rPr>
                      <w:szCs w:val="22"/>
                      <w:lang w:val="es-ES"/>
                    </w:rPr>
                    <w:t>,</w:t>
                  </w:r>
                  <w:r w:rsidR="002B7D28" w:rsidRPr="006C640E">
                    <w:rPr>
                      <w:szCs w:val="22"/>
                      <w:lang w:val="es-ES"/>
                    </w:rPr>
                    <w:t>593)</w:t>
                  </w:r>
                </w:p>
              </w:tc>
            </w:tr>
            <w:tr w:rsidR="002B7D28" w:rsidRPr="00BF57A3" w14:paraId="3E4E6CC6" w14:textId="77777777" w:rsidTr="007903C4">
              <w:trPr>
                <w:jc w:val="center"/>
              </w:trPr>
              <w:tc>
                <w:tcPr>
                  <w:tcW w:w="2545" w:type="pct"/>
                  <w:shd w:val="clear" w:color="auto" w:fill="auto"/>
                  <w:vAlign w:val="bottom"/>
                </w:tcPr>
                <w:p w14:paraId="2AA618DA" w14:textId="77777777" w:rsidR="002B7D28" w:rsidRPr="006C640E" w:rsidRDefault="002B7D28" w:rsidP="006C640E">
                  <w:pPr>
                    <w:pStyle w:val="C-TableText"/>
                    <w:keepNext/>
                    <w:spacing w:before="0" w:after="0"/>
                    <w:ind w:left="334"/>
                    <w:jc w:val="both"/>
                    <w:rPr>
                      <w:szCs w:val="22"/>
                      <w:lang w:val="es-ES"/>
                    </w:rPr>
                  </w:pPr>
                  <w:r w:rsidRPr="006C640E">
                    <w:rPr>
                      <w:szCs w:val="22"/>
                      <w:lang w:val="es-ES"/>
                    </w:rPr>
                    <w:t>P</w:t>
                  </w:r>
                  <w:r w:rsidRPr="006C640E">
                    <w:rPr>
                      <w:szCs w:val="22"/>
                      <w:lang w:val="es-ES"/>
                    </w:rPr>
                    <w:noBreakHyphen/>
                  </w:r>
                  <w:r w:rsidR="00BE7C3E" w:rsidRPr="006C640E">
                    <w:rPr>
                      <w:szCs w:val="22"/>
                    </w:rPr>
                    <w:t xml:space="preserve"> vrijednost</w:t>
                  </w:r>
                  <w:r w:rsidR="00BE7C3E" w:rsidRPr="006C640E">
                    <w:rPr>
                      <w:szCs w:val="22"/>
                      <w:vertAlign w:val="superscript"/>
                      <w:lang w:val="es-ES"/>
                    </w:rPr>
                    <w:t xml:space="preserve"> </w:t>
                  </w:r>
                  <w:r w:rsidRPr="006C640E">
                    <w:rPr>
                      <w:szCs w:val="22"/>
                      <w:vertAlign w:val="superscript"/>
                      <w:lang w:val="es-ES"/>
                    </w:rPr>
                    <w:t>a</w:t>
                  </w:r>
                </w:p>
              </w:tc>
              <w:tc>
                <w:tcPr>
                  <w:tcW w:w="2455" w:type="pct"/>
                  <w:gridSpan w:val="2"/>
                  <w:shd w:val="clear" w:color="auto" w:fill="auto"/>
                  <w:vAlign w:val="bottom"/>
                </w:tcPr>
                <w:p w14:paraId="41142EA6" w14:textId="77777777" w:rsidR="002B7D28" w:rsidRPr="006C640E" w:rsidRDefault="00B1453F" w:rsidP="006C640E">
                  <w:pPr>
                    <w:pStyle w:val="C-TableText"/>
                    <w:keepNext/>
                    <w:spacing w:before="0" w:after="0"/>
                    <w:jc w:val="both"/>
                    <w:rPr>
                      <w:szCs w:val="22"/>
                      <w:lang w:val="es-ES"/>
                    </w:rPr>
                  </w:pPr>
                  <w:r w:rsidRPr="006C640E">
                    <w:rPr>
                      <w:szCs w:val="22"/>
                      <w:lang w:val="es-ES"/>
                    </w:rPr>
                    <w:t>0,</w:t>
                  </w:r>
                  <w:r w:rsidR="002B7D28" w:rsidRPr="006C640E">
                    <w:rPr>
                      <w:szCs w:val="22"/>
                      <w:lang w:val="es-ES"/>
                    </w:rPr>
                    <w:t>005</w:t>
                  </w:r>
                </w:p>
              </w:tc>
            </w:tr>
          </w:tbl>
          <w:p w14:paraId="61AFB2EE" w14:textId="77777777" w:rsidR="002B7D28" w:rsidRPr="00BF57A3" w:rsidRDefault="002B7D28" w:rsidP="006C640E">
            <w:pPr>
              <w:pStyle w:val="Header"/>
              <w:tabs>
                <w:tab w:val="left" w:pos="284"/>
              </w:tabs>
              <w:jc w:val="both"/>
              <w:rPr>
                <w:sz w:val="22"/>
                <w:szCs w:val="22"/>
                <w:lang w:val="es-ES"/>
              </w:rPr>
            </w:pPr>
          </w:p>
          <w:p w14:paraId="2C704DD9" w14:textId="77777777" w:rsidR="00411646" w:rsidRPr="006C640E" w:rsidRDefault="002B7D28" w:rsidP="00BF57A3">
            <w:pPr>
              <w:pStyle w:val="Header"/>
              <w:tabs>
                <w:tab w:val="left" w:pos="284"/>
              </w:tabs>
              <w:jc w:val="both"/>
              <w:rPr>
                <w:sz w:val="22"/>
                <w:szCs w:val="22"/>
                <w:lang w:val="es-ES"/>
              </w:rPr>
            </w:pPr>
            <w:r w:rsidRPr="006C640E">
              <w:rPr>
                <w:sz w:val="22"/>
                <w:szCs w:val="22"/>
                <w:lang w:val="es-ES"/>
              </w:rPr>
              <w:t xml:space="preserve">CI = interval pouzdanosti, HRA/T = </w:t>
            </w:r>
            <w:r w:rsidR="008B3D90" w:rsidRPr="006C640E">
              <w:rPr>
                <w:i/>
                <w:sz w:val="22"/>
                <w:szCs w:val="22"/>
                <w:lang w:val="es-ES"/>
              </w:rPr>
              <w:t>hazard ratio</w:t>
            </w:r>
            <w:r w:rsidR="008B3D90" w:rsidRPr="006C640E">
              <w:rPr>
                <w:sz w:val="22"/>
                <w:szCs w:val="22"/>
                <w:lang w:val="es-ES"/>
              </w:rPr>
              <w:t xml:space="preserve"> </w:t>
            </w:r>
            <w:r w:rsidRPr="006C640E">
              <w:rPr>
                <w:sz w:val="22"/>
                <w:szCs w:val="22"/>
                <w:lang w:val="es-ES"/>
              </w:rPr>
              <w:t xml:space="preserve">za Abraxane/karboplatin </w:t>
            </w:r>
            <w:r w:rsidR="008B3D90" w:rsidRPr="006C640E">
              <w:rPr>
                <w:sz w:val="22"/>
                <w:szCs w:val="22"/>
                <w:lang w:val="es-ES"/>
              </w:rPr>
              <w:t>prema</w:t>
            </w:r>
            <w:r w:rsidRPr="006C640E">
              <w:rPr>
                <w:sz w:val="22"/>
                <w:szCs w:val="22"/>
                <w:lang w:val="es-ES"/>
              </w:rPr>
              <w:t xml:space="preserve"> paklitaksel </w:t>
            </w:r>
            <w:r w:rsidR="008B3D90" w:rsidRPr="006C640E">
              <w:rPr>
                <w:sz w:val="22"/>
                <w:szCs w:val="22"/>
                <w:lang w:val="es-ES"/>
              </w:rPr>
              <w:t>u rastvaraču</w:t>
            </w:r>
            <w:r w:rsidRPr="006C640E">
              <w:rPr>
                <w:sz w:val="22"/>
                <w:szCs w:val="22"/>
                <w:lang w:val="es-ES"/>
              </w:rPr>
              <w:t xml:space="preserve">/karboplatin; pA/pT = </w:t>
            </w:r>
            <w:r w:rsidR="008B3D90" w:rsidRPr="006C640E">
              <w:rPr>
                <w:sz w:val="22"/>
                <w:szCs w:val="22"/>
                <w:lang w:val="es-ES"/>
              </w:rPr>
              <w:t>odnos</w:t>
            </w:r>
            <w:r w:rsidRPr="006C640E">
              <w:rPr>
                <w:sz w:val="22"/>
                <w:szCs w:val="22"/>
                <w:lang w:val="es-ES"/>
              </w:rPr>
              <w:t xml:space="preserve"> stope odgovora za Abraxane/karboplatin </w:t>
            </w:r>
            <w:r w:rsidR="008B3D90" w:rsidRPr="006C640E">
              <w:rPr>
                <w:sz w:val="22"/>
                <w:szCs w:val="22"/>
                <w:lang w:val="es-ES"/>
              </w:rPr>
              <w:t>prema</w:t>
            </w:r>
            <w:r w:rsidRPr="006C640E">
              <w:rPr>
                <w:sz w:val="22"/>
                <w:szCs w:val="22"/>
                <w:lang w:val="es-ES"/>
              </w:rPr>
              <w:t xml:space="preserve"> paklitaksel </w:t>
            </w:r>
            <w:r w:rsidR="008B3D90" w:rsidRPr="006C640E">
              <w:rPr>
                <w:sz w:val="22"/>
                <w:szCs w:val="22"/>
                <w:lang w:val="es-ES"/>
              </w:rPr>
              <w:t xml:space="preserve">u rastvaraču </w:t>
            </w:r>
            <w:r w:rsidRPr="006C640E">
              <w:rPr>
                <w:sz w:val="22"/>
                <w:szCs w:val="22"/>
                <w:lang w:val="es-ES"/>
              </w:rPr>
              <w:t>/karboplatin</w:t>
            </w:r>
          </w:p>
          <w:p w14:paraId="6B673B32" w14:textId="77777777" w:rsidR="002B7D28" w:rsidRPr="006C640E" w:rsidRDefault="002B7D28">
            <w:pPr>
              <w:pStyle w:val="Header"/>
              <w:tabs>
                <w:tab w:val="left" w:pos="284"/>
              </w:tabs>
              <w:jc w:val="both"/>
              <w:rPr>
                <w:sz w:val="22"/>
                <w:szCs w:val="22"/>
                <w:lang w:val="es-ES"/>
              </w:rPr>
            </w:pPr>
            <w:r w:rsidRPr="006C640E">
              <w:rPr>
                <w:sz w:val="22"/>
                <w:szCs w:val="22"/>
                <w:vertAlign w:val="superscript"/>
                <w:lang w:val="es-ES"/>
              </w:rPr>
              <w:t>a</w:t>
            </w:r>
            <w:r w:rsidR="0097423C" w:rsidRPr="006C640E">
              <w:rPr>
                <w:sz w:val="22"/>
                <w:szCs w:val="22"/>
                <w:lang w:val="es-ES"/>
              </w:rPr>
              <w:t xml:space="preserve"> P-vrijednost se bazira</w:t>
            </w:r>
            <w:r w:rsidRPr="006C640E">
              <w:rPr>
                <w:sz w:val="22"/>
                <w:szCs w:val="22"/>
                <w:lang w:val="es-ES"/>
              </w:rPr>
              <w:t xml:space="preserve"> na hi-kvadrat testu</w:t>
            </w:r>
          </w:p>
          <w:p w14:paraId="7256E44C" w14:textId="77777777" w:rsidR="00F7318B" w:rsidRPr="00BF57A3" w:rsidRDefault="00F7318B">
            <w:pPr>
              <w:pStyle w:val="Header"/>
              <w:tabs>
                <w:tab w:val="left" w:pos="284"/>
              </w:tabs>
              <w:jc w:val="both"/>
              <w:rPr>
                <w:sz w:val="22"/>
                <w:szCs w:val="22"/>
                <w:lang w:val="es-ES"/>
              </w:rPr>
            </w:pPr>
          </w:p>
          <w:p w14:paraId="0A81309F" w14:textId="77777777" w:rsidR="002B7D28" w:rsidRPr="00BF57A3" w:rsidRDefault="002B7D28">
            <w:pPr>
              <w:pStyle w:val="Header"/>
              <w:tabs>
                <w:tab w:val="left" w:pos="284"/>
              </w:tabs>
              <w:jc w:val="both"/>
              <w:rPr>
                <w:sz w:val="22"/>
                <w:szCs w:val="22"/>
                <w:lang w:val="it-IT"/>
              </w:rPr>
            </w:pPr>
            <w:r w:rsidRPr="00BF57A3">
              <w:rPr>
                <w:sz w:val="22"/>
                <w:szCs w:val="22"/>
                <w:lang w:val="es-ES"/>
              </w:rPr>
              <w:t>Između dvij</w:t>
            </w:r>
            <w:r w:rsidR="00B715D7" w:rsidRPr="00BF57A3">
              <w:rPr>
                <w:sz w:val="22"/>
                <w:szCs w:val="22"/>
                <w:lang w:val="es-ES"/>
              </w:rPr>
              <w:t>e</w:t>
            </w:r>
            <w:r w:rsidRPr="00BF57A3">
              <w:rPr>
                <w:sz w:val="22"/>
                <w:szCs w:val="22"/>
                <w:lang w:val="es-ES"/>
              </w:rPr>
              <w:t xml:space="preserve"> terapijsk</w:t>
            </w:r>
            <w:r w:rsidR="00B715D7" w:rsidRPr="00BF57A3">
              <w:rPr>
                <w:sz w:val="22"/>
                <w:szCs w:val="22"/>
                <w:lang w:val="es-ES"/>
              </w:rPr>
              <w:t>e</w:t>
            </w:r>
            <w:r w:rsidRPr="00BF57A3">
              <w:rPr>
                <w:sz w:val="22"/>
                <w:szCs w:val="22"/>
                <w:lang w:val="es-ES"/>
              </w:rPr>
              <w:t xml:space="preserve"> </w:t>
            </w:r>
            <w:r w:rsidR="00B715D7" w:rsidRPr="00BF57A3">
              <w:rPr>
                <w:sz w:val="22"/>
                <w:szCs w:val="22"/>
                <w:lang w:val="es-ES"/>
              </w:rPr>
              <w:t>grupe</w:t>
            </w:r>
            <w:r w:rsidRPr="00BF57A3">
              <w:rPr>
                <w:sz w:val="22"/>
                <w:szCs w:val="22"/>
                <w:lang w:val="es-ES"/>
              </w:rPr>
              <w:t xml:space="preserve"> nije bilo statistički značajne razlike u </w:t>
            </w:r>
            <w:r w:rsidR="00A004D2" w:rsidRPr="00BF57A3">
              <w:rPr>
                <w:sz w:val="22"/>
                <w:szCs w:val="22"/>
                <w:lang w:val="es-ES"/>
              </w:rPr>
              <w:t xml:space="preserve">preživljavanju </w:t>
            </w:r>
            <w:r w:rsidRPr="00BF57A3">
              <w:rPr>
                <w:sz w:val="22"/>
                <w:szCs w:val="22"/>
                <w:lang w:val="es-ES"/>
              </w:rPr>
              <w:t xml:space="preserve">bez progresije bolesti (prema </w:t>
            </w:r>
            <w:r w:rsidR="00E01DE2" w:rsidRPr="00BF57A3">
              <w:rPr>
                <w:sz w:val="22"/>
                <w:szCs w:val="22"/>
                <w:lang w:val="es-ES"/>
              </w:rPr>
              <w:t>sl</w:t>
            </w:r>
            <w:r w:rsidR="00A004D2" w:rsidRPr="00BF57A3">
              <w:rPr>
                <w:sz w:val="22"/>
                <w:szCs w:val="22"/>
                <w:lang w:val="es-ES"/>
              </w:rPr>
              <w:t>i</w:t>
            </w:r>
            <w:r w:rsidR="00E01DE2" w:rsidRPr="00BF57A3">
              <w:rPr>
                <w:sz w:val="22"/>
                <w:szCs w:val="22"/>
                <w:lang w:val="es-ES"/>
              </w:rPr>
              <w:t>jepoj</w:t>
            </w:r>
            <w:r w:rsidR="0052056C" w:rsidRPr="00BF57A3">
              <w:rPr>
                <w:sz w:val="22"/>
                <w:szCs w:val="22"/>
                <w:lang w:val="es-ES"/>
              </w:rPr>
              <w:t xml:space="preserve"> radiološkoj procjeni) i </w:t>
            </w:r>
            <w:r w:rsidRPr="00BF57A3">
              <w:rPr>
                <w:sz w:val="22"/>
                <w:szCs w:val="22"/>
                <w:lang w:val="es-ES"/>
              </w:rPr>
              <w:t>ukupnog preživlj</w:t>
            </w:r>
            <w:r w:rsidR="00F3214B" w:rsidRPr="00BF57A3">
              <w:rPr>
                <w:sz w:val="22"/>
                <w:szCs w:val="22"/>
                <w:lang w:val="es-ES"/>
              </w:rPr>
              <w:t>avanja</w:t>
            </w:r>
            <w:r w:rsidRPr="00BF57A3">
              <w:rPr>
                <w:sz w:val="22"/>
                <w:szCs w:val="22"/>
                <w:lang w:val="es-ES"/>
              </w:rPr>
              <w:t xml:space="preserve">. </w:t>
            </w:r>
            <w:r w:rsidR="00F868C5" w:rsidRPr="00BF57A3">
              <w:rPr>
                <w:sz w:val="22"/>
                <w:szCs w:val="22"/>
                <w:lang w:val="it-IT"/>
              </w:rPr>
              <w:t>Sp</w:t>
            </w:r>
            <w:r w:rsidRPr="00BF57A3">
              <w:rPr>
                <w:sz w:val="22"/>
                <w:szCs w:val="22"/>
                <w:lang w:val="it-IT"/>
              </w:rPr>
              <w:t>rovedena je analiza neinferiornosti za PFS i OS uz prethodno određenu granicu neinferiornosti od 15%. Kriterij</w:t>
            </w:r>
            <w:r w:rsidR="004C63C4" w:rsidRPr="00BF57A3">
              <w:rPr>
                <w:sz w:val="22"/>
                <w:szCs w:val="22"/>
                <w:lang w:val="it-IT"/>
              </w:rPr>
              <w:t>um</w:t>
            </w:r>
            <w:r w:rsidRPr="00BF57A3">
              <w:rPr>
                <w:sz w:val="22"/>
                <w:szCs w:val="22"/>
                <w:lang w:val="it-IT"/>
              </w:rPr>
              <w:t xml:space="preserve"> neinferiornosti ispunjen je i za PFS i OS, s</w:t>
            </w:r>
            <w:r w:rsidR="005538E7" w:rsidRPr="00BF57A3">
              <w:rPr>
                <w:sz w:val="22"/>
                <w:szCs w:val="22"/>
                <w:lang w:val="it-IT"/>
              </w:rPr>
              <w:t>a</w:t>
            </w:r>
            <w:r w:rsidRPr="00BF57A3">
              <w:rPr>
                <w:sz w:val="22"/>
                <w:szCs w:val="22"/>
                <w:lang w:val="it-IT"/>
              </w:rPr>
              <w:t xml:space="preserve"> tim da je gornja granica intervala pouzdanosti od 95% za povezane </w:t>
            </w:r>
            <w:r w:rsidR="005538E7" w:rsidRPr="00BF57A3">
              <w:rPr>
                <w:i/>
                <w:sz w:val="22"/>
                <w:szCs w:val="22"/>
                <w:lang w:val="it-IT"/>
              </w:rPr>
              <w:t>hazard ratio</w:t>
            </w:r>
            <w:r w:rsidR="005538E7" w:rsidRPr="00BF57A3">
              <w:rPr>
                <w:sz w:val="22"/>
                <w:szCs w:val="22"/>
                <w:lang w:val="it-IT"/>
              </w:rPr>
              <w:t xml:space="preserve"> </w:t>
            </w:r>
            <w:r w:rsidRPr="00BF57A3">
              <w:rPr>
                <w:sz w:val="22"/>
                <w:szCs w:val="22"/>
                <w:lang w:val="it-IT"/>
              </w:rPr>
              <w:t>iznosila manje od 1,176 (</w:t>
            </w:r>
            <w:r w:rsidR="005538E7" w:rsidRPr="00BF57A3">
              <w:rPr>
                <w:sz w:val="22"/>
                <w:szCs w:val="22"/>
                <w:lang w:val="it-IT"/>
              </w:rPr>
              <w:t>tabela</w:t>
            </w:r>
            <w:r w:rsidRPr="00BF57A3">
              <w:rPr>
                <w:sz w:val="22"/>
                <w:szCs w:val="22"/>
                <w:lang w:val="it-IT"/>
              </w:rPr>
              <w:t xml:space="preserve"> 1</w:t>
            </w:r>
            <w:r w:rsidR="009904A1" w:rsidRPr="00BF57A3">
              <w:rPr>
                <w:sz w:val="22"/>
                <w:szCs w:val="22"/>
                <w:lang w:val="it-IT"/>
              </w:rPr>
              <w:t>1</w:t>
            </w:r>
            <w:r w:rsidRPr="00BF57A3">
              <w:rPr>
                <w:sz w:val="22"/>
                <w:szCs w:val="22"/>
                <w:lang w:val="it-IT"/>
              </w:rPr>
              <w:t>).</w:t>
            </w:r>
          </w:p>
          <w:p w14:paraId="193304BA" w14:textId="36FDC8E4" w:rsidR="002B7D28" w:rsidRDefault="002B7D28">
            <w:pPr>
              <w:pStyle w:val="Header"/>
              <w:tabs>
                <w:tab w:val="left" w:pos="284"/>
              </w:tabs>
              <w:jc w:val="both"/>
              <w:rPr>
                <w:sz w:val="22"/>
                <w:szCs w:val="22"/>
                <w:lang w:val="it-IT"/>
              </w:rPr>
            </w:pPr>
          </w:p>
          <w:p w14:paraId="41109464" w14:textId="77777777" w:rsidR="00B80618" w:rsidRPr="00BF57A3" w:rsidRDefault="00B80618">
            <w:pPr>
              <w:pStyle w:val="Header"/>
              <w:tabs>
                <w:tab w:val="left" w:pos="284"/>
              </w:tabs>
              <w:jc w:val="both"/>
              <w:rPr>
                <w:sz w:val="22"/>
                <w:szCs w:val="22"/>
                <w:lang w:val="it-IT"/>
              </w:rPr>
            </w:pPr>
          </w:p>
          <w:p w14:paraId="5549198D" w14:textId="6348351D" w:rsidR="002B7D28" w:rsidRPr="00BF57A3" w:rsidRDefault="007B53B1">
            <w:pPr>
              <w:pStyle w:val="Header"/>
              <w:tabs>
                <w:tab w:val="left" w:pos="284"/>
              </w:tabs>
              <w:jc w:val="both"/>
              <w:rPr>
                <w:sz w:val="22"/>
                <w:szCs w:val="22"/>
                <w:lang w:val="it-IT"/>
              </w:rPr>
            </w:pPr>
            <w:r w:rsidRPr="00BF57A3">
              <w:rPr>
                <w:b/>
                <w:sz w:val="22"/>
                <w:szCs w:val="22"/>
                <w:lang w:val="it-IT"/>
              </w:rPr>
              <w:lastRenderedPageBreak/>
              <w:t>Tabela</w:t>
            </w:r>
            <w:r w:rsidR="002B7D28" w:rsidRPr="00BF57A3">
              <w:rPr>
                <w:b/>
                <w:sz w:val="22"/>
                <w:szCs w:val="22"/>
                <w:lang w:val="it-IT"/>
              </w:rPr>
              <w:t xml:space="preserve"> 1</w:t>
            </w:r>
            <w:r w:rsidR="009904A1" w:rsidRPr="00BF57A3">
              <w:rPr>
                <w:b/>
                <w:sz w:val="22"/>
                <w:szCs w:val="22"/>
                <w:lang w:val="it-IT"/>
              </w:rPr>
              <w:t>1</w:t>
            </w:r>
            <w:r w:rsidR="002B7D28" w:rsidRPr="00BF57A3">
              <w:rPr>
                <w:b/>
                <w:sz w:val="22"/>
                <w:szCs w:val="22"/>
                <w:lang w:val="it-IT"/>
              </w:rPr>
              <w:t xml:space="preserve">: Analize neinferiornosti za </w:t>
            </w:r>
            <w:r w:rsidRPr="00BF57A3">
              <w:rPr>
                <w:b/>
                <w:sz w:val="22"/>
                <w:szCs w:val="22"/>
                <w:lang w:val="it-IT"/>
              </w:rPr>
              <w:t>preživljavanje</w:t>
            </w:r>
            <w:r w:rsidR="00506877" w:rsidRPr="00BF57A3">
              <w:rPr>
                <w:b/>
                <w:sz w:val="22"/>
                <w:szCs w:val="22"/>
                <w:lang w:val="it-IT"/>
              </w:rPr>
              <w:t xml:space="preserve"> bez progresije bolesti i </w:t>
            </w:r>
            <w:r w:rsidR="002B7D28" w:rsidRPr="00BF57A3">
              <w:rPr>
                <w:b/>
                <w:sz w:val="22"/>
                <w:szCs w:val="22"/>
                <w:lang w:val="it-IT"/>
              </w:rPr>
              <w:t xml:space="preserve">ukupno </w:t>
            </w:r>
            <w:r w:rsidRPr="00BF57A3">
              <w:rPr>
                <w:b/>
                <w:sz w:val="22"/>
                <w:szCs w:val="22"/>
                <w:lang w:val="it-IT"/>
              </w:rPr>
              <w:t xml:space="preserve">preživljavanje </w:t>
            </w:r>
            <w:r w:rsidR="002B7D28" w:rsidRPr="00BF57A3">
              <w:rPr>
                <w:b/>
                <w:sz w:val="22"/>
                <w:szCs w:val="22"/>
                <w:lang w:val="it-IT"/>
              </w:rPr>
              <w:t xml:space="preserve">u </w:t>
            </w:r>
            <w:r w:rsidRPr="00BF57A3">
              <w:rPr>
                <w:b/>
                <w:sz w:val="22"/>
                <w:szCs w:val="22"/>
                <w:lang w:val="it-IT"/>
              </w:rPr>
              <w:t>randomizovanom</w:t>
            </w:r>
            <w:r w:rsidR="002B7D28" w:rsidRPr="00BF57A3">
              <w:rPr>
                <w:b/>
                <w:sz w:val="22"/>
                <w:szCs w:val="22"/>
                <w:lang w:val="it-IT"/>
              </w:rPr>
              <w:t xml:space="preserve"> ispitivanju </w:t>
            </w:r>
            <w:r w:rsidR="00F0319A">
              <w:rPr>
                <w:b/>
                <w:sz w:val="22"/>
                <w:szCs w:val="22"/>
                <w:lang w:val="it-IT"/>
              </w:rPr>
              <w:t>pacijenata</w:t>
            </w:r>
            <w:r w:rsidR="00F0319A" w:rsidRPr="00BF57A3">
              <w:rPr>
                <w:b/>
                <w:sz w:val="22"/>
                <w:szCs w:val="22"/>
                <w:lang w:val="it-IT"/>
              </w:rPr>
              <w:t xml:space="preserve"> </w:t>
            </w:r>
            <w:r w:rsidR="002B7D28" w:rsidRPr="00BF57A3">
              <w:rPr>
                <w:b/>
                <w:sz w:val="22"/>
                <w:szCs w:val="22"/>
                <w:lang w:val="it-IT"/>
              </w:rPr>
              <w:t>s</w:t>
            </w:r>
            <w:r w:rsidR="0072368D" w:rsidRPr="00BF57A3">
              <w:rPr>
                <w:b/>
                <w:sz w:val="22"/>
                <w:szCs w:val="22"/>
                <w:lang w:val="it-IT"/>
              </w:rPr>
              <w:t>a</w:t>
            </w:r>
            <w:r w:rsidR="002B7D28" w:rsidRPr="00BF57A3">
              <w:rPr>
                <w:b/>
                <w:sz w:val="22"/>
                <w:szCs w:val="22"/>
                <w:lang w:val="it-IT"/>
              </w:rPr>
              <w:t xml:space="preserve"> </w:t>
            </w:r>
            <w:r w:rsidR="0072368D" w:rsidRPr="00BF57A3">
              <w:rPr>
                <w:b/>
                <w:sz w:val="22"/>
                <w:szCs w:val="22"/>
                <w:lang w:val="it-IT"/>
              </w:rPr>
              <w:t xml:space="preserve">nemikrocelularnim karcinomom </w:t>
            </w:r>
            <w:r w:rsidR="002B7D28" w:rsidRPr="00BF57A3">
              <w:rPr>
                <w:b/>
                <w:sz w:val="22"/>
                <w:szCs w:val="22"/>
                <w:lang w:val="it-IT"/>
              </w:rPr>
              <w:t>pluća (</w:t>
            </w:r>
            <w:r w:rsidR="0072368D" w:rsidRPr="00BF57A3">
              <w:rPr>
                <w:b/>
                <w:sz w:val="22"/>
                <w:szCs w:val="22"/>
                <w:lang w:val="it-IT"/>
              </w:rPr>
              <w:t>populacija za koju je nam</w:t>
            </w:r>
            <w:r w:rsidR="00A004D2" w:rsidRPr="00BF57A3">
              <w:rPr>
                <w:b/>
                <w:sz w:val="22"/>
                <w:szCs w:val="22"/>
                <w:lang w:val="it-IT"/>
              </w:rPr>
              <w:t>i</w:t>
            </w:r>
            <w:r w:rsidR="00640701" w:rsidRPr="00BF57A3">
              <w:rPr>
                <w:b/>
                <w:sz w:val="22"/>
                <w:szCs w:val="22"/>
                <w:lang w:val="it-IT"/>
              </w:rPr>
              <w:t>j</w:t>
            </w:r>
            <w:r w:rsidR="0072368D" w:rsidRPr="00BF57A3">
              <w:rPr>
                <w:b/>
                <w:sz w:val="22"/>
                <w:szCs w:val="22"/>
                <w:lang w:val="it-IT"/>
              </w:rPr>
              <w:t>enjeno liječenje</w:t>
            </w:r>
            <w:r w:rsidR="002B7D28" w:rsidRPr="00BF57A3">
              <w:rPr>
                <w:sz w:val="22"/>
                <w:szCs w:val="22"/>
                <w:lang w:val="it-IT"/>
              </w:rPr>
              <w:t>)</w:t>
            </w:r>
          </w:p>
          <w:p w14:paraId="70662916" w14:textId="77777777" w:rsidR="002B7D28" w:rsidRPr="00BF57A3" w:rsidRDefault="002B7D28" w:rsidP="006C640E">
            <w:pPr>
              <w:pStyle w:val="Header"/>
              <w:tabs>
                <w:tab w:val="left" w:pos="284"/>
              </w:tabs>
              <w:jc w:val="both"/>
              <w:rPr>
                <w:sz w:val="22"/>
                <w:szCs w:val="22"/>
                <w:lang w:val="it-IT"/>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60" w:firstRow="1" w:lastRow="1" w:firstColumn="0" w:lastColumn="0" w:noHBand="0" w:noVBand="0"/>
            </w:tblPr>
            <w:tblGrid>
              <w:gridCol w:w="5068"/>
              <w:gridCol w:w="2204"/>
              <w:gridCol w:w="2684"/>
            </w:tblGrid>
            <w:tr w:rsidR="001D7B4D" w:rsidRPr="00BF57A3" w14:paraId="17B80B0A" w14:textId="77777777" w:rsidTr="007903C4">
              <w:trPr>
                <w:jc w:val="center"/>
              </w:trPr>
              <w:tc>
                <w:tcPr>
                  <w:tcW w:w="2545" w:type="pct"/>
                  <w:tcBorders>
                    <w:bottom w:val="single" w:sz="12" w:space="0" w:color="auto"/>
                  </w:tcBorders>
                  <w:shd w:val="clear" w:color="auto" w:fill="auto"/>
                  <w:vAlign w:val="bottom"/>
                </w:tcPr>
                <w:p w14:paraId="1A431C4B" w14:textId="77777777" w:rsidR="001D7B4D" w:rsidRPr="006C640E" w:rsidRDefault="001D7B4D" w:rsidP="006C640E">
                  <w:pPr>
                    <w:pStyle w:val="C-TableHeader"/>
                    <w:spacing w:before="0" w:after="0"/>
                    <w:jc w:val="both"/>
                    <w:rPr>
                      <w:bCs/>
                      <w:szCs w:val="22"/>
                      <w:lang w:val="it-IT"/>
                    </w:rPr>
                  </w:pPr>
                  <w:r w:rsidRPr="006C640E">
                    <w:rPr>
                      <w:bCs/>
                      <w:szCs w:val="22"/>
                      <w:lang w:val="en-GB"/>
                    </w:rPr>
                    <w:t>Parametar efikasnosti</w:t>
                  </w:r>
                </w:p>
              </w:tc>
              <w:tc>
                <w:tcPr>
                  <w:tcW w:w="1107" w:type="pct"/>
                  <w:tcBorders>
                    <w:bottom w:val="single" w:sz="12" w:space="0" w:color="auto"/>
                  </w:tcBorders>
                  <w:shd w:val="clear" w:color="auto" w:fill="auto"/>
                </w:tcPr>
                <w:p w14:paraId="1BA120EC" w14:textId="77777777" w:rsidR="001D7B4D" w:rsidRPr="006C640E" w:rsidRDefault="001D7B4D" w:rsidP="006C640E">
                  <w:pPr>
                    <w:pStyle w:val="C-BodyText"/>
                    <w:spacing w:before="0" w:after="0" w:line="240" w:lineRule="auto"/>
                    <w:jc w:val="both"/>
                    <w:rPr>
                      <w:b/>
                      <w:sz w:val="22"/>
                      <w:szCs w:val="22"/>
                      <w:lang w:val="en-GB"/>
                    </w:rPr>
                  </w:pPr>
                  <w:r w:rsidRPr="006C640E">
                    <w:rPr>
                      <w:b/>
                      <w:sz w:val="22"/>
                      <w:szCs w:val="22"/>
                      <w:lang w:val="en-GB"/>
                    </w:rPr>
                    <w:t>Abraxane (100 mg/m</w:t>
                  </w:r>
                  <w:r w:rsidRPr="006C640E">
                    <w:rPr>
                      <w:b/>
                      <w:sz w:val="22"/>
                      <w:szCs w:val="22"/>
                      <w:vertAlign w:val="superscript"/>
                      <w:lang w:val="en-GB"/>
                    </w:rPr>
                    <w:t>2</w:t>
                  </w:r>
                  <w:r w:rsidRPr="006C640E">
                    <w:rPr>
                      <w:b/>
                      <w:sz w:val="22"/>
                      <w:szCs w:val="22"/>
                      <w:lang w:val="en-GB"/>
                    </w:rPr>
                    <w:t>/nedjeljno)</w:t>
                  </w:r>
                  <w:r w:rsidRPr="006C640E">
                    <w:rPr>
                      <w:b/>
                      <w:sz w:val="22"/>
                      <w:szCs w:val="22"/>
                      <w:lang w:val="en-GB"/>
                    </w:rPr>
                    <w:br/>
                    <w:t>+ karboplatin</w:t>
                  </w:r>
                </w:p>
                <w:p w14:paraId="0F78AFA4" w14:textId="77777777" w:rsidR="001D7B4D" w:rsidRPr="006C640E" w:rsidRDefault="001D7B4D" w:rsidP="006C640E">
                  <w:pPr>
                    <w:pStyle w:val="C-BodyText"/>
                    <w:keepNext/>
                    <w:spacing w:before="0" w:after="0" w:line="240" w:lineRule="auto"/>
                    <w:jc w:val="both"/>
                    <w:rPr>
                      <w:b/>
                      <w:sz w:val="22"/>
                      <w:szCs w:val="22"/>
                      <w:lang w:val="en-GB"/>
                    </w:rPr>
                  </w:pPr>
                  <w:r w:rsidRPr="006C640E">
                    <w:rPr>
                      <w:b/>
                      <w:sz w:val="22"/>
                      <w:szCs w:val="22"/>
                      <w:lang w:val="en-GB"/>
                    </w:rPr>
                    <w:t>(N=521)</w:t>
                  </w:r>
                </w:p>
              </w:tc>
              <w:tc>
                <w:tcPr>
                  <w:tcW w:w="1348" w:type="pct"/>
                  <w:tcBorders>
                    <w:bottom w:val="single" w:sz="12" w:space="0" w:color="auto"/>
                  </w:tcBorders>
                  <w:shd w:val="clear" w:color="auto" w:fill="auto"/>
                </w:tcPr>
                <w:p w14:paraId="23F6D902" w14:textId="77777777" w:rsidR="001D7B4D" w:rsidRPr="006C640E" w:rsidRDefault="001D7B4D" w:rsidP="006C640E">
                  <w:pPr>
                    <w:pStyle w:val="C-BodyText"/>
                    <w:spacing w:before="0" w:after="0" w:line="240" w:lineRule="auto"/>
                    <w:jc w:val="both"/>
                    <w:rPr>
                      <w:b/>
                      <w:sz w:val="22"/>
                      <w:szCs w:val="22"/>
                      <w:lang w:val="en-GB"/>
                    </w:rPr>
                  </w:pPr>
                  <w:r w:rsidRPr="006C640E">
                    <w:rPr>
                      <w:b/>
                      <w:sz w:val="22"/>
                      <w:szCs w:val="22"/>
                      <w:lang w:val="en-GB"/>
                    </w:rPr>
                    <w:t>Paklitaksel u rastvaraču (200 mg/m</w:t>
                  </w:r>
                  <w:r w:rsidRPr="006C640E">
                    <w:rPr>
                      <w:b/>
                      <w:sz w:val="22"/>
                      <w:szCs w:val="22"/>
                      <w:vertAlign w:val="superscript"/>
                      <w:lang w:val="en-GB"/>
                    </w:rPr>
                    <w:t>2</w:t>
                  </w:r>
                  <w:r w:rsidRPr="006C640E">
                    <w:rPr>
                      <w:b/>
                      <w:sz w:val="22"/>
                      <w:szCs w:val="22"/>
                      <w:lang w:val="en-GB"/>
                    </w:rPr>
                    <w:t xml:space="preserve"> svakih 3 nedjelje)</w:t>
                  </w:r>
                </w:p>
                <w:p w14:paraId="4FEFDE91" w14:textId="77777777" w:rsidR="001D7B4D" w:rsidRPr="006C640E" w:rsidRDefault="001D7B4D" w:rsidP="006C640E">
                  <w:pPr>
                    <w:pStyle w:val="C-BodyText"/>
                    <w:spacing w:before="0" w:after="0" w:line="240" w:lineRule="auto"/>
                    <w:jc w:val="both"/>
                    <w:rPr>
                      <w:b/>
                      <w:sz w:val="22"/>
                      <w:szCs w:val="22"/>
                      <w:lang w:val="en-GB"/>
                    </w:rPr>
                  </w:pPr>
                  <w:r w:rsidRPr="006C640E">
                    <w:rPr>
                      <w:b/>
                      <w:sz w:val="22"/>
                      <w:szCs w:val="22"/>
                      <w:lang w:val="en-GB"/>
                    </w:rPr>
                    <w:t>+ karboplatin</w:t>
                  </w:r>
                </w:p>
                <w:p w14:paraId="403A4D66" w14:textId="77777777" w:rsidR="001D7B4D" w:rsidRPr="006C640E" w:rsidRDefault="001D7B4D" w:rsidP="006C640E">
                  <w:pPr>
                    <w:pStyle w:val="C-BodyText"/>
                    <w:keepNext/>
                    <w:spacing w:before="0" w:after="0" w:line="240" w:lineRule="auto"/>
                    <w:jc w:val="both"/>
                    <w:rPr>
                      <w:b/>
                      <w:sz w:val="22"/>
                      <w:szCs w:val="22"/>
                      <w:lang w:val="en-GB"/>
                    </w:rPr>
                  </w:pPr>
                  <w:r w:rsidRPr="006C640E">
                    <w:rPr>
                      <w:b/>
                      <w:sz w:val="22"/>
                      <w:szCs w:val="22"/>
                      <w:lang w:val="en-GB"/>
                    </w:rPr>
                    <w:t>(N=531)</w:t>
                  </w:r>
                </w:p>
              </w:tc>
            </w:tr>
            <w:tr w:rsidR="002B7D28" w:rsidRPr="00BF57A3" w14:paraId="3EF27347" w14:textId="77777777" w:rsidTr="007903C4">
              <w:trPr>
                <w:jc w:val="center"/>
              </w:trPr>
              <w:tc>
                <w:tcPr>
                  <w:tcW w:w="5000" w:type="pct"/>
                  <w:gridSpan w:val="3"/>
                  <w:shd w:val="clear" w:color="auto" w:fill="auto"/>
                  <w:vAlign w:val="bottom"/>
                </w:tcPr>
                <w:p w14:paraId="0A8C2EF7" w14:textId="77777777" w:rsidR="002B7D28" w:rsidRPr="006C640E" w:rsidRDefault="001D7B4D" w:rsidP="006C640E">
                  <w:pPr>
                    <w:pStyle w:val="C-TableText"/>
                    <w:keepNext/>
                    <w:spacing w:before="0" w:after="0"/>
                    <w:jc w:val="both"/>
                    <w:rPr>
                      <w:szCs w:val="22"/>
                      <w:lang w:val="es-ES"/>
                    </w:rPr>
                  </w:pPr>
                  <w:r w:rsidRPr="006C640E">
                    <w:rPr>
                      <w:b/>
                      <w:szCs w:val="22"/>
                      <w:lang w:val="es-ES"/>
                    </w:rPr>
                    <w:t xml:space="preserve">Preživljavanje bez progresije bolesti </w:t>
                  </w:r>
                  <w:r w:rsidR="002B7D28" w:rsidRPr="006C640E">
                    <w:rPr>
                      <w:b/>
                      <w:szCs w:val="22"/>
                      <w:vertAlign w:val="superscript"/>
                      <w:lang w:val="es-ES"/>
                    </w:rPr>
                    <w:t>a</w:t>
                  </w:r>
                  <w:r w:rsidR="002B7D28" w:rsidRPr="006C640E">
                    <w:rPr>
                      <w:b/>
                      <w:szCs w:val="22"/>
                      <w:lang w:val="es-ES"/>
                    </w:rPr>
                    <w:t xml:space="preserve"> (</w:t>
                  </w:r>
                  <w:r w:rsidRPr="006C640E">
                    <w:rPr>
                      <w:b/>
                      <w:szCs w:val="22"/>
                      <w:lang w:val="es-ES"/>
                    </w:rPr>
                    <w:t>nezavisna procjena</w:t>
                  </w:r>
                  <w:r w:rsidR="002B7D28" w:rsidRPr="006C640E">
                    <w:rPr>
                      <w:b/>
                      <w:szCs w:val="22"/>
                      <w:lang w:val="es-ES"/>
                    </w:rPr>
                    <w:t>)</w:t>
                  </w:r>
                </w:p>
              </w:tc>
            </w:tr>
            <w:tr w:rsidR="002B7D28" w:rsidRPr="00BF57A3" w14:paraId="6039AE99" w14:textId="77777777" w:rsidTr="007903C4">
              <w:trPr>
                <w:jc w:val="center"/>
              </w:trPr>
              <w:tc>
                <w:tcPr>
                  <w:tcW w:w="2545" w:type="pct"/>
                  <w:shd w:val="clear" w:color="auto" w:fill="auto"/>
                  <w:vAlign w:val="bottom"/>
                </w:tcPr>
                <w:p w14:paraId="763D3173" w14:textId="77777777" w:rsidR="002B7D28" w:rsidRPr="006C640E" w:rsidRDefault="001D7B4D" w:rsidP="006C640E">
                  <w:pPr>
                    <w:pStyle w:val="C-TableText"/>
                    <w:keepNext/>
                    <w:spacing w:before="0" w:after="0"/>
                    <w:ind w:left="334"/>
                    <w:jc w:val="both"/>
                    <w:rPr>
                      <w:szCs w:val="22"/>
                      <w:lang w:val="es-ES"/>
                    </w:rPr>
                  </w:pPr>
                  <w:r w:rsidRPr="006C640E">
                    <w:rPr>
                      <w:szCs w:val="22"/>
                      <w:lang w:val="es-ES"/>
                    </w:rPr>
                    <w:t>Smrt ili progresija, n (%)</w:t>
                  </w:r>
                </w:p>
              </w:tc>
              <w:tc>
                <w:tcPr>
                  <w:tcW w:w="1107" w:type="pct"/>
                  <w:shd w:val="clear" w:color="auto" w:fill="auto"/>
                  <w:vAlign w:val="bottom"/>
                </w:tcPr>
                <w:p w14:paraId="249EEDA2" w14:textId="77777777" w:rsidR="002B7D28" w:rsidRPr="006C640E" w:rsidRDefault="002B7D28" w:rsidP="006C640E">
                  <w:pPr>
                    <w:pStyle w:val="C-TableText"/>
                    <w:keepNext/>
                    <w:spacing w:before="0" w:after="0"/>
                    <w:jc w:val="both"/>
                    <w:rPr>
                      <w:szCs w:val="22"/>
                      <w:lang w:val="es-ES"/>
                    </w:rPr>
                  </w:pPr>
                  <w:r w:rsidRPr="006C640E">
                    <w:rPr>
                      <w:szCs w:val="22"/>
                      <w:lang w:val="es-ES"/>
                    </w:rPr>
                    <w:t>429 (82%)</w:t>
                  </w:r>
                </w:p>
              </w:tc>
              <w:tc>
                <w:tcPr>
                  <w:tcW w:w="1348" w:type="pct"/>
                  <w:shd w:val="clear" w:color="auto" w:fill="auto"/>
                  <w:vAlign w:val="bottom"/>
                </w:tcPr>
                <w:p w14:paraId="000F2637" w14:textId="77777777" w:rsidR="002B7D28" w:rsidRPr="006C640E" w:rsidRDefault="002B7D28" w:rsidP="006C640E">
                  <w:pPr>
                    <w:pStyle w:val="C-TableText"/>
                    <w:keepNext/>
                    <w:spacing w:before="0" w:after="0"/>
                    <w:jc w:val="both"/>
                    <w:rPr>
                      <w:szCs w:val="22"/>
                      <w:lang w:val="es-ES"/>
                    </w:rPr>
                  </w:pPr>
                  <w:r w:rsidRPr="006C640E">
                    <w:rPr>
                      <w:szCs w:val="22"/>
                      <w:lang w:val="es-ES"/>
                    </w:rPr>
                    <w:t>442 (83%)</w:t>
                  </w:r>
                </w:p>
              </w:tc>
            </w:tr>
            <w:tr w:rsidR="002B7D28" w:rsidRPr="00BF57A3" w14:paraId="1F53AE4C" w14:textId="77777777" w:rsidTr="007903C4">
              <w:trPr>
                <w:jc w:val="center"/>
              </w:trPr>
              <w:tc>
                <w:tcPr>
                  <w:tcW w:w="2545" w:type="pct"/>
                  <w:shd w:val="clear" w:color="auto" w:fill="auto"/>
                  <w:vAlign w:val="bottom"/>
                </w:tcPr>
                <w:p w14:paraId="1FEBFA47" w14:textId="77777777" w:rsidR="002B7D28" w:rsidRPr="006C640E" w:rsidRDefault="002B7D28" w:rsidP="006C640E">
                  <w:pPr>
                    <w:pStyle w:val="C-TableText"/>
                    <w:keepNext/>
                    <w:spacing w:before="0" w:after="0"/>
                    <w:ind w:left="334"/>
                    <w:jc w:val="both"/>
                    <w:rPr>
                      <w:szCs w:val="22"/>
                      <w:lang w:val="es-ES"/>
                    </w:rPr>
                  </w:pPr>
                  <w:r w:rsidRPr="006C640E">
                    <w:rPr>
                      <w:szCs w:val="22"/>
                      <w:lang w:val="es-ES"/>
                    </w:rPr>
                    <w:t>Medi</w:t>
                  </w:r>
                  <w:r w:rsidR="001D7B4D" w:rsidRPr="006C640E">
                    <w:rPr>
                      <w:szCs w:val="22"/>
                      <w:lang w:val="es-ES"/>
                    </w:rPr>
                    <w:t>j</w:t>
                  </w:r>
                  <w:r w:rsidRPr="006C640E">
                    <w:rPr>
                      <w:szCs w:val="22"/>
                      <w:lang w:val="es-ES"/>
                    </w:rPr>
                    <w:t>an PFS (95% CI) (</w:t>
                  </w:r>
                  <w:r w:rsidR="001D7B4D" w:rsidRPr="006C640E">
                    <w:rPr>
                      <w:szCs w:val="22"/>
                      <w:lang w:val="es-ES"/>
                    </w:rPr>
                    <w:t>mjeseci</w:t>
                  </w:r>
                  <w:r w:rsidRPr="006C640E">
                    <w:rPr>
                      <w:szCs w:val="22"/>
                      <w:lang w:val="es-ES"/>
                    </w:rPr>
                    <w:t>)</w:t>
                  </w:r>
                </w:p>
              </w:tc>
              <w:tc>
                <w:tcPr>
                  <w:tcW w:w="1107" w:type="pct"/>
                  <w:shd w:val="clear" w:color="auto" w:fill="auto"/>
                  <w:vAlign w:val="bottom"/>
                </w:tcPr>
                <w:p w14:paraId="3AED3CFA" w14:textId="77777777" w:rsidR="002B7D28" w:rsidRPr="006C640E" w:rsidRDefault="001D7B4D" w:rsidP="006C640E">
                  <w:pPr>
                    <w:pStyle w:val="C-TableText"/>
                    <w:keepNext/>
                    <w:spacing w:before="0" w:after="0"/>
                    <w:jc w:val="both"/>
                    <w:rPr>
                      <w:szCs w:val="22"/>
                      <w:lang w:val="es-ES"/>
                    </w:rPr>
                  </w:pPr>
                  <w:r w:rsidRPr="006C640E">
                    <w:rPr>
                      <w:szCs w:val="22"/>
                      <w:lang w:val="es-ES"/>
                    </w:rPr>
                    <w:t>6,8 (5,</w:t>
                  </w:r>
                  <w:r w:rsidR="002B7D28" w:rsidRPr="006C640E">
                    <w:rPr>
                      <w:szCs w:val="22"/>
                      <w:lang w:val="es-ES"/>
                    </w:rPr>
                    <w:t>7</w:t>
                  </w:r>
                  <w:r w:rsidRPr="006C640E">
                    <w:rPr>
                      <w:szCs w:val="22"/>
                      <w:lang w:val="es-ES"/>
                    </w:rPr>
                    <w:t>;</w:t>
                  </w:r>
                  <w:r w:rsidR="002B7D28" w:rsidRPr="006C640E">
                    <w:rPr>
                      <w:szCs w:val="22"/>
                      <w:lang w:val="es-ES"/>
                    </w:rPr>
                    <w:t xml:space="preserve"> 7</w:t>
                  </w:r>
                  <w:r w:rsidRPr="006C640E">
                    <w:rPr>
                      <w:szCs w:val="22"/>
                      <w:lang w:val="es-ES"/>
                    </w:rPr>
                    <w:t>,</w:t>
                  </w:r>
                  <w:r w:rsidR="002B7D28" w:rsidRPr="006C640E">
                    <w:rPr>
                      <w:szCs w:val="22"/>
                      <w:lang w:val="es-ES"/>
                    </w:rPr>
                    <w:t>7)</w:t>
                  </w:r>
                </w:p>
              </w:tc>
              <w:tc>
                <w:tcPr>
                  <w:tcW w:w="1348" w:type="pct"/>
                  <w:shd w:val="clear" w:color="auto" w:fill="auto"/>
                  <w:vAlign w:val="bottom"/>
                </w:tcPr>
                <w:p w14:paraId="3A490BBA" w14:textId="77777777" w:rsidR="002B7D28" w:rsidRPr="006C640E" w:rsidRDefault="001D7B4D" w:rsidP="006C640E">
                  <w:pPr>
                    <w:pStyle w:val="C-TableText"/>
                    <w:keepNext/>
                    <w:spacing w:before="0" w:after="0"/>
                    <w:jc w:val="both"/>
                    <w:rPr>
                      <w:szCs w:val="22"/>
                      <w:lang w:val="es-ES"/>
                    </w:rPr>
                  </w:pPr>
                  <w:r w:rsidRPr="006C640E">
                    <w:rPr>
                      <w:szCs w:val="22"/>
                      <w:lang w:val="es-ES"/>
                    </w:rPr>
                    <w:t>6,</w:t>
                  </w:r>
                  <w:r w:rsidR="002B7D28" w:rsidRPr="006C640E">
                    <w:rPr>
                      <w:szCs w:val="22"/>
                      <w:lang w:val="es-ES"/>
                    </w:rPr>
                    <w:t>5 (5</w:t>
                  </w:r>
                  <w:r w:rsidRPr="006C640E">
                    <w:rPr>
                      <w:szCs w:val="22"/>
                      <w:lang w:val="es-ES"/>
                    </w:rPr>
                    <w:t>,</w:t>
                  </w:r>
                  <w:r w:rsidR="002B7D28" w:rsidRPr="006C640E">
                    <w:rPr>
                      <w:szCs w:val="22"/>
                      <w:lang w:val="es-ES"/>
                    </w:rPr>
                    <w:t>7</w:t>
                  </w:r>
                  <w:r w:rsidRPr="006C640E">
                    <w:rPr>
                      <w:szCs w:val="22"/>
                      <w:lang w:val="es-ES"/>
                    </w:rPr>
                    <w:t>;</w:t>
                  </w:r>
                  <w:r w:rsidR="002B7D28" w:rsidRPr="006C640E">
                    <w:rPr>
                      <w:szCs w:val="22"/>
                      <w:lang w:val="es-ES"/>
                    </w:rPr>
                    <w:t xml:space="preserve"> 6</w:t>
                  </w:r>
                  <w:r w:rsidRPr="006C640E">
                    <w:rPr>
                      <w:szCs w:val="22"/>
                      <w:lang w:val="es-ES"/>
                    </w:rPr>
                    <w:t>,</w:t>
                  </w:r>
                  <w:r w:rsidR="002B7D28" w:rsidRPr="006C640E">
                    <w:rPr>
                      <w:szCs w:val="22"/>
                      <w:lang w:val="es-ES"/>
                    </w:rPr>
                    <w:t>9)</w:t>
                  </w:r>
                </w:p>
              </w:tc>
            </w:tr>
            <w:tr w:rsidR="002B7D28" w:rsidRPr="00BF57A3" w14:paraId="082E9248" w14:textId="77777777" w:rsidTr="007903C4">
              <w:trPr>
                <w:jc w:val="center"/>
              </w:trPr>
              <w:tc>
                <w:tcPr>
                  <w:tcW w:w="2545" w:type="pct"/>
                  <w:shd w:val="clear" w:color="auto" w:fill="auto"/>
                  <w:vAlign w:val="bottom"/>
                </w:tcPr>
                <w:p w14:paraId="68525746" w14:textId="77777777" w:rsidR="002B7D28" w:rsidRPr="006C640E" w:rsidRDefault="002B7D28" w:rsidP="006C640E">
                  <w:pPr>
                    <w:pStyle w:val="C-TableText"/>
                    <w:keepNext/>
                    <w:spacing w:before="0" w:after="0"/>
                    <w:ind w:left="334"/>
                    <w:jc w:val="both"/>
                    <w:rPr>
                      <w:szCs w:val="22"/>
                      <w:lang w:val="es-ES"/>
                    </w:rPr>
                  </w:pPr>
                  <w:r w:rsidRPr="006C640E">
                    <w:rPr>
                      <w:szCs w:val="22"/>
                      <w:lang w:val="es-ES"/>
                    </w:rPr>
                    <w:t>HR</w:t>
                  </w:r>
                  <w:r w:rsidRPr="006C640E">
                    <w:rPr>
                      <w:szCs w:val="22"/>
                      <w:vertAlign w:val="subscript"/>
                      <w:lang w:val="es-ES"/>
                    </w:rPr>
                    <w:t xml:space="preserve">A/T </w:t>
                  </w:r>
                  <w:r w:rsidRPr="006C640E">
                    <w:rPr>
                      <w:szCs w:val="22"/>
                      <w:lang w:val="es-ES"/>
                    </w:rPr>
                    <w:t>(95% CI)</w:t>
                  </w:r>
                </w:p>
              </w:tc>
              <w:tc>
                <w:tcPr>
                  <w:tcW w:w="2455" w:type="pct"/>
                  <w:gridSpan w:val="2"/>
                  <w:shd w:val="clear" w:color="auto" w:fill="auto"/>
                  <w:vAlign w:val="bottom"/>
                </w:tcPr>
                <w:p w14:paraId="39EB0514" w14:textId="77777777" w:rsidR="002B7D28" w:rsidRPr="006C640E" w:rsidRDefault="001D7B4D" w:rsidP="006C640E">
                  <w:pPr>
                    <w:pStyle w:val="C-TableText"/>
                    <w:keepNext/>
                    <w:spacing w:before="0" w:after="0"/>
                    <w:jc w:val="both"/>
                    <w:rPr>
                      <w:szCs w:val="22"/>
                      <w:lang w:val="es-ES"/>
                    </w:rPr>
                  </w:pPr>
                  <w:r w:rsidRPr="006C640E">
                    <w:rPr>
                      <w:szCs w:val="22"/>
                      <w:lang w:val="es-ES"/>
                    </w:rPr>
                    <w:t>0,949 (0,830; 1,</w:t>
                  </w:r>
                  <w:r w:rsidR="002B7D28" w:rsidRPr="006C640E">
                    <w:rPr>
                      <w:szCs w:val="22"/>
                      <w:lang w:val="es-ES"/>
                    </w:rPr>
                    <w:t>086)</w:t>
                  </w:r>
                </w:p>
              </w:tc>
            </w:tr>
            <w:tr w:rsidR="002B7D28" w:rsidRPr="00BF57A3" w14:paraId="2BBB81D8" w14:textId="77777777" w:rsidTr="007903C4">
              <w:trPr>
                <w:jc w:val="center"/>
              </w:trPr>
              <w:tc>
                <w:tcPr>
                  <w:tcW w:w="5000" w:type="pct"/>
                  <w:gridSpan w:val="3"/>
                  <w:shd w:val="clear" w:color="auto" w:fill="auto"/>
                  <w:vAlign w:val="bottom"/>
                </w:tcPr>
                <w:p w14:paraId="7DAE889A" w14:textId="77777777" w:rsidR="002B7D28" w:rsidRPr="006C640E" w:rsidRDefault="001D7B4D" w:rsidP="006C640E">
                  <w:pPr>
                    <w:pStyle w:val="C-TableText"/>
                    <w:keepNext/>
                    <w:spacing w:before="0" w:after="0"/>
                    <w:jc w:val="both"/>
                    <w:rPr>
                      <w:szCs w:val="22"/>
                      <w:lang w:val="es-ES"/>
                    </w:rPr>
                  </w:pPr>
                  <w:r w:rsidRPr="006C640E">
                    <w:rPr>
                      <w:b/>
                      <w:szCs w:val="22"/>
                      <w:lang w:val="es-ES"/>
                    </w:rPr>
                    <w:t>Ukupno preživljavanje</w:t>
                  </w:r>
                </w:p>
              </w:tc>
            </w:tr>
            <w:tr w:rsidR="002B7D28" w:rsidRPr="00BF57A3" w14:paraId="662433F7" w14:textId="77777777" w:rsidTr="007903C4">
              <w:trPr>
                <w:jc w:val="center"/>
              </w:trPr>
              <w:tc>
                <w:tcPr>
                  <w:tcW w:w="2545" w:type="pct"/>
                  <w:shd w:val="clear" w:color="auto" w:fill="auto"/>
                  <w:vAlign w:val="bottom"/>
                </w:tcPr>
                <w:p w14:paraId="537105B9" w14:textId="77777777" w:rsidR="002B7D28" w:rsidRPr="006C640E" w:rsidRDefault="001D7B4D" w:rsidP="006C640E">
                  <w:pPr>
                    <w:pStyle w:val="C-TableText"/>
                    <w:keepNext/>
                    <w:spacing w:before="0" w:after="0"/>
                    <w:ind w:left="334"/>
                    <w:jc w:val="both"/>
                    <w:rPr>
                      <w:szCs w:val="22"/>
                      <w:lang w:val="es-ES"/>
                    </w:rPr>
                  </w:pPr>
                  <w:r w:rsidRPr="006C640E">
                    <w:rPr>
                      <w:szCs w:val="22"/>
                      <w:lang w:val="es-ES"/>
                    </w:rPr>
                    <w:t>Broj smrti</w:t>
                  </w:r>
                  <w:r w:rsidR="002B7D28" w:rsidRPr="006C640E">
                    <w:rPr>
                      <w:szCs w:val="22"/>
                      <w:lang w:val="es-ES"/>
                    </w:rPr>
                    <w:t>, n (%)</w:t>
                  </w:r>
                </w:p>
              </w:tc>
              <w:tc>
                <w:tcPr>
                  <w:tcW w:w="1107" w:type="pct"/>
                  <w:shd w:val="clear" w:color="auto" w:fill="auto"/>
                  <w:vAlign w:val="bottom"/>
                </w:tcPr>
                <w:p w14:paraId="31F56446" w14:textId="77777777" w:rsidR="002B7D28" w:rsidRPr="006C640E" w:rsidRDefault="002B7D28" w:rsidP="006C640E">
                  <w:pPr>
                    <w:pStyle w:val="C-TableText"/>
                    <w:keepNext/>
                    <w:spacing w:before="0" w:after="0"/>
                    <w:jc w:val="both"/>
                    <w:rPr>
                      <w:szCs w:val="22"/>
                      <w:lang w:val="es-ES"/>
                    </w:rPr>
                  </w:pPr>
                  <w:r w:rsidRPr="006C640E">
                    <w:rPr>
                      <w:szCs w:val="22"/>
                      <w:lang w:val="es-ES"/>
                    </w:rPr>
                    <w:t>360 (69%)</w:t>
                  </w:r>
                </w:p>
              </w:tc>
              <w:tc>
                <w:tcPr>
                  <w:tcW w:w="1348" w:type="pct"/>
                  <w:shd w:val="clear" w:color="auto" w:fill="auto"/>
                  <w:vAlign w:val="bottom"/>
                </w:tcPr>
                <w:p w14:paraId="2E1491A5" w14:textId="77777777" w:rsidR="002B7D28" w:rsidRPr="006C640E" w:rsidRDefault="002B7D28" w:rsidP="006C640E">
                  <w:pPr>
                    <w:pStyle w:val="C-TableText"/>
                    <w:keepNext/>
                    <w:spacing w:before="0" w:after="0"/>
                    <w:jc w:val="both"/>
                    <w:rPr>
                      <w:szCs w:val="22"/>
                      <w:lang w:val="es-ES"/>
                    </w:rPr>
                  </w:pPr>
                  <w:r w:rsidRPr="006C640E">
                    <w:rPr>
                      <w:szCs w:val="22"/>
                      <w:lang w:val="es-ES"/>
                    </w:rPr>
                    <w:t>384 (72%)</w:t>
                  </w:r>
                </w:p>
              </w:tc>
            </w:tr>
            <w:tr w:rsidR="002B7D28" w:rsidRPr="00BF57A3" w14:paraId="698DCDE1" w14:textId="77777777" w:rsidTr="007903C4">
              <w:trPr>
                <w:jc w:val="center"/>
              </w:trPr>
              <w:tc>
                <w:tcPr>
                  <w:tcW w:w="2545" w:type="pct"/>
                  <w:shd w:val="clear" w:color="auto" w:fill="auto"/>
                  <w:vAlign w:val="bottom"/>
                </w:tcPr>
                <w:p w14:paraId="15EA8072" w14:textId="77777777" w:rsidR="002B7D28" w:rsidRPr="006C640E" w:rsidRDefault="002B7D28" w:rsidP="006C640E">
                  <w:pPr>
                    <w:pStyle w:val="C-TableText"/>
                    <w:keepNext/>
                    <w:spacing w:before="0" w:after="0"/>
                    <w:ind w:left="334"/>
                    <w:jc w:val="both"/>
                    <w:rPr>
                      <w:szCs w:val="22"/>
                      <w:lang w:val="es-ES"/>
                    </w:rPr>
                  </w:pPr>
                  <w:r w:rsidRPr="006C640E">
                    <w:rPr>
                      <w:szCs w:val="22"/>
                      <w:lang w:val="es-ES"/>
                    </w:rPr>
                    <w:t>Medi</w:t>
                  </w:r>
                  <w:r w:rsidR="001D7B4D" w:rsidRPr="006C640E">
                    <w:rPr>
                      <w:szCs w:val="22"/>
                      <w:lang w:val="es-ES"/>
                    </w:rPr>
                    <w:t>j</w:t>
                  </w:r>
                  <w:r w:rsidRPr="006C640E">
                    <w:rPr>
                      <w:szCs w:val="22"/>
                      <w:lang w:val="es-ES"/>
                    </w:rPr>
                    <w:t>an OS (95% CI) (</w:t>
                  </w:r>
                  <w:r w:rsidR="001D7B4D" w:rsidRPr="006C640E">
                    <w:rPr>
                      <w:szCs w:val="22"/>
                      <w:lang w:val="es-ES"/>
                    </w:rPr>
                    <w:t>mjeseci</w:t>
                  </w:r>
                  <w:r w:rsidRPr="006C640E">
                    <w:rPr>
                      <w:szCs w:val="22"/>
                      <w:lang w:val="es-ES"/>
                    </w:rPr>
                    <w:t>)</w:t>
                  </w:r>
                </w:p>
              </w:tc>
              <w:tc>
                <w:tcPr>
                  <w:tcW w:w="1107" w:type="pct"/>
                  <w:shd w:val="clear" w:color="auto" w:fill="auto"/>
                  <w:vAlign w:val="bottom"/>
                </w:tcPr>
                <w:p w14:paraId="604E569A" w14:textId="77777777" w:rsidR="002B7D28" w:rsidRPr="006C640E" w:rsidRDefault="001D7B4D" w:rsidP="006C640E">
                  <w:pPr>
                    <w:pStyle w:val="C-TableText"/>
                    <w:keepNext/>
                    <w:spacing w:before="0" w:after="0"/>
                    <w:jc w:val="both"/>
                    <w:rPr>
                      <w:szCs w:val="22"/>
                      <w:lang w:val="es-ES"/>
                    </w:rPr>
                  </w:pPr>
                  <w:r w:rsidRPr="006C640E">
                    <w:rPr>
                      <w:szCs w:val="22"/>
                      <w:lang w:val="es-ES"/>
                    </w:rPr>
                    <w:t>12,1 (10,</w:t>
                  </w:r>
                  <w:r w:rsidR="002B7D28" w:rsidRPr="006C640E">
                    <w:rPr>
                      <w:szCs w:val="22"/>
                      <w:lang w:val="es-ES"/>
                    </w:rPr>
                    <w:t>8</w:t>
                  </w:r>
                  <w:r w:rsidRPr="006C640E">
                    <w:rPr>
                      <w:szCs w:val="22"/>
                      <w:lang w:val="es-ES"/>
                    </w:rPr>
                    <w:t>;</w:t>
                  </w:r>
                  <w:r w:rsidR="002B7D28" w:rsidRPr="006C640E">
                    <w:rPr>
                      <w:szCs w:val="22"/>
                      <w:lang w:val="es-ES"/>
                    </w:rPr>
                    <w:t xml:space="preserve"> 12</w:t>
                  </w:r>
                  <w:r w:rsidRPr="006C640E">
                    <w:rPr>
                      <w:szCs w:val="22"/>
                      <w:lang w:val="es-ES"/>
                    </w:rPr>
                    <w:t>,</w:t>
                  </w:r>
                  <w:r w:rsidR="002B7D28" w:rsidRPr="006C640E">
                    <w:rPr>
                      <w:szCs w:val="22"/>
                      <w:lang w:val="es-ES"/>
                    </w:rPr>
                    <w:t>9)</w:t>
                  </w:r>
                </w:p>
              </w:tc>
              <w:tc>
                <w:tcPr>
                  <w:tcW w:w="1348" w:type="pct"/>
                  <w:shd w:val="clear" w:color="auto" w:fill="auto"/>
                  <w:vAlign w:val="bottom"/>
                </w:tcPr>
                <w:p w14:paraId="385D2CD6" w14:textId="77777777" w:rsidR="002B7D28" w:rsidRPr="006C640E" w:rsidRDefault="001D7B4D" w:rsidP="006C640E">
                  <w:pPr>
                    <w:pStyle w:val="C-TableText"/>
                    <w:keepNext/>
                    <w:spacing w:before="0" w:after="0"/>
                    <w:jc w:val="both"/>
                    <w:rPr>
                      <w:szCs w:val="22"/>
                      <w:lang w:val="es-ES"/>
                    </w:rPr>
                  </w:pPr>
                  <w:r w:rsidRPr="006C640E">
                    <w:rPr>
                      <w:szCs w:val="22"/>
                      <w:lang w:val="es-ES"/>
                    </w:rPr>
                    <w:t>11,2 (10,</w:t>
                  </w:r>
                  <w:r w:rsidR="002B7D28" w:rsidRPr="006C640E">
                    <w:rPr>
                      <w:szCs w:val="22"/>
                      <w:lang w:val="es-ES"/>
                    </w:rPr>
                    <w:t>3</w:t>
                  </w:r>
                  <w:r w:rsidRPr="006C640E">
                    <w:rPr>
                      <w:szCs w:val="22"/>
                      <w:lang w:val="es-ES"/>
                    </w:rPr>
                    <w:t>;</w:t>
                  </w:r>
                  <w:r w:rsidR="002B7D28" w:rsidRPr="006C640E">
                    <w:rPr>
                      <w:szCs w:val="22"/>
                      <w:lang w:val="es-ES"/>
                    </w:rPr>
                    <w:t xml:space="preserve"> 12</w:t>
                  </w:r>
                  <w:r w:rsidRPr="006C640E">
                    <w:rPr>
                      <w:szCs w:val="22"/>
                      <w:lang w:val="es-ES"/>
                    </w:rPr>
                    <w:t>,</w:t>
                  </w:r>
                  <w:r w:rsidR="002B7D28" w:rsidRPr="006C640E">
                    <w:rPr>
                      <w:szCs w:val="22"/>
                      <w:lang w:val="es-ES"/>
                    </w:rPr>
                    <w:t>6)</w:t>
                  </w:r>
                </w:p>
              </w:tc>
            </w:tr>
            <w:tr w:rsidR="002B7D28" w:rsidRPr="00BF57A3" w14:paraId="336EB3F7" w14:textId="77777777" w:rsidTr="007903C4">
              <w:trPr>
                <w:jc w:val="center"/>
              </w:trPr>
              <w:tc>
                <w:tcPr>
                  <w:tcW w:w="2545" w:type="pct"/>
                  <w:shd w:val="clear" w:color="auto" w:fill="auto"/>
                  <w:vAlign w:val="bottom"/>
                </w:tcPr>
                <w:p w14:paraId="00201D2A" w14:textId="77777777" w:rsidR="002B7D28" w:rsidRPr="006C640E" w:rsidRDefault="002B7D28" w:rsidP="006C640E">
                  <w:pPr>
                    <w:pStyle w:val="C-TableText"/>
                    <w:keepNext/>
                    <w:spacing w:before="0" w:after="0"/>
                    <w:ind w:left="334"/>
                    <w:jc w:val="both"/>
                    <w:rPr>
                      <w:szCs w:val="22"/>
                      <w:lang w:val="es-ES"/>
                    </w:rPr>
                  </w:pPr>
                  <w:r w:rsidRPr="006C640E">
                    <w:rPr>
                      <w:szCs w:val="22"/>
                      <w:lang w:val="es-ES"/>
                    </w:rPr>
                    <w:t>HR</w:t>
                  </w:r>
                  <w:r w:rsidRPr="006C640E">
                    <w:rPr>
                      <w:szCs w:val="22"/>
                      <w:vertAlign w:val="subscript"/>
                      <w:lang w:val="es-ES"/>
                    </w:rPr>
                    <w:t>A/T</w:t>
                  </w:r>
                  <w:r w:rsidRPr="006C640E">
                    <w:rPr>
                      <w:szCs w:val="22"/>
                      <w:lang w:val="es-ES"/>
                    </w:rPr>
                    <w:t xml:space="preserve"> (95</w:t>
                  </w:r>
                  <w:r w:rsidR="006D2218" w:rsidRPr="006C640E">
                    <w:rPr>
                      <w:szCs w:val="22"/>
                      <w:lang w:val="es-ES"/>
                    </w:rPr>
                    <w:t>,</w:t>
                  </w:r>
                  <w:r w:rsidRPr="006C640E">
                    <w:rPr>
                      <w:szCs w:val="22"/>
                      <w:lang w:val="es-ES"/>
                    </w:rPr>
                    <w:t>1% CI)</w:t>
                  </w:r>
                </w:p>
              </w:tc>
              <w:tc>
                <w:tcPr>
                  <w:tcW w:w="2455" w:type="pct"/>
                  <w:gridSpan w:val="2"/>
                  <w:shd w:val="clear" w:color="auto" w:fill="auto"/>
                  <w:vAlign w:val="bottom"/>
                </w:tcPr>
                <w:p w14:paraId="6B0B815D" w14:textId="77777777" w:rsidR="002B7D28" w:rsidRPr="006C640E" w:rsidRDefault="001D7B4D" w:rsidP="006C640E">
                  <w:pPr>
                    <w:pStyle w:val="C-TableText"/>
                    <w:keepNext/>
                    <w:spacing w:before="0" w:after="0"/>
                    <w:jc w:val="both"/>
                    <w:rPr>
                      <w:szCs w:val="22"/>
                      <w:lang w:val="es-ES"/>
                    </w:rPr>
                  </w:pPr>
                  <w:r w:rsidRPr="006C640E">
                    <w:rPr>
                      <w:szCs w:val="22"/>
                      <w:lang w:val="es-ES"/>
                    </w:rPr>
                    <w:t>0,</w:t>
                  </w:r>
                  <w:r w:rsidR="002B7D28" w:rsidRPr="006C640E">
                    <w:rPr>
                      <w:szCs w:val="22"/>
                      <w:lang w:val="es-ES"/>
                    </w:rPr>
                    <w:t>922 (0</w:t>
                  </w:r>
                  <w:r w:rsidRPr="006C640E">
                    <w:rPr>
                      <w:szCs w:val="22"/>
                      <w:lang w:val="es-ES"/>
                    </w:rPr>
                    <w:t>,</w:t>
                  </w:r>
                  <w:r w:rsidR="002B7D28" w:rsidRPr="006C640E">
                    <w:rPr>
                      <w:szCs w:val="22"/>
                      <w:lang w:val="es-ES"/>
                    </w:rPr>
                    <w:t>797</w:t>
                  </w:r>
                  <w:r w:rsidRPr="006C640E">
                    <w:rPr>
                      <w:szCs w:val="22"/>
                      <w:lang w:val="es-ES"/>
                    </w:rPr>
                    <w:t>;</w:t>
                  </w:r>
                  <w:r w:rsidR="002B7D28" w:rsidRPr="006C640E">
                    <w:rPr>
                      <w:szCs w:val="22"/>
                      <w:lang w:val="es-ES"/>
                    </w:rPr>
                    <w:t xml:space="preserve"> 1</w:t>
                  </w:r>
                  <w:r w:rsidRPr="006C640E">
                    <w:rPr>
                      <w:szCs w:val="22"/>
                      <w:lang w:val="es-ES"/>
                    </w:rPr>
                    <w:t>,</w:t>
                  </w:r>
                  <w:r w:rsidR="002B7D28" w:rsidRPr="006C640E">
                    <w:rPr>
                      <w:szCs w:val="22"/>
                      <w:lang w:val="es-ES"/>
                    </w:rPr>
                    <w:t>066)</w:t>
                  </w:r>
                </w:p>
              </w:tc>
            </w:tr>
          </w:tbl>
          <w:p w14:paraId="38FAD13D" w14:textId="77777777" w:rsidR="002B7D28" w:rsidRPr="00BF57A3" w:rsidRDefault="002B7D28" w:rsidP="006C640E">
            <w:pPr>
              <w:pStyle w:val="Header"/>
              <w:tabs>
                <w:tab w:val="left" w:pos="284"/>
              </w:tabs>
              <w:jc w:val="both"/>
              <w:rPr>
                <w:sz w:val="22"/>
                <w:szCs w:val="22"/>
                <w:lang w:val="es-ES"/>
              </w:rPr>
            </w:pPr>
          </w:p>
          <w:p w14:paraId="0939E815" w14:textId="77777777" w:rsidR="002B7D28" w:rsidRPr="006C640E" w:rsidRDefault="002B7D28" w:rsidP="00BF57A3">
            <w:pPr>
              <w:pStyle w:val="Header"/>
              <w:tabs>
                <w:tab w:val="left" w:pos="284"/>
              </w:tabs>
              <w:jc w:val="both"/>
              <w:rPr>
                <w:sz w:val="22"/>
                <w:szCs w:val="22"/>
                <w:lang w:val="es-ES"/>
              </w:rPr>
            </w:pPr>
            <w:r w:rsidRPr="006C640E">
              <w:rPr>
                <w:sz w:val="22"/>
                <w:szCs w:val="22"/>
                <w:lang w:val="es-ES"/>
              </w:rPr>
              <w:t>CI = interval pouzdanosti; HR</w:t>
            </w:r>
            <w:r w:rsidRPr="006C640E">
              <w:rPr>
                <w:sz w:val="22"/>
                <w:szCs w:val="22"/>
                <w:vertAlign w:val="subscript"/>
                <w:lang w:val="es-ES"/>
              </w:rPr>
              <w:t>A/T</w:t>
            </w:r>
            <w:r w:rsidRPr="006C640E">
              <w:rPr>
                <w:sz w:val="22"/>
                <w:szCs w:val="22"/>
                <w:lang w:val="es-ES"/>
              </w:rPr>
              <w:t xml:space="preserve"> = </w:t>
            </w:r>
            <w:r w:rsidR="009654BF" w:rsidRPr="006C640E">
              <w:rPr>
                <w:i/>
                <w:sz w:val="22"/>
                <w:szCs w:val="22"/>
                <w:lang w:val="es-ES"/>
              </w:rPr>
              <w:t>hazard ratio</w:t>
            </w:r>
            <w:r w:rsidR="009654BF" w:rsidRPr="006C640E">
              <w:rPr>
                <w:sz w:val="22"/>
                <w:szCs w:val="22"/>
                <w:lang w:val="es-ES"/>
              </w:rPr>
              <w:t xml:space="preserve"> </w:t>
            </w:r>
            <w:r w:rsidRPr="006C640E">
              <w:rPr>
                <w:sz w:val="22"/>
                <w:szCs w:val="22"/>
                <w:lang w:val="es-ES"/>
              </w:rPr>
              <w:t xml:space="preserve">za Abraxane/karboplatin </w:t>
            </w:r>
            <w:r w:rsidR="009654BF" w:rsidRPr="006C640E">
              <w:rPr>
                <w:sz w:val="22"/>
                <w:szCs w:val="22"/>
                <w:lang w:val="es-ES"/>
              </w:rPr>
              <w:t xml:space="preserve">prema paklitaksel u rastvaraču </w:t>
            </w:r>
            <w:r w:rsidRPr="006C640E">
              <w:rPr>
                <w:sz w:val="22"/>
                <w:szCs w:val="22"/>
                <w:lang w:val="es-ES"/>
              </w:rPr>
              <w:t>/karboplatin; p</w:t>
            </w:r>
            <w:r w:rsidRPr="006C640E">
              <w:rPr>
                <w:sz w:val="22"/>
                <w:szCs w:val="22"/>
                <w:vertAlign w:val="subscript"/>
                <w:lang w:val="es-ES"/>
              </w:rPr>
              <w:t>A</w:t>
            </w:r>
            <w:r w:rsidRPr="006C640E">
              <w:rPr>
                <w:sz w:val="22"/>
                <w:szCs w:val="22"/>
                <w:lang w:val="es-ES"/>
              </w:rPr>
              <w:t>/p</w:t>
            </w:r>
            <w:r w:rsidRPr="006C640E">
              <w:rPr>
                <w:sz w:val="22"/>
                <w:szCs w:val="22"/>
                <w:vertAlign w:val="subscript"/>
                <w:lang w:val="es-ES"/>
              </w:rPr>
              <w:t>T</w:t>
            </w:r>
            <w:r w:rsidRPr="006C640E">
              <w:rPr>
                <w:sz w:val="22"/>
                <w:szCs w:val="22"/>
                <w:lang w:val="es-ES"/>
              </w:rPr>
              <w:t xml:space="preserve"> = </w:t>
            </w:r>
            <w:r w:rsidR="006C4EDF" w:rsidRPr="006C640E">
              <w:rPr>
                <w:sz w:val="22"/>
                <w:szCs w:val="22"/>
                <w:lang w:val="es-ES"/>
              </w:rPr>
              <w:t>odnos</w:t>
            </w:r>
            <w:r w:rsidRPr="006C640E">
              <w:rPr>
                <w:sz w:val="22"/>
                <w:szCs w:val="22"/>
                <w:lang w:val="es-ES"/>
              </w:rPr>
              <w:t xml:space="preserve"> stope odgovora za Abraxane/karboplatin </w:t>
            </w:r>
            <w:r w:rsidR="00FB6791" w:rsidRPr="006C640E">
              <w:rPr>
                <w:sz w:val="22"/>
                <w:szCs w:val="22"/>
                <w:lang w:val="es-ES"/>
              </w:rPr>
              <w:t xml:space="preserve">prema paklitaksel u rastvaraču </w:t>
            </w:r>
            <w:r w:rsidRPr="006C640E">
              <w:rPr>
                <w:sz w:val="22"/>
                <w:szCs w:val="22"/>
                <w:lang w:val="es-ES"/>
              </w:rPr>
              <w:t>/karboplatin</w:t>
            </w:r>
          </w:p>
          <w:p w14:paraId="0D8915B8" w14:textId="77777777" w:rsidR="002B7D28" w:rsidRPr="006C640E" w:rsidRDefault="002B7D28">
            <w:pPr>
              <w:pStyle w:val="Header"/>
              <w:tabs>
                <w:tab w:val="left" w:pos="284"/>
              </w:tabs>
              <w:jc w:val="both"/>
              <w:rPr>
                <w:sz w:val="22"/>
                <w:szCs w:val="22"/>
                <w:lang w:val="es-ES"/>
              </w:rPr>
            </w:pPr>
            <w:r w:rsidRPr="006C640E">
              <w:rPr>
                <w:sz w:val="22"/>
                <w:szCs w:val="22"/>
                <w:vertAlign w:val="superscript"/>
                <w:lang w:val="es-ES"/>
              </w:rPr>
              <w:t>a</w:t>
            </w:r>
            <w:r w:rsidRPr="006C640E">
              <w:rPr>
                <w:sz w:val="22"/>
                <w:szCs w:val="22"/>
                <w:lang w:val="es-ES"/>
              </w:rPr>
              <w:t xml:space="preserve"> </w:t>
            </w:r>
            <w:r w:rsidR="00FB6791" w:rsidRPr="006C640E">
              <w:rPr>
                <w:sz w:val="22"/>
                <w:szCs w:val="22"/>
                <w:lang w:val="es-ES"/>
              </w:rPr>
              <w:t>U skladu sa</w:t>
            </w:r>
            <w:r w:rsidRPr="006C640E">
              <w:rPr>
                <w:sz w:val="22"/>
                <w:szCs w:val="22"/>
                <w:lang w:val="es-ES"/>
              </w:rPr>
              <w:t xml:space="preserve"> metodolo</w:t>
            </w:r>
            <w:r w:rsidR="00FB6791" w:rsidRPr="006C640E">
              <w:rPr>
                <w:sz w:val="22"/>
                <w:szCs w:val="22"/>
                <w:lang w:val="es-ES"/>
              </w:rPr>
              <w:t>škim</w:t>
            </w:r>
            <w:r w:rsidRPr="006C640E">
              <w:rPr>
                <w:sz w:val="22"/>
                <w:szCs w:val="22"/>
                <w:lang w:val="es-ES"/>
              </w:rPr>
              <w:t xml:space="preserve"> razmatranj</w:t>
            </w:r>
            <w:r w:rsidR="00FB6791" w:rsidRPr="006C640E">
              <w:rPr>
                <w:sz w:val="22"/>
                <w:szCs w:val="22"/>
                <w:lang w:val="es-ES"/>
              </w:rPr>
              <w:t>em</w:t>
            </w:r>
            <w:r w:rsidRPr="006C640E">
              <w:rPr>
                <w:sz w:val="22"/>
                <w:szCs w:val="22"/>
                <w:lang w:val="es-ES"/>
              </w:rPr>
              <w:t xml:space="preserve"> EMA-e za PFS kao ishod, u cenzuru nisu bila uključena opažanja koja su nedostajala ili započinjanje sljedeće nove terapije.  </w:t>
            </w:r>
          </w:p>
          <w:p w14:paraId="5F12EE23" w14:textId="77777777" w:rsidR="002B7D28" w:rsidRPr="00BF57A3" w:rsidRDefault="002B7D28">
            <w:pPr>
              <w:pStyle w:val="Header"/>
              <w:tabs>
                <w:tab w:val="left" w:pos="284"/>
              </w:tabs>
              <w:jc w:val="both"/>
              <w:rPr>
                <w:sz w:val="22"/>
                <w:szCs w:val="22"/>
                <w:lang w:val="es-ES"/>
              </w:rPr>
            </w:pPr>
          </w:p>
          <w:p w14:paraId="74469AB0" w14:textId="77777777" w:rsidR="00AA7CC9" w:rsidRPr="00BF57A3" w:rsidRDefault="00AA7CC9">
            <w:pPr>
              <w:pStyle w:val="Header"/>
              <w:tabs>
                <w:tab w:val="left" w:pos="284"/>
              </w:tabs>
              <w:jc w:val="both"/>
              <w:rPr>
                <w:sz w:val="22"/>
                <w:szCs w:val="22"/>
                <w:u w:val="single"/>
                <w:lang w:val="es-ES"/>
              </w:rPr>
            </w:pPr>
            <w:r w:rsidRPr="00BF57A3">
              <w:rPr>
                <w:sz w:val="22"/>
                <w:szCs w:val="22"/>
                <w:u w:val="single"/>
                <w:lang w:val="es-ES"/>
              </w:rPr>
              <w:t>Pedijatrijska populacija</w:t>
            </w:r>
          </w:p>
          <w:p w14:paraId="53A95A4E" w14:textId="77777777" w:rsidR="00786695" w:rsidRPr="00BF57A3" w:rsidRDefault="00786695">
            <w:pPr>
              <w:pStyle w:val="Header"/>
              <w:tabs>
                <w:tab w:val="left" w:pos="284"/>
              </w:tabs>
              <w:jc w:val="both"/>
              <w:rPr>
                <w:sz w:val="22"/>
                <w:szCs w:val="22"/>
                <w:u w:val="single"/>
                <w:lang w:val="es-ES"/>
              </w:rPr>
            </w:pPr>
          </w:p>
          <w:p w14:paraId="22FA52A8" w14:textId="4FC64B70" w:rsidR="00786695" w:rsidRPr="00BF57A3" w:rsidRDefault="00CA6DE8">
            <w:pPr>
              <w:pStyle w:val="Header"/>
              <w:tabs>
                <w:tab w:val="left" w:pos="284"/>
              </w:tabs>
              <w:jc w:val="both"/>
              <w:rPr>
                <w:sz w:val="22"/>
                <w:szCs w:val="22"/>
                <w:lang w:val="es-ES"/>
              </w:rPr>
            </w:pPr>
            <w:r w:rsidRPr="00BF57A3">
              <w:rPr>
                <w:sz w:val="22"/>
                <w:szCs w:val="22"/>
                <w:lang w:val="es-ES"/>
              </w:rPr>
              <w:t>Nije ustanovljena b</w:t>
            </w:r>
            <w:r w:rsidR="00786695" w:rsidRPr="00BF57A3">
              <w:rPr>
                <w:sz w:val="22"/>
                <w:szCs w:val="22"/>
                <w:lang w:val="es-ES"/>
              </w:rPr>
              <w:t>e</w:t>
            </w:r>
            <w:r w:rsidRPr="00BF57A3">
              <w:rPr>
                <w:sz w:val="22"/>
                <w:szCs w:val="22"/>
                <w:lang w:val="es-ES"/>
              </w:rPr>
              <w:t>z</w:t>
            </w:r>
            <w:r w:rsidR="00786695" w:rsidRPr="00BF57A3">
              <w:rPr>
                <w:sz w:val="22"/>
                <w:szCs w:val="22"/>
                <w:lang w:val="es-ES"/>
              </w:rPr>
              <w:t xml:space="preserve">bijednost </w:t>
            </w:r>
            <w:r w:rsidRPr="00BF57A3">
              <w:rPr>
                <w:sz w:val="22"/>
                <w:szCs w:val="22"/>
                <w:lang w:val="es-ES"/>
              </w:rPr>
              <w:t>i</w:t>
            </w:r>
            <w:r w:rsidR="00786695" w:rsidRPr="00BF57A3">
              <w:rPr>
                <w:sz w:val="22"/>
                <w:szCs w:val="22"/>
                <w:lang w:val="es-ES"/>
              </w:rPr>
              <w:t xml:space="preserve"> efikasnot </w:t>
            </w:r>
            <w:r w:rsidRPr="00BF57A3">
              <w:rPr>
                <w:sz w:val="22"/>
                <w:szCs w:val="22"/>
                <w:lang w:val="es-ES"/>
              </w:rPr>
              <w:t xml:space="preserve">kod pedijatrijske populacije. (vidjeti </w:t>
            </w:r>
            <w:r w:rsidR="00F0319A">
              <w:rPr>
                <w:sz w:val="22"/>
                <w:szCs w:val="22"/>
                <w:lang w:val="es-ES"/>
              </w:rPr>
              <w:t>dio</w:t>
            </w:r>
            <w:r w:rsidR="00F0319A" w:rsidRPr="00BF57A3">
              <w:rPr>
                <w:sz w:val="22"/>
                <w:szCs w:val="22"/>
                <w:lang w:val="es-ES"/>
              </w:rPr>
              <w:t xml:space="preserve"> </w:t>
            </w:r>
            <w:r w:rsidR="00786695" w:rsidRPr="00BF57A3">
              <w:rPr>
                <w:sz w:val="22"/>
                <w:szCs w:val="22"/>
                <w:lang w:val="es-ES"/>
              </w:rPr>
              <w:t>4.2).</w:t>
            </w:r>
          </w:p>
          <w:p w14:paraId="7841B538" w14:textId="77777777" w:rsidR="00CA6DE8" w:rsidRPr="00BF57A3" w:rsidRDefault="00CA6DE8">
            <w:pPr>
              <w:pStyle w:val="Header"/>
              <w:tabs>
                <w:tab w:val="left" w:pos="284"/>
              </w:tabs>
              <w:jc w:val="both"/>
              <w:rPr>
                <w:sz w:val="22"/>
                <w:szCs w:val="22"/>
                <w:lang w:val="es-ES"/>
              </w:rPr>
            </w:pPr>
          </w:p>
          <w:p w14:paraId="0BD21C69" w14:textId="0548E294" w:rsidR="00786695" w:rsidRPr="00BF57A3" w:rsidRDefault="00CA6DE8">
            <w:pPr>
              <w:pStyle w:val="Header"/>
              <w:tabs>
                <w:tab w:val="left" w:pos="284"/>
              </w:tabs>
              <w:jc w:val="both"/>
              <w:rPr>
                <w:sz w:val="22"/>
                <w:szCs w:val="22"/>
                <w:lang w:val="es-ES"/>
              </w:rPr>
            </w:pPr>
            <w:r w:rsidRPr="00BF57A3">
              <w:rPr>
                <w:sz w:val="22"/>
                <w:szCs w:val="22"/>
                <w:lang w:val="es-ES"/>
              </w:rPr>
              <w:t xml:space="preserve">U </w:t>
            </w:r>
            <w:r w:rsidR="003757F7" w:rsidRPr="00BF57A3">
              <w:rPr>
                <w:sz w:val="22"/>
                <w:szCs w:val="22"/>
                <w:lang w:val="es-ES"/>
              </w:rPr>
              <w:t xml:space="preserve">multicentričnoj, otvorenoj </w:t>
            </w:r>
            <w:r w:rsidRPr="00BF57A3">
              <w:rPr>
                <w:sz w:val="22"/>
                <w:szCs w:val="22"/>
                <w:lang w:val="es-ES"/>
              </w:rPr>
              <w:t xml:space="preserve">studiji ABI-007-PST-001, </w:t>
            </w:r>
            <w:r w:rsidR="003757F7" w:rsidRPr="00BF57A3">
              <w:rPr>
                <w:sz w:val="22"/>
                <w:szCs w:val="22"/>
                <w:lang w:val="es-ES"/>
              </w:rPr>
              <w:t xml:space="preserve">studiji </w:t>
            </w:r>
            <w:r w:rsidRPr="00BF57A3">
              <w:rPr>
                <w:sz w:val="22"/>
                <w:szCs w:val="22"/>
                <w:lang w:val="es-ES"/>
              </w:rPr>
              <w:t>faze I/II, radi utvrđivanja</w:t>
            </w:r>
            <w:r w:rsidR="003757F7" w:rsidRPr="00BF57A3">
              <w:rPr>
                <w:sz w:val="22"/>
                <w:szCs w:val="22"/>
                <w:lang w:val="es-ES"/>
              </w:rPr>
              <w:t xml:space="preserve"> d</w:t>
            </w:r>
            <w:r w:rsidRPr="00BF57A3">
              <w:rPr>
                <w:sz w:val="22"/>
                <w:szCs w:val="22"/>
                <w:lang w:val="es-ES"/>
              </w:rPr>
              <w:t xml:space="preserve">oze za ocjenu bezbijednosti, podnošljivosti i preliminarne </w:t>
            </w:r>
            <w:proofErr w:type="gramStart"/>
            <w:r w:rsidRPr="00BF57A3">
              <w:rPr>
                <w:sz w:val="22"/>
                <w:szCs w:val="22"/>
                <w:lang w:val="es-ES"/>
              </w:rPr>
              <w:t>efikasnosti  nedjeljne</w:t>
            </w:r>
            <w:proofErr w:type="gramEnd"/>
            <w:r w:rsidRPr="00BF57A3">
              <w:rPr>
                <w:sz w:val="22"/>
                <w:szCs w:val="22"/>
                <w:lang w:val="es-ES"/>
              </w:rPr>
              <w:t xml:space="preserve"> primjene lijeka Abraxane</w:t>
            </w:r>
            <w:r w:rsidR="003757F7" w:rsidRPr="00BF57A3">
              <w:rPr>
                <w:sz w:val="22"/>
                <w:szCs w:val="22"/>
                <w:lang w:val="es-ES"/>
              </w:rPr>
              <w:t xml:space="preserve"> </w:t>
            </w:r>
            <w:r w:rsidRPr="00BF57A3">
              <w:rPr>
                <w:sz w:val="22"/>
                <w:szCs w:val="22"/>
                <w:lang w:val="es-ES"/>
              </w:rPr>
              <w:t xml:space="preserve">kod pedijatrijskih pacijenata  sa rekurentnim ili otpornim čvrstim tumorima, ukupno </w:t>
            </w:r>
            <w:r w:rsidR="003757F7" w:rsidRPr="00BF57A3">
              <w:rPr>
                <w:sz w:val="22"/>
                <w:szCs w:val="22"/>
                <w:lang w:val="es-ES"/>
              </w:rPr>
              <w:t xml:space="preserve">je </w:t>
            </w:r>
            <w:r w:rsidRPr="00BF57A3">
              <w:rPr>
                <w:sz w:val="22"/>
                <w:szCs w:val="22"/>
                <w:lang w:val="es-ES"/>
              </w:rPr>
              <w:t>bilo uključeno 106</w:t>
            </w:r>
            <w:r w:rsidR="003757F7" w:rsidRPr="00BF57A3">
              <w:rPr>
                <w:sz w:val="22"/>
                <w:szCs w:val="22"/>
                <w:lang w:val="es-ES"/>
              </w:rPr>
              <w:t xml:space="preserve"> pacijenata  starosti </w:t>
            </w:r>
            <w:r w:rsidRPr="00BF57A3">
              <w:rPr>
                <w:sz w:val="22"/>
                <w:szCs w:val="22"/>
                <w:lang w:val="es-ES"/>
              </w:rPr>
              <w:t>od ≥ 6 mjeseci do ≤ 24 godine.</w:t>
            </w:r>
          </w:p>
          <w:p w14:paraId="16988D63" w14:textId="453C7E13" w:rsidR="00CA6DE8" w:rsidRPr="00BF57A3" w:rsidRDefault="003757F7">
            <w:pPr>
              <w:pStyle w:val="Header"/>
              <w:tabs>
                <w:tab w:val="left" w:pos="284"/>
              </w:tabs>
              <w:jc w:val="both"/>
              <w:rPr>
                <w:sz w:val="22"/>
                <w:szCs w:val="22"/>
                <w:lang w:val="es-ES"/>
              </w:rPr>
            </w:pPr>
            <w:r w:rsidRPr="00BF57A3">
              <w:rPr>
                <w:sz w:val="22"/>
                <w:szCs w:val="22"/>
                <w:lang w:val="es-ES"/>
              </w:rPr>
              <w:t>U studiji faze I ukupno su bila uključena 64 pacijenta starosti od 6 mjeseci do navršenih</w:t>
            </w:r>
            <w:r w:rsidR="0007490C">
              <w:rPr>
                <w:sz w:val="22"/>
                <w:szCs w:val="22"/>
                <w:lang w:val="es-ES"/>
              </w:rPr>
              <w:t xml:space="preserve"> </w:t>
            </w:r>
            <w:r w:rsidRPr="00BF57A3">
              <w:rPr>
                <w:sz w:val="22"/>
                <w:szCs w:val="22"/>
                <w:lang w:val="es-ES"/>
              </w:rPr>
              <w:t>18 godina i utvrđena je   najveća podnošljiva doza (MTD) koja iznosi 240 mg/m2, primijenjena kao intravenska infuzija u trajanju od 30 minuta na 1., 8. i 15. dan svakog 28-dnevnog ciklusa.</w:t>
            </w:r>
          </w:p>
          <w:p w14:paraId="7574CD01" w14:textId="4DCD8BAD" w:rsidR="00786695" w:rsidRPr="00BF57A3" w:rsidRDefault="003757F7">
            <w:pPr>
              <w:pStyle w:val="Header"/>
              <w:tabs>
                <w:tab w:val="left" w:pos="284"/>
              </w:tabs>
              <w:jc w:val="both"/>
              <w:rPr>
                <w:sz w:val="22"/>
                <w:szCs w:val="22"/>
                <w:lang w:val="es-ES"/>
              </w:rPr>
            </w:pPr>
            <w:r w:rsidRPr="00BF57A3">
              <w:rPr>
                <w:sz w:val="22"/>
                <w:szCs w:val="22"/>
                <w:lang w:val="es-ES"/>
              </w:rPr>
              <w:t xml:space="preserve">U fazi II ukupno su bila uključena 42 </w:t>
            </w:r>
            <w:proofErr w:type="gramStart"/>
            <w:r w:rsidRPr="00BF57A3">
              <w:rPr>
                <w:sz w:val="22"/>
                <w:szCs w:val="22"/>
                <w:lang w:val="es-ES"/>
              </w:rPr>
              <w:t xml:space="preserve">pacijenta  </w:t>
            </w:r>
            <w:r w:rsidR="0080691C" w:rsidRPr="00BF57A3">
              <w:rPr>
                <w:sz w:val="22"/>
                <w:szCs w:val="22"/>
                <w:lang w:val="es-ES"/>
              </w:rPr>
              <w:t>koristeći</w:t>
            </w:r>
            <w:proofErr w:type="gramEnd"/>
            <w:r w:rsidR="0080691C" w:rsidRPr="00BF57A3">
              <w:rPr>
                <w:sz w:val="22"/>
                <w:szCs w:val="22"/>
                <w:lang w:val="es-ES"/>
              </w:rPr>
              <w:t xml:space="preserve">  Simon dvostepeni  </w:t>
            </w:r>
            <w:r w:rsidRPr="00BF57A3">
              <w:rPr>
                <w:sz w:val="22"/>
                <w:szCs w:val="22"/>
                <w:lang w:val="es-ES"/>
              </w:rPr>
              <w:t xml:space="preserve">minimaks dizajn, </w:t>
            </w:r>
            <w:r w:rsidR="0080691C" w:rsidRPr="00BF57A3">
              <w:rPr>
                <w:sz w:val="22"/>
                <w:szCs w:val="22"/>
                <w:lang w:val="es-ES"/>
              </w:rPr>
              <w:t xml:space="preserve">starosti </w:t>
            </w:r>
            <w:r w:rsidRPr="00BF57A3">
              <w:rPr>
                <w:sz w:val="22"/>
                <w:szCs w:val="22"/>
                <w:lang w:val="es-ES"/>
              </w:rPr>
              <w:t xml:space="preserve"> od 6 mjeseci do 24 godine s</w:t>
            </w:r>
            <w:r w:rsidR="0080691C" w:rsidRPr="00BF57A3">
              <w:rPr>
                <w:sz w:val="22"/>
                <w:szCs w:val="22"/>
                <w:lang w:val="es-ES"/>
              </w:rPr>
              <w:t>a</w:t>
            </w:r>
            <w:r w:rsidRPr="00BF57A3">
              <w:rPr>
                <w:sz w:val="22"/>
                <w:szCs w:val="22"/>
                <w:lang w:val="es-ES"/>
              </w:rPr>
              <w:t xml:space="preserve"> rekurentnim ili otpornim Ewing</w:t>
            </w:r>
            <w:r w:rsidR="0080691C" w:rsidRPr="00BF57A3">
              <w:rPr>
                <w:sz w:val="22"/>
                <w:szCs w:val="22"/>
                <w:lang w:val="es-ES"/>
              </w:rPr>
              <w:t>-</w:t>
            </w:r>
            <w:r w:rsidRPr="00BF57A3">
              <w:rPr>
                <w:sz w:val="22"/>
                <w:szCs w:val="22"/>
                <w:lang w:val="es-ES"/>
              </w:rPr>
              <w:t>ovim sarkomom,</w:t>
            </w:r>
            <w:r w:rsidR="0080691C" w:rsidRPr="00BF57A3">
              <w:rPr>
                <w:sz w:val="22"/>
                <w:szCs w:val="22"/>
                <w:lang w:val="es-ES"/>
              </w:rPr>
              <w:t xml:space="preserve"> </w:t>
            </w:r>
            <w:r w:rsidRPr="00BF57A3">
              <w:rPr>
                <w:sz w:val="22"/>
                <w:szCs w:val="22"/>
                <w:lang w:val="es-ES"/>
              </w:rPr>
              <w:t xml:space="preserve">neuroblastomom ili rabdomiosarkomom </w:t>
            </w:r>
            <w:r w:rsidR="0080691C" w:rsidRPr="00BF57A3">
              <w:rPr>
                <w:sz w:val="22"/>
                <w:szCs w:val="22"/>
                <w:lang w:val="es-ES"/>
              </w:rPr>
              <w:t xml:space="preserve">za evaluaciju </w:t>
            </w:r>
            <w:r w:rsidRPr="00BF57A3">
              <w:rPr>
                <w:sz w:val="22"/>
                <w:szCs w:val="22"/>
                <w:lang w:val="es-ES"/>
              </w:rPr>
              <w:t xml:space="preserve"> a</w:t>
            </w:r>
            <w:r w:rsidR="0080691C" w:rsidRPr="00BF57A3">
              <w:rPr>
                <w:sz w:val="22"/>
                <w:szCs w:val="22"/>
                <w:lang w:val="es-ES"/>
              </w:rPr>
              <w:t xml:space="preserve">ntitumorne aktivnosti na osnovu </w:t>
            </w:r>
            <w:r w:rsidRPr="00BF57A3">
              <w:rPr>
                <w:sz w:val="22"/>
                <w:szCs w:val="22"/>
                <w:lang w:val="es-ES"/>
              </w:rPr>
              <w:t xml:space="preserve"> stope</w:t>
            </w:r>
            <w:r w:rsidR="0080691C" w:rsidRPr="00BF57A3">
              <w:rPr>
                <w:sz w:val="22"/>
                <w:szCs w:val="22"/>
                <w:lang w:val="es-ES"/>
              </w:rPr>
              <w:t xml:space="preserve"> </w:t>
            </w:r>
            <w:r w:rsidRPr="00BF57A3">
              <w:rPr>
                <w:sz w:val="22"/>
                <w:szCs w:val="22"/>
                <w:lang w:val="es-ES"/>
              </w:rPr>
              <w:t>u</w:t>
            </w:r>
            <w:r w:rsidR="0080691C" w:rsidRPr="00BF57A3">
              <w:rPr>
                <w:sz w:val="22"/>
                <w:szCs w:val="22"/>
                <w:lang w:val="es-ES"/>
              </w:rPr>
              <w:t xml:space="preserve">kupnog odgovora (ORR). Od 42 pacijenta, jedan paijent je bio </w:t>
            </w:r>
            <w:r w:rsidR="00887492" w:rsidRPr="00BF57A3">
              <w:rPr>
                <w:sz w:val="22"/>
                <w:szCs w:val="22"/>
                <w:lang w:val="es-ES"/>
              </w:rPr>
              <w:t>starosti</w:t>
            </w:r>
            <w:r w:rsidRPr="00BF57A3">
              <w:rPr>
                <w:sz w:val="22"/>
                <w:szCs w:val="22"/>
                <w:lang w:val="es-ES"/>
              </w:rPr>
              <w:t xml:space="preserve"> od &lt; 2 godine, 27 ih je bilo </w:t>
            </w:r>
            <w:proofErr w:type="gramStart"/>
            <w:r w:rsidRPr="00BF57A3">
              <w:rPr>
                <w:sz w:val="22"/>
                <w:szCs w:val="22"/>
                <w:lang w:val="es-ES"/>
              </w:rPr>
              <w:t>u</w:t>
            </w:r>
            <w:r w:rsidR="00887492" w:rsidRPr="00BF57A3">
              <w:rPr>
                <w:sz w:val="22"/>
                <w:szCs w:val="22"/>
                <w:lang w:val="es-ES"/>
              </w:rPr>
              <w:t xml:space="preserve">zrasta  </w:t>
            </w:r>
            <w:r w:rsidRPr="00BF57A3">
              <w:rPr>
                <w:sz w:val="22"/>
                <w:szCs w:val="22"/>
                <w:lang w:val="es-ES"/>
              </w:rPr>
              <w:t>od</w:t>
            </w:r>
            <w:proofErr w:type="gramEnd"/>
            <w:r w:rsidRPr="00BF57A3">
              <w:rPr>
                <w:sz w:val="22"/>
                <w:szCs w:val="22"/>
                <w:lang w:val="es-ES"/>
              </w:rPr>
              <w:t xml:space="preserve"> ≥ 2 do &lt; </w:t>
            </w:r>
            <w:r w:rsidR="00887492" w:rsidRPr="00BF57A3">
              <w:rPr>
                <w:sz w:val="22"/>
                <w:szCs w:val="22"/>
                <w:lang w:val="es-ES"/>
              </w:rPr>
              <w:t xml:space="preserve">12 godina, 12 ih je bilo starosti </w:t>
            </w:r>
            <w:r w:rsidRPr="00BF57A3">
              <w:rPr>
                <w:sz w:val="22"/>
                <w:szCs w:val="22"/>
                <w:lang w:val="es-ES"/>
              </w:rPr>
              <w:t>od ≥ 12 do &lt;</w:t>
            </w:r>
            <w:r w:rsidR="00887492" w:rsidRPr="00BF57A3">
              <w:rPr>
                <w:sz w:val="22"/>
                <w:szCs w:val="22"/>
                <w:lang w:val="es-ES"/>
              </w:rPr>
              <w:t xml:space="preserve"> 18 godina i 2 odrasla pacijenta su  bila starosti </w:t>
            </w:r>
            <w:r w:rsidRPr="00BF57A3">
              <w:rPr>
                <w:sz w:val="22"/>
                <w:szCs w:val="22"/>
                <w:lang w:val="es-ES"/>
              </w:rPr>
              <w:t>od ≥ 18 do 24 godine.</w:t>
            </w:r>
          </w:p>
          <w:p w14:paraId="1CE9887D" w14:textId="61744097" w:rsidR="00A7327D" w:rsidRPr="00BF57A3" w:rsidRDefault="00A7327D">
            <w:pPr>
              <w:pStyle w:val="Header"/>
              <w:tabs>
                <w:tab w:val="left" w:pos="284"/>
              </w:tabs>
              <w:jc w:val="both"/>
              <w:rPr>
                <w:sz w:val="22"/>
                <w:szCs w:val="22"/>
                <w:lang w:val="es-ES"/>
              </w:rPr>
            </w:pPr>
            <w:proofErr w:type="gramStart"/>
            <w:r w:rsidRPr="00BF57A3">
              <w:rPr>
                <w:sz w:val="22"/>
                <w:szCs w:val="22"/>
                <w:lang w:val="es-ES"/>
              </w:rPr>
              <w:t>Pacijenti  su</w:t>
            </w:r>
            <w:proofErr w:type="gramEnd"/>
            <w:r w:rsidRPr="00BF57A3">
              <w:rPr>
                <w:sz w:val="22"/>
                <w:szCs w:val="22"/>
                <w:lang w:val="es-ES"/>
              </w:rPr>
              <w:t xml:space="preserve"> liječeni uz medijanu od 2 ciklusa pri MTD. Od 41 pacijenta koji su ispunjavali uslove za evaluaciju </w:t>
            </w:r>
            <w:proofErr w:type="gramStart"/>
            <w:r w:rsidRPr="00BF57A3">
              <w:rPr>
                <w:sz w:val="22"/>
                <w:szCs w:val="22"/>
                <w:lang w:val="es-ES"/>
              </w:rPr>
              <w:t>efikasnosti  u</w:t>
            </w:r>
            <w:proofErr w:type="gramEnd"/>
            <w:r w:rsidRPr="00BF57A3">
              <w:rPr>
                <w:sz w:val="22"/>
                <w:szCs w:val="22"/>
                <w:lang w:val="es-ES"/>
              </w:rPr>
              <w:t xml:space="preserve"> 1. </w:t>
            </w:r>
            <w:proofErr w:type="gramStart"/>
            <w:r w:rsidRPr="00BF57A3">
              <w:rPr>
                <w:sz w:val="22"/>
                <w:szCs w:val="22"/>
                <w:lang w:val="es-ES"/>
              </w:rPr>
              <w:t>fazi ,</w:t>
            </w:r>
            <w:proofErr w:type="gramEnd"/>
            <w:r w:rsidRPr="00BF57A3">
              <w:rPr>
                <w:sz w:val="22"/>
                <w:szCs w:val="22"/>
                <w:lang w:val="es-ES"/>
              </w:rPr>
              <w:t xml:space="preserve"> u grupi pacijenata sa rabdomiosarkomom (N=14) 1 ispitanik postigao je potvrđeni djelimični odgovor (PR) rezultirajući stopom ukupnog odgovora od 7,1% (95% CI: 0,2; 33,9). U grupama pacijenata </w:t>
            </w:r>
            <w:proofErr w:type="gramStart"/>
            <w:r w:rsidRPr="00BF57A3">
              <w:rPr>
                <w:sz w:val="22"/>
                <w:szCs w:val="22"/>
                <w:lang w:val="es-ES"/>
              </w:rPr>
              <w:t>sa  Ewing</w:t>
            </w:r>
            <w:proofErr w:type="gramEnd"/>
            <w:r w:rsidRPr="00BF57A3">
              <w:rPr>
                <w:sz w:val="22"/>
                <w:szCs w:val="22"/>
                <w:lang w:val="es-ES"/>
              </w:rPr>
              <w:t>-ovim sarkomom (N=13) ili neuroblastomom (N=14) nije bilo potvrđenih sveukupnih odgovora (CR) ili</w:t>
            </w:r>
          </w:p>
          <w:p w14:paraId="4625F741" w14:textId="43DECB67" w:rsidR="00786695" w:rsidRPr="00BF57A3" w:rsidRDefault="00A7327D">
            <w:pPr>
              <w:pStyle w:val="Header"/>
              <w:tabs>
                <w:tab w:val="left" w:pos="284"/>
              </w:tabs>
              <w:jc w:val="both"/>
              <w:rPr>
                <w:sz w:val="22"/>
                <w:szCs w:val="22"/>
                <w:lang w:val="es-ES"/>
              </w:rPr>
            </w:pPr>
            <w:r w:rsidRPr="00BF57A3">
              <w:rPr>
                <w:sz w:val="22"/>
                <w:szCs w:val="22"/>
                <w:lang w:val="es-ES"/>
              </w:rPr>
              <w:t>potvrđenih djelimičnih odgovora (PR). Nijedna grupa ispitanika nije prošla u 2. fazu jer nije zadovoljen zahtjev definisan protokolom od ≥ 2 pacijenta sa potvrđenim odgovorom.</w:t>
            </w:r>
          </w:p>
          <w:p w14:paraId="398B5C45" w14:textId="77777777" w:rsidR="00786695" w:rsidRPr="00BF57A3" w:rsidRDefault="00786695">
            <w:pPr>
              <w:pStyle w:val="Header"/>
              <w:tabs>
                <w:tab w:val="left" w:pos="284"/>
              </w:tabs>
              <w:jc w:val="both"/>
              <w:rPr>
                <w:sz w:val="22"/>
                <w:szCs w:val="22"/>
                <w:u w:val="single"/>
                <w:lang w:val="es-ES"/>
              </w:rPr>
            </w:pPr>
          </w:p>
          <w:p w14:paraId="325F8CDF" w14:textId="4391CE4B" w:rsidR="007F3AD4" w:rsidRPr="00BF57A3" w:rsidRDefault="00A7327D">
            <w:pPr>
              <w:pStyle w:val="Header"/>
              <w:tabs>
                <w:tab w:val="left" w:pos="284"/>
              </w:tabs>
              <w:jc w:val="both"/>
              <w:rPr>
                <w:sz w:val="22"/>
                <w:szCs w:val="22"/>
                <w:lang w:val="es-ES"/>
              </w:rPr>
            </w:pPr>
            <w:r w:rsidRPr="00BF57A3">
              <w:rPr>
                <w:sz w:val="22"/>
                <w:szCs w:val="22"/>
                <w:lang w:val="es-ES"/>
              </w:rPr>
              <w:t xml:space="preserve">Rezultati </w:t>
            </w:r>
            <w:r w:rsidR="007F3AD4" w:rsidRPr="00BF57A3">
              <w:rPr>
                <w:sz w:val="22"/>
                <w:szCs w:val="22"/>
                <w:lang w:val="es-ES"/>
              </w:rPr>
              <w:t>medijana ukupnog preživljavanja</w:t>
            </w:r>
            <w:r w:rsidRPr="00BF57A3">
              <w:rPr>
                <w:sz w:val="22"/>
                <w:szCs w:val="22"/>
                <w:lang w:val="es-ES"/>
              </w:rPr>
              <w:t>, uključujući jednogodišnje razdoblje praćenja, iznosili su</w:t>
            </w:r>
            <w:r w:rsidR="007F3AD4" w:rsidRPr="00BF57A3">
              <w:rPr>
                <w:sz w:val="22"/>
                <w:szCs w:val="22"/>
                <w:lang w:val="es-ES"/>
              </w:rPr>
              <w:t xml:space="preserve"> </w:t>
            </w:r>
            <w:r w:rsidRPr="00BF57A3">
              <w:rPr>
                <w:sz w:val="22"/>
                <w:szCs w:val="22"/>
                <w:lang w:val="es-ES"/>
              </w:rPr>
              <w:t xml:space="preserve">32,1 </w:t>
            </w:r>
            <w:r w:rsidR="007F3AD4" w:rsidRPr="00BF57A3">
              <w:rPr>
                <w:sz w:val="22"/>
                <w:szCs w:val="22"/>
                <w:lang w:val="es-ES"/>
              </w:rPr>
              <w:t>nedjelje (95% CI: 21,4; 72,9) za grupu</w:t>
            </w:r>
            <w:r w:rsidRPr="00BF57A3">
              <w:rPr>
                <w:sz w:val="22"/>
                <w:szCs w:val="22"/>
                <w:lang w:val="es-ES"/>
              </w:rPr>
              <w:t xml:space="preserve"> ispitanika s</w:t>
            </w:r>
            <w:r w:rsidR="007F3AD4" w:rsidRPr="00BF57A3">
              <w:rPr>
                <w:sz w:val="22"/>
                <w:szCs w:val="22"/>
                <w:lang w:val="es-ES"/>
              </w:rPr>
              <w:t>a</w:t>
            </w:r>
            <w:r w:rsidRPr="00BF57A3">
              <w:rPr>
                <w:sz w:val="22"/>
                <w:szCs w:val="22"/>
                <w:lang w:val="es-ES"/>
              </w:rPr>
              <w:t xml:space="preserve"> Ewing</w:t>
            </w:r>
            <w:r w:rsidR="007F3AD4" w:rsidRPr="00BF57A3">
              <w:rPr>
                <w:sz w:val="22"/>
                <w:szCs w:val="22"/>
                <w:lang w:val="es-ES"/>
              </w:rPr>
              <w:t>-ovim sarkomom, 32,0 nedjelje</w:t>
            </w:r>
            <w:r w:rsidRPr="00BF57A3">
              <w:rPr>
                <w:sz w:val="22"/>
                <w:szCs w:val="22"/>
                <w:lang w:val="es-ES"/>
              </w:rPr>
              <w:t xml:space="preserve"> (95% CI:</w:t>
            </w:r>
            <w:r w:rsidR="007F3AD4" w:rsidRPr="00BF57A3">
              <w:rPr>
                <w:sz w:val="22"/>
                <w:szCs w:val="22"/>
                <w:lang w:val="es-ES"/>
              </w:rPr>
              <w:t xml:space="preserve">12; nije ustanovljeno) za </w:t>
            </w:r>
            <w:proofErr w:type="gramStart"/>
            <w:r w:rsidR="007F3AD4" w:rsidRPr="00BF57A3">
              <w:rPr>
                <w:sz w:val="22"/>
                <w:szCs w:val="22"/>
                <w:lang w:val="es-ES"/>
              </w:rPr>
              <w:t xml:space="preserve">grupu </w:t>
            </w:r>
            <w:r w:rsidRPr="00BF57A3">
              <w:rPr>
                <w:sz w:val="22"/>
                <w:szCs w:val="22"/>
                <w:lang w:val="es-ES"/>
              </w:rPr>
              <w:t xml:space="preserve"> ispitanika</w:t>
            </w:r>
            <w:proofErr w:type="gramEnd"/>
            <w:r w:rsidRPr="00BF57A3">
              <w:rPr>
                <w:sz w:val="22"/>
                <w:szCs w:val="22"/>
                <w:lang w:val="es-ES"/>
              </w:rPr>
              <w:t xml:space="preserve"> s</w:t>
            </w:r>
            <w:r w:rsidR="007F3AD4" w:rsidRPr="00BF57A3">
              <w:rPr>
                <w:sz w:val="22"/>
                <w:szCs w:val="22"/>
                <w:lang w:val="es-ES"/>
              </w:rPr>
              <w:t>a neuroblastomom i 19,6 nedjelje</w:t>
            </w:r>
            <w:r w:rsidRPr="00BF57A3">
              <w:rPr>
                <w:sz w:val="22"/>
                <w:szCs w:val="22"/>
                <w:lang w:val="es-ES"/>
              </w:rPr>
              <w:t xml:space="preserve"> (95% CI: 4; 25,7) za</w:t>
            </w:r>
            <w:r w:rsidR="007F3AD4" w:rsidRPr="00BF57A3">
              <w:rPr>
                <w:sz w:val="22"/>
                <w:szCs w:val="22"/>
                <w:lang w:val="es-ES"/>
              </w:rPr>
              <w:t xml:space="preserve"> grupu</w:t>
            </w:r>
            <w:r w:rsidRPr="00BF57A3">
              <w:rPr>
                <w:sz w:val="22"/>
                <w:szCs w:val="22"/>
                <w:lang w:val="es-ES"/>
              </w:rPr>
              <w:t xml:space="preserve"> ispitanika s</w:t>
            </w:r>
            <w:r w:rsidR="007F3AD4" w:rsidRPr="00BF57A3">
              <w:rPr>
                <w:sz w:val="22"/>
                <w:szCs w:val="22"/>
                <w:lang w:val="es-ES"/>
              </w:rPr>
              <w:t>a</w:t>
            </w:r>
            <w:r w:rsidRPr="00BF57A3">
              <w:rPr>
                <w:sz w:val="22"/>
                <w:szCs w:val="22"/>
                <w:lang w:val="es-ES"/>
              </w:rPr>
              <w:t xml:space="preserve"> rabdomiosarkomom.</w:t>
            </w:r>
            <w:r w:rsidRPr="00BF57A3">
              <w:rPr>
                <w:sz w:val="22"/>
                <w:szCs w:val="22"/>
                <w:lang w:val="es-ES"/>
              </w:rPr>
              <w:cr/>
            </w:r>
            <w:r w:rsidR="007F3AD4" w:rsidRPr="00BF57A3">
              <w:rPr>
                <w:sz w:val="22"/>
                <w:szCs w:val="22"/>
                <w:lang w:val="es-ES"/>
              </w:rPr>
              <w:t xml:space="preserve">Sveukupno, </w:t>
            </w:r>
            <w:proofErr w:type="gramStart"/>
            <w:r w:rsidR="007F3AD4" w:rsidRPr="00BF57A3">
              <w:rPr>
                <w:sz w:val="22"/>
                <w:szCs w:val="22"/>
                <w:lang w:val="es-ES"/>
              </w:rPr>
              <w:t>bezbjednosni  profil</w:t>
            </w:r>
            <w:proofErr w:type="gramEnd"/>
            <w:r w:rsidR="007F3AD4" w:rsidRPr="00BF57A3">
              <w:rPr>
                <w:sz w:val="22"/>
                <w:szCs w:val="22"/>
                <w:lang w:val="es-ES"/>
              </w:rPr>
              <w:t xml:space="preserve"> lijeka Abraxane kod pedijatrijskih pacijenata bio je u skladu s onim</w:t>
            </w:r>
          </w:p>
          <w:p w14:paraId="16AC1DA2" w14:textId="51D14612" w:rsidR="007F3AD4" w:rsidRPr="00BF57A3" w:rsidRDefault="007F3AD4">
            <w:pPr>
              <w:pStyle w:val="Header"/>
              <w:tabs>
                <w:tab w:val="left" w:pos="284"/>
              </w:tabs>
              <w:jc w:val="both"/>
              <w:rPr>
                <w:sz w:val="22"/>
                <w:szCs w:val="22"/>
                <w:lang w:val="es-ES"/>
              </w:rPr>
            </w:pPr>
            <w:r w:rsidRPr="00BF57A3">
              <w:rPr>
                <w:sz w:val="22"/>
                <w:szCs w:val="22"/>
                <w:lang w:val="es-ES"/>
              </w:rPr>
              <w:t xml:space="preserve">zapaženim kod odraslih osoba (vidjeti </w:t>
            </w:r>
            <w:r w:rsidR="0007490C">
              <w:rPr>
                <w:sz w:val="22"/>
                <w:szCs w:val="22"/>
                <w:lang w:val="es-ES"/>
              </w:rPr>
              <w:t>dio</w:t>
            </w:r>
            <w:r w:rsidR="0007490C" w:rsidRPr="00BF57A3">
              <w:rPr>
                <w:sz w:val="22"/>
                <w:szCs w:val="22"/>
                <w:lang w:val="es-ES"/>
              </w:rPr>
              <w:t xml:space="preserve"> </w:t>
            </w:r>
            <w:r w:rsidRPr="00BF57A3">
              <w:rPr>
                <w:sz w:val="22"/>
                <w:szCs w:val="22"/>
                <w:lang w:val="es-ES"/>
              </w:rPr>
              <w:t>4.8). Na osnovu ovih rezultata zaključeno je da lijek Abraxane koji se prima kao monoterapija nema značajnu kliničku aktivnost ili korist za preživljavanje kojom se</w:t>
            </w:r>
          </w:p>
          <w:p w14:paraId="760D80BD" w14:textId="39728B49" w:rsidR="00AA7CC9" w:rsidRPr="006C640E" w:rsidRDefault="007F3AD4">
            <w:pPr>
              <w:pStyle w:val="Header"/>
              <w:tabs>
                <w:tab w:val="left" w:pos="284"/>
              </w:tabs>
              <w:jc w:val="both"/>
            </w:pPr>
            <w:r w:rsidRPr="00BF57A3">
              <w:rPr>
                <w:sz w:val="22"/>
                <w:szCs w:val="22"/>
                <w:lang w:val="es-ES"/>
              </w:rPr>
              <w:t>garantuje dalji razvoj u pedijatrijskoj populaciji.</w:t>
            </w:r>
          </w:p>
        </w:tc>
      </w:tr>
    </w:tbl>
    <w:p w14:paraId="3F4EA9E2" w14:textId="5060A489" w:rsidR="00C641FB" w:rsidRDefault="00C641FB" w:rsidP="006C640E">
      <w:pPr>
        <w:tabs>
          <w:tab w:val="left" w:pos="540"/>
          <w:tab w:val="left" w:pos="569"/>
        </w:tabs>
        <w:jc w:val="both"/>
        <w:rPr>
          <w:bCs/>
          <w:sz w:val="22"/>
          <w:szCs w:val="22"/>
          <w:lang w:val="es-ES"/>
        </w:rPr>
      </w:pPr>
    </w:p>
    <w:p w14:paraId="26950977" w14:textId="6BE47BA8" w:rsidR="00B80618" w:rsidRDefault="00B80618" w:rsidP="006C640E">
      <w:pPr>
        <w:tabs>
          <w:tab w:val="left" w:pos="540"/>
          <w:tab w:val="left" w:pos="569"/>
        </w:tabs>
        <w:jc w:val="both"/>
        <w:rPr>
          <w:bCs/>
          <w:sz w:val="22"/>
          <w:szCs w:val="22"/>
          <w:lang w:val="es-ES"/>
        </w:rPr>
      </w:pPr>
    </w:p>
    <w:p w14:paraId="3768D02C" w14:textId="77777777" w:rsidR="00B80618" w:rsidRPr="00BF57A3" w:rsidRDefault="00B80618" w:rsidP="006C640E">
      <w:pPr>
        <w:tabs>
          <w:tab w:val="left" w:pos="540"/>
          <w:tab w:val="left" w:pos="569"/>
        </w:tabs>
        <w:jc w:val="both"/>
        <w:rPr>
          <w:bCs/>
          <w:sz w:val="22"/>
          <w:szCs w:val="22"/>
          <w:lang w:val="es-ES"/>
        </w:rPr>
      </w:pPr>
    </w:p>
    <w:p w14:paraId="47D819CB" w14:textId="77777777" w:rsidR="0072020E" w:rsidRPr="00BF57A3" w:rsidRDefault="0072020E" w:rsidP="00BF57A3">
      <w:pPr>
        <w:tabs>
          <w:tab w:val="left" w:pos="540"/>
          <w:tab w:val="left" w:pos="569"/>
        </w:tabs>
        <w:jc w:val="both"/>
        <w:rPr>
          <w:b/>
          <w:bCs/>
          <w:sz w:val="22"/>
          <w:szCs w:val="22"/>
          <w:lang w:val="es-ES"/>
        </w:rPr>
      </w:pPr>
      <w:r w:rsidRPr="00BF57A3">
        <w:rPr>
          <w:b/>
          <w:bCs/>
          <w:sz w:val="22"/>
          <w:szCs w:val="22"/>
          <w:lang w:val="es-ES"/>
        </w:rPr>
        <w:lastRenderedPageBreak/>
        <w:t xml:space="preserve">5.2. </w:t>
      </w:r>
      <w:r w:rsidR="00480FB1" w:rsidRPr="00BF57A3">
        <w:rPr>
          <w:b/>
          <w:bCs/>
          <w:sz w:val="22"/>
          <w:szCs w:val="22"/>
          <w:lang w:val="es-ES"/>
        </w:rPr>
        <w:tab/>
      </w:r>
      <w:r w:rsidRPr="00BF57A3">
        <w:rPr>
          <w:b/>
          <w:bCs/>
          <w:sz w:val="22"/>
          <w:szCs w:val="22"/>
          <w:lang w:val="es-ES"/>
        </w:rPr>
        <w:t>Farmakokinetički podaci</w:t>
      </w:r>
    </w:p>
    <w:p w14:paraId="486260A7" w14:textId="77777777" w:rsidR="0072020E" w:rsidRPr="00BF57A3" w:rsidRDefault="0072020E">
      <w:pPr>
        <w:tabs>
          <w:tab w:val="left" w:pos="540"/>
          <w:tab w:val="left" w:pos="569"/>
        </w:tabs>
        <w:jc w:val="both"/>
        <w:rPr>
          <w:bCs/>
          <w:sz w:val="22"/>
          <w:szCs w:val="22"/>
          <w:lang w:val="es-ES"/>
        </w:rPr>
      </w:pPr>
    </w:p>
    <w:p w14:paraId="0122D3B1" w14:textId="77777777" w:rsidR="00AA7CC9" w:rsidRPr="00BF57A3" w:rsidRDefault="00AA7CC9">
      <w:pPr>
        <w:pStyle w:val="Header"/>
        <w:tabs>
          <w:tab w:val="left" w:pos="284"/>
        </w:tabs>
        <w:jc w:val="both"/>
        <w:rPr>
          <w:sz w:val="22"/>
          <w:szCs w:val="22"/>
          <w:lang w:val="es-ES"/>
        </w:rPr>
      </w:pPr>
      <w:r w:rsidRPr="00BF57A3">
        <w:rPr>
          <w:sz w:val="22"/>
          <w:szCs w:val="22"/>
          <w:lang w:val="es-ES"/>
        </w:rPr>
        <w:t>Farmakokinetika ukupnog paklitaksela određena je u kliničkim ispitivanjima nakon infuzija lijeka Abraxane od 30 i 180 minuta u rasponima doze od 80 do 375 mg/m</w:t>
      </w:r>
      <w:r w:rsidRPr="00BF57A3">
        <w:rPr>
          <w:sz w:val="22"/>
          <w:szCs w:val="22"/>
          <w:vertAlign w:val="superscript"/>
          <w:lang w:val="es-ES"/>
        </w:rPr>
        <w:t>2</w:t>
      </w:r>
      <w:r w:rsidRPr="00BF57A3">
        <w:rPr>
          <w:sz w:val="22"/>
          <w:szCs w:val="22"/>
          <w:lang w:val="es-ES"/>
        </w:rPr>
        <w:t>. Izloženost paklitakselu (PIK) povećavala se linearno s 2653 na 16 736 ng.h/ml nakon primjenjivanih doza od 80 do 300 mg/m</w:t>
      </w:r>
      <w:r w:rsidRPr="00BF57A3">
        <w:rPr>
          <w:sz w:val="22"/>
          <w:szCs w:val="22"/>
          <w:vertAlign w:val="superscript"/>
          <w:lang w:val="es-ES"/>
        </w:rPr>
        <w:t>2</w:t>
      </w:r>
      <w:r w:rsidRPr="00BF57A3">
        <w:rPr>
          <w:sz w:val="22"/>
          <w:szCs w:val="22"/>
          <w:lang w:val="es-ES"/>
        </w:rPr>
        <w:t>.</w:t>
      </w:r>
    </w:p>
    <w:p w14:paraId="301FEBCB" w14:textId="77777777" w:rsidR="00AA7CC9" w:rsidRPr="00BF57A3" w:rsidRDefault="00AA7CC9">
      <w:pPr>
        <w:pStyle w:val="Header"/>
        <w:tabs>
          <w:tab w:val="left" w:pos="284"/>
        </w:tabs>
        <w:jc w:val="both"/>
        <w:rPr>
          <w:sz w:val="22"/>
          <w:szCs w:val="22"/>
          <w:lang w:val="es-ES"/>
        </w:rPr>
      </w:pPr>
    </w:p>
    <w:p w14:paraId="53A590F4" w14:textId="7A564B9A" w:rsidR="00AA7CC9" w:rsidRPr="00BF57A3" w:rsidRDefault="00AA7CC9">
      <w:pPr>
        <w:pStyle w:val="Header"/>
        <w:tabs>
          <w:tab w:val="left" w:pos="284"/>
        </w:tabs>
        <w:jc w:val="both"/>
        <w:rPr>
          <w:sz w:val="22"/>
          <w:szCs w:val="22"/>
          <w:lang w:val="es-ES"/>
        </w:rPr>
      </w:pPr>
      <w:r w:rsidRPr="00BF57A3">
        <w:rPr>
          <w:sz w:val="22"/>
          <w:szCs w:val="22"/>
          <w:lang w:val="es-ES"/>
        </w:rPr>
        <w:t xml:space="preserve">U ispitivanju na </w:t>
      </w:r>
      <w:r w:rsidR="00BC764F">
        <w:rPr>
          <w:sz w:val="22"/>
          <w:szCs w:val="22"/>
          <w:lang w:val="es-ES"/>
        </w:rPr>
        <w:t>pacijentima</w:t>
      </w:r>
      <w:r w:rsidRPr="00BF57A3">
        <w:rPr>
          <w:sz w:val="22"/>
          <w:szCs w:val="22"/>
          <w:lang w:val="es-ES"/>
        </w:rPr>
        <w:t xml:space="preserve"> sa uznapredovalim solidnim tumorima, upoređivane su farmakokinetičke karakteristike paklitaksela nakon intravenske primjene lijeka Abraxane u dozi od 260 mg/m</w:t>
      </w:r>
      <w:r w:rsidRPr="00BF57A3">
        <w:rPr>
          <w:sz w:val="22"/>
          <w:szCs w:val="22"/>
          <w:vertAlign w:val="superscript"/>
          <w:lang w:val="es-ES"/>
        </w:rPr>
        <w:t>2</w:t>
      </w:r>
      <w:r w:rsidRPr="00BF57A3">
        <w:rPr>
          <w:sz w:val="22"/>
          <w:szCs w:val="22"/>
          <w:lang w:val="es-ES"/>
        </w:rPr>
        <w:t xml:space="preserve"> tokom 30 minuta sa onima nakon primjene injekcije paklitaksela </w:t>
      </w:r>
      <w:r w:rsidR="00CF3AE7" w:rsidRPr="00BF57A3">
        <w:rPr>
          <w:sz w:val="22"/>
          <w:szCs w:val="22"/>
          <w:lang w:val="es-ES"/>
        </w:rPr>
        <w:t xml:space="preserve">u </w:t>
      </w:r>
      <w:r w:rsidR="00450FA4" w:rsidRPr="00BF57A3">
        <w:rPr>
          <w:sz w:val="22"/>
          <w:szCs w:val="22"/>
          <w:lang w:val="es-ES"/>
        </w:rPr>
        <w:t>rastvaraču</w:t>
      </w:r>
      <w:r w:rsidRPr="00BF57A3">
        <w:rPr>
          <w:sz w:val="22"/>
          <w:szCs w:val="22"/>
          <w:lang w:val="es-ES"/>
        </w:rPr>
        <w:t xml:space="preserve"> u dozi od 175 mg/m</w:t>
      </w:r>
      <w:r w:rsidRPr="00BF57A3">
        <w:rPr>
          <w:sz w:val="22"/>
          <w:szCs w:val="22"/>
          <w:vertAlign w:val="superscript"/>
          <w:lang w:val="es-ES"/>
        </w:rPr>
        <w:t>2</w:t>
      </w:r>
      <w:r w:rsidRPr="00BF57A3">
        <w:rPr>
          <w:sz w:val="22"/>
          <w:szCs w:val="22"/>
          <w:lang w:val="es-ES"/>
        </w:rPr>
        <w:t xml:space="preserve"> tokom 3 sata. Na osnovu farmakokinetičke analize bez uključivanja prostora (</w:t>
      </w:r>
      <w:r w:rsidRPr="00BF57A3">
        <w:rPr>
          <w:i/>
          <w:sz w:val="22"/>
          <w:szCs w:val="22"/>
          <w:lang w:val="es-ES"/>
        </w:rPr>
        <w:t>non compartmental PK</w:t>
      </w:r>
      <w:r w:rsidRPr="00BF57A3">
        <w:rPr>
          <w:sz w:val="22"/>
          <w:szCs w:val="22"/>
          <w:lang w:val="es-ES"/>
        </w:rPr>
        <w:t xml:space="preserve">), plazma klirens paklitaksela sa lijekom Abraxane bio je veći (43%) nego nakon primjene injekcija paklitaksela </w:t>
      </w:r>
      <w:r w:rsidR="004938E2" w:rsidRPr="00BF57A3">
        <w:rPr>
          <w:sz w:val="22"/>
          <w:szCs w:val="22"/>
          <w:lang w:val="es-ES"/>
        </w:rPr>
        <w:t>u</w:t>
      </w:r>
      <w:r w:rsidR="00450FA4" w:rsidRPr="00BF57A3">
        <w:rPr>
          <w:sz w:val="22"/>
          <w:szCs w:val="22"/>
          <w:lang w:val="es-ES"/>
        </w:rPr>
        <w:t xml:space="preserve"> rastvaraču</w:t>
      </w:r>
      <w:r w:rsidRPr="00BF57A3">
        <w:rPr>
          <w:sz w:val="22"/>
          <w:szCs w:val="22"/>
          <w:lang w:val="es-ES"/>
        </w:rPr>
        <w:t>, a i njegov volumen distribucije bio je veći (53%). Nije bilo razlika u završnom poluvremenu.</w:t>
      </w:r>
    </w:p>
    <w:p w14:paraId="11B6CD8D" w14:textId="0BA17AD5" w:rsidR="00AA7CC9" w:rsidRPr="00BF57A3" w:rsidRDefault="00AA7CC9">
      <w:pPr>
        <w:pStyle w:val="Header"/>
        <w:tabs>
          <w:tab w:val="left" w:pos="284"/>
        </w:tabs>
        <w:jc w:val="both"/>
        <w:rPr>
          <w:sz w:val="22"/>
          <w:szCs w:val="22"/>
          <w:lang w:val="es-ES"/>
        </w:rPr>
      </w:pPr>
      <w:r w:rsidRPr="00BF57A3">
        <w:rPr>
          <w:sz w:val="22"/>
          <w:szCs w:val="22"/>
          <w:lang w:val="es-ES"/>
        </w:rPr>
        <w:t xml:space="preserve">U ispitivanjima ponovljene doze sa 12 </w:t>
      </w:r>
      <w:r w:rsidR="00E500A3">
        <w:rPr>
          <w:sz w:val="22"/>
          <w:szCs w:val="22"/>
          <w:lang w:val="es-ES"/>
        </w:rPr>
        <w:t>pacijenata</w:t>
      </w:r>
      <w:r w:rsidR="00E500A3" w:rsidRPr="00BF57A3">
        <w:rPr>
          <w:sz w:val="22"/>
          <w:szCs w:val="22"/>
          <w:lang w:val="es-ES"/>
        </w:rPr>
        <w:t xml:space="preserve"> </w:t>
      </w:r>
      <w:r w:rsidRPr="00BF57A3">
        <w:rPr>
          <w:sz w:val="22"/>
          <w:szCs w:val="22"/>
          <w:lang w:val="es-ES"/>
        </w:rPr>
        <w:t>koji su primali lijek Abraxane intravenski u dozi od 260 mg/m</w:t>
      </w:r>
      <w:r w:rsidRPr="00BF57A3">
        <w:rPr>
          <w:sz w:val="22"/>
          <w:szCs w:val="22"/>
          <w:vertAlign w:val="superscript"/>
          <w:lang w:val="es-ES"/>
        </w:rPr>
        <w:t>2</w:t>
      </w:r>
      <w:r w:rsidRPr="00BF57A3">
        <w:rPr>
          <w:sz w:val="22"/>
          <w:szCs w:val="22"/>
          <w:lang w:val="es-ES"/>
        </w:rPr>
        <w:t xml:space="preserve">, varijabilnost između </w:t>
      </w:r>
      <w:r w:rsidR="00BC764F">
        <w:rPr>
          <w:sz w:val="22"/>
          <w:szCs w:val="22"/>
          <w:lang w:val="es-ES"/>
        </w:rPr>
        <w:t>pacijenata</w:t>
      </w:r>
      <w:r w:rsidR="00BC764F" w:rsidRPr="00BF57A3">
        <w:rPr>
          <w:sz w:val="22"/>
          <w:szCs w:val="22"/>
          <w:lang w:val="es-ES"/>
        </w:rPr>
        <w:t xml:space="preserve"> </w:t>
      </w:r>
      <w:r w:rsidRPr="00BF57A3">
        <w:rPr>
          <w:sz w:val="22"/>
          <w:szCs w:val="22"/>
          <w:lang w:val="es-ES"/>
        </w:rPr>
        <w:t xml:space="preserve">u vrijednosti PIK-a iznosila je 19% (raspon = 3,21% - </w:t>
      </w:r>
      <w:r w:rsidR="00377C90" w:rsidRPr="00BF57A3">
        <w:rPr>
          <w:sz w:val="22"/>
          <w:szCs w:val="22"/>
          <w:lang w:val="es-ES"/>
        </w:rPr>
        <w:t>3</w:t>
      </w:r>
      <w:r w:rsidRPr="00BF57A3">
        <w:rPr>
          <w:sz w:val="22"/>
          <w:szCs w:val="22"/>
          <w:lang w:val="es-ES"/>
        </w:rPr>
        <w:t>7,70%). Nije bilo dokaza akumulacije paklitaksela tokom više ciklusa liječenja.</w:t>
      </w:r>
    </w:p>
    <w:p w14:paraId="2CF86168" w14:textId="77777777" w:rsidR="00AA7CC9" w:rsidRPr="00BF57A3" w:rsidRDefault="00AA7CC9">
      <w:pPr>
        <w:pStyle w:val="Header"/>
        <w:tabs>
          <w:tab w:val="left" w:pos="284"/>
        </w:tabs>
        <w:jc w:val="both"/>
        <w:rPr>
          <w:sz w:val="22"/>
          <w:szCs w:val="22"/>
          <w:u w:val="single"/>
          <w:lang w:val="es-ES"/>
        </w:rPr>
      </w:pPr>
    </w:p>
    <w:p w14:paraId="4FBD9BB0" w14:textId="77777777" w:rsidR="00AA7CC9" w:rsidRPr="00BF57A3" w:rsidRDefault="00AA7CC9">
      <w:pPr>
        <w:pStyle w:val="Header"/>
        <w:tabs>
          <w:tab w:val="left" w:pos="284"/>
        </w:tabs>
        <w:jc w:val="both"/>
        <w:rPr>
          <w:sz w:val="22"/>
          <w:szCs w:val="22"/>
          <w:u w:val="single"/>
          <w:lang w:val="es-ES"/>
        </w:rPr>
      </w:pPr>
      <w:r w:rsidRPr="00BF57A3">
        <w:rPr>
          <w:sz w:val="22"/>
          <w:szCs w:val="22"/>
          <w:u w:val="single"/>
          <w:lang w:val="es-ES"/>
        </w:rPr>
        <w:t>Distribucija</w:t>
      </w:r>
    </w:p>
    <w:p w14:paraId="380A7EA9" w14:textId="4CF1F07B" w:rsidR="00AA7CC9" w:rsidRPr="00BF57A3" w:rsidRDefault="00AA7CC9">
      <w:pPr>
        <w:pStyle w:val="Header"/>
        <w:tabs>
          <w:tab w:val="left" w:pos="284"/>
        </w:tabs>
        <w:jc w:val="both"/>
        <w:rPr>
          <w:sz w:val="22"/>
          <w:szCs w:val="22"/>
          <w:lang w:val="es-ES"/>
        </w:rPr>
      </w:pPr>
      <w:r w:rsidRPr="00BF57A3">
        <w:rPr>
          <w:sz w:val="22"/>
          <w:szCs w:val="22"/>
          <w:lang w:val="es-ES"/>
        </w:rPr>
        <w:t xml:space="preserve">Nakon primjene lijeka Abraxane kod </w:t>
      </w:r>
      <w:r w:rsidR="00E500A3">
        <w:rPr>
          <w:sz w:val="22"/>
          <w:szCs w:val="22"/>
          <w:lang w:val="es-ES"/>
        </w:rPr>
        <w:t>pacijenata</w:t>
      </w:r>
      <w:r w:rsidR="00E500A3" w:rsidRPr="00BF57A3">
        <w:rPr>
          <w:sz w:val="22"/>
          <w:szCs w:val="22"/>
          <w:lang w:val="es-ES"/>
        </w:rPr>
        <w:t xml:space="preserve"> </w:t>
      </w:r>
      <w:r w:rsidRPr="00BF57A3">
        <w:rPr>
          <w:sz w:val="22"/>
          <w:szCs w:val="22"/>
          <w:lang w:val="es-ES"/>
        </w:rPr>
        <w:t>sa solidnim tumorima, paklitaksel se jednako distribuira u krvne ćelije i plazmu i vezuje se za proteine plazme u visokom procentu (94%).</w:t>
      </w:r>
    </w:p>
    <w:p w14:paraId="05A9FD6D" w14:textId="77777777" w:rsidR="00AA7CC9" w:rsidRPr="00BF57A3" w:rsidRDefault="00AA7CC9">
      <w:pPr>
        <w:pStyle w:val="Header"/>
        <w:tabs>
          <w:tab w:val="left" w:pos="284"/>
        </w:tabs>
        <w:jc w:val="both"/>
        <w:rPr>
          <w:sz w:val="22"/>
          <w:szCs w:val="22"/>
          <w:lang w:val="es-ES"/>
        </w:rPr>
      </w:pPr>
    </w:p>
    <w:p w14:paraId="656C04E1" w14:textId="78A373E0" w:rsidR="00AA7CC9" w:rsidRPr="00BF57A3" w:rsidRDefault="00AA7CC9">
      <w:pPr>
        <w:pStyle w:val="Header"/>
        <w:tabs>
          <w:tab w:val="left" w:pos="284"/>
        </w:tabs>
        <w:jc w:val="both"/>
        <w:rPr>
          <w:sz w:val="22"/>
          <w:szCs w:val="22"/>
          <w:lang w:val="es-ES"/>
        </w:rPr>
      </w:pPr>
      <w:r w:rsidRPr="00BF57A3">
        <w:rPr>
          <w:sz w:val="22"/>
          <w:szCs w:val="22"/>
          <w:lang w:val="es-ES"/>
        </w:rPr>
        <w:t xml:space="preserve">Vezivanje paklitaksela za proteine nakon primjene lijeka Abraxane procijenjeno je postupkom ultrafiltracije u ispitivanju sa poređenjem nalaza istog </w:t>
      </w:r>
      <w:r w:rsidR="00BC764F">
        <w:rPr>
          <w:sz w:val="22"/>
          <w:szCs w:val="22"/>
          <w:lang w:val="es-ES"/>
        </w:rPr>
        <w:t>pacijenta</w:t>
      </w:r>
      <w:r w:rsidRPr="00BF57A3">
        <w:rPr>
          <w:sz w:val="22"/>
          <w:szCs w:val="22"/>
          <w:lang w:val="es-ES"/>
        </w:rPr>
        <w:t xml:space="preserve">. Frakcija slobodnog paklitaksela bila je značajno veća kod lijeka Abraxane (6,2%) nego kod paklitaksela </w:t>
      </w:r>
      <w:r w:rsidR="00CF3AE7" w:rsidRPr="00BF57A3">
        <w:rPr>
          <w:sz w:val="22"/>
          <w:szCs w:val="22"/>
          <w:lang w:val="es-ES"/>
        </w:rPr>
        <w:t>u</w:t>
      </w:r>
      <w:r w:rsidR="00450FA4" w:rsidRPr="00BF57A3">
        <w:rPr>
          <w:sz w:val="22"/>
          <w:szCs w:val="22"/>
          <w:lang w:val="es-ES"/>
        </w:rPr>
        <w:t xml:space="preserve"> rastvaraču</w:t>
      </w:r>
      <w:r w:rsidRPr="00BF57A3">
        <w:rPr>
          <w:sz w:val="22"/>
          <w:szCs w:val="22"/>
          <w:lang w:val="es-ES"/>
        </w:rPr>
        <w:t xml:space="preserve"> (2,3%). To je rezultiralo značajno većom izloženošću nevezanom paklitakselu sa lijekom Abraxane u poređenju sa paklitakselom </w:t>
      </w:r>
      <w:r w:rsidR="00CF3AE7" w:rsidRPr="00BF57A3">
        <w:rPr>
          <w:sz w:val="22"/>
          <w:szCs w:val="22"/>
          <w:lang w:val="es-ES"/>
        </w:rPr>
        <w:t>u</w:t>
      </w:r>
      <w:r w:rsidR="004D5BEC" w:rsidRPr="00BF57A3">
        <w:rPr>
          <w:sz w:val="22"/>
          <w:szCs w:val="22"/>
          <w:lang w:val="es-ES"/>
        </w:rPr>
        <w:t xml:space="preserve"> rastvaraču</w:t>
      </w:r>
      <w:r w:rsidRPr="00BF57A3">
        <w:rPr>
          <w:sz w:val="22"/>
          <w:szCs w:val="22"/>
          <w:lang w:val="es-ES"/>
        </w:rPr>
        <w:t>, iako je ukupna izloženost uporediva. Ovo je v</w:t>
      </w:r>
      <w:r w:rsidR="001968BC" w:rsidRPr="00BF57A3">
        <w:rPr>
          <w:sz w:val="22"/>
          <w:szCs w:val="22"/>
          <w:lang w:val="es-ES"/>
        </w:rPr>
        <w:t>j</w:t>
      </w:r>
      <w:r w:rsidRPr="00BF57A3">
        <w:rPr>
          <w:sz w:val="22"/>
          <w:szCs w:val="22"/>
          <w:lang w:val="es-ES"/>
        </w:rPr>
        <w:t xml:space="preserve">erovatno zbog toga što paklitaksel nije uhvaćen u micele Cremophor EL, kao što je slučaj sa paklitakselom </w:t>
      </w:r>
      <w:r w:rsidR="00CF3AE7" w:rsidRPr="00BF57A3">
        <w:rPr>
          <w:sz w:val="22"/>
          <w:szCs w:val="22"/>
          <w:lang w:val="es-ES"/>
        </w:rPr>
        <w:t>u</w:t>
      </w:r>
      <w:r w:rsidR="004D5BEC" w:rsidRPr="00BF57A3">
        <w:rPr>
          <w:sz w:val="22"/>
          <w:szCs w:val="22"/>
          <w:lang w:val="es-ES"/>
        </w:rPr>
        <w:t xml:space="preserve"> rastvaraču</w:t>
      </w:r>
      <w:r w:rsidRPr="00BF57A3">
        <w:rPr>
          <w:sz w:val="22"/>
          <w:szCs w:val="22"/>
          <w:lang w:val="es-ES"/>
        </w:rPr>
        <w:t>. Na osnovu objavljene literature</w:t>
      </w:r>
      <w:r w:rsidRPr="00BF57A3">
        <w:rPr>
          <w:i/>
          <w:sz w:val="22"/>
          <w:szCs w:val="22"/>
          <w:lang w:val="es-ES"/>
        </w:rPr>
        <w:t>, in vitro</w:t>
      </w:r>
      <w:r w:rsidRPr="00BF57A3">
        <w:rPr>
          <w:sz w:val="22"/>
          <w:szCs w:val="22"/>
          <w:lang w:val="es-ES"/>
        </w:rPr>
        <w:t xml:space="preserve"> ispitivanja vezivanja za serumske proteine kod ljudi (primjenom paklitaksela u koncentracijama od 0,1 do 50 µg/ml) pokazuju da prisutnost cimetidina, ranitidina, deksametazona ili difenhidramina nije uticala na vezivanje paklitaksela za proteine.</w:t>
      </w:r>
    </w:p>
    <w:p w14:paraId="7C04141C" w14:textId="77777777" w:rsidR="00AA7CC9" w:rsidRPr="00BF57A3" w:rsidRDefault="00AA7CC9">
      <w:pPr>
        <w:pStyle w:val="Header"/>
        <w:tabs>
          <w:tab w:val="left" w:pos="284"/>
        </w:tabs>
        <w:jc w:val="both"/>
        <w:rPr>
          <w:sz w:val="22"/>
          <w:szCs w:val="22"/>
          <w:lang w:val="es-ES"/>
        </w:rPr>
      </w:pPr>
    </w:p>
    <w:p w14:paraId="43847759" w14:textId="77777777" w:rsidR="00AA7CC9" w:rsidRPr="00BF57A3" w:rsidRDefault="00AA7CC9">
      <w:pPr>
        <w:pStyle w:val="Header"/>
        <w:tabs>
          <w:tab w:val="left" w:pos="284"/>
        </w:tabs>
        <w:jc w:val="both"/>
        <w:rPr>
          <w:sz w:val="22"/>
          <w:szCs w:val="22"/>
          <w:lang w:val="es-ES"/>
        </w:rPr>
      </w:pPr>
      <w:r w:rsidRPr="00BF57A3">
        <w:rPr>
          <w:sz w:val="22"/>
          <w:szCs w:val="22"/>
          <w:lang w:val="es-ES"/>
        </w:rPr>
        <w:t xml:space="preserve">Na osnovu analize populacione farmakokinetike, ukupni volumen distribucije iznosi približno 1741 </w:t>
      </w:r>
      <w:r w:rsidR="00552A4E" w:rsidRPr="00BF57A3">
        <w:rPr>
          <w:sz w:val="22"/>
          <w:szCs w:val="22"/>
          <w:lang w:val="es-ES"/>
        </w:rPr>
        <w:t>l</w:t>
      </w:r>
      <w:r w:rsidRPr="00BF57A3">
        <w:rPr>
          <w:sz w:val="22"/>
          <w:szCs w:val="22"/>
          <w:lang w:val="es-ES"/>
        </w:rPr>
        <w:t>; taj veliki volumen distribucije upućuje na ekstenzivnu ekstravaskularnu distribuciju i/ili vezivanje paklitaksela u tkivima.</w:t>
      </w:r>
    </w:p>
    <w:p w14:paraId="4BE370DD" w14:textId="77777777" w:rsidR="00AA7CC9" w:rsidRPr="00BF57A3" w:rsidRDefault="00AA7CC9">
      <w:pPr>
        <w:pStyle w:val="Header"/>
        <w:tabs>
          <w:tab w:val="left" w:pos="284"/>
        </w:tabs>
        <w:jc w:val="both"/>
        <w:rPr>
          <w:sz w:val="22"/>
          <w:szCs w:val="22"/>
          <w:lang w:val="es-ES"/>
        </w:rPr>
      </w:pPr>
    </w:p>
    <w:p w14:paraId="6F6DBED3" w14:textId="77777777" w:rsidR="00AA7CC9" w:rsidRPr="00BF57A3" w:rsidRDefault="00AA7CC9">
      <w:pPr>
        <w:pStyle w:val="Header"/>
        <w:tabs>
          <w:tab w:val="left" w:pos="284"/>
        </w:tabs>
        <w:jc w:val="both"/>
        <w:rPr>
          <w:sz w:val="22"/>
          <w:szCs w:val="22"/>
          <w:u w:val="single"/>
          <w:lang w:val="es-ES"/>
        </w:rPr>
      </w:pPr>
      <w:r w:rsidRPr="00BF57A3">
        <w:rPr>
          <w:sz w:val="22"/>
          <w:szCs w:val="22"/>
          <w:u w:val="single"/>
          <w:lang w:val="es-ES"/>
        </w:rPr>
        <w:t>Biotransformacija i eliminacija</w:t>
      </w:r>
    </w:p>
    <w:p w14:paraId="603E9E1C" w14:textId="77777777" w:rsidR="00AA7CC9" w:rsidRPr="00BF57A3" w:rsidRDefault="00AA7CC9">
      <w:pPr>
        <w:pStyle w:val="Header"/>
        <w:tabs>
          <w:tab w:val="left" w:pos="284"/>
        </w:tabs>
        <w:jc w:val="both"/>
        <w:rPr>
          <w:sz w:val="22"/>
          <w:szCs w:val="22"/>
          <w:lang w:val="es-ES"/>
        </w:rPr>
      </w:pPr>
      <w:r w:rsidRPr="00BF57A3">
        <w:rPr>
          <w:sz w:val="22"/>
          <w:szCs w:val="22"/>
          <w:lang w:val="es-ES"/>
        </w:rPr>
        <w:t xml:space="preserve">Na osnovu objavljene literature, </w:t>
      </w:r>
      <w:r w:rsidRPr="00BF57A3">
        <w:rPr>
          <w:i/>
          <w:sz w:val="22"/>
          <w:szCs w:val="22"/>
          <w:lang w:val="es-ES"/>
        </w:rPr>
        <w:t>in vitro</w:t>
      </w:r>
      <w:r w:rsidRPr="00BF57A3">
        <w:rPr>
          <w:sz w:val="22"/>
          <w:szCs w:val="22"/>
          <w:lang w:val="es-ES"/>
        </w:rPr>
        <w:t xml:space="preserve"> ispitivanja sa mikrozomomima iz ljudske jetre i rezovima tkiva pokazala su da se paklitaksel primarno metaboliše u 6</w:t>
      </w:r>
      <w:r w:rsidRPr="00BF57A3">
        <w:rPr>
          <w:sz w:val="22"/>
          <w:szCs w:val="22"/>
          <w:lang w:val="en-US"/>
        </w:rPr>
        <w:t>α</w:t>
      </w:r>
      <w:r w:rsidRPr="00BF57A3">
        <w:rPr>
          <w:sz w:val="22"/>
          <w:szCs w:val="22"/>
          <w:lang w:val="es-ES"/>
        </w:rPr>
        <w:t>-hidroksipaklitaksel i u dva manja metabolita, 3’-p-hidroksipaklitaksel i 6</w:t>
      </w:r>
      <w:r w:rsidRPr="00BF57A3">
        <w:rPr>
          <w:sz w:val="22"/>
          <w:szCs w:val="22"/>
          <w:lang w:val="en-US"/>
        </w:rPr>
        <w:t>α</w:t>
      </w:r>
      <w:r w:rsidRPr="00BF57A3">
        <w:rPr>
          <w:sz w:val="22"/>
          <w:szCs w:val="22"/>
          <w:lang w:val="es-ES"/>
        </w:rPr>
        <w:t xml:space="preserve">-3’-p-dihidroksipaklitaksel. Stvaranje ovih hidroksilisanih metabolita katalizovano je </w:t>
      </w:r>
      <w:r w:rsidR="0030430A" w:rsidRPr="00BF57A3">
        <w:rPr>
          <w:sz w:val="22"/>
          <w:szCs w:val="22"/>
          <w:lang w:val="es-ES"/>
        </w:rPr>
        <w:t>izo</w:t>
      </w:r>
      <w:r w:rsidRPr="00BF57A3">
        <w:rPr>
          <w:sz w:val="22"/>
          <w:szCs w:val="22"/>
          <w:lang w:val="es-ES"/>
        </w:rPr>
        <w:t>enzimima CYP2C8, CYP3A4, odnosno CYP2C8 zajedno sa CYP3A4.</w:t>
      </w:r>
    </w:p>
    <w:p w14:paraId="5D4482F1" w14:textId="77777777" w:rsidR="00AA7CC9" w:rsidRPr="00BF57A3" w:rsidRDefault="00AA7CC9">
      <w:pPr>
        <w:pStyle w:val="Header"/>
        <w:tabs>
          <w:tab w:val="left" w:pos="284"/>
        </w:tabs>
        <w:jc w:val="both"/>
        <w:rPr>
          <w:sz w:val="22"/>
          <w:szCs w:val="22"/>
          <w:lang w:val="es-ES"/>
        </w:rPr>
      </w:pPr>
    </w:p>
    <w:p w14:paraId="28605189" w14:textId="31A1465F" w:rsidR="00AA7CC9" w:rsidRPr="00BF57A3" w:rsidRDefault="00AA7CC9">
      <w:pPr>
        <w:pStyle w:val="Header"/>
        <w:tabs>
          <w:tab w:val="left" w:pos="284"/>
        </w:tabs>
        <w:jc w:val="both"/>
        <w:rPr>
          <w:sz w:val="22"/>
          <w:szCs w:val="22"/>
          <w:lang w:val="es-ES"/>
        </w:rPr>
      </w:pPr>
      <w:r w:rsidRPr="00BF57A3">
        <w:rPr>
          <w:sz w:val="22"/>
          <w:szCs w:val="22"/>
          <w:lang w:val="es-ES"/>
        </w:rPr>
        <w:t xml:space="preserve">Kod </w:t>
      </w:r>
      <w:r w:rsidR="00E500A3">
        <w:rPr>
          <w:sz w:val="22"/>
          <w:szCs w:val="22"/>
          <w:lang w:val="es-ES"/>
        </w:rPr>
        <w:t>pacijenata</w:t>
      </w:r>
      <w:r w:rsidR="00E500A3" w:rsidRPr="00BF57A3">
        <w:rPr>
          <w:sz w:val="22"/>
          <w:szCs w:val="22"/>
          <w:lang w:val="es-ES"/>
        </w:rPr>
        <w:t xml:space="preserve"> </w:t>
      </w:r>
      <w:r w:rsidRPr="00BF57A3">
        <w:rPr>
          <w:sz w:val="22"/>
          <w:szCs w:val="22"/>
          <w:lang w:val="es-ES"/>
        </w:rPr>
        <w:t>sa metastatskim karcinomom dojke, nakon 30-minutne infuzije lijeka Abraxane u dozi od 260 mg/m</w:t>
      </w:r>
      <w:r w:rsidRPr="00BF57A3">
        <w:rPr>
          <w:sz w:val="22"/>
          <w:szCs w:val="22"/>
          <w:vertAlign w:val="superscript"/>
          <w:lang w:val="es-ES"/>
        </w:rPr>
        <w:t>2</w:t>
      </w:r>
      <w:r w:rsidRPr="00BF57A3">
        <w:rPr>
          <w:sz w:val="22"/>
          <w:szCs w:val="22"/>
          <w:lang w:val="es-ES"/>
        </w:rPr>
        <w:t>, srednja vrijednost kumulativne urinarne ekskrecije neprom</w:t>
      </w:r>
      <w:r w:rsidR="00A004D2" w:rsidRPr="00BF57A3">
        <w:rPr>
          <w:sz w:val="22"/>
          <w:szCs w:val="22"/>
          <w:lang w:val="es-ES"/>
        </w:rPr>
        <w:t>i</w:t>
      </w:r>
      <w:r w:rsidRPr="00BF57A3">
        <w:rPr>
          <w:sz w:val="22"/>
          <w:szCs w:val="22"/>
          <w:lang w:val="es-ES"/>
        </w:rPr>
        <w:t>jenjene aktivne supstance iznosi 4% ukupne prim</w:t>
      </w:r>
      <w:r w:rsidR="00A004D2" w:rsidRPr="00BF57A3">
        <w:rPr>
          <w:sz w:val="22"/>
          <w:szCs w:val="22"/>
          <w:lang w:val="es-ES"/>
        </w:rPr>
        <w:t>i</w:t>
      </w:r>
      <w:r w:rsidRPr="00BF57A3">
        <w:rPr>
          <w:sz w:val="22"/>
          <w:szCs w:val="22"/>
          <w:lang w:val="es-ES"/>
        </w:rPr>
        <w:t>jenjene doze sa manje od 1% u obliku metabolita, 6</w:t>
      </w:r>
      <w:r w:rsidRPr="00BF57A3">
        <w:rPr>
          <w:sz w:val="22"/>
          <w:szCs w:val="22"/>
          <w:lang w:val="en-US"/>
        </w:rPr>
        <w:t>α</w:t>
      </w:r>
      <w:r w:rsidRPr="00BF57A3">
        <w:rPr>
          <w:sz w:val="22"/>
          <w:szCs w:val="22"/>
          <w:lang w:val="es-ES"/>
        </w:rPr>
        <w:t>-hidroksipaklitaksela i 3’-p-hidroksipaklitaksela, što upućuje na znatan klirens van bubrega. Paklitaksel se uglavnom eliminiše metabolizmom u jetri i izlučivanjem putem žuči.</w:t>
      </w:r>
    </w:p>
    <w:p w14:paraId="1224C386" w14:textId="77777777" w:rsidR="00AA7CC9" w:rsidRPr="00BF57A3" w:rsidRDefault="00AA7CC9">
      <w:pPr>
        <w:pStyle w:val="Header"/>
        <w:tabs>
          <w:tab w:val="left" w:pos="284"/>
        </w:tabs>
        <w:jc w:val="both"/>
        <w:rPr>
          <w:sz w:val="22"/>
          <w:szCs w:val="22"/>
          <w:lang w:val="es-ES"/>
        </w:rPr>
      </w:pPr>
    </w:p>
    <w:p w14:paraId="276D9B7C" w14:textId="77777777" w:rsidR="00AA7CC9" w:rsidRPr="00BF57A3" w:rsidRDefault="00AA7CC9">
      <w:pPr>
        <w:pStyle w:val="Header"/>
        <w:tabs>
          <w:tab w:val="left" w:pos="284"/>
        </w:tabs>
        <w:jc w:val="both"/>
        <w:rPr>
          <w:sz w:val="22"/>
          <w:szCs w:val="22"/>
          <w:lang w:val="es-ES"/>
        </w:rPr>
      </w:pPr>
      <w:r w:rsidRPr="00BF57A3">
        <w:rPr>
          <w:sz w:val="22"/>
          <w:szCs w:val="22"/>
          <w:lang w:val="es-ES"/>
        </w:rPr>
        <w:t>Pri kliničkom rasponu doze od 80 do 300 mg/m</w:t>
      </w:r>
      <w:r w:rsidRPr="00BF57A3">
        <w:rPr>
          <w:sz w:val="22"/>
          <w:szCs w:val="22"/>
          <w:vertAlign w:val="superscript"/>
          <w:lang w:val="es-ES"/>
        </w:rPr>
        <w:t>2</w:t>
      </w:r>
      <w:r w:rsidRPr="00BF57A3">
        <w:rPr>
          <w:sz w:val="22"/>
          <w:szCs w:val="22"/>
          <w:lang w:val="es-ES"/>
        </w:rPr>
        <w:t xml:space="preserve">, srednja vrijednost plazma klirensa paklitaksela je u rasponu od 13 do 30 </w:t>
      </w:r>
      <w:r w:rsidR="00552A4E" w:rsidRPr="00BF57A3">
        <w:rPr>
          <w:sz w:val="22"/>
          <w:szCs w:val="22"/>
          <w:lang w:val="es-ES"/>
        </w:rPr>
        <w:t>l</w:t>
      </w:r>
      <w:r w:rsidRPr="00BF57A3">
        <w:rPr>
          <w:sz w:val="22"/>
          <w:szCs w:val="22"/>
          <w:lang w:val="es-ES"/>
        </w:rPr>
        <w:t>/h/m</w:t>
      </w:r>
      <w:r w:rsidRPr="00BF57A3">
        <w:rPr>
          <w:sz w:val="22"/>
          <w:szCs w:val="22"/>
          <w:vertAlign w:val="superscript"/>
          <w:lang w:val="es-ES"/>
        </w:rPr>
        <w:t>2</w:t>
      </w:r>
      <w:r w:rsidRPr="00BF57A3">
        <w:rPr>
          <w:sz w:val="22"/>
          <w:szCs w:val="22"/>
          <w:lang w:val="es-ES"/>
        </w:rPr>
        <w:t>, a prosječno terminalno poluvrijeme eliminacije je od 13 do 27 sati.</w:t>
      </w:r>
    </w:p>
    <w:p w14:paraId="32F2B98B" w14:textId="77777777" w:rsidR="00AA7CC9" w:rsidRPr="00BF57A3" w:rsidRDefault="00AA7CC9">
      <w:pPr>
        <w:pStyle w:val="Header"/>
        <w:tabs>
          <w:tab w:val="left" w:pos="284"/>
        </w:tabs>
        <w:jc w:val="both"/>
        <w:rPr>
          <w:sz w:val="22"/>
          <w:szCs w:val="22"/>
          <w:lang w:val="es-ES"/>
        </w:rPr>
      </w:pPr>
    </w:p>
    <w:p w14:paraId="24C4C6A4" w14:textId="77777777" w:rsidR="00AA7CC9" w:rsidRPr="00BF57A3" w:rsidRDefault="00AA7CC9">
      <w:pPr>
        <w:pStyle w:val="Header"/>
        <w:tabs>
          <w:tab w:val="left" w:pos="284"/>
        </w:tabs>
        <w:jc w:val="both"/>
        <w:rPr>
          <w:sz w:val="22"/>
          <w:szCs w:val="22"/>
          <w:lang w:val="es-ES"/>
        </w:rPr>
      </w:pPr>
      <w:r w:rsidRPr="00BF57A3">
        <w:rPr>
          <w:sz w:val="22"/>
          <w:szCs w:val="22"/>
          <w:u w:val="single"/>
          <w:lang w:val="es-ES"/>
        </w:rPr>
        <w:t>Oštećena funkcija jetre</w:t>
      </w:r>
    </w:p>
    <w:p w14:paraId="2C053D73" w14:textId="0184BCDD" w:rsidR="00AA7CC9" w:rsidRPr="00BF57A3" w:rsidRDefault="00AA7CC9">
      <w:pPr>
        <w:pStyle w:val="Header"/>
        <w:tabs>
          <w:tab w:val="left" w:pos="284"/>
        </w:tabs>
        <w:jc w:val="both"/>
        <w:rPr>
          <w:sz w:val="22"/>
          <w:szCs w:val="22"/>
          <w:lang w:val="es-ES"/>
        </w:rPr>
      </w:pPr>
      <w:r w:rsidRPr="00BF57A3">
        <w:rPr>
          <w:sz w:val="22"/>
          <w:szCs w:val="22"/>
          <w:lang w:val="es-ES"/>
        </w:rPr>
        <w:t xml:space="preserve">Efekat oštećenja funkcije jetre na populacionu farmakokinetiku lijeka Abraxane ispitivan je kod </w:t>
      </w:r>
      <w:r w:rsidR="00E500A3">
        <w:rPr>
          <w:sz w:val="22"/>
          <w:szCs w:val="22"/>
          <w:lang w:val="es-ES"/>
        </w:rPr>
        <w:t>pacijenata</w:t>
      </w:r>
      <w:r w:rsidR="00E500A3" w:rsidRPr="00BF57A3">
        <w:rPr>
          <w:sz w:val="22"/>
          <w:szCs w:val="22"/>
          <w:lang w:val="es-ES"/>
        </w:rPr>
        <w:t xml:space="preserve"> </w:t>
      </w:r>
      <w:r w:rsidRPr="00BF57A3">
        <w:rPr>
          <w:sz w:val="22"/>
          <w:szCs w:val="22"/>
          <w:lang w:val="es-ES"/>
        </w:rPr>
        <w:t>sa uznapredovalim sol</w:t>
      </w:r>
      <w:r w:rsidR="002828FA" w:rsidRPr="00BF57A3">
        <w:rPr>
          <w:sz w:val="22"/>
          <w:szCs w:val="22"/>
          <w:lang w:val="es-ES"/>
        </w:rPr>
        <w:t>id</w:t>
      </w:r>
      <w:r w:rsidRPr="00BF57A3">
        <w:rPr>
          <w:sz w:val="22"/>
          <w:szCs w:val="22"/>
          <w:lang w:val="es-ES"/>
        </w:rPr>
        <w:t xml:space="preserve">nim tumorima. Ta analiza je uključila </w:t>
      </w:r>
      <w:r w:rsidR="00E500A3">
        <w:rPr>
          <w:sz w:val="22"/>
          <w:szCs w:val="22"/>
          <w:lang w:val="es-ES"/>
        </w:rPr>
        <w:t>pacijente</w:t>
      </w:r>
      <w:r w:rsidR="00E500A3" w:rsidRPr="00BF57A3">
        <w:rPr>
          <w:sz w:val="22"/>
          <w:szCs w:val="22"/>
          <w:lang w:val="es-ES"/>
        </w:rPr>
        <w:t xml:space="preserve"> </w:t>
      </w:r>
      <w:r w:rsidRPr="00BF57A3">
        <w:rPr>
          <w:sz w:val="22"/>
          <w:szCs w:val="22"/>
          <w:lang w:val="es-ES"/>
        </w:rPr>
        <w:t>sa normalnom funkcijom jetre (n = 130) i prethodnim blagim (n = 8), umjerenim (n = 7) ili teškim (n = 5) oštećenjem funkcije jetre (prema kriterijumima Radne grupe za procjenu organske disfunkcije američkog Nacionalnog instituta za rak (</w:t>
      </w:r>
      <w:r w:rsidRPr="00BF57A3">
        <w:rPr>
          <w:i/>
          <w:sz w:val="22"/>
          <w:szCs w:val="22"/>
          <w:lang w:val="es-ES"/>
        </w:rPr>
        <w:t>NCI Organ Dysfunction Working Group</w:t>
      </w:r>
      <w:r w:rsidRPr="00BF57A3">
        <w:rPr>
          <w:sz w:val="22"/>
          <w:szCs w:val="22"/>
          <w:lang w:val="es-ES"/>
        </w:rPr>
        <w:t xml:space="preserve">). Rezultati pokazuju da blago oštećenje funkcije jetre (ukupni bilirubin od &gt; 1 do ≤ 1,5 x GGN) nema klinički važan efekat na farmakokinetiku paklitaksela. Kod </w:t>
      </w:r>
      <w:r w:rsidR="00E500A3">
        <w:rPr>
          <w:sz w:val="22"/>
          <w:szCs w:val="22"/>
          <w:lang w:val="es-ES"/>
        </w:rPr>
        <w:t>pacijenata</w:t>
      </w:r>
      <w:r w:rsidR="00E500A3" w:rsidRPr="00BF57A3">
        <w:rPr>
          <w:sz w:val="22"/>
          <w:szCs w:val="22"/>
          <w:lang w:val="es-ES"/>
        </w:rPr>
        <w:t xml:space="preserve"> </w:t>
      </w:r>
      <w:r w:rsidRPr="00BF57A3">
        <w:rPr>
          <w:sz w:val="22"/>
          <w:szCs w:val="22"/>
          <w:lang w:val="es-ES"/>
        </w:rPr>
        <w:t xml:space="preserve">sa umjerenim (ukupni bilirubin od &gt; 1,5 do ≤ 3 x GGN) ili teškim (ukupni bilirubin od &gt; 3 do ≤ 5 x GGN) oštećenjem funkcije jetre, smanjenje maksimalne brzine eliminacije paklitaksela iznosi 22% do 26%, a povećanje srednje </w:t>
      </w:r>
      <w:r w:rsidRPr="00BF57A3">
        <w:rPr>
          <w:sz w:val="22"/>
          <w:szCs w:val="22"/>
          <w:lang w:val="es-ES"/>
        </w:rPr>
        <w:lastRenderedPageBreak/>
        <w:t>vrijednosti PIK-a paklitaksela iznosi približno 20%</w:t>
      </w:r>
      <w:r w:rsidR="005A1452" w:rsidRPr="00BF57A3">
        <w:rPr>
          <w:sz w:val="22"/>
          <w:szCs w:val="22"/>
          <w:lang w:val="es-ES"/>
        </w:rPr>
        <w:t>,</w:t>
      </w:r>
      <w:r w:rsidRPr="00BF57A3">
        <w:rPr>
          <w:sz w:val="22"/>
          <w:szCs w:val="22"/>
          <w:lang w:val="es-ES"/>
        </w:rPr>
        <w:t xml:space="preserve"> u poređenju sa </w:t>
      </w:r>
      <w:r w:rsidR="00E500A3">
        <w:rPr>
          <w:sz w:val="22"/>
          <w:szCs w:val="22"/>
          <w:lang w:val="es-ES"/>
        </w:rPr>
        <w:t>pacijentima</w:t>
      </w:r>
      <w:r w:rsidR="00E500A3" w:rsidRPr="00BF57A3">
        <w:rPr>
          <w:sz w:val="22"/>
          <w:szCs w:val="22"/>
          <w:lang w:val="es-ES"/>
        </w:rPr>
        <w:t xml:space="preserve"> </w:t>
      </w:r>
      <w:r w:rsidRPr="00BF57A3">
        <w:rPr>
          <w:sz w:val="22"/>
          <w:szCs w:val="22"/>
          <w:lang w:val="es-ES"/>
        </w:rPr>
        <w:t>koji imaju normalnu funkciju jetre. Oštećenje funkcije jetre nije uticalo na srednju vrijednost C</w:t>
      </w:r>
      <w:r w:rsidRPr="00BF57A3">
        <w:rPr>
          <w:sz w:val="22"/>
          <w:szCs w:val="22"/>
          <w:vertAlign w:val="subscript"/>
          <w:lang w:val="es-ES"/>
        </w:rPr>
        <w:t>max</w:t>
      </w:r>
      <w:r w:rsidRPr="00BF57A3">
        <w:rPr>
          <w:sz w:val="22"/>
          <w:szCs w:val="22"/>
          <w:lang w:val="es-ES"/>
        </w:rPr>
        <w:t xml:space="preserve"> paklitaksela. Osim toga, eliminacija paklitaksela pokazuje obrnutu korelaciju sa ukupnim bilirubinom, a pozitivnu korelaciju sa serumskim albuminom.</w:t>
      </w:r>
    </w:p>
    <w:p w14:paraId="60131D46" w14:textId="77777777" w:rsidR="00AA7CC9" w:rsidRPr="00BF57A3" w:rsidRDefault="00AA7CC9">
      <w:pPr>
        <w:pStyle w:val="Header"/>
        <w:tabs>
          <w:tab w:val="left" w:pos="284"/>
        </w:tabs>
        <w:jc w:val="both"/>
        <w:rPr>
          <w:sz w:val="22"/>
          <w:szCs w:val="22"/>
          <w:lang w:val="es-ES"/>
        </w:rPr>
      </w:pPr>
    </w:p>
    <w:p w14:paraId="5856DE9E" w14:textId="77777777" w:rsidR="00AA7CC9" w:rsidRPr="00BF57A3" w:rsidRDefault="00AA7CC9">
      <w:pPr>
        <w:pStyle w:val="Header"/>
        <w:tabs>
          <w:tab w:val="left" w:pos="284"/>
        </w:tabs>
        <w:jc w:val="both"/>
        <w:rPr>
          <w:sz w:val="22"/>
          <w:szCs w:val="22"/>
          <w:lang w:val="es-ES"/>
        </w:rPr>
      </w:pPr>
      <w:r w:rsidRPr="00BF57A3">
        <w:rPr>
          <w:sz w:val="22"/>
          <w:szCs w:val="22"/>
          <w:lang w:val="es-ES"/>
        </w:rPr>
        <w:t>Farmakokinetičko/farmakodinamičko modeliranje pokazuje da ne postoji korelacija između funkcije jetre (prikazano kao početni nivo albumina ili ukupnog bilirubina) i neutropenije nakon podešavanja za izloženost lijeku Abraxane.</w:t>
      </w:r>
    </w:p>
    <w:p w14:paraId="17A74B96" w14:textId="77777777" w:rsidR="00AA7CC9" w:rsidRPr="00BF57A3" w:rsidRDefault="00AA7CC9">
      <w:pPr>
        <w:pStyle w:val="Header"/>
        <w:tabs>
          <w:tab w:val="left" w:pos="284"/>
        </w:tabs>
        <w:jc w:val="both"/>
        <w:rPr>
          <w:sz w:val="22"/>
          <w:szCs w:val="22"/>
          <w:lang w:val="es-ES"/>
        </w:rPr>
      </w:pPr>
    </w:p>
    <w:p w14:paraId="080B7A75" w14:textId="74A104B2" w:rsidR="00AA7CC9" w:rsidRPr="00BF57A3" w:rsidRDefault="00AA7CC9">
      <w:pPr>
        <w:pStyle w:val="Header"/>
        <w:tabs>
          <w:tab w:val="left" w:pos="284"/>
        </w:tabs>
        <w:jc w:val="both"/>
        <w:rPr>
          <w:sz w:val="22"/>
          <w:szCs w:val="22"/>
          <w:lang w:val="es-ES"/>
        </w:rPr>
      </w:pPr>
      <w:r w:rsidRPr="00BF57A3">
        <w:rPr>
          <w:sz w:val="22"/>
          <w:szCs w:val="22"/>
          <w:lang w:val="es-ES"/>
        </w:rPr>
        <w:t xml:space="preserve">Nisu dostupni farmakokinetički podaci za </w:t>
      </w:r>
      <w:r w:rsidR="00E500A3">
        <w:rPr>
          <w:sz w:val="22"/>
          <w:szCs w:val="22"/>
          <w:lang w:val="es-ES"/>
        </w:rPr>
        <w:t>pacijente</w:t>
      </w:r>
      <w:r w:rsidR="00E500A3" w:rsidRPr="00BF57A3">
        <w:rPr>
          <w:sz w:val="22"/>
          <w:szCs w:val="22"/>
          <w:lang w:val="es-ES"/>
        </w:rPr>
        <w:t xml:space="preserve"> </w:t>
      </w:r>
      <w:r w:rsidRPr="00BF57A3">
        <w:rPr>
          <w:sz w:val="22"/>
          <w:szCs w:val="22"/>
          <w:lang w:val="es-ES"/>
        </w:rPr>
        <w:t xml:space="preserve">sa ukupnim bilirubinom &gt; 5 x GGN ni za one sa metastatskim adenokarcinomom pankreasa (vidjeti </w:t>
      </w:r>
      <w:r w:rsidR="00E500A3">
        <w:rPr>
          <w:sz w:val="22"/>
          <w:szCs w:val="22"/>
          <w:lang w:val="es-ES"/>
        </w:rPr>
        <w:t>dio</w:t>
      </w:r>
      <w:r w:rsidR="00E500A3" w:rsidRPr="00BF57A3">
        <w:rPr>
          <w:sz w:val="22"/>
          <w:szCs w:val="22"/>
          <w:lang w:val="es-ES"/>
        </w:rPr>
        <w:t xml:space="preserve"> </w:t>
      </w:r>
      <w:r w:rsidRPr="00BF57A3">
        <w:rPr>
          <w:sz w:val="22"/>
          <w:szCs w:val="22"/>
          <w:lang w:val="es-ES"/>
        </w:rPr>
        <w:t>4.2).</w:t>
      </w:r>
    </w:p>
    <w:p w14:paraId="3B65A07D" w14:textId="77777777" w:rsidR="00AA7CC9" w:rsidRPr="00BF57A3" w:rsidRDefault="00AA7CC9">
      <w:pPr>
        <w:pStyle w:val="Header"/>
        <w:tabs>
          <w:tab w:val="left" w:pos="284"/>
        </w:tabs>
        <w:jc w:val="both"/>
        <w:rPr>
          <w:sz w:val="22"/>
          <w:szCs w:val="22"/>
          <w:lang w:val="es-ES"/>
        </w:rPr>
      </w:pPr>
    </w:p>
    <w:p w14:paraId="44CAA7E9" w14:textId="77777777" w:rsidR="00AA7CC9" w:rsidRPr="00BF57A3" w:rsidRDefault="00AA7CC9">
      <w:pPr>
        <w:pStyle w:val="Header"/>
        <w:tabs>
          <w:tab w:val="left" w:pos="284"/>
        </w:tabs>
        <w:jc w:val="both"/>
        <w:rPr>
          <w:sz w:val="22"/>
          <w:szCs w:val="22"/>
          <w:u w:val="single"/>
          <w:lang w:val="es-ES"/>
        </w:rPr>
      </w:pPr>
      <w:r w:rsidRPr="00BF57A3">
        <w:rPr>
          <w:sz w:val="22"/>
          <w:szCs w:val="22"/>
          <w:u w:val="single"/>
          <w:lang w:val="es-ES"/>
        </w:rPr>
        <w:t>Oštećena funkcija bubrega</w:t>
      </w:r>
    </w:p>
    <w:p w14:paraId="2D9880F1" w14:textId="05A66DF2" w:rsidR="00AA7CC9" w:rsidRPr="00BF57A3" w:rsidRDefault="00AA7CC9">
      <w:pPr>
        <w:pStyle w:val="Header"/>
        <w:tabs>
          <w:tab w:val="left" w:pos="284"/>
        </w:tabs>
        <w:jc w:val="both"/>
        <w:rPr>
          <w:sz w:val="22"/>
          <w:szCs w:val="22"/>
          <w:lang w:val="es-ES"/>
        </w:rPr>
      </w:pPr>
      <w:r w:rsidRPr="00BF57A3">
        <w:rPr>
          <w:sz w:val="22"/>
          <w:szCs w:val="22"/>
          <w:lang w:val="es-ES"/>
        </w:rPr>
        <w:t xml:space="preserve">Analiza populacione farmakokinetike uključila je </w:t>
      </w:r>
      <w:r w:rsidR="00E500A3">
        <w:rPr>
          <w:sz w:val="22"/>
          <w:szCs w:val="22"/>
          <w:lang w:val="es-ES"/>
        </w:rPr>
        <w:t>pacijente</w:t>
      </w:r>
      <w:r w:rsidR="00E500A3" w:rsidRPr="00BF57A3">
        <w:rPr>
          <w:sz w:val="22"/>
          <w:szCs w:val="22"/>
          <w:lang w:val="es-ES"/>
        </w:rPr>
        <w:t xml:space="preserve"> </w:t>
      </w:r>
      <w:r w:rsidRPr="00BF57A3">
        <w:rPr>
          <w:sz w:val="22"/>
          <w:szCs w:val="22"/>
          <w:lang w:val="es-ES"/>
        </w:rPr>
        <w:t>sa normalnom bubrežnom funkcijom (n = 65) i one s prethodnim blagim (n = 61), umjerenim (n = 23) ili teškim (n = 1) oštećenjem bubrežne funkcije (prema kriterijumima iz nacrta smjernica FDA iz 2010.). Blago do umjereno oštećenje bubrežne funkcije (klirens kreatinina od ≥ 30 do &lt; 90 ml/min) nema klinički važan efekat na maksimalnu brzinu eliminacije i sistemsku izloženost paklitakselu (PIK i C</w:t>
      </w:r>
      <w:r w:rsidRPr="00BF57A3">
        <w:rPr>
          <w:sz w:val="22"/>
          <w:szCs w:val="22"/>
          <w:vertAlign w:val="subscript"/>
          <w:lang w:val="es-ES"/>
        </w:rPr>
        <w:t>max</w:t>
      </w:r>
      <w:r w:rsidRPr="00BF57A3">
        <w:rPr>
          <w:sz w:val="22"/>
          <w:szCs w:val="22"/>
          <w:lang w:val="es-ES"/>
        </w:rPr>
        <w:t xml:space="preserve">). Farmakokinetički podaci za </w:t>
      </w:r>
      <w:r w:rsidR="00E500A3">
        <w:rPr>
          <w:sz w:val="22"/>
          <w:szCs w:val="22"/>
          <w:lang w:val="es-ES"/>
        </w:rPr>
        <w:t>pacijente</w:t>
      </w:r>
      <w:r w:rsidR="00E500A3" w:rsidRPr="00BF57A3">
        <w:rPr>
          <w:sz w:val="22"/>
          <w:szCs w:val="22"/>
          <w:lang w:val="es-ES"/>
        </w:rPr>
        <w:t xml:space="preserve"> </w:t>
      </w:r>
      <w:r w:rsidRPr="00BF57A3">
        <w:rPr>
          <w:sz w:val="22"/>
          <w:szCs w:val="22"/>
          <w:lang w:val="es-ES"/>
        </w:rPr>
        <w:t>sa teškim oštećenjem bubrežne funkcije ni</w:t>
      </w:r>
      <w:r w:rsidR="001441B9" w:rsidRPr="00BF57A3">
        <w:rPr>
          <w:sz w:val="22"/>
          <w:szCs w:val="22"/>
          <w:lang w:val="es-ES"/>
        </w:rPr>
        <w:t>je</w:t>
      </w:r>
      <w:r w:rsidRPr="00BF57A3">
        <w:rPr>
          <w:sz w:val="22"/>
          <w:szCs w:val="22"/>
          <w:lang w:val="es-ES"/>
        </w:rPr>
        <w:t xml:space="preserve">su dovoljni, a nema ih za </w:t>
      </w:r>
      <w:r w:rsidR="00E500A3">
        <w:rPr>
          <w:sz w:val="22"/>
          <w:szCs w:val="22"/>
          <w:lang w:val="es-ES"/>
        </w:rPr>
        <w:t>pacijente</w:t>
      </w:r>
      <w:r w:rsidR="00E500A3" w:rsidRPr="00BF57A3">
        <w:rPr>
          <w:sz w:val="22"/>
          <w:szCs w:val="22"/>
          <w:lang w:val="es-ES"/>
        </w:rPr>
        <w:t xml:space="preserve"> </w:t>
      </w:r>
      <w:r w:rsidRPr="00BF57A3">
        <w:rPr>
          <w:sz w:val="22"/>
          <w:szCs w:val="22"/>
          <w:lang w:val="es-ES"/>
        </w:rPr>
        <w:t>sa krajnjim stadijumom bubrežne bolesti.</w:t>
      </w:r>
    </w:p>
    <w:p w14:paraId="7237FC16" w14:textId="77777777" w:rsidR="00B80618" w:rsidRDefault="00B80618" w:rsidP="00B80618">
      <w:pPr>
        <w:rPr>
          <w:sz w:val="22"/>
          <w:szCs w:val="22"/>
          <w:u w:val="single"/>
          <w:lang w:val="es-ES"/>
        </w:rPr>
      </w:pPr>
    </w:p>
    <w:p w14:paraId="246D01C2" w14:textId="0CF370B8" w:rsidR="00AA7CC9" w:rsidRPr="00B80618" w:rsidRDefault="00AA7CC9" w:rsidP="00B80618">
      <w:pPr>
        <w:rPr>
          <w:sz w:val="22"/>
          <w:szCs w:val="22"/>
          <w:lang w:val="es-ES"/>
        </w:rPr>
      </w:pPr>
      <w:r w:rsidRPr="00BF57A3">
        <w:rPr>
          <w:sz w:val="22"/>
          <w:szCs w:val="22"/>
          <w:u w:val="single"/>
          <w:lang w:val="es-ES"/>
        </w:rPr>
        <w:t>Starij</w:t>
      </w:r>
      <w:r w:rsidR="008F2AFE" w:rsidRPr="00BF57A3">
        <w:rPr>
          <w:sz w:val="22"/>
          <w:szCs w:val="22"/>
          <w:u w:val="single"/>
          <w:lang w:val="es-ES"/>
        </w:rPr>
        <w:t>i</w:t>
      </w:r>
    </w:p>
    <w:p w14:paraId="04E94845" w14:textId="5CD48DFE" w:rsidR="00AA7CC9" w:rsidRPr="00BF57A3" w:rsidRDefault="00AA7CC9">
      <w:pPr>
        <w:pStyle w:val="Header"/>
        <w:tabs>
          <w:tab w:val="left" w:pos="284"/>
        </w:tabs>
        <w:jc w:val="both"/>
        <w:rPr>
          <w:sz w:val="22"/>
          <w:szCs w:val="22"/>
          <w:lang w:val="es-ES"/>
        </w:rPr>
      </w:pPr>
      <w:r w:rsidRPr="00BF57A3">
        <w:rPr>
          <w:sz w:val="22"/>
          <w:szCs w:val="22"/>
          <w:lang w:val="es-ES"/>
        </w:rPr>
        <w:t xml:space="preserve">Analiza populacione farmakokinetike za lijek Abraxane uključila je </w:t>
      </w:r>
      <w:r w:rsidR="00E500A3">
        <w:rPr>
          <w:sz w:val="22"/>
          <w:szCs w:val="22"/>
          <w:lang w:val="es-ES"/>
        </w:rPr>
        <w:t>pacijente</w:t>
      </w:r>
      <w:r w:rsidR="00E500A3" w:rsidRPr="00BF57A3">
        <w:rPr>
          <w:sz w:val="22"/>
          <w:szCs w:val="22"/>
          <w:lang w:val="es-ES"/>
        </w:rPr>
        <w:t xml:space="preserve"> </w:t>
      </w:r>
      <w:r w:rsidRPr="00BF57A3">
        <w:rPr>
          <w:sz w:val="22"/>
          <w:szCs w:val="22"/>
          <w:lang w:val="es-ES"/>
        </w:rPr>
        <w:t>starosti od 24 do 85 godina i pokazuje da starost ne utiče značajno na maksimalnu brzinu eliminacije i sistemsku izloženost paklitakselu (PIK i C</w:t>
      </w:r>
      <w:r w:rsidRPr="00BF57A3">
        <w:rPr>
          <w:sz w:val="22"/>
          <w:szCs w:val="22"/>
          <w:vertAlign w:val="subscript"/>
          <w:lang w:val="es-ES"/>
        </w:rPr>
        <w:t>max</w:t>
      </w:r>
      <w:r w:rsidRPr="00BF57A3">
        <w:rPr>
          <w:sz w:val="22"/>
          <w:szCs w:val="22"/>
          <w:lang w:val="es-ES"/>
        </w:rPr>
        <w:t>).</w:t>
      </w:r>
    </w:p>
    <w:p w14:paraId="04863BEA" w14:textId="77777777" w:rsidR="00AA7CC9" w:rsidRPr="00BF57A3" w:rsidRDefault="00AA7CC9">
      <w:pPr>
        <w:pStyle w:val="Header"/>
        <w:tabs>
          <w:tab w:val="left" w:pos="284"/>
        </w:tabs>
        <w:jc w:val="both"/>
        <w:rPr>
          <w:sz w:val="22"/>
          <w:szCs w:val="22"/>
          <w:lang w:val="es-ES"/>
        </w:rPr>
      </w:pPr>
    </w:p>
    <w:p w14:paraId="2CB52001" w14:textId="0D2282E4" w:rsidR="00AA7CC9" w:rsidRPr="00BF57A3" w:rsidRDefault="00AA7CC9">
      <w:pPr>
        <w:pStyle w:val="Header"/>
        <w:tabs>
          <w:tab w:val="left" w:pos="284"/>
        </w:tabs>
        <w:jc w:val="both"/>
        <w:rPr>
          <w:sz w:val="22"/>
          <w:szCs w:val="22"/>
          <w:lang w:val="es-ES"/>
        </w:rPr>
      </w:pPr>
      <w:r w:rsidRPr="00BF57A3">
        <w:rPr>
          <w:sz w:val="22"/>
          <w:szCs w:val="22"/>
          <w:lang w:val="es-ES"/>
        </w:rPr>
        <w:t xml:space="preserve">Farmakokinetičko/farmakodinamičko modeliranje na osnovu podataka za 125 </w:t>
      </w:r>
      <w:r w:rsidR="00E500A3">
        <w:rPr>
          <w:sz w:val="22"/>
          <w:szCs w:val="22"/>
          <w:lang w:val="es-ES"/>
        </w:rPr>
        <w:t>pacijenata</w:t>
      </w:r>
      <w:r w:rsidR="00E500A3" w:rsidRPr="00BF57A3">
        <w:rPr>
          <w:sz w:val="22"/>
          <w:szCs w:val="22"/>
          <w:lang w:val="es-ES"/>
        </w:rPr>
        <w:t xml:space="preserve"> </w:t>
      </w:r>
      <w:r w:rsidRPr="00BF57A3">
        <w:rPr>
          <w:sz w:val="22"/>
          <w:szCs w:val="22"/>
          <w:lang w:val="es-ES"/>
        </w:rPr>
        <w:t xml:space="preserve">sa uznapredovalim solidnim tumorima pokazuje da bi </w:t>
      </w:r>
      <w:r w:rsidR="00E500A3">
        <w:rPr>
          <w:sz w:val="22"/>
          <w:szCs w:val="22"/>
          <w:lang w:val="es-ES"/>
        </w:rPr>
        <w:t>pacijenti</w:t>
      </w:r>
      <w:r w:rsidR="00E500A3" w:rsidRPr="00BF57A3">
        <w:rPr>
          <w:sz w:val="22"/>
          <w:szCs w:val="22"/>
          <w:lang w:val="es-ES"/>
        </w:rPr>
        <w:t xml:space="preserve"> </w:t>
      </w:r>
      <w:r w:rsidR="005A1452" w:rsidRPr="00BF57A3">
        <w:rPr>
          <w:sz w:val="22"/>
          <w:szCs w:val="22"/>
          <w:lang w:val="es-ES"/>
        </w:rPr>
        <w:t xml:space="preserve">koji imaju </w:t>
      </w:r>
      <w:r w:rsidRPr="00BF57A3">
        <w:rPr>
          <w:sz w:val="22"/>
          <w:szCs w:val="22"/>
          <w:lang w:val="es-ES"/>
        </w:rPr>
        <w:t>≥ 65 godina mogli biti osjetljiviji na razvoj neutropenije tokom prvog ciklusa liječenja, iako starost ne utiče na izloženost paklitakselu u plazmi.</w:t>
      </w:r>
    </w:p>
    <w:p w14:paraId="3B998F58" w14:textId="77777777" w:rsidR="008F2AFE" w:rsidRPr="00BF57A3" w:rsidRDefault="008F2AFE">
      <w:pPr>
        <w:pStyle w:val="Header"/>
        <w:tabs>
          <w:tab w:val="left" w:pos="284"/>
        </w:tabs>
        <w:jc w:val="both"/>
        <w:rPr>
          <w:sz w:val="22"/>
          <w:szCs w:val="22"/>
          <w:lang w:val="es-ES"/>
        </w:rPr>
      </w:pPr>
    </w:p>
    <w:p w14:paraId="0D1CF9AA" w14:textId="77777777" w:rsidR="008F2AFE" w:rsidRPr="00BF57A3" w:rsidRDefault="008F2AFE">
      <w:pPr>
        <w:pStyle w:val="Header"/>
        <w:tabs>
          <w:tab w:val="left" w:pos="284"/>
        </w:tabs>
        <w:jc w:val="both"/>
        <w:rPr>
          <w:sz w:val="22"/>
          <w:szCs w:val="22"/>
          <w:u w:val="single"/>
          <w:lang w:val="es-ES"/>
        </w:rPr>
      </w:pPr>
      <w:r w:rsidRPr="00BF57A3">
        <w:rPr>
          <w:sz w:val="22"/>
          <w:szCs w:val="22"/>
          <w:u w:val="single"/>
          <w:lang w:val="es-ES"/>
        </w:rPr>
        <w:t>Pedijatrijska populcija</w:t>
      </w:r>
    </w:p>
    <w:p w14:paraId="2BA2A84E" w14:textId="43426AEE" w:rsidR="008F2AFE" w:rsidRPr="00BF57A3" w:rsidRDefault="00C06533">
      <w:pPr>
        <w:pStyle w:val="Header"/>
        <w:tabs>
          <w:tab w:val="left" w:pos="284"/>
        </w:tabs>
        <w:jc w:val="both"/>
        <w:rPr>
          <w:sz w:val="22"/>
          <w:szCs w:val="22"/>
          <w:lang w:val="es-ES"/>
        </w:rPr>
      </w:pPr>
      <w:r w:rsidRPr="00BF57A3">
        <w:rPr>
          <w:sz w:val="22"/>
          <w:szCs w:val="22"/>
          <w:lang w:val="es-ES"/>
        </w:rPr>
        <w:t xml:space="preserve">Farmakokinetika </w:t>
      </w:r>
      <w:r w:rsidR="008F2AFE" w:rsidRPr="00BF57A3">
        <w:rPr>
          <w:sz w:val="22"/>
          <w:szCs w:val="22"/>
          <w:lang w:val="es-ES"/>
        </w:rPr>
        <w:t>pa</w:t>
      </w:r>
      <w:r w:rsidRPr="00BF57A3">
        <w:rPr>
          <w:sz w:val="22"/>
          <w:szCs w:val="22"/>
          <w:lang w:val="es-ES"/>
        </w:rPr>
        <w:t>k</w:t>
      </w:r>
      <w:r w:rsidR="008F2AFE" w:rsidRPr="00BF57A3">
        <w:rPr>
          <w:sz w:val="22"/>
          <w:szCs w:val="22"/>
          <w:lang w:val="es-ES"/>
        </w:rPr>
        <w:t>lita</w:t>
      </w:r>
      <w:r w:rsidRPr="00BF57A3">
        <w:rPr>
          <w:sz w:val="22"/>
          <w:szCs w:val="22"/>
          <w:lang w:val="es-ES"/>
        </w:rPr>
        <w:t>ks</w:t>
      </w:r>
      <w:r w:rsidR="008F2AFE" w:rsidRPr="00BF57A3">
        <w:rPr>
          <w:sz w:val="22"/>
          <w:szCs w:val="22"/>
          <w:lang w:val="es-ES"/>
        </w:rPr>
        <w:t>el</w:t>
      </w:r>
      <w:r w:rsidRPr="00BF57A3">
        <w:rPr>
          <w:sz w:val="22"/>
          <w:szCs w:val="22"/>
          <w:lang w:val="es-ES"/>
        </w:rPr>
        <w:t xml:space="preserve">a nakon </w:t>
      </w:r>
      <w:r w:rsidR="008F2AFE" w:rsidRPr="00BF57A3">
        <w:rPr>
          <w:sz w:val="22"/>
          <w:szCs w:val="22"/>
          <w:lang w:val="es-ES"/>
        </w:rPr>
        <w:t>30 minut</w:t>
      </w:r>
      <w:r w:rsidRPr="00BF57A3">
        <w:rPr>
          <w:sz w:val="22"/>
          <w:szCs w:val="22"/>
          <w:lang w:val="es-ES"/>
        </w:rPr>
        <w:t xml:space="preserve">ne intravenske infuzije lijeka u rasponu doze od </w:t>
      </w:r>
      <w:r w:rsidR="008F2AFE" w:rsidRPr="00BF57A3">
        <w:rPr>
          <w:sz w:val="22"/>
          <w:szCs w:val="22"/>
          <w:lang w:val="es-ES"/>
        </w:rPr>
        <w:t>120 mg/m</w:t>
      </w:r>
      <w:r w:rsidR="008F2AFE" w:rsidRPr="00BF57A3">
        <w:rPr>
          <w:sz w:val="22"/>
          <w:szCs w:val="22"/>
          <w:vertAlign w:val="superscript"/>
          <w:lang w:val="es-ES"/>
        </w:rPr>
        <w:t>2</w:t>
      </w:r>
      <w:r w:rsidR="008F2AFE" w:rsidRPr="00BF57A3">
        <w:rPr>
          <w:sz w:val="22"/>
          <w:szCs w:val="22"/>
          <w:lang w:val="es-ES"/>
        </w:rPr>
        <w:t xml:space="preserve"> </w:t>
      </w:r>
      <w:r w:rsidRPr="00BF57A3">
        <w:rPr>
          <w:sz w:val="22"/>
          <w:szCs w:val="22"/>
          <w:lang w:val="es-ES"/>
        </w:rPr>
        <w:t xml:space="preserve">do </w:t>
      </w:r>
      <w:r w:rsidR="008F2AFE" w:rsidRPr="00BF57A3">
        <w:rPr>
          <w:sz w:val="22"/>
          <w:szCs w:val="22"/>
          <w:lang w:val="es-ES"/>
        </w:rPr>
        <w:t>270 mg/m</w:t>
      </w:r>
      <w:r w:rsidR="008F2AFE" w:rsidRPr="00BF57A3">
        <w:rPr>
          <w:sz w:val="22"/>
          <w:szCs w:val="22"/>
          <w:vertAlign w:val="superscript"/>
          <w:lang w:val="es-ES"/>
        </w:rPr>
        <w:t>2</w:t>
      </w:r>
      <w:r w:rsidR="008F2AFE" w:rsidRPr="00BF57A3">
        <w:rPr>
          <w:sz w:val="22"/>
          <w:szCs w:val="22"/>
          <w:lang w:val="es-ES"/>
        </w:rPr>
        <w:t xml:space="preserve"> </w:t>
      </w:r>
      <w:r w:rsidRPr="00BF57A3">
        <w:rPr>
          <w:sz w:val="22"/>
          <w:szCs w:val="22"/>
          <w:lang w:val="es-ES"/>
        </w:rPr>
        <w:t>utvrđena je kod</w:t>
      </w:r>
      <w:r w:rsidR="008F2AFE" w:rsidRPr="00BF57A3">
        <w:rPr>
          <w:sz w:val="22"/>
          <w:szCs w:val="22"/>
          <w:lang w:val="es-ES"/>
        </w:rPr>
        <w:t xml:space="preserve"> 64 pa</w:t>
      </w:r>
      <w:r w:rsidRPr="00BF57A3">
        <w:rPr>
          <w:sz w:val="22"/>
          <w:szCs w:val="22"/>
          <w:lang w:val="es-ES"/>
        </w:rPr>
        <w:t>cijenta</w:t>
      </w:r>
      <w:r w:rsidR="008F2AFE" w:rsidRPr="00BF57A3">
        <w:rPr>
          <w:sz w:val="22"/>
          <w:szCs w:val="22"/>
          <w:lang w:val="es-ES"/>
        </w:rPr>
        <w:t xml:space="preserve"> (</w:t>
      </w:r>
      <w:r w:rsidRPr="00BF57A3">
        <w:rPr>
          <w:sz w:val="22"/>
          <w:szCs w:val="22"/>
          <w:lang w:val="es-ES"/>
        </w:rPr>
        <w:t>starosti od 2 do ≤ 18 godina)</w:t>
      </w:r>
      <w:r w:rsidRPr="006C640E">
        <w:rPr>
          <w:sz w:val="22"/>
          <w:szCs w:val="22"/>
        </w:rPr>
        <w:t xml:space="preserve"> </w:t>
      </w:r>
      <w:r w:rsidRPr="00BF57A3">
        <w:rPr>
          <w:sz w:val="22"/>
          <w:szCs w:val="22"/>
          <w:lang w:val="es-ES"/>
        </w:rPr>
        <w:t xml:space="preserve">sa rekurentnim ili otpornim pedijatrijskim čvrstim </w:t>
      </w:r>
      <w:proofErr w:type="gramStart"/>
      <w:r w:rsidRPr="00BF57A3">
        <w:rPr>
          <w:sz w:val="22"/>
          <w:szCs w:val="22"/>
          <w:lang w:val="es-ES"/>
        </w:rPr>
        <w:t>tumorima,  u</w:t>
      </w:r>
      <w:proofErr w:type="gramEnd"/>
      <w:r w:rsidRPr="00BF57A3">
        <w:rPr>
          <w:sz w:val="22"/>
          <w:szCs w:val="22"/>
          <w:lang w:val="es-ES"/>
        </w:rPr>
        <w:t xml:space="preserve"> fazi I studije faze </w:t>
      </w:r>
      <w:r w:rsidR="008F2AFE" w:rsidRPr="00BF57A3">
        <w:rPr>
          <w:sz w:val="22"/>
          <w:szCs w:val="22"/>
          <w:lang w:val="es-ES"/>
        </w:rPr>
        <w:t xml:space="preserve"> </w:t>
      </w:r>
      <w:r w:rsidRPr="00BF57A3">
        <w:rPr>
          <w:sz w:val="22"/>
          <w:szCs w:val="22"/>
          <w:lang w:val="es-ES"/>
        </w:rPr>
        <w:t xml:space="preserve">½. Nakon povećanja doze sa </w:t>
      </w:r>
      <w:r w:rsidR="008F2AFE" w:rsidRPr="00BF57A3">
        <w:rPr>
          <w:sz w:val="22"/>
          <w:szCs w:val="22"/>
          <w:lang w:val="es-ES"/>
        </w:rPr>
        <w:t>120</w:t>
      </w:r>
      <w:r w:rsidRPr="00BF57A3">
        <w:rPr>
          <w:sz w:val="22"/>
          <w:szCs w:val="22"/>
          <w:lang w:val="es-ES"/>
        </w:rPr>
        <w:t xml:space="preserve"> na</w:t>
      </w:r>
      <w:r w:rsidR="008F2AFE" w:rsidRPr="00BF57A3">
        <w:rPr>
          <w:sz w:val="22"/>
          <w:szCs w:val="22"/>
          <w:lang w:val="es-ES"/>
        </w:rPr>
        <w:t xml:space="preserve"> to 270 mg/m</w:t>
      </w:r>
      <w:r w:rsidR="008F2AFE" w:rsidRPr="00BF57A3">
        <w:rPr>
          <w:sz w:val="22"/>
          <w:szCs w:val="22"/>
          <w:vertAlign w:val="superscript"/>
          <w:lang w:val="es-ES"/>
        </w:rPr>
        <w:t>2</w:t>
      </w:r>
      <w:r w:rsidR="008F2AFE" w:rsidRPr="00BF57A3">
        <w:rPr>
          <w:sz w:val="22"/>
          <w:szCs w:val="22"/>
          <w:lang w:val="es-ES"/>
        </w:rPr>
        <w:t xml:space="preserve">, </w:t>
      </w:r>
      <w:r w:rsidRPr="00BF57A3">
        <w:rPr>
          <w:sz w:val="22"/>
          <w:szCs w:val="22"/>
          <w:lang w:val="es-ES"/>
        </w:rPr>
        <w:t xml:space="preserve">srednja vrijednost </w:t>
      </w:r>
      <w:r w:rsidR="008F2AFE" w:rsidRPr="00BF57A3">
        <w:rPr>
          <w:sz w:val="22"/>
          <w:szCs w:val="22"/>
          <w:lang w:val="es-ES"/>
        </w:rPr>
        <w:t>AUC</w:t>
      </w:r>
      <w:r w:rsidR="008F2AFE" w:rsidRPr="00BF57A3">
        <w:rPr>
          <w:sz w:val="22"/>
          <w:szCs w:val="22"/>
          <w:vertAlign w:val="subscript"/>
          <w:lang w:val="es-ES"/>
        </w:rPr>
        <w:t>(0-inf)</w:t>
      </w:r>
      <w:r w:rsidR="008F2AFE" w:rsidRPr="00BF57A3">
        <w:rPr>
          <w:sz w:val="22"/>
          <w:szCs w:val="22"/>
          <w:lang w:val="es-ES"/>
        </w:rPr>
        <w:t xml:space="preserve"> and C</w:t>
      </w:r>
      <w:r w:rsidR="008F2AFE" w:rsidRPr="00BF57A3">
        <w:rPr>
          <w:sz w:val="22"/>
          <w:szCs w:val="22"/>
          <w:vertAlign w:val="subscript"/>
          <w:lang w:val="es-ES"/>
        </w:rPr>
        <w:t>max</w:t>
      </w:r>
      <w:r w:rsidRPr="00BF57A3">
        <w:rPr>
          <w:sz w:val="22"/>
          <w:szCs w:val="22"/>
          <w:lang w:val="es-ES"/>
        </w:rPr>
        <w:t xml:space="preserve"> za paklitaksel kretala se u rasponu </w:t>
      </w:r>
      <w:proofErr w:type="gramStart"/>
      <w:r w:rsidRPr="00BF57A3">
        <w:rPr>
          <w:sz w:val="22"/>
          <w:szCs w:val="22"/>
          <w:lang w:val="es-ES"/>
        </w:rPr>
        <w:t>od  8867</w:t>
      </w:r>
      <w:proofErr w:type="gramEnd"/>
      <w:r w:rsidRPr="00BF57A3">
        <w:rPr>
          <w:sz w:val="22"/>
          <w:szCs w:val="22"/>
          <w:lang w:val="es-ES"/>
        </w:rPr>
        <w:t xml:space="preserve"> do</w:t>
      </w:r>
      <w:r w:rsidR="008F2AFE" w:rsidRPr="00BF57A3">
        <w:rPr>
          <w:sz w:val="22"/>
          <w:szCs w:val="22"/>
          <w:lang w:val="es-ES"/>
        </w:rPr>
        <w:t xml:space="preserve"> 14361 ng*hr/ml</w:t>
      </w:r>
      <w:r w:rsidRPr="00BF57A3">
        <w:rPr>
          <w:sz w:val="22"/>
          <w:szCs w:val="22"/>
          <w:lang w:val="es-ES"/>
        </w:rPr>
        <w:t>, odnosno od 3488 do 8078 ng/ml</w:t>
      </w:r>
      <w:r w:rsidR="008F2AFE" w:rsidRPr="00BF57A3">
        <w:rPr>
          <w:sz w:val="22"/>
          <w:szCs w:val="22"/>
          <w:lang w:val="es-ES"/>
        </w:rPr>
        <w:t>.</w:t>
      </w:r>
    </w:p>
    <w:p w14:paraId="1A1F7EFF" w14:textId="77777777" w:rsidR="000C32EB" w:rsidRPr="00BF57A3" w:rsidRDefault="000C32EB">
      <w:pPr>
        <w:pStyle w:val="Header"/>
        <w:tabs>
          <w:tab w:val="left" w:pos="284"/>
        </w:tabs>
        <w:jc w:val="both"/>
        <w:rPr>
          <w:sz w:val="22"/>
          <w:szCs w:val="22"/>
          <w:lang w:val="es-ES"/>
        </w:rPr>
      </w:pPr>
      <w:r w:rsidRPr="00BF57A3">
        <w:rPr>
          <w:sz w:val="22"/>
          <w:szCs w:val="22"/>
          <w:lang w:val="es-ES"/>
        </w:rPr>
        <w:t>Normalizovane vrijednosti kod maksimalne izloženosti lijeku su bile uporedne as ispitivanim rasponom doze; međutim, normalizovane vrijednosti kod sveukupne izloženosti lijeku bile su uporedne samo sa rasponom od 120 mg/m</w:t>
      </w:r>
      <w:r w:rsidRPr="00BF57A3">
        <w:rPr>
          <w:sz w:val="22"/>
          <w:szCs w:val="22"/>
          <w:vertAlign w:val="superscript"/>
          <w:lang w:val="es-ES"/>
        </w:rPr>
        <w:t>2</w:t>
      </w:r>
      <w:r w:rsidRPr="00BF57A3">
        <w:rPr>
          <w:sz w:val="22"/>
          <w:szCs w:val="22"/>
          <w:lang w:val="es-ES"/>
        </w:rPr>
        <w:t xml:space="preserve"> do 240 mg/m</w:t>
      </w:r>
      <w:r w:rsidRPr="00BF57A3">
        <w:rPr>
          <w:sz w:val="22"/>
          <w:szCs w:val="22"/>
          <w:vertAlign w:val="superscript"/>
          <w:lang w:val="es-ES"/>
        </w:rPr>
        <w:t>2</w:t>
      </w:r>
      <w:r w:rsidRPr="00BF57A3">
        <w:rPr>
          <w:sz w:val="22"/>
          <w:szCs w:val="22"/>
          <w:lang w:val="es-ES"/>
        </w:rPr>
        <w:t>, a niža normalizovana vrijednost AUC∞ sa rasponom doze od 270 mg/m</w:t>
      </w:r>
      <w:r w:rsidRPr="00BF57A3">
        <w:rPr>
          <w:sz w:val="22"/>
          <w:szCs w:val="22"/>
          <w:vertAlign w:val="superscript"/>
          <w:lang w:val="es-ES"/>
        </w:rPr>
        <w:t>2</w:t>
      </w:r>
      <w:r w:rsidRPr="00BF57A3">
        <w:rPr>
          <w:sz w:val="22"/>
          <w:szCs w:val="22"/>
          <w:lang w:val="es-ES"/>
        </w:rPr>
        <w:t>.</w:t>
      </w:r>
    </w:p>
    <w:p w14:paraId="4557BB20" w14:textId="77777777" w:rsidR="008F2AFE" w:rsidRPr="00BF57A3" w:rsidRDefault="000C32EB">
      <w:pPr>
        <w:pStyle w:val="Header"/>
        <w:tabs>
          <w:tab w:val="left" w:pos="284"/>
        </w:tabs>
        <w:jc w:val="both"/>
        <w:rPr>
          <w:sz w:val="22"/>
          <w:szCs w:val="22"/>
          <w:lang w:val="es-ES"/>
        </w:rPr>
      </w:pPr>
      <w:r w:rsidRPr="00BF57A3">
        <w:rPr>
          <w:sz w:val="22"/>
          <w:szCs w:val="22"/>
          <w:lang w:val="es-ES"/>
        </w:rPr>
        <w:t>Kod MTD od 240 mg/m</w:t>
      </w:r>
      <w:r w:rsidRPr="00BF57A3">
        <w:rPr>
          <w:sz w:val="22"/>
          <w:szCs w:val="22"/>
          <w:vertAlign w:val="superscript"/>
          <w:lang w:val="es-ES"/>
        </w:rPr>
        <w:t>2</w:t>
      </w:r>
      <w:r w:rsidRPr="00BF57A3">
        <w:rPr>
          <w:sz w:val="22"/>
          <w:szCs w:val="22"/>
          <w:lang w:val="es-ES"/>
        </w:rPr>
        <w:t xml:space="preserve">, srednja vrijednost CL bila je 19,1 L/h, a srednja vrijednost završnog </w:t>
      </w:r>
      <w:proofErr w:type="gramStart"/>
      <w:r w:rsidRPr="00BF57A3">
        <w:rPr>
          <w:sz w:val="22"/>
          <w:szCs w:val="22"/>
          <w:lang w:val="es-ES"/>
        </w:rPr>
        <w:t>poluvremena  bila</w:t>
      </w:r>
      <w:proofErr w:type="gramEnd"/>
      <w:r w:rsidRPr="00BF57A3">
        <w:rPr>
          <w:sz w:val="22"/>
          <w:szCs w:val="22"/>
          <w:lang w:val="es-ES"/>
        </w:rPr>
        <w:t xml:space="preserve"> je 13,5 sati.</w:t>
      </w:r>
    </w:p>
    <w:p w14:paraId="51B2A732" w14:textId="77777777" w:rsidR="00C641FB" w:rsidRPr="00BF57A3" w:rsidRDefault="00C641FB">
      <w:pPr>
        <w:pStyle w:val="Header"/>
        <w:tabs>
          <w:tab w:val="left" w:pos="284"/>
        </w:tabs>
        <w:jc w:val="both"/>
        <w:rPr>
          <w:sz w:val="22"/>
          <w:szCs w:val="22"/>
          <w:lang w:val="es-ES"/>
        </w:rPr>
      </w:pPr>
    </w:p>
    <w:p w14:paraId="4DC50A92" w14:textId="77777777" w:rsidR="008F2AFE" w:rsidRPr="00BF57A3" w:rsidRDefault="000C32EB">
      <w:pPr>
        <w:pStyle w:val="Header"/>
        <w:tabs>
          <w:tab w:val="left" w:pos="284"/>
        </w:tabs>
        <w:jc w:val="both"/>
        <w:rPr>
          <w:sz w:val="22"/>
          <w:szCs w:val="22"/>
          <w:lang w:val="es-ES"/>
        </w:rPr>
      </w:pPr>
      <w:r w:rsidRPr="00BF57A3">
        <w:rPr>
          <w:sz w:val="22"/>
          <w:szCs w:val="22"/>
          <w:lang w:val="es-ES"/>
        </w:rPr>
        <w:t>Kod djece i adolescenata izloženost paklitakselu rasla je sa povećanjem doze, a nedjeljna izloženost lijeku je bila veća od one kod odraslih pacijenata.</w:t>
      </w:r>
    </w:p>
    <w:p w14:paraId="1B3361FA" w14:textId="77777777" w:rsidR="00AA7CC9" w:rsidRPr="00BF57A3" w:rsidRDefault="00AA7CC9">
      <w:pPr>
        <w:pStyle w:val="Header"/>
        <w:tabs>
          <w:tab w:val="left" w:pos="284"/>
        </w:tabs>
        <w:jc w:val="both"/>
        <w:rPr>
          <w:sz w:val="22"/>
          <w:szCs w:val="22"/>
          <w:lang w:val="es-ES"/>
        </w:rPr>
      </w:pPr>
    </w:p>
    <w:p w14:paraId="1D426C9E" w14:textId="77777777" w:rsidR="00AA7CC9" w:rsidRPr="00BF57A3" w:rsidRDefault="00AA7CC9">
      <w:pPr>
        <w:pStyle w:val="Header"/>
        <w:tabs>
          <w:tab w:val="left" w:pos="284"/>
        </w:tabs>
        <w:jc w:val="both"/>
        <w:rPr>
          <w:sz w:val="22"/>
          <w:szCs w:val="22"/>
          <w:u w:val="single"/>
          <w:lang w:val="es-ES"/>
        </w:rPr>
      </w:pPr>
      <w:r w:rsidRPr="00BF57A3">
        <w:rPr>
          <w:sz w:val="22"/>
          <w:szCs w:val="22"/>
          <w:u w:val="single"/>
          <w:lang w:val="es-ES"/>
        </w:rPr>
        <w:t>Drugi intrinzički faktori</w:t>
      </w:r>
    </w:p>
    <w:p w14:paraId="184DB71A" w14:textId="1D97BF8F" w:rsidR="00AA7CC9" w:rsidRPr="00BF57A3" w:rsidRDefault="00AA7CC9">
      <w:pPr>
        <w:pStyle w:val="Header"/>
        <w:tabs>
          <w:tab w:val="left" w:pos="284"/>
        </w:tabs>
        <w:jc w:val="both"/>
        <w:rPr>
          <w:sz w:val="22"/>
          <w:szCs w:val="22"/>
          <w:lang w:val="es-ES"/>
        </w:rPr>
      </w:pPr>
      <w:r w:rsidRPr="00BF57A3">
        <w:rPr>
          <w:sz w:val="22"/>
          <w:szCs w:val="22"/>
          <w:lang w:val="es-ES"/>
        </w:rPr>
        <w:t>Analize populacione farmakokinetike za lijek Abraxane pokazuju da pol, rasa (</w:t>
      </w:r>
      <w:r w:rsidR="005A1452" w:rsidRPr="00BF57A3">
        <w:rPr>
          <w:sz w:val="22"/>
          <w:szCs w:val="22"/>
          <w:lang w:val="es-ES"/>
        </w:rPr>
        <w:t xml:space="preserve">Azijati </w:t>
      </w:r>
      <w:r w:rsidRPr="00BF57A3">
        <w:rPr>
          <w:sz w:val="22"/>
          <w:szCs w:val="22"/>
          <w:lang w:val="es-ES"/>
        </w:rPr>
        <w:t>nasuprot bijelaca) i vrsta solidnih tumora nemaju klinički važan efekat na sistemsku izloženost paklitakselu (PIK i C</w:t>
      </w:r>
      <w:r w:rsidRPr="00BF57A3">
        <w:rPr>
          <w:sz w:val="22"/>
          <w:szCs w:val="22"/>
          <w:vertAlign w:val="subscript"/>
          <w:lang w:val="es-ES"/>
        </w:rPr>
        <w:t>max</w:t>
      </w:r>
      <w:r w:rsidRPr="00BF57A3">
        <w:rPr>
          <w:sz w:val="22"/>
          <w:szCs w:val="22"/>
          <w:lang w:val="es-ES"/>
        </w:rPr>
        <w:t xml:space="preserve">). Kod </w:t>
      </w:r>
      <w:r w:rsidR="00E500A3">
        <w:rPr>
          <w:sz w:val="22"/>
          <w:szCs w:val="22"/>
          <w:lang w:val="es-ES"/>
        </w:rPr>
        <w:t>pacijenata</w:t>
      </w:r>
      <w:r w:rsidR="00E500A3" w:rsidRPr="00BF57A3">
        <w:rPr>
          <w:sz w:val="22"/>
          <w:szCs w:val="22"/>
          <w:lang w:val="es-ES"/>
        </w:rPr>
        <w:t xml:space="preserve"> </w:t>
      </w:r>
      <w:r w:rsidRPr="00BF57A3">
        <w:rPr>
          <w:sz w:val="22"/>
          <w:szCs w:val="22"/>
          <w:lang w:val="es-ES"/>
        </w:rPr>
        <w:t>težine 50 kg</w:t>
      </w:r>
      <w:r w:rsidR="005A1452" w:rsidRPr="00BF57A3">
        <w:rPr>
          <w:sz w:val="22"/>
          <w:szCs w:val="22"/>
          <w:lang w:val="es-ES"/>
        </w:rPr>
        <w:t>,</w:t>
      </w:r>
      <w:r w:rsidRPr="00BF57A3">
        <w:rPr>
          <w:sz w:val="22"/>
          <w:szCs w:val="22"/>
          <w:lang w:val="es-ES"/>
        </w:rPr>
        <w:t xml:space="preserve"> vrijednosti PIK paklitaksela bile su približno 25% niže nego kod </w:t>
      </w:r>
      <w:r w:rsidR="00E500A3">
        <w:rPr>
          <w:sz w:val="22"/>
          <w:szCs w:val="22"/>
          <w:lang w:val="es-ES"/>
        </w:rPr>
        <w:t>pacijenata</w:t>
      </w:r>
      <w:r w:rsidR="00E500A3" w:rsidRPr="00BF57A3">
        <w:rPr>
          <w:sz w:val="22"/>
          <w:szCs w:val="22"/>
          <w:lang w:val="es-ES"/>
        </w:rPr>
        <w:t xml:space="preserve"> </w:t>
      </w:r>
      <w:r w:rsidRPr="00BF57A3">
        <w:rPr>
          <w:sz w:val="22"/>
          <w:szCs w:val="22"/>
          <w:lang w:val="es-ES"/>
        </w:rPr>
        <w:t>težine 75 kg. Klinički značaj ovog nalaza nije jasan.</w:t>
      </w:r>
    </w:p>
    <w:p w14:paraId="66FADE7B" w14:textId="77777777" w:rsidR="00C641FB" w:rsidRPr="00BF57A3" w:rsidRDefault="00C641FB">
      <w:pPr>
        <w:tabs>
          <w:tab w:val="left" w:pos="540"/>
          <w:tab w:val="left" w:pos="569"/>
        </w:tabs>
        <w:jc w:val="both"/>
        <w:rPr>
          <w:bCs/>
          <w:sz w:val="22"/>
          <w:szCs w:val="22"/>
          <w:lang w:val="es-ES"/>
        </w:rPr>
      </w:pPr>
    </w:p>
    <w:p w14:paraId="4135F305" w14:textId="77777777" w:rsidR="0072020E" w:rsidRPr="00BF57A3" w:rsidRDefault="0072020E">
      <w:pPr>
        <w:tabs>
          <w:tab w:val="left" w:pos="540"/>
          <w:tab w:val="left" w:pos="569"/>
        </w:tabs>
        <w:jc w:val="both"/>
        <w:rPr>
          <w:b/>
          <w:bCs/>
          <w:sz w:val="22"/>
          <w:szCs w:val="22"/>
          <w:lang w:val="es-ES"/>
        </w:rPr>
      </w:pPr>
      <w:r w:rsidRPr="00BF57A3">
        <w:rPr>
          <w:b/>
          <w:bCs/>
          <w:sz w:val="22"/>
          <w:szCs w:val="22"/>
          <w:lang w:val="es-ES"/>
        </w:rPr>
        <w:t xml:space="preserve">5.3. </w:t>
      </w:r>
      <w:r w:rsidR="00480FB1" w:rsidRPr="00BF57A3">
        <w:rPr>
          <w:b/>
          <w:bCs/>
          <w:sz w:val="22"/>
          <w:szCs w:val="22"/>
          <w:lang w:val="es-ES"/>
        </w:rPr>
        <w:tab/>
      </w:r>
      <w:r w:rsidRPr="00BF57A3">
        <w:rPr>
          <w:b/>
          <w:bCs/>
          <w:sz w:val="22"/>
          <w:szCs w:val="22"/>
          <w:lang w:val="es-ES"/>
        </w:rPr>
        <w:t xml:space="preserve">Pretklinički podaci o bezbjednosti </w:t>
      </w:r>
    </w:p>
    <w:p w14:paraId="4DB8D497" w14:textId="77777777" w:rsidR="00836B35" w:rsidRPr="00BF57A3" w:rsidRDefault="00836B35">
      <w:pPr>
        <w:tabs>
          <w:tab w:val="left" w:pos="540"/>
          <w:tab w:val="left" w:pos="569"/>
        </w:tabs>
        <w:jc w:val="both"/>
        <w:rPr>
          <w:bCs/>
          <w:sz w:val="22"/>
          <w:szCs w:val="22"/>
          <w:lang w:val="es-ES"/>
        </w:rPr>
      </w:pPr>
    </w:p>
    <w:p w14:paraId="46C09386" w14:textId="77777777" w:rsidR="00AA7CC9" w:rsidRPr="00BF57A3" w:rsidRDefault="00AA7CC9">
      <w:pPr>
        <w:pStyle w:val="Header"/>
        <w:tabs>
          <w:tab w:val="left" w:pos="284"/>
        </w:tabs>
        <w:jc w:val="both"/>
        <w:rPr>
          <w:sz w:val="22"/>
          <w:szCs w:val="22"/>
          <w:lang w:val="it-IT"/>
        </w:rPr>
      </w:pPr>
      <w:r w:rsidRPr="00BF57A3">
        <w:rPr>
          <w:sz w:val="22"/>
          <w:szCs w:val="22"/>
          <w:lang w:val="it-IT"/>
        </w:rPr>
        <w:t xml:space="preserve">Karcinogeni potencijal paklitaksela nije ispitivan. Međutim, na osnovu objavljene literature, paklitaksel je zbog svog farmakodinamičkog mehanizma djelovanja potencijalno karcinogen i genotoksičan lijek u kliničkim dozama. Paklitaksel se pokazao klastogenim </w:t>
      </w:r>
      <w:r w:rsidRPr="00BF57A3">
        <w:rPr>
          <w:i/>
          <w:sz w:val="22"/>
          <w:szCs w:val="22"/>
          <w:lang w:val="it-IT"/>
        </w:rPr>
        <w:t>in vitro</w:t>
      </w:r>
      <w:r w:rsidRPr="00BF57A3">
        <w:rPr>
          <w:sz w:val="22"/>
          <w:szCs w:val="22"/>
          <w:lang w:val="it-IT"/>
        </w:rPr>
        <w:t xml:space="preserve"> (hromosomske aberacije na ljudskim limfocitima) i </w:t>
      </w:r>
      <w:r w:rsidRPr="00BF57A3">
        <w:rPr>
          <w:i/>
          <w:sz w:val="22"/>
          <w:szCs w:val="22"/>
          <w:lang w:val="it-IT"/>
        </w:rPr>
        <w:t>in vivo</w:t>
      </w:r>
      <w:r w:rsidRPr="00BF57A3">
        <w:rPr>
          <w:sz w:val="22"/>
          <w:szCs w:val="22"/>
          <w:lang w:val="it-IT"/>
        </w:rPr>
        <w:t xml:space="preserve"> (mikronukleusni test na miševima). Paklitaksel se pokazao genotoksičnim </w:t>
      </w:r>
      <w:r w:rsidRPr="00BF57A3">
        <w:rPr>
          <w:i/>
          <w:sz w:val="22"/>
          <w:szCs w:val="22"/>
          <w:lang w:val="it-IT"/>
        </w:rPr>
        <w:t>in vivo</w:t>
      </w:r>
      <w:r w:rsidRPr="00BF57A3">
        <w:rPr>
          <w:sz w:val="22"/>
          <w:szCs w:val="22"/>
          <w:lang w:val="it-IT"/>
        </w:rPr>
        <w:t xml:space="preserve"> (mikronukleusni test na miševima), ali nije uzrokovao mutagenost u Ames-ovom testu ili testu mutacije gena jajnika kineskog hrčka/hipoksantin</w:t>
      </w:r>
      <w:r w:rsidR="00D71C05" w:rsidRPr="00BF57A3">
        <w:rPr>
          <w:sz w:val="22"/>
          <w:szCs w:val="22"/>
          <w:lang w:val="it-IT"/>
        </w:rPr>
        <w:t xml:space="preserve"> </w:t>
      </w:r>
      <w:r w:rsidRPr="00BF57A3">
        <w:rPr>
          <w:sz w:val="22"/>
          <w:szCs w:val="22"/>
          <w:lang w:val="it-IT"/>
        </w:rPr>
        <w:t>gvanin fosforibozil transferaze (CHO/HGPRT).</w:t>
      </w:r>
    </w:p>
    <w:p w14:paraId="64E86062" w14:textId="77777777" w:rsidR="00AA7CC9" w:rsidRPr="00BF57A3" w:rsidRDefault="00AA7CC9">
      <w:pPr>
        <w:pStyle w:val="Header"/>
        <w:tabs>
          <w:tab w:val="left" w:pos="284"/>
        </w:tabs>
        <w:jc w:val="both"/>
        <w:rPr>
          <w:sz w:val="22"/>
          <w:szCs w:val="22"/>
          <w:lang w:val="it-IT"/>
        </w:rPr>
      </w:pPr>
    </w:p>
    <w:p w14:paraId="41C66E3C" w14:textId="77777777" w:rsidR="00AA7CC9" w:rsidRPr="00BF57A3" w:rsidRDefault="00AA7CC9">
      <w:pPr>
        <w:pStyle w:val="Header"/>
        <w:tabs>
          <w:tab w:val="left" w:pos="284"/>
        </w:tabs>
        <w:jc w:val="both"/>
        <w:rPr>
          <w:sz w:val="22"/>
          <w:szCs w:val="22"/>
          <w:lang w:val="it-IT"/>
        </w:rPr>
      </w:pPr>
      <w:r w:rsidRPr="00BF57A3">
        <w:rPr>
          <w:sz w:val="22"/>
          <w:szCs w:val="22"/>
          <w:lang w:val="it-IT"/>
        </w:rPr>
        <w:t xml:space="preserve">Paklitaksel u dozama nižim od terapijskih doza za čovjeka bio je udružen sa niskom plodnošću </w:t>
      </w:r>
      <w:r w:rsidR="00E22374" w:rsidRPr="00BF57A3">
        <w:rPr>
          <w:sz w:val="22"/>
          <w:szCs w:val="22"/>
          <w:lang w:val="it-IT"/>
        </w:rPr>
        <w:t xml:space="preserve">ako je bio </w:t>
      </w:r>
      <w:r w:rsidR="000753A7" w:rsidRPr="00BF57A3">
        <w:rPr>
          <w:sz w:val="22"/>
          <w:szCs w:val="22"/>
          <w:lang w:val="it-IT"/>
        </w:rPr>
        <w:t>prim</w:t>
      </w:r>
      <w:r w:rsidR="0068736F" w:rsidRPr="00BF57A3">
        <w:rPr>
          <w:sz w:val="22"/>
          <w:szCs w:val="22"/>
          <w:lang w:val="it-IT"/>
        </w:rPr>
        <w:t>ijenjen</w:t>
      </w:r>
      <w:r w:rsidR="000753A7" w:rsidRPr="00BF57A3">
        <w:rPr>
          <w:sz w:val="22"/>
          <w:szCs w:val="22"/>
          <w:lang w:val="it-IT"/>
        </w:rPr>
        <w:t xml:space="preserve"> prije i tokom parenja kod muških i ženkih pacova </w:t>
      </w:r>
      <w:r w:rsidRPr="00BF57A3">
        <w:rPr>
          <w:sz w:val="22"/>
          <w:szCs w:val="22"/>
          <w:lang w:val="it-IT"/>
        </w:rPr>
        <w:t>i fetalnom toksičnošću kod pacova. Ispitivanja lijeka Abraxane na životinjama pokazala su nepovratne, toksične efekte na muške reproduktivne organe pri klinički značajnim nivoima izloženosti.</w:t>
      </w:r>
    </w:p>
    <w:p w14:paraId="747FDD71" w14:textId="77777777" w:rsidR="0068736F" w:rsidRPr="00BF57A3" w:rsidRDefault="0068736F">
      <w:pPr>
        <w:pStyle w:val="Header"/>
        <w:tabs>
          <w:tab w:val="left" w:pos="284"/>
        </w:tabs>
        <w:jc w:val="both"/>
        <w:rPr>
          <w:sz w:val="22"/>
          <w:szCs w:val="22"/>
          <w:lang w:val="it-IT"/>
        </w:rPr>
      </w:pPr>
    </w:p>
    <w:p w14:paraId="685F3C99" w14:textId="77777777" w:rsidR="00396DFD" w:rsidRPr="00BF57A3" w:rsidRDefault="0068736F">
      <w:pPr>
        <w:tabs>
          <w:tab w:val="left" w:pos="540"/>
          <w:tab w:val="left" w:pos="569"/>
        </w:tabs>
        <w:jc w:val="both"/>
        <w:rPr>
          <w:bCs/>
          <w:sz w:val="22"/>
          <w:szCs w:val="22"/>
          <w:lang w:val="it-IT"/>
        </w:rPr>
      </w:pPr>
      <w:r w:rsidRPr="00BF57A3">
        <w:rPr>
          <w:bCs/>
          <w:sz w:val="22"/>
          <w:szCs w:val="22"/>
          <w:lang w:val="it-IT"/>
        </w:rPr>
        <w:t>Paklitaksel i / ili njegovi metaboliti s</w:t>
      </w:r>
      <w:r w:rsidR="00E22374" w:rsidRPr="00BF57A3">
        <w:rPr>
          <w:bCs/>
          <w:sz w:val="22"/>
          <w:szCs w:val="22"/>
          <w:lang w:val="it-IT"/>
        </w:rPr>
        <w:t>e</w:t>
      </w:r>
      <w:r w:rsidRPr="00BF57A3">
        <w:rPr>
          <w:bCs/>
          <w:sz w:val="22"/>
          <w:szCs w:val="22"/>
          <w:lang w:val="it-IT"/>
        </w:rPr>
        <w:t xml:space="preserve"> izlučuje u mlij</w:t>
      </w:r>
      <w:r w:rsidR="00B828BB" w:rsidRPr="00BF57A3">
        <w:rPr>
          <w:bCs/>
          <w:sz w:val="22"/>
          <w:szCs w:val="22"/>
          <w:lang w:val="it-IT"/>
        </w:rPr>
        <w:t>eko</w:t>
      </w:r>
      <w:r w:rsidRPr="00BF57A3">
        <w:rPr>
          <w:bCs/>
          <w:sz w:val="22"/>
          <w:szCs w:val="22"/>
          <w:lang w:val="it-IT"/>
        </w:rPr>
        <w:t xml:space="preserve"> pri laktaciji pacova. Nakon intravenske primjene radioaktivnog paklitaksela </w:t>
      </w:r>
      <w:r w:rsidR="00594788" w:rsidRPr="00BF57A3">
        <w:rPr>
          <w:bCs/>
          <w:sz w:val="22"/>
          <w:szCs w:val="22"/>
          <w:lang w:val="it-IT"/>
        </w:rPr>
        <w:t xml:space="preserve">kod pacova </w:t>
      </w:r>
      <w:r w:rsidRPr="00BF57A3">
        <w:rPr>
          <w:bCs/>
          <w:sz w:val="22"/>
          <w:szCs w:val="22"/>
          <w:lang w:val="it-IT"/>
        </w:rPr>
        <w:t>tokom 9 do 10 dana poslije porodjaja, koncentracije radioaktivnosti u mlijeku bile su više nego u plazmi i smanjivale su se paralelno sa koncentracijama u plazmi.</w:t>
      </w:r>
    </w:p>
    <w:p w14:paraId="28A49FDC" w14:textId="77777777" w:rsidR="0068736F" w:rsidRPr="00BF57A3" w:rsidRDefault="0068736F">
      <w:pPr>
        <w:tabs>
          <w:tab w:val="left" w:pos="540"/>
          <w:tab w:val="left" w:pos="569"/>
        </w:tabs>
        <w:jc w:val="both"/>
        <w:rPr>
          <w:b/>
          <w:bCs/>
          <w:sz w:val="22"/>
          <w:szCs w:val="22"/>
          <w:lang w:val="it-IT"/>
        </w:rPr>
      </w:pPr>
    </w:p>
    <w:p w14:paraId="4E959270" w14:textId="77777777" w:rsidR="0068736F" w:rsidRPr="00BF57A3" w:rsidRDefault="0068736F">
      <w:pPr>
        <w:tabs>
          <w:tab w:val="left" w:pos="540"/>
          <w:tab w:val="left" w:pos="569"/>
        </w:tabs>
        <w:jc w:val="both"/>
        <w:rPr>
          <w:b/>
          <w:bCs/>
          <w:sz w:val="22"/>
          <w:szCs w:val="22"/>
          <w:lang w:val="it-IT"/>
        </w:rPr>
      </w:pPr>
    </w:p>
    <w:p w14:paraId="5B1FB285" w14:textId="77777777" w:rsidR="0072020E" w:rsidRPr="00BF57A3" w:rsidRDefault="0072020E">
      <w:pPr>
        <w:tabs>
          <w:tab w:val="left" w:pos="540"/>
          <w:tab w:val="left" w:pos="569"/>
        </w:tabs>
        <w:jc w:val="both"/>
        <w:rPr>
          <w:b/>
          <w:bCs/>
          <w:sz w:val="22"/>
          <w:szCs w:val="22"/>
          <w:lang w:val="it-IT"/>
        </w:rPr>
      </w:pPr>
      <w:r w:rsidRPr="00BF57A3">
        <w:rPr>
          <w:b/>
          <w:bCs/>
          <w:sz w:val="22"/>
          <w:szCs w:val="22"/>
          <w:lang w:val="it-IT"/>
        </w:rPr>
        <w:t xml:space="preserve">6. </w:t>
      </w:r>
      <w:r w:rsidR="00480FB1" w:rsidRPr="00BF57A3">
        <w:rPr>
          <w:b/>
          <w:bCs/>
          <w:sz w:val="22"/>
          <w:szCs w:val="22"/>
          <w:lang w:val="it-IT"/>
        </w:rPr>
        <w:tab/>
      </w:r>
      <w:r w:rsidRPr="00BF57A3">
        <w:rPr>
          <w:b/>
          <w:bCs/>
          <w:sz w:val="22"/>
          <w:szCs w:val="22"/>
          <w:lang w:val="it-IT"/>
        </w:rPr>
        <w:t>FARMACEUTSKI PODACI</w:t>
      </w:r>
    </w:p>
    <w:p w14:paraId="6A107E5E" w14:textId="77777777" w:rsidR="00836B35" w:rsidRPr="00BF57A3" w:rsidRDefault="00836B35">
      <w:pPr>
        <w:tabs>
          <w:tab w:val="left" w:pos="540"/>
          <w:tab w:val="left" w:pos="569"/>
        </w:tabs>
        <w:jc w:val="both"/>
        <w:rPr>
          <w:bCs/>
          <w:sz w:val="22"/>
          <w:szCs w:val="22"/>
          <w:lang w:val="it-IT"/>
        </w:rPr>
      </w:pPr>
    </w:p>
    <w:p w14:paraId="15CCC520" w14:textId="77777777" w:rsidR="002B1D81" w:rsidRPr="00BF57A3" w:rsidRDefault="0072020E" w:rsidP="006C640E">
      <w:pPr>
        <w:jc w:val="both"/>
        <w:rPr>
          <w:b/>
          <w:bCs/>
          <w:sz w:val="22"/>
          <w:szCs w:val="22"/>
          <w:lang w:val="it-IT"/>
        </w:rPr>
      </w:pPr>
      <w:r w:rsidRPr="00BF57A3">
        <w:rPr>
          <w:b/>
          <w:bCs/>
          <w:sz w:val="22"/>
          <w:szCs w:val="22"/>
          <w:lang w:val="it-IT"/>
        </w:rPr>
        <w:t xml:space="preserve">6.1. </w:t>
      </w:r>
      <w:r w:rsidR="00480FB1" w:rsidRPr="00BF57A3">
        <w:rPr>
          <w:b/>
          <w:bCs/>
          <w:sz w:val="22"/>
          <w:szCs w:val="22"/>
          <w:lang w:val="it-IT"/>
        </w:rPr>
        <w:tab/>
      </w:r>
      <w:r w:rsidRPr="00BF57A3">
        <w:rPr>
          <w:b/>
          <w:bCs/>
          <w:sz w:val="22"/>
          <w:szCs w:val="22"/>
          <w:lang w:val="it-IT"/>
        </w:rPr>
        <w:t>Lista pomoćnih supstanci</w:t>
      </w:r>
      <w:r w:rsidR="002B1D81" w:rsidRPr="00BF57A3">
        <w:rPr>
          <w:b/>
          <w:bCs/>
          <w:sz w:val="22"/>
          <w:szCs w:val="22"/>
          <w:lang w:val="it-IT"/>
        </w:rPr>
        <w:t xml:space="preserve"> (ekscipijenasa)</w:t>
      </w:r>
    </w:p>
    <w:p w14:paraId="6BB32275" w14:textId="77777777" w:rsidR="0072020E" w:rsidRPr="00BF57A3" w:rsidRDefault="0072020E" w:rsidP="00BF57A3">
      <w:pPr>
        <w:tabs>
          <w:tab w:val="left" w:pos="540"/>
          <w:tab w:val="left" w:pos="569"/>
        </w:tabs>
        <w:jc w:val="both"/>
        <w:rPr>
          <w:bCs/>
          <w:sz w:val="22"/>
          <w:szCs w:val="22"/>
          <w:lang w:val="it-IT"/>
        </w:rPr>
      </w:pPr>
    </w:p>
    <w:p w14:paraId="523DC76E" w14:textId="177549F2" w:rsidR="00D0102F" w:rsidRPr="00BF57A3" w:rsidRDefault="00D0102F">
      <w:pPr>
        <w:tabs>
          <w:tab w:val="left" w:pos="540"/>
          <w:tab w:val="left" w:pos="569"/>
        </w:tabs>
        <w:jc w:val="both"/>
        <w:rPr>
          <w:sz w:val="22"/>
          <w:szCs w:val="22"/>
          <w:lang w:val="it-IT"/>
        </w:rPr>
      </w:pPr>
      <w:r w:rsidRPr="00BF57A3">
        <w:rPr>
          <w:sz w:val="22"/>
          <w:szCs w:val="22"/>
          <w:lang w:val="it-IT"/>
        </w:rPr>
        <w:t>Rastvor humanog albumina (sadrži natrijum</w:t>
      </w:r>
      <w:r w:rsidR="00084EEE" w:rsidRPr="00BF57A3">
        <w:rPr>
          <w:sz w:val="22"/>
          <w:szCs w:val="22"/>
          <w:lang w:val="it-IT"/>
        </w:rPr>
        <w:t xml:space="preserve"> </w:t>
      </w:r>
      <w:r w:rsidRPr="00BF57A3">
        <w:rPr>
          <w:sz w:val="22"/>
          <w:szCs w:val="22"/>
          <w:lang w:val="it-IT"/>
        </w:rPr>
        <w:t>kaprilat i N-acetil</w:t>
      </w:r>
      <w:r w:rsidR="00B80618">
        <w:rPr>
          <w:sz w:val="22"/>
          <w:szCs w:val="22"/>
          <w:lang w:val="it-IT"/>
        </w:rPr>
        <w:t>-</w:t>
      </w:r>
      <w:r w:rsidRPr="00BF57A3">
        <w:rPr>
          <w:sz w:val="22"/>
          <w:szCs w:val="22"/>
          <w:lang w:val="it-IT"/>
        </w:rPr>
        <w:t>L</w:t>
      </w:r>
      <w:r w:rsidR="00B80618">
        <w:rPr>
          <w:sz w:val="22"/>
          <w:szCs w:val="22"/>
          <w:lang w:val="it-IT"/>
        </w:rPr>
        <w:t>-</w:t>
      </w:r>
      <w:r w:rsidRPr="00BF57A3">
        <w:rPr>
          <w:sz w:val="22"/>
          <w:szCs w:val="22"/>
          <w:lang w:val="it-IT"/>
        </w:rPr>
        <w:t>triptofan).</w:t>
      </w:r>
    </w:p>
    <w:p w14:paraId="2718BA94" w14:textId="77777777" w:rsidR="00D0102F" w:rsidRPr="00BF57A3" w:rsidRDefault="00D0102F">
      <w:pPr>
        <w:tabs>
          <w:tab w:val="left" w:pos="540"/>
          <w:tab w:val="left" w:pos="569"/>
        </w:tabs>
        <w:jc w:val="both"/>
        <w:rPr>
          <w:bCs/>
          <w:sz w:val="22"/>
          <w:szCs w:val="22"/>
          <w:lang w:val="it-IT"/>
        </w:rPr>
      </w:pPr>
    </w:p>
    <w:p w14:paraId="7ABA7DA7" w14:textId="77777777" w:rsidR="0072020E" w:rsidRPr="00BF57A3" w:rsidRDefault="0072020E">
      <w:pPr>
        <w:tabs>
          <w:tab w:val="left" w:pos="540"/>
          <w:tab w:val="left" w:pos="569"/>
        </w:tabs>
        <w:jc w:val="both"/>
        <w:rPr>
          <w:b/>
          <w:bCs/>
          <w:sz w:val="22"/>
          <w:szCs w:val="22"/>
          <w:lang w:val="it-IT"/>
        </w:rPr>
      </w:pPr>
      <w:r w:rsidRPr="00BF57A3">
        <w:rPr>
          <w:b/>
          <w:bCs/>
          <w:sz w:val="22"/>
          <w:szCs w:val="22"/>
          <w:lang w:val="it-IT"/>
        </w:rPr>
        <w:t xml:space="preserve">6.2. </w:t>
      </w:r>
      <w:r w:rsidR="00480FB1" w:rsidRPr="00BF57A3">
        <w:rPr>
          <w:b/>
          <w:bCs/>
          <w:sz w:val="22"/>
          <w:szCs w:val="22"/>
          <w:lang w:val="it-IT"/>
        </w:rPr>
        <w:tab/>
      </w:r>
      <w:r w:rsidRPr="00BF57A3">
        <w:rPr>
          <w:b/>
          <w:bCs/>
          <w:sz w:val="22"/>
          <w:szCs w:val="22"/>
          <w:lang w:val="it-IT"/>
        </w:rPr>
        <w:t>Inkompatibilnost</w:t>
      </w:r>
      <w:r w:rsidR="002846DB" w:rsidRPr="00BF57A3">
        <w:rPr>
          <w:b/>
          <w:bCs/>
          <w:sz w:val="22"/>
          <w:szCs w:val="22"/>
          <w:lang w:val="it-IT"/>
        </w:rPr>
        <w:t>i</w:t>
      </w:r>
    </w:p>
    <w:p w14:paraId="5F737138" w14:textId="77777777" w:rsidR="0072020E" w:rsidRPr="00BF57A3" w:rsidRDefault="0072020E">
      <w:pPr>
        <w:tabs>
          <w:tab w:val="left" w:pos="540"/>
          <w:tab w:val="left" w:pos="569"/>
        </w:tabs>
        <w:jc w:val="both"/>
        <w:rPr>
          <w:bCs/>
          <w:sz w:val="22"/>
          <w:szCs w:val="22"/>
          <w:lang w:val="it-IT"/>
        </w:rPr>
      </w:pPr>
    </w:p>
    <w:p w14:paraId="6ACB4D6E" w14:textId="77777777" w:rsidR="00D0102F" w:rsidRPr="009B4725" w:rsidRDefault="00D0102F">
      <w:pPr>
        <w:tabs>
          <w:tab w:val="left" w:pos="540"/>
          <w:tab w:val="left" w:pos="569"/>
        </w:tabs>
        <w:jc w:val="both"/>
        <w:rPr>
          <w:sz w:val="22"/>
          <w:szCs w:val="22"/>
          <w:lang w:val="it-IT"/>
        </w:rPr>
      </w:pPr>
      <w:bookmarkStart w:id="0" w:name="_GoBack"/>
      <w:bookmarkEnd w:id="0"/>
      <w:r w:rsidRPr="009B4725">
        <w:rPr>
          <w:sz w:val="22"/>
          <w:szCs w:val="22"/>
          <w:lang w:val="it-IT"/>
        </w:rPr>
        <w:t>Ovaj lijek se ne smije miješati sa drugim ljekovima osim sa ljekovima koji su navedeni u od</w:t>
      </w:r>
      <w:r w:rsidR="00324DC2" w:rsidRPr="009B4725">
        <w:rPr>
          <w:sz w:val="22"/>
          <w:szCs w:val="22"/>
          <w:lang w:val="it-IT"/>
        </w:rPr>
        <w:t>j</w:t>
      </w:r>
      <w:r w:rsidRPr="009B4725">
        <w:rPr>
          <w:sz w:val="22"/>
          <w:szCs w:val="22"/>
          <w:lang w:val="it-IT"/>
        </w:rPr>
        <w:t>eljku 6.6.</w:t>
      </w:r>
    </w:p>
    <w:p w14:paraId="146657DF" w14:textId="77777777" w:rsidR="00D0102F" w:rsidRPr="009B4725" w:rsidRDefault="00D0102F">
      <w:pPr>
        <w:tabs>
          <w:tab w:val="left" w:pos="540"/>
          <w:tab w:val="left" w:pos="569"/>
        </w:tabs>
        <w:jc w:val="both"/>
        <w:rPr>
          <w:bCs/>
          <w:sz w:val="22"/>
          <w:szCs w:val="22"/>
          <w:lang w:val="it-IT"/>
        </w:rPr>
      </w:pPr>
    </w:p>
    <w:p w14:paraId="3545B07F" w14:textId="77777777" w:rsidR="0072020E" w:rsidRPr="009B4725" w:rsidRDefault="0072020E">
      <w:pPr>
        <w:tabs>
          <w:tab w:val="left" w:pos="540"/>
          <w:tab w:val="left" w:pos="569"/>
        </w:tabs>
        <w:jc w:val="both"/>
        <w:rPr>
          <w:b/>
          <w:bCs/>
          <w:sz w:val="22"/>
          <w:szCs w:val="22"/>
          <w:lang w:val="de-DE"/>
        </w:rPr>
      </w:pPr>
      <w:r w:rsidRPr="009B4725">
        <w:rPr>
          <w:b/>
          <w:bCs/>
          <w:sz w:val="22"/>
          <w:szCs w:val="22"/>
          <w:lang w:val="de-DE"/>
        </w:rPr>
        <w:t>6.3.</w:t>
      </w:r>
      <w:r w:rsidR="00480FB1" w:rsidRPr="009B4725">
        <w:rPr>
          <w:b/>
          <w:bCs/>
          <w:sz w:val="22"/>
          <w:szCs w:val="22"/>
          <w:lang w:val="de-DE"/>
        </w:rPr>
        <w:tab/>
      </w:r>
      <w:r w:rsidRPr="009B4725">
        <w:rPr>
          <w:b/>
          <w:bCs/>
          <w:sz w:val="22"/>
          <w:szCs w:val="22"/>
          <w:lang w:val="de-DE"/>
        </w:rPr>
        <w:t>Rok upotrebe</w:t>
      </w:r>
    </w:p>
    <w:p w14:paraId="4D90D19A" w14:textId="77777777" w:rsidR="00D0102F" w:rsidRPr="009B4725" w:rsidRDefault="00D0102F">
      <w:pPr>
        <w:tabs>
          <w:tab w:val="left" w:pos="540"/>
          <w:tab w:val="left" w:pos="569"/>
        </w:tabs>
        <w:jc w:val="both"/>
        <w:rPr>
          <w:b/>
          <w:bCs/>
          <w:sz w:val="22"/>
          <w:szCs w:val="22"/>
          <w:lang w:val="de-DE"/>
        </w:rPr>
      </w:pPr>
    </w:p>
    <w:p w14:paraId="47C5D623" w14:textId="77777777" w:rsidR="00D0102F" w:rsidRPr="009B4725" w:rsidRDefault="00D0102F">
      <w:pPr>
        <w:pStyle w:val="Header"/>
        <w:tabs>
          <w:tab w:val="left" w:pos="284"/>
        </w:tabs>
        <w:jc w:val="both"/>
        <w:rPr>
          <w:sz w:val="22"/>
          <w:szCs w:val="22"/>
          <w:u w:val="single"/>
          <w:lang w:val="de-DE"/>
        </w:rPr>
      </w:pPr>
      <w:r w:rsidRPr="009B4725">
        <w:rPr>
          <w:sz w:val="22"/>
          <w:szCs w:val="22"/>
          <w:u w:val="single"/>
          <w:lang w:val="de-DE"/>
        </w:rPr>
        <w:t>Neotvorene bočice</w:t>
      </w:r>
    </w:p>
    <w:p w14:paraId="0BB4EAB7" w14:textId="77777777" w:rsidR="00D0102F" w:rsidRPr="009B4725" w:rsidRDefault="00D0102F">
      <w:pPr>
        <w:pStyle w:val="Header"/>
        <w:tabs>
          <w:tab w:val="left" w:pos="284"/>
        </w:tabs>
        <w:jc w:val="both"/>
        <w:rPr>
          <w:sz w:val="22"/>
          <w:szCs w:val="22"/>
          <w:lang w:val="de-DE"/>
        </w:rPr>
      </w:pPr>
      <w:r w:rsidRPr="009B4725">
        <w:rPr>
          <w:sz w:val="22"/>
          <w:szCs w:val="22"/>
          <w:lang w:val="de-DE"/>
        </w:rPr>
        <w:t>3 godine</w:t>
      </w:r>
      <w:r w:rsidR="009A3CF1" w:rsidRPr="009B4725">
        <w:rPr>
          <w:sz w:val="22"/>
          <w:szCs w:val="22"/>
          <w:lang w:val="de-DE"/>
        </w:rPr>
        <w:t>.</w:t>
      </w:r>
    </w:p>
    <w:p w14:paraId="369D1478" w14:textId="77777777" w:rsidR="00D0102F" w:rsidRPr="009B4725" w:rsidRDefault="00D0102F">
      <w:pPr>
        <w:pStyle w:val="Header"/>
        <w:tabs>
          <w:tab w:val="left" w:pos="284"/>
        </w:tabs>
        <w:jc w:val="both"/>
        <w:rPr>
          <w:sz w:val="22"/>
          <w:szCs w:val="22"/>
          <w:lang w:val="de-DE"/>
        </w:rPr>
      </w:pPr>
    </w:p>
    <w:p w14:paraId="43271CF4" w14:textId="77777777" w:rsidR="00D0102F" w:rsidRPr="009B4725" w:rsidRDefault="00D0102F">
      <w:pPr>
        <w:pStyle w:val="Header"/>
        <w:tabs>
          <w:tab w:val="left" w:pos="284"/>
        </w:tabs>
        <w:jc w:val="both"/>
        <w:rPr>
          <w:sz w:val="22"/>
          <w:szCs w:val="22"/>
          <w:u w:val="single"/>
          <w:lang w:val="de-DE"/>
        </w:rPr>
      </w:pPr>
      <w:r w:rsidRPr="009B4725">
        <w:rPr>
          <w:sz w:val="22"/>
          <w:szCs w:val="22"/>
          <w:u w:val="single"/>
          <w:lang w:val="de-DE"/>
        </w:rPr>
        <w:t xml:space="preserve">Stabilnost rekonstituisane </w:t>
      </w:r>
      <w:r w:rsidR="00962E7F" w:rsidRPr="009B4725">
        <w:rPr>
          <w:sz w:val="22"/>
          <w:szCs w:val="22"/>
          <w:u w:val="single"/>
          <w:lang w:val="de-DE"/>
        </w:rPr>
        <w:t xml:space="preserve">disperzije </w:t>
      </w:r>
      <w:r w:rsidRPr="009B4725">
        <w:rPr>
          <w:sz w:val="22"/>
          <w:szCs w:val="22"/>
          <w:u w:val="single"/>
          <w:lang w:val="de-DE"/>
        </w:rPr>
        <w:t>u bočici</w:t>
      </w:r>
    </w:p>
    <w:p w14:paraId="4E8EA2EB" w14:textId="77777777" w:rsidR="00D0102F" w:rsidRPr="009B4725" w:rsidRDefault="00034A1E">
      <w:pPr>
        <w:pStyle w:val="Header"/>
        <w:tabs>
          <w:tab w:val="left" w:pos="284"/>
        </w:tabs>
        <w:jc w:val="both"/>
        <w:rPr>
          <w:sz w:val="22"/>
          <w:szCs w:val="22"/>
          <w:lang w:val="de-DE"/>
        </w:rPr>
      </w:pPr>
      <w:r w:rsidRPr="009B4725">
        <w:rPr>
          <w:sz w:val="22"/>
          <w:szCs w:val="22"/>
          <w:lang w:val="de-DE"/>
        </w:rPr>
        <w:t>H</w:t>
      </w:r>
      <w:r w:rsidR="00D0102F" w:rsidRPr="009B4725">
        <w:rPr>
          <w:sz w:val="22"/>
          <w:szCs w:val="22"/>
          <w:lang w:val="de-DE"/>
        </w:rPr>
        <w:t xml:space="preserve">emijska i fizička stabilnost suspenzije tokom primjene dokazana je tokom </w:t>
      </w:r>
      <w:r w:rsidRPr="009B4725">
        <w:rPr>
          <w:sz w:val="22"/>
          <w:szCs w:val="22"/>
          <w:lang w:val="de-DE"/>
        </w:rPr>
        <w:t>24</w:t>
      </w:r>
      <w:r w:rsidR="00D0102F" w:rsidRPr="009B4725">
        <w:rPr>
          <w:sz w:val="22"/>
          <w:szCs w:val="22"/>
          <w:lang w:val="de-DE"/>
        </w:rPr>
        <w:t xml:space="preserve"> sat</w:t>
      </w:r>
      <w:r w:rsidRPr="009B4725">
        <w:rPr>
          <w:sz w:val="22"/>
          <w:szCs w:val="22"/>
          <w:lang w:val="de-DE"/>
        </w:rPr>
        <w:t>a</w:t>
      </w:r>
      <w:r w:rsidR="00D0102F" w:rsidRPr="009B4725">
        <w:rPr>
          <w:sz w:val="22"/>
          <w:szCs w:val="22"/>
          <w:lang w:val="de-DE"/>
        </w:rPr>
        <w:t xml:space="preserve"> na temperaturi od 2°C do 8°C u originalnom pakovanju uz zaštitu </w:t>
      </w:r>
      <w:r w:rsidR="00160525" w:rsidRPr="009B4725">
        <w:rPr>
          <w:sz w:val="22"/>
          <w:szCs w:val="22"/>
          <w:lang w:val="de-DE"/>
        </w:rPr>
        <w:t xml:space="preserve">od </w:t>
      </w:r>
      <w:r w:rsidR="00D0102F" w:rsidRPr="009B4725">
        <w:rPr>
          <w:sz w:val="22"/>
          <w:szCs w:val="22"/>
          <w:lang w:val="de-DE"/>
        </w:rPr>
        <w:t xml:space="preserve">svjetlosti. </w:t>
      </w:r>
    </w:p>
    <w:p w14:paraId="510CE8E3" w14:textId="77777777" w:rsidR="00D0102F" w:rsidRPr="009B4725" w:rsidRDefault="00D0102F">
      <w:pPr>
        <w:pStyle w:val="Header"/>
        <w:tabs>
          <w:tab w:val="left" w:pos="284"/>
        </w:tabs>
        <w:jc w:val="both"/>
        <w:rPr>
          <w:sz w:val="22"/>
          <w:szCs w:val="22"/>
          <w:lang w:val="de-DE"/>
        </w:rPr>
      </w:pPr>
    </w:p>
    <w:p w14:paraId="774F2C4C" w14:textId="77777777" w:rsidR="00D0102F" w:rsidRPr="009B4725" w:rsidRDefault="00D0102F">
      <w:pPr>
        <w:pStyle w:val="Header"/>
        <w:tabs>
          <w:tab w:val="left" w:pos="284"/>
        </w:tabs>
        <w:jc w:val="both"/>
        <w:rPr>
          <w:sz w:val="22"/>
          <w:szCs w:val="22"/>
          <w:u w:val="single"/>
          <w:lang w:val="de-DE"/>
        </w:rPr>
      </w:pPr>
      <w:r w:rsidRPr="009B4725">
        <w:rPr>
          <w:sz w:val="22"/>
          <w:szCs w:val="22"/>
          <w:u w:val="single"/>
          <w:lang w:val="de-DE"/>
        </w:rPr>
        <w:t xml:space="preserve">Stabilnost rekonstituisane </w:t>
      </w:r>
      <w:r w:rsidR="00962E7F" w:rsidRPr="009B4725">
        <w:rPr>
          <w:sz w:val="22"/>
          <w:szCs w:val="22"/>
          <w:u w:val="single"/>
          <w:lang w:val="de-DE"/>
        </w:rPr>
        <w:t xml:space="preserve">disperzije </w:t>
      </w:r>
      <w:r w:rsidRPr="009B4725">
        <w:rPr>
          <w:sz w:val="22"/>
          <w:szCs w:val="22"/>
          <w:u w:val="single"/>
          <w:lang w:val="de-DE"/>
        </w:rPr>
        <w:t>u kesi za infuziju</w:t>
      </w:r>
    </w:p>
    <w:p w14:paraId="336345AA" w14:textId="77777777" w:rsidR="007F3F93" w:rsidRPr="00BF57A3" w:rsidRDefault="00716AFC" w:rsidP="006C640E">
      <w:pPr>
        <w:pStyle w:val="Header"/>
        <w:tabs>
          <w:tab w:val="left" w:pos="284"/>
        </w:tabs>
        <w:jc w:val="both"/>
        <w:rPr>
          <w:sz w:val="22"/>
          <w:szCs w:val="22"/>
          <w:lang w:val="de-DE"/>
        </w:rPr>
      </w:pPr>
      <w:r w:rsidRPr="009B4725">
        <w:rPr>
          <w:sz w:val="22"/>
          <w:szCs w:val="22"/>
          <w:lang w:val="de-DE"/>
        </w:rPr>
        <w:t>H</w:t>
      </w:r>
      <w:r w:rsidR="00D0102F" w:rsidRPr="009B4725">
        <w:rPr>
          <w:sz w:val="22"/>
          <w:szCs w:val="22"/>
          <w:lang w:val="de-DE"/>
        </w:rPr>
        <w:t xml:space="preserve">emijska i fizička stabilnost tokom primjene dokazana je tokom </w:t>
      </w:r>
      <w:r w:rsidR="00160525" w:rsidRPr="009B4725">
        <w:rPr>
          <w:sz w:val="22"/>
          <w:szCs w:val="22"/>
          <w:lang w:val="de-DE"/>
        </w:rPr>
        <w:t>24</w:t>
      </w:r>
      <w:r w:rsidR="00D0102F" w:rsidRPr="009B4725">
        <w:rPr>
          <w:sz w:val="22"/>
          <w:szCs w:val="22"/>
          <w:lang w:val="de-DE"/>
        </w:rPr>
        <w:t xml:space="preserve"> sat</w:t>
      </w:r>
      <w:r w:rsidR="00160525" w:rsidRPr="009B4725">
        <w:rPr>
          <w:sz w:val="22"/>
          <w:szCs w:val="22"/>
          <w:lang w:val="de-DE"/>
        </w:rPr>
        <w:t>a</w:t>
      </w:r>
      <w:r w:rsidR="00D0102F" w:rsidRPr="009B4725">
        <w:rPr>
          <w:sz w:val="22"/>
          <w:szCs w:val="22"/>
          <w:lang w:val="de-DE"/>
        </w:rPr>
        <w:t xml:space="preserve"> na temperaturi</w:t>
      </w:r>
      <w:r w:rsidR="00160525" w:rsidRPr="009B4725">
        <w:rPr>
          <w:sz w:val="22"/>
          <w:szCs w:val="22"/>
          <w:lang w:val="de-DE"/>
        </w:rPr>
        <w:t xml:space="preserve"> od 2°C do 8°C</w:t>
      </w:r>
      <w:r w:rsidR="00160525" w:rsidRPr="009B4725">
        <w:rPr>
          <w:sz w:val="22"/>
          <w:szCs w:val="22"/>
        </w:rPr>
        <w:t xml:space="preserve"> </w:t>
      </w:r>
      <w:r w:rsidR="00160525" w:rsidRPr="009B4725">
        <w:rPr>
          <w:sz w:val="22"/>
          <w:szCs w:val="22"/>
          <w:lang w:val="de-DE"/>
        </w:rPr>
        <w:t>zatim 4 sata na 25°C uz zaštitu od svjetlosti.</w:t>
      </w:r>
    </w:p>
    <w:p w14:paraId="02744D86" w14:textId="77777777" w:rsidR="00D0102F" w:rsidRPr="00BF57A3" w:rsidRDefault="00D0102F" w:rsidP="006C640E">
      <w:pPr>
        <w:pStyle w:val="Header"/>
        <w:tabs>
          <w:tab w:val="left" w:pos="284"/>
        </w:tabs>
        <w:jc w:val="both"/>
        <w:rPr>
          <w:sz w:val="22"/>
          <w:szCs w:val="22"/>
          <w:lang w:val="de-DE"/>
        </w:rPr>
      </w:pPr>
    </w:p>
    <w:p w14:paraId="42CEBB16" w14:textId="77777777" w:rsidR="00197BC5" w:rsidRPr="00BF57A3" w:rsidRDefault="00197BC5" w:rsidP="006C640E">
      <w:pPr>
        <w:pStyle w:val="Header"/>
        <w:tabs>
          <w:tab w:val="left" w:pos="284"/>
        </w:tabs>
        <w:jc w:val="both"/>
        <w:rPr>
          <w:sz w:val="22"/>
          <w:szCs w:val="22"/>
          <w:lang w:val="de-DE"/>
        </w:rPr>
      </w:pPr>
      <w:r w:rsidRPr="00BF57A3">
        <w:rPr>
          <w:sz w:val="22"/>
          <w:szCs w:val="22"/>
          <w:lang w:val="de-DE"/>
        </w:rPr>
        <w:t>Međutim, sa mikrobiološkog aspekta, osim ako postupak rekonstituisanja i punjenja kese za infuziju ne isključuje rizik od mikrobne kontaminacije, proizvod treba iskoristiti odmah nakon rekonstitucije i punjenja kese za infuziju.</w:t>
      </w:r>
    </w:p>
    <w:p w14:paraId="0FEC17AF" w14:textId="77777777" w:rsidR="00197BC5" w:rsidRPr="00BF57A3" w:rsidRDefault="00197BC5" w:rsidP="006C640E">
      <w:pPr>
        <w:pStyle w:val="Header"/>
        <w:tabs>
          <w:tab w:val="left" w:pos="284"/>
        </w:tabs>
        <w:jc w:val="both"/>
        <w:rPr>
          <w:sz w:val="22"/>
          <w:szCs w:val="22"/>
          <w:lang w:val="de-DE"/>
        </w:rPr>
      </w:pPr>
    </w:p>
    <w:p w14:paraId="6F555323" w14:textId="77777777" w:rsidR="00197BC5" w:rsidRPr="00BF57A3" w:rsidRDefault="00197BC5" w:rsidP="006C640E">
      <w:pPr>
        <w:pStyle w:val="Header"/>
        <w:tabs>
          <w:tab w:val="left" w:pos="284"/>
        </w:tabs>
        <w:jc w:val="both"/>
        <w:rPr>
          <w:sz w:val="22"/>
          <w:szCs w:val="22"/>
          <w:lang w:val="de-DE"/>
        </w:rPr>
      </w:pPr>
      <w:r w:rsidRPr="00BF57A3">
        <w:rPr>
          <w:sz w:val="22"/>
          <w:szCs w:val="22"/>
          <w:lang w:val="sr-Latn-ME"/>
        </w:rPr>
        <w:t>Ukoliko se ne upotrijebi odmah, vrijeme i</w:t>
      </w:r>
      <w:r w:rsidR="00496B56" w:rsidRPr="00BF57A3">
        <w:rPr>
          <w:sz w:val="22"/>
          <w:szCs w:val="22"/>
          <w:lang w:val="sr-Latn-ME"/>
        </w:rPr>
        <w:t xml:space="preserve"> uslovi čuvanja, prije upotrebe</w:t>
      </w:r>
      <w:r w:rsidRPr="00BF57A3">
        <w:rPr>
          <w:sz w:val="22"/>
          <w:szCs w:val="22"/>
          <w:lang w:val="sr-Latn-ME"/>
        </w:rPr>
        <w:t xml:space="preserve"> su odgovornost korisnika.</w:t>
      </w:r>
    </w:p>
    <w:p w14:paraId="37635941" w14:textId="77777777" w:rsidR="00197BC5" w:rsidRPr="00BF57A3" w:rsidRDefault="00197BC5" w:rsidP="006C640E">
      <w:pPr>
        <w:pStyle w:val="Header"/>
        <w:tabs>
          <w:tab w:val="left" w:pos="284"/>
        </w:tabs>
        <w:jc w:val="both"/>
        <w:rPr>
          <w:sz w:val="22"/>
          <w:szCs w:val="22"/>
          <w:lang w:val="de-DE"/>
        </w:rPr>
      </w:pPr>
    </w:p>
    <w:p w14:paraId="7963F00C" w14:textId="77777777" w:rsidR="00197BC5" w:rsidRPr="00BF57A3" w:rsidRDefault="00197BC5" w:rsidP="006C640E">
      <w:pPr>
        <w:pStyle w:val="Header"/>
        <w:tabs>
          <w:tab w:val="left" w:pos="284"/>
        </w:tabs>
        <w:jc w:val="both"/>
        <w:rPr>
          <w:sz w:val="22"/>
          <w:szCs w:val="22"/>
          <w:lang w:val="es-ES"/>
        </w:rPr>
      </w:pPr>
      <w:r w:rsidRPr="00BF57A3">
        <w:rPr>
          <w:sz w:val="22"/>
          <w:szCs w:val="22"/>
          <w:lang w:val="de-DE"/>
        </w:rPr>
        <w:t xml:space="preserve">Ukupno vrijeme čuvanja rekonstituisanog lijeka u bočici i kesi za infuziju kada je u frižideru i zaštićen od svjetlosti je 24 sata. </w:t>
      </w:r>
      <w:r w:rsidRPr="00BF57A3">
        <w:rPr>
          <w:sz w:val="22"/>
          <w:szCs w:val="22"/>
          <w:lang w:val="es-ES"/>
        </w:rPr>
        <w:t>Nakon toga može se čuvati u kesi za infuziju 4 sata ispod 25°C.</w:t>
      </w:r>
    </w:p>
    <w:p w14:paraId="469AB2DB" w14:textId="77777777" w:rsidR="0072020E" w:rsidRPr="00BF57A3" w:rsidRDefault="0072020E">
      <w:pPr>
        <w:tabs>
          <w:tab w:val="left" w:pos="540"/>
          <w:tab w:val="left" w:pos="569"/>
        </w:tabs>
        <w:jc w:val="both"/>
        <w:rPr>
          <w:bCs/>
          <w:sz w:val="22"/>
          <w:szCs w:val="22"/>
          <w:lang w:val="de-DE"/>
        </w:rPr>
      </w:pPr>
    </w:p>
    <w:p w14:paraId="37CC4357" w14:textId="77777777" w:rsidR="0072020E" w:rsidRPr="00BF57A3" w:rsidRDefault="0072020E">
      <w:pPr>
        <w:tabs>
          <w:tab w:val="left" w:pos="540"/>
          <w:tab w:val="left" w:pos="569"/>
        </w:tabs>
        <w:jc w:val="both"/>
        <w:rPr>
          <w:b/>
          <w:bCs/>
          <w:sz w:val="22"/>
          <w:szCs w:val="22"/>
          <w:lang w:val="de-DE"/>
        </w:rPr>
      </w:pPr>
      <w:r w:rsidRPr="00BF57A3">
        <w:rPr>
          <w:b/>
          <w:bCs/>
          <w:sz w:val="22"/>
          <w:szCs w:val="22"/>
          <w:lang w:val="de-DE"/>
        </w:rPr>
        <w:t xml:space="preserve">6.4. </w:t>
      </w:r>
      <w:r w:rsidR="00480FB1" w:rsidRPr="00BF57A3">
        <w:rPr>
          <w:b/>
          <w:bCs/>
          <w:sz w:val="22"/>
          <w:szCs w:val="22"/>
          <w:lang w:val="de-DE"/>
        </w:rPr>
        <w:tab/>
      </w:r>
      <w:r w:rsidRPr="00BF57A3">
        <w:rPr>
          <w:b/>
          <w:bCs/>
          <w:sz w:val="22"/>
          <w:szCs w:val="22"/>
          <w:lang w:val="de-DE"/>
        </w:rPr>
        <w:t>Posebne mjere upozorenja pri čuvanju</w:t>
      </w:r>
      <w:r w:rsidR="00F8570A" w:rsidRPr="00BF57A3">
        <w:rPr>
          <w:b/>
          <w:bCs/>
          <w:sz w:val="22"/>
          <w:szCs w:val="22"/>
          <w:lang w:val="de-DE"/>
        </w:rPr>
        <w:t xml:space="preserve"> lijeka</w:t>
      </w:r>
    </w:p>
    <w:p w14:paraId="32403AE5" w14:textId="77777777" w:rsidR="00EC2532" w:rsidRPr="00BF57A3" w:rsidRDefault="00EC2532">
      <w:pPr>
        <w:tabs>
          <w:tab w:val="left" w:pos="540"/>
          <w:tab w:val="left" w:pos="569"/>
        </w:tabs>
        <w:jc w:val="both"/>
        <w:rPr>
          <w:bCs/>
          <w:sz w:val="22"/>
          <w:szCs w:val="22"/>
          <w:lang w:val="de-DE"/>
        </w:rPr>
      </w:pPr>
    </w:p>
    <w:p w14:paraId="6520384F" w14:textId="77777777" w:rsidR="0054338B" w:rsidRPr="00BF57A3" w:rsidRDefault="0054338B">
      <w:pPr>
        <w:pStyle w:val="Header"/>
        <w:tabs>
          <w:tab w:val="left" w:pos="284"/>
        </w:tabs>
        <w:jc w:val="both"/>
        <w:rPr>
          <w:sz w:val="22"/>
          <w:szCs w:val="22"/>
          <w:u w:val="single"/>
          <w:lang w:val="de-DE"/>
        </w:rPr>
      </w:pPr>
      <w:r w:rsidRPr="00BF57A3">
        <w:rPr>
          <w:sz w:val="22"/>
          <w:szCs w:val="22"/>
          <w:u w:val="single"/>
          <w:lang w:val="de-DE"/>
        </w:rPr>
        <w:t>Neotvorene bočice</w:t>
      </w:r>
    </w:p>
    <w:p w14:paraId="201D15BA" w14:textId="77777777" w:rsidR="0054338B" w:rsidRPr="00BF57A3" w:rsidRDefault="0054338B">
      <w:pPr>
        <w:pStyle w:val="Header"/>
        <w:tabs>
          <w:tab w:val="left" w:pos="284"/>
        </w:tabs>
        <w:jc w:val="both"/>
        <w:rPr>
          <w:sz w:val="22"/>
          <w:szCs w:val="22"/>
          <w:lang w:val="fr-FR"/>
        </w:rPr>
      </w:pPr>
      <w:r w:rsidRPr="00BF57A3">
        <w:rPr>
          <w:sz w:val="22"/>
          <w:szCs w:val="22"/>
          <w:lang w:val="de-DE"/>
        </w:rPr>
        <w:t xml:space="preserve">Bočicu čuvati u spoljašnjem pakovanju radi zaštite od svjetlosti. </w:t>
      </w:r>
      <w:r w:rsidRPr="00BF57A3">
        <w:rPr>
          <w:sz w:val="22"/>
          <w:szCs w:val="22"/>
          <w:lang w:val="fr-FR"/>
        </w:rPr>
        <w:t xml:space="preserve">Ni zamrzavanje ni hlađenje ne utiču negativno na stabilnost lijeka. Lijek ne zahtjeva posebne </w:t>
      </w:r>
      <w:r w:rsidR="0024795D" w:rsidRPr="00BF57A3">
        <w:rPr>
          <w:sz w:val="22"/>
          <w:szCs w:val="22"/>
          <w:lang w:val="fr-FR"/>
        </w:rPr>
        <w:t xml:space="preserve">temperaturne </w:t>
      </w:r>
      <w:r w:rsidRPr="00BF57A3">
        <w:rPr>
          <w:sz w:val="22"/>
          <w:szCs w:val="22"/>
          <w:lang w:val="fr-FR"/>
        </w:rPr>
        <w:t>uslove čuvanja.</w:t>
      </w:r>
    </w:p>
    <w:p w14:paraId="16D7510C" w14:textId="77777777" w:rsidR="0054338B" w:rsidRPr="00BF57A3" w:rsidRDefault="0054338B">
      <w:pPr>
        <w:pStyle w:val="Header"/>
        <w:tabs>
          <w:tab w:val="left" w:pos="284"/>
        </w:tabs>
        <w:jc w:val="both"/>
        <w:rPr>
          <w:sz w:val="22"/>
          <w:szCs w:val="22"/>
          <w:lang w:val="fr-FR"/>
        </w:rPr>
      </w:pPr>
    </w:p>
    <w:p w14:paraId="5D4CEFFB" w14:textId="77777777" w:rsidR="0054338B" w:rsidRPr="00BF57A3" w:rsidRDefault="0054338B">
      <w:pPr>
        <w:pStyle w:val="Header"/>
        <w:tabs>
          <w:tab w:val="left" w:pos="284"/>
        </w:tabs>
        <w:jc w:val="both"/>
        <w:rPr>
          <w:sz w:val="22"/>
          <w:szCs w:val="22"/>
          <w:u w:val="single"/>
          <w:lang w:val="fr-FR"/>
        </w:rPr>
      </w:pPr>
      <w:r w:rsidRPr="00BF57A3">
        <w:rPr>
          <w:sz w:val="22"/>
          <w:szCs w:val="22"/>
          <w:u w:val="single"/>
          <w:lang w:val="fr-FR"/>
        </w:rPr>
        <w:t xml:space="preserve">Rekonstituisana </w:t>
      </w:r>
      <w:r w:rsidR="00962E7F" w:rsidRPr="00BF57A3">
        <w:rPr>
          <w:sz w:val="22"/>
          <w:szCs w:val="22"/>
          <w:u w:val="single"/>
          <w:lang w:val="fr-FR"/>
        </w:rPr>
        <w:t>disperzija</w:t>
      </w:r>
    </w:p>
    <w:p w14:paraId="6B9F59FB" w14:textId="77777777" w:rsidR="0054338B" w:rsidRPr="00BF57A3" w:rsidRDefault="0054338B">
      <w:pPr>
        <w:pStyle w:val="Header"/>
        <w:tabs>
          <w:tab w:val="left" w:pos="284"/>
        </w:tabs>
        <w:jc w:val="both"/>
        <w:rPr>
          <w:sz w:val="22"/>
          <w:szCs w:val="22"/>
          <w:lang w:val="fr-FR"/>
        </w:rPr>
      </w:pPr>
      <w:r w:rsidRPr="00BF57A3">
        <w:rPr>
          <w:sz w:val="22"/>
          <w:szCs w:val="22"/>
          <w:lang w:val="fr-FR"/>
        </w:rPr>
        <w:t>Uslove čuvanja lijeka nakon rekonstitucije vidjeti u od</w:t>
      </w:r>
      <w:r w:rsidR="00CA6020" w:rsidRPr="00BF57A3">
        <w:rPr>
          <w:sz w:val="22"/>
          <w:szCs w:val="22"/>
          <w:lang w:val="fr-FR"/>
        </w:rPr>
        <w:t>j</w:t>
      </w:r>
      <w:r w:rsidRPr="00BF57A3">
        <w:rPr>
          <w:sz w:val="22"/>
          <w:szCs w:val="22"/>
          <w:lang w:val="fr-FR"/>
        </w:rPr>
        <w:t>eljku 6.3.</w:t>
      </w:r>
    </w:p>
    <w:p w14:paraId="5B4BDE4E" w14:textId="77777777" w:rsidR="0054338B" w:rsidRPr="00BF57A3" w:rsidRDefault="0054338B">
      <w:pPr>
        <w:tabs>
          <w:tab w:val="left" w:pos="540"/>
          <w:tab w:val="left" w:pos="569"/>
        </w:tabs>
        <w:jc w:val="both"/>
        <w:rPr>
          <w:bCs/>
          <w:sz w:val="22"/>
          <w:szCs w:val="22"/>
          <w:lang w:val="fr-FR"/>
        </w:rPr>
      </w:pPr>
    </w:p>
    <w:p w14:paraId="089C3460" w14:textId="77777777" w:rsidR="0072020E" w:rsidRPr="00BF57A3" w:rsidRDefault="0072020E">
      <w:pPr>
        <w:tabs>
          <w:tab w:val="left" w:pos="540"/>
          <w:tab w:val="left" w:pos="569"/>
        </w:tabs>
        <w:jc w:val="both"/>
        <w:rPr>
          <w:b/>
          <w:bCs/>
          <w:sz w:val="22"/>
          <w:szCs w:val="22"/>
          <w:lang w:val="fr-FR"/>
        </w:rPr>
      </w:pPr>
      <w:r w:rsidRPr="00BF57A3">
        <w:rPr>
          <w:b/>
          <w:bCs/>
          <w:sz w:val="22"/>
          <w:szCs w:val="22"/>
          <w:lang w:val="fr-FR"/>
        </w:rPr>
        <w:t xml:space="preserve">6.5. </w:t>
      </w:r>
      <w:r w:rsidR="00480FB1" w:rsidRPr="00BF57A3">
        <w:rPr>
          <w:b/>
          <w:bCs/>
          <w:sz w:val="22"/>
          <w:szCs w:val="22"/>
          <w:lang w:val="fr-FR"/>
        </w:rPr>
        <w:tab/>
      </w:r>
      <w:r w:rsidR="002846DB" w:rsidRPr="00BF57A3">
        <w:rPr>
          <w:b/>
          <w:bCs/>
          <w:sz w:val="22"/>
          <w:szCs w:val="22"/>
          <w:lang w:val="fr-FR"/>
        </w:rPr>
        <w:t xml:space="preserve">Vrsta i sadržaj </w:t>
      </w:r>
      <w:r w:rsidR="00F8570A" w:rsidRPr="00BF57A3">
        <w:rPr>
          <w:b/>
          <w:bCs/>
          <w:sz w:val="22"/>
          <w:szCs w:val="22"/>
          <w:lang w:val="fr-FR"/>
        </w:rPr>
        <w:t>pakovanja</w:t>
      </w:r>
    </w:p>
    <w:p w14:paraId="6B91F8C6" w14:textId="77777777" w:rsidR="0072020E" w:rsidRPr="00BF57A3" w:rsidRDefault="0072020E">
      <w:pPr>
        <w:tabs>
          <w:tab w:val="left" w:pos="540"/>
          <w:tab w:val="left" w:pos="569"/>
        </w:tabs>
        <w:jc w:val="both"/>
        <w:rPr>
          <w:bCs/>
          <w:sz w:val="22"/>
          <w:szCs w:val="22"/>
          <w:lang w:val="fr-FR"/>
        </w:rPr>
      </w:pPr>
    </w:p>
    <w:p w14:paraId="5A01C315" w14:textId="77777777" w:rsidR="0054338B" w:rsidRPr="00BF57A3" w:rsidRDefault="0054338B">
      <w:pPr>
        <w:pStyle w:val="Header"/>
        <w:tabs>
          <w:tab w:val="left" w:pos="284"/>
        </w:tabs>
        <w:jc w:val="both"/>
        <w:rPr>
          <w:sz w:val="22"/>
          <w:szCs w:val="22"/>
          <w:lang w:val="sl-SI"/>
        </w:rPr>
      </w:pPr>
      <w:r w:rsidRPr="00BF57A3">
        <w:rPr>
          <w:sz w:val="22"/>
          <w:szCs w:val="22"/>
          <w:lang w:val="fr-FR"/>
        </w:rPr>
        <w:t>Bo</w:t>
      </w:r>
      <w:r w:rsidRPr="00BF57A3">
        <w:rPr>
          <w:sz w:val="22"/>
          <w:szCs w:val="22"/>
          <w:lang w:val="ru-RU"/>
        </w:rPr>
        <w:t>č</w:t>
      </w:r>
      <w:r w:rsidRPr="00BF57A3">
        <w:rPr>
          <w:sz w:val="22"/>
          <w:szCs w:val="22"/>
          <w:lang w:val="fr-FR"/>
        </w:rPr>
        <w:t>ica</w:t>
      </w:r>
      <w:r w:rsidRPr="00BF57A3">
        <w:rPr>
          <w:sz w:val="22"/>
          <w:szCs w:val="22"/>
          <w:lang w:val="ru-RU"/>
        </w:rPr>
        <w:t xml:space="preserve"> </w:t>
      </w:r>
      <w:r w:rsidRPr="00BF57A3">
        <w:rPr>
          <w:sz w:val="22"/>
          <w:szCs w:val="22"/>
          <w:lang w:val="fr-FR"/>
        </w:rPr>
        <w:t>od</w:t>
      </w:r>
      <w:r w:rsidRPr="00BF57A3">
        <w:rPr>
          <w:sz w:val="22"/>
          <w:szCs w:val="22"/>
          <w:lang w:val="ru-RU"/>
        </w:rPr>
        <w:t xml:space="preserve"> 50 </w:t>
      </w:r>
      <w:r w:rsidRPr="00BF57A3">
        <w:rPr>
          <w:sz w:val="22"/>
          <w:szCs w:val="22"/>
          <w:lang w:val="fr-FR"/>
        </w:rPr>
        <w:t>ml</w:t>
      </w:r>
      <w:r w:rsidRPr="00BF57A3">
        <w:rPr>
          <w:sz w:val="22"/>
          <w:szCs w:val="22"/>
          <w:lang w:val="ru-RU"/>
        </w:rPr>
        <w:t xml:space="preserve"> (</w:t>
      </w:r>
      <w:r w:rsidRPr="00BF57A3">
        <w:rPr>
          <w:sz w:val="22"/>
          <w:szCs w:val="22"/>
          <w:lang w:val="fr-FR"/>
        </w:rPr>
        <w:t>staklo</w:t>
      </w:r>
      <w:r w:rsidRPr="00BF57A3">
        <w:rPr>
          <w:sz w:val="22"/>
          <w:szCs w:val="22"/>
          <w:lang w:val="ru-RU"/>
        </w:rPr>
        <w:t xml:space="preserve"> </w:t>
      </w:r>
      <w:r w:rsidRPr="00BF57A3">
        <w:rPr>
          <w:sz w:val="22"/>
          <w:szCs w:val="22"/>
          <w:lang w:val="fr-FR"/>
        </w:rPr>
        <w:t>tipa</w:t>
      </w:r>
      <w:r w:rsidRPr="00BF57A3">
        <w:rPr>
          <w:sz w:val="22"/>
          <w:szCs w:val="22"/>
          <w:lang w:val="ru-RU"/>
        </w:rPr>
        <w:t xml:space="preserve"> 1) </w:t>
      </w:r>
      <w:r w:rsidRPr="00BF57A3">
        <w:rPr>
          <w:sz w:val="22"/>
          <w:szCs w:val="22"/>
          <w:lang w:val="fr-FR"/>
        </w:rPr>
        <w:t>sa</w:t>
      </w:r>
      <w:r w:rsidRPr="00BF57A3">
        <w:rPr>
          <w:sz w:val="22"/>
          <w:szCs w:val="22"/>
          <w:lang w:val="ru-RU"/>
        </w:rPr>
        <w:t xml:space="preserve"> č</w:t>
      </w:r>
      <w:r w:rsidRPr="00BF57A3">
        <w:rPr>
          <w:sz w:val="22"/>
          <w:szCs w:val="22"/>
          <w:lang w:val="fr-FR"/>
        </w:rPr>
        <w:t>epom</w:t>
      </w:r>
      <w:r w:rsidRPr="00BF57A3">
        <w:rPr>
          <w:sz w:val="22"/>
          <w:szCs w:val="22"/>
          <w:lang w:val="ru-RU"/>
        </w:rPr>
        <w:t xml:space="preserve"> (</w:t>
      </w:r>
      <w:r w:rsidRPr="00BF57A3">
        <w:rPr>
          <w:sz w:val="22"/>
          <w:szCs w:val="22"/>
          <w:lang w:val="fr-FR"/>
        </w:rPr>
        <w:t>od</w:t>
      </w:r>
      <w:r w:rsidRPr="00BF57A3">
        <w:rPr>
          <w:sz w:val="22"/>
          <w:szCs w:val="22"/>
          <w:lang w:val="ru-RU"/>
        </w:rPr>
        <w:t xml:space="preserve"> </w:t>
      </w:r>
      <w:r w:rsidRPr="00BF57A3">
        <w:rPr>
          <w:sz w:val="22"/>
          <w:szCs w:val="22"/>
          <w:lang w:val="fr-FR"/>
        </w:rPr>
        <w:t>butilne</w:t>
      </w:r>
      <w:r w:rsidRPr="00BF57A3">
        <w:rPr>
          <w:sz w:val="22"/>
          <w:szCs w:val="22"/>
          <w:lang w:val="ru-RU"/>
        </w:rPr>
        <w:t xml:space="preserve"> </w:t>
      </w:r>
      <w:r w:rsidRPr="00BF57A3">
        <w:rPr>
          <w:sz w:val="22"/>
          <w:szCs w:val="22"/>
          <w:lang w:val="fr-FR"/>
        </w:rPr>
        <w:t>gume</w:t>
      </w:r>
      <w:r w:rsidRPr="00BF57A3">
        <w:rPr>
          <w:sz w:val="22"/>
          <w:szCs w:val="22"/>
          <w:lang w:val="ru-RU"/>
        </w:rPr>
        <w:t xml:space="preserve">), </w:t>
      </w:r>
      <w:r w:rsidRPr="00BF57A3">
        <w:rPr>
          <w:sz w:val="22"/>
          <w:szCs w:val="22"/>
          <w:lang w:val="fr-FR"/>
        </w:rPr>
        <w:t>sa</w:t>
      </w:r>
      <w:r w:rsidRPr="00BF57A3">
        <w:rPr>
          <w:sz w:val="22"/>
          <w:szCs w:val="22"/>
          <w:lang w:val="ru-RU"/>
        </w:rPr>
        <w:t xml:space="preserve"> </w:t>
      </w:r>
      <w:r w:rsidRPr="00BF57A3">
        <w:rPr>
          <w:sz w:val="22"/>
          <w:szCs w:val="22"/>
          <w:lang w:val="fr-FR"/>
        </w:rPr>
        <w:t>prstenom</w:t>
      </w:r>
      <w:r w:rsidRPr="00BF57A3">
        <w:rPr>
          <w:sz w:val="22"/>
          <w:szCs w:val="22"/>
          <w:lang w:val="ru-RU"/>
        </w:rPr>
        <w:t xml:space="preserve"> (</w:t>
      </w:r>
      <w:r w:rsidRPr="00BF57A3">
        <w:rPr>
          <w:sz w:val="22"/>
          <w:szCs w:val="22"/>
          <w:lang w:val="fr-FR"/>
        </w:rPr>
        <w:t>aluminijum</w:t>
      </w:r>
      <w:r w:rsidRPr="00BF57A3">
        <w:rPr>
          <w:sz w:val="22"/>
          <w:szCs w:val="22"/>
          <w:lang w:val="ru-RU"/>
        </w:rPr>
        <w:t xml:space="preserve">), </w:t>
      </w:r>
      <w:r w:rsidRPr="00BF57A3">
        <w:rPr>
          <w:sz w:val="22"/>
          <w:szCs w:val="22"/>
          <w:lang w:val="fr-FR"/>
        </w:rPr>
        <w:t>koja</w:t>
      </w:r>
      <w:r w:rsidRPr="00BF57A3">
        <w:rPr>
          <w:sz w:val="22"/>
          <w:szCs w:val="22"/>
          <w:lang w:val="ru-RU"/>
        </w:rPr>
        <w:t xml:space="preserve"> </w:t>
      </w:r>
      <w:r w:rsidRPr="00BF57A3">
        <w:rPr>
          <w:sz w:val="22"/>
          <w:szCs w:val="22"/>
          <w:lang w:val="fr-FR"/>
        </w:rPr>
        <w:t>sadr</w:t>
      </w:r>
      <w:r w:rsidRPr="00BF57A3">
        <w:rPr>
          <w:sz w:val="22"/>
          <w:szCs w:val="22"/>
          <w:lang w:val="ru-RU"/>
        </w:rPr>
        <w:t>ž</w:t>
      </w:r>
      <w:r w:rsidRPr="00BF57A3">
        <w:rPr>
          <w:sz w:val="22"/>
          <w:szCs w:val="22"/>
          <w:lang w:val="fr-FR"/>
        </w:rPr>
        <w:t>i</w:t>
      </w:r>
      <w:r w:rsidRPr="00BF57A3">
        <w:rPr>
          <w:sz w:val="22"/>
          <w:szCs w:val="22"/>
          <w:lang w:val="ru-RU"/>
        </w:rPr>
        <w:t xml:space="preserve"> 100 </w:t>
      </w:r>
      <w:r w:rsidRPr="00BF57A3">
        <w:rPr>
          <w:sz w:val="22"/>
          <w:szCs w:val="22"/>
          <w:lang w:val="fr-FR"/>
        </w:rPr>
        <w:t>mg</w:t>
      </w:r>
      <w:r w:rsidRPr="00BF57A3">
        <w:rPr>
          <w:sz w:val="22"/>
          <w:szCs w:val="22"/>
          <w:lang w:val="ru-RU"/>
        </w:rPr>
        <w:t xml:space="preserve"> </w:t>
      </w:r>
      <w:r w:rsidRPr="00BF57A3">
        <w:rPr>
          <w:sz w:val="22"/>
          <w:szCs w:val="22"/>
          <w:lang w:val="fr-FR"/>
        </w:rPr>
        <w:t>paklitaksela</w:t>
      </w:r>
      <w:r w:rsidR="001520DC" w:rsidRPr="00BF57A3">
        <w:rPr>
          <w:sz w:val="22"/>
          <w:szCs w:val="22"/>
          <w:lang w:val="sr-Latn-ME"/>
        </w:rPr>
        <w:t xml:space="preserve"> </w:t>
      </w:r>
      <w:r w:rsidR="00AA2E29" w:rsidRPr="00BF57A3">
        <w:rPr>
          <w:sz w:val="22"/>
          <w:szCs w:val="22"/>
          <w:lang w:val="sr-Latn-ME"/>
        </w:rPr>
        <w:t>u obliku nanočestica vezanih z</w:t>
      </w:r>
      <w:r w:rsidR="000D6F10" w:rsidRPr="00BF57A3">
        <w:rPr>
          <w:sz w:val="22"/>
          <w:szCs w:val="22"/>
          <w:lang w:val="sr-Latn-ME"/>
        </w:rPr>
        <w:t>a albumin</w:t>
      </w:r>
      <w:r w:rsidR="001520DC" w:rsidRPr="00BF57A3">
        <w:rPr>
          <w:sz w:val="22"/>
          <w:szCs w:val="22"/>
          <w:lang w:val="sr-Latn-ME"/>
        </w:rPr>
        <w:t>.</w:t>
      </w:r>
    </w:p>
    <w:p w14:paraId="10A5DFE9" w14:textId="77777777" w:rsidR="0054338B" w:rsidRPr="00BF57A3" w:rsidRDefault="0054338B">
      <w:pPr>
        <w:pStyle w:val="Header"/>
        <w:tabs>
          <w:tab w:val="left" w:pos="284"/>
        </w:tabs>
        <w:jc w:val="both"/>
        <w:rPr>
          <w:sz w:val="22"/>
          <w:szCs w:val="22"/>
          <w:lang w:val="sl-SI"/>
        </w:rPr>
      </w:pPr>
    </w:p>
    <w:p w14:paraId="468BBAF8" w14:textId="77777777" w:rsidR="0054338B" w:rsidRPr="00BF57A3" w:rsidRDefault="0054338B">
      <w:pPr>
        <w:pStyle w:val="Header"/>
        <w:tabs>
          <w:tab w:val="left" w:pos="284"/>
        </w:tabs>
        <w:jc w:val="both"/>
        <w:rPr>
          <w:sz w:val="22"/>
          <w:szCs w:val="22"/>
          <w:lang w:val="sl-SI"/>
        </w:rPr>
      </w:pPr>
      <w:r w:rsidRPr="00BF57A3">
        <w:rPr>
          <w:sz w:val="22"/>
          <w:szCs w:val="22"/>
          <w:lang w:val="sl-SI"/>
        </w:rPr>
        <w:t>Veličina pakovanja: jedna bočica.</w:t>
      </w:r>
    </w:p>
    <w:p w14:paraId="7990A750" w14:textId="77777777" w:rsidR="0054338B" w:rsidRPr="00BF57A3" w:rsidRDefault="0054338B">
      <w:pPr>
        <w:tabs>
          <w:tab w:val="left" w:pos="540"/>
          <w:tab w:val="left" w:pos="569"/>
        </w:tabs>
        <w:jc w:val="both"/>
        <w:rPr>
          <w:bCs/>
          <w:sz w:val="22"/>
          <w:szCs w:val="22"/>
          <w:lang w:val="sl-SI"/>
        </w:rPr>
      </w:pPr>
    </w:p>
    <w:p w14:paraId="3D6FA57E" w14:textId="77777777" w:rsidR="002846DB" w:rsidRPr="00BF57A3" w:rsidRDefault="0072020E">
      <w:pPr>
        <w:tabs>
          <w:tab w:val="left" w:pos="540"/>
          <w:tab w:val="left" w:pos="569"/>
        </w:tabs>
        <w:jc w:val="both"/>
        <w:rPr>
          <w:b/>
          <w:bCs/>
          <w:sz w:val="22"/>
          <w:szCs w:val="22"/>
          <w:lang w:val="sl-SI"/>
        </w:rPr>
      </w:pPr>
      <w:r w:rsidRPr="00BF57A3">
        <w:rPr>
          <w:b/>
          <w:bCs/>
          <w:sz w:val="22"/>
          <w:szCs w:val="22"/>
          <w:lang w:val="sl-SI"/>
        </w:rPr>
        <w:t xml:space="preserve">6.6. </w:t>
      </w:r>
      <w:r w:rsidR="00480FB1" w:rsidRPr="00BF57A3">
        <w:rPr>
          <w:b/>
          <w:bCs/>
          <w:sz w:val="22"/>
          <w:szCs w:val="22"/>
          <w:lang w:val="sl-SI"/>
        </w:rPr>
        <w:tab/>
      </w:r>
      <w:r w:rsidRPr="00BF57A3">
        <w:rPr>
          <w:b/>
          <w:bCs/>
          <w:sz w:val="22"/>
          <w:szCs w:val="22"/>
          <w:lang w:val="sl-SI"/>
        </w:rPr>
        <w:t xml:space="preserve">Posebne mjere opreza pri odlaganju materijala koji treba odbaciti nakon primjene lijeka </w:t>
      </w:r>
      <w:r w:rsidR="002B1D81" w:rsidRPr="00BF57A3">
        <w:rPr>
          <w:b/>
          <w:bCs/>
          <w:sz w:val="22"/>
          <w:szCs w:val="22"/>
          <w:lang w:val="sl-SI"/>
        </w:rPr>
        <w:t>(i druga uputsva za rukovanje lijekom)</w:t>
      </w:r>
    </w:p>
    <w:p w14:paraId="7F2CAF4E" w14:textId="77777777" w:rsidR="003F6A59" w:rsidRPr="00BF57A3" w:rsidRDefault="003F6A59">
      <w:pPr>
        <w:tabs>
          <w:tab w:val="left" w:pos="540"/>
          <w:tab w:val="left" w:pos="569"/>
        </w:tabs>
        <w:jc w:val="both"/>
        <w:rPr>
          <w:bCs/>
          <w:sz w:val="22"/>
          <w:szCs w:val="22"/>
          <w:lang w:val="sl-SI"/>
        </w:rPr>
      </w:pPr>
    </w:p>
    <w:p w14:paraId="704E500C" w14:textId="77777777" w:rsidR="00666E76" w:rsidRPr="00BF57A3" w:rsidRDefault="00666E76">
      <w:pPr>
        <w:pStyle w:val="Header"/>
        <w:tabs>
          <w:tab w:val="left" w:pos="284"/>
        </w:tabs>
        <w:jc w:val="both"/>
        <w:rPr>
          <w:sz w:val="22"/>
          <w:szCs w:val="22"/>
          <w:u w:val="single"/>
          <w:lang w:val="it-IT"/>
        </w:rPr>
      </w:pPr>
      <w:r w:rsidRPr="00BF57A3">
        <w:rPr>
          <w:sz w:val="22"/>
          <w:szCs w:val="22"/>
          <w:u w:val="single"/>
          <w:lang w:val="it-IT"/>
        </w:rPr>
        <w:t xml:space="preserve">Priprema i mjere opreza kod primjene  </w:t>
      </w:r>
    </w:p>
    <w:p w14:paraId="0761E15C" w14:textId="619C9BCD" w:rsidR="00666E76" w:rsidRPr="00BF57A3" w:rsidRDefault="00666E76">
      <w:pPr>
        <w:pStyle w:val="Header"/>
        <w:tabs>
          <w:tab w:val="left" w:pos="284"/>
        </w:tabs>
        <w:jc w:val="both"/>
        <w:rPr>
          <w:sz w:val="22"/>
          <w:szCs w:val="22"/>
          <w:lang w:val="it-IT"/>
        </w:rPr>
      </w:pPr>
      <w:r w:rsidRPr="00BF57A3">
        <w:rPr>
          <w:sz w:val="22"/>
          <w:szCs w:val="22"/>
          <w:lang w:val="it-IT"/>
        </w:rPr>
        <w:t xml:space="preserve">Paklitaksel je citotoksični lijek protiv kancera i, kao i sa drugim potencijalno toksičnim jedinjenjima, treba biti oprezan prilikom rukovanja lijekom Abraxane. Preporučuje se upotreba rukavica, zaštitnih naočara i zaštitne odjeće. Ako </w:t>
      </w:r>
      <w:r w:rsidR="009129D0" w:rsidRPr="00BF57A3">
        <w:rPr>
          <w:sz w:val="22"/>
          <w:szCs w:val="22"/>
          <w:lang w:val="it-IT"/>
        </w:rPr>
        <w:t>disp</w:t>
      </w:r>
      <w:r w:rsidR="00A054A8" w:rsidRPr="00BF57A3">
        <w:rPr>
          <w:sz w:val="22"/>
          <w:szCs w:val="22"/>
          <w:lang w:val="it-IT"/>
        </w:rPr>
        <w:t>e</w:t>
      </w:r>
      <w:r w:rsidR="009129D0" w:rsidRPr="00BF57A3">
        <w:rPr>
          <w:sz w:val="22"/>
          <w:szCs w:val="22"/>
          <w:lang w:val="it-IT"/>
        </w:rPr>
        <w:t xml:space="preserve">rzija </w:t>
      </w:r>
      <w:r w:rsidRPr="00BF57A3">
        <w:rPr>
          <w:sz w:val="22"/>
          <w:szCs w:val="22"/>
          <w:lang w:val="it-IT"/>
        </w:rPr>
        <w:t xml:space="preserve">dođe u dodir sa kožom, kožu je potrebno odmah i potpuno oprati vodom i sapunom. Ako </w:t>
      </w:r>
      <w:r w:rsidR="00A054A8" w:rsidRPr="00BF57A3">
        <w:rPr>
          <w:sz w:val="22"/>
          <w:szCs w:val="22"/>
          <w:lang w:val="it-IT"/>
        </w:rPr>
        <w:t>disperzija</w:t>
      </w:r>
      <w:r w:rsidR="00A054A8" w:rsidRPr="00BF57A3" w:rsidDel="00A054A8">
        <w:rPr>
          <w:sz w:val="22"/>
          <w:szCs w:val="22"/>
          <w:lang w:val="it-IT"/>
        </w:rPr>
        <w:t xml:space="preserve"> </w:t>
      </w:r>
      <w:r w:rsidRPr="00BF57A3">
        <w:rPr>
          <w:sz w:val="22"/>
          <w:szCs w:val="22"/>
          <w:lang w:val="it-IT"/>
        </w:rPr>
        <w:t>dođe u dodir sa sluznicama, potrebno ih je temeljno isprati vodom. Lijek Abraxane treba da priprema i primjenjuje samo osoblje obučeno za rukovanje citotoksičnim ljekovima. Trudno osoblje ne smije rukovati ovim lijekom.</w:t>
      </w:r>
    </w:p>
    <w:p w14:paraId="510F49C8" w14:textId="77777777" w:rsidR="00666E76" w:rsidRPr="00BF57A3" w:rsidRDefault="00666E76">
      <w:pPr>
        <w:pStyle w:val="Header"/>
        <w:tabs>
          <w:tab w:val="left" w:pos="284"/>
        </w:tabs>
        <w:jc w:val="both"/>
        <w:rPr>
          <w:sz w:val="22"/>
          <w:szCs w:val="22"/>
          <w:lang w:val="it-IT"/>
        </w:rPr>
      </w:pPr>
    </w:p>
    <w:p w14:paraId="528E62CF" w14:textId="77777777" w:rsidR="00666E76" w:rsidRPr="00BF57A3" w:rsidRDefault="00666E76">
      <w:pPr>
        <w:pStyle w:val="Header"/>
        <w:tabs>
          <w:tab w:val="left" w:pos="284"/>
        </w:tabs>
        <w:jc w:val="both"/>
        <w:rPr>
          <w:sz w:val="22"/>
          <w:szCs w:val="22"/>
          <w:lang w:val="it-IT"/>
        </w:rPr>
      </w:pPr>
      <w:r w:rsidRPr="00BF57A3">
        <w:rPr>
          <w:sz w:val="22"/>
          <w:szCs w:val="22"/>
          <w:lang w:val="it-IT"/>
        </w:rPr>
        <w:t>Zbog mogućnosti ekstravazacije, savjetuje se da se pomno nadzire mjesto infuzije zbog moguće infiltracije tokom primjene lijeka. Ograničavanje trajanja infuzije lijeka Abraxane na 30 minuta, kao što je preporučeno, smanjuje vjerovatnoću reakcija povezanih sa infuzijom.</w:t>
      </w:r>
    </w:p>
    <w:p w14:paraId="53FB9244" w14:textId="77777777" w:rsidR="00B80618" w:rsidRDefault="00B80618" w:rsidP="00B80618">
      <w:pPr>
        <w:rPr>
          <w:sz w:val="22"/>
          <w:szCs w:val="22"/>
          <w:lang w:val="it-IT"/>
        </w:rPr>
      </w:pPr>
    </w:p>
    <w:p w14:paraId="0C797815" w14:textId="3884A6B0" w:rsidR="00666E76" w:rsidRPr="00B80618" w:rsidRDefault="00666E76" w:rsidP="00B80618">
      <w:pPr>
        <w:rPr>
          <w:sz w:val="22"/>
          <w:szCs w:val="22"/>
          <w:lang w:val="it-IT"/>
        </w:rPr>
      </w:pPr>
      <w:r w:rsidRPr="00BF57A3">
        <w:rPr>
          <w:sz w:val="22"/>
          <w:szCs w:val="22"/>
          <w:u w:val="single"/>
          <w:lang w:val="it-IT"/>
        </w:rPr>
        <w:t>Rekonstitucija i primjena lijeka</w:t>
      </w:r>
    </w:p>
    <w:p w14:paraId="2B0077B3" w14:textId="7D2BBC53" w:rsidR="00666E76" w:rsidRPr="00BF57A3" w:rsidRDefault="00666E76">
      <w:pPr>
        <w:pStyle w:val="Header"/>
        <w:tabs>
          <w:tab w:val="left" w:pos="284"/>
        </w:tabs>
        <w:jc w:val="both"/>
        <w:rPr>
          <w:sz w:val="22"/>
          <w:szCs w:val="22"/>
          <w:lang w:val="it-IT"/>
        </w:rPr>
      </w:pPr>
      <w:r w:rsidRPr="00BF57A3">
        <w:rPr>
          <w:sz w:val="22"/>
          <w:szCs w:val="22"/>
          <w:lang w:val="it-IT"/>
        </w:rPr>
        <w:t xml:space="preserve">Lijek Abraxane se isporučuje kao sterilni liofilizirani prašak za rekonstituciju prije upotrebe. Nakon rekonstitucije, </w:t>
      </w:r>
      <w:r w:rsidR="003B5DF9">
        <w:rPr>
          <w:sz w:val="22"/>
          <w:szCs w:val="22"/>
          <w:lang w:val="it-IT"/>
        </w:rPr>
        <w:t>jedan</w:t>
      </w:r>
      <w:r w:rsidRPr="00BF57A3">
        <w:rPr>
          <w:sz w:val="22"/>
          <w:szCs w:val="22"/>
          <w:lang w:val="it-IT"/>
        </w:rPr>
        <w:t xml:space="preserve"> ml </w:t>
      </w:r>
      <w:r w:rsidR="009129D0" w:rsidRPr="00BF57A3">
        <w:rPr>
          <w:sz w:val="22"/>
          <w:szCs w:val="22"/>
          <w:lang w:val="it-IT"/>
        </w:rPr>
        <w:t xml:space="preserve">disperzije </w:t>
      </w:r>
      <w:r w:rsidRPr="00BF57A3">
        <w:rPr>
          <w:sz w:val="22"/>
          <w:szCs w:val="22"/>
          <w:lang w:val="it-IT"/>
        </w:rPr>
        <w:t>sadrži 5 mg paklitaksela</w:t>
      </w:r>
      <w:r w:rsidR="00251664" w:rsidRPr="00BF57A3">
        <w:rPr>
          <w:sz w:val="22"/>
          <w:szCs w:val="22"/>
          <w:lang w:val="it-IT"/>
        </w:rPr>
        <w:t xml:space="preserve"> u obliku nanočestica vezanih z</w:t>
      </w:r>
      <w:r w:rsidR="00E90E7F" w:rsidRPr="00BF57A3">
        <w:rPr>
          <w:sz w:val="22"/>
          <w:szCs w:val="22"/>
          <w:lang w:val="it-IT"/>
        </w:rPr>
        <w:t>a albumin.</w:t>
      </w:r>
    </w:p>
    <w:p w14:paraId="4BFCDF19" w14:textId="77777777" w:rsidR="00666E76" w:rsidRPr="00BF57A3" w:rsidRDefault="00666E76">
      <w:pPr>
        <w:pStyle w:val="Header"/>
        <w:tabs>
          <w:tab w:val="left" w:pos="284"/>
        </w:tabs>
        <w:jc w:val="both"/>
        <w:rPr>
          <w:sz w:val="22"/>
          <w:szCs w:val="22"/>
          <w:lang w:val="it-IT"/>
        </w:rPr>
      </w:pPr>
    </w:p>
    <w:p w14:paraId="3F07B074" w14:textId="77777777" w:rsidR="00666E76" w:rsidRPr="00BF57A3" w:rsidRDefault="00666E76">
      <w:pPr>
        <w:pStyle w:val="Header"/>
        <w:tabs>
          <w:tab w:val="left" w:pos="284"/>
        </w:tabs>
        <w:jc w:val="both"/>
        <w:rPr>
          <w:sz w:val="22"/>
          <w:szCs w:val="22"/>
          <w:lang w:val="it-IT"/>
        </w:rPr>
      </w:pPr>
      <w:r w:rsidRPr="00BF57A3">
        <w:rPr>
          <w:sz w:val="22"/>
          <w:szCs w:val="22"/>
          <w:u w:val="single"/>
          <w:lang w:val="it-IT"/>
        </w:rPr>
        <w:t>Bočica od 100 mg</w:t>
      </w:r>
      <w:r w:rsidRPr="00BF57A3">
        <w:rPr>
          <w:sz w:val="22"/>
          <w:szCs w:val="22"/>
          <w:lang w:val="it-IT"/>
        </w:rPr>
        <w:t>: Koristeći sterilni špric, 20 ml 0,9% rastvora za infuziju natrijum</w:t>
      </w:r>
      <w:r w:rsidR="00D71C05" w:rsidRPr="00BF57A3">
        <w:rPr>
          <w:sz w:val="22"/>
          <w:szCs w:val="22"/>
          <w:lang w:val="it-IT"/>
        </w:rPr>
        <w:t xml:space="preserve"> </w:t>
      </w:r>
      <w:r w:rsidRPr="00BF57A3">
        <w:rPr>
          <w:sz w:val="22"/>
          <w:szCs w:val="22"/>
          <w:lang w:val="it-IT"/>
        </w:rPr>
        <w:t xml:space="preserve">hlorida (9 mg/ml) treba polako injicirati u bočicu sa lijekom Abraxane tokom najmanje 1 minuta.  </w:t>
      </w:r>
    </w:p>
    <w:p w14:paraId="25091AF9" w14:textId="77777777" w:rsidR="00666E76" w:rsidRPr="00BF57A3" w:rsidRDefault="00666E76">
      <w:pPr>
        <w:pStyle w:val="Header"/>
        <w:tabs>
          <w:tab w:val="left" w:pos="284"/>
        </w:tabs>
        <w:jc w:val="both"/>
        <w:rPr>
          <w:sz w:val="22"/>
          <w:szCs w:val="22"/>
          <w:lang w:val="it-IT"/>
        </w:rPr>
      </w:pPr>
    </w:p>
    <w:p w14:paraId="695C8B36" w14:textId="77777777" w:rsidR="00666E76" w:rsidRPr="00BF57A3" w:rsidRDefault="00666E76">
      <w:pPr>
        <w:pStyle w:val="Header"/>
        <w:tabs>
          <w:tab w:val="left" w:pos="284"/>
        </w:tabs>
        <w:jc w:val="both"/>
        <w:rPr>
          <w:sz w:val="22"/>
          <w:szCs w:val="22"/>
          <w:lang w:val="it-IT"/>
        </w:rPr>
      </w:pPr>
      <w:r w:rsidRPr="00BF57A3">
        <w:rPr>
          <w:sz w:val="22"/>
          <w:szCs w:val="22"/>
          <w:lang w:val="it-IT"/>
        </w:rPr>
        <w:t xml:space="preserve">Rastvor treba usmjeriti </w:t>
      </w:r>
      <w:r w:rsidRPr="00BF57A3">
        <w:rPr>
          <w:sz w:val="22"/>
          <w:szCs w:val="22"/>
          <w:u w:val="single"/>
          <w:lang w:val="it-IT"/>
        </w:rPr>
        <w:t>na unutrašnji zid bočice</w:t>
      </w:r>
      <w:r w:rsidRPr="00BF57A3">
        <w:rPr>
          <w:sz w:val="22"/>
          <w:szCs w:val="22"/>
          <w:lang w:val="it-IT"/>
        </w:rPr>
        <w:t>. Rastvor ne treba injicirati direktno na prašak jer će nastati pjena.</w:t>
      </w:r>
    </w:p>
    <w:p w14:paraId="1E557EC5" w14:textId="77777777" w:rsidR="00666E76" w:rsidRPr="00BF57A3" w:rsidRDefault="00666E76">
      <w:pPr>
        <w:pStyle w:val="Header"/>
        <w:tabs>
          <w:tab w:val="left" w:pos="284"/>
        </w:tabs>
        <w:jc w:val="both"/>
        <w:rPr>
          <w:sz w:val="22"/>
          <w:szCs w:val="22"/>
          <w:lang w:val="it-IT"/>
        </w:rPr>
      </w:pPr>
    </w:p>
    <w:p w14:paraId="50ED1179" w14:textId="77777777" w:rsidR="00666E76" w:rsidRPr="00BF57A3" w:rsidRDefault="00666E76">
      <w:pPr>
        <w:pStyle w:val="Header"/>
        <w:tabs>
          <w:tab w:val="left" w:pos="284"/>
        </w:tabs>
        <w:jc w:val="both"/>
        <w:rPr>
          <w:sz w:val="22"/>
          <w:szCs w:val="22"/>
          <w:lang w:val="it-IT"/>
        </w:rPr>
      </w:pPr>
      <w:r w:rsidRPr="00BF57A3">
        <w:rPr>
          <w:sz w:val="22"/>
          <w:szCs w:val="22"/>
          <w:lang w:val="it-IT"/>
        </w:rPr>
        <w:t>Nakon završetka dodavanja, bočica treba da odstoji najmanje 5 minuta da bi se omogućilo dovoljno natapanje čvrstog d</w:t>
      </w:r>
      <w:r w:rsidR="00AB1559" w:rsidRPr="00BF57A3">
        <w:rPr>
          <w:sz w:val="22"/>
          <w:szCs w:val="22"/>
          <w:lang w:val="it-IT"/>
        </w:rPr>
        <w:t>ij</w:t>
      </w:r>
      <w:r w:rsidRPr="00BF57A3">
        <w:rPr>
          <w:sz w:val="22"/>
          <w:szCs w:val="22"/>
          <w:lang w:val="it-IT"/>
        </w:rPr>
        <w:t xml:space="preserve">ela. Potom bočicu treba nježno i polako okretati i/ili prevrtati najmanje 2 minuta sve do potpune </w:t>
      </w:r>
      <w:r w:rsidR="00BC7241" w:rsidRPr="00BF57A3">
        <w:rPr>
          <w:sz w:val="22"/>
          <w:szCs w:val="22"/>
          <w:lang w:val="it-IT"/>
        </w:rPr>
        <w:t xml:space="preserve">redisperzije </w:t>
      </w:r>
      <w:r w:rsidRPr="00BF57A3">
        <w:rPr>
          <w:sz w:val="22"/>
          <w:szCs w:val="22"/>
          <w:lang w:val="it-IT"/>
        </w:rPr>
        <w:t xml:space="preserve">praška. Mora se izbjeći stvaranje pjene. Ako se pojavi pjena ili grudve, </w:t>
      </w:r>
      <w:r w:rsidR="00BC7241" w:rsidRPr="00BF57A3">
        <w:rPr>
          <w:sz w:val="22"/>
          <w:szCs w:val="22"/>
          <w:lang w:val="it-IT"/>
        </w:rPr>
        <w:t xml:space="preserve">disperzija </w:t>
      </w:r>
      <w:r w:rsidRPr="00BF57A3">
        <w:rPr>
          <w:sz w:val="22"/>
          <w:szCs w:val="22"/>
          <w:lang w:val="it-IT"/>
        </w:rPr>
        <w:t>mora da odstoji najmanje 15 minuta dok se pjena ne slegne.</w:t>
      </w:r>
    </w:p>
    <w:p w14:paraId="31C43ADB" w14:textId="77777777" w:rsidR="00666E76" w:rsidRPr="00BF57A3" w:rsidRDefault="00666E76">
      <w:pPr>
        <w:pStyle w:val="Header"/>
        <w:tabs>
          <w:tab w:val="left" w:pos="284"/>
        </w:tabs>
        <w:jc w:val="both"/>
        <w:rPr>
          <w:sz w:val="22"/>
          <w:szCs w:val="22"/>
          <w:lang w:val="it-IT"/>
        </w:rPr>
      </w:pPr>
    </w:p>
    <w:p w14:paraId="5012AC9D" w14:textId="77777777" w:rsidR="00666E76" w:rsidRPr="00BF57A3" w:rsidRDefault="00666E76">
      <w:pPr>
        <w:pStyle w:val="Header"/>
        <w:tabs>
          <w:tab w:val="left" w:pos="284"/>
        </w:tabs>
        <w:jc w:val="both"/>
        <w:rPr>
          <w:sz w:val="22"/>
          <w:szCs w:val="22"/>
          <w:lang w:val="it-IT"/>
        </w:rPr>
      </w:pPr>
      <w:r w:rsidRPr="00BF57A3">
        <w:rPr>
          <w:sz w:val="22"/>
          <w:szCs w:val="22"/>
          <w:lang w:val="it-IT"/>
        </w:rPr>
        <w:t xml:space="preserve">Rekonstituisana </w:t>
      </w:r>
      <w:r w:rsidR="00BC7241" w:rsidRPr="00BF57A3">
        <w:rPr>
          <w:sz w:val="22"/>
          <w:szCs w:val="22"/>
          <w:lang w:val="it-IT"/>
        </w:rPr>
        <w:t xml:space="preserve">disperzija </w:t>
      </w:r>
      <w:r w:rsidRPr="00BF57A3">
        <w:rPr>
          <w:sz w:val="22"/>
          <w:szCs w:val="22"/>
          <w:lang w:val="it-IT"/>
        </w:rPr>
        <w:t xml:space="preserve">treba da bude mliječne boje i homogena, bez vidljivih taloga. Moguća je pojava laganog </w:t>
      </w:r>
      <w:r w:rsidR="000E78A0" w:rsidRPr="00BF57A3">
        <w:rPr>
          <w:sz w:val="22"/>
          <w:szCs w:val="22"/>
          <w:lang w:val="it-IT"/>
        </w:rPr>
        <w:t xml:space="preserve">taloženja </w:t>
      </w:r>
      <w:r w:rsidRPr="00BF57A3">
        <w:rPr>
          <w:sz w:val="22"/>
          <w:szCs w:val="22"/>
          <w:lang w:val="it-IT"/>
        </w:rPr>
        <w:t xml:space="preserve">rekonstituisane </w:t>
      </w:r>
      <w:r w:rsidR="00BC7241" w:rsidRPr="00BF57A3">
        <w:rPr>
          <w:sz w:val="22"/>
          <w:szCs w:val="22"/>
          <w:lang w:val="it-IT"/>
        </w:rPr>
        <w:t>disperzije</w:t>
      </w:r>
      <w:r w:rsidRPr="00BF57A3">
        <w:rPr>
          <w:sz w:val="22"/>
          <w:szCs w:val="22"/>
          <w:lang w:val="it-IT"/>
        </w:rPr>
        <w:t xml:space="preserve">. Ako su talozi ili nakupine vidljivi, bočicu treba ponovo nježno preokrenuti da bi se osigurala potpuna </w:t>
      </w:r>
      <w:r w:rsidR="00BC7241" w:rsidRPr="00BF57A3">
        <w:rPr>
          <w:sz w:val="22"/>
          <w:szCs w:val="22"/>
          <w:lang w:val="it-IT"/>
        </w:rPr>
        <w:t xml:space="preserve">redisperzija </w:t>
      </w:r>
      <w:r w:rsidRPr="00BF57A3">
        <w:rPr>
          <w:sz w:val="22"/>
          <w:szCs w:val="22"/>
          <w:lang w:val="it-IT"/>
        </w:rPr>
        <w:t>prije primjene.</w:t>
      </w:r>
    </w:p>
    <w:p w14:paraId="7774E0B1" w14:textId="77777777" w:rsidR="00666E76" w:rsidRPr="00BF57A3" w:rsidRDefault="00666E76">
      <w:pPr>
        <w:pStyle w:val="Header"/>
        <w:tabs>
          <w:tab w:val="left" w:pos="284"/>
        </w:tabs>
        <w:jc w:val="both"/>
        <w:rPr>
          <w:sz w:val="22"/>
          <w:szCs w:val="22"/>
          <w:lang w:val="it-IT"/>
        </w:rPr>
      </w:pPr>
    </w:p>
    <w:p w14:paraId="59DCE873" w14:textId="77777777" w:rsidR="00666E76" w:rsidRPr="00BF57A3" w:rsidRDefault="00666E76">
      <w:pPr>
        <w:pStyle w:val="Header"/>
        <w:tabs>
          <w:tab w:val="left" w:pos="284"/>
        </w:tabs>
        <w:jc w:val="both"/>
        <w:rPr>
          <w:sz w:val="22"/>
          <w:szCs w:val="22"/>
          <w:lang w:val="it-IT"/>
        </w:rPr>
      </w:pPr>
      <w:r w:rsidRPr="00BF57A3">
        <w:rPr>
          <w:sz w:val="22"/>
          <w:szCs w:val="22"/>
          <w:lang w:val="it-IT"/>
        </w:rPr>
        <w:t xml:space="preserve">Pregledajte </w:t>
      </w:r>
      <w:r w:rsidR="00BC7241" w:rsidRPr="00BF57A3">
        <w:rPr>
          <w:sz w:val="22"/>
          <w:szCs w:val="22"/>
          <w:lang w:val="it-IT"/>
        </w:rPr>
        <w:t xml:space="preserve">disperziju </w:t>
      </w:r>
      <w:r w:rsidRPr="00BF57A3">
        <w:rPr>
          <w:sz w:val="22"/>
          <w:szCs w:val="22"/>
          <w:lang w:val="it-IT"/>
        </w:rPr>
        <w:t>u bočici ima li vidljivih čestica. Nemojte prim</w:t>
      </w:r>
      <w:r w:rsidR="000E78A0" w:rsidRPr="00BF57A3">
        <w:rPr>
          <w:sz w:val="22"/>
          <w:szCs w:val="22"/>
          <w:lang w:val="it-IT"/>
        </w:rPr>
        <w:t>i</w:t>
      </w:r>
      <w:r w:rsidRPr="00BF57A3">
        <w:rPr>
          <w:sz w:val="22"/>
          <w:szCs w:val="22"/>
          <w:lang w:val="it-IT"/>
        </w:rPr>
        <w:t xml:space="preserve">jeniti rekonstituisanu </w:t>
      </w:r>
      <w:r w:rsidR="00BC7241" w:rsidRPr="00BF57A3">
        <w:rPr>
          <w:sz w:val="22"/>
          <w:szCs w:val="22"/>
          <w:lang w:val="it-IT"/>
        </w:rPr>
        <w:t xml:space="preserve">disperziju </w:t>
      </w:r>
      <w:r w:rsidRPr="00BF57A3">
        <w:rPr>
          <w:sz w:val="22"/>
          <w:szCs w:val="22"/>
          <w:lang w:val="it-IT"/>
        </w:rPr>
        <w:t>ako u bočici prim</w:t>
      </w:r>
      <w:r w:rsidR="00D71C05" w:rsidRPr="00BF57A3">
        <w:rPr>
          <w:sz w:val="22"/>
          <w:szCs w:val="22"/>
          <w:lang w:val="it-IT"/>
        </w:rPr>
        <w:t>i</w:t>
      </w:r>
      <w:r w:rsidRPr="00BF57A3">
        <w:rPr>
          <w:sz w:val="22"/>
          <w:szCs w:val="22"/>
          <w:lang w:val="it-IT"/>
        </w:rPr>
        <w:t>jetite vidljive čestice.</w:t>
      </w:r>
    </w:p>
    <w:p w14:paraId="0ACE7140" w14:textId="77777777" w:rsidR="00666E76" w:rsidRPr="00BF57A3" w:rsidRDefault="00666E76">
      <w:pPr>
        <w:pStyle w:val="Header"/>
        <w:tabs>
          <w:tab w:val="left" w:pos="284"/>
        </w:tabs>
        <w:jc w:val="both"/>
        <w:rPr>
          <w:sz w:val="22"/>
          <w:szCs w:val="22"/>
          <w:lang w:val="it-IT"/>
        </w:rPr>
      </w:pPr>
    </w:p>
    <w:p w14:paraId="2CDB6630" w14:textId="5011F2EB" w:rsidR="00666E76" w:rsidRPr="00BF57A3" w:rsidRDefault="00666E76">
      <w:pPr>
        <w:pStyle w:val="Header"/>
        <w:tabs>
          <w:tab w:val="left" w:pos="284"/>
        </w:tabs>
        <w:jc w:val="both"/>
        <w:rPr>
          <w:sz w:val="22"/>
          <w:szCs w:val="22"/>
          <w:lang w:val="it-IT"/>
        </w:rPr>
      </w:pPr>
      <w:r w:rsidRPr="00BF57A3">
        <w:rPr>
          <w:sz w:val="22"/>
          <w:szCs w:val="22"/>
          <w:lang w:val="it-IT"/>
        </w:rPr>
        <w:t xml:space="preserve">Treba izračunati tačan ukupni volumen doziranja </w:t>
      </w:r>
      <w:r w:rsidR="00BC7241" w:rsidRPr="00BF57A3">
        <w:rPr>
          <w:sz w:val="22"/>
          <w:szCs w:val="22"/>
          <w:lang w:val="it-IT"/>
        </w:rPr>
        <w:t xml:space="preserve">dispezije </w:t>
      </w:r>
      <w:r w:rsidRPr="00BF57A3">
        <w:rPr>
          <w:sz w:val="22"/>
          <w:szCs w:val="22"/>
          <w:lang w:val="it-IT"/>
        </w:rPr>
        <w:t xml:space="preserve">od </w:t>
      </w:r>
      <w:r w:rsidR="00992E67" w:rsidRPr="00BF57A3">
        <w:rPr>
          <w:sz w:val="22"/>
          <w:szCs w:val="22"/>
          <w:lang w:val="it-IT"/>
        </w:rPr>
        <w:t>5</w:t>
      </w:r>
      <w:r w:rsidR="000B3EF7" w:rsidRPr="00BF57A3">
        <w:rPr>
          <w:sz w:val="22"/>
          <w:szCs w:val="22"/>
          <w:lang w:val="it-IT"/>
        </w:rPr>
        <w:t xml:space="preserve"> </w:t>
      </w:r>
      <w:r w:rsidR="00992E67" w:rsidRPr="00BF57A3">
        <w:rPr>
          <w:sz w:val="22"/>
          <w:szCs w:val="22"/>
          <w:lang w:val="it-IT"/>
        </w:rPr>
        <w:t>mg/ml</w:t>
      </w:r>
      <w:r w:rsidRPr="00BF57A3">
        <w:rPr>
          <w:sz w:val="22"/>
          <w:szCs w:val="22"/>
          <w:lang w:val="it-IT"/>
        </w:rPr>
        <w:t xml:space="preserve"> potreban za </w:t>
      </w:r>
      <w:r w:rsidR="00BC764F">
        <w:rPr>
          <w:sz w:val="22"/>
          <w:szCs w:val="22"/>
          <w:lang w:val="it-IT"/>
        </w:rPr>
        <w:t>pacijenta</w:t>
      </w:r>
      <w:r w:rsidR="00BC764F" w:rsidRPr="00BF57A3">
        <w:rPr>
          <w:sz w:val="22"/>
          <w:szCs w:val="22"/>
          <w:lang w:val="it-IT"/>
        </w:rPr>
        <w:t xml:space="preserve"> </w:t>
      </w:r>
      <w:r w:rsidRPr="00BF57A3">
        <w:rPr>
          <w:sz w:val="22"/>
          <w:szCs w:val="22"/>
          <w:lang w:val="it-IT"/>
        </w:rPr>
        <w:t>i odgovarajuću količinu rekonstituisanog lijeka Abraxane ubrizgati u praznu, sterilnu, PVC ili ne-PVC kesu za intravensku infuziju.</w:t>
      </w:r>
    </w:p>
    <w:p w14:paraId="77EC1347" w14:textId="77777777" w:rsidR="00666E76" w:rsidRPr="00BF57A3" w:rsidRDefault="00666E76">
      <w:pPr>
        <w:pStyle w:val="Header"/>
        <w:tabs>
          <w:tab w:val="left" w:pos="284"/>
        </w:tabs>
        <w:jc w:val="both"/>
        <w:rPr>
          <w:sz w:val="22"/>
          <w:szCs w:val="22"/>
          <w:lang w:val="it-IT"/>
        </w:rPr>
      </w:pPr>
    </w:p>
    <w:p w14:paraId="36AC94D0" w14:textId="77777777" w:rsidR="00666E76" w:rsidRPr="00BF57A3" w:rsidRDefault="00666E76">
      <w:pPr>
        <w:pStyle w:val="Header"/>
        <w:tabs>
          <w:tab w:val="left" w:pos="284"/>
        </w:tabs>
        <w:jc w:val="both"/>
        <w:rPr>
          <w:sz w:val="22"/>
          <w:szCs w:val="22"/>
          <w:lang w:val="it-IT"/>
        </w:rPr>
      </w:pPr>
      <w:r w:rsidRPr="00BF57A3">
        <w:rPr>
          <w:sz w:val="22"/>
          <w:szCs w:val="22"/>
          <w:lang w:val="it-IT"/>
        </w:rPr>
        <w:t>Upotreba medicinskih sredstava koj</w:t>
      </w:r>
      <w:r w:rsidR="000B3EF7" w:rsidRPr="00BF57A3">
        <w:rPr>
          <w:sz w:val="22"/>
          <w:szCs w:val="22"/>
          <w:lang w:val="it-IT"/>
        </w:rPr>
        <w:t>a</w:t>
      </w:r>
      <w:r w:rsidRPr="00BF57A3">
        <w:rPr>
          <w:sz w:val="22"/>
          <w:szCs w:val="22"/>
          <w:lang w:val="it-IT"/>
        </w:rPr>
        <w:t xml:space="preserve"> sadrže silikonsko ulje kao lubrikant (tj. špricev</w:t>
      </w:r>
      <w:r w:rsidR="000B3EF7" w:rsidRPr="00BF57A3">
        <w:rPr>
          <w:sz w:val="22"/>
          <w:szCs w:val="22"/>
          <w:lang w:val="it-IT"/>
        </w:rPr>
        <w:t>a</w:t>
      </w:r>
      <w:r w:rsidRPr="00BF57A3">
        <w:rPr>
          <w:sz w:val="22"/>
          <w:szCs w:val="22"/>
          <w:lang w:val="it-IT"/>
        </w:rPr>
        <w:t xml:space="preserve"> i intravenske kese) za rekonstituciju i primjenu lijeka Abraxane može rezultirati stvaranjem proteinskih vlakana. Da biste izbjegli unos tih vlakana, primjenjujte lijek Abraxane pomoću kompleta za infuziju koji ima filter od 15 µm. Upotrebom filtera od 15 µm postiže se uklanjanje vlakana, a fizička ili hemijska svojstva rekonstituisanog lijeka nisu prom</w:t>
      </w:r>
      <w:r w:rsidR="00D71C05" w:rsidRPr="00BF57A3">
        <w:rPr>
          <w:sz w:val="22"/>
          <w:szCs w:val="22"/>
          <w:lang w:val="it-IT"/>
        </w:rPr>
        <w:t>i</w:t>
      </w:r>
      <w:r w:rsidRPr="00BF57A3">
        <w:rPr>
          <w:sz w:val="22"/>
          <w:szCs w:val="22"/>
          <w:lang w:val="it-IT"/>
        </w:rPr>
        <w:t>jenjena.</w:t>
      </w:r>
    </w:p>
    <w:p w14:paraId="15D5B985" w14:textId="77777777" w:rsidR="00666E76" w:rsidRPr="00BF57A3" w:rsidRDefault="00666E76">
      <w:pPr>
        <w:pStyle w:val="Header"/>
        <w:tabs>
          <w:tab w:val="left" w:pos="284"/>
        </w:tabs>
        <w:jc w:val="both"/>
        <w:rPr>
          <w:sz w:val="22"/>
          <w:szCs w:val="22"/>
          <w:lang w:val="it-IT"/>
        </w:rPr>
      </w:pPr>
    </w:p>
    <w:p w14:paraId="433AE182" w14:textId="77777777" w:rsidR="00666E76" w:rsidRPr="00BF57A3" w:rsidRDefault="00666E76">
      <w:pPr>
        <w:pStyle w:val="Header"/>
        <w:tabs>
          <w:tab w:val="left" w:pos="284"/>
        </w:tabs>
        <w:jc w:val="both"/>
        <w:rPr>
          <w:sz w:val="22"/>
          <w:szCs w:val="22"/>
          <w:lang w:val="it-IT"/>
        </w:rPr>
      </w:pPr>
      <w:r w:rsidRPr="00BF57A3">
        <w:rPr>
          <w:sz w:val="22"/>
          <w:szCs w:val="22"/>
          <w:lang w:val="it-IT"/>
        </w:rPr>
        <w:t>Upotreba filtera sa otvorima veličine manje od 15 µm može dovesti do začepljenja filtera.</w:t>
      </w:r>
    </w:p>
    <w:p w14:paraId="44EA08ED" w14:textId="77777777" w:rsidR="00666E76" w:rsidRPr="00BF57A3" w:rsidRDefault="00666E76">
      <w:pPr>
        <w:pStyle w:val="Header"/>
        <w:tabs>
          <w:tab w:val="left" w:pos="284"/>
        </w:tabs>
        <w:jc w:val="both"/>
        <w:rPr>
          <w:sz w:val="22"/>
          <w:szCs w:val="22"/>
          <w:lang w:val="it-IT"/>
        </w:rPr>
      </w:pPr>
    </w:p>
    <w:p w14:paraId="616537A0" w14:textId="77777777" w:rsidR="00666E76" w:rsidRPr="00BF57A3" w:rsidRDefault="00666E76">
      <w:pPr>
        <w:pStyle w:val="Header"/>
        <w:tabs>
          <w:tab w:val="left" w:pos="284"/>
        </w:tabs>
        <w:jc w:val="both"/>
        <w:rPr>
          <w:sz w:val="22"/>
          <w:szCs w:val="22"/>
          <w:lang w:val="it-IT"/>
        </w:rPr>
      </w:pPr>
      <w:r w:rsidRPr="00BF57A3">
        <w:rPr>
          <w:sz w:val="22"/>
          <w:szCs w:val="22"/>
          <w:lang w:val="it-IT"/>
        </w:rPr>
        <w:t>Upotreba posebnih kontejnera ili kompleta za primjenu rastvora bez di(2-etilheksil)ftalata (DEHP) nije neophodna za pripremu ili primjenu infuzije lijeka Abraxane.</w:t>
      </w:r>
    </w:p>
    <w:p w14:paraId="0313D291" w14:textId="77777777" w:rsidR="00666E76" w:rsidRPr="00BF57A3" w:rsidRDefault="00666E76">
      <w:pPr>
        <w:pStyle w:val="Header"/>
        <w:tabs>
          <w:tab w:val="left" w:pos="284"/>
        </w:tabs>
        <w:jc w:val="both"/>
        <w:rPr>
          <w:sz w:val="22"/>
          <w:szCs w:val="22"/>
          <w:lang w:val="it-IT"/>
        </w:rPr>
      </w:pPr>
    </w:p>
    <w:p w14:paraId="2A81A532" w14:textId="77777777" w:rsidR="0030430A" w:rsidRPr="00BF57A3" w:rsidRDefault="0030430A">
      <w:pPr>
        <w:pStyle w:val="Header"/>
        <w:tabs>
          <w:tab w:val="left" w:pos="284"/>
        </w:tabs>
        <w:jc w:val="both"/>
        <w:rPr>
          <w:sz w:val="22"/>
          <w:szCs w:val="22"/>
          <w:lang w:val="it-IT"/>
        </w:rPr>
      </w:pPr>
      <w:r w:rsidRPr="00BF57A3">
        <w:rPr>
          <w:sz w:val="22"/>
          <w:szCs w:val="22"/>
          <w:lang w:val="it-IT"/>
        </w:rPr>
        <w:t xml:space="preserve">Nakon primjene preporučuje se da se intravenska linija ispere rastvorom natrijum hlorida 9 mg/ml (0,9%) za injekciju kako bi se osigurala primjena cijele doze. </w:t>
      </w:r>
    </w:p>
    <w:p w14:paraId="4AAB4290" w14:textId="77777777" w:rsidR="0030430A" w:rsidRPr="00BF57A3" w:rsidRDefault="0030430A">
      <w:pPr>
        <w:pStyle w:val="Header"/>
        <w:tabs>
          <w:tab w:val="left" w:pos="284"/>
        </w:tabs>
        <w:jc w:val="both"/>
        <w:rPr>
          <w:sz w:val="22"/>
          <w:szCs w:val="22"/>
          <w:lang w:val="it-IT"/>
        </w:rPr>
      </w:pPr>
    </w:p>
    <w:p w14:paraId="772F7B9D" w14:textId="35F94F0B" w:rsidR="003F6F48" w:rsidRPr="00B80618" w:rsidRDefault="00666E76" w:rsidP="00B80618">
      <w:pPr>
        <w:pStyle w:val="Header"/>
        <w:tabs>
          <w:tab w:val="left" w:pos="284"/>
        </w:tabs>
        <w:jc w:val="both"/>
        <w:rPr>
          <w:sz w:val="22"/>
          <w:szCs w:val="22"/>
          <w:lang w:val="it-IT"/>
        </w:rPr>
      </w:pPr>
      <w:r w:rsidRPr="00BF57A3">
        <w:rPr>
          <w:sz w:val="22"/>
          <w:szCs w:val="22"/>
          <w:lang w:val="it-IT"/>
        </w:rPr>
        <w:t>Svu neiskorišćenu količinu lijeka ili otpadnog materijala nakon njegove upotrebe treba ukloniti u skladu sa važećim propisima.</w:t>
      </w:r>
    </w:p>
    <w:p w14:paraId="73A62407" w14:textId="77777777" w:rsidR="00F8570A" w:rsidRPr="00BF57A3" w:rsidRDefault="0072020E">
      <w:pPr>
        <w:tabs>
          <w:tab w:val="left" w:pos="540"/>
          <w:tab w:val="left" w:pos="569"/>
        </w:tabs>
        <w:jc w:val="both"/>
        <w:rPr>
          <w:b/>
          <w:bCs/>
          <w:sz w:val="22"/>
          <w:szCs w:val="22"/>
          <w:lang w:val="es-ES"/>
        </w:rPr>
      </w:pPr>
      <w:r w:rsidRPr="00BF57A3">
        <w:rPr>
          <w:b/>
          <w:bCs/>
          <w:sz w:val="22"/>
          <w:szCs w:val="22"/>
          <w:lang w:val="es-ES"/>
        </w:rPr>
        <w:lastRenderedPageBreak/>
        <w:t xml:space="preserve">7. </w:t>
      </w:r>
      <w:r w:rsidR="00480FB1" w:rsidRPr="00BF57A3">
        <w:rPr>
          <w:b/>
          <w:bCs/>
          <w:sz w:val="22"/>
          <w:szCs w:val="22"/>
          <w:lang w:val="es-ES"/>
        </w:rPr>
        <w:tab/>
      </w:r>
      <w:r w:rsidRPr="00BF57A3">
        <w:rPr>
          <w:b/>
          <w:bCs/>
          <w:sz w:val="22"/>
          <w:szCs w:val="22"/>
          <w:lang w:val="es-ES"/>
        </w:rPr>
        <w:t>NOSILAC DOZVOLE</w:t>
      </w:r>
      <w:r w:rsidR="00483928" w:rsidRPr="00BF57A3">
        <w:rPr>
          <w:b/>
          <w:bCs/>
          <w:sz w:val="22"/>
          <w:szCs w:val="22"/>
          <w:lang w:val="es-ES"/>
        </w:rPr>
        <w:t xml:space="preserve"> </w:t>
      </w:r>
    </w:p>
    <w:p w14:paraId="47C11342" w14:textId="77777777" w:rsidR="0072020E" w:rsidRPr="00BF57A3" w:rsidRDefault="00480FB1">
      <w:pPr>
        <w:tabs>
          <w:tab w:val="left" w:pos="540"/>
          <w:tab w:val="left" w:pos="569"/>
        </w:tabs>
        <w:jc w:val="both"/>
        <w:rPr>
          <w:bCs/>
          <w:sz w:val="22"/>
          <w:szCs w:val="22"/>
          <w:lang w:val="es-ES"/>
        </w:rPr>
      </w:pPr>
      <w:r w:rsidRPr="00BF57A3">
        <w:rPr>
          <w:b/>
          <w:bCs/>
          <w:sz w:val="22"/>
          <w:szCs w:val="22"/>
          <w:lang w:val="es-ES"/>
        </w:rPr>
        <w:tab/>
      </w:r>
    </w:p>
    <w:p w14:paraId="550CA869" w14:textId="77777777" w:rsidR="00666E76" w:rsidRPr="00BF57A3" w:rsidRDefault="00A81388">
      <w:pPr>
        <w:jc w:val="both"/>
        <w:rPr>
          <w:noProof/>
          <w:sz w:val="22"/>
          <w:szCs w:val="22"/>
          <w:lang w:val="es-ES"/>
        </w:rPr>
      </w:pPr>
      <w:r w:rsidRPr="00BF57A3">
        <w:rPr>
          <w:noProof/>
          <w:sz w:val="22"/>
          <w:szCs w:val="22"/>
          <w:lang w:val="es-ES"/>
        </w:rPr>
        <w:t>Amicus</w:t>
      </w:r>
      <w:r w:rsidR="00666E76" w:rsidRPr="00BF57A3">
        <w:rPr>
          <w:noProof/>
          <w:sz w:val="22"/>
          <w:szCs w:val="22"/>
          <w:lang w:val="es-ES"/>
        </w:rPr>
        <w:t xml:space="preserve"> Pharma d.o.o. </w:t>
      </w:r>
      <w:r w:rsidR="0030050D" w:rsidRPr="00BF57A3">
        <w:rPr>
          <w:noProof/>
          <w:sz w:val="22"/>
          <w:szCs w:val="22"/>
          <w:lang w:val="es-ES"/>
        </w:rPr>
        <w:t>Podgorica</w:t>
      </w:r>
    </w:p>
    <w:p w14:paraId="61A5B163" w14:textId="77777777" w:rsidR="00666E76" w:rsidRPr="00BF57A3" w:rsidRDefault="00DF14DA">
      <w:pPr>
        <w:jc w:val="both"/>
        <w:rPr>
          <w:noProof/>
          <w:sz w:val="22"/>
          <w:szCs w:val="22"/>
          <w:lang w:val="es-ES"/>
        </w:rPr>
      </w:pPr>
      <w:r w:rsidRPr="00BF57A3">
        <w:rPr>
          <w:bCs/>
          <w:sz w:val="22"/>
          <w:szCs w:val="22"/>
          <w:lang w:val="sr-Latn-CS"/>
        </w:rPr>
        <w:t xml:space="preserve">Bulevar </w:t>
      </w:r>
      <w:r w:rsidR="00A81388" w:rsidRPr="00BF57A3">
        <w:rPr>
          <w:bCs/>
          <w:sz w:val="22"/>
          <w:szCs w:val="22"/>
          <w:lang w:val="sr-Latn-CS"/>
        </w:rPr>
        <w:t>D</w:t>
      </w:r>
      <w:r w:rsidR="00A81388" w:rsidRPr="00BF57A3">
        <w:rPr>
          <w:bCs/>
          <w:sz w:val="22"/>
          <w:szCs w:val="22"/>
          <w:lang w:val="sr-Latn-RS"/>
        </w:rPr>
        <w:t>žordža Vašingtona 51</w:t>
      </w:r>
      <w:r w:rsidR="009A3CF1" w:rsidRPr="00BF57A3">
        <w:rPr>
          <w:bCs/>
          <w:sz w:val="22"/>
          <w:szCs w:val="22"/>
          <w:lang w:val="sr-Latn-RS"/>
        </w:rPr>
        <w:t xml:space="preserve">, </w:t>
      </w:r>
      <w:r w:rsidR="00666E76" w:rsidRPr="00BF57A3">
        <w:rPr>
          <w:noProof/>
          <w:sz w:val="22"/>
          <w:szCs w:val="22"/>
          <w:lang w:val="es-ES"/>
        </w:rPr>
        <w:t>81000 Podgorica</w:t>
      </w:r>
      <w:r w:rsidR="008D4439" w:rsidRPr="00BF57A3">
        <w:rPr>
          <w:noProof/>
          <w:sz w:val="22"/>
          <w:szCs w:val="22"/>
          <w:lang w:val="es-ES"/>
        </w:rPr>
        <w:t>, Crna Gora</w:t>
      </w:r>
    </w:p>
    <w:p w14:paraId="2C931CBA" w14:textId="77777777" w:rsidR="00115E06" w:rsidRPr="00BF57A3" w:rsidRDefault="00115E06">
      <w:pPr>
        <w:jc w:val="both"/>
        <w:rPr>
          <w:noProof/>
          <w:sz w:val="22"/>
          <w:szCs w:val="22"/>
          <w:lang w:val="es-ES"/>
        </w:rPr>
      </w:pPr>
    </w:p>
    <w:p w14:paraId="22C1C56B" w14:textId="77777777" w:rsidR="00836B35" w:rsidRPr="00BF57A3" w:rsidRDefault="00836B35">
      <w:pPr>
        <w:tabs>
          <w:tab w:val="left" w:pos="540"/>
          <w:tab w:val="left" w:pos="569"/>
        </w:tabs>
        <w:jc w:val="both"/>
        <w:rPr>
          <w:bCs/>
          <w:sz w:val="22"/>
          <w:szCs w:val="22"/>
          <w:lang w:val="es-ES"/>
        </w:rPr>
      </w:pPr>
    </w:p>
    <w:p w14:paraId="7EBF5609" w14:textId="77777777" w:rsidR="0072020E" w:rsidRPr="00BF57A3" w:rsidRDefault="0072020E">
      <w:pPr>
        <w:tabs>
          <w:tab w:val="left" w:pos="540"/>
          <w:tab w:val="left" w:pos="569"/>
        </w:tabs>
        <w:jc w:val="both"/>
        <w:rPr>
          <w:b/>
          <w:bCs/>
          <w:sz w:val="22"/>
          <w:szCs w:val="22"/>
          <w:lang w:val="es-ES"/>
        </w:rPr>
      </w:pPr>
      <w:r w:rsidRPr="00BF57A3">
        <w:rPr>
          <w:b/>
          <w:bCs/>
          <w:sz w:val="22"/>
          <w:szCs w:val="22"/>
          <w:lang w:val="es-ES"/>
        </w:rPr>
        <w:t xml:space="preserve">8. </w:t>
      </w:r>
      <w:r w:rsidR="00480FB1" w:rsidRPr="00BF57A3">
        <w:rPr>
          <w:b/>
          <w:bCs/>
          <w:sz w:val="22"/>
          <w:szCs w:val="22"/>
          <w:lang w:val="es-ES"/>
        </w:rPr>
        <w:tab/>
      </w:r>
      <w:r w:rsidRPr="00BF57A3">
        <w:rPr>
          <w:b/>
          <w:bCs/>
          <w:sz w:val="22"/>
          <w:szCs w:val="22"/>
          <w:lang w:val="es-ES"/>
        </w:rPr>
        <w:t>BROJ DOZVOLE</w:t>
      </w:r>
      <w:r w:rsidR="009A3CF1" w:rsidRPr="00BF57A3">
        <w:rPr>
          <w:b/>
          <w:bCs/>
          <w:sz w:val="22"/>
          <w:szCs w:val="22"/>
          <w:lang w:val="es-ES"/>
        </w:rPr>
        <w:t xml:space="preserve"> </w:t>
      </w:r>
      <w:r w:rsidR="002B1D81" w:rsidRPr="00BF57A3">
        <w:rPr>
          <w:b/>
          <w:bCs/>
          <w:sz w:val="22"/>
          <w:szCs w:val="22"/>
          <w:lang w:val="es-ES"/>
        </w:rPr>
        <w:t>ZA STAVLJANJE LIJEKA U PROMET</w:t>
      </w:r>
    </w:p>
    <w:p w14:paraId="0D549201" w14:textId="77777777" w:rsidR="0072020E" w:rsidRPr="00BF57A3" w:rsidRDefault="0072020E">
      <w:pPr>
        <w:tabs>
          <w:tab w:val="left" w:pos="540"/>
          <w:tab w:val="left" w:pos="569"/>
        </w:tabs>
        <w:jc w:val="both"/>
        <w:rPr>
          <w:bCs/>
          <w:sz w:val="22"/>
          <w:szCs w:val="22"/>
          <w:lang w:val="es-ES"/>
        </w:rPr>
      </w:pPr>
    </w:p>
    <w:p w14:paraId="0071F839" w14:textId="685E420C" w:rsidR="00F476E6" w:rsidRPr="00BF57A3" w:rsidRDefault="00F476E6" w:rsidP="006C640E">
      <w:pPr>
        <w:ind w:right="-449"/>
        <w:jc w:val="both"/>
        <w:rPr>
          <w:sz w:val="22"/>
          <w:szCs w:val="22"/>
          <w:lang w:val="es-ES" w:eastAsia="en-GB"/>
        </w:rPr>
      </w:pPr>
      <w:r w:rsidRPr="00BF57A3">
        <w:rPr>
          <w:sz w:val="22"/>
          <w:szCs w:val="22"/>
          <w:lang w:val="es-ES" w:eastAsia="en-GB"/>
        </w:rPr>
        <w:t xml:space="preserve">Abraxane, prašak za </w:t>
      </w:r>
      <w:r w:rsidR="00DC4E23" w:rsidRPr="00BF57A3">
        <w:rPr>
          <w:sz w:val="22"/>
          <w:szCs w:val="22"/>
          <w:lang w:val="es-ES" w:eastAsia="en-GB"/>
        </w:rPr>
        <w:t xml:space="preserve">disperziju </w:t>
      </w:r>
      <w:r w:rsidRPr="00BF57A3">
        <w:rPr>
          <w:sz w:val="22"/>
          <w:szCs w:val="22"/>
          <w:lang w:val="es-ES" w:eastAsia="en-GB"/>
        </w:rPr>
        <w:t>za infuziju, 100 mg (5 mg/ml), bočica, staklena, 1x100 mg: 2030/17/22</w:t>
      </w:r>
      <w:r w:rsidR="00BE6405">
        <w:rPr>
          <w:sz w:val="22"/>
          <w:szCs w:val="22"/>
          <w:lang w:val="es-ES" w:eastAsia="en-GB"/>
        </w:rPr>
        <w:t xml:space="preserve"> -</w:t>
      </w:r>
      <w:r w:rsidR="00115E06" w:rsidRPr="00BF57A3">
        <w:rPr>
          <w:sz w:val="22"/>
          <w:szCs w:val="22"/>
          <w:lang w:val="es-ES" w:eastAsia="en-GB"/>
        </w:rPr>
        <w:t xml:space="preserve"> </w:t>
      </w:r>
      <w:r w:rsidRPr="00BF57A3">
        <w:rPr>
          <w:sz w:val="22"/>
          <w:szCs w:val="22"/>
          <w:lang w:val="es-ES" w:eastAsia="en-GB"/>
        </w:rPr>
        <w:t>2691</w:t>
      </w:r>
    </w:p>
    <w:p w14:paraId="2F4C5D9A" w14:textId="77777777" w:rsidR="00115E06" w:rsidRPr="00BF57A3" w:rsidRDefault="00115E06" w:rsidP="006C640E">
      <w:pPr>
        <w:ind w:right="-449"/>
        <w:jc w:val="both"/>
        <w:rPr>
          <w:sz w:val="22"/>
          <w:szCs w:val="22"/>
          <w:lang w:val="es-ES" w:eastAsia="en-GB"/>
        </w:rPr>
      </w:pPr>
    </w:p>
    <w:p w14:paraId="1FAFADF2" w14:textId="77777777" w:rsidR="00F45F77" w:rsidRPr="00BF57A3" w:rsidRDefault="00F45F77" w:rsidP="00BF57A3">
      <w:pPr>
        <w:tabs>
          <w:tab w:val="left" w:pos="540"/>
          <w:tab w:val="left" w:pos="569"/>
        </w:tabs>
        <w:jc w:val="both"/>
        <w:rPr>
          <w:bCs/>
          <w:sz w:val="22"/>
          <w:szCs w:val="22"/>
          <w:lang w:val="es-ES"/>
        </w:rPr>
      </w:pPr>
    </w:p>
    <w:p w14:paraId="31B0E974" w14:textId="77777777" w:rsidR="0072020E" w:rsidRPr="00BF57A3" w:rsidRDefault="0072020E">
      <w:pPr>
        <w:tabs>
          <w:tab w:val="left" w:pos="540"/>
          <w:tab w:val="left" w:pos="569"/>
        </w:tabs>
        <w:jc w:val="both"/>
        <w:rPr>
          <w:b/>
          <w:bCs/>
          <w:sz w:val="22"/>
          <w:szCs w:val="22"/>
          <w:lang w:val="de-DE"/>
        </w:rPr>
      </w:pPr>
      <w:r w:rsidRPr="00BF57A3">
        <w:rPr>
          <w:b/>
          <w:bCs/>
          <w:sz w:val="22"/>
          <w:szCs w:val="22"/>
          <w:lang w:val="de-DE"/>
        </w:rPr>
        <w:t xml:space="preserve">9. </w:t>
      </w:r>
      <w:r w:rsidR="00480FB1" w:rsidRPr="00BF57A3">
        <w:rPr>
          <w:b/>
          <w:bCs/>
          <w:sz w:val="22"/>
          <w:szCs w:val="22"/>
          <w:lang w:val="de-DE"/>
        </w:rPr>
        <w:tab/>
      </w:r>
      <w:r w:rsidRPr="00BF57A3">
        <w:rPr>
          <w:b/>
          <w:bCs/>
          <w:sz w:val="22"/>
          <w:szCs w:val="22"/>
          <w:lang w:val="de-DE"/>
        </w:rPr>
        <w:t>DATUM PRVE DOZVOLE</w:t>
      </w:r>
      <w:r w:rsidR="00F8570A" w:rsidRPr="00BF57A3">
        <w:rPr>
          <w:b/>
          <w:bCs/>
          <w:sz w:val="22"/>
          <w:szCs w:val="22"/>
          <w:lang w:val="de-DE"/>
        </w:rPr>
        <w:t>/</w:t>
      </w:r>
      <w:r w:rsidRPr="00BF57A3">
        <w:rPr>
          <w:b/>
          <w:bCs/>
          <w:sz w:val="22"/>
          <w:szCs w:val="22"/>
          <w:lang w:val="de-DE"/>
        </w:rPr>
        <w:t xml:space="preserve"> OBNOVE DOZVOLE</w:t>
      </w:r>
      <w:r w:rsidR="002B1D81" w:rsidRPr="00BF57A3">
        <w:rPr>
          <w:b/>
          <w:bCs/>
          <w:sz w:val="22"/>
          <w:szCs w:val="22"/>
          <w:lang w:val="de-DE"/>
        </w:rPr>
        <w:t xml:space="preserve"> ZA STAVLJANJE LIJEKA U PROMET</w:t>
      </w:r>
    </w:p>
    <w:p w14:paraId="6AF8E2BD" w14:textId="77777777" w:rsidR="0072020E" w:rsidRPr="00BF57A3" w:rsidRDefault="0072020E">
      <w:pPr>
        <w:tabs>
          <w:tab w:val="left" w:pos="540"/>
          <w:tab w:val="left" w:pos="569"/>
        </w:tabs>
        <w:jc w:val="both"/>
        <w:rPr>
          <w:bCs/>
          <w:sz w:val="22"/>
          <w:szCs w:val="22"/>
          <w:lang w:val="de-DE"/>
        </w:rPr>
      </w:pPr>
    </w:p>
    <w:p w14:paraId="691F5BD0" w14:textId="4F5315E6" w:rsidR="00836B35" w:rsidRPr="00BF57A3" w:rsidRDefault="00F476E6">
      <w:pPr>
        <w:tabs>
          <w:tab w:val="left" w:pos="540"/>
          <w:tab w:val="left" w:pos="569"/>
        </w:tabs>
        <w:jc w:val="both"/>
        <w:rPr>
          <w:sz w:val="22"/>
          <w:szCs w:val="22"/>
          <w:lang w:val="de-DE" w:eastAsia="en-GB"/>
        </w:rPr>
      </w:pPr>
      <w:r w:rsidRPr="00BF57A3">
        <w:rPr>
          <w:sz w:val="22"/>
          <w:szCs w:val="22"/>
          <w:lang w:val="de-DE" w:eastAsia="en-GB"/>
        </w:rPr>
        <w:t xml:space="preserve">Abraxane, prašak za </w:t>
      </w:r>
      <w:r w:rsidR="00DC4E23" w:rsidRPr="00BF57A3">
        <w:rPr>
          <w:sz w:val="22"/>
          <w:szCs w:val="22"/>
          <w:lang w:val="de-DE" w:eastAsia="en-GB"/>
        </w:rPr>
        <w:t xml:space="preserve">disperziju </w:t>
      </w:r>
      <w:r w:rsidRPr="00BF57A3">
        <w:rPr>
          <w:sz w:val="22"/>
          <w:szCs w:val="22"/>
          <w:lang w:val="de-DE" w:eastAsia="en-GB"/>
        </w:rPr>
        <w:t>za infuziju, 100 mg (5 mg/ml), bočica, staklena, 1x100 mg: 16.01.2017.</w:t>
      </w:r>
      <w:r w:rsidR="00115E06" w:rsidRPr="00BF57A3">
        <w:rPr>
          <w:sz w:val="22"/>
          <w:szCs w:val="22"/>
          <w:lang w:val="de-DE" w:eastAsia="en-GB"/>
        </w:rPr>
        <w:t xml:space="preserve"> godine</w:t>
      </w:r>
    </w:p>
    <w:p w14:paraId="7312396A" w14:textId="77777777" w:rsidR="00115E06" w:rsidRPr="00BF57A3" w:rsidRDefault="00115E06">
      <w:pPr>
        <w:tabs>
          <w:tab w:val="left" w:pos="540"/>
          <w:tab w:val="left" w:pos="569"/>
        </w:tabs>
        <w:jc w:val="both"/>
        <w:rPr>
          <w:bCs/>
          <w:sz w:val="22"/>
          <w:szCs w:val="22"/>
          <w:lang w:val="de-DE"/>
        </w:rPr>
      </w:pPr>
    </w:p>
    <w:p w14:paraId="1D318535" w14:textId="77777777" w:rsidR="001D3A8A" w:rsidRPr="00BF57A3" w:rsidRDefault="001D3A8A">
      <w:pPr>
        <w:tabs>
          <w:tab w:val="left" w:pos="540"/>
          <w:tab w:val="left" w:pos="569"/>
        </w:tabs>
        <w:ind w:left="540" w:hanging="540"/>
        <w:jc w:val="both"/>
        <w:rPr>
          <w:b/>
          <w:bCs/>
          <w:sz w:val="22"/>
          <w:szCs w:val="22"/>
          <w:lang w:val="de-DE"/>
        </w:rPr>
      </w:pPr>
    </w:p>
    <w:p w14:paraId="0FCFF2BC" w14:textId="77777777" w:rsidR="0072020E" w:rsidRPr="00BF57A3" w:rsidRDefault="0072020E">
      <w:pPr>
        <w:tabs>
          <w:tab w:val="left" w:pos="540"/>
          <w:tab w:val="left" w:pos="569"/>
        </w:tabs>
        <w:ind w:left="540" w:hanging="540"/>
        <w:jc w:val="both"/>
        <w:rPr>
          <w:b/>
          <w:bCs/>
          <w:sz w:val="22"/>
          <w:szCs w:val="22"/>
          <w:lang w:val="de-DE"/>
        </w:rPr>
      </w:pPr>
      <w:r w:rsidRPr="00BF57A3">
        <w:rPr>
          <w:b/>
          <w:bCs/>
          <w:sz w:val="22"/>
          <w:szCs w:val="22"/>
          <w:lang w:val="de-DE"/>
        </w:rPr>
        <w:t xml:space="preserve">10. </w:t>
      </w:r>
      <w:r w:rsidR="00480FB1" w:rsidRPr="00BF57A3">
        <w:rPr>
          <w:b/>
          <w:bCs/>
          <w:sz w:val="22"/>
          <w:szCs w:val="22"/>
          <w:lang w:val="de-DE"/>
        </w:rPr>
        <w:tab/>
      </w:r>
      <w:r w:rsidR="002846DB" w:rsidRPr="00BF57A3">
        <w:rPr>
          <w:b/>
          <w:bCs/>
          <w:sz w:val="22"/>
          <w:szCs w:val="22"/>
          <w:lang w:val="de-DE"/>
        </w:rPr>
        <w:t>D</w:t>
      </w:r>
      <w:r w:rsidR="00EC2532" w:rsidRPr="00BF57A3">
        <w:rPr>
          <w:b/>
          <w:bCs/>
          <w:sz w:val="22"/>
          <w:szCs w:val="22"/>
          <w:lang w:val="de-DE"/>
        </w:rPr>
        <w:t xml:space="preserve">ATUM REVIZIJE TEKSTA </w:t>
      </w:r>
    </w:p>
    <w:p w14:paraId="379FDDC8" w14:textId="77777777" w:rsidR="00C641FB" w:rsidRPr="00BF57A3" w:rsidRDefault="00C641FB">
      <w:pPr>
        <w:tabs>
          <w:tab w:val="left" w:pos="540"/>
          <w:tab w:val="left" w:pos="569"/>
        </w:tabs>
        <w:ind w:left="540" w:hanging="540"/>
        <w:jc w:val="both"/>
        <w:rPr>
          <w:b/>
          <w:bCs/>
          <w:sz w:val="22"/>
          <w:szCs w:val="22"/>
          <w:lang w:val="de-DE"/>
        </w:rPr>
      </w:pPr>
    </w:p>
    <w:p w14:paraId="21B2F155" w14:textId="13C24C01" w:rsidR="00FC5377" w:rsidRPr="006C640E" w:rsidRDefault="00B80618">
      <w:pPr>
        <w:jc w:val="both"/>
        <w:rPr>
          <w:sz w:val="22"/>
          <w:szCs w:val="22"/>
          <w:lang w:val="pl-PL"/>
        </w:rPr>
      </w:pPr>
      <w:r>
        <w:rPr>
          <w:bCs/>
          <w:sz w:val="22"/>
          <w:szCs w:val="22"/>
          <w:lang w:val="de-DE"/>
        </w:rPr>
        <w:t>Jun</w:t>
      </w:r>
      <w:r w:rsidR="00115E06" w:rsidRPr="00BF57A3">
        <w:rPr>
          <w:bCs/>
          <w:sz w:val="22"/>
          <w:szCs w:val="22"/>
          <w:lang w:val="de-DE"/>
        </w:rPr>
        <w:t>,</w:t>
      </w:r>
      <w:r w:rsidR="00E952ED" w:rsidRPr="00BF57A3">
        <w:rPr>
          <w:bCs/>
          <w:sz w:val="22"/>
          <w:szCs w:val="22"/>
          <w:lang w:val="de-DE"/>
        </w:rPr>
        <w:t xml:space="preserve"> 2025.</w:t>
      </w:r>
      <w:r>
        <w:rPr>
          <w:bCs/>
          <w:sz w:val="22"/>
          <w:szCs w:val="22"/>
          <w:lang w:val="de-DE"/>
        </w:rPr>
        <w:t xml:space="preserve"> godine</w:t>
      </w:r>
    </w:p>
    <w:sectPr w:rsidR="00FC5377" w:rsidRPr="006C640E" w:rsidSect="00F7195A">
      <w:headerReference w:type="default" r:id="rId13"/>
      <w:footerReference w:type="default" r:id="rId14"/>
      <w:pgSz w:w="11909" w:h="16834" w:code="9"/>
      <w:pgMar w:top="709" w:right="851" w:bottom="1140" w:left="1412" w:header="734"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D50E8" w14:textId="77777777" w:rsidR="00A91ECE" w:rsidRDefault="00A91ECE">
      <w:r>
        <w:separator/>
      </w:r>
    </w:p>
  </w:endnote>
  <w:endnote w:type="continuationSeparator" w:id="0">
    <w:p w14:paraId="49F6D133" w14:textId="77777777" w:rsidR="00A91ECE" w:rsidRDefault="00A9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3D4B2" w14:textId="43A3F13F" w:rsidR="00B575E2" w:rsidRPr="003A0689" w:rsidRDefault="00B575E2" w:rsidP="00B23F69">
    <w:pPr>
      <w:pStyle w:val="Footer"/>
      <w:jc w:val="center"/>
      <w:rPr>
        <w:rFonts w:ascii="Arial" w:hAnsi="Arial" w:cs="Arial"/>
        <w:sz w:val="22"/>
        <w:szCs w:val="22"/>
      </w:rPr>
    </w:pPr>
    <w:r w:rsidRPr="003A0689">
      <w:rPr>
        <w:rFonts w:ascii="Arial" w:hAnsi="Arial" w:cs="Arial"/>
        <w:sz w:val="22"/>
        <w:szCs w:val="22"/>
      </w:rPr>
      <w:fldChar w:fldCharType="begin"/>
    </w:r>
    <w:r w:rsidRPr="003A0689">
      <w:rPr>
        <w:rFonts w:ascii="Arial" w:hAnsi="Arial" w:cs="Arial"/>
        <w:sz w:val="22"/>
        <w:szCs w:val="22"/>
      </w:rPr>
      <w:instrText xml:space="preserve"> PAGE </w:instrText>
    </w:r>
    <w:r w:rsidRPr="003A0689">
      <w:rPr>
        <w:rFonts w:ascii="Arial" w:hAnsi="Arial" w:cs="Arial"/>
        <w:sz w:val="22"/>
        <w:szCs w:val="22"/>
      </w:rPr>
      <w:fldChar w:fldCharType="separate"/>
    </w:r>
    <w:r w:rsidR="009B4725">
      <w:rPr>
        <w:rFonts w:ascii="Arial" w:hAnsi="Arial" w:cs="Arial"/>
        <w:noProof/>
        <w:sz w:val="22"/>
        <w:szCs w:val="22"/>
      </w:rPr>
      <w:t>26</w:t>
    </w:r>
    <w:r w:rsidRPr="003A0689">
      <w:rPr>
        <w:rFonts w:ascii="Arial" w:hAnsi="Arial" w:cs="Arial"/>
        <w:sz w:val="22"/>
        <w:szCs w:val="22"/>
      </w:rPr>
      <w:fldChar w:fldCharType="end"/>
    </w:r>
    <w:r w:rsidRPr="003A0689">
      <w:rPr>
        <w:rFonts w:ascii="Arial" w:hAnsi="Arial" w:cs="Arial"/>
        <w:sz w:val="22"/>
        <w:szCs w:val="22"/>
      </w:rPr>
      <w:t xml:space="preserve"> / </w:t>
    </w:r>
    <w:r w:rsidRPr="003A0689">
      <w:rPr>
        <w:rFonts w:ascii="Arial" w:hAnsi="Arial" w:cs="Arial"/>
        <w:sz w:val="22"/>
        <w:szCs w:val="22"/>
      </w:rPr>
      <w:fldChar w:fldCharType="begin"/>
    </w:r>
    <w:r w:rsidRPr="003A0689">
      <w:rPr>
        <w:rFonts w:ascii="Arial" w:hAnsi="Arial" w:cs="Arial"/>
        <w:sz w:val="22"/>
        <w:szCs w:val="22"/>
      </w:rPr>
      <w:instrText xml:space="preserve"> NUMPAGES </w:instrText>
    </w:r>
    <w:r w:rsidRPr="003A0689">
      <w:rPr>
        <w:rFonts w:ascii="Arial" w:hAnsi="Arial" w:cs="Arial"/>
        <w:sz w:val="22"/>
        <w:szCs w:val="22"/>
      </w:rPr>
      <w:fldChar w:fldCharType="separate"/>
    </w:r>
    <w:r w:rsidR="009B4725">
      <w:rPr>
        <w:rFonts w:ascii="Arial" w:hAnsi="Arial" w:cs="Arial"/>
        <w:noProof/>
        <w:sz w:val="22"/>
        <w:szCs w:val="22"/>
      </w:rPr>
      <w:t>26</w:t>
    </w:r>
    <w:r w:rsidRPr="003A0689">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82D40" w14:textId="77777777" w:rsidR="00A91ECE" w:rsidRDefault="00A91ECE">
      <w:r>
        <w:separator/>
      </w:r>
    </w:p>
  </w:footnote>
  <w:footnote w:type="continuationSeparator" w:id="0">
    <w:p w14:paraId="08CD7222" w14:textId="77777777" w:rsidR="00A91ECE" w:rsidRDefault="00A9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8F4D" w14:textId="77777777" w:rsidR="00B575E2" w:rsidRPr="00EE152F" w:rsidRDefault="00B575E2" w:rsidP="00CF570F">
    <w:pPr>
      <w:pStyle w:val="Header"/>
      <w:jc w:val="center"/>
      <w:rPr>
        <w:lang w:val="sr-Latn-M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75pt;height:13.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7"/>
  </w:num>
  <w:num w:numId="5">
    <w:abstractNumId w:val="4"/>
  </w:num>
  <w:num w:numId="6">
    <w:abstractNumId w:val="1"/>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12EC"/>
    <w:rsid w:val="000053A0"/>
    <w:rsid w:val="0000544D"/>
    <w:rsid w:val="00006CB4"/>
    <w:rsid w:val="0001033E"/>
    <w:rsid w:val="000176CA"/>
    <w:rsid w:val="00020322"/>
    <w:rsid w:val="00020868"/>
    <w:rsid w:val="000223F0"/>
    <w:rsid w:val="00026B20"/>
    <w:rsid w:val="00034A1E"/>
    <w:rsid w:val="00036730"/>
    <w:rsid w:val="00040D4B"/>
    <w:rsid w:val="000423EF"/>
    <w:rsid w:val="00043ABC"/>
    <w:rsid w:val="00044627"/>
    <w:rsid w:val="0004671D"/>
    <w:rsid w:val="00050D3F"/>
    <w:rsid w:val="00056B10"/>
    <w:rsid w:val="00056F20"/>
    <w:rsid w:val="0007490C"/>
    <w:rsid w:val="000753A7"/>
    <w:rsid w:val="00080750"/>
    <w:rsid w:val="00081412"/>
    <w:rsid w:val="000818B8"/>
    <w:rsid w:val="00081A4E"/>
    <w:rsid w:val="000840C3"/>
    <w:rsid w:val="00084EEE"/>
    <w:rsid w:val="000853C3"/>
    <w:rsid w:val="00090F8F"/>
    <w:rsid w:val="000910BF"/>
    <w:rsid w:val="00092521"/>
    <w:rsid w:val="00095173"/>
    <w:rsid w:val="00096133"/>
    <w:rsid w:val="000974D8"/>
    <w:rsid w:val="000A0A1D"/>
    <w:rsid w:val="000A45C7"/>
    <w:rsid w:val="000B3065"/>
    <w:rsid w:val="000B3EF7"/>
    <w:rsid w:val="000C1ABA"/>
    <w:rsid w:val="000C32EB"/>
    <w:rsid w:val="000C5067"/>
    <w:rsid w:val="000D2343"/>
    <w:rsid w:val="000D425A"/>
    <w:rsid w:val="000D6F10"/>
    <w:rsid w:val="000E0070"/>
    <w:rsid w:val="000E0B31"/>
    <w:rsid w:val="000E196A"/>
    <w:rsid w:val="000E2084"/>
    <w:rsid w:val="000E5C05"/>
    <w:rsid w:val="000E6F55"/>
    <w:rsid w:val="000E755D"/>
    <w:rsid w:val="000E78A0"/>
    <w:rsid w:val="000E7DDC"/>
    <w:rsid w:val="000F75C9"/>
    <w:rsid w:val="000F77FA"/>
    <w:rsid w:val="0010095D"/>
    <w:rsid w:val="00101305"/>
    <w:rsid w:val="001030AA"/>
    <w:rsid w:val="0010430B"/>
    <w:rsid w:val="00110CE6"/>
    <w:rsid w:val="0011371E"/>
    <w:rsid w:val="001142DC"/>
    <w:rsid w:val="00115E06"/>
    <w:rsid w:val="00120389"/>
    <w:rsid w:val="00121123"/>
    <w:rsid w:val="0013110C"/>
    <w:rsid w:val="001322E6"/>
    <w:rsid w:val="00134C47"/>
    <w:rsid w:val="00140B97"/>
    <w:rsid w:val="001439B3"/>
    <w:rsid w:val="001441B9"/>
    <w:rsid w:val="00146795"/>
    <w:rsid w:val="00146C48"/>
    <w:rsid w:val="0014704F"/>
    <w:rsid w:val="0014766D"/>
    <w:rsid w:val="00147724"/>
    <w:rsid w:val="0015014A"/>
    <w:rsid w:val="001520DC"/>
    <w:rsid w:val="00160525"/>
    <w:rsid w:val="00171C72"/>
    <w:rsid w:val="0018755E"/>
    <w:rsid w:val="001922F8"/>
    <w:rsid w:val="001925D7"/>
    <w:rsid w:val="001932FF"/>
    <w:rsid w:val="001968BC"/>
    <w:rsid w:val="0019713E"/>
    <w:rsid w:val="00197BC5"/>
    <w:rsid w:val="001A148F"/>
    <w:rsid w:val="001A3FBA"/>
    <w:rsid w:val="001A5518"/>
    <w:rsid w:val="001B1533"/>
    <w:rsid w:val="001B1AC3"/>
    <w:rsid w:val="001B38EE"/>
    <w:rsid w:val="001B6327"/>
    <w:rsid w:val="001C1263"/>
    <w:rsid w:val="001C44BC"/>
    <w:rsid w:val="001C5355"/>
    <w:rsid w:val="001D2BFB"/>
    <w:rsid w:val="001D2F52"/>
    <w:rsid w:val="001D3957"/>
    <w:rsid w:val="001D3A8A"/>
    <w:rsid w:val="001D695C"/>
    <w:rsid w:val="001D7B4D"/>
    <w:rsid w:val="001E3363"/>
    <w:rsid w:val="001E390B"/>
    <w:rsid w:val="001E3FBA"/>
    <w:rsid w:val="001F42FB"/>
    <w:rsid w:val="001F47B0"/>
    <w:rsid w:val="001F5574"/>
    <w:rsid w:val="001F5F61"/>
    <w:rsid w:val="001F719A"/>
    <w:rsid w:val="002144AF"/>
    <w:rsid w:val="00215167"/>
    <w:rsid w:val="00221F73"/>
    <w:rsid w:val="00224FBC"/>
    <w:rsid w:val="00225535"/>
    <w:rsid w:val="00226E9F"/>
    <w:rsid w:val="00235B17"/>
    <w:rsid w:val="00237E6B"/>
    <w:rsid w:val="00243C04"/>
    <w:rsid w:val="0024795D"/>
    <w:rsid w:val="0025130D"/>
    <w:rsid w:val="00251664"/>
    <w:rsid w:val="00254A0A"/>
    <w:rsid w:val="00257CA7"/>
    <w:rsid w:val="00263123"/>
    <w:rsid w:val="00263F24"/>
    <w:rsid w:val="00265849"/>
    <w:rsid w:val="00266046"/>
    <w:rsid w:val="00275D26"/>
    <w:rsid w:val="002775CA"/>
    <w:rsid w:val="00277CAF"/>
    <w:rsid w:val="00280EFE"/>
    <w:rsid w:val="00282767"/>
    <w:rsid w:val="002828FA"/>
    <w:rsid w:val="002846DB"/>
    <w:rsid w:val="00285151"/>
    <w:rsid w:val="002876A5"/>
    <w:rsid w:val="00287CEB"/>
    <w:rsid w:val="00291801"/>
    <w:rsid w:val="00293763"/>
    <w:rsid w:val="002A2194"/>
    <w:rsid w:val="002A2ECE"/>
    <w:rsid w:val="002B1D81"/>
    <w:rsid w:val="002B472E"/>
    <w:rsid w:val="002B7D28"/>
    <w:rsid w:val="002C00B1"/>
    <w:rsid w:val="002C01DA"/>
    <w:rsid w:val="002C6637"/>
    <w:rsid w:val="002C6A73"/>
    <w:rsid w:val="002D5E26"/>
    <w:rsid w:val="002E37A5"/>
    <w:rsid w:val="002F1E2D"/>
    <w:rsid w:val="002F1F6E"/>
    <w:rsid w:val="0030050D"/>
    <w:rsid w:val="0030430A"/>
    <w:rsid w:val="003106AD"/>
    <w:rsid w:val="0031165A"/>
    <w:rsid w:val="003140A0"/>
    <w:rsid w:val="003203C1"/>
    <w:rsid w:val="00324DC2"/>
    <w:rsid w:val="00326F1F"/>
    <w:rsid w:val="00334AE6"/>
    <w:rsid w:val="003418DD"/>
    <w:rsid w:val="0034329D"/>
    <w:rsid w:val="0034432C"/>
    <w:rsid w:val="00351CB8"/>
    <w:rsid w:val="00352042"/>
    <w:rsid w:val="00352660"/>
    <w:rsid w:val="0035476E"/>
    <w:rsid w:val="00355B61"/>
    <w:rsid w:val="00356D2F"/>
    <w:rsid w:val="00360C21"/>
    <w:rsid w:val="00362686"/>
    <w:rsid w:val="00371510"/>
    <w:rsid w:val="003757CE"/>
    <w:rsid w:val="003757F7"/>
    <w:rsid w:val="00377C90"/>
    <w:rsid w:val="0038244A"/>
    <w:rsid w:val="00390249"/>
    <w:rsid w:val="0039176B"/>
    <w:rsid w:val="00392211"/>
    <w:rsid w:val="003930A2"/>
    <w:rsid w:val="003966A2"/>
    <w:rsid w:val="003967C1"/>
    <w:rsid w:val="00396DFD"/>
    <w:rsid w:val="003A049D"/>
    <w:rsid w:val="003A050C"/>
    <w:rsid w:val="003A0689"/>
    <w:rsid w:val="003A5974"/>
    <w:rsid w:val="003A649F"/>
    <w:rsid w:val="003B41C2"/>
    <w:rsid w:val="003B444A"/>
    <w:rsid w:val="003B5DF9"/>
    <w:rsid w:val="003B7A36"/>
    <w:rsid w:val="003C17AB"/>
    <w:rsid w:val="003C1E78"/>
    <w:rsid w:val="003C2C56"/>
    <w:rsid w:val="003C4B3D"/>
    <w:rsid w:val="003C7823"/>
    <w:rsid w:val="003D51DF"/>
    <w:rsid w:val="003D5593"/>
    <w:rsid w:val="003E1DCC"/>
    <w:rsid w:val="003E1EE5"/>
    <w:rsid w:val="003F221E"/>
    <w:rsid w:val="003F30B1"/>
    <w:rsid w:val="003F355A"/>
    <w:rsid w:val="003F66D6"/>
    <w:rsid w:val="003F6A59"/>
    <w:rsid w:val="003F6F48"/>
    <w:rsid w:val="00401E82"/>
    <w:rsid w:val="004065C8"/>
    <w:rsid w:val="00411646"/>
    <w:rsid w:val="00411B4B"/>
    <w:rsid w:val="00413DCB"/>
    <w:rsid w:val="00414100"/>
    <w:rsid w:val="00420304"/>
    <w:rsid w:val="00423AA5"/>
    <w:rsid w:val="00427549"/>
    <w:rsid w:val="00427693"/>
    <w:rsid w:val="00436F42"/>
    <w:rsid w:val="00442B80"/>
    <w:rsid w:val="00445361"/>
    <w:rsid w:val="004470B7"/>
    <w:rsid w:val="00447E4E"/>
    <w:rsid w:val="00450FA4"/>
    <w:rsid w:val="00451314"/>
    <w:rsid w:val="0045269C"/>
    <w:rsid w:val="004534C7"/>
    <w:rsid w:val="004541DA"/>
    <w:rsid w:val="00465C43"/>
    <w:rsid w:val="004712A4"/>
    <w:rsid w:val="0047154F"/>
    <w:rsid w:val="0047228E"/>
    <w:rsid w:val="004725F1"/>
    <w:rsid w:val="00473531"/>
    <w:rsid w:val="0047620E"/>
    <w:rsid w:val="00476F55"/>
    <w:rsid w:val="00480FB1"/>
    <w:rsid w:val="0048179C"/>
    <w:rsid w:val="00483928"/>
    <w:rsid w:val="00491047"/>
    <w:rsid w:val="004938E2"/>
    <w:rsid w:val="00495667"/>
    <w:rsid w:val="00496B56"/>
    <w:rsid w:val="00496ECC"/>
    <w:rsid w:val="00497317"/>
    <w:rsid w:val="00497D4A"/>
    <w:rsid w:val="004A38FC"/>
    <w:rsid w:val="004B2A39"/>
    <w:rsid w:val="004B30FB"/>
    <w:rsid w:val="004B3E00"/>
    <w:rsid w:val="004B5052"/>
    <w:rsid w:val="004B6901"/>
    <w:rsid w:val="004B6BEC"/>
    <w:rsid w:val="004B78B3"/>
    <w:rsid w:val="004C2FE7"/>
    <w:rsid w:val="004C4FC6"/>
    <w:rsid w:val="004C63C4"/>
    <w:rsid w:val="004C7191"/>
    <w:rsid w:val="004D51B8"/>
    <w:rsid w:val="004D5A7D"/>
    <w:rsid w:val="004D5BEC"/>
    <w:rsid w:val="004D6103"/>
    <w:rsid w:val="004E230A"/>
    <w:rsid w:val="004E3BCE"/>
    <w:rsid w:val="004E4ED1"/>
    <w:rsid w:val="004F0E97"/>
    <w:rsid w:val="004F3CF2"/>
    <w:rsid w:val="004F4ABA"/>
    <w:rsid w:val="00502F05"/>
    <w:rsid w:val="00506877"/>
    <w:rsid w:val="00507F57"/>
    <w:rsid w:val="00511C3B"/>
    <w:rsid w:val="00515C21"/>
    <w:rsid w:val="0052056C"/>
    <w:rsid w:val="00522B41"/>
    <w:rsid w:val="00530BD7"/>
    <w:rsid w:val="0054338B"/>
    <w:rsid w:val="00545CD2"/>
    <w:rsid w:val="0054681E"/>
    <w:rsid w:val="005476F3"/>
    <w:rsid w:val="00552A4E"/>
    <w:rsid w:val="005538E7"/>
    <w:rsid w:val="0055458F"/>
    <w:rsid w:val="00554F13"/>
    <w:rsid w:val="005574E9"/>
    <w:rsid w:val="00565806"/>
    <w:rsid w:val="005705DA"/>
    <w:rsid w:val="00572527"/>
    <w:rsid w:val="00573E40"/>
    <w:rsid w:val="00574CF9"/>
    <w:rsid w:val="00576348"/>
    <w:rsid w:val="00585783"/>
    <w:rsid w:val="0058759A"/>
    <w:rsid w:val="00594788"/>
    <w:rsid w:val="00594BFA"/>
    <w:rsid w:val="005A0B2E"/>
    <w:rsid w:val="005A100B"/>
    <w:rsid w:val="005A1452"/>
    <w:rsid w:val="005A23D2"/>
    <w:rsid w:val="005A36CB"/>
    <w:rsid w:val="005A4E00"/>
    <w:rsid w:val="005A4EEE"/>
    <w:rsid w:val="005A5014"/>
    <w:rsid w:val="005A574F"/>
    <w:rsid w:val="005B1990"/>
    <w:rsid w:val="005B2C45"/>
    <w:rsid w:val="005B3165"/>
    <w:rsid w:val="005B49B8"/>
    <w:rsid w:val="005B630A"/>
    <w:rsid w:val="005B6A8F"/>
    <w:rsid w:val="005C0741"/>
    <w:rsid w:val="005C2973"/>
    <w:rsid w:val="005C627C"/>
    <w:rsid w:val="005D3298"/>
    <w:rsid w:val="005E189A"/>
    <w:rsid w:val="005E1EC0"/>
    <w:rsid w:val="005E2E0B"/>
    <w:rsid w:val="005E468C"/>
    <w:rsid w:val="005E7A7D"/>
    <w:rsid w:val="005E7A97"/>
    <w:rsid w:val="005F0CC8"/>
    <w:rsid w:val="005F12A4"/>
    <w:rsid w:val="005F29BC"/>
    <w:rsid w:val="00600361"/>
    <w:rsid w:val="006012A9"/>
    <w:rsid w:val="006044DE"/>
    <w:rsid w:val="00616897"/>
    <w:rsid w:val="006243E0"/>
    <w:rsid w:val="006266AC"/>
    <w:rsid w:val="00626DC7"/>
    <w:rsid w:val="00627861"/>
    <w:rsid w:val="00627C93"/>
    <w:rsid w:val="00631923"/>
    <w:rsid w:val="006327EF"/>
    <w:rsid w:val="00633147"/>
    <w:rsid w:val="006333BD"/>
    <w:rsid w:val="00635308"/>
    <w:rsid w:val="006354E4"/>
    <w:rsid w:val="00637D3D"/>
    <w:rsid w:val="00640701"/>
    <w:rsid w:val="0064092D"/>
    <w:rsid w:val="00641711"/>
    <w:rsid w:val="006459AD"/>
    <w:rsid w:val="00646BD1"/>
    <w:rsid w:val="00652F40"/>
    <w:rsid w:val="0065400C"/>
    <w:rsid w:val="00655EA0"/>
    <w:rsid w:val="00660159"/>
    <w:rsid w:val="00662930"/>
    <w:rsid w:val="00662FFF"/>
    <w:rsid w:val="00663EBC"/>
    <w:rsid w:val="006660A6"/>
    <w:rsid w:val="00666E76"/>
    <w:rsid w:val="00670265"/>
    <w:rsid w:val="0067186C"/>
    <w:rsid w:val="00672BE7"/>
    <w:rsid w:val="00674BAF"/>
    <w:rsid w:val="0067501B"/>
    <w:rsid w:val="00682D41"/>
    <w:rsid w:val="006868DB"/>
    <w:rsid w:val="00686FB3"/>
    <w:rsid w:val="0068736F"/>
    <w:rsid w:val="006A1497"/>
    <w:rsid w:val="006A4D39"/>
    <w:rsid w:val="006B0BD1"/>
    <w:rsid w:val="006B2786"/>
    <w:rsid w:val="006B4D87"/>
    <w:rsid w:val="006B5046"/>
    <w:rsid w:val="006B7009"/>
    <w:rsid w:val="006C4EDF"/>
    <w:rsid w:val="006C640E"/>
    <w:rsid w:val="006D2218"/>
    <w:rsid w:val="006D3B12"/>
    <w:rsid w:val="006F155D"/>
    <w:rsid w:val="006F25F1"/>
    <w:rsid w:val="0070583C"/>
    <w:rsid w:val="007147B8"/>
    <w:rsid w:val="007150A1"/>
    <w:rsid w:val="00716AFC"/>
    <w:rsid w:val="0072020E"/>
    <w:rsid w:val="00722C99"/>
    <w:rsid w:val="0072368D"/>
    <w:rsid w:val="00724E80"/>
    <w:rsid w:val="007268B1"/>
    <w:rsid w:val="00727B55"/>
    <w:rsid w:val="00730A49"/>
    <w:rsid w:val="00731061"/>
    <w:rsid w:val="007326B4"/>
    <w:rsid w:val="00732BA0"/>
    <w:rsid w:val="007332CE"/>
    <w:rsid w:val="0073579B"/>
    <w:rsid w:val="007372F2"/>
    <w:rsid w:val="00742D40"/>
    <w:rsid w:val="00755051"/>
    <w:rsid w:val="00764235"/>
    <w:rsid w:val="00772A2E"/>
    <w:rsid w:val="00773A44"/>
    <w:rsid w:val="007772E6"/>
    <w:rsid w:val="007844CB"/>
    <w:rsid w:val="00786695"/>
    <w:rsid w:val="007867F5"/>
    <w:rsid w:val="007903C4"/>
    <w:rsid w:val="00793F49"/>
    <w:rsid w:val="007978F0"/>
    <w:rsid w:val="007A2344"/>
    <w:rsid w:val="007A5CA4"/>
    <w:rsid w:val="007B0C61"/>
    <w:rsid w:val="007B53B1"/>
    <w:rsid w:val="007B77F1"/>
    <w:rsid w:val="007C6727"/>
    <w:rsid w:val="007D34A6"/>
    <w:rsid w:val="007D3A72"/>
    <w:rsid w:val="007D4376"/>
    <w:rsid w:val="007D51C3"/>
    <w:rsid w:val="007D6735"/>
    <w:rsid w:val="007E3390"/>
    <w:rsid w:val="007E4168"/>
    <w:rsid w:val="007F3AD4"/>
    <w:rsid w:val="007F3F93"/>
    <w:rsid w:val="008001C0"/>
    <w:rsid w:val="0080691C"/>
    <w:rsid w:val="008109C3"/>
    <w:rsid w:val="00810AB9"/>
    <w:rsid w:val="00811929"/>
    <w:rsid w:val="00813786"/>
    <w:rsid w:val="0082003B"/>
    <w:rsid w:val="00820FCB"/>
    <w:rsid w:val="0082220C"/>
    <w:rsid w:val="0082321F"/>
    <w:rsid w:val="00824AB9"/>
    <w:rsid w:val="00824B7C"/>
    <w:rsid w:val="00824BF1"/>
    <w:rsid w:val="0082744A"/>
    <w:rsid w:val="008317CC"/>
    <w:rsid w:val="00833281"/>
    <w:rsid w:val="00836B35"/>
    <w:rsid w:val="00837755"/>
    <w:rsid w:val="00841819"/>
    <w:rsid w:val="00845D6F"/>
    <w:rsid w:val="00851DE9"/>
    <w:rsid w:val="00856D1B"/>
    <w:rsid w:val="008623D6"/>
    <w:rsid w:val="00865C15"/>
    <w:rsid w:val="008735E4"/>
    <w:rsid w:val="008748B6"/>
    <w:rsid w:val="00880B1E"/>
    <w:rsid w:val="0088488F"/>
    <w:rsid w:val="00885084"/>
    <w:rsid w:val="00886C51"/>
    <w:rsid w:val="00887492"/>
    <w:rsid w:val="008878C8"/>
    <w:rsid w:val="00887ECE"/>
    <w:rsid w:val="00893377"/>
    <w:rsid w:val="00895718"/>
    <w:rsid w:val="0089705C"/>
    <w:rsid w:val="0089791C"/>
    <w:rsid w:val="008B3D90"/>
    <w:rsid w:val="008B5FEF"/>
    <w:rsid w:val="008B77BC"/>
    <w:rsid w:val="008C00D0"/>
    <w:rsid w:val="008C01EB"/>
    <w:rsid w:val="008C1546"/>
    <w:rsid w:val="008C1A28"/>
    <w:rsid w:val="008C2E98"/>
    <w:rsid w:val="008C44D9"/>
    <w:rsid w:val="008D1828"/>
    <w:rsid w:val="008D31C9"/>
    <w:rsid w:val="008D4439"/>
    <w:rsid w:val="008D56AC"/>
    <w:rsid w:val="008E12C2"/>
    <w:rsid w:val="008E1792"/>
    <w:rsid w:val="008E49BD"/>
    <w:rsid w:val="008E4F13"/>
    <w:rsid w:val="008E53E9"/>
    <w:rsid w:val="008E53F9"/>
    <w:rsid w:val="008E5771"/>
    <w:rsid w:val="008E6A56"/>
    <w:rsid w:val="008F2AFE"/>
    <w:rsid w:val="009043FC"/>
    <w:rsid w:val="00907388"/>
    <w:rsid w:val="009102C9"/>
    <w:rsid w:val="009129D0"/>
    <w:rsid w:val="00913C28"/>
    <w:rsid w:val="00924355"/>
    <w:rsid w:val="00924F44"/>
    <w:rsid w:val="0093102C"/>
    <w:rsid w:val="009346B5"/>
    <w:rsid w:val="00936D67"/>
    <w:rsid w:val="0094041A"/>
    <w:rsid w:val="00941697"/>
    <w:rsid w:val="009421C7"/>
    <w:rsid w:val="0095077B"/>
    <w:rsid w:val="00956983"/>
    <w:rsid w:val="00962AC2"/>
    <w:rsid w:val="00962E7F"/>
    <w:rsid w:val="00963CF0"/>
    <w:rsid w:val="00964BB1"/>
    <w:rsid w:val="009654BF"/>
    <w:rsid w:val="00973A19"/>
    <w:rsid w:val="0097423C"/>
    <w:rsid w:val="00976705"/>
    <w:rsid w:val="009775D9"/>
    <w:rsid w:val="00983D0D"/>
    <w:rsid w:val="009855CB"/>
    <w:rsid w:val="00987047"/>
    <w:rsid w:val="009904A1"/>
    <w:rsid w:val="0099085F"/>
    <w:rsid w:val="00992E67"/>
    <w:rsid w:val="00994B38"/>
    <w:rsid w:val="0099695D"/>
    <w:rsid w:val="0099770B"/>
    <w:rsid w:val="00997D3C"/>
    <w:rsid w:val="009A08A9"/>
    <w:rsid w:val="009A1847"/>
    <w:rsid w:val="009A2061"/>
    <w:rsid w:val="009A3CF1"/>
    <w:rsid w:val="009A4D77"/>
    <w:rsid w:val="009A5090"/>
    <w:rsid w:val="009A5265"/>
    <w:rsid w:val="009A6FAF"/>
    <w:rsid w:val="009B062A"/>
    <w:rsid w:val="009B0F3A"/>
    <w:rsid w:val="009B382D"/>
    <w:rsid w:val="009B4725"/>
    <w:rsid w:val="009C6818"/>
    <w:rsid w:val="009D0073"/>
    <w:rsid w:val="009D0B25"/>
    <w:rsid w:val="009D3960"/>
    <w:rsid w:val="009E3CE3"/>
    <w:rsid w:val="009E7C6F"/>
    <w:rsid w:val="009F1793"/>
    <w:rsid w:val="009F6D89"/>
    <w:rsid w:val="009F7F2A"/>
    <w:rsid w:val="00A004D2"/>
    <w:rsid w:val="00A00D12"/>
    <w:rsid w:val="00A01A14"/>
    <w:rsid w:val="00A02335"/>
    <w:rsid w:val="00A03B19"/>
    <w:rsid w:val="00A054A8"/>
    <w:rsid w:val="00A0554D"/>
    <w:rsid w:val="00A05809"/>
    <w:rsid w:val="00A0585C"/>
    <w:rsid w:val="00A06278"/>
    <w:rsid w:val="00A1018E"/>
    <w:rsid w:val="00A17168"/>
    <w:rsid w:val="00A21D21"/>
    <w:rsid w:val="00A225F8"/>
    <w:rsid w:val="00A26FE3"/>
    <w:rsid w:val="00A270D8"/>
    <w:rsid w:val="00A32545"/>
    <w:rsid w:val="00A33325"/>
    <w:rsid w:val="00A33B99"/>
    <w:rsid w:val="00A3546F"/>
    <w:rsid w:val="00A44420"/>
    <w:rsid w:val="00A46C9A"/>
    <w:rsid w:val="00A5247D"/>
    <w:rsid w:val="00A548DC"/>
    <w:rsid w:val="00A619F3"/>
    <w:rsid w:val="00A6216F"/>
    <w:rsid w:val="00A64AC6"/>
    <w:rsid w:val="00A70091"/>
    <w:rsid w:val="00A72DF6"/>
    <w:rsid w:val="00A7327D"/>
    <w:rsid w:val="00A77887"/>
    <w:rsid w:val="00A81388"/>
    <w:rsid w:val="00A87FF6"/>
    <w:rsid w:val="00A9159B"/>
    <w:rsid w:val="00A91ECE"/>
    <w:rsid w:val="00A92534"/>
    <w:rsid w:val="00A96FE5"/>
    <w:rsid w:val="00A9746C"/>
    <w:rsid w:val="00AA0A3B"/>
    <w:rsid w:val="00AA1158"/>
    <w:rsid w:val="00AA2A0C"/>
    <w:rsid w:val="00AA2E29"/>
    <w:rsid w:val="00AA4B76"/>
    <w:rsid w:val="00AA7CC9"/>
    <w:rsid w:val="00AB1559"/>
    <w:rsid w:val="00AC28EB"/>
    <w:rsid w:val="00AC500C"/>
    <w:rsid w:val="00AC53CE"/>
    <w:rsid w:val="00AD2193"/>
    <w:rsid w:val="00AD7A76"/>
    <w:rsid w:val="00AE0C1E"/>
    <w:rsid w:val="00AE49AA"/>
    <w:rsid w:val="00AE7B20"/>
    <w:rsid w:val="00AF2AC7"/>
    <w:rsid w:val="00AF2CC5"/>
    <w:rsid w:val="00AF5CD7"/>
    <w:rsid w:val="00AF64F9"/>
    <w:rsid w:val="00B04968"/>
    <w:rsid w:val="00B06939"/>
    <w:rsid w:val="00B069B8"/>
    <w:rsid w:val="00B10813"/>
    <w:rsid w:val="00B1269E"/>
    <w:rsid w:val="00B1345A"/>
    <w:rsid w:val="00B136C3"/>
    <w:rsid w:val="00B1453F"/>
    <w:rsid w:val="00B179CF"/>
    <w:rsid w:val="00B208DB"/>
    <w:rsid w:val="00B23F69"/>
    <w:rsid w:val="00B266E3"/>
    <w:rsid w:val="00B40790"/>
    <w:rsid w:val="00B425FC"/>
    <w:rsid w:val="00B4282C"/>
    <w:rsid w:val="00B45D8E"/>
    <w:rsid w:val="00B47504"/>
    <w:rsid w:val="00B504FC"/>
    <w:rsid w:val="00B5290B"/>
    <w:rsid w:val="00B54A94"/>
    <w:rsid w:val="00B575E2"/>
    <w:rsid w:val="00B57D34"/>
    <w:rsid w:val="00B601BC"/>
    <w:rsid w:val="00B60619"/>
    <w:rsid w:val="00B60623"/>
    <w:rsid w:val="00B6064D"/>
    <w:rsid w:val="00B66453"/>
    <w:rsid w:val="00B66840"/>
    <w:rsid w:val="00B67366"/>
    <w:rsid w:val="00B705F2"/>
    <w:rsid w:val="00B715D7"/>
    <w:rsid w:val="00B71ACD"/>
    <w:rsid w:val="00B72BEA"/>
    <w:rsid w:val="00B74CFF"/>
    <w:rsid w:val="00B768C1"/>
    <w:rsid w:val="00B80618"/>
    <w:rsid w:val="00B80EE1"/>
    <w:rsid w:val="00B828BB"/>
    <w:rsid w:val="00B85C88"/>
    <w:rsid w:val="00B86752"/>
    <w:rsid w:val="00B9007E"/>
    <w:rsid w:val="00BA2248"/>
    <w:rsid w:val="00BA7A54"/>
    <w:rsid w:val="00BB02AA"/>
    <w:rsid w:val="00BC251C"/>
    <w:rsid w:val="00BC54FB"/>
    <w:rsid w:val="00BC6D95"/>
    <w:rsid w:val="00BC7241"/>
    <w:rsid w:val="00BC764F"/>
    <w:rsid w:val="00BD423F"/>
    <w:rsid w:val="00BD6EAA"/>
    <w:rsid w:val="00BD71A9"/>
    <w:rsid w:val="00BD7243"/>
    <w:rsid w:val="00BD733A"/>
    <w:rsid w:val="00BD765F"/>
    <w:rsid w:val="00BE094F"/>
    <w:rsid w:val="00BE0EF4"/>
    <w:rsid w:val="00BE6405"/>
    <w:rsid w:val="00BE7927"/>
    <w:rsid w:val="00BE7C3E"/>
    <w:rsid w:val="00BF57A3"/>
    <w:rsid w:val="00BF7762"/>
    <w:rsid w:val="00C00D28"/>
    <w:rsid w:val="00C03061"/>
    <w:rsid w:val="00C04D34"/>
    <w:rsid w:val="00C06533"/>
    <w:rsid w:val="00C07308"/>
    <w:rsid w:val="00C07501"/>
    <w:rsid w:val="00C11457"/>
    <w:rsid w:val="00C11DB2"/>
    <w:rsid w:val="00C15E74"/>
    <w:rsid w:val="00C22F5F"/>
    <w:rsid w:val="00C23D8D"/>
    <w:rsid w:val="00C262FA"/>
    <w:rsid w:val="00C30BA7"/>
    <w:rsid w:val="00C3215F"/>
    <w:rsid w:val="00C37AA3"/>
    <w:rsid w:val="00C43419"/>
    <w:rsid w:val="00C44CF3"/>
    <w:rsid w:val="00C4730E"/>
    <w:rsid w:val="00C5146E"/>
    <w:rsid w:val="00C52A08"/>
    <w:rsid w:val="00C55115"/>
    <w:rsid w:val="00C55B4A"/>
    <w:rsid w:val="00C60407"/>
    <w:rsid w:val="00C641FB"/>
    <w:rsid w:val="00C70B0E"/>
    <w:rsid w:val="00C75DDD"/>
    <w:rsid w:val="00C7748C"/>
    <w:rsid w:val="00C77F3A"/>
    <w:rsid w:val="00C80F93"/>
    <w:rsid w:val="00C82BC3"/>
    <w:rsid w:val="00C83785"/>
    <w:rsid w:val="00C84A3B"/>
    <w:rsid w:val="00C909E8"/>
    <w:rsid w:val="00C91A9D"/>
    <w:rsid w:val="00C9229A"/>
    <w:rsid w:val="00C94C0D"/>
    <w:rsid w:val="00C965C2"/>
    <w:rsid w:val="00C978BD"/>
    <w:rsid w:val="00CA1B9E"/>
    <w:rsid w:val="00CA6020"/>
    <w:rsid w:val="00CA6DE8"/>
    <w:rsid w:val="00CC71E8"/>
    <w:rsid w:val="00CD3413"/>
    <w:rsid w:val="00CD3630"/>
    <w:rsid w:val="00CD4F85"/>
    <w:rsid w:val="00CD6F02"/>
    <w:rsid w:val="00CE246D"/>
    <w:rsid w:val="00CE51B7"/>
    <w:rsid w:val="00CF07A0"/>
    <w:rsid w:val="00CF3AE7"/>
    <w:rsid w:val="00CF4567"/>
    <w:rsid w:val="00CF570F"/>
    <w:rsid w:val="00D0082A"/>
    <w:rsid w:val="00D0102F"/>
    <w:rsid w:val="00D12B08"/>
    <w:rsid w:val="00D22313"/>
    <w:rsid w:val="00D23515"/>
    <w:rsid w:val="00D253DC"/>
    <w:rsid w:val="00D26F1A"/>
    <w:rsid w:val="00D32368"/>
    <w:rsid w:val="00D354FE"/>
    <w:rsid w:val="00D4218F"/>
    <w:rsid w:val="00D43FC5"/>
    <w:rsid w:val="00D47435"/>
    <w:rsid w:val="00D545C6"/>
    <w:rsid w:val="00D54655"/>
    <w:rsid w:val="00D5489C"/>
    <w:rsid w:val="00D60FE7"/>
    <w:rsid w:val="00D61EFE"/>
    <w:rsid w:val="00D65577"/>
    <w:rsid w:val="00D709B3"/>
    <w:rsid w:val="00D71C05"/>
    <w:rsid w:val="00D72439"/>
    <w:rsid w:val="00D7595D"/>
    <w:rsid w:val="00D819A7"/>
    <w:rsid w:val="00D8323E"/>
    <w:rsid w:val="00D861A3"/>
    <w:rsid w:val="00D94101"/>
    <w:rsid w:val="00D949D9"/>
    <w:rsid w:val="00D9583E"/>
    <w:rsid w:val="00D95B05"/>
    <w:rsid w:val="00DA2ED6"/>
    <w:rsid w:val="00DB1D6A"/>
    <w:rsid w:val="00DB30EA"/>
    <w:rsid w:val="00DB76B8"/>
    <w:rsid w:val="00DB7D6A"/>
    <w:rsid w:val="00DC1D76"/>
    <w:rsid w:val="00DC2EA1"/>
    <w:rsid w:val="00DC4E23"/>
    <w:rsid w:val="00DD165C"/>
    <w:rsid w:val="00DD5B5E"/>
    <w:rsid w:val="00DD6AAF"/>
    <w:rsid w:val="00DD6EDB"/>
    <w:rsid w:val="00DE0466"/>
    <w:rsid w:val="00DE19A5"/>
    <w:rsid w:val="00DE2A21"/>
    <w:rsid w:val="00DE3F5C"/>
    <w:rsid w:val="00DE75DF"/>
    <w:rsid w:val="00DF14DA"/>
    <w:rsid w:val="00DF1D20"/>
    <w:rsid w:val="00DF4BC6"/>
    <w:rsid w:val="00DF54D6"/>
    <w:rsid w:val="00DF66CD"/>
    <w:rsid w:val="00E001C8"/>
    <w:rsid w:val="00E01B47"/>
    <w:rsid w:val="00E01DE2"/>
    <w:rsid w:val="00E02F2A"/>
    <w:rsid w:val="00E10EEE"/>
    <w:rsid w:val="00E15E70"/>
    <w:rsid w:val="00E163FF"/>
    <w:rsid w:val="00E21781"/>
    <w:rsid w:val="00E22374"/>
    <w:rsid w:val="00E223E7"/>
    <w:rsid w:val="00E22A24"/>
    <w:rsid w:val="00E246B9"/>
    <w:rsid w:val="00E30604"/>
    <w:rsid w:val="00E32096"/>
    <w:rsid w:val="00E34B45"/>
    <w:rsid w:val="00E36C30"/>
    <w:rsid w:val="00E430F2"/>
    <w:rsid w:val="00E45169"/>
    <w:rsid w:val="00E4657A"/>
    <w:rsid w:val="00E47787"/>
    <w:rsid w:val="00E47D47"/>
    <w:rsid w:val="00E500A3"/>
    <w:rsid w:val="00E505AF"/>
    <w:rsid w:val="00E50F26"/>
    <w:rsid w:val="00E51C30"/>
    <w:rsid w:val="00E52300"/>
    <w:rsid w:val="00E63B02"/>
    <w:rsid w:val="00E64180"/>
    <w:rsid w:val="00E6791A"/>
    <w:rsid w:val="00E70B0B"/>
    <w:rsid w:val="00E71ED6"/>
    <w:rsid w:val="00E74AEE"/>
    <w:rsid w:val="00E80EA9"/>
    <w:rsid w:val="00E821EC"/>
    <w:rsid w:val="00E868E5"/>
    <w:rsid w:val="00E87685"/>
    <w:rsid w:val="00E90E7F"/>
    <w:rsid w:val="00E9237A"/>
    <w:rsid w:val="00E92D6B"/>
    <w:rsid w:val="00E9313F"/>
    <w:rsid w:val="00E9376C"/>
    <w:rsid w:val="00E939FA"/>
    <w:rsid w:val="00E952ED"/>
    <w:rsid w:val="00E979AF"/>
    <w:rsid w:val="00EA4A30"/>
    <w:rsid w:val="00EA5765"/>
    <w:rsid w:val="00EA60B3"/>
    <w:rsid w:val="00EA6A9F"/>
    <w:rsid w:val="00EB20EF"/>
    <w:rsid w:val="00EB2C36"/>
    <w:rsid w:val="00EB2D8C"/>
    <w:rsid w:val="00EB3A8E"/>
    <w:rsid w:val="00EB52E0"/>
    <w:rsid w:val="00EB6E20"/>
    <w:rsid w:val="00EC192B"/>
    <w:rsid w:val="00EC24AF"/>
    <w:rsid w:val="00EC2532"/>
    <w:rsid w:val="00EC36EE"/>
    <w:rsid w:val="00EC7C9D"/>
    <w:rsid w:val="00ED2CE5"/>
    <w:rsid w:val="00ED4A67"/>
    <w:rsid w:val="00ED5709"/>
    <w:rsid w:val="00ED7812"/>
    <w:rsid w:val="00EE152F"/>
    <w:rsid w:val="00EE1A59"/>
    <w:rsid w:val="00EE4F4F"/>
    <w:rsid w:val="00EF3B86"/>
    <w:rsid w:val="00F0051E"/>
    <w:rsid w:val="00F0319A"/>
    <w:rsid w:val="00F05BA0"/>
    <w:rsid w:val="00F07CB8"/>
    <w:rsid w:val="00F07D44"/>
    <w:rsid w:val="00F07EF8"/>
    <w:rsid w:val="00F22412"/>
    <w:rsid w:val="00F227EA"/>
    <w:rsid w:val="00F30E8C"/>
    <w:rsid w:val="00F32087"/>
    <w:rsid w:val="00F3214B"/>
    <w:rsid w:val="00F34554"/>
    <w:rsid w:val="00F3544D"/>
    <w:rsid w:val="00F36719"/>
    <w:rsid w:val="00F36EBA"/>
    <w:rsid w:val="00F45F77"/>
    <w:rsid w:val="00F476E6"/>
    <w:rsid w:val="00F50D84"/>
    <w:rsid w:val="00F514E7"/>
    <w:rsid w:val="00F5167F"/>
    <w:rsid w:val="00F52258"/>
    <w:rsid w:val="00F55B3B"/>
    <w:rsid w:val="00F622E7"/>
    <w:rsid w:val="00F63E61"/>
    <w:rsid w:val="00F64846"/>
    <w:rsid w:val="00F64E59"/>
    <w:rsid w:val="00F70336"/>
    <w:rsid w:val="00F7195A"/>
    <w:rsid w:val="00F7318B"/>
    <w:rsid w:val="00F7556D"/>
    <w:rsid w:val="00F8366E"/>
    <w:rsid w:val="00F8570A"/>
    <w:rsid w:val="00F868C5"/>
    <w:rsid w:val="00F937A6"/>
    <w:rsid w:val="00F97874"/>
    <w:rsid w:val="00FA209E"/>
    <w:rsid w:val="00FA2B43"/>
    <w:rsid w:val="00FB18D3"/>
    <w:rsid w:val="00FB259B"/>
    <w:rsid w:val="00FB4711"/>
    <w:rsid w:val="00FB6791"/>
    <w:rsid w:val="00FC3BA3"/>
    <w:rsid w:val="00FC5377"/>
    <w:rsid w:val="00FC6279"/>
    <w:rsid w:val="00FE0ABD"/>
    <w:rsid w:val="00FE4160"/>
    <w:rsid w:val="00FE4E1F"/>
    <w:rsid w:val="00FF3D6A"/>
    <w:rsid w:val="00FF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D30FA"/>
  <w15:docId w15:val="{D9D11A68-3D24-426B-AFF3-6D2E37A0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828"/>
    <w:rPr>
      <w:sz w:val="24"/>
      <w:szCs w:val="24"/>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rPr>
      <w:lang w:val="x-none"/>
    </w:r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rPr>
  </w:style>
  <w:style w:type="character" w:customStyle="1" w:styleId="HeaderChar">
    <w:name w:val="Header Char"/>
    <w:link w:val="Header"/>
    <w:uiPriority w:val="99"/>
    <w:rsid w:val="00E71ED6"/>
    <w:rPr>
      <w:sz w:val="24"/>
      <w:szCs w:val="24"/>
      <w:lang w:eastAsia="en-US"/>
    </w:rPr>
  </w:style>
  <w:style w:type="paragraph" w:customStyle="1" w:styleId="C-BodyText">
    <w:name w:val="C-Body Text"/>
    <w:link w:val="C-BodyTextChar"/>
    <w:rsid w:val="00AA7CC9"/>
    <w:pPr>
      <w:spacing w:before="120" w:after="120" w:line="280" w:lineRule="atLeast"/>
    </w:pPr>
    <w:rPr>
      <w:sz w:val="24"/>
      <w:lang w:val="sr-Latn-ME"/>
    </w:rPr>
  </w:style>
  <w:style w:type="paragraph" w:customStyle="1" w:styleId="C-TableHeader">
    <w:name w:val="C-Table Header"/>
    <w:next w:val="C-TableText"/>
    <w:link w:val="C-TableHeaderChar"/>
    <w:rsid w:val="00AA7CC9"/>
    <w:pPr>
      <w:keepNext/>
      <w:spacing w:before="60" w:after="60"/>
    </w:pPr>
    <w:rPr>
      <w:b/>
      <w:sz w:val="22"/>
      <w:lang w:val="sr-Latn-ME"/>
    </w:rPr>
  </w:style>
  <w:style w:type="paragraph" w:customStyle="1" w:styleId="C-TableText">
    <w:name w:val="C-Table Text"/>
    <w:link w:val="C-TableTextChar"/>
    <w:rsid w:val="00AA7CC9"/>
    <w:pPr>
      <w:spacing w:before="60" w:after="60"/>
    </w:pPr>
    <w:rPr>
      <w:sz w:val="22"/>
      <w:lang w:val="sr-Latn-ME"/>
    </w:rPr>
  </w:style>
  <w:style w:type="character" w:customStyle="1" w:styleId="C-BodyTextChar">
    <w:name w:val="C-Body Text Char"/>
    <w:link w:val="C-BodyText"/>
    <w:rsid w:val="00AA7CC9"/>
    <w:rPr>
      <w:sz w:val="24"/>
      <w:lang w:eastAsia="en-US" w:bidi="ar-SA"/>
    </w:rPr>
  </w:style>
  <w:style w:type="character" w:customStyle="1" w:styleId="C-TableTextChar">
    <w:name w:val="C-Table Text Char"/>
    <w:link w:val="C-TableText"/>
    <w:rsid w:val="00AA7CC9"/>
    <w:rPr>
      <w:sz w:val="22"/>
      <w:lang w:eastAsia="en-US" w:bidi="ar-SA"/>
    </w:rPr>
  </w:style>
  <w:style w:type="character" w:customStyle="1" w:styleId="C-TableCallout">
    <w:name w:val="C-Table Callout"/>
    <w:rsid w:val="00AA7CC9"/>
    <w:rPr>
      <w:rFonts w:ascii="Times New Roman" w:hAnsi="Times New Roman"/>
      <w:dstrike w:val="0"/>
      <w:color w:val="auto"/>
      <w:spacing w:val="0"/>
      <w:w w:val="100"/>
      <w:position w:val="0"/>
      <w:sz w:val="22"/>
      <w:szCs w:val="22"/>
      <w:u w:val="none"/>
      <w:effect w:val="none"/>
      <w:vertAlign w:val="superscript"/>
      <w:em w:val="none"/>
    </w:rPr>
  </w:style>
  <w:style w:type="character" w:customStyle="1" w:styleId="C-TableHeaderChar">
    <w:name w:val="C-Table Header Char"/>
    <w:link w:val="C-TableHeader"/>
    <w:rsid w:val="00AA7CC9"/>
    <w:rPr>
      <w:b/>
      <w:sz w:val="22"/>
      <w:lang w:eastAsia="en-US" w:bidi="ar-SA"/>
    </w:rPr>
  </w:style>
  <w:style w:type="character" w:styleId="Hyperlink">
    <w:name w:val="Hyperlink"/>
    <w:basedOn w:val="DefaultParagraphFont"/>
    <w:unhideWhenUsed/>
    <w:rsid w:val="004B2A39"/>
    <w:rPr>
      <w:color w:val="0563C1" w:themeColor="hyperlink"/>
      <w:u w:val="single"/>
    </w:rPr>
  </w:style>
  <w:style w:type="paragraph" w:styleId="Revision">
    <w:name w:val="Revision"/>
    <w:hidden/>
    <w:uiPriority w:val="99"/>
    <w:semiHidden/>
    <w:rsid w:val="001467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042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1BB19-CB04-452E-8457-1E3D09872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11373</Words>
  <Characters>64829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76050</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Nađa Mugoša</cp:lastModifiedBy>
  <cp:revision>11</cp:revision>
  <cp:lastPrinted>2023-03-08T11:12:00Z</cp:lastPrinted>
  <dcterms:created xsi:type="dcterms:W3CDTF">2025-05-16T17:42:00Z</dcterms:created>
  <dcterms:modified xsi:type="dcterms:W3CDTF">2025-06-25T11:06:00Z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