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6DE35" w14:textId="77777777" w:rsidR="002510A5" w:rsidRPr="002510A5" w:rsidRDefault="002510A5" w:rsidP="00EB3350">
      <w:pPr>
        <w:jc w:val="both"/>
        <w:rPr>
          <w:b/>
          <w:bCs/>
          <w:i/>
          <w:iCs/>
          <w:sz w:val="22"/>
          <w:szCs w:val="22"/>
          <w:u w:val="single"/>
        </w:rPr>
      </w:pPr>
    </w:p>
    <w:tbl>
      <w:tblPr>
        <w:tblW w:w="9360" w:type="dxa"/>
        <w:jc w:val="center"/>
        <w:tblLayout w:type="fixed"/>
        <w:tblLook w:val="0000" w:firstRow="0" w:lastRow="0" w:firstColumn="0" w:lastColumn="0" w:noHBand="0" w:noVBand="0"/>
      </w:tblPr>
      <w:tblGrid>
        <w:gridCol w:w="9360"/>
      </w:tblGrid>
      <w:tr w:rsidR="0083687B" w:rsidRPr="0083687B" w14:paraId="00843844" w14:textId="77777777" w:rsidTr="0088568A">
        <w:trPr>
          <w:trHeight w:val="530"/>
          <w:jc w:val="center"/>
        </w:trPr>
        <w:tc>
          <w:tcPr>
            <w:tcW w:w="9360" w:type="dxa"/>
            <w:vAlign w:val="center"/>
          </w:tcPr>
          <w:p w14:paraId="1ED22FE5" w14:textId="77777777" w:rsidR="0083687B" w:rsidRPr="0083687B" w:rsidRDefault="0083687B" w:rsidP="00730D96">
            <w:pPr>
              <w:jc w:val="both"/>
              <w:rPr>
                <w:b/>
                <w:bCs/>
                <w:iCs/>
                <w:sz w:val="22"/>
                <w:szCs w:val="22"/>
                <w:u w:val="single"/>
                <w:lang w:val="sr-Latn-ME"/>
              </w:rPr>
            </w:pPr>
            <w:r w:rsidRPr="0083687B">
              <w:rPr>
                <w:rFonts w:eastAsiaTheme="minorHAnsi"/>
                <w:sz w:val="22"/>
                <w:szCs w:val="22"/>
              </w:rPr>
              <w:t xml:space="preserve"> </w:t>
            </w:r>
            <w:r w:rsidRPr="0083687B">
              <w:rPr>
                <w:b/>
                <w:bCs/>
                <w:iCs/>
                <w:sz w:val="22"/>
                <w:szCs w:val="22"/>
                <w:lang w:val="sr-Latn-ME"/>
              </w:rPr>
              <w:t xml:space="preserve">                                          </w:t>
            </w:r>
            <w:r w:rsidRPr="0083687B">
              <w:rPr>
                <w:b/>
                <w:bCs/>
                <w:iCs/>
                <w:sz w:val="22"/>
                <w:szCs w:val="22"/>
                <w:u w:val="single"/>
                <w:lang w:val="sr-Latn-ME"/>
              </w:rPr>
              <w:t>SAŽETAK KARAKTERISTIKA LIJEKA</w:t>
            </w:r>
          </w:p>
        </w:tc>
      </w:tr>
    </w:tbl>
    <w:p w14:paraId="6B6F3489" w14:textId="77777777" w:rsidR="0083687B" w:rsidRPr="0083687B" w:rsidRDefault="0083687B" w:rsidP="00730D96">
      <w:pPr>
        <w:tabs>
          <w:tab w:val="left" w:pos="540"/>
          <w:tab w:val="left" w:pos="569"/>
        </w:tabs>
        <w:jc w:val="both"/>
        <w:rPr>
          <w:b/>
          <w:bCs/>
          <w:sz w:val="22"/>
          <w:szCs w:val="22"/>
          <w:lang w:val="sr-Latn-ME"/>
        </w:rPr>
      </w:pPr>
    </w:p>
    <w:p w14:paraId="243F4F94"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1.</w:t>
      </w:r>
      <w:r w:rsidRPr="0083687B">
        <w:rPr>
          <w:b/>
          <w:bCs/>
          <w:sz w:val="22"/>
          <w:szCs w:val="22"/>
          <w:lang w:val="sr-Latn-ME"/>
        </w:rPr>
        <w:tab/>
        <w:t>NAZIV LIJEKA</w:t>
      </w:r>
    </w:p>
    <w:p w14:paraId="2BDC9DAF" w14:textId="77777777" w:rsidR="0083687B" w:rsidRPr="0083687B" w:rsidRDefault="0083687B">
      <w:pPr>
        <w:jc w:val="both"/>
        <w:rPr>
          <w:sz w:val="22"/>
          <w:szCs w:val="22"/>
          <w:lang w:val="sr-Latn-ME"/>
        </w:rPr>
      </w:pPr>
    </w:p>
    <w:p w14:paraId="499A0FE6" w14:textId="57354FB4" w:rsidR="0083687B" w:rsidRPr="0083687B" w:rsidRDefault="0083687B">
      <w:pPr>
        <w:widowControl w:val="0"/>
        <w:autoSpaceDE w:val="0"/>
        <w:autoSpaceDN w:val="0"/>
        <w:adjustRightInd w:val="0"/>
        <w:jc w:val="both"/>
        <w:rPr>
          <w:color w:val="000000"/>
          <w:sz w:val="22"/>
          <w:szCs w:val="22"/>
        </w:rPr>
      </w:pPr>
      <w:r w:rsidRPr="0083687B">
        <w:rPr>
          <w:color w:val="000000"/>
          <w:sz w:val="22"/>
          <w:szCs w:val="22"/>
        </w:rPr>
        <w:t>Humira, 20 mg /0.2 ml, rastvor za injekciju u napunjenom injekcionom špricu</w:t>
      </w:r>
    </w:p>
    <w:p w14:paraId="3660D5C7" w14:textId="77777777" w:rsidR="0083687B" w:rsidRPr="0083687B" w:rsidRDefault="0083687B">
      <w:pPr>
        <w:widowControl w:val="0"/>
        <w:autoSpaceDE w:val="0"/>
        <w:autoSpaceDN w:val="0"/>
        <w:adjustRightInd w:val="0"/>
        <w:jc w:val="both"/>
        <w:rPr>
          <w:sz w:val="22"/>
          <w:szCs w:val="22"/>
        </w:rPr>
      </w:pPr>
    </w:p>
    <w:p w14:paraId="3BF60A5C" w14:textId="77777777" w:rsidR="0083687B" w:rsidRPr="0083687B" w:rsidRDefault="0083687B">
      <w:pPr>
        <w:jc w:val="both"/>
        <w:rPr>
          <w:sz w:val="22"/>
          <w:szCs w:val="22"/>
          <w:lang w:val="sr-Latn-ME"/>
        </w:rPr>
      </w:pPr>
      <w:r w:rsidRPr="0083687B">
        <w:rPr>
          <w:sz w:val="22"/>
          <w:szCs w:val="22"/>
          <w:lang w:val="sr-Latn-ME"/>
        </w:rPr>
        <w:t>INN:</w:t>
      </w:r>
      <w:r w:rsidRPr="0083687B">
        <w:rPr>
          <w:i/>
          <w:sz w:val="22"/>
          <w:szCs w:val="22"/>
          <w:lang w:val="sr-Latn-ME"/>
        </w:rPr>
        <w:t xml:space="preserve"> adalimumab</w:t>
      </w:r>
    </w:p>
    <w:p w14:paraId="68F847CE" w14:textId="77777777" w:rsidR="0083687B" w:rsidRPr="0083687B" w:rsidRDefault="0083687B">
      <w:pPr>
        <w:jc w:val="both"/>
        <w:rPr>
          <w:bCs/>
          <w:sz w:val="22"/>
          <w:szCs w:val="22"/>
          <w:lang w:val="sr-Latn-ME"/>
        </w:rPr>
      </w:pPr>
    </w:p>
    <w:p w14:paraId="17E7A89E" w14:textId="77777777" w:rsidR="0083687B" w:rsidRPr="0083687B" w:rsidRDefault="0083687B">
      <w:pPr>
        <w:jc w:val="both"/>
        <w:rPr>
          <w:bCs/>
          <w:sz w:val="22"/>
          <w:szCs w:val="22"/>
          <w:lang w:val="sr-Latn-ME"/>
        </w:rPr>
      </w:pPr>
    </w:p>
    <w:p w14:paraId="2D3C75C3"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2. </w:t>
      </w:r>
      <w:r w:rsidRPr="0083687B">
        <w:rPr>
          <w:b/>
          <w:bCs/>
          <w:sz w:val="22"/>
          <w:szCs w:val="22"/>
          <w:lang w:val="sr-Latn-ME"/>
        </w:rPr>
        <w:tab/>
        <w:t>KVALITATIVNI I KVANTITATIVNI SASTAV</w:t>
      </w:r>
    </w:p>
    <w:p w14:paraId="037E94CF" w14:textId="77777777" w:rsidR="0083687B" w:rsidRPr="0083687B" w:rsidRDefault="0083687B">
      <w:pPr>
        <w:jc w:val="both"/>
        <w:rPr>
          <w:sz w:val="22"/>
          <w:szCs w:val="22"/>
          <w:lang w:val="sr-Latn-ME"/>
        </w:rPr>
      </w:pPr>
    </w:p>
    <w:p w14:paraId="2A1F69F2"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Jedan napunjeni špric </w:t>
      </w:r>
      <w:proofErr w:type="gramStart"/>
      <w:r w:rsidRPr="0083687B">
        <w:rPr>
          <w:sz w:val="22"/>
          <w:szCs w:val="22"/>
        </w:rPr>
        <w:t>sa</w:t>
      </w:r>
      <w:proofErr w:type="gramEnd"/>
      <w:r w:rsidRPr="0083687B">
        <w:rPr>
          <w:sz w:val="22"/>
          <w:szCs w:val="22"/>
        </w:rPr>
        <w:t xml:space="preserve"> jednokratnom dozom od 0.2 ml sadrži 20 mg adalimumaba. </w:t>
      </w:r>
    </w:p>
    <w:p w14:paraId="12302ADB" w14:textId="77777777" w:rsidR="0083687B" w:rsidRPr="0083687B" w:rsidRDefault="0083687B">
      <w:pPr>
        <w:widowControl w:val="0"/>
        <w:autoSpaceDE w:val="0"/>
        <w:autoSpaceDN w:val="0"/>
        <w:adjustRightInd w:val="0"/>
        <w:jc w:val="both"/>
        <w:rPr>
          <w:sz w:val="22"/>
          <w:szCs w:val="22"/>
        </w:rPr>
      </w:pPr>
    </w:p>
    <w:p w14:paraId="5CE8C10A"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Adalimumab je rekombinantno humano monoklonsko antitijelo, dobijeno iz ćelija jajnika kineskog hrčka. </w:t>
      </w:r>
    </w:p>
    <w:p w14:paraId="68428049"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 </w:t>
      </w:r>
    </w:p>
    <w:p w14:paraId="5A4060B0" w14:textId="77777777" w:rsidR="0083687B" w:rsidRPr="0083687B" w:rsidRDefault="0083687B">
      <w:pPr>
        <w:jc w:val="both"/>
        <w:rPr>
          <w:sz w:val="22"/>
          <w:szCs w:val="22"/>
          <w:lang w:val="sr-Latn-CS"/>
        </w:rPr>
      </w:pPr>
      <w:r w:rsidRPr="0083687B">
        <w:rPr>
          <w:sz w:val="22"/>
          <w:szCs w:val="22"/>
          <w:lang w:val="sr-Latn-CS"/>
        </w:rPr>
        <w:t>Za spisak svih ekscipijenasa, pogledati dio 6.1.</w:t>
      </w:r>
    </w:p>
    <w:p w14:paraId="72CA168D" w14:textId="77777777" w:rsidR="0083687B" w:rsidRPr="0083687B" w:rsidRDefault="0083687B">
      <w:pPr>
        <w:jc w:val="both"/>
        <w:rPr>
          <w:sz w:val="22"/>
          <w:szCs w:val="22"/>
          <w:lang w:val="sr-Latn-ME"/>
        </w:rPr>
      </w:pPr>
    </w:p>
    <w:p w14:paraId="4DD01E86" w14:textId="77777777" w:rsidR="0083687B" w:rsidRPr="0083687B" w:rsidRDefault="0083687B">
      <w:pPr>
        <w:jc w:val="both"/>
        <w:rPr>
          <w:sz w:val="22"/>
          <w:szCs w:val="22"/>
          <w:lang w:val="sr-Latn-ME"/>
        </w:rPr>
      </w:pPr>
    </w:p>
    <w:p w14:paraId="442FEBE5"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3. </w:t>
      </w:r>
      <w:r w:rsidRPr="0083687B">
        <w:rPr>
          <w:b/>
          <w:bCs/>
          <w:sz w:val="22"/>
          <w:szCs w:val="22"/>
          <w:lang w:val="sr-Latn-ME"/>
        </w:rPr>
        <w:tab/>
        <w:t>FARMACEUTSKI OBLIK</w:t>
      </w:r>
    </w:p>
    <w:p w14:paraId="7D799BA3" w14:textId="77777777" w:rsidR="0083687B" w:rsidRPr="0083687B" w:rsidRDefault="0083687B">
      <w:pPr>
        <w:jc w:val="both"/>
        <w:rPr>
          <w:bCs/>
          <w:sz w:val="22"/>
          <w:szCs w:val="22"/>
          <w:lang w:val="sr-Latn-ME"/>
        </w:rPr>
      </w:pPr>
    </w:p>
    <w:p w14:paraId="3D54A830" w14:textId="77777777" w:rsidR="0083687B" w:rsidRPr="0083687B" w:rsidRDefault="0083687B">
      <w:pPr>
        <w:jc w:val="both"/>
        <w:rPr>
          <w:bCs/>
          <w:sz w:val="22"/>
          <w:szCs w:val="22"/>
          <w:lang w:val="sr-Latn-ME"/>
        </w:rPr>
      </w:pPr>
      <w:r w:rsidRPr="0083687B">
        <w:rPr>
          <w:bCs/>
          <w:sz w:val="22"/>
          <w:szCs w:val="22"/>
          <w:lang w:val="sr-Latn-ME"/>
        </w:rPr>
        <w:t>Rastvor za injekciju u napunjenom injekcionom špricu.</w:t>
      </w:r>
    </w:p>
    <w:p w14:paraId="73C50988" w14:textId="77777777" w:rsidR="0083687B" w:rsidRPr="0083687B" w:rsidRDefault="0083687B">
      <w:pPr>
        <w:jc w:val="both"/>
        <w:rPr>
          <w:bCs/>
          <w:sz w:val="22"/>
          <w:szCs w:val="22"/>
          <w:lang w:val="sr-Latn-ME"/>
        </w:rPr>
      </w:pPr>
    </w:p>
    <w:p w14:paraId="690BAD46" w14:textId="77777777" w:rsidR="0083687B" w:rsidRPr="0083687B" w:rsidRDefault="0083687B">
      <w:pPr>
        <w:jc w:val="both"/>
        <w:rPr>
          <w:bCs/>
          <w:sz w:val="22"/>
          <w:szCs w:val="22"/>
          <w:lang w:val="sr-Latn-ME"/>
        </w:rPr>
      </w:pPr>
      <w:r w:rsidRPr="0083687B">
        <w:rPr>
          <w:bCs/>
          <w:sz w:val="22"/>
          <w:szCs w:val="22"/>
          <w:lang w:val="sr-Latn-ME"/>
        </w:rPr>
        <w:t>Bistri, bezbojni rastvor.</w:t>
      </w:r>
    </w:p>
    <w:p w14:paraId="000354D7" w14:textId="77777777" w:rsidR="0083687B" w:rsidRPr="0083687B" w:rsidRDefault="0083687B">
      <w:pPr>
        <w:jc w:val="both"/>
        <w:rPr>
          <w:bCs/>
          <w:sz w:val="22"/>
          <w:szCs w:val="22"/>
          <w:lang w:val="sr-Latn-ME"/>
        </w:rPr>
      </w:pPr>
    </w:p>
    <w:p w14:paraId="1ADA59A1" w14:textId="77777777" w:rsidR="0083687B" w:rsidRPr="0083687B" w:rsidRDefault="0083687B">
      <w:pPr>
        <w:jc w:val="both"/>
        <w:rPr>
          <w:bCs/>
          <w:sz w:val="22"/>
          <w:szCs w:val="22"/>
          <w:lang w:val="sr-Latn-ME"/>
        </w:rPr>
      </w:pPr>
    </w:p>
    <w:p w14:paraId="45AD3EB2"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4. </w:t>
      </w:r>
      <w:r w:rsidRPr="0083687B">
        <w:rPr>
          <w:b/>
          <w:bCs/>
          <w:sz w:val="22"/>
          <w:szCs w:val="22"/>
          <w:lang w:val="sr-Latn-ME"/>
        </w:rPr>
        <w:tab/>
        <w:t>KLINIČKI PODACI</w:t>
      </w:r>
    </w:p>
    <w:p w14:paraId="224B05B9" w14:textId="77777777" w:rsidR="0083687B" w:rsidRPr="0083687B" w:rsidRDefault="0083687B">
      <w:pPr>
        <w:tabs>
          <w:tab w:val="left" w:pos="540"/>
          <w:tab w:val="left" w:pos="569"/>
        </w:tabs>
        <w:jc w:val="both"/>
        <w:rPr>
          <w:bCs/>
          <w:sz w:val="22"/>
          <w:szCs w:val="22"/>
          <w:lang w:val="sr-Latn-ME"/>
        </w:rPr>
      </w:pPr>
    </w:p>
    <w:p w14:paraId="33275E47"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4.1. </w:t>
      </w:r>
      <w:r w:rsidRPr="0083687B">
        <w:rPr>
          <w:b/>
          <w:bCs/>
          <w:sz w:val="22"/>
          <w:szCs w:val="22"/>
          <w:lang w:val="sr-Latn-ME"/>
        </w:rPr>
        <w:tab/>
        <w:t>Terapijske indikacije</w:t>
      </w:r>
    </w:p>
    <w:p w14:paraId="08589BFE" w14:textId="77777777" w:rsidR="0083687B" w:rsidRPr="0083687B" w:rsidRDefault="0083687B">
      <w:pPr>
        <w:tabs>
          <w:tab w:val="left" w:pos="1230"/>
        </w:tabs>
        <w:jc w:val="both"/>
        <w:rPr>
          <w:bCs/>
          <w:sz w:val="22"/>
          <w:szCs w:val="22"/>
          <w:lang w:val="sr-Latn-ME"/>
        </w:rPr>
      </w:pPr>
      <w:r w:rsidRPr="0083687B">
        <w:rPr>
          <w:bCs/>
          <w:sz w:val="22"/>
          <w:szCs w:val="22"/>
          <w:lang w:val="sr-Latn-ME"/>
        </w:rPr>
        <w:tab/>
      </w:r>
    </w:p>
    <w:p w14:paraId="4A651CB7" w14:textId="77777777" w:rsidR="0083687B" w:rsidRPr="0083687B" w:rsidRDefault="0083687B">
      <w:pPr>
        <w:widowControl w:val="0"/>
        <w:autoSpaceDE w:val="0"/>
        <w:autoSpaceDN w:val="0"/>
        <w:adjustRightInd w:val="0"/>
        <w:ind w:left="567" w:hanging="567"/>
        <w:jc w:val="both"/>
        <w:rPr>
          <w:sz w:val="22"/>
          <w:szCs w:val="22"/>
          <w:u w:val="single"/>
        </w:rPr>
      </w:pPr>
      <w:r w:rsidRPr="0083687B">
        <w:rPr>
          <w:sz w:val="22"/>
          <w:szCs w:val="22"/>
          <w:u w:val="single"/>
        </w:rPr>
        <w:t>Juvenilni idiopatski artritis</w:t>
      </w:r>
    </w:p>
    <w:p w14:paraId="240B7039" w14:textId="77777777" w:rsidR="0083687B" w:rsidRPr="0083687B" w:rsidRDefault="0083687B">
      <w:pPr>
        <w:widowControl w:val="0"/>
        <w:autoSpaceDE w:val="0"/>
        <w:autoSpaceDN w:val="0"/>
        <w:adjustRightInd w:val="0"/>
        <w:ind w:left="567" w:hanging="567"/>
        <w:jc w:val="both"/>
        <w:rPr>
          <w:sz w:val="22"/>
          <w:szCs w:val="22"/>
          <w:u w:val="single"/>
        </w:rPr>
      </w:pPr>
    </w:p>
    <w:p w14:paraId="65DD0914" w14:textId="77777777" w:rsidR="0083687B" w:rsidRPr="0083687B" w:rsidRDefault="0083687B">
      <w:pPr>
        <w:widowControl w:val="0"/>
        <w:autoSpaceDE w:val="0"/>
        <w:autoSpaceDN w:val="0"/>
        <w:adjustRightInd w:val="0"/>
        <w:ind w:left="567" w:hanging="567"/>
        <w:jc w:val="both"/>
        <w:rPr>
          <w:i/>
          <w:sz w:val="22"/>
          <w:szCs w:val="22"/>
        </w:rPr>
      </w:pPr>
      <w:r w:rsidRPr="0083687B">
        <w:rPr>
          <w:i/>
          <w:sz w:val="22"/>
          <w:szCs w:val="22"/>
        </w:rPr>
        <w:t>Poliartikularni juvenilni idiopatski artritis</w:t>
      </w:r>
    </w:p>
    <w:p w14:paraId="6BB24451" w14:textId="77777777" w:rsidR="0083687B" w:rsidRPr="0083687B" w:rsidRDefault="0083687B">
      <w:pPr>
        <w:widowControl w:val="0"/>
        <w:autoSpaceDE w:val="0"/>
        <w:autoSpaceDN w:val="0"/>
        <w:adjustRightInd w:val="0"/>
        <w:ind w:left="567" w:hanging="567"/>
        <w:jc w:val="both"/>
        <w:rPr>
          <w:sz w:val="22"/>
          <w:szCs w:val="22"/>
        </w:rPr>
      </w:pPr>
    </w:p>
    <w:p w14:paraId="30F3C187" w14:textId="0F324E33" w:rsidR="0083687B" w:rsidRPr="0083687B" w:rsidRDefault="0083687B">
      <w:pPr>
        <w:widowControl w:val="0"/>
        <w:autoSpaceDE w:val="0"/>
        <w:autoSpaceDN w:val="0"/>
        <w:adjustRightInd w:val="0"/>
        <w:jc w:val="both"/>
        <w:rPr>
          <w:iCs/>
          <w:sz w:val="22"/>
          <w:szCs w:val="22"/>
        </w:rPr>
      </w:pPr>
      <w:r w:rsidRPr="0083687B">
        <w:rPr>
          <w:sz w:val="22"/>
          <w:szCs w:val="22"/>
        </w:rPr>
        <w:t xml:space="preserve">Lijek Humira je, u kombinaciji sa metotreksatom, indikovan za terapiju aktivnog poliartikularnog </w:t>
      </w:r>
      <w:proofErr w:type="gramStart"/>
      <w:r w:rsidRPr="0083687B">
        <w:rPr>
          <w:sz w:val="22"/>
          <w:szCs w:val="22"/>
        </w:rPr>
        <w:t>juvenilnog</w:t>
      </w:r>
      <w:proofErr w:type="gramEnd"/>
      <w:r w:rsidRPr="0083687B">
        <w:rPr>
          <w:sz w:val="22"/>
          <w:szCs w:val="22"/>
        </w:rPr>
        <w:t xml:space="preserve"> idiopatskog artritisa </w:t>
      </w:r>
      <w:r w:rsidRPr="00174FA4">
        <w:rPr>
          <w:sz w:val="22"/>
          <w:szCs w:val="22"/>
        </w:rPr>
        <w:t>kod pacijenata starijih od 2 godine, kod kojih prethodnim</w:t>
      </w:r>
      <w:r w:rsidRPr="0083687B">
        <w:rPr>
          <w:sz w:val="22"/>
          <w:szCs w:val="22"/>
        </w:rPr>
        <w:t xml:space="preserve"> liječenjem </w:t>
      </w:r>
      <w:r w:rsidRPr="0083687B">
        <w:rPr>
          <w:iCs/>
          <w:sz w:val="22"/>
          <w:szCs w:val="22"/>
        </w:rPr>
        <w:t>jednim ili više antireumatika</w:t>
      </w:r>
      <w:r w:rsidRPr="0083687B">
        <w:rPr>
          <w:sz w:val="22"/>
          <w:szCs w:val="22"/>
        </w:rPr>
        <w:t xml:space="preserve"> koji modifikuju tok bolesti (DMARD) nije postignut zadovoljavajući odgovor. Lijek </w:t>
      </w:r>
      <w:r w:rsidRPr="0083687B">
        <w:rPr>
          <w:iCs/>
          <w:sz w:val="22"/>
          <w:szCs w:val="22"/>
        </w:rPr>
        <w:t xml:space="preserve">Humira se može dati kao monoterapija u slučajevima nepodnošenja metotreksata </w:t>
      </w:r>
      <w:proofErr w:type="gramStart"/>
      <w:r w:rsidRPr="0083687B">
        <w:rPr>
          <w:iCs/>
          <w:sz w:val="22"/>
          <w:szCs w:val="22"/>
        </w:rPr>
        <w:t>ili</w:t>
      </w:r>
      <w:proofErr w:type="gramEnd"/>
      <w:r w:rsidRPr="0083687B">
        <w:rPr>
          <w:iCs/>
          <w:sz w:val="22"/>
          <w:szCs w:val="22"/>
        </w:rPr>
        <w:t xml:space="preserve"> kada nastavak terapije metotreksatom nije prikladan (za efikasnost monoterapije, vidjeti </w:t>
      </w:r>
      <w:r w:rsidR="00F167A4">
        <w:rPr>
          <w:iCs/>
          <w:sz w:val="22"/>
          <w:szCs w:val="22"/>
        </w:rPr>
        <w:t xml:space="preserve">dio </w:t>
      </w:r>
      <w:r w:rsidRPr="0083687B">
        <w:rPr>
          <w:iCs/>
          <w:sz w:val="22"/>
          <w:szCs w:val="22"/>
        </w:rPr>
        <w:t xml:space="preserve">5.1). Lijek Humira nije ispitivan kod pacijenata mlađih </w:t>
      </w:r>
      <w:proofErr w:type="gramStart"/>
      <w:r w:rsidRPr="0083687B">
        <w:rPr>
          <w:iCs/>
          <w:sz w:val="22"/>
          <w:szCs w:val="22"/>
        </w:rPr>
        <w:t>od</w:t>
      </w:r>
      <w:proofErr w:type="gramEnd"/>
      <w:r w:rsidRPr="0083687B">
        <w:rPr>
          <w:iCs/>
          <w:sz w:val="22"/>
          <w:szCs w:val="22"/>
        </w:rPr>
        <w:t xml:space="preserve"> 2 godine. </w:t>
      </w:r>
    </w:p>
    <w:p w14:paraId="12541350" w14:textId="77777777" w:rsidR="0083687B" w:rsidRPr="0083687B" w:rsidRDefault="0083687B">
      <w:pPr>
        <w:widowControl w:val="0"/>
        <w:autoSpaceDE w:val="0"/>
        <w:autoSpaceDN w:val="0"/>
        <w:adjustRightInd w:val="0"/>
        <w:jc w:val="both"/>
        <w:rPr>
          <w:i/>
          <w:iCs/>
          <w:sz w:val="22"/>
          <w:szCs w:val="22"/>
        </w:rPr>
      </w:pPr>
    </w:p>
    <w:p w14:paraId="3E75B18A" w14:textId="77777777" w:rsidR="0083687B" w:rsidRPr="0083687B" w:rsidRDefault="0083687B">
      <w:pPr>
        <w:widowControl w:val="0"/>
        <w:autoSpaceDE w:val="0"/>
        <w:autoSpaceDN w:val="0"/>
        <w:adjustRightInd w:val="0"/>
        <w:jc w:val="both"/>
        <w:rPr>
          <w:i/>
          <w:iCs/>
          <w:sz w:val="22"/>
          <w:szCs w:val="22"/>
        </w:rPr>
      </w:pPr>
      <w:r w:rsidRPr="0083687B">
        <w:rPr>
          <w:i/>
          <w:iCs/>
          <w:sz w:val="22"/>
          <w:szCs w:val="22"/>
        </w:rPr>
        <w:t xml:space="preserve">Artritis povezan </w:t>
      </w:r>
      <w:proofErr w:type="gramStart"/>
      <w:r w:rsidRPr="0083687B">
        <w:rPr>
          <w:i/>
          <w:iCs/>
          <w:sz w:val="22"/>
          <w:szCs w:val="22"/>
        </w:rPr>
        <w:t>sa</w:t>
      </w:r>
      <w:proofErr w:type="gramEnd"/>
      <w:r w:rsidRPr="0083687B">
        <w:rPr>
          <w:i/>
          <w:iCs/>
          <w:sz w:val="22"/>
          <w:szCs w:val="22"/>
        </w:rPr>
        <w:t xml:space="preserve"> entezitisom</w:t>
      </w:r>
    </w:p>
    <w:p w14:paraId="4428CDEE" w14:textId="77777777" w:rsidR="0083687B" w:rsidRPr="0083687B" w:rsidRDefault="0083687B">
      <w:pPr>
        <w:widowControl w:val="0"/>
        <w:autoSpaceDE w:val="0"/>
        <w:autoSpaceDN w:val="0"/>
        <w:adjustRightInd w:val="0"/>
        <w:jc w:val="both"/>
        <w:rPr>
          <w:iCs/>
          <w:sz w:val="22"/>
          <w:szCs w:val="22"/>
        </w:rPr>
      </w:pPr>
    </w:p>
    <w:p w14:paraId="6C70F248" w14:textId="38C1A31E" w:rsidR="0083687B" w:rsidRPr="0083687B" w:rsidRDefault="0083687B">
      <w:pPr>
        <w:widowControl w:val="0"/>
        <w:autoSpaceDE w:val="0"/>
        <w:autoSpaceDN w:val="0"/>
        <w:adjustRightInd w:val="0"/>
        <w:jc w:val="both"/>
        <w:rPr>
          <w:iCs/>
          <w:sz w:val="22"/>
          <w:szCs w:val="22"/>
        </w:rPr>
      </w:pPr>
      <w:r w:rsidRPr="0083687B">
        <w:rPr>
          <w:iCs/>
          <w:sz w:val="22"/>
          <w:szCs w:val="22"/>
        </w:rPr>
        <w:t xml:space="preserve">Lijek Humira je indikovan za liječenje aktivnog artritisa povezanog </w:t>
      </w:r>
      <w:proofErr w:type="gramStart"/>
      <w:r w:rsidRPr="0083687B">
        <w:rPr>
          <w:iCs/>
          <w:sz w:val="22"/>
          <w:szCs w:val="22"/>
        </w:rPr>
        <w:t>sa</w:t>
      </w:r>
      <w:proofErr w:type="gramEnd"/>
      <w:r w:rsidRPr="0083687B">
        <w:rPr>
          <w:iCs/>
          <w:sz w:val="22"/>
          <w:szCs w:val="22"/>
        </w:rPr>
        <w:t xml:space="preserve"> entezitisom kod pacijenata starosti od 6 godina i starijih kod kojih nije postignut zadovoljavajući odgovor ili koji su intolerantni na konvencionalnu terapiju (vidjeti </w:t>
      </w:r>
      <w:r w:rsidR="00F167A4">
        <w:rPr>
          <w:iCs/>
          <w:sz w:val="22"/>
          <w:szCs w:val="22"/>
        </w:rPr>
        <w:t>dio</w:t>
      </w:r>
      <w:r w:rsidRPr="0083687B">
        <w:rPr>
          <w:iCs/>
          <w:sz w:val="22"/>
          <w:szCs w:val="22"/>
        </w:rPr>
        <w:t xml:space="preserve"> 5.1).</w:t>
      </w:r>
    </w:p>
    <w:p w14:paraId="440BB7A8" w14:textId="77777777" w:rsidR="0083687B" w:rsidRPr="0083687B" w:rsidRDefault="0083687B">
      <w:pPr>
        <w:widowControl w:val="0"/>
        <w:autoSpaceDE w:val="0"/>
        <w:autoSpaceDN w:val="0"/>
        <w:adjustRightInd w:val="0"/>
        <w:jc w:val="both"/>
        <w:rPr>
          <w:iCs/>
          <w:sz w:val="22"/>
          <w:szCs w:val="22"/>
        </w:rPr>
      </w:pPr>
    </w:p>
    <w:p w14:paraId="1091797B"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Plak psorijaza kod djece</w:t>
      </w:r>
    </w:p>
    <w:p w14:paraId="37EE282B" w14:textId="77777777" w:rsidR="0083687B" w:rsidRPr="0083687B" w:rsidRDefault="0083687B">
      <w:pPr>
        <w:widowControl w:val="0"/>
        <w:autoSpaceDE w:val="0"/>
        <w:autoSpaceDN w:val="0"/>
        <w:adjustRightInd w:val="0"/>
        <w:jc w:val="both"/>
        <w:rPr>
          <w:sz w:val="22"/>
          <w:szCs w:val="22"/>
        </w:rPr>
      </w:pPr>
    </w:p>
    <w:p w14:paraId="4687D436"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Lijek Humira je indikovan za liječenje teške hronične plak psorijaze kod djece i adolescenata starosti </w:t>
      </w:r>
      <w:proofErr w:type="gramStart"/>
      <w:r w:rsidRPr="0083687B">
        <w:rPr>
          <w:sz w:val="22"/>
          <w:szCs w:val="22"/>
        </w:rPr>
        <w:t>od</w:t>
      </w:r>
      <w:proofErr w:type="gramEnd"/>
      <w:r w:rsidRPr="0083687B">
        <w:rPr>
          <w:sz w:val="22"/>
          <w:szCs w:val="22"/>
        </w:rPr>
        <w:t xml:space="preserve"> 4 ili više godina kod kojih nije postignut zadovoljavajući odgovor ili koji nisu prikladni kandidati za topikalnu terapiju i fototerapije.</w:t>
      </w:r>
    </w:p>
    <w:p w14:paraId="63E4E63E" w14:textId="77777777" w:rsidR="0083687B" w:rsidRDefault="0083687B">
      <w:pPr>
        <w:widowControl w:val="0"/>
        <w:autoSpaceDE w:val="0"/>
        <w:autoSpaceDN w:val="0"/>
        <w:adjustRightInd w:val="0"/>
        <w:jc w:val="both"/>
        <w:rPr>
          <w:iCs/>
          <w:sz w:val="22"/>
          <w:szCs w:val="22"/>
        </w:rPr>
      </w:pPr>
    </w:p>
    <w:p w14:paraId="5B710F25" w14:textId="77777777" w:rsidR="00EB3350" w:rsidRPr="0083687B" w:rsidRDefault="00EB3350">
      <w:pPr>
        <w:widowControl w:val="0"/>
        <w:autoSpaceDE w:val="0"/>
        <w:autoSpaceDN w:val="0"/>
        <w:adjustRightInd w:val="0"/>
        <w:jc w:val="both"/>
        <w:rPr>
          <w:iCs/>
          <w:sz w:val="22"/>
          <w:szCs w:val="22"/>
        </w:rPr>
      </w:pPr>
    </w:p>
    <w:p w14:paraId="5F61D56D"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lastRenderedPageBreak/>
        <w:t>Crohn-ova bolest kod djece</w:t>
      </w:r>
    </w:p>
    <w:p w14:paraId="4745AEEF" w14:textId="77777777" w:rsidR="0083687B" w:rsidRPr="0083687B" w:rsidRDefault="0083687B">
      <w:pPr>
        <w:widowControl w:val="0"/>
        <w:autoSpaceDE w:val="0"/>
        <w:autoSpaceDN w:val="0"/>
        <w:adjustRightInd w:val="0"/>
        <w:jc w:val="both"/>
        <w:rPr>
          <w:sz w:val="22"/>
          <w:szCs w:val="22"/>
          <w:u w:val="single"/>
        </w:rPr>
      </w:pPr>
    </w:p>
    <w:p w14:paraId="5754D5B9"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Lijek Humira je indikovan za terapiju umjerenog do teškog oblika aktivne Crohn-ove bolesti kod pedijatrijskih pacijenata (uzrasta </w:t>
      </w:r>
      <w:proofErr w:type="gramStart"/>
      <w:r w:rsidRPr="0083687B">
        <w:rPr>
          <w:sz w:val="22"/>
          <w:szCs w:val="22"/>
        </w:rPr>
        <w:t>od</w:t>
      </w:r>
      <w:proofErr w:type="gramEnd"/>
      <w:r w:rsidRPr="0083687B">
        <w:rPr>
          <w:sz w:val="22"/>
          <w:szCs w:val="22"/>
        </w:rPr>
        <w:t xml:space="preserve"> 6 ili više godina) kod kojih nije postignut zadovoljavajući odgovor na konvencionalnu terapiju, uključujući primarnu nutritivnu terapiju,</w:t>
      </w:r>
      <w:r w:rsidRPr="0083687B">
        <w:rPr>
          <w:color w:val="000000"/>
          <w:sz w:val="22"/>
          <w:szCs w:val="22"/>
        </w:rPr>
        <w:t xml:space="preserve"> </w:t>
      </w:r>
      <w:r w:rsidRPr="0083687B">
        <w:rPr>
          <w:sz w:val="22"/>
          <w:szCs w:val="22"/>
        </w:rPr>
        <w:t>kortikosteroide i/ili imunomodulatore, ili u slučajevima nepodnošenja ili kod kojih postoje kontraindikacije za prethodno navedene terapije.</w:t>
      </w:r>
    </w:p>
    <w:p w14:paraId="6C97FE4F" w14:textId="77777777" w:rsidR="0083687B" w:rsidRPr="0083687B" w:rsidRDefault="0083687B">
      <w:pPr>
        <w:widowControl w:val="0"/>
        <w:autoSpaceDE w:val="0"/>
        <w:autoSpaceDN w:val="0"/>
        <w:adjustRightInd w:val="0"/>
        <w:jc w:val="both"/>
        <w:rPr>
          <w:sz w:val="22"/>
          <w:szCs w:val="22"/>
          <w:lang w:val="sr-Latn-ME"/>
        </w:rPr>
      </w:pPr>
    </w:p>
    <w:p w14:paraId="1E041051" w14:textId="77777777" w:rsidR="0083687B" w:rsidRPr="0083687B" w:rsidRDefault="0083687B">
      <w:pPr>
        <w:widowControl w:val="0"/>
        <w:autoSpaceDE w:val="0"/>
        <w:autoSpaceDN w:val="0"/>
        <w:adjustRightInd w:val="0"/>
        <w:jc w:val="both"/>
        <w:rPr>
          <w:sz w:val="22"/>
          <w:szCs w:val="22"/>
          <w:u w:val="single"/>
          <w:lang w:val="sr-Latn-ME"/>
        </w:rPr>
      </w:pPr>
      <w:r w:rsidRPr="0083687B">
        <w:rPr>
          <w:sz w:val="22"/>
          <w:szCs w:val="22"/>
          <w:u w:val="single"/>
          <w:lang w:val="sr-Latn-ME"/>
        </w:rPr>
        <w:t>Uveitis kod djece</w:t>
      </w:r>
    </w:p>
    <w:p w14:paraId="1CF2B165" w14:textId="77777777" w:rsidR="0083687B" w:rsidRPr="0083687B" w:rsidRDefault="0083687B">
      <w:pPr>
        <w:widowControl w:val="0"/>
        <w:autoSpaceDE w:val="0"/>
        <w:autoSpaceDN w:val="0"/>
        <w:adjustRightInd w:val="0"/>
        <w:jc w:val="both"/>
        <w:rPr>
          <w:sz w:val="22"/>
          <w:szCs w:val="22"/>
          <w:lang w:val="sr-Latn-ME"/>
        </w:rPr>
      </w:pPr>
    </w:p>
    <w:p w14:paraId="258C2B7C" w14:textId="77777777" w:rsidR="0083687B" w:rsidRPr="0083687B" w:rsidRDefault="0083687B">
      <w:pPr>
        <w:widowControl w:val="0"/>
        <w:autoSpaceDE w:val="0"/>
        <w:autoSpaceDN w:val="0"/>
        <w:adjustRightInd w:val="0"/>
        <w:jc w:val="both"/>
        <w:rPr>
          <w:sz w:val="22"/>
          <w:szCs w:val="22"/>
        </w:rPr>
      </w:pPr>
      <w:r w:rsidRPr="0083687B">
        <w:rPr>
          <w:sz w:val="22"/>
          <w:szCs w:val="22"/>
          <w:lang w:val="sr-Latn-ME"/>
        </w:rPr>
        <w:t>Lijek Humira je indikovan za terapiju hroničnog neinfektivnog anteriornog uveitisa kod pedijatrijskih pacijenata uzrasta od 2 i više godina kod kojih nije postignut zadovoljavajući odgovor ili nisu tolerantni na konvencionalnu terapiju, ili kod kojih konvencionalna terapija nije adekvatna.</w:t>
      </w:r>
    </w:p>
    <w:p w14:paraId="0D6D0BF1" w14:textId="77777777" w:rsidR="0083687B" w:rsidRPr="0083687B" w:rsidRDefault="0083687B">
      <w:pPr>
        <w:tabs>
          <w:tab w:val="left" w:pos="1230"/>
        </w:tabs>
        <w:jc w:val="both"/>
        <w:rPr>
          <w:bCs/>
          <w:sz w:val="22"/>
          <w:szCs w:val="22"/>
          <w:lang w:val="sr-Latn-ME"/>
        </w:rPr>
      </w:pPr>
    </w:p>
    <w:p w14:paraId="2B6FD280"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4.2. </w:t>
      </w:r>
      <w:r w:rsidRPr="0083687B">
        <w:rPr>
          <w:b/>
          <w:bCs/>
          <w:sz w:val="22"/>
          <w:szCs w:val="22"/>
          <w:lang w:val="sr-Latn-ME"/>
        </w:rPr>
        <w:tab/>
        <w:t>Doziranje i način primjene</w:t>
      </w:r>
    </w:p>
    <w:p w14:paraId="7BEB49F2" w14:textId="77777777" w:rsidR="0083687B" w:rsidRPr="0083687B" w:rsidRDefault="0083687B">
      <w:pPr>
        <w:tabs>
          <w:tab w:val="left" w:pos="2388"/>
        </w:tabs>
        <w:jc w:val="both"/>
        <w:rPr>
          <w:bCs/>
          <w:sz w:val="22"/>
          <w:szCs w:val="22"/>
          <w:lang w:val="sr-Latn-ME"/>
        </w:rPr>
      </w:pPr>
      <w:r w:rsidRPr="0083687B">
        <w:rPr>
          <w:bCs/>
          <w:sz w:val="22"/>
          <w:szCs w:val="22"/>
          <w:lang w:val="sr-Latn-ME"/>
        </w:rPr>
        <w:tab/>
      </w:r>
    </w:p>
    <w:p w14:paraId="0C80B3C4" w14:textId="779B7C7A" w:rsidR="0083687B" w:rsidRPr="0083687B" w:rsidRDefault="0083687B">
      <w:pPr>
        <w:widowControl w:val="0"/>
        <w:autoSpaceDE w:val="0"/>
        <w:autoSpaceDN w:val="0"/>
        <w:adjustRightInd w:val="0"/>
        <w:jc w:val="both"/>
        <w:rPr>
          <w:sz w:val="22"/>
          <w:szCs w:val="22"/>
        </w:rPr>
      </w:pPr>
      <w:r w:rsidRPr="0083687B">
        <w:rPr>
          <w:sz w:val="22"/>
          <w:szCs w:val="22"/>
        </w:rPr>
        <w:t xml:space="preserve">Liječenje lijekom Humira treba da započnu i nadziru ljekari specijalisti </w:t>
      </w:r>
      <w:proofErr w:type="gramStart"/>
      <w:r w:rsidRPr="0083687B">
        <w:rPr>
          <w:sz w:val="22"/>
          <w:szCs w:val="22"/>
        </w:rPr>
        <w:t>sa</w:t>
      </w:r>
      <w:proofErr w:type="gramEnd"/>
      <w:r w:rsidRPr="0083687B">
        <w:rPr>
          <w:sz w:val="22"/>
          <w:szCs w:val="22"/>
        </w:rPr>
        <w:t xml:space="preserve"> iskustvom u dijagnostici i liječenju stanja za koja je lijek Humira indikovan. Preporučuje se da se oftalmolozi konsultuju </w:t>
      </w:r>
      <w:proofErr w:type="gramStart"/>
      <w:r w:rsidRPr="0083687B">
        <w:rPr>
          <w:sz w:val="22"/>
          <w:szCs w:val="22"/>
        </w:rPr>
        <w:t>sa</w:t>
      </w:r>
      <w:proofErr w:type="gramEnd"/>
      <w:r w:rsidRPr="0083687B">
        <w:rPr>
          <w:sz w:val="22"/>
          <w:szCs w:val="22"/>
        </w:rPr>
        <w:t xml:space="preserve"> odgovarajućim specijalistom prije početka liječenja lijekom Humira (vidjeti </w:t>
      </w:r>
      <w:r w:rsidR="006C2A96">
        <w:rPr>
          <w:sz w:val="22"/>
          <w:szCs w:val="22"/>
        </w:rPr>
        <w:t>dio</w:t>
      </w:r>
      <w:r w:rsidR="006C2A96" w:rsidRPr="0083687B">
        <w:rPr>
          <w:sz w:val="22"/>
          <w:szCs w:val="22"/>
        </w:rPr>
        <w:t xml:space="preserve"> </w:t>
      </w:r>
      <w:r w:rsidRPr="0083687B">
        <w:rPr>
          <w:sz w:val="22"/>
          <w:szCs w:val="22"/>
        </w:rPr>
        <w:t>4.4).</w:t>
      </w:r>
    </w:p>
    <w:p w14:paraId="407D1A94"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Pacijentima koji se liječe lijekom Humira treba dati posebnu Karticu sa </w:t>
      </w:r>
      <w:proofErr w:type="gramStart"/>
      <w:r w:rsidRPr="0083687B">
        <w:rPr>
          <w:sz w:val="22"/>
          <w:szCs w:val="22"/>
        </w:rPr>
        <w:t>podsjetnikom  za</w:t>
      </w:r>
      <w:proofErr w:type="gramEnd"/>
      <w:r w:rsidRPr="0083687B">
        <w:rPr>
          <w:sz w:val="22"/>
          <w:szCs w:val="22"/>
        </w:rPr>
        <w:t xml:space="preserve"> pacijente.</w:t>
      </w:r>
    </w:p>
    <w:p w14:paraId="1A717855" w14:textId="77777777" w:rsidR="0083687B" w:rsidRPr="0083687B" w:rsidRDefault="0083687B">
      <w:pPr>
        <w:widowControl w:val="0"/>
        <w:autoSpaceDE w:val="0"/>
        <w:autoSpaceDN w:val="0"/>
        <w:adjustRightInd w:val="0"/>
        <w:jc w:val="both"/>
        <w:rPr>
          <w:sz w:val="22"/>
          <w:szCs w:val="22"/>
        </w:rPr>
      </w:pPr>
    </w:p>
    <w:p w14:paraId="0E22232F"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Nakon odgovarajuće obuke o tehnici ubrizgavanja injekcija, pacijenti mogu </w:t>
      </w:r>
      <w:proofErr w:type="gramStart"/>
      <w:r w:rsidRPr="0083687B">
        <w:rPr>
          <w:sz w:val="22"/>
          <w:szCs w:val="22"/>
        </w:rPr>
        <w:t>sami</w:t>
      </w:r>
      <w:proofErr w:type="gramEnd"/>
      <w:r w:rsidRPr="0083687B">
        <w:rPr>
          <w:sz w:val="22"/>
          <w:szCs w:val="22"/>
        </w:rPr>
        <w:t xml:space="preserve"> sebi davati injekcije lijeka Humira, ako njihov ljekar procijeni da je to prikladno, uz medicinsko praćenje po potrebi.</w:t>
      </w:r>
    </w:p>
    <w:p w14:paraId="4EAC6E6E" w14:textId="77777777" w:rsidR="0083687B" w:rsidRPr="0083687B" w:rsidRDefault="0083687B">
      <w:pPr>
        <w:widowControl w:val="0"/>
        <w:autoSpaceDE w:val="0"/>
        <w:autoSpaceDN w:val="0"/>
        <w:adjustRightInd w:val="0"/>
        <w:jc w:val="both"/>
        <w:rPr>
          <w:sz w:val="22"/>
          <w:szCs w:val="22"/>
        </w:rPr>
      </w:pPr>
    </w:p>
    <w:p w14:paraId="4815602E" w14:textId="77777777" w:rsidR="0083687B" w:rsidRPr="0083687B" w:rsidRDefault="0083687B">
      <w:pPr>
        <w:widowControl w:val="0"/>
        <w:autoSpaceDE w:val="0"/>
        <w:autoSpaceDN w:val="0"/>
        <w:adjustRightInd w:val="0"/>
        <w:jc w:val="both"/>
        <w:rPr>
          <w:sz w:val="22"/>
          <w:szCs w:val="22"/>
        </w:rPr>
      </w:pPr>
      <w:r w:rsidRPr="0083687B">
        <w:rPr>
          <w:sz w:val="22"/>
          <w:szCs w:val="22"/>
        </w:rPr>
        <w:t>Za vrijeme liječenja lijekom Humira, istovremena primjena drugih ljekova (npr. kortikosteroidi i/ili imunomodulatori) treba da bude optimizovana.</w:t>
      </w:r>
    </w:p>
    <w:p w14:paraId="7717A5F7" w14:textId="77777777" w:rsidR="0083687B" w:rsidRPr="0083687B" w:rsidRDefault="0083687B">
      <w:pPr>
        <w:widowControl w:val="0"/>
        <w:autoSpaceDE w:val="0"/>
        <w:autoSpaceDN w:val="0"/>
        <w:adjustRightInd w:val="0"/>
        <w:jc w:val="both"/>
        <w:rPr>
          <w:sz w:val="22"/>
          <w:szCs w:val="22"/>
        </w:rPr>
      </w:pPr>
    </w:p>
    <w:p w14:paraId="6146EC17"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Doziranje</w:t>
      </w:r>
    </w:p>
    <w:p w14:paraId="78DC15D4" w14:textId="77777777" w:rsidR="0083687B" w:rsidRPr="0083687B" w:rsidRDefault="0083687B">
      <w:pPr>
        <w:widowControl w:val="0"/>
        <w:autoSpaceDE w:val="0"/>
        <w:autoSpaceDN w:val="0"/>
        <w:adjustRightInd w:val="0"/>
        <w:jc w:val="both"/>
        <w:rPr>
          <w:sz w:val="22"/>
          <w:szCs w:val="22"/>
        </w:rPr>
      </w:pPr>
    </w:p>
    <w:p w14:paraId="2E3E604D" w14:textId="77777777" w:rsidR="0083687B" w:rsidRPr="0083687B" w:rsidRDefault="0083687B">
      <w:pPr>
        <w:widowControl w:val="0"/>
        <w:autoSpaceDE w:val="0"/>
        <w:autoSpaceDN w:val="0"/>
        <w:adjustRightInd w:val="0"/>
        <w:jc w:val="both"/>
        <w:rPr>
          <w:color w:val="000000"/>
          <w:sz w:val="22"/>
          <w:szCs w:val="22"/>
        </w:rPr>
      </w:pPr>
      <w:r w:rsidRPr="0083687B">
        <w:rPr>
          <w:color w:val="000000"/>
          <w:sz w:val="22"/>
          <w:szCs w:val="22"/>
          <w:u w:val="single"/>
        </w:rPr>
        <w:t>Pedijatrijska populacija</w:t>
      </w:r>
    </w:p>
    <w:p w14:paraId="2A012E3C" w14:textId="77777777" w:rsidR="0083687B" w:rsidRPr="0083687B" w:rsidRDefault="0083687B">
      <w:pPr>
        <w:widowControl w:val="0"/>
        <w:autoSpaceDE w:val="0"/>
        <w:autoSpaceDN w:val="0"/>
        <w:adjustRightInd w:val="0"/>
        <w:jc w:val="both"/>
        <w:rPr>
          <w:color w:val="000000"/>
          <w:sz w:val="22"/>
          <w:szCs w:val="22"/>
          <w:u w:val="single"/>
        </w:rPr>
      </w:pPr>
    </w:p>
    <w:p w14:paraId="0A57797C" w14:textId="77777777" w:rsidR="0083687B" w:rsidRPr="0083687B" w:rsidRDefault="0083687B">
      <w:pPr>
        <w:widowControl w:val="0"/>
        <w:autoSpaceDE w:val="0"/>
        <w:autoSpaceDN w:val="0"/>
        <w:adjustRightInd w:val="0"/>
        <w:jc w:val="both"/>
        <w:rPr>
          <w:i/>
          <w:color w:val="000000"/>
          <w:sz w:val="22"/>
          <w:szCs w:val="22"/>
        </w:rPr>
      </w:pPr>
      <w:r w:rsidRPr="0083687B">
        <w:rPr>
          <w:i/>
          <w:color w:val="000000"/>
          <w:sz w:val="22"/>
          <w:szCs w:val="22"/>
        </w:rPr>
        <w:t>Juvenilni idiopatski artritis</w:t>
      </w:r>
    </w:p>
    <w:p w14:paraId="58DC3AAD" w14:textId="77777777" w:rsidR="0083687B" w:rsidRPr="0083687B" w:rsidRDefault="0083687B">
      <w:pPr>
        <w:widowControl w:val="0"/>
        <w:autoSpaceDE w:val="0"/>
        <w:autoSpaceDN w:val="0"/>
        <w:adjustRightInd w:val="0"/>
        <w:jc w:val="both"/>
        <w:rPr>
          <w:color w:val="000000"/>
          <w:sz w:val="22"/>
          <w:szCs w:val="22"/>
          <w:u w:val="single"/>
        </w:rPr>
      </w:pPr>
    </w:p>
    <w:p w14:paraId="13C3D445" w14:textId="77777777" w:rsidR="0083687B" w:rsidRPr="0083687B" w:rsidRDefault="0083687B">
      <w:pPr>
        <w:widowControl w:val="0"/>
        <w:autoSpaceDE w:val="0"/>
        <w:autoSpaceDN w:val="0"/>
        <w:adjustRightInd w:val="0"/>
        <w:jc w:val="both"/>
        <w:rPr>
          <w:i/>
          <w:color w:val="000000"/>
          <w:sz w:val="22"/>
          <w:szCs w:val="22"/>
        </w:rPr>
      </w:pPr>
      <w:r w:rsidRPr="0083687B">
        <w:rPr>
          <w:i/>
          <w:color w:val="000000"/>
          <w:sz w:val="22"/>
          <w:szCs w:val="22"/>
          <w:u w:val="single"/>
        </w:rPr>
        <w:t xml:space="preserve">Poliartikularni juvenilni idiopatski artritis u uzrastu </w:t>
      </w:r>
      <w:proofErr w:type="gramStart"/>
      <w:r w:rsidRPr="0083687B">
        <w:rPr>
          <w:i/>
          <w:color w:val="000000"/>
          <w:sz w:val="22"/>
          <w:szCs w:val="22"/>
          <w:u w:val="single"/>
        </w:rPr>
        <w:t>od</w:t>
      </w:r>
      <w:proofErr w:type="gramEnd"/>
      <w:r w:rsidRPr="0083687B">
        <w:rPr>
          <w:i/>
          <w:color w:val="000000"/>
          <w:sz w:val="22"/>
          <w:szCs w:val="22"/>
          <w:u w:val="single"/>
        </w:rPr>
        <w:t xml:space="preserve"> 2 godine i više:</w:t>
      </w:r>
    </w:p>
    <w:p w14:paraId="5AB3113D" w14:textId="77777777" w:rsidR="0083687B" w:rsidRPr="0083687B" w:rsidRDefault="0083687B">
      <w:pPr>
        <w:widowControl w:val="0"/>
        <w:autoSpaceDE w:val="0"/>
        <w:autoSpaceDN w:val="0"/>
        <w:adjustRightInd w:val="0"/>
        <w:jc w:val="both"/>
        <w:rPr>
          <w:color w:val="000000"/>
          <w:sz w:val="22"/>
          <w:szCs w:val="22"/>
        </w:rPr>
      </w:pPr>
    </w:p>
    <w:p w14:paraId="22A93784" w14:textId="77777777" w:rsidR="0083687B" w:rsidRPr="0083687B" w:rsidRDefault="0083687B">
      <w:pPr>
        <w:jc w:val="both"/>
        <w:rPr>
          <w:sz w:val="22"/>
          <w:szCs w:val="22"/>
          <w:lang w:val="sr-Latn-ME"/>
        </w:rPr>
      </w:pPr>
      <w:r w:rsidRPr="0083687B">
        <w:rPr>
          <w:sz w:val="22"/>
          <w:szCs w:val="22"/>
          <w:lang w:val="sr-Latn-ME"/>
        </w:rPr>
        <w:t xml:space="preserve">Preporučena doza lijeka Humira za pacijente sa poliartikularnim juvenilnim idiopatskim artritisom uzrasta od 2 godine i više se određuje na osnovu tjelesne težine (Tabela 1). Lijek Humira  se primjenjuje svake druge nedjelje supkutanom injekcijom. </w:t>
      </w:r>
    </w:p>
    <w:p w14:paraId="50C37B13" w14:textId="77777777" w:rsidR="0083687B" w:rsidRPr="0083687B" w:rsidRDefault="0083687B">
      <w:pPr>
        <w:ind w:left="567" w:hanging="567"/>
        <w:jc w:val="both"/>
        <w:rPr>
          <w:sz w:val="22"/>
          <w:szCs w:val="22"/>
          <w:lang w:val="sr-Latn-ME"/>
        </w:rPr>
      </w:pPr>
    </w:p>
    <w:p w14:paraId="7655639D" w14:textId="77777777" w:rsidR="0083687B" w:rsidRPr="0083687B" w:rsidRDefault="0083687B" w:rsidP="00EB3350">
      <w:pPr>
        <w:jc w:val="both"/>
        <w:rPr>
          <w:b/>
          <w:sz w:val="22"/>
          <w:szCs w:val="22"/>
          <w:lang w:val="hr-HR"/>
        </w:rPr>
      </w:pPr>
      <w:r w:rsidRPr="0083687B">
        <w:rPr>
          <w:b/>
          <w:sz w:val="22"/>
          <w:szCs w:val="22"/>
          <w:lang w:val="hr-HR"/>
        </w:rPr>
        <w:t>Tabela 1. Doza lijeka Humira za pacijente sa poliartikularnim juvenilnim idiopatskim artritisom</w:t>
      </w:r>
    </w:p>
    <w:p w14:paraId="44DB6476" w14:textId="77777777" w:rsidR="0083687B" w:rsidRPr="0083687B" w:rsidRDefault="0083687B" w:rsidP="00730D96">
      <w:pPr>
        <w:jc w:val="both"/>
        <w:rPr>
          <w:strike/>
          <w:sz w:val="22"/>
          <w:szCs w:val="22"/>
          <w:lang w:val="hr-HR"/>
        </w:rPr>
      </w:pPr>
    </w:p>
    <w:p w14:paraId="2FA9E865" w14:textId="77777777" w:rsidR="0083687B" w:rsidRPr="0083687B" w:rsidRDefault="0083687B" w:rsidP="00EB3350">
      <w:pPr>
        <w:spacing w:after="160" w:line="259" w:lineRule="auto"/>
        <w:jc w:val="both"/>
        <w:rPr>
          <w:sz w:val="22"/>
          <w:szCs w:val="22"/>
          <w:lang w:val="hr-HR"/>
        </w:rPr>
      </w:pPr>
    </w:p>
    <w:tbl>
      <w:tblPr>
        <w:tblW w:w="6795" w:type="dxa"/>
        <w:jc w:val="center"/>
        <w:tblLayout w:type="fixed"/>
        <w:tblLook w:val="0000" w:firstRow="0" w:lastRow="0" w:firstColumn="0" w:lastColumn="0" w:noHBand="0" w:noVBand="0"/>
      </w:tblPr>
      <w:tblGrid>
        <w:gridCol w:w="3401"/>
        <w:gridCol w:w="3394"/>
      </w:tblGrid>
      <w:tr w:rsidR="0083687B" w:rsidRPr="0083687B" w14:paraId="609BD2C4" w14:textId="77777777" w:rsidTr="0088568A">
        <w:trPr>
          <w:tblHeader/>
          <w:jc w:val="center"/>
        </w:trPr>
        <w:tc>
          <w:tcPr>
            <w:tcW w:w="3401" w:type="dxa"/>
            <w:tcBorders>
              <w:top w:val="single" w:sz="4" w:space="0" w:color="auto"/>
              <w:bottom w:val="single" w:sz="4" w:space="0" w:color="auto"/>
            </w:tcBorders>
            <w:shd w:val="clear" w:color="auto" w:fill="auto"/>
          </w:tcPr>
          <w:p w14:paraId="24454941" w14:textId="77777777" w:rsidR="0083687B" w:rsidRPr="0083687B" w:rsidRDefault="0083687B" w:rsidP="00EB3350">
            <w:pPr>
              <w:keepNext/>
              <w:spacing w:before="40"/>
              <w:jc w:val="both"/>
              <w:rPr>
                <w:rFonts w:eastAsia="Calibri"/>
                <w:b/>
                <w:sz w:val="22"/>
                <w:szCs w:val="22"/>
                <w:lang w:eastAsia="ja-JP"/>
              </w:rPr>
            </w:pPr>
            <w:r w:rsidRPr="0083687B">
              <w:rPr>
                <w:rFonts w:eastAsia="Calibri"/>
                <w:b/>
                <w:sz w:val="22"/>
                <w:szCs w:val="22"/>
                <w:lang w:eastAsia="ja-JP"/>
              </w:rPr>
              <w:t>Tjelesna težina pacijenta</w:t>
            </w:r>
          </w:p>
        </w:tc>
        <w:tc>
          <w:tcPr>
            <w:tcW w:w="3394" w:type="dxa"/>
            <w:tcBorders>
              <w:top w:val="single" w:sz="4" w:space="0" w:color="auto"/>
              <w:bottom w:val="single" w:sz="4" w:space="0" w:color="auto"/>
            </w:tcBorders>
            <w:shd w:val="clear" w:color="auto" w:fill="auto"/>
          </w:tcPr>
          <w:p w14:paraId="1117FEEF" w14:textId="77777777" w:rsidR="0083687B" w:rsidRPr="0083687B" w:rsidRDefault="0083687B" w:rsidP="00EB3350">
            <w:pPr>
              <w:keepNext/>
              <w:spacing w:before="40"/>
              <w:jc w:val="both"/>
              <w:rPr>
                <w:rFonts w:eastAsia="Calibri"/>
                <w:b/>
                <w:sz w:val="22"/>
                <w:szCs w:val="22"/>
                <w:lang w:eastAsia="ja-JP"/>
              </w:rPr>
            </w:pPr>
            <w:r w:rsidRPr="0083687B">
              <w:rPr>
                <w:rFonts w:eastAsia="Calibri"/>
                <w:b/>
                <w:sz w:val="22"/>
                <w:szCs w:val="22"/>
                <w:lang w:eastAsia="ja-JP"/>
              </w:rPr>
              <w:t>Režim doziranja</w:t>
            </w:r>
          </w:p>
        </w:tc>
      </w:tr>
      <w:tr w:rsidR="0083687B" w:rsidRPr="0083687B" w14:paraId="3D6ABE04" w14:textId="77777777" w:rsidTr="0088568A">
        <w:trPr>
          <w:tblHeader/>
          <w:jc w:val="center"/>
        </w:trPr>
        <w:tc>
          <w:tcPr>
            <w:tcW w:w="3401" w:type="dxa"/>
            <w:tcBorders>
              <w:top w:val="single" w:sz="4" w:space="0" w:color="auto"/>
              <w:bottom w:val="single" w:sz="4" w:space="0" w:color="auto"/>
            </w:tcBorders>
            <w:shd w:val="clear" w:color="auto" w:fill="auto"/>
          </w:tcPr>
          <w:p w14:paraId="54F18F08" w14:textId="77777777" w:rsidR="0083687B" w:rsidRPr="0083687B" w:rsidRDefault="0083687B" w:rsidP="00EB3350">
            <w:pPr>
              <w:keepNext/>
              <w:spacing w:before="40"/>
              <w:jc w:val="both"/>
              <w:rPr>
                <w:rFonts w:eastAsia="Calibri"/>
                <w:b/>
                <w:sz w:val="22"/>
                <w:szCs w:val="22"/>
                <w:lang w:eastAsia="ja-JP"/>
              </w:rPr>
            </w:pPr>
            <w:r w:rsidRPr="0083687B">
              <w:rPr>
                <w:rFonts w:eastAsia="Calibri"/>
                <w:sz w:val="22"/>
                <w:szCs w:val="22"/>
                <w:lang w:eastAsia="ja-JP"/>
              </w:rPr>
              <w:t>10 kg do &lt; 30 kg</w:t>
            </w:r>
          </w:p>
        </w:tc>
        <w:tc>
          <w:tcPr>
            <w:tcW w:w="3394" w:type="dxa"/>
            <w:tcBorders>
              <w:top w:val="single" w:sz="4" w:space="0" w:color="auto"/>
              <w:bottom w:val="single" w:sz="4" w:space="0" w:color="auto"/>
            </w:tcBorders>
            <w:shd w:val="clear" w:color="auto" w:fill="auto"/>
          </w:tcPr>
          <w:p w14:paraId="5208F9FA" w14:textId="77777777" w:rsidR="0083687B" w:rsidRPr="0083687B" w:rsidRDefault="0083687B" w:rsidP="00EB3350">
            <w:pPr>
              <w:keepNext/>
              <w:spacing w:before="40"/>
              <w:jc w:val="both"/>
              <w:rPr>
                <w:rFonts w:eastAsia="Calibri"/>
                <w:b/>
                <w:sz w:val="22"/>
                <w:szCs w:val="22"/>
                <w:lang w:eastAsia="ja-JP"/>
              </w:rPr>
            </w:pPr>
            <w:r w:rsidRPr="0083687B">
              <w:rPr>
                <w:rFonts w:eastAsia="Calibri"/>
                <w:sz w:val="22"/>
                <w:szCs w:val="22"/>
                <w:lang w:eastAsia="ja-JP"/>
              </w:rPr>
              <w:t>20 mg svake druge nedjelje</w:t>
            </w:r>
          </w:p>
        </w:tc>
      </w:tr>
      <w:tr w:rsidR="0083687B" w:rsidRPr="0083687B" w14:paraId="79922B37" w14:textId="77777777" w:rsidTr="0088568A">
        <w:trPr>
          <w:tblHeader/>
          <w:jc w:val="center"/>
        </w:trPr>
        <w:tc>
          <w:tcPr>
            <w:tcW w:w="3401" w:type="dxa"/>
            <w:tcBorders>
              <w:top w:val="single" w:sz="4" w:space="0" w:color="auto"/>
              <w:bottom w:val="single" w:sz="4" w:space="0" w:color="auto"/>
            </w:tcBorders>
            <w:shd w:val="clear" w:color="auto" w:fill="auto"/>
          </w:tcPr>
          <w:p w14:paraId="43088342" w14:textId="77777777" w:rsidR="0083687B" w:rsidRPr="0083687B" w:rsidRDefault="0083687B" w:rsidP="00EB3350">
            <w:pPr>
              <w:keepNext/>
              <w:spacing w:before="40"/>
              <w:jc w:val="both"/>
              <w:rPr>
                <w:rFonts w:eastAsia="Calibri"/>
                <w:b/>
                <w:sz w:val="22"/>
                <w:szCs w:val="22"/>
                <w:lang w:eastAsia="ja-JP"/>
              </w:rPr>
            </w:pPr>
            <w:r w:rsidRPr="0083687B">
              <w:rPr>
                <w:rFonts w:eastAsia="Calibri"/>
                <w:sz w:val="22"/>
                <w:szCs w:val="22"/>
                <w:lang w:eastAsia="ja-JP"/>
              </w:rPr>
              <w:t>≥ 30 kg</w:t>
            </w:r>
          </w:p>
        </w:tc>
        <w:tc>
          <w:tcPr>
            <w:tcW w:w="3394" w:type="dxa"/>
            <w:tcBorders>
              <w:top w:val="single" w:sz="4" w:space="0" w:color="auto"/>
              <w:bottom w:val="single" w:sz="4" w:space="0" w:color="auto"/>
            </w:tcBorders>
            <w:shd w:val="clear" w:color="auto" w:fill="auto"/>
          </w:tcPr>
          <w:p w14:paraId="38A052B8" w14:textId="77777777" w:rsidR="0083687B" w:rsidRPr="0083687B" w:rsidRDefault="0083687B" w:rsidP="00EB3350">
            <w:pPr>
              <w:keepNext/>
              <w:spacing w:before="40"/>
              <w:jc w:val="both"/>
              <w:rPr>
                <w:rFonts w:eastAsia="Calibri"/>
                <w:b/>
                <w:sz w:val="22"/>
                <w:szCs w:val="22"/>
                <w:lang w:eastAsia="ja-JP"/>
              </w:rPr>
            </w:pPr>
            <w:r w:rsidRPr="0083687B">
              <w:rPr>
                <w:rFonts w:eastAsia="Calibri"/>
                <w:sz w:val="22"/>
                <w:szCs w:val="22"/>
                <w:lang w:eastAsia="ja-JP"/>
              </w:rPr>
              <w:t>40 mg svake druge nedjelje</w:t>
            </w:r>
          </w:p>
        </w:tc>
      </w:tr>
    </w:tbl>
    <w:p w14:paraId="7790DD08" w14:textId="77777777" w:rsidR="0083687B" w:rsidRPr="0083687B" w:rsidRDefault="0083687B" w:rsidP="00730D96">
      <w:pPr>
        <w:widowControl w:val="0"/>
        <w:autoSpaceDE w:val="0"/>
        <w:autoSpaceDN w:val="0"/>
        <w:adjustRightInd w:val="0"/>
        <w:jc w:val="both"/>
        <w:rPr>
          <w:sz w:val="22"/>
          <w:szCs w:val="22"/>
        </w:rPr>
      </w:pPr>
    </w:p>
    <w:p w14:paraId="0B7C6615" w14:textId="77777777" w:rsidR="0083687B" w:rsidRPr="0083687B" w:rsidRDefault="0083687B">
      <w:pPr>
        <w:widowControl w:val="0"/>
        <w:autoSpaceDE w:val="0"/>
        <w:autoSpaceDN w:val="0"/>
        <w:adjustRightInd w:val="0"/>
        <w:jc w:val="both"/>
        <w:rPr>
          <w:sz w:val="22"/>
          <w:szCs w:val="22"/>
        </w:rPr>
      </w:pPr>
      <w:r w:rsidRPr="0083687B">
        <w:rPr>
          <w:sz w:val="22"/>
          <w:szCs w:val="22"/>
        </w:rPr>
        <w:t>Postojeći podaci pokazuju da se klinički odgovor obično postiže unutar 12 nedjelja liječenja. Ako se unutar tog perioda ne postigne terapijski odgovor, potrebno je pažljivo razmotriti nastavak liječenja takvog pacijenta.</w:t>
      </w:r>
    </w:p>
    <w:p w14:paraId="3E64F5F1" w14:textId="77777777" w:rsidR="0083687B" w:rsidRPr="0083687B" w:rsidRDefault="0083687B">
      <w:pPr>
        <w:widowControl w:val="0"/>
        <w:autoSpaceDE w:val="0"/>
        <w:autoSpaceDN w:val="0"/>
        <w:adjustRightInd w:val="0"/>
        <w:ind w:left="567" w:hanging="567"/>
        <w:jc w:val="both"/>
        <w:rPr>
          <w:sz w:val="22"/>
          <w:szCs w:val="22"/>
        </w:rPr>
      </w:pPr>
    </w:p>
    <w:p w14:paraId="423BEEE0"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Nije ispitivano djelovanje lijeka Humira kod pacijenata mlađih </w:t>
      </w:r>
      <w:proofErr w:type="gramStart"/>
      <w:r w:rsidRPr="0083687B">
        <w:rPr>
          <w:sz w:val="22"/>
          <w:szCs w:val="22"/>
        </w:rPr>
        <w:t>od</w:t>
      </w:r>
      <w:proofErr w:type="gramEnd"/>
      <w:r w:rsidRPr="0083687B">
        <w:rPr>
          <w:sz w:val="22"/>
          <w:szCs w:val="22"/>
        </w:rPr>
        <w:t xml:space="preserve"> 2 godine u ovoj indikaciji. </w:t>
      </w:r>
    </w:p>
    <w:p w14:paraId="1047D66D" w14:textId="77777777" w:rsidR="0083687B" w:rsidRPr="0083687B" w:rsidRDefault="0083687B">
      <w:pPr>
        <w:widowControl w:val="0"/>
        <w:autoSpaceDE w:val="0"/>
        <w:autoSpaceDN w:val="0"/>
        <w:adjustRightInd w:val="0"/>
        <w:jc w:val="both"/>
        <w:rPr>
          <w:sz w:val="22"/>
          <w:szCs w:val="22"/>
        </w:rPr>
      </w:pPr>
    </w:p>
    <w:p w14:paraId="2EF9DF47" w14:textId="77777777" w:rsidR="0083687B" w:rsidRPr="0083687B" w:rsidRDefault="0083687B">
      <w:pPr>
        <w:widowControl w:val="0"/>
        <w:autoSpaceDE w:val="0"/>
        <w:autoSpaceDN w:val="0"/>
        <w:adjustRightInd w:val="0"/>
        <w:jc w:val="both"/>
        <w:rPr>
          <w:sz w:val="22"/>
          <w:szCs w:val="22"/>
        </w:rPr>
      </w:pPr>
      <w:r w:rsidRPr="0083687B">
        <w:rPr>
          <w:sz w:val="22"/>
          <w:szCs w:val="22"/>
          <w:lang w:val="sr-Latn-ME"/>
        </w:rPr>
        <w:t>Lijek Humira može biti dostupan u drugim jačinama i/ili oblicima pakovanja, zavisno od terapijskih potreba pojedinog pacijenta.</w:t>
      </w:r>
    </w:p>
    <w:p w14:paraId="42F76BCD" w14:textId="77777777" w:rsidR="0083687B" w:rsidRPr="0083687B" w:rsidRDefault="0083687B">
      <w:pPr>
        <w:widowControl w:val="0"/>
        <w:autoSpaceDE w:val="0"/>
        <w:autoSpaceDN w:val="0"/>
        <w:adjustRightInd w:val="0"/>
        <w:jc w:val="both"/>
        <w:rPr>
          <w:sz w:val="22"/>
          <w:szCs w:val="22"/>
        </w:rPr>
      </w:pPr>
    </w:p>
    <w:p w14:paraId="28EF7C7A" w14:textId="77777777" w:rsidR="0083687B" w:rsidRPr="0083687B" w:rsidRDefault="0083687B">
      <w:pPr>
        <w:widowControl w:val="0"/>
        <w:autoSpaceDE w:val="0"/>
        <w:autoSpaceDN w:val="0"/>
        <w:adjustRightInd w:val="0"/>
        <w:jc w:val="both"/>
        <w:rPr>
          <w:i/>
          <w:sz w:val="22"/>
          <w:szCs w:val="22"/>
          <w:u w:val="single"/>
        </w:rPr>
      </w:pPr>
      <w:r w:rsidRPr="0083687B">
        <w:rPr>
          <w:i/>
          <w:sz w:val="22"/>
          <w:szCs w:val="22"/>
          <w:u w:val="single"/>
        </w:rPr>
        <w:lastRenderedPageBreak/>
        <w:t xml:space="preserve">Artritis povezan </w:t>
      </w:r>
      <w:proofErr w:type="gramStart"/>
      <w:r w:rsidRPr="0083687B">
        <w:rPr>
          <w:i/>
          <w:sz w:val="22"/>
          <w:szCs w:val="22"/>
          <w:u w:val="single"/>
        </w:rPr>
        <w:t>sa</w:t>
      </w:r>
      <w:proofErr w:type="gramEnd"/>
      <w:r w:rsidRPr="0083687B">
        <w:rPr>
          <w:i/>
          <w:sz w:val="22"/>
          <w:szCs w:val="22"/>
          <w:u w:val="single"/>
        </w:rPr>
        <w:t xml:space="preserve"> entezitisom</w:t>
      </w:r>
    </w:p>
    <w:p w14:paraId="06872878" w14:textId="77777777" w:rsidR="0083687B" w:rsidRPr="0083687B" w:rsidRDefault="0083687B">
      <w:pPr>
        <w:widowControl w:val="0"/>
        <w:autoSpaceDE w:val="0"/>
        <w:autoSpaceDN w:val="0"/>
        <w:adjustRightInd w:val="0"/>
        <w:jc w:val="both"/>
        <w:rPr>
          <w:sz w:val="22"/>
          <w:szCs w:val="22"/>
        </w:rPr>
      </w:pPr>
    </w:p>
    <w:p w14:paraId="0A283666" w14:textId="77777777" w:rsidR="0083687B" w:rsidRPr="0083687B" w:rsidRDefault="0083687B">
      <w:pPr>
        <w:widowControl w:val="0"/>
        <w:autoSpaceDE w:val="0"/>
        <w:autoSpaceDN w:val="0"/>
        <w:adjustRightInd w:val="0"/>
        <w:jc w:val="both"/>
        <w:rPr>
          <w:sz w:val="22"/>
          <w:szCs w:val="22"/>
          <w:lang w:val="hr-HR"/>
        </w:rPr>
      </w:pPr>
      <w:r w:rsidRPr="0083687B">
        <w:rPr>
          <w:sz w:val="22"/>
          <w:szCs w:val="22"/>
          <w:lang w:val="sr-Latn-ME"/>
        </w:rPr>
        <w:t xml:space="preserve">Preporučena doza lijeka Humira kod pacijenata sa artritisom povezanim sa entezitisom u uzrastu od 6 i više godina, određuje se na osnovu tjelesne težine (Tabela 2). Lijek Humira se primjenjuje svake druge nedjelje subkutanom injekcijom. </w:t>
      </w:r>
    </w:p>
    <w:p w14:paraId="43BBA060" w14:textId="77777777" w:rsidR="0083687B" w:rsidRPr="0083687B" w:rsidRDefault="0083687B">
      <w:pPr>
        <w:widowControl w:val="0"/>
        <w:autoSpaceDE w:val="0"/>
        <w:autoSpaceDN w:val="0"/>
        <w:adjustRightInd w:val="0"/>
        <w:jc w:val="both"/>
        <w:rPr>
          <w:sz w:val="22"/>
          <w:szCs w:val="22"/>
          <w:lang w:val="hr-HR"/>
        </w:rPr>
      </w:pPr>
    </w:p>
    <w:p w14:paraId="10045AFE" w14:textId="77777777" w:rsidR="0083687B" w:rsidRPr="0083687B" w:rsidRDefault="0083687B" w:rsidP="00EB3350">
      <w:pPr>
        <w:widowControl w:val="0"/>
        <w:autoSpaceDE w:val="0"/>
        <w:autoSpaceDN w:val="0"/>
        <w:adjustRightInd w:val="0"/>
        <w:jc w:val="both"/>
        <w:rPr>
          <w:b/>
          <w:sz w:val="22"/>
          <w:szCs w:val="22"/>
          <w:lang w:val="hr-HR"/>
        </w:rPr>
      </w:pPr>
      <w:r w:rsidRPr="0083687B">
        <w:rPr>
          <w:b/>
          <w:sz w:val="22"/>
          <w:szCs w:val="22"/>
          <w:lang w:val="hr-HR"/>
        </w:rPr>
        <w:t>Tabela 2. Doza lijeka Humira za pacijente sa artritisom povezanim sa entezitisom</w:t>
      </w:r>
    </w:p>
    <w:p w14:paraId="12238D21" w14:textId="77777777" w:rsidR="0083687B" w:rsidRPr="0083687B" w:rsidRDefault="0083687B" w:rsidP="00730D96">
      <w:pPr>
        <w:widowControl w:val="0"/>
        <w:autoSpaceDE w:val="0"/>
        <w:autoSpaceDN w:val="0"/>
        <w:adjustRightInd w:val="0"/>
        <w:jc w:val="both"/>
        <w:rPr>
          <w:b/>
          <w:sz w:val="22"/>
          <w:szCs w:val="22"/>
          <w:lang w:val="hr-HR"/>
        </w:rPr>
      </w:pPr>
    </w:p>
    <w:tbl>
      <w:tblPr>
        <w:tblW w:w="6795" w:type="dxa"/>
        <w:jc w:val="center"/>
        <w:tblLayout w:type="fixed"/>
        <w:tblLook w:val="0000" w:firstRow="0" w:lastRow="0" w:firstColumn="0" w:lastColumn="0" w:noHBand="0" w:noVBand="0"/>
      </w:tblPr>
      <w:tblGrid>
        <w:gridCol w:w="3401"/>
        <w:gridCol w:w="3394"/>
      </w:tblGrid>
      <w:tr w:rsidR="0083687B" w:rsidRPr="0083687B" w14:paraId="771E47AF" w14:textId="77777777" w:rsidTr="0088568A">
        <w:trPr>
          <w:tblHeader/>
          <w:jc w:val="center"/>
        </w:trPr>
        <w:tc>
          <w:tcPr>
            <w:tcW w:w="3401" w:type="dxa"/>
            <w:tcBorders>
              <w:top w:val="single" w:sz="4" w:space="0" w:color="auto"/>
              <w:bottom w:val="single" w:sz="4" w:space="0" w:color="auto"/>
            </w:tcBorders>
            <w:shd w:val="clear" w:color="auto" w:fill="auto"/>
          </w:tcPr>
          <w:p w14:paraId="78E9F012" w14:textId="77777777" w:rsidR="0083687B" w:rsidRPr="0083687B" w:rsidRDefault="0083687B" w:rsidP="00EB3350">
            <w:pPr>
              <w:keepNext/>
              <w:spacing w:before="40"/>
              <w:jc w:val="both"/>
              <w:rPr>
                <w:rFonts w:eastAsia="Calibri"/>
                <w:b/>
                <w:sz w:val="22"/>
                <w:szCs w:val="22"/>
                <w:lang w:eastAsia="ja-JP"/>
              </w:rPr>
            </w:pPr>
            <w:r w:rsidRPr="0083687B">
              <w:rPr>
                <w:rFonts w:eastAsia="Calibri"/>
                <w:b/>
                <w:sz w:val="22"/>
                <w:szCs w:val="22"/>
                <w:lang w:eastAsia="ja-JP"/>
              </w:rPr>
              <w:t>Tjelesna težina pacijenata</w:t>
            </w:r>
          </w:p>
        </w:tc>
        <w:tc>
          <w:tcPr>
            <w:tcW w:w="3394" w:type="dxa"/>
            <w:tcBorders>
              <w:top w:val="single" w:sz="4" w:space="0" w:color="auto"/>
              <w:bottom w:val="single" w:sz="4" w:space="0" w:color="auto"/>
            </w:tcBorders>
            <w:shd w:val="clear" w:color="auto" w:fill="auto"/>
          </w:tcPr>
          <w:p w14:paraId="41ABCE83" w14:textId="77777777" w:rsidR="0083687B" w:rsidRPr="0083687B" w:rsidRDefault="0083687B" w:rsidP="00EB3350">
            <w:pPr>
              <w:keepNext/>
              <w:spacing w:before="40"/>
              <w:jc w:val="both"/>
              <w:rPr>
                <w:rFonts w:eastAsia="Calibri"/>
                <w:b/>
                <w:sz w:val="22"/>
                <w:szCs w:val="22"/>
                <w:lang w:eastAsia="ja-JP"/>
              </w:rPr>
            </w:pPr>
            <w:r w:rsidRPr="0083687B">
              <w:rPr>
                <w:rFonts w:eastAsia="Calibri"/>
                <w:b/>
                <w:sz w:val="22"/>
                <w:szCs w:val="22"/>
                <w:lang w:eastAsia="ja-JP"/>
              </w:rPr>
              <w:t>Režim doziranja</w:t>
            </w:r>
          </w:p>
        </w:tc>
      </w:tr>
      <w:tr w:rsidR="0083687B" w:rsidRPr="0083687B" w14:paraId="724C0863" w14:textId="77777777" w:rsidTr="0088568A">
        <w:trPr>
          <w:tblHeader/>
          <w:jc w:val="center"/>
        </w:trPr>
        <w:tc>
          <w:tcPr>
            <w:tcW w:w="3401" w:type="dxa"/>
            <w:tcBorders>
              <w:top w:val="single" w:sz="4" w:space="0" w:color="auto"/>
              <w:bottom w:val="single" w:sz="4" w:space="0" w:color="auto"/>
            </w:tcBorders>
            <w:shd w:val="clear" w:color="auto" w:fill="auto"/>
          </w:tcPr>
          <w:p w14:paraId="5FB10B72" w14:textId="23035892" w:rsidR="0083687B" w:rsidRPr="0083687B" w:rsidRDefault="0083687B" w:rsidP="00EB3350">
            <w:pPr>
              <w:keepNext/>
              <w:spacing w:before="40"/>
              <w:jc w:val="both"/>
              <w:rPr>
                <w:rFonts w:eastAsia="Calibri"/>
                <w:b/>
                <w:sz w:val="22"/>
                <w:szCs w:val="22"/>
                <w:lang w:eastAsia="ja-JP"/>
              </w:rPr>
            </w:pPr>
            <w:r w:rsidRPr="0083687B">
              <w:rPr>
                <w:rFonts w:eastAsia="Calibri"/>
                <w:sz w:val="22"/>
                <w:szCs w:val="22"/>
                <w:lang w:eastAsia="ja-JP"/>
              </w:rPr>
              <w:t xml:space="preserve">15 kg </w:t>
            </w:r>
            <w:r w:rsidR="0062362E">
              <w:rPr>
                <w:rFonts w:eastAsia="Calibri"/>
                <w:sz w:val="22"/>
                <w:szCs w:val="22"/>
                <w:lang w:eastAsia="ja-JP"/>
              </w:rPr>
              <w:t>do</w:t>
            </w:r>
            <w:r w:rsidRPr="0083687B">
              <w:rPr>
                <w:rFonts w:eastAsia="Calibri"/>
                <w:sz w:val="22"/>
                <w:szCs w:val="22"/>
                <w:lang w:eastAsia="ja-JP"/>
              </w:rPr>
              <w:t xml:space="preserve"> &lt; 30 kg</w:t>
            </w:r>
          </w:p>
        </w:tc>
        <w:tc>
          <w:tcPr>
            <w:tcW w:w="3394" w:type="dxa"/>
            <w:tcBorders>
              <w:top w:val="single" w:sz="4" w:space="0" w:color="auto"/>
              <w:bottom w:val="single" w:sz="4" w:space="0" w:color="auto"/>
            </w:tcBorders>
            <w:shd w:val="clear" w:color="auto" w:fill="auto"/>
          </w:tcPr>
          <w:p w14:paraId="2610EC75" w14:textId="77777777" w:rsidR="0083687B" w:rsidRPr="0083687B" w:rsidRDefault="0083687B" w:rsidP="00EB3350">
            <w:pPr>
              <w:keepNext/>
              <w:spacing w:before="40"/>
              <w:jc w:val="both"/>
              <w:rPr>
                <w:rFonts w:eastAsia="Calibri"/>
                <w:b/>
                <w:sz w:val="22"/>
                <w:szCs w:val="22"/>
                <w:lang w:eastAsia="ja-JP"/>
              </w:rPr>
            </w:pPr>
            <w:r w:rsidRPr="0083687B">
              <w:rPr>
                <w:rFonts w:eastAsia="Calibri"/>
                <w:sz w:val="22"/>
                <w:szCs w:val="22"/>
                <w:lang w:eastAsia="ja-JP"/>
              </w:rPr>
              <w:t>20 mg svake druge nedjelje</w:t>
            </w:r>
          </w:p>
        </w:tc>
      </w:tr>
      <w:tr w:rsidR="0083687B" w:rsidRPr="0083687B" w14:paraId="6591A7C7" w14:textId="77777777" w:rsidTr="0088568A">
        <w:trPr>
          <w:tblHeader/>
          <w:jc w:val="center"/>
        </w:trPr>
        <w:tc>
          <w:tcPr>
            <w:tcW w:w="3401" w:type="dxa"/>
            <w:tcBorders>
              <w:top w:val="single" w:sz="4" w:space="0" w:color="auto"/>
              <w:bottom w:val="single" w:sz="4" w:space="0" w:color="auto"/>
            </w:tcBorders>
            <w:shd w:val="clear" w:color="auto" w:fill="auto"/>
          </w:tcPr>
          <w:p w14:paraId="69EAAD88" w14:textId="77777777" w:rsidR="0083687B" w:rsidRPr="0083687B" w:rsidRDefault="0083687B" w:rsidP="00EB3350">
            <w:pPr>
              <w:keepNext/>
              <w:spacing w:before="40"/>
              <w:jc w:val="both"/>
              <w:rPr>
                <w:rFonts w:eastAsia="Calibri"/>
                <w:b/>
                <w:sz w:val="22"/>
                <w:szCs w:val="22"/>
                <w:lang w:eastAsia="ja-JP"/>
              </w:rPr>
            </w:pPr>
            <w:r w:rsidRPr="0083687B">
              <w:rPr>
                <w:rFonts w:eastAsia="Calibri"/>
                <w:sz w:val="22"/>
                <w:szCs w:val="22"/>
                <w:lang w:eastAsia="ja-JP"/>
              </w:rPr>
              <w:t>≥ 30 kg</w:t>
            </w:r>
          </w:p>
        </w:tc>
        <w:tc>
          <w:tcPr>
            <w:tcW w:w="3394" w:type="dxa"/>
            <w:tcBorders>
              <w:top w:val="single" w:sz="4" w:space="0" w:color="auto"/>
              <w:bottom w:val="single" w:sz="4" w:space="0" w:color="auto"/>
            </w:tcBorders>
            <w:shd w:val="clear" w:color="auto" w:fill="auto"/>
          </w:tcPr>
          <w:p w14:paraId="6B102613" w14:textId="77777777" w:rsidR="0083687B" w:rsidRPr="0083687B" w:rsidRDefault="0083687B" w:rsidP="00EB3350">
            <w:pPr>
              <w:keepNext/>
              <w:spacing w:before="40"/>
              <w:jc w:val="both"/>
              <w:rPr>
                <w:rFonts w:eastAsia="Calibri"/>
                <w:b/>
                <w:sz w:val="22"/>
                <w:szCs w:val="22"/>
                <w:lang w:eastAsia="ja-JP"/>
              </w:rPr>
            </w:pPr>
            <w:r w:rsidRPr="0083687B">
              <w:rPr>
                <w:rFonts w:eastAsia="Calibri"/>
                <w:sz w:val="22"/>
                <w:szCs w:val="22"/>
                <w:lang w:eastAsia="ja-JP"/>
              </w:rPr>
              <w:t>40 mg svake druge nedjelje</w:t>
            </w:r>
          </w:p>
        </w:tc>
      </w:tr>
    </w:tbl>
    <w:p w14:paraId="1FDE6752" w14:textId="77777777" w:rsidR="0083687B" w:rsidRPr="0083687B" w:rsidRDefault="0083687B" w:rsidP="00730D96">
      <w:pPr>
        <w:widowControl w:val="0"/>
        <w:autoSpaceDE w:val="0"/>
        <w:autoSpaceDN w:val="0"/>
        <w:adjustRightInd w:val="0"/>
        <w:jc w:val="both"/>
        <w:rPr>
          <w:sz w:val="22"/>
          <w:szCs w:val="22"/>
        </w:rPr>
      </w:pPr>
    </w:p>
    <w:p w14:paraId="322E6917"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Nije ispitivano djelovanje lijeka Humira kod pacijenata </w:t>
      </w:r>
      <w:proofErr w:type="gramStart"/>
      <w:r w:rsidRPr="0083687B">
        <w:rPr>
          <w:sz w:val="22"/>
          <w:szCs w:val="22"/>
        </w:rPr>
        <w:t>sa</w:t>
      </w:r>
      <w:proofErr w:type="gramEnd"/>
      <w:r w:rsidRPr="0083687B">
        <w:rPr>
          <w:sz w:val="22"/>
          <w:szCs w:val="22"/>
        </w:rPr>
        <w:t xml:space="preserve"> artritisom povezanim sa entezitisom mlađih od 6 godina.</w:t>
      </w:r>
    </w:p>
    <w:p w14:paraId="398268F4" w14:textId="77777777" w:rsidR="0083687B" w:rsidRPr="0083687B" w:rsidRDefault="0083687B">
      <w:pPr>
        <w:widowControl w:val="0"/>
        <w:autoSpaceDE w:val="0"/>
        <w:autoSpaceDN w:val="0"/>
        <w:adjustRightInd w:val="0"/>
        <w:jc w:val="both"/>
        <w:rPr>
          <w:sz w:val="22"/>
          <w:szCs w:val="22"/>
        </w:rPr>
      </w:pPr>
      <w:r w:rsidRPr="0083687B">
        <w:rPr>
          <w:sz w:val="22"/>
          <w:szCs w:val="22"/>
          <w:lang w:val="hr-HR"/>
        </w:rPr>
        <w:t>Lijek Humira može biti dostupan u drugim jačinama i/ili oblicima pakovanja, zavisno od terapijskih potreba pojedinog pacijenta.</w:t>
      </w:r>
    </w:p>
    <w:p w14:paraId="5B012B0F" w14:textId="77777777" w:rsidR="0083687B" w:rsidRPr="0083687B" w:rsidRDefault="0083687B">
      <w:pPr>
        <w:widowControl w:val="0"/>
        <w:autoSpaceDE w:val="0"/>
        <w:autoSpaceDN w:val="0"/>
        <w:adjustRightInd w:val="0"/>
        <w:ind w:left="567" w:hanging="567"/>
        <w:jc w:val="both"/>
        <w:rPr>
          <w:sz w:val="22"/>
          <w:szCs w:val="22"/>
        </w:rPr>
      </w:pPr>
    </w:p>
    <w:p w14:paraId="56DDD728" w14:textId="77777777" w:rsidR="0083687B" w:rsidRPr="0083687B" w:rsidRDefault="0083687B">
      <w:pPr>
        <w:widowControl w:val="0"/>
        <w:autoSpaceDE w:val="0"/>
        <w:autoSpaceDN w:val="0"/>
        <w:adjustRightInd w:val="0"/>
        <w:jc w:val="both"/>
        <w:rPr>
          <w:i/>
          <w:sz w:val="22"/>
          <w:szCs w:val="22"/>
        </w:rPr>
      </w:pPr>
      <w:r w:rsidRPr="0083687B">
        <w:rPr>
          <w:i/>
          <w:sz w:val="22"/>
          <w:szCs w:val="22"/>
        </w:rPr>
        <w:t>Plak psorijaza kod djece</w:t>
      </w:r>
    </w:p>
    <w:p w14:paraId="17940B46"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Preporučena doza lijeka Humira za pacijente </w:t>
      </w:r>
      <w:proofErr w:type="gramStart"/>
      <w:r w:rsidRPr="0083687B">
        <w:rPr>
          <w:sz w:val="22"/>
          <w:szCs w:val="22"/>
        </w:rPr>
        <w:t>sa</w:t>
      </w:r>
      <w:proofErr w:type="gramEnd"/>
      <w:r w:rsidRPr="0083687B">
        <w:rPr>
          <w:sz w:val="22"/>
          <w:szCs w:val="22"/>
        </w:rPr>
        <w:t xml:space="preserve"> plak psorijazom uzrasta od 4 do 17 godina starosti se određuje na osnovu tjelesne težine (Tabela 3). Lijek Humira se primjenjuje supkutanom injekcijom. </w:t>
      </w:r>
    </w:p>
    <w:p w14:paraId="25814BEE" w14:textId="77777777" w:rsidR="0083687B" w:rsidRPr="0083687B" w:rsidRDefault="0083687B">
      <w:pPr>
        <w:widowControl w:val="0"/>
        <w:autoSpaceDE w:val="0"/>
        <w:autoSpaceDN w:val="0"/>
        <w:adjustRightInd w:val="0"/>
        <w:jc w:val="both"/>
        <w:rPr>
          <w:sz w:val="22"/>
          <w:szCs w:val="22"/>
        </w:rPr>
      </w:pPr>
    </w:p>
    <w:p w14:paraId="6C4AB895" w14:textId="77777777" w:rsidR="0083687B" w:rsidRPr="0083687B" w:rsidRDefault="0083687B" w:rsidP="00EB3350">
      <w:pPr>
        <w:widowControl w:val="0"/>
        <w:autoSpaceDE w:val="0"/>
        <w:autoSpaceDN w:val="0"/>
        <w:adjustRightInd w:val="0"/>
        <w:jc w:val="both"/>
        <w:rPr>
          <w:b/>
          <w:sz w:val="22"/>
          <w:szCs w:val="22"/>
          <w:lang w:val="hr-HR"/>
        </w:rPr>
      </w:pPr>
      <w:r w:rsidRPr="0083687B">
        <w:rPr>
          <w:b/>
          <w:sz w:val="22"/>
          <w:szCs w:val="22"/>
          <w:lang w:val="hr-HR"/>
        </w:rPr>
        <w:t>Tabela 3. Doza lijeka Humira za pedijatrijske pacijente sa plak psorijazom</w:t>
      </w:r>
    </w:p>
    <w:tbl>
      <w:tblPr>
        <w:tblW w:w="7293" w:type="dxa"/>
        <w:jc w:val="center"/>
        <w:tblLayout w:type="fixed"/>
        <w:tblLook w:val="0000" w:firstRow="0" w:lastRow="0" w:firstColumn="0" w:lastColumn="0" w:noHBand="0" w:noVBand="0"/>
      </w:tblPr>
      <w:tblGrid>
        <w:gridCol w:w="3650"/>
        <w:gridCol w:w="3643"/>
      </w:tblGrid>
      <w:tr w:rsidR="0083687B" w:rsidRPr="0083687B" w14:paraId="191046FB" w14:textId="77777777" w:rsidTr="0088568A">
        <w:trPr>
          <w:trHeight w:val="217"/>
          <w:tblHeader/>
          <w:jc w:val="center"/>
        </w:trPr>
        <w:tc>
          <w:tcPr>
            <w:tcW w:w="3650" w:type="dxa"/>
            <w:tcBorders>
              <w:top w:val="single" w:sz="4" w:space="0" w:color="auto"/>
              <w:bottom w:val="single" w:sz="4" w:space="0" w:color="auto"/>
            </w:tcBorders>
            <w:shd w:val="clear" w:color="auto" w:fill="auto"/>
          </w:tcPr>
          <w:p w14:paraId="09982524" w14:textId="77777777" w:rsidR="0083687B" w:rsidRPr="0083687B" w:rsidRDefault="0083687B" w:rsidP="00EB3350">
            <w:pPr>
              <w:keepNext/>
              <w:spacing w:before="40"/>
              <w:jc w:val="both"/>
              <w:rPr>
                <w:rFonts w:eastAsia="Calibri"/>
                <w:b/>
                <w:sz w:val="22"/>
                <w:szCs w:val="22"/>
                <w:lang w:eastAsia="ja-JP"/>
              </w:rPr>
            </w:pPr>
            <w:r w:rsidRPr="0083687B">
              <w:rPr>
                <w:rFonts w:eastAsia="Calibri"/>
                <w:b/>
                <w:sz w:val="22"/>
                <w:szCs w:val="22"/>
                <w:lang w:eastAsia="ja-JP"/>
              </w:rPr>
              <w:t>Tjelesna težina pacijenta</w:t>
            </w:r>
          </w:p>
        </w:tc>
        <w:tc>
          <w:tcPr>
            <w:tcW w:w="3643" w:type="dxa"/>
            <w:tcBorders>
              <w:top w:val="single" w:sz="4" w:space="0" w:color="auto"/>
              <w:bottom w:val="single" w:sz="4" w:space="0" w:color="auto"/>
            </w:tcBorders>
            <w:shd w:val="clear" w:color="auto" w:fill="auto"/>
          </w:tcPr>
          <w:p w14:paraId="2CD5970B" w14:textId="77777777" w:rsidR="0083687B" w:rsidRPr="0083687B" w:rsidRDefault="0083687B" w:rsidP="00EB3350">
            <w:pPr>
              <w:keepNext/>
              <w:spacing w:before="40"/>
              <w:jc w:val="both"/>
              <w:rPr>
                <w:rFonts w:eastAsia="Calibri"/>
                <w:b/>
                <w:sz w:val="22"/>
                <w:szCs w:val="22"/>
                <w:lang w:eastAsia="ja-JP"/>
              </w:rPr>
            </w:pPr>
            <w:r w:rsidRPr="0083687B">
              <w:rPr>
                <w:rFonts w:eastAsia="Calibri"/>
                <w:b/>
                <w:sz w:val="22"/>
                <w:szCs w:val="22"/>
                <w:lang w:eastAsia="ja-JP"/>
              </w:rPr>
              <w:t>Režim doziranja</w:t>
            </w:r>
          </w:p>
        </w:tc>
      </w:tr>
      <w:tr w:rsidR="0083687B" w:rsidRPr="0083687B" w14:paraId="16D92C0D" w14:textId="77777777" w:rsidTr="0088568A">
        <w:trPr>
          <w:trHeight w:val="792"/>
          <w:tblHeader/>
          <w:jc w:val="center"/>
        </w:trPr>
        <w:tc>
          <w:tcPr>
            <w:tcW w:w="3650" w:type="dxa"/>
            <w:tcBorders>
              <w:top w:val="single" w:sz="4" w:space="0" w:color="auto"/>
              <w:bottom w:val="single" w:sz="4" w:space="0" w:color="auto"/>
            </w:tcBorders>
            <w:shd w:val="clear" w:color="auto" w:fill="auto"/>
          </w:tcPr>
          <w:p w14:paraId="207FD7B0" w14:textId="77777777" w:rsidR="0083687B" w:rsidRPr="0083687B" w:rsidRDefault="0083687B" w:rsidP="00EB3350">
            <w:pPr>
              <w:keepNext/>
              <w:spacing w:before="40"/>
              <w:jc w:val="both"/>
              <w:rPr>
                <w:rFonts w:eastAsia="Calibri"/>
                <w:b/>
                <w:sz w:val="22"/>
                <w:szCs w:val="22"/>
                <w:lang w:eastAsia="ja-JP"/>
              </w:rPr>
            </w:pPr>
            <w:r w:rsidRPr="0083687B">
              <w:rPr>
                <w:rFonts w:eastAsia="Calibri"/>
                <w:sz w:val="22"/>
                <w:szCs w:val="22"/>
                <w:lang w:eastAsia="ja-JP"/>
              </w:rPr>
              <w:t>15 kg do &lt; 30 kg</w:t>
            </w:r>
          </w:p>
        </w:tc>
        <w:tc>
          <w:tcPr>
            <w:tcW w:w="3643" w:type="dxa"/>
            <w:tcBorders>
              <w:top w:val="single" w:sz="4" w:space="0" w:color="auto"/>
              <w:bottom w:val="single" w:sz="4" w:space="0" w:color="auto"/>
            </w:tcBorders>
            <w:shd w:val="clear" w:color="auto" w:fill="auto"/>
          </w:tcPr>
          <w:p w14:paraId="63823FDF" w14:textId="77777777" w:rsidR="0083687B" w:rsidRPr="0083687B" w:rsidRDefault="0083687B" w:rsidP="00EB3350">
            <w:pPr>
              <w:keepNext/>
              <w:tabs>
                <w:tab w:val="left" w:pos="299"/>
              </w:tabs>
              <w:spacing w:before="40"/>
              <w:jc w:val="both"/>
              <w:rPr>
                <w:rFonts w:eastAsia="Calibri"/>
                <w:sz w:val="22"/>
                <w:szCs w:val="22"/>
                <w:lang w:eastAsia="ja-JP"/>
              </w:rPr>
            </w:pPr>
            <w:r w:rsidRPr="0083687B">
              <w:rPr>
                <w:rFonts w:eastAsia="Calibri"/>
                <w:sz w:val="22"/>
                <w:szCs w:val="22"/>
                <w:lang w:eastAsia="ja-JP"/>
              </w:rPr>
              <w:t xml:space="preserve">Početna doza od 20 mg, </w:t>
            </w:r>
            <w:proofErr w:type="gramStart"/>
            <w:r w:rsidRPr="0083687B">
              <w:rPr>
                <w:rFonts w:eastAsia="Calibri"/>
                <w:sz w:val="22"/>
                <w:szCs w:val="22"/>
                <w:lang w:eastAsia="ja-JP"/>
              </w:rPr>
              <w:t>a</w:t>
            </w:r>
            <w:proofErr w:type="gramEnd"/>
            <w:r w:rsidRPr="0083687B">
              <w:rPr>
                <w:rFonts w:eastAsia="Calibri"/>
                <w:sz w:val="22"/>
                <w:szCs w:val="22"/>
                <w:lang w:eastAsia="ja-JP"/>
              </w:rPr>
              <w:t xml:space="preserve"> onda doza od 20 mg svake druge nedjelje, počevši jednu nedjelju nakon početne doze.</w:t>
            </w:r>
          </w:p>
        </w:tc>
      </w:tr>
      <w:tr w:rsidR="0083687B" w:rsidRPr="0083687B" w14:paraId="7215AA56" w14:textId="77777777" w:rsidTr="0088568A">
        <w:trPr>
          <w:trHeight w:val="966"/>
          <w:tblHeader/>
          <w:jc w:val="center"/>
        </w:trPr>
        <w:tc>
          <w:tcPr>
            <w:tcW w:w="3650" w:type="dxa"/>
            <w:tcBorders>
              <w:top w:val="single" w:sz="4" w:space="0" w:color="auto"/>
              <w:bottom w:val="single" w:sz="4" w:space="0" w:color="auto"/>
            </w:tcBorders>
            <w:shd w:val="clear" w:color="auto" w:fill="auto"/>
          </w:tcPr>
          <w:p w14:paraId="247BA0A0" w14:textId="77777777" w:rsidR="0083687B" w:rsidRPr="0083687B" w:rsidRDefault="0083687B" w:rsidP="00EB3350">
            <w:pPr>
              <w:keepNext/>
              <w:spacing w:before="40"/>
              <w:jc w:val="both"/>
              <w:rPr>
                <w:rFonts w:eastAsia="Calibri"/>
                <w:b/>
                <w:sz w:val="22"/>
                <w:szCs w:val="22"/>
                <w:lang w:eastAsia="ja-JP"/>
              </w:rPr>
            </w:pPr>
            <w:r w:rsidRPr="0083687B">
              <w:rPr>
                <w:rFonts w:eastAsia="Calibri"/>
                <w:sz w:val="22"/>
                <w:szCs w:val="22"/>
                <w:lang w:eastAsia="ja-JP"/>
              </w:rPr>
              <w:t>≥ 30 kg</w:t>
            </w:r>
          </w:p>
        </w:tc>
        <w:tc>
          <w:tcPr>
            <w:tcW w:w="3643" w:type="dxa"/>
            <w:tcBorders>
              <w:top w:val="single" w:sz="4" w:space="0" w:color="auto"/>
              <w:bottom w:val="single" w:sz="4" w:space="0" w:color="auto"/>
            </w:tcBorders>
            <w:shd w:val="clear" w:color="auto" w:fill="auto"/>
          </w:tcPr>
          <w:p w14:paraId="35CDF2EA" w14:textId="77777777" w:rsidR="0083687B" w:rsidRPr="0083687B" w:rsidRDefault="0083687B" w:rsidP="00EB3350">
            <w:pPr>
              <w:keepNext/>
              <w:spacing w:before="40"/>
              <w:jc w:val="both"/>
              <w:rPr>
                <w:rFonts w:eastAsia="Calibri"/>
                <w:sz w:val="22"/>
                <w:szCs w:val="22"/>
                <w:lang w:eastAsia="ja-JP"/>
              </w:rPr>
            </w:pPr>
            <w:r w:rsidRPr="0083687B">
              <w:rPr>
                <w:rFonts w:eastAsia="Calibri"/>
                <w:sz w:val="22"/>
                <w:szCs w:val="22"/>
                <w:lang w:eastAsia="ja-JP"/>
              </w:rPr>
              <w:t xml:space="preserve">Početna doza od 40 mg, </w:t>
            </w:r>
            <w:proofErr w:type="gramStart"/>
            <w:r w:rsidRPr="0083687B">
              <w:rPr>
                <w:rFonts w:eastAsia="Calibri"/>
                <w:sz w:val="22"/>
                <w:szCs w:val="22"/>
                <w:lang w:eastAsia="ja-JP"/>
              </w:rPr>
              <w:t>a</w:t>
            </w:r>
            <w:proofErr w:type="gramEnd"/>
            <w:r w:rsidRPr="0083687B">
              <w:rPr>
                <w:rFonts w:eastAsia="Calibri"/>
                <w:sz w:val="22"/>
                <w:szCs w:val="22"/>
                <w:lang w:eastAsia="ja-JP"/>
              </w:rPr>
              <w:t xml:space="preserve"> onda doza od 40 mg svake druge nedjelje, počevši jednu nedjelju nakon početne doze.</w:t>
            </w:r>
          </w:p>
          <w:p w14:paraId="38ECDE37" w14:textId="77777777" w:rsidR="0083687B" w:rsidRPr="0083687B" w:rsidRDefault="0083687B" w:rsidP="00EB3350">
            <w:pPr>
              <w:keepNext/>
              <w:spacing w:before="40"/>
              <w:jc w:val="both"/>
              <w:rPr>
                <w:rFonts w:eastAsia="Calibri"/>
                <w:b/>
                <w:sz w:val="22"/>
                <w:szCs w:val="22"/>
                <w:lang w:eastAsia="ja-JP"/>
              </w:rPr>
            </w:pPr>
          </w:p>
        </w:tc>
      </w:tr>
    </w:tbl>
    <w:p w14:paraId="44349496" w14:textId="77777777" w:rsidR="0083687B" w:rsidRPr="0083687B" w:rsidRDefault="0083687B" w:rsidP="00730D96">
      <w:pPr>
        <w:widowControl w:val="0"/>
        <w:autoSpaceDE w:val="0"/>
        <w:autoSpaceDN w:val="0"/>
        <w:adjustRightInd w:val="0"/>
        <w:jc w:val="both"/>
        <w:rPr>
          <w:sz w:val="22"/>
          <w:szCs w:val="22"/>
        </w:rPr>
      </w:pPr>
    </w:p>
    <w:p w14:paraId="30351556" w14:textId="77777777" w:rsidR="0083687B" w:rsidRPr="0083687B" w:rsidRDefault="0083687B">
      <w:pPr>
        <w:widowControl w:val="0"/>
        <w:autoSpaceDE w:val="0"/>
        <w:autoSpaceDN w:val="0"/>
        <w:adjustRightInd w:val="0"/>
        <w:jc w:val="both"/>
        <w:rPr>
          <w:sz w:val="22"/>
          <w:szCs w:val="22"/>
        </w:rPr>
      </w:pPr>
      <w:r w:rsidRPr="0083687B">
        <w:rPr>
          <w:sz w:val="22"/>
          <w:szCs w:val="22"/>
        </w:rPr>
        <w:t>Ako pacijent ne postigne terapijski odgovor unutar 16 nedjelja, nastavak liječenja nakon tog razdoblja potrebno je pomno razmotriti.</w:t>
      </w:r>
    </w:p>
    <w:p w14:paraId="7F804BB8" w14:textId="77777777" w:rsidR="0083687B" w:rsidRPr="0083687B" w:rsidRDefault="0083687B">
      <w:pPr>
        <w:widowControl w:val="0"/>
        <w:autoSpaceDE w:val="0"/>
        <w:autoSpaceDN w:val="0"/>
        <w:adjustRightInd w:val="0"/>
        <w:jc w:val="both"/>
        <w:rPr>
          <w:sz w:val="22"/>
          <w:szCs w:val="22"/>
        </w:rPr>
      </w:pPr>
    </w:p>
    <w:p w14:paraId="77E5DCFC" w14:textId="77777777" w:rsidR="0083687B" w:rsidRPr="0083687B" w:rsidRDefault="0083687B">
      <w:pPr>
        <w:widowControl w:val="0"/>
        <w:autoSpaceDE w:val="0"/>
        <w:autoSpaceDN w:val="0"/>
        <w:adjustRightInd w:val="0"/>
        <w:jc w:val="both"/>
        <w:rPr>
          <w:sz w:val="22"/>
          <w:szCs w:val="22"/>
        </w:rPr>
      </w:pPr>
      <w:r w:rsidRPr="0083687B">
        <w:rPr>
          <w:sz w:val="22"/>
          <w:szCs w:val="22"/>
        </w:rPr>
        <w:t>Ako je indikovano ponovno liječenje lijekom Humira, potrebno je pridržavati se gore navedenih smjernica za doziranje i trajanje liječenja.</w:t>
      </w:r>
    </w:p>
    <w:p w14:paraId="485B9539" w14:textId="77777777" w:rsidR="0083687B" w:rsidRPr="0083687B" w:rsidRDefault="0083687B">
      <w:pPr>
        <w:widowControl w:val="0"/>
        <w:autoSpaceDE w:val="0"/>
        <w:autoSpaceDN w:val="0"/>
        <w:adjustRightInd w:val="0"/>
        <w:jc w:val="both"/>
        <w:rPr>
          <w:sz w:val="22"/>
          <w:szCs w:val="22"/>
        </w:rPr>
      </w:pPr>
    </w:p>
    <w:p w14:paraId="7C789846"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Bezbjednost lijeka Humira kod djece </w:t>
      </w:r>
      <w:proofErr w:type="gramStart"/>
      <w:r w:rsidRPr="0083687B">
        <w:rPr>
          <w:sz w:val="22"/>
          <w:szCs w:val="22"/>
        </w:rPr>
        <w:t>sa</w:t>
      </w:r>
      <w:proofErr w:type="gramEnd"/>
      <w:r w:rsidRPr="0083687B">
        <w:rPr>
          <w:sz w:val="22"/>
          <w:szCs w:val="22"/>
        </w:rPr>
        <w:t xml:space="preserve"> plak psorijazom procjenjivala se tokom srednjeg razdoblja od 13 mjeseci.</w:t>
      </w:r>
    </w:p>
    <w:p w14:paraId="3976BD33" w14:textId="77777777" w:rsidR="0083687B" w:rsidRPr="0083687B" w:rsidRDefault="0083687B">
      <w:pPr>
        <w:widowControl w:val="0"/>
        <w:autoSpaceDE w:val="0"/>
        <w:autoSpaceDN w:val="0"/>
        <w:adjustRightInd w:val="0"/>
        <w:jc w:val="both"/>
        <w:rPr>
          <w:sz w:val="22"/>
          <w:szCs w:val="22"/>
        </w:rPr>
      </w:pPr>
    </w:p>
    <w:p w14:paraId="1B452C77"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Nema relevantne primjene lijeka Humira kod djece mlađe </w:t>
      </w:r>
      <w:proofErr w:type="gramStart"/>
      <w:r w:rsidRPr="0083687B">
        <w:rPr>
          <w:sz w:val="22"/>
          <w:szCs w:val="22"/>
        </w:rPr>
        <w:t>od</w:t>
      </w:r>
      <w:proofErr w:type="gramEnd"/>
      <w:r w:rsidRPr="0083687B">
        <w:rPr>
          <w:sz w:val="22"/>
          <w:szCs w:val="22"/>
        </w:rPr>
        <w:t xml:space="preserve"> 4 godine u ovoj indikaciji.</w:t>
      </w:r>
    </w:p>
    <w:p w14:paraId="47C78A07" w14:textId="77777777" w:rsidR="0083687B" w:rsidRPr="0083687B" w:rsidRDefault="0083687B">
      <w:pPr>
        <w:widowControl w:val="0"/>
        <w:autoSpaceDE w:val="0"/>
        <w:autoSpaceDN w:val="0"/>
        <w:adjustRightInd w:val="0"/>
        <w:jc w:val="both"/>
        <w:rPr>
          <w:sz w:val="22"/>
          <w:szCs w:val="22"/>
        </w:rPr>
      </w:pPr>
    </w:p>
    <w:p w14:paraId="4D06FC3E"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Lijek Humira može biti dostupan u drugim jačinama i/ili oblicima pakovanja, zavisno </w:t>
      </w:r>
      <w:proofErr w:type="gramStart"/>
      <w:r w:rsidRPr="0083687B">
        <w:rPr>
          <w:sz w:val="22"/>
          <w:szCs w:val="22"/>
        </w:rPr>
        <w:t>od</w:t>
      </w:r>
      <w:proofErr w:type="gramEnd"/>
      <w:r w:rsidRPr="0083687B">
        <w:rPr>
          <w:sz w:val="22"/>
          <w:szCs w:val="22"/>
        </w:rPr>
        <w:t xml:space="preserve"> terapijskih potreba pojedinog pacijenta.</w:t>
      </w:r>
    </w:p>
    <w:p w14:paraId="2007BE3A" w14:textId="77777777" w:rsidR="0083687B" w:rsidRPr="0083687B" w:rsidRDefault="0083687B">
      <w:pPr>
        <w:widowControl w:val="0"/>
        <w:autoSpaceDE w:val="0"/>
        <w:autoSpaceDN w:val="0"/>
        <w:adjustRightInd w:val="0"/>
        <w:jc w:val="both"/>
        <w:rPr>
          <w:i/>
          <w:sz w:val="22"/>
          <w:szCs w:val="22"/>
        </w:rPr>
      </w:pPr>
    </w:p>
    <w:p w14:paraId="64197988" w14:textId="77777777" w:rsidR="0083687B" w:rsidRPr="0083687B" w:rsidRDefault="0083687B">
      <w:pPr>
        <w:widowControl w:val="0"/>
        <w:autoSpaceDE w:val="0"/>
        <w:autoSpaceDN w:val="0"/>
        <w:adjustRightInd w:val="0"/>
        <w:ind w:left="567" w:hanging="567"/>
        <w:jc w:val="both"/>
        <w:rPr>
          <w:i/>
          <w:sz w:val="22"/>
          <w:szCs w:val="22"/>
        </w:rPr>
      </w:pPr>
      <w:r w:rsidRPr="0083687B">
        <w:rPr>
          <w:i/>
          <w:sz w:val="22"/>
          <w:szCs w:val="22"/>
        </w:rPr>
        <w:t>Crohn-ova bolest kod djece</w:t>
      </w:r>
    </w:p>
    <w:p w14:paraId="405834AB" w14:textId="77777777" w:rsidR="0083687B" w:rsidRPr="0083687B" w:rsidRDefault="0083687B">
      <w:pPr>
        <w:widowControl w:val="0"/>
        <w:autoSpaceDE w:val="0"/>
        <w:autoSpaceDN w:val="0"/>
        <w:adjustRightInd w:val="0"/>
        <w:ind w:left="567" w:hanging="567"/>
        <w:jc w:val="both"/>
        <w:rPr>
          <w:sz w:val="22"/>
          <w:szCs w:val="22"/>
        </w:rPr>
      </w:pPr>
    </w:p>
    <w:p w14:paraId="12E94AEE" w14:textId="5269A371" w:rsidR="0083687B" w:rsidRPr="0083687B" w:rsidRDefault="0083687B">
      <w:pPr>
        <w:widowControl w:val="0"/>
        <w:autoSpaceDE w:val="0"/>
        <w:autoSpaceDN w:val="0"/>
        <w:adjustRightInd w:val="0"/>
        <w:jc w:val="both"/>
        <w:rPr>
          <w:sz w:val="22"/>
          <w:szCs w:val="22"/>
          <w:lang w:val="hr-HR"/>
        </w:rPr>
      </w:pPr>
      <w:r w:rsidRPr="0083687B">
        <w:rPr>
          <w:sz w:val="22"/>
          <w:szCs w:val="22"/>
          <w:lang w:val="hr-HR"/>
        </w:rPr>
        <w:t>Preporučena doza lijeka Humira za pacijente sa Crohn-ovom bolešću uzrasta od 6 do 17 godina se određuje na osnovu tjelesne težine (Tabela 4). Lijek Humira se primjenjuje su</w:t>
      </w:r>
      <w:r w:rsidR="000A28B4">
        <w:rPr>
          <w:sz w:val="22"/>
          <w:szCs w:val="22"/>
          <w:lang w:val="hr-HR"/>
        </w:rPr>
        <w:t>p</w:t>
      </w:r>
      <w:r w:rsidRPr="0083687B">
        <w:rPr>
          <w:sz w:val="22"/>
          <w:szCs w:val="22"/>
          <w:lang w:val="hr-HR"/>
        </w:rPr>
        <w:t xml:space="preserve">kutanom injekcijom. </w:t>
      </w:r>
    </w:p>
    <w:p w14:paraId="1AEC58E4" w14:textId="77777777" w:rsidR="0083687B" w:rsidRPr="0083687B" w:rsidRDefault="0083687B">
      <w:pPr>
        <w:widowControl w:val="0"/>
        <w:autoSpaceDE w:val="0"/>
        <w:autoSpaceDN w:val="0"/>
        <w:adjustRightInd w:val="0"/>
        <w:jc w:val="both"/>
        <w:rPr>
          <w:sz w:val="22"/>
          <w:szCs w:val="22"/>
          <w:lang w:val="hr-HR"/>
        </w:rPr>
      </w:pPr>
    </w:p>
    <w:p w14:paraId="718457EC" w14:textId="77777777" w:rsidR="0067153B" w:rsidRDefault="0067153B" w:rsidP="00EB3350">
      <w:pPr>
        <w:widowControl w:val="0"/>
        <w:autoSpaceDE w:val="0"/>
        <w:autoSpaceDN w:val="0"/>
        <w:adjustRightInd w:val="0"/>
        <w:ind w:left="567" w:hanging="567"/>
        <w:jc w:val="both"/>
        <w:rPr>
          <w:b/>
          <w:sz w:val="22"/>
          <w:szCs w:val="22"/>
          <w:lang w:val="hr-HR"/>
        </w:rPr>
      </w:pPr>
    </w:p>
    <w:p w14:paraId="2A4B14C4" w14:textId="77777777" w:rsidR="0067153B" w:rsidRDefault="0067153B" w:rsidP="00EB3350">
      <w:pPr>
        <w:widowControl w:val="0"/>
        <w:autoSpaceDE w:val="0"/>
        <w:autoSpaceDN w:val="0"/>
        <w:adjustRightInd w:val="0"/>
        <w:ind w:left="567" w:hanging="567"/>
        <w:jc w:val="both"/>
        <w:rPr>
          <w:b/>
          <w:sz w:val="22"/>
          <w:szCs w:val="22"/>
          <w:lang w:val="hr-HR"/>
        </w:rPr>
      </w:pPr>
    </w:p>
    <w:p w14:paraId="00BE2BAF" w14:textId="77777777" w:rsidR="0067153B" w:rsidRDefault="0067153B" w:rsidP="00EB3350">
      <w:pPr>
        <w:widowControl w:val="0"/>
        <w:autoSpaceDE w:val="0"/>
        <w:autoSpaceDN w:val="0"/>
        <w:adjustRightInd w:val="0"/>
        <w:ind w:left="567" w:hanging="567"/>
        <w:jc w:val="both"/>
        <w:rPr>
          <w:b/>
          <w:sz w:val="22"/>
          <w:szCs w:val="22"/>
          <w:lang w:val="hr-HR"/>
        </w:rPr>
      </w:pPr>
    </w:p>
    <w:p w14:paraId="31B64D1C" w14:textId="77777777" w:rsidR="0067153B" w:rsidRDefault="0067153B" w:rsidP="00EB3350">
      <w:pPr>
        <w:widowControl w:val="0"/>
        <w:autoSpaceDE w:val="0"/>
        <w:autoSpaceDN w:val="0"/>
        <w:adjustRightInd w:val="0"/>
        <w:ind w:left="567" w:hanging="567"/>
        <w:jc w:val="both"/>
        <w:rPr>
          <w:b/>
          <w:sz w:val="22"/>
          <w:szCs w:val="22"/>
          <w:lang w:val="hr-HR"/>
        </w:rPr>
      </w:pPr>
    </w:p>
    <w:p w14:paraId="4890EFE8" w14:textId="77777777" w:rsidR="0067153B" w:rsidRDefault="0067153B" w:rsidP="00EB3350">
      <w:pPr>
        <w:widowControl w:val="0"/>
        <w:autoSpaceDE w:val="0"/>
        <w:autoSpaceDN w:val="0"/>
        <w:adjustRightInd w:val="0"/>
        <w:ind w:left="567" w:hanging="567"/>
        <w:jc w:val="both"/>
        <w:rPr>
          <w:b/>
          <w:sz w:val="22"/>
          <w:szCs w:val="22"/>
          <w:lang w:val="hr-HR"/>
        </w:rPr>
      </w:pPr>
    </w:p>
    <w:p w14:paraId="6CA6C1DE" w14:textId="77777777" w:rsidR="0067153B" w:rsidRDefault="0067153B" w:rsidP="00EB3350">
      <w:pPr>
        <w:widowControl w:val="0"/>
        <w:autoSpaceDE w:val="0"/>
        <w:autoSpaceDN w:val="0"/>
        <w:adjustRightInd w:val="0"/>
        <w:ind w:left="567" w:hanging="567"/>
        <w:jc w:val="both"/>
        <w:rPr>
          <w:b/>
          <w:sz w:val="22"/>
          <w:szCs w:val="22"/>
          <w:lang w:val="hr-HR"/>
        </w:rPr>
      </w:pPr>
    </w:p>
    <w:p w14:paraId="781AE0CA" w14:textId="677ACA10" w:rsidR="0083687B" w:rsidRPr="0083687B" w:rsidRDefault="0083687B" w:rsidP="00EB3350">
      <w:pPr>
        <w:widowControl w:val="0"/>
        <w:autoSpaceDE w:val="0"/>
        <w:autoSpaceDN w:val="0"/>
        <w:adjustRightInd w:val="0"/>
        <w:ind w:left="567" w:hanging="567"/>
        <w:jc w:val="both"/>
        <w:rPr>
          <w:b/>
          <w:sz w:val="22"/>
          <w:szCs w:val="22"/>
          <w:lang w:val="hr-HR"/>
        </w:rPr>
      </w:pPr>
      <w:r w:rsidRPr="0083687B">
        <w:rPr>
          <w:b/>
          <w:sz w:val="22"/>
          <w:szCs w:val="22"/>
          <w:lang w:val="hr-HR"/>
        </w:rPr>
        <w:t>Tabela 4. Doza lijeka Humira za pedijatrijske pacijente sa Crohn-ovom bolešću</w:t>
      </w:r>
    </w:p>
    <w:p w14:paraId="3A2EADE7" w14:textId="77777777" w:rsidR="0083687B" w:rsidRPr="0083687B" w:rsidRDefault="0083687B" w:rsidP="00730D96">
      <w:pPr>
        <w:widowControl w:val="0"/>
        <w:autoSpaceDE w:val="0"/>
        <w:autoSpaceDN w:val="0"/>
        <w:adjustRightInd w:val="0"/>
        <w:ind w:left="567" w:hanging="567"/>
        <w:jc w:val="both"/>
        <w:rPr>
          <w:sz w:val="22"/>
          <w:szCs w:val="22"/>
          <w:lang w:val="hr-HR"/>
        </w:rPr>
      </w:pPr>
    </w:p>
    <w:tbl>
      <w:tblPr>
        <w:tblW w:w="4993"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6"/>
        <w:gridCol w:w="6127"/>
        <w:gridCol w:w="1491"/>
      </w:tblGrid>
      <w:tr w:rsidR="0083687B" w:rsidRPr="0083687B" w14:paraId="591EDA86" w14:textId="77777777" w:rsidTr="0088568A">
        <w:trPr>
          <w:trHeight w:val="692"/>
          <w:tblHeader/>
        </w:trPr>
        <w:tc>
          <w:tcPr>
            <w:tcW w:w="0" w:type="auto"/>
            <w:tcBorders>
              <w:top w:val="single" w:sz="6" w:space="0" w:color="000000"/>
              <w:left w:val="single" w:sz="6" w:space="0" w:color="000000"/>
              <w:bottom w:val="single" w:sz="6" w:space="0" w:color="000000"/>
              <w:right w:val="single" w:sz="6" w:space="0" w:color="000000"/>
            </w:tcBorders>
            <w:hideMark/>
          </w:tcPr>
          <w:p w14:paraId="2BD24EF6" w14:textId="77777777" w:rsidR="0083687B" w:rsidRPr="0083687B" w:rsidRDefault="0083687B" w:rsidP="00EB3350">
            <w:pPr>
              <w:keepNext/>
              <w:tabs>
                <w:tab w:val="left" w:pos="562"/>
              </w:tabs>
              <w:suppressAutoHyphens/>
              <w:jc w:val="both"/>
              <w:rPr>
                <w:sz w:val="22"/>
                <w:szCs w:val="22"/>
              </w:rPr>
            </w:pPr>
            <w:r w:rsidRPr="0083687B">
              <w:rPr>
                <w:b/>
                <w:sz w:val="22"/>
                <w:szCs w:val="22"/>
              </w:rPr>
              <w:t>Tjelesna težina pacijenata</w:t>
            </w:r>
          </w:p>
        </w:tc>
        <w:tc>
          <w:tcPr>
            <w:tcW w:w="0" w:type="auto"/>
            <w:tcBorders>
              <w:top w:val="single" w:sz="6" w:space="0" w:color="000000"/>
              <w:left w:val="single" w:sz="6" w:space="0" w:color="000000"/>
              <w:bottom w:val="single" w:sz="6" w:space="0" w:color="000000"/>
              <w:right w:val="single" w:sz="6" w:space="0" w:color="000000"/>
            </w:tcBorders>
            <w:hideMark/>
          </w:tcPr>
          <w:p w14:paraId="3E2BF741" w14:textId="77777777" w:rsidR="0083687B" w:rsidRPr="0083687B" w:rsidRDefault="0083687B" w:rsidP="00EB3350">
            <w:pPr>
              <w:keepNext/>
              <w:tabs>
                <w:tab w:val="left" w:pos="562"/>
              </w:tabs>
              <w:suppressAutoHyphens/>
              <w:jc w:val="both"/>
              <w:rPr>
                <w:sz w:val="22"/>
                <w:szCs w:val="22"/>
              </w:rPr>
            </w:pPr>
            <w:r w:rsidRPr="0083687B">
              <w:rPr>
                <w:b/>
                <w:sz w:val="22"/>
                <w:szCs w:val="22"/>
              </w:rPr>
              <w:t>Indukcijska doza</w:t>
            </w:r>
          </w:p>
        </w:tc>
        <w:tc>
          <w:tcPr>
            <w:tcW w:w="0" w:type="auto"/>
            <w:tcBorders>
              <w:top w:val="single" w:sz="6" w:space="0" w:color="000000"/>
              <w:left w:val="single" w:sz="6" w:space="0" w:color="000000"/>
              <w:bottom w:val="single" w:sz="6" w:space="0" w:color="000000"/>
              <w:right w:val="single" w:sz="6" w:space="0" w:color="000000"/>
            </w:tcBorders>
            <w:hideMark/>
          </w:tcPr>
          <w:p w14:paraId="37B941D2" w14:textId="77777777" w:rsidR="0083687B" w:rsidRPr="0083687B" w:rsidRDefault="0083687B" w:rsidP="00EB3350">
            <w:pPr>
              <w:keepNext/>
              <w:tabs>
                <w:tab w:val="left" w:pos="562"/>
              </w:tabs>
              <w:suppressAutoHyphens/>
              <w:jc w:val="both"/>
              <w:rPr>
                <w:sz w:val="22"/>
                <w:szCs w:val="22"/>
              </w:rPr>
            </w:pPr>
            <w:r w:rsidRPr="0083687B">
              <w:rPr>
                <w:b/>
                <w:sz w:val="22"/>
                <w:szCs w:val="22"/>
              </w:rPr>
              <w:t>Doza održavanja</w:t>
            </w:r>
            <w:r w:rsidRPr="0083687B">
              <w:rPr>
                <w:b/>
                <w:sz w:val="22"/>
                <w:szCs w:val="22"/>
              </w:rPr>
              <w:br/>
              <w:t>počevši od 4. nedjelje</w:t>
            </w:r>
          </w:p>
        </w:tc>
      </w:tr>
      <w:tr w:rsidR="0083687B" w:rsidRPr="0083687B" w14:paraId="52FDC7FE" w14:textId="77777777" w:rsidTr="0088568A">
        <w:trPr>
          <w:trHeight w:val="898"/>
        </w:trPr>
        <w:tc>
          <w:tcPr>
            <w:tcW w:w="0" w:type="auto"/>
            <w:tcBorders>
              <w:top w:val="single" w:sz="6" w:space="0" w:color="000000"/>
              <w:left w:val="single" w:sz="6" w:space="0" w:color="000000"/>
              <w:bottom w:val="single" w:sz="6" w:space="0" w:color="000000"/>
              <w:right w:val="single" w:sz="6" w:space="0" w:color="000000"/>
            </w:tcBorders>
            <w:hideMark/>
          </w:tcPr>
          <w:p w14:paraId="0FB21A3A" w14:textId="77777777" w:rsidR="0083687B" w:rsidRPr="0083687B" w:rsidRDefault="0083687B" w:rsidP="00EB3350">
            <w:pPr>
              <w:keepNext/>
              <w:tabs>
                <w:tab w:val="left" w:pos="562"/>
              </w:tabs>
              <w:suppressAutoHyphens/>
              <w:jc w:val="both"/>
              <w:rPr>
                <w:sz w:val="22"/>
                <w:szCs w:val="22"/>
              </w:rPr>
            </w:pPr>
            <w:r w:rsidRPr="0083687B">
              <w:rPr>
                <w:sz w:val="22"/>
                <w:szCs w:val="22"/>
              </w:rPr>
              <w:t>&lt; 40 kg</w:t>
            </w:r>
          </w:p>
        </w:tc>
        <w:tc>
          <w:tcPr>
            <w:tcW w:w="0" w:type="auto"/>
            <w:tcBorders>
              <w:top w:val="single" w:sz="6" w:space="0" w:color="000000"/>
              <w:left w:val="single" w:sz="6" w:space="0" w:color="000000"/>
              <w:bottom w:val="single" w:sz="6" w:space="0" w:color="000000"/>
              <w:right w:val="single" w:sz="6" w:space="0" w:color="000000"/>
            </w:tcBorders>
            <w:hideMark/>
          </w:tcPr>
          <w:p w14:paraId="3EA4EADA" w14:textId="77777777" w:rsidR="0083687B" w:rsidRPr="0083687B" w:rsidRDefault="0083687B" w:rsidP="00EB3350">
            <w:pPr>
              <w:keepNext/>
              <w:numPr>
                <w:ilvl w:val="0"/>
                <w:numId w:val="5"/>
              </w:numPr>
              <w:tabs>
                <w:tab w:val="left" w:pos="562"/>
              </w:tabs>
              <w:suppressAutoHyphens/>
              <w:spacing w:after="160" w:line="259" w:lineRule="auto"/>
              <w:ind w:left="473"/>
              <w:jc w:val="both"/>
              <w:rPr>
                <w:sz w:val="22"/>
                <w:szCs w:val="22"/>
              </w:rPr>
            </w:pPr>
            <w:r w:rsidRPr="0083687B">
              <w:rPr>
                <w:sz w:val="22"/>
                <w:szCs w:val="22"/>
              </w:rPr>
              <w:t>40 mg u nultoj nedjelji i 20 mg u drugoj nedjelji</w:t>
            </w:r>
          </w:p>
          <w:p w14:paraId="57D2877C" w14:textId="39B00E0D" w:rsidR="0083687B" w:rsidRPr="0083687B" w:rsidRDefault="0083687B" w:rsidP="00EB3350">
            <w:pPr>
              <w:keepNext/>
              <w:ind w:left="57"/>
              <w:jc w:val="both"/>
              <w:rPr>
                <w:sz w:val="22"/>
                <w:szCs w:val="22"/>
              </w:rPr>
            </w:pPr>
            <w:r w:rsidRPr="0083687B">
              <w:rPr>
                <w:sz w:val="22"/>
                <w:szCs w:val="22"/>
              </w:rPr>
              <w:t xml:space="preserve">U slučaju kada postoji potreba za bržim odgovorom na terapiju, pri čemu treba imati na umu da je rizik od pojave neželjenih </w:t>
            </w:r>
            <w:r w:rsidR="0067153B">
              <w:rPr>
                <w:sz w:val="22"/>
                <w:szCs w:val="22"/>
              </w:rPr>
              <w:t xml:space="preserve">dejstava </w:t>
            </w:r>
            <w:r w:rsidRPr="0083687B">
              <w:rPr>
                <w:sz w:val="22"/>
                <w:szCs w:val="22"/>
              </w:rPr>
              <w:t>veći pri primjeni viših indukcijskih doza, može se primijeniti sljedeća doza:</w:t>
            </w:r>
          </w:p>
          <w:p w14:paraId="42A4752A" w14:textId="77777777" w:rsidR="0083687B" w:rsidRPr="0083687B" w:rsidRDefault="0083687B" w:rsidP="00EB3350">
            <w:pPr>
              <w:keepNext/>
              <w:numPr>
                <w:ilvl w:val="0"/>
                <w:numId w:val="5"/>
              </w:numPr>
              <w:spacing w:after="160" w:line="259" w:lineRule="auto"/>
              <w:ind w:left="473"/>
              <w:jc w:val="both"/>
              <w:rPr>
                <w:sz w:val="22"/>
                <w:szCs w:val="22"/>
              </w:rPr>
            </w:pPr>
            <w:r w:rsidRPr="0083687B">
              <w:rPr>
                <w:sz w:val="22"/>
                <w:szCs w:val="22"/>
              </w:rPr>
              <w:t>80 mg u nultoj nedjelji i 40 mg u drugoj nedjelji</w:t>
            </w:r>
          </w:p>
        </w:tc>
        <w:tc>
          <w:tcPr>
            <w:tcW w:w="0" w:type="auto"/>
            <w:tcBorders>
              <w:top w:val="single" w:sz="6" w:space="0" w:color="000000"/>
              <w:left w:val="single" w:sz="6" w:space="0" w:color="000000"/>
              <w:bottom w:val="single" w:sz="6" w:space="0" w:color="000000"/>
              <w:right w:val="single" w:sz="6" w:space="0" w:color="000000"/>
            </w:tcBorders>
            <w:hideMark/>
          </w:tcPr>
          <w:p w14:paraId="3A2FB349" w14:textId="77777777" w:rsidR="0083687B" w:rsidRPr="0083687B" w:rsidRDefault="0083687B" w:rsidP="00EB3350">
            <w:pPr>
              <w:keepNext/>
              <w:ind w:left="27"/>
              <w:jc w:val="both"/>
              <w:rPr>
                <w:sz w:val="22"/>
                <w:szCs w:val="22"/>
              </w:rPr>
            </w:pPr>
            <w:r w:rsidRPr="0083687B">
              <w:rPr>
                <w:sz w:val="22"/>
                <w:szCs w:val="22"/>
              </w:rPr>
              <w:t>20 mg svake druge nedjelje</w:t>
            </w:r>
          </w:p>
        </w:tc>
      </w:tr>
      <w:tr w:rsidR="0083687B" w:rsidRPr="0083687B" w14:paraId="7C617DEC" w14:textId="77777777" w:rsidTr="0088568A">
        <w:trPr>
          <w:trHeight w:val="1486"/>
        </w:trPr>
        <w:tc>
          <w:tcPr>
            <w:tcW w:w="0" w:type="auto"/>
            <w:tcBorders>
              <w:top w:val="single" w:sz="6" w:space="0" w:color="000000"/>
              <w:left w:val="single" w:sz="6" w:space="0" w:color="000000"/>
              <w:bottom w:val="single" w:sz="6" w:space="0" w:color="000000"/>
              <w:right w:val="single" w:sz="6" w:space="0" w:color="000000"/>
            </w:tcBorders>
            <w:hideMark/>
          </w:tcPr>
          <w:p w14:paraId="6CEE3842" w14:textId="77777777" w:rsidR="0083687B" w:rsidRPr="0083687B" w:rsidRDefault="0083687B" w:rsidP="00EB3350">
            <w:pPr>
              <w:keepNext/>
              <w:tabs>
                <w:tab w:val="left" w:pos="562"/>
              </w:tabs>
              <w:suppressAutoHyphens/>
              <w:jc w:val="both"/>
              <w:rPr>
                <w:sz w:val="22"/>
                <w:szCs w:val="22"/>
              </w:rPr>
            </w:pPr>
            <w:r w:rsidRPr="0083687B">
              <w:rPr>
                <w:sz w:val="22"/>
                <w:szCs w:val="22"/>
              </w:rPr>
              <w:t>≥ 40 kg</w:t>
            </w:r>
          </w:p>
        </w:tc>
        <w:tc>
          <w:tcPr>
            <w:tcW w:w="0" w:type="auto"/>
            <w:tcBorders>
              <w:top w:val="single" w:sz="6" w:space="0" w:color="000000"/>
              <w:left w:val="single" w:sz="6" w:space="0" w:color="000000"/>
              <w:bottom w:val="single" w:sz="6" w:space="0" w:color="000000"/>
              <w:right w:val="single" w:sz="6" w:space="0" w:color="000000"/>
            </w:tcBorders>
            <w:hideMark/>
          </w:tcPr>
          <w:p w14:paraId="09F125C7" w14:textId="77777777" w:rsidR="0083687B" w:rsidRPr="0083687B" w:rsidRDefault="0083687B" w:rsidP="00EB3350">
            <w:pPr>
              <w:keepNext/>
              <w:numPr>
                <w:ilvl w:val="0"/>
                <w:numId w:val="2"/>
              </w:numPr>
              <w:tabs>
                <w:tab w:val="left" w:pos="562"/>
              </w:tabs>
              <w:suppressAutoHyphens/>
              <w:spacing w:after="160" w:line="259" w:lineRule="auto"/>
              <w:ind w:left="473"/>
              <w:jc w:val="both"/>
              <w:rPr>
                <w:sz w:val="22"/>
                <w:szCs w:val="22"/>
              </w:rPr>
            </w:pPr>
            <w:r w:rsidRPr="0083687B">
              <w:rPr>
                <w:sz w:val="22"/>
                <w:szCs w:val="22"/>
              </w:rPr>
              <w:t>80 mg u nultoj nedjelji i 40 mg u drugoj nedjelji</w:t>
            </w:r>
          </w:p>
          <w:p w14:paraId="0343090E" w14:textId="3217E70F" w:rsidR="0083687B" w:rsidRPr="0083687B" w:rsidRDefault="0083687B" w:rsidP="00EB3350">
            <w:pPr>
              <w:keepNext/>
              <w:ind w:left="57"/>
              <w:jc w:val="both"/>
              <w:rPr>
                <w:sz w:val="22"/>
                <w:szCs w:val="22"/>
              </w:rPr>
            </w:pPr>
            <w:r w:rsidRPr="0083687B">
              <w:rPr>
                <w:sz w:val="22"/>
                <w:szCs w:val="22"/>
              </w:rPr>
              <w:t>U slučaju kada postoji potreba za bržim odgovorom na terapiju, pri čemu treba imati na umu da je rizik od pojave neželjenih d</w:t>
            </w:r>
            <w:r w:rsidR="0067153B">
              <w:rPr>
                <w:sz w:val="22"/>
                <w:szCs w:val="22"/>
              </w:rPr>
              <w:t>ejstava</w:t>
            </w:r>
            <w:r w:rsidRPr="0083687B">
              <w:rPr>
                <w:sz w:val="22"/>
                <w:szCs w:val="22"/>
              </w:rPr>
              <w:t xml:space="preserve"> veći pri primjeni viših indukcijskih doza, može se primijeniti sljedeća doza:</w:t>
            </w:r>
          </w:p>
          <w:p w14:paraId="3DBF15AF" w14:textId="77777777" w:rsidR="0083687B" w:rsidRPr="0083687B" w:rsidRDefault="0083687B" w:rsidP="00EB3350">
            <w:pPr>
              <w:keepNext/>
              <w:numPr>
                <w:ilvl w:val="0"/>
                <w:numId w:val="2"/>
              </w:numPr>
              <w:spacing w:after="160" w:line="259" w:lineRule="auto"/>
              <w:ind w:left="470" w:hanging="357"/>
              <w:jc w:val="both"/>
              <w:rPr>
                <w:sz w:val="22"/>
                <w:szCs w:val="22"/>
              </w:rPr>
            </w:pPr>
            <w:r w:rsidRPr="0083687B">
              <w:rPr>
                <w:sz w:val="22"/>
                <w:szCs w:val="22"/>
              </w:rPr>
              <w:t>160 mg u nultoj nedjelji i 80 mg u drugoj nedjelji</w:t>
            </w:r>
          </w:p>
        </w:tc>
        <w:tc>
          <w:tcPr>
            <w:tcW w:w="0" w:type="auto"/>
            <w:tcBorders>
              <w:top w:val="single" w:sz="6" w:space="0" w:color="000000"/>
              <w:left w:val="single" w:sz="6" w:space="0" w:color="000000"/>
              <w:bottom w:val="single" w:sz="6" w:space="0" w:color="000000"/>
              <w:right w:val="single" w:sz="6" w:space="0" w:color="000000"/>
            </w:tcBorders>
            <w:hideMark/>
          </w:tcPr>
          <w:p w14:paraId="66AFABDF" w14:textId="77777777" w:rsidR="0083687B" w:rsidRPr="0083687B" w:rsidRDefault="0083687B" w:rsidP="00EB3350">
            <w:pPr>
              <w:keepNext/>
              <w:ind w:left="36"/>
              <w:jc w:val="both"/>
              <w:rPr>
                <w:sz w:val="22"/>
                <w:szCs w:val="22"/>
              </w:rPr>
            </w:pPr>
            <w:r w:rsidRPr="0083687B">
              <w:rPr>
                <w:sz w:val="22"/>
                <w:szCs w:val="22"/>
              </w:rPr>
              <w:t>40 mg svake druge nedjelje</w:t>
            </w:r>
          </w:p>
        </w:tc>
      </w:tr>
    </w:tbl>
    <w:p w14:paraId="4328C6DD" w14:textId="77777777" w:rsidR="0083687B" w:rsidRPr="0083687B" w:rsidRDefault="0083687B" w:rsidP="00730D96">
      <w:pPr>
        <w:widowControl w:val="0"/>
        <w:autoSpaceDE w:val="0"/>
        <w:autoSpaceDN w:val="0"/>
        <w:adjustRightInd w:val="0"/>
        <w:ind w:left="567" w:hanging="567"/>
        <w:jc w:val="both"/>
        <w:rPr>
          <w:strike/>
          <w:sz w:val="22"/>
          <w:szCs w:val="22"/>
          <w:lang w:val="hr-HR"/>
        </w:rPr>
      </w:pPr>
    </w:p>
    <w:p w14:paraId="0E61D724" w14:textId="77777777" w:rsidR="0083687B" w:rsidRPr="0083687B" w:rsidRDefault="0083687B">
      <w:pPr>
        <w:widowControl w:val="0"/>
        <w:autoSpaceDE w:val="0"/>
        <w:autoSpaceDN w:val="0"/>
        <w:adjustRightInd w:val="0"/>
        <w:jc w:val="both"/>
        <w:rPr>
          <w:sz w:val="22"/>
          <w:szCs w:val="22"/>
          <w:lang w:val="hr-HR"/>
        </w:rPr>
      </w:pPr>
      <w:r w:rsidRPr="0083687B">
        <w:rPr>
          <w:sz w:val="22"/>
          <w:szCs w:val="22"/>
          <w:lang w:val="hr-HR"/>
        </w:rPr>
        <w:t>Za pojedine pacijente, koji nisu imali zadovoljavajući odgovor na terapiju, može biti korisno povećanje učestalosti doziranja:</w:t>
      </w:r>
    </w:p>
    <w:p w14:paraId="5A874529" w14:textId="77777777" w:rsidR="0083687B" w:rsidRPr="0083687B" w:rsidRDefault="0083687B">
      <w:pPr>
        <w:widowControl w:val="0"/>
        <w:autoSpaceDE w:val="0"/>
        <w:autoSpaceDN w:val="0"/>
        <w:adjustRightInd w:val="0"/>
        <w:ind w:left="567" w:hanging="567"/>
        <w:jc w:val="both"/>
        <w:rPr>
          <w:sz w:val="22"/>
          <w:szCs w:val="22"/>
          <w:lang w:val="hr-HR"/>
        </w:rPr>
      </w:pPr>
    </w:p>
    <w:p w14:paraId="127521DF" w14:textId="77777777" w:rsidR="0083687B" w:rsidRPr="0083687B" w:rsidRDefault="0083687B">
      <w:pPr>
        <w:widowControl w:val="0"/>
        <w:numPr>
          <w:ilvl w:val="0"/>
          <w:numId w:val="2"/>
        </w:numPr>
        <w:autoSpaceDE w:val="0"/>
        <w:autoSpaceDN w:val="0"/>
        <w:adjustRightInd w:val="0"/>
        <w:spacing w:after="160" w:line="259" w:lineRule="auto"/>
        <w:ind w:left="357" w:hanging="357"/>
        <w:jc w:val="both"/>
        <w:rPr>
          <w:sz w:val="22"/>
          <w:szCs w:val="22"/>
        </w:rPr>
      </w:pPr>
      <w:r w:rsidRPr="0083687B">
        <w:rPr>
          <w:sz w:val="22"/>
          <w:szCs w:val="22"/>
        </w:rPr>
        <w:t>&lt; 40 kg: 20 mg svake nedjelje,</w:t>
      </w:r>
    </w:p>
    <w:p w14:paraId="32A111AC" w14:textId="77777777" w:rsidR="0083687B" w:rsidRPr="0083687B" w:rsidRDefault="0083687B">
      <w:pPr>
        <w:widowControl w:val="0"/>
        <w:numPr>
          <w:ilvl w:val="0"/>
          <w:numId w:val="2"/>
        </w:numPr>
        <w:autoSpaceDE w:val="0"/>
        <w:autoSpaceDN w:val="0"/>
        <w:adjustRightInd w:val="0"/>
        <w:spacing w:after="160" w:line="259" w:lineRule="auto"/>
        <w:ind w:left="357" w:hanging="357"/>
        <w:jc w:val="both"/>
        <w:rPr>
          <w:sz w:val="22"/>
          <w:szCs w:val="22"/>
        </w:rPr>
      </w:pPr>
      <w:r w:rsidRPr="0083687B">
        <w:rPr>
          <w:sz w:val="22"/>
          <w:szCs w:val="22"/>
        </w:rPr>
        <w:t xml:space="preserve">≥ 40 kg: 40 mg svake nedjelje </w:t>
      </w:r>
      <w:proofErr w:type="gramStart"/>
      <w:r w:rsidRPr="0083687B">
        <w:rPr>
          <w:sz w:val="22"/>
          <w:szCs w:val="22"/>
        </w:rPr>
        <w:t>ili</w:t>
      </w:r>
      <w:proofErr w:type="gramEnd"/>
      <w:r w:rsidRPr="0083687B">
        <w:rPr>
          <w:sz w:val="22"/>
          <w:szCs w:val="22"/>
        </w:rPr>
        <w:t xml:space="preserve"> 80 mg svake druge nedjelje.</w:t>
      </w:r>
    </w:p>
    <w:p w14:paraId="682FCD06" w14:textId="77777777" w:rsidR="0083687B" w:rsidRPr="0083687B" w:rsidRDefault="0083687B">
      <w:pPr>
        <w:widowControl w:val="0"/>
        <w:autoSpaceDE w:val="0"/>
        <w:autoSpaceDN w:val="0"/>
        <w:adjustRightInd w:val="0"/>
        <w:ind w:left="567" w:hanging="567"/>
        <w:jc w:val="both"/>
        <w:rPr>
          <w:sz w:val="22"/>
          <w:szCs w:val="22"/>
        </w:rPr>
      </w:pPr>
    </w:p>
    <w:p w14:paraId="0CD93B58"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Potrebno je pažljivo razmotriti nastavak liječenja pacijenata kod kojih nije postignut terapijski odgovor do 12. </w:t>
      </w:r>
      <w:proofErr w:type="gramStart"/>
      <w:r w:rsidRPr="0083687B">
        <w:rPr>
          <w:sz w:val="22"/>
          <w:szCs w:val="22"/>
        </w:rPr>
        <w:t>nedjelje</w:t>
      </w:r>
      <w:proofErr w:type="gramEnd"/>
      <w:r w:rsidRPr="0083687B">
        <w:rPr>
          <w:sz w:val="22"/>
          <w:szCs w:val="22"/>
        </w:rPr>
        <w:t>.</w:t>
      </w:r>
    </w:p>
    <w:p w14:paraId="04C6627C" w14:textId="77777777" w:rsidR="0083687B" w:rsidRPr="0083687B" w:rsidRDefault="0083687B">
      <w:pPr>
        <w:widowControl w:val="0"/>
        <w:autoSpaceDE w:val="0"/>
        <w:autoSpaceDN w:val="0"/>
        <w:adjustRightInd w:val="0"/>
        <w:jc w:val="both"/>
        <w:rPr>
          <w:sz w:val="22"/>
          <w:szCs w:val="22"/>
        </w:rPr>
      </w:pPr>
    </w:p>
    <w:p w14:paraId="49BCD569"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Nije ispitivano djelovanje lijeka Humira kod djece mlađe </w:t>
      </w:r>
      <w:proofErr w:type="gramStart"/>
      <w:r w:rsidRPr="0083687B">
        <w:rPr>
          <w:sz w:val="22"/>
          <w:szCs w:val="22"/>
        </w:rPr>
        <w:t>od</w:t>
      </w:r>
      <w:proofErr w:type="gramEnd"/>
      <w:r w:rsidRPr="0083687B">
        <w:rPr>
          <w:sz w:val="22"/>
          <w:szCs w:val="22"/>
        </w:rPr>
        <w:t xml:space="preserve"> 6 godina u ovoj indikaciji.</w:t>
      </w:r>
    </w:p>
    <w:p w14:paraId="6C53F6FB" w14:textId="77777777" w:rsidR="0083687B" w:rsidRPr="0083687B" w:rsidRDefault="0083687B">
      <w:pPr>
        <w:widowControl w:val="0"/>
        <w:autoSpaceDE w:val="0"/>
        <w:autoSpaceDN w:val="0"/>
        <w:adjustRightInd w:val="0"/>
        <w:ind w:left="567" w:hanging="567"/>
        <w:jc w:val="both"/>
        <w:rPr>
          <w:sz w:val="22"/>
          <w:szCs w:val="22"/>
        </w:rPr>
      </w:pPr>
    </w:p>
    <w:p w14:paraId="6C36F337" w14:textId="77777777" w:rsidR="0083687B" w:rsidRPr="0083687B" w:rsidRDefault="0083687B">
      <w:pPr>
        <w:widowControl w:val="0"/>
        <w:autoSpaceDE w:val="0"/>
        <w:autoSpaceDN w:val="0"/>
        <w:adjustRightInd w:val="0"/>
        <w:jc w:val="both"/>
        <w:rPr>
          <w:sz w:val="22"/>
          <w:szCs w:val="22"/>
          <w:lang w:val="sr-Latn-ME"/>
        </w:rPr>
      </w:pPr>
      <w:r w:rsidRPr="0083687B">
        <w:rPr>
          <w:sz w:val="22"/>
          <w:szCs w:val="22"/>
          <w:lang w:val="hr-HR"/>
        </w:rPr>
        <w:t>Lijek Humira može biti dostupan u drugim jačinama i/ili oblicima pakovanja, zavisno od terapijskih potreba pojedinih pacijenata.</w:t>
      </w:r>
    </w:p>
    <w:p w14:paraId="131D84E3" w14:textId="77777777" w:rsidR="0083687B" w:rsidRPr="0083687B" w:rsidRDefault="0083687B">
      <w:pPr>
        <w:widowControl w:val="0"/>
        <w:autoSpaceDE w:val="0"/>
        <w:autoSpaceDN w:val="0"/>
        <w:adjustRightInd w:val="0"/>
        <w:ind w:left="567" w:hanging="567"/>
        <w:jc w:val="both"/>
        <w:rPr>
          <w:sz w:val="22"/>
          <w:szCs w:val="22"/>
        </w:rPr>
      </w:pPr>
    </w:p>
    <w:p w14:paraId="6E7FAE56" w14:textId="77777777" w:rsidR="0083687B" w:rsidRPr="0083687B" w:rsidRDefault="0083687B">
      <w:pPr>
        <w:widowControl w:val="0"/>
        <w:autoSpaceDE w:val="0"/>
        <w:autoSpaceDN w:val="0"/>
        <w:adjustRightInd w:val="0"/>
        <w:jc w:val="both"/>
        <w:rPr>
          <w:i/>
          <w:sz w:val="22"/>
          <w:szCs w:val="22"/>
          <w:lang w:val="sr-Latn-ME"/>
        </w:rPr>
      </w:pPr>
      <w:r w:rsidRPr="0083687B">
        <w:rPr>
          <w:i/>
          <w:sz w:val="22"/>
          <w:szCs w:val="22"/>
          <w:lang w:val="sr-Latn-ME"/>
        </w:rPr>
        <w:t>Uveitis kod djece</w:t>
      </w:r>
    </w:p>
    <w:p w14:paraId="33500A16" w14:textId="77777777" w:rsidR="0083687B" w:rsidRPr="0083687B" w:rsidRDefault="0083687B">
      <w:pPr>
        <w:widowControl w:val="0"/>
        <w:autoSpaceDE w:val="0"/>
        <w:autoSpaceDN w:val="0"/>
        <w:adjustRightInd w:val="0"/>
        <w:jc w:val="both"/>
        <w:rPr>
          <w:sz w:val="22"/>
          <w:szCs w:val="22"/>
          <w:lang w:val="sr-Latn-ME"/>
        </w:rPr>
      </w:pPr>
    </w:p>
    <w:p w14:paraId="209FB6C0" w14:textId="5A07F839" w:rsidR="0083687B" w:rsidRPr="0083687B" w:rsidRDefault="0083687B">
      <w:pPr>
        <w:widowControl w:val="0"/>
        <w:autoSpaceDE w:val="0"/>
        <w:autoSpaceDN w:val="0"/>
        <w:adjustRightInd w:val="0"/>
        <w:jc w:val="both"/>
        <w:rPr>
          <w:sz w:val="22"/>
          <w:szCs w:val="22"/>
          <w:lang w:val="hr-HR"/>
        </w:rPr>
      </w:pPr>
      <w:r w:rsidRPr="0083687B">
        <w:rPr>
          <w:sz w:val="22"/>
          <w:szCs w:val="22"/>
          <w:lang w:val="hr-HR" w:eastAsia="bs-Latn-BA"/>
        </w:rPr>
        <w:t xml:space="preserve">Preporučena doza lijeka Humira za pedijatrijske pacijente sa uveitisom starosti od 2 i više godina se određuje na osnovu tjelesne težine (Tabela 5). </w:t>
      </w:r>
      <w:r w:rsidRPr="0083687B">
        <w:rPr>
          <w:sz w:val="22"/>
          <w:szCs w:val="22"/>
          <w:lang w:val="hr-HR"/>
        </w:rPr>
        <w:t>Lijek Humira se primjenjuje su</w:t>
      </w:r>
      <w:r w:rsidR="0042377E">
        <w:rPr>
          <w:sz w:val="22"/>
          <w:szCs w:val="22"/>
          <w:lang w:val="hr-HR"/>
        </w:rPr>
        <w:t>p</w:t>
      </w:r>
      <w:r w:rsidRPr="0083687B">
        <w:rPr>
          <w:sz w:val="22"/>
          <w:szCs w:val="22"/>
          <w:lang w:val="hr-HR"/>
        </w:rPr>
        <w:t xml:space="preserve">kutanom injekcijom. </w:t>
      </w:r>
    </w:p>
    <w:p w14:paraId="2A32A58A" w14:textId="77777777" w:rsidR="0083687B" w:rsidRPr="0083687B" w:rsidRDefault="0083687B">
      <w:pPr>
        <w:widowControl w:val="0"/>
        <w:autoSpaceDE w:val="0"/>
        <w:autoSpaceDN w:val="0"/>
        <w:adjustRightInd w:val="0"/>
        <w:jc w:val="both"/>
        <w:rPr>
          <w:sz w:val="22"/>
          <w:szCs w:val="22"/>
          <w:lang w:val="sr-Latn-ME"/>
        </w:rPr>
      </w:pPr>
    </w:p>
    <w:p w14:paraId="7405650A" w14:textId="6BBF044F" w:rsidR="0083687B" w:rsidRDefault="0083687B">
      <w:pPr>
        <w:widowControl w:val="0"/>
        <w:autoSpaceDE w:val="0"/>
        <w:autoSpaceDN w:val="0"/>
        <w:adjustRightInd w:val="0"/>
        <w:jc w:val="both"/>
        <w:rPr>
          <w:sz w:val="22"/>
          <w:szCs w:val="22"/>
          <w:lang w:val="sr-Latn-ME"/>
        </w:rPr>
      </w:pPr>
      <w:r w:rsidRPr="0083687B">
        <w:rPr>
          <w:sz w:val="22"/>
          <w:szCs w:val="22"/>
          <w:lang w:val="sr-Latn-ME"/>
        </w:rPr>
        <w:t>Kod terapije uveitisa kod pedijatrijskih pacijenata, nema iskustva sa lijekom Humira bez istovremene primjene metotreksata.</w:t>
      </w:r>
    </w:p>
    <w:p w14:paraId="0E021C88" w14:textId="77777777" w:rsidR="0083687B" w:rsidRPr="0083687B" w:rsidRDefault="0083687B">
      <w:pPr>
        <w:widowControl w:val="0"/>
        <w:autoSpaceDE w:val="0"/>
        <w:autoSpaceDN w:val="0"/>
        <w:adjustRightInd w:val="0"/>
        <w:jc w:val="both"/>
        <w:rPr>
          <w:sz w:val="22"/>
          <w:szCs w:val="22"/>
          <w:lang w:val="sr-Latn-ME"/>
        </w:rPr>
      </w:pPr>
    </w:p>
    <w:p w14:paraId="020D5677" w14:textId="77777777" w:rsidR="0083687B" w:rsidRPr="0083687B" w:rsidRDefault="0083687B" w:rsidP="00EB3350">
      <w:pPr>
        <w:autoSpaceDE w:val="0"/>
        <w:jc w:val="both"/>
        <w:rPr>
          <w:b/>
          <w:sz w:val="22"/>
          <w:szCs w:val="22"/>
          <w:lang w:val="hr-HR" w:eastAsia="bs-Latn-BA"/>
        </w:rPr>
      </w:pPr>
      <w:r w:rsidRPr="0083687B">
        <w:rPr>
          <w:b/>
          <w:sz w:val="22"/>
          <w:szCs w:val="22"/>
          <w:lang w:val="hr-HR" w:eastAsia="bs-Latn-BA"/>
        </w:rPr>
        <w:t>Tabela 5. Doza lijeka Humira za pedijatrijske pacijente sa uveitisom</w:t>
      </w:r>
    </w:p>
    <w:p w14:paraId="54BACA87" w14:textId="77777777" w:rsidR="0083687B" w:rsidRPr="0083687B" w:rsidRDefault="0083687B" w:rsidP="00EB3350">
      <w:pPr>
        <w:autoSpaceDE w:val="0"/>
        <w:jc w:val="both"/>
        <w:rPr>
          <w:b/>
          <w:sz w:val="22"/>
          <w:szCs w:val="22"/>
          <w:lang w:val="hr-HR" w:eastAsia="bs-Latn-BA"/>
        </w:rPr>
      </w:pPr>
    </w:p>
    <w:tbl>
      <w:tblPr>
        <w:tblW w:w="6795" w:type="dxa"/>
        <w:jc w:val="center"/>
        <w:tblLayout w:type="fixed"/>
        <w:tblLook w:val="04A0" w:firstRow="1" w:lastRow="0" w:firstColumn="1" w:lastColumn="0" w:noHBand="0" w:noVBand="1"/>
      </w:tblPr>
      <w:tblGrid>
        <w:gridCol w:w="3401"/>
        <w:gridCol w:w="3394"/>
      </w:tblGrid>
      <w:tr w:rsidR="0083687B" w:rsidRPr="0083687B" w14:paraId="57E5F7C6" w14:textId="77777777" w:rsidTr="0088568A">
        <w:trPr>
          <w:tblHeader/>
          <w:jc w:val="center"/>
        </w:trPr>
        <w:tc>
          <w:tcPr>
            <w:tcW w:w="3401" w:type="dxa"/>
            <w:tcBorders>
              <w:top w:val="single" w:sz="4" w:space="0" w:color="auto"/>
              <w:left w:val="nil"/>
              <w:bottom w:val="single" w:sz="4" w:space="0" w:color="auto"/>
              <w:right w:val="nil"/>
            </w:tcBorders>
            <w:hideMark/>
          </w:tcPr>
          <w:p w14:paraId="1CF878D6" w14:textId="77777777" w:rsidR="0083687B" w:rsidRPr="0083687B" w:rsidRDefault="0083687B" w:rsidP="00EB3350">
            <w:pPr>
              <w:keepNext/>
              <w:spacing w:before="40"/>
              <w:jc w:val="both"/>
              <w:rPr>
                <w:rFonts w:eastAsia="Calibri"/>
                <w:b/>
                <w:sz w:val="22"/>
                <w:szCs w:val="22"/>
                <w:lang w:eastAsia="ja-JP"/>
              </w:rPr>
            </w:pPr>
            <w:r w:rsidRPr="0083687B">
              <w:rPr>
                <w:rFonts w:eastAsia="Calibri"/>
                <w:b/>
                <w:sz w:val="22"/>
                <w:szCs w:val="22"/>
                <w:lang w:eastAsia="ja-JP"/>
              </w:rPr>
              <w:t>Tjelesna težina pacijenata</w:t>
            </w:r>
          </w:p>
        </w:tc>
        <w:tc>
          <w:tcPr>
            <w:tcW w:w="3394" w:type="dxa"/>
            <w:tcBorders>
              <w:top w:val="single" w:sz="4" w:space="0" w:color="auto"/>
              <w:left w:val="nil"/>
              <w:bottom w:val="single" w:sz="4" w:space="0" w:color="auto"/>
              <w:right w:val="nil"/>
            </w:tcBorders>
            <w:hideMark/>
          </w:tcPr>
          <w:p w14:paraId="0340616B" w14:textId="77777777" w:rsidR="0083687B" w:rsidRPr="0083687B" w:rsidRDefault="0083687B" w:rsidP="00EB3350">
            <w:pPr>
              <w:keepNext/>
              <w:spacing w:before="40"/>
              <w:jc w:val="both"/>
              <w:rPr>
                <w:rFonts w:eastAsia="Calibri"/>
                <w:b/>
                <w:sz w:val="22"/>
                <w:szCs w:val="22"/>
                <w:lang w:eastAsia="ja-JP"/>
              </w:rPr>
            </w:pPr>
            <w:r w:rsidRPr="0083687B">
              <w:rPr>
                <w:rFonts w:eastAsia="Calibri"/>
                <w:b/>
                <w:sz w:val="22"/>
                <w:szCs w:val="22"/>
                <w:lang w:eastAsia="ja-JP"/>
              </w:rPr>
              <w:t>Režim doziranja</w:t>
            </w:r>
          </w:p>
        </w:tc>
      </w:tr>
      <w:tr w:rsidR="0083687B" w:rsidRPr="0083687B" w14:paraId="27038661" w14:textId="77777777" w:rsidTr="0088568A">
        <w:trPr>
          <w:tblHeader/>
          <w:jc w:val="center"/>
        </w:trPr>
        <w:tc>
          <w:tcPr>
            <w:tcW w:w="3401" w:type="dxa"/>
            <w:tcBorders>
              <w:top w:val="single" w:sz="4" w:space="0" w:color="auto"/>
              <w:left w:val="nil"/>
              <w:bottom w:val="single" w:sz="4" w:space="0" w:color="auto"/>
              <w:right w:val="nil"/>
            </w:tcBorders>
            <w:hideMark/>
          </w:tcPr>
          <w:p w14:paraId="2C5F3FB9" w14:textId="77777777" w:rsidR="0083687B" w:rsidRPr="0083687B" w:rsidRDefault="0083687B" w:rsidP="00EB3350">
            <w:pPr>
              <w:keepNext/>
              <w:spacing w:before="40"/>
              <w:jc w:val="both"/>
              <w:rPr>
                <w:rFonts w:eastAsia="Calibri"/>
                <w:b/>
                <w:sz w:val="22"/>
                <w:szCs w:val="22"/>
                <w:lang w:eastAsia="ja-JP"/>
              </w:rPr>
            </w:pPr>
            <w:r w:rsidRPr="0083687B">
              <w:rPr>
                <w:rFonts w:eastAsia="Calibri"/>
                <w:sz w:val="22"/>
                <w:szCs w:val="22"/>
                <w:lang w:eastAsia="ja-JP"/>
              </w:rPr>
              <w:t>&lt; 30 kg</w:t>
            </w:r>
          </w:p>
        </w:tc>
        <w:tc>
          <w:tcPr>
            <w:tcW w:w="3394" w:type="dxa"/>
            <w:tcBorders>
              <w:top w:val="single" w:sz="4" w:space="0" w:color="auto"/>
              <w:left w:val="nil"/>
              <w:bottom w:val="single" w:sz="4" w:space="0" w:color="auto"/>
              <w:right w:val="nil"/>
            </w:tcBorders>
            <w:hideMark/>
          </w:tcPr>
          <w:p w14:paraId="5D1C700D" w14:textId="77777777" w:rsidR="0083687B" w:rsidRPr="0083687B" w:rsidRDefault="0083687B" w:rsidP="00730D96">
            <w:pPr>
              <w:keepNext/>
              <w:spacing w:before="40"/>
              <w:jc w:val="both"/>
              <w:rPr>
                <w:rFonts w:eastAsia="Calibri"/>
                <w:b/>
                <w:sz w:val="22"/>
                <w:szCs w:val="22"/>
                <w:lang w:eastAsia="ja-JP"/>
              </w:rPr>
            </w:pPr>
            <w:r w:rsidRPr="0083687B">
              <w:rPr>
                <w:rFonts w:eastAsia="Calibri"/>
                <w:sz w:val="22"/>
                <w:szCs w:val="22"/>
                <w:lang w:eastAsia="ja-JP"/>
              </w:rPr>
              <w:t>20 mg svake druge nedjelje u kombinaciji sa metotreksatom</w:t>
            </w:r>
          </w:p>
        </w:tc>
      </w:tr>
      <w:tr w:rsidR="0083687B" w:rsidRPr="0083687B" w14:paraId="6D4C34F9" w14:textId="77777777" w:rsidTr="0088568A">
        <w:trPr>
          <w:tblHeader/>
          <w:jc w:val="center"/>
        </w:trPr>
        <w:tc>
          <w:tcPr>
            <w:tcW w:w="3401" w:type="dxa"/>
            <w:tcBorders>
              <w:top w:val="single" w:sz="4" w:space="0" w:color="auto"/>
              <w:left w:val="nil"/>
              <w:bottom w:val="single" w:sz="4" w:space="0" w:color="auto"/>
              <w:right w:val="nil"/>
            </w:tcBorders>
            <w:hideMark/>
          </w:tcPr>
          <w:p w14:paraId="4D47010B" w14:textId="77777777" w:rsidR="0083687B" w:rsidRPr="0083687B" w:rsidRDefault="0083687B" w:rsidP="00EB3350">
            <w:pPr>
              <w:keepNext/>
              <w:spacing w:before="40"/>
              <w:jc w:val="both"/>
              <w:rPr>
                <w:rFonts w:eastAsia="Calibri"/>
                <w:b/>
                <w:sz w:val="22"/>
                <w:szCs w:val="22"/>
                <w:lang w:eastAsia="ja-JP"/>
              </w:rPr>
            </w:pPr>
            <w:r w:rsidRPr="0083687B">
              <w:rPr>
                <w:rFonts w:eastAsia="Calibri"/>
                <w:sz w:val="22"/>
                <w:szCs w:val="22"/>
                <w:lang w:eastAsia="ja-JP"/>
              </w:rPr>
              <w:t>≥ 30 kg</w:t>
            </w:r>
          </w:p>
        </w:tc>
        <w:tc>
          <w:tcPr>
            <w:tcW w:w="3394" w:type="dxa"/>
            <w:tcBorders>
              <w:top w:val="single" w:sz="4" w:space="0" w:color="auto"/>
              <w:left w:val="nil"/>
              <w:bottom w:val="single" w:sz="4" w:space="0" w:color="auto"/>
              <w:right w:val="nil"/>
            </w:tcBorders>
            <w:hideMark/>
          </w:tcPr>
          <w:p w14:paraId="37FFD99D" w14:textId="77777777" w:rsidR="0083687B" w:rsidRPr="0083687B" w:rsidRDefault="0083687B" w:rsidP="00730D96">
            <w:pPr>
              <w:keepNext/>
              <w:spacing w:before="40"/>
              <w:jc w:val="both"/>
              <w:rPr>
                <w:rFonts w:eastAsia="Calibri"/>
                <w:b/>
                <w:sz w:val="22"/>
                <w:szCs w:val="22"/>
                <w:lang w:eastAsia="ja-JP"/>
              </w:rPr>
            </w:pPr>
            <w:r w:rsidRPr="0083687B">
              <w:rPr>
                <w:rFonts w:eastAsia="Calibri"/>
                <w:sz w:val="22"/>
                <w:szCs w:val="22"/>
                <w:lang w:eastAsia="ja-JP"/>
              </w:rPr>
              <w:t>40 mg svake druge nedjelje u kombinaciji sa metotreksatom</w:t>
            </w:r>
          </w:p>
        </w:tc>
      </w:tr>
    </w:tbl>
    <w:p w14:paraId="1F99259A" w14:textId="77777777" w:rsidR="0083687B" w:rsidRPr="0083687B" w:rsidRDefault="0083687B" w:rsidP="00730D96">
      <w:pPr>
        <w:widowControl w:val="0"/>
        <w:autoSpaceDE w:val="0"/>
        <w:autoSpaceDN w:val="0"/>
        <w:adjustRightInd w:val="0"/>
        <w:jc w:val="both"/>
        <w:rPr>
          <w:sz w:val="22"/>
          <w:szCs w:val="22"/>
          <w:lang w:val="sr-Latn-ME"/>
        </w:rPr>
      </w:pPr>
    </w:p>
    <w:p w14:paraId="51444336" w14:textId="7ECA915F" w:rsidR="0083687B" w:rsidRPr="0083687B" w:rsidRDefault="0083687B">
      <w:pPr>
        <w:tabs>
          <w:tab w:val="left" w:pos="380"/>
        </w:tabs>
        <w:autoSpaceDE w:val="0"/>
        <w:jc w:val="both"/>
        <w:rPr>
          <w:sz w:val="22"/>
          <w:szCs w:val="22"/>
          <w:lang w:val="hr-HR" w:eastAsia="bs-Latn-BA"/>
        </w:rPr>
      </w:pPr>
      <w:r w:rsidRPr="0083687B">
        <w:rPr>
          <w:sz w:val="22"/>
          <w:szCs w:val="22"/>
          <w:lang w:val="hr-HR" w:eastAsia="bs-Latn-BA"/>
        </w:rPr>
        <w:lastRenderedPageBreak/>
        <w:t>Kada se inicira terapija lijekom Humira, početna doza od 40 mg može da se administrira pacijentima tjelesne mase</w:t>
      </w:r>
      <w:r w:rsidRPr="0083687B">
        <w:rPr>
          <w:rFonts w:eastAsia="Calibri"/>
          <w:sz w:val="22"/>
          <w:szCs w:val="22"/>
        </w:rPr>
        <w:t xml:space="preserve"> </w:t>
      </w:r>
      <w:r w:rsidRPr="0083687B">
        <w:rPr>
          <w:sz w:val="22"/>
          <w:szCs w:val="22"/>
          <w:lang w:val="hr-HR" w:eastAsia="bs-Latn-BA"/>
        </w:rPr>
        <w:t xml:space="preserve">&lt; 30 kg ili 80 mg pacijentima tjelesne mase ≥ 30 kg, jednu nedjelju prije početka terapije održavanja. Nisu dostupni klinički podaci o primjeni inicijalne doze lijeka Humira  kod pacijenata mlađih od 6 godina (vidjeti </w:t>
      </w:r>
      <w:r w:rsidR="0042377E">
        <w:rPr>
          <w:sz w:val="22"/>
          <w:szCs w:val="22"/>
          <w:lang w:val="hr-HR" w:eastAsia="bs-Latn-BA"/>
        </w:rPr>
        <w:t>dio</w:t>
      </w:r>
      <w:r w:rsidRPr="0083687B">
        <w:rPr>
          <w:sz w:val="22"/>
          <w:szCs w:val="22"/>
          <w:lang w:val="hr-HR" w:eastAsia="bs-Latn-BA"/>
        </w:rPr>
        <w:t xml:space="preserve"> 5.2).</w:t>
      </w:r>
    </w:p>
    <w:p w14:paraId="42D34649" w14:textId="77777777" w:rsidR="0083687B" w:rsidRPr="0083687B" w:rsidRDefault="0083687B">
      <w:pPr>
        <w:tabs>
          <w:tab w:val="left" w:pos="380"/>
        </w:tabs>
        <w:autoSpaceDE w:val="0"/>
        <w:jc w:val="both"/>
        <w:rPr>
          <w:sz w:val="22"/>
          <w:szCs w:val="22"/>
          <w:lang w:val="hr-HR" w:eastAsia="bs-Latn-BA"/>
        </w:rPr>
      </w:pPr>
    </w:p>
    <w:p w14:paraId="3E3C25ED" w14:textId="77777777" w:rsidR="0083687B" w:rsidRPr="0083687B" w:rsidRDefault="0083687B">
      <w:pPr>
        <w:widowControl w:val="0"/>
        <w:autoSpaceDE w:val="0"/>
        <w:autoSpaceDN w:val="0"/>
        <w:adjustRightInd w:val="0"/>
        <w:jc w:val="both"/>
        <w:rPr>
          <w:sz w:val="22"/>
          <w:szCs w:val="22"/>
          <w:lang w:val="sr-Latn-ME"/>
        </w:rPr>
      </w:pPr>
      <w:r w:rsidRPr="0083687B">
        <w:rPr>
          <w:sz w:val="22"/>
          <w:szCs w:val="22"/>
          <w:lang w:val="sr-Latn-ME"/>
        </w:rPr>
        <w:t xml:space="preserve">Nema relevantne primjene lijeka Humira kod djece mlađe od 2 godine u ovoj indikaciji. </w:t>
      </w:r>
    </w:p>
    <w:p w14:paraId="2487D2E9" w14:textId="77777777" w:rsidR="0083687B" w:rsidRPr="0083687B" w:rsidRDefault="0083687B">
      <w:pPr>
        <w:widowControl w:val="0"/>
        <w:autoSpaceDE w:val="0"/>
        <w:autoSpaceDN w:val="0"/>
        <w:adjustRightInd w:val="0"/>
        <w:jc w:val="both"/>
        <w:rPr>
          <w:sz w:val="22"/>
          <w:szCs w:val="22"/>
          <w:lang w:val="sr-Latn-ME"/>
        </w:rPr>
      </w:pPr>
    </w:p>
    <w:p w14:paraId="09B2F802" w14:textId="3C37F494" w:rsidR="0083687B" w:rsidRPr="0083687B" w:rsidRDefault="0083687B">
      <w:pPr>
        <w:widowControl w:val="0"/>
        <w:autoSpaceDE w:val="0"/>
        <w:autoSpaceDN w:val="0"/>
        <w:adjustRightInd w:val="0"/>
        <w:jc w:val="both"/>
        <w:rPr>
          <w:sz w:val="22"/>
          <w:szCs w:val="22"/>
          <w:lang w:val="sr-Latn-ME"/>
        </w:rPr>
      </w:pPr>
      <w:r w:rsidRPr="0083687B">
        <w:rPr>
          <w:sz w:val="22"/>
          <w:szCs w:val="22"/>
          <w:lang w:val="sr-Latn-ME"/>
        </w:rPr>
        <w:t xml:space="preserve">Preporučuje se da se korist i rizik kod kontinuirane dugotrajne terapije evaluira na godišnjem nivou (vidjeti </w:t>
      </w:r>
      <w:r w:rsidR="000E6C23">
        <w:rPr>
          <w:sz w:val="22"/>
          <w:szCs w:val="22"/>
          <w:lang w:val="sr-Latn-ME"/>
        </w:rPr>
        <w:t>dio</w:t>
      </w:r>
      <w:r w:rsidR="000E6C23" w:rsidRPr="0083687B">
        <w:rPr>
          <w:sz w:val="22"/>
          <w:szCs w:val="22"/>
          <w:lang w:val="sr-Latn-ME"/>
        </w:rPr>
        <w:t xml:space="preserve"> </w:t>
      </w:r>
      <w:r w:rsidRPr="0083687B">
        <w:rPr>
          <w:sz w:val="22"/>
          <w:szCs w:val="22"/>
          <w:lang w:val="sr-Latn-ME"/>
        </w:rPr>
        <w:t>5.1)</w:t>
      </w:r>
    </w:p>
    <w:p w14:paraId="31E12385" w14:textId="77777777" w:rsidR="0083687B" w:rsidRPr="0083687B" w:rsidRDefault="0083687B">
      <w:pPr>
        <w:widowControl w:val="0"/>
        <w:autoSpaceDE w:val="0"/>
        <w:autoSpaceDN w:val="0"/>
        <w:adjustRightInd w:val="0"/>
        <w:jc w:val="both"/>
        <w:rPr>
          <w:sz w:val="22"/>
          <w:szCs w:val="22"/>
          <w:lang w:val="sr-Latn-ME"/>
        </w:rPr>
      </w:pPr>
    </w:p>
    <w:p w14:paraId="251C6109" w14:textId="77777777" w:rsidR="0083687B" w:rsidRPr="0083687B" w:rsidRDefault="0083687B">
      <w:pPr>
        <w:widowControl w:val="0"/>
        <w:autoSpaceDE w:val="0"/>
        <w:autoSpaceDN w:val="0"/>
        <w:adjustRightInd w:val="0"/>
        <w:jc w:val="both"/>
        <w:rPr>
          <w:sz w:val="22"/>
          <w:szCs w:val="22"/>
          <w:lang w:val="sr-Latn-ME"/>
        </w:rPr>
      </w:pPr>
      <w:r w:rsidRPr="0083687B">
        <w:rPr>
          <w:sz w:val="22"/>
          <w:szCs w:val="22"/>
          <w:lang w:val="hr-HR"/>
        </w:rPr>
        <w:t>Lijek Humira može biti dostupan u drugim jačinama i/ili oblicima pakovanja, zavisno od terapijskih potreba pojedinih pacijenata</w:t>
      </w:r>
      <w:r w:rsidRPr="0083687B">
        <w:rPr>
          <w:sz w:val="22"/>
          <w:szCs w:val="22"/>
          <w:lang w:val="sr-Latn-ME"/>
        </w:rPr>
        <w:t xml:space="preserve">. </w:t>
      </w:r>
    </w:p>
    <w:p w14:paraId="4CC36731" w14:textId="77777777" w:rsidR="0083687B" w:rsidRPr="0083687B" w:rsidRDefault="0083687B">
      <w:pPr>
        <w:widowControl w:val="0"/>
        <w:autoSpaceDE w:val="0"/>
        <w:autoSpaceDN w:val="0"/>
        <w:adjustRightInd w:val="0"/>
        <w:ind w:left="567" w:hanging="567"/>
        <w:jc w:val="both"/>
        <w:rPr>
          <w:sz w:val="22"/>
          <w:szCs w:val="22"/>
        </w:rPr>
      </w:pPr>
    </w:p>
    <w:p w14:paraId="7F5AA33B" w14:textId="77777777" w:rsidR="0083687B" w:rsidRPr="0083687B" w:rsidRDefault="0083687B">
      <w:pPr>
        <w:widowControl w:val="0"/>
        <w:autoSpaceDE w:val="0"/>
        <w:autoSpaceDN w:val="0"/>
        <w:adjustRightInd w:val="0"/>
        <w:ind w:left="567" w:hanging="567"/>
        <w:jc w:val="both"/>
        <w:rPr>
          <w:sz w:val="22"/>
          <w:szCs w:val="22"/>
          <w:u w:val="single"/>
        </w:rPr>
      </w:pPr>
      <w:r w:rsidRPr="0083687B">
        <w:rPr>
          <w:sz w:val="22"/>
          <w:szCs w:val="22"/>
          <w:u w:val="single"/>
        </w:rPr>
        <w:t>Oštećenje funkcije bubrega i/ili jetre</w:t>
      </w:r>
    </w:p>
    <w:p w14:paraId="533505DE" w14:textId="77777777" w:rsidR="0083687B" w:rsidRPr="0083687B" w:rsidRDefault="0083687B">
      <w:pPr>
        <w:widowControl w:val="0"/>
        <w:autoSpaceDE w:val="0"/>
        <w:autoSpaceDN w:val="0"/>
        <w:adjustRightInd w:val="0"/>
        <w:ind w:left="567" w:hanging="567"/>
        <w:jc w:val="both"/>
        <w:rPr>
          <w:sz w:val="22"/>
          <w:szCs w:val="22"/>
        </w:rPr>
      </w:pPr>
    </w:p>
    <w:p w14:paraId="342F042B"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Nije ispitivano djelovanje lijeka Humira u ovoj grupi pacijenata, </w:t>
      </w:r>
      <w:proofErr w:type="gramStart"/>
      <w:r w:rsidRPr="0083687B">
        <w:rPr>
          <w:sz w:val="22"/>
          <w:szCs w:val="22"/>
        </w:rPr>
        <w:t>te</w:t>
      </w:r>
      <w:proofErr w:type="gramEnd"/>
      <w:r w:rsidRPr="0083687B">
        <w:rPr>
          <w:sz w:val="22"/>
          <w:szCs w:val="22"/>
        </w:rPr>
        <w:t xml:space="preserve"> se ne mogu dati preporuke za doziranje. </w:t>
      </w:r>
    </w:p>
    <w:p w14:paraId="0ABFBC64" w14:textId="77777777" w:rsidR="0083687B" w:rsidRPr="0083687B" w:rsidRDefault="0083687B">
      <w:pPr>
        <w:widowControl w:val="0"/>
        <w:autoSpaceDE w:val="0"/>
        <w:autoSpaceDN w:val="0"/>
        <w:adjustRightInd w:val="0"/>
        <w:ind w:left="567" w:hanging="567"/>
        <w:jc w:val="both"/>
        <w:rPr>
          <w:sz w:val="22"/>
          <w:szCs w:val="22"/>
        </w:rPr>
      </w:pPr>
    </w:p>
    <w:p w14:paraId="78AB08D7" w14:textId="77777777" w:rsidR="0083687B" w:rsidRPr="0083687B" w:rsidRDefault="0083687B">
      <w:pPr>
        <w:widowControl w:val="0"/>
        <w:autoSpaceDE w:val="0"/>
        <w:autoSpaceDN w:val="0"/>
        <w:adjustRightInd w:val="0"/>
        <w:ind w:left="567" w:hanging="567"/>
        <w:jc w:val="both"/>
        <w:rPr>
          <w:sz w:val="22"/>
          <w:szCs w:val="22"/>
          <w:u w:val="single"/>
        </w:rPr>
      </w:pPr>
      <w:r w:rsidRPr="0083687B">
        <w:rPr>
          <w:sz w:val="22"/>
          <w:szCs w:val="22"/>
          <w:u w:val="single"/>
        </w:rPr>
        <w:t>Način primjene</w:t>
      </w:r>
    </w:p>
    <w:p w14:paraId="547F0901" w14:textId="77777777" w:rsidR="0083687B" w:rsidRPr="0083687B" w:rsidRDefault="0083687B">
      <w:pPr>
        <w:widowControl w:val="0"/>
        <w:autoSpaceDE w:val="0"/>
        <w:autoSpaceDN w:val="0"/>
        <w:adjustRightInd w:val="0"/>
        <w:ind w:left="567" w:hanging="567"/>
        <w:jc w:val="both"/>
        <w:rPr>
          <w:sz w:val="22"/>
          <w:szCs w:val="22"/>
        </w:rPr>
      </w:pPr>
    </w:p>
    <w:p w14:paraId="28895098" w14:textId="77777777" w:rsidR="0083687B" w:rsidRPr="0083687B" w:rsidRDefault="0083687B">
      <w:pPr>
        <w:widowControl w:val="0"/>
        <w:autoSpaceDE w:val="0"/>
        <w:autoSpaceDN w:val="0"/>
        <w:adjustRightInd w:val="0"/>
        <w:jc w:val="both"/>
        <w:rPr>
          <w:sz w:val="22"/>
          <w:szCs w:val="22"/>
        </w:rPr>
      </w:pPr>
      <w:r w:rsidRPr="0083687B">
        <w:rPr>
          <w:sz w:val="22"/>
          <w:szCs w:val="22"/>
        </w:rPr>
        <w:t>Lijek Humira se primjenjuje supkutanom injekcijom. Sve informacije za upotrebu se nalaze u Uputstvu za lijek.</w:t>
      </w:r>
    </w:p>
    <w:p w14:paraId="36E599E8" w14:textId="77777777" w:rsidR="0083687B" w:rsidRPr="0083687B" w:rsidRDefault="0083687B">
      <w:pPr>
        <w:widowControl w:val="0"/>
        <w:autoSpaceDE w:val="0"/>
        <w:autoSpaceDN w:val="0"/>
        <w:adjustRightInd w:val="0"/>
        <w:jc w:val="both"/>
        <w:rPr>
          <w:sz w:val="22"/>
          <w:szCs w:val="22"/>
        </w:rPr>
      </w:pPr>
    </w:p>
    <w:p w14:paraId="4E17D470" w14:textId="11726353" w:rsidR="0083687B" w:rsidRPr="0083687B" w:rsidRDefault="0083687B">
      <w:pPr>
        <w:widowControl w:val="0"/>
        <w:autoSpaceDE w:val="0"/>
        <w:autoSpaceDN w:val="0"/>
        <w:adjustRightInd w:val="0"/>
        <w:jc w:val="both"/>
        <w:rPr>
          <w:sz w:val="22"/>
          <w:szCs w:val="22"/>
          <w:lang w:val="hr-HR"/>
        </w:rPr>
      </w:pPr>
      <w:r w:rsidRPr="0083687B">
        <w:rPr>
          <w:sz w:val="22"/>
          <w:szCs w:val="22"/>
          <w:lang w:val="hr-HR"/>
        </w:rPr>
        <w:t xml:space="preserve">Lijek Humira je dostupan u drugim jačinama i oblicima pakovanja. </w:t>
      </w:r>
    </w:p>
    <w:p w14:paraId="033D9A3E" w14:textId="77777777" w:rsidR="0083687B" w:rsidRPr="0083687B" w:rsidRDefault="0083687B">
      <w:pPr>
        <w:widowControl w:val="0"/>
        <w:autoSpaceDE w:val="0"/>
        <w:autoSpaceDN w:val="0"/>
        <w:adjustRightInd w:val="0"/>
        <w:jc w:val="both"/>
        <w:rPr>
          <w:sz w:val="22"/>
          <w:szCs w:val="22"/>
          <w:lang w:val="hr-HR"/>
        </w:rPr>
      </w:pPr>
    </w:p>
    <w:p w14:paraId="6D52EFEC"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4.3. </w:t>
      </w:r>
      <w:r w:rsidRPr="0083687B">
        <w:rPr>
          <w:b/>
          <w:bCs/>
          <w:sz w:val="22"/>
          <w:szCs w:val="22"/>
          <w:lang w:val="sr-Latn-ME"/>
        </w:rPr>
        <w:tab/>
        <w:t>Kontraindikacije</w:t>
      </w:r>
    </w:p>
    <w:p w14:paraId="21CB21CE" w14:textId="77777777" w:rsidR="0083687B" w:rsidRPr="0083687B" w:rsidRDefault="0083687B">
      <w:pPr>
        <w:tabs>
          <w:tab w:val="left" w:pos="1739"/>
        </w:tabs>
        <w:jc w:val="both"/>
        <w:rPr>
          <w:bCs/>
          <w:sz w:val="22"/>
          <w:szCs w:val="22"/>
          <w:lang w:val="sr-Latn-ME"/>
        </w:rPr>
      </w:pPr>
      <w:r w:rsidRPr="0083687B">
        <w:rPr>
          <w:bCs/>
          <w:sz w:val="22"/>
          <w:szCs w:val="22"/>
          <w:lang w:val="sr-Latn-ME"/>
        </w:rPr>
        <w:tab/>
      </w:r>
    </w:p>
    <w:p w14:paraId="08DCA9FD" w14:textId="49AEB066"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Preosjetljivost </w:t>
      </w:r>
      <w:proofErr w:type="gramStart"/>
      <w:r w:rsidRPr="0083687B">
        <w:rPr>
          <w:sz w:val="22"/>
          <w:szCs w:val="22"/>
        </w:rPr>
        <w:t>na</w:t>
      </w:r>
      <w:proofErr w:type="gramEnd"/>
      <w:r w:rsidRPr="0083687B">
        <w:rPr>
          <w:sz w:val="22"/>
          <w:szCs w:val="22"/>
        </w:rPr>
        <w:t xml:space="preserve"> aktivnu supstancu ili na neku od pomoćnih supstanci navedenih u </w:t>
      </w:r>
      <w:r w:rsidR="000E6C23">
        <w:rPr>
          <w:sz w:val="22"/>
          <w:szCs w:val="22"/>
        </w:rPr>
        <w:t>dijelu</w:t>
      </w:r>
      <w:r w:rsidR="000E6C23" w:rsidRPr="0083687B">
        <w:rPr>
          <w:sz w:val="22"/>
          <w:szCs w:val="22"/>
        </w:rPr>
        <w:t xml:space="preserve"> </w:t>
      </w:r>
      <w:r w:rsidRPr="0083687B">
        <w:rPr>
          <w:sz w:val="22"/>
          <w:szCs w:val="22"/>
        </w:rPr>
        <w:t>6.1.</w:t>
      </w:r>
    </w:p>
    <w:p w14:paraId="147213B3" w14:textId="77777777" w:rsidR="0083687B" w:rsidRPr="0083687B" w:rsidRDefault="0083687B">
      <w:pPr>
        <w:widowControl w:val="0"/>
        <w:autoSpaceDE w:val="0"/>
        <w:autoSpaceDN w:val="0"/>
        <w:adjustRightInd w:val="0"/>
        <w:ind w:left="567" w:hanging="567"/>
        <w:jc w:val="both"/>
        <w:rPr>
          <w:sz w:val="22"/>
          <w:szCs w:val="22"/>
        </w:rPr>
      </w:pPr>
    </w:p>
    <w:p w14:paraId="776A63C2" w14:textId="4DB222B4" w:rsidR="0083687B" w:rsidRPr="0083687B" w:rsidRDefault="0083687B">
      <w:pPr>
        <w:widowControl w:val="0"/>
        <w:autoSpaceDE w:val="0"/>
        <w:autoSpaceDN w:val="0"/>
        <w:adjustRightInd w:val="0"/>
        <w:jc w:val="both"/>
        <w:rPr>
          <w:sz w:val="22"/>
          <w:szCs w:val="22"/>
        </w:rPr>
      </w:pPr>
      <w:r w:rsidRPr="0083687B">
        <w:rPr>
          <w:sz w:val="22"/>
          <w:szCs w:val="22"/>
        </w:rPr>
        <w:t xml:space="preserve">Aktivna tuberkuloza </w:t>
      </w:r>
      <w:proofErr w:type="gramStart"/>
      <w:r w:rsidRPr="0083687B">
        <w:rPr>
          <w:sz w:val="22"/>
          <w:szCs w:val="22"/>
        </w:rPr>
        <w:t>ili</w:t>
      </w:r>
      <w:proofErr w:type="gramEnd"/>
      <w:r w:rsidRPr="0083687B">
        <w:rPr>
          <w:sz w:val="22"/>
          <w:szCs w:val="22"/>
        </w:rPr>
        <w:t xml:space="preserve"> druge teške infekcije, poput sepse, i oportunističke infekcije (vidjeti </w:t>
      </w:r>
      <w:r w:rsidR="000E6C23">
        <w:rPr>
          <w:sz w:val="22"/>
          <w:szCs w:val="22"/>
        </w:rPr>
        <w:t>dio</w:t>
      </w:r>
      <w:r w:rsidR="000E6C23" w:rsidRPr="0083687B">
        <w:rPr>
          <w:sz w:val="22"/>
          <w:szCs w:val="22"/>
        </w:rPr>
        <w:t xml:space="preserve"> </w:t>
      </w:r>
      <w:r w:rsidRPr="0083687B">
        <w:rPr>
          <w:sz w:val="22"/>
          <w:szCs w:val="22"/>
        </w:rPr>
        <w:t>4.4).</w:t>
      </w:r>
    </w:p>
    <w:p w14:paraId="47821059" w14:textId="77777777" w:rsidR="0083687B" w:rsidRPr="0083687B" w:rsidRDefault="0083687B">
      <w:pPr>
        <w:widowControl w:val="0"/>
        <w:autoSpaceDE w:val="0"/>
        <w:autoSpaceDN w:val="0"/>
        <w:adjustRightInd w:val="0"/>
        <w:ind w:left="567" w:hanging="567"/>
        <w:jc w:val="both"/>
        <w:rPr>
          <w:sz w:val="22"/>
          <w:szCs w:val="22"/>
        </w:rPr>
      </w:pPr>
    </w:p>
    <w:p w14:paraId="63B9FE5F" w14:textId="45EA3193"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Umjerena do teška srčana insuficijencija (NYHA stepen III/IV) (vidjeti </w:t>
      </w:r>
      <w:r w:rsidR="000E6C23">
        <w:rPr>
          <w:sz w:val="22"/>
          <w:szCs w:val="22"/>
        </w:rPr>
        <w:t>dio</w:t>
      </w:r>
      <w:r w:rsidRPr="0083687B">
        <w:rPr>
          <w:sz w:val="22"/>
          <w:szCs w:val="22"/>
        </w:rPr>
        <w:t xml:space="preserve"> 4.4).</w:t>
      </w:r>
    </w:p>
    <w:p w14:paraId="71606CC2" w14:textId="77777777" w:rsidR="0083687B" w:rsidRPr="0083687B" w:rsidRDefault="0083687B">
      <w:pPr>
        <w:tabs>
          <w:tab w:val="left" w:pos="1739"/>
        </w:tabs>
        <w:jc w:val="both"/>
        <w:rPr>
          <w:bCs/>
          <w:sz w:val="22"/>
          <w:szCs w:val="22"/>
          <w:lang w:val="sr-Latn-ME"/>
        </w:rPr>
      </w:pPr>
    </w:p>
    <w:p w14:paraId="1B393E0C"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4.4. </w:t>
      </w:r>
      <w:r w:rsidRPr="0083687B">
        <w:rPr>
          <w:b/>
          <w:bCs/>
          <w:sz w:val="22"/>
          <w:szCs w:val="22"/>
          <w:lang w:val="sr-Latn-ME"/>
        </w:rPr>
        <w:tab/>
        <w:t>Posebna upozorenja i mjere opreza pri upotrebi lijeka</w:t>
      </w:r>
    </w:p>
    <w:p w14:paraId="7E0E17AA" w14:textId="77777777" w:rsidR="0083687B" w:rsidRPr="0083687B" w:rsidRDefault="0083687B">
      <w:pPr>
        <w:tabs>
          <w:tab w:val="left" w:pos="1141"/>
        </w:tabs>
        <w:jc w:val="both"/>
        <w:rPr>
          <w:bCs/>
          <w:sz w:val="22"/>
          <w:szCs w:val="22"/>
          <w:lang w:val="sr-Latn-ME"/>
        </w:rPr>
      </w:pPr>
    </w:p>
    <w:p w14:paraId="7DAED5A2" w14:textId="77777777" w:rsidR="0083687B" w:rsidRPr="0083687B" w:rsidRDefault="0083687B">
      <w:pPr>
        <w:tabs>
          <w:tab w:val="left" w:pos="1141"/>
        </w:tabs>
        <w:jc w:val="both"/>
        <w:rPr>
          <w:bCs/>
          <w:sz w:val="22"/>
          <w:szCs w:val="22"/>
          <w:u w:val="single"/>
          <w:lang w:val="sr-Latn-ME"/>
        </w:rPr>
      </w:pPr>
      <w:r w:rsidRPr="0083687B">
        <w:rPr>
          <w:bCs/>
          <w:sz w:val="22"/>
          <w:szCs w:val="22"/>
          <w:u w:val="single"/>
          <w:lang w:val="sr-Latn-ME"/>
        </w:rPr>
        <w:t>Praćenje</w:t>
      </w:r>
    </w:p>
    <w:p w14:paraId="374691E0" w14:textId="77777777" w:rsidR="0083687B" w:rsidRPr="0083687B" w:rsidRDefault="0083687B">
      <w:pPr>
        <w:tabs>
          <w:tab w:val="left" w:pos="1141"/>
        </w:tabs>
        <w:jc w:val="both"/>
        <w:rPr>
          <w:sz w:val="22"/>
          <w:szCs w:val="22"/>
          <w:lang w:val="sr-Latn-ME"/>
        </w:rPr>
      </w:pPr>
      <w:r w:rsidRPr="0083687B">
        <w:rPr>
          <w:bCs/>
          <w:sz w:val="22"/>
          <w:szCs w:val="22"/>
          <w:lang w:val="sr-Latn-ME"/>
        </w:rPr>
        <w:tab/>
      </w:r>
    </w:p>
    <w:p w14:paraId="2957191D" w14:textId="77777777" w:rsidR="0083687B" w:rsidRPr="0083687B" w:rsidRDefault="0083687B">
      <w:pPr>
        <w:widowControl w:val="0"/>
        <w:autoSpaceDE w:val="0"/>
        <w:autoSpaceDN w:val="0"/>
        <w:adjustRightInd w:val="0"/>
        <w:jc w:val="both"/>
        <w:rPr>
          <w:sz w:val="22"/>
          <w:szCs w:val="22"/>
        </w:rPr>
      </w:pPr>
      <w:r w:rsidRPr="0083687B">
        <w:rPr>
          <w:sz w:val="22"/>
          <w:szCs w:val="22"/>
        </w:rPr>
        <w:t>Kako bi se poboljšala mogućnost praćenja bioloških ljekova, treba jasno zabilježiti naziv i broj serije primijenjenog lijeka.</w:t>
      </w:r>
    </w:p>
    <w:p w14:paraId="0D6B461B" w14:textId="77777777" w:rsidR="0083687B" w:rsidRPr="0083687B" w:rsidRDefault="0083687B">
      <w:pPr>
        <w:widowControl w:val="0"/>
        <w:autoSpaceDE w:val="0"/>
        <w:autoSpaceDN w:val="0"/>
        <w:adjustRightInd w:val="0"/>
        <w:jc w:val="both"/>
        <w:rPr>
          <w:sz w:val="22"/>
          <w:szCs w:val="22"/>
        </w:rPr>
      </w:pPr>
    </w:p>
    <w:p w14:paraId="676D21BE"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Infekcije</w:t>
      </w:r>
    </w:p>
    <w:p w14:paraId="60B46F1B" w14:textId="77777777" w:rsidR="0083687B" w:rsidRPr="0083687B" w:rsidRDefault="0083687B">
      <w:pPr>
        <w:widowControl w:val="0"/>
        <w:autoSpaceDE w:val="0"/>
        <w:autoSpaceDN w:val="0"/>
        <w:adjustRightInd w:val="0"/>
        <w:jc w:val="both"/>
        <w:rPr>
          <w:sz w:val="22"/>
          <w:szCs w:val="22"/>
          <w:u w:val="single"/>
        </w:rPr>
      </w:pPr>
    </w:p>
    <w:p w14:paraId="05174D08" w14:textId="77777777" w:rsidR="0083687B" w:rsidRPr="0083687B" w:rsidRDefault="0083687B">
      <w:pPr>
        <w:widowControl w:val="0"/>
        <w:autoSpaceDE w:val="0"/>
        <w:autoSpaceDN w:val="0"/>
        <w:adjustRightInd w:val="0"/>
        <w:jc w:val="both"/>
        <w:rPr>
          <w:sz w:val="22"/>
          <w:szCs w:val="22"/>
        </w:rPr>
      </w:pPr>
      <w:r w:rsidRPr="0083687B">
        <w:rPr>
          <w:sz w:val="22"/>
          <w:szCs w:val="22"/>
        </w:rPr>
        <w:t>Pacijenti su tokom terapije antagonistima TNF-a podložniji ozbiljnim infekcijama. Smanjena funkcija pluća može povećati rizik za nastanak infekcija. Prije, za vrijeme i nakon završetka liječenja lijekom Humira pacijente treba pažljivo pratiti zbog moguće pojave infekcija, uključujući tuberkulozu. Budući da izlučivanje adalimumaba može trajati i do četiri mjeseca, praćenje pacijenata treba nastaviti za vrijeme cijelog tog perioda.</w:t>
      </w:r>
    </w:p>
    <w:p w14:paraId="69F2E6CC" w14:textId="77777777" w:rsidR="0083687B" w:rsidRPr="0083687B" w:rsidRDefault="0083687B">
      <w:pPr>
        <w:widowControl w:val="0"/>
        <w:autoSpaceDE w:val="0"/>
        <w:autoSpaceDN w:val="0"/>
        <w:adjustRightInd w:val="0"/>
        <w:jc w:val="both"/>
        <w:rPr>
          <w:sz w:val="22"/>
          <w:szCs w:val="22"/>
        </w:rPr>
      </w:pPr>
    </w:p>
    <w:p w14:paraId="268D1779"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Liječenje lijekom Humira ne smije se započeti kod pacijenata s aktivnim infekcijama, uključujući hronične </w:t>
      </w:r>
      <w:proofErr w:type="gramStart"/>
      <w:r w:rsidRPr="0083687B">
        <w:rPr>
          <w:sz w:val="22"/>
          <w:szCs w:val="22"/>
        </w:rPr>
        <w:t>ili</w:t>
      </w:r>
      <w:proofErr w:type="gramEnd"/>
      <w:r w:rsidRPr="0083687B">
        <w:rPr>
          <w:sz w:val="22"/>
          <w:szCs w:val="22"/>
        </w:rPr>
        <w:t xml:space="preserve"> lokalizovane infekcije, sve dok se te infekcije ne suzbiju. Kod pacijenata koji su bili izloženi tuberkulozi i pacijenata koji su putovali u područja visokog rizika </w:t>
      </w:r>
      <w:proofErr w:type="gramStart"/>
      <w:r w:rsidRPr="0083687B">
        <w:rPr>
          <w:sz w:val="22"/>
          <w:szCs w:val="22"/>
        </w:rPr>
        <w:t>od</w:t>
      </w:r>
      <w:proofErr w:type="gramEnd"/>
      <w:r w:rsidRPr="0083687B">
        <w:rPr>
          <w:sz w:val="22"/>
          <w:szCs w:val="22"/>
        </w:rPr>
        <w:t xml:space="preserve"> tuberkuloze ili endemskih mikoza, kao što su histoplazmoza, kokcidioidomikoza ili blastomikoza, rizike i koristi liječenja lijekom Humira treba razmotriti prije započinjanja liječenja (vidjeti </w:t>
      </w:r>
      <w:r w:rsidRPr="0083687B">
        <w:rPr>
          <w:i/>
          <w:sz w:val="22"/>
          <w:szCs w:val="22"/>
        </w:rPr>
        <w:t>Druge oportunističke infekcije</w:t>
      </w:r>
      <w:r w:rsidRPr="0083687B">
        <w:rPr>
          <w:sz w:val="22"/>
          <w:szCs w:val="22"/>
        </w:rPr>
        <w:t>).</w:t>
      </w:r>
    </w:p>
    <w:p w14:paraId="0DCA3E00" w14:textId="77777777" w:rsidR="0083687B" w:rsidRPr="0083687B" w:rsidRDefault="0083687B">
      <w:pPr>
        <w:widowControl w:val="0"/>
        <w:autoSpaceDE w:val="0"/>
        <w:autoSpaceDN w:val="0"/>
        <w:adjustRightInd w:val="0"/>
        <w:jc w:val="both"/>
        <w:rPr>
          <w:sz w:val="22"/>
          <w:szCs w:val="22"/>
        </w:rPr>
      </w:pPr>
    </w:p>
    <w:p w14:paraId="22B92C97"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Pacijente kod kojih se za vrijeme liječenja lijekom Humira razviju nove infekcije, treba pažljivo pratiti i podvrgnuti kompletnoj dijagnostičkoj procjeni. Primjenu lijeka Humira treba obustaviti ako pacijent dobije novu tešku infekciju </w:t>
      </w:r>
      <w:proofErr w:type="gramStart"/>
      <w:r w:rsidRPr="0083687B">
        <w:rPr>
          <w:sz w:val="22"/>
          <w:szCs w:val="22"/>
        </w:rPr>
        <w:t>ili</w:t>
      </w:r>
      <w:proofErr w:type="gramEnd"/>
      <w:r w:rsidRPr="0083687B">
        <w:rPr>
          <w:sz w:val="22"/>
          <w:szCs w:val="22"/>
        </w:rPr>
        <w:t xml:space="preserve"> sepsu, te treba započeti odgovarajuću antimikrobnu ili antifungalnu </w:t>
      </w:r>
      <w:r w:rsidRPr="0083687B">
        <w:rPr>
          <w:sz w:val="22"/>
          <w:szCs w:val="22"/>
        </w:rPr>
        <w:lastRenderedPageBreak/>
        <w:t xml:space="preserve">terapiju sve dok se infekcija ne suzbije. Ljekari treba da oprezno razmotre liječenje lijekom Humira kod pacijenata s čestim infekcijama u anamnezi </w:t>
      </w:r>
      <w:proofErr w:type="gramStart"/>
      <w:r w:rsidRPr="0083687B">
        <w:rPr>
          <w:sz w:val="22"/>
          <w:szCs w:val="22"/>
        </w:rPr>
        <w:t>ili</w:t>
      </w:r>
      <w:proofErr w:type="gramEnd"/>
      <w:r w:rsidRPr="0083687B">
        <w:rPr>
          <w:sz w:val="22"/>
          <w:szCs w:val="22"/>
        </w:rPr>
        <w:t xml:space="preserve"> osnovnim bolestima koje pogoduju razvoju infekcija, uključujući istovremenu upotrebu imunosupresivnih ljekova. </w:t>
      </w:r>
    </w:p>
    <w:p w14:paraId="34F0653D" w14:textId="77777777" w:rsidR="0083687B" w:rsidRPr="0083687B" w:rsidRDefault="0083687B">
      <w:pPr>
        <w:widowControl w:val="0"/>
        <w:autoSpaceDE w:val="0"/>
        <w:autoSpaceDN w:val="0"/>
        <w:adjustRightInd w:val="0"/>
        <w:jc w:val="both"/>
        <w:rPr>
          <w:sz w:val="22"/>
          <w:szCs w:val="22"/>
        </w:rPr>
      </w:pPr>
    </w:p>
    <w:p w14:paraId="05689A79" w14:textId="77777777" w:rsidR="0083687B" w:rsidRPr="0083687B" w:rsidRDefault="0083687B">
      <w:pPr>
        <w:widowControl w:val="0"/>
        <w:autoSpaceDE w:val="0"/>
        <w:autoSpaceDN w:val="0"/>
        <w:adjustRightInd w:val="0"/>
        <w:jc w:val="both"/>
        <w:rPr>
          <w:i/>
          <w:iCs/>
          <w:sz w:val="22"/>
          <w:szCs w:val="22"/>
        </w:rPr>
      </w:pPr>
      <w:r w:rsidRPr="0083687B">
        <w:rPr>
          <w:i/>
          <w:iCs/>
          <w:sz w:val="22"/>
          <w:szCs w:val="22"/>
        </w:rPr>
        <w:t>Ozbiljne infekcije</w:t>
      </w:r>
    </w:p>
    <w:p w14:paraId="18FAC81C" w14:textId="77777777" w:rsidR="0083687B" w:rsidRPr="0083687B" w:rsidRDefault="0083687B">
      <w:pPr>
        <w:widowControl w:val="0"/>
        <w:autoSpaceDE w:val="0"/>
        <w:autoSpaceDN w:val="0"/>
        <w:adjustRightInd w:val="0"/>
        <w:jc w:val="both"/>
        <w:rPr>
          <w:i/>
          <w:iCs/>
          <w:sz w:val="22"/>
          <w:szCs w:val="22"/>
          <w:u w:val="single"/>
        </w:rPr>
      </w:pPr>
    </w:p>
    <w:p w14:paraId="67DB9DD4"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Kod pacijenata koji su primali lijek Humira zabilježene su ozbiljne infekcije, uključujući sepsu, uzrokovane bakterijama, mikobakterijama, invazivnim gljivicama, parazitima, virusima, </w:t>
      </w:r>
      <w:proofErr w:type="gramStart"/>
      <w:r w:rsidRPr="0083687B">
        <w:rPr>
          <w:sz w:val="22"/>
          <w:szCs w:val="22"/>
        </w:rPr>
        <w:t>ili</w:t>
      </w:r>
      <w:proofErr w:type="gramEnd"/>
      <w:r w:rsidRPr="0083687B">
        <w:rPr>
          <w:sz w:val="22"/>
          <w:szCs w:val="22"/>
        </w:rPr>
        <w:t xml:space="preserve"> druge oportunističke infekcije poput listerioze, legioneloze i pneumocistisa.</w:t>
      </w:r>
    </w:p>
    <w:p w14:paraId="6F42CF0A" w14:textId="77777777" w:rsidR="0083687B" w:rsidRPr="0083687B" w:rsidRDefault="0083687B">
      <w:pPr>
        <w:widowControl w:val="0"/>
        <w:autoSpaceDE w:val="0"/>
        <w:autoSpaceDN w:val="0"/>
        <w:adjustRightInd w:val="0"/>
        <w:jc w:val="both"/>
        <w:rPr>
          <w:sz w:val="22"/>
          <w:szCs w:val="22"/>
        </w:rPr>
      </w:pPr>
    </w:p>
    <w:p w14:paraId="710DAA97"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Ostale ozbiljne infekcije primijećene u kliničkim ispitivanjima uključuju pneumoniju, pijelonefritis, septički artritis i septikemiju. Prijavljene su hospitalizacije </w:t>
      </w:r>
      <w:proofErr w:type="gramStart"/>
      <w:r w:rsidRPr="0083687B">
        <w:rPr>
          <w:sz w:val="22"/>
          <w:szCs w:val="22"/>
        </w:rPr>
        <w:t>ili</w:t>
      </w:r>
      <w:proofErr w:type="gramEnd"/>
      <w:r w:rsidRPr="0083687B">
        <w:rPr>
          <w:sz w:val="22"/>
          <w:szCs w:val="22"/>
        </w:rPr>
        <w:t xml:space="preserve"> fatalni ishodi povezani s infekcijama.</w:t>
      </w:r>
      <w:r w:rsidRPr="0083687B" w:rsidDel="009B604E">
        <w:rPr>
          <w:sz w:val="22"/>
          <w:szCs w:val="22"/>
        </w:rPr>
        <w:t xml:space="preserve"> </w:t>
      </w:r>
    </w:p>
    <w:p w14:paraId="34565BB7" w14:textId="77777777" w:rsidR="0083687B" w:rsidRPr="0083687B" w:rsidRDefault="0083687B">
      <w:pPr>
        <w:widowControl w:val="0"/>
        <w:autoSpaceDE w:val="0"/>
        <w:autoSpaceDN w:val="0"/>
        <w:adjustRightInd w:val="0"/>
        <w:jc w:val="both"/>
        <w:rPr>
          <w:sz w:val="22"/>
          <w:szCs w:val="22"/>
          <w:u w:val="single"/>
        </w:rPr>
      </w:pPr>
    </w:p>
    <w:p w14:paraId="700954DE" w14:textId="77777777" w:rsidR="0083687B" w:rsidRPr="0083687B" w:rsidRDefault="0083687B">
      <w:pPr>
        <w:widowControl w:val="0"/>
        <w:autoSpaceDE w:val="0"/>
        <w:autoSpaceDN w:val="0"/>
        <w:adjustRightInd w:val="0"/>
        <w:jc w:val="both"/>
        <w:rPr>
          <w:i/>
          <w:iCs/>
          <w:sz w:val="22"/>
          <w:szCs w:val="22"/>
        </w:rPr>
      </w:pPr>
      <w:r w:rsidRPr="0083687B">
        <w:rPr>
          <w:i/>
          <w:iCs/>
          <w:sz w:val="22"/>
          <w:szCs w:val="22"/>
        </w:rPr>
        <w:t>Tuberkuloza</w:t>
      </w:r>
    </w:p>
    <w:p w14:paraId="3109BD3D" w14:textId="77777777" w:rsidR="0083687B" w:rsidRPr="0083687B" w:rsidRDefault="0083687B">
      <w:pPr>
        <w:widowControl w:val="0"/>
        <w:autoSpaceDE w:val="0"/>
        <w:autoSpaceDN w:val="0"/>
        <w:adjustRightInd w:val="0"/>
        <w:jc w:val="both"/>
        <w:rPr>
          <w:i/>
          <w:iCs/>
          <w:sz w:val="22"/>
          <w:szCs w:val="22"/>
          <w:u w:val="single"/>
        </w:rPr>
      </w:pPr>
    </w:p>
    <w:p w14:paraId="5DAD98E9"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Kod pacijenata koji primaju lijek Humira, prijavljeni su slučajevi reaktiviranja </w:t>
      </w:r>
      <w:proofErr w:type="gramStart"/>
      <w:r w:rsidRPr="0083687B">
        <w:rPr>
          <w:sz w:val="22"/>
          <w:szCs w:val="22"/>
        </w:rPr>
        <w:t>ili</w:t>
      </w:r>
      <w:proofErr w:type="gramEnd"/>
      <w:r w:rsidRPr="0083687B">
        <w:rPr>
          <w:sz w:val="22"/>
          <w:szCs w:val="22"/>
        </w:rPr>
        <w:t xml:space="preserve"> pojave tuberkuloze. Prijavljeni slučajevi uključivali su pulmonalnu i ekstrapulmonalnu (tj. diseminovanu) tuberkulozu.</w:t>
      </w:r>
    </w:p>
    <w:p w14:paraId="67D014FC" w14:textId="77777777" w:rsidR="0083687B" w:rsidRPr="0083687B" w:rsidRDefault="0083687B">
      <w:pPr>
        <w:widowControl w:val="0"/>
        <w:autoSpaceDE w:val="0"/>
        <w:autoSpaceDN w:val="0"/>
        <w:adjustRightInd w:val="0"/>
        <w:jc w:val="both"/>
        <w:rPr>
          <w:sz w:val="22"/>
          <w:szCs w:val="22"/>
        </w:rPr>
      </w:pPr>
    </w:p>
    <w:p w14:paraId="34C1E86E"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Prije početka liječenja lijekom Humira, sve pacijente treba podvrgnuti pretragama za otkrivanje i aktivnog </w:t>
      </w:r>
      <w:proofErr w:type="gramStart"/>
      <w:r w:rsidRPr="0083687B">
        <w:rPr>
          <w:sz w:val="22"/>
          <w:szCs w:val="22"/>
        </w:rPr>
        <w:t>ili</w:t>
      </w:r>
      <w:proofErr w:type="gramEnd"/>
      <w:r w:rsidRPr="0083687B">
        <w:rPr>
          <w:sz w:val="22"/>
          <w:szCs w:val="22"/>
        </w:rPr>
        <w:t xml:space="preserve"> neaktivnog (latentnog) oblika tuberkuloze. Te pretrage treba da obuhvate uzimanje detaljne medicinske procjene pacijenta čija lična anamneza uključuje tuberkulozu </w:t>
      </w:r>
      <w:proofErr w:type="gramStart"/>
      <w:r w:rsidRPr="0083687B">
        <w:rPr>
          <w:sz w:val="22"/>
          <w:szCs w:val="22"/>
        </w:rPr>
        <w:t>ili</w:t>
      </w:r>
      <w:proofErr w:type="gramEnd"/>
      <w:r w:rsidRPr="0083687B">
        <w:rPr>
          <w:sz w:val="22"/>
          <w:szCs w:val="22"/>
        </w:rPr>
        <w:t xml:space="preserve"> eventualnu raniju izloženost pacijentima sa aktivnom tuberkulozom, te predhodno i/ili sadašnje liječenje imunosupresivnim ljekovima. Kod svih pacijenata treba sprovesti odgovarajuće testove provjere tj. </w:t>
      </w:r>
      <w:proofErr w:type="gramStart"/>
      <w:r w:rsidRPr="0083687B">
        <w:rPr>
          <w:sz w:val="22"/>
          <w:szCs w:val="22"/>
        </w:rPr>
        <w:t>tuberkulinski</w:t>
      </w:r>
      <w:proofErr w:type="gramEnd"/>
      <w:r w:rsidRPr="0083687B">
        <w:rPr>
          <w:sz w:val="22"/>
          <w:szCs w:val="22"/>
        </w:rPr>
        <w:t xml:space="preserve"> kožni test i rendgen pluća (treba se pridržavati lokalnih preporuka). Preporučuje se evidentiranje rezultata obavljenih testova u Karticu </w:t>
      </w:r>
      <w:proofErr w:type="gramStart"/>
      <w:r w:rsidRPr="0083687B">
        <w:rPr>
          <w:sz w:val="22"/>
          <w:szCs w:val="22"/>
        </w:rPr>
        <w:t>sa</w:t>
      </w:r>
      <w:proofErr w:type="gramEnd"/>
      <w:r w:rsidRPr="0083687B">
        <w:rPr>
          <w:sz w:val="22"/>
          <w:szCs w:val="22"/>
        </w:rPr>
        <w:t xml:space="preserve"> podsjetnikom za pacijenta. Pritom treba imati </w:t>
      </w:r>
      <w:proofErr w:type="gramStart"/>
      <w:r w:rsidRPr="0083687B">
        <w:rPr>
          <w:sz w:val="22"/>
          <w:szCs w:val="22"/>
        </w:rPr>
        <w:t>na</w:t>
      </w:r>
      <w:proofErr w:type="gramEnd"/>
      <w:r w:rsidRPr="0083687B">
        <w:rPr>
          <w:sz w:val="22"/>
          <w:szCs w:val="22"/>
        </w:rPr>
        <w:t xml:space="preserve"> umu da tuberkulinski kožni test može dati lažno negativne rezultate, naročito kod teško bolesnih ili imunokompromitovanih pacijenata.</w:t>
      </w:r>
    </w:p>
    <w:p w14:paraId="0DFE987C" w14:textId="77777777" w:rsidR="0083687B" w:rsidRPr="0083687B" w:rsidRDefault="0083687B">
      <w:pPr>
        <w:widowControl w:val="0"/>
        <w:autoSpaceDE w:val="0"/>
        <w:autoSpaceDN w:val="0"/>
        <w:adjustRightInd w:val="0"/>
        <w:ind w:left="567" w:hanging="567"/>
        <w:jc w:val="both"/>
        <w:rPr>
          <w:sz w:val="22"/>
          <w:szCs w:val="22"/>
        </w:rPr>
      </w:pPr>
    </w:p>
    <w:p w14:paraId="7B2C7C53" w14:textId="447CBA9B" w:rsidR="0083687B" w:rsidRPr="0083687B" w:rsidRDefault="0083687B">
      <w:pPr>
        <w:widowControl w:val="0"/>
        <w:autoSpaceDE w:val="0"/>
        <w:autoSpaceDN w:val="0"/>
        <w:adjustRightInd w:val="0"/>
        <w:jc w:val="both"/>
        <w:rPr>
          <w:sz w:val="22"/>
          <w:szCs w:val="22"/>
        </w:rPr>
      </w:pPr>
      <w:r w:rsidRPr="0083687B">
        <w:rPr>
          <w:sz w:val="22"/>
          <w:szCs w:val="22"/>
        </w:rPr>
        <w:t xml:space="preserve">Ukoliko se dijagnostikuje aktivna tuberkuloza, ne smije se započeti liječenje lijekom Humira (vidjeti </w:t>
      </w:r>
      <w:r w:rsidR="00E161C3">
        <w:rPr>
          <w:sz w:val="22"/>
          <w:szCs w:val="22"/>
        </w:rPr>
        <w:t xml:space="preserve">dio </w:t>
      </w:r>
      <w:r w:rsidRPr="0083687B">
        <w:rPr>
          <w:sz w:val="22"/>
          <w:szCs w:val="22"/>
        </w:rPr>
        <w:t>4.3).</w:t>
      </w:r>
    </w:p>
    <w:p w14:paraId="74AA6D97" w14:textId="77777777" w:rsidR="0083687B" w:rsidRPr="0083687B" w:rsidRDefault="0083687B">
      <w:pPr>
        <w:widowControl w:val="0"/>
        <w:autoSpaceDE w:val="0"/>
        <w:autoSpaceDN w:val="0"/>
        <w:adjustRightInd w:val="0"/>
        <w:jc w:val="both"/>
        <w:rPr>
          <w:sz w:val="22"/>
          <w:szCs w:val="22"/>
        </w:rPr>
      </w:pPr>
    </w:p>
    <w:p w14:paraId="493B3A5B" w14:textId="77777777" w:rsidR="0083687B" w:rsidRPr="0083687B" w:rsidRDefault="0083687B">
      <w:pPr>
        <w:jc w:val="both"/>
        <w:rPr>
          <w:sz w:val="22"/>
          <w:szCs w:val="22"/>
          <w:lang w:val="sr-Latn-ME"/>
        </w:rPr>
      </w:pPr>
      <w:r w:rsidRPr="0083687B">
        <w:rPr>
          <w:sz w:val="22"/>
          <w:szCs w:val="22"/>
          <w:lang w:val="sr-Latn-ME"/>
        </w:rPr>
        <w:t>U svim situacijama koje su opisane u nastavku, pažljivo treba razmotriti odnos rizika i koristi liječenja.</w:t>
      </w:r>
    </w:p>
    <w:p w14:paraId="003AA2AF" w14:textId="77777777" w:rsidR="0083687B" w:rsidRPr="0083687B" w:rsidRDefault="0083687B">
      <w:pPr>
        <w:widowControl w:val="0"/>
        <w:autoSpaceDE w:val="0"/>
        <w:autoSpaceDN w:val="0"/>
        <w:adjustRightInd w:val="0"/>
        <w:jc w:val="both"/>
        <w:rPr>
          <w:sz w:val="22"/>
          <w:szCs w:val="22"/>
        </w:rPr>
      </w:pPr>
    </w:p>
    <w:p w14:paraId="647FBD15"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Ukoliko postoji sumnja </w:t>
      </w:r>
      <w:proofErr w:type="gramStart"/>
      <w:r w:rsidRPr="0083687B">
        <w:rPr>
          <w:sz w:val="22"/>
          <w:szCs w:val="22"/>
        </w:rPr>
        <w:t>na</w:t>
      </w:r>
      <w:proofErr w:type="gramEnd"/>
      <w:r w:rsidRPr="0083687B">
        <w:rPr>
          <w:sz w:val="22"/>
          <w:szCs w:val="22"/>
        </w:rPr>
        <w:t xml:space="preserve"> latentnu tuberkulozu, potrebno je konsultovati ljekara sa iskustvom u liječenju tuberkuloze.</w:t>
      </w:r>
    </w:p>
    <w:p w14:paraId="1385C099" w14:textId="77777777" w:rsidR="0083687B" w:rsidRPr="0083687B" w:rsidRDefault="0083687B">
      <w:pPr>
        <w:widowControl w:val="0"/>
        <w:autoSpaceDE w:val="0"/>
        <w:autoSpaceDN w:val="0"/>
        <w:adjustRightInd w:val="0"/>
        <w:jc w:val="both"/>
        <w:rPr>
          <w:sz w:val="22"/>
          <w:szCs w:val="22"/>
        </w:rPr>
      </w:pPr>
    </w:p>
    <w:p w14:paraId="0D3A7A03"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Ukoliko se dijagnostikuje latentna tuberkuloza, prije početka liječenja lijekom Humira treba započeti odgovarajuću antituberkuloznu profilaksu za latentnu tuberkulozu, i to u skladu </w:t>
      </w:r>
      <w:proofErr w:type="gramStart"/>
      <w:r w:rsidRPr="0083687B">
        <w:rPr>
          <w:sz w:val="22"/>
          <w:szCs w:val="22"/>
        </w:rPr>
        <w:t>sa</w:t>
      </w:r>
      <w:proofErr w:type="gramEnd"/>
      <w:r w:rsidRPr="0083687B">
        <w:rPr>
          <w:sz w:val="22"/>
          <w:szCs w:val="22"/>
        </w:rPr>
        <w:t xml:space="preserve"> lokalnim preporukama. </w:t>
      </w:r>
    </w:p>
    <w:p w14:paraId="1767830F" w14:textId="77777777" w:rsidR="0083687B" w:rsidRPr="0083687B" w:rsidRDefault="0083687B">
      <w:pPr>
        <w:widowControl w:val="0"/>
        <w:autoSpaceDE w:val="0"/>
        <w:autoSpaceDN w:val="0"/>
        <w:adjustRightInd w:val="0"/>
        <w:jc w:val="both"/>
        <w:rPr>
          <w:sz w:val="22"/>
          <w:szCs w:val="22"/>
        </w:rPr>
      </w:pPr>
    </w:p>
    <w:p w14:paraId="791B923D"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Kod pacijenata koji imaju nekoliko </w:t>
      </w:r>
      <w:proofErr w:type="gramStart"/>
      <w:r w:rsidRPr="0083687B">
        <w:rPr>
          <w:sz w:val="22"/>
          <w:szCs w:val="22"/>
        </w:rPr>
        <w:t>ili</w:t>
      </w:r>
      <w:proofErr w:type="gramEnd"/>
      <w:r w:rsidRPr="0083687B">
        <w:rPr>
          <w:sz w:val="22"/>
          <w:szCs w:val="22"/>
        </w:rPr>
        <w:t xml:space="preserve"> značajne faktore rizika za tuberkulozu, uprkos negativnom testu na tuberkulozu, i kod pacijenata s latentnom ili aktivnom tuberkulozom u anamnezi kod kojih se ne može potvrditi adekvatan tok liječenja, takođe treba razmotriti antituberkuloznu terapiju prije početka liječenja lijekom Humira.</w:t>
      </w:r>
    </w:p>
    <w:p w14:paraId="31C62C6A" w14:textId="77777777" w:rsidR="0083687B" w:rsidRPr="0083687B" w:rsidRDefault="0083687B">
      <w:pPr>
        <w:widowControl w:val="0"/>
        <w:autoSpaceDE w:val="0"/>
        <w:autoSpaceDN w:val="0"/>
        <w:adjustRightInd w:val="0"/>
        <w:jc w:val="both"/>
        <w:rPr>
          <w:sz w:val="22"/>
          <w:szCs w:val="22"/>
        </w:rPr>
      </w:pPr>
    </w:p>
    <w:p w14:paraId="1AA2BAE6"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Uprkos primjeni antituberkulozne profilakse, pojavili su se neki slučajevi reaktivirane tuberkuloze kod pacijenata liječenih lijekom Humira. Kod pojedinih pacijenata koji su bili uspješno izliječeni </w:t>
      </w:r>
      <w:proofErr w:type="gramStart"/>
      <w:r w:rsidRPr="0083687B">
        <w:rPr>
          <w:sz w:val="22"/>
          <w:szCs w:val="22"/>
        </w:rPr>
        <w:t>od</w:t>
      </w:r>
      <w:proofErr w:type="gramEnd"/>
      <w:r w:rsidRPr="0083687B">
        <w:rPr>
          <w:sz w:val="22"/>
          <w:szCs w:val="22"/>
        </w:rPr>
        <w:t xml:space="preserve"> aktivne tuberkuloze, ponovo se razvila tuberkuloza za vrijeme liječenja lijekom Humira.</w:t>
      </w:r>
    </w:p>
    <w:p w14:paraId="6FE8BB9B" w14:textId="77777777" w:rsidR="0083687B" w:rsidRPr="0083687B" w:rsidRDefault="0083687B">
      <w:pPr>
        <w:widowControl w:val="0"/>
        <w:autoSpaceDE w:val="0"/>
        <w:autoSpaceDN w:val="0"/>
        <w:adjustRightInd w:val="0"/>
        <w:jc w:val="both"/>
        <w:rPr>
          <w:sz w:val="22"/>
          <w:szCs w:val="22"/>
        </w:rPr>
      </w:pPr>
    </w:p>
    <w:p w14:paraId="4E721009"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Pacijente treba upozoriti da se obrate ljekaru ako se za vrijeme liječenja lijekom Humira </w:t>
      </w:r>
      <w:proofErr w:type="gramStart"/>
      <w:r w:rsidRPr="0083687B">
        <w:rPr>
          <w:sz w:val="22"/>
          <w:szCs w:val="22"/>
        </w:rPr>
        <w:t>ili</w:t>
      </w:r>
      <w:proofErr w:type="gramEnd"/>
      <w:r w:rsidRPr="0083687B">
        <w:rPr>
          <w:sz w:val="22"/>
          <w:szCs w:val="22"/>
        </w:rPr>
        <w:t xml:space="preserve"> poslije njega pojave znakovi/simptomi koji upućuju na tuberkulozu (npr. perzistentni kašalj, gubitak težine, blago povišena tjelesna temperatura, obamrlost).</w:t>
      </w:r>
    </w:p>
    <w:p w14:paraId="08DE0450" w14:textId="77777777" w:rsidR="0083687B" w:rsidRPr="0083687B" w:rsidRDefault="0083687B">
      <w:pPr>
        <w:widowControl w:val="0"/>
        <w:autoSpaceDE w:val="0"/>
        <w:autoSpaceDN w:val="0"/>
        <w:adjustRightInd w:val="0"/>
        <w:ind w:left="567" w:hanging="567"/>
        <w:jc w:val="both"/>
        <w:rPr>
          <w:sz w:val="22"/>
          <w:szCs w:val="22"/>
        </w:rPr>
      </w:pPr>
    </w:p>
    <w:p w14:paraId="485818C6" w14:textId="77777777" w:rsidR="0083687B" w:rsidRPr="0083687B" w:rsidRDefault="0083687B">
      <w:pPr>
        <w:widowControl w:val="0"/>
        <w:autoSpaceDE w:val="0"/>
        <w:autoSpaceDN w:val="0"/>
        <w:adjustRightInd w:val="0"/>
        <w:jc w:val="both"/>
        <w:rPr>
          <w:i/>
          <w:iCs/>
          <w:sz w:val="22"/>
          <w:szCs w:val="22"/>
        </w:rPr>
      </w:pPr>
      <w:r w:rsidRPr="0083687B">
        <w:rPr>
          <w:i/>
          <w:iCs/>
          <w:sz w:val="22"/>
          <w:szCs w:val="22"/>
        </w:rPr>
        <w:t>Druge oportunističke infekcije</w:t>
      </w:r>
    </w:p>
    <w:p w14:paraId="76BB481B" w14:textId="77777777" w:rsidR="0083687B" w:rsidRPr="0083687B" w:rsidRDefault="0083687B">
      <w:pPr>
        <w:widowControl w:val="0"/>
        <w:autoSpaceDE w:val="0"/>
        <w:autoSpaceDN w:val="0"/>
        <w:adjustRightInd w:val="0"/>
        <w:jc w:val="both"/>
        <w:rPr>
          <w:i/>
          <w:iCs/>
          <w:sz w:val="22"/>
          <w:szCs w:val="22"/>
          <w:u w:val="single"/>
        </w:rPr>
      </w:pPr>
    </w:p>
    <w:p w14:paraId="09CA2E65"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Zabilježena je pojava drugih oportunističkih infekcija, uključujući invazivne gljivične infekcije, kod pacijenata koji primaju lijek Humira. Ove infekcije nisu dosljedno prepoznate kod pacijenata koji </w:t>
      </w:r>
      <w:r w:rsidRPr="0083687B">
        <w:rPr>
          <w:sz w:val="22"/>
          <w:szCs w:val="22"/>
        </w:rPr>
        <w:lastRenderedPageBreak/>
        <w:t>primaju antagoniste TNF-a, što je rezultovalo kašnjenjem s primjerenim liječenjem, što je ponekad dovelo do fatalnog ishoda.</w:t>
      </w:r>
    </w:p>
    <w:p w14:paraId="2C629276" w14:textId="77777777" w:rsidR="0083687B" w:rsidRPr="0083687B" w:rsidRDefault="0083687B">
      <w:pPr>
        <w:widowControl w:val="0"/>
        <w:autoSpaceDE w:val="0"/>
        <w:autoSpaceDN w:val="0"/>
        <w:adjustRightInd w:val="0"/>
        <w:jc w:val="both"/>
        <w:rPr>
          <w:sz w:val="22"/>
          <w:szCs w:val="22"/>
        </w:rPr>
      </w:pPr>
    </w:p>
    <w:p w14:paraId="5C99946E"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Ukoliko se kod pacijenata pojave znakovi i simptomi kao što su visoka temperatura, opšta slabost, gubitak </w:t>
      </w:r>
      <w:proofErr w:type="gramStart"/>
      <w:r w:rsidRPr="0083687B">
        <w:rPr>
          <w:sz w:val="22"/>
          <w:szCs w:val="22"/>
        </w:rPr>
        <w:t>na</w:t>
      </w:r>
      <w:proofErr w:type="gramEnd"/>
      <w:r w:rsidRPr="0083687B">
        <w:rPr>
          <w:sz w:val="22"/>
          <w:szCs w:val="22"/>
        </w:rPr>
        <w:t xml:space="preserve"> težini, znojenje, kašalj, dispneja i/ili plućni infiltrati ili druge ozbiljne sistemske bolesti sa ili bez istovremenog šoka, treba posumnjati na invazivnu gljivičnu infekciju, te odmah obustaviti primjenu lijeka Humira. Kod ovih pacijenata, dijagnozu i primjenu empirijske antifungalne terapije potrebno je uspostaviti uz savjetovanje </w:t>
      </w:r>
      <w:proofErr w:type="gramStart"/>
      <w:r w:rsidRPr="0083687B">
        <w:rPr>
          <w:sz w:val="22"/>
          <w:szCs w:val="22"/>
        </w:rPr>
        <w:t>sa</w:t>
      </w:r>
      <w:proofErr w:type="gramEnd"/>
      <w:r w:rsidRPr="0083687B">
        <w:rPr>
          <w:sz w:val="22"/>
          <w:szCs w:val="22"/>
        </w:rPr>
        <w:t xml:space="preserve"> ljekarom koji ima iskustva u liječenju pacijenata s invazivnim gljivičnim infekcijama.</w:t>
      </w:r>
      <w:r w:rsidRPr="0083687B" w:rsidDel="00F70E8C">
        <w:rPr>
          <w:sz w:val="22"/>
          <w:szCs w:val="22"/>
        </w:rPr>
        <w:t xml:space="preserve"> </w:t>
      </w:r>
    </w:p>
    <w:p w14:paraId="0AE01874" w14:textId="77777777" w:rsidR="0083687B" w:rsidRPr="0083687B" w:rsidRDefault="0083687B">
      <w:pPr>
        <w:widowControl w:val="0"/>
        <w:autoSpaceDE w:val="0"/>
        <w:autoSpaceDN w:val="0"/>
        <w:adjustRightInd w:val="0"/>
        <w:jc w:val="both"/>
        <w:rPr>
          <w:sz w:val="22"/>
          <w:szCs w:val="22"/>
        </w:rPr>
      </w:pPr>
    </w:p>
    <w:p w14:paraId="5216E179"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Reaktivacija hepatitisa B</w:t>
      </w:r>
    </w:p>
    <w:p w14:paraId="52D4B5CC" w14:textId="77777777" w:rsidR="0083687B" w:rsidRPr="0083687B" w:rsidRDefault="0083687B">
      <w:pPr>
        <w:widowControl w:val="0"/>
        <w:autoSpaceDE w:val="0"/>
        <w:autoSpaceDN w:val="0"/>
        <w:adjustRightInd w:val="0"/>
        <w:jc w:val="both"/>
        <w:rPr>
          <w:sz w:val="22"/>
          <w:szCs w:val="22"/>
          <w:u w:val="single"/>
        </w:rPr>
      </w:pPr>
    </w:p>
    <w:p w14:paraId="454F40F4" w14:textId="77777777" w:rsidR="0083687B" w:rsidRPr="0083687B" w:rsidRDefault="0083687B">
      <w:pPr>
        <w:widowControl w:val="0"/>
        <w:autoSpaceDE w:val="0"/>
        <w:autoSpaceDN w:val="0"/>
        <w:adjustRightInd w:val="0"/>
        <w:jc w:val="both"/>
        <w:rPr>
          <w:sz w:val="22"/>
          <w:szCs w:val="22"/>
          <w:lang w:eastAsia="hr-HR"/>
        </w:rPr>
      </w:pPr>
      <w:r w:rsidRPr="0083687B">
        <w:rPr>
          <w:sz w:val="22"/>
          <w:szCs w:val="22"/>
        </w:rPr>
        <w:t xml:space="preserve">Kod pacijenata koji su primali antagoniste TNF-a, uključujući i lijek Humira, zabilježena je reaktivacija hepatitisa B ukoliko su bili hronični nosioci virusa (tj. pozitivni </w:t>
      </w:r>
      <w:proofErr w:type="gramStart"/>
      <w:r w:rsidRPr="0083687B">
        <w:rPr>
          <w:sz w:val="22"/>
          <w:szCs w:val="22"/>
        </w:rPr>
        <w:t>na</w:t>
      </w:r>
      <w:proofErr w:type="gramEnd"/>
      <w:r w:rsidRPr="0083687B">
        <w:rPr>
          <w:sz w:val="22"/>
          <w:szCs w:val="22"/>
        </w:rPr>
        <w:t xml:space="preserve"> površinski antigen), a bilo je i fatalnih slučajeva. Pacijente je potrebno prije početka terapije lijekom Humira testirati </w:t>
      </w:r>
      <w:proofErr w:type="gramStart"/>
      <w:r w:rsidRPr="0083687B">
        <w:rPr>
          <w:sz w:val="22"/>
          <w:szCs w:val="22"/>
        </w:rPr>
        <w:t>na</w:t>
      </w:r>
      <w:proofErr w:type="gramEnd"/>
      <w:r w:rsidRPr="0083687B">
        <w:rPr>
          <w:sz w:val="22"/>
          <w:szCs w:val="22"/>
        </w:rPr>
        <w:t xml:space="preserve"> HBV infekciju. </w:t>
      </w:r>
      <w:r w:rsidRPr="0083687B">
        <w:rPr>
          <w:sz w:val="22"/>
          <w:szCs w:val="22"/>
          <w:lang w:eastAsia="hr-HR"/>
        </w:rPr>
        <w:t xml:space="preserve">Pacijentima koji su pozitivni </w:t>
      </w:r>
      <w:proofErr w:type="gramStart"/>
      <w:r w:rsidRPr="0083687B">
        <w:rPr>
          <w:sz w:val="22"/>
          <w:szCs w:val="22"/>
          <w:lang w:eastAsia="hr-HR"/>
        </w:rPr>
        <w:t>na</w:t>
      </w:r>
      <w:proofErr w:type="gramEnd"/>
      <w:r w:rsidRPr="0083687B">
        <w:rPr>
          <w:sz w:val="22"/>
          <w:szCs w:val="22"/>
          <w:lang w:eastAsia="hr-HR"/>
        </w:rPr>
        <w:t xml:space="preserve"> infekciju hepatitisa B, preporučuje se da potraže savjet ljekara s iskustvom u liječenju hepatitisa B.</w:t>
      </w:r>
    </w:p>
    <w:p w14:paraId="0C7BB56C" w14:textId="77777777" w:rsidR="0083687B" w:rsidRPr="0083687B" w:rsidRDefault="0083687B">
      <w:pPr>
        <w:widowControl w:val="0"/>
        <w:autoSpaceDE w:val="0"/>
        <w:autoSpaceDN w:val="0"/>
        <w:adjustRightInd w:val="0"/>
        <w:jc w:val="both"/>
        <w:rPr>
          <w:sz w:val="22"/>
          <w:szCs w:val="22"/>
          <w:lang w:eastAsia="hr-HR"/>
        </w:rPr>
      </w:pPr>
    </w:p>
    <w:p w14:paraId="00EBAF7A"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Nosioci virusa HBV kod kojih je nužna primjena lijeka Humira moraju biti pomno praćeni radi znakova i simptoma aktivne HBV infekcije tokom cijelog trajanja terapije </w:t>
      </w:r>
      <w:proofErr w:type="gramStart"/>
      <w:r w:rsidRPr="0083687B">
        <w:rPr>
          <w:sz w:val="22"/>
          <w:szCs w:val="22"/>
        </w:rPr>
        <w:t>te</w:t>
      </w:r>
      <w:proofErr w:type="gramEnd"/>
      <w:r w:rsidRPr="0083687B">
        <w:rPr>
          <w:sz w:val="22"/>
          <w:szCs w:val="22"/>
        </w:rPr>
        <w:t xml:space="preserve"> nekoliko mjeseci nakon njenog prekida. Ne postoje prikladni podaci za pacijente, koji su nosioci HBV-a, o kombinovanom liječenju antivirusnom terapijom i antagonistom TNF-a u svrhu prevencije reaktivacije HBV-a. Kod pacijenata kod kojih se javi reaktivacija HBV infekcije, potrebno je prekinuti terapiju lijekom Humira i započeti efikasnu antivirusnu terapiju uz odgovarajuće potporno liječenje.</w:t>
      </w:r>
    </w:p>
    <w:p w14:paraId="6CB79A7C" w14:textId="77777777" w:rsidR="0083687B" w:rsidRPr="0083687B" w:rsidRDefault="0083687B">
      <w:pPr>
        <w:widowControl w:val="0"/>
        <w:autoSpaceDE w:val="0"/>
        <w:autoSpaceDN w:val="0"/>
        <w:adjustRightInd w:val="0"/>
        <w:jc w:val="both"/>
        <w:rPr>
          <w:sz w:val="22"/>
          <w:szCs w:val="22"/>
        </w:rPr>
      </w:pPr>
    </w:p>
    <w:p w14:paraId="5AAE659B"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Neurološki događaji</w:t>
      </w:r>
    </w:p>
    <w:p w14:paraId="6F7CD987" w14:textId="77777777" w:rsidR="0083687B" w:rsidRPr="0083687B" w:rsidRDefault="0083687B">
      <w:pPr>
        <w:widowControl w:val="0"/>
        <w:autoSpaceDE w:val="0"/>
        <w:autoSpaceDN w:val="0"/>
        <w:adjustRightInd w:val="0"/>
        <w:jc w:val="both"/>
        <w:rPr>
          <w:sz w:val="22"/>
          <w:szCs w:val="22"/>
          <w:u w:val="single"/>
        </w:rPr>
      </w:pPr>
    </w:p>
    <w:p w14:paraId="23B1F14D" w14:textId="72016183" w:rsidR="0083687B" w:rsidRPr="0083687B" w:rsidRDefault="0083687B">
      <w:pPr>
        <w:widowControl w:val="0"/>
        <w:autoSpaceDE w:val="0"/>
        <w:autoSpaceDN w:val="0"/>
        <w:adjustRightInd w:val="0"/>
        <w:jc w:val="both"/>
        <w:rPr>
          <w:sz w:val="22"/>
          <w:szCs w:val="22"/>
        </w:rPr>
      </w:pPr>
      <w:r w:rsidRPr="0083687B">
        <w:rPr>
          <w:sz w:val="22"/>
          <w:szCs w:val="22"/>
        </w:rPr>
        <w:t xml:space="preserve">U rijetkim se slučajevima za vrijeme liječenja antagonistima TNF-a, uključujući lijek Humira, mogu pojaviti </w:t>
      </w:r>
      <w:proofErr w:type="gramStart"/>
      <w:r w:rsidRPr="0083687B">
        <w:rPr>
          <w:sz w:val="22"/>
          <w:szCs w:val="22"/>
        </w:rPr>
        <w:t>ili</w:t>
      </w:r>
      <w:proofErr w:type="gramEnd"/>
      <w:r w:rsidRPr="0083687B">
        <w:rPr>
          <w:sz w:val="22"/>
          <w:szCs w:val="22"/>
        </w:rPr>
        <w:t xml:space="preserve"> pogoršati klinički simptomi i/ili radiografski nalazi demijelinizirajuće bolesti centralnog nervnog sistema, uključujući multiplu sklerozu i optički neuritis, i periferne demijelinizirajuće bolesti, uključujući Guillan-</w:t>
      </w:r>
      <w:r w:rsidRPr="0083687B">
        <w:rPr>
          <w:sz w:val="22"/>
          <w:szCs w:val="22"/>
          <w:lang w:eastAsia="hr-HR"/>
        </w:rPr>
        <w:t>Barré-ov sindrom</w:t>
      </w:r>
      <w:r w:rsidRPr="0083687B">
        <w:rPr>
          <w:sz w:val="22"/>
          <w:szCs w:val="22"/>
        </w:rPr>
        <w:t xml:space="preserve">. Ljekari treba da oprezno razmotre liječenje lijekom Humira kod pacijenata s postojećim </w:t>
      </w:r>
      <w:proofErr w:type="gramStart"/>
      <w:r w:rsidRPr="0083687B">
        <w:rPr>
          <w:sz w:val="22"/>
          <w:szCs w:val="22"/>
        </w:rPr>
        <w:t>ili</w:t>
      </w:r>
      <w:proofErr w:type="gramEnd"/>
      <w:r w:rsidRPr="0083687B">
        <w:rPr>
          <w:sz w:val="22"/>
          <w:szCs w:val="22"/>
        </w:rPr>
        <w:t xml:space="preserve"> nedavno dijagnostikovanim demijelinizirajućim poremećajima centralnog ili perifernog nervnog sistema</w:t>
      </w:r>
      <w:r w:rsidRPr="0083687B">
        <w:rPr>
          <w:sz w:val="22"/>
          <w:szCs w:val="22"/>
          <w:lang w:val="sr-Latn-ME"/>
        </w:rPr>
        <w:t xml:space="preserve">; ako se razvije bilo koji od tih poremećaja, treba razmotriti prekid liječenja lijekom Humira. Poznato je da postoji povezanost između intermedijarnog uveitisa i demijelinizirajućih poremećaja </w:t>
      </w:r>
      <w:r w:rsidR="00E25829">
        <w:rPr>
          <w:sz w:val="22"/>
          <w:szCs w:val="22"/>
          <w:lang w:val="sr-Latn-ME"/>
        </w:rPr>
        <w:t>centralnog</w:t>
      </w:r>
      <w:r w:rsidR="00E25829" w:rsidRPr="0083687B">
        <w:rPr>
          <w:sz w:val="22"/>
          <w:szCs w:val="22"/>
          <w:lang w:val="sr-Latn-ME"/>
        </w:rPr>
        <w:t xml:space="preserve"> </w:t>
      </w:r>
      <w:r w:rsidRPr="0083687B">
        <w:rPr>
          <w:sz w:val="22"/>
          <w:szCs w:val="22"/>
          <w:lang w:val="sr-Latn-ME"/>
        </w:rPr>
        <w:t xml:space="preserve">nervnog sistema. Kod pacijenata sa neinfektivnim intermedijarnim uveitisom treba sprovesti neurološku procjenu prije početka liječenja lijekom Humira i redovno tokom liječenja, kako bi se utvrdili već postojeći ili novorazvijeni demijelinizirajući poremećaji </w:t>
      </w:r>
      <w:r w:rsidR="00E25829">
        <w:rPr>
          <w:sz w:val="22"/>
          <w:szCs w:val="22"/>
          <w:lang w:val="sr-Latn-ME"/>
        </w:rPr>
        <w:t>centralnog</w:t>
      </w:r>
      <w:r w:rsidR="00E25829" w:rsidRPr="0083687B">
        <w:rPr>
          <w:sz w:val="22"/>
          <w:szCs w:val="22"/>
          <w:lang w:val="sr-Latn-ME"/>
        </w:rPr>
        <w:t xml:space="preserve"> </w:t>
      </w:r>
      <w:r w:rsidRPr="0083687B">
        <w:rPr>
          <w:sz w:val="22"/>
          <w:szCs w:val="22"/>
          <w:lang w:val="sr-Latn-ME"/>
        </w:rPr>
        <w:t>nervnog sistema.</w:t>
      </w:r>
    </w:p>
    <w:p w14:paraId="7C82E81E" w14:textId="77777777" w:rsidR="0083687B" w:rsidRPr="0083687B" w:rsidRDefault="0083687B">
      <w:pPr>
        <w:widowControl w:val="0"/>
        <w:autoSpaceDE w:val="0"/>
        <w:autoSpaceDN w:val="0"/>
        <w:adjustRightInd w:val="0"/>
        <w:jc w:val="both"/>
        <w:rPr>
          <w:sz w:val="22"/>
          <w:szCs w:val="22"/>
        </w:rPr>
      </w:pPr>
    </w:p>
    <w:p w14:paraId="450FBC3C"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Alergijske reakcije</w:t>
      </w:r>
    </w:p>
    <w:p w14:paraId="07B53506" w14:textId="77777777" w:rsidR="0083687B" w:rsidRPr="0083687B" w:rsidRDefault="0083687B">
      <w:pPr>
        <w:widowControl w:val="0"/>
        <w:autoSpaceDE w:val="0"/>
        <w:autoSpaceDN w:val="0"/>
        <w:adjustRightInd w:val="0"/>
        <w:jc w:val="both"/>
        <w:rPr>
          <w:sz w:val="22"/>
          <w:szCs w:val="22"/>
          <w:u w:val="single"/>
        </w:rPr>
      </w:pPr>
    </w:p>
    <w:p w14:paraId="4DBFD7E2"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 kliničkim ispitivanjima su se rijetko javljale ozbiljne alergijske reakcije prilikom primjene lijeka Humira. Manje često su u kliničkim ispitivanjima zabilježene alergijske reakcije koji ne spadaju u ozbiljne alergijske reakcije, a povezane su </w:t>
      </w:r>
      <w:proofErr w:type="gramStart"/>
      <w:r w:rsidRPr="0083687B">
        <w:rPr>
          <w:sz w:val="22"/>
          <w:szCs w:val="22"/>
        </w:rPr>
        <w:t>sa</w:t>
      </w:r>
      <w:proofErr w:type="gramEnd"/>
      <w:r w:rsidRPr="0083687B">
        <w:rPr>
          <w:sz w:val="22"/>
          <w:szCs w:val="22"/>
        </w:rPr>
        <w:t xml:space="preserve"> lijekom Humira. Nakon primjene lijeka Humira, bilo je prijava ozbiljnih alergijskih reakcija, uključujući anafilaksu. Ako se pojavi anafilaktička </w:t>
      </w:r>
      <w:proofErr w:type="gramStart"/>
      <w:r w:rsidRPr="0083687B">
        <w:rPr>
          <w:sz w:val="22"/>
          <w:szCs w:val="22"/>
        </w:rPr>
        <w:t>ili</w:t>
      </w:r>
      <w:proofErr w:type="gramEnd"/>
      <w:r w:rsidRPr="0083687B">
        <w:rPr>
          <w:sz w:val="22"/>
          <w:szCs w:val="22"/>
        </w:rPr>
        <w:t xml:space="preserve"> druga ozbiljna alergijska reakcija, primjenu lijeka Humira treba odmah obustaviti i započeti odgovarajuću terapiju.</w:t>
      </w:r>
    </w:p>
    <w:p w14:paraId="53C9D57D" w14:textId="77777777" w:rsidR="0083687B" w:rsidRPr="0083687B" w:rsidRDefault="0083687B">
      <w:pPr>
        <w:widowControl w:val="0"/>
        <w:autoSpaceDE w:val="0"/>
        <w:autoSpaceDN w:val="0"/>
        <w:adjustRightInd w:val="0"/>
        <w:jc w:val="both"/>
        <w:rPr>
          <w:sz w:val="22"/>
          <w:szCs w:val="22"/>
        </w:rPr>
      </w:pPr>
    </w:p>
    <w:p w14:paraId="010FF4D4"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Imunosupresija</w:t>
      </w:r>
    </w:p>
    <w:p w14:paraId="5C302961" w14:textId="77777777" w:rsidR="0083687B" w:rsidRPr="0083687B" w:rsidRDefault="0083687B">
      <w:pPr>
        <w:widowControl w:val="0"/>
        <w:autoSpaceDE w:val="0"/>
        <w:autoSpaceDN w:val="0"/>
        <w:adjustRightInd w:val="0"/>
        <w:jc w:val="both"/>
        <w:rPr>
          <w:sz w:val="22"/>
          <w:szCs w:val="22"/>
          <w:u w:val="single"/>
        </w:rPr>
      </w:pPr>
    </w:p>
    <w:p w14:paraId="3EB04934"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 ispitivanju 64 pacijenta </w:t>
      </w:r>
      <w:proofErr w:type="gramStart"/>
      <w:r w:rsidRPr="0083687B">
        <w:rPr>
          <w:sz w:val="22"/>
          <w:szCs w:val="22"/>
        </w:rPr>
        <w:t>sa</w:t>
      </w:r>
      <w:proofErr w:type="gramEnd"/>
      <w:r w:rsidRPr="0083687B">
        <w:rPr>
          <w:sz w:val="22"/>
          <w:szCs w:val="22"/>
        </w:rPr>
        <w:t xml:space="preserve"> reumatoidnim artritisom liječenih lijekom Humira nije zabilježeno smanjenje reakcija preosjetljivosti kasnog tipa, sniženja vrijednosti imunoglobulina, odnosno promjene broja efektorskih T i B ćelija, NK ćelija, monocita/makrofaga i neutrofila.</w:t>
      </w:r>
    </w:p>
    <w:p w14:paraId="0BF52277" w14:textId="77777777" w:rsidR="0083687B" w:rsidRPr="0083687B" w:rsidRDefault="0083687B">
      <w:pPr>
        <w:widowControl w:val="0"/>
        <w:autoSpaceDE w:val="0"/>
        <w:autoSpaceDN w:val="0"/>
        <w:adjustRightInd w:val="0"/>
        <w:jc w:val="both"/>
        <w:rPr>
          <w:sz w:val="22"/>
          <w:szCs w:val="22"/>
        </w:rPr>
      </w:pPr>
    </w:p>
    <w:p w14:paraId="21340293" w14:textId="2CD9F44D" w:rsidR="0083687B" w:rsidRPr="0083687B" w:rsidRDefault="0083687B">
      <w:pPr>
        <w:widowControl w:val="0"/>
        <w:autoSpaceDE w:val="0"/>
        <w:autoSpaceDN w:val="0"/>
        <w:adjustRightInd w:val="0"/>
        <w:jc w:val="both"/>
        <w:rPr>
          <w:sz w:val="22"/>
          <w:szCs w:val="22"/>
          <w:u w:val="single"/>
        </w:rPr>
      </w:pPr>
      <w:r w:rsidRPr="0083687B">
        <w:rPr>
          <w:sz w:val="22"/>
          <w:szCs w:val="22"/>
          <w:u w:val="single"/>
        </w:rPr>
        <w:t>Maligni i limfoproliferativni poremećaji</w:t>
      </w:r>
    </w:p>
    <w:p w14:paraId="63539133" w14:textId="77777777" w:rsidR="0083687B" w:rsidRPr="0083687B" w:rsidRDefault="0083687B">
      <w:pPr>
        <w:widowControl w:val="0"/>
        <w:autoSpaceDE w:val="0"/>
        <w:autoSpaceDN w:val="0"/>
        <w:adjustRightInd w:val="0"/>
        <w:jc w:val="both"/>
        <w:rPr>
          <w:sz w:val="22"/>
          <w:szCs w:val="22"/>
          <w:u w:val="single"/>
        </w:rPr>
      </w:pPr>
    </w:p>
    <w:p w14:paraId="17F63C87"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 kontrolisanim djelovima kliničkih ispitivanja antagonista TNF-a, zabilježeno je više malignih </w:t>
      </w:r>
      <w:r w:rsidRPr="0083687B">
        <w:rPr>
          <w:sz w:val="22"/>
          <w:szCs w:val="22"/>
        </w:rPr>
        <w:lastRenderedPageBreak/>
        <w:t>slučajeva, uključujući i limfome, kod pacijenata liječenih antagonistima TNF-a, nego u kontrolnoj grupi pacijenata. Međutim, učestalost je bila rijetka. Nakon stavljanja lijeka u promet, zabilježeni su slučajevi leukemije kod pacijenata liječenih antagonistima TNF-a. Procjenu rizika otežava i inače povećani rizik razvoja limfoma i leukemije kod pacijenata s reumatoidnim artritisom s dugotrajnom, izrazito aktivnom upalnom bolešću. Prema postojećim saznanjima, mogući rizik razvoja limfoma, leukemija i ostalih malignih bolesti kod pacijenata liječenih antagonistima TNF-a ne može se isključiti.</w:t>
      </w:r>
    </w:p>
    <w:p w14:paraId="5C7CC934" w14:textId="77777777" w:rsidR="0083687B" w:rsidRPr="0083687B" w:rsidRDefault="0083687B">
      <w:pPr>
        <w:widowControl w:val="0"/>
        <w:autoSpaceDE w:val="0"/>
        <w:autoSpaceDN w:val="0"/>
        <w:adjustRightInd w:val="0"/>
        <w:ind w:left="567" w:hanging="567"/>
        <w:jc w:val="both"/>
        <w:rPr>
          <w:sz w:val="22"/>
          <w:szCs w:val="22"/>
        </w:rPr>
      </w:pPr>
    </w:p>
    <w:p w14:paraId="3A3FB8A4"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Maligne bolesti, neke i fatalne, zabilježene su kod djece, adolescenata i mlađih odraslih ljudi (do 22 godine starosti) liječenih antagonistima TNF-a (početak terapije ≤ 18. godini života), uključujući i adalimumab nakon pojave </w:t>
      </w:r>
      <w:proofErr w:type="gramStart"/>
      <w:r w:rsidRPr="0083687B">
        <w:rPr>
          <w:sz w:val="22"/>
          <w:szCs w:val="22"/>
        </w:rPr>
        <w:t>na</w:t>
      </w:r>
      <w:proofErr w:type="gramEnd"/>
      <w:r w:rsidRPr="0083687B">
        <w:rPr>
          <w:sz w:val="22"/>
          <w:szCs w:val="22"/>
        </w:rPr>
        <w:t xml:space="preserve"> tržištu. Otprilike polovina slučajeva su bili limfomi. Ostali slučajevi predstavljaju mnoštvo različitih malignih bolesti, uključujući i rijetke maligne bolesti obično povezane s imunosupresijom. Rizik pojave malignih bolesti kod djece i adolescenata liječenih TNF-antagonistima ne može se isključiti.</w:t>
      </w:r>
    </w:p>
    <w:p w14:paraId="399B42DF"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 </w:t>
      </w:r>
    </w:p>
    <w:p w14:paraId="14612FF1" w14:textId="407DF7C7" w:rsidR="0083687B" w:rsidRPr="0083687B" w:rsidRDefault="0083687B">
      <w:pPr>
        <w:widowControl w:val="0"/>
        <w:autoSpaceDE w:val="0"/>
        <w:autoSpaceDN w:val="0"/>
        <w:adjustRightInd w:val="0"/>
        <w:jc w:val="both"/>
        <w:rPr>
          <w:sz w:val="22"/>
          <w:szCs w:val="22"/>
        </w:rPr>
      </w:pPr>
      <w:r w:rsidRPr="0083687B">
        <w:rPr>
          <w:sz w:val="22"/>
          <w:szCs w:val="22"/>
        </w:rPr>
        <w:t xml:space="preserve">Kod pacijenata liječenih adalimumabom tokom postmarketinškog praćenja prijavljeni su rijetki slučajevi hepatospleničnog T-ćelijskog limfoma. Ovaj rijedak oblik T-ćelijskog limfoma ima izrazito agresivan tok i najčešće je fatalan. Neki </w:t>
      </w:r>
      <w:proofErr w:type="gramStart"/>
      <w:r w:rsidRPr="0083687B">
        <w:rPr>
          <w:sz w:val="22"/>
          <w:szCs w:val="22"/>
        </w:rPr>
        <w:t>od</w:t>
      </w:r>
      <w:proofErr w:type="gramEnd"/>
      <w:r w:rsidRPr="0083687B">
        <w:rPr>
          <w:sz w:val="22"/>
          <w:szCs w:val="22"/>
        </w:rPr>
        <w:t xml:space="preserve"> tih hepatospleničnih T-ćelijskih limfoma povezanih s upotrebom lijeka Humira javili su se kod mladih odraslih pacijenata koji su istovremeno koristili i azatioprin ili 6-merkaptopurin u terapiji upalne bolesti crijeva. Potrebno je pažljivo razmotriti mogući rizik kombinacije azatioprina </w:t>
      </w:r>
      <w:proofErr w:type="gramStart"/>
      <w:r w:rsidRPr="0083687B">
        <w:rPr>
          <w:sz w:val="22"/>
          <w:szCs w:val="22"/>
        </w:rPr>
        <w:t>ili</w:t>
      </w:r>
      <w:proofErr w:type="gramEnd"/>
      <w:r w:rsidRPr="0083687B">
        <w:rPr>
          <w:sz w:val="22"/>
          <w:szCs w:val="22"/>
        </w:rPr>
        <w:t xml:space="preserve"> 6-merkaptopurina s lijekom Humira. Rizik pojave hepatospleničnog T-ćelijskog limfoma kod pacijenata koji koriste lijek Humira ne može se isključiti (vidjeti </w:t>
      </w:r>
      <w:r w:rsidR="003C1604">
        <w:rPr>
          <w:sz w:val="22"/>
          <w:szCs w:val="22"/>
        </w:rPr>
        <w:t>dio</w:t>
      </w:r>
      <w:r w:rsidR="003C1604" w:rsidRPr="0083687B">
        <w:rPr>
          <w:sz w:val="22"/>
          <w:szCs w:val="22"/>
        </w:rPr>
        <w:t xml:space="preserve"> </w:t>
      </w:r>
      <w:r w:rsidRPr="0083687B">
        <w:rPr>
          <w:sz w:val="22"/>
          <w:szCs w:val="22"/>
        </w:rPr>
        <w:t>4.8).</w:t>
      </w:r>
    </w:p>
    <w:p w14:paraId="6F78FC9A" w14:textId="77777777" w:rsidR="0083687B" w:rsidRPr="0083687B" w:rsidRDefault="0083687B">
      <w:pPr>
        <w:widowControl w:val="0"/>
        <w:autoSpaceDE w:val="0"/>
        <w:autoSpaceDN w:val="0"/>
        <w:adjustRightInd w:val="0"/>
        <w:jc w:val="both"/>
        <w:rPr>
          <w:sz w:val="22"/>
          <w:szCs w:val="22"/>
        </w:rPr>
      </w:pPr>
    </w:p>
    <w:p w14:paraId="0F7F87CD" w14:textId="3B9763E9" w:rsidR="0083687B" w:rsidRPr="0083687B" w:rsidRDefault="0083687B">
      <w:pPr>
        <w:widowControl w:val="0"/>
        <w:autoSpaceDE w:val="0"/>
        <w:autoSpaceDN w:val="0"/>
        <w:adjustRightInd w:val="0"/>
        <w:jc w:val="both"/>
        <w:rPr>
          <w:sz w:val="22"/>
          <w:szCs w:val="22"/>
        </w:rPr>
      </w:pPr>
      <w:r w:rsidRPr="0083687B">
        <w:rPr>
          <w:sz w:val="22"/>
          <w:szCs w:val="22"/>
        </w:rPr>
        <w:t xml:space="preserve">Nisu provedena ispitivanja kod pacijenata </w:t>
      </w:r>
      <w:proofErr w:type="gramStart"/>
      <w:r w:rsidRPr="0083687B">
        <w:rPr>
          <w:sz w:val="22"/>
          <w:szCs w:val="22"/>
        </w:rPr>
        <w:t>sa</w:t>
      </w:r>
      <w:proofErr w:type="gramEnd"/>
      <w:r w:rsidRPr="0083687B">
        <w:rPr>
          <w:sz w:val="22"/>
          <w:szCs w:val="22"/>
        </w:rPr>
        <w:t xml:space="preserve"> malignim bolestima u anamnezi ili kod pacijenata koji su nastavili liječenje lijekom Humira nakon obolijevanja od malignih bolesti. Zbog toga je potreban dodatan oprez prilikom razmatranja liječenja lijekom Humira kod takvih pacijenata (vidjeti </w:t>
      </w:r>
      <w:r w:rsidR="003C1604">
        <w:rPr>
          <w:sz w:val="22"/>
          <w:szCs w:val="22"/>
        </w:rPr>
        <w:t>dio</w:t>
      </w:r>
      <w:r w:rsidR="003C1604" w:rsidRPr="0083687B">
        <w:rPr>
          <w:sz w:val="22"/>
          <w:szCs w:val="22"/>
        </w:rPr>
        <w:t xml:space="preserve"> </w:t>
      </w:r>
      <w:r w:rsidRPr="0083687B">
        <w:rPr>
          <w:sz w:val="22"/>
          <w:szCs w:val="22"/>
        </w:rPr>
        <w:t>4.8).</w:t>
      </w:r>
    </w:p>
    <w:p w14:paraId="2A896DA9" w14:textId="77777777" w:rsidR="0083687B" w:rsidRPr="0083687B" w:rsidRDefault="0083687B">
      <w:pPr>
        <w:widowControl w:val="0"/>
        <w:autoSpaceDE w:val="0"/>
        <w:autoSpaceDN w:val="0"/>
        <w:adjustRightInd w:val="0"/>
        <w:jc w:val="both"/>
        <w:rPr>
          <w:sz w:val="22"/>
          <w:szCs w:val="22"/>
        </w:rPr>
      </w:pPr>
    </w:p>
    <w:p w14:paraId="7540A9FC" w14:textId="7D62D744" w:rsidR="0083687B" w:rsidRPr="0083687B" w:rsidRDefault="0083687B">
      <w:pPr>
        <w:widowControl w:val="0"/>
        <w:autoSpaceDE w:val="0"/>
        <w:autoSpaceDN w:val="0"/>
        <w:adjustRightInd w:val="0"/>
        <w:jc w:val="both"/>
        <w:rPr>
          <w:sz w:val="22"/>
          <w:szCs w:val="22"/>
        </w:rPr>
      </w:pPr>
      <w:r w:rsidRPr="0083687B">
        <w:rPr>
          <w:sz w:val="22"/>
          <w:szCs w:val="22"/>
        </w:rPr>
        <w:t>Sve pacijente, a posebno one koji u anamnezi imaju dugotrajn</w:t>
      </w:r>
      <w:r w:rsidR="003C1604">
        <w:rPr>
          <w:sz w:val="22"/>
          <w:szCs w:val="22"/>
        </w:rPr>
        <w:t>u primjenu</w:t>
      </w:r>
      <w:r w:rsidRPr="0083687B">
        <w:rPr>
          <w:sz w:val="22"/>
          <w:szCs w:val="22"/>
        </w:rPr>
        <w:t xml:space="preserve"> imunosupresivne terapije, </w:t>
      </w:r>
      <w:proofErr w:type="gramStart"/>
      <w:r w:rsidRPr="0083687B">
        <w:rPr>
          <w:sz w:val="22"/>
          <w:szCs w:val="22"/>
        </w:rPr>
        <w:t>ili</w:t>
      </w:r>
      <w:proofErr w:type="gramEnd"/>
      <w:r w:rsidRPr="0083687B">
        <w:rPr>
          <w:sz w:val="22"/>
          <w:szCs w:val="22"/>
        </w:rPr>
        <w:t xml:space="preserve"> pacijente sa psorijazom sa PUVA liječenjem u anamnezi, potrebno je prije i za vrijeme liječenja lijekom Humira pregledati u svrhu otkrivanja nemelanomskog karcinoma kože. Melanom i karcinom Merkelovih ćelija su bili prijavljeni kod pacijenata liječenih TNF-antagonistima uključujući adalimumab (vidjeti </w:t>
      </w:r>
      <w:r w:rsidR="003C1604">
        <w:rPr>
          <w:sz w:val="22"/>
          <w:szCs w:val="22"/>
        </w:rPr>
        <w:t>dio</w:t>
      </w:r>
      <w:r w:rsidRPr="0083687B">
        <w:rPr>
          <w:sz w:val="22"/>
          <w:szCs w:val="22"/>
        </w:rPr>
        <w:t xml:space="preserve"> 4.8)</w:t>
      </w:r>
    </w:p>
    <w:p w14:paraId="4CC60E39" w14:textId="77777777" w:rsidR="0083687B" w:rsidRPr="0083687B" w:rsidRDefault="0083687B">
      <w:pPr>
        <w:widowControl w:val="0"/>
        <w:autoSpaceDE w:val="0"/>
        <w:autoSpaceDN w:val="0"/>
        <w:adjustRightInd w:val="0"/>
        <w:jc w:val="both"/>
        <w:rPr>
          <w:sz w:val="22"/>
          <w:szCs w:val="22"/>
        </w:rPr>
      </w:pPr>
    </w:p>
    <w:p w14:paraId="651C8D47"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 kliničkom istraživanju primjene drugog antagonista TNF-a, infliksimaba, kod pacijenata </w:t>
      </w:r>
      <w:proofErr w:type="gramStart"/>
      <w:r w:rsidRPr="0083687B">
        <w:rPr>
          <w:sz w:val="22"/>
          <w:szCs w:val="22"/>
        </w:rPr>
        <w:t>sa</w:t>
      </w:r>
      <w:proofErr w:type="gramEnd"/>
      <w:r w:rsidRPr="0083687B">
        <w:rPr>
          <w:sz w:val="22"/>
          <w:szCs w:val="22"/>
        </w:rPr>
        <w:t xml:space="preserve"> umjerenom do teškom hroničnom opstruktivnom bolešću pluća (HOPB), uočen je povećan broj malignih oboljenja, naročito na plućima ili glavi i vratu, kod pacijenata na infliksimabu nego u kontrolnoj grupi. Svi pacijenti bili su teški pušači. Zbog toga je potreban oprez kod primjene antagonista TNF-a kod pacijenata </w:t>
      </w:r>
      <w:proofErr w:type="gramStart"/>
      <w:r w:rsidRPr="0083687B">
        <w:rPr>
          <w:sz w:val="22"/>
          <w:szCs w:val="22"/>
        </w:rPr>
        <w:t>sa</w:t>
      </w:r>
      <w:proofErr w:type="gramEnd"/>
      <w:r w:rsidRPr="0083687B">
        <w:rPr>
          <w:sz w:val="22"/>
          <w:szCs w:val="22"/>
        </w:rPr>
        <w:t xml:space="preserve"> HOPB-om, kao i kod pacijenata koji imaju povećan rizik za razvoj malignih bolesti zbog teškog pušenja.</w:t>
      </w:r>
    </w:p>
    <w:p w14:paraId="1364BE34" w14:textId="77777777" w:rsidR="0083687B" w:rsidRPr="0083687B" w:rsidRDefault="0083687B">
      <w:pPr>
        <w:widowControl w:val="0"/>
        <w:autoSpaceDE w:val="0"/>
        <w:autoSpaceDN w:val="0"/>
        <w:adjustRightInd w:val="0"/>
        <w:jc w:val="both"/>
        <w:rPr>
          <w:sz w:val="22"/>
          <w:szCs w:val="22"/>
        </w:rPr>
      </w:pPr>
    </w:p>
    <w:p w14:paraId="1AE18977" w14:textId="77777777" w:rsidR="0083687B" w:rsidRPr="0083687B" w:rsidRDefault="0083687B">
      <w:pPr>
        <w:autoSpaceDE w:val="0"/>
        <w:autoSpaceDN w:val="0"/>
        <w:adjustRightInd w:val="0"/>
        <w:jc w:val="both"/>
        <w:rPr>
          <w:sz w:val="22"/>
          <w:szCs w:val="22"/>
          <w:lang w:val="sr-Latn-ME" w:eastAsia="hr-HR"/>
        </w:rPr>
      </w:pPr>
      <w:r w:rsidRPr="0083687B">
        <w:rPr>
          <w:iCs/>
          <w:sz w:val="22"/>
          <w:szCs w:val="22"/>
          <w:lang w:val="sr-Latn-ME"/>
        </w:rPr>
        <w:t xml:space="preserve">Prema trenutnim podacima nije poznato da li liječenje adalimumabom utiče na rizik pojave displazije ili karcinoma kolona. Svi pacijenti sa ulceroznim kolitisom kod kojih je povećan rizik od displazije ili karcinoma kolona (na primjer, pacijenti sa dugotrajnim ulceroznim kolitisom ili primarnim sklerozirajućim holangitisom), </w:t>
      </w:r>
      <w:r w:rsidRPr="0083687B">
        <w:rPr>
          <w:sz w:val="22"/>
          <w:szCs w:val="22"/>
          <w:lang w:val="sr-Latn-ME" w:eastAsia="hr-HR"/>
        </w:rPr>
        <w:t xml:space="preserve">ili </w:t>
      </w:r>
      <w:r w:rsidRPr="0083687B">
        <w:rPr>
          <w:iCs/>
          <w:sz w:val="22"/>
          <w:szCs w:val="22"/>
          <w:lang w:val="sr-Latn-ME"/>
        </w:rPr>
        <w:t>pacijenti</w:t>
      </w:r>
      <w:r w:rsidRPr="0083687B">
        <w:rPr>
          <w:sz w:val="22"/>
          <w:szCs w:val="22"/>
          <w:lang w:val="sr-Latn-ME" w:eastAsia="hr-HR"/>
        </w:rPr>
        <w:t xml:space="preserve"> koji su imali displaziju ili karcinom kolona moraju se kontrolisati zbog mogućeg razvoja displazije u redovnim intervalima prije početka liječenja i tokom čitavog trajanja bolesti. Ti pregledi moraju uključivati kolonoskopiju i biopsiju u skladu s lokalnim preporukama.</w:t>
      </w:r>
    </w:p>
    <w:p w14:paraId="59635306" w14:textId="77777777" w:rsidR="0083687B" w:rsidRPr="0083687B" w:rsidRDefault="0083687B">
      <w:pPr>
        <w:widowControl w:val="0"/>
        <w:autoSpaceDE w:val="0"/>
        <w:autoSpaceDN w:val="0"/>
        <w:adjustRightInd w:val="0"/>
        <w:jc w:val="both"/>
        <w:rPr>
          <w:sz w:val="22"/>
          <w:szCs w:val="22"/>
        </w:rPr>
      </w:pPr>
    </w:p>
    <w:p w14:paraId="5275013E"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Hematološke reakcije</w:t>
      </w:r>
    </w:p>
    <w:p w14:paraId="1C2C6689" w14:textId="77777777" w:rsidR="0083687B" w:rsidRPr="0083687B" w:rsidRDefault="0083687B">
      <w:pPr>
        <w:widowControl w:val="0"/>
        <w:autoSpaceDE w:val="0"/>
        <w:autoSpaceDN w:val="0"/>
        <w:adjustRightInd w:val="0"/>
        <w:jc w:val="both"/>
        <w:rPr>
          <w:sz w:val="22"/>
          <w:szCs w:val="22"/>
          <w:u w:val="single"/>
        </w:rPr>
      </w:pPr>
    </w:p>
    <w:p w14:paraId="6E664DBD"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 rijetkim je slučajevima za vrijeme liječenja antagonistima TNF-a zabilježena pojava pancitopenije, uključujući i aplastičnu anemiju. Kod pacijenata liječenih lijekom Humira pojavljuju se neželjena dejstva hematološkog sistema, uključujući medicinski značajne citopenije (npr. trombocitopenija, leukopenija). Pacijente treba upozoriti da odmah zatraže medicinsku pomoć ako se za vrijeme liječenja lijekom Humira pojave znakovi i simptomi koji upućuju </w:t>
      </w:r>
      <w:proofErr w:type="gramStart"/>
      <w:r w:rsidRPr="0083687B">
        <w:rPr>
          <w:sz w:val="22"/>
          <w:szCs w:val="22"/>
        </w:rPr>
        <w:t>na</w:t>
      </w:r>
      <w:proofErr w:type="gramEnd"/>
      <w:r w:rsidRPr="0083687B">
        <w:rPr>
          <w:sz w:val="22"/>
          <w:szCs w:val="22"/>
        </w:rPr>
        <w:t xml:space="preserve"> krvne diskrazije (npr. stalno povišena tjelesna temperatura, potkožni hematomi, krvarenje, blijedilo). Ako se dokažu značajne hematološke abnormalnosti, treba razmisliti o prekidu liječenja lijekom Humira kod takvih pacijenata.</w:t>
      </w:r>
    </w:p>
    <w:p w14:paraId="65C13FCC" w14:textId="77777777" w:rsidR="0083687B" w:rsidRPr="0083687B" w:rsidRDefault="0083687B">
      <w:pPr>
        <w:widowControl w:val="0"/>
        <w:autoSpaceDE w:val="0"/>
        <w:autoSpaceDN w:val="0"/>
        <w:adjustRightInd w:val="0"/>
        <w:ind w:left="567" w:hanging="567"/>
        <w:jc w:val="both"/>
        <w:rPr>
          <w:sz w:val="22"/>
          <w:szCs w:val="22"/>
        </w:rPr>
      </w:pPr>
    </w:p>
    <w:p w14:paraId="41B963EE" w14:textId="77777777" w:rsidR="0083687B" w:rsidRPr="0083687B" w:rsidRDefault="0083687B">
      <w:pPr>
        <w:widowControl w:val="0"/>
        <w:autoSpaceDE w:val="0"/>
        <w:autoSpaceDN w:val="0"/>
        <w:adjustRightInd w:val="0"/>
        <w:jc w:val="both"/>
        <w:rPr>
          <w:iCs/>
          <w:sz w:val="22"/>
          <w:szCs w:val="22"/>
          <w:u w:val="single"/>
        </w:rPr>
      </w:pPr>
      <w:r w:rsidRPr="0083687B">
        <w:rPr>
          <w:iCs/>
          <w:sz w:val="22"/>
          <w:szCs w:val="22"/>
          <w:u w:val="single"/>
        </w:rPr>
        <w:lastRenderedPageBreak/>
        <w:t>Vakcinacija</w:t>
      </w:r>
    </w:p>
    <w:p w14:paraId="003B6DBE" w14:textId="77777777" w:rsidR="0083687B" w:rsidRPr="0083687B" w:rsidRDefault="0083687B">
      <w:pPr>
        <w:widowControl w:val="0"/>
        <w:autoSpaceDE w:val="0"/>
        <w:autoSpaceDN w:val="0"/>
        <w:adjustRightInd w:val="0"/>
        <w:jc w:val="both"/>
        <w:rPr>
          <w:sz w:val="22"/>
          <w:szCs w:val="22"/>
        </w:rPr>
      </w:pPr>
    </w:p>
    <w:p w14:paraId="02EDC20E" w14:textId="77777777" w:rsidR="0083687B" w:rsidRPr="0083687B" w:rsidRDefault="0083687B">
      <w:pPr>
        <w:widowControl w:val="0"/>
        <w:autoSpaceDE w:val="0"/>
        <w:autoSpaceDN w:val="0"/>
        <w:adjustRightInd w:val="0"/>
        <w:jc w:val="both"/>
        <w:rPr>
          <w:sz w:val="22"/>
          <w:szCs w:val="22"/>
        </w:rPr>
      </w:pPr>
      <w:r w:rsidRPr="0083687B">
        <w:rPr>
          <w:iCs/>
          <w:sz w:val="22"/>
          <w:szCs w:val="22"/>
        </w:rPr>
        <w:t xml:space="preserve">Sličan </w:t>
      </w:r>
      <w:r w:rsidRPr="0083687B">
        <w:rPr>
          <w:sz w:val="22"/>
          <w:szCs w:val="22"/>
        </w:rPr>
        <w:t xml:space="preserve">odgovor antitijela </w:t>
      </w:r>
      <w:proofErr w:type="gramStart"/>
      <w:r w:rsidRPr="0083687B">
        <w:rPr>
          <w:sz w:val="22"/>
          <w:szCs w:val="22"/>
        </w:rPr>
        <w:t>na</w:t>
      </w:r>
      <w:proofErr w:type="gramEnd"/>
      <w:r w:rsidRPr="0083687B">
        <w:rPr>
          <w:sz w:val="22"/>
          <w:szCs w:val="22"/>
        </w:rPr>
        <w:t xml:space="preserve"> standardnu 23-ovalentnu pneumokoknu vakcinu i trovalentnu vakcinu protiv gripa je primijećeno u ispitivanju 226 odraslih pacijenata sa reumatoidnim artritisom koji su primali adalimumab ili placebo. Ne postoje podaci koji govore o sekundarnom prenosu infekcije nakon davanja žive vakcine kod pacijenata koji primaju lijek Humira.</w:t>
      </w:r>
    </w:p>
    <w:p w14:paraId="763A571F" w14:textId="77777777" w:rsidR="0083687B" w:rsidRPr="0083687B" w:rsidRDefault="0083687B">
      <w:pPr>
        <w:widowControl w:val="0"/>
        <w:autoSpaceDE w:val="0"/>
        <w:autoSpaceDN w:val="0"/>
        <w:adjustRightInd w:val="0"/>
        <w:jc w:val="both"/>
        <w:rPr>
          <w:sz w:val="22"/>
          <w:szCs w:val="22"/>
        </w:rPr>
      </w:pPr>
    </w:p>
    <w:p w14:paraId="372D25C7"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Preporučuje se da se pedijatrijski pacijenti, ako je moguće, vakcinišu u skladu </w:t>
      </w:r>
      <w:proofErr w:type="gramStart"/>
      <w:r w:rsidRPr="0083687B">
        <w:rPr>
          <w:sz w:val="22"/>
          <w:szCs w:val="22"/>
        </w:rPr>
        <w:t>sa</w:t>
      </w:r>
      <w:proofErr w:type="gramEnd"/>
      <w:r w:rsidRPr="0083687B">
        <w:rPr>
          <w:sz w:val="22"/>
          <w:szCs w:val="22"/>
        </w:rPr>
        <w:t xml:space="preserve"> svim važećim smjernicama za vakcinaciju, prije uvođenja lijeka Humira u terapiju.</w:t>
      </w:r>
    </w:p>
    <w:p w14:paraId="5A0F2213" w14:textId="77777777" w:rsidR="0083687B" w:rsidRPr="0083687B" w:rsidRDefault="0083687B">
      <w:pPr>
        <w:widowControl w:val="0"/>
        <w:autoSpaceDE w:val="0"/>
        <w:autoSpaceDN w:val="0"/>
        <w:adjustRightInd w:val="0"/>
        <w:jc w:val="both"/>
        <w:rPr>
          <w:sz w:val="22"/>
          <w:szCs w:val="22"/>
        </w:rPr>
      </w:pPr>
    </w:p>
    <w:p w14:paraId="119B2A7E"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Pacijenti koji primaju lijek Humira mogu istovremeno primiti vakcinu, </w:t>
      </w:r>
      <w:proofErr w:type="gramStart"/>
      <w:r w:rsidRPr="0083687B">
        <w:rPr>
          <w:sz w:val="22"/>
          <w:szCs w:val="22"/>
        </w:rPr>
        <w:t>ali</w:t>
      </w:r>
      <w:proofErr w:type="gramEnd"/>
      <w:r w:rsidRPr="0083687B">
        <w:rPr>
          <w:sz w:val="22"/>
          <w:szCs w:val="22"/>
        </w:rPr>
        <w:t xml:space="preserve"> ne živu vakcinu. Primjena žive vakcine (</w:t>
      </w:r>
      <w:proofErr w:type="gramStart"/>
      <w:r w:rsidRPr="0083687B">
        <w:rPr>
          <w:sz w:val="22"/>
          <w:szCs w:val="22"/>
        </w:rPr>
        <w:t>npr</w:t>
      </w:r>
      <w:proofErr w:type="gramEnd"/>
      <w:r w:rsidRPr="0083687B">
        <w:rPr>
          <w:sz w:val="22"/>
          <w:szCs w:val="22"/>
        </w:rPr>
        <w:t xml:space="preserve">. BCG vakcina) kod odojčadi koja su bila izložena adalimumabu </w:t>
      </w:r>
      <w:r w:rsidRPr="0083687B">
        <w:rPr>
          <w:i/>
          <w:sz w:val="22"/>
          <w:szCs w:val="22"/>
        </w:rPr>
        <w:t>in utero</w:t>
      </w:r>
      <w:r w:rsidRPr="0083687B">
        <w:rPr>
          <w:sz w:val="22"/>
          <w:szCs w:val="22"/>
        </w:rPr>
        <w:t xml:space="preserve"> se ne preporučuje u narednih 5 mjeseci nakon posljednje doze adalimumaba koju je primila majka tokom trudnoće. </w:t>
      </w:r>
    </w:p>
    <w:p w14:paraId="08B9D35B" w14:textId="77777777" w:rsidR="0083687B" w:rsidRPr="0083687B" w:rsidRDefault="0083687B">
      <w:pPr>
        <w:widowControl w:val="0"/>
        <w:autoSpaceDE w:val="0"/>
        <w:autoSpaceDN w:val="0"/>
        <w:adjustRightInd w:val="0"/>
        <w:jc w:val="both"/>
        <w:rPr>
          <w:sz w:val="22"/>
          <w:szCs w:val="22"/>
        </w:rPr>
      </w:pPr>
    </w:p>
    <w:p w14:paraId="5BEE0AA5"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Kongestivna srčana insuficijencija</w:t>
      </w:r>
    </w:p>
    <w:p w14:paraId="561B4BCF" w14:textId="77777777" w:rsidR="0083687B" w:rsidRPr="0083687B" w:rsidRDefault="0083687B">
      <w:pPr>
        <w:widowControl w:val="0"/>
        <w:autoSpaceDE w:val="0"/>
        <w:autoSpaceDN w:val="0"/>
        <w:adjustRightInd w:val="0"/>
        <w:jc w:val="both"/>
        <w:rPr>
          <w:sz w:val="22"/>
          <w:szCs w:val="22"/>
          <w:u w:val="single"/>
        </w:rPr>
      </w:pPr>
    </w:p>
    <w:p w14:paraId="7038254E" w14:textId="53E9568B" w:rsidR="0083687B" w:rsidRPr="0083687B" w:rsidRDefault="0083687B">
      <w:pPr>
        <w:widowControl w:val="0"/>
        <w:autoSpaceDE w:val="0"/>
        <w:autoSpaceDN w:val="0"/>
        <w:adjustRightInd w:val="0"/>
        <w:jc w:val="both"/>
        <w:rPr>
          <w:sz w:val="22"/>
          <w:szCs w:val="22"/>
        </w:rPr>
      </w:pPr>
      <w:r w:rsidRPr="0083687B">
        <w:rPr>
          <w:sz w:val="22"/>
          <w:szCs w:val="22"/>
        </w:rPr>
        <w:t xml:space="preserve">U kliničkom ispitivanju jednog drugog antagonista TNF-a zabilježeno je pogoršanje kongestivne srčane insuficijencije i povećana smrtnost zbog kongestivne srčane insuficijencije. Prijavljeni su slučajevi pogoršanja kongestivne srčane insuficijencije kod pacijenata liječenih lijekom Humira. Lijek Humira se mora davati oprezno kod pacijenata </w:t>
      </w:r>
      <w:proofErr w:type="gramStart"/>
      <w:r w:rsidRPr="0083687B">
        <w:rPr>
          <w:sz w:val="22"/>
          <w:szCs w:val="22"/>
        </w:rPr>
        <w:t>sa</w:t>
      </w:r>
      <w:proofErr w:type="gramEnd"/>
      <w:r w:rsidRPr="0083687B">
        <w:rPr>
          <w:sz w:val="22"/>
          <w:szCs w:val="22"/>
        </w:rPr>
        <w:t xml:space="preserve"> blagom srčanom insuficijencijom (NYHA stepen I/II). Primjena lijeka Humira je kontraindikovana kod pacijenata s umjerenom do teškom srčanom insuficijencijom (vidjeti </w:t>
      </w:r>
      <w:r w:rsidR="00CD45DE">
        <w:rPr>
          <w:sz w:val="22"/>
          <w:szCs w:val="22"/>
        </w:rPr>
        <w:t>dio</w:t>
      </w:r>
      <w:r w:rsidRPr="0083687B">
        <w:rPr>
          <w:sz w:val="22"/>
          <w:szCs w:val="22"/>
        </w:rPr>
        <w:t xml:space="preserve"> 4.3). Ako se pojave </w:t>
      </w:r>
      <w:proofErr w:type="gramStart"/>
      <w:r w:rsidRPr="0083687B">
        <w:rPr>
          <w:sz w:val="22"/>
          <w:szCs w:val="22"/>
        </w:rPr>
        <w:t>novi</w:t>
      </w:r>
      <w:proofErr w:type="gramEnd"/>
      <w:r w:rsidRPr="0083687B">
        <w:rPr>
          <w:sz w:val="22"/>
          <w:szCs w:val="22"/>
        </w:rPr>
        <w:t xml:space="preserve"> ili pogoršaju postojeći simptomi kongestivne srčane insuficijencije, treba obustaviti primjenu lijeka Humira.</w:t>
      </w:r>
    </w:p>
    <w:p w14:paraId="34FC0AC3" w14:textId="77777777" w:rsidR="0083687B" w:rsidRPr="0083687B" w:rsidRDefault="0083687B">
      <w:pPr>
        <w:widowControl w:val="0"/>
        <w:autoSpaceDE w:val="0"/>
        <w:autoSpaceDN w:val="0"/>
        <w:adjustRightInd w:val="0"/>
        <w:jc w:val="both"/>
        <w:rPr>
          <w:sz w:val="22"/>
          <w:szCs w:val="22"/>
        </w:rPr>
      </w:pPr>
    </w:p>
    <w:p w14:paraId="4435A432"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Autoimuni procesi</w:t>
      </w:r>
    </w:p>
    <w:p w14:paraId="58E8E555" w14:textId="77777777" w:rsidR="0083687B" w:rsidRPr="0083687B" w:rsidRDefault="0083687B">
      <w:pPr>
        <w:widowControl w:val="0"/>
        <w:autoSpaceDE w:val="0"/>
        <w:autoSpaceDN w:val="0"/>
        <w:adjustRightInd w:val="0"/>
        <w:jc w:val="both"/>
        <w:rPr>
          <w:sz w:val="22"/>
          <w:szCs w:val="22"/>
          <w:u w:val="single"/>
        </w:rPr>
      </w:pPr>
    </w:p>
    <w:p w14:paraId="79B2DF8B" w14:textId="39AA02AA" w:rsidR="0083687B" w:rsidRPr="0083687B" w:rsidRDefault="0083687B">
      <w:pPr>
        <w:widowControl w:val="0"/>
        <w:autoSpaceDE w:val="0"/>
        <w:autoSpaceDN w:val="0"/>
        <w:adjustRightInd w:val="0"/>
        <w:jc w:val="both"/>
        <w:rPr>
          <w:sz w:val="22"/>
          <w:szCs w:val="22"/>
        </w:rPr>
      </w:pPr>
      <w:r w:rsidRPr="0083687B">
        <w:rPr>
          <w:sz w:val="22"/>
          <w:szCs w:val="22"/>
        </w:rPr>
        <w:t xml:space="preserve">Liječenje lijekom Humira može dovesti do razvoja autoimunih antitijela. Efekat dugotrajnog liječenja lijekom Humira </w:t>
      </w:r>
      <w:proofErr w:type="gramStart"/>
      <w:r w:rsidRPr="0083687B">
        <w:rPr>
          <w:sz w:val="22"/>
          <w:szCs w:val="22"/>
        </w:rPr>
        <w:t>na</w:t>
      </w:r>
      <w:proofErr w:type="gramEnd"/>
      <w:r w:rsidRPr="0083687B">
        <w:rPr>
          <w:sz w:val="22"/>
          <w:szCs w:val="22"/>
        </w:rPr>
        <w:t xml:space="preserve"> razvoj autoimunih bolesti nije poznat. Ukoliko pacijent nakon primjene lijeka Humira razvije simptome koji upućuju </w:t>
      </w:r>
      <w:proofErr w:type="gramStart"/>
      <w:r w:rsidRPr="0083687B">
        <w:rPr>
          <w:sz w:val="22"/>
          <w:szCs w:val="22"/>
        </w:rPr>
        <w:t>na</w:t>
      </w:r>
      <w:proofErr w:type="gramEnd"/>
      <w:r w:rsidRPr="0083687B">
        <w:rPr>
          <w:sz w:val="22"/>
          <w:szCs w:val="22"/>
        </w:rPr>
        <w:t xml:space="preserve"> sindrom sličan lupusu i pozitivan je na antitijela usmjerena protiv dvolančane DNK, potrebno je prekinuti terapiju (vidjeti </w:t>
      </w:r>
      <w:r w:rsidR="0039322B">
        <w:rPr>
          <w:sz w:val="22"/>
          <w:szCs w:val="22"/>
        </w:rPr>
        <w:t>dio</w:t>
      </w:r>
      <w:r w:rsidRPr="0083687B">
        <w:rPr>
          <w:sz w:val="22"/>
          <w:szCs w:val="22"/>
        </w:rPr>
        <w:t xml:space="preserve"> 4.8).</w:t>
      </w:r>
    </w:p>
    <w:p w14:paraId="5E36C663" w14:textId="77777777" w:rsidR="0083687B" w:rsidRPr="0083687B" w:rsidRDefault="0083687B">
      <w:pPr>
        <w:widowControl w:val="0"/>
        <w:autoSpaceDE w:val="0"/>
        <w:autoSpaceDN w:val="0"/>
        <w:adjustRightInd w:val="0"/>
        <w:jc w:val="both"/>
        <w:rPr>
          <w:sz w:val="22"/>
          <w:szCs w:val="22"/>
        </w:rPr>
      </w:pPr>
    </w:p>
    <w:p w14:paraId="7665BD92" w14:textId="4A350A60" w:rsidR="0083687B" w:rsidRPr="0083687B" w:rsidRDefault="0083687B">
      <w:pPr>
        <w:widowControl w:val="0"/>
        <w:autoSpaceDE w:val="0"/>
        <w:autoSpaceDN w:val="0"/>
        <w:adjustRightInd w:val="0"/>
        <w:jc w:val="both"/>
        <w:rPr>
          <w:sz w:val="22"/>
          <w:szCs w:val="22"/>
          <w:u w:val="single"/>
        </w:rPr>
      </w:pPr>
      <w:r w:rsidRPr="0083687B">
        <w:rPr>
          <w:sz w:val="22"/>
          <w:szCs w:val="22"/>
          <w:u w:val="single"/>
        </w:rPr>
        <w:t xml:space="preserve">Istovremena primjena bioloških antireumatskih ljekova koji modifikuju tok bolesti-DMARDS </w:t>
      </w:r>
      <w:proofErr w:type="gramStart"/>
      <w:r w:rsidRPr="0083687B">
        <w:rPr>
          <w:sz w:val="22"/>
          <w:szCs w:val="22"/>
          <w:u w:val="single"/>
        </w:rPr>
        <w:t>ili</w:t>
      </w:r>
      <w:proofErr w:type="gramEnd"/>
      <w:r w:rsidRPr="0083687B">
        <w:rPr>
          <w:sz w:val="22"/>
          <w:szCs w:val="22"/>
          <w:u w:val="single"/>
        </w:rPr>
        <w:t xml:space="preserve"> antagonista TNF-a </w:t>
      </w:r>
    </w:p>
    <w:p w14:paraId="382682AD" w14:textId="60D965B4" w:rsidR="0083687B" w:rsidRPr="0083687B" w:rsidRDefault="0083687B">
      <w:pPr>
        <w:widowControl w:val="0"/>
        <w:autoSpaceDE w:val="0"/>
        <w:autoSpaceDN w:val="0"/>
        <w:adjustRightInd w:val="0"/>
        <w:jc w:val="both"/>
        <w:rPr>
          <w:sz w:val="22"/>
          <w:szCs w:val="22"/>
        </w:rPr>
      </w:pPr>
      <w:r w:rsidRPr="0083687B">
        <w:rPr>
          <w:sz w:val="22"/>
          <w:szCs w:val="22"/>
        </w:rPr>
        <w:t xml:space="preserve">U kliničkim ispitivanjima istovremene primjene anakinre i drugog antagonista TNF-a, etanercepta, zabilježene su ozbiljne infekcije, a pritom nije bilo dodatne kliničke koristi u odnosu </w:t>
      </w:r>
      <w:proofErr w:type="gramStart"/>
      <w:r w:rsidRPr="0083687B">
        <w:rPr>
          <w:sz w:val="22"/>
          <w:szCs w:val="22"/>
        </w:rPr>
        <w:t>na</w:t>
      </w:r>
      <w:proofErr w:type="gramEnd"/>
      <w:r w:rsidRPr="0083687B">
        <w:rPr>
          <w:sz w:val="22"/>
          <w:szCs w:val="22"/>
        </w:rPr>
        <w:t xml:space="preserve"> monoterapiju etanerceptom. S obzirom </w:t>
      </w:r>
      <w:proofErr w:type="gramStart"/>
      <w:r w:rsidRPr="0083687B">
        <w:rPr>
          <w:sz w:val="22"/>
          <w:szCs w:val="22"/>
        </w:rPr>
        <w:t>na</w:t>
      </w:r>
      <w:proofErr w:type="gramEnd"/>
      <w:r w:rsidRPr="0083687B">
        <w:rPr>
          <w:sz w:val="22"/>
          <w:szCs w:val="22"/>
        </w:rPr>
        <w:t xml:space="preserve"> vrstu neželjenih </w:t>
      </w:r>
      <w:r w:rsidR="0039322B">
        <w:rPr>
          <w:sz w:val="22"/>
          <w:szCs w:val="22"/>
        </w:rPr>
        <w:t xml:space="preserve">dejstava </w:t>
      </w:r>
      <w:r w:rsidRPr="0083687B">
        <w:rPr>
          <w:sz w:val="22"/>
          <w:szCs w:val="22"/>
        </w:rPr>
        <w:t xml:space="preserve">opisanih pri istovremenoj primjeni anakinre i etanercepta pretpostavlja se da bi se slična neželjena dejstva mogla pojaviti i za vrijeme liječenja anakinrom u kombinaciji sa drugim antagonistima TNF-a. Stoga se istovremena primjena adalimumaba i anakinre ne preporučuje (vidjeti </w:t>
      </w:r>
      <w:r w:rsidR="0039322B">
        <w:rPr>
          <w:sz w:val="22"/>
          <w:szCs w:val="22"/>
        </w:rPr>
        <w:t xml:space="preserve">dio </w:t>
      </w:r>
      <w:r w:rsidRPr="0083687B">
        <w:rPr>
          <w:sz w:val="22"/>
          <w:szCs w:val="22"/>
        </w:rPr>
        <w:t>4.5).</w:t>
      </w:r>
    </w:p>
    <w:p w14:paraId="386FEB68" w14:textId="0F1F8F06" w:rsidR="0083687B" w:rsidRPr="0083687B" w:rsidRDefault="0083687B">
      <w:pPr>
        <w:widowControl w:val="0"/>
        <w:autoSpaceDE w:val="0"/>
        <w:autoSpaceDN w:val="0"/>
        <w:adjustRightInd w:val="0"/>
        <w:jc w:val="both"/>
        <w:rPr>
          <w:sz w:val="22"/>
          <w:szCs w:val="22"/>
        </w:rPr>
      </w:pPr>
      <w:r w:rsidRPr="0083687B">
        <w:rPr>
          <w:sz w:val="22"/>
          <w:szCs w:val="22"/>
        </w:rPr>
        <w:t xml:space="preserve">Istovremena primjena adalimumaba </w:t>
      </w:r>
      <w:proofErr w:type="gramStart"/>
      <w:r w:rsidRPr="0083687B">
        <w:rPr>
          <w:sz w:val="22"/>
          <w:szCs w:val="22"/>
        </w:rPr>
        <w:t>sa</w:t>
      </w:r>
      <w:proofErr w:type="gramEnd"/>
      <w:r w:rsidRPr="0083687B">
        <w:rPr>
          <w:sz w:val="22"/>
          <w:szCs w:val="22"/>
        </w:rPr>
        <w:t xml:space="preserve"> drugim biološkim DMARDS (npr. anakinra i abatacept) ili drugim antagonistima TNF-a se ne preporučuje zbog mogućeg povećanog rizika od nastanka infekcija, uključujući ozbiljne infekcije i druge moguće farmakološke interakcije (vidjeti </w:t>
      </w:r>
      <w:r w:rsidR="0039322B">
        <w:rPr>
          <w:sz w:val="22"/>
          <w:szCs w:val="22"/>
        </w:rPr>
        <w:t>dio</w:t>
      </w:r>
      <w:r w:rsidRPr="0083687B">
        <w:rPr>
          <w:sz w:val="22"/>
          <w:szCs w:val="22"/>
        </w:rPr>
        <w:t xml:space="preserve"> 4.5). </w:t>
      </w:r>
    </w:p>
    <w:p w14:paraId="38A6D657" w14:textId="77777777" w:rsidR="0083687B" w:rsidRPr="0083687B" w:rsidRDefault="0083687B">
      <w:pPr>
        <w:widowControl w:val="0"/>
        <w:autoSpaceDE w:val="0"/>
        <w:autoSpaceDN w:val="0"/>
        <w:adjustRightInd w:val="0"/>
        <w:ind w:left="567" w:hanging="567"/>
        <w:jc w:val="both"/>
        <w:rPr>
          <w:sz w:val="22"/>
          <w:szCs w:val="22"/>
        </w:rPr>
      </w:pPr>
    </w:p>
    <w:p w14:paraId="73798E1C"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Hirurški zahvati</w:t>
      </w:r>
    </w:p>
    <w:p w14:paraId="194DC574" w14:textId="77777777" w:rsidR="0083687B" w:rsidRPr="0083687B" w:rsidRDefault="0083687B">
      <w:pPr>
        <w:widowControl w:val="0"/>
        <w:autoSpaceDE w:val="0"/>
        <w:autoSpaceDN w:val="0"/>
        <w:adjustRightInd w:val="0"/>
        <w:jc w:val="both"/>
        <w:rPr>
          <w:sz w:val="22"/>
          <w:szCs w:val="22"/>
          <w:u w:val="single"/>
        </w:rPr>
      </w:pPr>
    </w:p>
    <w:p w14:paraId="579CC197" w14:textId="48BE8A7B" w:rsidR="0083687B" w:rsidRPr="0083687B" w:rsidRDefault="0083687B">
      <w:pPr>
        <w:widowControl w:val="0"/>
        <w:autoSpaceDE w:val="0"/>
        <w:autoSpaceDN w:val="0"/>
        <w:adjustRightInd w:val="0"/>
        <w:jc w:val="both"/>
        <w:rPr>
          <w:sz w:val="22"/>
          <w:szCs w:val="22"/>
        </w:rPr>
      </w:pPr>
      <w:r w:rsidRPr="0083687B">
        <w:rPr>
          <w:sz w:val="22"/>
          <w:szCs w:val="22"/>
        </w:rPr>
        <w:t xml:space="preserve">Raspoloživi podaci o bezbjednosti hirurških zahvata kod pacijenata liječenih lijekom Humira su ograničeni. Pri planiranju operacija treba voditi računa o dugom </w:t>
      </w:r>
      <w:r w:rsidRPr="0083687B">
        <w:rPr>
          <w:iCs/>
          <w:sz w:val="22"/>
          <w:szCs w:val="22"/>
        </w:rPr>
        <w:t>poluvremenu</w:t>
      </w:r>
      <w:r w:rsidRPr="0083687B">
        <w:rPr>
          <w:sz w:val="22"/>
          <w:szCs w:val="22"/>
        </w:rPr>
        <w:t xml:space="preserve"> izlučivanja adalimumaba. Pacijente, kojima je za vrijeme liječenja lijekom Humira potreban operativni zahvat, treba pomno pratiti zbog moguće pojave infekcija, i prema potrebi p</w:t>
      </w:r>
      <w:r w:rsidR="0039322B">
        <w:rPr>
          <w:sz w:val="22"/>
          <w:szCs w:val="22"/>
        </w:rPr>
        <w:t>reduzeti</w:t>
      </w:r>
      <w:r w:rsidRPr="0083687B">
        <w:rPr>
          <w:sz w:val="22"/>
          <w:szCs w:val="22"/>
        </w:rPr>
        <w:t xml:space="preserve"> odgovarajuće mjere. Raspoloživi podaci o bezbjednosti sprovođenja artroplastike kod pacijenata liječenih lijekom Humira su ograničeni.</w:t>
      </w:r>
    </w:p>
    <w:p w14:paraId="33BB9E84" w14:textId="77777777" w:rsidR="0083687B" w:rsidRPr="0083687B" w:rsidRDefault="0083687B">
      <w:pPr>
        <w:widowControl w:val="0"/>
        <w:autoSpaceDE w:val="0"/>
        <w:autoSpaceDN w:val="0"/>
        <w:adjustRightInd w:val="0"/>
        <w:jc w:val="both"/>
        <w:rPr>
          <w:sz w:val="22"/>
          <w:szCs w:val="22"/>
        </w:rPr>
      </w:pPr>
    </w:p>
    <w:p w14:paraId="3FBCED91"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Opstrukcija tankog crijeva</w:t>
      </w:r>
    </w:p>
    <w:p w14:paraId="4DF2B5AE" w14:textId="77777777" w:rsidR="0083687B" w:rsidRPr="0083687B" w:rsidRDefault="0083687B">
      <w:pPr>
        <w:widowControl w:val="0"/>
        <w:autoSpaceDE w:val="0"/>
        <w:autoSpaceDN w:val="0"/>
        <w:adjustRightInd w:val="0"/>
        <w:jc w:val="both"/>
        <w:rPr>
          <w:sz w:val="22"/>
          <w:szCs w:val="22"/>
          <w:u w:val="single"/>
        </w:rPr>
      </w:pPr>
    </w:p>
    <w:p w14:paraId="7330C487"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Nereagovanje </w:t>
      </w:r>
      <w:proofErr w:type="gramStart"/>
      <w:r w:rsidRPr="0083687B">
        <w:rPr>
          <w:sz w:val="22"/>
          <w:szCs w:val="22"/>
        </w:rPr>
        <w:t>na</w:t>
      </w:r>
      <w:proofErr w:type="gramEnd"/>
      <w:r w:rsidRPr="0083687B">
        <w:rPr>
          <w:sz w:val="22"/>
          <w:szCs w:val="22"/>
        </w:rPr>
        <w:t xml:space="preserve"> terapiju Crohn-ove bolesti može biti znak fiksne fibrozne strikture koju je možda potrebno hirurški liječiti. Trenutno raspoloživi podaci ukazuju </w:t>
      </w:r>
      <w:proofErr w:type="gramStart"/>
      <w:r w:rsidRPr="0083687B">
        <w:rPr>
          <w:sz w:val="22"/>
          <w:szCs w:val="22"/>
        </w:rPr>
        <w:t>na</w:t>
      </w:r>
      <w:proofErr w:type="gramEnd"/>
      <w:r w:rsidRPr="0083687B">
        <w:rPr>
          <w:sz w:val="22"/>
          <w:szCs w:val="22"/>
        </w:rPr>
        <w:t xml:space="preserve"> to da lijek Humira ne uzrokuje i ne pogoršava strikture.</w:t>
      </w:r>
    </w:p>
    <w:p w14:paraId="30F05399" w14:textId="77777777" w:rsidR="0083687B" w:rsidRPr="0083687B" w:rsidRDefault="0083687B">
      <w:pPr>
        <w:widowControl w:val="0"/>
        <w:autoSpaceDE w:val="0"/>
        <w:autoSpaceDN w:val="0"/>
        <w:adjustRightInd w:val="0"/>
        <w:ind w:left="567" w:hanging="567"/>
        <w:jc w:val="both"/>
        <w:rPr>
          <w:sz w:val="22"/>
          <w:szCs w:val="22"/>
        </w:rPr>
      </w:pPr>
    </w:p>
    <w:p w14:paraId="0EC3E56F" w14:textId="77777777" w:rsidR="0083687B" w:rsidRPr="0083687B" w:rsidRDefault="0083687B">
      <w:pPr>
        <w:widowControl w:val="0"/>
        <w:autoSpaceDE w:val="0"/>
        <w:autoSpaceDN w:val="0"/>
        <w:adjustRightInd w:val="0"/>
        <w:ind w:left="567" w:hanging="567"/>
        <w:jc w:val="both"/>
        <w:rPr>
          <w:sz w:val="22"/>
          <w:szCs w:val="22"/>
          <w:u w:val="single"/>
        </w:rPr>
      </w:pPr>
      <w:r w:rsidRPr="0083687B">
        <w:rPr>
          <w:sz w:val="22"/>
          <w:szCs w:val="22"/>
          <w:u w:val="single"/>
        </w:rPr>
        <w:t>Stariji pacijenti</w:t>
      </w:r>
    </w:p>
    <w:p w14:paraId="0C45866E" w14:textId="77777777" w:rsidR="0083687B" w:rsidRPr="0083687B" w:rsidRDefault="0083687B">
      <w:pPr>
        <w:widowControl w:val="0"/>
        <w:autoSpaceDE w:val="0"/>
        <w:autoSpaceDN w:val="0"/>
        <w:adjustRightInd w:val="0"/>
        <w:ind w:left="567" w:hanging="567"/>
        <w:jc w:val="both"/>
        <w:rPr>
          <w:sz w:val="22"/>
          <w:szCs w:val="22"/>
          <w:u w:val="single"/>
        </w:rPr>
      </w:pPr>
    </w:p>
    <w:p w14:paraId="6242D8CA" w14:textId="77777777" w:rsidR="0083687B" w:rsidRPr="0083687B" w:rsidRDefault="0083687B">
      <w:pPr>
        <w:widowControl w:val="0"/>
        <w:autoSpaceDE w:val="0"/>
        <w:autoSpaceDN w:val="0"/>
        <w:adjustRightInd w:val="0"/>
        <w:jc w:val="both"/>
        <w:rPr>
          <w:sz w:val="22"/>
          <w:szCs w:val="22"/>
        </w:rPr>
      </w:pPr>
      <w:r w:rsidRPr="0083687B">
        <w:rPr>
          <w:sz w:val="22"/>
          <w:szCs w:val="22"/>
        </w:rPr>
        <w:t>Učestalost ozbiljnih infekcija kod pacijenata liječenih lijekom Humira bila je veća kod pacijenata starijih od 65 godina (3</w:t>
      </w:r>
      <w:proofErr w:type="gramStart"/>
      <w:r w:rsidRPr="0083687B">
        <w:rPr>
          <w:sz w:val="22"/>
          <w:szCs w:val="22"/>
        </w:rPr>
        <w:t>,7</w:t>
      </w:r>
      <w:proofErr w:type="gramEnd"/>
      <w:r w:rsidRPr="0083687B">
        <w:rPr>
          <w:sz w:val="22"/>
          <w:szCs w:val="22"/>
        </w:rPr>
        <w:t xml:space="preserve">%) nego kod pacijenata mlađih od 65 godina (1,5 %). Neke </w:t>
      </w:r>
      <w:proofErr w:type="gramStart"/>
      <w:r w:rsidRPr="0083687B">
        <w:rPr>
          <w:sz w:val="22"/>
          <w:szCs w:val="22"/>
        </w:rPr>
        <w:t>od</w:t>
      </w:r>
      <w:proofErr w:type="gramEnd"/>
      <w:r w:rsidRPr="0083687B">
        <w:rPr>
          <w:sz w:val="22"/>
          <w:szCs w:val="22"/>
        </w:rPr>
        <w:t xml:space="preserve"> ovih infekcija su imale fatalni ishod. Tokom liječenja starijih pacijenata mora se obratiti posebna pažnja </w:t>
      </w:r>
      <w:proofErr w:type="gramStart"/>
      <w:r w:rsidRPr="0083687B">
        <w:rPr>
          <w:sz w:val="22"/>
          <w:szCs w:val="22"/>
        </w:rPr>
        <w:t>na</w:t>
      </w:r>
      <w:proofErr w:type="gramEnd"/>
      <w:r w:rsidRPr="0083687B">
        <w:rPr>
          <w:sz w:val="22"/>
          <w:szCs w:val="22"/>
        </w:rPr>
        <w:t xml:space="preserve"> mogući rizik od infekcije.</w:t>
      </w:r>
    </w:p>
    <w:p w14:paraId="3983AB61" w14:textId="77777777" w:rsidR="0083687B" w:rsidRPr="0083687B" w:rsidRDefault="0083687B">
      <w:pPr>
        <w:widowControl w:val="0"/>
        <w:autoSpaceDE w:val="0"/>
        <w:autoSpaceDN w:val="0"/>
        <w:adjustRightInd w:val="0"/>
        <w:jc w:val="both"/>
        <w:rPr>
          <w:sz w:val="22"/>
          <w:szCs w:val="22"/>
        </w:rPr>
      </w:pPr>
    </w:p>
    <w:p w14:paraId="0B527498"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Pedijatrijska populacija</w:t>
      </w:r>
    </w:p>
    <w:p w14:paraId="754FA237" w14:textId="77777777" w:rsidR="0083687B" w:rsidRPr="0083687B" w:rsidRDefault="0083687B">
      <w:pPr>
        <w:widowControl w:val="0"/>
        <w:autoSpaceDE w:val="0"/>
        <w:autoSpaceDN w:val="0"/>
        <w:adjustRightInd w:val="0"/>
        <w:jc w:val="both"/>
        <w:rPr>
          <w:sz w:val="22"/>
          <w:szCs w:val="22"/>
          <w:u w:val="single"/>
        </w:rPr>
      </w:pPr>
    </w:p>
    <w:p w14:paraId="0B0EFE43" w14:textId="50D37E74" w:rsidR="0083687B" w:rsidRPr="0083687B" w:rsidRDefault="0083687B">
      <w:pPr>
        <w:widowControl w:val="0"/>
        <w:autoSpaceDE w:val="0"/>
        <w:autoSpaceDN w:val="0"/>
        <w:adjustRightInd w:val="0"/>
        <w:jc w:val="both"/>
        <w:rPr>
          <w:sz w:val="22"/>
          <w:szCs w:val="22"/>
        </w:rPr>
      </w:pPr>
      <w:r w:rsidRPr="0083687B">
        <w:rPr>
          <w:sz w:val="22"/>
          <w:szCs w:val="22"/>
        </w:rPr>
        <w:t xml:space="preserve">Pogledati gore </w:t>
      </w:r>
      <w:r w:rsidR="0039322B">
        <w:rPr>
          <w:sz w:val="22"/>
          <w:szCs w:val="22"/>
        </w:rPr>
        <w:t xml:space="preserve">dio </w:t>
      </w:r>
      <w:r w:rsidRPr="0083687B">
        <w:rPr>
          <w:sz w:val="22"/>
          <w:szCs w:val="22"/>
        </w:rPr>
        <w:t xml:space="preserve">koji se odnosi </w:t>
      </w:r>
      <w:proofErr w:type="gramStart"/>
      <w:r w:rsidRPr="0083687B">
        <w:rPr>
          <w:sz w:val="22"/>
          <w:szCs w:val="22"/>
        </w:rPr>
        <w:t>na</w:t>
      </w:r>
      <w:proofErr w:type="gramEnd"/>
      <w:r w:rsidRPr="0083687B">
        <w:rPr>
          <w:sz w:val="22"/>
          <w:szCs w:val="22"/>
        </w:rPr>
        <w:t xml:space="preserve"> vakcinaciju.</w:t>
      </w:r>
    </w:p>
    <w:p w14:paraId="593D0191" w14:textId="77777777" w:rsidR="0083687B" w:rsidRPr="0083687B" w:rsidRDefault="0083687B">
      <w:pPr>
        <w:tabs>
          <w:tab w:val="left" w:pos="1141"/>
        </w:tabs>
        <w:jc w:val="both"/>
        <w:rPr>
          <w:bCs/>
          <w:sz w:val="22"/>
          <w:szCs w:val="22"/>
          <w:lang w:val="sr-Latn-ME"/>
        </w:rPr>
      </w:pPr>
    </w:p>
    <w:p w14:paraId="1471FE7B"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4.5. Interakcije sa drugim ljekovima i druge vrste interakcija</w:t>
      </w:r>
    </w:p>
    <w:p w14:paraId="743C7040" w14:textId="77777777" w:rsidR="0083687B" w:rsidRPr="0083687B" w:rsidRDefault="0083687B">
      <w:pPr>
        <w:tabs>
          <w:tab w:val="left" w:pos="540"/>
          <w:tab w:val="left" w:pos="569"/>
        </w:tabs>
        <w:jc w:val="both"/>
        <w:rPr>
          <w:bCs/>
          <w:sz w:val="22"/>
          <w:szCs w:val="22"/>
          <w:lang w:val="sr-Latn-ME"/>
        </w:rPr>
      </w:pPr>
    </w:p>
    <w:p w14:paraId="4DAB3099" w14:textId="5CA705F3" w:rsidR="0083687B" w:rsidRPr="0083687B" w:rsidRDefault="0083687B">
      <w:pPr>
        <w:widowControl w:val="0"/>
        <w:autoSpaceDE w:val="0"/>
        <w:autoSpaceDN w:val="0"/>
        <w:adjustRightInd w:val="0"/>
        <w:jc w:val="both"/>
        <w:rPr>
          <w:sz w:val="22"/>
          <w:szCs w:val="22"/>
        </w:rPr>
      </w:pPr>
      <w:r w:rsidRPr="0083687B">
        <w:rPr>
          <w:sz w:val="22"/>
          <w:szCs w:val="22"/>
        </w:rPr>
        <w:t xml:space="preserve">Djelovanje lijeka Humira ispitivano je kod pacijenata </w:t>
      </w:r>
      <w:proofErr w:type="gramStart"/>
      <w:r w:rsidRPr="0083687B">
        <w:rPr>
          <w:sz w:val="22"/>
          <w:szCs w:val="22"/>
        </w:rPr>
        <w:t>sa</w:t>
      </w:r>
      <w:proofErr w:type="gramEnd"/>
      <w:r w:rsidRPr="0083687B">
        <w:rPr>
          <w:sz w:val="22"/>
          <w:szCs w:val="22"/>
        </w:rPr>
        <w:t xml:space="preserve"> reumatoidnim artritisom, poliartikularnim juvenilnim idiopatskim artritisom i psorijatičnim artritisom koji su dobijali lijek Humira kao monoterapiju, i kod onih koji su istovremeno uzimali lijek Humira i metotreksat. </w:t>
      </w:r>
      <w:r w:rsidRPr="0083687B">
        <w:rPr>
          <w:iCs/>
          <w:sz w:val="22"/>
          <w:szCs w:val="22"/>
        </w:rPr>
        <w:t>Stvaranje</w:t>
      </w:r>
      <w:r w:rsidRPr="0083687B">
        <w:rPr>
          <w:sz w:val="22"/>
          <w:szCs w:val="22"/>
        </w:rPr>
        <w:t xml:space="preserve"> antitijela bilo je manje kada je lijek Humira davan zajedno </w:t>
      </w:r>
      <w:proofErr w:type="gramStart"/>
      <w:r w:rsidRPr="0083687B">
        <w:rPr>
          <w:sz w:val="22"/>
          <w:szCs w:val="22"/>
        </w:rPr>
        <w:t>sa</w:t>
      </w:r>
      <w:proofErr w:type="gramEnd"/>
      <w:r w:rsidRPr="0083687B">
        <w:rPr>
          <w:sz w:val="22"/>
          <w:szCs w:val="22"/>
        </w:rPr>
        <w:t xml:space="preserve"> metotreksatom, u odnosu na pacijente kod kojih je lijek Humira davan kao monoterapija. Kada se lijek Humira primjenjuje bez metotreksata, </w:t>
      </w:r>
      <w:r w:rsidRPr="0083687B">
        <w:rPr>
          <w:iCs/>
          <w:sz w:val="22"/>
          <w:szCs w:val="22"/>
        </w:rPr>
        <w:t>stvaranje</w:t>
      </w:r>
      <w:r w:rsidRPr="0083687B">
        <w:rPr>
          <w:i/>
          <w:iCs/>
          <w:sz w:val="22"/>
          <w:szCs w:val="22"/>
        </w:rPr>
        <w:t xml:space="preserve"> </w:t>
      </w:r>
      <w:r w:rsidRPr="0083687B">
        <w:rPr>
          <w:sz w:val="22"/>
          <w:szCs w:val="22"/>
        </w:rPr>
        <w:t xml:space="preserve">antitijela se povećava, izlučivanje adalimumaba pojačava, </w:t>
      </w:r>
      <w:proofErr w:type="gramStart"/>
      <w:r w:rsidRPr="0083687B">
        <w:rPr>
          <w:sz w:val="22"/>
          <w:szCs w:val="22"/>
        </w:rPr>
        <w:t>a</w:t>
      </w:r>
      <w:proofErr w:type="gramEnd"/>
      <w:r w:rsidRPr="0083687B">
        <w:rPr>
          <w:sz w:val="22"/>
          <w:szCs w:val="22"/>
        </w:rPr>
        <w:t xml:space="preserve"> efikasnost se smanjuje (vidjeti </w:t>
      </w:r>
      <w:r w:rsidR="00A87159">
        <w:rPr>
          <w:sz w:val="22"/>
          <w:szCs w:val="22"/>
        </w:rPr>
        <w:t>dio</w:t>
      </w:r>
      <w:r w:rsidRPr="0083687B">
        <w:rPr>
          <w:sz w:val="22"/>
          <w:szCs w:val="22"/>
        </w:rPr>
        <w:t xml:space="preserve"> 5.1).</w:t>
      </w:r>
    </w:p>
    <w:p w14:paraId="3B744668" w14:textId="77777777" w:rsidR="0083687B" w:rsidRPr="0083687B" w:rsidRDefault="0083687B">
      <w:pPr>
        <w:widowControl w:val="0"/>
        <w:autoSpaceDE w:val="0"/>
        <w:autoSpaceDN w:val="0"/>
        <w:adjustRightInd w:val="0"/>
        <w:jc w:val="both"/>
        <w:rPr>
          <w:sz w:val="22"/>
          <w:szCs w:val="22"/>
        </w:rPr>
      </w:pPr>
    </w:p>
    <w:p w14:paraId="76BDE20A" w14:textId="0E9C2501" w:rsidR="0083687B" w:rsidRPr="0083687B" w:rsidRDefault="0083687B">
      <w:pPr>
        <w:widowControl w:val="0"/>
        <w:autoSpaceDE w:val="0"/>
        <w:autoSpaceDN w:val="0"/>
        <w:adjustRightInd w:val="0"/>
        <w:jc w:val="both"/>
        <w:rPr>
          <w:sz w:val="22"/>
          <w:szCs w:val="22"/>
        </w:rPr>
      </w:pPr>
      <w:r w:rsidRPr="0083687B">
        <w:rPr>
          <w:sz w:val="22"/>
          <w:szCs w:val="22"/>
        </w:rPr>
        <w:t xml:space="preserve">Kombinovana terapija lijekom Humira i anakinrom se ne preporučuje (vidjeti </w:t>
      </w:r>
      <w:r w:rsidR="00A87159">
        <w:rPr>
          <w:sz w:val="22"/>
          <w:szCs w:val="22"/>
        </w:rPr>
        <w:t>dio</w:t>
      </w:r>
      <w:r w:rsidRPr="0083687B">
        <w:rPr>
          <w:sz w:val="22"/>
          <w:szCs w:val="22"/>
        </w:rPr>
        <w:t xml:space="preserve"> 4.4 Istovremena primjena bioloških DMARDS-a </w:t>
      </w:r>
      <w:proofErr w:type="gramStart"/>
      <w:r w:rsidRPr="0083687B">
        <w:rPr>
          <w:sz w:val="22"/>
          <w:szCs w:val="22"/>
        </w:rPr>
        <w:t>ili</w:t>
      </w:r>
      <w:proofErr w:type="gramEnd"/>
      <w:r w:rsidRPr="0083687B">
        <w:rPr>
          <w:sz w:val="22"/>
          <w:szCs w:val="22"/>
        </w:rPr>
        <w:t xml:space="preserve"> antagonista TNF-a).</w:t>
      </w:r>
    </w:p>
    <w:p w14:paraId="6D9586CD" w14:textId="77777777" w:rsidR="0083687B" w:rsidRPr="0083687B" w:rsidRDefault="0083687B">
      <w:pPr>
        <w:widowControl w:val="0"/>
        <w:autoSpaceDE w:val="0"/>
        <w:autoSpaceDN w:val="0"/>
        <w:adjustRightInd w:val="0"/>
        <w:jc w:val="both"/>
        <w:rPr>
          <w:sz w:val="22"/>
          <w:szCs w:val="22"/>
        </w:rPr>
      </w:pPr>
    </w:p>
    <w:p w14:paraId="1C615957" w14:textId="17445628" w:rsidR="0083687B" w:rsidRPr="0083687B" w:rsidRDefault="0083687B">
      <w:pPr>
        <w:widowControl w:val="0"/>
        <w:autoSpaceDE w:val="0"/>
        <w:autoSpaceDN w:val="0"/>
        <w:adjustRightInd w:val="0"/>
        <w:jc w:val="both"/>
        <w:rPr>
          <w:sz w:val="22"/>
          <w:szCs w:val="22"/>
        </w:rPr>
      </w:pPr>
      <w:r w:rsidRPr="0083687B">
        <w:rPr>
          <w:sz w:val="22"/>
          <w:szCs w:val="22"/>
        </w:rPr>
        <w:t xml:space="preserve">Kombinovana terapija lijekom Humira i abataceptom se ne preporučuje (vidjeti </w:t>
      </w:r>
      <w:r w:rsidR="00A87159">
        <w:rPr>
          <w:sz w:val="22"/>
          <w:szCs w:val="22"/>
        </w:rPr>
        <w:t>dio</w:t>
      </w:r>
      <w:r w:rsidRPr="0083687B">
        <w:rPr>
          <w:sz w:val="22"/>
          <w:szCs w:val="22"/>
        </w:rPr>
        <w:t xml:space="preserve"> 4.4 Istovremena primjena bioloških DMARDS-a </w:t>
      </w:r>
      <w:proofErr w:type="gramStart"/>
      <w:r w:rsidRPr="0083687B">
        <w:rPr>
          <w:sz w:val="22"/>
          <w:szCs w:val="22"/>
        </w:rPr>
        <w:t>ili</w:t>
      </w:r>
      <w:proofErr w:type="gramEnd"/>
      <w:r w:rsidRPr="0083687B">
        <w:rPr>
          <w:sz w:val="22"/>
          <w:szCs w:val="22"/>
        </w:rPr>
        <w:t xml:space="preserve"> antagonista TNF-a).</w:t>
      </w:r>
    </w:p>
    <w:p w14:paraId="5DAD239D" w14:textId="77777777" w:rsidR="0083687B" w:rsidRPr="0083687B" w:rsidRDefault="0083687B">
      <w:pPr>
        <w:tabs>
          <w:tab w:val="left" w:pos="540"/>
          <w:tab w:val="left" w:pos="569"/>
        </w:tabs>
        <w:jc w:val="both"/>
        <w:rPr>
          <w:bCs/>
          <w:sz w:val="22"/>
          <w:szCs w:val="22"/>
          <w:lang w:val="sr-Latn-ME"/>
        </w:rPr>
      </w:pPr>
    </w:p>
    <w:p w14:paraId="563C230A"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4.6. </w:t>
      </w:r>
      <w:r w:rsidRPr="0083687B">
        <w:rPr>
          <w:b/>
          <w:bCs/>
          <w:sz w:val="22"/>
          <w:szCs w:val="22"/>
          <w:lang w:val="sr-Latn-ME"/>
        </w:rPr>
        <w:tab/>
        <w:t>Plodnost,  trudnoća i dojenje</w:t>
      </w:r>
    </w:p>
    <w:p w14:paraId="5C190AC7" w14:textId="77777777" w:rsidR="0083687B" w:rsidRPr="0083687B" w:rsidRDefault="0083687B">
      <w:pPr>
        <w:widowControl w:val="0"/>
        <w:autoSpaceDE w:val="0"/>
        <w:autoSpaceDN w:val="0"/>
        <w:adjustRightInd w:val="0"/>
        <w:jc w:val="both"/>
        <w:rPr>
          <w:sz w:val="22"/>
          <w:szCs w:val="22"/>
        </w:rPr>
      </w:pPr>
    </w:p>
    <w:p w14:paraId="47BF4D75"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Žene u reproduktivnom dobu</w:t>
      </w:r>
    </w:p>
    <w:p w14:paraId="7C9C468D" w14:textId="77777777" w:rsidR="0083687B" w:rsidRPr="0083687B" w:rsidRDefault="0083687B">
      <w:pPr>
        <w:widowControl w:val="0"/>
        <w:autoSpaceDE w:val="0"/>
        <w:autoSpaceDN w:val="0"/>
        <w:adjustRightInd w:val="0"/>
        <w:jc w:val="both"/>
        <w:rPr>
          <w:sz w:val="22"/>
          <w:szCs w:val="22"/>
        </w:rPr>
      </w:pPr>
    </w:p>
    <w:p w14:paraId="124B8071" w14:textId="77777777" w:rsidR="0083687B" w:rsidRPr="0083687B" w:rsidRDefault="0083687B">
      <w:pPr>
        <w:widowControl w:val="0"/>
        <w:autoSpaceDE w:val="0"/>
        <w:autoSpaceDN w:val="0"/>
        <w:adjustRightInd w:val="0"/>
        <w:jc w:val="both"/>
        <w:rPr>
          <w:sz w:val="22"/>
          <w:szCs w:val="22"/>
        </w:rPr>
      </w:pPr>
      <w:r w:rsidRPr="0083687B">
        <w:rPr>
          <w:sz w:val="22"/>
          <w:szCs w:val="22"/>
        </w:rPr>
        <w:t>Ženama u reproduktivnom dobu se posebno preporučuje da koriste adekvatnu kontracepciju za sprječavanje trudnoće i da je koriste najmanje 5 mjeseci nakon posljednjeg tretmana lijekom Humira.</w:t>
      </w:r>
    </w:p>
    <w:p w14:paraId="758B3435" w14:textId="77777777" w:rsidR="0083687B" w:rsidRPr="0083687B" w:rsidRDefault="0083687B">
      <w:pPr>
        <w:widowControl w:val="0"/>
        <w:autoSpaceDE w:val="0"/>
        <w:autoSpaceDN w:val="0"/>
        <w:adjustRightInd w:val="0"/>
        <w:jc w:val="both"/>
        <w:rPr>
          <w:sz w:val="22"/>
          <w:szCs w:val="22"/>
        </w:rPr>
      </w:pPr>
    </w:p>
    <w:p w14:paraId="785EC831"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Trudnoća</w:t>
      </w:r>
    </w:p>
    <w:p w14:paraId="6732F237" w14:textId="77777777" w:rsidR="0083687B" w:rsidRPr="0083687B" w:rsidRDefault="0083687B">
      <w:pPr>
        <w:widowControl w:val="0"/>
        <w:autoSpaceDE w:val="0"/>
        <w:autoSpaceDN w:val="0"/>
        <w:adjustRightInd w:val="0"/>
        <w:jc w:val="both"/>
        <w:rPr>
          <w:sz w:val="22"/>
          <w:szCs w:val="22"/>
          <w:u w:val="single"/>
        </w:rPr>
      </w:pPr>
    </w:p>
    <w:p w14:paraId="28830FE8" w14:textId="77777777" w:rsidR="0083687B" w:rsidRPr="0083687B" w:rsidRDefault="0083687B">
      <w:pPr>
        <w:widowControl w:val="0"/>
        <w:autoSpaceDE w:val="0"/>
        <w:autoSpaceDN w:val="0"/>
        <w:adjustRightInd w:val="0"/>
        <w:jc w:val="both"/>
        <w:rPr>
          <w:sz w:val="22"/>
          <w:szCs w:val="22"/>
        </w:rPr>
      </w:pPr>
      <w:r w:rsidRPr="0083687B">
        <w:rPr>
          <w:sz w:val="22"/>
          <w:szCs w:val="22"/>
        </w:rPr>
        <w:t>Prospektivno prikupljeni podaci o velikom broju trudnoća izloženih adalimumabu (približno 2100) koje su završile živorođene sa poznatim ishodom, uključujući više od 1500 trudnoća izloženih tokom prvog tromjesečja, ne ukazuju na povećanu stopu malformacija kod  novorođenčeta.</w:t>
      </w:r>
    </w:p>
    <w:p w14:paraId="47060EA6" w14:textId="77777777" w:rsidR="0083687B" w:rsidRPr="0083687B" w:rsidRDefault="0083687B">
      <w:pPr>
        <w:widowControl w:val="0"/>
        <w:autoSpaceDE w:val="0"/>
        <w:autoSpaceDN w:val="0"/>
        <w:adjustRightInd w:val="0"/>
        <w:jc w:val="both"/>
        <w:rPr>
          <w:sz w:val="22"/>
          <w:szCs w:val="22"/>
        </w:rPr>
      </w:pPr>
    </w:p>
    <w:p w14:paraId="4E6CC833" w14:textId="33A9F840" w:rsidR="0083687B" w:rsidRPr="0083687B" w:rsidRDefault="0083687B">
      <w:pPr>
        <w:widowControl w:val="0"/>
        <w:autoSpaceDE w:val="0"/>
        <w:autoSpaceDN w:val="0"/>
        <w:adjustRightInd w:val="0"/>
        <w:jc w:val="both"/>
        <w:rPr>
          <w:sz w:val="22"/>
          <w:szCs w:val="22"/>
        </w:rPr>
      </w:pPr>
      <w:r w:rsidRPr="0083687B">
        <w:rPr>
          <w:sz w:val="22"/>
          <w:szCs w:val="22"/>
        </w:rPr>
        <w:t xml:space="preserve">U prospektivan kohortni registar uključeno je 257 žena </w:t>
      </w:r>
      <w:proofErr w:type="gramStart"/>
      <w:r w:rsidRPr="0083687B">
        <w:rPr>
          <w:sz w:val="22"/>
          <w:szCs w:val="22"/>
        </w:rPr>
        <w:t>sa</w:t>
      </w:r>
      <w:proofErr w:type="gramEnd"/>
      <w:r w:rsidRPr="0083687B">
        <w:rPr>
          <w:sz w:val="22"/>
          <w:szCs w:val="22"/>
        </w:rPr>
        <w:t xml:space="preserve"> reumatoidnim artritisom ili Crohn-ovom bolešću koje su se liječile adalimumabom najmanje tokom prvog tromjesečja, te 120 žena sa reumatoidnim artritisom ili Crohn-ovom bolešću koje se nisu liječile adalimumabom. Primarna mjera ishoda bila je prevalencija značajnih velikih (major) urođenih mana pri porođaju. Stopa trudnoća koje su završile najmanje jednim živorođenim djetetom sa velikom urođenom manom iznosila je 6/69 (8,7%) među ženama liječenima adalimumabom koje su imale reumatoidni artritis i 5/74 (6,8%) među ženama sa reumatoidnim artritisom koje nisu primale terapiju (neprilagođen OR: 1,31; 95% CI: 0,38 - 4,52), te 16/152 (10,5%) među ženama liječenima adalimumabom koje su imale Crohn-ovu bolest i 3/32 (9,4%) među ženama sa Crohn-ovom bolešću koje nisu primale terapiju (neprilagođen OR: 1,14; 95% CI: 0,31 - 4,16). Prilagođen OR (kod kojega su uzete u obzir početne razlike) iznosio je 1</w:t>
      </w:r>
      <w:proofErr w:type="gramStart"/>
      <w:r w:rsidRPr="0083687B">
        <w:rPr>
          <w:sz w:val="22"/>
          <w:szCs w:val="22"/>
        </w:rPr>
        <w:t>,10</w:t>
      </w:r>
      <w:proofErr w:type="gramEnd"/>
      <w:r w:rsidRPr="0083687B">
        <w:rPr>
          <w:sz w:val="22"/>
          <w:szCs w:val="22"/>
        </w:rPr>
        <w:t xml:space="preserve"> (95% CI: 0,45 - 2,73) za reumatoidni artritis i Crohn-ovu bolest zajedno. Nije bilo velikih razlika između žena liječenih adalimumabom i onih koje ga nisu primale </w:t>
      </w:r>
      <w:proofErr w:type="gramStart"/>
      <w:r w:rsidRPr="0083687B">
        <w:rPr>
          <w:sz w:val="22"/>
          <w:szCs w:val="22"/>
        </w:rPr>
        <w:t>sa</w:t>
      </w:r>
      <w:proofErr w:type="gramEnd"/>
      <w:r w:rsidRPr="0083687B">
        <w:rPr>
          <w:sz w:val="22"/>
          <w:szCs w:val="22"/>
        </w:rPr>
        <w:t xml:space="preserve"> obzirom na sekundarne mjere ishoda – spontane pobačaje, manje (minor) urođene mane, prijevremeni porođaj, porođajnu veličinu i ozbiljne ili oportunističke infekcije, a nije prijavljeno nijedno mrtvorođenje ni maligna bolest. Na interpretaciju podataka mogu uticati metodološka ograničenja ispitivanja, uključujući malu veličinu uzorka i dizajn koji nije uključivao randomizaciju.</w:t>
      </w:r>
    </w:p>
    <w:p w14:paraId="3E493AD2" w14:textId="77777777" w:rsidR="0083687B" w:rsidRPr="0083687B" w:rsidRDefault="0083687B">
      <w:pPr>
        <w:widowControl w:val="0"/>
        <w:autoSpaceDE w:val="0"/>
        <w:autoSpaceDN w:val="0"/>
        <w:adjustRightInd w:val="0"/>
        <w:jc w:val="both"/>
        <w:rPr>
          <w:sz w:val="22"/>
          <w:szCs w:val="22"/>
        </w:rPr>
      </w:pPr>
    </w:p>
    <w:p w14:paraId="1A627284" w14:textId="1AA5802D" w:rsidR="0083687B" w:rsidRPr="0083687B" w:rsidRDefault="0083687B">
      <w:pPr>
        <w:widowControl w:val="0"/>
        <w:autoSpaceDE w:val="0"/>
        <w:autoSpaceDN w:val="0"/>
        <w:adjustRightInd w:val="0"/>
        <w:jc w:val="both"/>
        <w:rPr>
          <w:sz w:val="22"/>
          <w:szCs w:val="22"/>
        </w:rPr>
      </w:pPr>
      <w:r w:rsidRPr="0083687B">
        <w:rPr>
          <w:sz w:val="22"/>
          <w:szCs w:val="22"/>
        </w:rPr>
        <w:lastRenderedPageBreak/>
        <w:t xml:space="preserve">U ispitivanju razvojne toksičnost kod majmuna, nisu zabilježeni znaci toksičnosti za majku, plod </w:t>
      </w:r>
      <w:proofErr w:type="gramStart"/>
      <w:r w:rsidRPr="0083687B">
        <w:rPr>
          <w:sz w:val="22"/>
          <w:szCs w:val="22"/>
        </w:rPr>
        <w:t>ili</w:t>
      </w:r>
      <w:proofErr w:type="gramEnd"/>
      <w:r w:rsidRPr="0083687B">
        <w:rPr>
          <w:sz w:val="22"/>
          <w:szCs w:val="22"/>
        </w:rPr>
        <w:t xml:space="preserve"> teratogenost. Nema dostupnih pretkliničkih podataka o postnatalnoj toksičnosti adalimumaba (vidjeti </w:t>
      </w:r>
      <w:r w:rsidR="0038093A">
        <w:rPr>
          <w:sz w:val="22"/>
          <w:szCs w:val="22"/>
        </w:rPr>
        <w:t>dio</w:t>
      </w:r>
      <w:r w:rsidRPr="0083687B">
        <w:rPr>
          <w:sz w:val="22"/>
          <w:szCs w:val="22"/>
        </w:rPr>
        <w:t xml:space="preserve"> 5.3).</w:t>
      </w:r>
    </w:p>
    <w:p w14:paraId="4DCFFED4" w14:textId="77777777" w:rsidR="0083687B" w:rsidRPr="0083687B" w:rsidRDefault="0083687B">
      <w:pPr>
        <w:widowControl w:val="0"/>
        <w:autoSpaceDE w:val="0"/>
        <w:autoSpaceDN w:val="0"/>
        <w:adjustRightInd w:val="0"/>
        <w:jc w:val="both"/>
        <w:rPr>
          <w:sz w:val="22"/>
          <w:szCs w:val="22"/>
        </w:rPr>
      </w:pPr>
    </w:p>
    <w:p w14:paraId="3F6FF2CB"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Zbog inhibicije faktora tumorske nekroze α (TNFα) adalimumab primijenjen u trudnoći bi mogao uticati </w:t>
      </w:r>
      <w:proofErr w:type="gramStart"/>
      <w:r w:rsidRPr="0083687B">
        <w:rPr>
          <w:sz w:val="22"/>
          <w:szCs w:val="22"/>
        </w:rPr>
        <w:t>na</w:t>
      </w:r>
      <w:proofErr w:type="gramEnd"/>
      <w:r w:rsidRPr="0083687B">
        <w:rPr>
          <w:sz w:val="22"/>
          <w:szCs w:val="22"/>
        </w:rPr>
        <w:t xml:space="preserve"> normalne imunološke odgovore novorođenčeta. Adalimumab tokom tudnoće treba da se koristi samo ukoliko je zaista neophodan.</w:t>
      </w:r>
    </w:p>
    <w:p w14:paraId="44C21F2D" w14:textId="77777777" w:rsidR="0083687B" w:rsidRPr="0083687B" w:rsidRDefault="0083687B">
      <w:pPr>
        <w:widowControl w:val="0"/>
        <w:autoSpaceDE w:val="0"/>
        <w:autoSpaceDN w:val="0"/>
        <w:adjustRightInd w:val="0"/>
        <w:jc w:val="both"/>
        <w:rPr>
          <w:sz w:val="22"/>
          <w:szCs w:val="22"/>
          <w:lang w:eastAsia="en-GB"/>
        </w:rPr>
      </w:pPr>
      <w:r w:rsidRPr="0083687B">
        <w:rPr>
          <w:bCs/>
          <w:sz w:val="22"/>
          <w:szCs w:val="22"/>
        </w:rPr>
        <w:t>A</w:t>
      </w:r>
      <w:r w:rsidRPr="0083687B">
        <w:rPr>
          <w:sz w:val="22"/>
          <w:szCs w:val="22"/>
          <w:lang w:eastAsia="en-GB"/>
        </w:rPr>
        <w:t xml:space="preserve">dalimumab može preći iz posteljice u serum novorođenčadi čije su majke tokom trudnoće liječene adalimumabom. Stoga, ta djeca mogu imati povećan rizik </w:t>
      </w:r>
      <w:proofErr w:type="gramStart"/>
      <w:r w:rsidRPr="0083687B">
        <w:rPr>
          <w:sz w:val="22"/>
          <w:szCs w:val="22"/>
          <w:lang w:eastAsia="en-GB"/>
        </w:rPr>
        <w:t>od</w:t>
      </w:r>
      <w:proofErr w:type="gramEnd"/>
      <w:r w:rsidRPr="0083687B">
        <w:rPr>
          <w:sz w:val="22"/>
          <w:szCs w:val="22"/>
          <w:lang w:eastAsia="en-GB"/>
        </w:rPr>
        <w:t xml:space="preserve"> infekcija. Djeci koja su </w:t>
      </w:r>
      <w:r w:rsidRPr="0083687B">
        <w:rPr>
          <w:i/>
          <w:sz w:val="22"/>
          <w:szCs w:val="22"/>
          <w:lang w:eastAsia="en-GB"/>
        </w:rPr>
        <w:t>in utero</w:t>
      </w:r>
      <w:r w:rsidRPr="0083687B">
        <w:rPr>
          <w:sz w:val="22"/>
          <w:szCs w:val="22"/>
          <w:lang w:eastAsia="en-GB"/>
        </w:rPr>
        <w:t xml:space="preserve"> bila izložena adalimumabu ne preporučuje se davanje živih vakcina (</w:t>
      </w:r>
      <w:proofErr w:type="gramStart"/>
      <w:r w:rsidRPr="0083687B">
        <w:rPr>
          <w:sz w:val="22"/>
          <w:szCs w:val="22"/>
          <w:lang w:eastAsia="en-GB"/>
        </w:rPr>
        <w:t>npr</w:t>
      </w:r>
      <w:proofErr w:type="gramEnd"/>
      <w:r w:rsidRPr="0083687B">
        <w:rPr>
          <w:sz w:val="22"/>
          <w:szCs w:val="22"/>
          <w:lang w:eastAsia="en-GB"/>
        </w:rPr>
        <w:t xml:space="preserve">. BCG vakcina) najmanje 5 mjeseci </w:t>
      </w:r>
      <w:proofErr w:type="gramStart"/>
      <w:r w:rsidRPr="0083687B">
        <w:rPr>
          <w:sz w:val="22"/>
          <w:szCs w:val="22"/>
          <w:lang w:eastAsia="en-GB"/>
        </w:rPr>
        <w:t>od</w:t>
      </w:r>
      <w:proofErr w:type="gramEnd"/>
      <w:r w:rsidRPr="0083687B">
        <w:rPr>
          <w:sz w:val="22"/>
          <w:szCs w:val="22"/>
          <w:lang w:eastAsia="en-GB"/>
        </w:rPr>
        <w:t xml:space="preserve"> kada je majka u trudnoći primila zadnju injekciju adalimumaba.</w:t>
      </w:r>
    </w:p>
    <w:p w14:paraId="6632DB7C" w14:textId="77777777" w:rsidR="0083687B" w:rsidRPr="0083687B" w:rsidRDefault="0083687B">
      <w:pPr>
        <w:widowControl w:val="0"/>
        <w:autoSpaceDE w:val="0"/>
        <w:autoSpaceDN w:val="0"/>
        <w:adjustRightInd w:val="0"/>
        <w:jc w:val="both"/>
        <w:rPr>
          <w:sz w:val="22"/>
          <w:szCs w:val="22"/>
          <w:lang w:eastAsia="en-GB"/>
        </w:rPr>
      </w:pPr>
    </w:p>
    <w:p w14:paraId="481B1198" w14:textId="77777777" w:rsidR="0083687B" w:rsidRPr="0083687B" w:rsidRDefault="0083687B">
      <w:pPr>
        <w:widowControl w:val="0"/>
        <w:autoSpaceDE w:val="0"/>
        <w:autoSpaceDN w:val="0"/>
        <w:adjustRightInd w:val="0"/>
        <w:jc w:val="both"/>
        <w:rPr>
          <w:sz w:val="22"/>
          <w:szCs w:val="22"/>
          <w:u w:val="single"/>
          <w:lang w:eastAsia="en-GB"/>
        </w:rPr>
      </w:pPr>
      <w:r w:rsidRPr="0083687B">
        <w:rPr>
          <w:sz w:val="22"/>
          <w:szCs w:val="22"/>
          <w:u w:val="single"/>
          <w:lang w:eastAsia="en-GB"/>
        </w:rPr>
        <w:t>Dojenje</w:t>
      </w:r>
    </w:p>
    <w:p w14:paraId="517EBD20" w14:textId="77777777" w:rsidR="0083687B" w:rsidRPr="0083687B" w:rsidRDefault="0083687B">
      <w:pPr>
        <w:widowControl w:val="0"/>
        <w:autoSpaceDE w:val="0"/>
        <w:autoSpaceDN w:val="0"/>
        <w:adjustRightInd w:val="0"/>
        <w:jc w:val="both"/>
        <w:rPr>
          <w:sz w:val="22"/>
          <w:szCs w:val="22"/>
          <w:u w:val="single"/>
          <w:lang w:eastAsia="en-GB"/>
        </w:rPr>
      </w:pPr>
    </w:p>
    <w:p w14:paraId="062A445A"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 Ograničeni podaci iz objavljene literature ukazuju na to da se adalimumab izlučuje u majčino mlijeko u vrlo maloj koncentraciji te da koncentracije adalimumaba u majčinom mlijeku iznose 0</w:t>
      </w:r>
      <w:proofErr w:type="gramStart"/>
      <w:r w:rsidRPr="0083687B">
        <w:rPr>
          <w:sz w:val="22"/>
          <w:szCs w:val="22"/>
        </w:rPr>
        <w:t>,1</w:t>
      </w:r>
      <w:proofErr w:type="gramEnd"/>
      <w:r w:rsidRPr="0083687B">
        <w:rPr>
          <w:sz w:val="22"/>
          <w:szCs w:val="22"/>
        </w:rPr>
        <w:t xml:space="preserve">% do 1% nivoa u serumu majke. Kada se primjenjuju peroralno, imunoglobulin G proteini prolaze proteolizu u crijevima </w:t>
      </w:r>
      <w:proofErr w:type="gramStart"/>
      <w:r w:rsidRPr="0083687B">
        <w:rPr>
          <w:sz w:val="22"/>
          <w:szCs w:val="22"/>
        </w:rPr>
        <w:t>te</w:t>
      </w:r>
      <w:proofErr w:type="gramEnd"/>
      <w:r w:rsidRPr="0083687B">
        <w:rPr>
          <w:sz w:val="22"/>
          <w:szCs w:val="22"/>
        </w:rPr>
        <w:t xml:space="preserve"> imaju malu bioraspoloživost. Ne očekuje se djelovanje tokom dojenja </w:t>
      </w:r>
      <w:proofErr w:type="gramStart"/>
      <w:r w:rsidRPr="0083687B">
        <w:rPr>
          <w:sz w:val="22"/>
          <w:szCs w:val="22"/>
        </w:rPr>
        <w:t>na</w:t>
      </w:r>
      <w:proofErr w:type="gramEnd"/>
      <w:r w:rsidRPr="0083687B">
        <w:rPr>
          <w:sz w:val="22"/>
          <w:szCs w:val="22"/>
        </w:rPr>
        <w:t xml:space="preserve"> novorođenčad/odojčad, tako da se lijek Humira može primjenjivati tokom dojenja.</w:t>
      </w:r>
    </w:p>
    <w:p w14:paraId="1E8CEE5D" w14:textId="77777777" w:rsidR="0083687B" w:rsidRPr="0083687B" w:rsidRDefault="0083687B">
      <w:pPr>
        <w:widowControl w:val="0"/>
        <w:autoSpaceDE w:val="0"/>
        <w:autoSpaceDN w:val="0"/>
        <w:adjustRightInd w:val="0"/>
        <w:jc w:val="both"/>
        <w:rPr>
          <w:sz w:val="22"/>
          <w:szCs w:val="22"/>
        </w:rPr>
      </w:pPr>
    </w:p>
    <w:p w14:paraId="1FA12C12"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Plodnost</w:t>
      </w:r>
    </w:p>
    <w:p w14:paraId="0524708E" w14:textId="77777777" w:rsidR="0083687B" w:rsidRPr="0083687B" w:rsidRDefault="0083687B">
      <w:pPr>
        <w:widowControl w:val="0"/>
        <w:autoSpaceDE w:val="0"/>
        <w:autoSpaceDN w:val="0"/>
        <w:adjustRightInd w:val="0"/>
        <w:jc w:val="both"/>
        <w:rPr>
          <w:sz w:val="22"/>
          <w:szCs w:val="22"/>
          <w:u w:val="single"/>
        </w:rPr>
      </w:pPr>
    </w:p>
    <w:p w14:paraId="61FEAC09"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Pretklinički podaci o uticaju adalimumaba </w:t>
      </w:r>
      <w:proofErr w:type="gramStart"/>
      <w:r w:rsidRPr="0083687B">
        <w:rPr>
          <w:sz w:val="22"/>
          <w:szCs w:val="22"/>
        </w:rPr>
        <w:t>na</w:t>
      </w:r>
      <w:proofErr w:type="gramEnd"/>
      <w:r w:rsidRPr="0083687B">
        <w:rPr>
          <w:sz w:val="22"/>
          <w:szCs w:val="22"/>
        </w:rPr>
        <w:t xml:space="preserve"> plodnost nisu dostupni.</w:t>
      </w:r>
    </w:p>
    <w:p w14:paraId="021AB4CF" w14:textId="77777777" w:rsidR="0083687B" w:rsidRPr="0083687B" w:rsidRDefault="0083687B">
      <w:pPr>
        <w:widowControl w:val="0"/>
        <w:autoSpaceDE w:val="0"/>
        <w:autoSpaceDN w:val="0"/>
        <w:adjustRightInd w:val="0"/>
        <w:jc w:val="both"/>
        <w:rPr>
          <w:sz w:val="22"/>
          <w:szCs w:val="22"/>
        </w:rPr>
      </w:pPr>
    </w:p>
    <w:p w14:paraId="55970D04" w14:textId="77777777" w:rsidR="0083687B" w:rsidRPr="0083687B" w:rsidRDefault="0083687B">
      <w:pPr>
        <w:tabs>
          <w:tab w:val="left" w:pos="540"/>
          <w:tab w:val="left" w:pos="569"/>
        </w:tabs>
        <w:ind w:left="540" w:hanging="540"/>
        <w:jc w:val="both"/>
        <w:rPr>
          <w:b/>
          <w:bCs/>
          <w:sz w:val="22"/>
          <w:szCs w:val="22"/>
          <w:lang w:val="sr-Latn-ME"/>
        </w:rPr>
      </w:pPr>
      <w:r w:rsidRPr="0083687B">
        <w:rPr>
          <w:b/>
          <w:bCs/>
          <w:sz w:val="22"/>
          <w:szCs w:val="22"/>
          <w:lang w:val="sr-Latn-ME"/>
        </w:rPr>
        <w:t xml:space="preserve">4.7. </w:t>
      </w:r>
      <w:r w:rsidRPr="0083687B">
        <w:rPr>
          <w:b/>
          <w:bCs/>
          <w:sz w:val="22"/>
          <w:szCs w:val="22"/>
          <w:lang w:val="sr-Latn-ME"/>
        </w:rPr>
        <w:tab/>
        <w:t>Uticaj na sposobnost upravljanja vozilima i rukovanje mašinama</w:t>
      </w:r>
    </w:p>
    <w:p w14:paraId="1EDB258E" w14:textId="77777777" w:rsidR="0083687B" w:rsidRPr="0083687B" w:rsidRDefault="0083687B">
      <w:pPr>
        <w:tabs>
          <w:tab w:val="left" w:pos="540"/>
          <w:tab w:val="left" w:pos="569"/>
        </w:tabs>
        <w:jc w:val="both"/>
        <w:rPr>
          <w:b/>
          <w:bCs/>
          <w:sz w:val="22"/>
          <w:szCs w:val="22"/>
          <w:lang w:val="sr-Latn-ME"/>
        </w:rPr>
      </w:pPr>
    </w:p>
    <w:p w14:paraId="583C6D8F" w14:textId="5A32F86A" w:rsidR="0083687B" w:rsidRPr="0083687B" w:rsidRDefault="0083687B">
      <w:pPr>
        <w:widowControl w:val="0"/>
        <w:autoSpaceDE w:val="0"/>
        <w:autoSpaceDN w:val="0"/>
        <w:adjustRightInd w:val="0"/>
        <w:jc w:val="both"/>
        <w:rPr>
          <w:sz w:val="22"/>
          <w:szCs w:val="22"/>
        </w:rPr>
      </w:pPr>
      <w:r w:rsidRPr="0083687B">
        <w:rPr>
          <w:sz w:val="22"/>
          <w:szCs w:val="22"/>
        </w:rPr>
        <w:t xml:space="preserve">Lijek Humira može imati </w:t>
      </w:r>
      <w:proofErr w:type="gramStart"/>
      <w:r w:rsidRPr="0083687B">
        <w:rPr>
          <w:sz w:val="22"/>
          <w:szCs w:val="22"/>
        </w:rPr>
        <w:t>mali</w:t>
      </w:r>
      <w:proofErr w:type="gramEnd"/>
      <w:r w:rsidRPr="0083687B">
        <w:rPr>
          <w:sz w:val="22"/>
          <w:szCs w:val="22"/>
        </w:rPr>
        <w:t xml:space="preserve"> uticaj na sposobnost upravljanja vozilima i rada na mašinama. Vrtoglavica i poremećaji vida se mogu pojaviti nakon primijene lijeka Humira (vidjeti </w:t>
      </w:r>
      <w:r w:rsidR="00D33046">
        <w:rPr>
          <w:sz w:val="22"/>
          <w:szCs w:val="22"/>
        </w:rPr>
        <w:t>dio</w:t>
      </w:r>
      <w:r w:rsidR="00D33046" w:rsidRPr="0083687B">
        <w:rPr>
          <w:sz w:val="22"/>
          <w:szCs w:val="22"/>
        </w:rPr>
        <w:t xml:space="preserve"> </w:t>
      </w:r>
      <w:r w:rsidRPr="0083687B">
        <w:rPr>
          <w:sz w:val="22"/>
          <w:szCs w:val="22"/>
        </w:rPr>
        <w:t>4.8).</w:t>
      </w:r>
    </w:p>
    <w:p w14:paraId="2143F0E6" w14:textId="77777777" w:rsidR="0083687B" w:rsidRPr="0083687B" w:rsidRDefault="0083687B">
      <w:pPr>
        <w:tabs>
          <w:tab w:val="left" w:pos="540"/>
          <w:tab w:val="left" w:pos="569"/>
        </w:tabs>
        <w:jc w:val="both"/>
        <w:rPr>
          <w:b/>
          <w:bCs/>
          <w:sz w:val="22"/>
          <w:szCs w:val="22"/>
          <w:lang w:val="sr-Latn-ME"/>
        </w:rPr>
      </w:pPr>
    </w:p>
    <w:p w14:paraId="467D7B40"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4.8. </w:t>
      </w:r>
      <w:r w:rsidRPr="0083687B">
        <w:rPr>
          <w:b/>
          <w:bCs/>
          <w:sz w:val="22"/>
          <w:szCs w:val="22"/>
          <w:lang w:val="sr-Latn-ME"/>
        </w:rPr>
        <w:tab/>
        <w:t>Neželjena dejstva</w:t>
      </w:r>
    </w:p>
    <w:p w14:paraId="56EE1BF8" w14:textId="77777777" w:rsidR="0083687B" w:rsidRPr="0083687B" w:rsidRDefault="0083687B">
      <w:pPr>
        <w:tabs>
          <w:tab w:val="left" w:pos="540"/>
          <w:tab w:val="left" w:pos="569"/>
        </w:tabs>
        <w:jc w:val="both"/>
        <w:rPr>
          <w:b/>
          <w:bCs/>
          <w:sz w:val="22"/>
          <w:szCs w:val="22"/>
          <w:lang w:val="sr-Latn-ME"/>
        </w:rPr>
      </w:pPr>
    </w:p>
    <w:p w14:paraId="07B3CB25" w14:textId="77777777" w:rsidR="0083687B" w:rsidRPr="0083687B" w:rsidRDefault="0083687B">
      <w:pPr>
        <w:tabs>
          <w:tab w:val="left" w:pos="540"/>
          <w:tab w:val="left" w:pos="569"/>
        </w:tabs>
        <w:jc w:val="both"/>
        <w:rPr>
          <w:bCs/>
          <w:sz w:val="22"/>
          <w:szCs w:val="22"/>
          <w:u w:val="single"/>
          <w:lang w:val="sr-Latn-ME"/>
        </w:rPr>
      </w:pPr>
      <w:r w:rsidRPr="0083687B">
        <w:rPr>
          <w:bCs/>
          <w:sz w:val="22"/>
          <w:szCs w:val="22"/>
          <w:u w:val="single"/>
          <w:lang w:val="sr-Latn-ME"/>
        </w:rPr>
        <w:t>Sažetak bezbjednosnog profila</w:t>
      </w:r>
    </w:p>
    <w:p w14:paraId="1784F9F3" w14:textId="77777777" w:rsidR="0083687B" w:rsidRPr="0083687B" w:rsidRDefault="0083687B">
      <w:pPr>
        <w:tabs>
          <w:tab w:val="left" w:pos="540"/>
          <w:tab w:val="left" w:pos="569"/>
        </w:tabs>
        <w:jc w:val="both"/>
        <w:rPr>
          <w:b/>
          <w:bCs/>
          <w:sz w:val="22"/>
          <w:szCs w:val="22"/>
          <w:lang w:val="sr-Latn-ME"/>
        </w:rPr>
      </w:pPr>
    </w:p>
    <w:p w14:paraId="637598E5" w14:textId="09F43301" w:rsidR="0083687B" w:rsidRPr="0083687B" w:rsidRDefault="0083687B">
      <w:pPr>
        <w:widowControl w:val="0"/>
        <w:autoSpaceDE w:val="0"/>
        <w:autoSpaceDN w:val="0"/>
        <w:adjustRightInd w:val="0"/>
        <w:jc w:val="both"/>
        <w:rPr>
          <w:sz w:val="22"/>
          <w:szCs w:val="22"/>
        </w:rPr>
      </w:pPr>
      <w:r w:rsidRPr="0083687B">
        <w:rPr>
          <w:sz w:val="22"/>
          <w:szCs w:val="22"/>
        </w:rPr>
        <w:t>Lijek Humira je ispitivan u pivotalnim kontrolisanim i otvorenim ispitivanjima kod 9</w:t>
      </w:r>
      <w:r w:rsidR="00750173">
        <w:rPr>
          <w:sz w:val="22"/>
          <w:szCs w:val="22"/>
        </w:rPr>
        <w:t xml:space="preserve"> </w:t>
      </w:r>
      <w:r w:rsidRPr="0083687B">
        <w:rPr>
          <w:sz w:val="22"/>
          <w:szCs w:val="22"/>
        </w:rPr>
        <w:t xml:space="preserve">506 pacijenata kroz period do 60 mjeseci </w:t>
      </w:r>
      <w:proofErr w:type="gramStart"/>
      <w:r w:rsidRPr="0083687B">
        <w:rPr>
          <w:sz w:val="22"/>
          <w:szCs w:val="22"/>
        </w:rPr>
        <w:t>ili</w:t>
      </w:r>
      <w:proofErr w:type="gramEnd"/>
      <w:r w:rsidRPr="0083687B">
        <w:rPr>
          <w:sz w:val="22"/>
          <w:szCs w:val="22"/>
        </w:rPr>
        <w:t xml:space="preserve"> više. Ispitivanjima su obuhvaćeni pacijenti sa nedavnom pojavom reumatoidnog artritisa i oni sa dugotrajnom bolešću, te pacijenti sa juvenilnim idiopatskim artritisom (poliartikularnim juvenilnim idiopatskim artritisom i artritisom povezanim sa entezitisom), kao i ankilozirajućim spondilitisom, aksijalnim spondiloartritisom bez radiološkog nalaza AS-a, psorijatičnim artritisom, Crohnovom bolešću, ulceroznim kolitisom, psorijazom, gnojnim hidradenitisom i uveitisom. Pivotalna kontrolisana ispitivanja kod 6089 pacijenata liječenih lijekom Humira i 3801 pacijenta liječen</w:t>
      </w:r>
      <w:r w:rsidR="00750173">
        <w:rPr>
          <w:sz w:val="22"/>
          <w:szCs w:val="22"/>
        </w:rPr>
        <w:t>og</w:t>
      </w:r>
      <w:r w:rsidRPr="0083687B">
        <w:rPr>
          <w:sz w:val="22"/>
          <w:szCs w:val="22"/>
        </w:rPr>
        <w:t xml:space="preserve"> placebom </w:t>
      </w:r>
      <w:proofErr w:type="gramStart"/>
      <w:r w:rsidRPr="0083687B">
        <w:rPr>
          <w:sz w:val="22"/>
          <w:szCs w:val="22"/>
        </w:rPr>
        <w:t>ili</w:t>
      </w:r>
      <w:proofErr w:type="gramEnd"/>
      <w:r w:rsidRPr="0083687B">
        <w:rPr>
          <w:sz w:val="22"/>
          <w:szCs w:val="22"/>
        </w:rPr>
        <w:t xml:space="preserve"> nekim aktivnim poredbenim lijekom u kontrolisanom periodu.</w:t>
      </w:r>
    </w:p>
    <w:p w14:paraId="31777D2E" w14:textId="77777777" w:rsidR="0083687B" w:rsidRPr="0083687B" w:rsidRDefault="0083687B">
      <w:pPr>
        <w:widowControl w:val="0"/>
        <w:autoSpaceDE w:val="0"/>
        <w:autoSpaceDN w:val="0"/>
        <w:adjustRightInd w:val="0"/>
        <w:jc w:val="both"/>
        <w:rPr>
          <w:sz w:val="22"/>
          <w:szCs w:val="22"/>
        </w:rPr>
      </w:pPr>
    </w:p>
    <w:p w14:paraId="500A2E71" w14:textId="26A34144" w:rsidR="0083687B" w:rsidRPr="0083687B" w:rsidRDefault="0083687B">
      <w:pPr>
        <w:widowControl w:val="0"/>
        <w:autoSpaceDE w:val="0"/>
        <w:autoSpaceDN w:val="0"/>
        <w:adjustRightInd w:val="0"/>
        <w:jc w:val="both"/>
        <w:rPr>
          <w:sz w:val="22"/>
          <w:szCs w:val="22"/>
        </w:rPr>
      </w:pPr>
      <w:r w:rsidRPr="0083687B">
        <w:rPr>
          <w:sz w:val="22"/>
          <w:szCs w:val="22"/>
        </w:rPr>
        <w:t>U dvostruko slijepim, kontrolisanim djelovima pivotalnih ispitivanja, liječenje je zbog neželjenih dejst</w:t>
      </w:r>
      <w:r w:rsidR="00750173">
        <w:rPr>
          <w:sz w:val="22"/>
          <w:szCs w:val="22"/>
        </w:rPr>
        <w:t>a</w:t>
      </w:r>
      <w:r w:rsidRPr="0083687B">
        <w:rPr>
          <w:sz w:val="22"/>
          <w:szCs w:val="22"/>
        </w:rPr>
        <w:t>va prekinuto kod 5.9% pacijenata koji su dobijali lijek Humira, odnosno 5.4% pacijenata iz kontrolne grupe.</w:t>
      </w:r>
    </w:p>
    <w:p w14:paraId="31A491FF" w14:textId="77777777" w:rsidR="0083687B" w:rsidRPr="0083687B" w:rsidRDefault="0083687B">
      <w:pPr>
        <w:autoSpaceDE w:val="0"/>
        <w:autoSpaceDN w:val="0"/>
        <w:adjustRightInd w:val="0"/>
        <w:jc w:val="both"/>
        <w:rPr>
          <w:sz w:val="22"/>
          <w:szCs w:val="22"/>
          <w:u w:val="single"/>
          <w:lang w:val="sr-Latn-ME"/>
        </w:rPr>
      </w:pPr>
    </w:p>
    <w:p w14:paraId="1181C186"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 xml:space="preserve">Najčešće prijavljena neželjena dejstva su infekcije (kao što su nazofaringitis, infekcija gornjeg respiratornog trakta i sinusitis), reakcije na mjestu primijene (eritem, svrab, krvarenje, bol ili oticanje), glavobolja i mišićno-skeletna bol. </w:t>
      </w:r>
    </w:p>
    <w:p w14:paraId="39E9FC02" w14:textId="77777777" w:rsidR="0083687B" w:rsidRPr="0083687B" w:rsidRDefault="0083687B">
      <w:pPr>
        <w:autoSpaceDE w:val="0"/>
        <w:autoSpaceDN w:val="0"/>
        <w:adjustRightInd w:val="0"/>
        <w:jc w:val="both"/>
        <w:rPr>
          <w:sz w:val="22"/>
          <w:szCs w:val="22"/>
          <w:lang w:val="sr-Latn-ME"/>
        </w:rPr>
      </w:pPr>
    </w:p>
    <w:p w14:paraId="6075B9C2" w14:textId="785573B8" w:rsidR="0083687B" w:rsidRPr="0083687B" w:rsidRDefault="0083687B">
      <w:pPr>
        <w:autoSpaceDE w:val="0"/>
        <w:autoSpaceDN w:val="0"/>
        <w:adjustRightInd w:val="0"/>
        <w:jc w:val="both"/>
        <w:rPr>
          <w:sz w:val="22"/>
          <w:szCs w:val="22"/>
          <w:lang w:val="sr-Latn-ME"/>
        </w:rPr>
      </w:pPr>
      <w:r w:rsidRPr="0083687B">
        <w:rPr>
          <w:sz w:val="22"/>
          <w:szCs w:val="22"/>
          <w:lang w:val="sr-Latn-ME"/>
        </w:rPr>
        <w:t>Za lijek Humira su prijavljena ozbiljna neželjena dejstva. TNF-antagonisti, kao lijek Humira, djeluju na imun</w:t>
      </w:r>
      <w:r w:rsidR="00750173">
        <w:rPr>
          <w:sz w:val="22"/>
          <w:szCs w:val="22"/>
          <w:lang w:val="sr-Latn-ME"/>
        </w:rPr>
        <w:t>i</w:t>
      </w:r>
      <w:r w:rsidRPr="0083687B">
        <w:rPr>
          <w:sz w:val="22"/>
          <w:szCs w:val="22"/>
          <w:lang w:val="sr-Latn-ME"/>
        </w:rPr>
        <w:t xml:space="preserve"> sistem te njihova primjena može uticati na odbranu tijela od infekcija i karcinoma.  </w:t>
      </w:r>
    </w:p>
    <w:p w14:paraId="1F6429EF"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Prilikom upotrebe lijeka Humira su takođe prijavljene infekcije sa smrtnim ishodom i po život opasne infekcije (uključujući sepsu, oportunističke infekcije i tuberkulozu), reaktivacija HBV-a i razne maligne promjene (uključujući leukemiju, limfom i hepatosplenični T-ćelijski limfom).</w:t>
      </w:r>
    </w:p>
    <w:p w14:paraId="60A98339" w14:textId="77777777" w:rsidR="0083687B" w:rsidRPr="0083687B" w:rsidRDefault="0083687B">
      <w:pPr>
        <w:autoSpaceDE w:val="0"/>
        <w:autoSpaceDN w:val="0"/>
        <w:adjustRightInd w:val="0"/>
        <w:jc w:val="both"/>
        <w:rPr>
          <w:sz w:val="22"/>
          <w:szCs w:val="22"/>
          <w:lang w:val="sr-Latn-ME"/>
        </w:rPr>
      </w:pPr>
    </w:p>
    <w:p w14:paraId="621C13E5"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Takođe su prijavljene ozbiljne hematološke, neurološke i autoimune reakcije. One uključuju rijetke </w:t>
      </w:r>
      <w:r w:rsidRPr="0083687B">
        <w:rPr>
          <w:sz w:val="22"/>
          <w:szCs w:val="22"/>
        </w:rPr>
        <w:lastRenderedPageBreak/>
        <w:t>prijave pancitopenije, aplastične anemije, centralnih i perifernih demijelinizirajućih događaja i prijave lupusa, stanja povezanih s lupusom i Stevens-Johnsonov sindrom.</w:t>
      </w:r>
    </w:p>
    <w:p w14:paraId="6A343180" w14:textId="77777777" w:rsidR="0083687B" w:rsidRPr="0083687B" w:rsidRDefault="0083687B">
      <w:pPr>
        <w:widowControl w:val="0"/>
        <w:autoSpaceDE w:val="0"/>
        <w:autoSpaceDN w:val="0"/>
        <w:adjustRightInd w:val="0"/>
        <w:jc w:val="both"/>
        <w:rPr>
          <w:sz w:val="22"/>
          <w:szCs w:val="22"/>
        </w:rPr>
      </w:pPr>
    </w:p>
    <w:p w14:paraId="6F5BD842"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Pedijatrijska populacija</w:t>
      </w:r>
    </w:p>
    <w:p w14:paraId="3184573C" w14:textId="77777777" w:rsidR="0083687B" w:rsidRPr="0083687B" w:rsidRDefault="0083687B">
      <w:pPr>
        <w:widowControl w:val="0"/>
        <w:autoSpaceDE w:val="0"/>
        <w:autoSpaceDN w:val="0"/>
        <w:adjustRightInd w:val="0"/>
        <w:jc w:val="both"/>
        <w:rPr>
          <w:i/>
          <w:sz w:val="22"/>
          <w:szCs w:val="22"/>
          <w:u w:val="single"/>
        </w:rPr>
      </w:pPr>
    </w:p>
    <w:p w14:paraId="3D136AFE" w14:textId="77777777" w:rsidR="0083687B" w:rsidRPr="0083687B" w:rsidRDefault="0083687B">
      <w:pPr>
        <w:widowControl w:val="0"/>
        <w:autoSpaceDE w:val="0"/>
        <w:autoSpaceDN w:val="0"/>
        <w:adjustRightInd w:val="0"/>
        <w:jc w:val="both"/>
        <w:rPr>
          <w:sz w:val="22"/>
          <w:szCs w:val="22"/>
        </w:rPr>
      </w:pPr>
      <w:r w:rsidRPr="0083687B">
        <w:rPr>
          <w:sz w:val="22"/>
          <w:szCs w:val="22"/>
        </w:rPr>
        <w:t>Uopšte, neželjena dejstva kod pedijatrijskih pacijenata su prema učestalosti i tipu bili slični onima kao kod odraslih pacijenata.</w:t>
      </w:r>
    </w:p>
    <w:p w14:paraId="2CFC7614" w14:textId="77777777" w:rsidR="0083687B" w:rsidRPr="0083687B" w:rsidRDefault="0083687B">
      <w:pPr>
        <w:widowControl w:val="0"/>
        <w:autoSpaceDE w:val="0"/>
        <w:autoSpaceDN w:val="0"/>
        <w:adjustRightInd w:val="0"/>
        <w:jc w:val="both"/>
        <w:rPr>
          <w:sz w:val="22"/>
          <w:szCs w:val="22"/>
        </w:rPr>
      </w:pPr>
    </w:p>
    <w:p w14:paraId="6C4AB501"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Tabelarni pregled neželjenih dejstava</w:t>
      </w:r>
    </w:p>
    <w:p w14:paraId="090EDC1B" w14:textId="77777777" w:rsidR="0083687B" w:rsidRPr="0083687B" w:rsidRDefault="0083687B">
      <w:pPr>
        <w:widowControl w:val="0"/>
        <w:autoSpaceDE w:val="0"/>
        <w:autoSpaceDN w:val="0"/>
        <w:adjustRightInd w:val="0"/>
        <w:jc w:val="both"/>
        <w:rPr>
          <w:sz w:val="22"/>
          <w:szCs w:val="22"/>
          <w:u w:val="single"/>
        </w:rPr>
      </w:pPr>
    </w:p>
    <w:p w14:paraId="67C29C06" w14:textId="5A158D47" w:rsidR="0083687B" w:rsidRPr="0083687B" w:rsidRDefault="0083687B">
      <w:pPr>
        <w:widowControl w:val="0"/>
        <w:autoSpaceDE w:val="0"/>
        <w:autoSpaceDN w:val="0"/>
        <w:adjustRightInd w:val="0"/>
        <w:jc w:val="both"/>
        <w:rPr>
          <w:b/>
          <w:bCs/>
          <w:sz w:val="22"/>
          <w:szCs w:val="22"/>
        </w:rPr>
      </w:pPr>
      <w:r w:rsidRPr="0083687B">
        <w:rPr>
          <w:sz w:val="22"/>
          <w:szCs w:val="22"/>
        </w:rPr>
        <w:t xml:space="preserve">Sljedeći popis neželjenih dejstava zasniva se na iskustvu iz kliničkih ispitivanja i nakon stavljanja lijeka u promet, a prikazana su u Tabeli 6 koja slijedi, prema </w:t>
      </w:r>
      <w:r w:rsidR="00EB3D9A">
        <w:rPr>
          <w:sz w:val="22"/>
          <w:szCs w:val="22"/>
        </w:rPr>
        <w:t xml:space="preserve">sistemu organa </w:t>
      </w:r>
      <w:r w:rsidRPr="0083687B">
        <w:rPr>
          <w:sz w:val="22"/>
          <w:szCs w:val="22"/>
        </w:rPr>
        <w:t xml:space="preserve"> i učestalosti (veoma često (≥ 1/10),  često (≥1/100 i &lt;1/10),  povremeno (≥1/1000  i &lt;1/100),  rijetko (≥1/10 000 i &lt;1/1000), veoma rijetko (&lt;1/10 000) i nepoznato – ne može se procijeniti iz dostupnih podataka). U svakoj grupi učestalosti su neželjena destva raspoređena </w:t>
      </w:r>
      <w:proofErr w:type="gramStart"/>
      <w:r w:rsidRPr="0083687B">
        <w:rPr>
          <w:sz w:val="22"/>
          <w:szCs w:val="22"/>
        </w:rPr>
        <w:t>od</w:t>
      </w:r>
      <w:proofErr w:type="gramEnd"/>
      <w:r w:rsidRPr="0083687B">
        <w:rPr>
          <w:sz w:val="22"/>
          <w:szCs w:val="22"/>
        </w:rPr>
        <w:t xml:space="preserve"> ozbiljnijih prema manje ozbiljnim. Između raznih indikacija, naznačene su one najučestalije. Zvjezdica (*) u koloni Organski sistem označava da se detaljnije informacije mogu pronaći u </w:t>
      </w:r>
      <w:r w:rsidR="0088568A">
        <w:rPr>
          <w:sz w:val="22"/>
          <w:szCs w:val="22"/>
        </w:rPr>
        <w:t>djelovima</w:t>
      </w:r>
      <w:r w:rsidR="0088568A" w:rsidRPr="0083687B">
        <w:rPr>
          <w:sz w:val="22"/>
          <w:szCs w:val="22"/>
        </w:rPr>
        <w:t xml:space="preserve"> </w:t>
      </w:r>
      <w:r w:rsidRPr="0083687B">
        <w:rPr>
          <w:sz w:val="22"/>
          <w:szCs w:val="22"/>
        </w:rPr>
        <w:t>4.3, 4.4 i 4.8.</w:t>
      </w:r>
    </w:p>
    <w:p w14:paraId="2BE9BED3" w14:textId="77777777" w:rsidR="00174FA4" w:rsidRDefault="00174FA4" w:rsidP="00EB3350">
      <w:pPr>
        <w:widowControl w:val="0"/>
        <w:autoSpaceDE w:val="0"/>
        <w:autoSpaceDN w:val="0"/>
        <w:adjustRightInd w:val="0"/>
        <w:jc w:val="both"/>
        <w:rPr>
          <w:b/>
          <w:bCs/>
          <w:sz w:val="22"/>
          <w:szCs w:val="22"/>
        </w:rPr>
      </w:pPr>
    </w:p>
    <w:p w14:paraId="4CEA1260" w14:textId="07D9CAA5" w:rsidR="0083687B" w:rsidRPr="0083687B" w:rsidRDefault="0083687B" w:rsidP="00EB3350">
      <w:pPr>
        <w:widowControl w:val="0"/>
        <w:autoSpaceDE w:val="0"/>
        <w:autoSpaceDN w:val="0"/>
        <w:adjustRightInd w:val="0"/>
        <w:jc w:val="both"/>
        <w:rPr>
          <w:sz w:val="22"/>
          <w:szCs w:val="22"/>
        </w:rPr>
      </w:pPr>
      <w:r w:rsidRPr="0083687B">
        <w:rPr>
          <w:b/>
          <w:bCs/>
          <w:sz w:val="22"/>
          <w:szCs w:val="22"/>
        </w:rPr>
        <w:t>Tabela 6</w:t>
      </w:r>
      <w:r w:rsidR="00174FA4">
        <w:rPr>
          <w:b/>
          <w:bCs/>
          <w:sz w:val="22"/>
          <w:szCs w:val="22"/>
        </w:rPr>
        <w:t>.</w:t>
      </w:r>
      <w:r w:rsidR="00D710CF">
        <w:rPr>
          <w:b/>
          <w:bCs/>
          <w:sz w:val="22"/>
          <w:szCs w:val="22"/>
        </w:rPr>
        <w:t xml:space="preserve"> </w:t>
      </w:r>
      <w:r w:rsidRPr="0083687B">
        <w:rPr>
          <w:b/>
          <w:bCs/>
          <w:sz w:val="22"/>
          <w:szCs w:val="22"/>
        </w:rPr>
        <w:t>Neželjena dejstva</w:t>
      </w:r>
    </w:p>
    <w:p w14:paraId="4ACFC165" w14:textId="77777777" w:rsidR="0083687B" w:rsidRPr="0083687B" w:rsidRDefault="0083687B" w:rsidP="00730D96">
      <w:pPr>
        <w:widowControl w:val="0"/>
        <w:autoSpaceDE w:val="0"/>
        <w:autoSpaceDN w:val="0"/>
        <w:adjustRightInd w:val="0"/>
        <w:ind w:left="567" w:hanging="567"/>
        <w:jc w:val="both"/>
        <w:rPr>
          <w:sz w:val="22"/>
          <w:szCs w:val="22"/>
        </w:rPr>
      </w:pPr>
      <w:r w:rsidRPr="0083687B">
        <w:rPr>
          <w:sz w:val="22"/>
          <w:szCs w:val="22"/>
        </w:rPr>
        <w:t xml:space="preserve"> </w:t>
      </w:r>
    </w:p>
    <w:tbl>
      <w:tblPr>
        <w:tblW w:w="0" w:type="auto"/>
        <w:tblInd w:w="108" w:type="dxa"/>
        <w:tblLook w:val="0000" w:firstRow="0" w:lastRow="0" w:firstColumn="0" w:lastColumn="0" w:noHBand="0" w:noVBand="0"/>
      </w:tblPr>
      <w:tblGrid>
        <w:gridCol w:w="2522"/>
        <w:gridCol w:w="1393"/>
        <w:gridCol w:w="5030"/>
      </w:tblGrid>
      <w:tr w:rsidR="0083687B" w:rsidRPr="0083687B" w14:paraId="50AD6FE7" w14:textId="77777777" w:rsidTr="00BF30CE">
        <w:trPr>
          <w:trHeight w:val="305"/>
        </w:trPr>
        <w:tc>
          <w:tcPr>
            <w:tcW w:w="2522" w:type="dxa"/>
            <w:tcBorders>
              <w:top w:val="single" w:sz="8" w:space="0" w:color="000000"/>
              <w:left w:val="single" w:sz="8" w:space="0" w:color="000000"/>
              <w:bottom w:val="single" w:sz="8" w:space="0" w:color="000000"/>
              <w:right w:val="single" w:sz="8" w:space="0" w:color="000000"/>
            </w:tcBorders>
          </w:tcPr>
          <w:p w14:paraId="1F3B1556" w14:textId="493FBF75" w:rsidR="0083687B" w:rsidRPr="0083687B" w:rsidRDefault="0088568A">
            <w:pPr>
              <w:widowControl w:val="0"/>
              <w:autoSpaceDE w:val="0"/>
              <w:autoSpaceDN w:val="0"/>
              <w:adjustRightInd w:val="0"/>
              <w:jc w:val="both"/>
              <w:rPr>
                <w:sz w:val="22"/>
                <w:szCs w:val="22"/>
              </w:rPr>
            </w:pPr>
            <w:r>
              <w:rPr>
                <w:b/>
                <w:bCs/>
                <w:sz w:val="22"/>
                <w:szCs w:val="22"/>
              </w:rPr>
              <w:t>Sistem organa</w:t>
            </w:r>
            <w:r w:rsidR="0083687B" w:rsidRPr="0083687B">
              <w:rPr>
                <w:b/>
                <w:bCs/>
                <w:sz w:val="22"/>
                <w:szCs w:val="22"/>
              </w:rPr>
              <w:t xml:space="preserve"> </w:t>
            </w:r>
          </w:p>
        </w:tc>
        <w:tc>
          <w:tcPr>
            <w:tcW w:w="1393" w:type="dxa"/>
            <w:tcBorders>
              <w:top w:val="single" w:sz="8" w:space="0" w:color="000000"/>
              <w:left w:val="single" w:sz="8" w:space="0" w:color="000000"/>
              <w:bottom w:val="single" w:sz="8" w:space="0" w:color="000000"/>
              <w:right w:val="single" w:sz="8" w:space="0" w:color="000000"/>
            </w:tcBorders>
          </w:tcPr>
          <w:p w14:paraId="38AE4F52" w14:textId="77777777" w:rsidR="0083687B" w:rsidRPr="0083687B" w:rsidRDefault="0083687B">
            <w:pPr>
              <w:widowControl w:val="0"/>
              <w:autoSpaceDE w:val="0"/>
              <w:autoSpaceDN w:val="0"/>
              <w:adjustRightInd w:val="0"/>
              <w:ind w:left="567" w:hanging="567"/>
              <w:jc w:val="both"/>
              <w:rPr>
                <w:sz w:val="22"/>
                <w:szCs w:val="22"/>
              </w:rPr>
            </w:pPr>
            <w:r w:rsidRPr="0083687B">
              <w:rPr>
                <w:b/>
                <w:bCs/>
                <w:sz w:val="22"/>
                <w:szCs w:val="22"/>
              </w:rPr>
              <w:t xml:space="preserve">Učestalost </w:t>
            </w:r>
          </w:p>
        </w:tc>
        <w:tc>
          <w:tcPr>
            <w:tcW w:w="5030" w:type="dxa"/>
            <w:tcBorders>
              <w:top w:val="single" w:sz="8" w:space="0" w:color="000000"/>
              <w:left w:val="single" w:sz="8" w:space="0" w:color="000000"/>
              <w:bottom w:val="single" w:sz="8" w:space="0" w:color="000000"/>
              <w:right w:val="single" w:sz="8" w:space="0" w:color="000000"/>
            </w:tcBorders>
          </w:tcPr>
          <w:p w14:paraId="1225D6C8" w14:textId="77777777" w:rsidR="0083687B" w:rsidRPr="0083687B" w:rsidRDefault="0083687B">
            <w:pPr>
              <w:widowControl w:val="0"/>
              <w:autoSpaceDE w:val="0"/>
              <w:autoSpaceDN w:val="0"/>
              <w:adjustRightInd w:val="0"/>
              <w:ind w:left="567" w:hanging="567"/>
              <w:jc w:val="both"/>
              <w:rPr>
                <w:sz w:val="22"/>
                <w:szCs w:val="22"/>
              </w:rPr>
            </w:pPr>
            <w:r w:rsidRPr="0083687B">
              <w:rPr>
                <w:b/>
                <w:bCs/>
                <w:sz w:val="22"/>
                <w:szCs w:val="22"/>
              </w:rPr>
              <w:t>Neželjena dejstva</w:t>
            </w:r>
          </w:p>
        </w:tc>
      </w:tr>
      <w:tr w:rsidR="0083687B" w:rsidRPr="0083687B" w14:paraId="1F718E6D" w14:textId="77777777" w:rsidTr="00BF30CE">
        <w:trPr>
          <w:trHeight w:val="6315"/>
        </w:trPr>
        <w:tc>
          <w:tcPr>
            <w:tcW w:w="2522" w:type="dxa"/>
            <w:tcBorders>
              <w:top w:val="single" w:sz="8" w:space="0" w:color="000000"/>
              <w:left w:val="single" w:sz="8" w:space="0" w:color="000000"/>
              <w:right w:val="single" w:sz="8" w:space="0" w:color="000000"/>
            </w:tcBorders>
          </w:tcPr>
          <w:p w14:paraId="28AAC211" w14:textId="77777777" w:rsidR="0083687B" w:rsidRPr="0083687B" w:rsidRDefault="0083687B" w:rsidP="00730D96">
            <w:pPr>
              <w:widowControl w:val="0"/>
              <w:autoSpaceDE w:val="0"/>
              <w:autoSpaceDN w:val="0"/>
              <w:adjustRightInd w:val="0"/>
              <w:ind w:right="-20"/>
              <w:jc w:val="both"/>
              <w:rPr>
                <w:sz w:val="22"/>
                <w:szCs w:val="22"/>
              </w:rPr>
            </w:pPr>
            <w:r w:rsidRPr="0083687B">
              <w:rPr>
                <w:sz w:val="22"/>
                <w:szCs w:val="22"/>
              </w:rPr>
              <w:t>Infekcije i infestacije*</w:t>
            </w:r>
          </w:p>
        </w:tc>
        <w:tc>
          <w:tcPr>
            <w:tcW w:w="1393" w:type="dxa"/>
            <w:tcBorders>
              <w:top w:val="single" w:sz="8" w:space="0" w:color="000000"/>
              <w:left w:val="single" w:sz="8" w:space="0" w:color="000000"/>
              <w:right w:val="single" w:sz="8" w:space="0" w:color="000000"/>
            </w:tcBorders>
          </w:tcPr>
          <w:p w14:paraId="39E3D527"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veoma često</w:t>
            </w:r>
          </w:p>
          <w:p w14:paraId="7474FDE0"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 </w:t>
            </w:r>
          </w:p>
          <w:p w14:paraId="473C69DE" w14:textId="77777777" w:rsidR="0083687B" w:rsidRPr="0083687B" w:rsidRDefault="0083687B">
            <w:pPr>
              <w:widowControl w:val="0"/>
              <w:autoSpaceDE w:val="0"/>
              <w:autoSpaceDN w:val="0"/>
              <w:adjustRightInd w:val="0"/>
              <w:ind w:left="567" w:hanging="567"/>
              <w:jc w:val="both"/>
              <w:rPr>
                <w:sz w:val="22"/>
                <w:szCs w:val="22"/>
              </w:rPr>
            </w:pPr>
          </w:p>
          <w:p w14:paraId="73B64E46" w14:textId="77777777" w:rsidR="0083687B" w:rsidRPr="0083687B" w:rsidRDefault="0083687B">
            <w:pPr>
              <w:widowControl w:val="0"/>
              <w:autoSpaceDE w:val="0"/>
              <w:autoSpaceDN w:val="0"/>
              <w:adjustRightInd w:val="0"/>
              <w:ind w:left="567" w:hanging="567"/>
              <w:jc w:val="both"/>
              <w:rPr>
                <w:sz w:val="22"/>
                <w:szCs w:val="22"/>
              </w:rPr>
            </w:pPr>
          </w:p>
          <w:p w14:paraId="2C20F31B" w14:textId="77777777" w:rsidR="0088568A" w:rsidRDefault="0088568A">
            <w:pPr>
              <w:widowControl w:val="0"/>
              <w:autoSpaceDE w:val="0"/>
              <w:autoSpaceDN w:val="0"/>
              <w:adjustRightInd w:val="0"/>
              <w:jc w:val="both"/>
              <w:rPr>
                <w:sz w:val="22"/>
                <w:szCs w:val="22"/>
              </w:rPr>
            </w:pPr>
          </w:p>
          <w:p w14:paraId="33E5D176" w14:textId="6D4C8897" w:rsidR="0083687B" w:rsidRPr="0083687B" w:rsidRDefault="0083687B">
            <w:pPr>
              <w:widowControl w:val="0"/>
              <w:autoSpaceDE w:val="0"/>
              <w:autoSpaceDN w:val="0"/>
              <w:adjustRightInd w:val="0"/>
              <w:jc w:val="both"/>
              <w:rPr>
                <w:sz w:val="22"/>
                <w:szCs w:val="22"/>
              </w:rPr>
            </w:pPr>
            <w:r w:rsidRPr="0083687B">
              <w:rPr>
                <w:sz w:val="22"/>
                <w:szCs w:val="22"/>
              </w:rPr>
              <w:t>često</w:t>
            </w:r>
          </w:p>
          <w:p w14:paraId="12A1636D" w14:textId="77777777" w:rsidR="0083687B" w:rsidRPr="0083687B" w:rsidRDefault="0083687B">
            <w:pPr>
              <w:widowControl w:val="0"/>
              <w:autoSpaceDE w:val="0"/>
              <w:autoSpaceDN w:val="0"/>
              <w:adjustRightInd w:val="0"/>
              <w:ind w:left="567" w:hanging="567"/>
              <w:jc w:val="both"/>
              <w:rPr>
                <w:sz w:val="22"/>
                <w:szCs w:val="22"/>
              </w:rPr>
            </w:pPr>
          </w:p>
          <w:p w14:paraId="547011FB" w14:textId="77777777" w:rsidR="0083687B" w:rsidRPr="0083687B" w:rsidRDefault="0083687B">
            <w:pPr>
              <w:widowControl w:val="0"/>
              <w:autoSpaceDE w:val="0"/>
              <w:autoSpaceDN w:val="0"/>
              <w:adjustRightInd w:val="0"/>
              <w:ind w:left="567" w:hanging="567"/>
              <w:jc w:val="both"/>
              <w:rPr>
                <w:sz w:val="22"/>
                <w:szCs w:val="22"/>
              </w:rPr>
            </w:pPr>
          </w:p>
          <w:p w14:paraId="6A6EABAA" w14:textId="77777777" w:rsidR="0083687B" w:rsidRPr="0083687B" w:rsidRDefault="0083687B">
            <w:pPr>
              <w:widowControl w:val="0"/>
              <w:autoSpaceDE w:val="0"/>
              <w:autoSpaceDN w:val="0"/>
              <w:adjustRightInd w:val="0"/>
              <w:ind w:left="567" w:hanging="567"/>
              <w:jc w:val="both"/>
              <w:rPr>
                <w:sz w:val="22"/>
                <w:szCs w:val="22"/>
              </w:rPr>
            </w:pPr>
          </w:p>
          <w:p w14:paraId="32BC7EA9" w14:textId="77777777" w:rsidR="0083687B" w:rsidRPr="0083687B" w:rsidRDefault="0083687B">
            <w:pPr>
              <w:widowControl w:val="0"/>
              <w:autoSpaceDE w:val="0"/>
              <w:autoSpaceDN w:val="0"/>
              <w:adjustRightInd w:val="0"/>
              <w:ind w:left="567" w:hanging="567"/>
              <w:jc w:val="both"/>
              <w:rPr>
                <w:sz w:val="22"/>
                <w:szCs w:val="22"/>
              </w:rPr>
            </w:pPr>
          </w:p>
          <w:p w14:paraId="0453F470" w14:textId="77777777" w:rsidR="0083687B" w:rsidRPr="0083687B" w:rsidRDefault="0083687B">
            <w:pPr>
              <w:widowControl w:val="0"/>
              <w:autoSpaceDE w:val="0"/>
              <w:autoSpaceDN w:val="0"/>
              <w:adjustRightInd w:val="0"/>
              <w:ind w:left="567" w:hanging="567"/>
              <w:jc w:val="both"/>
              <w:rPr>
                <w:sz w:val="22"/>
                <w:szCs w:val="22"/>
              </w:rPr>
            </w:pPr>
          </w:p>
          <w:p w14:paraId="23D51467" w14:textId="77777777" w:rsidR="0083687B" w:rsidRPr="0083687B" w:rsidRDefault="0083687B">
            <w:pPr>
              <w:widowControl w:val="0"/>
              <w:autoSpaceDE w:val="0"/>
              <w:autoSpaceDN w:val="0"/>
              <w:adjustRightInd w:val="0"/>
              <w:ind w:left="567" w:hanging="567"/>
              <w:jc w:val="both"/>
              <w:rPr>
                <w:sz w:val="22"/>
                <w:szCs w:val="22"/>
              </w:rPr>
            </w:pPr>
          </w:p>
          <w:p w14:paraId="407C713C" w14:textId="77777777" w:rsidR="0083687B" w:rsidRPr="0083687B" w:rsidRDefault="0083687B">
            <w:pPr>
              <w:widowControl w:val="0"/>
              <w:autoSpaceDE w:val="0"/>
              <w:autoSpaceDN w:val="0"/>
              <w:adjustRightInd w:val="0"/>
              <w:ind w:left="567" w:hanging="567"/>
              <w:jc w:val="both"/>
              <w:rPr>
                <w:sz w:val="22"/>
                <w:szCs w:val="22"/>
              </w:rPr>
            </w:pPr>
          </w:p>
          <w:p w14:paraId="0110DF05" w14:textId="77777777" w:rsidR="0083687B" w:rsidRPr="0083687B" w:rsidRDefault="0083687B">
            <w:pPr>
              <w:widowControl w:val="0"/>
              <w:autoSpaceDE w:val="0"/>
              <w:autoSpaceDN w:val="0"/>
              <w:adjustRightInd w:val="0"/>
              <w:ind w:left="567" w:hanging="567"/>
              <w:jc w:val="both"/>
              <w:rPr>
                <w:sz w:val="22"/>
                <w:szCs w:val="22"/>
              </w:rPr>
            </w:pPr>
          </w:p>
          <w:p w14:paraId="7F487C95" w14:textId="77777777" w:rsidR="0083687B" w:rsidRPr="0083687B" w:rsidRDefault="0083687B">
            <w:pPr>
              <w:widowControl w:val="0"/>
              <w:autoSpaceDE w:val="0"/>
              <w:autoSpaceDN w:val="0"/>
              <w:adjustRightInd w:val="0"/>
              <w:ind w:left="567" w:hanging="567"/>
              <w:jc w:val="both"/>
              <w:rPr>
                <w:sz w:val="22"/>
                <w:szCs w:val="22"/>
              </w:rPr>
            </w:pPr>
          </w:p>
          <w:p w14:paraId="1AE0620F" w14:textId="77777777" w:rsidR="0083687B" w:rsidRPr="0083687B" w:rsidRDefault="0083687B">
            <w:pPr>
              <w:widowControl w:val="0"/>
              <w:autoSpaceDE w:val="0"/>
              <w:autoSpaceDN w:val="0"/>
              <w:adjustRightInd w:val="0"/>
              <w:ind w:left="567" w:hanging="567"/>
              <w:jc w:val="both"/>
              <w:rPr>
                <w:sz w:val="22"/>
                <w:szCs w:val="22"/>
              </w:rPr>
            </w:pPr>
          </w:p>
          <w:p w14:paraId="2D1E971E" w14:textId="77777777" w:rsidR="0083687B" w:rsidRPr="0083687B" w:rsidRDefault="0083687B">
            <w:pPr>
              <w:widowControl w:val="0"/>
              <w:autoSpaceDE w:val="0"/>
              <w:autoSpaceDN w:val="0"/>
              <w:adjustRightInd w:val="0"/>
              <w:ind w:left="567" w:hanging="567"/>
              <w:jc w:val="both"/>
              <w:rPr>
                <w:sz w:val="22"/>
                <w:szCs w:val="22"/>
              </w:rPr>
            </w:pPr>
          </w:p>
          <w:p w14:paraId="0998202F" w14:textId="77777777" w:rsidR="0083687B" w:rsidRPr="0083687B" w:rsidRDefault="0083687B">
            <w:pPr>
              <w:widowControl w:val="0"/>
              <w:autoSpaceDE w:val="0"/>
              <w:autoSpaceDN w:val="0"/>
              <w:adjustRightInd w:val="0"/>
              <w:ind w:left="567" w:hanging="567"/>
              <w:jc w:val="both"/>
              <w:rPr>
                <w:sz w:val="22"/>
                <w:szCs w:val="22"/>
              </w:rPr>
            </w:pPr>
          </w:p>
          <w:p w14:paraId="2C176D16" w14:textId="77777777" w:rsidR="0083687B" w:rsidRPr="0083687B" w:rsidRDefault="0083687B">
            <w:pPr>
              <w:widowControl w:val="0"/>
              <w:autoSpaceDE w:val="0"/>
              <w:autoSpaceDN w:val="0"/>
              <w:adjustRightInd w:val="0"/>
              <w:ind w:left="567" w:hanging="567"/>
              <w:jc w:val="both"/>
              <w:rPr>
                <w:sz w:val="22"/>
                <w:szCs w:val="22"/>
              </w:rPr>
            </w:pPr>
          </w:p>
          <w:p w14:paraId="19C0BFCF" w14:textId="77777777" w:rsidR="0083687B" w:rsidRPr="0083687B" w:rsidRDefault="0083687B">
            <w:pPr>
              <w:widowControl w:val="0"/>
              <w:autoSpaceDE w:val="0"/>
              <w:autoSpaceDN w:val="0"/>
              <w:adjustRightInd w:val="0"/>
              <w:ind w:left="567" w:hanging="567"/>
              <w:jc w:val="both"/>
              <w:rPr>
                <w:sz w:val="22"/>
                <w:szCs w:val="22"/>
              </w:rPr>
            </w:pPr>
          </w:p>
          <w:p w14:paraId="128B215F" w14:textId="77777777" w:rsidR="0083687B" w:rsidRPr="0083687B" w:rsidRDefault="0083687B">
            <w:pPr>
              <w:widowControl w:val="0"/>
              <w:autoSpaceDE w:val="0"/>
              <w:autoSpaceDN w:val="0"/>
              <w:adjustRightInd w:val="0"/>
              <w:ind w:left="567" w:hanging="567"/>
              <w:jc w:val="both"/>
              <w:rPr>
                <w:sz w:val="22"/>
                <w:szCs w:val="22"/>
              </w:rPr>
            </w:pPr>
          </w:p>
          <w:p w14:paraId="7E8C03B0" w14:textId="77777777" w:rsidR="0083687B" w:rsidRPr="0083687B" w:rsidRDefault="0083687B">
            <w:pPr>
              <w:widowControl w:val="0"/>
              <w:autoSpaceDE w:val="0"/>
              <w:autoSpaceDN w:val="0"/>
              <w:adjustRightInd w:val="0"/>
              <w:jc w:val="both"/>
              <w:rPr>
                <w:sz w:val="22"/>
                <w:szCs w:val="22"/>
              </w:rPr>
            </w:pPr>
            <w:r w:rsidRPr="0083687B">
              <w:rPr>
                <w:sz w:val="22"/>
                <w:szCs w:val="22"/>
              </w:rPr>
              <w:t>povremeno</w:t>
            </w:r>
          </w:p>
          <w:p w14:paraId="5C767065" w14:textId="77777777" w:rsidR="0083687B" w:rsidRPr="0083687B" w:rsidRDefault="0083687B">
            <w:pPr>
              <w:widowControl w:val="0"/>
              <w:autoSpaceDE w:val="0"/>
              <w:autoSpaceDN w:val="0"/>
              <w:adjustRightInd w:val="0"/>
              <w:ind w:left="567" w:hanging="567"/>
              <w:jc w:val="both"/>
              <w:rPr>
                <w:sz w:val="22"/>
                <w:szCs w:val="22"/>
              </w:rPr>
            </w:pPr>
          </w:p>
        </w:tc>
        <w:tc>
          <w:tcPr>
            <w:tcW w:w="5030" w:type="dxa"/>
            <w:tcBorders>
              <w:top w:val="single" w:sz="8" w:space="0" w:color="000000"/>
              <w:left w:val="single" w:sz="8" w:space="0" w:color="000000"/>
              <w:right w:val="single" w:sz="8" w:space="0" w:color="000000"/>
            </w:tcBorders>
            <w:shd w:val="clear" w:color="auto" w:fill="auto"/>
          </w:tcPr>
          <w:p w14:paraId="46C2BD77"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respiratorne infekcije (uključujući infekcije donjeg i gornjeg respiratornog trakta, pneumoniju, sinuzitis, faringitis, nazofarnigitis i virusnu herpesnu pneumoniju)</w:t>
            </w:r>
          </w:p>
          <w:p w14:paraId="37EB51DA" w14:textId="77777777" w:rsidR="0083687B" w:rsidRPr="0083687B" w:rsidRDefault="0083687B">
            <w:pPr>
              <w:widowControl w:val="0"/>
              <w:tabs>
                <w:tab w:val="num" w:pos="-102"/>
              </w:tabs>
              <w:autoSpaceDE w:val="0"/>
              <w:autoSpaceDN w:val="0"/>
              <w:adjustRightInd w:val="0"/>
              <w:ind w:left="40"/>
              <w:jc w:val="both"/>
              <w:rPr>
                <w:sz w:val="22"/>
                <w:szCs w:val="22"/>
              </w:rPr>
            </w:pPr>
          </w:p>
          <w:p w14:paraId="59AFE6F2"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 xml:space="preserve">sistemske infekcije (uključujući sepsu, kandidijazu i influencu), </w:t>
            </w:r>
          </w:p>
          <w:p w14:paraId="4C3BA815"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 xml:space="preserve">intestinalne infekcije (uključujući virusni gastroenteritis), </w:t>
            </w:r>
          </w:p>
          <w:p w14:paraId="27AC0320"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 xml:space="preserve">infekcije kože i mekog tkiva (uključujući paronihiju, celulitis, impetigo, nekrotizirajući fasciitis i herpes zoster), </w:t>
            </w:r>
          </w:p>
          <w:p w14:paraId="0D009FC5"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 xml:space="preserve">infekcije uva, </w:t>
            </w:r>
          </w:p>
          <w:p w14:paraId="6BFE046F"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infekcije usne šupljine (uključujući herpes simpleks, herpes usne šupljine i infekcije zuba),</w:t>
            </w:r>
          </w:p>
          <w:p w14:paraId="0AFCF530"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 xml:space="preserve">infekcije reproduktivnog sistema (uključujući vulvovaginalne mikoze), </w:t>
            </w:r>
          </w:p>
          <w:p w14:paraId="2556E46B"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 xml:space="preserve">infekcije urinarnog trakta (uključujući pijelonefritis), </w:t>
            </w:r>
          </w:p>
          <w:p w14:paraId="11859645"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gljivične infekcije,</w:t>
            </w:r>
          </w:p>
          <w:p w14:paraId="4CE28DC9"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 xml:space="preserve">infekcije zglobova </w:t>
            </w:r>
          </w:p>
          <w:p w14:paraId="2A66451E" w14:textId="77777777" w:rsidR="0083687B" w:rsidRPr="0083687B" w:rsidRDefault="0083687B">
            <w:pPr>
              <w:widowControl w:val="0"/>
              <w:tabs>
                <w:tab w:val="num" w:pos="-102"/>
              </w:tabs>
              <w:autoSpaceDE w:val="0"/>
              <w:autoSpaceDN w:val="0"/>
              <w:adjustRightInd w:val="0"/>
              <w:ind w:left="40"/>
              <w:jc w:val="both"/>
              <w:rPr>
                <w:sz w:val="22"/>
                <w:szCs w:val="22"/>
              </w:rPr>
            </w:pPr>
          </w:p>
          <w:p w14:paraId="3076555C"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neurološke infekcije (uključujući virusni meningitis),</w:t>
            </w:r>
          </w:p>
          <w:p w14:paraId="46B56C82"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 xml:space="preserve">oportunističke infekcije i tuberkuloza (uključujući kokcidioidiomikozu, histoplazmozu i infekciju s </w:t>
            </w:r>
            <w:r w:rsidRPr="0083687B">
              <w:rPr>
                <w:i/>
                <w:sz w:val="22"/>
                <w:szCs w:val="22"/>
              </w:rPr>
              <w:t>mycobacterium avium</w:t>
            </w:r>
            <w:r w:rsidRPr="0083687B">
              <w:rPr>
                <w:sz w:val="22"/>
                <w:szCs w:val="22"/>
              </w:rPr>
              <w:t xml:space="preserve">), </w:t>
            </w:r>
          </w:p>
          <w:p w14:paraId="39109902"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bakterijske infekcije,</w:t>
            </w:r>
          </w:p>
          <w:p w14:paraId="4CCABD23"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 xml:space="preserve">infekcije oka, </w:t>
            </w:r>
          </w:p>
          <w:p w14:paraId="18C6D8A2" w14:textId="77777777" w:rsidR="0083687B" w:rsidRPr="0083687B" w:rsidRDefault="0083687B">
            <w:pPr>
              <w:widowControl w:val="0"/>
              <w:tabs>
                <w:tab w:val="num" w:pos="-102"/>
              </w:tabs>
              <w:autoSpaceDE w:val="0"/>
              <w:autoSpaceDN w:val="0"/>
              <w:adjustRightInd w:val="0"/>
              <w:ind w:left="40"/>
              <w:jc w:val="both"/>
              <w:rPr>
                <w:sz w:val="22"/>
                <w:szCs w:val="22"/>
                <w:vertAlign w:val="superscript"/>
              </w:rPr>
            </w:pPr>
            <w:r w:rsidRPr="0083687B">
              <w:rPr>
                <w:sz w:val="22"/>
                <w:szCs w:val="22"/>
              </w:rPr>
              <w:t>divertikulitis</w:t>
            </w:r>
            <w:r w:rsidRPr="0083687B">
              <w:rPr>
                <w:sz w:val="22"/>
                <w:szCs w:val="22"/>
                <w:vertAlign w:val="superscript"/>
              </w:rPr>
              <w:t>1)</w:t>
            </w:r>
          </w:p>
        </w:tc>
      </w:tr>
      <w:tr w:rsidR="0083687B" w:rsidRPr="0083687B" w14:paraId="55F7BAD3" w14:textId="77777777" w:rsidTr="00BF30CE">
        <w:trPr>
          <w:trHeight w:val="637"/>
        </w:trPr>
        <w:tc>
          <w:tcPr>
            <w:tcW w:w="2522" w:type="dxa"/>
            <w:tcBorders>
              <w:top w:val="single" w:sz="8" w:space="0" w:color="000000"/>
              <w:left w:val="single" w:sz="8" w:space="0" w:color="000000"/>
              <w:bottom w:val="single" w:sz="8" w:space="0" w:color="000000"/>
              <w:right w:val="single" w:sz="8" w:space="0" w:color="000000"/>
            </w:tcBorders>
          </w:tcPr>
          <w:p w14:paraId="6271C1B0" w14:textId="77777777" w:rsidR="0083687B" w:rsidRPr="0083687B" w:rsidRDefault="0083687B" w:rsidP="00EB3350">
            <w:pPr>
              <w:widowControl w:val="0"/>
              <w:autoSpaceDE w:val="0"/>
              <w:autoSpaceDN w:val="0"/>
              <w:adjustRightInd w:val="0"/>
              <w:ind w:right="-20"/>
              <w:jc w:val="both"/>
              <w:rPr>
                <w:sz w:val="22"/>
                <w:szCs w:val="22"/>
              </w:rPr>
            </w:pPr>
            <w:r w:rsidRPr="0083687B">
              <w:rPr>
                <w:sz w:val="22"/>
                <w:szCs w:val="22"/>
              </w:rPr>
              <w:t xml:space="preserve">Benigne, maligne i neodređene neoplazme (uključujući ciste i polipe)* </w:t>
            </w:r>
          </w:p>
        </w:tc>
        <w:tc>
          <w:tcPr>
            <w:tcW w:w="1393" w:type="dxa"/>
            <w:tcBorders>
              <w:top w:val="single" w:sz="8" w:space="0" w:color="000000"/>
              <w:left w:val="single" w:sz="8" w:space="0" w:color="000000"/>
              <w:bottom w:val="single" w:sz="8" w:space="0" w:color="000000"/>
              <w:right w:val="single" w:sz="8" w:space="0" w:color="000000"/>
            </w:tcBorders>
          </w:tcPr>
          <w:p w14:paraId="412071D3" w14:textId="77777777" w:rsidR="0083687B" w:rsidRPr="0083687B" w:rsidRDefault="0083687B" w:rsidP="00730D96">
            <w:pPr>
              <w:widowControl w:val="0"/>
              <w:autoSpaceDE w:val="0"/>
              <w:autoSpaceDN w:val="0"/>
              <w:adjustRightInd w:val="0"/>
              <w:ind w:left="567" w:hanging="567"/>
              <w:jc w:val="both"/>
              <w:rPr>
                <w:sz w:val="22"/>
                <w:szCs w:val="22"/>
              </w:rPr>
            </w:pPr>
            <w:r w:rsidRPr="0083687B">
              <w:rPr>
                <w:sz w:val="22"/>
                <w:szCs w:val="22"/>
              </w:rPr>
              <w:t>često</w:t>
            </w:r>
          </w:p>
          <w:p w14:paraId="14BB9348" w14:textId="77777777" w:rsidR="0083687B" w:rsidRPr="0083687B" w:rsidRDefault="0083687B">
            <w:pPr>
              <w:widowControl w:val="0"/>
              <w:autoSpaceDE w:val="0"/>
              <w:autoSpaceDN w:val="0"/>
              <w:adjustRightInd w:val="0"/>
              <w:ind w:left="567" w:hanging="567"/>
              <w:jc w:val="both"/>
              <w:rPr>
                <w:sz w:val="22"/>
                <w:szCs w:val="22"/>
              </w:rPr>
            </w:pPr>
          </w:p>
          <w:p w14:paraId="7B0DECA5" w14:textId="77777777" w:rsidR="0083687B" w:rsidRPr="0083687B" w:rsidRDefault="0083687B">
            <w:pPr>
              <w:widowControl w:val="0"/>
              <w:autoSpaceDE w:val="0"/>
              <w:autoSpaceDN w:val="0"/>
              <w:adjustRightInd w:val="0"/>
              <w:ind w:left="567" w:hanging="567"/>
              <w:jc w:val="both"/>
              <w:rPr>
                <w:sz w:val="22"/>
                <w:szCs w:val="22"/>
              </w:rPr>
            </w:pPr>
          </w:p>
          <w:p w14:paraId="603C7EAF" w14:textId="77777777" w:rsidR="0083687B" w:rsidRPr="0083687B" w:rsidRDefault="0083687B">
            <w:pPr>
              <w:widowControl w:val="0"/>
              <w:autoSpaceDE w:val="0"/>
              <w:autoSpaceDN w:val="0"/>
              <w:adjustRightInd w:val="0"/>
              <w:ind w:left="567" w:hanging="567"/>
              <w:jc w:val="both"/>
              <w:rPr>
                <w:sz w:val="22"/>
                <w:szCs w:val="22"/>
              </w:rPr>
            </w:pPr>
          </w:p>
          <w:p w14:paraId="7327DB8E" w14:textId="77777777" w:rsidR="0088568A" w:rsidRDefault="0088568A">
            <w:pPr>
              <w:widowControl w:val="0"/>
              <w:autoSpaceDE w:val="0"/>
              <w:autoSpaceDN w:val="0"/>
              <w:adjustRightInd w:val="0"/>
              <w:jc w:val="both"/>
              <w:rPr>
                <w:sz w:val="22"/>
                <w:szCs w:val="22"/>
              </w:rPr>
            </w:pPr>
          </w:p>
          <w:p w14:paraId="0BD4EC73" w14:textId="3EC3A899" w:rsidR="0083687B" w:rsidRPr="0083687B" w:rsidRDefault="0083687B">
            <w:pPr>
              <w:widowControl w:val="0"/>
              <w:autoSpaceDE w:val="0"/>
              <w:autoSpaceDN w:val="0"/>
              <w:adjustRightInd w:val="0"/>
              <w:jc w:val="both"/>
              <w:rPr>
                <w:sz w:val="22"/>
                <w:szCs w:val="22"/>
              </w:rPr>
            </w:pPr>
            <w:r w:rsidRPr="0083687B">
              <w:rPr>
                <w:sz w:val="22"/>
                <w:szCs w:val="22"/>
              </w:rPr>
              <w:t>povremeno</w:t>
            </w:r>
          </w:p>
          <w:p w14:paraId="027FA856" w14:textId="77777777" w:rsidR="0083687B" w:rsidRPr="0083687B" w:rsidRDefault="0083687B">
            <w:pPr>
              <w:widowControl w:val="0"/>
              <w:autoSpaceDE w:val="0"/>
              <w:autoSpaceDN w:val="0"/>
              <w:adjustRightInd w:val="0"/>
              <w:ind w:left="567" w:hanging="567"/>
              <w:jc w:val="both"/>
              <w:rPr>
                <w:sz w:val="22"/>
                <w:szCs w:val="22"/>
              </w:rPr>
            </w:pPr>
          </w:p>
          <w:p w14:paraId="76699353" w14:textId="77777777" w:rsidR="0083687B" w:rsidRPr="0083687B" w:rsidRDefault="0083687B">
            <w:pPr>
              <w:widowControl w:val="0"/>
              <w:autoSpaceDE w:val="0"/>
              <w:autoSpaceDN w:val="0"/>
              <w:adjustRightInd w:val="0"/>
              <w:ind w:left="567" w:hanging="567"/>
              <w:jc w:val="both"/>
              <w:rPr>
                <w:sz w:val="22"/>
                <w:szCs w:val="22"/>
              </w:rPr>
            </w:pPr>
          </w:p>
          <w:p w14:paraId="4B45DE2D" w14:textId="77777777" w:rsidR="0083687B" w:rsidRPr="0083687B" w:rsidRDefault="0083687B">
            <w:pPr>
              <w:widowControl w:val="0"/>
              <w:autoSpaceDE w:val="0"/>
              <w:autoSpaceDN w:val="0"/>
              <w:adjustRightInd w:val="0"/>
              <w:ind w:left="567" w:hanging="567"/>
              <w:jc w:val="both"/>
              <w:rPr>
                <w:sz w:val="22"/>
                <w:szCs w:val="22"/>
              </w:rPr>
            </w:pPr>
          </w:p>
          <w:p w14:paraId="52693B0A" w14:textId="77777777" w:rsidR="0083687B" w:rsidRPr="0083687B" w:rsidRDefault="0083687B">
            <w:pPr>
              <w:widowControl w:val="0"/>
              <w:autoSpaceDE w:val="0"/>
              <w:autoSpaceDN w:val="0"/>
              <w:adjustRightInd w:val="0"/>
              <w:ind w:left="567" w:hanging="567"/>
              <w:jc w:val="both"/>
              <w:rPr>
                <w:sz w:val="22"/>
                <w:szCs w:val="22"/>
              </w:rPr>
            </w:pPr>
          </w:p>
          <w:p w14:paraId="2A0ACE8B" w14:textId="3A937DD6" w:rsidR="0083687B" w:rsidRPr="0083687B" w:rsidRDefault="0083687B">
            <w:pPr>
              <w:widowControl w:val="0"/>
              <w:autoSpaceDE w:val="0"/>
              <w:autoSpaceDN w:val="0"/>
              <w:adjustRightInd w:val="0"/>
              <w:jc w:val="both"/>
              <w:rPr>
                <w:sz w:val="22"/>
                <w:szCs w:val="22"/>
              </w:rPr>
            </w:pPr>
            <w:r w:rsidRPr="0083687B">
              <w:rPr>
                <w:sz w:val="22"/>
                <w:szCs w:val="22"/>
              </w:rPr>
              <w:t>rijetko</w:t>
            </w:r>
          </w:p>
          <w:p w14:paraId="7BA27126" w14:textId="77777777" w:rsidR="0083687B" w:rsidRPr="0083687B" w:rsidRDefault="0083687B">
            <w:pPr>
              <w:widowControl w:val="0"/>
              <w:autoSpaceDE w:val="0"/>
              <w:autoSpaceDN w:val="0"/>
              <w:adjustRightInd w:val="0"/>
              <w:ind w:left="567" w:hanging="567"/>
              <w:jc w:val="both"/>
              <w:rPr>
                <w:sz w:val="22"/>
                <w:szCs w:val="22"/>
              </w:rPr>
            </w:pPr>
          </w:p>
          <w:p w14:paraId="21DBCA06"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nepoznato</w:t>
            </w:r>
          </w:p>
        </w:tc>
        <w:tc>
          <w:tcPr>
            <w:tcW w:w="5030" w:type="dxa"/>
            <w:tcBorders>
              <w:top w:val="single" w:sz="8" w:space="0" w:color="000000"/>
              <w:left w:val="single" w:sz="8" w:space="0" w:color="000000"/>
              <w:bottom w:val="single" w:sz="8" w:space="0" w:color="000000"/>
              <w:right w:val="single" w:sz="8" w:space="0" w:color="000000"/>
            </w:tcBorders>
          </w:tcPr>
          <w:p w14:paraId="07E20E8B" w14:textId="77777777" w:rsidR="0083687B" w:rsidRPr="0083687B" w:rsidRDefault="0083687B">
            <w:pPr>
              <w:widowControl w:val="0"/>
              <w:autoSpaceDE w:val="0"/>
              <w:autoSpaceDN w:val="0"/>
              <w:adjustRightInd w:val="0"/>
              <w:ind w:left="40"/>
              <w:jc w:val="both"/>
              <w:rPr>
                <w:sz w:val="22"/>
                <w:szCs w:val="22"/>
              </w:rPr>
            </w:pPr>
            <w:r w:rsidRPr="0083687B">
              <w:rPr>
                <w:sz w:val="22"/>
                <w:szCs w:val="22"/>
              </w:rPr>
              <w:lastRenderedPageBreak/>
              <w:t xml:space="preserve">karcinom kože, isključujući melanom (uključujući bazocelularni karcinom i karcinom skvamoznih ćelija), </w:t>
            </w:r>
          </w:p>
          <w:p w14:paraId="06548D1E"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benigne neoplazme </w:t>
            </w:r>
          </w:p>
          <w:p w14:paraId="74B66839" w14:textId="77777777" w:rsidR="0083687B" w:rsidRPr="0083687B" w:rsidRDefault="0083687B">
            <w:pPr>
              <w:widowControl w:val="0"/>
              <w:autoSpaceDE w:val="0"/>
              <w:autoSpaceDN w:val="0"/>
              <w:adjustRightInd w:val="0"/>
              <w:ind w:left="40"/>
              <w:jc w:val="both"/>
              <w:rPr>
                <w:sz w:val="22"/>
                <w:szCs w:val="22"/>
              </w:rPr>
            </w:pPr>
          </w:p>
          <w:p w14:paraId="14C958FB"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limfom**, </w:t>
            </w:r>
          </w:p>
          <w:p w14:paraId="0B675BD8" w14:textId="2DA0C917" w:rsidR="0083687B" w:rsidRPr="0083687B" w:rsidRDefault="0083687B">
            <w:pPr>
              <w:widowControl w:val="0"/>
              <w:autoSpaceDE w:val="0"/>
              <w:autoSpaceDN w:val="0"/>
              <w:adjustRightInd w:val="0"/>
              <w:ind w:left="40"/>
              <w:jc w:val="both"/>
              <w:rPr>
                <w:sz w:val="22"/>
                <w:szCs w:val="22"/>
              </w:rPr>
            </w:pPr>
            <w:r w:rsidRPr="0083687B">
              <w:rPr>
                <w:sz w:val="22"/>
                <w:szCs w:val="22"/>
              </w:rPr>
              <w:t xml:space="preserve">tumori solidnih organa (uključujući karcinom dojke, </w:t>
            </w:r>
            <w:r w:rsidRPr="0083687B">
              <w:rPr>
                <w:sz w:val="22"/>
                <w:szCs w:val="22"/>
              </w:rPr>
              <w:lastRenderedPageBreak/>
              <w:t>tumore pluća i štit</w:t>
            </w:r>
            <w:r w:rsidR="0088568A">
              <w:rPr>
                <w:sz w:val="22"/>
                <w:szCs w:val="22"/>
              </w:rPr>
              <w:t>aste žlijezde</w:t>
            </w:r>
            <w:r w:rsidRPr="0083687B">
              <w:rPr>
                <w:sz w:val="22"/>
                <w:szCs w:val="22"/>
              </w:rPr>
              <w:t xml:space="preserve">), </w:t>
            </w:r>
          </w:p>
          <w:p w14:paraId="173B2BF6" w14:textId="77777777" w:rsidR="0083687B" w:rsidRPr="0083687B" w:rsidRDefault="0083687B">
            <w:pPr>
              <w:widowControl w:val="0"/>
              <w:autoSpaceDE w:val="0"/>
              <w:autoSpaceDN w:val="0"/>
              <w:adjustRightInd w:val="0"/>
              <w:ind w:left="40"/>
              <w:jc w:val="both"/>
              <w:rPr>
                <w:sz w:val="22"/>
                <w:szCs w:val="22"/>
              </w:rPr>
            </w:pPr>
            <w:r w:rsidRPr="0083687B">
              <w:rPr>
                <w:sz w:val="22"/>
                <w:szCs w:val="22"/>
              </w:rPr>
              <w:t>melanom**</w:t>
            </w:r>
          </w:p>
          <w:p w14:paraId="54124293" w14:textId="77777777" w:rsidR="0083687B" w:rsidRPr="0083687B" w:rsidRDefault="0083687B">
            <w:pPr>
              <w:widowControl w:val="0"/>
              <w:autoSpaceDE w:val="0"/>
              <w:autoSpaceDN w:val="0"/>
              <w:adjustRightInd w:val="0"/>
              <w:jc w:val="both"/>
              <w:rPr>
                <w:sz w:val="22"/>
                <w:szCs w:val="22"/>
              </w:rPr>
            </w:pPr>
          </w:p>
          <w:p w14:paraId="5B90E2CF" w14:textId="77777777" w:rsidR="0083687B" w:rsidRPr="0083687B" w:rsidRDefault="0083687B">
            <w:pPr>
              <w:widowControl w:val="0"/>
              <w:autoSpaceDE w:val="0"/>
              <w:autoSpaceDN w:val="0"/>
              <w:adjustRightInd w:val="0"/>
              <w:ind w:left="40"/>
              <w:jc w:val="both"/>
              <w:rPr>
                <w:sz w:val="22"/>
                <w:szCs w:val="22"/>
              </w:rPr>
            </w:pPr>
            <w:r w:rsidRPr="0083687B">
              <w:rPr>
                <w:sz w:val="22"/>
                <w:szCs w:val="22"/>
              </w:rPr>
              <w:t>leukemija</w:t>
            </w:r>
            <w:r w:rsidRPr="0083687B">
              <w:rPr>
                <w:sz w:val="22"/>
                <w:szCs w:val="22"/>
                <w:vertAlign w:val="superscript"/>
              </w:rPr>
              <w:t>1)</w:t>
            </w:r>
          </w:p>
          <w:p w14:paraId="6059FE22" w14:textId="77777777" w:rsidR="0083687B" w:rsidRPr="0083687B" w:rsidRDefault="0083687B">
            <w:pPr>
              <w:widowControl w:val="0"/>
              <w:autoSpaceDE w:val="0"/>
              <w:autoSpaceDN w:val="0"/>
              <w:adjustRightInd w:val="0"/>
              <w:ind w:left="40"/>
              <w:jc w:val="both"/>
              <w:rPr>
                <w:sz w:val="22"/>
                <w:szCs w:val="22"/>
              </w:rPr>
            </w:pPr>
          </w:p>
          <w:p w14:paraId="77773D82" w14:textId="77777777" w:rsidR="0083687B" w:rsidRPr="0083687B" w:rsidRDefault="0083687B">
            <w:pPr>
              <w:widowControl w:val="0"/>
              <w:autoSpaceDE w:val="0"/>
              <w:autoSpaceDN w:val="0"/>
              <w:adjustRightInd w:val="0"/>
              <w:ind w:left="40"/>
              <w:jc w:val="both"/>
              <w:rPr>
                <w:sz w:val="22"/>
                <w:szCs w:val="22"/>
                <w:vertAlign w:val="superscript"/>
              </w:rPr>
            </w:pPr>
            <w:r w:rsidRPr="0083687B">
              <w:rPr>
                <w:sz w:val="22"/>
                <w:szCs w:val="22"/>
              </w:rPr>
              <w:t>hepatosplenični T-ćelijski limfom</w:t>
            </w:r>
            <w:r w:rsidRPr="0083687B">
              <w:rPr>
                <w:sz w:val="22"/>
                <w:szCs w:val="22"/>
                <w:vertAlign w:val="superscript"/>
              </w:rPr>
              <w:t>1)</w:t>
            </w:r>
          </w:p>
          <w:p w14:paraId="347F984B" w14:textId="77777777" w:rsidR="0083687B" w:rsidRPr="0083687B" w:rsidRDefault="0083687B">
            <w:pPr>
              <w:jc w:val="both"/>
              <w:rPr>
                <w:sz w:val="22"/>
                <w:szCs w:val="22"/>
                <w:lang w:val="sr-Latn-ME"/>
              </w:rPr>
            </w:pPr>
            <w:r w:rsidRPr="0083687B">
              <w:rPr>
                <w:sz w:val="22"/>
                <w:szCs w:val="22"/>
                <w:lang w:val="sr-Latn-ME"/>
              </w:rPr>
              <w:t xml:space="preserve"> karcinom Merkelovih ćelija (neuroendokrini   </w:t>
            </w:r>
          </w:p>
          <w:p w14:paraId="1E0236A9" w14:textId="3BDDDD45" w:rsidR="0083687B" w:rsidRPr="0088568A" w:rsidRDefault="0083687B">
            <w:pPr>
              <w:jc w:val="both"/>
              <w:rPr>
                <w:sz w:val="22"/>
                <w:szCs w:val="22"/>
                <w:lang w:val="sr-Latn-ME"/>
              </w:rPr>
            </w:pPr>
            <w:r w:rsidRPr="0083687B">
              <w:rPr>
                <w:sz w:val="22"/>
                <w:szCs w:val="22"/>
                <w:lang w:val="sr-Latn-ME"/>
              </w:rPr>
              <w:t xml:space="preserve"> karcinom kože)</w:t>
            </w:r>
            <w:r w:rsidRPr="0083687B">
              <w:rPr>
                <w:sz w:val="22"/>
                <w:szCs w:val="22"/>
                <w:vertAlign w:val="superscript"/>
                <w:lang w:val="sr-Latn-ME"/>
              </w:rPr>
              <w:t xml:space="preserve"> 1)</w:t>
            </w:r>
            <w:r w:rsidR="0088568A">
              <w:rPr>
                <w:sz w:val="22"/>
                <w:szCs w:val="22"/>
                <w:lang w:val="sr-Latn-ME"/>
              </w:rPr>
              <w:t xml:space="preserve">, </w:t>
            </w:r>
            <w:r w:rsidR="00174FA4" w:rsidRPr="00D710CF">
              <w:rPr>
                <w:sz w:val="22"/>
                <w:szCs w:val="22"/>
                <w:lang w:val="sr-Latn-ME"/>
              </w:rPr>
              <w:t>Kapos</w:t>
            </w:r>
            <w:r w:rsidR="0088568A" w:rsidRPr="00D710CF">
              <w:rPr>
                <w:sz w:val="22"/>
                <w:szCs w:val="22"/>
                <w:lang w:val="sr-Latn-ME"/>
              </w:rPr>
              <w:t>ijev sarkom</w:t>
            </w:r>
          </w:p>
        </w:tc>
      </w:tr>
      <w:tr w:rsidR="0083687B" w:rsidRPr="0083687B" w14:paraId="509F0FD8" w14:textId="77777777" w:rsidTr="00BF30CE">
        <w:trPr>
          <w:trHeight w:val="637"/>
        </w:trPr>
        <w:tc>
          <w:tcPr>
            <w:tcW w:w="2522" w:type="dxa"/>
            <w:tcBorders>
              <w:top w:val="single" w:sz="8" w:space="0" w:color="000000"/>
              <w:left w:val="single" w:sz="8" w:space="0" w:color="000000"/>
              <w:bottom w:val="single" w:sz="8" w:space="0" w:color="000000"/>
              <w:right w:val="single" w:sz="8" w:space="0" w:color="000000"/>
            </w:tcBorders>
          </w:tcPr>
          <w:p w14:paraId="1BC70ACB" w14:textId="77777777" w:rsidR="0083687B" w:rsidRPr="0083687B" w:rsidRDefault="0083687B" w:rsidP="00EB3350">
            <w:pPr>
              <w:widowControl w:val="0"/>
              <w:autoSpaceDE w:val="0"/>
              <w:autoSpaceDN w:val="0"/>
              <w:adjustRightInd w:val="0"/>
              <w:ind w:right="-20"/>
              <w:jc w:val="both"/>
              <w:rPr>
                <w:sz w:val="22"/>
                <w:szCs w:val="22"/>
              </w:rPr>
            </w:pPr>
            <w:r w:rsidRPr="0083687B">
              <w:rPr>
                <w:sz w:val="22"/>
                <w:szCs w:val="22"/>
              </w:rPr>
              <w:lastRenderedPageBreak/>
              <w:t xml:space="preserve">Poremećaj krvi i limfnog sistema* </w:t>
            </w:r>
          </w:p>
        </w:tc>
        <w:tc>
          <w:tcPr>
            <w:tcW w:w="1393" w:type="dxa"/>
            <w:tcBorders>
              <w:top w:val="single" w:sz="8" w:space="0" w:color="000000"/>
              <w:left w:val="single" w:sz="8" w:space="0" w:color="000000"/>
              <w:bottom w:val="single" w:sz="8" w:space="0" w:color="000000"/>
              <w:right w:val="single" w:sz="8" w:space="0" w:color="000000"/>
            </w:tcBorders>
          </w:tcPr>
          <w:p w14:paraId="3DF5D4EE" w14:textId="77777777" w:rsidR="0083687B" w:rsidRPr="0083687B" w:rsidRDefault="0083687B" w:rsidP="00730D96">
            <w:pPr>
              <w:widowControl w:val="0"/>
              <w:autoSpaceDE w:val="0"/>
              <w:autoSpaceDN w:val="0"/>
              <w:adjustRightInd w:val="0"/>
              <w:ind w:left="567" w:hanging="567"/>
              <w:jc w:val="both"/>
              <w:rPr>
                <w:sz w:val="22"/>
                <w:szCs w:val="22"/>
              </w:rPr>
            </w:pPr>
            <w:r w:rsidRPr="0083687B">
              <w:rPr>
                <w:sz w:val="22"/>
                <w:szCs w:val="22"/>
              </w:rPr>
              <w:t>veoma često</w:t>
            </w:r>
          </w:p>
          <w:p w14:paraId="1AF6775E" w14:textId="77777777" w:rsidR="0083687B" w:rsidRPr="0083687B" w:rsidRDefault="0083687B">
            <w:pPr>
              <w:widowControl w:val="0"/>
              <w:autoSpaceDE w:val="0"/>
              <w:autoSpaceDN w:val="0"/>
              <w:adjustRightInd w:val="0"/>
              <w:ind w:left="567" w:hanging="567"/>
              <w:jc w:val="both"/>
              <w:rPr>
                <w:sz w:val="22"/>
                <w:szCs w:val="22"/>
              </w:rPr>
            </w:pPr>
          </w:p>
          <w:p w14:paraId="7C4E20DE" w14:textId="77777777" w:rsidR="0083687B" w:rsidRPr="0083687B" w:rsidRDefault="0083687B">
            <w:pPr>
              <w:widowControl w:val="0"/>
              <w:autoSpaceDE w:val="0"/>
              <w:autoSpaceDN w:val="0"/>
              <w:adjustRightInd w:val="0"/>
              <w:ind w:left="567" w:hanging="567"/>
              <w:jc w:val="both"/>
              <w:rPr>
                <w:sz w:val="22"/>
                <w:szCs w:val="22"/>
              </w:rPr>
            </w:pPr>
          </w:p>
          <w:p w14:paraId="5C4FEF0A" w14:textId="77777777" w:rsidR="0083687B" w:rsidRPr="0083687B" w:rsidRDefault="0083687B">
            <w:pPr>
              <w:widowControl w:val="0"/>
              <w:autoSpaceDE w:val="0"/>
              <w:autoSpaceDN w:val="0"/>
              <w:adjustRightInd w:val="0"/>
              <w:jc w:val="both"/>
              <w:rPr>
                <w:sz w:val="22"/>
                <w:szCs w:val="22"/>
              </w:rPr>
            </w:pPr>
          </w:p>
          <w:p w14:paraId="01923F5C" w14:textId="77777777" w:rsidR="0083687B" w:rsidRPr="0083687B" w:rsidRDefault="0083687B">
            <w:pPr>
              <w:widowControl w:val="0"/>
              <w:autoSpaceDE w:val="0"/>
              <w:autoSpaceDN w:val="0"/>
              <w:adjustRightInd w:val="0"/>
              <w:jc w:val="both"/>
              <w:rPr>
                <w:sz w:val="22"/>
                <w:szCs w:val="22"/>
              </w:rPr>
            </w:pPr>
            <w:r w:rsidRPr="0083687B">
              <w:rPr>
                <w:sz w:val="22"/>
                <w:szCs w:val="22"/>
              </w:rPr>
              <w:t>često</w:t>
            </w:r>
          </w:p>
          <w:p w14:paraId="62954F09" w14:textId="77777777" w:rsidR="0083687B" w:rsidRPr="0083687B" w:rsidRDefault="0083687B">
            <w:pPr>
              <w:widowControl w:val="0"/>
              <w:autoSpaceDE w:val="0"/>
              <w:autoSpaceDN w:val="0"/>
              <w:adjustRightInd w:val="0"/>
              <w:jc w:val="both"/>
              <w:rPr>
                <w:sz w:val="22"/>
                <w:szCs w:val="22"/>
              </w:rPr>
            </w:pPr>
          </w:p>
          <w:p w14:paraId="15060954" w14:textId="77777777" w:rsidR="0083687B" w:rsidRPr="0083687B" w:rsidRDefault="0083687B">
            <w:pPr>
              <w:widowControl w:val="0"/>
              <w:autoSpaceDE w:val="0"/>
              <w:autoSpaceDN w:val="0"/>
              <w:adjustRightInd w:val="0"/>
              <w:ind w:left="567" w:hanging="567"/>
              <w:jc w:val="both"/>
              <w:rPr>
                <w:sz w:val="22"/>
                <w:szCs w:val="22"/>
              </w:rPr>
            </w:pPr>
          </w:p>
          <w:p w14:paraId="23A0A087"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povremeno</w:t>
            </w:r>
          </w:p>
          <w:p w14:paraId="643B19AE" w14:textId="77777777" w:rsidR="0083687B" w:rsidRPr="0083687B" w:rsidRDefault="0083687B">
            <w:pPr>
              <w:widowControl w:val="0"/>
              <w:autoSpaceDE w:val="0"/>
              <w:autoSpaceDN w:val="0"/>
              <w:adjustRightInd w:val="0"/>
              <w:ind w:left="567" w:hanging="567"/>
              <w:jc w:val="both"/>
              <w:rPr>
                <w:sz w:val="22"/>
                <w:szCs w:val="22"/>
              </w:rPr>
            </w:pPr>
          </w:p>
          <w:p w14:paraId="4A5522B8"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rijetko</w:t>
            </w:r>
          </w:p>
        </w:tc>
        <w:tc>
          <w:tcPr>
            <w:tcW w:w="5030" w:type="dxa"/>
            <w:tcBorders>
              <w:top w:val="single" w:sz="8" w:space="0" w:color="000000"/>
              <w:left w:val="single" w:sz="8" w:space="0" w:color="000000"/>
              <w:bottom w:val="single" w:sz="8" w:space="0" w:color="000000"/>
              <w:right w:val="single" w:sz="8" w:space="0" w:color="000000"/>
            </w:tcBorders>
          </w:tcPr>
          <w:p w14:paraId="3F21C602"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 xml:space="preserve">leukopenija (uključujući neutropeniju i agranulocitozu), </w:t>
            </w:r>
          </w:p>
          <w:p w14:paraId="0DB61A6A"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anemija</w:t>
            </w:r>
          </w:p>
          <w:p w14:paraId="1E200643" w14:textId="77777777" w:rsidR="0083687B" w:rsidRPr="0083687B" w:rsidRDefault="0083687B">
            <w:pPr>
              <w:widowControl w:val="0"/>
              <w:tabs>
                <w:tab w:val="num" w:pos="-102"/>
              </w:tabs>
              <w:autoSpaceDE w:val="0"/>
              <w:autoSpaceDN w:val="0"/>
              <w:adjustRightInd w:val="0"/>
              <w:ind w:left="40"/>
              <w:jc w:val="both"/>
              <w:rPr>
                <w:sz w:val="22"/>
                <w:szCs w:val="22"/>
              </w:rPr>
            </w:pPr>
          </w:p>
          <w:p w14:paraId="4D9D0331"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leukocitoza,</w:t>
            </w:r>
          </w:p>
          <w:p w14:paraId="1B905A40"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 xml:space="preserve">trombocitopenija </w:t>
            </w:r>
          </w:p>
          <w:p w14:paraId="0BE30EDD" w14:textId="77777777" w:rsidR="0083687B" w:rsidRPr="0083687B" w:rsidRDefault="0083687B">
            <w:pPr>
              <w:widowControl w:val="0"/>
              <w:tabs>
                <w:tab w:val="num" w:pos="-102"/>
              </w:tabs>
              <w:autoSpaceDE w:val="0"/>
              <w:autoSpaceDN w:val="0"/>
              <w:adjustRightInd w:val="0"/>
              <w:jc w:val="both"/>
              <w:rPr>
                <w:sz w:val="22"/>
                <w:szCs w:val="22"/>
              </w:rPr>
            </w:pPr>
          </w:p>
          <w:p w14:paraId="20BDDDF3"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 xml:space="preserve">idiopatska trombocitopenična purpura </w:t>
            </w:r>
          </w:p>
          <w:p w14:paraId="2EF86674" w14:textId="77777777" w:rsidR="0083687B" w:rsidRPr="0083687B" w:rsidRDefault="0083687B">
            <w:pPr>
              <w:widowControl w:val="0"/>
              <w:tabs>
                <w:tab w:val="num" w:pos="-102"/>
              </w:tabs>
              <w:autoSpaceDE w:val="0"/>
              <w:autoSpaceDN w:val="0"/>
              <w:adjustRightInd w:val="0"/>
              <w:ind w:left="40"/>
              <w:jc w:val="both"/>
              <w:rPr>
                <w:sz w:val="22"/>
                <w:szCs w:val="22"/>
              </w:rPr>
            </w:pPr>
          </w:p>
          <w:p w14:paraId="0A7F4C4E" w14:textId="77777777" w:rsidR="0083687B" w:rsidRPr="0083687B" w:rsidRDefault="0083687B">
            <w:pPr>
              <w:widowControl w:val="0"/>
              <w:tabs>
                <w:tab w:val="num" w:pos="-102"/>
              </w:tabs>
              <w:autoSpaceDE w:val="0"/>
              <w:autoSpaceDN w:val="0"/>
              <w:adjustRightInd w:val="0"/>
              <w:ind w:left="40"/>
              <w:jc w:val="both"/>
              <w:rPr>
                <w:sz w:val="22"/>
                <w:szCs w:val="22"/>
              </w:rPr>
            </w:pPr>
            <w:r w:rsidRPr="0083687B">
              <w:rPr>
                <w:sz w:val="22"/>
                <w:szCs w:val="22"/>
              </w:rPr>
              <w:t>pancitopenija</w:t>
            </w:r>
          </w:p>
        </w:tc>
      </w:tr>
      <w:tr w:rsidR="0083687B" w:rsidRPr="0083687B" w14:paraId="6219680D" w14:textId="77777777" w:rsidTr="00BF30CE">
        <w:trPr>
          <w:trHeight w:val="546"/>
        </w:trPr>
        <w:tc>
          <w:tcPr>
            <w:tcW w:w="2522" w:type="dxa"/>
            <w:tcBorders>
              <w:top w:val="single" w:sz="8" w:space="0" w:color="000000"/>
              <w:left w:val="single" w:sz="8" w:space="0" w:color="000000"/>
              <w:bottom w:val="single" w:sz="8" w:space="0" w:color="000000"/>
              <w:right w:val="single" w:sz="8" w:space="0" w:color="000000"/>
            </w:tcBorders>
          </w:tcPr>
          <w:p w14:paraId="012FC490" w14:textId="0C4F4C2E" w:rsidR="0083687B" w:rsidRPr="0083687B" w:rsidRDefault="0083687B" w:rsidP="00EB3350">
            <w:pPr>
              <w:widowControl w:val="0"/>
              <w:autoSpaceDE w:val="0"/>
              <w:autoSpaceDN w:val="0"/>
              <w:adjustRightInd w:val="0"/>
              <w:jc w:val="both"/>
              <w:rPr>
                <w:sz w:val="22"/>
                <w:szCs w:val="22"/>
              </w:rPr>
            </w:pPr>
            <w:r w:rsidRPr="0083687B">
              <w:rPr>
                <w:sz w:val="22"/>
                <w:szCs w:val="22"/>
              </w:rPr>
              <w:t xml:space="preserve">Poremećaji imunog sistema* </w:t>
            </w:r>
          </w:p>
        </w:tc>
        <w:tc>
          <w:tcPr>
            <w:tcW w:w="1393" w:type="dxa"/>
            <w:tcBorders>
              <w:top w:val="single" w:sz="8" w:space="0" w:color="000000"/>
              <w:left w:val="single" w:sz="8" w:space="0" w:color="000000"/>
              <w:bottom w:val="single" w:sz="8" w:space="0" w:color="000000"/>
              <w:right w:val="single" w:sz="8" w:space="0" w:color="000000"/>
            </w:tcBorders>
          </w:tcPr>
          <w:p w14:paraId="20947BCA" w14:textId="77777777" w:rsidR="0083687B" w:rsidRPr="0083687B" w:rsidRDefault="0083687B" w:rsidP="00730D96">
            <w:pPr>
              <w:widowControl w:val="0"/>
              <w:autoSpaceDE w:val="0"/>
              <w:autoSpaceDN w:val="0"/>
              <w:adjustRightInd w:val="0"/>
              <w:ind w:left="567" w:hanging="567"/>
              <w:jc w:val="both"/>
              <w:rPr>
                <w:sz w:val="22"/>
                <w:szCs w:val="22"/>
              </w:rPr>
            </w:pPr>
            <w:r w:rsidRPr="0083687B">
              <w:rPr>
                <w:sz w:val="22"/>
                <w:szCs w:val="22"/>
              </w:rPr>
              <w:t>često</w:t>
            </w:r>
          </w:p>
          <w:p w14:paraId="7B5DC60D" w14:textId="77777777" w:rsidR="0083687B" w:rsidRPr="0083687B" w:rsidRDefault="0083687B">
            <w:pPr>
              <w:widowControl w:val="0"/>
              <w:autoSpaceDE w:val="0"/>
              <w:autoSpaceDN w:val="0"/>
              <w:adjustRightInd w:val="0"/>
              <w:ind w:left="567" w:hanging="567"/>
              <w:jc w:val="both"/>
              <w:rPr>
                <w:sz w:val="22"/>
                <w:szCs w:val="22"/>
              </w:rPr>
            </w:pPr>
          </w:p>
          <w:p w14:paraId="5783EBFA" w14:textId="77777777" w:rsidR="0083687B" w:rsidRPr="0083687B" w:rsidRDefault="0083687B">
            <w:pPr>
              <w:widowControl w:val="0"/>
              <w:autoSpaceDE w:val="0"/>
              <w:autoSpaceDN w:val="0"/>
              <w:adjustRightInd w:val="0"/>
              <w:ind w:left="567" w:hanging="567"/>
              <w:jc w:val="both"/>
              <w:rPr>
                <w:sz w:val="22"/>
                <w:szCs w:val="22"/>
              </w:rPr>
            </w:pPr>
          </w:p>
          <w:p w14:paraId="7B00B2CE"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povremeno</w:t>
            </w:r>
          </w:p>
          <w:p w14:paraId="64D872A2" w14:textId="77777777" w:rsidR="0083687B" w:rsidRPr="0083687B" w:rsidRDefault="0083687B">
            <w:pPr>
              <w:widowControl w:val="0"/>
              <w:autoSpaceDE w:val="0"/>
              <w:autoSpaceDN w:val="0"/>
              <w:adjustRightInd w:val="0"/>
              <w:ind w:left="567" w:hanging="567"/>
              <w:jc w:val="both"/>
              <w:rPr>
                <w:sz w:val="22"/>
                <w:szCs w:val="22"/>
              </w:rPr>
            </w:pPr>
          </w:p>
          <w:p w14:paraId="5EB29CF9"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rijetko</w:t>
            </w:r>
          </w:p>
        </w:tc>
        <w:tc>
          <w:tcPr>
            <w:tcW w:w="5030" w:type="dxa"/>
            <w:tcBorders>
              <w:top w:val="single" w:sz="8" w:space="0" w:color="000000"/>
              <w:left w:val="single" w:sz="8" w:space="0" w:color="000000"/>
              <w:bottom w:val="single" w:sz="8" w:space="0" w:color="000000"/>
              <w:right w:val="single" w:sz="8" w:space="0" w:color="000000"/>
            </w:tcBorders>
          </w:tcPr>
          <w:p w14:paraId="053CDA6C"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preosjetljivost, </w:t>
            </w:r>
          </w:p>
          <w:p w14:paraId="0A940C2C" w14:textId="77777777" w:rsidR="0083687B" w:rsidRPr="0083687B" w:rsidRDefault="0083687B">
            <w:pPr>
              <w:widowControl w:val="0"/>
              <w:autoSpaceDE w:val="0"/>
              <w:autoSpaceDN w:val="0"/>
              <w:adjustRightInd w:val="0"/>
              <w:ind w:left="40"/>
              <w:jc w:val="both"/>
              <w:rPr>
                <w:sz w:val="22"/>
                <w:szCs w:val="22"/>
              </w:rPr>
            </w:pPr>
            <w:r w:rsidRPr="0083687B">
              <w:rPr>
                <w:sz w:val="22"/>
                <w:szCs w:val="22"/>
              </w:rPr>
              <w:t>alergije (uključujući sezonske alergije)</w:t>
            </w:r>
          </w:p>
          <w:p w14:paraId="6CA3AA88" w14:textId="77777777" w:rsidR="0083687B" w:rsidRPr="0083687B" w:rsidRDefault="0083687B">
            <w:pPr>
              <w:widowControl w:val="0"/>
              <w:autoSpaceDE w:val="0"/>
              <w:autoSpaceDN w:val="0"/>
              <w:adjustRightInd w:val="0"/>
              <w:ind w:left="40"/>
              <w:jc w:val="both"/>
              <w:rPr>
                <w:sz w:val="22"/>
                <w:szCs w:val="22"/>
              </w:rPr>
            </w:pPr>
          </w:p>
          <w:p w14:paraId="5DD2063C" w14:textId="77777777" w:rsidR="0083687B" w:rsidRPr="0083687B" w:rsidRDefault="0083687B">
            <w:pPr>
              <w:widowControl w:val="0"/>
              <w:autoSpaceDE w:val="0"/>
              <w:autoSpaceDN w:val="0"/>
              <w:adjustRightInd w:val="0"/>
              <w:ind w:left="40"/>
              <w:jc w:val="both"/>
              <w:rPr>
                <w:sz w:val="22"/>
                <w:szCs w:val="22"/>
              </w:rPr>
            </w:pPr>
            <w:r w:rsidRPr="0083687B">
              <w:rPr>
                <w:sz w:val="22"/>
                <w:szCs w:val="22"/>
              </w:rPr>
              <w:t>sarkoidoza</w:t>
            </w:r>
            <w:r w:rsidRPr="0083687B">
              <w:rPr>
                <w:sz w:val="22"/>
                <w:szCs w:val="22"/>
                <w:vertAlign w:val="superscript"/>
              </w:rPr>
              <w:t>1)</w:t>
            </w:r>
          </w:p>
          <w:p w14:paraId="5D461C1D" w14:textId="77777777" w:rsidR="0083687B" w:rsidRPr="0083687B" w:rsidRDefault="0083687B">
            <w:pPr>
              <w:widowControl w:val="0"/>
              <w:autoSpaceDE w:val="0"/>
              <w:autoSpaceDN w:val="0"/>
              <w:adjustRightInd w:val="0"/>
              <w:ind w:left="40"/>
              <w:jc w:val="both"/>
              <w:rPr>
                <w:sz w:val="22"/>
                <w:szCs w:val="22"/>
              </w:rPr>
            </w:pPr>
            <w:r w:rsidRPr="0083687B">
              <w:rPr>
                <w:sz w:val="22"/>
                <w:szCs w:val="22"/>
              </w:rPr>
              <w:t>vaskulitis</w:t>
            </w:r>
          </w:p>
          <w:p w14:paraId="65B16916" w14:textId="77777777" w:rsidR="0083687B" w:rsidRPr="0083687B" w:rsidRDefault="0083687B">
            <w:pPr>
              <w:widowControl w:val="0"/>
              <w:autoSpaceDE w:val="0"/>
              <w:autoSpaceDN w:val="0"/>
              <w:adjustRightInd w:val="0"/>
              <w:ind w:left="40"/>
              <w:jc w:val="both"/>
              <w:rPr>
                <w:sz w:val="22"/>
                <w:szCs w:val="22"/>
              </w:rPr>
            </w:pPr>
            <w:r w:rsidRPr="0083687B">
              <w:rPr>
                <w:sz w:val="22"/>
                <w:szCs w:val="22"/>
              </w:rPr>
              <w:t>anafilaksa</w:t>
            </w:r>
            <w:r w:rsidRPr="0083687B">
              <w:rPr>
                <w:sz w:val="22"/>
                <w:szCs w:val="22"/>
                <w:vertAlign w:val="superscript"/>
              </w:rPr>
              <w:t>1)</w:t>
            </w:r>
          </w:p>
        </w:tc>
      </w:tr>
      <w:tr w:rsidR="0083687B" w:rsidRPr="0083687B" w14:paraId="09E96A39" w14:textId="77777777" w:rsidTr="00BF30CE">
        <w:trPr>
          <w:trHeight w:val="340"/>
        </w:trPr>
        <w:tc>
          <w:tcPr>
            <w:tcW w:w="2522" w:type="dxa"/>
            <w:tcBorders>
              <w:top w:val="single" w:sz="8" w:space="0" w:color="000000"/>
              <w:left w:val="single" w:sz="8" w:space="0" w:color="000000"/>
              <w:bottom w:val="single" w:sz="8" w:space="0" w:color="000000"/>
              <w:right w:val="single" w:sz="8" w:space="0" w:color="000000"/>
            </w:tcBorders>
          </w:tcPr>
          <w:p w14:paraId="03B9AC9E" w14:textId="77777777" w:rsidR="0083687B" w:rsidRPr="0083687B" w:rsidRDefault="0083687B" w:rsidP="00EB3350">
            <w:pPr>
              <w:widowControl w:val="0"/>
              <w:autoSpaceDE w:val="0"/>
              <w:autoSpaceDN w:val="0"/>
              <w:adjustRightInd w:val="0"/>
              <w:jc w:val="both"/>
              <w:rPr>
                <w:sz w:val="22"/>
                <w:szCs w:val="22"/>
              </w:rPr>
            </w:pPr>
            <w:r w:rsidRPr="0083687B">
              <w:rPr>
                <w:sz w:val="22"/>
                <w:szCs w:val="22"/>
              </w:rPr>
              <w:t xml:space="preserve">Poremećaji metabolizma i ishrane </w:t>
            </w:r>
          </w:p>
        </w:tc>
        <w:tc>
          <w:tcPr>
            <w:tcW w:w="1393" w:type="dxa"/>
            <w:tcBorders>
              <w:top w:val="single" w:sz="8" w:space="0" w:color="000000"/>
              <w:left w:val="single" w:sz="8" w:space="0" w:color="000000"/>
              <w:bottom w:val="single" w:sz="8" w:space="0" w:color="000000"/>
              <w:right w:val="single" w:sz="8" w:space="0" w:color="000000"/>
            </w:tcBorders>
          </w:tcPr>
          <w:p w14:paraId="051FE07A" w14:textId="77777777" w:rsidR="0083687B" w:rsidRPr="0083687B" w:rsidRDefault="0083687B" w:rsidP="00730D96">
            <w:pPr>
              <w:widowControl w:val="0"/>
              <w:autoSpaceDE w:val="0"/>
              <w:autoSpaceDN w:val="0"/>
              <w:adjustRightInd w:val="0"/>
              <w:ind w:left="567" w:hanging="567"/>
              <w:jc w:val="both"/>
              <w:rPr>
                <w:sz w:val="22"/>
                <w:szCs w:val="22"/>
              </w:rPr>
            </w:pPr>
            <w:r w:rsidRPr="0083687B">
              <w:rPr>
                <w:sz w:val="22"/>
                <w:szCs w:val="22"/>
              </w:rPr>
              <w:t>veoma često</w:t>
            </w:r>
          </w:p>
          <w:p w14:paraId="32F348D7" w14:textId="77777777" w:rsidR="0083687B" w:rsidRPr="0083687B" w:rsidRDefault="0083687B">
            <w:pPr>
              <w:widowControl w:val="0"/>
              <w:autoSpaceDE w:val="0"/>
              <w:autoSpaceDN w:val="0"/>
              <w:adjustRightInd w:val="0"/>
              <w:ind w:left="567" w:hanging="567"/>
              <w:jc w:val="both"/>
              <w:rPr>
                <w:sz w:val="22"/>
                <w:szCs w:val="22"/>
              </w:rPr>
            </w:pPr>
          </w:p>
          <w:p w14:paraId="3A3E3380"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često</w:t>
            </w:r>
          </w:p>
          <w:p w14:paraId="7F4A95B4" w14:textId="77777777" w:rsidR="0083687B" w:rsidRPr="0083687B" w:rsidRDefault="0083687B">
            <w:pPr>
              <w:widowControl w:val="0"/>
              <w:autoSpaceDE w:val="0"/>
              <w:autoSpaceDN w:val="0"/>
              <w:adjustRightInd w:val="0"/>
              <w:jc w:val="both"/>
              <w:rPr>
                <w:sz w:val="22"/>
                <w:szCs w:val="22"/>
              </w:rPr>
            </w:pPr>
          </w:p>
          <w:p w14:paraId="6B5E2348" w14:textId="77777777" w:rsidR="0083687B" w:rsidRPr="0083687B" w:rsidRDefault="0083687B">
            <w:pPr>
              <w:widowControl w:val="0"/>
              <w:autoSpaceDE w:val="0"/>
              <w:autoSpaceDN w:val="0"/>
              <w:adjustRightInd w:val="0"/>
              <w:ind w:left="567" w:hanging="567"/>
              <w:jc w:val="both"/>
              <w:rPr>
                <w:sz w:val="22"/>
                <w:szCs w:val="22"/>
              </w:rPr>
            </w:pPr>
          </w:p>
          <w:p w14:paraId="157C7BF7" w14:textId="77777777" w:rsidR="0083687B" w:rsidRPr="0083687B" w:rsidRDefault="0083687B">
            <w:pPr>
              <w:widowControl w:val="0"/>
              <w:autoSpaceDE w:val="0"/>
              <w:autoSpaceDN w:val="0"/>
              <w:adjustRightInd w:val="0"/>
              <w:ind w:left="567" w:hanging="567"/>
              <w:jc w:val="both"/>
              <w:rPr>
                <w:sz w:val="22"/>
                <w:szCs w:val="22"/>
              </w:rPr>
            </w:pPr>
          </w:p>
          <w:p w14:paraId="63AC817A" w14:textId="77777777" w:rsidR="0083687B" w:rsidRPr="0083687B" w:rsidRDefault="0083687B">
            <w:pPr>
              <w:widowControl w:val="0"/>
              <w:autoSpaceDE w:val="0"/>
              <w:autoSpaceDN w:val="0"/>
              <w:adjustRightInd w:val="0"/>
              <w:jc w:val="both"/>
              <w:rPr>
                <w:sz w:val="22"/>
                <w:szCs w:val="22"/>
              </w:rPr>
            </w:pPr>
          </w:p>
          <w:p w14:paraId="6BF021D9" w14:textId="77777777" w:rsidR="0083687B" w:rsidRPr="0083687B" w:rsidRDefault="0083687B">
            <w:pPr>
              <w:widowControl w:val="0"/>
              <w:autoSpaceDE w:val="0"/>
              <w:autoSpaceDN w:val="0"/>
              <w:adjustRightInd w:val="0"/>
              <w:jc w:val="both"/>
              <w:rPr>
                <w:sz w:val="22"/>
                <w:szCs w:val="22"/>
              </w:rPr>
            </w:pPr>
          </w:p>
        </w:tc>
        <w:tc>
          <w:tcPr>
            <w:tcW w:w="5030" w:type="dxa"/>
            <w:tcBorders>
              <w:top w:val="single" w:sz="8" w:space="0" w:color="000000"/>
              <w:left w:val="single" w:sz="8" w:space="0" w:color="000000"/>
              <w:bottom w:val="single" w:sz="8" w:space="0" w:color="000000"/>
              <w:right w:val="single" w:sz="8" w:space="0" w:color="000000"/>
            </w:tcBorders>
          </w:tcPr>
          <w:p w14:paraId="764F7DAF" w14:textId="77777777" w:rsidR="0083687B" w:rsidRPr="0083687B" w:rsidRDefault="0083687B">
            <w:pPr>
              <w:widowControl w:val="0"/>
              <w:autoSpaceDE w:val="0"/>
              <w:autoSpaceDN w:val="0"/>
              <w:adjustRightInd w:val="0"/>
              <w:ind w:left="40"/>
              <w:jc w:val="both"/>
              <w:rPr>
                <w:sz w:val="22"/>
                <w:szCs w:val="22"/>
              </w:rPr>
            </w:pPr>
            <w:r w:rsidRPr="0083687B">
              <w:rPr>
                <w:sz w:val="22"/>
                <w:szCs w:val="22"/>
              </w:rPr>
              <w:t>povišen nivo lipida</w:t>
            </w:r>
          </w:p>
          <w:p w14:paraId="6295AC84" w14:textId="77777777" w:rsidR="0083687B" w:rsidRPr="0083687B" w:rsidRDefault="0083687B">
            <w:pPr>
              <w:widowControl w:val="0"/>
              <w:autoSpaceDE w:val="0"/>
              <w:autoSpaceDN w:val="0"/>
              <w:adjustRightInd w:val="0"/>
              <w:ind w:left="40"/>
              <w:jc w:val="both"/>
              <w:rPr>
                <w:sz w:val="22"/>
                <w:szCs w:val="22"/>
              </w:rPr>
            </w:pPr>
          </w:p>
          <w:p w14:paraId="23082D3B"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hipokalemija, </w:t>
            </w:r>
          </w:p>
          <w:p w14:paraId="0BBBEBC8"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povišen nivo mokraćne kiseline, </w:t>
            </w:r>
          </w:p>
          <w:p w14:paraId="435105BD"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odstupanja u nivou natrijuma u krvi, </w:t>
            </w:r>
          </w:p>
          <w:p w14:paraId="1655F256"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hipokalcemija, </w:t>
            </w:r>
          </w:p>
          <w:p w14:paraId="7A3E9C70"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hiperglikemija, </w:t>
            </w:r>
          </w:p>
          <w:p w14:paraId="4F0474AA"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hipofosfatemija, </w:t>
            </w:r>
          </w:p>
          <w:p w14:paraId="78FC80E3" w14:textId="77777777" w:rsidR="0083687B" w:rsidRPr="0083687B" w:rsidRDefault="0083687B">
            <w:pPr>
              <w:widowControl w:val="0"/>
              <w:autoSpaceDE w:val="0"/>
              <w:autoSpaceDN w:val="0"/>
              <w:adjustRightInd w:val="0"/>
              <w:ind w:left="40"/>
              <w:jc w:val="both"/>
              <w:rPr>
                <w:sz w:val="22"/>
                <w:szCs w:val="22"/>
              </w:rPr>
            </w:pPr>
            <w:r w:rsidRPr="0083687B">
              <w:rPr>
                <w:sz w:val="22"/>
                <w:szCs w:val="22"/>
              </w:rPr>
              <w:t>dehidracija</w:t>
            </w:r>
          </w:p>
        </w:tc>
      </w:tr>
      <w:tr w:rsidR="0083687B" w:rsidRPr="0083687B" w14:paraId="69727C3C" w14:textId="77777777" w:rsidTr="00BF30CE">
        <w:trPr>
          <w:trHeight w:val="701"/>
        </w:trPr>
        <w:tc>
          <w:tcPr>
            <w:tcW w:w="2522" w:type="dxa"/>
            <w:tcBorders>
              <w:top w:val="single" w:sz="8" w:space="0" w:color="000000"/>
              <w:left w:val="single" w:sz="8" w:space="0" w:color="000000"/>
              <w:bottom w:val="single" w:sz="8" w:space="0" w:color="000000"/>
              <w:right w:val="single" w:sz="8" w:space="0" w:color="000000"/>
            </w:tcBorders>
          </w:tcPr>
          <w:p w14:paraId="5A9CB398" w14:textId="77777777" w:rsidR="0083687B" w:rsidRPr="0083687B" w:rsidRDefault="0083687B" w:rsidP="00730D96">
            <w:pPr>
              <w:widowControl w:val="0"/>
              <w:autoSpaceDE w:val="0"/>
              <w:autoSpaceDN w:val="0"/>
              <w:adjustRightInd w:val="0"/>
              <w:jc w:val="both"/>
              <w:rPr>
                <w:sz w:val="22"/>
                <w:szCs w:val="22"/>
              </w:rPr>
            </w:pPr>
            <w:r w:rsidRPr="0083687B">
              <w:rPr>
                <w:sz w:val="22"/>
                <w:szCs w:val="22"/>
              </w:rPr>
              <w:t xml:space="preserve">Psihijatrijski poremećaji </w:t>
            </w:r>
          </w:p>
        </w:tc>
        <w:tc>
          <w:tcPr>
            <w:tcW w:w="1393" w:type="dxa"/>
            <w:tcBorders>
              <w:top w:val="single" w:sz="8" w:space="0" w:color="000000"/>
              <w:left w:val="single" w:sz="8" w:space="0" w:color="000000"/>
              <w:bottom w:val="single" w:sz="8" w:space="0" w:color="000000"/>
              <w:right w:val="single" w:sz="8" w:space="0" w:color="000000"/>
            </w:tcBorders>
          </w:tcPr>
          <w:p w14:paraId="48A2B279"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često</w:t>
            </w:r>
          </w:p>
        </w:tc>
        <w:tc>
          <w:tcPr>
            <w:tcW w:w="5030" w:type="dxa"/>
            <w:tcBorders>
              <w:top w:val="single" w:sz="8" w:space="0" w:color="000000"/>
              <w:left w:val="single" w:sz="8" w:space="0" w:color="000000"/>
              <w:bottom w:val="single" w:sz="8" w:space="0" w:color="000000"/>
              <w:right w:val="single" w:sz="8" w:space="0" w:color="000000"/>
            </w:tcBorders>
          </w:tcPr>
          <w:p w14:paraId="24A5A726"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promjene raspoloženja (uključujući depresiju), </w:t>
            </w:r>
          </w:p>
          <w:p w14:paraId="020A1275" w14:textId="77777777" w:rsidR="0083687B" w:rsidRPr="0083687B" w:rsidRDefault="0083687B">
            <w:pPr>
              <w:widowControl w:val="0"/>
              <w:autoSpaceDE w:val="0"/>
              <w:autoSpaceDN w:val="0"/>
              <w:adjustRightInd w:val="0"/>
              <w:ind w:left="40"/>
              <w:jc w:val="both"/>
              <w:rPr>
                <w:sz w:val="22"/>
                <w:szCs w:val="22"/>
              </w:rPr>
            </w:pPr>
            <w:r w:rsidRPr="0083687B">
              <w:rPr>
                <w:sz w:val="22"/>
                <w:szCs w:val="22"/>
              </w:rPr>
              <w:t>anksioznost,</w:t>
            </w:r>
          </w:p>
          <w:p w14:paraId="5772C814" w14:textId="77777777" w:rsidR="0083687B" w:rsidRPr="0083687B" w:rsidRDefault="0083687B">
            <w:pPr>
              <w:widowControl w:val="0"/>
              <w:autoSpaceDE w:val="0"/>
              <w:autoSpaceDN w:val="0"/>
              <w:adjustRightInd w:val="0"/>
              <w:ind w:left="40"/>
              <w:jc w:val="both"/>
              <w:rPr>
                <w:sz w:val="22"/>
                <w:szCs w:val="22"/>
              </w:rPr>
            </w:pPr>
            <w:r w:rsidRPr="0083687B">
              <w:rPr>
                <w:sz w:val="22"/>
                <w:szCs w:val="22"/>
              </w:rPr>
              <w:t>nesanica</w:t>
            </w:r>
          </w:p>
        </w:tc>
      </w:tr>
      <w:tr w:rsidR="0083687B" w:rsidRPr="0083687B" w14:paraId="1A0B507A" w14:textId="77777777" w:rsidTr="00BF30CE">
        <w:trPr>
          <w:trHeight w:val="556"/>
        </w:trPr>
        <w:tc>
          <w:tcPr>
            <w:tcW w:w="2522" w:type="dxa"/>
            <w:tcBorders>
              <w:top w:val="single" w:sz="8" w:space="0" w:color="000000"/>
              <w:left w:val="single" w:sz="8" w:space="0" w:color="000000"/>
              <w:bottom w:val="single" w:sz="8" w:space="0" w:color="000000"/>
              <w:right w:val="single" w:sz="8" w:space="0" w:color="000000"/>
            </w:tcBorders>
          </w:tcPr>
          <w:p w14:paraId="6814F9E3" w14:textId="77777777" w:rsidR="0083687B" w:rsidRPr="0083687B" w:rsidRDefault="0083687B" w:rsidP="00EB3350">
            <w:pPr>
              <w:widowControl w:val="0"/>
              <w:autoSpaceDE w:val="0"/>
              <w:autoSpaceDN w:val="0"/>
              <w:adjustRightInd w:val="0"/>
              <w:jc w:val="both"/>
              <w:rPr>
                <w:sz w:val="22"/>
                <w:szCs w:val="22"/>
              </w:rPr>
            </w:pPr>
            <w:r w:rsidRPr="0083687B">
              <w:rPr>
                <w:sz w:val="22"/>
                <w:szCs w:val="22"/>
              </w:rPr>
              <w:t>Poremećaji nervnog sistema*</w:t>
            </w:r>
          </w:p>
        </w:tc>
        <w:tc>
          <w:tcPr>
            <w:tcW w:w="1393" w:type="dxa"/>
            <w:tcBorders>
              <w:top w:val="single" w:sz="8" w:space="0" w:color="000000"/>
              <w:left w:val="single" w:sz="8" w:space="0" w:color="000000"/>
              <w:bottom w:val="single" w:sz="8" w:space="0" w:color="000000"/>
              <w:right w:val="single" w:sz="8" w:space="0" w:color="000000"/>
            </w:tcBorders>
          </w:tcPr>
          <w:p w14:paraId="07C36F7B" w14:textId="77777777" w:rsidR="0083687B" w:rsidRPr="0083687B" w:rsidRDefault="0083687B" w:rsidP="00730D96">
            <w:pPr>
              <w:widowControl w:val="0"/>
              <w:autoSpaceDE w:val="0"/>
              <w:autoSpaceDN w:val="0"/>
              <w:adjustRightInd w:val="0"/>
              <w:ind w:left="567" w:hanging="567"/>
              <w:jc w:val="both"/>
              <w:rPr>
                <w:sz w:val="22"/>
                <w:szCs w:val="22"/>
              </w:rPr>
            </w:pPr>
            <w:r w:rsidRPr="0083687B">
              <w:rPr>
                <w:sz w:val="22"/>
                <w:szCs w:val="22"/>
              </w:rPr>
              <w:t>veoma često</w:t>
            </w:r>
          </w:p>
          <w:p w14:paraId="6F987861" w14:textId="77777777" w:rsidR="0083687B" w:rsidRPr="0083687B" w:rsidRDefault="0083687B">
            <w:pPr>
              <w:widowControl w:val="0"/>
              <w:autoSpaceDE w:val="0"/>
              <w:autoSpaceDN w:val="0"/>
              <w:adjustRightInd w:val="0"/>
              <w:ind w:left="567" w:hanging="567"/>
              <w:jc w:val="both"/>
              <w:rPr>
                <w:sz w:val="22"/>
                <w:szCs w:val="22"/>
              </w:rPr>
            </w:pPr>
          </w:p>
          <w:p w14:paraId="474F1201"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često</w:t>
            </w:r>
          </w:p>
          <w:p w14:paraId="3F729870" w14:textId="77777777" w:rsidR="0083687B" w:rsidRPr="0083687B" w:rsidRDefault="0083687B">
            <w:pPr>
              <w:widowControl w:val="0"/>
              <w:autoSpaceDE w:val="0"/>
              <w:autoSpaceDN w:val="0"/>
              <w:adjustRightInd w:val="0"/>
              <w:ind w:left="567" w:hanging="567"/>
              <w:jc w:val="both"/>
              <w:rPr>
                <w:sz w:val="22"/>
                <w:szCs w:val="22"/>
              </w:rPr>
            </w:pPr>
          </w:p>
          <w:p w14:paraId="2A4EE5FE" w14:textId="77777777" w:rsidR="0083687B" w:rsidRPr="0083687B" w:rsidRDefault="0083687B">
            <w:pPr>
              <w:widowControl w:val="0"/>
              <w:autoSpaceDE w:val="0"/>
              <w:autoSpaceDN w:val="0"/>
              <w:adjustRightInd w:val="0"/>
              <w:ind w:left="567" w:hanging="567"/>
              <w:jc w:val="both"/>
              <w:rPr>
                <w:sz w:val="22"/>
                <w:szCs w:val="22"/>
              </w:rPr>
            </w:pPr>
          </w:p>
          <w:p w14:paraId="2FDA0AEE" w14:textId="77777777" w:rsidR="0083687B" w:rsidRPr="0083687B" w:rsidRDefault="0083687B">
            <w:pPr>
              <w:widowControl w:val="0"/>
              <w:autoSpaceDE w:val="0"/>
              <w:autoSpaceDN w:val="0"/>
              <w:adjustRightInd w:val="0"/>
              <w:ind w:left="567" w:hanging="567"/>
              <w:jc w:val="both"/>
              <w:rPr>
                <w:sz w:val="22"/>
                <w:szCs w:val="22"/>
              </w:rPr>
            </w:pPr>
          </w:p>
          <w:p w14:paraId="5AE21524"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povremeno</w:t>
            </w:r>
          </w:p>
          <w:p w14:paraId="2E51E743" w14:textId="77777777" w:rsidR="0083687B" w:rsidRPr="0083687B" w:rsidRDefault="0083687B">
            <w:pPr>
              <w:widowControl w:val="0"/>
              <w:autoSpaceDE w:val="0"/>
              <w:autoSpaceDN w:val="0"/>
              <w:adjustRightInd w:val="0"/>
              <w:ind w:left="567" w:hanging="567"/>
              <w:jc w:val="both"/>
              <w:rPr>
                <w:sz w:val="22"/>
                <w:szCs w:val="22"/>
              </w:rPr>
            </w:pPr>
          </w:p>
          <w:p w14:paraId="1721BF5F" w14:textId="77777777" w:rsidR="0083687B" w:rsidRPr="0083687B" w:rsidRDefault="0083687B">
            <w:pPr>
              <w:widowControl w:val="0"/>
              <w:autoSpaceDE w:val="0"/>
              <w:autoSpaceDN w:val="0"/>
              <w:adjustRightInd w:val="0"/>
              <w:ind w:left="567" w:hanging="567"/>
              <w:jc w:val="both"/>
              <w:rPr>
                <w:sz w:val="22"/>
                <w:szCs w:val="22"/>
              </w:rPr>
            </w:pPr>
          </w:p>
          <w:p w14:paraId="04B764AD" w14:textId="77777777" w:rsidR="0083687B" w:rsidRPr="0083687B" w:rsidRDefault="0083687B">
            <w:pPr>
              <w:widowControl w:val="0"/>
              <w:autoSpaceDE w:val="0"/>
              <w:autoSpaceDN w:val="0"/>
              <w:adjustRightInd w:val="0"/>
              <w:ind w:left="567" w:hanging="567"/>
              <w:jc w:val="both"/>
              <w:rPr>
                <w:sz w:val="22"/>
                <w:szCs w:val="22"/>
              </w:rPr>
            </w:pPr>
          </w:p>
          <w:p w14:paraId="0A9DE711"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rijetko</w:t>
            </w:r>
          </w:p>
        </w:tc>
        <w:tc>
          <w:tcPr>
            <w:tcW w:w="5030" w:type="dxa"/>
            <w:tcBorders>
              <w:top w:val="single" w:sz="8" w:space="0" w:color="000000"/>
              <w:left w:val="single" w:sz="8" w:space="0" w:color="000000"/>
              <w:bottom w:val="single" w:sz="8" w:space="0" w:color="000000"/>
              <w:right w:val="single" w:sz="8" w:space="0" w:color="000000"/>
            </w:tcBorders>
          </w:tcPr>
          <w:p w14:paraId="66B61CB6" w14:textId="77777777" w:rsidR="0083687B" w:rsidRPr="0083687B" w:rsidRDefault="0083687B">
            <w:pPr>
              <w:widowControl w:val="0"/>
              <w:autoSpaceDE w:val="0"/>
              <w:autoSpaceDN w:val="0"/>
              <w:adjustRightInd w:val="0"/>
              <w:ind w:left="40"/>
              <w:jc w:val="both"/>
              <w:rPr>
                <w:sz w:val="22"/>
                <w:szCs w:val="22"/>
              </w:rPr>
            </w:pPr>
            <w:r w:rsidRPr="0083687B">
              <w:rPr>
                <w:sz w:val="22"/>
                <w:szCs w:val="22"/>
              </w:rPr>
              <w:t>glavobolja</w:t>
            </w:r>
          </w:p>
          <w:p w14:paraId="73787264" w14:textId="77777777" w:rsidR="0083687B" w:rsidRPr="0083687B" w:rsidRDefault="0083687B">
            <w:pPr>
              <w:widowControl w:val="0"/>
              <w:autoSpaceDE w:val="0"/>
              <w:autoSpaceDN w:val="0"/>
              <w:adjustRightInd w:val="0"/>
              <w:ind w:left="40"/>
              <w:jc w:val="both"/>
              <w:rPr>
                <w:sz w:val="22"/>
                <w:szCs w:val="22"/>
              </w:rPr>
            </w:pPr>
          </w:p>
          <w:p w14:paraId="6EC96554"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parestezija (uključujući hipoesteziju), </w:t>
            </w:r>
          </w:p>
          <w:p w14:paraId="3F414339"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migrena, </w:t>
            </w:r>
          </w:p>
          <w:p w14:paraId="45BCB75A" w14:textId="77777777" w:rsidR="0083687B" w:rsidRPr="0083687B" w:rsidRDefault="0083687B">
            <w:pPr>
              <w:widowControl w:val="0"/>
              <w:autoSpaceDE w:val="0"/>
              <w:autoSpaceDN w:val="0"/>
              <w:adjustRightInd w:val="0"/>
              <w:ind w:left="40"/>
              <w:jc w:val="both"/>
              <w:rPr>
                <w:sz w:val="22"/>
                <w:szCs w:val="22"/>
              </w:rPr>
            </w:pPr>
            <w:r w:rsidRPr="0083687B">
              <w:rPr>
                <w:sz w:val="22"/>
                <w:szCs w:val="22"/>
              </w:rPr>
              <w:t>išijas</w:t>
            </w:r>
          </w:p>
          <w:p w14:paraId="73D2C2C5" w14:textId="77777777" w:rsidR="0083687B" w:rsidRPr="0083687B" w:rsidRDefault="0083687B">
            <w:pPr>
              <w:widowControl w:val="0"/>
              <w:autoSpaceDE w:val="0"/>
              <w:autoSpaceDN w:val="0"/>
              <w:adjustRightInd w:val="0"/>
              <w:ind w:left="40"/>
              <w:jc w:val="both"/>
              <w:rPr>
                <w:sz w:val="22"/>
                <w:szCs w:val="22"/>
              </w:rPr>
            </w:pPr>
          </w:p>
          <w:p w14:paraId="7786FFEA" w14:textId="77777777" w:rsidR="0083687B" w:rsidRPr="0083687B" w:rsidRDefault="0083687B">
            <w:pPr>
              <w:widowControl w:val="0"/>
              <w:autoSpaceDE w:val="0"/>
              <w:autoSpaceDN w:val="0"/>
              <w:adjustRightInd w:val="0"/>
              <w:ind w:left="40"/>
              <w:jc w:val="both"/>
              <w:rPr>
                <w:sz w:val="22"/>
                <w:szCs w:val="22"/>
              </w:rPr>
            </w:pPr>
            <w:r w:rsidRPr="0083687B">
              <w:rPr>
                <w:sz w:val="22"/>
                <w:szCs w:val="22"/>
              </w:rPr>
              <w:t>cerebrovaskularni događaj</w:t>
            </w:r>
            <w:r w:rsidRPr="0083687B">
              <w:rPr>
                <w:sz w:val="22"/>
                <w:szCs w:val="22"/>
                <w:vertAlign w:val="superscript"/>
              </w:rPr>
              <w:t>1)</w:t>
            </w:r>
            <w:r w:rsidRPr="0083687B">
              <w:rPr>
                <w:sz w:val="22"/>
                <w:szCs w:val="22"/>
              </w:rPr>
              <w:t>,</w:t>
            </w:r>
          </w:p>
          <w:p w14:paraId="1114BA0F" w14:textId="77777777" w:rsidR="0083687B" w:rsidRPr="0083687B" w:rsidRDefault="0083687B">
            <w:pPr>
              <w:widowControl w:val="0"/>
              <w:autoSpaceDE w:val="0"/>
              <w:autoSpaceDN w:val="0"/>
              <w:adjustRightInd w:val="0"/>
              <w:ind w:left="40"/>
              <w:jc w:val="both"/>
              <w:rPr>
                <w:sz w:val="22"/>
                <w:szCs w:val="22"/>
              </w:rPr>
            </w:pPr>
            <w:r w:rsidRPr="0083687B">
              <w:rPr>
                <w:sz w:val="22"/>
                <w:szCs w:val="22"/>
              </w:rPr>
              <w:t>tremor,</w:t>
            </w:r>
          </w:p>
          <w:p w14:paraId="63328346"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neuropatija </w:t>
            </w:r>
          </w:p>
          <w:p w14:paraId="23E30C9E" w14:textId="77777777" w:rsidR="0083687B" w:rsidRPr="0083687B" w:rsidRDefault="0083687B">
            <w:pPr>
              <w:widowControl w:val="0"/>
              <w:autoSpaceDE w:val="0"/>
              <w:autoSpaceDN w:val="0"/>
              <w:adjustRightInd w:val="0"/>
              <w:ind w:left="40"/>
              <w:jc w:val="both"/>
              <w:rPr>
                <w:sz w:val="22"/>
                <w:szCs w:val="22"/>
              </w:rPr>
            </w:pPr>
          </w:p>
          <w:p w14:paraId="5867CA5C" w14:textId="77777777" w:rsidR="0083687B" w:rsidRPr="0083687B" w:rsidRDefault="0083687B">
            <w:pPr>
              <w:widowControl w:val="0"/>
              <w:autoSpaceDE w:val="0"/>
              <w:autoSpaceDN w:val="0"/>
              <w:adjustRightInd w:val="0"/>
              <w:ind w:left="40"/>
              <w:jc w:val="both"/>
              <w:rPr>
                <w:sz w:val="22"/>
                <w:szCs w:val="22"/>
              </w:rPr>
            </w:pPr>
            <w:r w:rsidRPr="0083687B">
              <w:rPr>
                <w:sz w:val="22"/>
                <w:szCs w:val="22"/>
              </w:rPr>
              <w:t>multipla skleroza,</w:t>
            </w:r>
          </w:p>
          <w:p w14:paraId="20CB17C5" w14:textId="77777777" w:rsidR="0083687B" w:rsidRPr="0083687B" w:rsidRDefault="0083687B">
            <w:pPr>
              <w:widowControl w:val="0"/>
              <w:autoSpaceDE w:val="0"/>
              <w:autoSpaceDN w:val="0"/>
              <w:adjustRightInd w:val="0"/>
              <w:ind w:left="40"/>
              <w:jc w:val="both"/>
              <w:rPr>
                <w:sz w:val="22"/>
                <w:szCs w:val="22"/>
              </w:rPr>
            </w:pPr>
            <w:r w:rsidRPr="0083687B">
              <w:rPr>
                <w:sz w:val="22"/>
                <w:szCs w:val="22"/>
              </w:rPr>
              <w:t>demijelinizirajući poremećaji (npr. optički neuritis, Guillan-Barréov sindrom)</w:t>
            </w:r>
            <w:r w:rsidRPr="0083687B">
              <w:rPr>
                <w:sz w:val="22"/>
                <w:szCs w:val="22"/>
                <w:vertAlign w:val="superscript"/>
              </w:rPr>
              <w:t xml:space="preserve"> 1)</w:t>
            </w:r>
            <w:r w:rsidRPr="0083687B">
              <w:rPr>
                <w:sz w:val="22"/>
                <w:szCs w:val="22"/>
              </w:rPr>
              <w:t xml:space="preserve">, </w:t>
            </w:r>
          </w:p>
          <w:p w14:paraId="2A5BAD12" w14:textId="592A2580" w:rsidR="0083687B" w:rsidRPr="0083687B" w:rsidRDefault="0083687B">
            <w:pPr>
              <w:widowControl w:val="0"/>
              <w:autoSpaceDE w:val="0"/>
              <w:autoSpaceDN w:val="0"/>
              <w:adjustRightInd w:val="0"/>
              <w:ind w:left="40"/>
              <w:jc w:val="both"/>
              <w:rPr>
                <w:sz w:val="22"/>
                <w:szCs w:val="22"/>
              </w:rPr>
            </w:pPr>
          </w:p>
        </w:tc>
      </w:tr>
      <w:tr w:rsidR="0083687B" w:rsidRPr="0083687B" w14:paraId="04E31DF7" w14:textId="77777777" w:rsidTr="00BF30CE">
        <w:trPr>
          <w:trHeight w:val="1009"/>
        </w:trPr>
        <w:tc>
          <w:tcPr>
            <w:tcW w:w="2522" w:type="dxa"/>
            <w:tcBorders>
              <w:top w:val="single" w:sz="8" w:space="0" w:color="000000"/>
              <w:left w:val="single" w:sz="8" w:space="0" w:color="000000"/>
              <w:bottom w:val="single" w:sz="8" w:space="0" w:color="000000"/>
              <w:right w:val="single" w:sz="8" w:space="0" w:color="000000"/>
            </w:tcBorders>
          </w:tcPr>
          <w:p w14:paraId="3F1B0FFE" w14:textId="77777777" w:rsidR="0083687B" w:rsidRPr="0083687B" w:rsidRDefault="0083687B" w:rsidP="00730D96">
            <w:pPr>
              <w:widowControl w:val="0"/>
              <w:autoSpaceDE w:val="0"/>
              <w:autoSpaceDN w:val="0"/>
              <w:adjustRightInd w:val="0"/>
              <w:jc w:val="both"/>
              <w:rPr>
                <w:sz w:val="22"/>
                <w:szCs w:val="22"/>
              </w:rPr>
            </w:pPr>
            <w:r w:rsidRPr="0083687B">
              <w:rPr>
                <w:sz w:val="22"/>
                <w:szCs w:val="22"/>
              </w:rPr>
              <w:t>Poremećaji oka</w:t>
            </w:r>
          </w:p>
        </w:tc>
        <w:tc>
          <w:tcPr>
            <w:tcW w:w="1393" w:type="dxa"/>
            <w:tcBorders>
              <w:top w:val="single" w:sz="8" w:space="0" w:color="000000"/>
              <w:left w:val="single" w:sz="8" w:space="0" w:color="000000"/>
              <w:bottom w:val="single" w:sz="8" w:space="0" w:color="000000"/>
              <w:right w:val="single" w:sz="8" w:space="0" w:color="000000"/>
            </w:tcBorders>
          </w:tcPr>
          <w:p w14:paraId="0C415B8B"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često</w:t>
            </w:r>
          </w:p>
          <w:p w14:paraId="426195EC" w14:textId="77777777" w:rsidR="0083687B" w:rsidRPr="0083687B" w:rsidRDefault="0083687B">
            <w:pPr>
              <w:widowControl w:val="0"/>
              <w:autoSpaceDE w:val="0"/>
              <w:autoSpaceDN w:val="0"/>
              <w:adjustRightInd w:val="0"/>
              <w:ind w:left="567" w:hanging="567"/>
              <w:jc w:val="both"/>
              <w:rPr>
                <w:sz w:val="22"/>
                <w:szCs w:val="22"/>
              </w:rPr>
            </w:pPr>
          </w:p>
          <w:p w14:paraId="34C161F1" w14:textId="77777777" w:rsidR="0083687B" w:rsidRPr="0083687B" w:rsidRDefault="0083687B">
            <w:pPr>
              <w:widowControl w:val="0"/>
              <w:autoSpaceDE w:val="0"/>
              <w:autoSpaceDN w:val="0"/>
              <w:adjustRightInd w:val="0"/>
              <w:ind w:left="567" w:hanging="567"/>
              <w:jc w:val="both"/>
              <w:rPr>
                <w:sz w:val="22"/>
                <w:szCs w:val="22"/>
              </w:rPr>
            </w:pPr>
          </w:p>
          <w:p w14:paraId="79D720E8" w14:textId="77777777" w:rsidR="0083687B" w:rsidRPr="0083687B" w:rsidRDefault="0083687B">
            <w:pPr>
              <w:widowControl w:val="0"/>
              <w:autoSpaceDE w:val="0"/>
              <w:autoSpaceDN w:val="0"/>
              <w:adjustRightInd w:val="0"/>
              <w:ind w:left="567" w:hanging="567"/>
              <w:jc w:val="both"/>
              <w:rPr>
                <w:sz w:val="22"/>
                <w:szCs w:val="22"/>
              </w:rPr>
            </w:pPr>
          </w:p>
          <w:p w14:paraId="4D1653A0" w14:textId="77777777" w:rsidR="0083687B" w:rsidRPr="0083687B" w:rsidRDefault="0083687B">
            <w:pPr>
              <w:widowControl w:val="0"/>
              <w:autoSpaceDE w:val="0"/>
              <w:autoSpaceDN w:val="0"/>
              <w:adjustRightInd w:val="0"/>
              <w:jc w:val="both"/>
              <w:rPr>
                <w:sz w:val="22"/>
                <w:szCs w:val="22"/>
              </w:rPr>
            </w:pPr>
          </w:p>
          <w:p w14:paraId="6C92F7F7"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povremeno</w:t>
            </w:r>
          </w:p>
        </w:tc>
        <w:tc>
          <w:tcPr>
            <w:tcW w:w="5030" w:type="dxa"/>
            <w:tcBorders>
              <w:top w:val="single" w:sz="8" w:space="0" w:color="000000"/>
              <w:left w:val="single" w:sz="8" w:space="0" w:color="000000"/>
              <w:bottom w:val="single" w:sz="8" w:space="0" w:color="000000"/>
              <w:right w:val="single" w:sz="8" w:space="0" w:color="000000"/>
            </w:tcBorders>
          </w:tcPr>
          <w:p w14:paraId="5D3FAC93"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smetnje vida, </w:t>
            </w:r>
          </w:p>
          <w:p w14:paraId="6ECC6854" w14:textId="77777777" w:rsidR="0083687B" w:rsidRPr="0083687B" w:rsidRDefault="0083687B">
            <w:pPr>
              <w:widowControl w:val="0"/>
              <w:autoSpaceDE w:val="0"/>
              <w:autoSpaceDN w:val="0"/>
              <w:adjustRightInd w:val="0"/>
              <w:ind w:left="40"/>
              <w:jc w:val="both"/>
              <w:rPr>
                <w:sz w:val="22"/>
                <w:szCs w:val="22"/>
              </w:rPr>
            </w:pPr>
            <w:r w:rsidRPr="0083687B">
              <w:rPr>
                <w:sz w:val="22"/>
                <w:szCs w:val="22"/>
              </w:rPr>
              <w:t>konjuktivitis</w:t>
            </w:r>
          </w:p>
          <w:p w14:paraId="32CB520E"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blefaritis, </w:t>
            </w:r>
          </w:p>
          <w:p w14:paraId="3D17C086"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oticanje očiju </w:t>
            </w:r>
          </w:p>
          <w:p w14:paraId="53419B90" w14:textId="77777777" w:rsidR="0083687B" w:rsidRPr="0083687B" w:rsidRDefault="0083687B">
            <w:pPr>
              <w:widowControl w:val="0"/>
              <w:autoSpaceDE w:val="0"/>
              <w:autoSpaceDN w:val="0"/>
              <w:adjustRightInd w:val="0"/>
              <w:jc w:val="both"/>
              <w:rPr>
                <w:sz w:val="22"/>
                <w:szCs w:val="22"/>
              </w:rPr>
            </w:pPr>
          </w:p>
          <w:p w14:paraId="16F9B6B6" w14:textId="77777777" w:rsidR="0083687B" w:rsidRPr="0083687B" w:rsidRDefault="0083687B">
            <w:pPr>
              <w:widowControl w:val="0"/>
              <w:autoSpaceDE w:val="0"/>
              <w:autoSpaceDN w:val="0"/>
              <w:adjustRightInd w:val="0"/>
              <w:ind w:left="40"/>
              <w:jc w:val="both"/>
              <w:rPr>
                <w:sz w:val="22"/>
                <w:szCs w:val="22"/>
              </w:rPr>
            </w:pPr>
            <w:r w:rsidRPr="0083687B">
              <w:rPr>
                <w:sz w:val="22"/>
                <w:szCs w:val="22"/>
              </w:rPr>
              <w:t>diplopija</w:t>
            </w:r>
          </w:p>
        </w:tc>
      </w:tr>
      <w:tr w:rsidR="0083687B" w:rsidRPr="0083687B" w14:paraId="2AD5444A" w14:textId="77777777" w:rsidTr="00BF30CE">
        <w:trPr>
          <w:trHeight w:val="1090"/>
        </w:trPr>
        <w:tc>
          <w:tcPr>
            <w:tcW w:w="2522" w:type="dxa"/>
            <w:tcBorders>
              <w:top w:val="single" w:sz="8" w:space="0" w:color="000000"/>
              <w:left w:val="single" w:sz="8" w:space="0" w:color="000000"/>
              <w:bottom w:val="single" w:sz="8" w:space="0" w:color="000000"/>
              <w:right w:val="single" w:sz="8" w:space="0" w:color="000000"/>
            </w:tcBorders>
          </w:tcPr>
          <w:p w14:paraId="180148E7" w14:textId="77777777" w:rsidR="0083687B" w:rsidRPr="0083687B" w:rsidRDefault="0083687B" w:rsidP="00730D96">
            <w:pPr>
              <w:widowControl w:val="0"/>
              <w:autoSpaceDE w:val="0"/>
              <w:autoSpaceDN w:val="0"/>
              <w:adjustRightInd w:val="0"/>
              <w:ind w:left="567" w:hanging="567"/>
              <w:jc w:val="both"/>
              <w:rPr>
                <w:sz w:val="22"/>
                <w:szCs w:val="22"/>
              </w:rPr>
            </w:pPr>
            <w:r w:rsidRPr="0083687B">
              <w:rPr>
                <w:sz w:val="22"/>
                <w:szCs w:val="22"/>
              </w:rPr>
              <w:lastRenderedPageBreak/>
              <w:t xml:space="preserve">Poremećaji uha i </w:t>
            </w:r>
          </w:p>
          <w:p w14:paraId="045673EE"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labirinta </w:t>
            </w:r>
          </w:p>
        </w:tc>
        <w:tc>
          <w:tcPr>
            <w:tcW w:w="1393" w:type="dxa"/>
            <w:tcBorders>
              <w:top w:val="single" w:sz="8" w:space="0" w:color="000000"/>
              <w:left w:val="single" w:sz="8" w:space="0" w:color="000000"/>
              <w:bottom w:val="single" w:sz="8" w:space="0" w:color="000000"/>
              <w:right w:val="single" w:sz="8" w:space="0" w:color="000000"/>
            </w:tcBorders>
          </w:tcPr>
          <w:p w14:paraId="03AA12CF"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često</w:t>
            </w:r>
          </w:p>
          <w:p w14:paraId="2EA03C28" w14:textId="77777777" w:rsidR="0083687B" w:rsidRPr="0083687B" w:rsidRDefault="0083687B">
            <w:pPr>
              <w:widowControl w:val="0"/>
              <w:autoSpaceDE w:val="0"/>
              <w:autoSpaceDN w:val="0"/>
              <w:adjustRightInd w:val="0"/>
              <w:ind w:left="567" w:hanging="567"/>
              <w:jc w:val="both"/>
              <w:rPr>
                <w:sz w:val="22"/>
                <w:szCs w:val="22"/>
              </w:rPr>
            </w:pPr>
          </w:p>
          <w:p w14:paraId="5430A3C5"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povremeno</w:t>
            </w:r>
          </w:p>
          <w:p w14:paraId="6907A337" w14:textId="77777777" w:rsidR="0083687B" w:rsidRPr="0083687B" w:rsidRDefault="0083687B">
            <w:pPr>
              <w:widowControl w:val="0"/>
              <w:autoSpaceDE w:val="0"/>
              <w:autoSpaceDN w:val="0"/>
              <w:adjustRightInd w:val="0"/>
              <w:ind w:left="567" w:hanging="567"/>
              <w:jc w:val="both"/>
              <w:rPr>
                <w:sz w:val="22"/>
                <w:szCs w:val="22"/>
              </w:rPr>
            </w:pPr>
          </w:p>
        </w:tc>
        <w:tc>
          <w:tcPr>
            <w:tcW w:w="5030" w:type="dxa"/>
            <w:tcBorders>
              <w:top w:val="single" w:sz="8" w:space="0" w:color="000000"/>
              <w:left w:val="single" w:sz="8" w:space="0" w:color="000000"/>
              <w:bottom w:val="single" w:sz="8" w:space="0" w:color="000000"/>
              <w:right w:val="single" w:sz="8" w:space="0" w:color="000000"/>
            </w:tcBorders>
          </w:tcPr>
          <w:p w14:paraId="650D6F56" w14:textId="77777777" w:rsidR="0083687B" w:rsidRPr="0083687B" w:rsidRDefault="0083687B">
            <w:pPr>
              <w:widowControl w:val="0"/>
              <w:autoSpaceDE w:val="0"/>
              <w:autoSpaceDN w:val="0"/>
              <w:adjustRightInd w:val="0"/>
              <w:ind w:left="40"/>
              <w:jc w:val="both"/>
              <w:rPr>
                <w:sz w:val="22"/>
                <w:szCs w:val="22"/>
              </w:rPr>
            </w:pPr>
            <w:r w:rsidRPr="0083687B">
              <w:rPr>
                <w:sz w:val="22"/>
                <w:szCs w:val="22"/>
              </w:rPr>
              <w:t>vertigo</w:t>
            </w:r>
          </w:p>
          <w:p w14:paraId="4F7527D5" w14:textId="77777777" w:rsidR="0083687B" w:rsidRPr="0083687B" w:rsidRDefault="0083687B">
            <w:pPr>
              <w:widowControl w:val="0"/>
              <w:autoSpaceDE w:val="0"/>
              <w:autoSpaceDN w:val="0"/>
              <w:adjustRightInd w:val="0"/>
              <w:ind w:left="40"/>
              <w:jc w:val="both"/>
              <w:rPr>
                <w:sz w:val="22"/>
                <w:szCs w:val="22"/>
              </w:rPr>
            </w:pPr>
          </w:p>
          <w:p w14:paraId="5C85FE4E"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gluvoća, </w:t>
            </w:r>
          </w:p>
          <w:p w14:paraId="1B79CDB4" w14:textId="77777777" w:rsidR="0083687B" w:rsidRPr="0083687B" w:rsidRDefault="0083687B">
            <w:pPr>
              <w:widowControl w:val="0"/>
              <w:autoSpaceDE w:val="0"/>
              <w:autoSpaceDN w:val="0"/>
              <w:adjustRightInd w:val="0"/>
              <w:ind w:left="40"/>
              <w:jc w:val="both"/>
              <w:rPr>
                <w:sz w:val="22"/>
                <w:szCs w:val="22"/>
              </w:rPr>
            </w:pPr>
            <w:r w:rsidRPr="0083687B">
              <w:rPr>
                <w:sz w:val="22"/>
                <w:szCs w:val="22"/>
              </w:rPr>
              <w:t>tinitus</w:t>
            </w:r>
          </w:p>
        </w:tc>
      </w:tr>
      <w:tr w:rsidR="0083687B" w:rsidRPr="0083687B" w14:paraId="1718419D" w14:textId="77777777" w:rsidTr="00BF30CE">
        <w:trPr>
          <w:trHeight w:val="1605"/>
        </w:trPr>
        <w:tc>
          <w:tcPr>
            <w:tcW w:w="2522" w:type="dxa"/>
            <w:tcBorders>
              <w:top w:val="single" w:sz="8" w:space="0" w:color="000000"/>
              <w:left w:val="single" w:sz="8" w:space="0" w:color="000000"/>
              <w:bottom w:val="single" w:sz="8" w:space="0" w:color="000000"/>
              <w:right w:val="single" w:sz="8" w:space="0" w:color="000000"/>
            </w:tcBorders>
          </w:tcPr>
          <w:p w14:paraId="52A992D0" w14:textId="77777777" w:rsidR="0083687B" w:rsidRPr="0083687B" w:rsidRDefault="0083687B" w:rsidP="00730D96">
            <w:pPr>
              <w:widowControl w:val="0"/>
              <w:autoSpaceDE w:val="0"/>
              <w:autoSpaceDN w:val="0"/>
              <w:adjustRightInd w:val="0"/>
              <w:ind w:left="567" w:hanging="567"/>
              <w:jc w:val="both"/>
              <w:rPr>
                <w:sz w:val="22"/>
                <w:szCs w:val="22"/>
              </w:rPr>
            </w:pPr>
            <w:r w:rsidRPr="0083687B">
              <w:rPr>
                <w:sz w:val="22"/>
                <w:szCs w:val="22"/>
              </w:rPr>
              <w:t xml:space="preserve">Srčani poremećaji* </w:t>
            </w:r>
          </w:p>
        </w:tc>
        <w:tc>
          <w:tcPr>
            <w:tcW w:w="1393" w:type="dxa"/>
            <w:tcBorders>
              <w:top w:val="single" w:sz="8" w:space="0" w:color="000000"/>
              <w:left w:val="single" w:sz="8" w:space="0" w:color="000000"/>
              <w:bottom w:val="single" w:sz="8" w:space="0" w:color="000000"/>
              <w:right w:val="single" w:sz="8" w:space="0" w:color="000000"/>
            </w:tcBorders>
          </w:tcPr>
          <w:p w14:paraId="4E721DCA"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često</w:t>
            </w:r>
          </w:p>
          <w:p w14:paraId="0AED9B43" w14:textId="77777777" w:rsidR="0083687B" w:rsidRPr="0083687B" w:rsidRDefault="0083687B">
            <w:pPr>
              <w:widowControl w:val="0"/>
              <w:autoSpaceDE w:val="0"/>
              <w:autoSpaceDN w:val="0"/>
              <w:adjustRightInd w:val="0"/>
              <w:ind w:left="567" w:hanging="567"/>
              <w:jc w:val="both"/>
              <w:rPr>
                <w:sz w:val="22"/>
                <w:szCs w:val="22"/>
              </w:rPr>
            </w:pPr>
          </w:p>
          <w:p w14:paraId="586A1AC0"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povremeno</w:t>
            </w:r>
          </w:p>
          <w:p w14:paraId="7991278A" w14:textId="77777777" w:rsidR="0083687B" w:rsidRPr="0083687B" w:rsidRDefault="0083687B">
            <w:pPr>
              <w:widowControl w:val="0"/>
              <w:autoSpaceDE w:val="0"/>
              <w:autoSpaceDN w:val="0"/>
              <w:adjustRightInd w:val="0"/>
              <w:ind w:left="567" w:hanging="567"/>
              <w:jc w:val="both"/>
              <w:rPr>
                <w:sz w:val="22"/>
                <w:szCs w:val="22"/>
              </w:rPr>
            </w:pPr>
          </w:p>
          <w:p w14:paraId="50A6D9A2" w14:textId="77777777" w:rsidR="0083687B" w:rsidRPr="0083687B" w:rsidRDefault="0083687B">
            <w:pPr>
              <w:widowControl w:val="0"/>
              <w:autoSpaceDE w:val="0"/>
              <w:autoSpaceDN w:val="0"/>
              <w:adjustRightInd w:val="0"/>
              <w:ind w:left="567" w:hanging="567"/>
              <w:jc w:val="both"/>
              <w:rPr>
                <w:sz w:val="22"/>
                <w:szCs w:val="22"/>
              </w:rPr>
            </w:pPr>
          </w:p>
          <w:p w14:paraId="2BF80979" w14:textId="77777777" w:rsidR="0083687B" w:rsidRPr="0083687B" w:rsidRDefault="0083687B">
            <w:pPr>
              <w:widowControl w:val="0"/>
              <w:autoSpaceDE w:val="0"/>
              <w:autoSpaceDN w:val="0"/>
              <w:adjustRightInd w:val="0"/>
              <w:ind w:left="567" w:hanging="567"/>
              <w:jc w:val="both"/>
              <w:rPr>
                <w:sz w:val="22"/>
                <w:szCs w:val="22"/>
              </w:rPr>
            </w:pPr>
          </w:p>
          <w:p w14:paraId="659036D4"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rijetko</w:t>
            </w:r>
          </w:p>
        </w:tc>
        <w:tc>
          <w:tcPr>
            <w:tcW w:w="5030" w:type="dxa"/>
            <w:tcBorders>
              <w:top w:val="single" w:sz="8" w:space="0" w:color="000000"/>
              <w:left w:val="single" w:sz="8" w:space="0" w:color="000000"/>
              <w:bottom w:val="single" w:sz="8" w:space="0" w:color="000000"/>
              <w:right w:val="single" w:sz="8" w:space="0" w:color="000000"/>
            </w:tcBorders>
          </w:tcPr>
          <w:p w14:paraId="689454FB" w14:textId="77777777" w:rsidR="0083687B" w:rsidRPr="0083687B" w:rsidRDefault="0083687B">
            <w:pPr>
              <w:widowControl w:val="0"/>
              <w:autoSpaceDE w:val="0"/>
              <w:autoSpaceDN w:val="0"/>
              <w:adjustRightInd w:val="0"/>
              <w:ind w:left="40"/>
              <w:jc w:val="both"/>
              <w:rPr>
                <w:sz w:val="22"/>
                <w:szCs w:val="22"/>
              </w:rPr>
            </w:pPr>
            <w:r w:rsidRPr="0083687B">
              <w:rPr>
                <w:sz w:val="22"/>
                <w:szCs w:val="22"/>
              </w:rPr>
              <w:t>tahikardija</w:t>
            </w:r>
          </w:p>
          <w:p w14:paraId="1D8D0597" w14:textId="77777777" w:rsidR="0083687B" w:rsidRPr="0083687B" w:rsidRDefault="0083687B">
            <w:pPr>
              <w:widowControl w:val="0"/>
              <w:autoSpaceDE w:val="0"/>
              <w:autoSpaceDN w:val="0"/>
              <w:adjustRightInd w:val="0"/>
              <w:ind w:left="40"/>
              <w:jc w:val="both"/>
              <w:rPr>
                <w:sz w:val="22"/>
                <w:szCs w:val="22"/>
              </w:rPr>
            </w:pPr>
          </w:p>
          <w:p w14:paraId="461C349E" w14:textId="77777777" w:rsidR="0083687B" w:rsidRPr="0083687B" w:rsidRDefault="0083687B">
            <w:pPr>
              <w:widowControl w:val="0"/>
              <w:autoSpaceDE w:val="0"/>
              <w:autoSpaceDN w:val="0"/>
              <w:adjustRightInd w:val="0"/>
              <w:ind w:left="40"/>
              <w:jc w:val="both"/>
              <w:rPr>
                <w:sz w:val="22"/>
                <w:szCs w:val="22"/>
              </w:rPr>
            </w:pPr>
            <w:r w:rsidRPr="0083687B">
              <w:rPr>
                <w:sz w:val="22"/>
                <w:szCs w:val="22"/>
              </w:rPr>
              <w:t>infarkt miokarda</w:t>
            </w:r>
            <w:r w:rsidRPr="0083687B">
              <w:rPr>
                <w:sz w:val="22"/>
                <w:szCs w:val="22"/>
                <w:vertAlign w:val="superscript"/>
              </w:rPr>
              <w:t>1)</w:t>
            </w:r>
            <w:r w:rsidRPr="0083687B">
              <w:rPr>
                <w:sz w:val="22"/>
                <w:szCs w:val="22"/>
              </w:rPr>
              <w:t>,</w:t>
            </w:r>
          </w:p>
          <w:p w14:paraId="431B652B"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aritmija, </w:t>
            </w:r>
          </w:p>
          <w:p w14:paraId="0D04FF50" w14:textId="77777777" w:rsidR="0083687B" w:rsidRPr="0083687B" w:rsidRDefault="0083687B">
            <w:pPr>
              <w:widowControl w:val="0"/>
              <w:autoSpaceDE w:val="0"/>
              <w:autoSpaceDN w:val="0"/>
              <w:adjustRightInd w:val="0"/>
              <w:ind w:left="40"/>
              <w:jc w:val="both"/>
              <w:rPr>
                <w:sz w:val="22"/>
                <w:szCs w:val="22"/>
              </w:rPr>
            </w:pPr>
            <w:r w:rsidRPr="0083687B">
              <w:rPr>
                <w:sz w:val="22"/>
                <w:szCs w:val="22"/>
              </w:rPr>
              <w:t>kongestivna srčana insuficijencija</w:t>
            </w:r>
          </w:p>
          <w:p w14:paraId="13C347A1" w14:textId="77777777" w:rsidR="0083687B" w:rsidRPr="0083687B" w:rsidRDefault="0083687B">
            <w:pPr>
              <w:widowControl w:val="0"/>
              <w:autoSpaceDE w:val="0"/>
              <w:autoSpaceDN w:val="0"/>
              <w:adjustRightInd w:val="0"/>
              <w:ind w:left="40"/>
              <w:jc w:val="both"/>
              <w:rPr>
                <w:sz w:val="22"/>
                <w:szCs w:val="22"/>
              </w:rPr>
            </w:pPr>
          </w:p>
          <w:p w14:paraId="459F9B5E" w14:textId="77777777" w:rsidR="0083687B" w:rsidRPr="0083687B" w:rsidRDefault="0083687B">
            <w:pPr>
              <w:widowControl w:val="0"/>
              <w:autoSpaceDE w:val="0"/>
              <w:autoSpaceDN w:val="0"/>
              <w:adjustRightInd w:val="0"/>
              <w:ind w:left="40"/>
              <w:jc w:val="both"/>
              <w:rPr>
                <w:sz w:val="22"/>
                <w:szCs w:val="22"/>
              </w:rPr>
            </w:pPr>
            <w:r w:rsidRPr="0083687B">
              <w:rPr>
                <w:sz w:val="22"/>
                <w:szCs w:val="22"/>
              </w:rPr>
              <w:t>zastoj srca</w:t>
            </w:r>
          </w:p>
        </w:tc>
      </w:tr>
      <w:tr w:rsidR="0083687B" w:rsidRPr="0083687B" w14:paraId="0AA97A0E" w14:textId="77777777" w:rsidTr="00BF30CE">
        <w:trPr>
          <w:trHeight w:val="546"/>
        </w:trPr>
        <w:tc>
          <w:tcPr>
            <w:tcW w:w="2522" w:type="dxa"/>
            <w:tcBorders>
              <w:top w:val="single" w:sz="8" w:space="0" w:color="000000"/>
              <w:left w:val="single" w:sz="8" w:space="0" w:color="000000"/>
              <w:bottom w:val="single" w:sz="8" w:space="0" w:color="000000"/>
              <w:right w:val="single" w:sz="8" w:space="0" w:color="000000"/>
            </w:tcBorders>
          </w:tcPr>
          <w:p w14:paraId="1899DD0F" w14:textId="77777777" w:rsidR="0083687B" w:rsidRPr="0083687B" w:rsidRDefault="0083687B" w:rsidP="00730D96">
            <w:pPr>
              <w:widowControl w:val="0"/>
              <w:autoSpaceDE w:val="0"/>
              <w:autoSpaceDN w:val="0"/>
              <w:adjustRightInd w:val="0"/>
              <w:ind w:left="567" w:hanging="567"/>
              <w:jc w:val="both"/>
              <w:rPr>
                <w:sz w:val="22"/>
                <w:szCs w:val="22"/>
              </w:rPr>
            </w:pPr>
            <w:r w:rsidRPr="0083687B">
              <w:rPr>
                <w:sz w:val="22"/>
                <w:szCs w:val="22"/>
              </w:rPr>
              <w:t>Vaskularni</w:t>
            </w:r>
          </w:p>
          <w:p w14:paraId="61C244B1"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poremećaji </w:t>
            </w:r>
          </w:p>
        </w:tc>
        <w:tc>
          <w:tcPr>
            <w:tcW w:w="1393" w:type="dxa"/>
            <w:tcBorders>
              <w:top w:val="single" w:sz="8" w:space="0" w:color="000000"/>
              <w:left w:val="single" w:sz="8" w:space="0" w:color="000000"/>
              <w:bottom w:val="single" w:sz="8" w:space="0" w:color="000000"/>
              <w:right w:val="single" w:sz="8" w:space="0" w:color="000000"/>
            </w:tcBorders>
          </w:tcPr>
          <w:p w14:paraId="74D215A3"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često</w:t>
            </w:r>
          </w:p>
          <w:p w14:paraId="3A94F82A" w14:textId="77777777" w:rsidR="0083687B" w:rsidRPr="0083687B" w:rsidRDefault="0083687B">
            <w:pPr>
              <w:widowControl w:val="0"/>
              <w:autoSpaceDE w:val="0"/>
              <w:autoSpaceDN w:val="0"/>
              <w:adjustRightInd w:val="0"/>
              <w:ind w:left="567" w:hanging="567"/>
              <w:jc w:val="both"/>
              <w:rPr>
                <w:sz w:val="22"/>
                <w:szCs w:val="22"/>
              </w:rPr>
            </w:pPr>
          </w:p>
          <w:p w14:paraId="0001371B" w14:textId="77777777" w:rsidR="0083687B" w:rsidRPr="0083687B" w:rsidRDefault="0083687B">
            <w:pPr>
              <w:widowControl w:val="0"/>
              <w:autoSpaceDE w:val="0"/>
              <w:autoSpaceDN w:val="0"/>
              <w:adjustRightInd w:val="0"/>
              <w:ind w:left="567" w:hanging="567"/>
              <w:jc w:val="both"/>
              <w:rPr>
                <w:sz w:val="22"/>
                <w:szCs w:val="22"/>
              </w:rPr>
            </w:pPr>
          </w:p>
          <w:p w14:paraId="49ABC41A" w14:textId="77777777" w:rsidR="0083687B" w:rsidRPr="0083687B" w:rsidRDefault="0083687B">
            <w:pPr>
              <w:widowControl w:val="0"/>
              <w:autoSpaceDE w:val="0"/>
              <w:autoSpaceDN w:val="0"/>
              <w:adjustRightInd w:val="0"/>
              <w:ind w:left="567" w:hanging="567"/>
              <w:jc w:val="both"/>
              <w:rPr>
                <w:sz w:val="22"/>
                <w:szCs w:val="22"/>
              </w:rPr>
            </w:pPr>
          </w:p>
          <w:p w14:paraId="5D8EE340"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povremeno</w:t>
            </w:r>
          </w:p>
          <w:p w14:paraId="4DB0F2BA" w14:textId="77777777" w:rsidR="0083687B" w:rsidRPr="0083687B" w:rsidRDefault="0083687B">
            <w:pPr>
              <w:widowControl w:val="0"/>
              <w:autoSpaceDE w:val="0"/>
              <w:autoSpaceDN w:val="0"/>
              <w:adjustRightInd w:val="0"/>
              <w:ind w:left="567" w:hanging="567"/>
              <w:jc w:val="both"/>
              <w:rPr>
                <w:sz w:val="22"/>
                <w:szCs w:val="22"/>
              </w:rPr>
            </w:pPr>
          </w:p>
        </w:tc>
        <w:tc>
          <w:tcPr>
            <w:tcW w:w="5030" w:type="dxa"/>
            <w:tcBorders>
              <w:top w:val="single" w:sz="8" w:space="0" w:color="000000"/>
              <w:left w:val="single" w:sz="8" w:space="0" w:color="000000"/>
              <w:bottom w:val="single" w:sz="8" w:space="0" w:color="000000"/>
              <w:right w:val="single" w:sz="8" w:space="0" w:color="000000"/>
            </w:tcBorders>
          </w:tcPr>
          <w:p w14:paraId="185CB9AA"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hipertenzija, </w:t>
            </w:r>
          </w:p>
          <w:p w14:paraId="384B7E68" w14:textId="77777777" w:rsidR="0083687B" w:rsidRPr="0083687B" w:rsidRDefault="0083687B">
            <w:pPr>
              <w:widowControl w:val="0"/>
              <w:autoSpaceDE w:val="0"/>
              <w:autoSpaceDN w:val="0"/>
              <w:adjustRightInd w:val="0"/>
              <w:ind w:left="40"/>
              <w:jc w:val="both"/>
              <w:rPr>
                <w:sz w:val="22"/>
                <w:szCs w:val="22"/>
              </w:rPr>
            </w:pPr>
            <w:r w:rsidRPr="00D710CF">
              <w:rPr>
                <w:sz w:val="22"/>
                <w:szCs w:val="22"/>
              </w:rPr>
              <w:t>crvenilo lica</w:t>
            </w:r>
            <w:r w:rsidRPr="0083687B">
              <w:rPr>
                <w:sz w:val="22"/>
                <w:szCs w:val="22"/>
              </w:rPr>
              <w:t xml:space="preserve"> </w:t>
            </w:r>
          </w:p>
          <w:p w14:paraId="433D38D8"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hematomi </w:t>
            </w:r>
          </w:p>
          <w:p w14:paraId="1EBA80E0" w14:textId="77777777" w:rsidR="0083687B" w:rsidRPr="0083687B" w:rsidRDefault="0083687B">
            <w:pPr>
              <w:widowControl w:val="0"/>
              <w:autoSpaceDE w:val="0"/>
              <w:autoSpaceDN w:val="0"/>
              <w:adjustRightInd w:val="0"/>
              <w:ind w:left="40"/>
              <w:jc w:val="both"/>
              <w:rPr>
                <w:sz w:val="22"/>
                <w:szCs w:val="22"/>
              </w:rPr>
            </w:pPr>
          </w:p>
          <w:p w14:paraId="73EED302"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aneurizma aorte, </w:t>
            </w:r>
          </w:p>
          <w:p w14:paraId="2C21F86D"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vaskularna okluzija, </w:t>
            </w:r>
          </w:p>
          <w:p w14:paraId="2E443B73"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tromboflebitis </w:t>
            </w:r>
          </w:p>
        </w:tc>
      </w:tr>
      <w:tr w:rsidR="0083687B" w:rsidRPr="0083687B" w14:paraId="05BDFC41" w14:textId="77777777" w:rsidTr="00BF30CE">
        <w:trPr>
          <w:trHeight w:val="547"/>
        </w:trPr>
        <w:tc>
          <w:tcPr>
            <w:tcW w:w="2522" w:type="dxa"/>
            <w:tcBorders>
              <w:top w:val="single" w:sz="8" w:space="0" w:color="000000"/>
              <w:left w:val="single" w:sz="8" w:space="0" w:color="000000"/>
              <w:bottom w:val="single" w:sz="8" w:space="0" w:color="000000"/>
              <w:right w:val="single" w:sz="8" w:space="0" w:color="000000"/>
            </w:tcBorders>
          </w:tcPr>
          <w:p w14:paraId="22BC254F" w14:textId="77777777" w:rsidR="0083687B" w:rsidRPr="0083687B" w:rsidRDefault="0083687B" w:rsidP="00EB3350">
            <w:pPr>
              <w:widowControl w:val="0"/>
              <w:autoSpaceDE w:val="0"/>
              <w:autoSpaceDN w:val="0"/>
              <w:adjustRightInd w:val="0"/>
              <w:ind w:right="-20"/>
              <w:jc w:val="both"/>
              <w:rPr>
                <w:sz w:val="22"/>
                <w:szCs w:val="22"/>
              </w:rPr>
            </w:pPr>
            <w:r w:rsidRPr="0083687B">
              <w:rPr>
                <w:sz w:val="22"/>
                <w:szCs w:val="22"/>
              </w:rPr>
              <w:t>Poremećaji respiratornog, torakalnog trakta i medijastinuma*</w:t>
            </w:r>
          </w:p>
        </w:tc>
        <w:tc>
          <w:tcPr>
            <w:tcW w:w="1393" w:type="dxa"/>
            <w:tcBorders>
              <w:top w:val="single" w:sz="8" w:space="0" w:color="000000"/>
              <w:left w:val="single" w:sz="8" w:space="0" w:color="000000"/>
              <w:bottom w:val="single" w:sz="8" w:space="0" w:color="000000"/>
              <w:right w:val="single" w:sz="8" w:space="0" w:color="000000"/>
            </w:tcBorders>
          </w:tcPr>
          <w:p w14:paraId="26F00059" w14:textId="77777777" w:rsidR="0083687B" w:rsidRPr="0083687B" w:rsidRDefault="0083687B" w:rsidP="00730D96">
            <w:pPr>
              <w:widowControl w:val="0"/>
              <w:autoSpaceDE w:val="0"/>
              <w:autoSpaceDN w:val="0"/>
              <w:adjustRightInd w:val="0"/>
              <w:ind w:left="567" w:hanging="567"/>
              <w:jc w:val="both"/>
              <w:rPr>
                <w:sz w:val="22"/>
                <w:szCs w:val="22"/>
              </w:rPr>
            </w:pPr>
            <w:r w:rsidRPr="0083687B">
              <w:rPr>
                <w:sz w:val="22"/>
                <w:szCs w:val="22"/>
              </w:rPr>
              <w:t>često</w:t>
            </w:r>
          </w:p>
          <w:p w14:paraId="604A1618"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 </w:t>
            </w:r>
          </w:p>
          <w:p w14:paraId="153E86AA" w14:textId="77777777" w:rsidR="0083687B" w:rsidRPr="0083687B" w:rsidRDefault="0083687B">
            <w:pPr>
              <w:widowControl w:val="0"/>
              <w:autoSpaceDE w:val="0"/>
              <w:autoSpaceDN w:val="0"/>
              <w:adjustRightInd w:val="0"/>
              <w:ind w:left="567" w:hanging="567"/>
              <w:jc w:val="both"/>
              <w:rPr>
                <w:sz w:val="22"/>
                <w:szCs w:val="22"/>
              </w:rPr>
            </w:pPr>
          </w:p>
          <w:p w14:paraId="1AC0E979" w14:textId="77777777" w:rsidR="0083687B" w:rsidRPr="0083687B" w:rsidRDefault="0083687B">
            <w:pPr>
              <w:widowControl w:val="0"/>
              <w:autoSpaceDE w:val="0"/>
              <w:autoSpaceDN w:val="0"/>
              <w:adjustRightInd w:val="0"/>
              <w:ind w:left="567" w:hanging="567"/>
              <w:jc w:val="both"/>
              <w:rPr>
                <w:sz w:val="22"/>
                <w:szCs w:val="22"/>
              </w:rPr>
            </w:pPr>
          </w:p>
          <w:p w14:paraId="75C985E5"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povremeno</w:t>
            </w:r>
          </w:p>
          <w:p w14:paraId="4F229235" w14:textId="77777777" w:rsidR="0083687B" w:rsidRPr="0083687B" w:rsidRDefault="0083687B">
            <w:pPr>
              <w:widowControl w:val="0"/>
              <w:autoSpaceDE w:val="0"/>
              <w:autoSpaceDN w:val="0"/>
              <w:adjustRightInd w:val="0"/>
              <w:ind w:left="567" w:hanging="567"/>
              <w:jc w:val="both"/>
              <w:rPr>
                <w:sz w:val="22"/>
                <w:szCs w:val="22"/>
              </w:rPr>
            </w:pPr>
          </w:p>
          <w:p w14:paraId="7C4FEA5F" w14:textId="77777777" w:rsidR="0083687B" w:rsidRPr="0083687B" w:rsidRDefault="0083687B">
            <w:pPr>
              <w:widowControl w:val="0"/>
              <w:autoSpaceDE w:val="0"/>
              <w:autoSpaceDN w:val="0"/>
              <w:adjustRightInd w:val="0"/>
              <w:ind w:left="567" w:hanging="567"/>
              <w:jc w:val="both"/>
              <w:rPr>
                <w:sz w:val="22"/>
                <w:szCs w:val="22"/>
              </w:rPr>
            </w:pPr>
          </w:p>
          <w:p w14:paraId="20DF26AA" w14:textId="77777777" w:rsidR="0083687B" w:rsidRPr="0083687B" w:rsidRDefault="0083687B">
            <w:pPr>
              <w:widowControl w:val="0"/>
              <w:autoSpaceDE w:val="0"/>
              <w:autoSpaceDN w:val="0"/>
              <w:adjustRightInd w:val="0"/>
              <w:ind w:left="567" w:hanging="567"/>
              <w:jc w:val="both"/>
              <w:rPr>
                <w:sz w:val="22"/>
                <w:szCs w:val="22"/>
              </w:rPr>
            </w:pPr>
          </w:p>
          <w:p w14:paraId="2BDB0DD1" w14:textId="77777777" w:rsidR="0083687B" w:rsidRPr="0083687B" w:rsidRDefault="0083687B">
            <w:pPr>
              <w:widowControl w:val="0"/>
              <w:autoSpaceDE w:val="0"/>
              <w:autoSpaceDN w:val="0"/>
              <w:adjustRightInd w:val="0"/>
              <w:ind w:left="567" w:hanging="567"/>
              <w:jc w:val="both"/>
              <w:rPr>
                <w:sz w:val="22"/>
                <w:szCs w:val="22"/>
              </w:rPr>
            </w:pPr>
          </w:p>
          <w:p w14:paraId="0DADDE66" w14:textId="77777777" w:rsidR="0083687B" w:rsidRPr="0083687B" w:rsidRDefault="0083687B">
            <w:pPr>
              <w:widowControl w:val="0"/>
              <w:autoSpaceDE w:val="0"/>
              <w:autoSpaceDN w:val="0"/>
              <w:adjustRightInd w:val="0"/>
              <w:ind w:left="567" w:hanging="567"/>
              <w:jc w:val="both"/>
              <w:rPr>
                <w:sz w:val="22"/>
                <w:szCs w:val="22"/>
              </w:rPr>
            </w:pPr>
          </w:p>
          <w:p w14:paraId="6239AFDE"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rijetko</w:t>
            </w:r>
          </w:p>
        </w:tc>
        <w:tc>
          <w:tcPr>
            <w:tcW w:w="5030" w:type="dxa"/>
            <w:tcBorders>
              <w:top w:val="single" w:sz="8" w:space="0" w:color="000000"/>
              <w:left w:val="single" w:sz="8" w:space="0" w:color="000000"/>
              <w:bottom w:val="single" w:sz="8" w:space="0" w:color="000000"/>
              <w:right w:val="single" w:sz="8" w:space="0" w:color="000000"/>
            </w:tcBorders>
          </w:tcPr>
          <w:p w14:paraId="5A1CB60F"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astma, </w:t>
            </w:r>
          </w:p>
          <w:p w14:paraId="1A813232" w14:textId="77777777" w:rsidR="0083687B" w:rsidRPr="0083687B" w:rsidRDefault="0083687B">
            <w:pPr>
              <w:widowControl w:val="0"/>
              <w:autoSpaceDE w:val="0"/>
              <w:autoSpaceDN w:val="0"/>
              <w:adjustRightInd w:val="0"/>
              <w:ind w:left="40"/>
              <w:jc w:val="both"/>
              <w:rPr>
                <w:sz w:val="22"/>
                <w:szCs w:val="22"/>
              </w:rPr>
            </w:pPr>
            <w:r w:rsidRPr="0083687B">
              <w:rPr>
                <w:sz w:val="22"/>
                <w:szCs w:val="22"/>
              </w:rPr>
              <w:t>dispnea,</w:t>
            </w:r>
          </w:p>
          <w:p w14:paraId="696F6C59" w14:textId="77777777" w:rsidR="0083687B" w:rsidRPr="0083687B" w:rsidRDefault="0083687B">
            <w:pPr>
              <w:widowControl w:val="0"/>
              <w:autoSpaceDE w:val="0"/>
              <w:autoSpaceDN w:val="0"/>
              <w:adjustRightInd w:val="0"/>
              <w:ind w:left="40"/>
              <w:jc w:val="both"/>
              <w:rPr>
                <w:sz w:val="22"/>
                <w:szCs w:val="22"/>
              </w:rPr>
            </w:pPr>
            <w:r w:rsidRPr="0083687B">
              <w:rPr>
                <w:sz w:val="22"/>
                <w:szCs w:val="22"/>
              </w:rPr>
              <w:t>kašalj</w:t>
            </w:r>
          </w:p>
          <w:p w14:paraId="729C7768"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 </w:t>
            </w:r>
          </w:p>
          <w:p w14:paraId="779DD241" w14:textId="77777777" w:rsidR="0083687B" w:rsidRPr="0083687B" w:rsidRDefault="0083687B">
            <w:pPr>
              <w:widowControl w:val="0"/>
              <w:autoSpaceDE w:val="0"/>
              <w:autoSpaceDN w:val="0"/>
              <w:adjustRightInd w:val="0"/>
              <w:ind w:left="40"/>
              <w:jc w:val="both"/>
              <w:rPr>
                <w:sz w:val="22"/>
                <w:szCs w:val="22"/>
              </w:rPr>
            </w:pPr>
            <w:r w:rsidRPr="0083687B">
              <w:rPr>
                <w:sz w:val="22"/>
                <w:szCs w:val="22"/>
              </w:rPr>
              <w:t>plućna embolija</w:t>
            </w:r>
            <w:r w:rsidRPr="0083687B">
              <w:rPr>
                <w:sz w:val="22"/>
                <w:szCs w:val="22"/>
                <w:vertAlign w:val="superscript"/>
              </w:rPr>
              <w:t>1)</w:t>
            </w:r>
            <w:r w:rsidRPr="0083687B">
              <w:rPr>
                <w:sz w:val="22"/>
                <w:szCs w:val="22"/>
              </w:rPr>
              <w:t xml:space="preserve">, </w:t>
            </w:r>
          </w:p>
          <w:p w14:paraId="7C980304" w14:textId="77777777" w:rsidR="0083687B" w:rsidRPr="0083687B" w:rsidRDefault="0083687B">
            <w:pPr>
              <w:widowControl w:val="0"/>
              <w:autoSpaceDE w:val="0"/>
              <w:autoSpaceDN w:val="0"/>
              <w:adjustRightInd w:val="0"/>
              <w:ind w:left="40"/>
              <w:jc w:val="both"/>
              <w:rPr>
                <w:sz w:val="22"/>
                <w:szCs w:val="22"/>
              </w:rPr>
            </w:pPr>
            <w:r w:rsidRPr="0083687B">
              <w:rPr>
                <w:sz w:val="22"/>
                <w:szCs w:val="22"/>
              </w:rPr>
              <w:t>intersticijalna bolest pluća,</w:t>
            </w:r>
          </w:p>
          <w:p w14:paraId="6EB8B6F2" w14:textId="77777777" w:rsidR="0083687B" w:rsidRPr="0083687B" w:rsidRDefault="0083687B">
            <w:pPr>
              <w:widowControl w:val="0"/>
              <w:autoSpaceDE w:val="0"/>
              <w:autoSpaceDN w:val="0"/>
              <w:adjustRightInd w:val="0"/>
              <w:ind w:left="40"/>
              <w:jc w:val="both"/>
              <w:rPr>
                <w:sz w:val="22"/>
                <w:szCs w:val="22"/>
              </w:rPr>
            </w:pPr>
            <w:r w:rsidRPr="0083687B">
              <w:rPr>
                <w:sz w:val="22"/>
                <w:szCs w:val="22"/>
              </w:rPr>
              <w:t>hronična opstruktivna plućna bolest,</w:t>
            </w:r>
          </w:p>
          <w:p w14:paraId="3F4F63EA" w14:textId="77777777" w:rsidR="0083687B" w:rsidRPr="0083687B" w:rsidRDefault="0083687B">
            <w:pPr>
              <w:widowControl w:val="0"/>
              <w:autoSpaceDE w:val="0"/>
              <w:autoSpaceDN w:val="0"/>
              <w:adjustRightInd w:val="0"/>
              <w:ind w:left="40"/>
              <w:jc w:val="both"/>
              <w:rPr>
                <w:sz w:val="22"/>
                <w:szCs w:val="22"/>
              </w:rPr>
            </w:pPr>
            <w:r w:rsidRPr="0083687B">
              <w:rPr>
                <w:sz w:val="22"/>
                <w:szCs w:val="22"/>
              </w:rPr>
              <w:t>pneumonitis</w:t>
            </w:r>
          </w:p>
          <w:p w14:paraId="63B8E78A" w14:textId="77777777" w:rsidR="0083687B" w:rsidRPr="0083687B" w:rsidRDefault="0083687B">
            <w:pPr>
              <w:widowControl w:val="0"/>
              <w:autoSpaceDE w:val="0"/>
              <w:autoSpaceDN w:val="0"/>
              <w:adjustRightInd w:val="0"/>
              <w:ind w:left="40"/>
              <w:jc w:val="both"/>
              <w:rPr>
                <w:sz w:val="22"/>
                <w:szCs w:val="22"/>
                <w:vertAlign w:val="superscript"/>
              </w:rPr>
            </w:pPr>
            <w:r w:rsidRPr="0083687B">
              <w:rPr>
                <w:sz w:val="22"/>
                <w:szCs w:val="22"/>
              </w:rPr>
              <w:t>pleuralni izliv</w:t>
            </w:r>
            <w:r w:rsidRPr="0083687B">
              <w:rPr>
                <w:sz w:val="22"/>
                <w:szCs w:val="22"/>
                <w:vertAlign w:val="superscript"/>
              </w:rPr>
              <w:t>1)</w:t>
            </w:r>
          </w:p>
          <w:p w14:paraId="479789AD" w14:textId="77777777" w:rsidR="0083687B" w:rsidRPr="0083687B" w:rsidRDefault="0083687B">
            <w:pPr>
              <w:widowControl w:val="0"/>
              <w:autoSpaceDE w:val="0"/>
              <w:autoSpaceDN w:val="0"/>
              <w:adjustRightInd w:val="0"/>
              <w:ind w:left="40"/>
              <w:jc w:val="both"/>
              <w:rPr>
                <w:sz w:val="22"/>
                <w:szCs w:val="22"/>
              </w:rPr>
            </w:pPr>
          </w:p>
          <w:p w14:paraId="1B8984F2" w14:textId="77777777" w:rsidR="0083687B" w:rsidRPr="0083687B" w:rsidRDefault="0083687B">
            <w:pPr>
              <w:widowControl w:val="0"/>
              <w:autoSpaceDE w:val="0"/>
              <w:autoSpaceDN w:val="0"/>
              <w:adjustRightInd w:val="0"/>
              <w:ind w:left="40"/>
              <w:jc w:val="both"/>
              <w:rPr>
                <w:sz w:val="22"/>
                <w:szCs w:val="22"/>
              </w:rPr>
            </w:pPr>
            <w:r w:rsidRPr="0083687B">
              <w:rPr>
                <w:sz w:val="22"/>
                <w:szCs w:val="22"/>
              </w:rPr>
              <w:t>plućna fibroza</w:t>
            </w:r>
            <w:r w:rsidRPr="0083687B">
              <w:rPr>
                <w:sz w:val="22"/>
                <w:szCs w:val="22"/>
                <w:vertAlign w:val="superscript"/>
              </w:rPr>
              <w:t>1)</w:t>
            </w:r>
          </w:p>
        </w:tc>
      </w:tr>
      <w:tr w:rsidR="0083687B" w:rsidRPr="0083687B" w14:paraId="29641F7B" w14:textId="77777777" w:rsidTr="00BF30CE">
        <w:trPr>
          <w:trHeight w:val="1640"/>
        </w:trPr>
        <w:tc>
          <w:tcPr>
            <w:tcW w:w="2522" w:type="dxa"/>
            <w:tcBorders>
              <w:top w:val="single" w:sz="8" w:space="0" w:color="000000"/>
              <w:left w:val="single" w:sz="8" w:space="0" w:color="000000"/>
              <w:bottom w:val="single" w:sz="8" w:space="0" w:color="000000"/>
              <w:right w:val="single" w:sz="8" w:space="0" w:color="000000"/>
            </w:tcBorders>
          </w:tcPr>
          <w:p w14:paraId="6482EFE6" w14:textId="77777777" w:rsidR="0083687B" w:rsidRPr="0083687B" w:rsidRDefault="0083687B" w:rsidP="00730D96">
            <w:pPr>
              <w:widowControl w:val="0"/>
              <w:autoSpaceDE w:val="0"/>
              <w:autoSpaceDN w:val="0"/>
              <w:adjustRightInd w:val="0"/>
              <w:jc w:val="both"/>
              <w:rPr>
                <w:sz w:val="22"/>
                <w:szCs w:val="22"/>
              </w:rPr>
            </w:pPr>
            <w:r w:rsidRPr="0083687B">
              <w:rPr>
                <w:sz w:val="22"/>
                <w:szCs w:val="22"/>
              </w:rPr>
              <w:t xml:space="preserve">Poremećaji gastrointestinalnog sistema </w:t>
            </w:r>
          </w:p>
        </w:tc>
        <w:tc>
          <w:tcPr>
            <w:tcW w:w="1393" w:type="dxa"/>
            <w:tcBorders>
              <w:top w:val="single" w:sz="8" w:space="0" w:color="000000"/>
              <w:left w:val="single" w:sz="8" w:space="0" w:color="000000"/>
              <w:bottom w:val="single" w:sz="8" w:space="0" w:color="000000"/>
              <w:right w:val="single" w:sz="8" w:space="0" w:color="000000"/>
            </w:tcBorders>
          </w:tcPr>
          <w:p w14:paraId="0E3A43CB"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veoma često</w:t>
            </w:r>
          </w:p>
          <w:p w14:paraId="6C47722C"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 </w:t>
            </w:r>
          </w:p>
          <w:p w14:paraId="0BF4015E" w14:textId="77777777" w:rsidR="0083687B" w:rsidRPr="0083687B" w:rsidRDefault="0083687B">
            <w:pPr>
              <w:widowControl w:val="0"/>
              <w:autoSpaceDE w:val="0"/>
              <w:autoSpaceDN w:val="0"/>
              <w:adjustRightInd w:val="0"/>
              <w:ind w:left="567" w:hanging="567"/>
              <w:jc w:val="both"/>
              <w:rPr>
                <w:sz w:val="22"/>
                <w:szCs w:val="22"/>
              </w:rPr>
            </w:pPr>
          </w:p>
          <w:p w14:paraId="2AE51E89"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često</w:t>
            </w:r>
          </w:p>
          <w:p w14:paraId="32D127C4" w14:textId="77777777" w:rsidR="0083687B" w:rsidRPr="0083687B" w:rsidRDefault="0083687B">
            <w:pPr>
              <w:widowControl w:val="0"/>
              <w:autoSpaceDE w:val="0"/>
              <w:autoSpaceDN w:val="0"/>
              <w:adjustRightInd w:val="0"/>
              <w:ind w:left="567" w:hanging="567"/>
              <w:jc w:val="both"/>
              <w:rPr>
                <w:sz w:val="22"/>
                <w:szCs w:val="22"/>
              </w:rPr>
            </w:pPr>
          </w:p>
          <w:p w14:paraId="1CEF544F" w14:textId="77777777" w:rsidR="0083687B" w:rsidRPr="0083687B" w:rsidRDefault="0083687B">
            <w:pPr>
              <w:widowControl w:val="0"/>
              <w:autoSpaceDE w:val="0"/>
              <w:autoSpaceDN w:val="0"/>
              <w:adjustRightInd w:val="0"/>
              <w:ind w:left="567" w:hanging="567"/>
              <w:jc w:val="both"/>
              <w:rPr>
                <w:sz w:val="22"/>
                <w:szCs w:val="22"/>
              </w:rPr>
            </w:pPr>
          </w:p>
          <w:p w14:paraId="248226D4" w14:textId="77777777" w:rsidR="0083687B" w:rsidRPr="0083687B" w:rsidRDefault="0083687B">
            <w:pPr>
              <w:widowControl w:val="0"/>
              <w:autoSpaceDE w:val="0"/>
              <w:autoSpaceDN w:val="0"/>
              <w:adjustRightInd w:val="0"/>
              <w:ind w:left="567" w:hanging="567"/>
              <w:jc w:val="both"/>
              <w:rPr>
                <w:sz w:val="22"/>
                <w:szCs w:val="22"/>
              </w:rPr>
            </w:pPr>
          </w:p>
          <w:p w14:paraId="30185B79" w14:textId="77777777" w:rsidR="0083687B" w:rsidRPr="0083687B" w:rsidRDefault="0083687B">
            <w:pPr>
              <w:widowControl w:val="0"/>
              <w:autoSpaceDE w:val="0"/>
              <w:autoSpaceDN w:val="0"/>
              <w:adjustRightInd w:val="0"/>
              <w:ind w:left="567" w:hanging="567"/>
              <w:jc w:val="both"/>
              <w:rPr>
                <w:sz w:val="22"/>
                <w:szCs w:val="22"/>
              </w:rPr>
            </w:pPr>
          </w:p>
          <w:p w14:paraId="3179FD3C"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povremeno</w:t>
            </w:r>
          </w:p>
          <w:p w14:paraId="2FF4BD31" w14:textId="77777777" w:rsidR="0083687B" w:rsidRPr="0083687B" w:rsidRDefault="0083687B">
            <w:pPr>
              <w:widowControl w:val="0"/>
              <w:autoSpaceDE w:val="0"/>
              <w:autoSpaceDN w:val="0"/>
              <w:adjustRightInd w:val="0"/>
              <w:ind w:left="567" w:hanging="567"/>
              <w:jc w:val="both"/>
              <w:rPr>
                <w:sz w:val="22"/>
                <w:szCs w:val="22"/>
              </w:rPr>
            </w:pPr>
          </w:p>
          <w:p w14:paraId="5B0AC4D6" w14:textId="77777777" w:rsidR="0083687B" w:rsidRPr="0083687B" w:rsidRDefault="0083687B">
            <w:pPr>
              <w:widowControl w:val="0"/>
              <w:autoSpaceDE w:val="0"/>
              <w:autoSpaceDN w:val="0"/>
              <w:adjustRightInd w:val="0"/>
              <w:ind w:left="567" w:hanging="567"/>
              <w:jc w:val="both"/>
              <w:rPr>
                <w:sz w:val="22"/>
                <w:szCs w:val="22"/>
              </w:rPr>
            </w:pPr>
          </w:p>
          <w:p w14:paraId="472E1CE2" w14:textId="77777777" w:rsidR="0083687B" w:rsidRPr="0083687B" w:rsidRDefault="0083687B">
            <w:pPr>
              <w:widowControl w:val="0"/>
              <w:autoSpaceDE w:val="0"/>
              <w:autoSpaceDN w:val="0"/>
              <w:adjustRightInd w:val="0"/>
              <w:ind w:left="567" w:hanging="567"/>
              <w:jc w:val="both"/>
              <w:rPr>
                <w:sz w:val="22"/>
                <w:szCs w:val="22"/>
              </w:rPr>
            </w:pPr>
          </w:p>
          <w:p w14:paraId="4F16ED75"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rijetko</w:t>
            </w:r>
          </w:p>
        </w:tc>
        <w:tc>
          <w:tcPr>
            <w:tcW w:w="5030" w:type="dxa"/>
            <w:tcBorders>
              <w:top w:val="single" w:sz="8" w:space="0" w:color="000000"/>
              <w:left w:val="single" w:sz="8" w:space="0" w:color="000000"/>
              <w:bottom w:val="single" w:sz="8" w:space="0" w:color="000000"/>
              <w:right w:val="single" w:sz="8" w:space="0" w:color="000000"/>
            </w:tcBorders>
          </w:tcPr>
          <w:p w14:paraId="3DA075CC"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bolovi u stomaku, </w:t>
            </w:r>
          </w:p>
          <w:p w14:paraId="4FD3FA36" w14:textId="77777777" w:rsidR="0083687B" w:rsidRPr="0083687B" w:rsidRDefault="0083687B">
            <w:pPr>
              <w:widowControl w:val="0"/>
              <w:autoSpaceDE w:val="0"/>
              <w:autoSpaceDN w:val="0"/>
              <w:adjustRightInd w:val="0"/>
              <w:ind w:left="40"/>
              <w:jc w:val="both"/>
              <w:rPr>
                <w:sz w:val="22"/>
                <w:szCs w:val="22"/>
              </w:rPr>
            </w:pPr>
            <w:r w:rsidRPr="0083687B">
              <w:rPr>
                <w:sz w:val="22"/>
                <w:szCs w:val="22"/>
              </w:rPr>
              <w:t>mučnina i povraćanje</w:t>
            </w:r>
          </w:p>
          <w:p w14:paraId="1232C110" w14:textId="77777777" w:rsidR="0083687B" w:rsidRPr="0083687B" w:rsidRDefault="0083687B">
            <w:pPr>
              <w:widowControl w:val="0"/>
              <w:autoSpaceDE w:val="0"/>
              <w:autoSpaceDN w:val="0"/>
              <w:adjustRightInd w:val="0"/>
              <w:ind w:left="40"/>
              <w:jc w:val="both"/>
              <w:rPr>
                <w:sz w:val="22"/>
                <w:szCs w:val="22"/>
              </w:rPr>
            </w:pPr>
          </w:p>
          <w:p w14:paraId="40253551"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gastrointestinalno krvarenje probavnog trakta, </w:t>
            </w:r>
          </w:p>
          <w:p w14:paraId="6E7B283C"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dispepsija, </w:t>
            </w:r>
          </w:p>
          <w:p w14:paraId="05C36E67"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gastroezofagealni refluks, </w:t>
            </w:r>
          </w:p>
          <w:p w14:paraId="356F0869" w14:textId="77777777" w:rsidR="0083687B" w:rsidRPr="0083687B" w:rsidRDefault="0083687B">
            <w:pPr>
              <w:widowControl w:val="0"/>
              <w:autoSpaceDE w:val="0"/>
              <w:autoSpaceDN w:val="0"/>
              <w:adjustRightInd w:val="0"/>
              <w:ind w:left="40"/>
              <w:jc w:val="both"/>
              <w:rPr>
                <w:sz w:val="22"/>
                <w:szCs w:val="22"/>
              </w:rPr>
            </w:pPr>
            <w:r w:rsidRPr="0083687B">
              <w:rPr>
                <w:sz w:val="22"/>
                <w:szCs w:val="22"/>
              </w:rPr>
              <w:t>sicca sindrom</w:t>
            </w:r>
          </w:p>
          <w:p w14:paraId="7FA27750" w14:textId="77777777" w:rsidR="0083687B" w:rsidRPr="0083687B" w:rsidRDefault="0083687B">
            <w:pPr>
              <w:widowControl w:val="0"/>
              <w:autoSpaceDE w:val="0"/>
              <w:autoSpaceDN w:val="0"/>
              <w:adjustRightInd w:val="0"/>
              <w:ind w:left="40"/>
              <w:jc w:val="both"/>
              <w:rPr>
                <w:sz w:val="22"/>
                <w:szCs w:val="22"/>
              </w:rPr>
            </w:pPr>
          </w:p>
          <w:p w14:paraId="16C829BB" w14:textId="77777777" w:rsidR="0083687B" w:rsidRPr="0083687B" w:rsidRDefault="0083687B">
            <w:pPr>
              <w:widowControl w:val="0"/>
              <w:autoSpaceDE w:val="0"/>
              <w:autoSpaceDN w:val="0"/>
              <w:adjustRightInd w:val="0"/>
              <w:ind w:left="40"/>
              <w:jc w:val="both"/>
              <w:rPr>
                <w:sz w:val="22"/>
                <w:szCs w:val="22"/>
              </w:rPr>
            </w:pPr>
            <w:r w:rsidRPr="0083687B">
              <w:rPr>
                <w:sz w:val="22"/>
                <w:szCs w:val="22"/>
              </w:rPr>
              <w:t>pankreatitis,</w:t>
            </w:r>
          </w:p>
          <w:p w14:paraId="17F5B38B"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disfagija, </w:t>
            </w:r>
          </w:p>
          <w:p w14:paraId="47F58F59" w14:textId="77777777" w:rsidR="0083687B" w:rsidRPr="0083687B" w:rsidRDefault="0083687B">
            <w:pPr>
              <w:widowControl w:val="0"/>
              <w:autoSpaceDE w:val="0"/>
              <w:autoSpaceDN w:val="0"/>
              <w:adjustRightInd w:val="0"/>
              <w:ind w:left="40"/>
              <w:jc w:val="both"/>
              <w:rPr>
                <w:sz w:val="22"/>
                <w:szCs w:val="22"/>
              </w:rPr>
            </w:pPr>
            <w:r w:rsidRPr="0083687B">
              <w:rPr>
                <w:sz w:val="22"/>
                <w:szCs w:val="22"/>
              </w:rPr>
              <w:t>edem lica</w:t>
            </w:r>
          </w:p>
          <w:p w14:paraId="3289177C" w14:textId="77777777" w:rsidR="0083687B" w:rsidRPr="0083687B" w:rsidRDefault="0083687B">
            <w:pPr>
              <w:widowControl w:val="0"/>
              <w:autoSpaceDE w:val="0"/>
              <w:autoSpaceDN w:val="0"/>
              <w:adjustRightInd w:val="0"/>
              <w:ind w:left="40"/>
              <w:jc w:val="both"/>
              <w:rPr>
                <w:sz w:val="22"/>
                <w:szCs w:val="22"/>
              </w:rPr>
            </w:pPr>
          </w:p>
          <w:p w14:paraId="5056B4D5" w14:textId="77777777" w:rsidR="0083687B" w:rsidRPr="0083687B" w:rsidRDefault="0083687B">
            <w:pPr>
              <w:widowControl w:val="0"/>
              <w:autoSpaceDE w:val="0"/>
              <w:autoSpaceDN w:val="0"/>
              <w:adjustRightInd w:val="0"/>
              <w:ind w:left="40"/>
              <w:jc w:val="both"/>
              <w:rPr>
                <w:sz w:val="22"/>
                <w:szCs w:val="22"/>
              </w:rPr>
            </w:pPr>
            <w:r w:rsidRPr="0083687B">
              <w:rPr>
                <w:sz w:val="22"/>
                <w:szCs w:val="22"/>
              </w:rPr>
              <w:t>intestinalna perforacija</w:t>
            </w:r>
            <w:r w:rsidRPr="0083687B">
              <w:rPr>
                <w:sz w:val="22"/>
                <w:szCs w:val="22"/>
                <w:vertAlign w:val="superscript"/>
              </w:rPr>
              <w:t>1)</w:t>
            </w:r>
          </w:p>
        </w:tc>
      </w:tr>
      <w:tr w:rsidR="0083687B" w:rsidRPr="0083687B" w14:paraId="08B2168C" w14:textId="77777777" w:rsidTr="00BF30CE">
        <w:trPr>
          <w:trHeight w:val="546"/>
        </w:trPr>
        <w:tc>
          <w:tcPr>
            <w:tcW w:w="2522" w:type="dxa"/>
            <w:tcBorders>
              <w:top w:val="single" w:sz="8" w:space="0" w:color="000000"/>
              <w:left w:val="single" w:sz="8" w:space="0" w:color="000000"/>
              <w:bottom w:val="single" w:sz="8" w:space="0" w:color="000000"/>
              <w:right w:val="single" w:sz="8" w:space="0" w:color="000000"/>
            </w:tcBorders>
          </w:tcPr>
          <w:p w14:paraId="01186BD5" w14:textId="77777777" w:rsidR="0083687B" w:rsidRPr="0083687B" w:rsidRDefault="0083687B" w:rsidP="00730D96">
            <w:pPr>
              <w:widowControl w:val="0"/>
              <w:autoSpaceDE w:val="0"/>
              <w:autoSpaceDN w:val="0"/>
              <w:adjustRightInd w:val="0"/>
              <w:ind w:left="567" w:hanging="567"/>
              <w:jc w:val="both"/>
              <w:rPr>
                <w:sz w:val="22"/>
                <w:szCs w:val="22"/>
              </w:rPr>
            </w:pPr>
            <w:r w:rsidRPr="0083687B">
              <w:rPr>
                <w:sz w:val="22"/>
                <w:szCs w:val="22"/>
              </w:rPr>
              <w:t>Poremećaji jetre i žuči*</w:t>
            </w:r>
          </w:p>
        </w:tc>
        <w:tc>
          <w:tcPr>
            <w:tcW w:w="1393" w:type="dxa"/>
            <w:tcBorders>
              <w:top w:val="single" w:sz="8" w:space="0" w:color="000000"/>
              <w:left w:val="single" w:sz="8" w:space="0" w:color="000000"/>
              <w:bottom w:val="single" w:sz="8" w:space="0" w:color="000000"/>
              <w:right w:val="single" w:sz="8" w:space="0" w:color="000000"/>
            </w:tcBorders>
          </w:tcPr>
          <w:p w14:paraId="20ED7C0F"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veoma često</w:t>
            </w:r>
          </w:p>
          <w:p w14:paraId="51BD0F56" w14:textId="77777777" w:rsidR="0083687B" w:rsidRPr="0083687B" w:rsidRDefault="0083687B">
            <w:pPr>
              <w:widowControl w:val="0"/>
              <w:autoSpaceDE w:val="0"/>
              <w:autoSpaceDN w:val="0"/>
              <w:adjustRightInd w:val="0"/>
              <w:ind w:left="567" w:hanging="567"/>
              <w:jc w:val="both"/>
              <w:rPr>
                <w:sz w:val="22"/>
                <w:szCs w:val="22"/>
              </w:rPr>
            </w:pPr>
          </w:p>
          <w:p w14:paraId="5D022AF2"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povremeno</w:t>
            </w:r>
          </w:p>
          <w:p w14:paraId="37368033" w14:textId="77777777" w:rsidR="0083687B" w:rsidRPr="0083687B" w:rsidRDefault="0083687B">
            <w:pPr>
              <w:widowControl w:val="0"/>
              <w:autoSpaceDE w:val="0"/>
              <w:autoSpaceDN w:val="0"/>
              <w:adjustRightInd w:val="0"/>
              <w:ind w:left="567" w:hanging="567"/>
              <w:jc w:val="both"/>
              <w:rPr>
                <w:sz w:val="22"/>
                <w:szCs w:val="22"/>
              </w:rPr>
            </w:pPr>
          </w:p>
          <w:p w14:paraId="40E0E8CA" w14:textId="77777777" w:rsidR="0083687B" w:rsidRPr="0083687B" w:rsidRDefault="0083687B">
            <w:pPr>
              <w:widowControl w:val="0"/>
              <w:autoSpaceDE w:val="0"/>
              <w:autoSpaceDN w:val="0"/>
              <w:adjustRightInd w:val="0"/>
              <w:ind w:left="567" w:hanging="567"/>
              <w:jc w:val="both"/>
              <w:rPr>
                <w:sz w:val="22"/>
                <w:szCs w:val="22"/>
              </w:rPr>
            </w:pPr>
          </w:p>
          <w:p w14:paraId="0F4F5312" w14:textId="77777777" w:rsidR="0083687B" w:rsidRPr="0083687B" w:rsidRDefault="0083687B">
            <w:pPr>
              <w:widowControl w:val="0"/>
              <w:autoSpaceDE w:val="0"/>
              <w:autoSpaceDN w:val="0"/>
              <w:adjustRightInd w:val="0"/>
              <w:ind w:left="567" w:hanging="567"/>
              <w:jc w:val="both"/>
              <w:rPr>
                <w:sz w:val="22"/>
                <w:szCs w:val="22"/>
              </w:rPr>
            </w:pPr>
          </w:p>
          <w:p w14:paraId="71328A2A"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rijetko</w:t>
            </w:r>
          </w:p>
          <w:p w14:paraId="3AEB690A" w14:textId="77777777" w:rsidR="0083687B" w:rsidRPr="0083687B" w:rsidRDefault="0083687B">
            <w:pPr>
              <w:widowControl w:val="0"/>
              <w:autoSpaceDE w:val="0"/>
              <w:autoSpaceDN w:val="0"/>
              <w:adjustRightInd w:val="0"/>
              <w:ind w:left="567" w:hanging="567"/>
              <w:jc w:val="both"/>
              <w:rPr>
                <w:sz w:val="22"/>
                <w:szCs w:val="22"/>
              </w:rPr>
            </w:pPr>
          </w:p>
          <w:p w14:paraId="7429812B" w14:textId="77777777" w:rsidR="0083687B" w:rsidRPr="0083687B" w:rsidRDefault="0083687B">
            <w:pPr>
              <w:widowControl w:val="0"/>
              <w:autoSpaceDE w:val="0"/>
              <w:autoSpaceDN w:val="0"/>
              <w:adjustRightInd w:val="0"/>
              <w:ind w:left="567" w:hanging="567"/>
              <w:jc w:val="both"/>
              <w:rPr>
                <w:sz w:val="22"/>
                <w:szCs w:val="22"/>
              </w:rPr>
            </w:pPr>
          </w:p>
          <w:p w14:paraId="774D34F8" w14:textId="77777777" w:rsidR="0083687B" w:rsidRPr="0083687B" w:rsidRDefault="0083687B">
            <w:pPr>
              <w:widowControl w:val="0"/>
              <w:autoSpaceDE w:val="0"/>
              <w:autoSpaceDN w:val="0"/>
              <w:adjustRightInd w:val="0"/>
              <w:jc w:val="both"/>
              <w:rPr>
                <w:sz w:val="22"/>
                <w:szCs w:val="22"/>
              </w:rPr>
            </w:pPr>
          </w:p>
          <w:p w14:paraId="67F61317" w14:textId="77777777" w:rsidR="0083687B" w:rsidRPr="0083687B" w:rsidRDefault="0083687B">
            <w:pPr>
              <w:widowControl w:val="0"/>
              <w:autoSpaceDE w:val="0"/>
              <w:autoSpaceDN w:val="0"/>
              <w:adjustRightInd w:val="0"/>
              <w:jc w:val="both"/>
              <w:rPr>
                <w:sz w:val="22"/>
                <w:szCs w:val="22"/>
              </w:rPr>
            </w:pPr>
            <w:r w:rsidRPr="0083687B">
              <w:rPr>
                <w:sz w:val="22"/>
                <w:szCs w:val="22"/>
              </w:rPr>
              <w:t>nepoznato</w:t>
            </w:r>
          </w:p>
        </w:tc>
        <w:tc>
          <w:tcPr>
            <w:tcW w:w="5030" w:type="dxa"/>
            <w:tcBorders>
              <w:top w:val="single" w:sz="8" w:space="0" w:color="000000"/>
              <w:left w:val="single" w:sz="8" w:space="0" w:color="000000"/>
              <w:bottom w:val="single" w:sz="8" w:space="0" w:color="000000"/>
              <w:right w:val="single" w:sz="8" w:space="0" w:color="000000"/>
            </w:tcBorders>
          </w:tcPr>
          <w:p w14:paraId="66474314" w14:textId="77777777" w:rsidR="0083687B" w:rsidRPr="0083687B" w:rsidRDefault="0083687B">
            <w:pPr>
              <w:widowControl w:val="0"/>
              <w:autoSpaceDE w:val="0"/>
              <w:autoSpaceDN w:val="0"/>
              <w:adjustRightInd w:val="0"/>
              <w:ind w:left="40"/>
              <w:jc w:val="both"/>
              <w:rPr>
                <w:sz w:val="22"/>
                <w:szCs w:val="22"/>
              </w:rPr>
            </w:pPr>
            <w:r w:rsidRPr="0083687B">
              <w:rPr>
                <w:sz w:val="22"/>
                <w:szCs w:val="22"/>
              </w:rPr>
              <w:t>povišeni nivoi jetrenih enzima</w:t>
            </w:r>
          </w:p>
          <w:p w14:paraId="56E53B6B" w14:textId="77777777" w:rsidR="0083687B" w:rsidRPr="0083687B" w:rsidRDefault="0083687B">
            <w:pPr>
              <w:widowControl w:val="0"/>
              <w:autoSpaceDE w:val="0"/>
              <w:autoSpaceDN w:val="0"/>
              <w:adjustRightInd w:val="0"/>
              <w:ind w:left="40"/>
              <w:jc w:val="both"/>
              <w:rPr>
                <w:sz w:val="22"/>
                <w:szCs w:val="22"/>
              </w:rPr>
            </w:pPr>
          </w:p>
          <w:p w14:paraId="332559F4"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holecistitis i holelitijaza, </w:t>
            </w:r>
          </w:p>
          <w:p w14:paraId="3AF8B690" w14:textId="77777777" w:rsidR="0083687B" w:rsidRPr="0083687B" w:rsidRDefault="0083687B">
            <w:pPr>
              <w:widowControl w:val="0"/>
              <w:autoSpaceDE w:val="0"/>
              <w:autoSpaceDN w:val="0"/>
              <w:adjustRightInd w:val="0"/>
              <w:ind w:left="40"/>
              <w:jc w:val="both"/>
              <w:rPr>
                <w:sz w:val="22"/>
                <w:szCs w:val="22"/>
              </w:rPr>
            </w:pPr>
            <w:r w:rsidRPr="0083687B">
              <w:rPr>
                <w:sz w:val="22"/>
                <w:szCs w:val="22"/>
              </w:rPr>
              <w:t>hepatička steatoza,</w:t>
            </w:r>
          </w:p>
          <w:p w14:paraId="728092BE" w14:textId="77777777" w:rsidR="0083687B" w:rsidRPr="0083687B" w:rsidRDefault="0083687B">
            <w:pPr>
              <w:widowControl w:val="0"/>
              <w:autoSpaceDE w:val="0"/>
              <w:autoSpaceDN w:val="0"/>
              <w:adjustRightInd w:val="0"/>
              <w:ind w:left="40"/>
              <w:jc w:val="both"/>
              <w:rPr>
                <w:sz w:val="22"/>
                <w:szCs w:val="22"/>
              </w:rPr>
            </w:pPr>
            <w:r w:rsidRPr="0083687B">
              <w:rPr>
                <w:sz w:val="22"/>
                <w:szCs w:val="22"/>
              </w:rPr>
              <w:t>povišeni nivoi bilirubina</w:t>
            </w:r>
          </w:p>
          <w:p w14:paraId="498A7A75" w14:textId="77777777" w:rsidR="0083687B" w:rsidRPr="0083687B" w:rsidRDefault="0083687B">
            <w:pPr>
              <w:widowControl w:val="0"/>
              <w:autoSpaceDE w:val="0"/>
              <w:autoSpaceDN w:val="0"/>
              <w:adjustRightInd w:val="0"/>
              <w:ind w:left="40"/>
              <w:jc w:val="both"/>
              <w:rPr>
                <w:sz w:val="22"/>
                <w:szCs w:val="22"/>
              </w:rPr>
            </w:pPr>
          </w:p>
          <w:p w14:paraId="6088C905" w14:textId="77777777" w:rsidR="0083687B" w:rsidRPr="0083687B" w:rsidRDefault="0083687B">
            <w:pPr>
              <w:widowControl w:val="0"/>
              <w:autoSpaceDE w:val="0"/>
              <w:autoSpaceDN w:val="0"/>
              <w:adjustRightInd w:val="0"/>
              <w:ind w:left="40"/>
              <w:jc w:val="both"/>
              <w:rPr>
                <w:sz w:val="22"/>
                <w:szCs w:val="22"/>
              </w:rPr>
            </w:pPr>
            <w:r w:rsidRPr="0083687B">
              <w:rPr>
                <w:sz w:val="22"/>
                <w:szCs w:val="22"/>
              </w:rPr>
              <w:t>hepatitis</w:t>
            </w:r>
          </w:p>
          <w:p w14:paraId="7A94C1F2" w14:textId="77777777" w:rsidR="0083687B" w:rsidRPr="0083687B" w:rsidRDefault="0083687B">
            <w:pPr>
              <w:widowControl w:val="0"/>
              <w:autoSpaceDE w:val="0"/>
              <w:autoSpaceDN w:val="0"/>
              <w:adjustRightInd w:val="0"/>
              <w:ind w:left="40"/>
              <w:jc w:val="both"/>
              <w:rPr>
                <w:sz w:val="22"/>
                <w:szCs w:val="22"/>
                <w:vertAlign w:val="superscript"/>
              </w:rPr>
            </w:pPr>
            <w:r w:rsidRPr="0083687B">
              <w:rPr>
                <w:sz w:val="22"/>
                <w:szCs w:val="22"/>
              </w:rPr>
              <w:t>reaktivacija hepatitisa B</w:t>
            </w:r>
            <w:r w:rsidRPr="0083687B">
              <w:rPr>
                <w:sz w:val="22"/>
                <w:szCs w:val="22"/>
                <w:vertAlign w:val="superscript"/>
              </w:rPr>
              <w:t>1)</w:t>
            </w:r>
          </w:p>
          <w:p w14:paraId="37E147CB" w14:textId="77777777" w:rsidR="0083687B" w:rsidRPr="0083687B" w:rsidRDefault="0083687B">
            <w:pPr>
              <w:widowControl w:val="0"/>
              <w:autoSpaceDE w:val="0"/>
              <w:autoSpaceDN w:val="0"/>
              <w:adjustRightInd w:val="0"/>
              <w:ind w:left="40"/>
              <w:jc w:val="both"/>
              <w:rPr>
                <w:sz w:val="22"/>
                <w:szCs w:val="22"/>
                <w:vertAlign w:val="superscript"/>
              </w:rPr>
            </w:pPr>
            <w:r w:rsidRPr="0083687B">
              <w:rPr>
                <w:sz w:val="22"/>
                <w:szCs w:val="22"/>
              </w:rPr>
              <w:t>autoimuni hepatitis</w:t>
            </w:r>
            <w:r w:rsidRPr="0083687B">
              <w:rPr>
                <w:sz w:val="22"/>
                <w:szCs w:val="22"/>
                <w:vertAlign w:val="superscript"/>
              </w:rPr>
              <w:t xml:space="preserve"> 1)</w:t>
            </w:r>
          </w:p>
          <w:p w14:paraId="588BF95B" w14:textId="77777777" w:rsidR="0083687B" w:rsidRPr="0083687B" w:rsidRDefault="0083687B">
            <w:pPr>
              <w:widowControl w:val="0"/>
              <w:autoSpaceDE w:val="0"/>
              <w:autoSpaceDN w:val="0"/>
              <w:adjustRightInd w:val="0"/>
              <w:jc w:val="both"/>
              <w:rPr>
                <w:sz w:val="22"/>
                <w:szCs w:val="22"/>
              </w:rPr>
            </w:pPr>
          </w:p>
          <w:p w14:paraId="0CEA0442" w14:textId="77777777" w:rsidR="0083687B" w:rsidRPr="0083687B" w:rsidRDefault="0083687B">
            <w:pPr>
              <w:widowControl w:val="0"/>
              <w:autoSpaceDE w:val="0"/>
              <w:autoSpaceDN w:val="0"/>
              <w:adjustRightInd w:val="0"/>
              <w:jc w:val="both"/>
              <w:rPr>
                <w:sz w:val="22"/>
                <w:szCs w:val="22"/>
              </w:rPr>
            </w:pPr>
            <w:r w:rsidRPr="0083687B">
              <w:rPr>
                <w:sz w:val="22"/>
                <w:szCs w:val="22"/>
              </w:rPr>
              <w:t>isuficijencija jetre</w:t>
            </w:r>
            <w:r w:rsidRPr="0083687B">
              <w:rPr>
                <w:sz w:val="22"/>
                <w:szCs w:val="22"/>
                <w:vertAlign w:val="superscript"/>
              </w:rPr>
              <w:t>1)</w:t>
            </w:r>
          </w:p>
        </w:tc>
      </w:tr>
      <w:tr w:rsidR="0083687B" w:rsidRPr="0083687B" w14:paraId="6462AE5E" w14:textId="77777777" w:rsidTr="00BF30CE">
        <w:trPr>
          <w:trHeight w:val="799"/>
        </w:trPr>
        <w:tc>
          <w:tcPr>
            <w:tcW w:w="2522" w:type="dxa"/>
            <w:tcBorders>
              <w:top w:val="single" w:sz="8" w:space="0" w:color="000000"/>
              <w:left w:val="single" w:sz="8" w:space="0" w:color="000000"/>
              <w:bottom w:val="single" w:sz="8" w:space="0" w:color="000000"/>
              <w:right w:val="single" w:sz="8" w:space="0" w:color="000000"/>
            </w:tcBorders>
          </w:tcPr>
          <w:p w14:paraId="33179FAC" w14:textId="77777777" w:rsidR="0083687B" w:rsidRPr="0083687B" w:rsidRDefault="0083687B" w:rsidP="00730D96">
            <w:pPr>
              <w:widowControl w:val="0"/>
              <w:autoSpaceDE w:val="0"/>
              <w:autoSpaceDN w:val="0"/>
              <w:adjustRightInd w:val="0"/>
              <w:jc w:val="both"/>
              <w:rPr>
                <w:sz w:val="22"/>
                <w:szCs w:val="22"/>
              </w:rPr>
            </w:pPr>
            <w:r w:rsidRPr="0083687B">
              <w:rPr>
                <w:sz w:val="22"/>
                <w:szCs w:val="22"/>
              </w:rPr>
              <w:lastRenderedPageBreak/>
              <w:t xml:space="preserve">Poremećaji kože i potkožnog tkiva </w:t>
            </w:r>
          </w:p>
        </w:tc>
        <w:tc>
          <w:tcPr>
            <w:tcW w:w="1393" w:type="dxa"/>
            <w:tcBorders>
              <w:top w:val="single" w:sz="8" w:space="0" w:color="000000"/>
              <w:left w:val="single" w:sz="8" w:space="0" w:color="000000"/>
              <w:bottom w:val="single" w:sz="8" w:space="0" w:color="000000"/>
              <w:right w:val="single" w:sz="8" w:space="0" w:color="000000"/>
            </w:tcBorders>
          </w:tcPr>
          <w:p w14:paraId="2C5566C6"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veoma često</w:t>
            </w:r>
          </w:p>
          <w:p w14:paraId="635472E0"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  </w:t>
            </w:r>
          </w:p>
          <w:p w14:paraId="39C7D703"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često</w:t>
            </w:r>
          </w:p>
          <w:p w14:paraId="42906D8C" w14:textId="77777777" w:rsidR="0083687B" w:rsidRPr="0083687B" w:rsidRDefault="0083687B">
            <w:pPr>
              <w:widowControl w:val="0"/>
              <w:autoSpaceDE w:val="0"/>
              <w:autoSpaceDN w:val="0"/>
              <w:adjustRightInd w:val="0"/>
              <w:ind w:left="567" w:hanging="567"/>
              <w:jc w:val="both"/>
              <w:rPr>
                <w:sz w:val="22"/>
                <w:szCs w:val="22"/>
              </w:rPr>
            </w:pPr>
          </w:p>
          <w:p w14:paraId="39C77D6F" w14:textId="77777777" w:rsidR="0083687B" w:rsidRPr="0083687B" w:rsidRDefault="0083687B">
            <w:pPr>
              <w:widowControl w:val="0"/>
              <w:autoSpaceDE w:val="0"/>
              <w:autoSpaceDN w:val="0"/>
              <w:adjustRightInd w:val="0"/>
              <w:ind w:left="567" w:hanging="567"/>
              <w:jc w:val="both"/>
              <w:rPr>
                <w:sz w:val="22"/>
                <w:szCs w:val="22"/>
              </w:rPr>
            </w:pPr>
          </w:p>
          <w:p w14:paraId="3523E28B" w14:textId="77777777" w:rsidR="0083687B" w:rsidRPr="0083687B" w:rsidRDefault="0083687B">
            <w:pPr>
              <w:widowControl w:val="0"/>
              <w:autoSpaceDE w:val="0"/>
              <w:autoSpaceDN w:val="0"/>
              <w:adjustRightInd w:val="0"/>
              <w:ind w:left="567" w:hanging="567"/>
              <w:jc w:val="both"/>
              <w:rPr>
                <w:sz w:val="22"/>
                <w:szCs w:val="22"/>
              </w:rPr>
            </w:pPr>
          </w:p>
          <w:p w14:paraId="3CB6B275" w14:textId="77777777" w:rsidR="0083687B" w:rsidRPr="0083687B" w:rsidRDefault="0083687B">
            <w:pPr>
              <w:widowControl w:val="0"/>
              <w:autoSpaceDE w:val="0"/>
              <w:autoSpaceDN w:val="0"/>
              <w:adjustRightInd w:val="0"/>
              <w:ind w:left="567" w:hanging="567"/>
              <w:jc w:val="both"/>
              <w:rPr>
                <w:sz w:val="22"/>
                <w:szCs w:val="22"/>
              </w:rPr>
            </w:pPr>
          </w:p>
          <w:p w14:paraId="47E902AD" w14:textId="77777777" w:rsidR="0083687B" w:rsidRPr="0083687B" w:rsidRDefault="0083687B">
            <w:pPr>
              <w:widowControl w:val="0"/>
              <w:autoSpaceDE w:val="0"/>
              <w:autoSpaceDN w:val="0"/>
              <w:adjustRightInd w:val="0"/>
              <w:ind w:left="567" w:hanging="567"/>
              <w:jc w:val="both"/>
              <w:rPr>
                <w:sz w:val="22"/>
                <w:szCs w:val="22"/>
              </w:rPr>
            </w:pPr>
          </w:p>
          <w:p w14:paraId="51188E53" w14:textId="77777777" w:rsidR="0083687B" w:rsidRPr="0083687B" w:rsidRDefault="0083687B">
            <w:pPr>
              <w:widowControl w:val="0"/>
              <w:autoSpaceDE w:val="0"/>
              <w:autoSpaceDN w:val="0"/>
              <w:adjustRightInd w:val="0"/>
              <w:ind w:left="567" w:hanging="567"/>
              <w:jc w:val="both"/>
              <w:rPr>
                <w:sz w:val="22"/>
                <w:szCs w:val="22"/>
              </w:rPr>
            </w:pPr>
          </w:p>
          <w:p w14:paraId="3618DA13" w14:textId="77777777" w:rsidR="0083687B" w:rsidRPr="0083687B" w:rsidRDefault="0083687B">
            <w:pPr>
              <w:widowControl w:val="0"/>
              <w:autoSpaceDE w:val="0"/>
              <w:autoSpaceDN w:val="0"/>
              <w:adjustRightInd w:val="0"/>
              <w:ind w:left="567" w:hanging="567"/>
              <w:jc w:val="both"/>
              <w:rPr>
                <w:sz w:val="22"/>
                <w:szCs w:val="22"/>
              </w:rPr>
            </w:pPr>
          </w:p>
          <w:p w14:paraId="7272CF29" w14:textId="77777777" w:rsidR="0083687B" w:rsidRPr="0083687B" w:rsidRDefault="0083687B">
            <w:pPr>
              <w:widowControl w:val="0"/>
              <w:autoSpaceDE w:val="0"/>
              <w:autoSpaceDN w:val="0"/>
              <w:adjustRightInd w:val="0"/>
              <w:ind w:left="567" w:hanging="567"/>
              <w:jc w:val="both"/>
              <w:rPr>
                <w:sz w:val="22"/>
                <w:szCs w:val="22"/>
              </w:rPr>
            </w:pPr>
          </w:p>
          <w:p w14:paraId="398243F1" w14:textId="77777777" w:rsidR="0083687B" w:rsidRPr="0083687B" w:rsidRDefault="0083687B">
            <w:pPr>
              <w:widowControl w:val="0"/>
              <w:autoSpaceDE w:val="0"/>
              <w:autoSpaceDN w:val="0"/>
              <w:adjustRightInd w:val="0"/>
              <w:ind w:left="567" w:hanging="567"/>
              <w:jc w:val="both"/>
              <w:rPr>
                <w:sz w:val="22"/>
                <w:szCs w:val="22"/>
              </w:rPr>
            </w:pPr>
          </w:p>
          <w:p w14:paraId="55754BB1" w14:textId="77777777" w:rsidR="0083687B" w:rsidRPr="0083687B" w:rsidRDefault="0083687B">
            <w:pPr>
              <w:widowControl w:val="0"/>
              <w:autoSpaceDE w:val="0"/>
              <w:autoSpaceDN w:val="0"/>
              <w:adjustRightInd w:val="0"/>
              <w:jc w:val="both"/>
              <w:rPr>
                <w:sz w:val="22"/>
                <w:szCs w:val="22"/>
              </w:rPr>
            </w:pPr>
            <w:r w:rsidRPr="0083687B">
              <w:rPr>
                <w:sz w:val="22"/>
                <w:szCs w:val="22"/>
              </w:rPr>
              <w:t>povremeno</w:t>
            </w:r>
          </w:p>
          <w:p w14:paraId="0FE5A8A9" w14:textId="77777777" w:rsidR="0083687B" w:rsidRPr="0083687B" w:rsidRDefault="0083687B">
            <w:pPr>
              <w:widowControl w:val="0"/>
              <w:autoSpaceDE w:val="0"/>
              <w:autoSpaceDN w:val="0"/>
              <w:adjustRightInd w:val="0"/>
              <w:ind w:left="567" w:hanging="567"/>
              <w:jc w:val="both"/>
              <w:rPr>
                <w:sz w:val="22"/>
                <w:szCs w:val="22"/>
              </w:rPr>
            </w:pPr>
          </w:p>
          <w:p w14:paraId="78840953" w14:textId="77777777" w:rsidR="0083687B" w:rsidRPr="0083687B" w:rsidRDefault="0083687B">
            <w:pPr>
              <w:widowControl w:val="0"/>
              <w:autoSpaceDE w:val="0"/>
              <w:autoSpaceDN w:val="0"/>
              <w:adjustRightInd w:val="0"/>
              <w:ind w:left="567" w:hanging="567"/>
              <w:jc w:val="both"/>
              <w:rPr>
                <w:sz w:val="22"/>
                <w:szCs w:val="22"/>
              </w:rPr>
            </w:pPr>
          </w:p>
          <w:p w14:paraId="7C669C40"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rijetko</w:t>
            </w:r>
          </w:p>
          <w:p w14:paraId="0785410F" w14:textId="77777777" w:rsidR="0083687B" w:rsidRPr="0083687B" w:rsidRDefault="0083687B">
            <w:pPr>
              <w:widowControl w:val="0"/>
              <w:autoSpaceDE w:val="0"/>
              <w:autoSpaceDN w:val="0"/>
              <w:adjustRightInd w:val="0"/>
              <w:ind w:left="567" w:hanging="567"/>
              <w:jc w:val="both"/>
              <w:rPr>
                <w:sz w:val="22"/>
                <w:szCs w:val="22"/>
              </w:rPr>
            </w:pPr>
          </w:p>
          <w:p w14:paraId="1E1D8F07" w14:textId="77777777" w:rsidR="0083687B" w:rsidRPr="0083687B" w:rsidRDefault="0083687B">
            <w:pPr>
              <w:widowControl w:val="0"/>
              <w:autoSpaceDE w:val="0"/>
              <w:autoSpaceDN w:val="0"/>
              <w:adjustRightInd w:val="0"/>
              <w:ind w:left="567" w:hanging="567"/>
              <w:jc w:val="both"/>
              <w:rPr>
                <w:sz w:val="22"/>
                <w:szCs w:val="22"/>
              </w:rPr>
            </w:pPr>
          </w:p>
          <w:p w14:paraId="6F04CA52" w14:textId="77777777" w:rsidR="0083687B" w:rsidRPr="0083687B" w:rsidRDefault="0083687B">
            <w:pPr>
              <w:widowControl w:val="0"/>
              <w:autoSpaceDE w:val="0"/>
              <w:autoSpaceDN w:val="0"/>
              <w:adjustRightInd w:val="0"/>
              <w:ind w:left="567" w:hanging="567"/>
              <w:jc w:val="both"/>
              <w:rPr>
                <w:sz w:val="22"/>
                <w:szCs w:val="22"/>
              </w:rPr>
            </w:pPr>
          </w:p>
          <w:p w14:paraId="25D29045" w14:textId="77777777" w:rsidR="0083687B" w:rsidRPr="0083687B" w:rsidRDefault="0083687B">
            <w:pPr>
              <w:widowControl w:val="0"/>
              <w:autoSpaceDE w:val="0"/>
              <w:autoSpaceDN w:val="0"/>
              <w:adjustRightInd w:val="0"/>
              <w:jc w:val="both"/>
              <w:rPr>
                <w:sz w:val="22"/>
                <w:szCs w:val="22"/>
              </w:rPr>
            </w:pPr>
          </w:p>
          <w:p w14:paraId="19F570E0" w14:textId="77777777" w:rsidR="0083687B" w:rsidRPr="0083687B" w:rsidRDefault="0083687B">
            <w:pPr>
              <w:widowControl w:val="0"/>
              <w:autoSpaceDE w:val="0"/>
              <w:autoSpaceDN w:val="0"/>
              <w:adjustRightInd w:val="0"/>
              <w:jc w:val="both"/>
              <w:rPr>
                <w:sz w:val="22"/>
                <w:szCs w:val="22"/>
              </w:rPr>
            </w:pPr>
          </w:p>
          <w:p w14:paraId="77F7F1A0" w14:textId="77777777" w:rsidR="0083687B" w:rsidRPr="0083687B" w:rsidRDefault="0083687B">
            <w:pPr>
              <w:widowControl w:val="0"/>
              <w:autoSpaceDE w:val="0"/>
              <w:autoSpaceDN w:val="0"/>
              <w:adjustRightInd w:val="0"/>
              <w:jc w:val="both"/>
              <w:rPr>
                <w:sz w:val="22"/>
                <w:szCs w:val="22"/>
              </w:rPr>
            </w:pPr>
            <w:r w:rsidRPr="0083687B">
              <w:rPr>
                <w:sz w:val="22"/>
                <w:szCs w:val="22"/>
              </w:rPr>
              <w:t>nepoznato</w:t>
            </w:r>
          </w:p>
        </w:tc>
        <w:tc>
          <w:tcPr>
            <w:tcW w:w="5030" w:type="dxa"/>
            <w:tcBorders>
              <w:top w:val="single" w:sz="8" w:space="0" w:color="000000"/>
              <w:left w:val="single" w:sz="8" w:space="0" w:color="000000"/>
              <w:bottom w:val="single" w:sz="8" w:space="0" w:color="000000"/>
              <w:right w:val="single" w:sz="8" w:space="0" w:color="000000"/>
            </w:tcBorders>
          </w:tcPr>
          <w:p w14:paraId="7DFD866D" w14:textId="77777777" w:rsidR="0083687B" w:rsidRPr="0083687B" w:rsidRDefault="0083687B">
            <w:pPr>
              <w:widowControl w:val="0"/>
              <w:autoSpaceDE w:val="0"/>
              <w:autoSpaceDN w:val="0"/>
              <w:adjustRightInd w:val="0"/>
              <w:ind w:left="40"/>
              <w:jc w:val="both"/>
              <w:rPr>
                <w:sz w:val="22"/>
                <w:szCs w:val="22"/>
              </w:rPr>
            </w:pPr>
            <w:r w:rsidRPr="0083687B">
              <w:rPr>
                <w:sz w:val="22"/>
                <w:szCs w:val="22"/>
              </w:rPr>
              <w:t>osip (uključujući eksfolijativni osip)</w:t>
            </w:r>
          </w:p>
          <w:p w14:paraId="021AF4D2"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 </w:t>
            </w:r>
          </w:p>
          <w:p w14:paraId="5F2EBB15" w14:textId="77777777" w:rsidR="0083687B" w:rsidRPr="0083687B" w:rsidRDefault="0083687B">
            <w:pPr>
              <w:widowControl w:val="0"/>
              <w:autoSpaceDE w:val="0"/>
              <w:autoSpaceDN w:val="0"/>
              <w:adjustRightInd w:val="0"/>
              <w:ind w:left="40"/>
              <w:jc w:val="both"/>
              <w:rPr>
                <w:sz w:val="22"/>
                <w:szCs w:val="22"/>
              </w:rPr>
            </w:pPr>
            <w:r w:rsidRPr="0083687B">
              <w:rPr>
                <w:sz w:val="22"/>
                <w:szCs w:val="22"/>
              </w:rPr>
              <w:t>pogoršanje ili ponovna pojava psorijaze (uključujući palmoplantarnu pustularnu psorijazu)</w:t>
            </w:r>
            <w:r w:rsidRPr="0083687B">
              <w:rPr>
                <w:sz w:val="22"/>
                <w:szCs w:val="22"/>
                <w:vertAlign w:val="superscript"/>
              </w:rPr>
              <w:t xml:space="preserve"> 1)</w:t>
            </w:r>
            <w:r w:rsidRPr="0083687B">
              <w:rPr>
                <w:sz w:val="22"/>
                <w:szCs w:val="22"/>
              </w:rPr>
              <w:t xml:space="preserve">, </w:t>
            </w:r>
          </w:p>
          <w:p w14:paraId="1ECC0793"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urtikarija, </w:t>
            </w:r>
          </w:p>
          <w:p w14:paraId="144B4EF3"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povećano stvaranje modrica (uključujući purpuru), </w:t>
            </w:r>
          </w:p>
          <w:p w14:paraId="28206AC3"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dermatitis (uključujući ekcem), </w:t>
            </w:r>
          </w:p>
          <w:p w14:paraId="7EAC944D"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lomljenje noktiju, </w:t>
            </w:r>
          </w:p>
          <w:p w14:paraId="3DC24988" w14:textId="77777777" w:rsidR="0083687B" w:rsidRPr="0083687B" w:rsidRDefault="0083687B">
            <w:pPr>
              <w:widowControl w:val="0"/>
              <w:autoSpaceDE w:val="0"/>
              <w:autoSpaceDN w:val="0"/>
              <w:adjustRightInd w:val="0"/>
              <w:ind w:left="40"/>
              <w:jc w:val="both"/>
              <w:rPr>
                <w:sz w:val="22"/>
                <w:szCs w:val="22"/>
              </w:rPr>
            </w:pPr>
            <w:r w:rsidRPr="0083687B">
              <w:rPr>
                <w:sz w:val="22"/>
                <w:szCs w:val="22"/>
              </w:rPr>
              <w:t>hiperhidroza,</w:t>
            </w:r>
          </w:p>
          <w:p w14:paraId="618BAE1C" w14:textId="77777777" w:rsidR="0083687B" w:rsidRPr="0083687B" w:rsidRDefault="0083687B">
            <w:pPr>
              <w:widowControl w:val="0"/>
              <w:autoSpaceDE w:val="0"/>
              <w:autoSpaceDN w:val="0"/>
              <w:adjustRightInd w:val="0"/>
              <w:ind w:left="40"/>
              <w:jc w:val="both"/>
              <w:rPr>
                <w:sz w:val="22"/>
                <w:szCs w:val="22"/>
              </w:rPr>
            </w:pPr>
            <w:r w:rsidRPr="0083687B">
              <w:rPr>
                <w:sz w:val="22"/>
                <w:szCs w:val="22"/>
              </w:rPr>
              <w:t>alopecija</w:t>
            </w:r>
            <w:r w:rsidRPr="0083687B">
              <w:rPr>
                <w:sz w:val="22"/>
                <w:szCs w:val="22"/>
                <w:vertAlign w:val="superscript"/>
              </w:rPr>
              <w:t>1)</w:t>
            </w:r>
            <w:r w:rsidRPr="0083687B">
              <w:rPr>
                <w:sz w:val="22"/>
                <w:szCs w:val="22"/>
              </w:rPr>
              <w:t>,</w:t>
            </w:r>
          </w:p>
          <w:p w14:paraId="46A361DB"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pruritus </w:t>
            </w:r>
          </w:p>
          <w:p w14:paraId="04EDE7CD" w14:textId="77777777" w:rsidR="0083687B" w:rsidRPr="0083687B" w:rsidRDefault="0083687B">
            <w:pPr>
              <w:widowControl w:val="0"/>
              <w:autoSpaceDE w:val="0"/>
              <w:autoSpaceDN w:val="0"/>
              <w:adjustRightInd w:val="0"/>
              <w:jc w:val="both"/>
              <w:rPr>
                <w:sz w:val="22"/>
                <w:szCs w:val="22"/>
              </w:rPr>
            </w:pPr>
          </w:p>
          <w:p w14:paraId="35E263C3"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noćno znojenje, </w:t>
            </w:r>
          </w:p>
          <w:p w14:paraId="491A03D6"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ožiljci </w:t>
            </w:r>
          </w:p>
          <w:p w14:paraId="0611F3F9" w14:textId="77777777" w:rsidR="0083687B" w:rsidRPr="0083687B" w:rsidRDefault="0083687B">
            <w:pPr>
              <w:widowControl w:val="0"/>
              <w:autoSpaceDE w:val="0"/>
              <w:autoSpaceDN w:val="0"/>
              <w:adjustRightInd w:val="0"/>
              <w:ind w:left="40"/>
              <w:jc w:val="both"/>
              <w:rPr>
                <w:sz w:val="22"/>
                <w:szCs w:val="22"/>
              </w:rPr>
            </w:pPr>
          </w:p>
          <w:p w14:paraId="79C95904" w14:textId="77777777" w:rsidR="0083687B" w:rsidRPr="0083687B" w:rsidRDefault="0083687B">
            <w:pPr>
              <w:widowControl w:val="0"/>
              <w:autoSpaceDE w:val="0"/>
              <w:autoSpaceDN w:val="0"/>
              <w:adjustRightInd w:val="0"/>
              <w:ind w:left="40"/>
              <w:jc w:val="both"/>
              <w:rPr>
                <w:sz w:val="22"/>
                <w:szCs w:val="22"/>
              </w:rPr>
            </w:pPr>
            <w:r w:rsidRPr="0083687B">
              <w:rPr>
                <w:sz w:val="22"/>
                <w:szCs w:val="22"/>
              </w:rPr>
              <w:t>multiformni eritem</w:t>
            </w:r>
            <w:r w:rsidRPr="0083687B">
              <w:rPr>
                <w:sz w:val="22"/>
                <w:szCs w:val="22"/>
                <w:vertAlign w:val="superscript"/>
              </w:rPr>
              <w:t>1)</w:t>
            </w:r>
            <w:r w:rsidRPr="0083687B">
              <w:rPr>
                <w:sz w:val="22"/>
                <w:szCs w:val="22"/>
              </w:rPr>
              <w:t>,</w:t>
            </w:r>
          </w:p>
          <w:p w14:paraId="3C68EC2F" w14:textId="77777777" w:rsidR="0083687B" w:rsidRPr="0083687B" w:rsidRDefault="0083687B">
            <w:pPr>
              <w:widowControl w:val="0"/>
              <w:autoSpaceDE w:val="0"/>
              <w:autoSpaceDN w:val="0"/>
              <w:adjustRightInd w:val="0"/>
              <w:ind w:left="40"/>
              <w:jc w:val="both"/>
              <w:rPr>
                <w:sz w:val="22"/>
                <w:szCs w:val="22"/>
              </w:rPr>
            </w:pPr>
            <w:r w:rsidRPr="0083687B">
              <w:rPr>
                <w:sz w:val="22"/>
                <w:szCs w:val="22"/>
              </w:rPr>
              <w:t>Stevens-Johnsonov sindrom</w:t>
            </w:r>
            <w:r w:rsidRPr="0083687B">
              <w:rPr>
                <w:sz w:val="22"/>
                <w:szCs w:val="22"/>
                <w:vertAlign w:val="superscript"/>
              </w:rPr>
              <w:t>1)</w:t>
            </w:r>
            <w:r w:rsidRPr="0083687B">
              <w:rPr>
                <w:sz w:val="22"/>
                <w:szCs w:val="22"/>
              </w:rPr>
              <w:t>,</w:t>
            </w:r>
          </w:p>
          <w:p w14:paraId="2039991F" w14:textId="77777777" w:rsidR="0083687B" w:rsidRPr="0083687B" w:rsidRDefault="0083687B">
            <w:pPr>
              <w:widowControl w:val="0"/>
              <w:autoSpaceDE w:val="0"/>
              <w:autoSpaceDN w:val="0"/>
              <w:adjustRightInd w:val="0"/>
              <w:ind w:left="40"/>
              <w:jc w:val="both"/>
              <w:rPr>
                <w:sz w:val="22"/>
                <w:szCs w:val="22"/>
              </w:rPr>
            </w:pPr>
            <w:r w:rsidRPr="0083687B">
              <w:rPr>
                <w:sz w:val="22"/>
                <w:szCs w:val="22"/>
              </w:rPr>
              <w:t>angioedem</w:t>
            </w:r>
            <w:r w:rsidRPr="0083687B">
              <w:rPr>
                <w:sz w:val="22"/>
                <w:szCs w:val="22"/>
                <w:vertAlign w:val="superscript"/>
              </w:rPr>
              <w:t>1)</w:t>
            </w:r>
            <w:r w:rsidRPr="0083687B">
              <w:rPr>
                <w:sz w:val="22"/>
                <w:szCs w:val="22"/>
              </w:rPr>
              <w:t>,</w:t>
            </w:r>
          </w:p>
          <w:p w14:paraId="5CB41021" w14:textId="77777777" w:rsidR="0083687B" w:rsidRPr="0083687B" w:rsidRDefault="0083687B">
            <w:pPr>
              <w:widowControl w:val="0"/>
              <w:autoSpaceDE w:val="0"/>
              <w:autoSpaceDN w:val="0"/>
              <w:adjustRightInd w:val="0"/>
              <w:ind w:left="40"/>
              <w:jc w:val="both"/>
              <w:rPr>
                <w:sz w:val="22"/>
                <w:szCs w:val="22"/>
                <w:vertAlign w:val="superscript"/>
              </w:rPr>
            </w:pPr>
            <w:r w:rsidRPr="0083687B">
              <w:rPr>
                <w:sz w:val="22"/>
                <w:szCs w:val="22"/>
              </w:rPr>
              <w:t>kožni vaskulitis</w:t>
            </w:r>
            <w:r w:rsidRPr="0083687B">
              <w:rPr>
                <w:sz w:val="22"/>
                <w:szCs w:val="22"/>
                <w:vertAlign w:val="superscript"/>
              </w:rPr>
              <w:t>1)</w:t>
            </w:r>
          </w:p>
          <w:p w14:paraId="02DBA1FA" w14:textId="40ED8075" w:rsidR="0083687B" w:rsidRPr="0083687B" w:rsidRDefault="0083687B">
            <w:pPr>
              <w:widowControl w:val="0"/>
              <w:autoSpaceDE w:val="0"/>
              <w:autoSpaceDN w:val="0"/>
              <w:adjustRightInd w:val="0"/>
              <w:ind w:left="40"/>
              <w:jc w:val="both"/>
              <w:rPr>
                <w:sz w:val="22"/>
                <w:szCs w:val="22"/>
                <w:vertAlign w:val="superscript"/>
              </w:rPr>
            </w:pPr>
            <w:r w:rsidRPr="0083687B">
              <w:rPr>
                <w:sz w:val="22"/>
                <w:szCs w:val="22"/>
              </w:rPr>
              <w:t>lihenoidne reakcije na koži</w:t>
            </w:r>
            <w:r w:rsidRPr="0083687B">
              <w:rPr>
                <w:sz w:val="22"/>
                <w:szCs w:val="22"/>
                <w:vertAlign w:val="superscript"/>
              </w:rPr>
              <w:t>1)</w:t>
            </w:r>
          </w:p>
          <w:p w14:paraId="3EE19B15" w14:textId="77777777" w:rsidR="0083687B" w:rsidRPr="0083687B" w:rsidRDefault="0083687B">
            <w:pPr>
              <w:widowControl w:val="0"/>
              <w:autoSpaceDE w:val="0"/>
              <w:autoSpaceDN w:val="0"/>
              <w:adjustRightInd w:val="0"/>
              <w:ind w:left="40"/>
              <w:jc w:val="both"/>
              <w:rPr>
                <w:sz w:val="22"/>
                <w:szCs w:val="22"/>
              </w:rPr>
            </w:pPr>
          </w:p>
          <w:p w14:paraId="7007555C"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pogoršanje simptoma dermatomiozitisa </w:t>
            </w:r>
            <w:r w:rsidRPr="0083687B">
              <w:rPr>
                <w:sz w:val="22"/>
                <w:szCs w:val="22"/>
                <w:vertAlign w:val="superscript"/>
              </w:rPr>
              <w:t>1</w:t>
            </w:r>
          </w:p>
        </w:tc>
      </w:tr>
      <w:tr w:rsidR="0083687B" w:rsidRPr="0083687B" w14:paraId="2982B7F0" w14:textId="77777777" w:rsidTr="00BF30CE">
        <w:trPr>
          <w:trHeight w:val="517"/>
        </w:trPr>
        <w:tc>
          <w:tcPr>
            <w:tcW w:w="2522" w:type="dxa"/>
            <w:tcBorders>
              <w:top w:val="single" w:sz="8" w:space="0" w:color="000000"/>
              <w:left w:val="single" w:sz="8" w:space="0" w:color="000000"/>
              <w:bottom w:val="single" w:sz="8" w:space="0" w:color="000000"/>
              <w:right w:val="single" w:sz="8" w:space="0" w:color="000000"/>
            </w:tcBorders>
          </w:tcPr>
          <w:p w14:paraId="38C84768" w14:textId="77777777" w:rsidR="0083687B" w:rsidRPr="0083687B" w:rsidRDefault="0083687B" w:rsidP="00EB3350">
            <w:pPr>
              <w:widowControl w:val="0"/>
              <w:autoSpaceDE w:val="0"/>
              <w:autoSpaceDN w:val="0"/>
              <w:adjustRightInd w:val="0"/>
              <w:jc w:val="both"/>
              <w:rPr>
                <w:sz w:val="22"/>
                <w:szCs w:val="22"/>
              </w:rPr>
            </w:pPr>
            <w:r w:rsidRPr="0083687B">
              <w:rPr>
                <w:sz w:val="22"/>
                <w:szCs w:val="22"/>
              </w:rPr>
              <w:t xml:space="preserve">Poremećaji mišićno-skeletnog sistema i vezivnog tkiva </w:t>
            </w:r>
          </w:p>
        </w:tc>
        <w:tc>
          <w:tcPr>
            <w:tcW w:w="1393" w:type="dxa"/>
            <w:tcBorders>
              <w:top w:val="single" w:sz="8" w:space="0" w:color="000000"/>
              <w:left w:val="single" w:sz="8" w:space="0" w:color="000000"/>
              <w:bottom w:val="single" w:sz="8" w:space="0" w:color="000000"/>
              <w:right w:val="single" w:sz="8" w:space="0" w:color="000000"/>
            </w:tcBorders>
          </w:tcPr>
          <w:p w14:paraId="766832E6" w14:textId="77777777" w:rsidR="0083687B" w:rsidRPr="0083687B" w:rsidRDefault="0083687B" w:rsidP="00730D96">
            <w:pPr>
              <w:widowControl w:val="0"/>
              <w:autoSpaceDE w:val="0"/>
              <w:autoSpaceDN w:val="0"/>
              <w:adjustRightInd w:val="0"/>
              <w:ind w:left="567" w:hanging="567"/>
              <w:jc w:val="both"/>
              <w:rPr>
                <w:sz w:val="22"/>
                <w:szCs w:val="22"/>
              </w:rPr>
            </w:pPr>
            <w:r w:rsidRPr="0083687B">
              <w:rPr>
                <w:sz w:val="22"/>
                <w:szCs w:val="22"/>
              </w:rPr>
              <w:t>veoma često</w:t>
            </w:r>
          </w:p>
          <w:p w14:paraId="1675A4C2" w14:textId="77777777" w:rsidR="0083687B" w:rsidRPr="0083687B" w:rsidRDefault="0083687B">
            <w:pPr>
              <w:widowControl w:val="0"/>
              <w:autoSpaceDE w:val="0"/>
              <w:autoSpaceDN w:val="0"/>
              <w:adjustRightInd w:val="0"/>
              <w:ind w:left="567" w:hanging="567"/>
              <w:jc w:val="both"/>
              <w:rPr>
                <w:sz w:val="22"/>
                <w:szCs w:val="22"/>
              </w:rPr>
            </w:pPr>
          </w:p>
          <w:p w14:paraId="3A3E5C0D"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često</w:t>
            </w:r>
          </w:p>
          <w:p w14:paraId="055E33B2" w14:textId="77777777" w:rsidR="0083687B" w:rsidRPr="0083687B" w:rsidRDefault="0083687B">
            <w:pPr>
              <w:widowControl w:val="0"/>
              <w:autoSpaceDE w:val="0"/>
              <w:autoSpaceDN w:val="0"/>
              <w:adjustRightInd w:val="0"/>
              <w:ind w:left="567" w:hanging="567"/>
              <w:jc w:val="both"/>
              <w:rPr>
                <w:sz w:val="22"/>
                <w:szCs w:val="22"/>
              </w:rPr>
            </w:pPr>
          </w:p>
          <w:p w14:paraId="09F1E665" w14:textId="77777777" w:rsidR="0083687B" w:rsidRPr="0083687B" w:rsidRDefault="0083687B">
            <w:pPr>
              <w:widowControl w:val="0"/>
              <w:autoSpaceDE w:val="0"/>
              <w:autoSpaceDN w:val="0"/>
              <w:adjustRightInd w:val="0"/>
              <w:ind w:left="567" w:hanging="567"/>
              <w:jc w:val="both"/>
              <w:rPr>
                <w:sz w:val="22"/>
                <w:szCs w:val="22"/>
              </w:rPr>
            </w:pPr>
          </w:p>
          <w:p w14:paraId="2020630C"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povremeno</w:t>
            </w:r>
          </w:p>
          <w:p w14:paraId="1584793C" w14:textId="77777777" w:rsidR="0083687B" w:rsidRPr="0083687B" w:rsidRDefault="0083687B">
            <w:pPr>
              <w:widowControl w:val="0"/>
              <w:autoSpaceDE w:val="0"/>
              <w:autoSpaceDN w:val="0"/>
              <w:adjustRightInd w:val="0"/>
              <w:ind w:left="567" w:hanging="567"/>
              <w:jc w:val="both"/>
              <w:rPr>
                <w:sz w:val="22"/>
                <w:szCs w:val="22"/>
              </w:rPr>
            </w:pPr>
          </w:p>
          <w:p w14:paraId="162BBD47" w14:textId="77777777" w:rsidR="0083687B" w:rsidRPr="0083687B" w:rsidRDefault="0083687B">
            <w:pPr>
              <w:widowControl w:val="0"/>
              <w:autoSpaceDE w:val="0"/>
              <w:autoSpaceDN w:val="0"/>
              <w:adjustRightInd w:val="0"/>
              <w:ind w:left="567" w:hanging="567"/>
              <w:jc w:val="both"/>
              <w:rPr>
                <w:sz w:val="22"/>
                <w:szCs w:val="22"/>
              </w:rPr>
            </w:pPr>
          </w:p>
          <w:p w14:paraId="27091566"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rijetko</w:t>
            </w:r>
          </w:p>
        </w:tc>
        <w:tc>
          <w:tcPr>
            <w:tcW w:w="5030" w:type="dxa"/>
            <w:tcBorders>
              <w:top w:val="single" w:sz="8" w:space="0" w:color="000000"/>
              <w:left w:val="single" w:sz="8" w:space="0" w:color="000000"/>
              <w:bottom w:val="single" w:sz="8" w:space="0" w:color="000000"/>
              <w:right w:val="single" w:sz="8" w:space="0" w:color="000000"/>
            </w:tcBorders>
          </w:tcPr>
          <w:p w14:paraId="2286C445" w14:textId="77777777" w:rsidR="0083687B" w:rsidRPr="0083687B" w:rsidRDefault="0083687B">
            <w:pPr>
              <w:widowControl w:val="0"/>
              <w:autoSpaceDE w:val="0"/>
              <w:autoSpaceDN w:val="0"/>
              <w:adjustRightInd w:val="0"/>
              <w:ind w:left="40"/>
              <w:jc w:val="both"/>
              <w:rPr>
                <w:sz w:val="22"/>
                <w:szCs w:val="22"/>
              </w:rPr>
            </w:pPr>
            <w:r w:rsidRPr="0083687B">
              <w:rPr>
                <w:sz w:val="22"/>
                <w:szCs w:val="22"/>
              </w:rPr>
              <w:t>mišićno-skeletna bol</w:t>
            </w:r>
          </w:p>
          <w:p w14:paraId="27245938"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 </w:t>
            </w:r>
          </w:p>
          <w:p w14:paraId="387F7E21" w14:textId="7265E3FD" w:rsidR="0083687B" w:rsidRPr="0083687B" w:rsidRDefault="0083687B">
            <w:pPr>
              <w:widowControl w:val="0"/>
              <w:autoSpaceDE w:val="0"/>
              <w:autoSpaceDN w:val="0"/>
              <w:adjustRightInd w:val="0"/>
              <w:ind w:left="40"/>
              <w:jc w:val="both"/>
              <w:rPr>
                <w:sz w:val="22"/>
                <w:szCs w:val="22"/>
              </w:rPr>
            </w:pPr>
            <w:r w:rsidRPr="0083687B">
              <w:rPr>
                <w:sz w:val="22"/>
                <w:szCs w:val="22"/>
              </w:rPr>
              <w:t xml:space="preserve">spazmi mišića (uključujući povećanje nivoa </w:t>
            </w:r>
            <w:r w:rsidRPr="00D710CF">
              <w:rPr>
                <w:sz w:val="22"/>
                <w:szCs w:val="22"/>
              </w:rPr>
              <w:t>kreatin</w:t>
            </w:r>
            <w:r w:rsidRPr="0083687B">
              <w:rPr>
                <w:sz w:val="22"/>
                <w:szCs w:val="22"/>
              </w:rPr>
              <w:t xml:space="preserve"> fosfokinaze u krvi)</w:t>
            </w:r>
          </w:p>
          <w:p w14:paraId="0E168817" w14:textId="77777777" w:rsidR="0083687B" w:rsidRPr="0083687B" w:rsidRDefault="0083687B">
            <w:pPr>
              <w:widowControl w:val="0"/>
              <w:autoSpaceDE w:val="0"/>
              <w:autoSpaceDN w:val="0"/>
              <w:adjustRightInd w:val="0"/>
              <w:ind w:left="40"/>
              <w:jc w:val="both"/>
              <w:rPr>
                <w:sz w:val="22"/>
                <w:szCs w:val="22"/>
              </w:rPr>
            </w:pPr>
          </w:p>
          <w:p w14:paraId="116F9481" w14:textId="77777777" w:rsidR="0083687B" w:rsidRPr="0083687B" w:rsidRDefault="0083687B">
            <w:pPr>
              <w:widowControl w:val="0"/>
              <w:autoSpaceDE w:val="0"/>
              <w:autoSpaceDN w:val="0"/>
              <w:adjustRightInd w:val="0"/>
              <w:ind w:left="40"/>
              <w:jc w:val="both"/>
              <w:rPr>
                <w:sz w:val="22"/>
                <w:szCs w:val="22"/>
              </w:rPr>
            </w:pPr>
            <w:r w:rsidRPr="0083687B">
              <w:rPr>
                <w:sz w:val="22"/>
                <w:szCs w:val="22"/>
              </w:rPr>
              <w:t>rabdomioliza,</w:t>
            </w:r>
          </w:p>
          <w:p w14:paraId="00A0CA8C" w14:textId="77777777" w:rsidR="0083687B" w:rsidRPr="0083687B" w:rsidRDefault="0083687B">
            <w:pPr>
              <w:widowControl w:val="0"/>
              <w:autoSpaceDE w:val="0"/>
              <w:autoSpaceDN w:val="0"/>
              <w:adjustRightInd w:val="0"/>
              <w:ind w:left="40"/>
              <w:jc w:val="both"/>
              <w:rPr>
                <w:sz w:val="22"/>
                <w:szCs w:val="22"/>
              </w:rPr>
            </w:pPr>
            <w:r w:rsidRPr="0083687B">
              <w:rPr>
                <w:sz w:val="22"/>
                <w:szCs w:val="22"/>
              </w:rPr>
              <w:t xml:space="preserve">sistemski eritemski lupus </w:t>
            </w:r>
          </w:p>
          <w:p w14:paraId="3386FA62" w14:textId="77777777" w:rsidR="0083687B" w:rsidRPr="0083687B" w:rsidRDefault="0083687B">
            <w:pPr>
              <w:widowControl w:val="0"/>
              <w:autoSpaceDE w:val="0"/>
              <w:autoSpaceDN w:val="0"/>
              <w:adjustRightInd w:val="0"/>
              <w:ind w:left="40"/>
              <w:jc w:val="both"/>
              <w:rPr>
                <w:sz w:val="22"/>
                <w:szCs w:val="22"/>
              </w:rPr>
            </w:pPr>
          </w:p>
          <w:p w14:paraId="5C404ACE" w14:textId="77777777" w:rsidR="0083687B" w:rsidRPr="0083687B" w:rsidRDefault="0083687B">
            <w:pPr>
              <w:widowControl w:val="0"/>
              <w:autoSpaceDE w:val="0"/>
              <w:autoSpaceDN w:val="0"/>
              <w:adjustRightInd w:val="0"/>
              <w:ind w:left="40"/>
              <w:jc w:val="both"/>
              <w:rPr>
                <w:sz w:val="22"/>
                <w:szCs w:val="22"/>
              </w:rPr>
            </w:pPr>
            <w:r w:rsidRPr="0083687B">
              <w:rPr>
                <w:sz w:val="22"/>
                <w:szCs w:val="22"/>
              </w:rPr>
              <w:t>sindrom sličan lupusu</w:t>
            </w:r>
            <w:r w:rsidRPr="0083687B">
              <w:rPr>
                <w:sz w:val="22"/>
                <w:szCs w:val="22"/>
                <w:vertAlign w:val="superscript"/>
              </w:rPr>
              <w:t>1)</w:t>
            </w:r>
          </w:p>
        </w:tc>
      </w:tr>
      <w:tr w:rsidR="0083687B" w:rsidRPr="0083687B" w14:paraId="57A45174" w14:textId="77777777" w:rsidTr="00BF30CE">
        <w:trPr>
          <w:trHeight w:val="912"/>
        </w:trPr>
        <w:tc>
          <w:tcPr>
            <w:tcW w:w="2522" w:type="dxa"/>
            <w:tcBorders>
              <w:top w:val="single" w:sz="8" w:space="0" w:color="000000"/>
              <w:left w:val="single" w:sz="8" w:space="0" w:color="000000"/>
              <w:bottom w:val="single" w:sz="8" w:space="0" w:color="000000"/>
              <w:right w:val="single" w:sz="8" w:space="0" w:color="000000"/>
            </w:tcBorders>
          </w:tcPr>
          <w:p w14:paraId="16D72DFC" w14:textId="77777777" w:rsidR="0083687B" w:rsidRPr="0083687B" w:rsidRDefault="0083687B" w:rsidP="00730D96">
            <w:pPr>
              <w:widowControl w:val="0"/>
              <w:autoSpaceDE w:val="0"/>
              <w:autoSpaceDN w:val="0"/>
              <w:adjustRightInd w:val="0"/>
              <w:jc w:val="both"/>
              <w:rPr>
                <w:sz w:val="22"/>
                <w:szCs w:val="22"/>
              </w:rPr>
            </w:pPr>
            <w:r w:rsidRPr="0083687B">
              <w:rPr>
                <w:sz w:val="22"/>
                <w:szCs w:val="22"/>
              </w:rPr>
              <w:t>Poremećaji  bubrega i mokraćnog sistema</w:t>
            </w:r>
          </w:p>
        </w:tc>
        <w:tc>
          <w:tcPr>
            <w:tcW w:w="1393" w:type="dxa"/>
            <w:tcBorders>
              <w:top w:val="single" w:sz="8" w:space="0" w:color="000000"/>
              <w:left w:val="single" w:sz="8" w:space="0" w:color="000000"/>
              <w:bottom w:val="single" w:sz="8" w:space="0" w:color="000000"/>
              <w:right w:val="single" w:sz="8" w:space="0" w:color="000000"/>
            </w:tcBorders>
          </w:tcPr>
          <w:p w14:paraId="580BCE13"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često</w:t>
            </w:r>
          </w:p>
          <w:p w14:paraId="57ED8B36" w14:textId="77777777" w:rsidR="0083687B" w:rsidRPr="0083687B" w:rsidRDefault="0083687B">
            <w:pPr>
              <w:widowControl w:val="0"/>
              <w:autoSpaceDE w:val="0"/>
              <w:autoSpaceDN w:val="0"/>
              <w:adjustRightInd w:val="0"/>
              <w:ind w:left="567" w:hanging="567"/>
              <w:jc w:val="both"/>
              <w:rPr>
                <w:sz w:val="22"/>
                <w:szCs w:val="22"/>
              </w:rPr>
            </w:pPr>
          </w:p>
          <w:p w14:paraId="4F028E6D" w14:textId="77777777" w:rsidR="0083687B" w:rsidRPr="0083687B" w:rsidRDefault="0083687B">
            <w:pPr>
              <w:widowControl w:val="0"/>
              <w:autoSpaceDE w:val="0"/>
              <w:autoSpaceDN w:val="0"/>
              <w:adjustRightInd w:val="0"/>
              <w:ind w:left="567" w:hanging="567"/>
              <w:jc w:val="both"/>
              <w:rPr>
                <w:sz w:val="22"/>
                <w:szCs w:val="22"/>
              </w:rPr>
            </w:pPr>
          </w:p>
          <w:p w14:paraId="301ED672"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povremeno</w:t>
            </w:r>
          </w:p>
        </w:tc>
        <w:tc>
          <w:tcPr>
            <w:tcW w:w="5030" w:type="dxa"/>
            <w:tcBorders>
              <w:top w:val="single" w:sz="8" w:space="0" w:color="000000"/>
              <w:left w:val="single" w:sz="8" w:space="0" w:color="000000"/>
              <w:bottom w:val="single" w:sz="8" w:space="0" w:color="000000"/>
              <w:right w:val="single" w:sz="8" w:space="0" w:color="000000"/>
            </w:tcBorders>
          </w:tcPr>
          <w:p w14:paraId="2A15AE01" w14:textId="77777777" w:rsidR="0083687B" w:rsidRPr="0083687B" w:rsidRDefault="0083687B">
            <w:pPr>
              <w:widowControl w:val="0"/>
              <w:autoSpaceDE w:val="0"/>
              <w:autoSpaceDN w:val="0"/>
              <w:adjustRightInd w:val="0"/>
              <w:ind w:left="40"/>
              <w:jc w:val="both"/>
              <w:rPr>
                <w:sz w:val="22"/>
                <w:szCs w:val="22"/>
              </w:rPr>
            </w:pPr>
            <w:r w:rsidRPr="0083687B">
              <w:rPr>
                <w:sz w:val="22"/>
                <w:szCs w:val="22"/>
              </w:rPr>
              <w:t>oštećenje bubrežne funkcije,</w:t>
            </w:r>
          </w:p>
          <w:p w14:paraId="1CC126FF" w14:textId="77777777" w:rsidR="0083687B" w:rsidRPr="0083687B" w:rsidRDefault="0083687B">
            <w:pPr>
              <w:widowControl w:val="0"/>
              <w:autoSpaceDE w:val="0"/>
              <w:autoSpaceDN w:val="0"/>
              <w:adjustRightInd w:val="0"/>
              <w:ind w:left="40"/>
              <w:jc w:val="both"/>
              <w:rPr>
                <w:sz w:val="22"/>
                <w:szCs w:val="22"/>
              </w:rPr>
            </w:pPr>
            <w:r w:rsidRPr="0083687B">
              <w:rPr>
                <w:sz w:val="22"/>
                <w:szCs w:val="22"/>
              </w:rPr>
              <w:t>hematurija</w:t>
            </w:r>
          </w:p>
          <w:p w14:paraId="3901B4D1" w14:textId="77777777" w:rsidR="0083687B" w:rsidRPr="0083687B" w:rsidRDefault="0083687B">
            <w:pPr>
              <w:widowControl w:val="0"/>
              <w:autoSpaceDE w:val="0"/>
              <w:autoSpaceDN w:val="0"/>
              <w:adjustRightInd w:val="0"/>
              <w:ind w:left="40"/>
              <w:jc w:val="both"/>
              <w:rPr>
                <w:sz w:val="22"/>
                <w:szCs w:val="22"/>
              </w:rPr>
            </w:pPr>
          </w:p>
          <w:p w14:paraId="118287E7" w14:textId="77777777" w:rsidR="0083687B" w:rsidRPr="0083687B" w:rsidRDefault="0083687B">
            <w:pPr>
              <w:widowControl w:val="0"/>
              <w:autoSpaceDE w:val="0"/>
              <w:autoSpaceDN w:val="0"/>
              <w:adjustRightInd w:val="0"/>
              <w:ind w:left="40"/>
              <w:jc w:val="both"/>
              <w:rPr>
                <w:sz w:val="22"/>
                <w:szCs w:val="22"/>
              </w:rPr>
            </w:pPr>
            <w:r w:rsidRPr="0083687B">
              <w:rPr>
                <w:sz w:val="22"/>
                <w:szCs w:val="22"/>
              </w:rPr>
              <w:t>nokturija</w:t>
            </w:r>
          </w:p>
        </w:tc>
      </w:tr>
      <w:tr w:rsidR="0083687B" w:rsidRPr="0083687B" w14:paraId="5BB3992B" w14:textId="77777777" w:rsidTr="00BF30CE">
        <w:trPr>
          <w:trHeight w:val="546"/>
        </w:trPr>
        <w:tc>
          <w:tcPr>
            <w:tcW w:w="2522" w:type="dxa"/>
            <w:tcBorders>
              <w:top w:val="single" w:sz="8" w:space="0" w:color="000000"/>
              <w:left w:val="single" w:sz="8" w:space="0" w:color="000000"/>
              <w:bottom w:val="single" w:sz="8" w:space="0" w:color="000000"/>
              <w:right w:val="single" w:sz="8" w:space="0" w:color="000000"/>
            </w:tcBorders>
          </w:tcPr>
          <w:p w14:paraId="55D5B33E" w14:textId="77777777" w:rsidR="0083687B" w:rsidRPr="0083687B" w:rsidRDefault="0083687B" w:rsidP="00EB3350">
            <w:pPr>
              <w:widowControl w:val="0"/>
              <w:autoSpaceDE w:val="0"/>
              <w:autoSpaceDN w:val="0"/>
              <w:adjustRightInd w:val="0"/>
              <w:jc w:val="both"/>
              <w:rPr>
                <w:sz w:val="22"/>
                <w:szCs w:val="22"/>
              </w:rPr>
            </w:pPr>
            <w:r w:rsidRPr="0083687B">
              <w:rPr>
                <w:sz w:val="22"/>
                <w:szCs w:val="22"/>
              </w:rPr>
              <w:t xml:space="preserve">Poremećaji reproduktivnog sistema i dojki </w:t>
            </w:r>
          </w:p>
        </w:tc>
        <w:tc>
          <w:tcPr>
            <w:tcW w:w="1393" w:type="dxa"/>
            <w:tcBorders>
              <w:top w:val="single" w:sz="8" w:space="0" w:color="000000"/>
              <w:left w:val="single" w:sz="8" w:space="0" w:color="000000"/>
              <w:bottom w:val="single" w:sz="8" w:space="0" w:color="000000"/>
              <w:right w:val="single" w:sz="8" w:space="0" w:color="000000"/>
            </w:tcBorders>
          </w:tcPr>
          <w:p w14:paraId="024A4524" w14:textId="77777777" w:rsidR="0083687B" w:rsidRPr="0083687B" w:rsidRDefault="0083687B" w:rsidP="00730D96">
            <w:pPr>
              <w:widowControl w:val="0"/>
              <w:autoSpaceDE w:val="0"/>
              <w:autoSpaceDN w:val="0"/>
              <w:adjustRightInd w:val="0"/>
              <w:ind w:left="567" w:hanging="567"/>
              <w:jc w:val="both"/>
              <w:rPr>
                <w:sz w:val="22"/>
                <w:szCs w:val="22"/>
              </w:rPr>
            </w:pPr>
            <w:r w:rsidRPr="0083687B">
              <w:rPr>
                <w:sz w:val="22"/>
                <w:szCs w:val="22"/>
              </w:rPr>
              <w:t>povremeno</w:t>
            </w:r>
          </w:p>
          <w:p w14:paraId="764B33F7" w14:textId="77777777" w:rsidR="0083687B" w:rsidRPr="0083687B" w:rsidRDefault="0083687B">
            <w:pPr>
              <w:widowControl w:val="0"/>
              <w:autoSpaceDE w:val="0"/>
              <w:autoSpaceDN w:val="0"/>
              <w:adjustRightInd w:val="0"/>
              <w:ind w:left="567" w:hanging="567"/>
              <w:jc w:val="both"/>
              <w:rPr>
                <w:sz w:val="22"/>
                <w:szCs w:val="22"/>
              </w:rPr>
            </w:pPr>
          </w:p>
        </w:tc>
        <w:tc>
          <w:tcPr>
            <w:tcW w:w="5030" w:type="dxa"/>
            <w:tcBorders>
              <w:top w:val="single" w:sz="8" w:space="0" w:color="000000"/>
              <w:left w:val="single" w:sz="8" w:space="0" w:color="000000"/>
              <w:bottom w:val="single" w:sz="8" w:space="0" w:color="000000"/>
              <w:right w:val="single" w:sz="8" w:space="0" w:color="000000"/>
            </w:tcBorders>
          </w:tcPr>
          <w:p w14:paraId="3E158C49" w14:textId="77777777" w:rsidR="0083687B" w:rsidRPr="0083687B" w:rsidRDefault="0083687B">
            <w:pPr>
              <w:widowControl w:val="0"/>
              <w:autoSpaceDE w:val="0"/>
              <w:autoSpaceDN w:val="0"/>
              <w:adjustRightInd w:val="0"/>
              <w:ind w:left="40"/>
              <w:jc w:val="both"/>
              <w:rPr>
                <w:sz w:val="22"/>
                <w:szCs w:val="22"/>
              </w:rPr>
            </w:pPr>
            <w:r w:rsidRPr="0083687B">
              <w:rPr>
                <w:sz w:val="22"/>
                <w:szCs w:val="22"/>
              </w:rPr>
              <w:t>erektilna disfunkcija</w:t>
            </w:r>
          </w:p>
        </w:tc>
      </w:tr>
      <w:tr w:rsidR="0083687B" w:rsidRPr="0083687B" w14:paraId="603D4472" w14:textId="77777777" w:rsidTr="00BF30CE">
        <w:trPr>
          <w:trHeight w:val="912"/>
        </w:trPr>
        <w:tc>
          <w:tcPr>
            <w:tcW w:w="2522" w:type="dxa"/>
            <w:tcBorders>
              <w:top w:val="single" w:sz="8" w:space="0" w:color="000000"/>
              <w:left w:val="single" w:sz="8" w:space="0" w:color="000000"/>
              <w:bottom w:val="single" w:sz="8" w:space="0" w:color="000000"/>
              <w:right w:val="single" w:sz="8" w:space="0" w:color="000000"/>
            </w:tcBorders>
          </w:tcPr>
          <w:p w14:paraId="1407FFDC" w14:textId="77777777" w:rsidR="0083687B" w:rsidRPr="0083687B" w:rsidRDefault="0083687B" w:rsidP="00EB3350">
            <w:pPr>
              <w:widowControl w:val="0"/>
              <w:autoSpaceDE w:val="0"/>
              <w:autoSpaceDN w:val="0"/>
              <w:adjustRightInd w:val="0"/>
              <w:ind w:right="-20"/>
              <w:jc w:val="both"/>
              <w:rPr>
                <w:sz w:val="22"/>
                <w:szCs w:val="22"/>
              </w:rPr>
            </w:pPr>
            <w:r w:rsidRPr="0083687B">
              <w:rPr>
                <w:sz w:val="22"/>
                <w:szCs w:val="22"/>
              </w:rPr>
              <w:t>Opšti poremećaji i reakcije na mjestu primjene*</w:t>
            </w:r>
          </w:p>
        </w:tc>
        <w:tc>
          <w:tcPr>
            <w:tcW w:w="1393" w:type="dxa"/>
            <w:tcBorders>
              <w:top w:val="single" w:sz="8" w:space="0" w:color="000000"/>
              <w:left w:val="single" w:sz="8" w:space="0" w:color="000000"/>
              <w:bottom w:val="single" w:sz="8" w:space="0" w:color="000000"/>
              <w:right w:val="single" w:sz="8" w:space="0" w:color="000000"/>
            </w:tcBorders>
          </w:tcPr>
          <w:p w14:paraId="11EF4A5B" w14:textId="77777777" w:rsidR="0083687B" w:rsidRPr="0083687B" w:rsidRDefault="0083687B" w:rsidP="00730D96">
            <w:pPr>
              <w:widowControl w:val="0"/>
              <w:autoSpaceDE w:val="0"/>
              <w:autoSpaceDN w:val="0"/>
              <w:adjustRightInd w:val="0"/>
              <w:ind w:left="567" w:hanging="567"/>
              <w:jc w:val="both"/>
              <w:rPr>
                <w:sz w:val="22"/>
                <w:szCs w:val="22"/>
              </w:rPr>
            </w:pPr>
            <w:r w:rsidRPr="0083687B">
              <w:rPr>
                <w:sz w:val="22"/>
                <w:szCs w:val="22"/>
              </w:rPr>
              <w:t>veoma često</w:t>
            </w:r>
          </w:p>
          <w:p w14:paraId="240437B6" w14:textId="77777777" w:rsidR="0083687B" w:rsidRPr="0083687B" w:rsidRDefault="0083687B">
            <w:pPr>
              <w:widowControl w:val="0"/>
              <w:autoSpaceDE w:val="0"/>
              <w:autoSpaceDN w:val="0"/>
              <w:adjustRightInd w:val="0"/>
              <w:ind w:left="567" w:hanging="567"/>
              <w:jc w:val="both"/>
              <w:rPr>
                <w:sz w:val="22"/>
                <w:szCs w:val="22"/>
              </w:rPr>
            </w:pPr>
          </w:p>
          <w:p w14:paraId="50DA12DD"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često</w:t>
            </w:r>
          </w:p>
          <w:p w14:paraId="591288A4" w14:textId="77777777" w:rsidR="0083687B" w:rsidRPr="0083687B" w:rsidRDefault="0083687B">
            <w:pPr>
              <w:widowControl w:val="0"/>
              <w:autoSpaceDE w:val="0"/>
              <w:autoSpaceDN w:val="0"/>
              <w:adjustRightInd w:val="0"/>
              <w:ind w:left="567" w:hanging="567"/>
              <w:jc w:val="both"/>
              <w:rPr>
                <w:sz w:val="22"/>
                <w:szCs w:val="22"/>
              </w:rPr>
            </w:pPr>
          </w:p>
          <w:p w14:paraId="3710EC0C" w14:textId="77777777" w:rsidR="0083687B" w:rsidRPr="0083687B" w:rsidRDefault="0083687B">
            <w:pPr>
              <w:widowControl w:val="0"/>
              <w:autoSpaceDE w:val="0"/>
              <w:autoSpaceDN w:val="0"/>
              <w:adjustRightInd w:val="0"/>
              <w:ind w:left="567" w:hanging="567"/>
              <w:jc w:val="both"/>
              <w:rPr>
                <w:sz w:val="22"/>
                <w:szCs w:val="22"/>
              </w:rPr>
            </w:pPr>
          </w:p>
          <w:p w14:paraId="1F3C547D" w14:textId="77777777" w:rsidR="0083687B" w:rsidRPr="0083687B" w:rsidRDefault="0083687B">
            <w:pPr>
              <w:widowControl w:val="0"/>
              <w:autoSpaceDE w:val="0"/>
              <w:autoSpaceDN w:val="0"/>
              <w:adjustRightInd w:val="0"/>
              <w:jc w:val="both"/>
              <w:rPr>
                <w:sz w:val="22"/>
                <w:szCs w:val="22"/>
              </w:rPr>
            </w:pPr>
          </w:p>
          <w:p w14:paraId="688207DD"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povremeno</w:t>
            </w:r>
          </w:p>
        </w:tc>
        <w:tc>
          <w:tcPr>
            <w:tcW w:w="5030" w:type="dxa"/>
            <w:tcBorders>
              <w:top w:val="single" w:sz="8" w:space="0" w:color="000000"/>
              <w:left w:val="single" w:sz="8" w:space="0" w:color="000000"/>
              <w:bottom w:val="single" w:sz="8" w:space="0" w:color="000000"/>
              <w:right w:val="single" w:sz="8" w:space="0" w:color="000000"/>
            </w:tcBorders>
          </w:tcPr>
          <w:p w14:paraId="5F749BED" w14:textId="77777777" w:rsidR="0083687B" w:rsidRPr="0083687B" w:rsidRDefault="0083687B">
            <w:pPr>
              <w:widowControl w:val="0"/>
              <w:autoSpaceDE w:val="0"/>
              <w:autoSpaceDN w:val="0"/>
              <w:adjustRightInd w:val="0"/>
              <w:ind w:left="40"/>
              <w:jc w:val="both"/>
              <w:rPr>
                <w:sz w:val="22"/>
                <w:szCs w:val="22"/>
              </w:rPr>
            </w:pPr>
            <w:r w:rsidRPr="0083687B">
              <w:rPr>
                <w:sz w:val="22"/>
                <w:szCs w:val="22"/>
              </w:rPr>
              <w:t>reakcije na mjestu primjene (uključujući eritem)</w:t>
            </w:r>
          </w:p>
          <w:p w14:paraId="178EA97E" w14:textId="77777777" w:rsidR="0083687B" w:rsidRPr="0083687B" w:rsidRDefault="0083687B">
            <w:pPr>
              <w:widowControl w:val="0"/>
              <w:autoSpaceDE w:val="0"/>
              <w:autoSpaceDN w:val="0"/>
              <w:adjustRightInd w:val="0"/>
              <w:ind w:left="40"/>
              <w:jc w:val="both"/>
              <w:rPr>
                <w:sz w:val="22"/>
                <w:szCs w:val="22"/>
              </w:rPr>
            </w:pPr>
          </w:p>
          <w:p w14:paraId="57090ACF" w14:textId="77777777" w:rsidR="0083687B" w:rsidRPr="0083687B" w:rsidRDefault="0083687B">
            <w:pPr>
              <w:widowControl w:val="0"/>
              <w:autoSpaceDE w:val="0"/>
              <w:autoSpaceDN w:val="0"/>
              <w:adjustRightInd w:val="0"/>
              <w:ind w:left="40"/>
              <w:jc w:val="both"/>
              <w:rPr>
                <w:sz w:val="22"/>
                <w:szCs w:val="22"/>
              </w:rPr>
            </w:pPr>
            <w:r w:rsidRPr="0083687B">
              <w:rPr>
                <w:sz w:val="22"/>
                <w:szCs w:val="22"/>
              </w:rPr>
              <w:t>bol u grudima,</w:t>
            </w:r>
          </w:p>
          <w:p w14:paraId="10F07E58" w14:textId="77777777" w:rsidR="0083687B" w:rsidRPr="0083687B" w:rsidRDefault="0083687B">
            <w:pPr>
              <w:widowControl w:val="0"/>
              <w:autoSpaceDE w:val="0"/>
              <w:autoSpaceDN w:val="0"/>
              <w:adjustRightInd w:val="0"/>
              <w:ind w:left="40"/>
              <w:jc w:val="both"/>
              <w:rPr>
                <w:sz w:val="22"/>
                <w:szCs w:val="22"/>
              </w:rPr>
            </w:pPr>
            <w:r w:rsidRPr="0083687B">
              <w:rPr>
                <w:sz w:val="22"/>
                <w:szCs w:val="22"/>
              </w:rPr>
              <w:t>edem,</w:t>
            </w:r>
          </w:p>
          <w:p w14:paraId="752BB2F5" w14:textId="77777777" w:rsidR="0083687B" w:rsidRPr="0083687B" w:rsidRDefault="0083687B">
            <w:pPr>
              <w:widowControl w:val="0"/>
              <w:autoSpaceDE w:val="0"/>
              <w:autoSpaceDN w:val="0"/>
              <w:adjustRightInd w:val="0"/>
              <w:ind w:left="40"/>
              <w:jc w:val="both"/>
              <w:rPr>
                <w:sz w:val="22"/>
                <w:szCs w:val="22"/>
                <w:vertAlign w:val="superscript"/>
              </w:rPr>
            </w:pPr>
            <w:r w:rsidRPr="0083687B">
              <w:rPr>
                <w:sz w:val="22"/>
                <w:szCs w:val="22"/>
              </w:rPr>
              <w:t>povišena tjelesna temperatura</w:t>
            </w:r>
            <w:r w:rsidRPr="0083687B">
              <w:rPr>
                <w:sz w:val="22"/>
                <w:szCs w:val="22"/>
                <w:vertAlign w:val="superscript"/>
              </w:rPr>
              <w:t>1)</w:t>
            </w:r>
          </w:p>
          <w:p w14:paraId="287D5BAA" w14:textId="77777777" w:rsidR="0083687B" w:rsidRPr="0083687B" w:rsidRDefault="0083687B">
            <w:pPr>
              <w:widowControl w:val="0"/>
              <w:autoSpaceDE w:val="0"/>
              <w:autoSpaceDN w:val="0"/>
              <w:adjustRightInd w:val="0"/>
              <w:jc w:val="both"/>
              <w:rPr>
                <w:sz w:val="22"/>
                <w:szCs w:val="22"/>
              </w:rPr>
            </w:pPr>
          </w:p>
          <w:p w14:paraId="6C324992" w14:textId="77777777" w:rsidR="0083687B" w:rsidRPr="0083687B" w:rsidRDefault="0083687B">
            <w:pPr>
              <w:widowControl w:val="0"/>
              <w:autoSpaceDE w:val="0"/>
              <w:autoSpaceDN w:val="0"/>
              <w:adjustRightInd w:val="0"/>
              <w:ind w:left="40"/>
              <w:jc w:val="both"/>
              <w:rPr>
                <w:sz w:val="22"/>
                <w:szCs w:val="22"/>
              </w:rPr>
            </w:pPr>
            <w:r w:rsidRPr="0083687B">
              <w:rPr>
                <w:sz w:val="22"/>
                <w:szCs w:val="22"/>
              </w:rPr>
              <w:t>inflamacija</w:t>
            </w:r>
          </w:p>
        </w:tc>
      </w:tr>
      <w:tr w:rsidR="00BF30CE" w:rsidRPr="0083687B" w14:paraId="13D24889" w14:textId="77777777" w:rsidTr="00BF30CE">
        <w:trPr>
          <w:trHeight w:val="1527"/>
        </w:trPr>
        <w:tc>
          <w:tcPr>
            <w:tcW w:w="2522" w:type="dxa"/>
            <w:vMerge w:val="restart"/>
            <w:tcBorders>
              <w:top w:val="single" w:sz="8" w:space="0" w:color="000000"/>
              <w:left w:val="single" w:sz="8" w:space="0" w:color="000000"/>
              <w:right w:val="single" w:sz="8" w:space="0" w:color="000000"/>
            </w:tcBorders>
          </w:tcPr>
          <w:p w14:paraId="2977C486" w14:textId="77777777" w:rsidR="00BF30CE" w:rsidRPr="0083687B" w:rsidRDefault="00BF30CE" w:rsidP="00EB3350">
            <w:pPr>
              <w:widowControl w:val="0"/>
              <w:autoSpaceDE w:val="0"/>
              <w:autoSpaceDN w:val="0"/>
              <w:adjustRightInd w:val="0"/>
              <w:ind w:left="567" w:right="-20" w:hanging="567"/>
              <w:jc w:val="both"/>
              <w:rPr>
                <w:sz w:val="22"/>
                <w:szCs w:val="22"/>
              </w:rPr>
            </w:pPr>
            <w:r w:rsidRPr="0083687B">
              <w:rPr>
                <w:sz w:val="22"/>
                <w:szCs w:val="22"/>
              </w:rPr>
              <w:t>Ispitivanja*</w:t>
            </w:r>
          </w:p>
        </w:tc>
        <w:tc>
          <w:tcPr>
            <w:tcW w:w="1393" w:type="dxa"/>
            <w:tcBorders>
              <w:top w:val="single" w:sz="8" w:space="0" w:color="000000"/>
              <w:left w:val="single" w:sz="8" w:space="0" w:color="000000"/>
              <w:bottom w:val="single" w:sz="4" w:space="0" w:color="auto"/>
              <w:right w:val="single" w:sz="8" w:space="0" w:color="000000"/>
            </w:tcBorders>
          </w:tcPr>
          <w:p w14:paraId="72BB0CDD" w14:textId="77777777" w:rsidR="00BF30CE" w:rsidRPr="0083687B" w:rsidRDefault="00BF30CE" w:rsidP="00730D96">
            <w:pPr>
              <w:widowControl w:val="0"/>
              <w:autoSpaceDE w:val="0"/>
              <w:autoSpaceDN w:val="0"/>
              <w:adjustRightInd w:val="0"/>
              <w:ind w:left="567" w:hanging="567"/>
              <w:jc w:val="both"/>
              <w:rPr>
                <w:sz w:val="22"/>
                <w:szCs w:val="22"/>
              </w:rPr>
            </w:pPr>
            <w:r w:rsidRPr="0083687B">
              <w:rPr>
                <w:sz w:val="22"/>
                <w:szCs w:val="22"/>
              </w:rPr>
              <w:t>često</w:t>
            </w:r>
          </w:p>
        </w:tc>
        <w:tc>
          <w:tcPr>
            <w:tcW w:w="5030" w:type="dxa"/>
            <w:tcBorders>
              <w:top w:val="single" w:sz="8" w:space="0" w:color="000000"/>
              <w:left w:val="single" w:sz="8" w:space="0" w:color="000000"/>
              <w:bottom w:val="single" w:sz="4" w:space="0" w:color="auto"/>
              <w:right w:val="single" w:sz="8" w:space="0" w:color="000000"/>
            </w:tcBorders>
          </w:tcPr>
          <w:p w14:paraId="0CE95F5E" w14:textId="77777777" w:rsidR="00BF30CE" w:rsidRPr="0083687B" w:rsidRDefault="00BF30CE">
            <w:pPr>
              <w:widowControl w:val="0"/>
              <w:autoSpaceDE w:val="0"/>
              <w:autoSpaceDN w:val="0"/>
              <w:adjustRightInd w:val="0"/>
              <w:ind w:left="40"/>
              <w:jc w:val="both"/>
              <w:rPr>
                <w:sz w:val="22"/>
                <w:szCs w:val="22"/>
              </w:rPr>
            </w:pPr>
            <w:r w:rsidRPr="0083687B">
              <w:rPr>
                <w:sz w:val="22"/>
                <w:szCs w:val="22"/>
              </w:rPr>
              <w:t xml:space="preserve">poremećaji koagulacije i krvarenja (uključujući produženje aktiviranog parcijalnog tromboplastinskog vremena), </w:t>
            </w:r>
          </w:p>
          <w:p w14:paraId="6FFC4DF8" w14:textId="77777777" w:rsidR="00BF30CE" w:rsidRPr="0083687B" w:rsidRDefault="00BF30CE">
            <w:pPr>
              <w:widowControl w:val="0"/>
              <w:autoSpaceDE w:val="0"/>
              <w:autoSpaceDN w:val="0"/>
              <w:adjustRightInd w:val="0"/>
              <w:ind w:left="40"/>
              <w:jc w:val="both"/>
              <w:rPr>
                <w:sz w:val="22"/>
                <w:szCs w:val="22"/>
              </w:rPr>
            </w:pPr>
            <w:r w:rsidRPr="0083687B">
              <w:rPr>
                <w:sz w:val="22"/>
                <w:szCs w:val="22"/>
              </w:rPr>
              <w:t xml:space="preserve">pozitivan test autoantitijela (uključujući dvolančana DNK antitijela), </w:t>
            </w:r>
          </w:p>
          <w:p w14:paraId="7E8C255C" w14:textId="77777777" w:rsidR="00BF30CE" w:rsidRDefault="00BF30CE">
            <w:pPr>
              <w:widowControl w:val="0"/>
              <w:autoSpaceDE w:val="0"/>
              <w:autoSpaceDN w:val="0"/>
              <w:adjustRightInd w:val="0"/>
              <w:ind w:left="40"/>
              <w:jc w:val="both"/>
              <w:rPr>
                <w:sz w:val="22"/>
                <w:szCs w:val="22"/>
              </w:rPr>
            </w:pPr>
            <w:r w:rsidRPr="0083687B">
              <w:rPr>
                <w:sz w:val="22"/>
                <w:szCs w:val="22"/>
              </w:rPr>
              <w:t>povišen nivo laktat dehidrogenaze u krvi</w:t>
            </w:r>
          </w:p>
          <w:p w14:paraId="3D482578" w14:textId="08D56B90" w:rsidR="00BF30CE" w:rsidRPr="0083687B" w:rsidRDefault="00BF30CE">
            <w:pPr>
              <w:widowControl w:val="0"/>
              <w:autoSpaceDE w:val="0"/>
              <w:autoSpaceDN w:val="0"/>
              <w:adjustRightInd w:val="0"/>
              <w:ind w:left="40"/>
              <w:jc w:val="both"/>
              <w:rPr>
                <w:sz w:val="22"/>
                <w:szCs w:val="22"/>
              </w:rPr>
            </w:pPr>
          </w:p>
        </w:tc>
      </w:tr>
      <w:tr w:rsidR="00BF30CE" w:rsidRPr="0083687B" w14:paraId="5EED691A" w14:textId="77777777" w:rsidTr="00BF30CE">
        <w:trPr>
          <w:trHeight w:val="238"/>
        </w:trPr>
        <w:tc>
          <w:tcPr>
            <w:tcW w:w="2522" w:type="dxa"/>
            <w:vMerge/>
            <w:tcBorders>
              <w:left w:val="single" w:sz="8" w:space="0" w:color="000000"/>
              <w:bottom w:val="single" w:sz="8" w:space="0" w:color="000000"/>
              <w:right w:val="single" w:sz="8" w:space="0" w:color="000000"/>
            </w:tcBorders>
          </w:tcPr>
          <w:p w14:paraId="72F1AD7D" w14:textId="77777777" w:rsidR="00BF30CE" w:rsidRPr="0083687B" w:rsidRDefault="00BF30CE" w:rsidP="00EB3350">
            <w:pPr>
              <w:widowControl w:val="0"/>
              <w:autoSpaceDE w:val="0"/>
              <w:autoSpaceDN w:val="0"/>
              <w:adjustRightInd w:val="0"/>
              <w:ind w:left="567" w:right="-20" w:hanging="567"/>
              <w:jc w:val="both"/>
              <w:rPr>
                <w:sz w:val="22"/>
                <w:szCs w:val="22"/>
              </w:rPr>
            </w:pPr>
          </w:p>
        </w:tc>
        <w:tc>
          <w:tcPr>
            <w:tcW w:w="1393" w:type="dxa"/>
            <w:tcBorders>
              <w:top w:val="single" w:sz="4" w:space="0" w:color="auto"/>
              <w:left w:val="single" w:sz="8" w:space="0" w:color="000000"/>
              <w:bottom w:val="single" w:sz="8" w:space="0" w:color="000000"/>
              <w:right w:val="single" w:sz="8" w:space="0" w:color="000000"/>
            </w:tcBorders>
          </w:tcPr>
          <w:p w14:paraId="3C998F11" w14:textId="253A1BC2" w:rsidR="00BF30CE" w:rsidRPr="00913EE6" w:rsidRDefault="00BF30CE" w:rsidP="00730D96">
            <w:pPr>
              <w:widowControl w:val="0"/>
              <w:autoSpaceDE w:val="0"/>
              <w:autoSpaceDN w:val="0"/>
              <w:adjustRightInd w:val="0"/>
              <w:ind w:left="567" w:hanging="567"/>
              <w:jc w:val="both"/>
              <w:rPr>
                <w:sz w:val="22"/>
                <w:szCs w:val="22"/>
              </w:rPr>
            </w:pPr>
            <w:r w:rsidRPr="00913EE6">
              <w:rPr>
                <w:sz w:val="22"/>
                <w:szCs w:val="22"/>
              </w:rPr>
              <w:t>nepoznato</w:t>
            </w:r>
          </w:p>
        </w:tc>
        <w:tc>
          <w:tcPr>
            <w:tcW w:w="5030" w:type="dxa"/>
            <w:tcBorders>
              <w:top w:val="single" w:sz="4" w:space="0" w:color="auto"/>
              <w:left w:val="single" w:sz="8" w:space="0" w:color="000000"/>
              <w:bottom w:val="single" w:sz="8" w:space="0" w:color="000000"/>
              <w:right w:val="single" w:sz="8" w:space="0" w:color="000000"/>
            </w:tcBorders>
          </w:tcPr>
          <w:p w14:paraId="6A12665A" w14:textId="1A88A9C4" w:rsidR="00BF30CE" w:rsidRPr="00913EE6" w:rsidRDefault="00BF30CE">
            <w:pPr>
              <w:widowControl w:val="0"/>
              <w:autoSpaceDE w:val="0"/>
              <w:autoSpaceDN w:val="0"/>
              <w:adjustRightInd w:val="0"/>
              <w:ind w:left="40"/>
              <w:jc w:val="both"/>
              <w:rPr>
                <w:sz w:val="22"/>
                <w:szCs w:val="22"/>
              </w:rPr>
            </w:pPr>
            <w:r w:rsidRPr="00172A4E">
              <w:rPr>
                <w:color w:val="000000"/>
                <w:sz w:val="22"/>
                <w:szCs w:val="22"/>
              </w:rPr>
              <w:t xml:space="preserve">povećanje tjelesne težine </w:t>
            </w:r>
            <w:r w:rsidRPr="00172A4E">
              <w:rPr>
                <w:color w:val="000000"/>
                <w:sz w:val="22"/>
                <w:szCs w:val="22"/>
                <w:vertAlign w:val="superscript"/>
              </w:rPr>
              <w:t>2</w:t>
            </w:r>
          </w:p>
        </w:tc>
      </w:tr>
      <w:tr w:rsidR="0083687B" w:rsidRPr="0083687B" w14:paraId="104E06A7" w14:textId="77777777" w:rsidTr="00BF30CE">
        <w:trPr>
          <w:trHeight w:val="546"/>
        </w:trPr>
        <w:tc>
          <w:tcPr>
            <w:tcW w:w="2522" w:type="dxa"/>
            <w:tcBorders>
              <w:top w:val="single" w:sz="8" w:space="0" w:color="000000"/>
              <w:left w:val="single" w:sz="8" w:space="0" w:color="000000"/>
              <w:bottom w:val="single" w:sz="8" w:space="0" w:color="000000"/>
              <w:right w:val="single" w:sz="8" w:space="0" w:color="000000"/>
            </w:tcBorders>
          </w:tcPr>
          <w:p w14:paraId="05355E61" w14:textId="77777777" w:rsidR="0083687B" w:rsidRPr="0083687B" w:rsidRDefault="0083687B" w:rsidP="00EB3350">
            <w:pPr>
              <w:widowControl w:val="0"/>
              <w:autoSpaceDE w:val="0"/>
              <w:autoSpaceDN w:val="0"/>
              <w:adjustRightInd w:val="0"/>
              <w:jc w:val="both"/>
              <w:rPr>
                <w:sz w:val="22"/>
                <w:szCs w:val="22"/>
              </w:rPr>
            </w:pPr>
            <w:r w:rsidRPr="0083687B">
              <w:rPr>
                <w:sz w:val="22"/>
                <w:szCs w:val="22"/>
              </w:rPr>
              <w:t>Povrede, trovanja i proceduralne komplikacije</w:t>
            </w:r>
          </w:p>
        </w:tc>
        <w:tc>
          <w:tcPr>
            <w:tcW w:w="1393" w:type="dxa"/>
            <w:tcBorders>
              <w:top w:val="single" w:sz="8" w:space="0" w:color="000000"/>
              <w:left w:val="single" w:sz="8" w:space="0" w:color="000000"/>
              <w:bottom w:val="single" w:sz="8" w:space="0" w:color="000000"/>
              <w:right w:val="single" w:sz="8" w:space="0" w:color="000000"/>
            </w:tcBorders>
          </w:tcPr>
          <w:p w14:paraId="6B7261F6" w14:textId="77777777" w:rsidR="0083687B" w:rsidRPr="0083687B" w:rsidRDefault="0083687B" w:rsidP="00730D96">
            <w:pPr>
              <w:widowControl w:val="0"/>
              <w:autoSpaceDE w:val="0"/>
              <w:autoSpaceDN w:val="0"/>
              <w:adjustRightInd w:val="0"/>
              <w:ind w:left="567" w:hanging="567"/>
              <w:jc w:val="both"/>
              <w:rPr>
                <w:sz w:val="22"/>
                <w:szCs w:val="22"/>
              </w:rPr>
            </w:pPr>
            <w:r w:rsidRPr="0083687B">
              <w:rPr>
                <w:sz w:val="22"/>
                <w:szCs w:val="22"/>
              </w:rPr>
              <w:t>često</w:t>
            </w:r>
          </w:p>
        </w:tc>
        <w:tc>
          <w:tcPr>
            <w:tcW w:w="5030" w:type="dxa"/>
            <w:tcBorders>
              <w:top w:val="single" w:sz="8" w:space="0" w:color="000000"/>
              <w:left w:val="single" w:sz="8" w:space="0" w:color="000000"/>
              <w:bottom w:val="single" w:sz="8" w:space="0" w:color="000000"/>
              <w:right w:val="single" w:sz="8" w:space="0" w:color="000000"/>
            </w:tcBorders>
          </w:tcPr>
          <w:p w14:paraId="1E251973" w14:textId="77777777" w:rsidR="0083687B" w:rsidRPr="0083687B" w:rsidRDefault="0083687B">
            <w:pPr>
              <w:widowControl w:val="0"/>
              <w:autoSpaceDE w:val="0"/>
              <w:autoSpaceDN w:val="0"/>
              <w:adjustRightInd w:val="0"/>
              <w:ind w:left="40"/>
              <w:jc w:val="both"/>
              <w:rPr>
                <w:sz w:val="22"/>
                <w:szCs w:val="22"/>
              </w:rPr>
            </w:pPr>
            <w:r w:rsidRPr="0083687B">
              <w:rPr>
                <w:sz w:val="22"/>
                <w:szCs w:val="22"/>
              </w:rPr>
              <w:t>otežano zarastanje</w:t>
            </w:r>
          </w:p>
        </w:tc>
      </w:tr>
    </w:tbl>
    <w:p w14:paraId="1C61FF26" w14:textId="49E858CC" w:rsidR="0083687B" w:rsidRPr="0083687B" w:rsidRDefault="0083687B" w:rsidP="00730D96">
      <w:pPr>
        <w:widowControl w:val="0"/>
        <w:autoSpaceDE w:val="0"/>
        <w:autoSpaceDN w:val="0"/>
        <w:adjustRightInd w:val="0"/>
        <w:jc w:val="both"/>
        <w:rPr>
          <w:sz w:val="22"/>
          <w:szCs w:val="22"/>
        </w:rPr>
      </w:pPr>
      <w:r w:rsidRPr="0083687B">
        <w:rPr>
          <w:sz w:val="22"/>
          <w:szCs w:val="22"/>
        </w:rPr>
        <w:lastRenderedPageBreak/>
        <w:t xml:space="preserve">*    </w:t>
      </w:r>
      <w:proofErr w:type="gramStart"/>
      <w:r w:rsidRPr="0083687B">
        <w:rPr>
          <w:sz w:val="22"/>
          <w:szCs w:val="22"/>
        </w:rPr>
        <w:t>detaljnije</w:t>
      </w:r>
      <w:proofErr w:type="gramEnd"/>
      <w:r w:rsidRPr="0083687B">
        <w:rPr>
          <w:sz w:val="22"/>
          <w:szCs w:val="22"/>
        </w:rPr>
        <w:t xml:space="preserve"> informacije se mogu naći u </w:t>
      </w:r>
      <w:r w:rsidR="002D10F6">
        <w:rPr>
          <w:sz w:val="22"/>
          <w:szCs w:val="22"/>
        </w:rPr>
        <w:t>djelovima</w:t>
      </w:r>
      <w:r w:rsidRPr="0083687B">
        <w:rPr>
          <w:sz w:val="22"/>
          <w:szCs w:val="22"/>
        </w:rPr>
        <w:t xml:space="preserve"> 4.3, 4.4 i 4.8</w:t>
      </w:r>
    </w:p>
    <w:p w14:paraId="76861D68" w14:textId="3E8CD0AC" w:rsidR="0083687B" w:rsidRDefault="0083687B">
      <w:pPr>
        <w:widowControl w:val="0"/>
        <w:autoSpaceDE w:val="0"/>
        <w:autoSpaceDN w:val="0"/>
        <w:adjustRightInd w:val="0"/>
        <w:ind w:left="567" w:hanging="567"/>
        <w:jc w:val="both"/>
        <w:rPr>
          <w:sz w:val="22"/>
          <w:szCs w:val="22"/>
        </w:rPr>
      </w:pPr>
      <w:r w:rsidRPr="0083687B">
        <w:rPr>
          <w:sz w:val="22"/>
          <w:szCs w:val="22"/>
        </w:rPr>
        <w:t>*</w:t>
      </w:r>
      <w:proofErr w:type="gramStart"/>
      <w:r w:rsidRPr="0083687B">
        <w:rPr>
          <w:sz w:val="22"/>
          <w:szCs w:val="22"/>
        </w:rPr>
        <w:t>*  uključuje</w:t>
      </w:r>
      <w:proofErr w:type="gramEnd"/>
      <w:r w:rsidRPr="0083687B">
        <w:rPr>
          <w:sz w:val="22"/>
          <w:szCs w:val="22"/>
        </w:rPr>
        <w:t xml:space="preserve"> otvorene produžene studije</w:t>
      </w:r>
    </w:p>
    <w:p w14:paraId="3B2E3EDC" w14:textId="77777777" w:rsidR="002D10F6" w:rsidRPr="0083687B" w:rsidRDefault="002D10F6">
      <w:pPr>
        <w:widowControl w:val="0"/>
        <w:autoSpaceDE w:val="0"/>
        <w:autoSpaceDN w:val="0"/>
        <w:adjustRightInd w:val="0"/>
        <w:ind w:left="567" w:hanging="567"/>
        <w:jc w:val="both"/>
        <w:rPr>
          <w:sz w:val="22"/>
          <w:szCs w:val="22"/>
        </w:rPr>
      </w:pPr>
    </w:p>
    <w:p w14:paraId="12231F5C" w14:textId="77777777" w:rsidR="0083687B" w:rsidRPr="0083687B" w:rsidRDefault="0083687B" w:rsidP="00EB3350">
      <w:pPr>
        <w:widowControl w:val="0"/>
        <w:numPr>
          <w:ilvl w:val="0"/>
          <w:numId w:val="3"/>
        </w:numPr>
        <w:tabs>
          <w:tab w:val="clear" w:pos="360"/>
          <w:tab w:val="num" w:pos="284"/>
        </w:tabs>
        <w:autoSpaceDE w:val="0"/>
        <w:autoSpaceDN w:val="0"/>
        <w:adjustRightInd w:val="0"/>
        <w:spacing w:after="160" w:line="259" w:lineRule="auto"/>
        <w:jc w:val="both"/>
        <w:rPr>
          <w:sz w:val="22"/>
          <w:szCs w:val="22"/>
        </w:rPr>
      </w:pPr>
      <w:r w:rsidRPr="0083687B">
        <w:rPr>
          <w:sz w:val="22"/>
          <w:szCs w:val="22"/>
        </w:rPr>
        <w:t>uključujući podatke iz spontanog prijavljivanja</w:t>
      </w:r>
    </w:p>
    <w:p w14:paraId="6876DA92" w14:textId="0086A029" w:rsidR="0083687B" w:rsidRPr="00EB3350" w:rsidRDefault="00BF30CE" w:rsidP="00EB3350">
      <w:pPr>
        <w:pStyle w:val="ListParagraph"/>
        <w:widowControl w:val="0"/>
        <w:numPr>
          <w:ilvl w:val="0"/>
          <w:numId w:val="3"/>
        </w:numPr>
        <w:tabs>
          <w:tab w:val="clear" w:pos="360"/>
        </w:tabs>
        <w:autoSpaceDE w:val="0"/>
        <w:autoSpaceDN w:val="0"/>
        <w:adjustRightInd w:val="0"/>
        <w:jc w:val="both"/>
        <w:rPr>
          <w:sz w:val="22"/>
          <w:szCs w:val="22"/>
        </w:rPr>
      </w:pPr>
      <w:r w:rsidRPr="00EB3350">
        <w:rPr>
          <w:sz w:val="22"/>
          <w:szCs w:val="22"/>
        </w:rPr>
        <w:t xml:space="preserve">Prosječna promjena težine u odnosu na početnu vrijednost za adalimumab kretala se od 0,3 kg do 1,0 kg prema indikacijama za odrasle u poređenju sa – 0,4 kg do 0,4 kg za placebo tokom perioda liječenja od 4-6 mjeseci. Povećanje težine za 5 – 6 kg takođe je primijećeno u dugotrajnim produženim studijama </w:t>
      </w:r>
      <w:proofErr w:type="gramStart"/>
      <w:r w:rsidRPr="00EB3350">
        <w:rPr>
          <w:sz w:val="22"/>
          <w:szCs w:val="22"/>
        </w:rPr>
        <w:t>sa</w:t>
      </w:r>
      <w:proofErr w:type="gramEnd"/>
      <w:r w:rsidRPr="00EB3350">
        <w:rPr>
          <w:sz w:val="22"/>
          <w:szCs w:val="22"/>
        </w:rPr>
        <w:t xml:space="preserve"> prosječnom izloženošću od približno 1 – 2 godine bez kontrolne grupe</w:t>
      </w:r>
      <w:r w:rsidR="00E36EDD" w:rsidRPr="00EB3350">
        <w:rPr>
          <w:sz w:val="22"/>
          <w:szCs w:val="22"/>
        </w:rPr>
        <w:t>,</w:t>
      </w:r>
      <w:r w:rsidRPr="00EB3350">
        <w:rPr>
          <w:sz w:val="22"/>
          <w:szCs w:val="22"/>
        </w:rPr>
        <w:t xml:space="preserve"> posebno kod pacijenata sa Crohnovom bolešću i ulceroznim kolitisom. Mehanizam u pozadini ovakvog djelovanja nije jasan, </w:t>
      </w:r>
      <w:proofErr w:type="gramStart"/>
      <w:r w:rsidRPr="00EB3350">
        <w:rPr>
          <w:sz w:val="22"/>
          <w:szCs w:val="22"/>
        </w:rPr>
        <w:t>ali</w:t>
      </w:r>
      <w:proofErr w:type="gramEnd"/>
      <w:r w:rsidRPr="00EB3350">
        <w:rPr>
          <w:sz w:val="22"/>
          <w:szCs w:val="22"/>
        </w:rPr>
        <w:t xml:space="preserve"> može biti povezan sa </w:t>
      </w:r>
      <w:r w:rsidR="00E36EDD" w:rsidRPr="00EB3350">
        <w:rPr>
          <w:sz w:val="22"/>
          <w:szCs w:val="22"/>
        </w:rPr>
        <w:t xml:space="preserve">antiinflamatornim dejstvom </w:t>
      </w:r>
      <w:r w:rsidRPr="00EB3350">
        <w:rPr>
          <w:sz w:val="22"/>
          <w:szCs w:val="22"/>
        </w:rPr>
        <w:t>adalimumaba.</w:t>
      </w:r>
    </w:p>
    <w:p w14:paraId="533AF73B" w14:textId="77777777" w:rsidR="00BF30CE" w:rsidRPr="006E5C7F" w:rsidRDefault="00BF30CE">
      <w:pPr>
        <w:pStyle w:val="ListParagraph"/>
        <w:widowControl w:val="0"/>
        <w:autoSpaceDE w:val="0"/>
        <w:autoSpaceDN w:val="0"/>
        <w:adjustRightInd w:val="0"/>
        <w:ind w:left="360"/>
        <w:jc w:val="both"/>
        <w:rPr>
          <w:sz w:val="22"/>
          <w:szCs w:val="22"/>
          <w:u w:val="single"/>
        </w:rPr>
      </w:pPr>
    </w:p>
    <w:p w14:paraId="32ABFE30"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Uveitis</w:t>
      </w:r>
    </w:p>
    <w:p w14:paraId="0B43478A" w14:textId="77777777" w:rsidR="0083687B" w:rsidRPr="0083687B" w:rsidRDefault="0083687B">
      <w:pPr>
        <w:widowControl w:val="0"/>
        <w:autoSpaceDE w:val="0"/>
        <w:autoSpaceDN w:val="0"/>
        <w:adjustRightInd w:val="0"/>
        <w:jc w:val="both"/>
        <w:rPr>
          <w:sz w:val="22"/>
          <w:szCs w:val="22"/>
          <w:u w:val="single"/>
        </w:rPr>
      </w:pPr>
    </w:p>
    <w:p w14:paraId="2F1C3347"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Bezbjednosni profil kod pacijenata </w:t>
      </w:r>
      <w:proofErr w:type="gramStart"/>
      <w:r w:rsidRPr="0083687B">
        <w:rPr>
          <w:sz w:val="22"/>
          <w:szCs w:val="22"/>
        </w:rPr>
        <w:t>sa</w:t>
      </w:r>
      <w:proofErr w:type="gramEnd"/>
      <w:r w:rsidRPr="0083687B">
        <w:rPr>
          <w:sz w:val="22"/>
          <w:szCs w:val="22"/>
        </w:rPr>
        <w:t xml:space="preserve"> uveitisom liječenih svake druge nedjelje je bio u skladu sa poznatim bezbjednosnim profilom lijeka Humira.</w:t>
      </w:r>
    </w:p>
    <w:p w14:paraId="7B05692F" w14:textId="77777777" w:rsidR="001B1C6C" w:rsidRDefault="001B1C6C">
      <w:pPr>
        <w:widowControl w:val="0"/>
        <w:autoSpaceDE w:val="0"/>
        <w:autoSpaceDN w:val="0"/>
        <w:adjustRightInd w:val="0"/>
        <w:jc w:val="both"/>
        <w:rPr>
          <w:sz w:val="22"/>
          <w:szCs w:val="22"/>
          <w:u w:val="single"/>
        </w:rPr>
      </w:pPr>
    </w:p>
    <w:p w14:paraId="4AC18FA0" w14:textId="15085083" w:rsidR="0083687B" w:rsidRPr="0083687B" w:rsidRDefault="0083687B">
      <w:pPr>
        <w:widowControl w:val="0"/>
        <w:autoSpaceDE w:val="0"/>
        <w:autoSpaceDN w:val="0"/>
        <w:adjustRightInd w:val="0"/>
        <w:jc w:val="both"/>
        <w:rPr>
          <w:sz w:val="22"/>
          <w:szCs w:val="22"/>
          <w:u w:val="single"/>
        </w:rPr>
      </w:pPr>
      <w:r w:rsidRPr="0083687B">
        <w:rPr>
          <w:sz w:val="22"/>
          <w:szCs w:val="22"/>
          <w:u w:val="single"/>
        </w:rPr>
        <w:t>Opis odabranih neželjenih dejstava</w:t>
      </w:r>
    </w:p>
    <w:p w14:paraId="7EAFDCB1" w14:textId="77777777" w:rsidR="0083687B" w:rsidRPr="0083687B" w:rsidRDefault="0083687B">
      <w:pPr>
        <w:widowControl w:val="0"/>
        <w:autoSpaceDE w:val="0"/>
        <w:autoSpaceDN w:val="0"/>
        <w:adjustRightInd w:val="0"/>
        <w:ind w:left="567" w:hanging="567"/>
        <w:jc w:val="both"/>
        <w:rPr>
          <w:sz w:val="22"/>
          <w:szCs w:val="22"/>
        </w:rPr>
      </w:pPr>
    </w:p>
    <w:p w14:paraId="3BB25DE6" w14:textId="77777777" w:rsidR="0083687B" w:rsidRPr="0083687B" w:rsidRDefault="0083687B">
      <w:pPr>
        <w:widowControl w:val="0"/>
        <w:autoSpaceDE w:val="0"/>
        <w:autoSpaceDN w:val="0"/>
        <w:adjustRightInd w:val="0"/>
        <w:ind w:left="567" w:hanging="567"/>
        <w:jc w:val="both"/>
        <w:rPr>
          <w:i/>
          <w:sz w:val="22"/>
          <w:szCs w:val="22"/>
        </w:rPr>
      </w:pPr>
      <w:r w:rsidRPr="0083687B">
        <w:rPr>
          <w:i/>
          <w:sz w:val="22"/>
          <w:szCs w:val="22"/>
        </w:rPr>
        <w:t xml:space="preserve">Reakcije </w:t>
      </w:r>
      <w:proofErr w:type="gramStart"/>
      <w:r w:rsidRPr="0083687B">
        <w:rPr>
          <w:i/>
          <w:sz w:val="22"/>
          <w:szCs w:val="22"/>
        </w:rPr>
        <w:t>na</w:t>
      </w:r>
      <w:proofErr w:type="gramEnd"/>
      <w:r w:rsidRPr="0083687B">
        <w:rPr>
          <w:i/>
          <w:sz w:val="22"/>
          <w:szCs w:val="22"/>
        </w:rPr>
        <w:t xml:space="preserve"> mjestu ubrizgavanja</w:t>
      </w:r>
    </w:p>
    <w:p w14:paraId="44C9141A" w14:textId="77777777" w:rsidR="0083687B" w:rsidRPr="0083687B" w:rsidRDefault="0083687B">
      <w:pPr>
        <w:widowControl w:val="0"/>
        <w:autoSpaceDE w:val="0"/>
        <w:autoSpaceDN w:val="0"/>
        <w:adjustRightInd w:val="0"/>
        <w:ind w:left="567" w:hanging="567"/>
        <w:jc w:val="both"/>
        <w:rPr>
          <w:sz w:val="22"/>
          <w:szCs w:val="22"/>
          <w:u w:val="single"/>
        </w:rPr>
      </w:pPr>
    </w:p>
    <w:p w14:paraId="7114F139"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 pivotalnim kontrolisanim kliničkim ispitivanjima kod djece i odraslih, reakcije na mjestu ubrizgavanja (eritem i/ili svrab, krvarenje, bol ili otok)  pojavile su se kod 12.9 % pacijenata liječenih lijekom Humira u poređenju sa 7.2% pacijenata koji su dobijali placebo ili aktivni poredbeni lijek. Liječenje obično nije trebalo prekidati zbog reakcija </w:t>
      </w:r>
      <w:proofErr w:type="gramStart"/>
      <w:r w:rsidRPr="0083687B">
        <w:rPr>
          <w:sz w:val="22"/>
          <w:szCs w:val="22"/>
        </w:rPr>
        <w:t>na</w:t>
      </w:r>
      <w:proofErr w:type="gramEnd"/>
      <w:r w:rsidRPr="0083687B">
        <w:rPr>
          <w:sz w:val="22"/>
          <w:szCs w:val="22"/>
        </w:rPr>
        <w:t xml:space="preserve"> mjestu ubrizgavanja.</w:t>
      </w:r>
    </w:p>
    <w:p w14:paraId="4B77185C" w14:textId="77777777" w:rsidR="0083687B" w:rsidRPr="0083687B" w:rsidRDefault="0083687B">
      <w:pPr>
        <w:widowControl w:val="0"/>
        <w:autoSpaceDE w:val="0"/>
        <w:autoSpaceDN w:val="0"/>
        <w:adjustRightInd w:val="0"/>
        <w:jc w:val="both"/>
        <w:rPr>
          <w:sz w:val="22"/>
          <w:szCs w:val="22"/>
        </w:rPr>
      </w:pPr>
    </w:p>
    <w:p w14:paraId="32EE569E" w14:textId="77777777" w:rsidR="0083687B" w:rsidRPr="0083687B" w:rsidRDefault="0083687B">
      <w:pPr>
        <w:widowControl w:val="0"/>
        <w:autoSpaceDE w:val="0"/>
        <w:autoSpaceDN w:val="0"/>
        <w:adjustRightInd w:val="0"/>
        <w:jc w:val="both"/>
        <w:rPr>
          <w:i/>
          <w:sz w:val="22"/>
          <w:szCs w:val="22"/>
        </w:rPr>
      </w:pPr>
      <w:r w:rsidRPr="0083687B">
        <w:rPr>
          <w:i/>
          <w:sz w:val="22"/>
          <w:szCs w:val="22"/>
        </w:rPr>
        <w:t>Infekcije</w:t>
      </w:r>
    </w:p>
    <w:p w14:paraId="1BDEEF6A" w14:textId="77777777" w:rsidR="0083687B" w:rsidRPr="0083687B" w:rsidRDefault="0083687B">
      <w:pPr>
        <w:widowControl w:val="0"/>
        <w:autoSpaceDE w:val="0"/>
        <w:autoSpaceDN w:val="0"/>
        <w:adjustRightInd w:val="0"/>
        <w:jc w:val="both"/>
        <w:rPr>
          <w:sz w:val="22"/>
          <w:szCs w:val="22"/>
          <w:u w:val="single"/>
        </w:rPr>
      </w:pPr>
    </w:p>
    <w:p w14:paraId="52937C77" w14:textId="47BAFA05" w:rsidR="0083687B" w:rsidRPr="0083687B" w:rsidRDefault="0083687B">
      <w:pPr>
        <w:widowControl w:val="0"/>
        <w:autoSpaceDE w:val="0"/>
        <w:autoSpaceDN w:val="0"/>
        <w:adjustRightInd w:val="0"/>
        <w:jc w:val="both"/>
        <w:rPr>
          <w:sz w:val="22"/>
          <w:szCs w:val="22"/>
        </w:rPr>
      </w:pPr>
      <w:r w:rsidRPr="0083687B">
        <w:rPr>
          <w:sz w:val="22"/>
          <w:szCs w:val="22"/>
        </w:rPr>
        <w:t xml:space="preserve">U pivotalnim kontrolisanim kliničkim ispitivanjima kod odraslih i djece, učestalost infekcija po pacijentu i godini liječenja bila je 1.51 kod pacijenata liječenih lijekom Humira, odnosno 1.46 kod pacijenata liječenih placebom </w:t>
      </w:r>
      <w:proofErr w:type="gramStart"/>
      <w:r w:rsidRPr="0083687B">
        <w:rPr>
          <w:sz w:val="22"/>
          <w:szCs w:val="22"/>
        </w:rPr>
        <w:t>ili</w:t>
      </w:r>
      <w:proofErr w:type="gramEnd"/>
      <w:r w:rsidRPr="0083687B">
        <w:rPr>
          <w:sz w:val="22"/>
          <w:szCs w:val="22"/>
        </w:rPr>
        <w:t xml:space="preserve"> aktivnim poredbenim lijekom. To su bili pretežno nazofaringitis, infekcija gornjeg respiratornog sistema i sinuzitis. Većina pacijenata nastavila je uzimati lijek Humira nakon što je infekcija izliječena.</w:t>
      </w:r>
    </w:p>
    <w:p w14:paraId="7F1ABB97" w14:textId="77777777" w:rsidR="0083687B" w:rsidRPr="0083687B" w:rsidRDefault="0083687B">
      <w:pPr>
        <w:widowControl w:val="0"/>
        <w:autoSpaceDE w:val="0"/>
        <w:autoSpaceDN w:val="0"/>
        <w:adjustRightInd w:val="0"/>
        <w:jc w:val="both"/>
        <w:rPr>
          <w:sz w:val="22"/>
          <w:szCs w:val="22"/>
        </w:rPr>
      </w:pPr>
    </w:p>
    <w:p w14:paraId="3F9B924E"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Učestalost teških infekcija po pacijentu i godini liječenja bila je 0.04 kod pacijenata liječenih lijekom Humira, odnosno 0.03 kod pacijenata liječenih placebom </w:t>
      </w:r>
      <w:proofErr w:type="gramStart"/>
      <w:r w:rsidRPr="0083687B">
        <w:rPr>
          <w:sz w:val="22"/>
          <w:szCs w:val="22"/>
        </w:rPr>
        <w:t>ili</w:t>
      </w:r>
      <w:proofErr w:type="gramEnd"/>
      <w:r w:rsidRPr="0083687B">
        <w:rPr>
          <w:sz w:val="22"/>
          <w:szCs w:val="22"/>
        </w:rPr>
        <w:t xml:space="preserve"> aktivnim poredbenim lijekom.</w:t>
      </w:r>
    </w:p>
    <w:p w14:paraId="4E489D51" w14:textId="77777777" w:rsidR="0083687B" w:rsidRPr="0083687B" w:rsidRDefault="0083687B">
      <w:pPr>
        <w:widowControl w:val="0"/>
        <w:autoSpaceDE w:val="0"/>
        <w:autoSpaceDN w:val="0"/>
        <w:adjustRightInd w:val="0"/>
        <w:jc w:val="both"/>
        <w:rPr>
          <w:sz w:val="22"/>
          <w:szCs w:val="22"/>
        </w:rPr>
      </w:pPr>
    </w:p>
    <w:p w14:paraId="52C8043E" w14:textId="6B166356" w:rsidR="0083687B" w:rsidRPr="0083687B" w:rsidRDefault="0083687B">
      <w:pPr>
        <w:widowControl w:val="0"/>
        <w:autoSpaceDE w:val="0"/>
        <w:autoSpaceDN w:val="0"/>
        <w:adjustRightInd w:val="0"/>
        <w:jc w:val="both"/>
        <w:rPr>
          <w:sz w:val="22"/>
          <w:szCs w:val="22"/>
        </w:rPr>
      </w:pPr>
      <w:r w:rsidRPr="0083687B">
        <w:rPr>
          <w:sz w:val="22"/>
          <w:szCs w:val="22"/>
        </w:rPr>
        <w:t>U kontrolisanim i otvorenim kliničkim ispitivanjima u odrasloj i pedijatrijskoj populaciji, lijeka Humira, zabilježene su ozbiljne infekcije (u rijetkim slučajevima i sa smrtnim ishodom), među kojima i tuberkuloza (uključujući njen milijarni oblik i ekstra pulmonalne lokalizacije) te invazivne oportunističke infekcije (npr. diseminirana ili ekstra pulmonalna histoplazmoza, blastomikoza, kokcidioidomikoza, pneumocistis,  kandidijaza, aspergiloza i listerioza). Većina slučajeva tuberkuloze nastupila je u prvih osam mjeseci liječenja, što može biti posljedica aktivacije postojećeg latentnog oblika bolesti.</w:t>
      </w:r>
    </w:p>
    <w:p w14:paraId="5E5793DE" w14:textId="77777777" w:rsidR="0083687B" w:rsidRPr="0083687B" w:rsidRDefault="0083687B">
      <w:pPr>
        <w:widowControl w:val="0"/>
        <w:autoSpaceDE w:val="0"/>
        <w:autoSpaceDN w:val="0"/>
        <w:adjustRightInd w:val="0"/>
        <w:jc w:val="both"/>
        <w:rPr>
          <w:sz w:val="22"/>
          <w:szCs w:val="22"/>
        </w:rPr>
      </w:pPr>
    </w:p>
    <w:p w14:paraId="60D08137" w14:textId="77777777" w:rsidR="0083687B" w:rsidRPr="0083687B" w:rsidRDefault="0083687B">
      <w:pPr>
        <w:widowControl w:val="0"/>
        <w:autoSpaceDE w:val="0"/>
        <w:autoSpaceDN w:val="0"/>
        <w:adjustRightInd w:val="0"/>
        <w:jc w:val="both"/>
        <w:rPr>
          <w:i/>
          <w:sz w:val="22"/>
          <w:szCs w:val="22"/>
        </w:rPr>
      </w:pPr>
      <w:r w:rsidRPr="0083687B">
        <w:rPr>
          <w:i/>
          <w:sz w:val="22"/>
          <w:szCs w:val="22"/>
        </w:rPr>
        <w:t>Maligne i limfoproliferativne bolesti</w:t>
      </w:r>
    </w:p>
    <w:p w14:paraId="39FA0574" w14:textId="77777777" w:rsidR="0083687B" w:rsidRPr="0083687B" w:rsidRDefault="0083687B">
      <w:pPr>
        <w:widowControl w:val="0"/>
        <w:autoSpaceDE w:val="0"/>
        <w:autoSpaceDN w:val="0"/>
        <w:adjustRightInd w:val="0"/>
        <w:jc w:val="both"/>
        <w:rPr>
          <w:sz w:val="22"/>
          <w:szCs w:val="22"/>
        </w:rPr>
      </w:pPr>
    </w:p>
    <w:p w14:paraId="47B01140" w14:textId="4371FE21" w:rsidR="0083687B" w:rsidRPr="0083687B" w:rsidRDefault="0083687B">
      <w:pPr>
        <w:widowControl w:val="0"/>
        <w:autoSpaceDE w:val="0"/>
        <w:autoSpaceDN w:val="0"/>
        <w:adjustRightInd w:val="0"/>
        <w:jc w:val="both"/>
        <w:rPr>
          <w:sz w:val="22"/>
          <w:szCs w:val="22"/>
          <w:lang w:val="sr-Latn-ME"/>
        </w:rPr>
      </w:pPr>
      <w:r w:rsidRPr="0083687B">
        <w:rPr>
          <w:sz w:val="22"/>
          <w:szCs w:val="22"/>
        </w:rPr>
        <w:t xml:space="preserve">Nijesu primijećene maligne bolesti kod 249 pedijatrijskih pacijenata </w:t>
      </w:r>
      <w:proofErr w:type="gramStart"/>
      <w:r w:rsidRPr="0083687B">
        <w:rPr>
          <w:sz w:val="22"/>
          <w:szCs w:val="22"/>
        </w:rPr>
        <w:t>sa</w:t>
      </w:r>
      <w:proofErr w:type="gramEnd"/>
      <w:r w:rsidRPr="0083687B">
        <w:rPr>
          <w:sz w:val="22"/>
          <w:szCs w:val="22"/>
        </w:rPr>
        <w:t xml:space="preserve"> juvenilnim idiopatskim artritisom (poliartikularni juvenilni idiopatski artritis i artritisom povezanim sa entezitisom) sa izloženošću 655.6 pacijenata godina u toku ispitivanja lijeka Humira.</w:t>
      </w:r>
      <w:r w:rsidR="00BA0342">
        <w:rPr>
          <w:sz w:val="22"/>
          <w:szCs w:val="22"/>
        </w:rPr>
        <w:t xml:space="preserve"> Dodatno</w:t>
      </w:r>
      <w:r w:rsidRPr="0083687B">
        <w:rPr>
          <w:sz w:val="22"/>
          <w:szCs w:val="22"/>
        </w:rPr>
        <w:t xml:space="preserve">, nije bilo primijećenih malignih bolesti kod 192 pedijatrijska pacijenta </w:t>
      </w:r>
      <w:proofErr w:type="gramStart"/>
      <w:r w:rsidRPr="0083687B">
        <w:rPr>
          <w:sz w:val="22"/>
          <w:szCs w:val="22"/>
        </w:rPr>
        <w:t>sa</w:t>
      </w:r>
      <w:proofErr w:type="gramEnd"/>
      <w:r w:rsidRPr="0083687B">
        <w:rPr>
          <w:sz w:val="22"/>
          <w:szCs w:val="22"/>
        </w:rPr>
        <w:t xml:space="preserve"> Crohnovom bolesti sa izloženošću 498.1 pacijent godina u toku ispitivanja lijeka Humira. Maligniteti nisu primijećeni </w:t>
      </w:r>
      <w:proofErr w:type="gramStart"/>
      <w:r w:rsidRPr="0083687B">
        <w:rPr>
          <w:sz w:val="22"/>
          <w:szCs w:val="22"/>
        </w:rPr>
        <w:t>ni</w:t>
      </w:r>
      <w:proofErr w:type="gramEnd"/>
      <w:r w:rsidRPr="0083687B">
        <w:rPr>
          <w:sz w:val="22"/>
          <w:szCs w:val="22"/>
        </w:rPr>
        <w:t xml:space="preserve"> kod 77 pedijatrijskih pacijenata sa izloženošću od 80.0 pacijent godina u ispitivanju lijeka Humira sprovedenom na djeci sa hroničnom plak psorijazom.</w:t>
      </w:r>
      <w:r w:rsidRPr="0083687B">
        <w:rPr>
          <w:sz w:val="22"/>
          <w:szCs w:val="22"/>
          <w:lang w:val="sr-Latn-ME"/>
        </w:rPr>
        <w:t xml:space="preserve"> Nisu primijećene maligne bolesti kod 60 pedijatrijskih pacijenata </w:t>
      </w:r>
      <w:r w:rsidR="00B66AEE">
        <w:rPr>
          <w:sz w:val="22"/>
          <w:szCs w:val="22"/>
          <w:lang w:val="sr-Latn-ME"/>
        </w:rPr>
        <w:t>sa izloženošću od</w:t>
      </w:r>
      <w:r w:rsidRPr="0083687B">
        <w:rPr>
          <w:sz w:val="22"/>
          <w:szCs w:val="22"/>
          <w:lang w:val="sr-Latn-ME"/>
        </w:rPr>
        <w:t xml:space="preserve"> 58.4 pacijent godina tokom ispitivanja uveitisa kod pedijatrijskih pacijenata.</w:t>
      </w:r>
    </w:p>
    <w:p w14:paraId="4892A37C" w14:textId="77777777" w:rsidR="0083687B" w:rsidRPr="0083687B" w:rsidRDefault="0083687B">
      <w:pPr>
        <w:widowControl w:val="0"/>
        <w:autoSpaceDE w:val="0"/>
        <w:autoSpaceDN w:val="0"/>
        <w:adjustRightInd w:val="0"/>
        <w:jc w:val="both"/>
        <w:rPr>
          <w:sz w:val="22"/>
          <w:szCs w:val="22"/>
        </w:rPr>
      </w:pPr>
    </w:p>
    <w:p w14:paraId="3C96A0B7" w14:textId="116C5402" w:rsidR="0083687B" w:rsidRPr="0083687B" w:rsidRDefault="0083687B">
      <w:pPr>
        <w:widowControl w:val="0"/>
        <w:autoSpaceDE w:val="0"/>
        <w:autoSpaceDN w:val="0"/>
        <w:adjustRightInd w:val="0"/>
        <w:jc w:val="both"/>
        <w:rPr>
          <w:sz w:val="22"/>
          <w:szCs w:val="22"/>
        </w:rPr>
      </w:pPr>
      <w:r w:rsidRPr="0083687B">
        <w:rPr>
          <w:sz w:val="22"/>
          <w:szCs w:val="22"/>
        </w:rPr>
        <w:t xml:space="preserve">U kontrolisanim pivotalnim ispitivanjima kod odraslih koja su trajala najmanje 12 nedjelja kod </w:t>
      </w:r>
      <w:r w:rsidRPr="0083687B">
        <w:rPr>
          <w:sz w:val="22"/>
          <w:szCs w:val="22"/>
        </w:rPr>
        <w:lastRenderedPageBreak/>
        <w:t xml:space="preserve">pacijenata sa umjerenim do teškim aktivnim reumatoidnim artritisom, ankilozantnim spondilitisom, aksijalnim spondiloartritisom bez radiološkog nalaza AS-a, psorijatičnim artritisom, psorijazom, gnojnim hidradenitisom, Crohnovom bolešću, ulceroznim kolitisom i uveitisom </w:t>
      </w:r>
      <w:r w:rsidR="00206470">
        <w:rPr>
          <w:sz w:val="22"/>
          <w:szCs w:val="22"/>
        </w:rPr>
        <w:t>uočene su</w:t>
      </w:r>
      <w:r w:rsidRPr="0083687B">
        <w:rPr>
          <w:sz w:val="22"/>
          <w:szCs w:val="22"/>
        </w:rPr>
        <w:t xml:space="preserve"> malign</w:t>
      </w:r>
      <w:r w:rsidR="00206470">
        <w:rPr>
          <w:sz w:val="22"/>
          <w:szCs w:val="22"/>
        </w:rPr>
        <w:t>e</w:t>
      </w:r>
      <w:r w:rsidRPr="0083687B">
        <w:rPr>
          <w:sz w:val="22"/>
          <w:szCs w:val="22"/>
        </w:rPr>
        <w:t xml:space="preserve"> bolesti, isključujući limfome i nemelanomske tumore kože, kod 5291 pacijenata na lijeku Humira u stopi od 6.8 (4.4; 10.5) na 1000 pacijent-godina (interval pouzdanosti 95%), nasuprot 6.3 (3.4; 11.8) kod 3444 pacijenata iz kontrolne grupe (medijan trajanja terapije bio je 3.8 mjeseci kod pacijenata na lijeku Humira i 3.9 mjeseci u kontrolnoj grupi pacijenata). Stopa pojavljivanja nemelanomskih tumora (interval pouzdanosti 95%) bila je 8.8 (6.0; 13.0) </w:t>
      </w:r>
      <w:proofErr w:type="gramStart"/>
      <w:r w:rsidRPr="0083687B">
        <w:rPr>
          <w:sz w:val="22"/>
          <w:szCs w:val="22"/>
        </w:rPr>
        <w:t>na</w:t>
      </w:r>
      <w:proofErr w:type="gramEnd"/>
      <w:r w:rsidRPr="0083687B">
        <w:rPr>
          <w:sz w:val="22"/>
          <w:szCs w:val="22"/>
        </w:rPr>
        <w:t xml:space="preserve"> 1000 pacijent-godina </w:t>
      </w:r>
      <w:r w:rsidR="00206470">
        <w:rPr>
          <w:sz w:val="22"/>
          <w:szCs w:val="22"/>
        </w:rPr>
        <w:t>kod</w:t>
      </w:r>
      <w:r w:rsidRPr="0083687B">
        <w:rPr>
          <w:sz w:val="22"/>
          <w:szCs w:val="22"/>
        </w:rPr>
        <w:t xml:space="preserve"> pac</w:t>
      </w:r>
      <w:r w:rsidR="00206470">
        <w:rPr>
          <w:sz w:val="22"/>
          <w:szCs w:val="22"/>
        </w:rPr>
        <w:t>i</w:t>
      </w:r>
      <w:r w:rsidRPr="0083687B">
        <w:rPr>
          <w:sz w:val="22"/>
          <w:szCs w:val="22"/>
        </w:rPr>
        <w:t>j</w:t>
      </w:r>
      <w:r w:rsidR="00206470">
        <w:rPr>
          <w:sz w:val="22"/>
          <w:szCs w:val="22"/>
        </w:rPr>
        <w:t>e</w:t>
      </w:r>
      <w:r w:rsidRPr="0083687B">
        <w:rPr>
          <w:sz w:val="22"/>
          <w:szCs w:val="22"/>
        </w:rPr>
        <w:t xml:space="preserve">nata na lijeku Humira, odnosno 3.2 (1.3; 7.6) na 1000 pacijent-godina u kontrolnoj grupi pacijenata. Od tih tumora kože, karcinom skvamoznih ćelija se </w:t>
      </w:r>
      <w:proofErr w:type="gramStart"/>
      <w:r w:rsidRPr="0083687B">
        <w:rPr>
          <w:sz w:val="22"/>
          <w:szCs w:val="22"/>
        </w:rPr>
        <w:t>javljao  (</w:t>
      </w:r>
      <w:proofErr w:type="gramEnd"/>
      <w:r w:rsidRPr="0083687B">
        <w:rPr>
          <w:sz w:val="22"/>
          <w:szCs w:val="22"/>
        </w:rPr>
        <w:t xml:space="preserve">interval pouzdanosti (95%) u stopi od 2.7 (1.4; 5.4) na 1000 pacijent-godina kod pacijenata na lijeku Humira i u stopi od 0.6 (0.1; 4.5) na 1000 pacijent-godina u kontrolnoj grupi. Limfomi su se javljali u stopi (interval pouzdanosti 95%) </w:t>
      </w:r>
      <w:proofErr w:type="gramStart"/>
      <w:r w:rsidRPr="0083687B">
        <w:rPr>
          <w:sz w:val="22"/>
          <w:szCs w:val="22"/>
        </w:rPr>
        <w:t>od</w:t>
      </w:r>
      <w:proofErr w:type="gramEnd"/>
      <w:r w:rsidRPr="0083687B">
        <w:rPr>
          <w:sz w:val="22"/>
          <w:szCs w:val="22"/>
        </w:rPr>
        <w:t xml:space="preserve"> 0.7 (0.2; 2.7) na 1000 pacijent-godina kod pacijenata na lijeku Humira, odnosno u stopi od 0.6 (0.1; 4.5) na 1000 pacijent-godina u kontrolnoj grupi.</w:t>
      </w:r>
    </w:p>
    <w:p w14:paraId="79A0700F" w14:textId="77777777" w:rsidR="0083687B" w:rsidRPr="0083687B" w:rsidRDefault="0083687B">
      <w:pPr>
        <w:widowControl w:val="0"/>
        <w:autoSpaceDE w:val="0"/>
        <w:autoSpaceDN w:val="0"/>
        <w:adjustRightInd w:val="0"/>
        <w:ind w:left="567" w:hanging="567"/>
        <w:jc w:val="both"/>
        <w:rPr>
          <w:sz w:val="22"/>
          <w:szCs w:val="22"/>
        </w:rPr>
      </w:pPr>
    </w:p>
    <w:p w14:paraId="1AF7D8A7" w14:textId="31698A5B" w:rsidR="0083687B" w:rsidRPr="0083687B" w:rsidRDefault="0083687B">
      <w:pPr>
        <w:widowControl w:val="0"/>
        <w:autoSpaceDE w:val="0"/>
        <w:autoSpaceDN w:val="0"/>
        <w:adjustRightInd w:val="0"/>
        <w:jc w:val="both"/>
        <w:rPr>
          <w:sz w:val="22"/>
          <w:szCs w:val="22"/>
        </w:rPr>
      </w:pPr>
      <w:r w:rsidRPr="0083687B">
        <w:rPr>
          <w:sz w:val="22"/>
          <w:szCs w:val="22"/>
        </w:rPr>
        <w:t>Analizom zbirnih rezultata kontrolisanih ispitivanja te ispitivanja koja su u toku i dovršenih otvorenih ispitivanja kod ukupno 6427 pacijenata i više od 26439 godina terapije i medijanom trajanja terapije od 3.3 godine, dobijena je prosječna učestalost malignih bolesti, isključujući limfome i nemelanomske tumore kože, od približno 8.5 na 1000 pacijent godina terapije. Učestalost nemelanomskih tumora kože bila je približno 9.6 na 1000 pacijent  godina terapije, a limfoma 1.3 na 1000 pacijent godina terapije.</w:t>
      </w:r>
    </w:p>
    <w:p w14:paraId="313F330B" w14:textId="5D0EBDA7" w:rsidR="0083687B" w:rsidRPr="0083687B" w:rsidRDefault="0083687B">
      <w:pPr>
        <w:widowControl w:val="0"/>
        <w:autoSpaceDE w:val="0"/>
        <w:autoSpaceDN w:val="0"/>
        <w:adjustRightInd w:val="0"/>
        <w:jc w:val="both"/>
        <w:rPr>
          <w:sz w:val="22"/>
          <w:szCs w:val="22"/>
        </w:rPr>
      </w:pPr>
      <w:r w:rsidRPr="0083687B">
        <w:rPr>
          <w:sz w:val="22"/>
          <w:szCs w:val="22"/>
        </w:rPr>
        <w:t xml:space="preserve">Iskustva nakon stavljanja lijeka u promet </w:t>
      </w:r>
      <w:proofErr w:type="gramStart"/>
      <w:r w:rsidRPr="0083687B">
        <w:rPr>
          <w:sz w:val="22"/>
          <w:szCs w:val="22"/>
        </w:rPr>
        <w:t>od</w:t>
      </w:r>
      <w:proofErr w:type="gramEnd"/>
      <w:r w:rsidRPr="0083687B">
        <w:rPr>
          <w:sz w:val="22"/>
          <w:szCs w:val="22"/>
        </w:rPr>
        <w:t xml:space="preserve"> januara 2003. </w:t>
      </w:r>
      <w:proofErr w:type="gramStart"/>
      <w:r w:rsidRPr="0083687B">
        <w:rPr>
          <w:sz w:val="22"/>
          <w:szCs w:val="22"/>
        </w:rPr>
        <w:t>godine</w:t>
      </w:r>
      <w:proofErr w:type="gramEnd"/>
      <w:r w:rsidRPr="0083687B">
        <w:rPr>
          <w:sz w:val="22"/>
          <w:szCs w:val="22"/>
        </w:rPr>
        <w:t xml:space="preserve"> do decembra 2010. </w:t>
      </w:r>
      <w:proofErr w:type="gramStart"/>
      <w:r w:rsidRPr="0083687B">
        <w:rPr>
          <w:sz w:val="22"/>
          <w:szCs w:val="22"/>
        </w:rPr>
        <w:t>godine</w:t>
      </w:r>
      <w:proofErr w:type="gramEnd"/>
      <w:r w:rsidRPr="0083687B">
        <w:rPr>
          <w:sz w:val="22"/>
          <w:szCs w:val="22"/>
        </w:rPr>
        <w:t>, pretežno za liječenje reumatoidnog artritisa, ukazala su na učestalost malignih bolesti</w:t>
      </w:r>
      <w:r w:rsidR="00DB5E49">
        <w:rPr>
          <w:sz w:val="22"/>
          <w:szCs w:val="22"/>
        </w:rPr>
        <w:t xml:space="preserve"> iz spontanih prijava</w:t>
      </w:r>
      <w:r w:rsidRPr="0083687B">
        <w:rPr>
          <w:sz w:val="22"/>
          <w:szCs w:val="22"/>
        </w:rPr>
        <w:t xml:space="preserve"> od približno 2.7 na 1000 godina terapije. </w:t>
      </w:r>
      <w:r w:rsidR="00057B10">
        <w:rPr>
          <w:sz w:val="22"/>
          <w:szCs w:val="22"/>
        </w:rPr>
        <w:t>Prijavljene stope</w:t>
      </w:r>
      <w:r w:rsidRPr="0083687B">
        <w:rPr>
          <w:sz w:val="22"/>
          <w:szCs w:val="22"/>
        </w:rPr>
        <w:t xml:space="preserve"> nemelanomskih tumora kože i limfoma </w:t>
      </w:r>
      <w:r w:rsidR="00C45962">
        <w:rPr>
          <w:sz w:val="22"/>
          <w:szCs w:val="22"/>
        </w:rPr>
        <w:t xml:space="preserve">iz spontanih prijava </w:t>
      </w:r>
      <w:r w:rsidRPr="0083687B">
        <w:rPr>
          <w:sz w:val="22"/>
          <w:szCs w:val="22"/>
        </w:rPr>
        <w:t>bil</w:t>
      </w:r>
      <w:r w:rsidR="00C45962">
        <w:rPr>
          <w:sz w:val="22"/>
          <w:szCs w:val="22"/>
        </w:rPr>
        <w:t>e</w:t>
      </w:r>
      <w:r w:rsidRPr="0083687B">
        <w:rPr>
          <w:sz w:val="22"/>
          <w:szCs w:val="22"/>
        </w:rPr>
        <w:t xml:space="preserve"> </w:t>
      </w:r>
      <w:r w:rsidR="00057B10">
        <w:rPr>
          <w:sz w:val="22"/>
          <w:szCs w:val="22"/>
        </w:rPr>
        <w:t>su</w:t>
      </w:r>
      <w:r w:rsidRPr="0083687B">
        <w:rPr>
          <w:sz w:val="22"/>
          <w:szCs w:val="22"/>
        </w:rPr>
        <w:t xml:space="preserve"> 0.2, odnosno 0.3 </w:t>
      </w:r>
      <w:proofErr w:type="gramStart"/>
      <w:r w:rsidRPr="0083687B">
        <w:rPr>
          <w:sz w:val="22"/>
          <w:szCs w:val="22"/>
        </w:rPr>
        <w:t>na</w:t>
      </w:r>
      <w:proofErr w:type="gramEnd"/>
      <w:r w:rsidRPr="0083687B">
        <w:rPr>
          <w:sz w:val="22"/>
          <w:szCs w:val="22"/>
        </w:rPr>
        <w:t xml:space="preserve"> 1000 godina terapije (vidjeti </w:t>
      </w:r>
      <w:r w:rsidR="00057B10">
        <w:rPr>
          <w:sz w:val="22"/>
          <w:szCs w:val="22"/>
        </w:rPr>
        <w:t>dio</w:t>
      </w:r>
      <w:r w:rsidRPr="0083687B">
        <w:rPr>
          <w:sz w:val="22"/>
          <w:szCs w:val="22"/>
        </w:rPr>
        <w:t xml:space="preserve"> 4.4).</w:t>
      </w:r>
    </w:p>
    <w:p w14:paraId="6096058F" w14:textId="77777777" w:rsidR="0083687B" w:rsidRPr="0083687B" w:rsidRDefault="0083687B">
      <w:pPr>
        <w:widowControl w:val="0"/>
        <w:autoSpaceDE w:val="0"/>
        <w:autoSpaceDN w:val="0"/>
        <w:adjustRightInd w:val="0"/>
        <w:jc w:val="both"/>
        <w:rPr>
          <w:sz w:val="22"/>
          <w:szCs w:val="22"/>
        </w:rPr>
      </w:pPr>
    </w:p>
    <w:p w14:paraId="7660339C" w14:textId="5AF938E3" w:rsidR="0083687B" w:rsidRPr="0083687B" w:rsidRDefault="0083687B">
      <w:pPr>
        <w:widowControl w:val="0"/>
        <w:autoSpaceDE w:val="0"/>
        <w:autoSpaceDN w:val="0"/>
        <w:adjustRightInd w:val="0"/>
        <w:jc w:val="both"/>
        <w:rPr>
          <w:sz w:val="22"/>
          <w:szCs w:val="22"/>
        </w:rPr>
      </w:pPr>
      <w:r w:rsidRPr="0083687B">
        <w:rPr>
          <w:sz w:val="22"/>
          <w:szCs w:val="22"/>
        </w:rPr>
        <w:t>Zabilježeni su i rijetki slučajevi hepatospleničnog T-ćelijskog limfoma u postmarketinškom praćenju primijene adalimumaba (vidjeti</w:t>
      </w:r>
      <w:r w:rsidR="00E726BD">
        <w:rPr>
          <w:sz w:val="22"/>
          <w:szCs w:val="22"/>
        </w:rPr>
        <w:t xml:space="preserve"> dio</w:t>
      </w:r>
      <w:r w:rsidRPr="0083687B">
        <w:rPr>
          <w:sz w:val="22"/>
          <w:szCs w:val="22"/>
        </w:rPr>
        <w:t xml:space="preserve"> 4.4).</w:t>
      </w:r>
    </w:p>
    <w:p w14:paraId="63A8E0C1" w14:textId="77777777" w:rsidR="0083687B" w:rsidRPr="0083687B" w:rsidRDefault="0083687B">
      <w:pPr>
        <w:widowControl w:val="0"/>
        <w:autoSpaceDE w:val="0"/>
        <w:autoSpaceDN w:val="0"/>
        <w:adjustRightInd w:val="0"/>
        <w:jc w:val="both"/>
        <w:rPr>
          <w:sz w:val="22"/>
          <w:szCs w:val="22"/>
        </w:rPr>
      </w:pPr>
    </w:p>
    <w:p w14:paraId="60C33A55" w14:textId="77777777" w:rsidR="0083687B" w:rsidRPr="0083687B" w:rsidRDefault="0083687B">
      <w:pPr>
        <w:widowControl w:val="0"/>
        <w:autoSpaceDE w:val="0"/>
        <w:autoSpaceDN w:val="0"/>
        <w:adjustRightInd w:val="0"/>
        <w:jc w:val="both"/>
        <w:rPr>
          <w:i/>
          <w:sz w:val="22"/>
          <w:szCs w:val="22"/>
        </w:rPr>
      </w:pPr>
      <w:r w:rsidRPr="0083687B">
        <w:rPr>
          <w:i/>
          <w:sz w:val="22"/>
          <w:szCs w:val="22"/>
        </w:rPr>
        <w:t>Autoantitijela</w:t>
      </w:r>
    </w:p>
    <w:p w14:paraId="3CA1B023" w14:textId="77777777" w:rsidR="0083687B" w:rsidRPr="0083687B" w:rsidRDefault="0083687B">
      <w:pPr>
        <w:widowControl w:val="0"/>
        <w:autoSpaceDE w:val="0"/>
        <w:autoSpaceDN w:val="0"/>
        <w:adjustRightInd w:val="0"/>
        <w:jc w:val="both"/>
        <w:rPr>
          <w:sz w:val="22"/>
          <w:szCs w:val="22"/>
          <w:u w:val="single"/>
        </w:rPr>
      </w:pPr>
    </w:p>
    <w:p w14:paraId="21EEFFB7" w14:textId="26083DB9" w:rsidR="0083687B" w:rsidRPr="0083687B" w:rsidRDefault="0083687B">
      <w:pPr>
        <w:widowControl w:val="0"/>
        <w:autoSpaceDE w:val="0"/>
        <w:autoSpaceDN w:val="0"/>
        <w:adjustRightInd w:val="0"/>
        <w:jc w:val="both"/>
        <w:rPr>
          <w:sz w:val="22"/>
          <w:szCs w:val="22"/>
        </w:rPr>
      </w:pPr>
      <w:r w:rsidRPr="0083687B">
        <w:rPr>
          <w:sz w:val="22"/>
          <w:szCs w:val="22"/>
        </w:rPr>
        <w:t xml:space="preserve">U ispitivanjima (I – V) reumatoidnog artritisa uzorci seruma pacijenata višekratno su testirani </w:t>
      </w:r>
      <w:proofErr w:type="gramStart"/>
      <w:r w:rsidRPr="0083687B">
        <w:rPr>
          <w:sz w:val="22"/>
          <w:szCs w:val="22"/>
        </w:rPr>
        <w:t>na</w:t>
      </w:r>
      <w:proofErr w:type="gramEnd"/>
      <w:r w:rsidRPr="0083687B">
        <w:rPr>
          <w:sz w:val="22"/>
          <w:szCs w:val="22"/>
        </w:rPr>
        <w:t xml:space="preserve"> prisutnost autoantitijela. U </w:t>
      </w:r>
      <w:proofErr w:type="gramStart"/>
      <w:r w:rsidRPr="0083687B">
        <w:rPr>
          <w:sz w:val="22"/>
          <w:szCs w:val="22"/>
        </w:rPr>
        <w:t>tim</w:t>
      </w:r>
      <w:proofErr w:type="gramEnd"/>
      <w:r w:rsidRPr="0083687B">
        <w:rPr>
          <w:sz w:val="22"/>
          <w:szCs w:val="22"/>
        </w:rPr>
        <w:t xml:space="preserve"> </w:t>
      </w:r>
      <w:r w:rsidRPr="0083687B">
        <w:rPr>
          <w:iCs/>
          <w:sz w:val="22"/>
          <w:szCs w:val="22"/>
        </w:rPr>
        <w:t>ispitivanjima</w:t>
      </w:r>
      <w:r w:rsidRPr="0083687B">
        <w:rPr>
          <w:i/>
          <w:iCs/>
          <w:sz w:val="22"/>
          <w:szCs w:val="22"/>
        </w:rPr>
        <w:t xml:space="preserve"> </w:t>
      </w:r>
      <w:r w:rsidRPr="0083687B">
        <w:rPr>
          <w:sz w:val="22"/>
          <w:szCs w:val="22"/>
        </w:rPr>
        <w:t xml:space="preserve">kod 11.9% pacijenata liječenih lijekom Humira i 8.1% pacijenata liječenih placebom i aktivnim poredbenim lijekom koji su prije početka liječenja imali negativan titar antinuklearnih antitijela nađen je pozitivan titar nakon 24 nedjelje primjene lijeka. Klinički simptomi koji upućuju na razvoj sindroma sličnog lupusu zabilježeni su kod dva od ukupno 3441 pacijenata liječenih lijekom Humira iz svih ispitivanja reumatoidnog i psorijatičnog artritisa. Ti pacijenti </w:t>
      </w:r>
      <w:proofErr w:type="gramStart"/>
      <w:r w:rsidRPr="0083687B">
        <w:rPr>
          <w:sz w:val="22"/>
          <w:szCs w:val="22"/>
        </w:rPr>
        <w:t>sa</w:t>
      </w:r>
      <w:proofErr w:type="gramEnd"/>
      <w:r w:rsidRPr="0083687B">
        <w:rPr>
          <w:sz w:val="22"/>
          <w:szCs w:val="22"/>
        </w:rPr>
        <w:t xml:space="preserve"> se oporavili nakon prekida liječenja. Ni kod jednog pacijenta nije se razvio lupusni nefritis niti su se pojavili simptomi u centralnom nervnom sistemu.</w:t>
      </w:r>
    </w:p>
    <w:p w14:paraId="68D4D084" w14:textId="77777777" w:rsidR="0083687B" w:rsidRPr="0083687B" w:rsidRDefault="0083687B">
      <w:pPr>
        <w:widowControl w:val="0"/>
        <w:autoSpaceDE w:val="0"/>
        <w:autoSpaceDN w:val="0"/>
        <w:adjustRightInd w:val="0"/>
        <w:jc w:val="both"/>
        <w:rPr>
          <w:sz w:val="22"/>
          <w:szCs w:val="22"/>
        </w:rPr>
      </w:pPr>
    </w:p>
    <w:p w14:paraId="47504B45" w14:textId="77777777" w:rsidR="0083687B" w:rsidRPr="0083687B" w:rsidRDefault="0083687B">
      <w:pPr>
        <w:widowControl w:val="0"/>
        <w:autoSpaceDE w:val="0"/>
        <w:autoSpaceDN w:val="0"/>
        <w:adjustRightInd w:val="0"/>
        <w:jc w:val="both"/>
        <w:rPr>
          <w:i/>
          <w:sz w:val="22"/>
          <w:szCs w:val="22"/>
        </w:rPr>
      </w:pPr>
      <w:r w:rsidRPr="0083687B">
        <w:rPr>
          <w:i/>
          <w:sz w:val="22"/>
          <w:szCs w:val="22"/>
        </w:rPr>
        <w:t>Hepatobilijarni događaji</w:t>
      </w:r>
    </w:p>
    <w:p w14:paraId="6E645E72" w14:textId="77777777" w:rsidR="0083687B" w:rsidRPr="0083687B" w:rsidRDefault="0083687B">
      <w:pPr>
        <w:widowControl w:val="0"/>
        <w:autoSpaceDE w:val="0"/>
        <w:autoSpaceDN w:val="0"/>
        <w:adjustRightInd w:val="0"/>
        <w:jc w:val="both"/>
        <w:rPr>
          <w:sz w:val="22"/>
          <w:szCs w:val="22"/>
          <w:u w:val="single"/>
        </w:rPr>
      </w:pPr>
    </w:p>
    <w:p w14:paraId="1B882717" w14:textId="71CBB94A" w:rsidR="0083687B" w:rsidRPr="0083687B" w:rsidRDefault="0083687B">
      <w:pPr>
        <w:widowControl w:val="0"/>
        <w:autoSpaceDE w:val="0"/>
        <w:autoSpaceDN w:val="0"/>
        <w:adjustRightInd w:val="0"/>
        <w:jc w:val="both"/>
        <w:rPr>
          <w:iCs/>
          <w:sz w:val="22"/>
          <w:szCs w:val="22"/>
        </w:rPr>
      </w:pPr>
      <w:r w:rsidRPr="0083687B">
        <w:rPr>
          <w:iCs/>
          <w:sz w:val="22"/>
          <w:szCs w:val="22"/>
        </w:rPr>
        <w:t>U kontrolisanoj fazi 3 ispitivanja sa lijekom Humira, kod pacijenata sa reumatoidnim artritisom i</w:t>
      </w:r>
      <w:r w:rsidRPr="0083687B">
        <w:rPr>
          <w:sz w:val="22"/>
          <w:szCs w:val="22"/>
        </w:rPr>
        <w:t xml:space="preserve"> </w:t>
      </w:r>
      <w:r w:rsidRPr="0083687B">
        <w:rPr>
          <w:iCs/>
          <w:sz w:val="22"/>
          <w:szCs w:val="22"/>
        </w:rPr>
        <w:t>psorijatičnim artritisom  sa kontrolnim periodom trajanja od 4 do 104 nedjelje, povišenje nivoa ALT-a ≥3 x ULN  se pojavil</w:t>
      </w:r>
      <w:r w:rsidR="00E726BD">
        <w:rPr>
          <w:iCs/>
          <w:sz w:val="22"/>
          <w:szCs w:val="22"/>
        </w:rPr>
        <w:t>o</w:t>
      </w:r>
      <w:r w:rsidRPr="0083687B">
        <w:rPr>
          <w:iCs/>
          <w:sz w:val="22"/>
          <w:szCs w:val="22"/>
        </w:rPr>
        <w:t xml:space="preserve"> kod  3.7 % pacijenata liječenih lijekom Humira i 1.6% pacijenata koji su uzimali placebo.</w:t>
      </w:r>
    </w:p>
    <w:p w14:paraId="51505194" w14:textId="77777777" w:rsidR="0083687B" w:rsidRPr="0083687B" w:rsidRDefault="0083687B">
      <w:pPr>
        <w:widowControl w:val="0"/>
        <w:autoSpaceDE w:val="0"/>
        <w:autoSpaceDN w:val="0"/>
        <w:adjustRightInd w:val="0"/>
        <w:jc w:val="both"/>
        <w:rPr>
          <w:iCs/>
          <w:sz w:val="22"/>
          <w:szCs w:val="22"/>
        </w:rPr>
      </w:pPr>
    </w:p>
    <w:p w14:paraId="11568BC3" w14:textId="2F903F33" w:rsidR="0083687B" w:rsidRPr="0083687B" w:rsidRDefault="0083687B">
      <w:pPr>
        <w:widowControl w:val="0"/>
        <w:autoSpaceDE w:val="0"/>
        <w:autoSpaceDN w:val="0"/>
        <w:adjustRightInd w:val="0"/>
        <w:jc w:val="both"/>
        <w:rPr>
          <w:iCs/>
          <w:sz w:val="22"/>
          <w:szCs w:val="22"/>
        </w:rPr>
      </w:pPr>
      <w:r w:rsidRPr="0083687B">
        <w:rPr>
          <w:iCs/>
          <w:sz w:val="22"/>
          <w:szCs w:val="22"/>
        </w:rPr>
        <w:t xml:space="preserve">U kontrolisanoj fazi 3 ispitivanja sa lijekom Humira, kod pacijenata sa poliartikularnim juvenilnim idiopatskim artritisom uzrasta od 4 do 17 godina i sa </w:t>
      </w:r>
      <w:r w:rsidRPr="0083687B">
        <w:rPr>
          <w:sz w:val="22"/>
          <w:szCs w:val="22"/>
        </w:rPr>
        <w:t>artritisom povezanim sa entezitisom</w:t>
      </w:r>
      <w:r w:rsidRPr="0083687B">
        <w:rPr>
          <w:iCs/>
          <w:sz w:val="22"/>
          <w:szCs w:val="22"/>
        </w:rPr>
        <w:t xml:space="preserve"> uzrasta od 6 do 17 godina, povišenje nivoa ALT ≥3 x ULN zabilježeno je kod  6.1 % pacijenata liječenih lijekom Humira i 1.3 % pacijenata koji su uzimali placebo. Uglavnom je povišenje ALT zabilježeno kod pacijenata koji su uzimali kombinaciju </w:t>
      </w:r>
      <w:proofErr w:type="gramStart"/>
      <w:r w:rsidRPr="0083687B">
        <w:rPr>
          <w:iCs/>
          <w:sz w:val="22"/>
          <w:szCs w:val="22"/>
        </w:rPr>
        <w:t>sa</w:t>
      </w:r>
      <w:proofErr w:type="gramEnd"/>
      <w:r w:rsidRPr="0083687B">
        <w:rPr>
          <w:iCs/>
          <w:sz w:val="22"/>
          <w:szCs w:val="22"/>
        </w:rPr>
        <w:t xml:space="preserve"> metotreksatom. Nije zabilježeno povišenje nivoa ALT ≥3 x ULN u isptivanju faze 3 kod pacijenata liječenim lijekom Humira sa poliartikularnim juvenilnim idiopatskim artritisom koji su bili uzrasta od 2 do &lt; 4 godine. </w:t>
      </w:r>
    </w:p>
    <w:p w14:paraId="403C6805" w14:textId="77777777" w:rsidR="0083687B" w:rsidRPr="0083687B" w:rsidRDefault="0083687B">
      <w:pPr>
        <w:widowControl w:val="0"/>
        <w:autoSpaceDE w:val="0"/>
        <w:autoSpaceDN w:val="0"/>
        <w:adjustRightInd w:val="0"/>
        <w:jc w:val="both"/>
        <w:rPr>
          <w:iCs/>
          <w:sz w:val="22"/>
          <w:szCs w:val="22"/>
        </w:rPr>
      </w:pPr>
    </w:p>
    <w:p w14:paraId="686F59C9"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 kontrolisanim ispitivanjima faze 3 sa lijekom Humira, kod </w:t>
      </w:r>
      <w:r w:rsidRPr="0083687B">
        <w:rPr>
          <w:iCs/>
          <w:sz w:val="22"/>
          <w:szCs w:val="22"/>
        </w:rPr>
        <w:t>pacijenata</w:t>
      </w:r>
      <w:r w:rsidRPr="0083687B">
        <w:rPr>
          <w:sz w:val="22"/>
          <w:szCs w:val="22"/>
        </w:rPr>
        <w:t xml:space="preserve"> sa Crohnovom bolešću i ulceroznim kolitisom  sa kontrolnim periodom trajanja od 4 do 52 nedjelje, Povećanje nivoa ALT  ≥3 x ULN zabilježeno je kod  0.9 % </w:t>
      </w:r>
      <w:r w:rsidRPr="0083687B">
        <w:rPr>
          <w:iCs/>
          <w:sz w:val="22"/>
          <w:szCs w:val="22"/>
        </w:rPr>
        <w:t>pacijenata</w:t>
      </w:r>
      <w:r w:rsidRPr="0083687B">
        <w:rPr>
          <w:sz w:val="22"/>
          <w:szCs w:val="22"/>
        </w:rPr>
        <w:t xml:space="preserve"> liječenih lijekom Humira i 0.9 % </w:t>
      </w:r>
      <w:r w:rsidRPr="0083687B">
        <w:rPr>
          <w:iCs/>
          <w:sz w:val="22"/>
          <w:szCs w:val="22"/>
        </w:rPr>
        <w:t>pacijenata</w:t>
      </w:r>
      <w:r w:rsidRPr="0083687B">
        <w:rPr>
          <w:sz w:val="22"/>
          <w:szCs w:val="22"/>
        </w:rPr>
        <w:t xml:space="preserve"> koji su uzimali </w:t>
      </w:r>
      <w:r w:rsidRPr="0083687B">
        <w:rPr>
          <w:sz w:val="22"/>
          <w:szCs w:val="22"/>
        </w:rPr>
        <w:lastRenderedPageBreak/>
        <w:t>placebo.</w:t>
      </w:r>
    </w:p>
    <w:p w14:paraId="12D46949" w14:textId="77777777" w:rsidR="0083687B" w:rsidRPr="0083687B" w:rsidRDefault="0083687B">
      <w:pPr>
        <w:widowControl w:val="0"/>
        <w:autoSpaceDE w:val="0"/>
        <w:autoSpaceDN w:val="0"/>
        <w:adjustRightInd w:val="0"/>
        <w:jc w:val="both"/>
        <w:rPr>
          <w:sz w:val="22"/>
          <w:szCs w:val="22"/>
        </w:rPr>
      </w:pPr>
    </w:p>
    <w:p w14:paraId="79D7D342" w14:textId="4BD54FFC" w:rsidR="0083687B" w:rsidRPr="0083687B" w:rsidRDefault="0083687B">
      <w:pPr>
        <w:widowControl w:val="0"/>
        <w:autoSpaceDE w:val="0"/>
        <w:autoSpaceDN w:val="0"/>
        <w:adjustRightInd w:val="0"/>
        <w:jc w:val="both"/>
        <w:rPr>
          <w:sz w:val="22"/>
          <w:szCs w:val="22"/>
        </w:rPr>
      </w:pPr>
      <w:r w:rsidRPr="0083687B">
        <w:rPr>
          <w:sz w:val="22"/>
          <w:szCs w:val="22"/>
        </w:rPr>
        <w:t xml:space="preserve">U fazi 3 ispitivanja </w:t>
      </w:r>
      <w:proofErr w:type="gramStart"/>
      <w:r w:rsidRPr="0083687B">
        <w:rPr>
          <w:sz w:val="22"/>
          <w:szCs w:val="22"/>
        </w:rPr>
        <w:t>sa</w:t>
      </w:r>
      <w:proofErr w:type="gramEnd"/>
      <w:r w:rsidRPr="0083687B">
        <w:rPr>
          <w:sz w:val="22"/>
          <w:szCs w:val="22"/>
        </w:rPr>
        <w:t xml:space="preserve"> lijekom Humira, kod pedijatrijskih pacijenata sa Chronovom bolesti, kojim se evaluirala efikasnost i bezbjednost dva tjelesnoj težini prilagođena režima doziranja nakon uvodne terapije u trajanju do 52. </w:t>
      </w:r>
      <w:proofErr w:type="gramStart"/>
      <w:r w:rsidRPr="0083687B">
        <w:rPr>
          <w:sz w:val="22"/>
          <w:szCs w:val="22"/>
        </w:rPr>
        <w:t>nedjelje</w:t>
      </w:r>
      <w:proofErr w:type="gramEnd"/>
      <w:r w:rsidRPr="0083687B">
        <w:rPr>
          <w:sz w:val="22"/>
          <w:szCs w:val="22"/>
        </w:rPr>
        <w:t>, povišenje nivoa ALT-a ≥3 x ULN javilo se kod 2.6% (5/192) pacijenata, od kojih su njih četvoro na početku liječenja bili izloženi istovremenoj terapiji imunosupresivima.</w:t>
      </w:r>
    </w:p>
    <w:p w14:paraId="67D07E97" w14:textId="77777777" w:rsidR="0083687B" w:rsidRPr="0083687B" w:rsidRDefault="0083687B">
      <w:pPr>
        <w:widowControl w:val="0"/>
        <w:autoSpaceDE w:val="0"/>
        <w:autoSpaceDN w:val="0"/>
        <w:adjustRightInd w:val="0"/>
        <w:jc w:val="both"/>
        <w:rPr>
          <w:sz w:val="22"/>
          <w:szCs w:val="22"/>
        </w:rPr>
      </w:pPr>
    </w:p>
    <w:p w14:paraId="44954B2F" w14:textId="77777777" w:rsidR="0083687B" w:rsidRPr="0083687B" w:rsidRDefault="0083687B">
      <w:pPr>
        <w:widowControl w:val="0"/>
        <w:autoSpaceDE w:val="0"/>
        <w:autoSpaceDN w:val="0"/>
        <w:adjustRightInd w:val="0"/>
        <w:jc w:val="both"/>
        <w:rPr>
          <w:sz w:val="22"/>
          <w:szCs w:val="22"/>
        </w:rPr>
      </w:pPr>
      <w:r w:rsidRPr="0083687B">
        <w:rPr>
          <w:sz w:val="22"/>
          <w:szCs w:val="22"/>
        </w:rPr>
        <w:t>U kontrolisanim ispitivanjima faze 3 kod pacijenata sa plak psorijazom, tokom kontrolisanog perioda trajanja ispitivanja od 12 do 24 nedjelje, povišenje nivoa ALT ≥ 3 x ULN (</w:t>
      </w:r>
      <w:r w:rsidRPr="0083687B">
        <w:rPr>
          <w:i/>
          <w:sz w:val="22"/>
          <w:szCs w:val="22"/>
        </w:rPr>
        <w:t>upper limit of normal</w:t>
      </w:r>
      <w:r w:rsidRPr="0083687B">
        <w:rPr>
          <w:sz w:val="22"/>
          <w:szCs w:val="22"/>
        </w:rPr>
        <w:t>, gornja granica) javilo se kod 1.8% pacijenata koji su primali lijek Humira i kod 1.8% pacijenata koji su primali placebo.</w:t>
      </w:r>
    </w:p>
    <w:p w14:paraId="2E722C3B" w14:textId="77777777" w:rsidR="0083687B" w:rsidRPr="0083687B" w:rsidRDefault="0083687B">
      <w:pPr>
        <w:widowControl w:val="0"/>
        <w:autoSpaceDE w:val="0"/>
        <w:autoSpaceDN w:val="0"/>
        <w:adjustRightInd w:val="0"/>
        <w:jc w:val="both"/>
        <w:rPr>
          <w:sz w:val="22"/>
          <w:szCs w:val="22"/>
        </w:rPr>
      </w:pPr>
    </w:p>
    <w:p w14:paraId="6D17AB52"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 ispitivanju faze III u kojem se Humira primenjivala kod djece </w:t>
      </w:r>
      <w:proofErr w:type="gramStart"/>
      <w:r w:rsidRPr="0083687B">
        <w:rPr>
          <w:sz w:val="22"/>
          <w:szCs w:val="22"/>
        </w:rPr>
        <w:t>sa</w:t>
      </w:r>
      <w:proofErr w:type="gramEnd"/>
      <w:r w:rsidRPr="0083687B">
        <w:rPr>
          <w:sz w:val="22"/>
          <w:szCs w:val="22"/>
        </w:rPr>
        <w:t xml:space="preserve"> plak psorijazom, nisu primijećena povišenja nivoa ALT-a ≥ 3 x GGN.</w:t>
      </w:r>
    </w:p>
    <w:p w14:paraId="40146B77" w14:textId="77777777" w:rsidR="0083687B" w:rsidRPr="0083687B" w:rsidRDefault="0083687B">
      <w:pPr>
        <w:widowControl w:val="0"/>
        <w:autoSpaceDE w:val="0"/>
        <w:autoSpaceDN w:val="0"/>
        <w:adjustRightInd w:val="0"/>
        <w:jc w:val="both"/>
        <w:rPr>
          <w:sz w:val="22"/>
          <w:szCs w:val="22"/>
        </w:rPr>
      </w:pPr>
    </w:p>
    <w:p w14:paraId="6A6B85AD" w14:textId="30BAE365" w:rsidR="0083687B" w:rsidRPr="0083687B" w:rsidRDefault="0083687B">
      <w:pPr>
        <w:widowControl w:val="0"/>
        <w:autoSpaceDE w:val="0"/>
        <w:autoSpaceDN w:val="0"/>
        <w:adjustRightInd w:val="0"/>
        <w:jc w:val="both"/>
        <w:rPr>
          <w:sz w:val="22"/>
          <w:szCs w:val="22"/>
        </w:rPr>
      </w:pPr>
      <w:r w:rsidRPr="0083687B">
        <w:rPr>
          <w:sz w:val="22"/>
          <w:szCs w:val="22"/>
        </w:rPr>
        <w:t xml:space="preserve">U kontrolisanim ispitivanjima lijeka Humira (početne doze od 80 mg u </w:t>
      </w:r>
      <w:r w:rsidR="007847C2">
        <w:rPr>
          <w:sz w:val="22"/>
          <w:szCs w:val="22"/>
        </w:rPr>
        <w:t>n</w:t>
      </w:r>
      <w:r w:rsidRPr="0083687B">
        <w:rPr>
          <w:sz w:val="22"/>
          <w:szCs w:val="22"/>
        </w:rPr>
        <w:t xml:space="preserve">edjelji 0, a zatim 40 mg svake druge nedjelje, počevši od </w:t>
      </w:r>
      <w:r w:rsidR="007847C2">
        <w:rPr>
          <w:sz w:val="22"/>
          <w:szCs w:val="22"/>
        </w:rPr>
        <w:t>n</w:t>
      </w:r>
      <w:r w:rsidRPr="0083687B">
        <w:rPr>
          <w:sz w:val="22"/>
          <w:szCs w:val="22"/>
        </w:rPr>
        <w:t>edjelje 1) kod odraslih pacijenata sa uveitisom u trajanju do 80 nedjelja, uz medijanu izloženosti od 166.5 dana kod pacijenata liječenih sa lijekom Humira i 105.0 dana kod pacijenata iz kontrolne grupe, povećanja vrijednosti ALT a ≥ 3 x GGN zabilježena su kod 2.4% pacijenata liječenih lijekom Humira i 2.4% pacijenata iz kontrolne grupe.</w:t>
      </w:r>
    </w:p>
    <w:p w14:paraId="39F428B2" w14:textId="77777777" w:rsidR="0083687B" w:rsidRPr="0083687B" w:rsidRDefault="0083687B">
      <w:pPr>
        <w:widowControl w:val="0"/>
        <w:autoSpaceDE w:val="0"/>
        <w:autoSpaceDN w:val="0"/>
        <w:adjustRightInd w:val="0"/>
        <w:jc w:val="both"/>
        <w:rPr>
          <w:sz w:val="22"/>
          <w:szCs w:val="22"/>
        </w:rPr>
      </w:pPr>
    </w:p>
    <w:p w14:paraId="66CA0F40" w14:textId="65CDC697" w:rsidR="0083687B" w:rsidRPr="0083687B" w:rsidRDefault="0083687B">
      <w:pPr>
        <w:widowControl w:val="0"/>
        <w:autoSpaceDE w:val="0"/>
        <w:autoSpaceDN w:val="0"/>
        <w:adjustRightInd w:val="0"/>
        <w:jc w:val="both"/>
        <w:rPr>
          <w:sz w:val="22"/>
          <w:szCs w:val="22"/>
        </w:rPr>
      </w:pPr>
      <w:r w:rsidRPr="0083687B">
        <w:rPr>
          <w:sz w:val="22"/>
          <w:szCs w:val="22"/>
        </w:rPr>
        <w:t xml:space="preserve">U svim indikacijama tokom kliničkih ispitivanja, </w:t>
      </w:r>
      <w:r w:rsidRPr="0083687B">
        <w:rPr>
          <w:iCs/>
          <w:sz w:val="22"/>
          <w:szCs w:val="22"/>
        </w:rPr>
        <w:t>pacijenti</w:t>
      </w:r>
      <w:r w:rsidRPr="0083687B">
        <w:rPr>
          <w:sz w:val="22"/>
          <w:szCs w:val="22"/>
        </w:rPr>
        <w:t xml:space="preserve"> </w:t>
      </w:r>
      <w:proofErr w:type="gramStart"/>
      <w:r w:rsidRPr="0083687B">
        <w:rPr>
          <w:sz w:val="22"/>
          <w:szCs w:val="22"/>
        </w:rPr>
        <w:t>sa</w:t>
      </w:r>
      <w:proofErr w:type="gramEnd"/>
      <w:r w:rsidRPr="0083687B">
        <w:rPr>
          <w:sz w:val="22"/>
          <w:szCs w:val="22"/>
        </w:rPr>
        <w:t xml:space="preserve"> povišenim vrijednostima ALT-a nijesu imali simptome i u većini slučajeva povećanje je bilo prolazno i povuklo se sa nast</w:t>
      </w:r>
      <w:r w:rsidR="007847C2">
        <w:rPr>
          <w:sz w:val="22"/>
          <w:szCs w:val="22"/>
        </w:rPr>
        <w:t>a</w:t>
      </w:r>
      <w:r w:rsidRPr="0083687B">
        <w:rPr>
          <w:sz w:val="22"/>
          <w:szCs w:val="22"/>
        </w:rPr>
        <w:t>vkom liječenja. Tokom postmarketinškog ispitivanja, takođe je bila prijavljena isuficijencija jetre kao i manje težak poremećaj jetre koji može prethoditi insuficijencij</w:t>
      </w:r>
      <w:r w:rsidR="007847C2">
        <w:rPr>
          <w:sz w:val="22"/>
          <w:szCs w:val="22"/>
        </w:rPr>
        <w:t>i</w:t>
      </w:r>
      <w:r w:rsidRPr="0083687B">
        <w:rPr>
          <w:sz w:val="22"/>
          <w:szCs w:val="22"/>
        </w:rPr>
        <w:t xml:space="preserve"> jetre, kao što je hepatitis uključujući autoimuni hepatitis kod pacijenata koji su primali adalimumab.</w:t>
      </w:r>
    </w:p>
    <w:p w14:paraId="70B7FB3D" w14:textId="77777777" w:rsidR="0083687B" w:rsidRPr="0083687B" w:rsidRDefault="0083687B">
      <w:pPr>
        <w:widowControl w:val="0"/>
        <w:autoSpaceDE w:val="0"/>
        <w:autoSpaceDN w:val="0"/>
        <w:adjustRightInd w:val="0"/>
        <w:jc w:val="both"/>
        <w:rPr>
          <w:sz w:val="22"/>
          <w:szCs w:val="22"/>
        </w:rPr>
      </w:pPr>
    </w:p>
    <w:p w14:paraId="5D2E5010"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Istovremeno liječenje azatioprinom/6-merkaptopurinom</w:t>
      </w:r>
    </w:p>
    <w:p w14:paraId="54C26E39" w14:textId="77777777" w:rsidR="0083687B" w:rsidRPr="0083687B" w:rsidRDefault="0083687B">
      <w:pPr>
        <w:widowControl w:val="0"/>
        <w:autoSpaceDE w:val="0"/>
        <w:autoSpaceDN w:val="0"/>
        <w:adjustRightInd w:val="0"/>
        <w:jc w:val="both"/>
        <w:rPr>
          <w:sz w:val="22"/>
          <w:szCs w:val="22"/>
          <w:u w:val="single"/>
        </w:rPr>
      </w:pPr>
    </w:p>
    <w:p w14:paraId="420B5693"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 kliničkim ispitivanjima kod odraslih </w:t>
      </w:r>
      <w:r w:rsidRPr="0083687B">
        <w:rPr>
          <w:iCs/>
          <w:sz w:val="22"/>
          <w:szCs w:val="22"/>
        </w:rPr>
        <w:t>pacijenata</w:t>
      </w:r>
      <w:r w:rsidRPr="0083687B">
        <w:rPr>
          <w:sz w:val="22"/>
          <w:szCs w:val="22"/>
        </w:rPr>
        <w:t xml:space="preserve"> s Crohnovom bolesti, primijećena je veća incidenca neželjenih dejstava vezanih za maligne bolesti i ozbiljne infekcije prilikom liječenja lijekom Humira u kombinaciji </w:t>
      </w:r>
      <w:proofErr w:type="gramStart"/>
      <w:r w:rsidRPr="0083687B">
        <w:rPr>
          <w:sz w:val="22"/>
          <w:szCs w:val="22"/>
        </w:rPr>
        <w:t>sa</w:t>
      </w:r>
      <w:proofErr w:type="gramEnd"/>
      <w:r w:rsidRPr="0083687B">
        <w:rPr>
          <w:sz w:val="22"/>
          <w:szCs w:val="22"/>
        </w:rPr>
        <w:t xml:space="preserve"> azatioprinom/6-merkaptopurinom, nego kod liječenja samo lijekom Humira.</w:t>
      </w:r>
    </w:p>
    <w:p w14:paraId="48052563" w14:textId="77777777" w:rsidR="0083687B" w:rsidRPr="0083687B" w:rsidRDefault="0083687B">
      <w:pPr>
        <w:widowControl w:val="0"/>
        <w:autoSpaceDE w:val="0"/>
        <w:autoSpaceDN w:val="0"/>
        <w:adjustRightInd w:val="0"/>
        <w:jc w:val="both"/>
        <w:rPr>
          <w:sz w:val="22"/>
          <w:szCs w:val="22"/>
        </w:rPr>
      </w:pPr>
    </w:p>
    <w:p w14:paraId="7A04500A" w14:textId="77777777" w:rsidR="0083687B" w:rsidRPr="00786071" w:rsidRDefault="0083687B" w:rsidP="00EB3350">
      <w:pPr>
        <w:spacing w:after="200" w:line="276" w:lineRule="auto"/>
        <w:jc w:val="both"/>
        <w:rPr>
          <w:rFonts w:eastAsia="Calibri"/>
          <w:sz w:val="22"/>
          <w:szCs w:val="22"/>
          <w:u w:val="single"/>
          <w:lang w:val="sr-Latn-RS"/>
        </w:rPr>
      </w:pPr>
      <w:r w:rsidRPr="00786071">
        <w:rPr>
          <w:rFonts w:eastAsia="Calibri"/>
          <w:sz w:val="22"/>
          <w:szCs w:val="22"/>
          <w:u w:val="single"/>
          <w:lang w:val="sr-Latn-RS"/>
        </w:rPr>
        <w:t>Prijavljivanje sumnji na neželjena dejstva</w:t>
      </w:r>
    </w:p>
    <w:p w14:paraId="127F9888" w14:textId="77777777" w:rsidR="0083687B" w:rsidRPr="00786071" w:rsidRDefault="0083687B" w:rsidP="00730D96">
      <w:pPr>
        <w:spacing w:after="200"/>
        <w:jc w:val="both"/>
        <w:rPr>
          <w:rFonts w:eastAsia="Calibri"/>
          <w:sz w:val="22"/>
          <w:szCs w:val="22"/>
          <w:lang w:val="sr-Latn-RS"/>
        </w:rPr>
      </w:pPr>
      <w:r w:rsidRPr="00786071">
        <w:rPr>
          <w:rFonts w:eastAsia="Calibri"/>
          <w:sz w:val="22"/>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 w:val="22"/>
          <w:szCs w:val="22"/>
          <w:lang w:val="sr-Latn-RS"/>
        </w:rPr>
        <w:t>Institutu</w:t>
      </w:r>
      <w:r w:rsidRPr="00786071">
        <w:rPr>
          <w:rFonts w:eastAsia="Calibri"/>
          <w:sz w:val="22"/>
          <w:szCs w:val="22"/>
          <w:lang w:val="sr-Latn-RS"/>
        </w:rPr>
        <w:t xml:space="preserve"> za ljekove i medicinska sredstva</w:t>
      </w:r>
      <w:r>
        <w:rPr>
          <w:rFonts w:eastAsia="Calibri"/>
          <w:sz w:val="22"/>
          <w:szCs w:val="22"/>
          <w:lang w:val="sr-Latn-RS"/>
        </w:rPr>
        <w:t xml:space="preserve"> </w:t>
      </w:r>
      <w:r w:rsidRPr="00786071">
        <w:rPr>
          <w:rFonts w:eastAsia="Calibri"/>
          <w:sz w:val="22"/>
          <w:szCs w:val="22"/>
          <w:lang w:val="sr-Latn-RS"/>
        </w:rPr>
        <w:t>(C</w:t>
      </w:r>
      <w:r>
        <w:rPr>
          <w:rFonts w:eastAsia="Calibri"/>
          <w:sz w:val="22"/>
          <w:szCs w:val="22"/>
          <w:lang w:val="sr-Latn-RS"/>
        </w:rPr>
        <w:t>InMED</w:t>
      </w:r>
      <w:r w:rsidRPr="00786071">
        <w:rPr>
          <w:rFonts w:eastAsia="Calibri"/>
          <w:sz w:val="22"/>
          <w:szCs w:val="22"/>
          <w:lang w:val="sr-Latn-RS"/>
        </w:rPr>
        <w:t>):</w:t>
      </w:r>
    </w:p>
    <w:p w14:paraId="440B477D" w14:textId="77777777" w:rsidR="0083687B" w:rsidRPr="00786071" w:rsidRDefault="0083687B">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7FC25515" w14:textId="77777777" w:rsidR="0083687B" w:rsidRPr="00786071" w:rsidRDefault="0083687B">
      <w:pPr>
        <w:pStyle w:val="NoSpacing"/>
        <w:jc w:val="both"/>
        <w:rPr>
          <w:rFonts w:eastAsia="Calibri"/>
          <w:sz w:val="22"/>
          <w:szCs w:val="22"/>
          <w:lang w:val="sr-Latn-RS"/>
        </w:rPr>
      </w:pPr>
      <w:r w:rsidRPr="00786071">
        <w:rPr>
          <w:rFonts w:eastAsia="Calibri"/>
          <w:sz w:val="22"/>
          <w:szCs w:val="22"/>
          <w:lang w:val="sr-Latn-RS"/>
        </w:rPr>
        <w:t>Odjeljenje za farmakovigilancu</w:t>
      </w:r>
    </w:p>
    <w:p w14:paraId="5D46FC31" w14:textId="77777777" w:rsidR="0083687B" w:rsidRPr="00786071" w:rsidRDefault="0083687B">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0745BD7E" w14:textId="77777777" w:rsidR="0083687B" w:rsidRPr="00786071" w:rsidRDefault="0083687B" w:rsidP="00EB3350">
      <w:pPr>
        <w:pStyle w:val="NoSpacing"/>
        <w:jc w:val="both"/>
        <w:rPr>
          <w:rFonts w:eastAsia="Calibri"/>
          <w:sz w:val="22"/>
          <w:szCs w:val="22"/>
          <w:lang w:val="sr-Latn-RS"/>
        </w:rPr>
      </w:pPr>
    </w:p>
    <w:p w14:paraId="19834E83" w14:textId="77777777" w:rsidR="0083687B" w:rsidRPr="00786071" w:rsidRDefault="0083687B" w:rsidP="00730D96">
      <w:pPr>
        <w:pStyle w:val="NoSpacing"/>
        <w:jc w:val="both"/>
        <w:rPr>
          <w:rFonts w:eastAsia="Calibri"/>
          <w:sz w:val="22"/>
          <w:szCs w:val="22"/>
          <w:lang w:val="sr-Latn-RS"/>
        </w:rPr>
      </w:pPr>
      <w:r w:rsidRPr="00786071">
        <w:rPr>
          <w:rFonts w:eastAsia="Calibri"/>
          <w:sz w:val="22"/>
          <w:szCs w:val="22"/>
          <w:lang w:val="sr-Latn-RS"/>
        </w:rPr>
        <w:t>tel: +382 (0) 20 310 280</w:t>
      </w:r>
    </w:p>
    <w:p w14:paraId="5D67B2DB" w14:textId="77777777" w:rsidR="0083687B" w:rsidRPr="00786071" w:rsidRDefault="0083687B">
      <w:pPr>
        <w:pStyle w:val="NoSpacing"/>
        <w:jc w:val="both"/>
        <w:rPr>
          <w:rFonts w:eastAsia="Calibri"/>
          <w:sz w:val="22"/>
          <w:szCs w:val="22"/>
          <w:lang w:val="sr-Latn-RS"/>
        </w:rPr>
      </w:pPr>
      <w:r w:rsidRPr="00786071">
        <w:rPr>
          <w:rFonts w:eastAsia="Calibri"/>
          <w:sz w:val="22"/>
          <w:szCs w:val="22"/>
          <w:lang w:val="sr-Latn-RS"/>
        </w:rPr>
        <w:t>fax: +382 (0) 20 310 581</w:t>
      </w:r>
    </w:p>
    <w:p w14:paraId="6E456F65" w14:textId="77777777" w:rsidR="0083687B" w:rsidRPr="00786071" w:rsidRDefault="00595D54">
      <w:pPr>
        <w:pStyle w:val="NoSpacing"/>
        <w:jc w:val="both"/>
        <w:rPr>
          <w:rFonts w:eastAsia="Calibri"/>
          <w:sz w:val="22"/>
          <w:szCs w:val="22"/>
          <w:lang w:val="sr-Latn-RS"/>
        </w:rPr>
      </w:pPr>
      <w:hyperlink r:id="rId8" w:history="1">
        <w:r w:rsidR="0083687B" w:rsidRPr="00B664A0">
          <w:rPr>
            <w:rStyle w:val="Hyperlink"/>
            <w:rFonts w:eastAsia="Calibri"/>
            <w:sz w:val="22"/>
            <w:szCs w:val="22"/>
            <w:lang w:val="sr-Latn-RS"/>
          </w:rPr>
          <w:t>www.cinmed.me</w:t>
        </w:r>
      </w:hyperlink>
    </w:p>
    <w:p w14:paraId="78CF6ED9" w14:textId="77777777" w:rsidR="0083687B" w:rsidRPr="00786071" w:rsidRDefault="00595D54">
      <w:pPr>
        <w:pStyle w:val="NoSpacing"/>
        <w:jc w:val="both"/>
        <w:rPr>
          <w:rFonts w:eastAsia="Calibri"/>
          <w:color w:val="0000FF"/>
          <w:sz w:val="22"/>
          <w:szCs w:val="22"/>
          <w:u w:val="single"/>
          <w:lang w:val="sr-Latn-RS"/>
        </w:rPr>
      </w:pPr>
      <w:hyperlink r:id="rId9" w:history="1">
        <w:r w:rsidR="0083687B" w:rsidRPr="00B664A0">
          <w:rPr>
            <w:rStyle w:val="Hyperlink"/>
            <w:rFonts w:eastAsia="Calibri"/>
            <w:sz w:val="22"/>
            <w:szCs w:val="22"/>
            <w:lang w:val="sr-Latn-RS"/>
          </w:rPr>
          <w:t>nezeljenadejstva@cinmed.me</w:t>
        </w:r>
      </w:hyperlink>
    </w:p>
    <w:p w14:paraId="48DC7018" w14:textId="77777777" w:rsidR="0083687B" w:rsidRPr="00786071" w:rsidRDefault="0083687B">
      <w:pPr>
        <w:pStyle w:val="NoSpacing"/>
        <w:jc w:val="both"/>
        <w:rPr>
          <w:rFonts w:eastAsia="Calibri"/>
          <w:sz w:val="22"/>
          <w:szCs w:val="22"/>
          <w:lang w:val="sr-Latn-RS"/>
        </w:rPr>
      </w:pPr>
      <w:r w:rsidRPr="00786071">
        <w:rPr>
          <w:rFonts w:eastAsia="Calibri"/>
          <w:sz w:val="22"/>
          <w:szCs w:val="22"/>
          <w:lang w:val="sr-Latn-RS"/>
        </w:rPr>
        <w:t>putem IS zdravstvene zaštite</w:t>
      </w:r>
    </w:p>
    <w:p w14:paraId="394C4FE3" w14:textId="77777777" w:rsidR="002541B7" w:rsidRDefault="002541B7">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3FA17EA6" w14:textId="77777777" w:rsidR="002541B7" w:rsidRDefault="002541B7" w:rsidP="00EB3350">
      <w:pPr>
        <w:pStyle w:val="NoSpacing"/>
        <w:jc w:val="both"/>
        <w:rPr>
          <w:rFonts w:eastAsia="Calibri"/>
          <w:sz w:val="22"/>
          <w:szCs w:val="22"/>
          <w:lang w:val="sr-Latn-RS"/>
        </w:rPr>
      </w:pPr>
    </w:p>
    <w:p w14:paraId="31846F36" w14:textId="77777777" w:rsidR="002541B7" w:rsidRDefault="002541B7" w:rsidP="00EB3350">
      <w:pPr>
        <w:tabs>
          <w:tab w:val="left" w:pos="540"/>
          <w:tab w:val="left" w:pos="569"/>
        </w:tabs>
        <w:jc w:val="both"/>
        <w:rPr>
          <w:b/>
          <w:bCs/>
          <w:sz w:val="22"/>
          <w:szCs w:val="22"/>
        </w:rPr>
      </w:pPr>
      <w:r w:rsidRPr="007F661E">
        <w:rPr>
          <w:b/>
          <w:bCs/>
          <w:noProof/>
          <w:sz w:val="22"/>
          <w:szCs w:val="22"/>
        </w:rPr>
        <w:drawing>
          <wp:inline distT="0" distB="0" distL="0" distR="0" wp14:anchorId="40AB3A57" wp14:editId="4903A6C6">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BC52CE6" w14:textId="77777777" w:rsidR="0083687B" w:rsidRPr="00786071" w:rsidRDefault="0083687B" w:rsidP="00EB3350">
      <w:pPr>
        <w:tabs>
          <w:tab w:val="left" w:pos="540"/>
          <w:tab w:val="left" w:pos="569"/>
        </w:tabs>
        <w:jc w:val="both"/>
        <w:rPr>
          <w:b/>
          <w:bCs/>
          <w:sz w:val="22"/>
          <w:szCs w:val="22"/>
        </w:rPr>
      </w:pPr>
    </w:p>
    <w:p w14:paraId="190AF630" w14:textId="77777777" w:rsidR="0083687B" w:rsidRPr="0083687B" w:rsidRDefault="0083687B" w:rsidP="00730D96">
      <w:pPr>
        <w:tabs>
          <w:tab w:val="left" w:pos="540"/>
          <w:tab w:val="left" w:pos="569"/>
        </w:tabs>
        <w:jc w:val="both"/>
        <w:rPr>
          <w:b/>
          <w:bCs/>
          <w:sz w:val="22"/>
          <w:szCs w:val="22"/>
          <w:lang w:val="sr-Latn-ME"/>
        </w:rPr>
      </w:pPr>
    </w:p>
    <w:p w14:paraId="5493405D"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4.9. </w:t>
      </w:r>
      <w:r w:rsidRPr="0083687B">
        <w:rPr>
          <w:b/>
          <w:bCs/>
          <w:sz w:val="22"/>
          <w:szCs w:val="22"/>
          <w:lang w:val="sr-Latn-ME"/>
        </w:rPr>
        <w:tab/>
        <w:t xml:space="preserve">Predoziranje </w:t>
      </w:r>
    </w:p>
    <w:p w14:paraId="30192114" w14:textId="77777777" w:rsidR="0083687B" w:rsidRPr="0083687B" w:rsidRDefault="0083687B">
      <w:pPr>
        <w:tabs>
          <w:tab w:val="left" w:pos="540"/>
          <w:tab w:val="left" w:pos="569"/>
        </w:tabs>
        <w:jc w:val="both"/>
        <w:rPr>
          <w:b/>
          <w:bCs/>
          <w:sz w:val="22"/>
          <w:szCs w:val="22"/>
          <w:lang w:val="sr-Latn-ME"/>
        </w:rPr>
      </w:pPr>
    </w:p>
    <w:p w14:paraId="4F16C851"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 kliničkim ispitivanjima nisu primjećene toksične reakcije koje bi ograničavale dozu. Najveća ispitivana doza bila je višekratna intravenska doza </w:t>
      </w:r>
      <w:proofErr w:type="gramStart"/>
      <w:r w:rsidRPr="0083687B">
        <w:rPr>
          <w:sz w:val="22"/>
          <w:szCs w:val="22"/>
        </w:rPr>
        <w:t>od</w:t>
      </w:r>
      <w:proofErr w:type="gramEnd"/>
      <w:r w:rsidRPr="0083687B">
        <w:rPr>
          <w:sz w:val="22"/>
          <w:szCs w:val="22"/>
        </w:rPr>
        <w:t xml:space="preserve"> 10 mg/kg, koja je oko 15 puta veća od preporučene doze.</w:t>
      </w:r>
    </w:p>
    <w:p w14:paraId="380FB347" w14:textId="77777777" w:rsidR="0083687B" w:rsidRPr="0083687B" w:rsidRDefault="0083687B">
      <w:pPr>
        <w:tabs>
          <w:tab w:val="left" w:pos="540"/>
          <w:tab w:val="left" w:pos="569"/>
        </w:tabs>
        <w:jc w:val="both"/>
        <w:rPr>
          <w:b/>
          <w:bCs/>
          <w:sz w:val="22"/>
          <w:szCs w:val="22"/>
          <w:lang w:val="sr-Latn-ME"/>
        </w:rPr>
      </w:pPr>
    </w:p>
    <w:p w14:paraId="4D5D7B31" w14:textId="77777777" w:rsidR="0083687B" w:rsidRPr="0083687B" w:rsidRDefault="0083687B">
      <w:pPr>
        <w:tabs>
          <w:tab w:val="left" w:pos="540"/>
          <w:tab w:val="left" w:pos="569"/>
        </w:tabs>
        <w:jc w:val="both"/>
        <w:rPr>
          <w:b/>
          <w:bCs/>
          <w:sz w:val="22"/>
          <w:szCs w:val="22"/>
          <w:lang w:val="sr-Latn-ME"/>
        </w:rPr>
      </w:pPr>
    </w:p>
    <w:p w14:paraId="164BDCD2"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5. </w:t>
      </w:r>
      <w:r w:rsidRPr="0083687B">
        <w:rPr>
          <w:b/>
          <w:bCs/>
          <w:sz w:val="22"/>
          <w:szCs w:val="22"/>
          <w:lang w:val="sr-Latn-ME"/>
        </w:rPr>
        <w:tab/>
        <w:t>FARMAKOLOŠKI PODACI</w:t>
      </w:r>
    </w:p>
    <w:p w14:paraId="77632BD8" w14:textId="77777777" w:rsidR="0083687B" w:rsidRPr="0083687B" w:rsidRDefault="0083687B">
      <w:pPr>
        <w:tabs>
          <w:tab w:val="left" w:pos="540"/>
          <w:tab w:val="left" w:pos="569"/>
        </w:tabs>
        <w:jc w:val="both"/>
        <w:rPr>
          <w:b/>
          <w:bCs/>
          <w:sz w:val="22"/>
          <w:szCs w:val="22"/>
          <w:lang w:val="sr-Latn-ME"/>
        </w:rPr>
      </w:pPr>
    </w:p>
    <w:p w14:paraId="3295E937"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5.1. </w:t>
      </w:r>
      <w:r w:rsidRPr="0083687B">
        <w:rPr>
          <w:b/>
          <w:bCs/>
          <w:sz w:val="22"/>
          <w:szCs w:val="22"/>
          <w:lang w:val="sr-Latn-ME"/>
        </w:rPr>
        <w:tab/>
        <w:t>Farmakodinamski podaci</w:t>
      </w:r>
    </w:p>
    <w:p w14:paraId="3C20C49D" w14:textId="77777777" w:rsidR="0083687B" w:rsidRPr="0083687B" w:rsidRDefault="0083687B">
      <w:pPr>
        <w:tabs>
          <w:tab w:val="left" w:pos="540"/>
          <w:tab w:val="left" w:pos="569"/>
        </w:tabs>
        <w:jc w:val="both"/>
        <w:rPr>
          <w:b/>
          <w:bCs/>
          <w:sz w:val="22"/>
          <w:szCs w:val="22"/>
          <w:lang w:val="sr-Latn-ME"/>
        </w:rPr>
      </w:pPr>
    </w:p>
    <w:p w14:paraId="50238883" w14:textId="77777777" w:rsidR="0083687B" w:rsidRPr="0083687B" w:rsidRDefault="0083687B">
      <w:pPr>
        <w:tabs>
          <w:tab w:val="left" w:pos="540"/>
          <w:tab w:val="left" w:pos="569"/>
        </w:tabs>
        <w:jc w:val="both"/>
        <w:rPr>
          <w:bCs/>
          <w:sz w:val="22"/>
          <w:szCs w:val="22"/>
          <w:lang w:val="sr-Latn-ME"/>
        </w:rPr>
      </w:pPr>
      <w:r w:rsidRPr="00D710CF">
        <w:rPr>
          <w:bCs/>
          <w:sz w:val="22"/>
          <w:szCs w:val="22"/>
          <w:lang w:val="sr-Latn-ME"/>
        </w:rPr>
        <w:t>Farmakoterapijska grupa: selektivni imunosupresivni ljekovi, inhibitori faktora nekroze tumora alfa (TNF α)</w:t>
      </w:r>
      <w:r w:rsidRPr="00174FA4">
        <w:rPr>
          <w:bCs/>
          <w:sz w:val="22"/>
          <w:szCs w:val="22"/>
          <w:lang w:val="sr-Latn-ME"/>
        </w:rPr>
        <w:t>.</w:t>
      </w:r>
    </w:p>
    <w:p w14:paraId="7E38DC62" w14:textId="77777777" w:rsidR="0083687B" w:rsidRPr="0083687B" w:rsidRDefault="0083687B">
      <w:pPr>
        <w:tabs>
          <w:tab w:val="left" w:pos="540"/>
          <w:tab w:val="left" w:pos="569"/>
        </w:tabs>
        <w:jc w:val="both"/>
        <w:rPr>
          <w:bCs/>
          <w:sz w:val="22"/>
          <w:szCs w:val="22"/>
          <w:lang w:val="sr-Latn-ME"/>
        </w:rPr>
      </w:pPr>
    </w:p>
    <w:p w14:paraId="666B90CA" w14:textId="77777777" w:rsidR="0083687B" w:rsidRPr="0083687B" w:rsidRDefault="0083687B">
      <w:pPr>
        <w:tabs>
          <w:tab w:val="left" w:pos="540"/>
          <w:tab w:val="left" w:pos="569"/>
        </w:tabs>
        <w:jc w:val="both"/>
        <w:rPr>
          <w:bCs/>
          <w:sz w:val="22"/>
          <w:szCs w:val="22"/>
          <w:lang w:val="sr-Latn-ME"/>
        </w:rPr>
      </w:pPr>
      <w:r w:rsidRPr="0083687B">
        <w:rPr>
          <w:bCs/>
          <w:sz w:val="22"/>
          <w:szCs w:val="22"/>
          <w:lang w:val="sr-Latn-ME"/>
        </w:rPr>
        <w:t>ATC kod: L04AB04</w:t>
      </w:r>
    </w:p>
    <w:p w14:paraId="479E7285" w14:textId="77777777" w:rsidR="0083687B" w:rsidRPr="0083687B" w:rsidRDefault="0083687B">
      <w:pPr>
        <w:tabs>
          <w:tab w:val="left" w:pos="540"/>
          <w:tab w:val="left" w:pos="569"/>
        </w:tabs>
        <w:jc w:val="both"/>
        <w:rPr>
          <w:b/>
          <w:bCs/>
          <w:sz w:val="22"/>
          <w:szCs w:val="22"/>
          <w:lang w:val="sr-Latn-ME"/>
        </w:rPr>
      </w:pPr>
    </w:p>
    <w:p w14:paraId="249C29B1" w14:textId="77777777" w:rsidR="0083687B" w:rsidRPr="0083687B" w:rsidRDefault="0083687B">
      <w:pPr>
        <w:widowControl w:val="0"/>
        <w:autoSpaceDE w:val="0"/>
        <w:autoSpaceDN w:val="0"/>
        <w:adjustRightInd w:val="0"/>
        <w:ind w:left="567" w:hanging="567"/>
        <w:jc w:val="both"/>
        <w:rPr>
          <w:sz w:val="22"/>
          <w:szCs w:val="22"/>
          <w:u w:val="single"/>
        </w:rPr>
      </w:pPr>
      <w:r w:rsidRPr="0083687B">
        <w:rPr>
          <w:sz w:val="22"/>
          <w:szCs w:val="22"/>
          <w:u w:val="single"/>
        </w:rPr>
        <w:t>Mehanizam djelovanja</w:t>
      </w:r>
    </w:p>
    <w:p w14:paraId="15F828D2" w14:textId="77777777" w:rsidR="0083687B" w:rsidRPr="0083687B" w:rsidRDefault="0083687B">
      <w:pPr>
        <w:widowControl w:val="0"/>
        <w:autoSpaceDE w:val="0"/>
        <w:autoSpaceDN w:val="0"/>
        <w:adjustRightInd w:val="0"/>
        <w:ind w:left="567" w:hanging="567"/>
        <w:jc w:val="both"/>
        <w:rPr>
          <w:sz w:val="22"/>
          <w:szCs w:val="22"/>
          <w:u w:val="single"/>
        </w:rPr>
      </w:pPr>
    </w:p>
    <w:p w14:paraId="6C42B8A2"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Adalimumab se specifično veže za TNF (faktor tumorske nekroze) i neutralizuje biološku funkciju TNF-a blokirajući njegovu interakciju </w:t>
      </w:r>
      <w:proofErr w:type="gramStart"/>
      <w:r w:rsidRPr="0083687B">
        <w:rPr>
          <w:sz w:val="22"/>
          <w:szCs w:val="22"/>
        </w:rPr>
        <w:t>sa</w:t>
      </w:r>
      <w:proofErr w:type="gramEnd"/>
      <w:r w:rsidRPr="0083687B">
        <w:rPr>
          <w:sz w:val="22"/>
          <w:szCs w:val="22"/>
        </w:rPr>
        <w:t xml:space="preserve"> površinskim ćelijskim TNF-receptorima p55 i p75.</w:t>
      </w:r>
    </w:p>
    <w:p w14:paraId="56B20F78" w14:textId="77777777" w:rsidR="0083687B" w:rsidRPr="0083687B" w:rsidRDefault="0083687B">
      <w:pPr>
        <w:widowControl w:val="0"/>
        <w:autoSpaceDE w:val="0"/>
        <w:autoSpaceDN w:val="0"/>
        <w:adjustRightInd w:val="0"/>
        <w:jc w:val="both"/>
        <w:rPr>
          <w:sz w:val="22"/>
          <w:szCs w:val="22"/>
        </w:rPr>
      </w:pPr>
    </w:p>
    <w:p w14:paraId="080848BC" w14:textId="77777777" w:rsidR="0083687B" w:rsidRPr="0083687B" w:rsidRDefault="0083687B">
      <w:pPr>
        <w:widowControl w:val="0"/>
        <w:autoSpaceDE w:val="0"/>
        <w:autoSpaceDN w:val="0"/>
        <w:adjustRightInd w:val="0"/>
        <w:jc w:val="both"/>
        <w:rPr>
          <w:sz w:val="22"/>
          <w:szCs w:val="22"/>
        </w:rPr>
      </w:pPr>
      <w:r w:rsidRPr="0083687B">
        <w:rPr>
          <w:sz w:val="22"/>
          <w:szCs w:val="22"/>
        </w:rPr>
        <w:t>Adalimumab takođe modifikuje biološke odgovore koje indukuje ili reguliše TNF, uključujući promjene u nivoima adhezijskih molekula koje su odgovorne za migraciju leukocita (ELAM-1, VCAM-1 i ICAM-1 sa IC</w:t>
      </w:r>
      <w:r w:rsidRPr="0083687B">
        <w:rPr>
          <w:position w:val="-8"/>
          <w:sz w:val="22"/>
          <w:szCs w:val="22"/>
          <w:vertAlign w:val="subscript"/>
        </w:rPr>
        <w:t>50</w:t>
      </w:r>
      <w:r w:rsidRPr="0083687B">
        <w:rPr>
          <w:sz w:val="22"/>
          <w:szCs w:val="22"/>
        </w:rPr>
        <w:t xml:space="preserve"> od 0</w:t>
      </w:r>
      <w:proofErr w:type="gramStart"/>
      <w:r w:rsidRPr="0083687B">
        <w:rPr>
          <w:sz w:val="22"/>
          <w:szCs w:val="22"/>
        </w:rPr>
        <w:t>,1</w:t>
      </w:r>
      <w:proofErr w:type="gramEnd"/>
      <w:r w:rsidRPr="0083687B">
        <w:rPr>
          <w:sz w:val="22"/>
          <w:szCs w:val="22"/>
        </w:rPr>
        <w:t>-0,2 nM).</w:t>
      </w:r>
    </w:p>
    <w:p w14:paraId="40DB1B7B" w14:textId="77777777" w:rsidR="0083687B" w:rsidRPr="0083687B" w:rsidRDefault="0083687B">
      <w:pPr>
        <w:widowControl w:val="0"/>
        <w:autoSpaceDE w:val="0"/>
        <w:autoSpaceDN w:val="0"/>
        <w:adjustRightInd w:val="0"/>
        <w:jc w:val="both"/>
        <w:rPr>
          <w:sz w:val="22"/>
          <w:szCs w:val="22"/>
        </w:rPr>
      </w:pPr>
    </w:p>
    <w:p w14:paraId="30BA0697"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Farmakodinamski efekti</w:t>
      </w:r>
    </w:p>
    <w:p w14:paraId="6B9B9E94" w14:textId="77777777" w:rsidR="0083687B" w:rsidRPr="0083687B" w:rsidRDefault="0083687B">
      <w:pPr>
        <w:widowControl w:val="0"/>
        <w:autoSpaceDE w:val="0"/>
        <w:autoSpaceDN w:val="0"/>
        <w:adjustRightInd w:val="0"/>
        <w:jc w:val="both"/>
        <w:rPr>
          <w:sz w:val="22"/>
          <w:szCs w:val="22"/>
          <w:u w:val="single"/>
        </w:rPr>
      </w:pPr>
    </w:p>
    <w:p w14:paraId="4C1F77CB"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Nakon liječenja lijekom Humira kod pacijenata </w:t>
      </w:r>
      <w:proofErr w:type="gramStart"/>
      <w:r w:rsidRPr="0083687B">
        <w:rPr>
          <w:sz w:val="22"/>
          <w:szCs w:val="22"/>
        </w:rPr>
        <w:t>sa</w:t>
      </w:r>
      <w:proofErr w:type="gramEnd"/>
      <w:r w:rsidRPr="0083687B">
        <w:rPr>
          <w:sz w:val="22"/>
          <w:szCs w:val="22"/>
        </w:rPr>
        <w:t xml:space="preserve"> reumatoidnim artritisom primijećeno je naglo snižavanje nivoa reaktanata akutne faze upale (C-reaktivni protein [CRP] i brzina sedimentacije eritrocita [ESR]) i serumskih citokina (IL-6) u poređenju sa početnim vrijednostima. Serumske vrijednosti matriksnih metaloproteinaza (MMP-1 i MMP-3) koje uzrokuju preoblikovanje tkiva odgovorno za uništavanje hrskavice, takođe su se smanjile nakon primanja lijeka Humira. Pacijenti liječeni lijekom Humira obično pokazuju poboljšanje hematoloških znakova hronične upale.</w:t>
      </w:r>
    </w:p>
    <w:p w14:paraId="6E439377" w14:textId="77777777" w:rsidR="0083687B" w:rsidRPr="0083687B" w:rsidRDefault="0083687B">
      <w:pPr>
        <w:widowControl w:val="0"/>
        <w:autoSpaceDE w:val="0"/>
        <w:autoSpaceDN w:val="0"/>
        <w:adjustRightInd w:val="0"/>
        <w:jc w:val="both"/>
        <w:rPr>
          <w:sz w:val="22"/>
          <w:szCs w:val="22"/>
        </w:rPr>
      </w:pPr>
    </w:p>
    <w:p w14:paraId="317D2B93"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Kod pacijenata </w:t>
      </w:r>
      <w:proofErr w:type="gramStart"/>
      <w:r w:rsidRPr="0083687B">
        <w:rPr>
          <w:sz w:val="22"/>
          <w:szCs w:val="22"/>
        </w:rPr>
        <w:t>sa</w:t>
      </w:r>
      <w:proofErr w:type="gramEnd"/>
      <w:r w:rsidRPr="0083687B">
        <w:rPr>
          <w:sz w:val="22"/>
          <w:szCs w:val="22"/>
        </w:rPr>
        <w:t xml:space="preserve"> poliartikularnim juvenilnim idiopatskim artritisom, Crohn-ovom bolešću i ulceroznim kolitisom i gnojnim hidradenitisom primijećeno je naglo smanjenje nivoa CRP-a nakon liječenja lijekom Humira. Kod pacijenata </w:t>
      </w:r>
      <w:proofErr w:type="gramStart"/>
      <w:r w:rsidRPr="0083687B">
        <w:rPr>
          <w:sz w:val="22"/>
          <w:szCs w:val="22"/>
        </w:rPr>
        <w:t>sa</w:t>
      </w:r>
      <w:proofErr w:type="gramEnd"/>
      <w:r w:rsidRPr="0083687B">
        <w:rPr>
          <w:sz w:val="22"/>
          <w:szCs w:val="22"/>
        </w:rPr>
        <w:t xml:space="preserve"> Crohn-ovom bolešću, primijećeno je smanjenje broja ćelija u debelom crijevu koje ispoljavaju markere upale, uključujući i značajno sniženje ekspresije TNFα. Endoskopske studije intestinalne mukoze pokazale su znakove zarastanja mukoze kod pacijenata liječenih adalimumabom.</w:t>
      </w:r>
    </w:p>
    <w:p w14:paraId="29FD7D3F" w14:textId="77777777" w:rsidR="0083687B" w:rsidRPr="0083687B" w:rsidRDefault="0083687B">
      <w:pPr>
        <w:widowControl w:val="0"/>
        <w:autoSpaceDE w:val="0"/>
        <w:autoSpaceDN w:val="0"/>
        <w:adjustRightInd w:val="0"/>
        <w:jc w:val="both"/>
        <w:rPr>
          <w:sz w:val="22"/>
          <w:szCs w:val="22"/>
        </w:rPr>
      </w:pPr>
    </w:p>
    <w:p w14:paraId="7CBAA15D"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Klinička efikasnost i bezbjednost</w:t>
      </w:r>
    </w:p>
    <w:p w14:paraId="6DA92C09" w14:textId="0B776148" w:rsidR="0083687B" w:rsidRPr="0083687B" w:rsidRDefault="0083687B">
      <w:pPr>
        <w:widowControl w:val="0"/>
        <w:tabs>
          <w:tab w:val="left" w:pos="6542"/>
          <w:tab w:val="left" w:pos="8942"/>
        </w:tabs>
        <w:autoSpaceDE w:val="0"/>
        <w:autoSpaceDN w:val="0"/>
        <w:adjustRightInd w:val="0"/>
        <w:jc w:val="both"/>
        <w:rPr>
          <w:sz w:val="22"/>
          <w:szCs w:val="22"/>
        </w:rPr>
      </w:pPr>
      <w:r w:rsidRPr="0083687B">
        <w:rPr>
          <w:b/>
          <w:sz w:val="22"/>
          <w:szCs w:val="22"/>
        </w:rPr>
        <w:tab/>
      </w:r>
    </w:p>
    <w:p w14:paraId="0E0B3854" w14:textId="77777777" w:rsidR="0083687B" w:rsidRPr="0083687B" w:rsidRDefault="0083687B">
      <w:pPr>
        <w:widowControl w:val="0"/>
        <w:autoSpaceDE w:val="0"/>
        <w:autoSpaceDN w:val="0"/>
        <w:adjustRightInd w:val="0"/>
        <w:jc w:val="both"/>
        <w:rPr>
          <w:i/>
          <w:sz w:val="22"/>
          <w:szCs w:val="22"/>
        </w:rPr>
      </w:pPr>
      <w:r w:rsidRPr="0083687B">
        <w:rPr>
          <w:i/>
          <w:sz w:val="22"/>
          <w:szCs w:val="22"/>
        </w:rPr>
        <w:t xml:space="preserve">Odrasli </w:t>
      </w:r>
      <w:proofErr w:type="gramStart"/>
      <w:r w:rsidRPr="0083687B">
        <w:rPr>
          <w:i/>
          <w:sz w:val="22"/>
          <w:szCs w:val="22"/>
        </w:rPr>
        <w:t>sa</w:t>
      </w:r>
      <w:proofErr w:type="gramEnd"/>
      <w:r w:rsidRPr="0083687B">
        <w:rPr>
          <w:i/>
          <w:sz w:val="22"/>
          <w:szCs w:val="22"/>
        </w:rPr>
        <w:t xml:space="preserve"> reumatoidnim artritisom</w:t>
      </w:r>
    </w:p>
    <w:p w14:paraId="5F7CA716" w14:textId="77777777" w:rsidR="0083687B" w:rsidRPr="0083687B" w:rsidRDefault="0083687B">
      <w:pPr>
        <w:widowControl w:val="0"/>
        <w:autoSpaceDE w:val="0"/>
        <w:autoSpaceDN w:val="0"/>
        <w:adjustRightInd w:val="0"/>
        <w:jc w:val="both"/>
        <w:rPr>
          <w:sz w:val="22"/>
          <w:szCs w:val="22"/>
          <w:u w:val="single"/>
        </w:rPr>
      </w:pPr>
    </w:p>
    <w:p w14:paraId="4C22D627"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Efikasnost lijeka Humira ispitivana je kod više </w:t>
      </w:r>
      <w:proofErr w:type="gramStart"/>
      <w:r w:rsidRPr="0083687B">
        <w:rPr>
          <w:sz w:val="22"/>
          <w:szCs w:val="22"/>
        </w:rPr>
        <w:t>od</w:t>
      </w:r>
      <w:proofErr w:type="gramEnd"/>
      <w:r w:rsidRPr="0083687B">
        <w:rPr>
          <w:sz w:val="22"/>
          <w:szCs w:val="22"/>
        </w:rPr>
        <w:t xml:space="preserve"> 3.000 pacijenata u svim kliničkim ispitivanjima reumatoidnog artritisa (RA). Efikasnost i bezbjednost lijeka Humira u liječenju reumatoidnog artritisa procjenjivane su u pet randomizovanih, dvostruko slijepih, </w:t>
      </w:r>
      <w:proofErr w:type="gramStart"/>
      <w:r w:rsidRPr="0083687B">
        <w:rPr>
          <w:sz w:val="22"/>
          <w:szCs w:val="22"/>
        </w:rPr>
        <w:t>dobro</w:t>
      </w:r>
      <w:proofErr w:type="gramEnd"/>
      <w:r w:rsidRPr="0083687B">
        <w:rPr>
          <w:sz w:val="22"/>
          <w:szCs w:val="22"/>
        </w:rPr>
        <w:t xml:space="preserve"> kontrolisanih ispitivanja.</w:t>
      </w:r>
    </w:p>
    <w:p w14:paraId="6F7E63DE"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Neki su pacijenti liječeni kroz period i do 120 mjeseci. </w:t>
      </w:r>
    </w:p>
    <w:p w14:paraId="5ECA2359" w14:textId="77777777" w:rsidR="0083687B" w:rsidRPr="0083687B" w:rsidRDefault="0083687B">
      <w:pPr>
        <w:widowControl w:val="0"/>
        <w:autoSpaceDE w:val="0"/>
        <w:autoSpaceDN w:val="0"/>
        <w:adjustRightInd w:val="0"/>
        <w:jc w:val="both"/>
        <w:rPr>
          <w:sz w:val="22"/>
          <w:szCs w:val="22"/>
        </w:rPr>
      </w:pPr>
    </w:p>
    <w:p w14:paraId="0BBAF629" w14:textId="77777777" w:rsidR="0083687B" w:rsidRPr="0083687B" w:rsidRDefault="0083687B">
      <w:pPr>
        <w:widowControl w:val="0"/>
        <w:autoSpaceDE w:val="0"/>
        <w:autoSpaceDN w:val="0"/>
        <w:adjustRightInd w:val="0"/>
        <w:jc w:val="both"/>
        <w:rPr>
          <w:sz w:val="22"/>
          <w:szCs w:val="22"/>
        </w:rPr>
      </w:pPr>
      <w:r w:rsidRPr="0083687B">
        <w:rPr>
          <w:sz w:val="22"/>
          <w:szCs w:val="22"/>
        </w:rPr>
        <w:t>RA ispitivanje I obuhvatilo je 271 pacijenta sa umjereno teškim do teškim aktivnim reumatoidnim artritisom u uzrastu od 18 godina i starijih kod kojih prethodna terapija barem jednim antireumatskim lijekom koji modifikuje tok bolesti nije bila efikasna, i kod kojih nije bio dovoljno efikasan metotreksat u dozi od 12</w:t>
      </w:r>
      <w:proofErr w:type="gramStart"/>
      <w:r w:rsidRPr="0083687B">
        <w:rPr>
          <w:sz w:val="22"/>
          <w:szCs w:val="22"/>
        </w:rPr>
        <w:t>,5</w:t>
      </w:r>
      <w:proofErr w:type="gramEnd"/>
      <w:r w:rsidRPr="0083687B">
        <w:rPr>
          <w:sz w:val="22"/>
          <w:szCs w:val="22"/>
        </w:rPr>
        <w:t xml:space="preserve"> do 25 mg (10 mg ako pacijent ne podnosi metotreksat) jednom nedjeljno i kod kojih je </w:t>
      </w:r>
      <w:r w:rsidRPr="0083687B">
        <w:rPr>
          <w:sz w:val="22"/>
          <w:szCs w:val="22"/>
        </w:rPr>
        <w:lastRenderedPageBreak/>
        <w:t xml:space="preserve">doza metotreksata bila konstantno 10 do 25 mg </w:t>
      </w:r>
      <w:r w:rsidRPr="0083687B">
        <w:rPr>
          <w:iCs/>
          <w:sz w:val="22"/>
          <w:szCs w:val="22"/>
        </w:rPr>
        <w:t>jednom</w:t>
      </w:r>
      <w:r w:rsidRPr="0083687B">
        <w:rPr>
          <w:i/>
          <w:iCs/>
          <w:sz w:val="22"/>
          <w:szCs w:val="22"/>
        </w:rPr>
        <w:t xml:space="preserve"> </w:t>
      </w:r>
      <w:r w:rsidRPr="0083687B">
        <w:rPr>
          <w:iCs/>
          <w:sz w:val="22"/>
          <w:szCs w:val="22"/>
        </w:rPr>
        <w:t>nedjeljno</w:t>
      </w:r>
      <w:r w:rsidRPr="0083687B">
        <w:rPr>
          <w:sz w:val="22"/>
          <w:szCs w:val="22"/>
        </w:rPr>
        <w:t xml:space="preserve">. Svake druge nedjelje u periodu </w:t>
      </w:r>
      <w:proofErr w:type="gramStart"/>
      <w:r w:rsidRPr="0083687B">
        <w:rPr>
          <w:sz w:val="22"/>
          <w:szCs w:val="22"/>
        </w:rPr>
        <w:t>od</w:t>
      </w:r>
      <w:proofErr w:type="gramEnd"/>
      <w:r w:rsidRPr="0083687B">
        <w:rPr>
          <w:sz w:val="22"/>
          <w:szCs w:val="22"/>
        </w:rPr>
        <w:t xml:space="preserve"> 24 nedjelje dobijali su lijek Humira ili placebo u dozi od 20, 40 ili 80 mg.</w:t>
      </w:r>
    </w:p>
    <w:p w14:paraId="1E823ACB" w14:textId="77777777" w:rsidR="0083687B" w:rsidRPr="0083687B" w:rsidRDefault="0083687B">
      <w:pPr>
        <w:widowControl w:val="0"/>
        <w:autoSpaceDE w:val="0"/>
        <w:autoSpaceDN w:val="0"/>
        <w:adjustRightInd w:val="0"/>
        <w:jc w:val="both"/>
        <w:rPr>
          <w:sz w:val="22"/>
          <w:szCs w:val="22"/>
        </w:rPr>
      </w:pPr>
    </w:p>
    <w:p w14:paraId="0516448F"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RA ispitivanje II obuhvatilo je 544 pacijenta </w:t>
      </w:r>
      <w:proofErr w:type="gramStart"/>
      <w:r w:rsidRPr="0083687B">
        <w:rPr>
          <w:sz w:val="22"/>
          <w:szCs w:val="22"/>
        </w:rPr>
        <w:t>sa</w:t>
      </w:r>
      <w:proofErr w:type="gramEnd"/>
      <w:r w:rsidRPr="0083687B">
        <w:rPr>
          <w:sz w:val="22"/>
          <w:szCs w:val="22"/>
        </w:rPr>
        <w:t xml:space="preserve"> umjereno teškim do teškim aktivnim reumatoidnim artritisom u uzrastu od 18 godina i starijih kod kojih prethodna terapija barem jednim antireumatskim lijekom koji modifikuje tok bolesti nije bila efikasna. Pacijenti su svake dvije nedjelje u periodu od 26 nedjelja dobijali naizmjenično supkutane injekcije lijeka Humira u dozi od 20 ili 40 mg, odnosno placeba (jednu nedjelju aktivni lijek, drugu nedjelju placebo) ili po jednu injekciju lijeka Humira i placeba svake nedjelje. Pacijenti nisu smjeli da uzimaju nikakve druge antireumatske ljekove koji modifikuju tok bolesti.</w:t>
      </w:r>
    </w:p>
    <w:p w14:paraId="4250C803" w14:textId="77777777" w:rsidR="0083687B" w:rsidRPr="0083687B" w:rsidRDefault="0083687B">
      <w:pPr>
        <w:widowControl w:val="0"/>
        <w:autoSpaceDE w:val="0"/>
        <w:autoSpaceDN w:val="0"/>
        <w:adjustRightInd w:val="0"/>
        <w:jc w:val="both"/>
        <w:rPr>
          <w:sz w:val="22"/>
          <w:szCs w:val="22"/>
        </w:rPr>
      </w:pPr>
    </w:p>
    <w:p w14:paraId="3015FF6C"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RA ispitivanje III obuhvatilo je 619 pacijenata sa umjereno teškim do teškim aktivnim reumatoidnim artritisom u uzrastu ≥18 godina kod kojih prethodna terapija metotreksatom u dozi od 12,5 do 25 mg </w:t>
      </w:r>
      <w:r w:rsidRPr="0083687B">
        <w:rPr>
          <w:iCs/>
          <w:sz w:val="22"/>
          <w:szCs w:val="22"/>
        </w:rPr>
        <w:t>jednom</w:t>
      </w:r>
      <w:r w:rsidRPr="0083687B">
        <w:rPr>
          <w:i/>
          <w:iCs/>
          <w:sz w:val="22"/>
          <w:szCs w:val="22"/>
        </w:rPr>
        <w:t xml:space="preserve"> </w:t>
      </w:r>
      <w:r w:rsidRPr="0083687B">
        <w:rPr>
          <w:iCs/>
          <w:sz w:val="22"/>
          <w:szCs w:val="22"/>
        </w:rPr>
        <w:t>nedjeljno</w:t>
      </w:r>
      <w:r w:rsidRPr="0083687B">
        <w:rPr>
          <w:i/>
          <w:iCs/>
          <w:sz w:val="22"/>
          <w:szCs w:val="22"/>
        </w:rPr>
        <w:t xml:space="preserve"> </w:t>
      </w:r>
      <w:r w:rsidRPr="0083687B">
        <w:rPr>
          <w:sz w:val="22"/>
          <w:szCs w:val="22"/>
        </w:rPr>
        <w:t xml:space="preserve">nije dala zadovoljavajuće rezultate ili nisu podnosili metotreksat u dozi od 10 mg jednom nedjeljno. Pacijenti su podijeljeni u tri grupe. Prva je dobijala injekcije placeba svake nedjelje u periodu </w:t>
      </w:r>
      <w:proofErr w:type="gramStart"/>
      <w:r w:rsidRPr="0083687B">
        <w:rPr>
          <w:sz w:val="22"/>
          <w:szCs w:val="22"/>
        </w:rPr>
        <w:t>od</w:t>
      </w:r>
      <w:proofErr w:type="gramEnd"/>
      <w:r w:rsidRPr="0083687B">
        <w:rPr>
          <w:sz w:val="22"/>
          <w:szCs w:val="22"/>
        </w:rPr>
        <w:t xml:space="preserve"> 52 nedjelje. Druga je dobijala 20 mg lijeka Humira svake nedjelje u periodu </w:t>
      </w:r>
      <w:proofErr w:type="gramStart"/>
      <w:r w:rsidRPr="0083687B">
        <w:rPr>
          <w:sz w:val="22"/>
          <w:szCs w:val="22"/>
        </w:rPr>
        <w:t>od</w:t>
      </w:r>
      <w:proofErr w:type="gramEnd"/>
      <w:r w:rsidRPr="0083687B">
        <w:rPr>
          <w:sz w:val="22"/>
          <w:szCs w:val="22"/>
        </w:rPr>
        <w:t xml:space="preserve"> 52 nedjelje. Treća grupa je naizmjenično primala 40 mg lijeka Humira </w:t>
      </w:r>
      <w:proofErr w:type="gramStart"/>
      <w:r w:rsidRPr="0083687B">
        <w:rPr>
          <w:sz w:val="22"/>
          <w:szCs w:val="22"/>
        </w:rPr>
        <w:t>ili</w:t>
      </w:r>
      <w:proofErr w:type="gramEnd"/>
      <w:r w:rsidRPr="0083687B">
        <w:rPr>
          <w:sz w:val="22"/>
          <w:szCs w:val="22"/>
        </w:rPr>
        <w:t xml:space="preserve"> injekcije placebo (jedna nedelja 40 mg lijeka Humira, druga nedjelja placebo).</w:t>
      </w:r>
    </w:p>
    <w:p w14:paraId="56F48E07"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Po završetku prve 52 nedjelje, 457 pacijenata je uključeno u otvorenu produženu fazu u kojoj je davano 40 mg lijeka Humira/MTX svake druge nedjelje u trajanju </w:t>
      </w:r>
      <w:proofErr w:type="gramStart"/>
      <w:r w:rsidRPr="0083687B">
        <w:rPr>
          <w:sz w:val="22"/>
          <w:szCs w:val="22"/>
        </w:rPr>
        <w:t>od</w:t>
      </w:r>
      <w:proofErr w:type="gramEnd"/>
      <w:r w:rsidRPr="0083687B">
        <w:rPr>
          <w:sz w:val="22"/>
          <w:szCs w:val="22"/>
        </w:rPr>
        <w:t xml:space="preserve"> 10 godina.</w:t>
      </w:r>
    </w:p>
    <w:p w14:paraId="7EF97A6E" w14:textId="77777777" w:rsidR="0083687B" w:rsidRPr="0083687B" w:rsidRDefault="0083687B">
      <w:pPr>
        <w:widowControl w:val="0"/>
        <w:autoSpaceDE w:val="0"/>
        <w:autoSpaceDN w:val="0"/>
        <w:adjustRightInd w:val="0"/>
        <w:jc w:val="both"/>
        <w:rPr>
          <w:sz w:val="22"/>
          <w:szCs w:val="22"/>
        </w:rPr>
      </w:pPr>
    </w:p>
    <w:p w14:paraId="43DAD0A3"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 RA ispitivanju IV prvenstveno je ocjenjivana bezbjednost kod 636 pacijenata u uzrastu ≥18 godina </w:t>
      </w:r>
      <w:proofErr w:type="gramStart"/>
      <w:r w:rsidRPr="0083687B">
        <w:rPr>
          <w:sz w:val="22"/>
          <w:szCs w:val="22"/>
        </w:rPr>
        <w:t>sa</w:t>
      </w:r>
      <w:proofErr w:type="gramEnd"/>
      <w:r w:rsidRPr="0083687B">
        <w:rPr>
          <w:sz w:val="22"/>
          <w:szCs w:val="22"/>
        </w:rPr>
        <w:t xml:space="preserve"> umjereno teškim do teškim aktivnim reumatoidnim artritisom. U ispitivanje su uključeni i pacijenti koji su prethodno liječeni antireumatskim ljekovima </w:t>
      </w:r>
      <w:r w:rsidRPr="0083687B">
        <w:rPr>
          <w:iCs/>
          <w:sz w:val="22"/>
          <w:szCs w:val="22"/>
        </w:rPr>
        <w:t>koji modifikuju</w:t>
      </w:r>
      <w:r w:rsidRPr="0083687B">
        <w:rPr>
          <w:sz w:val="22"/>
          <w:szCs w:val="22"/>
        </w:rPr>
        <w:t xml:space="preserve"> tok bolesti, koji prethodno nisu bili liječeni, i oni koji već dobijaju antireumatsku terapiju, pod uslovom da je ta terapija stabilna najmanje 28 </w:t>
      </w:r>
      <w:proofErr w:type="gramStart"/>
      <w:r w:rsidRPr="0083687B">
        <w:rPr>
          <w:sz w:val="22"/>
          <w:szCs w:val="22"/>
        </w:rPr>
        <w:t>dana</w:t>
      </w:r>
      <w:proofErr w:type="gramEnd"/>
      <w:r w:rsidRPr="0083687B">
        <w:rPr>
          <w:sz w:val="22"/>
          <w:szCs w:val="22"/>
        </w:rPr>
        <w:t>. Ove terapije uključuju metotreksat, leflunomid, hidroksihlorohin, sulfasalazin i/ili soli zlata. Pacijenti su podijeljeni u dvije grupe, od kojih je jedna dobijala 40 mg lijeka Humira, a druga placebo svake druge nedjelje u periodu od 24 nedjelje.</w:t>
      </w:r>
    </w:p>
    <w:p w14:paraId="3C82CEAA" w14:textId="77777777" w:rsidR="0083687B" w:rsidRPr="0083687B" w:rsidRDefault="0083687B">
      <w:pPr>
        <w:widowControl w:val="0"/>
        <w:autoSpaceDE w:val="0"/>
        <w:autoSpaceDN w:val="0"/>
        <w:adjustRightInd w:val="0"/>
        <w:jc w:val="both"/>
        <w:rPr>
          <w:sz w:val="22"/>
          <w:szCs w:val="22"/>
        </w:rPr>
      </w:pPr>
    </w:p>
    <w:p w14:paraId="013F143F" w14:textId="7DDBCAF7" w:rsidR="0083687B" w:rsidRPr="0083687B" w:rsidRDefault="0083687B">
      <w:pPr>
        <w:widowControl w:val="0"/>
        <w:autoSpaceDE w:val="0"/>
        <w:autoSpaceDN w:val="0"/>
        <w:adjustRightInd w:val="0"/>
        <w:jc w:val="both"/>
        <w:rPr>
          <w:sz w:val="22"/>
          <w:szCs w:val="22"/>
        </w:rPr>
      </w:pPr>
      <w:r w:rsidRPr="0083687B">
        <w:rPr>
          <w:sz w:val="22"/>
          <w:szCs w:val="22"/>
        </w:rPr>
        <w:t xml:space="preserve">RA ispitivanjem V obuhvaćeno je 799 odraslih pacijenata </w:t>
      </w:r>
      <w:proofErr w:type="gramStart"/>
      <w:r w:rsidRPr="0083687B">
        <w:rPr>
          <w:sz w:val="22"/>
          <w:szCs w:val="22"/>
        </w:rPr>
        <w:t>sa</w:t>
      </w:r>
      <w:proofErr w:type="gramEnd"/>
      <w:r w:rsidRPr="0083687B">
        <w:rPr>
          <w:sz w:val="22"/>
          <w:szCs w:val="22"/>
        </w:rPr>
        <w:t xml:space="preserve"> umjerenim do teškim aktivnim ranim reumatoidnim artritisom u ranoj fazi (srednja vrijednost trajanj</w:t>
      </w:r>
      <w:r w:rsidR="000155BB">
        <w:rPr>
          <w:sz w:val="22"/>
          <w:szCs w:val="22"/>
        </w:rPr>
        <w:t>a</w:t>
      </w:r>
      <w:r w:rsidRPr="0083687B">
        <w:rPr>
          <w:sz w:val="22"/>
          <w:szCs w:val="22"/>
        </w:rPr>
        <w:t xml:space="preserve"> bolesti kraća od 9 mjeseci) koji do tada nisu bili liječeni metotreksatom. Tokom 104 nedjelje upoređivana je efikasnost kombinovanog liječenja (40 mg lijeka Humira svake dvije nedjelje/metotreksat), monoterapije lijekom Humira (40 mg svake dvije nedjelje), kao i monoterapije metotreksatom </w:t>
      </w:r>
      <w:proofErr w:type="gramStart"/>
      <w:r w:rsidRPr="0083687B">
        <w:rPr>
          <w:sz w:val="22"/>
          <w:szCs w:val="22"/>
        </w:rPr>
        <w:t>na</w:t>
      </w:r>
      <w:proofErr w:type="gramEnd"/>
      <w:r w:rsidRPr="0083687B">
        <w:rPr>
          <w:sz w:val="22"/>
          <w:szCs w:val="22"/>
        </w:rPr>
        <w:t xml:space="preserve"> smanjenje simptoma i znakova te brzine napredovanja oštećenja zglobova kod reumatoidnog artritisa. Po završetku prve 104 nedjelje, 497 pacijenata uključeno je u otvoreni produžetak studije, u kojem se lijek Humira u dozi </w:t>
      </w:r>
      <w:proofErr w:type="gramStart"/>
      <w:r w:rsidRPr="0083687B">
        <w:rPr>
          <w:sz w:val="22"/>
          <w:szCs w:val="22"/>
        </w:rPr>
        <w:t>od</w:t>
      </w:r>
      <w:proofErr w:type="gramEnd"/>
      <w:r w:rsidRPr="0083687B">
        <w:rPr>
          <w:sz w:val="22"/>
          <w:szCs w:val="22"/>
        </w:rPr>
        <w:t xml:space="preserve"> 40 mg primjenjivao svake dvije nedjelje tokom razdoblja do 10 godina.</w:t>
      </w:r>
    </w:p>
    <w:p w14:paraId="6BF8691C" w14:textId="77777777" w:rsidR="0083687B" w:rsidRPr="0083687B" w:rsidRDefault="0083687B">
      <w:pPr>
        <w:widowControl w:val="0"/>
        <w:autoSpaceDE w:val="0"/>
        <w:autoSpaceDN w:val="0"/>
        <w:adjustRightInd w:val="0"/>
        <w:jc w:val="both"/>
        <w:rPr>
          <w:sz w:val="22"/>
          <w:szCs w:val="22"/>
        </w:rPr>
      </w:pPr>
    </w:p>
    <w:p w14:paraId="33E5482A" w14:textId="2FC8BD0B" w:rsidR="0083687B" w:rsidRPr="0083687B" w:rsidRDefault="0083687B">
      <w:pPr>
        <w:widowControl w:val="0"/>
        <w:autoSpaceDE w:val="0"/>
        <w:autoSpaceDN w:val="0"/>
        <w:adjustRightInd w:val="0"/>
        <w:jc w:val="both"/>
        <w:rPr>
          <w:sz w:val="22"/>
          <w:szCs w:val="22"/>
        </w:rPr>
      </w:pPr>
      <w:r w:rsidRPr="0083687B">
        <w:rPr>
          <w:sz w:val="22"/>
          <w:szCs w:val="22"/>
        </w:rPr>
        <w:t xml:space="preserve">Primarna mjera </w:t>
      </w:r>
      <w:proofErr w:type="gramStart"/>
      <w:r w:rsidRPr="0083687B">
        <w:rPr>
          <w:sz w:val="22"/>
          <w:szCs w:val="22"/>
        </w:rPr>
        <w:t>ishoda  RA</w:t>
      </w:r>
      <w:proofErr w:type="gramEnd"/>
      <w:r w:rsidRPr="0083687B">
        <w:rPr>
          <w:sz w:val="22"/>
          <w:szCs w:val="22"/>
        </w:rPr>
        <w:t xml:space="preserve"> ispitivanja I, II i III te sekundarna mjera ishoda RA ispitivanja IV bio je procenat pacijenata u kojih je postignut terapijski odgovor ACR 20 nakon 24, odnosno 26 nedjelja liječenja. Primarn</w:t>
      </w:r>
      <w:r w:rsidR="00C656BF">
        <w:rPr>
          <w:sz w:val="22"/>
          <w:szCs w:val="22"/>
        </w:rPr>
        <w:t>a</w:t>
      </w:r>
      <w:r w:rsidRPr="0083687B">
        <w:rPr>
          <w:sz w:val="22"/>
          <w:szCs w:val="22"/>
        </w:rPr>
        <w:t xml:space="preserve"> </w:t>
      </w:r>
      <w:r w:rsidR="00C656BF">
        <w:rPr>
          <w:sz w:val="22"/>
          <w:szCs w:val="22"/>
        </w:rPr>
        <w:t>mjera ishoda</w:t>
      </w:r>
      <w:r w:rsidRPr="0083687B">
        <w:rPr>
          <w:sz w:val="22"/>
          <w:szCs w:val="22"/>
        </w:rPr>
        <w:t xml:space="preserve"> RA ispitivanja V bio je procenat pacijenata kod kojih je postignut terapijski odgovor ACR 50 nakon 52 nedjelje liječenja. Dodatni </w:t>
      </w:r>
      <w:proofErr w:type="gramStart"/>
      <w:r w:rsidRPr="0083687B">
        <w:rPr>
          <w:sz w:val="22"/>
          <w:szCs w:val="22"/>
        </w:rPr>
        <w:t>primarn</w:t>
      </w:r>
      <w:r w:rsidR="00C656BF">
        <w:rPr>
          <w:sz w:val="22"/>
          <w:szCs w:val="22"/>
        </w:rPr>
        <w:t>a  mjera</w:t>
      </w:r>
      <w:proofErr w:type="gramEnd"/>
      <w:r w:rsidR="00C656BF">
        <w:rPr>
          <w:sz w:val="22"/>
          <w:szCs w:val="22"/>
        </w:rPr>
        <w:t xml:space="preserve"> ishoda</w:t>
      </w:r>
      <w:r w:rsidRPr="0083687B">
        <w:rPr>
          <w:sz w:val="22"/>
          <w:szCs w:val="22"/>
        </w:rPr>
        <w:t xml:space="preserve"> RA ispitivanja III i V bio je usporavanje napredovanja bolesti (na osnovu radioloških nalaza) nakon 52 nedjelje liječenja. Primarna mjera ishoda RA ispitivanja III takođe su bile promjene u kvalitetu života.</w:t>
      </w:r>
    </w:p>
    <w:p w14:paraId="7E0E5556" w14:textId="77777777" w:rsidR="0083687B" w:rsidRPr="0083687B" w:rsidRDefault="0083687B">
      <w:pPr>
        <w:widowControl w:val="0"/>
        <w:autoSpaceDE w:val="0"/>
        <w:autoSpaceDN w:val="0"/>
        <w:adjustRightInd w:val="0"/>
        <w:jc w:val="both"/>
        <w:rPr>
          <w:sz w:val="22"/>
          <w:szCs w:val="22"/>
        </w:rPr>
      </w:pPr>
    </w:p>
    <w:p w14:paraId="06ECBB88" w14:textId="77777777" w:rsidR="0083687B" w:rsidRPr="0083687B" w:rsidRDefault="0083687B">
      <w:pPr>
        <w:widowControl w:val="0"/>
        <w:autoSpaceDE w:val="0"/>
        <w:autoSpaceDN w:val="0"/>
        <w:adjustRightInd w:val="0"/>
        <w:ind w:left="567" w:hanging="567"/>
        <w:jc w:val="both"/>
        <w:rPr>
          <w:i/>
          <w:sz w:val="22"/>
          <w:szCs w:val="22"/>
          <w:u w:val="single"/>
        </w:rPr>
      </w:pPr>
      <w:r w:rsidRPr="0083687B">
        <w:rPr>
          <w:i/>
          <w:sz w:val="22"/>
          <w:szCs w:val="22"/>
          <w:u w:val="single"/>
        </w:rPr>
        <w:t>ACR odgovor</w:t>
      </w:r>
    </w:p>
    <w:p w14:paraId="42E30A7A" w14:textId="77777777" w:rsidR="0083687B" w:rsidRPr="0083687B" w:rsidRDefault="0083687B">
      <w:pPr>
        <w:widowControl w:val="0"/>
        <w:autoSpaceDE w:val="0"/>
        <w:autoSpaceDN w:val="0"/>
        <w:adjustRightInd w:val="0"/>
        <w:ind w:left="567" w:hanging="567"/>
        <w:jc w:val="both"/>
        <w:rPr>
          <w:sz w:val="22"/>
          <w:szCs w:val="22"/>
        </w:rPr>
      </w:pPr>
    </w:p>
    <w:p w14:paraId="2BC2D9B3" w14:textId="43092144" w:rsidR="0083687B" w:rsidRPr="0083687B" w:rsidRDefault="0083687B">
      <w:pPr>
        <w:widowControl w:val="0"/>
        <w:autoSpaceDE w:val="0"/>
        <w:autoSpaceDN w:val="0"/>
        <w:adjustRightInd w:val="0"/>
        <w:jc w:val="both"/>
        <w:rPr>
          <w:sz w:val="22"/>
          <w:szCs w:val="22"/>
        </w:rPr>
      </w:pPr>
      <w:r w:rsidRPr="0083687B">
        <w:rPr>
          <w:sz w:val="22"/>
          <w:szCs w:val="22"/>
        </w:rPr>
        <w:t>Procenat pacijenata liječenih lijekom Humira kod kojih je postignut terapijski odgovor ACR 20, 50 i 70 bio je podjednak u RA ispitivanjima I, II i III. Rezultati zabilježeni u grupi koja je dobijala 40 mg svake dvije nedjelje prikazani su u Tabeli 7.</w:t>
      </w:r>
    </w:p>
    <w:p w14:paraId="6D2670DB" w14:textId="77777777" w:rsidR="0083687B" w:rsidRPr="0083687B" w:rsidRDefault="0083687B">
      <w:pPr>
        <w:widowControl w:val="0"/>
        <w:autoSpaceDE w:val="0"/>
        <w:autoSpaceDN w:val="0"/>
        <w:adjustRightInd w:val="0"/>
        <w:ind w:left="567" w:hanging="567"/>
        <w:jc w:val="both"/>
        <w:rPr>
          <w:sz w:val="22"/>
          <w:szCs w:val="22"/>
        </w:rPr>
      </w:pPr>
    </w:p>
    <w:p w14:paraId="76C470AD" w14:textId="77777777" w:rsidR="0083687B" w:rsidRPr="0083687B" w:rsidRDefault="0083687B" w:rsidP="00EB3350">
      <w:pPr>
        <w:widowControl w:val="0"/>
        <w:autoSpaceDE w:val="0"/>
        <w:autoSpaceDN w:val="0"/>
        <w:adjustRightInd w:val="0"/>
        <w:ind w:left="567" w:hanging="567"/>
        <w:jc w:val="both"/>
        <w:rPr>
          <w:sz w:val="22"/>
          <w:szCs w:val="22"/>
        </w:rPr>
      </w:pPr>
      <w:r w:rsidRPr="0083687B">
        <w:rPr>
          <w:b/>
          <w:bCs/>
          <w:sz w:val="22"/>
          <w:szCs w:val="22"/>
        </w:rPr>
        <w:t>Tabela 7. ACR odgovori pacijenata u ispitivanjima kontrolisanim placebom (procenat pacijenata)</w:t>
      </w:r>
    </w:p>
    <w:tbl>
      <w:tblPr>
        <w:tblW w:w="0" w:type="auto"/>
        <w:jc w:val="center"/>
        <w:tblCellMar>
          <w:left w:w="0" w:type="dxa"/>
        </w:tblCellMar>
        <w:tblLook w:val="0000" w:firstRow="0" w:lastRow="0" w:firstColumn="0" w:lastColumn="0" w:noHBand="0" w:noVBand="0"/>
      </w:tblPr>
      <w:tblGrid>
        <w:gridCol w:w="1537"/>
        <w:gridCol w:w="2348"/>
        <w:gridCol w:w="2119"/>
        <w:gridCol w:w="2568"/>
      </w:tblGrid>
      <w:tr w:rsidR="0083687B" w:rsidRPr="0083687B" w14:paraId="64F6DB6F" w14:textId="77777777" w:rsidTr="0088568A">
        <w:trPr>
          <w:trHeight w:val="324"/>
          <w:jc w:val="center"/>
        </w:trPr>
        <w:tc>
          <w:tcPr>
            <w:tcW w:w="1537" w:type="dxa"/>
            <w:vMerge w:val="restart"/>
            <w:tcBorders>
              <w:top w:val="single" w:sz="8" w:space="0" w:color="000000"/>
              <w:left w:val="single" w:sz="8" w:space="0" w:color="000000"/>
              <w:bottom w:val="single" w:sz="8" w:space="0" w:color="000000"/>
              <w:right w:val="single" w:sz="8" w:space="0" w:color="000000"/>
            </w:tcBorders>
          </w:tcPr>
          <w:p w14:paraId="69238512" w14:textId="77777777" w:rsidR="0083687B" w:rsidRPr="0083687B" w:rsidRDefault="0083687B" w:rsidP="00EB3350">
            <w:pPr>
              <w:jc w:val="both"/>
              <w:rPr>
                <w:sz w:val="22"/>
                <w:szCs w:val="22"/>
                <w:lang w:val="sr-Latn-ME"/>
              </w:rPr>
            </w:pPr>
            <w:r w:rsidRPr="0083687B">
              <w:rPr>
                <w:sz w:val="22"/>
                <w:szCs w:val="22"/>
                <w:lang w:val="sr-Latn-ME"/>
              </w:rPr>
              <w:t>Odgovor</w:t>
            </w:r>
          </w:p>
        </w:tc>
        <w:tc>
          <w:tcPr>
            <w:tcW w:w="2348" w:type="dxa"/>
            <w:tcBorders>
              <w:top w:val="single" w:sz="8" w:space="0" w:color="000000"/>
              <w:left w:val="single" w:sz="8" w:space="0" w:color="000000"/>
              <w:bottom w:val="single" w:sz="8" w:space="0" w:color="000000"/>
              <w:right w:val="single" w:sz="8" w:space="0" w:color="000000"/>
            </w:tcBorders>
          </w:tcPr>
          <w:p w14:paraId="12B4F6DB" w14:textId="77777777" w:rsidR="0083687B" w:rsidRPr="0083687B" w:rsidRDefault="0083687B" w:rsidP="00730D96">
            <w:pPr>
              <w:widowControl w:val="0"/>
              <w:autoSpaceDE w:val="0"/>
              <w:autoSpaceDN w:val="0"/>
              <w:adjustRightInd w:val="0"/>
              <w:ind w:left="567" w:hanging="567"/>
              <w:jc w:val="both"/>
              <w:rPr>
                <w:sz w:val="22"/>
                <w:szCs w:val="22"/>
              </w:rPr>
            </w:pPr>
            <w:r w:rsidRPr="0083687B">
              <w:rPr>
                <w:b/>
                <w:bCs/>
                <w:sz w:val="22"/>
                <w:szCs w:val="22"/>
              </w:rPr>
              <w:t>RA ispitivanje I</w:t>
            </w:r>
            <w:r w:rsidRPr="0083687B">
              <w:rPr>
                <w:b/>
                <w:bCs/>
                <w:position w:val="8"/>
                <w:sz w:val="22"/>
                <w:szCs w:val="22"/>
                <w:vertAlign w:val="superscript"/>
              </w:rPr>
              <w:t>a</w:t>
            </w:r>
            <w:r w:rsidRPr="0083687B">
              <w:rPr>
                <w:b/>
                <w:bCs/>
                <w:sz w:val="22"/>
                <w:szCs w:val="22"/>
              </w:rPr>
              <w:t>**</w:t>
            </w:r>
          </w:p>
        </w:tc>
        <w:tc>
          <w:tcPr>
            <w:tcW w:w="2119" w:type="dxa"/>
            <w:tcBorders>
              <w:top w:val="single" w:sz="8" w:space="0" w:color="000000"/>
              <w:left w:val="single" w:sz="8" w:space="0" w:color="000000"/>
              <w:bottom w:val="single" w:sz="8" w:space="0" w:color="000000"/>
              <w:right w:val="single" w:sz="8" w:space="0" w:color="000000"/>
            </w:tcBorders>
          </w:tcPr>
          <w:p w14:paraId="436EF7F0" w14:textId="77777777" w:rsidR="0083687B" w:rsidRPr="0083687B" w:rsidRDefault="0083687B">
            <w:pPr>
              <w:widowControl w:val="0"/>
              <w:autoSpaceDE w:val="0"/>
              <w:autoSpaceDN w:val="0"/>
              <w:adjustRightInd w:val="0"/>
              <w:ind w:left="567" w:hanging="567"/>
              <w:jc w:val="both"/>
              <w:rPr>
                <w:sz w:val="22"/>
                <w:szCs w:val="22"/>
              </w:rPr>
            </w:pPr>
            <w:r w:rsidRPr="0083687B">
              <w:rPr>
                <w:b/>
                <w:bCs/>
                <w:sz w:val="22"/>
                <w:szCs w:val="22"/>
              </w:rPr>
              <w:t>RA ispitivanje II</w:t>
            </w:r>
            <w:r w:rsidRPr="0083687B">
              <w:rPr>
                <w:b/>
                <w:bCs/>
                <w:position w:val="8"/>
                <w:sz w:val="22"/>
                <w:szCs w:val="22"/>
                <w:vertAlign w:val="superscript"/>
              </w:rPr>
              <w:t>a</w:t>
            </w:r>
            <w:r w:rsidRPr="0083687B">
              <w:rPr>
                <w:b/>
                <w:bCs/>
                <w:sz w:val="22"/>
                <w:szCs w:val="22"/>
              </w:rPr>
              <w:t>**</w:t>
            </w:r>
          </w:p>
        </w:tc>
        <w:tc>
          <w:tcPr>
            <w:tcW w:w="2568" w:type="dxa"/>
            <w:tcBorders>
              <w:top w:val="single" w:sz="8" w:space="0" w:color="000000"/>
              <w:left w:val="single" w:sz="8" w:space="0" w:color="000000"/>
              <w:bottom w:val="single" w:sz="8" w:space="0" w:color="000000"/>
              <w:right w:val="single" w:sz="8" w:space="0" w:color="000000"/>
            </w:tcBorders>
          </w:tcPr>
          <w:p w14:paraId="132A9DDD" w14:textId="77777777" w:rsidR="0083687B" w:rsidRPr="0083687B" w:rsidRDefault="0083687B">
            <w:pPr>
              <w:widowControl w:val="0"/>
              <w:autoSpaceDE w:val="0"/>
              <w:autoSpaceDN w:val="0"/>
              <w:adjustRightInd w:val="0"/>
              <w:ind w:left="567" w:hanging="567"/>
              <w:jc w:val="both"/>
              <w:rPr>
                <w:sz w:val="22"/>
                <w:szCs w:val="22"/>
              </w:rPr>
            </w:pPr>
            <w:r w:rsidRPr="0083687B">
              <w:rPr>
                <w:b/>
                <w:bCs/>
                <w:sz w:val="22"/>
                <w:szCs w:val="22"/>
              </w:rPr>
              <w:t>RA ispitivanje III</w:t>
            </w:r>
            <w:r w:rsidRPr="0083687B">
              <w:rPr>
                <w:b/>
                <w:bCs/>
                <w:position w:val="8"/>
                <w:sz w:val="22"/>
                <w:szCs w:val="22"/>
                <w:vertAlign w:val="superscript"/>
              </w:rPr>
              <w:t>a</w:t>
            </w:r>
            <w:r w:rsidRPr="0083687B">
              <w:rPr>
                <w:b/>
                <w:bCs/>
                <w:sz w:val="22"/>
                <w:szCs w:val="22"/>
              </w:rPr>
              <w:t>**</w:t>
            </w:r>
          </w:p>
        </w:tc>
      </w:tr>
      <w:tr w:rsidR="0083687B" w:rsidRPr="0083687B" w14:paraId="4586029C" w14:textId="77777777" w:rsidTr="0088568A">
        <w:trPr>
          <w:trHeight w:val="819"/>
          <w:jc w:val="center"/>
        </w:trPr>
        <w:tc>
          <w:tcPr>
            <w:tcW w:w="1537" w:type="dxa"/>
            <w:vMerge/>
            <w:tcBorders>
              <w:top w:val="single" w:sz="8" w:space="0" w:color="000000"/>
              <w:left w:val="single" w:sz="8" w:space="0" w:color="000000"/>
              <w:bottom w:val="single" w:sz="8" w:space="0" w:color="000000"/>
              <w:right w:val="single" w:sz="8" w:space="0" w:color="000000"/>
            </w:tcBorders>
          </w:tcPr>
          <w:p w14:paraId="6D4D1B58" w14:textId="77777777" w:rsidR="0083687B" w:rsidRPr="0083687B" w:rsidRDefault="0083687B">
            <w:pPr>
              <w:widowControl w:val="0"/>
              <w:autoSpaceDE w:val="0"/>
              <w:autoSpaceDN w:val="0"/>
              <w:adjustRightInd w:val="0"/>
              <w:ind w:left="567" w:hanging="567"/>
              <w:jc w:val="both"/>
              <w:rPr>
                <w:sz w:val="22"/>
                <w:szCs w:val="22"/>
              </w:rPr>
            </w:pPr>
          </w:p>
        </w:tc>
        <w:tc>
          <w:tcPr>
            <w:tcW w:w="2348" w:type="dxa"/>
            <w:tcBorders>
              <w:top w:val="single" w:sz="8" w:space="0" w:color="000000"/>
              <w:left w:val="single" w:sz="8" w:space="0" w:color="000000"/>
              <w:bottom w:val="single" w:sz="8" w:space="0" w:color="000000"/>
              <w:right w:val="single" w:sz="8" w:space="0" w:color="000000"/>
            </w:tcBorders>
          </w:tcPr>
          <w:p w14:paraId="421EFFFF"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placebo/    Humira</w:t>
            </w:r>
            <w:r w:rsidRPr="0083687B">
              <w:rPr>
                <w:position w:val="8"/>
                <w:sz w:val="22"/>
                <w:szCs w:val="22"/>
                <w:vertAlign w:val="superscript"/>
              </w:rPr>
              <w:t>b</w:t>
            </w:r>
            <w:r w:rsidRPr="0083687B">
              <w:rPr>
                <w:sz w:val="22"/>
                <w:szCs w:val="22"/>
              </w:rPr>
              <w:t>/</w:t>
            </w:r>
          </w:p>
          <w:p w14:paraId="3A4FAB62"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MTX</w:t>
            </w:r>
            <w:r w:rsidRPr="0083687B">
              <w:rPr>
                <w:position w:val="8"/>
                <w:sz w:val="22"/>
                <w:szCs w:val="22"/>
                <w:vertAlign w:val="superscript"/>
              </w:rPr>
              <w:t>c</w:t>
            </w:r>
            <w:r w:rsidRPr="0083687B">
              <w:rPr>
                <w:sz w:val="22"/>
                <w:szCs w:val="22"/>
              </w:rPr>
              <w:t xml:space="preserve">         MTX</w:t>
            </w:r>
            <w:r w:rsidRPr="0083687B">
              <w:rPr>
                <w:position w:val="8"/>
                <w:sz w:val="22"/>
                <w:szCs w:val="22"/>
                <w:vertAlign w:val="superscript"/>
              </w:rPr>
              <w:t>c</w:t>
            </w:r>
          </w:p>
          <w:p w14:paraId="1D6EAEF6"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lastRenderedPageBreak/>
              <w:t>n=60          n=63</w:t>
            </w:r>
          </w:p>
        </w:tc>
        <w:tc>
          <w:tcPr>
            <w:tcW w:w="2119" w:type="dxa"/>
            <w:tcBorders>
              <w:top w:val="single" w:sz="8" w:space="0" w:color="000000"/>
              <w:left w:val="single" w:sz="8" w:space="0" w:color="000000"/>
              <w:bottom w:val="single" w:sz="8" w:space="0" w:color="000000"/>
              <w:right w:val="single" w:sz="8" w:space="0" w:color="000000"/>
            </w:tcBorders>
          </w:tcPr>
          <w:p w14:paraId="3A3ADD79"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lastRenderedPageBreak/>
              <w:t>placebo   Humira</w:t>
            </w:r>
            <w:r w:rsidRPr="0083687B">
              <w:rPr>
                <w:position w:val="8"/>
                <w:sz w:val="22"/>
                <w:szCs w:val="22"/>
                <w:vertAlign w:val="superscript"/>
              </w:rPr>
              <w:t>b</w:t>
            </w:r>
          </w:p>
          <w:p w14:paraId="7F4F3715"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n=110      n=113</w:t>
            </w:r>
          </w:p>
        </w:tc>
        <w:tc>
          <w:tcPr>
            <w:tcW w:w="2568" w:type="dxa"/>
            <w:tcBorders>
              <w:top w:val="single" w:sz="8" w:space="0" w:color="000000"/>
              <w:left w:val="single" w:sz="8" w:space="0" w:color="000000"/>
              <w:bottom w:val="single" w:sz="8" w:space="0" w:color="000000"/>
              <w:right w:val="single" w:sz="8" w:space="0" w:color="000000"/>
            </w:tcBorders>
          </w:tcPr>
          <w:p w14:paraId="1D010F73"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placebo/      Humira</w:t>
            </w:r>
            <w:r w:rsidRPr="0083687B">
              <w:rPr>
                <w:position w:val="8"/>
                <w:sz w:val="22"/>
                <w:szCs w:val="22"/>
                <w:vertAlign w:val="superscript"/>
              </w:rPr>
              <w:t>b</w:t>
            </w:r>
            <w:r w:rsidRPr="0083687B">
              <w:rPr>
                <w:sz w:val="22"/>
                <w:szCs w:val="22"/>
              </w:rPr>
              <w:t>/</w:t>
            </w:r>
          </w:p>
          <w:p w14:paraId="4CBA7B21"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MTX</w:t>
            </w:r>
            <w:r w:rsidRPr="0083687B">
              <w:rPr>
                <w:position w:val="8"/>
                <w:sz w:val="22"/>
                <w:szCs w:val="22"/>
                <w:vertAlign w:val="superscript"/>
              </w:rPr>
              <w:t>c</w:t>
            </w:r>
            <w:r w:rsidRPr="0083687B">
              <w:rPr>
                <w:sz w:val="22"/>
                <w:szCs w:val="22"/>
              </w:rPr>
              <w:t xml:space="preserve">            MTX</w:t>
            </w:r>
            <w:r w:rsidRPr="0083687B">
              <w:rPr>
                <w:position w:val="8"/>
                <w:sz w:val="22"/>
                <w:szCs w:val="22"/>
                <w:vertAlign w:val="superscript"/>
              </w:rPr>
              <w:t>c</w:t>
            </w:r>
          </w:p>
          <w:p w14:paraId="29127E5A"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lastRenderedPageBreak/>
              <w:t>n=200          n=207</w:t>
            </w:r>
          </w:p>
        </w:tc>
      </w:tr>
      <w:tr w:rsidR="0083687B" w:rsidRPr="0083687B" w14:paraId="3F49B3DF" w14:textId="77777777" w:rsidTr="0088568A">
        <w:trPr>
          <w:trHeight w:val="2822"/>
          <w:jc w:val="center"/>
        </w:trPr>
        <w:tc>
          <w:tcPr>
            <w:tcW w:w="1537" w:type="dxa"/>
            <w:tcBorders>
              <w:top w:val="single" w:sz="8" w:space="0" w:color="000000"/>
              <w:left w:val="single" w:sz="8" w:space="0" w:color="000000"/>
              <w:bottom w:val="single" w:sz="8" w:space="0" w:color="000000"/>
              <w:right w:val="single" w:sz="8" w:space="0" w:color="000000"/>
            </w:tcBorders>
          </w:tcPr>
          <w:p w14:paraId="411EF230" w14:textId="77777777" w:rsidR="0083687B" w:rsidRPr="0083687B" w:rsidRDefault="0083687B" w:rsidP="00EB3350">
            <w:pPr>
              <w:widowControl w:val="0"/>
              <w:autoSpaceDE w:val="0"/>
              <w:autoSpaceDN w:val="0"/>
              <w:adjustRightInd w:val="0"/>
              <w:ind w:left="567" w:hanging="567"/>
              <w:jc w:val="both"/>
              <w:rPr>
                <w:sz w:val="22"/>
                <w:szCs w:val="22"/>
              </w:rPr>
            </w:pPr>
            <w:r w:rsidRPr="0083687B">
              <w:rPr>
                <w:sz w:val="22"/>
                <w:szCs w:val="22"/>
              </w:rPr>
              <w:lastRenderedPageBreak/>
              <w:t>ACR 20</w:t>
            </w:r>
          </w:p>
          <w:p w14:paraId="5B3DFB45" w14:textId="77777777" w:rsidR="0083687B" w:rsidRPr="0083687B" w:rsidRDefault="0083687B" w:rsidP="00EB3350">
            <w:pPr>
              <w:widowControl w:val="0"/>
              <w:autoSpaceDE w:val="0"/>
              <w:autoSpaceDN w:val="0"/>
              <w:adjustRightInd w:val="0"/>
              <w:ind w:left="567" w:hanging="567"/>
              <w:jc w:val="both"/>
              <w:rPr>
                <w:sz w:val="22"/>
                <w:szCs w:val="22"/>
              </w:rPr>
            </w:pPr>
            <w:r w:rsidRPr="0083687B">
              <w:rPr>
                <w:sz w:val="22"/>
                <w:szCs w:val="22"/>
              </w:rPr>
              <w:t>6 mjeseci</w:t>
            </w:r>
          </w:p>
          <w:p w14:paraId="73DD6C1E" w14:textId="77777777" w:rsidR="0083687B" w:rsidRPr="0083687B" w:rsidRDefault="0083687B" w:rsidP="00EB3350">
            <w:pPr>
              <w:widowControl w:val="0"/>
              <w:autoSpaceDE w:val="0"/>
              <w:autoSpaceDN w:val="0"/>
              <w:adjustRightInd w:val="0"/>
              <w:ind w:left="567" w:hanging="567"/>
              <w:jc w:val="both"/>
              <w:rPr>
                <w:sz w:val="22"/>
                <w:szCs w:val="22"/>
              </w:rPr>
            </w:pPr>
            <w:r w:rsidRPr="0083687B">
              <w:rPr>
                <w:sz w:val="22"/>
                <w:szCs w:val="22"/>
              </w:rPr>
              <w:t>12 mjeseci</w:t>
            </w:r>
          </w:p>
          <w:p w14:paraId="1089A3E0" w14:textId="77777777" w:rsidR="0083687B" w:rsidRPr="0083687B" w:rsidRDefault="0083687B" w:rsidP="00EB3350">
            <w:pPr>
              <w:widowControl w:val="0"/>
              <w:autoSpaceDE w:val="0"/>
              <w:autoSpaceDN w:val="0"/>
              <w:adjustRightInd w:val="0"/>
              <w:ind w:left="567" w:hanging="567"/>
              <w:jc w:val="both"/>
              <w:rPr>
                <w:sz w:val="22"/>
                <w:szCs w:val="22"/>
              </w:rPr>
            </w:pPr>
          </w:p>
          <w:p w14:paraId="0B608E49" w14:textId="77777777" w:rsidR="0083687B" w:rsidRPr="0083687B" w:rsidRDefault="0083687B" w:rsidP="00EB3350">
            <w:pPr>
              <w:widowControl w:val="0"/>
              <w:autoSpaceDE w:val="0"/>
              <w:autoSpaceDN w:val="0"/>
              <w:adjustRightInd w:val="0"/>
              <w:ind w:left="567" w:hanging="567"/>
              <w:jc w:val="both"/>
              <w:rPr>
                <w:sz w:val="22"/>
                <w:szCs w:val="22"/>
              </w:rPr>
            </w:pPr>
            <w:r w:rsidRPr="0083687B">
              <w:rPr>
                <w:sz w:val="22"/>
                <w:szCs w:val="22"/>
              </w:rPr>
              <w:t>ACR 50</w:t>
            </w:r>
          </w:p>
          <w:p w14:paraId="123F4C0E" w14:textId="77777777" w:rsidR="0083687B" w:rsidRPr="0083687B" w:rsidRDefault="0083687B" w:rsidP="00EB3350">
            <w:pPr>
              <w:widowControl w:val="0"/>
              <w:autoSpaceDE w:val="0"/>
              <w:autoSpaceDN w:val="0"/>
              <w:adjustRightInd w:val="0"/>
              <w:ind w:left="567" w:hanging="567"/>
              <w:jc w:val="both"/>
              <w:rPr>
                <w:sz w:val="22"/>
                <w:szCs w:val="22"/>
              </w:rPr>
            </w:pPr>
            <w:r w:rsidRPr="0083687B">
              <w:rPr>
                <w:sz w:val="22"/>
                <w:szCs w:val="22"/>
              </w:rPr>
              <w:t>6 mjeseci</w:t>
            </w:r>
          </w:p>
          <w:p w14:paraId="21557E25" w14:textId="77777777" w:rsidR="0083687B" w:rsidRPr="0083687B" w:rsidRDefault="0083687B" w:rsidP="00EB3350">
            <w:pPr>
              <w:widowControl w:val="0"/>
              <w:autoSpaceDE w:val="0"/>
              <w:autoSpaceDN w:val="0"/>
              <w:adjustRightInd w:val="0"/>
              <w:ind w:left="567" w:hanging="567"/>
              <w:jc w:val="both"/>
              <w:rPr>
                <w:sz w:val="22"/>
                <w:szCs w:val="22"/>
              </w:rPr>
            </w:pPr>
            <w:r w:rsidRPr="0083687B">
              <w:rPr>
                <w:sz w:val="22"/>
                <w:szCs w:val="22"/>
              </w:rPr>
              <w:t>12 mjeseci</w:t>
            </w:r>
          </w:p>
          <w:p w14:paraId="67D508BD" w14:textId="77777777" w:rsidR="0083687B" w:rsidRPr="0083687B" w:rsidRDefault="0083687B" w:rsidP="00EB3350">
            <w:pPr>
              <w:widowControl w:val="0"/>
              <w:autoSpaceDE w:val="0"/>
              <w:autoSpaceDN w:val="0"/>
              <w:adjustRightInd w:val="0"/>
              <w:ind w:left="567" w:hanging="567"/>
              <w:jc w:val="both"/>
              <w:rPr>
                <w:sz w:val="22"/>
                <w:szCs w:val="22"/>
              </w:rPr>
            </w:pPr>
          </w:p>
          <w:p w14:paraId="72BD1672" w14:textId="77777777" w:rsidR="0083687B" w:rsidRPr="0083687B" w:rsidRDefault="0083687B" w:rsidP="00EB3350">
            <w:pPr>
              <w:widowControl w:val="0"/>
              <w:autoSpaceDE w:val="0"/>
              <w:autoSpaceDN w:val="0"/>
              <w:adjustRightInd w:val="0"/>
              <w:ind w:left="567" w:hanging="567"/>
              <w:jc w:val="both"/>
              <w:rPr>
                <w:sz w:val="22"/>
                <w:szCs w:val="22"/>
              </w:rPr>
            </w:pPr>
            <w:r w:rsidRPr="0083687B">
              <w:rPr>
                <w:sz w:val="22"/>
                <w:szCs w:val="22"/>
              </w:rPr>
              <w:t>ACR 70</w:t>
            </w:r>
          </w:p>
          <w:p w14:paraId="5B1300CF" w14:textId="77777777" w:rsidR="0083687B" w:rsidRPr="0083687B" w:rsidRDefault="0083687B" w:rsidP="00EB3350">
            <w:pPr>
              <w:widowControl w:val="0"/>
              <w:autoSpaceDE w:val="0"/>
              <w:autoSpaceDN w:val="0"/>
              <w:adjustRightInd w:val="0"/>
              <w:ind w:left="567" w:hanging="567"/>
              <w:jc w:val="both"/>
              <w:rPr>
                <w:sz w:val="22"/>
                <w:szCs w:val="22"/>
              </w:rPr>
            </w:pPr>
            <w:r w:rsidRPr="0083687B">
              <w:rPr>
                <w:sz w:val="22"/>
                <w:szCs w:val="22"/>
              </w:rPr>
              <w:t>6 mjeseci</w:t>
            </w:r>
          </w:p>
          <w:p w14:paraId="0312E689" w14:textId="77777777" w:rsidR="0083687B" w:rsidRPr="0083687B" w:rsidRDefault="0083687B" w:rsidP="00EB3350">
            <w:pPr>
              <w:widowControl w:val="0"/>
              <w:autoSpaceDE w:val="0"/>
              <w:autoSpaceDN w:val="0"/>
              <w:adjustRightInd w:val="0"/>
              <w:ind w:left="567" w:hanging="567"/>
              <w:jc w:val="both"/>
              <w:rPr>
                <w:sz w:val="22"/>
                <w:szCs w:val="22"/>
              </w:rPr>
            </w:pPr>
            <w:r w:rsidRPr="0083687B">
              <w:rPr>
                <w:sz w:val="22"/>
                <w:szCs w:val="22"/>
              </w:rPr>
              <w:t>12 mjeseci</w:t>
            </w:r>
          </w:p>
        </w:tc>
        <w:tc>
          <w:tcPr>
            <w:tcW w:w="2348" w:type="dxa"/>
            <w:tcBorders>
              <w:top w:val="single" w:sz="8" w:space="0" w:color="000000"/>
              <w:left w:val="single" w:sz="8" w:space="0" w:color="000000"/>
              <w:bottom w:val="single" w:sz="8" w:space="0" w:color="000000"/>
              <w:right w:val="single" w:sz="8" w:space="0" w:color="000000"/>
            </w:tcBorders>
          </w:tcPr>
          <w:p w14:paraId="0722C760" w14:textId="77777777" w:rsidR="0083687B" w:rsidRPr="0083687B" w:rsidRDefault="0083687B" w:rsidP="00730D96">
            <w:pPr>
              <w:widowControl w:val="0"/>
              <w:autoSpaceDE w:val="0"/>
              <w:autoSpaceDN w:val="0"/>
              <w:adjustRightInd w:val="0"/>
              <w:ind w:left="567" w:hanging="567"/>
              <w:jc w:val="both"/>
              <w:rPr>
                <w:sz w:val="22"/>
                <w:szCs w:val="22"/>
              </w:rPr>
            </w:pPr>
          </w:p>
          <w:p w14:paraId="5C476ACB"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13,3 %      65,1 %</w:t>
            </w:r>
          </w:p>
          <w:p w14:paraId="3AD8D211"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NA             NA</w:t>
            </w:r>
          </w:p>
          <w:p w14:paraId="2AFFA90C" w14:textId="77777777" w:rsidR="0083687B" w:rsidRPr="0083687B" w:rsidRDefault="0083687B">
            <w:pPr>
              <w:widowControl w:val="0"/>
              <w:autoSpaceDE w:val="0"/>
              <w:autoSpaceDN w:val="0"/>
              <w:adjustRightInd w:val="0"/>
              <w:ind w:left="567" w:hanging="567"/>
              <w:jc w:val="both"/>
              <w:rPr>
                <w:sz w:val="22"/>
                <w:szCs w:val="22"/>
              </w:rPr>
            </w:pPr>
          </w:p>
          <w:p w14:paraId="2D050727" w14:textId="77777777" w:rsidR="0083687B" w:rsidRPr="0083687B" w:rsidRDefault="0083687B">
            <w:pPr>
              <w:widowControl w:val="0"/>
              <w:autoSpaceDE w:val="0"/>
              <w:autoSpaceDN w:val="0"/>
              <w:adjustRightInd w:val="0"/>
              <w:ind w:left="567" w:hanging="567"/>
              <w:jc w:val="both"/>
              <w:rPr>
                <w:sz w:val="22"/>
                <w:szCs w:val="22"/>
              </w:rPr>
            </w:pPr>
          </w:p>
          <w:p w14:paraId="34F03C2F"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6,7 %        52,4 %</w:t>
            </w:r>
          </w:p>
          <w:p w14:paraId="7F41A8D1"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NA            NA</w:t>
            </w:r>
          </w:p>
          <w:p w14:paraId="14F660A6" w14:textId="77777777" w:rsidR="0083687B" w:rsidRPr="0083687B" w:rsidRDefault="0083687B">
            <w:pPr>
              <w:widowControl w:val="0"/>
              <w:autoSpaceDE w:val="0"/>
              <w:autoSpaceDN w:val="0"/>
              <w:adjustRightInd w:val="0"/>
              <w:ind w:left="567" w:hanging="567"/>
              <w:jc w:val="both"/>
              <w:rPr>
                <w:sz w:val="22"/>
                <w:szCs w:val="22"/>
              </w:rPr>
            </w:pPr>
          </w:p>
          <w:p w14:paraId="4AE68A8F" w14:textId="77777777" w:rsidR="0083687B" w:rsidRPr="0083687B" w:rsidRDefault="0083687B">
            <w:pPr>
              <w:widowControl w:val="0"/>
              <w:autoSpaceDE w:val="0"/>
              <w:autoSpaceDN w:val="0"/>
              <w:adjustRightInd w:val="0"/>
              <w:ind w:left="567" w:hanging="567"/>
              <w:jc w:val="both"/>
              <w:rPr>
                <w:sz w:val="22"/>
                <w:szCs w:val="22"/>
              </w:rPr>
            </w:pPr>
          </w:p>
          <w:p w14:paraId="095E6A04"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3,3 %       23,8 %</w:t>
            </w:r>
          </w:p>
          <w:p w14:paraId="0615DBAC"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NA            NA</w:t>
            </w:r>
          </w:p>
        </w:tc>
        <w:tc>
          <w:tcPr>
            <w:tcW w:w="2119" w:type="dxa"/>
            <w:tcBorders>
              <w:top w:val="single" w:sz="8" w:space="0" w:color="000000"/>
              <w:left w:val="single" w:sz="8" w:space="0" w:color="000000"/>
              <w:bottom w:val="single" w:sz="8" w:space="0" w:color="000000"/>
              <w:right w:val="single" w:sz="8" w:space="0" w:color="000000"/>
            </w:tcBorders>
          </w:tcPr>
          <w:p w14:paraId="0F98FC27" w14:textId="77777777" w:rsidR="0083687B" w:rsidRPr="0083687B" w:rsidRDefault="0083687B">
            <w:pPr>
              <w:widowControl w:val="0"/>
              <w:autoSpaceDE w:val="0"/>
              <w:autoSpaceDN w:val="0"/>
              <w:adjustRightInd w:val="0"/>
              <w:ind w:left="567" w:hanging="567"/>
              <w:jc w:val="both"/>
              <w:rPr>
                <w:sz w:val="22"/>
                <w:szCs w:val="22"/>
              </w:rPr>
            </w:pPr>
          </w:p>
          <w:p w14:paraId="7B0E0D27"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19,1 %      46,0 %</w:t>
            </w:r>
          </w:p>
          <w:p w14:paraId="651B78B8"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NA            NA</w:t>
            </w:r>
          </w:p>
          <w:p w14:paraId="69F305E1" w14:textId="77777777" w:rsidR="0083687B" w:rsidRPr="0083687B" w:rsidRDefault="0083687B">
            <w:pPr>
              <w:widowControl w:val="0"/>
              <w:autoSpaceDE w:val="0"/>
              <w:autoSpaceDN w:val="0"/>
              <w:adjustRightInd w:val="0"/>
              <w:ind w:left="567" w:hanging="567"/>
              <w:jc w:val="both"/>
              <w:rPr>
                <w:sz w:val="22"/>
                <w:szCs w:val="22"/>
              </w:rPr>
            </w:pPr>
          </w:p>
          <w:p w14:paraId="2B357D2E" w14:textId="77777777" w:rsidR="0083687B" w:rsidRPr="0083687B" w:rsidRDefault="0083687B">
            <w:pPr>
              <w:widowControl w:val="0"/>
              <w:autoSpaceDE w:val="0"/>
              <w:autoSpaceDN w:val="0"/>
              <w:adjustRightInd w:val="0"/>
              <w:ind w:left="567" w:hanging="567"/>
              <w:jc w:val="both"/>
              <w:rPr>
                <w:sz w:val="22"/>
                <w:szCs w:val="22"/>
              </w:rPr>
            </w:pPr>
          </w:p>
          <w:p w14:paraId="3E100B87"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8,2 %        22,1 %</w:t>
            </w:r>
          </w:p>
          <w:p w14:paraId="08970E44"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NA            NA</w:t>
            </w:r>
          </w:p>
          <w:p w14:paraId="260B007A" w14:textId="77777777" w:rsidR="0083687B" w:rsidRPr="0083687B" w:rsidRDefault="0083687B">
            <w:pPr>
              <w:widowControl w:val="0"/>
              <w:autoSpaceDE w:val="0"/>
              <w:autoSpaceDN w:val="0"/>
              <w:adjustRightInd w:val="0"/>
              <w:ind w:left="567" w:hanging="567"/>
              <w:jc w:val="both"/>
              <w:rPr>
                <w:sz w:val="22"/>
                <w:szCs w:val="22"/>
              </w:rPr>
            </w:pPr>
          </w:p>
          <w:p w14:paraId="0F1DFD86" w14:textId="77777777" w:rsidR="0083687B" w:rsidRPr="0083687B" w:rsidRDefault="0083687B">
            <w:pPr>
              <w:widowControl w:val="0"/>
              <w:autoSpaceDE w:val="0"/>
              <w:autoSpaceDN w:val="0"/>
              <w:adjustRightInd w:val="0"/>
              <w:ind w:left="567" w:hanging="567"/>
              <w:jc w:val="both"/>
              <w:rPr>
                <w:sz w:val="22"/>
                <w:szCs w:val="22"/>
              </w:rPr>
            </w:pPr>
          </w:p>
          <w:p w14:paraId="0C93AFCF"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1,8 %       12,4 %</w:t>
            </w:r>
          </w:p>
          <w:p w14:paraId="18CC5F89"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NA            NA</w:t>
            </w:r>
          </w:p>
        </w:tc>
        <w:tc>
          <w:tcPr>
            <w:tcW w:w="2568" w:type="dxa"/>
            <w:tcBorders>
              <w:top w:val="single" w:sz="8" w:space="0" w:color="000000"/>
              <w:left w:val="single" w:sz="8" w:space="0" w:color="000000"/>
              <w:bottom w:val="single" w:sz="8" w:space="0" w:color="000000"/>
              <w:right w:val="single" w:sz="8" w:space="0" w:color="000000"/>
            </w:tcBorders>
          </w:tcPr>
          <w:p w14:paraId="7379BB3F" w14:textId="77777777" w:rsidR="0083687B" w:rsidRPr="0083687B" w:rsidRDefault="0083687B">
            <w:pPr>
              <w:widowControl w:val="0"/>
              <w:autoSpaceDE w:val="0"/>
              <w:autoSpaceDN w:val="0"/>
              <w:adjustRightInd w:val="0"/>
              <w:ind w:left="567" w:hanging="567"/>
              <w:jc w:val="both"/>
              <w:rPr>
                <w:sz w:val="22"/>
                <w:szCs w:val="22"/>
              </w:rPr>
            </w:pPr>
          </w:p>
          <w:p w14:paraId="20114DBC"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29,5 %         63,3 %</w:t>
            </w:r>
          </w:p>
          <w:p w14:paraId="52DFE3DC"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24,0 %         58,9 %</w:t>
            </w:r>
          </w:p>
          <w:p w14:paraId="72356275" w14:textId="77777777" w:rsidR="0083687B" w:rsidRPr="0083687B" w:rsidRDefault="0083687B">
            <w:pPr>
              <w:widowControl w:val="0"/>
              <w:autoSpaceDE w:val="0"/>
              <w:autoSpaceDN w:val="0"/>
              <w:adjustRightInd w:val="0"/>
              <w:ind w:left="567" w:hanging="567"/>
              <w:jc w:val="both"/>
              <w:rPr>
                <w:sz w:val="22"/>
                <w:szCs w:val="22"/>
              </w:rPr>
            </w:pPr>
          </w:p>
          <w:p w14:paraId="050F2628" w14:textId="77777777" w:rsidR="0083687B" w:rsidRPr="0083687B" w:rsidRDefault="0083687B">
            <w:pPr>
              <w:widowControl w:val="0"/>
              <w:autoSpaceDE w:val="0"/>
              <w:autoSpaceDN w:val="0"/>
              <w:adjustRightInd w:val="0"/>
              <w:ind w:left="567" w:hanging="567"/>
              <w:jc w:val="both"/>
              <w:rPr>
                <w:sz w:val="22"/>
                <w:szCs w:val="22"/>
              </w:rPr>
            </w:pPr>
          </w:p>
          <w:p w14:paraId="3137858E"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9,5 %           39,1 %</w:t>
            </w:r>
          </w:p>
          <w:p w14:paraId="3A0B54D4"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9,5 %           41,5 %</w:t>
            </w:r>
          </w:p>
          <w:p w14:paraId="5FC2245A" w14:textId="77777777" w:rsidR="0083687B" w:rsidRPr="0083687B" w:rsidRDefault="0083687B">
            <w:pPr>
              <w:widowControl w:val="0"/>
              <w:autoSpaceDE w:val="0"/>
              <w:autoSpaceDN w:val="0"/>
              <w:adjustRightInd w:val="0"/>
              <w:ind w:left="567" w:hanging="567"/>
              <w:jc w:val="both"/>
              <w:rPr>
                <w:sz w:val="22"/>
                <w:szCs w:val="22"/>
              </w:rPr>
            </w:pPr>
          </w:p>
          <w:p w14:paraId="35F97AA5" w14:textId="77777777" w:rsidR="0083687B" w:rsidRPr="0083687B" w:rsidRDefault="0083687B">
            <w:pPr>
              <w:widowControl w:val="0"/>
              <w:autoSpaceDE w:val="0"/>
              <w:autoSpaceDN w:val="0"/>
              <w:adjustRightInd w:val="0"/>
              <w:ind w:left="567" w:hanging="567"/>
              <w:jc w:val="both"/>
              <w:rPr>
                <w:sz w:val="22"/>
                <w:szCs w:val="22"/>
              </w:rPr>
            </w:pPr>
          </w:p>
          <w:p w14:paraId="3EE2DFA3"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2,5 %          20,8 %</w:t>
            </w:r>
          </w:p>
          <w:p w14:paraId="20AA45EF"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4,5 %          23,2 %</w:t>
            </w:r>
          </w:p>
        </w:tc>
      </w:tr>
    </w:tbl>
    <w:p w14:paraId="098647E2" w14:textId="77777777" w:rsidR="0083687B" w:rsidRPr="0083687B" w:rsidRDefault="0083687B" w:rsidP="00730D96">
      <w:pPr>
        <w:widowControl w:val="0"/>
        <w:autoSpaceDE w:val="0"/>
        <w:autoSpaceDN w:val="0"/>
        <w:adjustRightInd w:val="0"/>
        <w:jc w:val="both"/>
        <w:rPr>
          <w:sz w:val="22"/>
          <w:szCs w:val="22"/>
        </w:rPr>
      </w:pPr>
      <w:r w:rsidRPr="0083687B">
        <w:rPr>
          <w:position w:val="8"/>
          <w:sz w:val="22"/>
          <w:szCs w:val="22"/>
          <w:vertAlign w:val="superscript"/>
        </w:rPr>
        <w:t>a</w:t>
      </w:r>
      <w:r w:rsidRPr="0083687B">
        <w:rPr>
          <w:sz w:val="22"/>
          <w:szCs w:val="22"/>
        </w:rPr>
        <w:t>RA ispitivanje I nakon 24 nedjelje, RA ispitivanje II nakon 26 nedjelja, RA ispitivanje III nakon 24 nedjelje i nakon 52 nedjelje</w:t>
      </w:r>
    </w:p>
    <w:p w14:paraId="7F8062B8" w14:textId="77777777" w:rsidR="0083687B" w:rsidRPr="0083687B" w:rsidRDefault="0083687B">
      <w:pPr>
        <w:widowControl w:val="0"/>
        <w:autoSpaceDE w:val="0"/>
        <w:autoSpaceDN w:val="0"/>
        <w:adjustRightInd w:val="0"/>
        <w:ind w:left="567" w:hanging="567"/>
        <w:jc w:val="both"/>
        <w:rPr>
          <w:sz w:val="22"/>
          <w:szCs w:val="22"/>
        </w:rPr>
      </w:pPr>
      <w:proofErr w:type="gramStart"/>
      <w:r w:rsidRPr="0083687B">
        <w:rPr>
          <w:position w:val="8"/>
          <w:sz w:val="22"/>
          <w:szCs w:val="22"/>
          <w:vertAlign w:val="superscript"/>
        </w:rPr>
        <w:t>b</w:t>
      </w:r>
      <w:r w:rsidRPr="0083687B">
        <w:rPr>
          <w:sz w:val="22"/>
          <w:szCs w:val="22"/>
        </w:rPr>
        <w:t>40</w:t>
      </w:r>
      <w:proofErr w:type="gramEnd"/>
      <w:r w:rsidRPr="0083687B">
        <w:rPr>
          <w:sz w:val="22"/>
          <w:szCs w:val="22"/>
        </w:rPr>
        <w:t xml:space="preserve"> mg lijeka Humira primijenjeno svake druge nedjelje</w:t>
      </w:r>
    </w:p>
    <w:p w14:paraId="7B5820D4" w14:textId="77777777" w:rsidR="0083687B" w:rsidRPr="0083687B" w:rsidRDefault="0083687B">
      <w:pPr>
        <w:widowControl w:val="0"/>
        <w:autoSpaceDE w:val="0"/>
        <w:autoSpaceDN w:val="0"/>
        <w:adjustRightInd w:val="0"/>
        <w:ind w:left="567" w:hanging="567"/>
        <w:jc w:val="both"/>
        <w:rPr>
          <w:sz w:val="22"/>
          <w:szCs w:val="22"/>
        </w:rPr>
      </w:pPr>
      <w:proofErr w:type="gramStart"/>
      <w:r w:rsidRPr="0083687B">
        <w:rPr>
          <w:position w:val="8"/>
          <w:sz w:val="22"/>
          <w:szCs w:val="22"/>
          <w:vertAlign w:val="superscript"/>
        </w:rPr>
        <w:t>c</w:t>
      </w:r>
      <w:r w:rsidRPr="0083687B">
        <w:rPr>
          <w:sz w:val="22"/>
          <w:szCs w:val="22"/>
        </w:rPr>
        <w:t>MTX</w:t>
      </w:r>
      <w:proofErr w:type="gramEnd"/>
      <w:r w:rsidRPr="0083687B">
        <w:rPr>
          <w:sz w:val="22"/>
          <w:szCs w:val="22"/>
        </w:rPr>
        <w:t xml:space="preserve"> = metotreksat</w:t>
      </w:r>
    </w:p>
    <w:p w14:paraId="7EF06C1C"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**p&lt;0</w:t>
      </w:r>
      <w:proofErr w:type="gramStart"/>
      <w:r w:rsidRPr="0083687B">
        <w:rPr>
          <w:sz w:val="22"/>
          <w:szCs w:val="22"/>
        </w:rPr>
        <w:t>,01</w:t>
      </w:r>
      <w:proofErr w:type="gramEnd"/>
      <w:r w:rsidRPr="0083687B">
        <w:rPr>
          <w:sz w:val="22"/>
          <w:szCs w:val="22"/>
        </w:rPr>
        <w:t>, lijek Humira u poređenju sa placebom</w:t>
      </w:r>
    </w:p>
    <w:p w14:paraId="68705B31" w14:textId="77777777" w:rsidR="0083687B" w:rsidRPr="0083687B" w:rsidRDefault="0083687B">
      <w:pPr>
        <w:widowControl w:val="0"/>
        <w:autoSpaceDE w:val="0"/>
        <w:autoSpaceDN w:val="0"/>
        <w:adjustRightInd w:val="0"/>
        <w:ind w:left="567" w:hanging="567"/>
        <w:jc w:val="both"/>
        <w:rPr>
          <w:sz w:val="22"/>
          <w:szCs w:val="22"/>
        </w:rPr>
      </w:pPr>
    </w:p>
    <w:p w14:paraId="39674BBB"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 RA ispitivanjima I – IV, sve pojedinačne komponente kriterijuma ACR odgovora (broj bolnih i otečenih zglobova, ljekarska i pacijentova ocjena aktivnosti bolesti i bola, indeks funkcionalne nesposobnosti (HAQ) i nivoa CRP-a (mg/dl)) pokazale su poboljšanje nakon 24 </w:t>
      </w:r>
      <w:proofErr w:type="gramStart"/>
      <w:r w:rsidRPr="0083687B">
        <w:rPr>
          <w:sz w:val="22"/>
          <w:szCs w:val="22"/>
        </w:rPr>
        <w:t>ili</w:t>
      </w:r>
      <w:proofErr w:type="gramEnd"/>
      <w:r w:rsidRPr="0083687B">
        <w:rPr>
          <w:sz w:val="22"/>
          <w:szCs w:val="22"/>
        </w:rPr>
        <w:t xml:space="preserve"> 26 nedjelja primjene lijeka Humira u odnosu na placebo. U RA ispitivanju III, to se poboljšanje održalo 52 nedjelje. </w:t>
      </w:r>
    </w:p>
    <w:p w14:paraId="4AD1121C" w14:textId="77777777" w:rsidR="0083687B" w:rsidRPr="0083687B" w:rsidRDefault="0083687B">
      <w:pPr>
        <w:widowControl w:val="0"/>
        <w:autoSpaceDE w:val="0"/>
        <w:autoSpaceDN w:val="0"/>
        <w:adjustRightInd w:val="0"/>
        <w:jc w:val="both"/>
        <w:rPr>
          <w:sz w:val="22"/>
          <w:szCs w:val="22"/>
        </w:rPr>
      </w:pPr>
    </w:p>
    <w:p w14:paraId="51B09975" w14:textId="77777777" w:rsidR="0083687B" w:rsidRPr="0083687B" w:rsidRDefault="0083687B">
      <w:pPr>
        <w:widowControl w:val="0"/>
        <w:autoSpaceDE w:val="0"/>
        <w:autoSpaceDN w:val="0"/>
        <w:adjustRightInd w:val="0"/>
        <w:jc w:val="both"/>
        <w:rPr>
          <w:sz w:val="22"/>
          <w:szCs w:val="22"/>
        </w:rPr>
      </w:pPr>
      <w:r w:rsidRPr="0083687B">
        <w:rPr>
          <w:sz w:val="22"/>
          <w:szCs w:val="22"/>
        </w:rPr>
        <w:t>Kod većine pacijenata postignut ACR odgovor je zadržan u produženoj otvorenoj fazi RA III kada su praćeni do 10 godina. Od 207 pacijenata koji su bili randomizovani i bili na terapiji lijekom Humira 40 mg svake dvije nedjelje, nastavilo je 114 pacijenata sa terapijom lijekom Humira 40 mg svake dvije nedjelje tokom 5 godina. Među njima je 86 (75</w:t>
      </w:r>
      <w:proofErr w:type="gramStart"/>
      <w:r w:rsidRPr="0083687B">
        <w:rPr>
          <w:sz w:val="22"/>
          <w:szCs w:val="22"/>
        </w:rPr>
        <w:t>,4</w:t>
      </w:r>
      <w:proofErr w:type="gramEnd"/>
      <w:r w:rsidRPr="0083687B">
        <w:rPr>
          <w:sz w:val="22"/>
          <w:szCs w:val="22"/>
        </w:rPr>
        <w:t xml:space="preserve">%) odnosno 72 (63,2%) odnosno 41 (36%) pacijenata imalo odgovor ACR 20, ACR 50, odnosno ACR 70. Kroz 10 godina terapije lijekom Humira 40 mg svake dvije nedjelje nastavilo je 81 </w:t>
      </w:r>
      <w:proofErr w:type="gramStart"/>
      <w:r w:rsidRPr="0083687B">
        <w:rPr>
          <w:sz w:val="22"/>
          <w:szCs w:val="22"/>
        </w:rPr>
        <w:t>od</w:t>
      </w:r>
      <w:proofErr w:type="gramEnd"/>
      <w:r w:rsidRPr="0083687B">
        <w:rPr>
          <w:sz w:val="22"/>
          <w:szCs w:val="22"/>
        </w:rPr>
        <w:t xml:space="preserve"> 207 pacijenata. Među njima je njih 64 (79%), odnosno 56 (69</w:t>
      </w:r>
      <w:proofErr w:type="gramStart"/>
      <w:r w:rsidRPr="0083687B">
        <w:rPr>
          <w:sz w:val="22"/>
          <w:szCs w:val="22"/>
        </w:rPr>
        <w:t>,1</w:t>
      </w:r>
      <w:proofErr w:type="gramEnd"/>
      <w:r w:rsidRPr="0083687B">
        <w:rPr>
          <w:sz w:val="22"/>
          <w:szCs w:val="22"/>
        </w:rPr>
        <w:t>%), odnosno 43 (53,1%) imalo odgovor ACR 20, ACR 50, odnosno ACR 70.</w:t>
      </w:r>
    </w:p>
    <w:p w14:paraId="7EFBFCCF" w14:textId="77777777" w:rsidR="0083687B" w:rsidRPr="0083687B" w:rsidRDefault="0083687B">
      <w:pPr>
        <w:widowControl w:val="0"/>
        <w:autoSpaceDE w:val="0"/>
        <w:autoSpaceDN w:val="0"/>
        <w:adjustRightInd w:val="0"/>
        <w:jc w:val="both"/>
        <w:rPr>
          <w:sz w:val="22"/>
          <w:szCs w:val="22"/>
        </w:rPr>
      </w:pPr>
    </w:p>
    <w:p w14:paraId="241E9334" w14:textId="77777777" w:rsidR="0083687B" w:rsidRPr="0083687B" w:rsidRDefault="0083687B">
      <w:pPr>
        <w:widowControl w:val="0"/>
        <w:autoSpaceDE w:val="0"/>
        <w:autoSpaceDN w:val="0"/>
        <w:adjustRightInd w:val="0"/>
        <w:jc w:val="both"/>
        <w:rPr>
          <w:sz w:val="22"/>
          <w:szCs w:val="22"/>
        </w:rPr>
      </w:pPr>
      <w:r w:rsidRPr="0083687B">
        <w:rPr>
          <w:sz w:val="22"/>
          <w:szCs w:val="22"/>
        </w:rPr>
        <w:t>U  RA ispitivanju IV, ACR 20 odgovor pacijenata liječenih lijekom Humira uz standardnu njegu bio je statistički značajno bolji nego kod pacijenata liječenih placebom uz standardnu njegu (p&lt;0,001).</w:t>
      </w:r>
    </w:p>
    <w:p w14:paraId="4401EB10" w14:textId="77777777" w:rsidR="0083687B" w:rsidRPr="0083687B" w:rsidRDefault="0083687B">
      <w:pPr>
        <w:widowControl w:val="0"/>
        <w:autoSpaceDE w:val="0"/>
        <w:autoSpaceDN w:val="0"/>
        <w:adjustRightInd w:val="0"/>
        <w:jc w:val="both"/>
        <w:rPr>
          <w:sz w:val="22"/>
          <w:szCs w:val="22"/>
        </w:rPr>
      </w:pPr>
    </w:p>
    <w:p w14:paraId="18A38EFF" w14:textId="77777777" w:rsidR="0083687B" w:rsidRPr="0083687B" w:rsidRDefault="0083687B">
      <w:pPr>
        <w:widowControl w:val="0"/>
        <w:autoSpaceDE w:val="0"/>
        <w:autoSpaceDN w:val="0"/>
        <w:adjustRightInd w:val="0"/>
        <w:jc w:val="both"/>
        <w:rPr>
          <w:sz w:val="22"/>
          <w:szCs w:val="22"/>
        </w:rPr>
      </w:pPr>
      <w:r w:rsidRPr="0083687B">
        <w:rPr>
          <w:sz w:val="22"/>
          <w:szCs w:val="22"/>
        </w:rPr>
        <w:t>U  RA ispitivanjima I – IV, pacijenti liječeni lijekom Humira postigli su statistički značajno bolje odgovore ACR 20 i 50 u poređenju sa placebom već jednu do dvije nedjelje nakon početka liječenja.</w:t>
      </w:r>
    </w:p>
    <w:p w14:paraId="55B1795E" w14:textId="77777777" w:rsidR="0083687B" w:rsidRPr="0083687B" w:rsidRDefault="0083687B">
      <w:pPr>
        <w:widowControl w:val="0"/>
        <w:autoSpaceDE w:val="0"/>
        <w:autoSpaceDN w:val="0"/>
        <w:adjustRightInd w:val="0"/>
        <w:jc w:val="both"/>
        <w:rPr>
          <w:sz w:val="22"/>
          <w:szCs w:val="22"/>
        </w:rPr>
      </w:pPr>
    </w:p>
    <w:p w14:paraId="1489F5D9"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  RA ispitivanju V kojim su obuhvaćeni pacijenti u ranoj fazi reumatoidnog artritisa koji do tada nisu bili liječeni metotreksatom, kombinovanom primjenom lijeka Humira i metotreksata tokom 52 nedjelje postignut je brži i statistički značajno bolji ACR odgovor nego uz monoterapiju metotreksatom, odnosno lijekom Humira. Postignuti ACR odgovor nije se mijenjao tokom 104 nedjelje liječenja (Tabela 8). </w:t>
      </w:r>
    </w:p>
    <w:p w14:paraId="14DD44F8" w14:textId="77777777" w:rsidR="00EB7E86" w:rsidRDefault="00EB7E86" w:rsidP="00EB3350">
      <w:pPr>
        <w:widowControl w:val="0"/>
        <w:autoSpaceDE w:val="0"/>
        <w:autoSpaceDN w:val="0"/>
        <w:adjustRightInd w:val="0"/>
        <w:jc w:val="both"/>
        <w:rPr>
          <w:b/>
          <w:bCs/>
          <w:sz w:val="22"/>
          <w:szCs w:val="22"/>
        </w:rPr>
      </w:pPr>
    </w:p>
    <w:p w14:paraId="0BA9527D" w14:textId="45B6E789" w:rsidR="0083687B" w:rsidRPr="0083687B" w:rsidRDefault="0083687B" w:rsidP="00EB3350">
      <w:pPr>
        <w:widowControl w:val="0"/>
        <w:autoSpaceDE w:val="0"/>
        <w:autoSpaceDN w:val="0"/>
        <w:adjustRightInd w:val="0"/>
        <w:jc w:val="both"/>
        <w:rPr>
          <w:b/>
          <w:bCs/>
          <w:sz w:val="22"/>
          <w:szCs w:val="22"/>
        </w:rPr>
      </w:pPr>
      <w:r w:rsidRPr="0083687B">
        <w:rPr>
          <w:b/>
          <w:bCs/>
          <w:sz w:val="22"/>
          <w:szCs w:val="22"/>
        </w:rPr>
        <w:t>Tabela 8. ACR odgovori pacijenata u RA ispitivanju V (procenat pacijenata)</w:t>
      </w:r>
    </w:p>
    <w:p w14:paraId="79CE31EA" w14:textId="77777777" w:rsidR="0083687B" w:rsidRPr="0083687B" w:rsidRDefault="0083687B" w:rsidP="00730D96">
      <w:pPr>
        <w:widowControl w:val="0"/>
        <w:autoSpaceDE w:val="0"/>
        <w:autoSpaceDN w:val="0"/>
        <w:adjustRightInd w:val="0"/>
        <w:ind w:left="567" w:hanging="567"/>
        <w:jc w:val="both"/>
        <w:rPr>
          <w:sz w:val="22"/>
          <w:szCs w:val="22"/>
        </w:rPr>
      </w:pPr>
    </w:p>
    <w:tbl>
      <w:tblPr>
        <w:tblW w:w="0" w:type="auto"/>
        <w:tblInd w:w="10" w:type="dxa"/>
        <w:tblLayout w:type="fixed"/>
        <w:tblCellMar>
          <w:left w:w="0" w:type="dxa"/>
        </w:tblCellMar>
        <w:tblLook w:val="0000" w:firstRow="0" w:lastRow="0" w:firstColumn="0" w:lastColumn="0" w:noHBand="0" w:noVBand="0"/>
      </w:tblPr>
      <w:tblGrid>
        <w:gridCol w:w="1843"/>
        <w:gridCol w:w="851"/>
        <w:gridCol w:w="992"/>
        <w:gridCol w:w="1276"/>
        <w:gridCol w:w="1275"/>
        <w:gridCol w:w="1418"/>
        <w:gridCol w:w="1440"/>
      </w:tblGrid>
      <w:tr w:rsidR="0083687B" w:rsidRPr="0083687B" w14:paraId="04849D15" w14:textId="77777777" w:rsidTr="0088568A">
        <w:trPr>
          <w:trHeight w:val="306"/>
        </w:trPr>
        <w:tc>
          <w:tcPr>
            <w:tcW w:w="1843" w:type="dxa"/>
            <w:tcBorders>
              <w:top w:val="single" w:sz="8" w:space="0" w:color="000000"/>
              <w:left w:val="single" w:sz="8" w:space="0" w:color="000000"/>
              <w:bottom w:val="single" w:sz="8" w:space="0" w:color="000000"/>
              <w:right w:val="single" w:sz="8" w:space="0" w:color="000000"/>
            </w:tcBorders>
          </w:tcPr>
          <w:p w14:paraId="765DDA29" w14:textId="77777777" w:rsidR="0083687B" w:rsidRPr="0083687B" w:rsidRDefault="0083687B" w:rsidP="00EB3350">
            <w:pPr>
              <w:widowControl w:val="0"/>
              <w:autoSpaceDE w:val="0"/>
              <w:autoSpaceDN w:val="0"/>
              <w:adjustRightInd w:val="0"/>
              <w:ind w:left="567" w:hanging="567"/>
              <w:jc w:val="both"/>
              <w:rPr>
                <w:sz w:val="22"/>
                <w:szCs w:val="22"/>
              </w:rPr>
            </w:pPr>
            <w:r w:rsidRPr="0083687B">
              <w:rPr>
                <w:b/>
                <w:bCs/>
                <w:sz w:val="22"/>
                <w:szCs w:val="22"/>
              </w:rPr>
              <w:t>Odgovor</w:t>
            </w:r>
          </w:p>
        </w:tc>
        <w:tc>
          <w:tcPr>
            <w:tcW w:w="851" w:type="dxa"/>
            <w:tcBorders>
              <w:top w:val="single" w:sz="8" w:space="0" w:color="000000"/>
              <w:left w:val="single" w:sz="8" w:space="0" w:color="000000"/>
              <w:bottom w:val="single" w:sz="8" w:space="0" w:color="000000"/>
              <w:right w:val="single" w:sz="8" w:space="0" w:color="000000"/>
            </w:tcBorders>
          </w:tcPr>
          <w:p w14:paraId="0987565A" w14:textId="77777777" w:rsidR="0083687B" w:rsidRPr="0083687B" w:rsidRDefault="0083687B" w:rsidP="00730D96">
            <w:pPr>
              <w:widowControl w:val="0"/>
              <w:autoSpaceDE w:val="0"/>
              <w:autoSpaceDN w:val="0"/>
              <w:adjustRightInd w:val="0"/>
              <w:ind w:left="567" w:hanging="567"/>
              <w:jc w:val="both"/>
              <w:rPr>
                <w:b/>
                <w:bCs/>
                <w:sz w:val="22"/>
                <w:szCs w:val="22"/>
              </w:rPr>
            </w:pPr>
            <w:r w:rsidRPr="0083687B">
              <w:rPr>
                <w:b/>
                <w:bCs/>
                <w:sz w:val="22"/>
                <w:szCs w:val="22"/>
              </w:rPr>
              <w:t>MTX</w:t>
            </w:r>
          </w:p>
          <w:p w14:paraId="28086D20" w14:textId="77777777" w:rsidR="0083687B" w:rsidRPr="0083687B" w:rsidRDefault="0083687B">
            <w:pPr>
              <w:widowControl w:val="0"/>
              <w:autoSpaceDE w:val="0"/>
              <w:autoSpaceDN w:val="0"/>
              <w:adjustRightInd w:val="0"/>
              <w:ind w:left="567" w:hanging="567"/>
              <w:jc w:val="both"/>
              <w:rPr>
                <w:sz w:val="22"/>
                <w:szCs w:val="22"/>
              </w:rPr>
            </w:pPr>
            <w:r w:rsidRPr="0083687B">
              <w:rPr>
                <w:b/>
                <w:bCs/>
                <w:sz w:val="22"/>
                <w:szCs w:val="22"/>
              </w:rPr>
              <w:t>n=257</w:t>
            </w:r>
          </w:p>
        </w:tc>
        <w:tc>
          <w:tcPr>
            <w:tcW w:w="992" w:type="dxa"/>
            <w:tcBorders>
              <w:top w:val="single" w:sz="8" w:space="0" w:color="000000"/>
              <w:left w:val="single" w:sz="8" w:space="0" w:color="000000"/>
              <w:bottom w:val="single" w:sz="8" w:space="0" w:color="000000"/>
              <w:right w:val="single" w:sz="8" w:space="0" w:color="000000"/>
            </w:tcBorders>
          </w:tcPr>
          <w:p w14:paraId="664F2177" w14:textId="77777777" w:rsidR="0083687B" w:rsidRPr="0083687B" w:rsidRDefault="0083687B">
            <w:pPr>
              <w:widowControl w:val="0"/>
              <w:autoSpaceDE w:val="0"/>
              <w:autoSpaceDN w:val="0"/>
              <w:adjustRightInd w:val="0"/>
              <w:ind w:left="567" w:hanging="567"/>
              <w:jc w:val="both"/>
              <w:rPr>
                <w:b/>
                <w:bCs/>
                <w:sz w:val="22"/>
                <w:szCs w:val="22"/>
              </w:rPr>
            </w:pPr>
            <w:r w:rsidRPr="0083687B">
              <w:rPr>
                <w:b/>
                <w:bCs/>
                <w:sz w:val="22"/>
                <w:szCs w:val="22"/>
              </w:rPr>
              <w:t>Humira</w:t>
            </w:r>
          </w:p>
          <w:p w14:paraId="04C3BEF5" w14:textId="77777777" w:rsidR="0083687B" w:rsidRPr="0083687B" w:rsidRDefault="0083687B">
            <w:pPr>
              <w:widowControl w:val="0"/>
              <w:autoSpaceDE w:val="0"/>
              <w:autoSpaceDN w:val="0"/>
              <w:adjustRightInd w:val="0"/>
              <w:ind w:left="567" w:hanging="567"/>
              <w:jc w:val="both"/>
              <w:rPr>
                <w:sz w:val="22"/>
                <w:szCs w:val="22"/>
              </w:rPr>
            </w:pPr>
            <w:r w:rsidRPr="0083687B">
              <w:rPr>
                <w:b/>
                <w:bCs/>
                <w:sz w:val="22"/>
                <w:szCs w:val="22"/>
              </w:rPr>
              <w:t>n=274</w:t>
            </w:r>
          </w:p>
        </w:tc>
        <w:tc>
          <w:tcPr>
            <w:tcW w:w="1276" w:type="dxa"/>
            <w:tcBorders>
              <w:top w:val="single" w:sz="8" w:space="0" w:color="000000"/>
              <w:left w:val="single" w:sz="8" w:space="0" w:color="000000"/>
              <w:bottom w:val="single" w:sz="8" w:space="0" w:color="000000"/>
              <w:right w:val="single" w:sz="8" w:space="0" w:color="000000"/>
            </w:tcBorders>
          </w:tcPr>
          <w:p w14:paraId="64815F9E" w14:textId="77777777" w:rsidR="0083687B" w:rsidRPr="0083687B" w:rsidRDefault="0083687B">
            <w:pPr>
              <w:widowControl w:val="0"/>
              <w:autoSpaceDE w:val="0"/>
              <w:autoSpaceDN w:val="0"/>
              <w:adjustRightInd w:val="0"/>
              <w:ind w:left="567" w:hanging="567"/>
              <w:jc w:val="both"/>
              <w:rPr>
                <w:b/>
                <w:bCs/>
                <w:sz w:val="22"/>
                <w:szCs w:val="22"/>
              </w:rPr>
            </w:pPr>
            <w:r w:rsidRPr="0083687B">
              <w:rPr>
                <w:b/>
                <w:bCs/>
                <w:sz w:val="22"/>
                <w:szCs w:val="22"/>
              </w:rPr>
              <w:t>Humira/ MTX</w:t>
            </w:r>
          </w:p>
          <w:p w14:paraId="523E2D74" w14:textId="77777777" w:rsidR="0083687B" w:rsidRPr="0083687B" w:rsidRDefault="0083687B">
            <w:pPr>
              <w:widowControl w:val="0"/>
              <w:autoSpaceDE w:val="0"/>
              <w:autoSpaceDN w:val="0"/>
              <w:adjustRightInd w:val="0"/>
              <w:ind w:left="567" w:hanging="567"/>
              <w:jc w:val="both"/>
              <w:rPr>
                <w:sz w:val="22"/>
                <w:szCs w:val="22"/>
              </w:rPr>
            </w:pPr>
            <w:r w:rsidRPr="0083687B">
              <w:rPr>
                <w:b/>
                <w:bCs/>
                <w:sz w:val="22"/>
                <w:szCs w:val="22"/>
              </w:rPr>
              <w:t>n=268</w:t>
            </w:r>
          </w:p>
        </w:tc>
        <w:tc>
          <w:tcPr>
            <w:tcW w:w="1275" w:type="dxa"/>
            <w:tcBorders>
              <w:top w:val="single" w:sz="8" w:space="0" w:color="000000"/>
              <w:left w:val="single" w:sz="8" w:space="0" w:color="000000"/>
              <w:bottom w:val="single" w:sz="8" w:space="0" w:color="000000"/>
              <w:right w:val="single" w:sz="8" w:space="0" w:color="000000"/>
            </w:tcBorders>
          </w:tcPr>
          <w:p w14:paraId="36629B0D" w14:textId="77777777" w:rsidR="0083687B" w:rsidRPr="0083687B" w:rsidRDefault="0083687B">
            <w:pPr>
              <w:widowControl w:val="0"/>
              <w:autoSpaceDE w:val="0"/>
              <w:autoSpaceDN w:val="0"/>
              <w:adjustRightInd w:val="0"/>
              <w:ind w:left="567" w:right="-108" w:hanging="567"/>
              <w:jc w:val="both"/>
              <w:rPr>
                <w:sz w:val="22"/>
                <w:szCs w:val="22"/>
              </w:rPr>
            </w:pPr>
            <w:r w:rsidRPr="0083687B">
              <w:rPr>
                <w:b/>
                <w:bCs/>
                <w:sz w:val="22"/>
                <w:szCs w:val="22"/>
              </w:rPr>
              <w:t xml:space="preserve">p vrijednost </w:t>
            </w:r>
            <w:r w:rsidRPr="0083687B">
              <w:rPr>
                <w:b/>
                <w:bCs/>
                <w:position w:val="8"/>
                <w:sz w:val="22"/>
                <w:szCs w:val="22"/>
                <w:vertAlign w:val="superscript"/>
              </w:rPr>
              <w:t>a</w:t>
            </w:r>
          </w:p>
        </w:tc>
        <w:tc>
          <w:tcPr>
            <w:tcW w:w="1418" w:type="dxa"/>
            <w:tcBorders>
              <w:top w:val="single" w:sz="8" w:space="0" w:color="000000"/>
              <w:left w:val="single" w:sz="8" w:space="0" w:color="000000"/>
              <w:bottom w:val="single" w:sz="8" w:space="0" w:color="000000"/>
              <w:right w:val="single" w:sz="8" w:space="0" w:color="000000"/>
            </w:tcBorders>
          </w:tcPr>
          <w:p w14:paraId="7FE30860" w14:textId="77777777" w:rsidR="0083687B" w:rsidRPr="0083687B" w:rsidRDefault="0083687B">
            <w:pPr>
              <w:widowControl w:val="0"/>
              <w:autoSpaceDE w:val="0"/>
              <w:autoSpaceDN w:val="0"/>
              <w:adjustRightInd w:val="0"/>
              <w:ind w:left="567" w:right="-134" w:hanging="567"/>
              <w:jc w:val="both"/>
              <w:rPr>
                <w:sz w:val="22"/>
                <w:szCs w:val="22"/>
              </w:rPr>
            </w:pPr>
            <w:r w:rsidRPr="0083687B">
              <w:rPr>
                <w:b/>
                <w:bCs/>
                <w:sz w:val="22"/>
                <w:szCs w:val="22"/>
              </w:rPr>
              <w:t>p vrijednost</w:t>
            </w:r>
            <w:r w:rsidRPr="0083687B">
              <w:rPr>
                <w:b/>
                <w:bCs/>
                <w:position w:val="8"/>
                <w:sz w:val="22"/>
                <w:szCs w:val="22"/>
                <w:vertAlign w:val="superscript"/>
              </w:rPr>
              <w:t>b</w:t>
            </w:r>
          </w:p>
        </w:tc>
        <w:tc>
          <w:tcPr>
            <w:tcW w:w="1440" w:type="dxa"/>
            <w:tcBorders>
              <w:top w:val="single" w:sz="8" w:space="0" w:color="000000"/>
              <w:left w:val="single" w:sz="8" w:space="0" w:color="000000"/>
              <w:bottom w:val="single" w:sz="8" w:space="0" w:color="000000"/>
              <w:right w:val="single" w:sz="8" w:space="0" w:color="000000"/>
            </w:tcBorders>
          </w:tcPr>
          <w:p w14:paraId="43C55618" w14:textId="77777777" w:rsidR="0083687B" w:rsidRPr="0083687B" w:rsidRDefault="0083687B">
            <w:pPr>
              <w:widowControl w:val="0"/>
              <w:autoSpaceDE w:val="0"/>
              <w:autoSpaceDN w:val="0"/>
              <w:adjustRightInd w:val="0"/>
              <w:ind w:left="567" w:right="-85" w:hanging="567"/>
              <w:jc w:val="both"/>
              <w:rPr>
                <w:sz w:val="22"/>
                <w:szCs w:val="22"/>
              </w:rPr>
            </w:pPr>
            <w:r w:rsidRPr="0083687B">
              <w:rPr>
                <w:b/>
                <w:bCs/>
                <w:sz w:val="22"/>
                <w:szCs w:val="22"/>
              </w:rPr>
              <w:t xml:space="preserve"> p vrijednost </w:t>
            </w:r>
            <w:r w:rsidRPr="0083687B">
              <w:rPr>
                <w:b/>
                <w:bCs/>
                <w:position w:val="8"/>
                <w:sz w:val="22"/>
                <w:szCs w:val="22"/>
                <w:vertAlign w:val="superscript"/>
              </w:rPr>
              <w:t>c</w:t>
            </w:r>
          </w:p>
        </w:tc>
      </w:tr>
      <w:tr w:rsidR="0083687B" w:rsidRPr="0083687B" w14:paraId="14559E20" w14:textId="77777777" w:rsidTr="0088568A">
        <w:trPr>
          <w:trHeight w:val="517"/>
        </w:trPr>
        <w:tc>
          <w:tcPr>
            <w:tcW w:w="1843" w:type="dxa"/>
            <w:tcBorders>
              <w:top w:val="single" w:sz="8" w:space="0" w:color="000000"/>
              <w:left w:val="single" w:sz="8" w:space="0" w:color="000000"/>
              <w:bottom w:val="single" w:sz="8" w:space="0" w:color="000000"/>
              <w:right w:val="single" w:sz="8" w:space="0" w:color="000000"/>
            </w:tcBorders>
          </w:tcPr>
          <w:p w14:paraId="6E8AD13E" w14:textId="77777777" w:rsidR="0083687B" w:rsidRPr="0083687B" w:rsidRDefault="0083687B" w:rsidP="00EB3350">
            <w:pPr>
              <w:widowControl w:val="0"/>
              <w:autoSpaceDE w:val="0"/>
              <w:autoSpaceDN w:val="0"/>
              <w:adjustRightInd w:val="0"/>
              <w:ind w:left="567" w:hanging="567"/>
              <w:jc w:val="both"/>
              <w:rPr>
                <w:sz w:val="22"/>
                <w:szCs w:val="22"/>
              </w:rPr>
            </w:pPr>
            <w:r w:rsidRPr="0083687B">
              <w:rPr>
                <w:sz w:val="22"/>
                <w:szCs w:val="22"/>
              </w:rPr>
              <w:t>ACR 20</w:t>
            </w:r>
          </w:p>
          <w:p w14:paraId="5E8A3494" w14:textId="77777777" w:rsidR="0083687B" w:rsidRPr="0083687B" w:rsidRDefault="0083687B" w:rsidP="00EB3350">
            <w:pPr>
              <w:widowControl w:val="0"/>
              <w:autoSpaceDE w:val="0"/>
              <w:autoSpaceDN w:val="0"/>
              <w:adjustRightInd w:val="0"/>
              <w:ind w:left="567" w:hanging="567"/>
              <w:jc w:val="both"/>
              <w:rPr>
                <w:sz w:val="22"/>
                <w:szCs w:val="22"/>
              </w:rPr>
            </w:pPr>
            <w:r w:rsidRPr="0083687B">
              <w:rPr>
                <w:sz w:val="22"/>
                <w:szCs w:val="22"/>
              </w:rPr>
              <w:t>52 nedjelje</w:t>
            </w:r>
          </w:p>
          <w:p w14:paraId="770FF1BF" w14:textId="77777777" w:rsidR="0083687B" w:rsidRPr="0083687B" w:rsidRDefault="0083687B" w:rsidP="00EB3350">
            <w:pPr>
              <w:widowControl w:val="0"/>
              <w:autoSpaceDE w:val="0"/>
              <w:autoSpaceDN w:val="0"/>
              <w:adjustRightInd w:val="0"/>
              <w:ind w:left="567" w:hanging="567"/>
              <w:jc w:val="both"/>
              <w:rPr>
                <w:sz w:val="22"/>
                <w:szCs w:val="22"/>
              </w:rPr>
            </w:pPr>
            <w:r w:rsidRPr="0083687B">
              <w:rPr>
                <w:sz w:val="22"/>
                <w:szCs w:val="22"/>
              </w:rPr>
              <w:t>104 nedjelje</w:t>
            </w:r>
          </w:p>
          <w:p w14:paraId="39BA2060" w14:textId="77777777" w:rsidR="0083687B" w:rsidRPr="0083687B" w:rsidRDefault="0083687B" w:rsidP="00EB3350">
            <w:pPr>
              <w:widowControl w:val="0"/>
              <w:autoSpaceDE w:val="0"/>
              <w:autoSpaceDN w:val="0"/>
              <w:adjustRightInd w:val="0"/>
              <w:ind w:left="567" w:hanging="567"/>
              <w:jc w:val="both"/>
              <w:rPr>
                <w:sz w:val="22"/>
                <w:szCs w:val="22"/>
              </w:rPr>
            </w:pPr>
          </w:p>
          <w:p w14:paraId="3478E39C" w14:textId="77777777" w:rsidR="0083687B" w:rsidRPr="0083687B" w:rsidRDefault="0083687B" w:rsidP="00EB3350">
            <w:pPr>
              <w:widowControl w:val="0"/>
              <w:autoSpaceDE w:val="0"/>
              <w:autoSpaceDN w:val="0"/>
              <w:adjustRightInd w:val="0"/>
              <w:ind w:left="567" w:hanging="567"/>
              <w:jc w:val="both"/>
              <w:rPr>
                <w:sz w:val="22"/>
                <w:szCs w:val="22"/>
              </w:rPr>
            </w:pPr>
            <w:r w:rsidRPr="0083687B">
              <w:rPr>
                <w:sz w:val="22"/>
                <w:szCs w:val="22"/>
              </w:rPr>
              <w:t>ACR 50</w:t>
            </w:r>
          </w:p>
          <w:p w14:paraId="1CC09E42" w14:textId="77777777" w:rsidR="0083687B" w:rsidRPr="0083687B" w:rsidRDefault="0083687B" w:rsidP="00EB3350">
            <w:pPr>
              <w:widowControl w:val="0"/>
              <w:autoSpaceDE w:val="0"/>
              <w:autoSpaceDN w:val="0"/>
              <w:adjustRightInd w:val="0"/>
              <w:ind w:left="567" w:hanging="567"/>
              <w:jc w:val="both"/>
              <w:rPr>
                <w:sz w:val="22"/>
                <w:szCs w:val="22"/>
              </w:rPr>
            </w:pPr>
            <w:r w:rsidRPr="0083687B">
              <w:rPr>
                <w:sz w:val="22"/>
                <w:szCs w:val="22"/>
              </w:rPr>
              <w:t>52 nedjelje</w:t>
            </w:r>
          </w:p>
          <w:p w14:paraId="24840180" w14:textId="77777777" w:rsidR="0083687B" w:rsidRPr="0083687B" w:rsidRDefault="0083687B" w:rsidP="00EB3350">
            <w:pPr>
              <w:widowControl w:val="0"/>
              <w:autoSpaceDE w:val="0"/>
              <w:autoSpaceDN w:val="0"/>
              <w:adjustRightInd w:val="0"/>
              <w:ind w:left="567" w:hanging="567"/>
              <w:jc w:val="both"/>
              <w:rPr>
                <w:sz w:val="22"/>
                <w:szCs w:val="22"/>
              </w:rPr>
            </w:pPr>
            <w:r w:rsidRPr="0083687B">
              <w:rPr>
                <w:sz w:val="22"/>
                <w:szCs w:val="22"/>
              </w:rPr>
              <w:lastRenderedPageBreak/>
              <w:t>104 nedjelje</w:t>
            </w:r>
          </w:p>
          <w:p w14:paraId="773A55D3" w14:textId="77777777" w:rsidR="0083687B" w:rsidRPr="0083687B" w:rsidRDefault="0083687B" w:rsidP="00EB3350">
            <w:pPr>
              <w:widowControl w:val="0"/>
              <w:autoSpaceDE w:val="0"/>
              <w:autoSpaceDN w:val="0"/>
              <w:adjustRightInd w:val="0"/>
              <w:ind w:left="567" w:hanging="567"/>
              <w:jc w:val="both"/>
              <w:rPr>
                <w:sz w:val="22"/>
                <w:szCs w:val="22"/>
              </w:rPr>
            </w:pPr>
          </w:p>
          <w:p w14:paraId="13FB870D" w14:textId="77777777" w:rsidR="0083687B" w:rsidRPr="0083687B" w:rsidRDefault="0083687B" w:rsidP="00EB3350">
            <w:pPr>
              <w:widowControl w:val="0"/>
              <w:autoSpaceDE w:val="0"/>
              <w:autoSpaceDN w:val="0"/>
              <w:adjustRightInd w:val="0"/>
              <w:ind w:left="567" w:hanging="567"/>
              <w:jc w:val="both"/>
              <w:rPr>
                <w:sz w:val="22"/>
                <w:szCs w:val="22"/>
              </w:rPr>
            </w:pPr>
            <w:r w:rsidRPr="0083687B">
              <w:rPr>
                <w:sz w:val="22"/>
                <w:szCs w:val="22"/>
              </w:rPr>
              <w:t>ACR 70</w:t>
            </w:r>
          </w:p>
          <w:p w14:paraId="3378B9E4" w14:textId="77777777" w:rsidR="0083687B" w:rsidRPr="0083687B" w:rsidRDefault="0083687B" w:rsidP="00EB3350">
            <w:pPr>
              <w:widowControl w:val="0"/>
              <w:autoSpaceDE w:val="0"/>
              <w:autoSpaceDN w:val="0"/>
              <w:adjustRightInd w:val="0"/>
              <w:ind w:left="567" w:hanging="567"/>
              <w:jc w:val="both"/>
              <w:rPr>
                <w:sz w:val="22"/>
                <w:szCs w:val="22"/>
              </w:rPr>
            </w:pPr>
            <w:r w:rsidRPr="0083687B">
              <w:rPr>
                <w:sz w:val="22"/>
                <w:szCs w:val="22"/>
              </w:rPr>
              <w:t>52 nedjelje</w:t>
            </w:r>
          </w:p>
          <w:p w14:paraId="39803433" w14:textId="77777777" w:rsidR="0083687B" w:rsidRPr="0083687B" w:rsidRDefault="0083687B" w:rsidP="00EB3350">
            <w:pPr>
              <w:widowControl w:val="0"/>
              <w:autoSpaceDE w:val="0"/>
              <w:autoSpaceDN w:val="0"/>
              <w:adjustRightInd w:val="0"/>
              <w:ind w:left="567" w:hanging="567"/>
              <w:jc w:val="both"/>
              <w:rPr>
                <w:sz w:val="22"/>
                <w:szCs w:val="22"/>
              </w:rPr>
            </w:pPr>
            <w:r w:rsidRPr="0083687B">
              <w:rPr>
                <w:sz w:val="22"/>
                <w:szCs w:val="22"/>
              </w:rPr>
              <w:t>104 nedjelje</w:t>
            </w:r>
          </w:p>
        </w:tc>
        <w:tc>
          <w:tcPr>
            <w:tcW w:w="851" w:type="dxa"/>
            <w:tcBorders>
              <w:top w:val="single" w:sz="8" w:space="0" w:color="000000"/>
              <w:left w:val="single" w:sz="8" w:space="0" w:color="000000"/>
              <w:bottom w:val="single" w:sz="8" w:space="0" w:color="000000"/>
              <w:right w:val="single" w:sz="8" w:space="0" w:color="000000"/>
            </w:tcBorders>
          </w:tcPr>
          <w:p w14:paraId="065F503D" w14:textId="77777777" w:rsidR="0083687B" w:rsidRPr="0083687B" w:rsidRDefault="0083687B" w:rsidP="00730D96">
            <w:pPr>
              <w:widowControl w:val="0"/>
              <w:autoSpaceDE w:val="0"/>
              <w:autoSpaceDN w:val="0"/>
              <w:adjustRightInd w:val="0"/>
              <w:ind w:left="567" w:hanging="567"/>
              <w:jc w:val="both"/>
              <w:rPr>
                <w:sz w:val="22"/>
                <w:szCs w:val="22"/>
              </w:rPr>
            </w:pPr>
          </w:p>
          <w:p w14:paraId="1195E11F"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62,6 %</w:t>
            </w:r>
          </w:p>
          <w:p w14:paraId="3DEA1523"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56,0 %</w:t>
            </w:r>
          </w:p>
          <w:p w14:paraId="5839C65E" w14:textId="77777777" w:rsidR="0083687B" w:rsidRPr="0083687B" w:rsidRDefault="0083687B">
            <w:pPr>
              <w:widowControl w:val="0"/>
              <w:autoSpaceDE w:val="0"/>
              <w:autoSpaceDN w:val="0"/>
              <w:adjustRightInd w:val="0"/>
              <w:ind w:left="567" w:hanging="567"/>
              <w:jc w:val="both"/>
              <w:rPr>
                <w:sz w:val="22"/>
                <w:szCs w:val="22"/>
              </w:rPr>
            </w:pPr>
          </w:p>
          <w:p w14:paraId="3B7BD825" w14:textId="77777777" w:rsidR="0083687B" w:rsidRPr="0083687B" w:rsidRDefault="0083687B">
            <w:pPr>
              <w:widowControl w:val="0"/>
              <w:autoSpaceDE w:val="0"/>
              <w:autoSpaceDN w:val="0"/>
              <w:adjustRightInd w:val="0"/>
              <w:ind w:left="567" w:hanging="567"/>
              <w:jc w:val="both"/>
              <w:rPr>
                <w:sz w:val="22"/>
                <w:szCs w:val="22"/>
              </w:rPr>
            </w:pPr>
          </w:p>
          <w:p w14:paraId="191FCEAC"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45,9 %</w:t>
            </w:r>
          </w:p>
          <w:p w14:paraId="74485E0B"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lastRenderedPageBreak/>
              <w:t>42,8 %</w:t>
            </w:r>
          </w:p>
          <w:p w14:paraId="174CC9BB" w14:textId="77777777" w:rsidR="0083687B" w:rsidRPr="0083687B" w:rsidRDefault="0083687B">
            <w:pPr>
              <w:widowControl w:val="0"/>
              <w:autoSpaceDE w:val="0"/>
              <w:autoSpaceDN w:val="0"/>
              <w:adjustRightInd w:val="0"/>
              <w:ind w:left="567" w:hanging="567"/>
              <w:jc w:val="both"/>
              <w:rPr>
                <w:sz w:val="22"/>
                <w:szCs w:val="22"/>
              </w:rPr>
            </w:pPr>
          </w:p>
          <w:p w14:paraId="77E3B69D" w14:textId="77777777" w:rsidR="0083687B" w:rsidRPr="0083687B" w:rsidRDefault="0083687B">
            <w:pPr>
              <w:widowControl w:val="0"/>
              <w:autoSpaceDE w:val="0"/>
              <w:autoSpaceDN w:val="0"/>
              <w:adjustRightInd w:val="0"/>
              <w:ind w:left="567" w:hanging="567"/>
              <w:jc w:val="both"/>
              <w:rPr>
                <w:sz w:val="22"/>
                <w:szCs w:val="22"/>
              </w:rPr>
            </w:pPr>
          </w:p>
          <w:p w14:paraId="75E1A143"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27,2 %</w:t>
            </w:r>
          </w:p>
          <w:p w14:paraId="6BF48DD5"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28,4 %</w:t>
            </w:r>
          </w:p>
        </w:tc>
        <w:tc>
          <w:tcPr>
            <w:tcW w:w="992" w:type="dxa"/>
            <w:tcBorders>
              <w:top w:val="single" w:sz="8" w:space="0" w:color="000000"/>
              <w:left w:val="single" w:sz="8" w:space="0" w:color="000000"/>
              <w:bottom w:val="single" w:sz="8" w:space="0" w:color="000000"/>
              <w:right w:val="single" w:sz="8" w:space="0" w:color="000000"/>
            </w:tcBorders>
          </w:tcPr>
          <w:p w14:paraId="1FF22662" w14:textId="77777777" w:rsidR="0083687B" w:rsidRPr="0083687B" w:rsidRDefault="0083687B">
            <w:pPr>
              <w:widowControl w:val="0"/>
              <w:autoSpaceDE w:val="0"/>
              <w:autoSpaceDN w:val="0"/>
              <w:adjustRightInd w:val="0"/>
              <w:ind w:left="567" w:hanging="567"/>
              <w:jc w:val="both"/>
              <w:rPr>
                <w:sz w:val="22"/>
                <w:szCs w:val="22"/>
              </w:rPr>
            </w:pPr>
          </w:p>
          <w:p w14:paraId="27B736C6"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54,4 %</w:t>
            </w:r>
          </w:p>
          <w:p w14:paraId="3ABD141C"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49,3 %</w:t>
            </w:r>
          </w:p>
          <w:p w14:paraId="02B94945" w14:textId="77777777" w:rsidR="0083687B" w:rsidRPr="0083687B" w:rsidRDefault="0083687B">
            <w:pPr>
              <w:widowControl w:val="0"/>
              <w:autoSpaceDE w:val="0"/>
              <w:autoSpaceDN w:val="0"/>
              <w:adjustRightInd w:val="0"/>
              <w:ind w:left="567" w:hanging="567"/>
              <w:jc w:val="both"/>
              <w:rPr>
                <w:sz w:val="22"/>
                <w:szCs w:val="22"/>
              </w:rPr>
            </w:pPr>
          </w:p>
          <w:p w14:paraId="193CA067" w14:textId="77777777" w:rsidR="0083687B" w:rsidRPr="0083687B" w:rsidRDefault="0083687B">
            <w:pPr>
              <w:widowControl w:val="0"/>
              <w:autoSpaceDE w:val="0"/>
              <w:autoSpaceDN w:val="0"/>
              <w:adjustRightInd w:val="0"/>
              <w:ind w:left="567" w:hanging="567"/>
              <w:jc w:val="both"/>
              <w:rPr>
                <w:sz w:val="22"/>
                <w:szCs w:val="22"/>
              </w:rPr>
            </w:pPr>
          </w:p>
          <w:p w14:paraId="45E25C12"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41,2 %</w:t>
            </w:r>
          </w:p>
          <w:p w14:paraId="17F3086A"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lastRenderedPageBreak/>
              <w:t>36,9 %</w:t>
            </w:r>
          </w:p>
          <w:p w14:paraId="6196973C" w14:textId="77777777" w:rsidR="0083687B" w:rsidRPr="0083687B" w:rsidRDefault="0083687B">
            <w:pPr>
              <w:widowControl w:val="0"/>
              <w:autoSpaceDE w:val="0"/>
              <w:autoSpaceDN w:val="0"/>
              <w:adjustRightInd w:val="0"/>
              <w:ind w:left="567" w:hanging="567"/>
              <w:jc w:val="both"/>
              <w:rPr>
                <w:sz w:val="22"/>
                <w:szCs w:val="22"/>
              </w:rPr>
            </w:pPr>
          </w:p>
          <w:p w14:paraId="6934B2A2" w14:textId="77777777" w:rsidR="0083687B" w:rsidRPr="0083687B" w:rsidRDefault="0083687B">
            <w:pPr>
              <w:widowControl w:val="0"/>
              <w:autoSpaceDE w:val="0"/>
              <w:autoSpaceDN w:val="0"/>
              <w:adjustRightInd w:val="0"/>
              <w:ind w:left="567" w:hanging="567"/>
              <w:jc w:val="both"/>
              <w:rPr>
                <w:sz w:val="22"/>
                <w:szCs w:val="22"/>
              </w:rPr>
            </w:pPr>
          </w:p>
          <w:p w14:paraId="25B5E8E3"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25,9 %</w:t>
            </w:r>
          </w:p>
          <w:p w14:paraId="4EB425DB"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28,1 %</w:t>
            </w:r>
          </w:p>
        </w:tc>
        <w:tc>
          <w:tcPr>
            <w:tcW w:w="1276" w:type="dxa"/>
            <w:tcBorders>
              <w:top w:val="single" w:sz="8" w:space="0" w:color="000000"/>
              <w:left w:val="single" w:sz="8" w:space="0" w:color="000000"/>
              <w:bottom w:val="single" w:sz="8" w:space="0" w:color="000000"/>
              <w:right w:val="single" w:sz="8" w:space="0" w:color="000000"/>
            </w:tcBorders>
          </w:tcPr>
          <w:p w14:paraId="701D10C8" w14:textId="77777777" w:rsidR="0083687B" w:rsidRPr="0083687B" w:rsidRDefault="0083687B">
            <w:pPr>
              <w:widowControl w:val="0"/>
              <w:autoSpaceDE w:val="0"/>
              <w:autoSpaceDN w:val="0"/>
              <w:adjustRightInd w:val="0"/>
              <w:ind w:left="567" w:hanging="567"/>
              <w:jc w:val="both"/>
              <w:rPr>
                <w:sz w:val="22"/>
                <w:szCs w:val="22"/>
              </w:rPr>
            </w:pPr>
          </w:p>
          <w:p w14:paraId="2619BAC6"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72,8 %</w:t>
            </w:r>
          </w:p>
          <w:p w14:paraId="441F09FB"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69,4 %</w:t>
            </w:r>
          </w:p>
          <w:p w14:paraId="75CECA08" w14:textId="77777777" w:rsidR="0083687B" w:rsidRPr="0083687B" w:rsidRDefault="0083687B">
            <w:pPr>
              <w:widowControl w:val="0"/>
              <w:autoSpaceDE w:val="0"/>
              <w:autoSpaceDN w:val="0"/>
              <w:adjustRightInd w:val="0"/>
              <w:ind w:left="567" w:hanging="567"/>
              <w:jc w:val="both"/>
              <w:rPr>
                <w:sz w:val="22"/>
                <w:szCs w:val="22"/>
              </w:rPr>
            </w:pPr>
          </w:p>
          <w:p w14:paraId="19298BAC" w14:textId="77777777" w:rsidR="0083687B" w:rsidRPr="0083687B" w:rsidRDefault="0083687B">
            <w:pPr>
              <w:widowControl w:val="0"/>
              <w:autoSpaceDE w:val="0"/>
              <w:autoSpaceDN w:val="0"/>
              <w:adjustRightInd w:val="0"/>
              <w:ind w:left="567" w:hanging="567"/>
              <w:jc w:val="both"/>
              <w:rPr>
                <w:sz w:val="22"/>
                <w:szCs w:val="22"/>
              </w:rPr>
            </w:pPr>
          </w:p>
          <w:p w14:paraId="69DFF536"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61,6%</w:t>
            </w:r>
          </w:p>
          <w:p w14:paraId="4FCF0D81"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lastRenderedPageBreak/>
              <w:t>59,0 %</w:t>
            </w:r>
          </w:p>
          <w:p w14:paraId="5545F57D" w14:textId="77777777" w:rsidR="0083687B" w:rsidRPr="0083687B" w:rsidRDefault="0083687B">
            <w:pPr>
              <w:widowControl w:val="0"/>
              <w:autoSpaceDE w:val="0"/>
              <w:autoSpaceDN w:val="0"/>
              <w:adjustRightInd w:val="0"/>
              <w:ind w:left="567" w:hanging="567"/>
              <w:jc w:val="both"/>
              <w:rPr>
                <w:sz w:val="22"/>
                <w:szCs w:val="22"/>
              </w:rPr>
            </w:pPr>
          </w:p>
          <w:p w14:paraId="77E79E43" w14:textId="77777777" w:rsidR="0083687B" w:rsidRPr="0083687B" w:rsidRDefault="0083687B">
            <w:pPr>
              <w:widowControl w:val="0"/>
              <w:autoSpaceDE w:val="0"/>
              <w:autoSpaceDN w:val="0"/>
              <w:adjustRightInd w:val="0"/>
              <w:ind w:left="567" w:hanging="567"/>
              <w:jc w:val="both"/>
              <w:rPr>
                <w:sz w:val="22"/>
                <w:szCs w:val="22"/>
              </w:rPr>
            </w:pPr>
          </w:p>
          <w:p w14:paraId="0BAF7916"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45,5 %</w:t>
            </w:r>
          </w:p>
          <w:p w14:paraId="65C5077F"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46,6 %</w:t>
            </w:r>
          </w:p>
        </w:tc>
        <w:tc>
          <w:tcPr>
            <w:tcW w:w="1275" w:type="dxa"/>
            <w:tcBorders>
              <w:top w:val="single" w:sz="8" w:space="0" w:color="000000"/>
              <w:left w:val="single" w:sz="8" w:space="0" w:color="000000"/>
              <w:bottom w:val="single" w:sz="8" w:space="0" w:color="000000"/>
              <w:right w:val="single" w:sz="8" w:space="0" w:color="000000"/>
            </w:tcBorders>
          </w:tcPr>
          <w:p w14:paraId="52BD906A" w14:textId="77777777" w:rsidR="0083687B" w:rsidRPr="0083687B" w:rsidRDefault="0083687B">
            <w:pPr>
              <w:widowControl w:val="0"/>
              <w:autoSpaceDE w:val="0"/>
              <w:autoSpaceDN w:val="0"/>
              <w:adjustRightInd w:val="0"/>
              <w:ind w:left="567" w:hanging="567"/>
              <w:jc w:val="both"/>
              <w:rPr>
                <w:sz w:val="22"/>
                <w:szCs w:val="22"/>
              </w:rPr>
            </w:pPr>
          </w:p>
          <w:p w14:paraId="4D5A2752"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0,013</w:t>
            </w:r>
          </w:p>
          <w:p w14:paraId="16A35573"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0,002</w:t>
            </w:r>
          </w:p>
          <w:p w14:paraId="1311DC65" w14:textId="77777777" w:rsidR="0083687B" w:rsidRPr="0083687B" w:rsidRDefault="0083687B">
            <w:pPr>
              <w:widowControl w:val="0"/>
              <w:autoSpaceDE w:val="0"/>
              <w:autoSpaceDN w:val="0"/>
              <w:adjustRightInd w:val="0"/>
              <w:ind w:left="567" w:hanging="567"/>
              <w:jc w:val="both"/>
              <w:rPr>
                <w:sz w:val="22"/>
                <w:szCs w:val="22"/>
              </w:rPr>
            </w:pPr>
          </w:p>
          <w:p w14:paraId="2F40CA56" w14:textId="77777777" w:rsidR="0083687B" w:rsidRPr="0083687B" w:rsidRDefault="0083687B">
            <w:pPr>
              <w:widowControl w:val="0"/>
              <w:autoSpaceDE w:val="0"/>
              <w:autoSpaceDN w:val="0"/>
              <w:adjustRightInd w:val="0"/>
              <w:ind w:left="567" w:hanging="567"/>
              <w:jc w:val="both"/>
              <w:rPr>
                <w:sz w:val="22"/>
                <w:szCs w:val="22"/>
              </w:rPr>
            </w:pPr>
          </w:p>
          <w:p w14:paraId="639F0F32"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&lt; 0,001</w:t>
            </w:r>
          </w:p>
          <w:p w14:paraId="6816D5B7"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lastRenderedPageBreak/>
              <w:t>&lt; 0,001</w:t>
            </w:r>
          </w:p>
          <w:p w14:paraId="4F11C48A" w14:textId="77777777" w:rsidR="0083687B" w:rsidRPr="0083687B" w:rsidRDefault="0083687B">
            <w:pPr>
              <w:widowControl w:val="0"/>
              <w:autoSpaceDE w:val="0"/>
              <w:autoSpaceDN w:val="0"/>
              <w:adjustRightInd w:val="0"/>
              <w:ind w:left="567" w:hanging="567"/>
              <w:jc w:val="both"/>
              <w:rPr>
                <w:sz w:val="22"/>
                <w:szCs w:val="22"/>
              </w:rPr>
            </w:pPr>
          </w:p>
          <w:p w14:paraId="77ADD405" w14:textId="77777777" w:rsidR="0083687B" w:rsidRPr="0083687B" w:rsidRDefault="0083687B">
            <w:pPr>
              <w:widowControl w:val="0"/>
              <w:autoSpaceDE w:val="0"/>
              <w:autoSpaceDN w:val="0"/>
              <w:adjustRightInd w:val="0"/>
              <w:ind w:left="567" w:hanging="567"/>
              <w:jc w:val="both"/>
              <w:rPr>
                <w:sz w:val="22"/>
                <w:szCs w:val="22"/>
              </w:rPr>
            </w:pPr>
          </w:p>
          <w:p w14:paraId="62ABC79D"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&lt; 0,001</w:t>
            </w:r>
          </w:p>
          <w:p w14:paraId="7315BF5A"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&lt; 0,001</w:t>
            </w:r>
          </w:p>
        </w:tc>
        <w:tc>
          <w:tcPr>
            <w:tcW w:w="1418" w:type="dxa"/>
            <w:tcBorders>
              <w:top w:val="single" w:sz="8" w:space="0" w:color="000000"/>
              <w:left w:val="single" w:sz="8" w:space="0" w:color="000000"/>
              <w:bottom w:val="single" w:sz="8" w:space="0" w:color="000000"/>
              <w:right w:val="single" w:sz="8" w:space="0" w:color="000000"/>
            </w:tcBorders>
          </w:tcPr>
          <w:p w14:paraId="245AE06D" w14:textId="77777777" w:rsidR="0083687B" w:rsidRPr="0083687B" w:rsidRDefault="0083687B">
            <w:pPr>
              <w:widowControl w:val="0"/>
              <w:autoSpaceDE w:val="0"/>
              <w:autoSpaceDN w:val="0"/>
              <w:adjustRightInd w:val="0"/>
              <w:ind w:left="567" w:hanging="567"/>
              <w:jc w:val="both"/>
              <w:rPr>
                <w:sz w:val="22"/>
                <w:szCs w:val="22"/>
              </w:rPr>
            </w:pPr>
          </w:p>
          <w:p w14:paraId="4D606B78"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&lt; 0,001</w:t>
            </w:r>
          </w:p>
          <w:p w14:paraId="0707CB71"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&lt; 0,001</w:t>
            </w:r>
          </w:p>
          <w:p w14:paraId="5114504B" w14:textId="77777777" w:rsidR="0083687B" w:rsidRPr="0083687B" w:rsidRDefault="0083687B">
            <w:pPr>
              <w:widowControl w:val="0"/>
              <w:autoSpaceDE w:val="0"/>
              <w:autoSpaceDN w:val="0"/>
              <w:adjustRightInd w:val="0"/>
              <w:ind w:left="567" w:hanging="567"/>
              <w:jc w:val="both"/>
              <w:rPr>
                <w:sz w:val="22"/>
                <w:szCs w:val="22"/>
              </w:rPr>
            </w:pPr>
          </w:p>
          <w:p w14:paraId="13592776" w14:textId="77777777" w:rsidR="0083687B" w:rsidRPr="0083687B" w:rsidRDefault="0083687B">
            <w:pPr>
              <w:widowControl w:val="0"/>
              <w:autoSpaceDE w:val="0"/>
              <w:autoSpaceDN w:val="0"/>
              <w:adjustRightInd w:val="0"/>
              <w:ind w:left="567" w:hanging="567"/>
              <w:jc w:val="both"/>
              <w:rPr>
                <w:sz w:val="22"/>
                <w:szCs w:val="22"/>
              </w:rPr>
            </w:pPr>
          </w:p>
          <w:p w14:paraId="5E4BA804"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&lt; 0,001</w:t>
            </w:r>
          </w:p>
          <w:p w14:paraId="17798C9A"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lastRenderedPageBreak/>
              <w:t>&lt; 0,001</w:t>
            </w:r>
          </w:p>
          <w:p w14:paraId="2D13C00C" w14:textId="77777777" w:rsidR="0083687B" w:rsidRPr="0083687B" w:rsidRDefault="0083687B">
            <w:pPr>
              <w:widowControl w:val="0"/>
              <w:autoSpaceDE w:val="0"/>
              <w:autoSpaceDN w:val="0"/>
              <w:adjustRightInd w:val="0"/>
              <w:ind w:left="567" w:hanging="567"/>
              <w:jc w:val="both"/>
              <w:rPr>
                <w:sz w:val="22"/>
                <w:szCs w:val="22"/>
              </w:rPr>
            </w:pPr>
          </w:p>
          <w:p w14:paraId="69BB4680" w14:textId="77777777" w:rsidR="0083687B" w:rsidRPr="0083687B" w:rsidRDefault="0083687B">
            <w:pPr>
              <w:widowControl w:val="0"/>
              <w:autoSpaceDE w:val="0"/>
              <w:autoSpaceDN w:val="0"/>
              <w:adjustRightInd w:val="0"/>
              <w:ind w:left="567" w:hanging="567"/>
              <w:jc w:val="both"/>
              <w:rPr>
                <w:sz w:val="22"/>
                <w:szCs w:val="22"/>
              </w:rPr>
            </w:pPr>
          </w:p>
          <w:p w14:paraId="508C9AE7"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&lt; 0,001</w:t>
            </w:r>
          </w:p>
          <w:p w14:paraId="3D1F7A2B"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&lt; 0,001</w:t>
            </w:r>
          </w:p>
        </w:tc>
        <w:tc>
          <w:tcPr>
            <w:tcW w:w="1440" w:type="dxa"/>
            <w:tcBorders>
              <w:top w:val="single" w:sz="8" w:space="0" w:color="000000"/>
              <w:left w:val="single" w:sz="8" w:space="0" w:color="000000"/>
              <w:bottom w:val="single" w:sz="8" w:space="0" w:color="000000"/>
              <w:right w:val="single" w:sz="8" w:space="0" w:color="000000"/>
            </w:tcBorders>
          </w:tcPr>
          <w:p w14:paraId="7B9E8CD3"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lastRenderedPageBreak/>
              <w:t xml:space="preserve"> </w:t>
            </w:r>
          </w:p>
          <w:p w14:paraId="0C8D6641"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0,043 </w:t>
            </w:r>
          </w:p>
          <w:p w14:paraId="279878CC"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0,140 </w:t>
            </w:r>
          </w:p>
          <w:p w14:paraId="1F5EF1E5"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 </w:t>
            </w:r>
          </w:p>
          <w:p w14:paraId="1872921F"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 </w:t>
            </w:r>
          </w:p>
          <w:p w14:paraId="7E5C5E03"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0,317 </w:t>
            </w:r>
          </w:p>
          <w:p w14:paraId="388FA67B"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lastRenderedPageBreak/>
              <w:t xml:space="preserve">0,162 </w:t>
            </w:r>
          </w:p>
          <w:p w14:paraId="79F28D3A"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 </w:t>
            </w:r>
          </w:p>
          <w:p w14:paraId="6920F463"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 </w:t>
            </w:r>
          </w:p>
          <w:p w14:paraId="304C5FCB"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0,656 </w:t>
            </w:r>
          </w:p>
          <w:p w14:paraId="7D03C2D0"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0,864 </w:t>
            </w:r>
          </w:p>
        </w:tc>
      </w:tr>
    </w:tbl>
    <w:p w14:paraId="339FEF24" w14:textId="77777777" w:rsidR="0083687B" w:rsidRPr="0083687B" w:rsidRDefault="0083687B" w:rsidP="00730D96">
      <w:pPr>
        <w:widowControl w:val="0"/>
        <w:autoSpaceDE w:val="0"/>
        <w:autoSpaceDN w:val="0"/>
        <w:adjustRightInd w:val="0"/>
        <w:jc w:val="both"/>
        <w:rPr>
          <w:position w:val="8"/>
          <w:sz w:val="22"/>
          <w:szCs w:val="22"/>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83687B" w:rsidRPr="0083687B" w14:paraId="337C8A5F" w14:textId="77777777" w:rsidTr="0088568A">
        <w:tc>
          <w:tcPr>
            <w:tcW w:w="9280" w:type="dxa"/>
            <w:shd w:val="clear" w:color="auto" w:fill="auto"/>
          </w:tcPr>
          <w:p w14:paraId="19A616CA" w14:textId="77777777" w:rsidR="0083687B" w:rsidRPr="0083687B" w:rsidRDefault="0083687B">
            <w:pPr>
              <w:widowControl w:val="0"/>
              <w:autoSpaceDE w:val="0"/>
              <w:autoSpaceDN w:val="0"/>
              <w:adjustRightInd w:val="0"/>
              <w:jc w:val="both"/>
              <w:rPr>
                <w:sz w:val="22"/>
                <w:szCs w:val="22"/>
              </w:rPr>
            </w:pPr>
            <w:r w:rsidRPr="0083687B">
              <w:rPr>
                <w:position w:val="8"/>
                <w:sz w:val="22"/>
                <w:szCs w:val="22"/>
                <w:vertAlign w:val="superscript"/>
              </w:rPr>
              <w:t>a</w:t>
            </w:r>
            <w:r w:rsidRPr="0083687B">
              <w:rPr>
                <w:sz w:val="22"/>
                <w:szCs w:val="22"/>
              </w:rPr>
              <w:t>p vrijednost dobijena poređenjem monoterapije metotreksatom i kombinovane terapije lijekom Humira i metotreksatom uz primjenu Mann-Whitney U testa</w:t>
            </w:r>
          </w:p>
          <w:p w14:paraId="13C50DA4" w14:textId="77777777" w:rsidR="0083687B" w:rsidRPr="0083687B" w:rsidRDefault="0083687B">
            <w:pPr>
              <w:widowControl w:val="0"/>
              <w:autoSpaceDE w:val="0"/>
              <w:autoSpaceDN w:val="0"/>
              <w:adjustRightInd w:val="0"/>
              <w:jc w:val="both"/>
              <w:rPr>
                <w:sz w:val="22"/>
                <w:szCs w:val="22"/>
              </w:rPr>
            </w:pPr>
            <w:r w:rsidRPr="0083687B">
              <w:rPr>
                <w:position w:val="8"/>
                <w:sz w:val="22"/>
                <w:szCs w:val="22"/>
                <w:vertAlign w:val="superscript"/>
              </w:rPr>
              <w:t>b</w:t>
            </w:r>
            <w:r w:rsidRPr="0083687B">
              <w:rPr>
                <w:sz w:val="22"/>
                <w:szCs w:val="22"/>
              </w:rPr>
              <w:t>p vrijednost dobijena poređenjem monoterapije lijekom Humira i kombinovane terapije lijekom Humira i metotreksatom uz primjenu Mann-Whitney U testa</w:t>
            </w:r>
          </w:p>
          <w:p w14:paraId="09A90048" w14:textId="77777777" w:rsidR="0083687B" w:rsidRPr="0083687B" w:rsidRDefault="0083687B">
            <w:pPr>
              <w:widowControl w:val="0"/>
              <w:autoSpaceDE w:val="0"/>
              <w:autoSpaceDN w:val="0"/>
              <w:adjustRightInd w:val="0"/>
              <w:jc w:val="both"/>
              <w:rPr>
                <w:position w:val="8"/>
                <w:sz w:val="22"/>
                <w:szCs w:val="22"/>
                <w:vertAlign w:val="superscript"/>
              </w:rPr>
            </w:pPr>
            <w:r w:rsidRPr="0083687B">
              <w:rPr>
                <w:position w:val="8"/>
                <w:sz w:val="22"/>
                <w:szCs w:val="22"/>
                <w:vertAlign w:val="superscript"/>
              </w:rPr>
              <w:t>c</w:t>
            </w:r>
            <w:r w:rsidRPr="0083687B">
              <w:rPr>
                <w:sz w:val="22"/>
                <w:szCs w:val="22"/>
              </w:rPr>
              <w:t>p vrijednost dobijena poređenjem monoterapije lijekom Humira i monoterapije metotreksatom uz primjenu Mann-Whitney U testa</w:t>
            </w:r>
          </w:p>
        </w:tc>
      </w:tr>
    </w:tbl>
    <w:p w14:paraId="4BD52B8A" w14:textId="77777777" w:rsidR="0083687B" w:rsidRPr="0083687B" w:rsidRDefault="0083687B" w:rsidP="00730D96">
      <w:pPr>
        <w:widowControl w:val="0"/>
        <w:autoSpaceDE w:val="0"/>
        <w:autoSpaceDN w:val="0"/>
        <w:adjustRightInd w:val="0"/>
        <w:jc w:val="both"/>
        <w:rPr>
          <w:sz w:val="22"/>
          <w:szCs w:val="22"/>
        </w:rPr>
      </w:pPr>
    </w:p>
    <w:p w14:paraId="4BF41C7B" w14:textId="77777777" w:rsidR="0083687B" w:rsidRPr="0083687B" w:rsidRDefault="0083687B">
      <w:pPr>
        <w:widowControl w:val="0"/>
        <w:autoSpaceDE w:val="0"/>
        <w:autoSpaceDN w:val="0"/>
        <w:adjustRightInd w:val="0"/>
        <w:jc w:val="both"/>
        <w:rPr>
          <w:sz w:val="22"/>
          <w:szCs w:val="22"/>
        </w:rPr>
      </w:pPr>
      <w:r w:rsidRPr="0083687B">
        <w:rPr>
          <w:sz w:val="22"/>
          <w:szCs w:val="22"/>
        </w:rPr>
        <w:t>U otvorenom produžetku studije RA V, stope ACR odgovora održale su se tokom praćenja u trajanju do 10 godina. Od 542 pacijenta randomizovana za primanje lijeka Humira u dozi od 40 mg svake dvije nedjelje, njih 170  je nastavilo liječenje lijekom Humira u dozi od 40 mg svake druge nedjelje tokom 10 godina. Među njima, 154 pacijenata (90,6%) je imalo odgovor ACR 20, 127 pacijenata (74,7%) je imalo odgovor ACR 50, a 102 pacijenta (60,0%) je imalo odgovor ACR 70.</w:t>
      </w:r>
    </w:p>
    <w:p w14:paraId="6EF5823B" w14:textId="77777777" w:rsidR="0083687B" w:rsidRPr="0083687B" w:rsidRDefault="0083687B">
      <w:pPr>
        <w:widowControl w:val="0"/>
        <w:autoSpaceDE w:val="0"/>
        <w:autoSpaceDN w:val="0"/>
        <w:adjustRightInd w:val="0"/>
        <w:jc w:val="both"/>
        <w:rPr>
          <w:sz w:val="22"/>
          <w:szCs w:val="22"/>
        </w:rPr>
      </w:pPr>
    </w:p>
    <w:p w14:paraId="5B9212AF" w14:textId="77777777" w:rsidR="0083687B" w:rsidRPr="00EB7E86" w:rsidRDefault="0083687B">
      <w:pPr>
        <w:widowControl w:val="0"/>
        <w:autoSpaceDE w:val="0"/>
        <w:autoSpaceDN w:val="0"/>
        <w:adjustRightInd w:val="0"/>
        <w:jc w:val="both"/>
        <w:rPr>
          <w:sz w:val="22"/>
          <w:szCs w:val="22"/>
        </w:rPr>
      </w:pPr>
      <w:r w:rsidRPr="00ED776D">
        <w:rPr>
          <w:sz w:val="22"/>
          <w:szCs w:val="22"/>
        </w:rPr>
        <w:t xml:space="preserve">Nakon 52 nedjelje liječenja, klinička remisija </w:t>
      </w:r>
      <w:r w:rsidRPr="00172A4E">
        <w:rPr>
          <w:rFonts w:eastAsiaTheme="minorHAnsi"/>
          <w:sz w:val="22"/>
          <w:szCs w:val="22"/>
          <w:lang w:val="hr-HR"/>
        </w:rPr>
        <w:t>(DAS28 (CRP) &lt;2</w:t>
      </w:r>
      <w:proofErr w:type="gramStart"/>
      <w:r w:rsidRPr="00172A4E">
        <w:rPr>
          <w:rFonts w:eastAsiaTheme="minorHAnsi"/>
          <w:sz w:val="22"/>
          <w:szCs w:val="22"/>
          <w:lang w:val="hr-HR"/>
        </w:rPr>
        <w:t>,6</w:t>
      </w:r>
      <w:proofErr w:type="gramEnd"/>
      <w:r w:rsidRPr="00172A4E">
        <w:rPr>
          <w:rFonts w:eastAsiaTheme="minorHAnsi"/>
          <w:sz w:val="22"/>
          <w:szCs w:val="22"/>
          <w:lang w:val="hr-HR"/>
        </w:rPr>
        <w:t xml:space="preserve"> </w:t>
      </w:r>
      <w:r w:rsidRPr="00ED776D">
        <w:rPr>
          <w:sz w:val="22"/>
          <w:szCs w:val="22"/>
        </w:rPr>
        <w:t>postignuta je kod 42,9 % pacijenata liječenih kombinacijom lijeka Humira i metotreksata u poređenju sa 20,6 % pacijenata koji su dobijali monoterapiju metotreksatom, odnosno 23,4 % pacijenata koji su dobili monoterapiju lijekom Humira. Kombinovana primjena lijeka Humira i metotreksata pokazala se klinički i statis</w:t>
      </w:r>
      <w:r w:rsidRPr="00EB7E86">
        <w:rPr>
          <w:sz w:val="22"/>
          <w:szCs w:val="22"/>
        </w:rPr>
        <w:t xml:space="preserve">tički efikasnijom </w:t>
      </w:r>
      <w:proofErr w:type="gramStart"/>
      <w:r w:rsidRPr="00EB7E86">
        <w:rPr>
          <w:sz w:val="22"/>
          <w:szCs w:val="22"/>
        </w:rPr>
        <w:t>od</w:t>
      </w:r>
      <w:proofErr w:type="gramEnd"/>
      <w:r w:rsidRPr="00EB7E86">
        <w:rPr>
          <w:sz w:val="22"/>
          <w:szCs w:val="22"/>
        </w:rPr>
        <w:t xml:space="preserve"> monoterapije metotreksatom (p &lt; 0,001) i lijekom Humira (p &lt; 0,001) u suzbijanju simptoma bolesti kod pacijenata sa nedavno dijagnostikovanim umjereno teškim do teškim reumatoidnim artritisom. Terapijski odgovor pacijenata liječenih monoterapijom bio je približno podjednak (p=0,447). Od 342 ispitanika, inicijalno randomizovanih za monoterapiju lijekom Humira </w:t>
      </w:r>
      <w:proofErr w:type="gramStart"/>
      <w:r w:rsidRPr="00EB7E86">
        <w:rPr>
          <w:sz w:val="22"/>
          <w:szCs w:val="22"/>
        </w:rPr>
        <w:t>ili</w:t>
      </w:r>
      <w:proofErr w:type="gramEnd"/>
      <w:r w:rsidRPr="00EB7E86">
        <w:rPr>
          <w:sz w:val="22"/>
          <w:szCs w:val="22"/>
        </w:rPr>
        <w:t xml:space="preserve"> za liječenje kombinacijom lijeka Humira i metotreksata, koji su ušli u otvoreni produžetak studije, njih 171 je završilo desetogodišnje liječenje lijekom Humira. Među njima, kod 109 ispitanika (63</w:t>
      </w:r>
      <w:proofErr w:type="gramStart"/>
      <w:r w:rsidRPr="00EB7E86">
        <w:rPr>
          <w:sz w:val="22"/>
          <w:szCs w:val="22"/>
        </w:rPr>
        <w:t>,7</w:t>
      </w:r>
      <w:proofErr w:type="gramEnd"/>
      <w:r w:rsidRPr="00EB7E86">
        <w:rPr>
          <w:sz w:val="22"/>
          <w:szCs w:val="22"/>
        </w:rPr>
        <w:t>%) stopa kliničke remisije je zadržana tokom 10 godina.</w:t>
      </w:r>
    </w:p>
    <w:p w14:paraId="0DE3AA28" w14:textId="77777777" w:rsidR="0083687B" w:rsidRPr="00EB7E86" w:rsidRDefault="0083687B">
      <w:pPr>
        <w:widowControl w:val="0"/>
        <w:autoSpaceDE w:val="0"/>
        <w:autoSpaceDN w:val="0"/>
        <w:adjustRightInd w:val="0"/>
        <w:jc w:val="both"/>
        <w:rPr>
          <w:sz w:val="22"/>
          <w:szCs w:val="22"/>
        </w:rPr>
      </w:pPr>
    </w:p>
    <w:p w14:paraId="72036731" w14:textId="77777777" w:rsidR="0083687B" w:rsidRPr="0083687B" w:rsidRDefault="0083687B">
      <w:pPr>
        <w:widowControl w:val="0"/>
        <w:autoSpaceDE w:val="0"/>
        <w:autoSpaceDN w:val="0"/>
        <w:adjustRightInd w:val="0"/>
        <w:jc w:val="both"/>
        <w:rPr>
          <w:i/>
          <w:sz w:val="22"/>
          <w:szCs w:val="22"/>
          <w:u w:val="single"/>
        </w:rPr>
      </w:pPr>
      <w:r w:rsidRPr="0083687B">
        <w:rPr>
          <w:i/>
          <w:sz w:val="22"/>
          <w:szCs w:val="22"/>
          <w:u w:val="single"/>
        </w:rPr>
        <w:t>Radiološki odgovor</w:t>
      </w:r>
    </w:p>
    <w:p w14:paraId="4AE9601F" w14:textId="580A4E46" w:rsidR="0083687B" w:rsidRPr="0083687B" w:rsidRDefault="0083687B">
      <w:pPr>
        <w:widowControl w:val="0"/>
        <w:autoSpaceDE w:val="0"/>
        <w:autoSpaceDN w:val="0"/>
        <w:adjustRightInd w:val="0"/>
        <w:jc w:val="both"/>
        <w:rPr>
          <w:sz w:val="22"/>
          <w:szCs w:val="22"/>
        </w:rPr>
      </w:pPr>
    </w:p>
    <w:p w14:paraId="7619720E" w14:textId="77777777" w:rsidR="0083687B" w:rsidRPr="0083687B" w:rsidRDefault="0083687B">
      <w:pPr>
        <w:widowControl w:val="0"/>
        <w:autoSpaceDE w:val="0"/>
        <w:autoSpaceDN w:val="0"/>
        <w:adjustRightInd w:val="0"/>
        <w:jc w:val="both"/>
        <w:rPr>
          <w:sz w:val="22"/>
          <w:szCs w:val="22"/>
        </w:rPr>
      </w:pPr>
      <w:r w:rsidRPr="0083687B">
        <w:rPr>
          <w:sz w:val="22"/>
          <w:szCs w:val="22"/>
        </w:rPr>
        <w:t>U RA ispitivanju III u kojem je prosječno trajanje reumatoidnog artritisa kod pacijenata liječenih lijekom Humira bilo 11 godina, strukturno oštećenje zglobova procjenjivano je radiološki, a stepen oštećenja izražen je promjenom ukupnog zbira bodova po modifikovanom Sharp-u (</w:t>
      </w:r>
      <w:r w:rsidRPr="0083687B">
        <w:rPr>
          <w:i/>
          <w:sz w:val="22"/>
          <w:szCs w:val="22"/>
        </w:rPr>
        <w:t>Total Sharp Score</w:t>
      </w:r>
      <w:r w:rsidRPr="0083687B">
        <w:rPr>
          <w:sz w:val="22"/>
          <w:szCs w:val="22"/>
        </w:rPr>
        <w:t xml:space="preserve"> - TSS) i njegovih komponenti, stepenu erozije zglobnih hrskavica i suženju zglobnih prostora. Radiološki nalazi kod pacijenata liječenih kombinacijom lijeka Humira i metotreksata pokazali su znatno sporije napredovanje strukturnih oštećenja zglobova nego kod pacijenata liječenih samo metotreksatom tokom 6 i 12 mjeseci (vidjeti Tabelu 9). </w:t>
      </w:r>
    </w:p>
    <w:p w14:paraId="49397966" w14:textId="77777777" w:rsidR="0083687B" w:rsidRPr="0083687B" w:rsidRDefault="0083687B">
      <w:pPr>
        <w:widowControl w:val="0"/>
        <w:autoSpaceDE w:val="0"/>
        <w:autoSpaceDN w:val="0"/>
        <w:adjustRightInd w:val="0"/>
        <w:jc w:val="both"/>
        <w:rPr>
          <w:sz w:val="22"/>
          <w:szCs w:val="22"/>
        </w:rPr>
      </w:pPr>
    </w:p>
    <w:p w14:paraId="7437BEF0" w14:textId="590480EE" w:rsidR="00EB3350" w:rsidRDefault="0083687B" w:rsidP="00FA17D1">
      <w:pPr>
        <w:widowControl w:val="0"/>
        <w:autoSpaceDE w:val="0"/>
        <w:autoSpaceDN w:val="0"/>
        <w:adjustRightInd w:val="0"/>
        <w:jc w:val="both"/>
        <w:rPr>
          <w:sz w:val="22"/>
          <w:szCs w:val="22"/>
        </w:rPr>
      </w:pPr>
      <w:r w:rsidRPr="0083687B">
        <w:rPr>
          <w:sz w:val="22"/>
          <w:szCs w:val="22"/>
        </w:rPr>
        <w:t xml:space="preserve">Podaci iz </w:t>
      </w:r>
      <w:r w:rsidRPr="0083687B">
        <w:rPr>
          <w:iCs/>
          <w:sz w:val="22"/>
          <w:szCs w:val="22"/>
        </w:rPr>
        <w:t xml:space="preserve">otvorenog produženog </w:t>
      </w:r>
      <w:r w:rsidRPr="0083687B">
        <w:rPr>
          <w:sz w:val="22"/>
          <w:szCs w:val="22"/>
        </w:rPr>
        <w:t xml:space="preserve">dijela RA ispitivanja III pokazuju da je smanjenje stepena strukturnog oštećenja kod određenog dijela pacijenata održano kroz 8-10 godina. Među pacijentima koji su uzimali lijek Humira 40 mg svake druge nedjelje (njih 81 </w:t>
      </w:r>
      <w:proofErr w:type="gramStart"/>
      <w:r w:rsidRPr="0083687B">
        <w:rPr>
          <w:sz w:val="22"/>
          <w:szCs w:val="22"/>
        </w:rPr>
        <w:t>od</w:t>
      </w:r>
      <w:proofErr w:type="gramEnd"/>
      <w:r w:rsidRPr="0083687B">
        <w:rPr>
          <w:sz w:val="22"/>
          <w:szCs w:val="22"/>
        </w:rPr>
        <w:t xml:space="preserve"> 207) urađena je radiografska kontrola nakon 8 godina. Njih 48 nije imalo znakove progresije strukturnog oštećenja, definisane kao promjena TSS jednaka 0</w:t>
      </w:r>
      <w:proofErr w:type="gramStart"/>
      <w:r w:rsidRPr="0083687B">
        <w:rPr>
          <w:sz w:val="22"/>
          <w:szCs w:val="22"/>
        </w:rPr>
        <w:t>,5</w:t>
      </w:r>
      <w:proofErr w:type="gramEnd"/>
      <w:r w:rsidRPr="0083687B">
        <w:rPr>
          <w:sz w:val="22"/>
          <w:szCs w:val="22"/>
        </w:rPr>
        <w:t xml:space="preserve"> ili manje. Među pacijenatima koji su uzimali lijek Humira 40 mg svake druge nedjelje (njih 79 </w:t>
      </w:r>
      <w:proofErr w:type="gramStart"/>
      <w:r w:rsidRPr="0083687B">
        <w:rPr>
          <w:sz w:val="22"/>
          <w:szCs w:val="22"/>
        </w:rPr>
        <w:t>od</w:t>
      </w:r>
      <w:proofErr w:type="gramEnd"/>
      <w:r w:rsidRPr="0083687B">
        <w:rPr>
          <w:sz w:val="22"/>
          <w:szCs w:val="22"/>
        </w:rPr>
        <w:t xml:space="preserve"> 207) urađena je radiografska kontrola nakon 10 godina. Njih 40 nije imalo znakove progresije strukturnog oštećenja, definisane kao promjena TSS jednaka 0</w:t>
      </w:r>
      <w:proofErr w:type="gramStart"/>
      <w:r w:rsidRPr="0083687B">
        <w:rPr>
          <w:sz w:val="22"/>
          <w:szCs w:val="22"/>
        </w:rPr>
        <w:t>,5</w:t>
      </w:r>
      <w:proofErr w:type="gramEnd"/>
      <w:r w:rsidRPr="0083687B">
        <w:rPr>
          <w:sz w:val="22"/>
          <w:szCs w:val="22"/>
        </w:rPr>
        <w:t xml:space="preserve"> ili manje.</w:t>
      </w:r>
    </w:p>
    <w:p w14:paraId="689702B6" w14:textId="77777777" w:rsidR="00EB3350" w:rsidRPr="0083687B" w:rsidRDefault="00EB3350">
      <w:pPr>
        <w:widowControl w:val="0"/>
        <w:autoSpaceDE w:val="0"/>
        <w:autoSpaceDN w:val="0"/>
        <w:adjustRightInd w:val="0"/>
        <w:ind w:left="567" w:hanging="567"/>
        <w:jc w:val="both"/>
        <w:rPr>
          <w:sz w:val="22"/>
          <w:szCs w:val="22"/>
        </w:rPr>
      </w:pPr>
    </w:p>
    <w:p w14:paraId="1BC9AB2C" w14:textId="77777777" w:rsidR="0083687B" w:rsidRPr="0083687B" w:rsidRDefault="0083687B">
      <w:pPr>
        <w:widowControl w:val="0"/>
        <w:autoSpaceDE w:val="0"/>
        <w:autoSpaceDN w:val="0"/>
        <w:adjustRightInd w:val="0"/>
        <w:ind w:left="567" w:hanging="567"/>
        <w:jc w:val="both"/>
        <w:rPr>
          <w:sz w:val="22"/>
          <w:szCs w:val="22"/>
        </w:rPr>
      </w:pPr>
      <w:r w:rsidRPr="0083687B">
        <w:rPr>
          <w:b/>
          <w:bCs/>
          <w:sz w:val="22"/>
          <w:szCs w:val="22"/>
        </w:rPr>
        <w:t>Tabela 9. Srednje vrijednosti promjena radioloških nalaza tokom 12 mjeseci u RA ispitivanju III</w:t>
      </w:r>
    </w:p>
    <w:p w14:paraId="22B8879C"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 </w:t>
      </w:r>
    </w:p>
    <w:tbl>
      <w:tblPr>
        <w:tblW w:w="9295" w:type="dxa"/>
        <w:tblInd w:w="-10" w:type="dxa"/>
        <w:tblLayout w:type="fixed"/>
        <w:tblLook w:val="0000" w:firstRow="0" w:lastRow="0" w:firstColumn="0" w:lastColumn="0" w:noHBand="0" w:noVBand="0"/>
      </w:tblPr>
      <w:tblGrid>
        <w:gridCol w:w="2670"/>
        <w:gridCol w:w="1134"/>
        <w:gridCol w:w="1701"/>
        <w:gridCol w:w="2268"/>
        <w:gridCol w:w="1522"/>
      </w:tblGrid>
      <w:tr w:rsidR="0083687B" w:rsidRPr="0083687B" w14:paraId="300877FE" w14:textId="77777777" w:rsidTr="00172A4E">
        <w:trPr>
          <w:trHeight w:val="767"/>
        </w:trPr>
        <w:tc>
          <w:tcPr>
            <w:tcW w:w="2670" w:type="dxa"/>
            <w:tcBorders>
              <w:top w:val="single" w:sz="8" w:space="0" w:color="000000"/>
              <w:left w:val="single" w:sz="8" w:space="0" w:color="000000"/>
              <w:bottom w:val="single" w:sz="8" w:space="0" w:color="000000"/>
              <w:right w:val="single" w:sz="8" w:space="0" w:color="000000"/>
            </w:tcBorders>
          </w:tcPr>
          <w:p w14:paraId="1C37303C"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 </w:t>
            </w:r>
          </w:p>
        </w:tc>
        <w:tc>
          <w:tcPr>
            <w:tcW w:w="1134" w:type="dxa"/>
            <w:tcBorders>
              <w:top w:val="single" w:sz="8" w:space="0" w:color="000000"/>
              <w:left w:val="single" w:sz="8" w:space="0" w:color="000000"/>
              <w:bottom w:val="single" w:sz="8" w:space="0" w:color="000000"/>
              <w:right w:val="single" w:sz="8" w:space="0" w:color="000000"/>
            </w:tcBorders>
          </w:tcPr>
          <w:p w14:paraId="0C4228FE" w14:textId="77777777" w:rsidR="0083687B" w:rsidRPr="0083687B" w:rsidRDefault="0083687B">
            <w:pPr>
              <w:widowControl w:val="0"/>
              <w:autoSpaceDE w:val="0"/>
              <w:autoSpaceDN w:val="0"/>
              <w:adjustRightInd w:val="0"/>
              <w:jc w:val="both"/>
              <w:rPr>
                <w:sz w:val="22"/>
                <w:szCs w:val="22"/>
              </w:rPr>
            </w:pPr>
            <w:r w:rsidRPr="0083687B">
              <w:rPr>
                <w:sz w:val="22"/>
                <w:szCs w:val="22"/>
              </w:rPr>
              <w:t>Placebo/ MTX</w:t>
            </w:r>
            <w:r w:rsidRPr="0083687B">
              <w:rPr>
                <w:position w:val="8"/>
                <w:sz w:val="22"/>
                <w:szCs w:val="22"/>
                <w:vertAlign w:val="superscript"/>
              </w:rPr>
              <w:t>a</w:t>
            </w:r>
          </w:p>
        </w:tc>
        <w:tc>
          <w:tcPr>
            <w:tcW w:w="1701" w:type="dxa"/>
            <w:tcBorders>
              <w:top w:val="single" w:sz="8" w:space="0" w:color="000000"/>
              <w:left w:val="single" w:sz="8" w:space="0" w:color="000000"/>
              <w:bottom w:val="single" w:sz="8" w:space="0" w:color="000000"/>
              <w:right w:val="single" w:sz="8" w:space="0" w:color="000000"/>
            </w:tcBorders>
          </w:tcPr>
          <w:p w14:paraId="612B5EC7" w14:textId="77777777" w:rsidR="0083687B" w:rsidRPr="0083687B" w:rsidRDefault="0083687B">
            <w:pPr>
              <w:widowControl w:val="0"/>
              <w:autoSpaceDE w:val="0"/>
              <w:autoSpaceDN w:val="0"/>
              <w:adjustRightInd w:val="0"/>
              <w:jc w:val="both"/>
              <w:rPr>
                <w:sz w:val="22"/>
                <w:szCs w:val="22"/>
              </w:rPr>
            </w:pPr>
            <w:r w:rsidRPr="0083687B">
              <w:rPr>
                <w:sz w:val="22"/>
                <w:szCs w:val="22"/>
              </w:rPr>
              <w:t>Humira/MTX</w:t>
            </w:r>
          </w:p>
          <w:p w14:paraId="57DFF592" w14:textId="77777777" w:rsidR="0083687B" w:rsidRPr="0083687B" w:rsidRDefault="0083687B">
            <w:pPr>
              <w:widowControl w:val="0"/>
              <w:autoSpaceDE w:val="0"/>
              <w:autoSpaceDN w:val="0"/>
              <w:adjustRightInd w:val="0"/>
              <w:jc w:val="both"/>
              <w:rPr>
                <w:sz w:val="22"/>
                <w:szCs w:val="22"/>
              </w:rPr>
            </w:pPr>
            <w:r w:rsidRPr="0083687B">
              <w:rPr>
                <w:sz w:val="22"/>
                <w:szCs w:val="22"/>
              </w:rPr>
              <w:t>40 mg svake dvije nedjelje</w:t>
            </w:r>
          </w:p>
        </w:tc>
        <w:tc>
          <w:tcPr>
            <w:tcW w:w="2268" w:type="dxa"/>
            <w:tcBorders>
              <w:top w:val="single" w:sz="8" w:space="0" w:color="000000"/>
              <w:left w:val="single" w:sz="8" w:space="0" w:color="000000"/>
              <w:bottom w:val="single" w:sz="8" w:space="0" w:color="000000"/>
              <w:right w:val="single" w:sz="8" w:space="0" w:color="000000"/>
            </w:tcBorders>
          </w:tcPr>
          <w:p w14:paraId="45DCD6DA" w14:textId="77777777" w:rsidR="0083687B" w:rsidRPr="0083687B" w:rsidRDefault="0083687B" w:rsidP="00EB3350">
            <w:pPr>
              <w:widowControl w:val="0"/>
              <w:autoSpaceDE w:val="0"/>
              <w:autoSpaceDN w:val="0"/>
              <w:adjustRightInd w:val="0"/>
              <w:jc w:val="both"/>
              <w:rPr>
                <w:sz w:val="22"/>
                <w:szCs w:val="22"/>
              </w:rPr>
            </w:pPr>
            <w:r w:rsidRPr="0083687B">
              <w:rPr>
                <w:sz w:val="22"/>
                <w:szCs w:val="22"/>
              </w:rPr>
              <w:t>Placebo/MTX - Humira/MTX</w:t>
            </w:r>
          </w:p>
          <w:p w14:paraId="442B49DA" w14:textId="37299F6C" w:rsidR="0083687B" w:rsidRPr="0083687B" w:rsidRDefault="0083687B" w:rsidP="00EB3350">
            <w:pPr>
              <w:widowControl w:val="0"/>
              <w:autoSpaceDE w:val="0"/>
              <w:autoSpaceDN w:val="0"/>
              <w:adjustRightInd w:val="0"/>
              <w:jc w:val="both"/>
              <w:rPr>
                <w:sz w:val="22"/>
                <w:szCs w:val="22"/>
              </w:rPr>
            </w:pPr>
            <w:r w:rsidRPr="0083687B">
              <w:rPr>
                <w:sz w:val="22"/>
                <w:szCs w:val="22"/>
              </w:rPr>
              <w:t>(95%</w:t>
            </w:r>
            <w:r w:rsidR="009E0DAA">
              <w:rPr>
                <w:sz w:val="22"/>
                <w:szCs w:val="22"/>
              </w:rPr>
              <w:t xml:space="preserve"> </w:t>
            </w:r>
            <w:r w:rsidRPr="0083687B">
              <w:rPr>
                <w:sz w:val="22"/>
                <w:szCs w:val="22"/>
              </w:rPr>
              <w:t>-tni nivo pouzdanosti</w:t>
            </w:r>
            <w:r w:rsidRPr="0083687B">
              <w:rPr>
                <w:position w:val="8"/>
                <w:sz w:val="22"/>
                <w:szCs w:val="22"/>
                <w:vertAlign w:val="superscript"/>
              </w:rPr>
              <w:t>b</w:t>
            </w:r>
            <w:r w:rsidRPr="0083687B">
              <w:rPr>
                <w:sz w:val="22"/>
                <w:szCs w:val="22"/>
              </w:rPr>
              <w:t>)</w:t>
            </w:r>
          </w:p>
        </w:tc>
        <w:tc>
          <w:tcPr>
            <w:tcW w:w="1522" w:type="dxa"/>
            <w:tcBorders>
              <w:top w:val="single" w:sz="8" w:space="0" w:color="000000"/>
              <w:left w:val="single" w:sz="8" w:space="0" w:color="000000"/>
              <w:bottom w:val="single" w:sz="8" w:space="0" w:color="000000"/>
              <w:right w:val="single" w:sz="8" w:space="0" w:color="000000"/>
            </w:tcBorders>
          </w:tcPr>
          <w:p w14:paraId="4BBD162C" w14:textId="77777777" w:rsidR="0083687B" w:rsidRPr="0083687B" w:rsidRDefault="0083687B" w:rsidP="00730D96">
            <w:pPr>
              <w:widowControl w:val="0"/>
              <w:autoSpaceDE w:val="0"/>
              <w:autoSpaceDN w:val="0"/>
              <w:adjustRightInd w:val="0"/>
              <w:jc w:val="both"/>
              <w:rPr>
                <w:sz w:val="22"/>
                <w:szCs w:val="22"/>
              </w:rPr>
            </w:pPr>
            <w:r w:rsidRPr="0083687B">
              <w:rPr>
                <w:sz w:val="22"/>
                <w:szCs w:val="22"/>
              </w:rPr>
              <w:t>p vrijednost</w:t>
            </w:r>
          </w:p>
        </w:tc>
      </w:tr>
      <w:tr w:rsidR="0083687B" w:rsidRPr="0083687B" w14:paraId="5BF634AF" w14:textId="77777777" w:rsidTr="00172A4E">
        <w:trPr>
          <w:trHeight w:val="534"/>
        </w:trPr>
        <w:tc>
          <w:tcPr>
            <w:tcW w:w="2670" w:type="dxa"/>
            <w:tcBorders>
              <w:top w:val="single" w:sz="8" w:space="0" w:color="000000"/>
              <w:left w:val="single" w:sz="8" w:space="0" w:color="000000"/>
              <w:bottom w:val="single" w:sz="8" w:space="0" w:color="000000"/>
              <w:right w:val="single" w:sz="8" w:space="0" w:color="000000"/>
            </w:tcBorders>
          </w:tcPr>
          <w:p w14:paraId="4FF0153A" w14:textId="77777777" w:rsidR="0083687B" w:rsidRPr="0083687B" w:rsidRDefault="0083687B" w:rsidP="00730D96">
            <w:pPr>
              <w:widowControl w:val="0"/>
              <w:autoSpaceDE w:val="0"/>
              <w:autoSpaceDN w:val="0"/>
              <w:adjustRightInd w:val="0"/>
              <w:jc w:val="both"/>
              <w:rPr>
                <w:sz w:val="22"/>
                <w:szCs w:val="22"/>
              </w:rPr>
            </w:pPr>
            <w:r w:rsidRPr="0083687B">
              <w:rPr>
                <w:sz w:val="22"/>
                <w:szCs w:val="22"/>
              </w:rPr>
              <w:lastRenderedPageBreak/>
              <w:t xml:space="preserve">Ukupan zbir bodova po Sharp-u </w:t>
            </w:r>
          </w:p>
        </w:tc>
        <w:tc>
          <w:tcPr>
            <w:tcW w:w="1134" w:type="dxa"/>
            <w:tcBorders>
              <w:top w:val="single" w:sz="8" w:space="0" w:color="000000"/>
              <w:left w:val="single" w:sz="8" w:space="0" w:color="000000"/>
              <w:bottom w:val="single" w:sz="8" w:space="0" w:color="000000"/>
              <w:right w:val="single" w:sz="8" w:space="0" w:color="000000"/>
            </w:tcBorders>
          </w:tcPr>
          <w:p w14:paraId="486B36A0"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2,7 </w:t>
            </w:r>
          </w:p>
        </w:tc>
        <w:tc>
          <w:tcPr>
            <w:tcW w:w="1701" w:type="dxa"/>
            <w:tcBorders>
              <w:top w:val="single" w:sz="8" w:space="0" w:color="000000"/>
              <w:left w:val="single" w:sz="8" w:space="0" w:color="000000"/>
              <w:bottom w:val="single" w:sz="8" w:space="0" w:color="000000"/>
              <w:right w:val="single" w:sz="8" w:space="0" w:color="000000"/>
            </w:tcBorders>
          </w:tcPr>
          <w:p w14:paraId="541B68D2"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0,1 </w:t>
            </w:r>
          </w:p>
        </w:tc>
        <w:tc>
          <w:tcPr>
            <w:tcW w:w="2268" w:type="dxa"/>
            <w:tcBorders>
              <w:top w:val="single" w:sz="8" w:space="0" w:color="000000"/>
              <w:left w:val="single" w:sz="8" w:space="0" w:color="000000"/>
              <w:bottom w:val="single" w:sz="8" w:space="0" w:color="000000"/>
              <w:right w:val="single" w:sz="8" w:space="0" w:color="000000"/>
            </w:tcBorders>
          </w:tcPr>
          <w:p w14:paraId="3A91322E"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2,6 (1,4; 3,8) </w:t>
            </w:r>
          </w:p>
        </w:tc>
        <w:tc>
          <w:tcPr>
            <w:tcW w:w="1522" w:type="dxa"/>
            <w:tcBorders>
              <w:top w:val="single" w:sz="8" w:space="0" w:color="000000"/>
              <w:left w:val="single" w:sz="8" w:space="0" w:color="000000"/>
              <w:bottom w:val="single" w:sz="8" w:space="0" w:color="000000"/>
              <w:right w:val="single" w:sz="8" w:space="0" w:color="000000"/>
            </w:tcBorders>
          </w:tcPr>
          <w:p w14:paraId="6F3EEC25"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&lt; 0,001</w:t>
            </w:r>
            <w:r w:rsidRPr="0083687B">
              <w:rPr>
                <w:position w:val="8"/>
                <w:sz w:val="22"/>
                <w:szCs w:val="22"/>
                <w:vertAlign w:val="superscript"/>
              </w:rPr>
              <w:t>c</w:t>
            </w:r>
          </w:p>
        </w:tc>
      </w:tr>
      <w:tr w:rsidR="0083687B" w:rsidRPr="0083687B" w14:paraId="6319B618" w14:textId="77777777" w:rsidTr="00172A4E">
        <w:trPr>
          <w:trHeight w:val="271"/>
        </w:trPr>
        <w:tc>
          <w:tcPr>
            <w:tcW w:w="2670" w:type="dxa"/>
            <w:tcBorders>
              <w:top w:val="single" w:sz="8" w:space="0" w:color="000000"/>
              <w:left w:val="single" w:sz="8" w:space="0" w:color="000000"/>
              <w:bottom w:val="single" w:sz="8" w:space="0" w:color="000000"/>
              <w:right w:val="single" w:sz="8" w:space="0" w:color="000000"/>
            </w:tcBorders>
          </w:tcPr>
          <w:p w14:paraId="0F50177C" w14:textId="77777777" w:rsidR="0083687B" w:rsidRPr="0083687B" w:rsidRDefault="0083687B" w:rsidP="00730D96">
            <w:pPr>
              <w:widowControl w:val="0"/>
              <w:autoSpaceDE w:val="0"/>
              <w:autoSpaceDN w:val="0"/>
              <w:adjustRightInd w:val="0"/>
              <w:ind w:left="567" w:hanging="567"/>
              <w:jc w:val="both"/>
              <w:rPr>
                <w:sz w:val="22"/>
                <w:szCs w:val="22"/>
              </w:rPr>
            </w:pPr>
            <w:r w:rsidRPr="0083687B">
              <w:rPr>
                <w:sz w:val="22"/>
                <w:szCs w:val="22"/>
              </w:rPr>
              <w:t xml:space="preserve">Erozija </w:t>
            </w:r>
          </w:p>
        </w:tc>
        <w:tc>
          <w:tcPr>
            <w:tcW w:w="1134" w:type="dxa"/>
            <w:tcBorders>
              <w:top w:val="single" w:sz="8" w:space="0" w:color="000000"/>
              <w:left w:val="single" w:sz="8" w:space="0" w:color="000000"/>
              <w:bottom w:val="single" w:sz="8" w:space="0" w:color="000000"/>
              <w:right w:val="single" w:sz="8" w:space="0" w:color="000000"/>
            </w:tcBorders>
          </w:tcPr>
          <w:p w14:paraId="0EA1B7D5"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1,6 </w:t>
            </w:r>
          </w:p>
        </w:tc>
        <w:tc>
          <w:tcPr>
            <w:tcW w:w="1701" w:type="dxa"/>
            <w:tcBorders>
              <w:top w:val="single" w:sz="8" w:space="0" w:color="000000"/>
              <w:left w:val="single" w:sz="8" w:space="0" w:color="000000"/>
              <w:bottom w:val="single" w:sz="8" w:space="0" w:color="000000"/>
              <w:right w:val="single" w:sz="8" w:space="0" w:color="000000"/>
            </w:tcBorders>
          </w:tcPr>
          <w:p w14:paraId="6D161A4D"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0,0 </w:t>
            </w:r>
          </w:p>
        </w:tc>
        <w:tc>
          <w:tcPr>
            <w:tcW w:w="2268" w:type="dxa"/>
            <w:tcBorders>
              <w:top w:val="single" w:sz="8" w:space="0" w:color="000000"/>
              <w:left w:val="single" w:sz="8" w:space="0" w:color="000000"/>
              <w:bottom w:val="single" w:sz="8" w:space="0" w:color="000000"/>
              <w:right w:val="single" w:sz="8" w:space="0" w:color="000000"/>
            </w:tcBorders>
          </w:tcPr>
          <w:p w14:paraId="03FBF775"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1,6 (0,9; 2,2) </w:t>
            </w:r>
          </w:p>
        </w:tc>
        <w:tc>
          <w:tcPr>
            <w:tcW w:w="1522" w:type="dxa"/>
            <w:tcBorders>
              <w:top w:val="single" w:sz="8" w:space="0" w:color="000000"/>
              <w:left w:val="single" w:sz="8" w:space="0" w:color="000000"/>
              <w:bottom w:val="single" w:sz="8" w:space="0" w:color="000000"/>
              <w:right w:val="single" w:sz="8" w:space="0" w:color="000000"/>
            </w:tcBorders>
          </w:tcPr>
          <w:p w14:paraId="7451042A"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&lt; 0,001 </w:t>
            </w:r>
          </w:p>
        </w:tc>
      </w:tr>
      <w:tr w:rsidR="0083687B" w:rsidRPr="0083687B" w14:paraId="31C13771" w14:textId="77777777" w:rsidTr="00172A4E">
        <w:trPr>
          <w:trHeight w:val="504"/>
        </w:trPr>
        <w:tc>
          <w:tcPr>
            <w:tcW w:w="2670" w:type="dxa"/>
            <w:tcBorders>
              <w:top w:val="single" w:sz="8" w:space="0" w:color="000000"/>
              <w:left w:val="single" w:sz="8" w:space="0" w:color="000000"/>
              <w:bottom w:val="single" w:sz="8" w:space="0" w:color="000000"/>
              <w:right w:val="single" w:sz="8" w:space="0" w:color="000000"/>
            </w:tcBorders>
          </w:tcPr>
          <w:p w14:paraId="6C6B93DA" w14:textId="77777777" w:rsidR="0083687B" w:rsidRPr="0083687B" w:rsidRDefault="0083687B" w:rsidP="00730D96">
            <w:pPr>
              <w:widowControl w:val="0"/>
              <w:autoSpaceDE w:val="0"/>
              <w:autoSpaceDN w:val="0"/>
              <w:adjustRightInd w:val="0"/>
              <w:jc w:val="both"/>
              <w:rPr>
                <w:sz w:val="22"/>
                <w:szCs w:val="22"/>
              </w:rPr>
            </w:pPr>
            <w:r w:rsidRPr="0083687B">
              <w:rPr>
                <w:sz w:val="22"/>
                <w:szCs w:val="22"/>
              </w:rPr>
              <w:t>JSN zbir</w:t>
            </w:r>
            <w:r w:rsidRPr="0083687B">
              <w:rPr>
                <w:sz w:val="22"/>
                <w:szCs w:val="22"/>
                <w:vertAlign w:val="superscript"/>
              </w:rPr>
              <w:t>d</w:t>
            </w:r>
            <w:r w:rsidRPr="0083687B">
              <w:rPr>
                <w:sz w:val="22"/>
                <w:szCs w:val="22"/>
              </w:rPr>
              <w:t xml:space="preserve"> </w:t>
            </w:r>
          </w:p>
        </w:tc>
        <w:tc>
          <w:tcPr>
            <w:tcW w:w="1134" w:type="dxa"/>
            <w:tcBorders>
              <w:top w:val="single" w:sz="8" w:space="0" w:color="000000"/>
              <w:left w:val="single" w:sz="8" w:space="0" w:color="000000"/>
              <w:bottom w:val="single" w:sz="8" w:space="0" w:color="000000"/>
              <w:right w:val="single" w:sz="8" w:space="0" w:color="000000"/>
            </w:tcBorders>
          </w:tcPr>
          <w:p w14:paraId="761409EE"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1,0 </w:t>
            </w:r>
          </w:p>
        </w:tc>
        <w:tc>
          <w:tcPr>
            <w:tcW w:w="1701" w:type="dxa"/>
            <w:tcBorders>
              <w:top w:val="single" w:sz="8" w:space="0" w:color="000000"/>
              <w:left w:val="single" w:sz="8" w:space="0" w:color="000000"/>
              <w:bottom w:val="single" w:sz="8" w:space="0" w:color="000000"/>
              <w:right w:val="single" w:sz="8" w:space="0" w:color="000000"/>
            </w:tcBorders>
          </w:tcPr>
          <w:p w14:paraId="79CDD37D"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0,1 </w:t>
            </w:r>
          </w:p>
        </w:tc>
        <w:tc>
          <w:tcPr>
            <w:tcW w:w="2268" w:type="dxa"/>
            <w:tcBorders>
              <w:top w:val="single" w:sz="8" w:space="0" w:color="000000"/>
              <w:left w:val="single" w:sz="8" w:space="0" w:color="000000"/>
              <w:bottom w:val="single" w:sz="8" w:space="0" w:color="000000"/>
              <w:right w:val="single" w:sz="8" w:space="0" w:color="000000"/>
            </w:tcBorders>
          </w:tcPr>
          <w:p w14:paraId="68374F21"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0,9 (0,3; 1,4) </w:t>
            </w:r>
          </w:p>
        </w:tc>
        <w:tc>
          <w:tcPr>
            <w:tcW w:w="1522" w:type="dxa"/>
            <w:tcBorders>
              <w:top w:val="single" w:sz="8" w:space="0" w:color="000000"/>
              <w:left w:val="single" w:sz="8" w:space="0" w:color="000000"/>
              <w:bottom w:val="single" w:sz="8" w:space="0" w:color="000000"/>
              <w:right w:val="single" w:sz="8" w:space="0" w:color="000000"/>
            </w:tcBorders>
          </w:tcPr>
          <w:p w14:paraId="2CE39468" w14:textId="77777777" w:rsidR="0083687B" w:rsidRPr="0083687B" w:rsidRDefault="0083687B">
            <w:pPr>
              <w:widowControl w:val="0"/>
              <w:autoSpaceDE w:val="0"/>
              <w:autoSpaceDN w:val="0"/>
              <w:adjustRightInd w:val="0"/>
              <w:ind w:left="567" w:hanging="567"/>
              <w:jc w:val="both"/>
              <w:rPr>
                <w:sz w:val="22"/>
                <w:szCs w:val="22"/>
              </w:rPr>
            </w:pPr>
            <w:r w:rsidRPr="0083687B">
              <w:rPr>
                <w:sz w:val="22"/>
                <w:szCs w:val="22"/>
              </w:rPr>
              <w:t xml:space="preserve">0,002 </w:t>
            </w:r>
          </w:p>
        </w:tc>
      </w:tr>
    </w:tbl>
    <w:p w14:paraId="5C78C5D6" w14:textId="77777777" w:rsidR="0083687B" w:rsidRPr="0083687B" w:rsidRDefault="0083687B" w:rsidP="00730D96">
      <w:pPr>
        <w:widowControl w:val="0"/>
        <w:autoSpaceDE w:val="0"/>
        <w:autoSpaceDN w:val="0"/>
        <w:adjustRightInd w:val="0"/>
        <w:ind w:left="567" w:hanging="567"/>
        <w:jc w:val="both"/>
        <w:rPr>
          <w:sz w:val="22"/>
          <w:szCs w:val="22"/>
        </w:rPr>
      </w:pPr>
      <w:proofErr w:type="gramStart"/>
      <w:r w:rsidRPr="0083687B">
        <w:rPr>
          <w:position w:val="8"/>
          <w:sz w:val="22"/>
          <w:szCs w:val="22"/>
          <w:vertAlign w:val="superscript"/>
        </w:rPr>
        <w:t>a</w:t>
      </w:r>
      <w:r w:rsidRPr="0083687B">
        <w:rPr>
          <w:sz w:val="22"/>
          <w:szCs w:val="22"/>
        </w:rPr>
        <w:t>metotreksat</w:t>
      </w:r>
      <w:proofErr w:type="gramEnd"/>
    </w:p>
    <w:p w14:paraId="204A9024" w14:textId="77777777" w:rsidR="0083687B" w:rsidRPr="0083687B" w:rsidRDefault="0083687B">
      <w:pPr>
        <w:widowControl w:val="0"/>
        <w:autoSpaceDE w:val="0"/>
        <w:autoSpaceDN w:val="0"/>
        <w:adjustRightInd w:val="0"/>
        <w:jc w:val="both"/>
        <w:rPr>
          <w:sz w:val="22"/>
          <w:szCs w:val="22"/>
        </w:rPr>
      </w:pPr>
      <w:proofErr w:type="gramStart"/>
      <w:r w:rsidRPr="0083687B">
        <w:rPr>
          <w:position w:val="8"/>
          <w:sz w:val="22"/>
          <w:szCs w:val="22"/>
        </w:rPr>
        <w:t>b</w:t>
      </w:r>
      <w:r w:rsidRPr="0083687B">
        <w:rPr>
          <w:sz w:val="22"/>
          <w:szCs w:val="22"/>
        </w:rPr>
        <w:t>inervali</w:t>
      </w:r>
      <w:proofErr w:type="gramEnd"/>
      <w:r w:rsidRPr="0083687B">
        <w:rPr>
          <w:sz w:val="22"/>
          <w:szCs w:val="22"/>
        </w:rPr>
        <w:t xml:space="preserve"> pouzdanosti od 95% za razlike izmedju između metotreksata i lijeka Humira s obzirom na promjene ukupnog rezultata</w:t>
      </w:r>
    </w:p>
    <w:p w14:paraId="6788700B" w14:textId="77777777" w:rsidR="0083687B" w:rsidRPr="0083687B" w:rsidRDefault="0083687B">
      <w:pPr>
        <w:widowControl w:val="0"/>
        <w:autoSpaceDE w:val="0"/>
        <w:autoSpaceDN w:val="0"/>
        <w:adjustRightInd w:val="0"/>
        <w:ind w:left="567" w:hanging="567"/>
        <w:jc w:val="both"/>
        <w:rPr>
          <w:sz w:val="22"/>
          <w:szCs w:val="22"/>
        </w:rPr>
      </w:pPr>
      <w:proofErr w:type="gramStart"/>
      <w:r w:rsidRPr="0083687B">
        <w:rPr>
          <w:position w:val="8"/>
          <w:sz w:val="22"/>
          <w:szCs w:val="22"/>
          <w:vertAlign w:val="superscript"/>
        </w:rPr>
        <w:t>c</w:t>
      </w:r>
      <w:r w:rsidRPr="0083687B">
        <w:rPr>
          <w:sz w:val="22"/>
          <w:szCs w:val="22"/>
        </w:rPr>
        <w:t>na</w:t>
      </w:r>
      <w:proofErr w:type="gramEnd"/>
      <w:r w:rsidRPr="0083687B">
        <w:rPr>
          <w:sz w:val="22"/>
          <w:szCs w:val="22"/>
        </w:rPr>
        <w:t xml:space="preserve"> osnovi analize ranga</w:t>
      </w:r>
    </w:p>
    <w:p w14:paraId="783F5452" w14:textId="77777777" w:rsidR="0083687B" w:rsidRPr="0083687B" w:rsidRDefault="0083687B">
      <w:pPr>
        <w:widowControl w:val="0"/>
        <w:autoSpaceDE w:val="0"/>
        <w:autoSpaceDN w:val="0"/>
        <w:adjustRightInd w:val="0"/>
        <w:ind w:left="567" w:hanging="567"/>
        <w:jc w:val="both"/>
        <w:rPr>
          <w:sz w:val="22"/>
          <w:szCs w:val="22"/>
        </w:rPr>
      </w:pPr>
      <w:proofErr w:type="gramStart"/>
      <w:r w:rsidRPr="0083687B">
        <w:rPr>
          <w:sz w:val="22"/>
          <w:szCs w:val="22"/>
          <w:vertAlign w:val="superscript"/>
        </w:rPr>
        <w:t>d</w:t>
      </w:r>
      <w:proofErr w:type="gramEnd"/>
      <w:r w:rsidRPr="0083687B">
        <w:rPr>
          <w:sz w:val="22"/>
          <w:szCs w:val="22"/>
          <w:vertAlign w:val="superscript"/>
        </w:rPr>
        <w:t xml:space="preserve"> </w:t>
      </w:r>
      <w:r w:rsidRPr="0083687B">
        <w:rPr>
          <w:sz w:val="22"/>
          <w:szCs w:val="22"/>
        </w:rPr>
        <w:t>suženje zglobnih prostora</w:t>
      </w:r>
    </w:p>
    <w:p w14:paraId="3092D76F" w14:textId="77777777" w:rsidR="0083687B" w:rsidRPr="0083687B" w:rsidRDefault="0083687B">
      <w:pPr>
        <w:widowControl w:val="0"/>
        <w:autoSpaceDE w:val="0"/>
        <w:autoSpaceDN w:val="0"/>
        <w:adjustRightInd w:val="0"/>
        <w:ind w:left="567" w:hanging="567"/>
        <w:jc w:val="both"/>
        <w:rPr>
          <w:sz w:val="22"/>
          <w:szCs w:val="22"/>
        </w:rPr>
      </w:pPr>
    </w:p>
    <w:p w14:paraId="0C5F8ABB" w14:textId="77777777" w:rsidR="0083687B" w:rsidRPr="0083687B" w:rsidRDefault="0083687B">
      <w:pPr>
        <w:widowControl w:val="0"/>
        <w:autoSpaceDE w:val="0"/>
        <w:autoSpaceDN w:val="0"/>
        <w:adjustRightInd w:val="0"/>
        <w:jc w:val="both"/>
        <w:rPr>
          <w:sz w:val="22"/>
          <w:szCs w:val="22"/>
        </w:rPr>
      </w:pPr>
      <w:r w:rsidRPr="0083687B">
        <w:rPr>
          <w:sz w:val="22"/>
          <w:szCs w:val="22"/>
        </w:rPr>
        <w:t>U  RA ispitivanju V, strukturno oštećenje zglobova procjenjivano je radiološki, a stepen oštećenja izražen je promjenom ukupnog zbira bodova po Sharp-u (Tabela 10).</w:t>
      </w:r>
    </w:p>
    <w:p w14:paraId="4859CD66" w14:textId="77777777" w:rsidR="0083687B" w:rsidRPr="0083687B" w:rsidRDefault="0083687B">
      <w:pPr>
        <w:widowControl w:val="0"/>
        <w:autoSpaceDE w:val="0"/>
        <w:autoSpaceDN w:val="0"/>
        <w:adjustRightInd w:val="0"/>
        <w:jc w:val="both"/>
        <w:rPr>
          <w:sz w:val="22"/>
          <w:szCs w:val="22"/>
        </w:rPr>
      </w:pPr>
    </w:p>
    <w:p w14:paraId="38299500" w14:textId="77777777" w:rsidR="0083687B" w:rsidRPr="0083687B" w:rsidRDefault="0083687B" w:rsidP="00EB3350">
      <w:pPr>
        <w:widowControl w:val="0"/>
        <w:autoSpaceDE w:val="0"/>
        <w:autoSpaceDN w:val="0"/>
        <w:adjustRightInd w:val="0"/>
        <w:ind w:left="567" w:hanging="567"/>
        <w:jc w:val="both"/>
        <w:rPr>
          <w:sz w:val="22"/>
          <w:szCs w:val="22"/>
        </w:rPr>
      </w:pPr>
      <w:r w:rsidRPr="0083687B">
        <w:rPr>
          <w:b/>
          <w:bCs/>
          <w:sz w:val="22"/>
          <w:szCs w:val="22"/>
        </w:rPr>
        <w:t>Tabela 10. Radiološke promjene nakon 52 nedjelje u RA ispitivanju V</w:t>
      </w:r>
    </w:p>
    <w:p w14:paraId="2E45FDC3" w14:textId="77777777" w:rsidR="0083687B" w:rsidRPr="0083687B" w:rsidRDefault="0083687B" w:rsidP="00730D96">
      <w:pPr>
        <w:widowControl w:val="0"/>
        <w:autoSpaceDE w:val="0"/>
        <w:autoSpaceDN w:val="0"/>
        <w:adjustRightInd w:val="0"/>
        <w:ind w:left="567" w:hanging="567"/>
        <w:jc w:val="both"/>
        <w:rPr>
          <w:sz w:val="22"/>
          <w:szCs w:val="22"/>
        </w:rPr>
      </w:pPr>
    </w:p>
    <w:tbl>
      <w:tblPr>
        <w:tblW w:w="0" w:type="auto"/>
        <w:tblInd w:w="-34" w:type="dxa"/>
        <w:tblLook w:val="0000" w:firstRow="0" w:lastRow="0" w:firstColumn="0" w:lastColumn="0" w:noHBand="0" w:noVBand="0"/>
      </w:tblPr>
      <w:tblGrid>
        <w:gridCol w:w="1219"/>
        <w:gridCol w:w="1280"/>
        <w:gridCol w:w="1280"/>
        <w:gridCol w:w="1588"/>
        <w:gridCol w:w="1240"/>
        <w:gridCol w:w="1248"/>
        <w:gridCol w:w="1232"/>
      </w:tblGrid>
      <w:tr w:rsidR="0083687B" w:rsidRPr="0083687B" w14:paraId="1A4CF476" w14:textId="77777777" w:rsidTr="0088568A">
        <w:trPr>
          <w:trHeight w:val="902"/>
        </w:trPr>
        <w:tc>
          <w:tcPr>
            <w:tcW w:w="1640" w:type="dxa"/>
            <w:tcBorders>
              <w:top w:val="single" w:sz="8" w:space="0" w:color="000000"/>
              <w:left w:val="single" w:sz="8" w:space="0" w:color="000000"/>
              <w:bottom w:val="single" w:sz="8" w:space="0" w:color="000000"/>
              <w:right w:val="single" w:sz="8" w:space="0" w:color="000000"/>
            </w:tcBorders>
          </w:tcPr>
          <w:p w14:paraId="4E24F6BC" w14:textId="77777777" w:rsidR="0083687B" w:rsidRPr="0083687B" w:rsidRDefault="0083687B" w:rsidP="00730D96">
            <w:pPr>
              <w:widowControl w:val="0"/>
              <w:autoSpaceDE w:val="0"/>
              <w:autoSpaceDN w:val="0"/>
              <w:adjustRightInd w:val="0"/>
              <w:ind w:left="567" w:hanging="567"/>
              <w:jc w:val="both"/>
              <w:rPr>
                <w:sz w:val="22"/>
                <w:szCs w:val="22"/>
              </w:rPr>
            </w:pPr>
            <w:r w:rsidRPr="0083687B">
              <w:rPr>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7B1A5C6A"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MTX </w:t>
            </w:r>
          </w:p>
          <w:p w14:paraId="3D5851B5"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n=257 </w:t>
            </w:r>
          </w:p>
          <w:p w14:paraId="004368B2" w14:textId="77777777" w:rsidR="0083687B" w:rsidRPr="0083687B" w:rsidRDefault="0083687B">
            <w:pPr>
              <w:widowControl w:val="0"/>
              <w:autoSpaceDE w:val="0"/>
              <w:autoSpaceDN w:val="0"/>
              <w:adjustRightInd w:val="0"/>
              <w:jc w:val="both"/>
              <w:rPr>
                <w:sz w:val="22"/>
                <w:szCs w:val="22"/>
              </w:rPr>
            </w:pPr>
            <w:r w:rsidRPr="0083687B">
              <w:rPr>
                <w:sz w:val="22"/>
                <w:szCs w:val="22"/>
              </w:rPr>
              <w:t>(</w:t>
            </w:r>
            <w:proofErr w:type="gramStart"/>
            <w:r w:rsidRPr="0083687B">
              <w:rPr>
                <w:sz w:val="22"/>
                <w:szCs w:val="22"/>
              </w:rPr>
              <w:t>interval</w:t>
            </w:r>
            <w:proofErr w:type="gramEnd"/>
            <w:r w:rsidRPr="0083687B">
              <w:rPr>
                <w:sz w:val="22"/>
                <w:szCs w:val="22"/>
              </w:rPr>
              <w:t xml:space="preserve"> pouzdanosti od 95%) </w:t>
            </w:r>
          </w:p>
        </w:tc>
        <w:tc>
          <w:tcPr>
            <w:tcW w:w="0" w:type="auto"/>
            <w:tcBorders>
              <w:top w:val="single" w:sz="8" w:space="0" w:color="000000"/>
              <w:left w:val="single" w:sz="8" w:space="0" w:color="000000"/>
              <w:bottom w:val="single" w:sz="8" w:space="0" w:color="000000"/>
              <w:right w:val="single" w:sz="8" w:space="0" w:color="000000"/>
            </w:tcBorders>
          </w:tcPr>
          <w:p w14:paraId="35142345"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Humira </w:t>
            </w:r>
          </w:p>
          <w:p w14:paraId="6099E728"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n=274 </w:t>
            </w:r>
          </w:p>
          <w:p w14:paraId="0B45D0A3" w14:textId="77777777" w:rsidR="0083687B" w:rsidRPr="0083687B" w:rsidRDefault="0083687B">
            <w:pPr>
              <w:widowControl w:val="0"/>
              <w:autoSpaceDE w:val="0"/>
              <w:autoSpaceDN w:val="0"/>
              <w:adjustRightInd w:val="0"/>
              <w:jc w:val="both"/>
              <w:rPr>
                <w:sz w:val="22"/>
                <w:szCs w:val="22"/>
              </w:rPr>
            </w:pPr>
            <w:r w:rsidRPr="0083687B">
              <w:rPr>
                <w:sz w:val="22"/>
                <w:szCs w:val="22"/>
              </w:rPr>
              <w:t>(</w:t>
            </w:r>
            <w:proofErr w:type="gramStart"/>
            <w:r w:rsidRPr="0083687B">
              <w:rPr>
                <w:sz w:val="22"/>
                <w:szCs w:val="22"/>
              </w:rPr>
              <w:t>interval</w:t>
            </w:r>
            <w:proofErr w:type="gramEnd"/>
            <w:r w:rsidRPr="0083687B">
              <w:rPr>
                <w:sz w:val="22"/>
                <w:szCs w:val="22"/>
              </w:rPr>
              <w:t xml:space="preserve"> pouzdanosti od 95%) </w:t>
            </w:r>
          </w:p>
        </w:tc>
        <w:tc>
          <w:tcPr>
            <w:tcW w:w="1785" w:type="dxa"/>
            <w:tcBorders>
              <w:top w:val="single" w:sz="8" w:space="0" w:color="000000"/>
              <w:left w:val="single" w:sz="8" w:space="0" w:color="000000"/>
              <w:bottom w:val="single" w:sz="8" w:space="0" w:color="000000"/>
              <w:right w:val="single" w:sz="8" w:space="0" w:color="000000"/>
            </w:tcBorders>
          </w:tcPr>
          <w:p w14:paraId="1061AE4C"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Humira/MTX </w:t>
            </w:r>
          </w:p>
          <w:p w14:paraId="0E684C1D"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n=268 </w:t>
            </w:r>
          </w:p>
          <w:p w14:paraId="523CB858" w14:textId="77777777" w:rsidR="0083687B" w:rsidRPr="0083687B" w:rsidRDefault="0083687B">
            <w:pPr>
              <w:widowControl w:val="0"/>
              <w:autoSpaceDE w:val="0"/>
              <w:autoSpaceDN w:val="0"/>
              <w:adjustRightInd w:val="0"/>
              <w:jc w:val="both"/>
              <w:rPr>
                <w:sz w:val="22"/>
                <w:szCs w:val="22"/>
              </w:rPr>
            </w:pPr>
            <w:r w:rsidRPr="0083687B">
              <w:rPr>
                <w:sz w:val="22"/>
                <w:szCs w:val="22"/>
              </w:rPr>
              <w:t>(</w:t>
            </w:r>
            <w:proofErr w:type="gramStart"/>
            <w:r w:rsidRPr="0083687B">
              <w:rPr>
                <w:sz w:val="22"/>
                <w:szCs w:val="22"/>
              </w:rPr>
              <w:t>interval</w:t>
            </w:r>
            <w:proofErr w:type="gramEnd"/>
            <w:r w:rsidRPr="0083687B">
              <w:rPr>
                <w:sz w:val="22"/>
                <w:szCs w:val="22"/>
              </w:rPr>
              <w:t xml:space="preserve"> pouzdanosti od 95%) </w:t>
            </w:r>
          </w:p>
        </w:tc>
        <w:tc>
          <w:tcPr>
            <w:tcW w:w="836" w:type="dxa"/>
            <w:tcBorders>
              <w:top w:val="single" w:sz="8" w:space="0" w:color="000000"/>
              <w:left w:val="single" w:sz="8" w:space="0" w:color="000000"/>
              <w:bottom w:val="single" w:sz="8" w:space="0" w:color="000000"/>
              <w:right w:val="single" w:sz="8" w:space="0" w:color="000000"/>
            </w:tcBorders>
          </w:tcPr>
          <w:p w14:paraId="7E78F091" w14:textId="77777777" w:rsidR="0083687B" w:rsidRPr="0083687B" w:rsidRDefault="0083687B">
            <w:pPr>
              <w:widowControl w:val="0"/>
              <w:autoSpaceDE w:val="0"/>
              <w:autoSpaceDN w:val="0"/>
              <w:adjustRightInd w:val="0"/>
              <w:jc w:val="both"/>
              <w:rPr>
                <w:sz w:val="22"/>
                <w:szCs w:val="22"/>
              </w:rPr>
            </w:pPr>
            <w:r w:rsidRPr="0083687B">
              <w:rPr>
                <w:b/>
                <w:bCs/>
                <w:sz w:val="22"/>
                <w:szCs w:val="22"/>
              </w:rPr>
              <w:t>p vrijednost</w:t>
            </w:r>
            <w:r w:rsidRPr="0083687B">
              <w:rPr>
                <w:b/>
                <w:bCs/>
                <w:position w:val="8"/>
                <w:sz w:val="22"/>
                <w:szCs w:val="22"/>
                <w:vertAlign w:val="superscript"/>
              </w:rPr>
              <w:t>a</w:t>
            </w:r>
          </w:p>
        </w:tc>
        <w:tc>
          <w:tcPr>
            <w:tcW w:w="0" w:type="auto"/>
            <w:tcBorders>
              <w:top w:val="single" w:sz="8" w:space="0" w:color="000000"/>
              <w:left w:val="single" w:sz="8" w:space="0" w:color="000000"/>
              <w:bottom w:val="single" w:sz="8" w:space="0" w:color="000000"/>
              <w:right w:val="single" w:sz="8" w:space="0" w:color="000000"/>
            </w:tcBorders>
          </w:tcPr>
          <w:p w14:paraId="00B1DA66" w14:textId="77777777" w:rsidR="0083687B" w:rsidRPr="0083687B" w:rsidRDefault="0083687B">
            <w:pPr>
              <w:widowControl w:val="0"/>
              <w:autoSpaceDE w:val="0"/>
              <w:autoSpaceDN w:val="0"/>
              <w:adjustRightInd w:val="0"/>
              <w:jc w:val="both"/>
              <w:rPr>
                <w:sz w:val="22"/>
                <w:szCs w:val="22"/>
              </w:rPr>
            </w:pPr>
            <w:r w:rsidRPr="0083687B">
              <w:rPr>
                <w:b/>
                <w:bCs/>
                <w:sz w:val="22"/>
                <w:szCs w:val="22"/>
              </w:rPr>
              <w:t>p vrijednost</w:t>
            </w:r>
            <w:r w:rsidRPr="0083687B">
              <w:rPr>
                <w:b/>
                <w:bCs/>
                <w:position w:val="8"/>
                <w:sz w:val="22"/>
                <w:szCs w:val="22"/>
                <w:vertAlign w:val="superscript"/>
              </w:rPr>
              <w:t>b</w:t>
            </w:r>
          </w:p>
        </w:tc>
        <w:tc>
          <w:tcPr>
            <w:tcW w:w="0" w:type="auto"/>
            <w:tcBorders>
              <w:top w:val="single" w:sz="8" w:space="0" w:color="000000"/>
              <w:left w:val="single" w:sz="8" w:space="0" w:color="000000"/>
              <w:bottom w:val="single" w:sz="8" w:space="0" w:color="000000"/>
              <w:right w:val="single" w:sz="8" w:space="0" w:color="000000"/>
            </w:tcBorders>
          </w:tcPr>
          <w:p w14:paraId="421427F0" w14:textId="77777777" w:rsidR="0083687B" w:rsidRPr="0083687B" w:rsidRDefault="0083687B">
            <w:pPr>
              <w:widowControl w:val="0"/>
              <w:autoSpaceDE w:val="0"/>
              <w:autoSpaceDN w:val="0"/>
              <w:adjustRightInd w:val="0"/>
              <w:jc w:val="both"/>
              <w:rPr>
                <w:sz w:val="22"/>
                <w:szCs w:val="22"/>
              </w:rPr>
            </w:pPr>
            <w:r w:rsidRPr="0083687B">
              <w:rPr>
                <w:b/>
                <w:bCs/>
                <w:sz w:val="22"/>
                <w:szCs w:val="22"/>
              </w:rPr>
              <w:t>p vrijednost</w:t>
            </w:r>
            <w:r w:rsidRPr="0083687B">
              <w:rPr>
                <w:b/>
                <w:bCs/>
                <w:position w:val="8"/>
                <w:sz w:val="22"/>
                <w:szCs w:val="22"/>
                <w:vertAlign w:val="superscript"/>
              </w:rPr>
              <w:t>c</w:t>
            </w:r>
          </w:p>
        </w:tc>
      </w:tr>
      <w:tr w:rsidR="0083687B" w:rsidRPr="0083687B" w14:paraId="2441DC7C" w14:textId="77777777" w:rsidTr="0088568A">
        <w:trPr>
          <w:trHeight w:val="957"/>
        </w:trPr>
        <w:tc>
          <w:tcPr>
            <w:tcW w:w="1640" w:type="dxa"/>
            <w:tcBorders>
              <w:top w:val="single" w:sz="8" w:space="0" w:color="000000"/>
              <w:left w:val="single" w:sz="8" w:space="0" w:color="000000"/>
              <w:bottom w:val="single" w:sz="8" w:space="0" w:color="000000"/>
              <w:right w:val="single" w:sz="8" w:space="0" w:color="000000"/>
            </w:tcBorders>
          </w:tcPr>
          <w:p w14:paraId="154B22BE" w14:textId="77777777" w:rsidR="0083687B" w:rsidRPr="0083687B" w:rsidRDefault="0083687B" w:rsidP="00730D96">
            <w:pPr>
              <w:widowControl w:val="0"/>
              <w:autoSpaceDE w:val="0"/>
              <w:autoSpaceDN w:val="0"/>
              <w:adjustRightInd w:val="0"/>
              <w:ind w:left="34" w:hanging="34"/>
              <w:jc w:val="both"/>
              <w:rPr>
                <w:sz w:val="22"/>
                <w:szCs w:val="22"/>
              </w:rPr>
            </w:pPr>
            <w:r w:rsidRPr="0083687B">
              <w:rPr>
                <w:sz w:val="22"/>
                <w:szCs w:val="22"/>
              </w:rPr>
              <w:t xml:space="preserve">ukupan zbir bodova po Sharp-u </w:t>
            </w:r>
          </w:p>
        </w:tc>
        <w:tc>
          <w:tcPr>
            <w:tcW w:w="0" w:type="auto"/>
            <w:tcBorders>
              <w:top w:val="single" w:sz="8" w:space="0" w:color="000000"/>
              <w:left w:val="single" w:sz="8" w:space="0" w:color="000000"/>
              <w:bottom w:val="single" w:sz="8" w:space="0" w:color="000000"/>
              <w:right w:val="single" w:sz="8" w:space="0" w:color="000000"/>
            </w:tcBorders>
          </w:tcPr>
          <w:p w14:paraId="7E809E9F" w14:textId="77777777" w:rsidR="0083687B" w:rsidRPr="0083687B" w:rsidRDefault="0083687B">
            <w:pPr>
              <w:widowControl w:val="0"/>
              <w:autoSpaceDE w:val="0"/>
              <w:autoSpaceDN w:val="0"/>
              <w:adjustRightInd w:val="0"/>
              <w:ind w:left="34" w:hanging="34"/>
              <w:jc w:val="both"/>
              <w:rPr>
                <w:sz w:val="22"/>
                <w:szCs w:val="22"/>
              </w:rPr>
            </w:pPr>
            <w:r w:rsidRPr="0083687B">
              <w:rPr>
                <w:sz w:val="22"/>
                <w:szCs w:val="22"/>
              </w:rPr>
              <w:t xml:space="preserve">5,7 (4,2 – 7,3) </w:t>
            </w:r>
          </w:p>
        </w:tc>
        <w:tc>
          <w:tcPr>
            <w:tcW w:w="0" w:type="auto"/>
            <w:tcBorders>
              <w:top w:val="single" w:sz="8" w:space="0" w:color="000000"/>
              <w:left w:val="single" w:sz="8" w:space="0" w:color="000000"/>
              <w:bottom w:val="single" w:sz="8" w:space="0" w:color="000000"/>
              <w:right w:val="single" w:sz="8" w:space="0" w:color="000000"/>
            </w:tcBorders>
          </w:tcPr>
          <w:p w14:paraId="27524488" w14:textId="77777777" w:rsidR="0083687B" w:rsidRPr="0083687B" w:rsidRDefault="0083687B">
            <w:pPr>
              <w:widowControl w:val="0"/>
              <w:autoSpaceDE w:val="0"/>
              <w:autoSpaceDN w:val="0"/>
              <w:adjustRightInd w:val="0"/>
              <w:ind w:left="34" w:hanging="34"/>
              <w:jc w:val="both"/>
              <w:rPr>
                <w:sz w:val="22"/>
                <w:szCs w:val="22"/>
              </w:rPr>
            </w:pPr>
            <w:r w:rsidRPr="0083687B">
              <w:rPr>
                <w:sz w:val="22"/>
                <w:szCs w:val="22"/>
              </w:rPr>
              <w:t xml:space="preserve">3,0 (1,7 – 4,3) </w:t>
            </w:r>
          </w:p>
        </w:tc>
        <w:tc>
          <w:tcPr>
            <w:tcW w:w="1785" w:type="dxa"/>
            <w:tcBorders>
              <w:top w:val="single" w:sz="8" w:space="0" w:color="000000"/>
              <w:left w:val="single" w:sz="8" w:space="0" w:color="000000"/>
              <w:bottom w:val="single" w:sz="8" w:space="0" w:color="000000"/>
              <w:right w:val="single" w:sz="8" w:space="0" w:color="000000"/>
            </w:tcBorders>
          </w:tcPr>
          <w:p w14:paraId="1A1BD82C" w14:textId="77777777" w:rsidR="0083687B" w:rsidRPr="0083687B" w:rsidRDefault="0083687B">
            <w:pPr>
              <w:widowControl w:val="0"/>
              <w:autoSpaceDE w:val="0"/>
              <w:autoSpaceDN w:val="0"/>
              <w:adjustRightInd w:val="0"/>
              <w:ind w:left="34" w:hanging="34"/>
              <w:jc w:val="both"/>
              <w:rPr>
                <w:sz w:val="22"/>
                <w:szCs w:val="22"/>
              </w:rPr>
            </w:pPr>
            <w:r w:rsidRPr="0083687B">
              <w:rPr>
                <w:sz w:val="22"/>
                <w:szCs w:val="22"/>
              </w:rPr>
              <w:t xml:space="preserve">1,3 (0,5 – 2,1) </w:t>
            </w:r>
          </w:p>
        </w:tc>
        <w:tc>
          <w:tcPr>
            <w:tcW w:w="836" w:type="dxa"/>
            <w:tcBorders>
              <w:top w:val="single" w:sz="8" w:space="0" w:color="000000"/>
              <w:left w:val="single" w:sz="8" w:space="0" w:color="000000"/>
              <w:bottom w:val="single" w:sz="8" w:space="0" w:color="000000"/>
              <w:right w:val="single" w:sz="8" w:space="0" w:color="000000"/>
            </w:tcBorders>
          </w:tcPr>
          <w:p w14:paraId="3940BD64" w14:textId="77777777" w:rsidR="0083687B" w:rsidRPr="0083687B" w:rsidRDefault="0083687B">
            <w:pPr>
              <w:widowControl w:val="0"/>
              <w:autoSpaceDE w:val="0"/>
              <w:autoSpaceDN w:val="0"/>
              <w:adjustRightInd w:val="0"/>
              <w:ind w:left="34" w:hanging="34"/>
              <w:jc w:val="both"/>
              <w:rPr>
                <w:sz w:val="22"/>
                <w:szCs w:val="22"/>
              </w:rPr>
            </w:pPr>
            <w:r w:rsidRPr="0083687B">
              <w:rPr>
                <w:sz w:val="22"/>
                <w:szCs w:val="22"/>
              </w:rPr>
              <w:t xml:space="preserve">&lt;0,001 </w:t>
            </w:r>
          </w:p>
        </w:tc>
        <w:tc>
          <w:tcPr>
            <w:tcW w:w="0" w:type="auto"/>
            <w:tcBorders>
              <w:top w:val="single" w:sz="8" w:space="0" w:color="000000"/>
              <w:left w:val="single" w:sz="8" w:space="0" w:color="000000"/>
              <w:bottom w:val="single" w:sz="8" w:space="0" w:color="000000"/>
              <w:right w:val="single" w:sz="8" w:space="0" w:color="000000"/>
            </w:tcBorders>
          </w:tcPr>
          <w:p w14:paraId="03AE8205" w14:textId="77777777" w:rsidR="0083687B" w:rsidRPr="0083687B" w:rsidRDefault="0083687B">
            <w:pPr>
              <w:widowControl w:val="0"/>
              <w:autoSpaceDE w:val="0"/>
              <w:autoSpaceDN w:val="0"/>
              <w:adjustRightInd w:val="0"/>
              <w:ind w:left="34" w:hanging="34"/>
              <w:jc w:val="both"/>
              <w:rPr>
                <w:sz w:val="22"/>
                <w:szCs w:val="22"/>
              </w:rPr>
            </w:pPr>
            <w:r w:rsidRPr="0083687B">
              <w:rPr>
                <w:sz w:val="22"/>
                <w:szCs w:val="22"/>
              </w:rPr>
              <w:t xml:space="preserve">0,0020 </w:t>
            </w:r>
          </w:p>
        </w:tc>
        <w:tc>
          <w:tcPr>
            <w:tcW w:w="0" w:type="auto"/>
            <w:tcBorders>
              <w:top w:val="single" w:sz="8" w:space="0" w:color="000000"/>
              <w:left w:val="single" w:sz="8" w:space="0" w:color="000000"/>
              <w:bottom w:val="single" w:sz="8" w:space="0" w:color="000000"/>
              <w:right w:val="single" w:sz="8" w:space="0" w:color="000000"/>
            </w:tcBorders>
          </w:tcPr>
          <w:p w14:paraId="58BEA161" w14:textId="77777777" w:rsidR="0083687B" w:rsidRPr="0083687B" w:rsidRDefault="0083687B">
            <w:pPr>
              <w:widowControl w:val="0"/>
              <w:autoSpaceDE w:val="0"/>
              <w:autoSpaceDN w:val="0"/>
              <w:adjustRightInd w:val="0"/>
              <w:ind w:left="-21" w:firstLine="21"/>
              <w:jc w:val="both"/>
              <w:rPr>
                <w:sz w:val="22"/>
                <w:szCs w:val="22"/>
              </w:rPr>
            </w:pPr>
            <w:r w:rsidRPr="0083687B">
              <w:rPr>
                <w:sz w:val="22"/>
                <w:szCs w:val="22"/>
              </w:rPr>
              <w:t xml:space="preserve">&lt;0,001 </w:t>
            </w:r>
          </w:p>
        </w:tc>
      </w:tr>
      <w:tr w:rsidR="0083687B" w:rsidRPr="0083687B" w14:paraId="12127AB6" w14:textId="77777777" w:rsidTr="0088568A">
        <w:trPr>
          <w:trHeight w:val="278"/>
        </w:trPr>
        <w:tc>
          <w:tcPr>
            <w:tcW w:w="1640" w:type="dxa"/>
            <w:tcBorders>
              <w:top w:val="single" w:sz="8" w:space="0" w:color="000000"/>
              <w:left w:val="single" w:sz="8" w:space="0" w:color="000000"/>
              <w:bottom w:val="single" w:sz="8" w:space="0" w:color="000000"/>
              <w:right w:val="single" w:sz="8" w:space="0" w:color="000000"/>
            </w:tcBorders>
          </w:tcPr>
          <w:p w14:paraId="0DB43726" w14:textId="77777777" w:rsidR="0083687B" w:rsidRPr="0083687B" w:rsidRDefault="0083687B" w:rsidP="00730D96">
            <w:pPr>
              <w:widowControl w:val="0"/>
              <w:autoSpaceDE w:val="0"/>
              <w:autoSpaceDN w:val="0"/>
              <w:adjustRightInd w:val="0"/>
              <w:ind w:left="34" w:hanging="34"/>
              <w:jc w:val="both"/>
              <w:rPr>
                <w:sz w:val="22"/>
                <w:szCs w:val="22"/>
              </w:rPr>
            </w:pPr>
            <w:r w:rsidRPr="0083687B">
              <w:rPr>
                <w:sz w:val="22"/>
                <w:szCs w:val="22"/>
              </w:rPr>
              <w:t xml:space="preserve">erozija </w:t>
            </w:r>
          </w:p>
        </w:tc>
        <w:tc>
          <w:tcPr>
            <w:tcW w:w="0" w:type="auto"/>
            <w:tcBorders>
              <w:top w:val="single" w:sz="8" w:space="0" w:color="000000"/>
              <w:left w:val="single" w:sz="8" w:space="0" w:color="000000"/>
              <w:bottom w:val="single" w:sz="8" w:space="0" w:color="000000"/>
              <w:right w:val="single" w:sz="8" w:space="0" w:color="000000"/>
            </w:tcBorders>
          </w:tcPr>
          <w:p w14:paraId="55B465D3" w14:textId="77777777" w:rsidR="0083687B" w:rsidRPr="0083687B" w:rsidRDefault="0083687B">
            <w:pPr>
              <w:widowControl w:val="0"/>
              <w:autoSpaceDE w:val="0"/>
              <w:autoSpaceDN w:val="0"/>
              <w:adjustRightInd w:val="0"/>
              <w:ind w:left="34" w:hanging="34"/>
              <w:jc w:val="both"/>
              <w:rPr>
                <w:sz w:val="22"/>
                <w:szCs w:val="22"/>
              </w:rPr>
            </w:pPr>
            <w:r w:rsidRPr="0083687B">
              <w:rPr>
                <w:sz w:val="22"/>
                <w:szCs w:val="22"/>
              </w:rPr>
              <w:t xml:space="preserve">3,7 (2,7 – 4,7) </w:t>
            </w:r>
          </w:p>
        </w:tc>
        <w:tc>
          <w:tcPr>
            <w:tcW w:w="0" w:type="auto"/>
            <w:tcBorders>
              <w:top w:val="single" w:sz="8" w:space="0" w:color="000000"/>
              <w:left w:val="single" w:sz="8" w:space="0" w:color="000000"/>
              <w:bottom w:val="single" w:sz="8" w:space="0" w:color="000000"/>
              <w:right w:val="single" w:sz="8" w:space="0" w:color="000000"/>
            </w:tcBorders>
          </w:tcPr>
          <w:p w14:paraId="04B33243" w14:textId="77777777" w:rsidR="0083687B" w:rsidRPr="0083687B" w:rsidRDefault="0083687B">
            <w:pPr>
              <w:widowControl w:val="0"/>
              <w:autoSpaceDE w:val="0"/>
              <w:autoSpaceDN w:val="0"/>
              <w:adjustRightInd w:val="0"/>
              <w:ind w:left="34" w:hanging="34"/>
              <w:jc w:val="both"/>
              <w:rPr>
                <w:sz w:val="22"/>
                <w:szCs w:val="22"/>
              </w:rPr>
            </w:pPr>
            <w:r w:rsidRPr="0083687B">
              <w:rPr>
                <w:sz w:val="22"/>
                <w:szCs w:val="22"/>
              </w:rPr>
              <w:t xml:space="preserve">1,7 (1,0 – 2,4) </w:t>
            </w:r>
          </w:p>
        </w:tc>
        <w:tc>
          <w:tcPr>
            <w:tcW w:w="1785" w:type="dxa"/>
            <w:tcBorders>
              <w:top w:val="single" w:sz="8" w:space="0" w:color="000000"/>
              <w:left w:val="single" w:sz="8" w:space="0" w:color="000000"/>
              <w:bottom w:val="single" w:sz="8" w:space="0" w:color="000000"/>
              <w:right w:val="single" w:sz="8" w:space="0" w:color="000000"/>
            </w:tcBorders>
          </w:tcPr>
          <w:p w14:paraId="699BE950" w14:textId="77777777" w:rsidR="0083687B" w:rsidRPr="0083687B" w:rsidRDefault="0083687B">
            <w:pPr>
              <w:widowControl w:val="0"/>
              <w:autoSpaceDE w:val="0"/>
              <w:autoSpaceDN w:val="0"/>
              <w:adjustRightInd w:val="0"/>
              <w:ind w:left="34" w:hanging="34"/>
              <w:jc w:val="both"/>
              <w:rPr>
                <w:sz w:val="22"/>
                <w:szCs w:val="22"/>
              </w:rPr>
            </w:pPr>
            <w:r w:rsidRPr="0083687B">
              <w:rPr>
                <w:sz w:val="22"/>
                <w:szCs w:val="22"/>
              </w:rPr>
              <w:t xml:space="preserve">0,8 (0,4 – 1,2) </w:t>
            </w:r>
          </w:p>
        </w:tc>
        <w:tc>
          <w:tcPr>
            <w:tcW w:w="836" w:type="dxa"/>
            <w:tcBorders>
              <w:top w:val="single" w:sz="8" w:space="0" w:color="000000"/>
              <w:left w:val="single" w:sz="8" w:space="0" w:color="000000"/>
              <w:bottom w:val="single" w:sz="8" w:space="0" w:color="000000"/>
              <w:right w:val="single" w:sz="8" w:space="0" w:color="000000"/>
            </w:tcBorders>
          </w:tcPr>
          <w:p w14:paraId="1D528C03" w14:textId="77777777" w:rsidR="0083687B" w:rsidRPr="0083687B" w:rsidRDefault="0083687B">
            <w:pPr>
              <w:widowControl w:val="0"/>
              <w:autoSpaceDE w:val="0"/>
              <w:autoSpaceDN w:val="0"/>
              <w:adjustRightInd w:val="0"/>
              <w:ind w:left="34" w:hanging="34"/>
              <w:jc w:val="both"/>
              <w:rPr>
                <w:sz w:val="22"/>
                <w:szCs w:val="22"/>
              </w:rPr>
            </w:pPr>
            <w:r w:rsidRPr="0083687B">
              <w:rPr>
                <w:sz w:val="22"/>
                <w:szCs w:val="22"/>
              </w:rPr>
              <w:t>&lt;0,001</w:t>
            </w:r>
            <w:r w:rsidRPr="0083687B">
              <w:rPr>
                <w:b/>
                <w:bCs/>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02D222CA" w14:textId="77777777" w:rsidR="0083687B" w:rsidRPr="0083687B" w:rsidRDefault="0083687B">
            <w:pPr>
              <w:widowControl w:val="0"/>
              <w:autoSpaceDE w:val="0"/>
              <w:autoSpaceDN w:val="0"/>
              <w:adjustRightInd w:val="0"/>
              <w:ind w:left="34" w:hanging="34"/>
              <w:jc w:val="both"/>
              <w:rPr>
                <w:sz w:val="22"/>
                <w:szCs w:val="22"/>
              </w:rPr>
            </w:pPr>
            <w:r w:rsidRPr="0083687B">
              <w:rPr>
                <w:sz w:val="22"/>
                <w:szCs w:val="22"/>
              </w:rPr>
              <w:t xml:space="preserve">0,0082 </w:t>
            </w:r>
          </w:p>
        </w:tc>
        <w:tc>
          <w:tcPr>
            <w:tcW w:w="0" w:type="auto"/>
            <w:tcBorders>
              <w:top w:val="single" w:sz="8" w:space="0" w:color="000000"/>
              <w:left w:val="single" w:sz="8" w:space="0" w:color="000000"/>
              <w:bottom w:val="single" w:sz="8" w:space="0" w:color="000000"/>
              <w:right w:val="single" w:sz="8" w:space="0" w:color="000000"/>
            </w:tcBorders>
          </w:tcPr>
          <w:p w14:paraId="528D4EBD" w14:textId="77777777" w:rsidR="0083687B" w:rsidRPr="0083687B" w:rsidRDefault="0083687B">
            <w:pPr>
              <w:widowControl w:val="0"/>
              <w:autoSpaceDE w:val="0"/>
              <w:autoSpaceDN w:val="0"/>
              <w:adjustRightInd w:val="0"/>
              <w:ind w:left="34" w:hanging="34"/>
              <w:jc w:val="both"/>
              <w:rPr>
                <w:sz w:val="22"/>
                <w:szCs w:val="22"/>
              </w:rPr>
            </w:pPr>
            <w:r w:rsidRPr="0083687B">
              <w:rPr>
                <w:sz w:val="22"/>
                <w:szCs w:val="22"/>
              </w:rPr>
              <w:t xml:space="preserve">&lt;0,001 </w:t>
            </w:r>
          </w:p>
        </w:tc>
      </w:tr>
      <w:tr w:rsidR="0083687B" w:rsidRPr="0083687B" w14:paraId="6659DB57" w14:textId="77777777" w:rsidTr="0088568A">
        <w:trPr>
          <w:trHeight w:val="727"/>
        </w:trPr>
        <w:tc>
          <w:tcPr>
            <w:tcW w:w="1640" w:type="dxa"/>
            <w:tcBorders>
              <w:top w:val="single" w:sz="8" w:space="0" w:color="000000"/>
              <w:left w:val="single" w:sz="8" w:space="0" w:color="000000"/>
              <w:bottom w:val="single" w:sz="8" w:space="0" w:color="000000"/>
              <w:right w:val="single" w:sz="8" w:space="0" w:color="000000"/>
            </w:tcBorders>
          </w:tcPr>
          <w:p w14:paraId="69FA5E9F" w14:textId="77777777" w:rsidR="0083687B" w:rsidRPr="0083687B" w:rsidRDefault="0083687B" w:rsidP="00730D96">
            <w:pPr>
              <w:widowControl w:val="0"/>
              <w:autoSpaceDE w:val="0"/>
              <w:autoSpaceDN w:val="0"/>
              <w:adjustRightInd w:val="0"/>
              <w:ind w:left="34" w:hanging="34"/>
              <w:jc w:val="both"/>
              <w:rPr>
                <w:sz w:val="22"/>
                <w:szCs w:val="22"/>
              </w:rPr>
            </w:pPr>
            <w:r w:rsidRPr="0083687B">
              <w:rPr>
                <w:sz w:val="22"/>
                <w:szCs w:val="22"/>
              </w:rPr>
              <w:t>JSN zbir</w:t>
            </w:r>
            <w:r w:rsidRPr="0083687B">
              <w:rPr>
                <w:sz w:val="22"/>
                <w:szCs w:val="22"/>
                <w:vertAlign w:val="superscript"/>
              </w:rPr>
              <w:t>d</w:t>
            </w:r>
          </w:p>
        </w:tc>
        <w:tc>
          <w:tcPr>
            <w:tcW w:w="0" w:type="auto"/>
            <w:tcBorders>
              <w:top w:val="single" w:sz="8" w:space="0" w:color="000000"/>
              <w:left w:val="single" w:sz="8" w:space="0" w:color="000000"/>
              <w:bottom w:val="single" w:sz="8" w:space="0" w:color="000000"/>
              <w:right w:val="single" w:sz="8" w:space="0" w:color="000000"/>
            </w:tcBorders>
          </w:tcPr>
          <w:p w14:paraId="450CF70B" w14:textId="77777777" w:rsidR="0083687B" w:rsidRPr="0083687B" w:rsidRDefault="0083687B">
            <w:pPr>
              <w:widowControl w:val="0"/>
              <w:autoSpaceDE w:val="0"/>
              <w:autoSpaceDN w:val="0"/>
              <w:adjustRightInd w:val="0"/>
              <w:ind w:left="34" w:hanging="34"/>
              <w:jc w:val="both"/>
              <w:rPr>
                <w:sz w:val="22"/>
                <w:szCs w:val="22"/>
              </w:rPr>
            </w:pPr>
            <w:r w:rsidRPr="0083687B">
              <w:rPr>
                <w:sz w:val="22"/>
                <w:szCs w:val="22"/>
              </w:rPr>
              <w:t xml:space="preserve">2,0 (1,2 – 2,8) </w:t>
            </w:r>
          </w:p>
        </w:tc>
        <w:tc>
          <w:tcPr>
            <w:tcW w:w="0" w:type="auto"/>
            <w:tcBorders>
              <w:top w:val="single" w:sz="8" w:space="0" w:color="000000"/>
              <w:left w:val="single" w:sz="8" w:space="0" w:color="000000"/>
              <w:bottom w:val="single" w:sz="8" w:space="0" w:color="000000"/>
              <w:right w:val="single" w:sz="8" w:space="0" w:color="000000"/>
            </w:tcBorders>
          </w:tcPr>
          <w:p w14:paraId="1D6E2F73" w14:textId="77777777" w:rsidR="0083687B" w:rsidRPr="0083687B" w:rsidRDefault="0083687B">
            <w:pPr>
              <w:widowControl w:val="0"/>
              <w:autoSpaceDE w:val="0"/>
              <w:autoSpaceDN w:val="0"/>
              <w:adjustRightInd w:val="0"/>
              <w:ind w:left="34" w:hanging="34"/>
              <w:jc w:val="both"/>
              <w:rPr>
                <w:sz w:val="22"/>
                <w:szCs w:val="22"/>
              </w:rPr>
            </w:pPr>
            <w:r w:rsidRPr="0083687B">
              <w:rPr>
                <w:sz w:val="22"/>
                <w:szCs w:val="22"/>
              </w:rPr>
              <w:t xml:space="preserve">1,3 (0,5 – 2,1) </w:t>
            </w:r>
          </w:p>
        </w:tc>
        <w:tc>
          <w:tcPr>
            <w:tcW w:w="1785" w:type="dxa"/>
            <w:tcBorders>
              <w:top w:val="single" w:sz="8" w:space="0" w:color="000000"/>
              <w:left w:val="single" w:sz="8" w:space="0" w:color="000000"/>
              <w:bottom w:val="single" w:sz="8" w:space="0" w:color="000000"/>
              <w:right w:val="single" w:sz="8" w:space="0" w:color="000000"/>
            </w:tcBorders>
          </w:tcPr>
          <w:p w14:paraId="271F0913" w14:textId="77777777" w:rsidR="0083687B" w:rsidRPr="0083687B" w:rsidRDefault="0083687B">
            <w:pPr>
              <w:widowControl w:val="0"/>
              <w:autoSpaceDE w:val="0"/>
              <w:autoSpaceDN w:val="0"/>
              <w:adjustRightInd w:val="0"/>
              <w:ind w:left="34" w:hanging="34"/>
              <w:jc w:val="both"/>
              <w:rPr>
                <w:sz w:val="22"/>
                <w:szCs w:val="22"/>
              </w:rPr>
            </w:pPr>
            <w:r w:rsidRPr="0083687B">
              <w:rPr>
                <w:sz w:val="22"/>
                <w:szCs w:val="22"/>
              </w:rPr>
              <w:t xml:space="preserve">0,5 (0 – 1,0) </w:t>
            </w:r>
          </w:p>
        </w:tc>
        <w:tc>
          <w:tcPr>
            <w:tcW w:w="836" w:type="dxa"/>
            <w:tcBorders>
              <w:top w:val="single" w:sz="8" w:space="0" w:color="000000"/>
              <w:left w:val="single" w:sz="8" w:space="0" w:color="000000"/>
              <w:bottom w:val="single" w:sz="8" w:space="0" w:color="000000"/>
              <w:right w:val="single" w:sz="8" w:space="0" w:color="000000"/>
            </w:tcBorders>
          </w:tcPr>
          <w:p w14:paraId="6CABDD84" w14:textId="77777777" w:rsidR="0083687B" w:rsidRPr="0083687B" w:rsidRDefault="0083687B">
            <w:pPr>
              <w:widowControl w:val="0"/>
              <w:autoSpaceDE w:val="0"/>
              <w:autoSpaceDN w:val="0"/>
              <w:adjustRightInd w:val="0"/>
              <w:ind w:left="34" w:hanging="34"/>
              <w:jc w:val="both"/>
              <w:rPr>
                <w:sz w:val="22"/>
                <w:szCs w:val="22"/>
              </w:rPr>
            </w:pPr>
            <w:r w:rsidRPr="0083687B">
              <w:rPr>
                <w:sz w:val="22"/>
                <w:szCs w:val="22"/>
              </w:rPr>
              <w:t>&lt;0,001</w:t>
            </w:r>
            <w:r w:rsidRPr="0083687B">
              <w:rPr>
                <w:b/>
                <w:bCs/>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185DF2F6" w14:textId="77777777" w:rsidR="0083687B" w:rsidRPr="0083687B" w:rsidRDefault="0083687B">
            <w:pPr>
              <w:widowControl w:val="0"/>
              <w:autoSpaceDE w:val="0"/>
              <w:autoSpaceDN w:val="0"/>
              <w:adjustRightInd w:val="0"/>
              <w:ind w:left="34" w:hanging="34"/>
              <w:jc w:val="both"/>
              <w:rPr>
                <w:sz w:val="22"/>
                <w:szCs w:val="22"/>
              </w:rPr>
            </w:pPr>
            <w:r w:rsidRPr="0083687B">
              <w:rPr>
                <w:sz w:val="22"/>
                <w:szCs w:val="22"/>
              </w:rPr>
              <w:t xml:space="preserve">0,0037 </w:t>
            </w:r>
          </w:p>
        </w:tc>
        <w:tc>
          <w:tcPr>
            <w:tcW w:w="0" w:type="auto"/>
            <w:tcBorders>
              <w:top w:val="single" w:sz="8" w:space="0" w:color="000000"/>
              <w:left w:val="single" w:sz="8" w:space="0" w:color="000000"/>
              <w:bottom w:val="single" w:sz="8" w:space="0" w:color="000000"/>
              <w:right w:val="single" w:sz="8" w:space="0" w:color="000000"/>
            </w:tcBorders>
          </w:tcPr>
          <w:p w14:paraId="673E9152" w14:textId="77777777" w:rsidR="0083687B" w:rsidRPr="0083687B" w:rsidRDefault="0083687B">
            <w:pPr>
              <w:widowControl w:val="0"/>
              <w:autoSpaceDE w:val="0"/>
              <w:autoSpaceDN w:val="0"/>
              <w:adjustRightInd w:val="0"/>
              <w:ind w:left="34" w:hanging="34"/>
              <w:jc w:val="both"/>
              <w:rPr>
                <w:sz w:val="22"/>
                <w:szCs w:val="22"/>
              </w:rPr>
            </w:pPr>
            <w:r w:rsidRPr="0083687B">
              <w:rPr>
                <w:sz w:val="22"/>
                <w:szCs w:val="22"/>
              </w:rPr>
              <w:t xml:space="preserve">0,151 </w:t>
            </w:r>
          </w:p>
        </w:tc>
      </w:tr>
    </w:tbl>
    <w:p w14:paraId="20408FAB" w14:textId="77777777" w:rsidR="0083687B" w:rsidRPr="0083687B" w:rsidRDefault="0083687B" w:rsidP="00730D96">
      <w:pPr>
        <w:widowControl w:val="0"/>
        <w:autoSpaceDE w:val="0"/>
        <w:autoSpaceDN w:val="0"/>
        <w:adjustRightInd w:val="0"/>
        <w:jc w:val="both"/>
        <w:rPr>
          <w:position w:val="8"/>
          <w:sz w:val="22"/>
          <w:szCs w:val="22"/>
          <w:vertAlign w:val="superscript"/>
        </w:rPr>
      </w:pPr>
    </w:p>
    <w:p w14:paraId="67D45EA6" w14:textId="77777777" w:rsidR="0083687B" w:rsidRPr="0083687B" w:rsidRDefault="008368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proofErr w:type="gramStart"/>
      <w:r w:rsidRPr="0083687B">
        <w:rPr>
          <w:position w:val="8"/>
          <w:sz w:val="22"/>
          <w:szCs w:val="22"/>
          <w:vertAlign w:val="superscript"/>
        </w:rPr>
        <w:t>a</w:t>
      </w:r>
      <w:r w:rsidRPr="0083687B">
        <w:rPr>
          <w:sz w:val="22"/>
          <w:szCs w:val="22"/>
        </w:rPr>
        <w:t>p</w:t>
      </w:r>
      <w:proofErr w:type="gramEnd"/>
      <w:r w:rsidRPr="0083687B">
        <w:rPr>
          <w:sz w:val="22"/>
          <w:szCs w:val="22"/>
        </w:rPr>
        <w:t xml:space="preserve"> vrijednost dobijena poređenjem monoterapije metotreksatom i kombinovane terapije lijekom Humira i metotreksatom uz primjenu Mann-Whitney U testa</w:t>
      </w:r>
    </w:p>
    <w:p w14:paraId="593FE3BD" w14:textId="77777777" w:rsidR="0083687B" w:rsidRPr="0083687B" w:rsidRDefault="008368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proofErr w:type="gramStart"/>
      <w:r w:rsidRPr="0083687B">
        <w:rPr>
          <w:position w:val="8"/>
          <w:sz w:val="22"/>
          <w:szCs w:val="22"/>
          <w:vertAlign w:val="superscript"/>
        </w:rPr>
        <w:t>b</w:t>
      </w:r>
      <w:r w:rsidRPr="0083687B">
        <w:rPr>
          <w:sz w:val="22"/>
          <w:szCs w:val="22"/>
        </w:rPr>
        <w:t>p</w:t>
      </w:r>
      <w:proofErr w:type="gramEnd"/>
      <w:r w:rsidRPr="0083687B">
        <w:rPr>
          <w:sz w:val="22"/>
          <w:szCs w:val="22"/>
        </w:rPr>
        <w:t xml:space="preserve"> vrijednost dobijena poređenjem monoterapije lijekom Humira i kombinovane terapije lijekom Humira i metotreksatom uz primjenu Mann-Whitney U testa</w:t>
      </w:r>
    </w:p>
    <w:p w14:paraId="0310B6E9" w14:textId="77777777" w:rsidR="0083687B" w:rsidRPr="0083687B" w:rsidRDefault="0083687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proofErr w:type="gramStart"/>
      <w:r w:rsidRPr="0083687B">
        <w:rPr>
          <w:position w:val="8"/>
          <w:sz w:val="22"/>
          <w:szCs w:val="22"/>
          <w:vertAlign w:val="superscript"/>
        </w:rPr>
        <w:t>c</w:t>
      </w:r>
      <w:r w:rsidRPr="0083687B">
        <w:rPr>
          <w:sz w:val="22"/>
          <w:szCs w:val="22"/>
        </w:rPr>
        <w:t>p</w:t>
      </w:r>
      <w:proofErr w:type="gramEnd"/>
      <w:r w:rsidRPr="0083687B">
        <w:rPr>
          <w:sz w:val="22"/>
          <w:szCs w:val="22"/>
        </w:rPr>
        <w:t xml:space="preserve"> vrijednost dobijena poređenjem monoterapije lijekom Humira i monoterapije metotreksatom uz primjenu Mann-Whitney U testa</w:t>
      </w:r>
    </w:p>
    <w:p w14:paraId="3345B5AD" w14:textId="77777777" w:rsidR="0083687B" w:rsidRPr="0083687B" w:rsidRDefault="0083687B">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jc w:val="both"/>
        <w:rPr>
          <w:sz w:val="22"/>
          <w:szCs w:val="22"/>
        </w:rPr>
      </w:pPr>
      <w:proofErr w:type="gramStart"/>
      <w:r w:rsidRPr="0083687B">
        <w:rPr>
          <w:sz w:val="22"/>
          <w:szCs w:val="22"/>
          <w:vertAlign w:val="superscript"/>
        </w:rPr>
        <w:t>d</w:t>
      </w:r>
      <w:proofErr w:type="gramEnd"/>
      <w:r w:rsidRPr="0083687B">
        <w:rPr>
          <w:sz w:val="22"/>
          <w:szCs w:val="22"/>
          <w:vertAlign w:val="superscript"/>
        </w:rPr>
        <w:t xml:space="preserve"> </w:t>
      </w:r>
      <w:r w:rsidRPr="0083687B">
        <w:rPr>
          <w:sz w:val="22"/>
          <w:szCs w:val="22"/>
        </w:rPr>
        <w:t>suženje zglobnih prostora</w:t>
      </w:r>
    </w:p>
    <w:p w14:paraId="14578E10" w14:textId="77777777" w:rsidR="0083687B" w:rsidRPr="0083687B" w:rsidRDefault="0083687B">
      <w:pPr>
        <w:widowControl w:val="0"/>
        <w:autoSpaceDE w:val="0"/>
        <w:autoSpaceDN w:val="0"/>
        <w:adjustRightInd w:val="0"/>
        <w:jc w:val="both"/>
        <w:rPr>
          <w:sz w:val="22"/>
          <w:szCs w:val="22"/>
        </w:rPr>
      </w:pPr>
    </w:p>
    <w:p w14:paraId="7DF1A89E" w14:textId="77777777" w:rsidR="0083687B" w:rsidRPr="0083687B" w:rsidRDefault="0083687B">
      <w:pPr>
        <w:widowControl w:val="0"/>
        <w:autoSpaceDE w:val="0"/>
        <w:autoSpaceDN w:val="0"/>
        <w:adjustRightInd w:val="0"/>
        <w:jc w:val="both"/>
        <w:rPr>
          <w:sz w:val="22"/>
          <w:szCs w:val="22"/>
        </w:rPr>
      </w:pPr>
      <w:r w:rsidRPr="0083687B">
        <w:rPr>
          <w:sz w:val="22"/>
          <w:szCs w:val="22"/>
        </w:rPr>
        <w:t>Nakon 52 i 104 nedjelje liječenja, procenat pacijenata bez progresije bolesti (promjena početnog ukupnog zbira bodova prema Sharp-u ≤ 0,5) bio je značajno veći u grupi liječenoj kombinacijom lijeka Humira i metotreksata (63,8 % i 61,2 %) u poređenju sa grupom koja je dobijala monoterapiju metotreksatom (37,4 % i 33,5 %, p &lt; 0,001), odnosno monoterapiju lijekom Humira (50,7 %, p &lt; 0,002 odnosno 44,5 %, p &lt; 0,001).</w:t>
      </w:r>
    </w:p>
    <w:p w14:paraId="3ADEA711" w14:textId="77777777" w:rsidR="0083687B" w:rsidRPr="0083687B" w:rsidRDefault="0083687B">
      <w:pPr>
        <w:widowControl w:val="0"/>
        <w:autoSpaceDE w:val="0"/>
        <w:autoSpaceDN w:val="0"/>
        <w:adjustRightInd w:val="0"/>
        <w:jc w:val="both"/>
        <w:rPr>
          <w:sz w:val="22"/>
          <w:szCs w:val="22"/>
        </w:rPr>
      </w:pPr>
    </w:p>
    <w:p w14:paraId="0ABBFFC9"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 otvorenom produžetku studije RA V, srednja vrijednost promjene ukupnog zbira bodova prema modifikovanoj Sharp-ovoj skali </w:t>
      </w:r>
      <w:proofErr w:type="gramStart"/>
      <w:r w:rsidRPr="0083687B">
        <w:rPr>
          <w:sz w:val="22"/>
          <w:szCs w:val="22"/>
        </w:rPr>
        <w:t>od</w:t>
      </w:r>
      <w:proofErr w:type="gramEnd"/>
      <w:r w:rsidRPr="0083687B">
        <w:rPr>
          <w:sz w:val="22"/>
          <w:szCs w:val="22"/>
        </w:rPr>
        <w:t xml:space="preserve"> početka ispitivanja do 10. </w:t>
      </w:r>
      <w:proofErr w:type="gramStart"/>
      <w:r w:rsidRPr="0083687B">
        <w:rPr>
          <w:sz w:val="22"/>
          <w:szCs w:val="22"/>
        </w:rPr>
        <w:t>godine</w:t>
      </w:r>
      <w:proofErr w:type="gramEnd"/>
      <w:r w:rsidRPr="0083687B">
        <w:rPr>
          <w:sz w:val="22"/>
          <w:szCs w:val="22"/>
        </w:rPr>
        <w:t xml:space="preserve"> iznosila je 10,8 kod pacijenata inicijalno randomizovanih za monoterapiju metotreksatom, 9,2 kod pacijenata inicijalno randomizovanih za monoterapiju lijekom Humira i 3,9 kod pacijenata inicijalno randomizovanih za liječenje kombinacijom lijeka Humira i metotreksata. Odgovarajući udio pacijenata bez radiološke progresije iznosio je 31</w:t>
      </w:r>
      <w:proofErr w:type="gramStart"/>
      <w:r w:rsidRPr="0083687B">
        <w:rPr>
          <w:sz w:val="22"/>
          <w:szCs w:val="22"/>
        </w:rPr>
        <w:t>,3</w:t>
      </w:r>
      <w:proofErr w:type="gramEnd"/>
      <w:r w:rsidRPr="0083687B">
        <w:rPr>
          <w:sz w:val="22"/>
          <w:szCs w:val="22"/>
        </w:rPr>
        <w:t xml:space="preserve">%, 23,7%, odnosno 36,7%. </w:t>
      </w:r>
    </w:p>
    <w:p w14:paraId="695075DE" w14:textId="77777777" w:rsidR="0083687B" w:rsidRPr="0083687B" w:rsidRDefault="0083687B">
      <w:pPr>
        <w:widowControl w:val="0"/>
        <w:autoSpaceDE w:val="0"/>
        <w:autoSpaceDN w:val="0"/>
        <w:adjustRightInd w:val="0"/>
        <w:jc w:val="both"/>
        <w:rPr>
          <w:sz w:val="22"/>
          <w:szCs w:val="22"/>
        </w:rPr>
      </w:pPr>
    </w:p>
    <w:p w14:paraId="4EC6BA29" w14:textId="77777777" w:rsidR="0083687B" w:rsidRPr="0083687B" w:rsidRDefault="0083687B">
      <w:pPr>
        <w:widowControl w:val="0"/>
        <w:autoSpaceDE w:val="0"/>
        <w:autoSpaceDN w:val="0"/>
        <w:adjustRightInd w:val="0"/>
        <w:jc w:val="both"/>
        <w:rPr>
          <w:i/>
          <w:sz w:val="22"/>
          <w:szCs w:val="22"/>
          <w:u w:val="single"/>
        </w:rPr>
      </w:pPr>
      <w:r w:rsidRPr="0083687B">
        <w:rPr>
          <w:i/>
          <w:sz w:val="22"/>
          <w:szCs w:val="22"/>
          <w:u w:val="single"/>
        </w:rPr>
        <w:t>Kvalitet života i funkcionalna sposobnost</w:t>
      </w:r>
    </w:p>
    <w:p w14:paraId="38E0A20B" w14:textId="77777777" w:rsidR="0083687B" w:rsidRPr="0083687B" w:rsidRDefault="0083687B">
      <w:pPr>
        <w:widowControl w:val="0"/>
        <w:autoSpaceDE w:val="0"/>
        <w:autoSpaceDN w:val="0"/>
        <w:adjustRightInd w:val="0"/>
        <w:jc w:val="both"/>
        <w:rPr>
          <w:sz w:val="22"/>
          <w:szCs w:val="22"/>
          <w:u w:val="single"/>
        </w:rPr>
      </w:pPr>
    </w:p>
    <w:p w14:paraId="1CB55019" w14:textId="079BFDB8" w:rsidR="0083687B" w:rsidRPr="0083687B" w:rsidRDefault="0083687B">
      <w:pPr>
        <w:widowControl w:val="0"/>
        <w:autoSpaceDE w:val="0"/>
        <w:autoSpaceDN w:val="0"/>
        <w:adjustRightInd w:val="0"/>
        <w:jc w:val="both"/>
        <w:rPr>
          <w:sz w:val="22"/>
          <w:szCs w:val="22"/>
        </w:rPr>
      </w:pPr>
      <w:r w:rsidRPr="0083687B">
        <w:rPr>
          <w:sz w:val="22"/>
          <w:szCs w:val="22"/>
        </w:rPr>
        <w:lastRenderedPageBreak/>
        <w:t xml:space="preserve">Kvalitet života koji zavisi </w:t>
      </w:r>
      <w:proofErr w:type="gramStart"/>
      <w:r w:rsidRPr="0083687B">
        <w:rPr>
          <w:sz w:val="22"/>
          <w:szCs w:val="22"/>
        </w:rPr>
        <w:t>od</w:t>
      </w:r>
      <w:proofErr w:type="gramEnd"/>
      <w:r w:rsidRPr="0083687B">
        <w:rPr>
          <w:sz w:val="22"/>
          <w:szCs w:val="22"/>
        </w:rPr>
        <w:t xml:space="preserve"> zdravstvenog stanja i funkcionalna sposobnost ocjenjivane su pomoću indeksa funkcionalne nesposobnosti Upitnika za ocjenu zdravstvenog stanja (</w:t>
      </w:r>
      <w:r w:rsidR="00DC20D4">
        <w:rPr>
          <w:sz w:val="22"/>
          <w:szCs w:val="22"/>
        </w:rPr>
        <w:t xml:space="preserve">engl. </w:t>
      </w:r>
      <w:r w:rsidRPr="0083687B">
        <w:rPr>
          <w:i/>
          <w:sz w:val="22"/>
          <w:szCs w:val="22"/>
        </w:rPr>
        <w:t>Health Assessment Questionnaire</w:t>
      </w:r>
      <w:r w:rsidRPr="0083687B">
        <w:rPr>
          <w:sz w:val="22"/>
          <w:szCs w:val="22"/>
        </w:rPr>
        <w:t xml:space="preserve"> – HAQ) u sva četiri kontrolisana klinička ispitivanja, a to je bio i postavljen primarni cilj ocjenjivanja nakon 52 nedjelje liječenja u RA ispitivanju III. Nakon 6 mjeseci praćenja u sva četiri ispitivanja zabilježeno je statistički značajno veće poboljšanje indeksa funkcionalne nesposobnosti HAQ s obzirom na početne vrijednosti kod pacijenata liječenih lijekom Humira pri svim dozama/režimima davanja nego kod placeba, a identičan je nalaz nađen nakon 52 nedjelje (tj. 12 mjeseci) u RA ispitivanju III. Rezultati Kratke zdravstvene ankete (</w:t>
      </w:r>
      <w:r w:rsidRPr="0083687B">
        <w:rPr>
          <w:i/>
          <w:sz w:val="22"/>
          <w:szCs w:val="22"/>
        </w:rPr>
        <w:t>Short Form Health Survey</w:t>
      </w:r>
      <w:r w:rsidRPr="0083687B">
        <w:rPr>
          <w:sz w:val="22"/>
          <w:szCs w:val="22"/>
        </w:rPr>
        <w:t xml:space="preserve"> – SF 36) podupiru </w:t>
      </w:r>
      <w:proofErr w:type="gramStart"/>
      <w:r w:rsidRPr="0083687B">
        <w:rPr>
          <w:sz w:val="22"/>
          <w:szCs w:val="22"/>
        </w:rPr>
        <w:t>te</w:t>
      </w:r>
      <w:proofErr w:type="gramEnd"/>
      <w:r w:rsidRPr="0083687B">
        <w:rPr>
          <w:sz w:val="22"/>
          <w:szCs w:val="22"/>
        </w:rPr>
        <w:t xml:space="preserve"> nalaze za sve doze/režime davanja lijeka Humira u sva četiri ispitivanja sa statistički značajno boljim vrijednostima funkcionalne komponente (PCS) te statistički značajno boljom ocjenom bola i vitalnosti pri dozi od 40 mg svake druge nedjelje. Statistički značajno smanjenje umora prema funkcionalnoj procjeni terapije hroničnih bolesti (FACIT) zabilježeno je u sva tri ispitivanja u kojima je taj parametar ispitivan (RA I, III, IV).</w:t>
      </w:r>
    </w:p>
    <w:p w14:paraId="78734E1C" w14:textId="77777777" w:rsidR="0083687B" w:rsidRPr="0083687B" w:rsidRDefault="0083687B">
      <w:pPr>
        <w:widowControl w:val="0"/>
        <w:autoSpaceDE w:val="0"/>
        <w:autoSpaceDN w:val="0"/>
        <w:adjustRightInd w:val="0"/>
        <w:jc w:val="both"/>
        <w:rPr>
          <w:sz w:val="22"/>
          <w:szCs w:val="22"/>
        </w:rPr>
      </w:pPr>
    </w:p>
    <w:p w14:paraId="7A88727E" w14:textId="77777777" w:rsidR="0083687B" w:rsidRPr="0083687B" w:rsidRDefault="0083687B">
      <w:pPr>
        <w:widowControl w:val="0"/>
        <w:autoSpaceDE w:val="0"/>
        <w:autoSpaceDN w:val="0"/>
        <w:adjustRightInd w:val="0"/>
        <w:jc w:val="both"/>
        <w:rPr>
          <w:sz w:val="22"/>
          <w:szCs w:val="22"/>
        </w:rPr>
      </w:pPr>
      <w:r w:rsidRPr="0083687B">
        <w:rPr>
          <w:sz w:val="22"/>
          <w:szCs w:val="22"/>
        </w:rPr>
        <w:t>U RA ispitivanju III, kod većine ispitanika koji su postigli poboljšanje fizičke funkcije i nastavili liječenje održano je poboljšanje tokom 520 nedjelja (120 mjeseci) otvorenog liječenja. Poboljšanje kvaliteta života mjereno je do 156 nedjelje (36 mjeseci) i poboljšanje se održalo tokom tog perioda.</w:t>
      </w:r>
    </w:p>
    <w:p w14:paraId="5F9D4262" w14:textId="77777777" w:rsidR="0083687B" w:rsidRPr="0083687B" w:rsidRDefault="0083687B">
      <w:pPr>
        <w:widowControl w:val="0"/>
        <w:autoSpaceDE w:val="0"/>
        <w:autoSpaceDN w:val="0"/>
        <w:adjustRightInd w:val="0"/>
        <w:jc w:val="both"/>
        <w:rPr>
          <w:sz w:val="22"/>
          <w:szCs w:val="22"/>
        </w:rPr>
      </w:pPr>
    </w:p>
    <w:p w14:paraId="2F08981F"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U RA ispitivanju V, poboljšanje indeksa funkcionalne nesposobnosti HAQ i funkcionalne komponente SF 36 nakon 52 nedjelje bilo je značajno bolje kod pacijenata liječenih kombinacijom lijeka Humira i metotreksata (p &lt; 0,001) u poređenju </w:t>
      </w:r>
      <w:proofErr w:type="gramStart"/>
      <w:r w:rsidRPr="0083687B">
        <w:rPr>
          <w:sz w:val="22"/>
          <w:szCs w:val="22"/>
        </w:rPr>
        <w:t>sa</w:t>
      </w:r>
      <w:proofErr w:type="gramEnd"/>
      <w:r w:rsidRPr="0083687B">
        <w:rPr>
          <w:sz w:val="22"/>
          <w:szCs w:val="22"/>
        </w:rPr>
        <w:t xml:space="preserve"> pacijentima koji su dobijali monoterapiju metotreksatom, odnosno lijekom Humira i to se poboljšanje održalo tokom 104 nedjelje liječenja. Među 250 ispitanika koji su dovršili otvoreni produžetak ispitivanja, poboljšanja fizičke funkcije su se održala tokom 10 godina liječenja.</w:t>
      </w:r>
    </w:p>
    <w:p w14:paraId="36C7576C" w14:textId="77777777" w:rsidR="0083687B" w:rsidRPr="0083687B" w:rsidRDefault="0083687B">
      <w:pPr>
        <w:tabs>
          <w:tab w:val="left" w:pos="562"/>
        </w:tabs>
        <w:suppressAutoHyphens/>
        <w:jc w:val="both"/>
        <w:rPr>
          <w:sz w:val="22"/>
          <w:szCs w:val="22"/>
          <w:lang w:val="hr-HR"/>
        </w:rPr>
      </w:pPr>
    </w:p>
    <w:p w14:paraId="18718CD9" w14:textId="5F0DD3F0" w:rsidR="0083687B" w:rsidRPr="0083687B" w:rsidRDefault="00E54CED">
      <w:pPr>
        <w:tabs>
          <w:tab w:val="left" w:pos="562"/>
        </w:tabs>
        <w:suppressAutoHyphens/>
        <w:jc w:val="both"/>
        <w:rPr>
          <w:i/>
          <w:sz w:val="22"/>
          <w:szCs w:val="22"/>
          <w:lang w:val="sr-Latn-ME"/>
        </w:rPr>
      </w:pPr>
      <w:r>
        <w:rPr>
          <w:i/>
          <w:sz w:val="22"/>
          <w:szCs w:val="22"/>
          <w:lang w:val="sr-Latn-ME"/>
        </w:rPr>
        <w:t>Plak p</w:t>
      </w:r>
      <w:r w:rsidR="0083687B" w:rsidRPr="0083687B">
        <w:rPr>
          <w:i/>
          <w:sz w:val="22"/>
          <w:szCs w:val="22"/>
          <w:lang w:val="sr-Latn-ME"/>
        </w:rPr>
        <w:t>sorijaza kod odraslih</w:t>
      </w:r>
    </w:p>
    <w:p w14:paraId="573526AA" w14:textId="77777777" w:rsidR="0083687B" w:rsidRPr="0083687B" w:rsidRDefault="0083687B">
      <w:pPr>
        <w:tabs>
          <w:tab w:val="left" w:pos="562"/>
        </w:tabs>
        <w:suppressAutoHyphens/>
        <w:jc w:val="both"/>
        <w:rPr>
          <w:i/>
          <w:sz w:val="22"/>
          <w:szCs w:val="22"/>
          <w:u w:val="single"/>
          <w:lang w:val="sr-Latn-ME"/>
        </w:rPr>
      </w:pPr>
    </w:p>
    <w:p w14:paraId="2D192CB0" w14:textId="77777777" w:rsidR="0083687B" w:rsidRPr="0083687B" w:rsidRDefault="0083687B">
      <w:pPr>
        <w:tabs>
          <w:tab w:val="left" w:pos="562"/>
        </w:tabs>
        <w:suppressAutoHyphens/>
        <w:jc w:val="both"/>
        <w:rPr>
          <w:sz w:val="22"/>
          <w:szCs w:val="22"/>
          <w:lang w:val="sr-Latn-ME"/>
        </w:rPr>
      </w:pPr>
      <w:r w:rsidRPr="0083687B">
        <w:rPr>
          <w:sz w:val="22"/>
          <w:szCs w:val="22"/>
          <w:lang w:val="sr-Latn-ME"/>
        </w:rPr>
        <w:t>Bezbjednost i efikasnost primijene lijeka Humira ispitivana je kod odraslih pacijenta sa hroničnom plak psorijazom (zahvaćeno ≥10% tjelesne površine (BSA) i Indeks zahvaćene površine i težine psorijaze (PASI) ≥ 12 ili ≥ 10) koji su bili kandidati za sistemsku terapiju ili fototerapiju u randomizovanim, dvostruko slijepim ispitivanjima. 73% pacijenta s psorijazom koji su obuhvaćeni ispitivanjima I i II prethodno je primalo sistemsku terapiju ili fototerapiju. Bezbjednost i efikasnost primjene lijeka Humira je takođe ispitivano kod odraslih pacijenata sa umjerenom do ozbiljnom hroničnom plak psorijazom sa konkominantnom psorijazom na rukama i/ili stopalima koji su bili kandidati za sistemsku terapiju u randomizovanoj dvostruko slijepoj studiji (Psorijaza Studija III).</w:t>
      </w:r>
    </w:p>
    <w:p w14:paraId="39D4291D" w14:textId="77777777" w:rsidR="0083687B" w:rsidRPr="0083687B" w:rsidRDefault="0083687B">
      <w:pPr>
        <w:tabs>
          <w:tab w:val="left" w:pos="562"/>
        </w:tabs>
        <w:suppressAutoHyphens/>
        <w:jc w:val="both"/>
        <w:rPr>
          <w:sz w:val="22"/>
          <w:szCs w:val="22"/>
          <w:lang w:val="sr-Latn-ME"/>
        </w:rPr>
      </w:pPr>
    </w:p>
    <w:p w14:paraId="1B3A1AD3" w14:textId="3088934D" w:rsidR="0083687B" w:rsidRPr="0083687B" w:rsidRDefault="0083687B">
      <w:pPr>
        <w:tabs>
          <w:tab w:val="left" w:pos="562"/>
        </w:tabs>
        <w:suppressAutoHyphens/>
        <w:jc w:val="both"/>
        <w:rPr>
          <w:sz w:val="22"/>
          <w:szCs w:val="22"/>
          <w:lang w:val="sr-Latn-ME"/>
        </w:rPr>
      </w:pPr>
      <w:r w:rsidRPr="0083687B">
        <w:rPr>
          <w:sz w:val="22"/>
          <w:szCs w:val="22"/>
          <w:lang w:val="sr-Latn-ME"/>
        </w:rPr>
        <w:t>Ispitivanjem I pacijenata sa psorijazom (REVEAL) ocijenjeno je 1212 pacijenta u okviru tri razdoblja liječenja. U razdoblju A, pacijenti su dobijali placebo, odnosno lijek Humira u početnoj dozi od 80 mg, a zatim u dozi od 40 mg svake druge nedjelje, po okončanju jedne nedjelje nakon početne doze. Nakon 16 nedjelja liječenja, pacijenti kod kojih je postignut najmanje PASI 75 odgovor (poboljšanje PASI indeksa od najmanje 75% u odnosu na početno stanje), ušli su u razdoblje B i primali lijek Humira u dozi od 40 mg svake druge nedjelje u okviru otvorenog ispitivanja. Pacijenti kod koji je do 33. nedjelje održan veći ili jednak PASI 75 odgovor, a koji su prvobitno bili randomizovani na terapiju aktivnim lijekom u razdoblju A, ponovno su randomizovani u razdoblju C, tako da su tokom dodatnih 19 nedjelja primali ili lijek Humira u dozi od 40 mg svake druge nedjelje ili placebo. U svim terapijskim grupama, srednji početni PASI zbir bio je 18,9, dok se rezultat prema ljestvici Opšte procjene ljekara (PGA) kretao od „umjerenog“ (53% od uključenih pacijenta) preko “teškog” (41%) do “veoma teškog” (6%).</w:t>
      </w:r>
    </w:p>
    <w:p w14:paraId="1F23C99A" w14:textId="77777777" w:rsidR="0083687B" w:rsidRPr="0083687B" w:rsidRDefault="0083687B">
      <w:pPr>
        <w:tabs>
          <w:tab w:val="left" w:pos="562"/>
        </w:tabs>
        <w:suppressAutoHyphens/>
        <w:jc w:val="both"/>
        <w:rPr>
          <w:sz w:val="22"/>
          <w:szCs w:val="22"/>
          <w:lang w:val="sr-Latn-ME"/>
        </w:rPr>
      </w:pPr>
    </w:p>
    <w:p w14:paraId="3AF9CE38" w14:textId="77777777" w:rsidR="0083687B" w:rsidRPr="0083687B" w:rsidRDefault="0083687B">
      <w:pPr>
        <w:tabs>
          <w:tab w:val="left" w:pos="562"/>
        </w:tabs>
        <w:suppressAutoHyphens/>
        <w:jc w:val="both"/>
        <w:rPr>
          <w:sz w:val="22"/>
          <w:szCs w:val="22"/>
          <w:lang w:val="sr-Latn-ME"/>
        </w:rPr>
      </w:pPr>
      <w:r w:rsidRPr="0083687B">
        <w:rPr>
          <w:sz w:val="22"/>
          <w:szCs w:val="22"/>
          <w:lang w:val="sr-Latn-ME"/>
        </w:rPr>
        <w:t>Ispitivanjem II pacijenata sa psorijazom (CHAMPION) poređena je efikasnost i bezbjednost primjene lijeka Humira u odnosu na metotreksat i placebo kod 271 pacijenata. Pacijenti su dobijali placebo, MTX u početnoj dozi od 7,5 mg, nakon čega se doza povećavala sve do 12. nedjelje, do maksimalne doze od 25 mg, odnosno primali su lijek Humira u početnoj dozi od 80 mg, a zatim 40 mg svake druge nedjelje (po okončanju jedne nedjelje nakon početne doze) tokom 16 nedjelja. Ne postoje podaci o poređenju lijeka Humira i MTX-a za razdoblje nakon 16 nedjelja liječenja. Kod pacijenta koji su primali MTX i kod kojih je ostvaren veći ili jednak PASI 50 odgovor u 8., odnosno 12. nedjelji, doza se naknadno nije povećavala. U svim terapijskim grupama, srednji početni PASI zbir je bio 19,7, dok se početni PGA rezultat kretao od “blagog” (&lt;1%), preko “umjerenog” (48%) i “teškog” (46%) do “veoma teškog” (6%).</w:t>
      </w:r>
    </w:p>
    <w:p w14:paraId="1C6919CE" w14:textId="77777777" w:rsidR="0083687B" w:rsidRPr="0083687B" w:rsidRDefault="0083687B">
      <w:pPr>
        <w:tabs>
          <w:tab w:val="left" w:pos="562"/>
        </w:tabs>
        <w:suppressAutoHyphens/>
        <w:jc w:val="both"/>
        <w:rPr>
          <w:sz w:val="22"/>
          <w:szCs w:val="22"/>
          <w:lang w:val="sr-Latn-ME"/>
        </w:rPr>
      </w:pPr>
    </w:p>
    <w:p w14:paraId="070FB70D" w14:textId="77777777" w:rsidR="0083687B" w:rsidRPr="0083687B" w:rsidRDefault="0083687B">
      <w:pPr>
        <w:tabs>
          <w:tab w:val="left" w:pos="562"/>
        </w:tabs>
        <w:suppressAutoHyphens/>
        <w:jc w:val="both"/>
        <w:rPr>
          <w:sz w:val="22"/>
          <w:szCs w:val="22"/>
          <w:lang w:val="sr-Latn-ME"/>
        </w:rPr>
      </w:pPr>
      <w:r w:rsidRPr="0083687B">
        <w:rPr>
          <w:sz w:val="22"/>
          <w:szCs w:val="22"/>
          <w:lang w:val="sr-Latn-ME"/>
        </w:rPr>
        <w:t xml:space="preserve">Pacijenti koji su učestvovali u svim ispitivanjima psorijaze faze II i faze III kvalifikovali su se za uključivanje u produženo otvoreno ispitivanje, u okviru kojeg su primali lijek Humira još najmanje 108 nedjelja. </w:t>
      </w:r>
    </w:p>
    <w:p w14:paraId="00EE1E95" w14:textId="77777777" w:rsidR="0083687B" w:rsidRPr="0083687B" w:rsidRDefault="0083687B">
      <w:pPr>
        <w:tabs>
          <w:tab w:val="left" w:pos="562"/>
        </w:tabs>
        <w:suppressAutoHyphens/>
        <w:jc w:val="both"/>
        <w:rPr>
          <w:sz w:val="22"/>
          <w:szCs w:val="22"/>
          <w:lang w:val="sr-Latn-ME"/>
        </w:rPr>
      </w:pPr>
    </w:p>
    <w:p w14:paraId="17F63F43" w14:textId="438C2D98" w:rsidR="0083687B" w:rsidRPr="0083687B" w:rsidRDefault="0083687B">
      <w:pPr>
        <w:tabs>
          <w:tab w:val="left" w:pos="562"/>
        </w:tabs>
        <w:suppressAutoHyphens/>
        <w:jc w:val="both"/>
        <w:rPr>
          <w:b/>
          <w:sz w:val="22"/>
          <w:szCs w:val="22"/>
          <w:lang w:val="sr-Latn-ME"/>
        </w:rPr>
      </w:pPr>
      <w:r w:rsidRPr="0083687B">
        <w:rPr>
          <w:sz w:val="22"/>
          <w:szCs w:val="22"/>
          <w:lang w:val="sr-Latn-ME"/>
        </w:rPr>
        <w:t>U ispitivanjima I i II pacijenata sa psorijazom, primarna mjera ishoda bio je odnos pacijenata kod kojih je postignut PASI 75 odgovor u 16. nedjelji u odnosu na početno stanje (vidjeti Tabelu 11 i Tabelu 12).</w:t>
      </w:r>
    </w:p>
    <w:p w14:paraId="4D914457" w14:textId="77777777" w:rsidR="009E0DAA" w:rsidRPr="0083687B" w:rsidRDefault="009E0DAA">
      <w:pPr>
        <w:tabs>
          <w:tab w:val="left" w:pos="562"/>
        </w:tabs>
        <w:suppressAutoHyphens/>
        <w:jc w:val="both"/>
        <w:rPr>
          <w:b/>
          <w:sz w:val="22"/>
          <w:szCs w:val="22"/>
          <w:lang w:val="sr-Latn-ME"/>
        </w:rPr>
      </w:pPr>
    </w:p>
    <w:p w14:paraId="76226FFF" w14:textId="73BDF14A" w:rsidR="0083687B" w:rsidRPr="0083687B" w:rsidRDefault="0083687B" w:rsidP="00EB3350">
      <w:pPr>
        <w:tabs>
          <w:tab w:val="left" w:pos="562"/>
        </w:tabs>
        <w:suppressAutoHyphens/>
        <w:jc w:val="both"/>
        <w:rPr>
          <w:b/>
          <w:sz w:val="22"/>
          <w:szCs w:val="22"/>
          <w:lang w:val="sr-Latn-ME"/>
        </w:rPr>
      </w:pPr>
      <w:r w:rsidRPr="0083687B">
        <w:rPr>
          <w:b/>
          <w:sz w:val="22"/>
          <w:szCs w:val="22"/>
          <w:lang w:val="sr-Latn-ME"/>
        </w:rPr>
        <w:t>Tabela 11</w:t>
      </w:r>
      <w:r w:rsidR="009E0DAA">
        <w:rPr>
          <w:b/>
          <w:sz w:val="22"/>
          <w:szCs w:val="22"/>
          <w:lang w:val="sr-Latn-ME"/>
        </w:rPr>
        <w:t xml:space="preserve">. </w:t>
      </w:r>
      <w:r w:rsidRPr="0083687B">
        <w:rPr>
          <w:b/>
          <w:sz w:val="22"/>
          <w:szCs w:val="22"/>
          <w:lang w:val="sr-Latn-ME"/>
        </w:rPr>
        <w:t>Ispitivanje Ps I (REVEAL) – Rezultati efikasnosti nakon 16. nedjelje terapije</w:t>
      </w:r>
    </w:p>
    <w:p w14:paraId="222F7948" w14:textId="77777777" w:rsidR="0083687B" w:rsidRPr="0083687B" w:rsidRDefault="0083687B" w:rsidP="00730D96">
      <w:pPr>
        <w:tabs>
          <w:tab w:val="left" w:pos="562"/>
        </w:tabs>
        <w:suppressAutoHyphens/>
        <w:jc w:val="both"/>
        <w:rPr>
          <w:b/>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3007"/>
        <w:gridCol w:w="3008"/>
      </w:tblGrid>
      <w:tr w:rsidR="0083687B" w:rsidRPr="0083687B" w14:paraId="01A39131" w14:textId="77777777" w:rsidTr="0088568A">
        <w:tc>
          <w:tcPr>
            <w:tcW w:w="3093" w:type="dxa"/>
            <w:shd w:val="clear" w:color="auto" w:fill="auto"/>
          </w:tcPr>
          <w:p w14:paraId="124C8B83" w14:textId="77777777" w:rsidR="0083687B" w:rsidRPr="0083687B" w:rsidRDefault="0083687B">
            <w:pPr>
              <w:tabs>
                <w:tab w:val="left" w:pos="562"/>
              </w:tabs>
              <w:suppressAutoHyphens/>
              <w:jc w:val="both"/>
              <w:rPr>
                <w:b/>
                <w:sz w:val="22"/>
                <w:szCs w:val="22"/>
                <w:lang w:val="sr-Latn-ME"/>
              </w:rPr>
            </w:pPr>
          </w:p>
        </w:tc>
        <w:tc>
          <w:tcPr>
            <w:tcW w:w="3093" w:type="dxa"/>
            <w:shd w:val="clear" w:color="auto" w:fill="auto"/>
          </w:tcPr>
          <w:p w14:paraId="1D90D797" w14:textId="77777777" w:rsidR="0083687B" w:rsidRPr="0083687B" w:rsidRDefault="0083687B">
            <w:pPr>
              <w:tabs>
                <w:tab w:val="left" w:pos="562"/>
              </w:tabs>
              <w:suppressAutoHyphens/>
              <w:jc w:val="both"/>
              <w:rPr>
                <w:b/>
                <w:sz w:val="22"/>
                <w:szCs w:val="22"/>
                <w:lang w:val="sr-Latn-ME"/>
              </w:rPr>
            </w:pPr>
            <w:r w:rsidRPr="0083687B">
              <w:rPr>
                <w:b/>
                <w:sz w:val="22"/>
                <w:szCs w:val="22"/>
                <w:lang w:val="sr-Latn-ME"/>
              </w:rPr>
              <w:t>Placebo</w:t>
            </w:r>
          </w:p>
          <w:p w14:paraId="58AB7BC5" w14:textId="77777777" w:rsidR="0083687B" w:rsidRPr="0083687B" w:rsidRDefault="0083687B">
            <w:pPr>
              <w:tabs>
                <w:tab w:val="left" w:pos="562"/>
              </w:tabs>
              <w:suppressAutoHyphens/>
              <w:jc w:val="both"/>
              <w:rPr>
                <w:b/>
                <w:sz w:val="22"/>
                <w:szCs w:val="22"/>
                <w:lang w:val="sr-Latn-ME"/>
              </w:rPr>
            </w:pPr>
          </w:p>
          <w:p w14:paraId="45B80C15" w14:textId="77777777" w:rsidR="0083687B" w:rsidRPr="0083687B" w:rsidRDefault="0083687B">
            <w:pPr>
              <w:tabs>
                <w:tab w:val="left" w:pos="562"/>
              </w:tabs>
              <w:suppressAutoHyphens/>
              <w:jc w:val="both"/>
              <w:rPr>
                <w:b/>
                <w:sz w:val="22"/>
                <w:szCs w:val="22"/>
                <w:lang w:val="sr-Latn-ME"/>
              </w:rPr>
            </w:pPr>
            <w:r w:rsidRPr="0083687B">
              <w:rPr>
                <w:b/>
                <w:sz w:val="22"/>
                <w:szCs w:val="22"/>
                <w:lang w:val="sr-Latn-ME"/>
              </w:rPr>
              <w:t>N=398</w:t>
            </w:r>
          </w:p>
          <w:p w14:paraId="40B46176" w14:textId="77777777" w:rsidR="0083687B" w:rsidRPr="0083687B" w:rsidRDefault="0083687B">
            <w:pPr>
              <w:tabs>
                <w:tab w:val="left" w:pos="562"/>
              </w:tabs>
              <w:suppressAutoHyphens/>
              <w:jc w:val="both"/>
              <w:rPr>
                <w:b/>
                <w:sz w:val="22"/>
                <w:szCs w:val="22"/>
                <w:lang w:val="sr-Latn-ME"/>
              </w:rPr>
            </w:pPr>
            <w:r w:rsidRPr="0083687B">
              <w:rPr>
                <w:b/>
                <w:sz w:val="22"/>
                <w:szCs w:val="22"/>
                <w:lang w:val="sr-Latn-ME"/>
              </w:rPr>
              <w:t>n (%)</w:t>
            </w:r>
          </w:p>
        </w:tc>
        <w:tc>
          <w:tcPr>
            <w:tcW w:w="3094" w:type="dxa"/>
            <w:shd w:val="clear" w:color="auto" w:fill="auto"/>
          </w:tcPr>
          <w:p w14:paraId="630BD1EB" w14:textId="77777777" w:rsidR="0083687B" w:rsidRPr="0083687B" w:rsidRDefault="0083687B">
            <w:pPr>
              <w:tabs>
                <w:tab w:val="left" w:pos="562"/>
              </w:tabs>
              <w:suppressAutoHyphens/>
              <w:jc w:val="both"/>
              <w:rPr>
                <w:b/>
                <w:sz w:val="22"/>
                <w:szCs w:val="22"/>
                <w:lang w:val="sr-Latn-ME"/>
              </w:rPr>
            </w:pPr>
            <w:r w:rsidRPr="0083687B">
              <w:rPr>
                <w:b/>
                <w:sz w:val="22"/>
                <w:szCs w:val="22"/>
                <w:lang w:val="sr-Latn-ME"/>
              </w:rPr>
              <w:t>Humira 40 mg svake druge nedjelje</w:t>
            </w:r>
          </w:p>
          <w:p w14:paraId="57810D58" w14:textId="77777777" w:rsidR="0083687B" w:rsidRPr="0083687B" w:rsidRDefault="0083687B">
            <w:pPr>
              <w:tabs>
                <w:tab w:val="left" w:pos="562"/>
              </w:tabs>
              <w:suppressAutoHyphens/>
              <w:jc w:val="both"/>
              <w:rPr>
                <w:b/>
                <w:sz w:val="22"/>
                <w:szCs w:val="22"/>
                <w:lang w:val="sr-Latn-ME"/>
              </w:rPr>
            </w:pPr>
            <w:r w:rsidRPr="0083687B">
              <w:rPr>
                <w:b/>
                <w:sz w:val="22"/>
                <w:szCs w:val="22"/>
                <w:lang w:val="sr-Latn-ME"/>
              </w:rPr>
              <w:t>N=814</w:t>
            </w:r>
          </w:p>
          <w:p w14:paraId="0CE9D52B" w14:textId="77777777" w:rsidR="0083687B" w:rsidRPr="0083687B" w:rsidRDefault="0083687B">
            <w:pPr>
              <w:tabs>
                <w:tab w:val="left" w:pos="562"/>
              </w:tabs>
              <w:suppressAutoHyphens/>
              <w:jc w:val="both"/>
              <w:rPr>
                <w:b/>
                <w:sz w:val="22"/>
                <w:szCs w:val="22"/>
                <w:lang w:val="sr-Latn-ME"/>
              </w:rPr>
            </w:pPr>
            <w:r w:rsidRPr="0083687B">
              <w:rPr>
                <w:b/>
                <w:sz w:val="22"/>
                <w:szCs w:val="22"/>
                <w:lang w:val="sr-Latn-ME"/>
              </w:rPr>
              <w:t>n (%)</w:t>
            </w:r>
          </w:p>
        </w:tc>
      </w:tr>
      <w:tr w:rsidR="0083687B" w:rsidRPr="0083687B" w14:paraId="4022E6AD" w14:textId="77777777" w:rsidTr="0088568A">
        <w:tc>
          <w:tcPr>
            <w:tcW w:w="3093" w:type="dxa"/>
            <w:shd w:val="clear" w:color="auto" w:fill="auto"/>
          </w:tcPr>
          <w:p w14:paraId="7B05AB9C" w14:textId="77777777" w:rsidR="0083687B" w:rsidRPr="0083687B" w:rsidRDefault="0083687B" w:rsidP="00730D96">
            <w:pPr>
              <w:tabs>
                <w:tab w:val="left" w:pos="562"/>
              </w:tabs>
              <w:suppressAutoHyphens/>
              <w:jc w:val="both"/>
              <w:rPr>
                <w:b/>
                <w:sz w:val="22"/>
                <w:szCs w:val="22"/>
                <w:lang w:val="sr-Latn-ME"/>
              </w:rPr>
            </w:pPr>
            <w:r w:rsidRPr="0083687B">
              <w:rPr>
                <w:b/>
                <w:sz w:val="22"/>
                <w:szCs w:val="22"/>
                <w:lang w:val="sr-Latn-ME"/>
              </w:rPr>
              <w:t>≥PASI 75</w:t>
            </w:r>
            <w:r w:rsidRPr="0083687B">
              <w:rPr>
                <w:b/>
                <w:sz w:val="22"/>
                <w:szCs w:val="22"/>
                <w:vertAlign w:val="superscript"/>
                <w:lang w:val="sr-Latn-ME"/>
              </w:rPr>
              <w:t>a</w:t>
            </w:r>
          </w:p>
        </w:tc>
        <w:tc>
          <w:tcPr>
            <w:tcW w:w="3093" w:type="dxa"/>
            <w:shd w:val="clear" w:color="auto" w:fill="auto"/>
          </w:tcPr>
          <w:p w14:paraId="23958353" w14:textId="77777777" w:rsidR="0083687B" w:rsidRPr="0083687B" w:rsidRDefault="0083687B">
            <w:pPr>
              <w:tabs>
                <w:tab w:val="left" w:pos="562"/>
              </w:tabs>
              <w:suppressAutoHyphens/>
              <w:jc w:val="both"/>
              <w:rPr>
                <w:sz w:val="22"/>
                <w:szCs w:val="22"/>
                <w:lang w:val="sr-Latn-ME"/>
              </w:rPr>
            </w:pPr>
            <w:r w:rsidRPr="0083687B">
              <w:rPr>
                <w:sz w:val="22"/>
                <w:szCs w:val="22"/>
                <w:lang w:val="sr-Latn-ME"/>
              </w:rPr>
              <w:t>26 (6,5)</w:t>
            </w:r>
          </w:p>
        </w:tc>
        <w:tc>
          <w:tcPr>
            <w:tcW w:w="3094" w:type="dxa"/>
            <w:shd w:val="clear" w:color="auto" w:fill="auto"/>
          </w:tcPr>
          <w:p w14:paraId="39DBCBB6" w14:textId="77777777" w:rsidR="0083687B" w:rsidRPr="0083687B" w:rsidRDefault="0083687B">
            <w:pPr>
              <w:tabs>
                <w:tab w:val="left" w:pos="562"/>
              </w:tabs>
              <w:suppressAutoHyphens/>
              <w:jc w:val="both"/>
              <w:rPr>
                <w:sz w:val="22"/>
                <w:szCs w:val="22"/>
                <w:lang w:val="sr-Latn-ME"/>
              </w:rPr>
            </w:pPr>
            <w:r w:rsidRPr="0083687B">
              <w:rPr>
                <w:sz w:val="22"/>
                <w:szCs w:val="22"/>
                <w:lang w:val="sr-Latn-ME"/>
              </w:rPr>
              <w:t>578 (70,9)</w:t>
            </w:r>
            <w:r w:rsidRPr="0083687B">
              <w:rPr>
                <w:sz w:val="22"/>
                <w:szCs w:val="22"/>
                <w:vertAlign w:val="superscript"/>
                <w:lang w:val="sr-Latn-ME"/>
              </w:rPr>
              <w:t>b</w:t>
            </w:r>
          </w:p>
        </w:tc>
      </w:tr>
      <w:tr w:rsidR="0083687B" w:rsidRPr="0083687B" w14:paraId="00578ECE" w14:textId="77777777" w:rsidTr="0088568A">
        <w:tc>
          <w:tcPr>
            <w:tcW w:w="3093" w:type="dxa"/>
            <w:shd w:val="clear" w:color="auto" w:fill="auto"/>
          </w:tcPr>
          <w:p w14:paraId="15F8415C" w14:textId="77777777" w:rsidR="0083687B" w:rsidRPr="0083687B" w:rsidRDefault="0083687B" w:rsidP="00730D96">
            <w:pPr>
              <w:tabs>
                <w:tab w:val="left" w:pos="562"/>
              </w:tabs>
              <w:suppressAutoHyphens/>
              <w:jc w:val="both"/>
              <w:rPr>
                <w:b/>
                <w:sz w:val="22"/>
                <w:szCs w:val="22"/>
                <w:lang w:val="sr-Latn-ME"/>
              </w:rPr>
            </w:pPr>
            <w:r w:rsidRPr="0083687B">
              <w:rPr>
                <w:b/>
                <w:sz w:val="22"/>
                <w:szCs w:val="22"/>
                <w:lang w:val="sr-Latn-ME"/>
              </w:rPr>
              <w:t xml:space="preserve">PASI 100 </w:t>
            </w:r>
          </w:p>
        </w:tc>
        <w:tc>
          <w:tcPr>
            <w:tcW w:w="3093" w:type="dxa"/>
            <w:shd w:val="clear" w:color="auto" w:fill="auto"/>
          </w:tcPr>
          <w:p w14:paraId="6FF016F9" w14:textId="77777777" w:rsidR="0083687B" w:rsidRPr="0083687B" w:rsidRDefault="0083687B">
            <w:pPr>
              <w:tabs>
                <w:tab w:val="left" w:pos="562"/>
              </w:tabs>
              <w:suppressAutoHyphens/>
              <w:jc w:val="both"/>
              <w:rPr>
                <w:sz w:val="22"/>
                <w:szCs w:val="22"/>
                <w:lang w:val="sr-Latn-ME"/>
              </w:rPr>
            </w:pPr>
            <w:r w:rsidRPr="0083687B">
              <w:rPr>
                <w:sz w:val="22"/>
                <w:szCs w:val="22"/>
                <w:lang w:val="sr-Latn-ME"/>
              </w:rPr>
              <w:t xml:space="preserve">3 (0,8) </w:t>
            </w:r>
          </w:p>
        </w:tc>
        <w:tc>
          <w:tcPr>
            <w:tcW w:w="3094" w:type="dxa"/>
            <w:shd w:val="clear" w:color="auto" w:fill="auto"/>
          </w:tcPr>
          <w:p w14:paraId="68AE4345" w14:textId="77777777" w:rsidR="0083687B" w:rsidRPr="0083687B" w:rsidRDefault="0083687B">
            <w:pPr>
              <w:tabs>
                <w:tab w:val="left" w:pos="562"/>
              </w:tabs>
              <w:suppressAutoHyphens/>
              <w:jc w:val="both"/>
              <w:rPr>
                <w:sz w:val="22"/>
                <w:szCs w:val="22"/>
                <w:lang w:val="sr-Latn-ME"/>
              </w:rPr>
            </w:pPr>
            <w:r w:rsidRPr="0083687B">
              <w:rPr>
                <w:sz w:val="22"/>
                <w:szCs w:val="22"/>
                <w:lang w:val="sr-Latn-ME"/>
              </w:rPr>
              <w:t>163 (20,0)</w:t>
            </w:r>
            <w:r w:rsidRPr="0083687B">
              <w:rPr>
                <w:sz w:val="22"/>
                <w:szCs w:val="22"/>
                <w:vertAlign w:val="superscript"/>
                <w:lang w:val="sr-Latn-ME"/>
              </w:rPr>
              <w:t>b</w:t>
            </w:r>
          </w:p>
        </w:tc>
      </w:tr>
      <w:tr w:rsidR="0083687B" w:rsidRPr="0083687B" w14:paraId="346DE839" w14:textId="77777777" w:rsidTr="0088568A">
        <w:tc>
          <w:tcPr>
            <w:tcW w:w="3093" w:type="dxa"/>
            <w:shd w:val="clear" w:color="auto" w:fill="auto"/>
          </w:tcPr>
          <w:p w14:paraId="3A0E150E" w14:textId="77777777" w:rsidR="0083687B" w:rsidRPr="0083687B" w:rsidRDefault="0083687B" w:rsidP="00730D96">
            <w:pPr>
              <w:tabs>
                <w:tab w:val="left" w:pos="562"/>
              </w:tabs>
              <w:suppressAutoHyphens/>
              <w:jc w:val="both"/>
              <w:rPr>
                <w:b/>
                <w:sz w:val="22"/>
                <w:szCs w:val="22"/>
                <w:lang w:val="sr-Latn-ME"/>
              </w:rPr>
            </w:pPr>
            <w:r w:rsidRPr="0083687B">
              <w:rPr>
                <w:b/>
                <w:sz w:val="22"/>
                <w:szCs w:val="22"/>
                <w:lang w:val="sr-Latn-ME"/>
              </w:rPr>
              <w:t xml:space="preserve">PGA: uredan/minimalan </w:t>
            </w:r>
          </w:p>
        </w:tc>
        <w:tc>
          <w:tcPr>
            <w:tcW w:w="3093" w:type="dxa"/>
            <w:shd w:val="clear" w:color="auto" w:fill="auto"/>
          </w:tcPr>
          <w:p w14:paraId="494A97F9" w14:textId="77777777" w:rsidR="0083687B" w:rsidRPr="0083687B" w:rsidRDefault="0083687B">
            <w:pPr>
              <w:tabs>
                <w:tab w:val="left" w:pos="562"/>
              </w:tabs>
              <w:suppressAutoHyphens/>
              <w:jc w:val="both"/>
              <w:rPr>
                <w:sz w:val="22"/>
                <w:szCs w:val="22"/>
                <w:lang w:val="sr-Latn-ME"/>
              </w:rPr>
            </w:pPr>
            <w:r w:rsidRPr="0083687B">
              <w:rPr>
                <w:sz w:val="22"/>
                <w:szCs w:val="22"/>
                <w:lang w:val="sr-Latn-ME"/>
              </w:rPr>
              <w:t xml:space="preserve">17 (4,3) </w:t>
            </w:r>
          </w:p>
        </w:tc>
        <w:tc>
          <w:tcPr>
            <w:tcW w:w="3094" w:type="dxa"/>
            <w:shd w:val="clear" w:color="auto" w:fill="auto"/>
          </w:tcPr>
          <w:p w14:paraId="4DB5042C" w14:textId="77777777" w:rsidR="0083687B" w:rsidRPr="0083687B" w:rsidRDefault="0083687B">
            <w:pPr>
              <w:tabs>
                <w:tab w:val="left" w:pos="562"/>
              </w:tabs>
              <w:suppressAutoHyphens/>
              <w:jc w:val="both"/>
              <w:rPr>
                <w:sz w:val="22"/>
                <w:szCs w:val="22"/>
                <w:lang w:val="sr-Latn-ME"/>
              </w:rPr>
            </w:pPr>
            <w:r w:rsidRPr="0083687B">
              <w:rPr>
                <w:sz w:val="22"/>
                <w:szCs w:val="22"/>
                <w:lang w:val="sr-Latn-ME"/>
              </w:rPr>
              <w:t>506 (62,2)</w:t>
            </w:r>
            <w:r w:rsidRPr="0083687B">
              <w:rPr>
                <w:sz w:val="22"/>
                <w:szCs w:val="22"/>
                <w:vertAlign w:val="superscript"/>
                <w:lang w:val="sr-Latn-ME"/>
              </w:rPr>
              <w:t>b</w:t>
            </w:r>
          </w:p>
        </w:tc>
      </w:tr>
      <w:tr w:rsidR="0083687B" w:rsidRPr="0083687B" w14:paraId="72529748" w14:textId="77777777" w:rsidTr="0088568A">
        <w:trPr>
          <w:trHeight w:val="504"/>
        </w:trPr>
        <w:tc>
          <w:tcPr>
            <w:tcW w:w="9280" w:type="dxa"/>
            <w:gridSpan w:val="3"/>
            <w:shd w:val="clear" w:color="auto" w:fill="auto"/>
          </w:tcPr>
          <w:p w14:paraId="77729D2F" w14:textId="77777777" w:rsidR="0083687B" w:rsidRPr="0083687B" w:rsidRDefault="0083687B" w:rsidP="00730D96">
            <w:pPr>
              <w:tabs>
                <w:tab w:val="left" w:pos="562"/>
              </w:tabs>
              <w:suppressAutoHyphens/>
              <w:jc w:val="both"/>
              <w:rPr>
                <w:sz w:val="22"/>
                <w:szCs w:val="22"/>
                <w:lang w:val="sr-Latn-ME"/>
              </w:rPr>
            </w:pPr>
            <w:r w:rsidRPr="0083687B">
              <w:rPr>
                <w:sz w:val="22"/>
                <w:szCs w:val="22"/>
                <w:vertAlign w:val="superscript"/>
                <w:lang w:val="sr-Latn-ME"/>
              </w:rPr>
              <w:t xml:space="preserve">a </w:t>
            </w:r>
            <w:r w:rsidRPr="0083687B">
              <w:rPr>
                <w:sz w:val="22"/>
                <w:szCs w:val="22"/>
                <w:lang w:val="sr-Latn-ME"/>
              </w:rPr>
              <w:t xml:space="preserve">procenat pacijenta kod kojih je postignut odgovor PASI 75 izračunat je kao stopa prilagođena istraživačkom centru </w:t>
            </w:r>
          </w:p>
          <w:p w14:paraId="0305030C" w14:textId="77777777" w:rsidR="0083687B" w:rsidRPr="0083687B" w:rsidRDefault="0083687B">
            <w:pPr>
              <w:tabs>
                <w:tab w:val="left" w:pos="562"/>
              </w:tabs>
              <w:suppressAutoHyphens/>
              <w:jc w:val="both"/>
              <w:rPr>
                <w:sz w:val="22"/>
                <w:szCs w:val="22"/>
                <w:lang w:val="sr-Latn-ME"/>
              </w:rPr>
            </w:pPr>
            <w:r w:rsidRPr="0083687B">
              <w:rPr>
                <w:sz w:val="22"/>
                <w:szCs w:val="22"/>
                <w:vertAlign w:val="superscript"/>
                <w:lang w:val="sr-Latn-ME"/>
              </w:rPr>
              <w:t xml:space="preserve">b </w:t>
            </w:r>
            <w:r w:rsidRPr="0083687B">
              <w:rPr>
                <w:sz w:val="22"/>
                <w:szCs w:val="22"/>
                <w:lang w:val="sr-Latn-ME"/>
              </w:rPr>
              <w:t xml:space="preserve">p&lt;0,001, Humira u odnosu na placebo </w:t>
            </w:r>
          </w:p>
        </w:tc>
      </w:tr>
    </w:tbl>
    <w:p w14:paraId="6D708465" w14:textId="77777777" w:rsidR="009E0DAA" w:rsidRDefault="009E0DAA" w:rsidP="00EB3350">
      <w:pPr>
        <w:tabs>
          <w:tab w:val="left" w:pos="562"/>
        </w:tabs>
        <w:suppressAutoHyphens/>
        <w:jc w:val="both"/>
        <w:rPr>
          <w:b/>
          <w:sz w:val="22"/>
          <w:szCs w:val="22"/>
          <w:lang w:val="sr-Latn-ME"/>
        </w:rPr>
      </w:pPr>
    </w:p>
    <w:p w14:paraId="5AADFFF2" w14:textId="58DE9240" w:rsidR="0083687B" w:rsidRPr="0083687B" w:rsidRDefault="0083687B" w:rsidP="00EB3350">
      <w:pPr>
        <w:tabs>
          <w:tab w:val="left" w:pos="562"/>
        </w:tabs>
        <w:suppressAutoHyphens/>
        <w:jc w:val="both"/>
        <w:rPr>
          <w:b/>
          <w:sz w:val="22"/>
          <w:szCs w:val="22"/>
          <w:lang w:val="sr-Latn-ME"/>
        </w:rPr>
      </w:pPr>
      <w:r w:rsidRPr="0083687B">
        <w:rPr>
          <w:b/>
          <w:sz w:val="22"/>
          <w:szCs w:val="22"/>
          <w:lang w:val="sr-Latn-ME"/>
        </w:rPr>
        <w:t>Tabela 12</w:t>
      </w:r>
      <w:r w:rsidR="009E0DAA">
        <w:rPr>
          <w:b/>
          <w:sz w:val="22"/>
          <w:szCs w:val="22"/>
          <w:lang w:val="sr-Latn-ME"/>
        </w:rPr>
        <w:t xml:space="preserve">. </w:t>
      </w:r>
      <w:r w:rsidRPr="0083687B">
        <w:rPr>
          <w:b/>
          <w:sz w:val="22"/>
          <w:szCs w:val="22"/>
          <w:lang w:val="sr-Latn-ME"/>
        </w:rPr>
        <w:t>Ps studija II (CHAMPION) - Rezultati efikasnosti nakon 16. nedjelje terapije</w:t>
      </w:r>
    </w:p>
    <w:p w14:paraId="6040D103" w14:textId="77777777" w:rsidR="0083687B" w:rsidRPr="0083687B" w:rsidRDefault="0083687B" w:rsidP="00730D96">
      <w:pPr>
        <w:tabs>
          <w:tab w:val="left" w:pos="562"/>
        </w:tabs>
        <w:suppressAutoHyphens/>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256"/>
        <w:gridCol w:w="2247"/>
        <w:gridCol w:w="2257"/>
      </w:tblGrid>
      <w:tr w:rsidR="0083687B" w:rsidRPr="0083687B" w14:paraId="3DE47279" w14:textId="77777777" w:rsidTr="0088568A">
        <w:tc>
          <w:tcPr>
            <w:tcW w:w="2320" w:type="dxa"/>
            <w:shd w:val="clear" w:color="auto" w:fill="auto"/>
          </w:tcPr>
          <w:p w14:paraId="319F41B9" w14:textId="77777777" w:rsidR="0083687B" w:rsidRPr="0083687B" w:rsidRDefault="0083687B">
            <w:pPr>
              <w:tabs>
                <w:tab w:val="left" w:pos="562"/>
              </w:tabs>
              <w:suppressAutoHyphens/>
              <w:jc w:val="both"/>
              <w:rPr>
                <w:sz w:val="22"/>
                <w:szCs w:val="22"/>
                <w:lang w:val="sr-Latn-ME"/>
              </w:rPr>
            </w:pPr>
          </w:p>
        </w:tc>
        <w:tc>
          <w:tcPr>
            <w:tcW w:w="2320" w:type="dxa"/>
            <w:shd w:val="clear" w:color="auto" w:fill="auto"/>
          </w:tcPr>
          <w:p w14:paraId="45A923AF" w14:textId="77777777" w:rsidR="0083687B" w:rsidRPr="0083687B" w:rsidRDefault="0083687B">
            <w:pPr>
              <w:tabs>
                <w:tab w:val="left" w:pos="562"/>
              </w:tabs>
              <w:suppressAutoHyphens/>
              <w:jc w:val="both"/>
              <w:rPr>
                <w:b/>
                <w:sz w:val="22"/>
                <w:szCs w:val="22"/>
                <w:lang w:val="sr-Latn-ME"/>
              </w:rPr>
            </w:pPr>
            <w:r w:rsidRPr="0083687B">
              <w:rPr>
                <w:b/>
                <w:sz w:val="22"/>
                <w:szCs w:val="22"/>
                <w:lang w:val="sr-Latn-ME"/>
              </w:rPr>
              <w:t>Placebo</w:t>
            </w:r>
          </w:p>
          <w:p w14:paraId="04CAC360" w14:textId="77777777" w:rsidR="0083687B" w:rsidRPr="0083687B" w:rsidRDefault="0083687B">
            <w:pPr>
              <w:tabs>
                <w:tab w:val="left" w:pos="562"/>
              </w:tabs>
              <w:suppressAutoHyphens/>
              <w:jc w:val="both"/>
              <w:rPr>
                <w:b/>
                <w:sz w:val="22"/>
                <w:szCs w:val="22"/>
                <w:lang w:val="sr-Latn-ME"/>
              </w:rPr>
            </w:pPr>
          </w:p>
          <w:p w14:paraId="71B5E255" w14:textId="77777777" w:rsidR="0083687B" w:rsidRPr="0083687B" w:rsidRDefault="0083687B">
            <w:pPr>
              <w:tabs>
                <w:tab w:val="left" w:pos="562"/>
              </w:tabs>
              <w:suppressAutoHyphens/>
              <w:jc w:val="both"/>
              <w:rPr>
                <w:b/>
                <w:sz w:val="22"/>
                <w:szCs w:val="22"/>
                <w:lang w:val="sr-Latn-ME"/>
              </w:rPr>
            </w:pPr>
            <w:r w:rsidRPr="0083687B">
              <w:rPr>
                <w:b/>
                <w:sz w:val="22"/>
                <w:szCs w:val="22"/>
                <w:lang w:val="sr-Latn-ME"/>
              </w:rPr>
              <w:t>N=53</w:t>
            </w:r>
          </w:p>
          <w:p w14:paraId="69B8DA60" w14:textId="77777777" w:rsidR="0083687B" w:rsidRPr="0083687B" w:rsidRDefault="0083687B">
            <w:pPr>
              <w:tabs>
                <w:tab w:val="left" w:pos="562"/>
              </w:tabs>
              <w:suppressAutoHyphens/>
              <w:jc w:val="both"/>
              <w:rPr>
                <w:sz w:val="22"/>
                <w:szCs w:val="22"/>
                <w:lang w:val="sr-Latn-ME"/>
              </w:rPr>
            </w:pPr>
            <w:r w:rsidRPr="0083687B">
              <w:rPr>
                <w:b/>
                <w:sz w:val="22"/>
                <w:szCs w:val="22"/>
                <w:lang w:val="sr-Latn-ME"/>
              </w:rPr>
              <w:t>n (%)</w:t>
            </w:r>
          </w:p>
        </w:tc>
        <w:tc>
          <w:tcPr>
            <w:tcW w:w="2320" w:type="dxa"/>
            <w:shd w:val="clear" w:color="auto" w:fill="auto"/>
          </w:tcPr>
          <w:p w14:paraId="739E8CAF" w14:textId="77777777" w:rsidR="0083687B" w:rsidRPr="0083687B" w:rsidRDefault="0083687B">
            <w:pPr>
              <w:tabs>
                <w:tab w:val="left" w:pos="562"/>
              </w:tabs>
              <w:suppressAutoHyphens/>
              <w:jc w:val="both"/>
              <w:rPr>
                <w:b/>
                <w:sz w:val="22"/>
                <w:szCs w:val="22"/>
                <w:lang w:val="sr-Latn-ME"/>
              </w:rPr>
            </w:pPr>
            <w:r w:rsidRPr="0083687B">
              <w:rPr>
                <w:b/>
                <w:sz w:val="22"/>
                <w:szCs w:val="22"/>
                <w:lang w:val="sr-Latn-ME"/>
              </w:rPr>
              <w:t>MTX</w:t>
            </w:r>
          </w:p>
          <w:p w14:paraId="2488006D" w14:textId="77777777" w:rsidR="0083687B" w:rsidRPr="0083687B" w:rsidRDefault="0083687B">
            <w:pPr>
              <w:tabs>
                <w:tab w:val="left" w:pos="562"/>
              </w:tabs>
              <w:suppressAutoHyphens/>
              <w:jc w:val="both"/>
              <w:rPr>
                <w:b/>
                <w:sz w:val="22"/>
                <w:szCs w:val="22"/>
                <w:lang w:val="sr-Latn-ME"/>
              </w:rPr>
            </w:pPr>
          </w:p>
          <w:p w14:paraId="108509FA" w14:textId="77777777" w:rsidR="0083687B" w:rsidRPr="0083687B" w:rsidRDefault="0083687B">
            <w:pPr>
              <w:tabs>
                <w:tab w:val="left" w:pos="562"/>
              </w:tabs>
              <w:suppressAutoHyphens/>
              <w:jc w:val="both"/>
              <w:rPr>
                <w:b/>
                <w:sz w:val="22"/>
                <w:szCs w:val="22"/>
                <w:lang w:val="sr-Latn-ME"/>
              </w:rPr>
            </w:pPr>
            <w:r w:rsidRPr="0083687B">
              <w:rPr>
                <w:b/>
                <w:sz w:val="22"/>
                <w:szCs w:val="22"/>
                <w:lang w:val="sr-Latn-ME"/>
              </w:rPr>
              <w:t>N = 110</w:t>
            </w:r>
          </w:p>
          <w:p w14:paraId="5ADC6E05" w14:textId="77777777" w:rsidR="0083687B" w:rsidRPr="0083687B" w:rsidRDefault="0083687B">
            <w:pPr>
              <w:tabs>
                <w:tab w:val="left" w:pos="562"/>
              </w:tabs>
              <w:suppressAutoHyphens/>
              <w:jc w:val="both"/>
              <w:rPr>
                <w:sz w:val="22"/>
                <w:szCs w:val="22"/>
                <w:lang w:val="sr-Latn-ME"/>
              </w:rPr>
            </w:pPr>
            <w:r w:rsidRPr="0083687B">
              <w:rPr>
                <w:b/>
                <w:sz w:val="22"/>
                <w:szCs w:val="22"/>
                <w:lang w:val="sr-Latn-ME"/>
              </w:rPr>
              <w:t>n (%)</w:t>
            </w:r>
          </w:p>
        </w:tc>
        <w:tc>
          <w:tcPr>
            <w:tcW w:w="2320" w:type="dxa"/>
            <w:shd w:val="clear" w:color="auto" w:fill="auto"/>
          </w:tcPr>
          <w:p w14:paraId="5575AA7B" w14:textId="77777777" w:rsidR="0083687B" w:rsidRPr="0083687B" w:rsidRDefault="0083687B">
            <w:pPr>
              <w:tabs>
                <w:tab w:val="left" w:pos="562"/>
              </w:tabs>
              <w:suppressAutoHyphens/>
              <w:jc w:val="both"/>
              <w:rPr>
                <w:b/>
                <w:sz w:val="22"/>
                <w:szCs w:val="22"/>
                <w:lang w:val="sr-Latn-ME"/>
              </w:rPr>
            </w:pPr>
            <w:r w:rsidRPr="0083687B">
              <w:rPr>
                <w:b/>
                <w:sz w:val="22"/>
                <w:szCs w:val="22"/>
                <w:lang w:val="sr-Latn-ME"/>
              </w:rPr>
              <w:t>Humira 40 mg svake druge nedjelje</w:t>
            </w:r>
          </w:p>
          <w:p w14:paraId="1E1A0368" w14:textId="77777777" w:rsidR="0083687B" w:rsidRPr="0083687B" w:rsidRDefault="0083687B">
            <w:pPr>
              <w:tabs>
                <w:tab w:val="left" w:pos="562"/>
              </w:tabs>
              <w:suppressAutoHyphens/>
              <w:jc w:val="both"/>
              <w:rPr>
                <w:b/>
                <w:sz w:val="22"/>
                <w:szCs w:val="22"/>
                <w:lang w:val="sr-Latn-ME"/>
              </w:rPr>
            </w:pPr>
            <w:r w:rsidRPr="0083687B">
              <w:rPr>
                <w:b/>
                <w:sz w:val="22"/>
                <w:szCs w:val="22"/>
                <w:lang w:val="sr-Latn-ME"/>
              </w:rPr>
              <w:t>N=108</w:t>
            </w:r>
          </w:p>
          <w:p w14:paraId="670174A3" w14:textId="77777777" w:rsidR="0083687B" w:rsidRPr="0083687B" w:rsidRDefault="0083687B">
            <w:pPr>
              <w:tabs>
                <w:tab w:val="left" w:pos="562"/>
              </w:tabs>
              <w:suppressAutoHyphens/>
              <w:jc w:val="both"/>
              <w:rPr>
                <w:sz w:val="22"/>
                <w:szCs w:val="22"/>
                <w:lang w:val="sr-Latn-ME"/>
              </w:rPr>
            </w:pPr>
            <w:r w:rsidRPr="0083687B">
              <w:rPr>
                <w:b/>
                <w:sz w:val="22"/>
                <w:szCs w:val="22"/>
                <w:lang w:val="sr-Latn-ME"/>
              </w:rPr>
              <w:t>n (%)</w:t>
            </w:r>
          </w:p>
        </w:tc>
      </w:tr>
      <w:tr w:rsidR="0083687B" w:rsidRPr="0083687B" w14:paraId="3B8C612B" w14:textId="77777777" w:rsidTr="0088568A">
        <w:tc>
          <w:tcPr>
            <w:tcW w:w="2320" w:type="dxa"/>
            <w:shd w:val="clear" w:color="auto" w:fill="auto"/>
          </w:tcPr>
          <w:p w14:paraId="00085CF5" w14:textId="77777777" w:rsidR="0083687B" w:rsidRPr="0083687B" w:rsidRDefault="0083687B" w:rsidP="00730D96">
            <w:pPr>
              <w:tabs>
                <w:tab w:val="left" w:pos="562"/>
              </w:tabs>
              <w:suppressAutoHyphens/>
              <w:jc w:val="both"/>
              <w:rPr>
                <w:b/>
                <w:sz w:val="22"/>
                <w:szCs w:val="22"/>
                <w:lang w:val="sr-Latn-ME"/>
              </w:rPr>
            </w:pPr>
            <w:r w:rsidRPr="0083687B">
              <w:rPr>
                <w:b/>
                <w:sz w:val="22"/>
                <w:szCs w:val="22"/>
                <w:lang w:val="sr-Latn-ME"/>
              </w:rPr>
              <w:t>≥PASI 75</w:t>
            </w:r>
          </w:p>
        </w:tc>
        <w:tc>
          <w:tcPr>
            <w:tcW w:w="2320" w:type="dxa"/>
            <w:shd w:val="clear" w:color="auto" w:fill="auto"/>
          </w:tcPr>
          <w:p w14:paraId="5BE2E40A" w14:textId="77777777" w:rsidR="0083687B" w:rsidRPr="0083687B" w:rsidRDefault="0083687B">
            <w:pPr>
              <w:tabs>
                <w:tab w:val="left" w:pos="562"/>
              </w:tabs>
              <w:suppressAutoHyphens/>
              <w:jc w:val="both"/>
              <w:rPr>
                <w:sz w:val="22"/>
                <w:szCs w:val="22"/>
                <w:lang w:val="sr-Latn-ME"/>
              </w:rPr>
            </w:pPr>
            <w:r w:rsidRPr="0083687B">
              <w:rPr>
                <w:sz w:val="22"/>
                <w:szCs w:val="22"/>
                <w:lang w:val="sr-Latn-ME"/>
              </w:rPr>
              <w:t>10 (18,9)</w:t>
            </w:r>
          </w:p>
        </w:tc>
        <w:tc>
          <w:tcPr>
            <w:tcW w:w="2320" w:type="dxa"/>
            <w:shd w:val="clear" w:color="auto" w:fill="auto"/>
          </w:tcPr>
          <w:p w14:paraId="2A5346F3" w14:textId="77777777" w:rsidR="0083687B" w:rsidRPr="0083687B" w:rsidRDefault="0083687B">
            <w:pPr>
              <w:tabs>
                <w:tab w:val="left" w:pos="562"/>
              </w:tabs>
              <w:suppressAutoHyphens/>
              <w:jc w:val="both"/>
              <w:rPr>
                <w:sz w:val="22"/>
                <w:szCs w:val="22"/>
                <w:lang w:val="sr-Latn-ME"/>
              </w:rPr>
            </w:pPr>
            <w:r w:rsidRPr="0083687B">
              <w:rPr>
                <w:sz w:val="22"/>
                <w:szCs w:val="22"/>
                <w:lang w:val="sr-Latn-ME"/>
              </w:rPr>
              <w:t>39 (35,5)</w:t>
            </w:r>
          </w:p>
        </w:tc>
        <w:tc>
          <w:tcPr>
            <w:tcW w:w="2320" w:type="dxa"/>
            <w:shd w:val="clear" w:color="auto" w:fill="auto"/>
          </w:tcPr>
          <w:p w14:paraId="57D5AE4B" w14:textId="77777777" w:rsidR="0083687B" w:rsidRPr="0083687B" w:rsidRDefault="0083687B">
            <w:pPr>
              <w:tabs>
                <w:tab w:val="left" w:pos="562"/>
              </w:tabs>
              <w:suppressAutoHyphens/>
              <w:jc w:val="both"/>
              <w:rPr>
                <w:sz w:val="22"/>
                <w:szCs w:val="22"/>
                <w:lang w:val="sr-Latn-ME"/>
              </w:rPr>
            </w:pPr>
            <w:r w:rsidRPr="0083687B">
              <w:rPr>
                <w:sz w:val="22"/>
                <w:szCs w:val="22"/>
                <w:lang w:val="sr-Latn-ME"/>
              </w:rPr>
              <w:t>86 (79,6)</w:t>
            </w:r>
            <w:r w:rsidRPr="0083687B">
              <w:rPr>
                <w:sz w:val="22"/>
                <w:szCs w:val="22"/>
                <w:vertAlign w:val="superscript"/>
                <w:lang w:val="sr-Latn-ME"/>
              </w:rPr>
              <w:t xml:space="preserve"> a,b</w:t>
            </w:r>
          </w:p>
        </w:tc>
      </w:tr>
      <w:tr w:rsidR="0083687B" w:rsidRPr="0083687B" w14:paraId="4CDD854C" w14:textId="77777777" w:rsidTr="0088568A">
        <w:tc>
          <w:tcPr>
            <w:tcW w:w="2320" w:type="dxa"/>
            <w:shd w:val="clear" w:color="auto" w:fill="auto"/>
          </w:tcPr>
          <w:p w14:paraId="13787402" w14:textId="77777777" w:rsidR="0083687B" w:rsidRPr="0083687B" w:rsidRDefault="0083687B" w:rsidP="00730D96">
            <w:pPr>
              <w:tabs>
                <w:tab w:val="left" w:pos="562"/>
              </w:tabs>
              <w:suppressAutoHyphens/>
              <w:jc w:val="both"/>
              <w:rPr>
                <w:b/>
                <w:sz w:val="22"/>
                <w:szCs w:val="22"/>
                <w:lang w:val="sr-Latn-ME"/>
              </w:rPr>
            </w:pPr>
            <w:r w:rsidRPr="0083687B">
              <w:rPr>
                <w:b/>
                <w:sz w:val="22"/>
                <w:szCs w:val="22"/>
                <w:lang w:val="sr-Latn-ME"/>
              </w:rPr>
              <w:t xml:space="preserve">PASI 100 </w:t>
            </w:r>
          </w:p>
        </w:tc>
        <w:tc>
          <w:tcPr>
            <w:tcW w:w="2320" w:type="dxa"/>
            <w:shd w:val="clear" w:color="auto" w:fill="auto"/>
          </w:tcPr>
          <w:p w14:paraId="0F072BD9" w14:textId="77777777" w:rsidR="0083687B" w:rsidRPr="0083687B" w:rsidRDefault="0083687B">
            <w:pPr>
              <w:tabs>
                <w:tab w:val="left" w:pos="562"/>
              </w:tabs>
              <w:suppressAutoHyphens/>
              <w:jc w:val="both"/>
              <w:rPr>
                <w:sz w:val="22"/>
                <w:szCs w:val="22"/>
                <w:lang w:val="sr-Latn-ME"/>
              </w:rPr>
            </w:pPr>
            <w:r w:rsidRPr="0083687B">
              <w:rPr>
                <w:sz w:val="22"/>
                <w:szCs w:val="22"/>
                <w:lang w:val="sr-Latn-ME"/>
              </w:rPr>
              <w:t>1 (1,9)</w:t>
            </w:r>
          </w:p>
        </w:tc>
        <w:tc>
          <w:tcPr>
            <w:tcW w:w="2320" w:type="dxa"/>
            <w:shd w:val="clear" w:color="auto" w:fill="auto"/>
          </w:tcPr>
          <w:p w14:paraId="2129E360" w14:textId="77777777" w:rsidR="0083687B" w:rsidRPr="0083687B" w:rsidRDefault="0083687B">
            <w:pPr>
              <w:tabs>
                <w:tab w:val="left" w:pos="562"/>
              </w:tabs>
              <w:suppressAutoHyphens/>
              <w:jc w:val="both"/>
              <w:rPr>
                <w:sz w:val="22"/>
                <w:szCs w:val="22"/>
                <w:lang w:val="sr-Latn-ME"/>
              </w:rPr>
            </w:pPr>
            <w:r w:rsidRPr="0083687B">
              <w:rPr>
                <w:sz w:val="22"/>
                <w:szCs w:val="22"/>
                <w:lang w:val="sr-Latn-ME"/>
              </w:rPr>
              <w:t>8 (7,3)</w:t>
            </w:r>
          </w:p>
        </w:tc>
        <w:tc>
          <w:tcPr>
            <w:tcW w:w="2320" w:type="dxa"/>
            <w:shd w:val="clear" w:color="auto" w:fill="auto"/>
          </w:tcPr>
          <w:p w14:paraId="5F048E8C" w14:textId="77777777" w:rsidR="0083687B" w:rsidRPr="0083687B" w:rsidRDefault="0083687B">
            <w:pPr>
              <w:tabs>
                <w:tab w:val="left" w:pos="562"/>
              </w:tabs>
              <w:suppressAutoHyphens/>
              <w:jc w:val="both"/>
              <w:rPr>
                <w:sz w:val="22"/>
                <w:szCs w:val="22"/>
                <w:lang w:val="sr-Latn-ME"/>
              </w:rPr>
            </w:pPr>
            <w:r w:rsidRPr="0083687B">
              <w:rPr>
                <w:sz w:val="22"/>
                <w:szCs w:val="22"/>
                <w:lang w:val="sr-Latn-ME"/>
              </w:rPr>
              <w:t>18 (16,7)</w:t>
            </w:r>
            <w:r w:rsidRPr="0083687B">
              <w:rPr>
                <w:sz w:val="22"/>
                <w:szCs w:val="22"/>
                <w:vertAlign w:val="superscript"/>
                <w:lang w:val="sr-Latn-ME"/>
              </w:rPr>
              <w:t xml:space="preserve"> c,d</w:t>
            </w:r>
          </w:p>
        </w:tc>
      </w:tr>
      <w:tr w:rsidR="0083687B" w:rsidRPr="0083687B" w14:paraId="7F2BF881" w14:textId="77777777" w:rsidTr="0088568A">
        <w:tc>
          <w:tcPr>
            <w:tcW w:w="2320" w:type="dxa"/>
            <w:shd w:val="clear" w:color="auto" w:fill="auto"/>
          </w:tcPr>
          <w:p w14:paraId="694F98C9" w14:textId="77777777" w:rsidR="0083687B" w:rsidRPr="0083687B" w:rsidRDefault="0083687B" w:rsidP="00730D96">
            <w:pPr>
              <w:tabs>
                <w:tab w:val="left" w:pos="562"/>
              </w:tabs>
              <w:suppressAutoHyphens/>
              <w:jc w:val="both"/>
              <w:rPr>
                <w:b/>
                <w:sz w:val="22"/>
                <w:szCs w:val="22"/>
                <w:lang w:val="sr-Latn-ME"/>
              </w:rPr>
            </w:pPr>
            <w:r w:rsidRPr="0083687B">
              <w:rPr>
                <w:b/>
                <w:sz w:val="22"/>
                <w:szCs w:val="22"/>
                <w:lang w:val="sr-Latn-ME"/>
              </w:rPr>
              <w:t xml:space="preserve">PGA: uredan/minimalan </w:t>
            </w:r>
          </w:p>
        </w:tc>
        <w:tc>
          <w:tcPr>
            <w:tcW w:w="2320" w:type="dxa"/>
            <w:shd w:val="clear" w:color="auto" w:fill="auto"/>
          </w:tcPr>
          <w:p w14:paraId="2DA5519B" w14:textId="77777777" w:rsidR="0083687B" w:rsidRPr="0083687B" w:rsidRDefault="0083687B">
            <w:pPr>
              <w:tabs>
                <w:tab w:val="left" w:pos="562"/>
              </w:tabs>
              <w:suppressAutoHyphens/>
              <w:jc w:val="both"/>
              <w:rPr>
                <w:sz w:val="22"/>
                <w:szCs w:val="22"/>
                <w:lang w:val="sr-Latn-ME"/>
              </w:rPr>
            </w:pPr>
            <w:r w:rsidRPr="0083687B">
              <w:rPr>
                <w:sz w:val="22"/>
                <w:szCs w:val="22"/>
                <w:lang w:val="sr-Latn-ME"/>
              </w:rPr>
              <w:t>6 (11,3)</w:t>
            </w:r>
          </w:p>
        </w:tc>
        <w:tc>
          <w:tcPr>
            <w:tcW w:w="2320" w:type="dxa"/>
            <w:shd w:val="clear" w:color="auto" w:fill="auto"/>
          </w:tcPr>
          <w:p w14:paraId="3A386114" w14:textId="77777777" w:rsidR="0083687B" w:rsidRPr="0083687B" w:rsidRDefault="0083687B">
            <w:pPr>
              <w:tabs>
                <w:tab w:val="left" w:pos="562"/>
              </w:tabs>
              <w:suppressAutoHyphens/>
              <w:jc w:val="both"/>
              <w:rPr>
                <w:sz w:val="22"/>
                <w:szCs w:val="22"/>
                <w:lang w:val="sr-Latn-ME"/>
              </w:rPr>
            </w:pPr>
            <w:r w:rsidRPr="0083687B">
              <w:rPr>
                <w:sz w:val="22"/>
                <w:szCs w:val="22"/>
                <w:lang w:val="sr-Latn-ME"/>
              </w:rPr>
              <w:t>33 (30,0)</w:t>
            </w:r>
          </w:p>
        </w:tc>
        <w:tc>
          <w:tcPr>
            <w:tcW w:w="2320" w:type="dxa"/>
            <w:shd w:val="clear" w:color="auto" w:fill="auto"/>
          </w:tcPr>
          <w:p w14:paraId="1FF117D5" w14:textId="77777777" w:rsidR="0083687B" w:rsidRPr="0083687B" w:rsidRDefault="0083687B">
            <w:pPr>
              <w:tabs>
                <w:tab w:val="left" w:pos="562"/>
              </w:tabs>
              <w:suppressAutoHyphens/>
              <w:jc w:val="both"/>
              <w:rPr>
                <w:sz w:val="22"/>
                <w:szCs w:val="22"/>
                <w:lang w:val="sr-Latn-ME"/>
              </w:rPr>
            </w:pPr>
            <w:r w:rsidRPr="0083687B">
              <w:rPr>
                <w:sz w:val="22"/>
                <w:szCs w:val="22"/>
                <w:lang w:val="sr-Latn-ME"/>
              </w:rPr>
              <w:t xml:space="preserve">79 (73,1) </w:t>
            </w:r>
            <w:r w:rsidRPr="0083687B">
              <w:rPr>
                <w:sz w:val="22"/>
                <w:szCs w:val="22"/>
                <w:vertAlign w:val="superscript"/>
                <w:lang w:val="sr-Latn-ME"/>
              </w:rPr>
              <w:t>a,b</w:t>
            </w:r>
          </w:p>
        </w:tc>
      </w:tr>
      <w:tr w:rsidR="0083687B" w:rsidRPr="0083687B" w14:paraId="3B38646F" w14:textId="77777777" w:rsidTr="0088568A">
        <w:trPr>
          <w:trHeight w:val="848"/>
        </w:trPr>
        <w:tc>
          <w:tcPr>
            <w:tcW w:w="9280" w:type="dxa"/>
            <w:gridSpan w:val="4"/>
            <w:shd w:val="clear" w:color="auto" w:fill="auto"/>
          </w:tcPr>
          <w:p w14:paraId="54E95A8F" w14:textId="77777777" w:rsidR="0083687B" w:rsidRPr="0083687B" w:rsidRDefault="0083687B" w:rsidP="00730D96">
            <w:pPr>
              <w:tabs>
                <w:tab w:val="left" w:pos="562"/>
              </w:tabs>
              <w:suppressAutoHyphens/>
              <w:jc w:val="both"/>
              <w:rPr>
                <w:sz w:val="22"/>
                <w:szCs w:val="22"/>
                <w:lang w:val="sr-Latn-ME"/>
              </w:rPr>
            </w:pPr>
            <w:r w:rsidRPr="0083687B">
              <w:rPr>
                <w:sz w:val="22"/>
                <w:szCs w:val="22"/>
                <w:vertAlign w:val="superscript"/>
                <w:lang w:val="sr-Latn-ME"/>
              </w:rPr>
              <w:t xml:space="preserve">a </w:t>
            </w:r>
            <w:r w:rsidRPr="0083687B">
              <w:rPr>
                <w:sz w:val="22"/>
                <w:szCs w:val="22"/>
                <w:lang w:val="sr-Latn-ME"/>
              </w:rPr>
              <w:t>p&lt;0,001 Humira u odnosu na placebo</w:t>
            </w:r>
          </w:p>
          <w:p w14:paraId="1743F6CB" w14:textId="77777777" w:rsidR="0083687B" w:rsidRPr="0083687B" w:rsidRDefault="0083687B">
            <w:pPr>
              <w:tabs>
                <w:tab w:val="left" w:pos="562"/>
              </w:tabs>
              <w:suppressAutoHyphens/>
              <w:jc w:val="both"/>
              <w:rPr>
                <w:sz w:val="22"/>
                <w:szCs w:val="22"/>
                <w:lang w:val="sr-Latn-ME"/>
              </w:rPr>
            </w:pPr>
            <w:r w:rsidRPr="0083687B">
              <w:rPr>
                <w:sz w:val="22"/>
                <w:szCs w:val="22"/>
                <w:vertAlign w:val="superscript"/>
                <w:lang w:val="sr-Latn-ME"/>
              </w:rPr>
              <w:t>b</w:t>
            </w:r>
            <w:r w:rsidRPr="0083687B">
              <w:rPr>
                <w:sz w:val="22"/>
                <w:szCs w:val="22"/>
                <w:lang w:val="sr-Latn-ME"/>
              </w:rPr>
              <w:t xml:space="preserve"> p&lt;0,001 Humira u odnosu na metotreksat</w:t>
            </w:r>
          </w:p>
          <w:p w14:paraId="255F913B" w14:textId="77777777" w:rsidR="0083687B" w:rsidRPr="0083687B" w:rsidRDefault="0083687B">
            <w:pPr>
              <w:tabs>
                <w:tab w:val="left" w:pos="562"/>
              </w:tabs>
              <w:suppressAutoHyphens/>
              <w:jc w:val="both"/>
              <w:rPr>
                <w:sz w:val="22"/>
                <w:szCs w:val="22"/>
                <w:lang w:val="sr-Latn-ME"/>
              </w:rPr>
            </w:pPr>
            <w:r w:rsidRPr="0083687B">
              <w:rPr>
                <w:sz w:val="22"/>
                <w:szCs w:val="22"/>
                <w:vertAlign w:val="superscript"/>
                <w:lang w:val="sr-Latn-ME"/>
              </w:rPr>
              <w:t xml:space="preserve">c </w:t>
            </w:r>
            <w:r w:rsidRPr="0083687B">
              <w:rPr>
                <w:sz w:val="22"/>
                <w:szCs w:val="22"/>
                <w:lang w:val="sr-Latn-ME"/>
              </w:rPr>
              <w:t>p&lt;0,01 Humira u odnosu na placebo</w:t>
            </w:r>
          </w:p>
          <w:p w14:paraId="5E5342D9" w14:textId="77777777" w:rsidR="0083687B" w:rsidRPr="0083687B" w:rsidRDefault="0083687B">
            <w:pPr>
              <w:tabs>
                <w:tab w:val="left" w:pos="562"/>
              </w:tabs>
              <w:suppressAutoHyphens/>
              <w:jc w:val="both"/>
              <w:rPr>
                <w:sz w:val="22"/>
                <w:szCs w:val="22"/>
                <w:lang w:val="sr-Latn-ME"/>
              </w:rPr>
            </w:pPr>
            <w:r w:rsidRPr="0083687B">
              <w:rPr>
                <w:sz w:val="22"/>
                <w:szCs w:val="22"/>
                <w:vertAlign w:val="superscript"/>
                <w:lang w:val="sr-Latn-ME"/>
              </w:rPr>
              <w:t>d</w:t>
            </w:r>
            <w:r w:rsidRPr="0083687B">
              <w:rPr>
                <w:sz w:val="22"/>
                <w:szCs w:val="22"/>
                <w:lang w:val="sr-Latn-ME"/>
              </w:rPr>
              <w:t xml:space="preserve"> p&lt;0,05 Humira u odnosu na metotreksat</w:t>
            </w:r>
          </w:p>
        </w:tc>
      </w:tr>
    </w:tbl>
    <w:p w14:paraId="7D71DBD9" w14:textId="77777777" w:rsidR="0083687B" w:rsidRPr="0083687B" w:rsidRDefault="0083687B" w:rsidP="00730D96">
      <w:pPr>
        <w:tabs>
          <w:tab w:val="left" w:pos="562"/>
        </w:tabs>
        <w:suppressAutoHyphens/>
        <w:jc w:val="both"/>
        <w:rPr>
          <w:sz w:val="22"/>
          <w:szCs w:val="22"/>
          <w:lang w:val="sr-Latn-ME"/>
        </w:rPr>
      </w:pPr>
    </w:p>
    <w:p w14:paraId="140C18C2" w14:textId="6D9D9084" w:rsidR="0083687B" w:rsidRPr="0083687B" w:rsidRDefault="0083687B">
      <w:pPr>
        <w:tabs>
          <w:tab w:val="left" w:pos="562"/>
        </w:tabs>
        <w:suppressAutoHyphens/>
        <w:jc w:val="both"/>
        <w:rPr>
          <w:sz w:val="22"/>
          <w:szCs w:val="22"/>
          <w:lang w:val="sr-Latn-ME"/>
        </w:rPr>
      </w:pPr>
      <w:r w:rsidRPr="0083687B">
        <w:rPr>
          <w:sz w:val="22"/>
          <w:szCs w:val="22"/>
          <w:lang w:val="sr-Latn-ME"/>
        </w:rPr>
        <w:t>U ispitivanju I pacijenata sa psorijazom, 28 % pacijenata s PASI 75 odgovorom, kojima je u 33. nedjelj</w:t>
      </w:r>
      <w:r w:rsidR="00336D08">
        <w:rPr>
          <w:sz w:val="22"/>
          <w:szCs w:val="22"/>
          <w:lang w:val="sr-Latn-ME"/>
        </w:rPr>
        <w:t>i</w:t>
      </w:r>
      <w:r w:rsidRPr="0083687B">
        <w:rPr>
          <w:sz w:val="22"/>
          <w:szCs w:val="22"/>
          <w:lang w:val="sr-Latn-ME"/>
        </w:rPr>
        <w:t xml:space="preserve"> pri ponovnoj randomizaciji dodijeljen placebo, u poređenju sa 5 % pacijenata koji su nastavili da uzimaju lijek Humira, p&lt;0,001, uočen je „gubitak primjerenog odgovora“ (PASI zbir nakon 33. nedjelje i u ili prije 52. nedjelje koji je rezultirao s &lt; PASI 50 odgovorom u odnosu na početno stanje, uz porast PASI zbira za najmanje 6 bodova u odnosu na 33. nedjelju). Među pacijentima kod kojih je nastupio gubitak primjerenog odgovora nakon ponovne randomizacije u grupu koja je primala placebo, a koji su zatim uključeni u otvoreno produženo ispitivanje, PASI 75 odgovor nakon 12 nedjelja terapije ponovno je postignut kod 38 % (25/66) pacijenata, a nakon 24 nedjelje terapije kod 55 % (36/66) pacijenata. </w:t>
      </w:r>
    </w:p>
    <w:p w14:paraId="2F1E86F2" w14:textId="77777777" w:rsidR="0083687B" w:rsidRPr="0083687B" w:rsidRDefault="0083687B">
      <w:pPr>
        <w:tabs>
          <w:tab w:val="left" w:pos="562"/>
        </w:tabs>
        <w:suppressAutoHyphens/>
        <w:jc w:val="both"/>
        <w:rPr>
          <w:sz w:val="22"/>
          <w:szCs w:val="22"/>
          <w:lang w:val="sr-Latn-ME"/>
        </w:rPr>
      </w:pPr>
    </w:p>
    <w:p w14:paraId="412BBBCB" w14:textId="77777777" w:rsidR="0083687B" w:rsidRPr="0083687B" w:rsidRDefault="0083687B">
      <w:pPr>
        <w:tabs>
          <w:tab w:val="left" w:pos="562"/>
        </w:tabs>
        <w:suppressAutoHyphens/>
        <w:jc w:val="both"/>
        <w:rPr>
          <w:sz w:val="22"/>
          <w:szCs w:val="22"/>
          <w:lang w:val="sr-Latn-ME"/>
        </w:rPr>
      </w:pPr>
      <w:r w:rsidRPr="0083687B">
        <w:rPr>
          <w:sz w:val="22"/>
          <w:szCs w:val="22"/>
          <w:lang w:val="sr-Latn-ME"/>
        </w:rPr>
        <w:t>Ukupno 233 pacijenata, u okviru ispitivanja I pacijenata sa psorijazom, kod kojih je u 16. i 33. nedjelji ostvaren PASI 75 odgovor primilo je kontinuiranu terapiju lijekom Humira tokom 52 nedjelje, te nastavilo da prima lijek Humira u okviru otvorenog produženog ispitivanja. PASI 75 i PGA odgovori “uredno” i “minimalno” su kod tih pacijenata bili 74,7%, odnosno 59,0% nakon dodatnih 108 nedjelja otvorene terapije (ukupno 160 nedjelja). Svi pacijenti koji su izašli iz ispitivanja zbog neželjenih djelovanja ili nedostatka efikasnosti ili kojima je doza povećavana, smatrani su pacijentima kod kojih nije bilo odgovora na terapiju. Za njih je analiza PASI 75 i PGA odgovora „uredno“ ili „minimalno“ nakon dodatnih 108 nedjelja otvorene terapije (ukupno 160 nedjelja) dala rezultate 69,6%, odnosno 55,7%.</w:t>
      </w:r>
    </w:p>
    <w:p w14:paraId="45D03855" w14:textId="77777777" w:rsidR="0083687B" w:rsidRPr="0083687B" w:rsidRDefault="0083687B">
      <w:pPr>
        <w:tabs>
          <w:tab w:val="left" w:pos="562"/>
        </w:tabs>
        <w:suppressAutoHyphens/>
        <w:jc w:val="both"/>
        <w:rPr>
          <w:sz w:val="22"/>
          <w:szCs w:val="22"/>
          <w:lang w:val="sr-Latn-ME"/>
        </w:rPr>
      </w:pPr>
    </w:p>
    <w:p w14:paraId="600DE9B2" w14:textId="77777777" w:rsidR="0083687B" w:rsidRPr="0083687B" w:rsidRDefault="0083687B">
      <w:pPr>
        <w:tabs>
          <w:tab w:val="left" w:pos="562"/>
        </w:tabs>
        <w:suppressAutoHyphens/>
        <w:jc w:val="both"/>
        <w:rPr>
          <w:sz w:val="22"/>
          <w:szCs w:val="22"/>
          <w:lang w:val="sr-Latn-ME"/>
        </w:rPr>
      </w:pPr>
      <w:r w:rsidRPr="0083687B">
        <w:rPr>
          <w:sz w:val="22"/>
          <w:szCs w:val="22"/>
          <w:lang w:val="sr-Latn-ME"/>
        </w:rPr>
        <w:lastRenderedPageBreak/>
        <w:t>Ukupno je 347 pacijenata sa stabilnim odgovorom na terapiju učestvovalo u otvorenom produženom ispitivanju u procjeni ukidanja i ponovnog uvođenja terapije. U razdoblju kada je terapija bila ukinuta, simptomi psorijaze su se vratili sa srednjim vremenom do pojave recidiva od oko 5 mjeseci (smanjenje do umjerenog ili lošeg PGA). Međutim, niti jedan od pacijenata nije doživio pogoršanje osnovne bolesti, odnosno “</w:t>
      </w:r>
      <w:r w:rsidRPr="0083687B">
        <w:rPr>
          <w:i/>
          <w:sz w:val="22"/>
          <w:szCs w:val="22"/>
          <w:lang w:val="sr-Latn-ME"/>
        </w:rPr>
        <w:t>rebound</w:t>
      </w:r>
      <w:r w:rsidRPr="0083687B">
        <w:rPr>
          <w:sz w:val="22"/>
          <w:szCs w:val="22"/>
          <w:lang w:val="sr-Latn-ME"/>
        </w:rPr>
        <w:t>” bolesti. Ukupno je 76,5% (218/285) pacijenata kojima je liječenje ponovo uvedeno imalo PGA odgovor “uredno” ili “minimalno” nakon 16 nedjelja liječenja, bez obzira da li im se relaps ponovo javio u periodu kada je liječenje bilo prekinuto (69,1% [123/178] za pacijente sa relapsom, odnosno 88,8% [95/107] za pacijente bez relapsa). Uočen je sličan profil bezbjednosti ponovo uvedenog liječenja u odnosu na liječenje prije prekidanja.</w:t>
      </w:r>
    </w:p>
    <w:p w14:paraId="10CB432F" w14:textId="77777777" w:rsidR="0083687B" w:rsidRPr="0083687B" w:rsidRDefault="0083687B">
      <w:pPr>
        <w:tabs>
          <w:tab w:val="left" w:pos="562"/>
        </w:tabs>
        <w:suppressAutoHyphens/>
        <w:jc w:val="both"/>
        <w:rPr>
          <w:sz w:val="22"/>
          <w:szCs w:val="22"/>
          <w:lang w:val="sr-Latn-ME"/>
        </w:rPr>
      </w:pPr>
    </w:p>
    <w:p w14:paraId="60DD1CAB" w14:textId="3C7CDC4D" w:rsidR="0083687B" w:rsidRPr="0083687B" w:rsidRDefault="0083687B">
      <w:pPr>
        <w:tabs>
          <w:tab w:val="left" w:pos="562"/>
        </w:tabs>
        <w:suppressAutoHyphens/>
        <w:jc w:val="both"/>
        <w:rPr>
          <w:sz w:val="22"/>
          <w:szCs w:val="22"/>
          <w:lang w:val="sr-Latn-ME"/>
        </w:rPr>
      </w:pPr>
      <w:r w:rsidRPr="0083687B">
        <w:rPr>
          <w:sz w:val="22"/>
          <w:szCs w:val="22"/>
          <w:lang w:val="sr-Latn-ME"/>
        </w:rPr>
        <w:t>Nakon 16 nedjelja terapije postignuto je značajno poboljšanje u odnosu na početno stanje, mjereno indeksom DLQI (</w:t>
      </w:r>
      <w:r w:rsidR="00336D08">
        <w:rPr>
          <w:sz w:val="22"/>
          <w:szCs w:val="22"/>
          <w:lang w:val="sr-Latn-ME"/>
        </w:rPr>
        <w:t xml:space="preserve">engl. </w:t>
      </w:r>
      <w:r w:rsidRPr="0083687B">
        <w:rPr>
          <w:i/>
          <w:sz w:val="22"/>
          <w:szCs w:val="22"/>
          <w:lang w:val="sr-Latn-ME"/>
        </w:rPr>
        <w:t>Dermatology Life Quality Index</w:t>
      </w:r>
      <w:r w:rsidRPr="0083687B">
        <w:rPr>
          <w:sz w:val="22"/>
          <w:szCs w:val="22"/>
          <w:lang w:val="sr-Latn-ME"/>
        </w:rPr>
        <w:t>) u poređenju sa placebom (ispitivanje I i II) i u poređenju sa MTX (ispitivanje II). U ispitivanju I uočeno je i značajno poboljšanje fizičkih i mentalnih komponenata zbirnog rezultata SF-36 u poređenju sa placebom.</w:t>
      </w:r>
    </w:p>
    <w:p w14:paraId="1DA1A79C" w14:textId="77777777" w:rsidR="0083687B" w:rsidRPr="0083687B" w:rsidRDefault="0083687B">
      <w:pPr>
        <w:tabs>
          <w:tab w:val="left" w:pos="562"/>
        </w:tabs>
        <w:suppressAutoHyphens/>
        <w:jc w:val="both"/>
        <w:rPr>
          <w:sz w:val="22"/>
          <w:szCs w:val="22"/>
          <w:lang w:val="sr-Latn-ME"/>
        </w:rPr>
      </w:pPr>
    </w:p>
    <w:p w14:paraId="5DA7DD31" w14:textId="77777777" w:rsidR="0083687B" w:rsidRPr="0083687B" w:rsidRDefault="0083687B">
      <w:pPr>
        <w:tabs>
          <w:tab w:val="left" w:pos="562"/>
        </w:tabs>
        <w:suppressAutoHyphens/>
        <w:jc w:val="both"/>
        <w:rPr>
          <w:sz w:val="22"/>
          <w:szCs w:val="22"/>
          <w:lang w:val="sr-Latn-ME"/>
        </w:rPr>
      </w:pPr>
      <w:r w:rsidRPr="0083687B">
        <w:rPr>
          <w:sz w:val="22"/>
          <w:szCs w:val="22"/>
          <w:lang w:val="sr-Latn-ME"/>
        </w:rPr>
        <w:t>U otvorenom produžetku ispitivanja, među pacijentima čija je doza zbog PASI odgovora manjeg od 50%  povećana sa 40 mg svake dvije nedjelje na 40 mg svake nedjelje odgovor PASI 75 postignut je u 12. nedjelji kod 26,4% (92/349) pacijenata i u 24. nedjelji kod 37,8% (132/349) pacijenata.</w:t>
      </w:r>
    </w:p>
    <w:p w14:paraId="0BDD929F" w14:textId="77777777" w:rsidR="0083687B" w:rsidRPr="0083687B" w:rsidRDefault="0083687B">
      <w:pPr>
        <w:tabs>
          <w:tab w:val="left" w:pos="562"/>
        </w:tabs>
        <w:suppressAutoHyphens/>
        <w:jc w:val="both"/>
        <w:rPr>
          <w:sz w:val="22"/>
          <w:szCs w:val="22"/>
          <w:lang w:val="sr-Latn-ME"/>
        </w:rPr>
      </w:pPr>
    </w:p>
    <w:p w14:paraId="4E4E8DDD" w14:textId="77777777" w:rsidR="0083687B" w:rsidRPr="0083687B" w:rsidRDefault="0083687B">
      <w:pPr>
        <w:tabs>
          <w:tab w:val="left" w:pos="562"/>
        </w:tabs>
        <w:suppressAutoHyphens/>
        <w:jc w:val="both"/>
        <w:rPr>
          <w:sz w:val="22"/>
          <w:szCs w:val="22"/>
          <w:lang w:val="sr-Latn-ME"/>
        </w:rPr>
      </w:pPr>
      <w:r w:rsidRPr="0083687B">
        <w:rPr>
          <w:sz w:val="22"/>
          <w:szCs w:val="22"/>
          <w:lang w:val="sr-Latn-ME"/>
        </w:rPr>
        <w:t xml:space="preserve">Psorijaza Studija III (REACH) je poredila efikasnost i bezbjednost lijeka Humira u odnosu na placebo kod 72 pacijenta sa umjerenom do ozbiljnom plak psorijazom i psorijazom na rukama i/ili stopalima. Pacijenti su dobijali inicijalnu dozu od 80 mg lijeka Humira a potom 40 mg svake druge nedjelje (s početkom od jedne nedjelje od inicijalne doze) ili placebo u toku 1 nedjelja. U 16. nedjelji, statistički značajan odnos pacijenata koji su primali lijek Humira postigli su da PGA bude „čist“ ili „skoro čist“ sa ruku i/ili stopala u poređenju sa pacijentima koji su primali placebo (30,6% u odnosu na 4,3%, odnosno [P= 0,014]). </w:t>
      </w:r>
    </w:p>
    <w:p w14:paraId="36A548A7" w14:textId="77777777" w:rsidR="0083687B" w:rsidRPr="0083687B" w:rsidRDefault="0083687B">
      <w:pPr>
        <w:tabs>
          <w:tab w:val="left" w:pos="562"/>
        </w:tabs>
        <w:suppressAutoHyphens/>
        <w:jc w:val="both"/>
        <w:rPr>
          <w:sz w:val="22"/>
          <w:szCs w:val="22"/>
          <w:lang w:val="sr-Latn-ME"/>
        </w:rPr>
      </w:pPr>
    </w:p>
    <w:p w14:paraId="52726961" w14:textId="09B85012" w:rsidR="0083687B" w:rsidRPr="0083687B" w:rsidRDefault="0083687B">
      <w:pPr>
        <w:autoSpaceDE w:val="0"/>
        <w:autoSpaceDN w:val="0"/>
        <w:adjustRightInd w:val="0"/>
        <w:jc w:val="both"/>
        <w:rPr>
          <w:b/>
          <w:sz w:val="22"/>
          <w:szCs w:val="22"/>
          <w:lang w:val="sr-Latn-ME"/>
        </w:rPr>
      </w:pPr>
      <w:r w:rsidRPr="0083687B">
        <w:rPr>
          <w:sz w:val="22"/>
          <w:szCs w:val="22"/>
          <w:lang w:val="sr-Latn-ME"/>
        </w:rPr>
        <w:t xml:space="preserve">U ispitivanju psorijaze Studija IV upoređivale su se efikasnost i bezbjednost lijeka Humira u odnosu na placebo kod 217 odraslih pacijenata sa umjerenom do teškom psorijazom noktiju. Pacijenti su primili lijek Humira u početnoj dozi od 80 mg, a potom po 40 mg svake druge nedjelje (počevši nedjelju dana nakon početne doze) ili placebo tokom 26 nedjelja, nakon čega je slijedilo otvoreno liječenje lijekom Humira tokom dodatnih 26 nedjelja. Ocjena psorijaze noktiju uključivala je modifikovani indeks težine psorijaze noktiju (engl. </w:t>
      </w:r>
      <w:r w:rsidRPr="0083687B">
        <w:rPr>
          <w:i/>
          <w:sz w:val="22"/>
          <w:szCs w:val="22"/>
          <w:lang w:val="sr-Latn-ME"/>
        </w:rPr>
        <w:t>Modified Nail Psoriasis Severity Index</w:t>
      </w:r>
      <w:r w:rsidRPr="0083687B">
        <w:rPr>
          <w:sz w:val="22"/>
          <w:szCs w:val="22"/>
          <w:lang w:val="sr-Latn-ME"/>
        </w:rPr>
        <w:t xml:space="preserve">, mNAPSI), ljekarsku opštu procjenu psorijaze noktiju na rukama (engl. </w:t>
      </w:r>
      <w:r w:rsidRPr="0083687B">
        <w:rPr>
          <w:i/>
          <w:sz w:val="22"/>
          <w:szCs w:val="22"/>
          <w:lang w:val="sr-Latn-ME"/>
        </w:rPr>
        <w:t>Physician's Global Assessment of Fingernail Psoriasis</w:t>
      </w:r>
      <w:r w:rsidRPr="0083687B">
        <w:rPr>
          <w:sz w:val="22"/>
          <w:szCs w:val="22"/>
          <w:lang w:val="sr-Latn-ME"/>
        </w:rPr>
        <w:t xml:space="preserve">, PGA-F) te indeks težine psorijaze noktiju (engl. </w:t>
      </w:r>
      <w:r w:rsidRPr="0083687B">
        <w:rPr>
          <w:i/>
          <w:sz w:val="22"/>
          <w:szCs w:val="22"/>
          <w:lang w:val="sr-Latn-ME"/>
        </w:rPr>
        <w:t>Nail Psoriasis Severity Index</w:t>
      </w:r>
      <w:r w:rsidRPr="0083687B">
        <w:rPr>
          <w:sz w:val="22"/>
          <w:szCs w:val="22"/>
          <w:lang w:val="sr-Latn-ME"/>
        </w:rPr>
        <w:t xml:space="preserve">, NAPSI) (vidjeti Tabelu 13). Lijek </w:t>
      </w:r>
      <w:r w:rsidR="00E21B5B">
        <w:rPr>
          <w:sz w:val="22"/>
          <w:szCs w:val="22"/>
          <w:lang w:val="sr-Latn-ME"/>
        </w:rPr>
        <w:t>Lijek h</w:t>
      </w:r>
      <w:r w:rsidRPr="0083687B">
        <w:rPr>
          <w:sz w:val="22"/>
          <w:szCs w:val="22"/>
          <w:lang w:val="sr-Latn-ME"/>
        </w:rPr>
        <w:t>umira je ostvario povoljan terapijski efekat kod pacijenata s psorijazom noktiju i različitim stepenom zahvaćenosti kože (≥ 10% tjelesne površine [60% pacijenata] te &lt; 10% i ≥ 5% tjelesne površine [40% pacijenata]).</w:t>
      </w:r>
    </w:p>
    <w:p w14:paraId="0A418D7A" w14:textId="77777777" w:rsidR="0083687B" w:rsidRPr="0083687B" w:rsidRDefault="0083687B">
      <w:pPr>
        <w:autoSpaceDE w:val="0"/>
        <w:autoSpaceDN w:val="0"/>
        <w:adjustRightInd w:val="0"/>
        <w:jc w:val="both"/>
        <w:rPr>
          <w:b/>
          <w:sz w:val="22"/>
          <w:szCs w:val="22"/>
          <w:lang w:val="sr-Latn-ME"/>
        </w:rPr>
      </w:pPr>
    </w:p>
    <w:p w14:paraId="3378F0B5" w14:textId="7EE486DF" w:rsidR="0083687B" w:rsidRPr="0083687B" w:rsidRDefault="0083687B" w:rsidP="00EB3350">
      <w:pPr>
        <w:autoSpaceDE w:val="0"/>
        <w:autoSpaceDN w:val="0"/>
        <w:adjustRightInd w:val="0"/>
        <w:jc w:val="both"/>
        <w:rPr>
          <w:b/>
          <w:sz w:val="22"/>
          <w:szCs w:val="22"/>
          <w:lang w:val="sr-Latn-ME"/>
        </w:rPr>
      </w:pPr>
      <w:r w:rsidRPr="0083687B">
        <w:rPr>
          <w:b/>
          <w:sz w:val="22"/>
          <w:szCs w:val="22"/>
          <w:lang w:val="sr-Latn-ME"/>
        </w:rPr>
        <w:t>Tabela 13</w:t>
      </w:r>
      <w:r w:rsidR="009E0DAA">
        <w:rPr>
          <w:b/>
          <w:sz w:val="22"/>
          <w:szCs w:val="22"/>
          <w:lang w:val="sr-Latn-ME"/>
        </w:rPr>
        <w:t>.</w:t>
      </w:r>
      <w:r w:rsidRPr="0083687B">
        <w:rPr>
          <w:b/>
          <w:sz w:val="22"/>
          <w:szCs w:val="22"/>
          <w:lang w:val="sr-Latn-ME"/>
        </w:rPr>
        <w:t>Rezultati efikasnosti u 16., 26. i 52. nedjelji ispitivanja Ps IV</w:t>
      </w:r>
    </w:p>
    <w:p w14:paraId="41B71297" w14:textId="77777777" w:rsidR="0083687B" w:rsidRPr="0083687B" w:rsidRDefault="0083687B" w:rsidP="00730D96">
      <w:pPr>
        <w:autoSpaceDE w:val="0"/>
        <w:autoSpaceDN w:val="0"/>
        <w:adjustRightInd w:val="0"/>
        <w:jc w:val="both"/>
        <w:rPr>
          <w:b/>
          <w:sz w:val="22"/>
          <w:szCs w:val="22"/>
          <w:lang w:val="sr-Latn-ME"/>
        </w:rPr>
      </w:pPr>
    </w:p>
    <w:tbl>
      <w:tblPr>
        <w:tblStyle w:val="TableGrid21"/>
        <w:tblW w:w="0" w:type="auto"/>
        <w:tblLayout w:type="fixed"/>
        <w:tblLook w:val="04A0" w:firstRow="1" w:lastRow="0" w:firstColumn="1" w:lastColumn="0" w:noHBand="0" w:noVBand="1"/>
      </w:tblPr>
      <w:tblGrid>
        <w:gridCol w:w="2235"/>
        <w:gridCol w:w="1134"/>
        <w:gridCol w:w="1701"/>
        <w:gridCol w:w="1134"/>
        <w:gridCol w:w="1546"/>
        <w:gridCol w:w="1551"/>
      </w:tblGrid>
      <w:tr w:rsidR="0083687B" w:rsidRPr="0083687B" w14:paraId="73C49915" w14:textId="77777777" w:rsidTr="0088568A">
        <w:tc>
          <w:tcPr>
            <w:tcW w:w="2235" w:type="dxa"/>
            <w:vMerge w:val="restart"/>
          </w:tcPr>
          <w:p w14:paraId="27510598"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Mjera ishoda</w:t>
            </w:r>
          </w:p>
        </w:tc>
        <w:tc>
          <w:tcPr>
            <w:tcW w:w="2835" w:type="dxa"/>
            <w:gridSpan w:val="2"/>
          </w:tcPr>
          <w:p w14:paraId="6A5070C8"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16. nedjelja</w:t>
            </w:r>
          </w:p>
          <w:p w14:paraId="2B039D52"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Placebo kontrolisano</w:t>
            </w:r>
          </w:p>
        </w:tc>
        <w:tc>
          <w:tcPr>
            <w:tcW w:w="2680" w:type="dxa"/>
            <w:gridSpan w:val="2"/>
          </w:tcPr>
          <w:p w14:paraId="44B72583"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26. nedjelja</w:t>
            </w:r>
          </w:p>
          <w:p w14:paraId="4126DA72"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Placebo kontrolisano</w:t>
            </w:r>
          </w:p>
        </w:tc>
        <w:tc>
          <w:tcPr>
            <w:tcW w:w="1551" w:type="dxa"/>
          </w:tcPr>
          <w:p w14:paraId="0A9728AD"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52. nedjelja</w:t>
            </w:r>
          </w:p>
          <w:p w14:paraId="64001F7B"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Otvoreno</w:t>
            </w:r>
          </w:p>
        </w:tc>
      </w:tr>
      <w:tr w:rsidR="0083687B" w:rsidRPr="0083687B" w14:paraId="2EC49C25" w14:textId="77777777" w:rsidTr="0088568A">
        <w:tc>
          <w:tcPr>
            <w:tcW w:w="2235" w:type="dxa"/>
            <w:vMerge/>
          </w:tcPr>
          <w:p w14:paraId="5831ADF1" w14:textId="77777777" w:rsidR="0083687B" w:rsidRPr="0083687B" w:rsidRDefault="0083687B">
            <w:pPr>
              <w:autoSpaceDE w:val="0"/>
              <w:autoSpaceDN w:val="0"/>
              <w:adjustRightInd w:val="0"/>
              <w:jc w:val="both"/>
              <w:rPr>
                <w:sz w:val="22"/>
                <w:szCs w:val="22"/>
                <w:lang w:val="sr-Latn-ME" w:eastAsia="sr-Latn-ME"/>
              </w:rPr>
            </w:pPr>
          </w:p>
        </w:tc>
        <w:tc>
          <w:tcPr>
            <w:tcW w:w="1134" w:type="dxa"/>
          </w:tcPr>
          <w:p w14:paraId="04EAE560"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Placebo</w:t>
            </w:r>
          </w:p>
          <w:p w14:paraId="426E39CA"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N=108</w:t>
            </w:r>
          </w:p>
        </w:tc>
        <w:tc>
          <w:tcPr>
            <w:tcW w:w="1701" w:type="dxa"/>
          </w:tcPr>
          <w:p w14:paraId="19ABD0C7"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Humira 40 mg svake druge nedjelje</w:t>
            </w:r>
          </w:p>
          <w:p w14:paraId="6F752653"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N=109</w:t>
            </w:r>
          </w:p>
        </w:tc>
        <w:tc>
          <w:tcPr>
            <w:tcW w:w="1134" w:type="dxa"/>
          </w:tcPr>
          <w:p w14:paraId="7C4C3BA7"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Placebo</w:t>
            </w:r>
          </w:p>
          <w:p w14:paraId="13997F77"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N=108</w:t>
            </w:r>
          </w:p>
        </w:tc>
        <w:tc>
          <w:tcPr>
            <w:tcW w:w="1546" w:type="dxa"/>
          </w:tcPr>
          <w:p w14:paraId="02BBAD35"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Humira 40 mg svake druge nedjelje</w:t>
            </w:r>
          </w:p>
          <w:p w14:paraId="74F08DD6"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N=109</w:t>
            </w:r>
          </w:p>
        </w:tc>
        <w:tc>
          <w:tcPr>
            <w:tcW w:w="1551" w:type="dxa"/>
          </w:tcPr>
          <w:p w14:paraId="4B7E44CD"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Humira 40 mg svake druge nedjelje</w:t>
            </w:r>
          </w:p>
          <w:p w14:paraId="46225932"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N=80</w:t>
            </w:r>
          </w:p>
        </w:tc>
      </w:tr>
      <w:tr w:rsidR="0083687B" w:rsidRPr="0083687B" w14:paraId="157B01FF" w14:textId="77777777" w:rsidTr="0088568A">
        <w:tc>
          <w:tcPr>
            <w:tcW w:w="2235" w:type="dxa"/>
          </w:tcPr>
          <w:p w14:paraId="47A70E22" w14:textId="77777777" w:rsidR="0083687B" w:rsidRPr="0083687B" w:rsidRDefault="0083687B" w:rsidP="00730D96">
            <w:pPr>
              <w:autoSpaceDE w:val="0"/>
              <w:autoSpaceDN w:val="0"/>
              <w:adjustRightInd w:val="0"/>
              <w:jc w:val="both"/>
              <w:rPr>
                <w:sz w:val="22"/>
                <w:szCs w:val="22"/>
                <w:lang w:val="sr-Latn-ME" w:eastAsia="sr-Latn-ME"/>
              </w:rPr>
            </w:pPr>
            <w:r w:rsidRPr="0083687B">
              <w:rPr>
                <w:sz w:val="22"/>
                <w:szCs w:val="22"/>
                <w:lang w:val="sr-Latn-ME" w:eastAsia="sr-Latn-ME"/>
              </w:rPr>
              <w:t>≥ mNAPSI 75 (%)</w:t>
            </w:r>
          </w:p>
        </w:tc>
        <w:tc>
          <w:tcPr>
            <w:tcW w:w="1134" w:type="dxa"/>
          </w:tcPr>
          <w:p w14:paraId="6ED60E42"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2,9</w:t>
            </w:r>
          </w:p>
        </w:tc>
        <w:tc>
          <w:tcPr>
            <w:tcW w:w="1701" w:type="dxa"/>
          </w:tcPr>
          <w:p w14:paraId="24EDE700"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 xml:space="preserve">26,0 </w:t>
            </w:r>
            <w:r w:rsidRPr="0083687B">
              <w:rPr>
                <w:sz w:val="22"/>
                <w:szCs w:val="22"/>
                <w:vertAlign w:val="superscript"/>
                <w:lang w:val="sr-Latn-ME" w:eastAsia="sr-Latn-ME"/>
              </w:rPr>
              <w:t>a</w:t>
            </w:r>
          </w:p>
        </w:tc>
        <w:tc>
          <w:tcPr>
            <w:tcW w:w="1134" w:type="dxa"/>
          </w:tcPr>
          <w:p w14:paraId="55C3A990"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3,4</w:t>
            </w:r>
          </w:p>
        </w:tc>
        <w:tc>
          <w:tcPr>
            <w:tcW w:w="1546" w:type="dxa"/>
          </w:tcPr>
          <w:p w14:paraId="4E4CECDA"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 xml:space="preserve">46,6 </w:t>
            </w:r>
            <w:r w:rsidRPr="0083687B">
              <w:rPr>
                <w:sz w:val="22"/>
                <w:szCs w:val="22"/>
                <w:vertAlign w:val="superscript"/>
                <w:lang w:val="sr-Latn-ME" w:eastAsia="sr-Latn-ME"/>
              </w:rPr>
              <w:t>a</w:t>
            </w:r>
          </w:p>
        </w:tc>
        <w:tc>
          <w:tcPr>
            <w:tcW w:w="1551" w:type="dxa"/>
          </w:tcPr>
          <w:p w14:paraId="7827447A"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65,0</w:t>
            </w:r>
          </w:p>
        </w:tc>
      </w:tr>
      <w:tr w:rsidR="0083687B" w:rsidRPr="0083687B" w14:paraId="4770C3B7" w14:textId="77777777" w:rsidTr="0088568A">
        <w:tc>
          <w:tcPr>
            <w:tcW w:w="2235" w:type="dxa"/>
          </w:tcPr>
          <w:p w14:paraId="2B0848EA" w14:textId="77777777" w:rsidR="0083687B" w:rsidRPr="0083687B" w:rsidRDefault="0083687B" w:rsidP="00730D96">
            <w:pPr>
              <w:autoSpaceDE w:val="0"/>
              <w:autoSpaceDN w:val="0"/>
              <w:adjustRightInd w:val="0"/>
              <w:jc w:val="both"/>
              <w:rPr>
                <w:sz w:val="22"/>
                <w:szCs w:val="22"/>
                <w:lang w:val="sr-Latn-ME" w:eastAsia="sr-Latn-ME"/>
              </w:rPr>
            </w:pPr>
            <w:r w:rsidRPr="0083687B">
              <w:rPr>
                <w:sz w:val="22"/>
                <w:szCs w:val="22"/>
                <w:lang w:val="sr-Latn-ME" w:eastAsia="sr-Latn-ME"/>
              </w:rPr>
              <w:t>PGA-F: bez</w:t>
            </w:r>
          </w:p>
          <w:p w14:paraId="77E1F21A"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oboljenja/minimalno i</w:t>
            </w:r>
          </w:p>
          <w:p w14:paraId="3211B905"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poboljšanje za ≥ 2 stepena (%)</w:t>
            </w:r>
          </w:p>
        </w:tc>
        <w:tc>
          <w:tcPr>
            <w:tcW w:w="1134" w:type="dxa"/>
          </w:tcPr>
          <w:p w14:paraId="6CF3CC1B"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2,9</w:t>
            </w:r>
          </w:p>
        </w:tc>
        <w:tc>
          <w:tcPr>
            <w:tcW w:w="1701" w:type="dxa"/>
          </w:tcPr>
          <w:p w14:paraId="5FEA1919"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 xml:space="preserve">29,7 </w:t>
            </w:r>
            <w:r w:rsidRPr="0083687B">
              <w:rPr>
                <w:sz w:val="22"/>
                <w:szCs w:val="22"/>
                <w:vertAlign w:val="superscript"/>
                <w:lang w:val="sr-Latn-ME" w:eastAsia="sr-Latn-ME"/>
              </w:rPr>
              <w:t>a</w:t>
            </w:r>
          </w:p>
        </w:tc>
        <w:tc>
          <w:tcPr>
            <w:tcW w:w="1134" w:type="dxa"/>
          </w:tcPr>
          <w:p w14:paraId="32D1C680"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6,9</w:t>
            </w:r>
          </w:p>
        </w:tc>
        <w:tc>
          <w:tcPr>
            <w:tcW w:w="1546" w:type="dxa"/>
          </w:tcPr>
          <w:p w14:paraId="34B8DDFD"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 xml:space="preserve">48,9 </w:t>
            </w:r>
            <w:r w:rsidRPr="0083687B">
              <w:rPr>
                <w:sz w:val="22"/>
                <w:szCs w:val="22"/>
                <w:vertAlign w:val="superscript"/>
                <w:lang w:val="sr-Latn-ME" w:eastAsia="sr-Latn-ME"/>
              </w:rPr>
              <w:t>a</w:t>
            </w:r>
          </w:p>
        </w:tc>
        <w:tc>
          <w:tcPr>
            <w:tcW w:w="1551" w:type="dxa"/>
          </w:tcPr>
          <w:p w14:paraId="3329034F"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61,3</w:t>
            </w:r>
          </w:p>
        </w:tc>
      </w:tr>
      <w:tr w:rsidR="0083687B" w:rsidRPr="0083687B" w14:paraId="564DF6D0" w14:textId="77777777" w:rsidTr="0088568A">
        <w:tc>
          <w:tcPr>
            <w:tcW w:w="2235" w:type="dxa"/>
          </w:tcPr>
          <w:p w14:paraId="4C113166" w14:textId="77777777" w:rsidR="0083687B" w:rsidRPr="0083687B" w:rsidRDefault="0083687B" w:rsidP="00730D96">
            <w:pPr>
              <w:autoSpaceDE w:val="0"/>
              <w:autoSpaceDN w:val="0"/>
              <w:adjustRightInd w:val="0"/>
              <w:jc w:val="both"/>
              <w:rPr>
                <w:sz w:val="22"/>
                <w:szCs w:val="22"/>
                <w:lang w:val="sr-Latn-ME" w:eastAsia="sr-Latn-ME"/>
              </w:rPr>
            </w:pPr>
            <w:r w:rsidRPr="0083687B">
              <w:rPr>
                <w:sz w:val="22"/>
                <w:szCs w:val="22"/>
                <w:lang w:val="sr-Latn-ME" w:eastAsia="sr-Latn-ME"/>
              </w:rPr>
              <w:t>Procentualna promjena ukupnog</w:t>
            </w:r>
          </w:p>
          <w:p w14:paraId="4AA101CD"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NAPSI rezultata za</w:t>
            </w:r>
          </w:p>
          <w:p w14:paraId="1DCEF6F5"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lastRenderedPageBreak/>
              <w:t>psorijazu noktiju na rukama (%)</w:t>
            </w:r>
          </w:p>
        </w:tc>
        <w:tc>
          <w:tcPr>
            <w:tcW w:w="1134" w:type="dxa"/>
          </w:tcPr>
          <w:p w14:paraId="27E4D48B"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lastRenderedPageBreak/>
              <w:t>-7,8</w:t>
            </w:r>
          </w:p>
        </w:tc>
        <w:tc>
          <w:tcPr>
            <w:tcW w:w="1701" w:type="dxa"/>
          </w:tcPr>
          <w:p w14:paraId="10BAB38A"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 xml:space="preserve">-44,2 </w:t>
            </w:r>
            <w:r w:rsidRPr="0083687B">
              <w:rPr>
                <w:sz w:val="22"/>
                <w:szCs w:val="22"/>
                <w:vertAlign w:val="superscript"/>
                <w:lang w:val="sr-Latn-ME" w:eastAsia="sr-Latn-ME"/>
              </w:rPr>
              <w:t>a</w:t>
            </w:r>
          </w:p>
        </w:tc>
        <w:tc>
          <w:tcPr>
            <w:tcW w:w="1134" w:type="dxa"/>
          </w:tcPr>
          <w:p w14:paraId="65865CD8"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-11,5</w:t>
            </w:r>
          </w:p>
        </w:tc>
        <w:tc>
          <w:tcPr>
            <w:tcW w:w="1546" w:type="dxa"/>
          </w:tcPr>
          <w:p w14:paraId="6EA4AEA5"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-56,2</w:t>
            </w:r>
            <w:r w:rsidRPr="0083687B">
              <w:rPr>
                <w:sz w:val="22"/>
                <w:szCs w:val="22"/>
                <w:vertAlign w:val="superscript"/>
                <w:lang w:val="sr-Latn-ME" w:eastAsia="sr-Latn-ME"/>
              </w:rPr>
              <w:t xml:space="preserve"> a</w:t>
            </w:r>
          </w:p>
        </w:tc>
        <w:tc>
          <w:tcPr>
            <w:tcW w:w="1551" w:type="dxa"/>
          </w:tcPr>
          <w:p w14:paraId="3ECCEA86" w14:textId="77777777" w:rsidR="0083687B" w:rsidRPr="0083687B" w:rsidRDefault="0083687B">
            <w:pPr>
              <w:autoSpaceDE w:val="0"/>
              <w:autoSpaceDN w:val="0"/>
              <w:adjustRightInd w:val="0"/>
              <w:jc w:val="both"/>
              <w:rPr>
                <w:sz w:val="22"/>
                <w:szCs w:val="22"/>
                <w:lang w:val="sr-Latn-ME" w:eastAsia="sr-Latn-ME"/>
              </w:rPr>
            </w:pPr>
            <w:r w:rsidRPr="0083687B">
              <w:rPr>
                <w:sz w:val="22"/>
                <w:szCs w:val="22"/>
                <w:lang w:val="sr-Latn-ME" w:eastAsia="sr-Latn-ME"/>
              </w:rPr>
              <w:t>-72,2</w:t>
            </w:r>
          </w:p>
        </w:tc>
      </w:tr>
      <w:tr w:rsidR="0083687B" w:rsidRPr="0083687B" w14:paraId="5EEE551D" w14:textId="77777777" w:rsidTr="0088568A">
        <w:tc>
          <w:tcPr>
            <w:tcW w:w="9301" w:type="dxa"/>
            <w:gridSpan w:val="6"/>
          </w:tcPr>
          <w:p w14:paraId="08026521" w14:textId="77777777" w:rsidR="0083687B" w:rsidRPr="0083687B" w:rsidRDefault="0083687B" w:rsidP="00730D96">
            <w:pPr>
              <w:autoSpaceDE w:val="0"/>
              <w:autoSpaceDN w:val="0"/>
              <w:adjustRightInd w:val="0"/>
              <w:jc w:val="both"/>
              <w:rPr>
                <w:sz w:val="22"/>
                <w:szCs w:val="22"/>
                <w:lang w:val="sr-Latn-ME" w:eastAsia="sr-Latn-ME"/>
              </w:rPr>
            </w:pPr>
            <w:r w:rsidRPr="0083687B">
              <w:rPr>
                <w:sz w:val="22"/>
                <w:szCs w:val="22"/>
                <w:vertAlign w:val="superscript"/>
                <w:lang w:val="sr-Latn-ME" w:eastAsia="sr-Latn-ME"/>
              </w:rPr>
              <w:t>a</w:t>
            </w:r>
            <w:r w:rsidRPr="0083687B">
              <w:rPr>
                <w:sz w:val="22"/>
                <w:szCs w:val="22"/>
                <w:lang w:val="sr-Latn-ME" w:eastAsia="sr-Latn-ME"/>
              </w:rPr>
              <w:t xml:space="preserve"> p &lt; 0,001, Humira u poređenju sa placebom</w:t>
            </w:r>
          </w:p>
        </w:tc>
      </w:tr>
    </w:tbl>
    <w:p w14:paraId="7844273A" w14:textId="77777777" w:rsidR="0083687B" w:rsidRPr="0083687B" w:rsidRDefault="0083687B" w:rsidP="00730D96">
      <w:pPr>
        <w:tabs>
          <w:tab w:val="left" w:pos="562"/>
        </w:tabs>
        <w:suppressAutoHyphens/>
        <w:jc w:val="both"/>
        <w:rPr>
          <w:sz w:val="22"/>
          <w:szCs w:val="22"/>
          <w:lang w:val="hr-HR"/>
        </w:rPr>
      </w:pPr>
    </w:p>
    <w:p w14:paraId="69A1D946" w14:textId="77777777" w:rsidR="0083687B" w:rsidRPr="0083687B" w:rsidRDefault="0083687B">
      <w:pPr>
        <w:tabs>
          <w:tab w:val="left" w:pos="562"/>
        </w:tabs>
        <w:suppressAutoHyphens/>
        <w:jc w:val="both"/>
        <w:rPr>
          <w:sz w:val="22"/>
          <w:szCs w:val="22"/>
          <w:lang w:val="hr-HR"/>
        </w:rPr>
      </w:pPr>
      <w:r w:rsidRPr="0083687B">
        <w:rPr>
          <w:sz w:val="22"/>
          <w:szCs w:val="22"/>
          <w:lang w:val="hr-HR"/>
        </w:rPr>
        <w:t>Pacijenti liječeni lijekom Humira pokazali su statistički značajno poboljšanje DLQI rezultata u 26. nedjelji u odnosu na placebo.</w:t>
      </w:r>
    </w:p>
    <w:p w14:paraId="1A791AC0" w14:textId="77777777" w:rsidR="0083687B" w:rsidRPr="0083687B" w:rsidRDefault="0083687B">
      <w:pPr>
        <w:snapToGrid w:val="0"/>
        <w:jc w:val="both"/>
        <w:rPr>
          <w:bCs/>
          <w:sz w:val="22"/>
          <w:szCs w:val="22"/>
          <w:lang w:val="sr-Latn-ME"/>
        </w:rPr>
      </w:pPr>
    </w:p>
    <w:p w14:paraId="330402C1" w14:textId="77777777" w:rsidR="0083687B" w:rsidRPr="0083687B" w:rsidRDefault="0083687B">
      <w:pPr>
        <w:autoSpaceDE w:val="0"/>
        <w:autoSpaceDN w:val="0"/>
        <w:adjustRightInd w:val="0"/>
        <w:jc w:val="both"/>
        <w:rPr>
          <w:i/>
          <w:sz w:val="22"/>
          <w:szCs w:val="22"/>
          <w:lang w:val="sr-Latn-ME"/>
        </w:rPr>
      </w:pPr>
      <w:r w:rsidRPr="0083687B">
        <w:rPr>
          <w:i/>
          <w:sz w:val="22"/>
          <w:szCs w:val="22"/>
          <w:lang w:val="sr-Latn-ME"/>
        </w:rPr>
        <w:t>Chron-ova bolest kod odraslih pacijenata</w:t>
      </w:r>
    </w:p>
    <w:p w14:paraId="3BEA7922" w14:textId="77777777" w:rsidR="0083687B" w:rsidRPr="0083687B" w:rsidRDefault="0083687B">
      <w:pPr>
        <w:autoSpaceDE w:val="0"/>
        <w:autoSpaceDN w:val="0"/>
        <w:adjustRightInd w:val="0"/>
        <w:jc w:val="both"/>
        <w:rPr>
          <w:i/>
          <w:sz w:val="22"/>
          <w:szCs w:val="22"/>
          <w:u w:val="single"/>
          <w:lang w:val="sr-Latn-ME"/>
        </w:rPr>
      </w:pPr>
    </w:p>
    <w:p w14:paraId="2D35F115" w14:textId="20170C07" w:rsidR="0083687B" w:rsidRPr="0083687B" w:rsidRDefault="0083687B">
      <w:pPr>
        <w:autoSpaceDE w:val="0"/>
        <w:autoSpaceDN w:val="0"/>
        <w:adjustRightInd w:val="0"/>
        <w:jc w:val="both"/>
        <w:rPr>
          <w:sz w:val="22"/>
          <w:szCs w:val="22"/>
          <w:lang w:val="sr-Latn-ME"/>
        </w:rPr>
      </w:pPr>
      <w:r w:rsidRPr="0083687B">
        <w:rPr>
          <w:sz w:val="22"/>
          <w:szCs w:val="22"/>
          <w:lang w:val="sr-Latn-ME"/>
        </w:rPr>
        <w:t>Bezbjednost i efikasnost primijene lijeka Humira ispitivani su u randomizovanim, dvostruko slijepim, placebo kontrolisanim ispitivanjima na preko 1500 pacijenata sa umjereno do izrazito aktivnom Crohn-ovom bolešću (Indeks aktivnosti Crohnove bolesti (CDAI) ≥ 220 i ≤ 450). Istovremena primjena aminosalicilata, kortikosteroida i/ili imunomodulatorskih ljekova u stabilnim dozama bila je dozvoljena, te je 80% pacijenata nastavilo da uzima najmanje jedan od ovih ljekova.</w:t>
      </w:r>
    </w:p>
    <w:p w14:paraId="096E8368" w14:textId="77777777" w:rsidR="0083687B" w:rsidRPr="0083687B" w:rsidRDefault="0083687B">
      <w:pPr>
        <w:autoSpaceDE w:val="0"/>
        <w:autoSpaceDN w:val="0"/>
        <w:adjustRightInd w:val="0"/>
        <w:jc w:val="both"/>
        <w:rPr>
          <w:sz w:val="22"/>
          <w:szCs w:val="22"/>
          <w:lang w:val="sr-Latn-ME"/>
        </w:rPr>
      </w:pPr>
    </w:p>
    <w:p w14:paraId="6FB3D8E9"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Indukcija kliničke remisije (definisana kao CDAI &lt; 150) ispitivana je u dva ispitivanja, CD I (CLASSIC I) i CD II (GAIN). U ispitivanju CD I, 299 pacijenata koji nikad nisu primali terapiju antagonistom TNF-a randomizovani su u jednu od 4 terapijske grupe: placebo u nedjelji 0 i u nedjelji 2, Humira 160 mg u nedjelji 0 i 80 mg u nedjelji 2, Humira 80 mg u nedjelji 0 i 40 mg u nedjelji 2, Humira 40 mg u nedjelji 0 i 20 mg u nedjelji 2. U ispitivanju CD II, 325 pacijenata koji su izgubili odgovor ili nisu podnosili terapiju infliksimabom randomizovani su ili u grupu koja je primala 160 mg lijeka Humira u nedjelji 0 i 80 mg lijeka Humira nedjelji 2, ili u grupu koja je primala placebo u nedjelji 0, odnosno u nedjelji 2. Pacijenti kod kojih nije postignut odgovor nakon prve doze isključeni su iz daljnjeg toka ispitivanja i zbog toga ti pacijenti nisu bili dalje procjenjivani.</w:t>
      </w:r>
    </w:p>
    <w:p w14:paraId="61956252" w14:textId="77777777" w:rsidR="0083687B" w:rsidRPr="0083687B" w:rsidRDefault="0083687B">
      <w:pPr>
        <w:autoSpaceDE w:val="0"/>
        <w:autoSpaceDN w:val="0"/>
        <w:adjustRightInd w:val="0"/>
        <w:jc w:val="both"/>
        <w:rPr>
          <w:sz w:val="22"/>
          <w:szCs w:val="22"/>
          <w:lang w:val="sr-Latn-ME"/>
        </w:rPr>
      </w:pPr>
    </w:p>
    <w:p w14:paraId="3AE9D169"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 xml:space="preserve">Održavanje kliničke remisije ocjenjivano je u ispitivanju CD III (CHARM). U ovom otvorenom ispitivanju, 854 pacijenata primilo je 80 mg lijeka Humira u nedjelji 0, a 40 mg u nedjelji 2. U četvrtoj nedjelji, pacijenti su randomizovani u grupe koje su primale 40 mg lijeka Humira svake nedjelje, 40 mg lijeka Humira svake druge nedjelje, ili placebo tokom ukupnog perioda trajanja ispitivanja od 56 nedjelja. Pacijenti sa kliničkim odgovorom (smanjenje CDAI ≥ 70) u 4. nedjelji su stratificirani i analizirani odvojeno od pacijenata bez kliničkog odgovora u 4.-toj nedjelji. Dozvoljeno je smanjenje doze kortikosteroida nakon 8 nedjelja. </w:t>
      </w:r>
    </w:p>
    <w:p w14:paraId="37137905" w14:textId="77777777" w:rsidR="0083687B" w:rsidRPr="0083687B" w:rsidRDefault="0083687B">
      <w:pPr>
        <w:autoSpaceDE w:val="0"/>
        <w:autoSpaceDN w:val="0"/>
        <w:adjustRightInd w:val="0"/>
        <w:jc w:val="both"/>
        <w:rPr>
          <w:sz w:val="22"/>
          <w:szCs w:val="22"/>
          <w:lang w:val="sr-Latn-ME"/>
        </w:rPr>
      </w:pPr>
    </w:p>
    <w:p w14:paraId="0116806C"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 xml:space="preserve">Stope indukcije remisije i stope kliničkog odgovora u ispitivanjima CD I i II prikazani su u Tabeli 14. </w:t>
      </w:r>
    </w:p>
    <w:p w14:paraId="57496D46" w14:textId="77777777" w:rsidR="0083687B" w:rsidRPr="0083687B" w:rsidRDefault="0083687B">
      <w:pPr>
        <w:autoSpaceDE w:val="0"/>
        <w:autoSpaceDN w:val="0"/>
        <w:adjustRightInd w:val="0"/>
        <w:jc w:val="both"/>
        <w:rPr>
          <w:sz w:val="22"/>
          <w:szCs w:val="22"/>
          <w:lang w:val="sr-Latn-ME"/>
        </w:rPr>
      </w:pPr>
    </w:p>
    <w:p w14:paraId="7CE5C9D1" w14:textId="2F353B7D" w:rsidR="0083687B" w:rsidRPr="0083687B" w:rsidRDefault="0083687B" w:rsidP="00EB3350">
      <w:pPr>
        <w:autoSpaceDE w:val="0"/>
        <w:autoSpaceDN w:val="0"/>
        <w:adjustRightInd w:val="0"/>
        <w:jc w:val="both"/>
        <w:rPr>
          <w:b/>
          <w:sz w:val="22"/>
          <w:szCs w:val="22"/>
          <w:lang w:val="sr-Latn-ME"/>
        </w:rPr>
      </w:pPr>
      <w:r w:rsidRPr="0083687B">
        <w:rPr>
          <w:b/>
          <w:sz w:val="22"/>
          <w:szCs w:val="22"/>
          <w:lang w:val="sr-Latn-ME"/>
        </w:rPr>
        <w:t>Tabela 14</w:t>
      </w:r>
      <w:r w:rsidR="009E0DAA">
        <w:rPr>
          <w:b/>
          <w:sz w:val="22"/>
          <w:szCs w:val="22"/>
          <w:lang w:val="sr-Latn-ME"/>
        </w:rPr>
        <w:t xml:space="preserve">. </w:t>
      </w:r>
      <w:r w:rsidRPr="0083687B">
        <w:rPr>
          <w:b/>
          <w:sz w:val="22"/>
          <w:szCs w:val="22"/>
          <w:lang w:val="sr-Latn-ME"/>
        </w:rPr>
        <w:t>Indukcija kliničke remisije i kliničkog odgovora (Procenat pacijenata)</w:t>
      </w:r>
    </w:p>
    <w:p w14:paraId="3FDAED09" w14:textId="77777777" w:rsidR="0083687B" w:rsidRPr="0083687B" w:rsidRDefault="0083687B" w:rsidP="00730D96">
      <w:pPr>
        <w:autoSpaceDE w:val="0"/>
        <w:autoSpaceDN w:val="0"/>
        <w:adjustRightInd w:val="0"/>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1388"/>
        <w:gridCol w:w="1390"/>
        <w:gridCol w:w="1389"/>
        <w:gridCol w:w="1389"/>
        <w:gridCol w:w="1350"/>
      </w:tblGrid>
      <w:tr w:rsidR="0083687B" w:rsidRPr="0083687B" w14:paraId="257666BB" w14:textId="77777777" w:rsidTr="0088568A">
        <w:tc>
          <w:tcPr>
            <w:tcW w:w="2235" w:type="dxa"/>
            <w:shd w:val="clear" w:color="auto" w:fill="auto"/>
          </w:tcPr>
          <w:p w14:paraId="4CC44B95" w14:textId="77777777" w:rsidR="0083687B" w:rsidRPr="0083687B" w:rsidRDefault="0083687B">
            <w:pPr>
              <w:autoSpaceDE w:val="0"/>
              <w:autoSpaceDN w:val="0"/>
              <w:adjustRightInd w:val="0"/>
              <w:jc w:val="both"/>
              <w:rPr>
                <w:sz w:val="22"/>
                <w:szCs w:val="22"/>
                <w:lang w:val="sr-Latn-ME"/>
              </w:rPr>
            </w:pPr>
          </w:p>
        </w:tc>
        <w:tc>
          <w:tcPr>
            <w:tcW w:w="4252" w:type="dxa"/>
            <w:gridSpan w:val="3"/>
            <w:shd w:val="clear" w:color="auto" w:fill="auto"/>
          </w:tcPr>
          <w:p w14:paraId="219480C0" w14:textId="77777777" w:rsidR="0083687B" w:rsidRPr="0083687B" w:rsidRDefault="0083687B">
            <w:pPr>
              <w:autoSpaceDE w:val="0"/>
              <w:autoSpaceDN w:val="0"/>
              <w:adjustRightInd w:val="0"/>
              <w:jc w:val="both"/>
              <w:rPr>
                <w:b/>
                <w:bCs/>
                <w:sz w:val="22"/>
                <w:szCs w:val="22"/>
                <w:lang w:val="sr-Latn-ME"/>
              </w:rPr>
            </w:pPr>
            <w:r w:rsidRPr="0083687B">
              <w:rPr>
                <w:b/>
                <w:bCs/>
                <w:sz w:val="22"/>
                <w:szCs w:val="22"/>
                <w:lang w:val="sr-Latn-ME"/>
              </w:rPr>
              <w:t>CD I: pacijenti koji prethodno nisu uzimali infliksimab</w:t>
            </w:r>
          </w:p>
        </w:tc>
        <w:tc>
          <w:tcPr>
            <w:tcW w:w="2793" w:type="dxa"/>
            <w:gridSpan w:val="2"/>
            <w:shd w:val="clear" w:color="auto" w:fill="auto"/>
          </w:tcPr>
          <w:p w14:paraId="591C159F" w14:textId="77777777" w:rsidR="0083687B" w:rsidRPr="0083687B" w:rsidRDefault="0083687B">
            <w:pPr>
              <w:autoSpaceDE w:val="0"/>
              <w:autoSpaceDN w:val="0"/>
              <w:adjustRightInd w:val="0"/>
              <w:jc w:val="both"/>
              <w:rPr>
                <w:sz w:val="22"/>
                <w:szCs w:val="22"/>
                <w:lang w:val="sr-Latn-ME"/>
              </w:rPr>
            </w:pPr>
            <w:r w:rsidRPr="0083687B">
              <w:rPr>
                <w:b/>
                <w:bCs/>
                <w:sz w:val="22"/>
                <w:szCs w:val="22"/>
                <w:lang w:val="sr-Latn-ME"/>
              </w:rPr>
              <w:t>CD II: pacijenti koji su uzimali infliksimab</w:t>
            </w:r>
          </w:p>
        </w:tc>
      </w:tr>
      <w:tr w:rsidR="0083687B" w:rsidRPr="0083687B" w14:paraId="7300CCA3" w14:textId="77777777" w:rsidTr="0088568A">
        <w:tc>
          <w:tcPr>
            <w:tcW w:w="2235" w:type="dxa"/>
            <w:shd w:val="clear" w:color="auto" w:fill="auto"/>
          </w:tcPr>
          <w:p w14:paraId="4A4FD1F9" w14:textId="77777777" w:rsidR="0083687B" w:rsidRPr="0083687B" w:rsidRDefault="0083687B" w:rsidP="00730D96">
            <w:pPr>
              <w:autoSpaceDE w:val="0"/>
              <w:autoSpaceDN w:val="0"/>
              <w:adjustRightInd w:val="0"/>
              <w:jc w:val="both"/>
              <w:rPr>
                <w:sz w:val="22"/>
                <w:szCs w:val="22"/>
                <w:lang w:val="sr-Latn-ME"/>
              </w:rPr>
            </w:pPr>
          </w:p>
        </w:tc>
        <w:tc>
          <w:tcPr>
            <w:tcW w:w="1417" w:type="dxa"/>
            <w:shd w:val="clear" w:color="auto" w:fill="auto"/>
          </w:tcPr>
          <w:p w14:paraId="73372694" w14:textId="77777777" w:rsidR="0083687B" w:rsidRPr="0083687B" w:rsidRDefault="0083687B">
            <w:pPr>
              <w:autoSpaceDE w:val="0"/>
              <w:autoSpaceDN w:val="0"/>
              <w:adjustRightInd w:val="0"/>
              <w:jc w:val="both"/>
              <w:rPr>
                <w:b/>
                <w:bCs/>
                <w:sz w:val="22"/>
                <w:szCs w:val="22"/>
                <w:lang w:val="sr-Latn-ME"/>
              </w:rPr>
            </w:pPr>
            <w:r w:rsidRPr="0083687B">
              <w:rPr>
                <w:b/>
                <w:bCs/>
                <w:sz w:val="22"/>
                <w:szCs w:val="22"/>
                <w:lang w:val="sr-Latn-ME"/>
              </w:rPr>
              <w:t>Placebo</w:t>
            </w:r>
          </w:p>
          <w:p w14:paraId="25CFF5E7" w14:textId="77777777" w:rsidR="0083687B" w:rsidRPr="0083687B" w:rsidRDefault="0083687B">
            <w:pPr>
              <w:autoSpaceDE w:val="0"/>
              <w:autoSpaceDN w:val="0"/>
              <w:adjustRightInd w:val="0"/>
              <w:jc w:val="both"/>
              <w:rPr>
                <w:sz w:val="22"/>
                <w:szCs w:val="22"/>
                <w:lang w:val="sr-Latn-ME"/>
              </w:rPr>
            </w:pPr>
            <w:r w:rsidRPr="0083687B">
              <w:rPr>
                <w:b/>
                <w:bCs/>
                <w:sz w:val="22"/>
                <w:szCs w:val="22"/>
                <w:lang w:val="sr-Latn-ME"/>
              </w:rPr>
              <w:t>N=74</w:t>
            </w:r>
          </w:p>
        </w:tc>
        <w:tc>
          <w:tcPr>
            <w:tcW w:w="1418" w:type="dxa"/>
            <w:shd w:val="clear" w:color="auto" w:fill="auto"/>
          </w:tcPr>
          <w:p w14:paraId="36195564" w14:textId="77777777" w:rsidR="0083687B" w:rsidRPr="0083687B" w:rsidRDefault="0083687B">
            <w:pPr>
              <w:autoSpaceDE w:val="0"/>
              <w:autoSpaceDN w:val="0"/>
              <w:adjustRightInd w:val="0"/>
              <w:jc w:val="both"/>
              <w:rPr>
                <w:b/>
                <w:bCs/>
                <w:sz w:val="22"/>
                <w:szCs w:val="22"/>
                <w:lang w:val="sr-Latn-ME"/>
              </w:rPr>
            </w:pPr>
            <w:r w:rsidRPr="0083687B">
              <w:rPr>
                <w:b/>
                <w:bCs/>
                <w:sz w:val="22"/>
                <w:szCs w:val="22"/>
                <w:lang w:val="sr-Latn-ME"/>
              </w:rPr>
              <w:t>Humira</w:t>
            </w:r>
          </w:p>
          <w:p w14:paraId="04EDB932" w14:textId="77777777" w:rsidR="0083687B" w:rsidRPr="0083687B" w:rsidRDefault="0083687B">
            <w:pPr>
              <w:autoSpaceDE w:val="0"/>
              <w:autoSpaceDN w:val="0"/>
              <w:adjustRightInd w:val="0"/>
              <w:jc w:val="both"/>
              <w:rPr>
                <w:b/>
                <w:bCs/>
                <w:sz w:val="22"/>
                <w:szCs w:val="22"/>
                <w:lang w:val="sr-Latn-ME"/>
              </w:rPr>
            </w:pPr>
            <w:r w:rsidRPr="0083687B">
              <w:rPr>
                <w:b/>
                <w:bCs/>
                <w:sz w:val="22"/>
                <w:szCs w:val="22"/>
                <w:lang w:val="sr-Latn-ME"/>
              </w:rPr>
              <w:t>80/40 mg</w:t>
            </w:r>
          </w:p>
          <w:p w14:paraId="2EE65ACD" w14:textId="77777777" w:rsidR="0083687B" w:rsidRPr="0083687B" w:rsidRDefault="0083687B">
            <w:pPr>
              <w:autoSpaceDE w:val="0"/>
              <w:autoSpaceDN w:val="0"/>
              <w:adjustRightInd w:val="0"/>
              <w:jc w:val="both"/>
              <w:rPr>
                <w:sz w:val="22"/>
                <w:szCs w:val="22"/>
                <w:lang w:val="sr-Latn-ME"/>
              </w:rPr>
            </w:pPr>
            <w:r w:rsidRPr="0083687B">
              <w:rPr>
                <w:b/>
                <w:bCs/>
                <w:sz w:val="22"/>
                <w:szCs w:val="22"/>
                <w:lang w:val="sr-Latn-ME"/>
              </w:rPr>
              <w:t>N = 75</w:t>
            </w:r>
          </w:p>
        </w:tc>
        <w:tc>
          <w:tcPr>
            <w:tcW w:w="1417" w:type="dxa"/>
            <w:shd w:val="clear" w:color="auto" w:fill="auto"/>
          </w:tcPr>
          <w:p w14:paraId="563647AF" w14:textId="77777777" w:rsidR="0083687B" w:rsidRPr="0083687B" w:rsidRDefault="0083687B">
            <w:pPr>
              <w:autoSpaceDE w:val="0"/>
              <w:autoSpaceDN w:val="0"/>
              <w:adjustRightInd w:val="0"/>
              <w:jc w:val="both"/>
              <w:rPr>
                <w:b/>
                <w:bCs/>
                <w:sz w:val="22"/>
                <w:szCs w:val="22"/>
                <w:lang w:val="sr-Latn-ME"/>
              </w:rPr>
            </w:pPr>
            <w:r w:rsidRPr="0083687B">
              <w:rPr>
                <w:b/>
                <w:bCs/>
                <w:sz w:val="22"/>
                <w:szCs w:val="22"/>
                <w:lang w:val="sr-Latn-ME"/>
              </w:rPr>
              <w:t>Humira</w:t>
            </w:r>
          </w:p>
          <w:p w14:paraId="7B68DCE9" w14:textId="77777777" w:rsidR="0083687B" w:rsidRPr="0083687B" w:rsidRDefault="0083687B">
            <w:pPr>
              <w:autoSpaceDE w:val="0"/>
              <w:autoSpaceDN w:val="0"/>
              <w:adjustRightInd w:val="0"/>
              <w:jc w:val="both"/>
              <w:rPr>
                <w:b/>
                <w:bCs/>
                <w:sz w:val="22"/>
                <w:szCs w:val="22"/>
                <w:lang w:val="sr-Latn-ME"/>
              </w:rPr>
            </w:pPr>
            <w:r w:rsidRPr="0083687B">
              <w:rPr>
                <w:b/>
                <w:bCs/>
                <w:sz w:val="22"/>
                <w:szCs w:val="22"/>
                <w:lang w:val="sr-Latn-ME"/>
              </w:rPr>
              <w:t>160/80 mg</w:t>
            </w:r>
          </w:p>
          <w:p w14:paraId="00EFDCC5" w14:textId="77777777" w:rsidR="0083687B" w:rsidRPr="0083687B" w:rsidRDefault="0083687B">
            <w:pPr>
              <w:autoSpaceDE w:val="0"/>
              <w:autoSpaceDN w:val="0"/>
              <w:adjustRightInd w:val="0"/>
              <w:jc w:val="both"/>
              <w:rPr>
                <w:sz w:val="22"/>
                <w:szCs w:val="22"/>
                <w:lang w:val="sr-Latn-ME"/>
              </w:rPr>
            </w:pPr>
            <w:r w:rsidRPr="0083687B">
              <w:rPr>
                <w:b/>
                <w:bCs/>
                <w:sz w:val="22"/>
                <w:szCs w:val="22"/>
                <w:lang w:val="sr-Latn-ME"/>
              </w:rPr>
              <w:t>N=76</w:t>
            </w:r>
          </w:p>
        </w:tc>
        <w:tc>
          <w:tcPr>
            <w:tcW w:w="1418" w:type="dxa"/>
            <w:shd w:val="clear" w:color="auto" w:fill="auto"/>
          </w:tcPr>
          <w:p w14:paraId="0CF52A71" w14:textId="77777777" w:rsidR="0083687B" w:rsidRPr="0083687B" w:rsidRDefault="0083687B">
            <w:pPr>
              <w:autoSpaceDE w:val="0"/>
              <w:autoSpaceDN w:val="0"/>
              <w:adjustRightInd w:val="0"/>
              <w:jc w:val="both"/>
              <w:rPr>
                <w:b/>
                <w:bCs/>
                <w:sz w:val="22"/>
                <w:szCs w:val="22"/>
                <w:lang w:val="sr-Latn-ME"/>
              </w:rPr>
            </w:pPr>
            <w:r w:rsidRPr="0083687B">
              <w:rPr>
                <w:b/>
                <w:bCs/>
                <w:sz w:val="22"/>
                <w:szCs w:val="22"/>
                <w:lang w:val="sr-Latn-ME"/>
              </w:rPr>
              <w:t>Placebo</w:t>
            </w:r>
          </w:p>
          <w:p w14:paraId="3469DF5C" w14:textId="77777777" w:rsidR="0083687B" w:rsidRPr="0083687B" w:rsidRDefault="0083687B">
            <w:pPr>
              <w:autoSpaceDE w:val="0"/>
              <w:autoSpaceDN w:val="0"/>
              <w:adjustRightInd w:val="0"/>
              <w:jc w:val="both"/>
              <w:rPr>
                <w:sz w:val="22"/>
                <w:szCs w:val="22"/>
                <w:lang w:val="sr-Latn-ME"/>
              </w:rPr>
            </w:pPr>
            <w:r w:rsidRPr="0083687B">
              <w:rPr>
                <w:b/>
                <w:bCs/>
                <w:sz w:val="22"/>
                <w:szCs w:val="22"/>
                <w:lang w:val="sr-Latn-ME"/>
              </w:rPr>
              <w:t>N=166</w:t>
            </w:r>
          </w:p>
        </w:tc>
        <w:tc>
          <w:tcPr>
            <w:tcW w:w="1375" w:type="dxa"/>
            <w:shd w:val="clear" w:color="auto" w:fill="auto"/>
          </w:tcPr>
          <w:p w14:paraId="5CAA9523" w14:textId="77777777" w:rsidR="0083687B" w:rsidRPr="0083687B" w:rsidRDefault="0083687B">
            <w:pPr>
              <w:autoSpaceDE w:val="0"/>
              <w:autoSpaceDN w:val="0"/>
              <w:adjustRightInd w:val="0"/>
              <w:jc w:val="both"/>
              <w:rPr>
                <w:b/>
                <w:bCs/>
                <w:sz w:val="22"/>
                <w:szCs w:val="22"/>
                <w:lang w:val="sr-Latn-ME"/>
              </w:rPr>
            </w:pPr>
            <w:r w:rsidRPr="0083687B">
              <w:rPr>
                <w:b/>
                <w:bCs/>
                <w:sz w:val="22"/>
                <w:szCs w:val="22"/>
                <w:lang w:val="sr-Latn-ME"/>
              </w:rPr>
              <w:t>Humira</w:t>
            </w:r>
          </w:p>
          <w:p w14:paraId="17285791" w14:textId="77777777" w:rsidR="0083687B" w:rsidRPr="0083687B" w:rsidRDefault="0083687B">
            <w:pPr>
              <w:autoSpaceDE w:val="0"/>
              <w:autoSpaceDN w:val="0"/>
              <w:adjustRightInd w:val="0"/>
              <w:jc w:val="both"/>
              <w:rPr>
                <w:b/>
                <w:bCs/>
                <w:sz w:val="22"/>
                <w:szCs w:val="22"/>
                <w:lang w:val="sr-Latn-ME"/>
              </w:rPr>
            </w:pPr>
            <w:r w:rsidRPr="0083687B">
              <w:rPr>
                <w:b/>
                <w:bCs/>
                <w:sz w:val="22"/>
                <w:szCs w:val="22"/>
                <w:lang w:val="sr-Latn-ME"/>
              </w:rPr>
              <w:t>160/80 mg</w:t>
            </w:r>
          </w:p>
          <w:p w14:paraId="01B40A6E" w14:textId="77777777" w:rsidR="0083687B" w:rsidRPr="0083687B" w:rsidRDefault="0083687B">
            <w:pPr>
              <w:autoSpaceDE w:val="0"/>
              <w:autoSpaceDN w:val="0"/>
              <w:adjustRightInd w:val="0"/>
              <w:jc w:val="both"/>
              <w:rPr>
                <w:sz w:val="22"/>
                <w:szCs w:val="22"/>
                <w:lang w:val="sr-Latn-ME"/>
              </w:rPr>
            </w:pPr>
            <w:r w:rsidRPr="0083687B">
              <w:rPr>
                <w:b/>
                <w:bCs/>
                <w:sz w:val="22"/>
                <w:szCs w:val="22"/>
                <w:lang w:val="sr-Latn-ME"/>
              </w:rPr>
              <w:t>N=159</w:t>
            </w:r>
          </w:p>
        </w:tc>
      </w:tr>
      <w:tr w:rsidR="0083687B" w:rsidRPr="0083687B" w14:paraId="7A257BC4" w14:textId="77777777" w:rsidTr="0088568A">
        <w:tc>
          <w:tcPr>
            <w:tcW w:w="2235" w:type="dxa"/>
            <w:shd w:val="clear" w:color="auto" w:fill="auto"/>
          </w:tcPr>
          <w:p w14:paraId="00B78FA5" w14:textId="77777777" w:rsidR="0083687B" w:rsidRPr="0083687B" w:rsidRDefault="0083687B" w:rsidP="00730D96">
            <w:pPr>
              <w:autoSpaceDE w:val="0"/>
              <w:autoSpaceDN w:val="0"/>
              <w:adjustRightInd w:val="0"/>
              <w:jc w:val="both"/>
              <w:rPr>
                <w:sz w:val="22"/>
                <w:szCs w:val="22"/>
                <w:lang w:val="sr-Latn-ME"/>
              </w:rPr>
            </w:pPr>
            <w:r w:rsidRPr="0083687B">
              <w:rPr>
                <w:sz w:val="22"/>
                <w:szCs w:val="22"/>
                <w:lang w:val="sr-Latn-ME"/>
              </w:rPr>
              <w:t xml:space="preserve">Nedjelja 4 </w:t>
            </w:r>
          </w:p>
        </w:tc>
        <w:tc>
          <w:tcPr>
            <w:tcW w:w="1417" w:type="dxa"/>
            <w:shd w:val="clear" w:color="auto" w:fill="auto"/>
          </w:tcPr>
          <w:p w14:paraId="1D0E4BE4" w14:textId="77777777" w:rsidR="0083687B" w:rsidRPr="0083687B" w:rsidRDefault="0083687B">
            <w:pPr>
              <w:autoSpaceDE w:val="0"/>
              <w:autoSpaceDN w:val="0"/>
              <w:adjustRightInd w:val="0"/>
              <w:jc w:val="both"/>
              <w:rPr>
                <w:sz w:val="22"/>
                <w:szCs w:val="22"/>
                <w:lang w:val="sr-Latn-ME"/>
              </w:rPr>
            </w:pPr>
          </w:p>
        </w:tc>
        <w:tc>
          <w:tcPr>
            <w:tcW w:w="1418" w:type="dxa"/>
            <w:shd w:val="clear" w:color="auto" w:fill="auto"/>
          </w:tcPr>
          <w:p w14:paraId="48821DFB" w14:textId="77777777" w:rsidR="0083687B" w:rsidRPr="0083687B" w:rsidRDefault="0083687B">
            <w:pPr>
              <w:autoSpaceDE w:val="0"/>
              <w:autoSpaceDN w:val="0"/>
              <w:adjustRightInd w:val="0"/>
              <w:jc w:val="both"/>
              <w:rPr>
                <w:sz w:val="22"/>
                <w:szCs w:val="22"/>
                <w:lang w:val="sr-Latn-ME"/>
              </w:rPr>
            </w:pPr>
          </w:p>
        </w:tc>
        <w:tc>
          <w:tcPr>
            <w:tcW w:w="1417" w:type="dxa"/>
            <w:shd w:val="clear" w:color="auto" w:fill="auto"/>
          </w:tcPr>
          <w:p w14:paraId="42C4F558" w14:textId="77777777" w:rsidR="0083687B" w:rsidRPr="0083687B" w:rsidRDefault="0083687B">
            <w:pPr>
              <w:autoSpaceDE w:val="0"/>
              <w:autoSpaceDN w:val="0"/>
              <w:adjustRightInd w:val="0"/>
              <w:jc w:val="both"/>
              <w:rPr>
                <w:sz w:val="22"/>
                <w:szCs w:val="22"/>
                <w:lang w:val="sr-Latn-ME"/>
              </w:rPr>
            </w:pPr>
          </w:p>
        </w:tc>
        <w:tc>
          <w:tcPr>
            <w:tcW w:w="1418" w:type="dxa"/>
            <w:shd w:val="clear" w:color="auto" w:fill="auto"/>
          </w:tcPr>
          <w:p w14:paraId="19051A52" w14:textId="77777777" w:rsidR="0083687B" w:rsidRPr="0083687B" w:rsidRDefault="0083687B">
            <w:pPr>
              <w:autoSpaceDE w:val="0"/>
              <w:autoSpaceDN w:val="0"/>
              <w:adjustRightInd w:val="0"/>
              <w:jc w:val="both"/>
              <w:rPr>
                <w:sz w:val="22"/>
                <w:szCs w:val="22"/>
                <w:lang w:val="sr-Latn-ME"/>
              </w:rPr>
            </w:pPr>
          </w:p>
        </w:tc>
        <w:tc>
          <w:tcPr>
            <w:tcW w:w="1375" w:type="dxa"/>
            <w:shd w:val="clear" w:color="auto" w:fill="auto"/>
          </w:tcPr>
          <w:p w14:paraId="73CF7E19" w14:textId="77777777" w:rsidR="0083687B" w:rsidRPr="0083687B" w:rsidRDefault="0083687B">
            <w:pPr>
              <w:autoSpaceDE w:val="0"/>
              <w:autoSpaceDN w:val="0"/>
              <w:adjustRightInd w:val="0"/>
              <w:jc w:val="both"/>
              <w:rPr>
                <w:sz w:val="22"/>
                <w:szCs w:val="22"/>
                <w:lang w:val="sr-Latn-ME"/>
              </w:rPr>
            </w:pPr>
          </w:p>
        </w:tc>
      </w:tr>
      <w:tr w:rsidR="0083687B" w:rsidRPr="0083687B" w14:paraId="54451D11" w14:textId="77777777" w:rsidTr="00172A4E">
        <w:tc>
          <w:tcPr>
            <w:tcW w:w="2235" w:type="dxa"/>
            <w:shd w:val="clear" w:color="auto" w:fill="auto"/>
          </w:tcPr>
          <w:p w14:paraId="0B0A039F" w14:textId="77777777" w:rsidR="0083687B" w:rsidRPr="0083687B" w:rsidRDefault="0083687B" w:rsidP="00730D96">
            <w:pPr>
              <w:autoSpaceDE w:val="0"/>
              <w:autoSpaceDN w:val="0"/>
              <w:adjustRightInd w:val="0"/>
              <w:jc w:val="both"/>
              <w:rPr>
                <w:sz w:val="22"/>
                <w:szCs w:val="22"/>
                <w:lang w:val="sr-Latn-ME"/>
              </w:rPr>
            </w:pPr>
            <w:r w:rsidRPr="0083687B">
              <w:rPr>
                <w:sz w:val="22"/>
                <w:szCs w:val="22"/>
                <w:lang w:val="sr-Latn-ME"/>
              </w:rPr>
              <w:t xml:space="preserve">Klinička remisija </w:t>
            </w:r>
          </w:p>
        </w:tc>
        <w:tc>
          <w:tcPr>
            <w:tcW w:w="1417" w:type="dxa"/>
            <w:shd w:val="clear" w:color="auto" w:fill="auto"/>
          </w:tcPr>
          <w:p w14:paraId="1A399027"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12%</w:t>
            </w:r>
          </w:p>
        </w:tc>
        <w:tc>
          <w:tcPr>
            <w:tcW w:w="1418" w:type="dxa"/>
            <w:shd w:val="clear" w:color="auto" w:fill="auto"/>
          </w:tcPr>
          <w:p w14:paraId="2D5BF426"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24%</w:t>
            </w:r>
          </w:p>
        </w:tc>
        <w:tc>
          <w:tcPr>
            <w:tcW w:w="1417" w:type="dxa"/>
            <w:shd w:val="clear" w:color="auto" w:fill="auto"/>
          </w:tcPr>
          <w:p w14:paraId="3BB21053"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36%*</w:t>
            </w:r>
          </w:p>
        </w:tc>
        <w:tc>
          <w:tcPr>
            <w:tcW w:w="1418" w:type="dxa"/>
            <w:shd w:val="clear" w:color="auto" w:fill="auto"/>
          </w:tcPr>
          <w:p w14:paraId="392914AC"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7%</w:t>
            </w:r>
          </w:p>
        </w:tc>
        <w:tc>
          <w:tcPr>
            <w:tcW w:w="1375" w:type="dxa"/>
            <w:shd w:val="clear" w:color="auto" w:fill="auto"/>
          </w:tcPr>
          <w:p w14:paraId="780AE020"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21%*</w:t>
            </w:r>
          </w:p>
        </w:tc>
      </w:tr>
      <w:tr w:rsidR="0083687B" w:rsidRPr="0083687B" w14:paraId="08F28801" w14:textId="77777777" w:rsidTr="00172A4E">
        <w:tc>
          <w:tcPr>
            <w:tcW w:w="2235" w:type="dxa"/>
            <w:shd w:val="clear" w:color="auto" w:fill="auto"/>
          </w:tcPr>
          <w:p w14:paraId="7A78EF50" w14:textId="77777777" w:rsidR="0083687B" w:rsidRPr="0083687B" w:rsidRDefault="0083687B" w:rsidP="00730D96">
            <w:pPr>
              <w:autoSpaceDE w:val="0"/>
              <w:autoSpaceDN w:val="0"/>
              <w:adjustRightInd w:val="0"/>
              <w:jc w:val="both"/>
              <w:rPr>
                <w:sz w:val="22"/>
                <w:szCs w:val="22"/>
                <w:lang w:val="sr-Latn-ME"/>
              </w:rPr>
            </w:pPr>
            <w:r w:rsidRPr="0083687B">
              <w:rPr>
                <w:sz w:val="22"/>
                <w:szCs w:val="22"/>
                <w:lang w:val="sr-Latn-ME"/>
              </w:rPr>
              <w:t>Klinički odgovor (CR-</w:t>
            </w:r>
          </w:p>
          <w:p w14:paraId="0C81BD9C"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100)</w:t>
            </w:r>
          </w:p>
        </w:tc>
        <w:tc>
          <w:tcPr>
            <w:tcW w:w="1417" w:type="dxa"/>
            <w:shd w:val="clear" w:color="auto" w:fill="auto"/>
          </w:tcPr>
          <w:p w14:paraId="6853D2BA"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24%</w:t>
            </w:r>
          </w:p>
        </w:tc>
        <w:tc>
          <w:tcPr>
            <w:tcW w:w="1418" w:type="dxa"/>
            <w:shd w:val="clear" w:color="auto" w:fill="auto"/>
          </w:tcPr>
          <w:p w14:paraId="72C8073A"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37%</w:t>
            </w:r>
          </w:p>
        </w:tc>
        <w:tc>
          <w:tcPr>
            <w:tcW w:w="1417" w:type="dxa"/>
            <w:shd w:val="clear" w:color="auto" w:fill="auto"/>
          </w:tcPr>
          <w:p w14:paraId="7ECA3E38"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49%**</w:t>
            </w:r>
          </w:p>
        </w:tc>
        <w:tc>
          <w:tcPr>
            <w:tcW w:w="1418" w:type="dxa"/>
            <w:shd w:val="clear" w:color="auto" w:fill="auto"/>
          </w:tcPr>
          <w:p w14:paraId="2FC1D7D1"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25%</w:t>
            </w:r>
          </w:p>
        </w:tc>
        <w:tc>
          <w:tcPr>
            <w:tcW w:w="1375" w:type="dxa"/>
            <w:shd w:val="clear" w:color="auto" w:fill="auto"/>
          </w:tcPr>
          <w:p w14:paraId="3A812EF0"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38%**</w:t>
            </w:r>
          </w:p>
        </w:tc>
      </w:tr>
    </w:tbl>
    <w:p w14:paraId="5B584788" w14:textId="58768166" w:rsidR="0083687B" w:rsidRPr="0083687B" w:rsidRDefault="0083687B" w:rsidP="00730D96">
      <w:pPr>
        <w:autoSpaceDE w:val="0"/>
        <w:autoSpaceDN w:val="0"/>
        <w:adjustRightInd w:val="0"/>
        <w:jc w:val="both"/>
        <w:rPr>
          <w:sz w:val="22"/>
          <w:szCs w:val="22"/>
          <w:lang w:val="sr-Latn-ME"/>
        </w:rPr>
      </w:pPr>
      <w:r w:rsidRPr="0083687B">
        <w:rPr>
          <w:sz w:val="22"/>
          <w:szCs w:val="22"/>
          <w:lang w:val="sr-Latn-ME"/>
        </w:rPr>
        <w:t xml:space="preserve">Sve p vrijednosti date u parovima odnose se na poređenje odnosa lijeka Humira i placeba. </w:t>
      </w:r>
    </w:p>
    <w:p w14:paraId="64BD1CF2"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   p &lt; 0,001</w:t>
      </w:r>
    </w:p>
    <w:p w14:paraId="460C695F"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 p &lt; 0,01</w:t>
      </w:r>
    </w:p>
    <w:p w14:paraId="65334C35" w14:textId="77777777" w:rsidR="0083687B" w:rsidRPr="0083687B" w:rsidRDefault="0083687B">
      <w:pPr>
        <w:autoSpaceDE w:val="0"/>
        <w:autoSpaceDN w:val="0"/>
        <w:adjustRightInd w:val="0"/>
        <w:jc w:val="both"/>
        <w:rPr>
          <w:b/>
          <w:sz w:val="22"/>
          <w:szCs w:val="22"/>
          <w:lang w:val="sr-Latn-ME"/>
        </w:rPr>
      </w:pPr>
    </w:p>
    <w:p w14:paraId="7BFF8044"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Slične stope remisije do 8. nedjelje uočene su za grupe pacijenata koji su uzimali lijek Humira 160/80 mg i lijek Humira 80/40 mg, a neželjena dejstva su bila veća u grupi koja je primala lijek Humira 160/80 mg.</w:t>
      </w:r>
    </w:p>
    <w:p w14:paraId="5FCC3221" w14:textId="0877F7E2" w:rsidR="0083687B" w:rsidRPr="0083687B" w:rsidRDefault="0083687B">
      <w:pPr>
        <w:autoSpaceDE w:val="0"/>
        <w:autoSpaceDN w:val="0"/>
        <w:adjustRightInd w:val="0"/>
        <w:jc w:val="both"/>
        <w:rPr>
          <w:sz w:val="22"/>
          <w:szCs w:val="22"/>
          <w:lang w:val="sr-Latn-ME"/>
        </w:rPr>
      </w:pPr>
      <w:r w:rsidRPr="0083687B">
        <w:rPr>
          <w:sz w:val="22"/>
          <w:szCs w:val="22"/>
          <w:lang w:val="sr-Latn-ME"/>
        </w:rPr>
        <w:t xml:space="preserve">U ispitivanju CD III, u 4. nedjelji, 58% pacijenata (499/854) imalo je klinički odgovor i uvršteni su u primarnu analizu. Od ovih pacijenata sa kliničkim odgovorom  u 4.-toj nedjelji, 48% pacijenata je već </w:t>
      </w:r>
      <w:r w:rsidRPr="0083687B">
        <w:rPr>
          <w:sz w:val="22"/>
          <w:szCs w:val="22"/>
          <w:lang w:val="sr-Latn-ME"/>
        </w:rPr>
        <w:lastRenderedPageBreak/>
        <w:t xml:space="preserve">ranije koristilo neki drugi antagonist TNF-a. Stope održanja remisije i stopa kliničkog odgovora nalaze se u Tabeli </w:t>
      </w:r>
      <w:r w:rsidR="009E0DAA">
        <w:rPr>
          <w:sz w:val="22"/>
          <w:szCs w:val="22"/>
          <w:lang w:val="sr-Latn-ME"/>
        </w:rPr>
        <w:t>15</w:t>
      </w:r>
      <w:r w:rsidRPr="0083687B">
        <w:rPr>
          <w:sz w:val="22"/>
          <w:szCs w:val="22"/>
          <w:lang w:val="sr-Latn-ME"/>
        </w:rPr>
        <w:t>. Rezultati kliničke remisije su se relativno održali bez obzira na prethodno liječenje antagonistima TNF-a.</w:t>
      </w:r>
    </w:p>
    <w:p w14:paraId="5CF9A10E"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U 56. nedjelji terapije, broj hospitalizacija i operacija povezanih sa bolešću statistički je značajno smanjen kod pacijenata koji su primali adalimumab u odnosu na grupu pacijenata koja je primala placebo.</w:t>
      </w:r>
    </w:p>
    <w:p w14:paraId="6FA47731" w14:textId="77777777" w:rsidR="0083687B" w:rsidRPr="0083687B" w:rsidRDefault="0083687B" w:rsidP="00EB3350">
      <w:pPr>
        <w:autoSpaceDE w:val="0"/>
        <w:autoSpaceDN w:val="0"/>
        <w:adjustRightInd w:val="0"/>
        <w:jc w:val="both"/>
        <w:rPr>
          <w:b/>
          <w:sz w:val="22"/>
          <w:szCs w:val="22"/>
          <w:lang w:val="sr-Latn-ME"/>
        </w:rPr>
      </w:pPr>
    </w:p>
    <w:p w14:paraId="5013866D" w14:textId="7D6D44DB" w:rsidR="0083687B" w:rsidRPr="0083687B" w:rsidRDefault="0083687B" w:rsidP="00EB3350">
      <w:pPr>
        <w:autoSpaceDE w:val="0"/>
        <w:autoSpaceDN w:val="0"/>
        <w:adjustRightInd w:val="0"/>
        <w:jc w:val="both"/>
        <w:rPr>
          <w:b/>
          <w:sz w:val="22"/>
          <w:szCs w:val="22"/>
          <w:lang w:val="sr-Latn-ME"/>
        </w:rPr>
      </w:pPr>
      <w:r w:rsidRPr="0083687B">
        <w:rPr>
          <w:b/>
          <w:sz w:val="22"/>
          <w:szCs w:val="22"/>
          <w:lang w:val="sr-Latn-ME"/>
        </w:rPr>
        <w:t>Tabela 15</w:t>
      </w:r>
      <w:r w:rsidR="009E0DAA">
        <w:rPr>
          <w:b/>
          <w:bCs/>
          <w:sz w:val="22"/>
          <w:szCs w:val="22"/>
          <w:lang w:val="sr-Latn-ME"/>
        </w:rPr>
        <w:t xml:space="preserve">. </w:t>
      </w:r>
      <w:r w:rsidRPr="0083687B">
        <w:rPr>
          <w:b/>
          <w:bCs/>
          <w:sz w:val="22"/>
          <w:szCs w:val="22"/>
          <w:lang w:val="sr-Latn-ME"/>
        </w:rPr>
        <w:t xml:space="preserve">Održavanje kliničke remisije i kliničkog odgovora </w:t>
      </w:r>
      <w:r w:rsidRPr="0083687B">
        <w:rPr>
          <w:b/>
          <w:sz w:val="22"/>
          <w:szCs w:val="22"/>
          <w:lang w:val="sr-Latn-ME"/>
        </w:rPr>
        <w:t>(procenat pacijenata)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3"/>
        <w:gridCol w:w="2268"/>
        <w:gridCol w:w="2268"/>
      </w:tblGrid>
      <w:tr w:rsidR="0083687B" w:rsidRPr="0083687B" w14:paraId="65CE474B" w14:textId="77777777" w:rsidTr="0088568A">
        <w:tc>
          <w:tcPr>
            <w:tcW w:w="2320" w:type="dxa"/>
            <w:shd w:val="clear" w:color="auto" w:fill="auto"/>
          </w:tcPr>
          <w:p w14:paraId="1818D6C5" w14:textId="77777777" w:rsidR="0083687B" w:rsidRPr="0083687B" w:rsidRDefault="0083687B" w:rsidP="00730D96">
            <w:pPr>
              <w:autoSpaceDE w:val="0"/>
              <w:autoSpaceDN w:val="0"/>
              <w:adjustRightInd w:val="0"/>
              <w:jc w:val="both"/>
              <w:rPr>
                <w:sz w:val="22"/>
                <w:szCs w:val="22"/>
                <w:lang w:val="sr-Latn-ME"/>
              </w:rPr>
            </w:pPr>
          </w:p>
        </w:tc>
        <w:tc>
          <w:tcPr>
            <w:tcW w:w="2320" w:type="dxa"/>
            <w:shd w:val="clear" w:color="auto" w:fill="auto"/>
          </w:tcPr>
          <w:p w14:paraId="0BF40EDF" w14:textId="77777777" w:rsidR="0083687B" w:rsidRPr="0083687B" w:rsidRDefault="0083687B">
            <w:pPr>
              <w:autoSpaceDE w:val="0"/>
              <w:autoSpaceDN w:val="0"/>
              <w:adjustRightInd w:val="0"/>
              <w:jc w:val="both"/>
              <w:rPr>
                <w:b/>
                <w:sz w:val="22"/>
                <w:szCs w:val="22"/>
                <w:lang w:val="sr-Latn-ME"/>
              </w:rPr>
            </w:pPr>
            <w:r w:rsidRPr="0083687B">
              <w:rPr>
                <w:b/>
                <w:sz w:val="22"/>
                <w:szCs w:val="22"/>
                <w:lang w:val="sr-Latn-ME"/>
              </w:rPr>
              <w:t>Placebo</w:t>
            </w:r>
          </w:p>
        </w:tc>
        <w:tc>
          <w:tcPr>
            <w:tcW w:w="2320" w:type="dxa"/>
            <w:shd w:val="clear" w:color="auto" w:fill="auto"/>
          </w:tcPr>
          <w:p w14:paraId="2CEB498B" w14:textId="77777777" w:rsidR="0083687B" w:rsidRPr="0083687B" w:rsidRDefault="0083687B">
            <w:pPr>
              <w:autoSpaceDE w:val="0"/>
              <w:autoSpaceDN w:val="0"/>
              <w:adjustRightInd w:val="0"/>
              <w:jc w:val="both"/>
              <w:rPr>
                <w:b/>
                <w:sz w:val="22"/>
                <w:szCs w:val="22"/>
                <w:lang w:val="sr-Latn-ME"/>
              </w:rPr>
            </w:pPr>
            <w:r w:rsidRPr="0083687B">
              <w:rPr>
                <w:b/>
                <w:sz w:val="22"/>
                <w:szCs w:val="22"/>
                <w:lang w:val="sr-Latn-ME"/>
              </w:rPr>
              <w:t>Humira 40 mg svake druge nedjelje</w:t>
            </w:r>
          </w:p>
        </w:tc>
        <w:tc>
          <w:tcPr>
            <w:tcW w:w="2320" w:type="dxa"/>
            <w:shd w:val="clear" w:color="auto" w:fill="auto"/>
          </w:tcPr>
          <w:p w14:paraId="59712CBD" w14:textId="77777777" w:rsidR="0083687B" w:rsidRPr="0083687B" w:rsidRDefault="0083687B">
            <w:pPr>
              <w:autoSpaceDE w:val="0"/>
              <w:autoSpaceDN w:val="0"/>
              <w:adjustRightInd w:val="0"/>
              <w:jc w:val="both"/>
              <w:rPr>
                <w:b/>
                <w:sz w:val="22"/>
                <w:szCs w:val="22"/>
                <w:lang w:val="sr-Latn-ME"/>
              </w:rPr>
            </w:pPr>
            <w:r w:rsidRPr="0083687B">
              <w:rPr>
                <w:b/>
                <w:sz w:val="22"/>
                <w:szCs w:val="22"/>
                <w:lang w:val="sr-Latn-ME"/>
              </w:rPr>
              <w:t>Humira 40 mg svake nedjelje</w:t>
            </w:r>
          </w:p>
        </w:tc>
      </w:tr>
      <w:tr w:rsidR="0083687B" w:rsidRPr="0083687B" w14:paraId="4622DE0D" w14:textId="77777777" w:rsidTr="0088568A">
        <w:tc>
          <w:tcPr>
            <w:tcW w:w="2320" w:type="dxa"/>
            <w:shd w:val="clear" w:color="auto" w:fill="auto"/>
          </w:tcPr>
          <w:p w14:paraId="3591F305" w14:textId="77777777" w:rsidR="0083687B" w:rsidRPr="0083687B" w:rsidRDefault="0083687B" w:rsidP="00730D96">
            <w:pPr>
              <w:autoSpaceDE w:val="0"/>
              <w:autoSpaceDN w:val="0"/>
              <w:adjustRightInd w:val="0"/>
              <w:jc w:val="both"/>
              <w:rPr>
                <w:b/>
                <w:sz w:val="22"/>
                <w:szCs w:val="22"/>
                <w:lang w:val="sr-Latn-ME"/>
              </w:rPr>
            </w:pPr>
            <w:r w:rsidRPr="0083687B">
              <w:rPr>
                <w:b/>
                <w:sz w:val="22"/>
                <w:szCs w:val="22"/>
                <w:lang w:val="sr-Latn-ME"/>
              </w:rPr>
              <w:t>26. nedjelja</w:t>
            </w:r>
          </w:p>
        </w:tc>
        <w:tc>
          <w:tcPr>
            <w:tcW w:w="2320" w:type="dxa"/>
            <w:shd w:val="clear" w:color="auto" w:fill="auto"/>
          </w:tcPr>
          <w:p w14:paraId="3B24DA70" w14:textId="77777777" w:rsidR="0083687B" w:rsidRPr="0083687B" w:rsidRDefault="0083687B">
            <w:pPr>
              <w:autoSpaceDE w:val="0"/>
              <w:autoSpaceDN w:val="0"/>
              <w:adjustRightInd w:val="0"/>
              <w:jc w:val="both"/>
              <w:rPr>
                <w:b/>
                <w:sz w:val="22"/>
                <w:szCs w:val="22"/>
                <w:lang w:val="sr-Latn-ME"/>
              </w:rPr>
            </w:pPr>
            <w:r w:rsidRPr="0083687B">
              <w:rPr>
                <w:b/>
                <w:sz w:val="22"/>
                <w:szCs w:val="22"/>
                <w:lang w:val="sr-Latn-ME"/>
              </w:rPr>
              <w:t>N=170</w:t>
            </w:r>
          </w:p>
        </w:tc>
        <w:tc>
          <w:tcPr>
            <w:tcW w:w="2320" w:type="dxa"/>
            <w:shd w:val="clear" w:color="auto" w:fill="auto"/>
          </w:tcPr>
          <w:p w14:paraId="0FDCC971" w14:textId="77777777" w:rsidR="0083687B" w:rsidRPr="0083687B" w:rsidRDefault="0083687B">
            <w:pPr>
              <w:autoSpaceDE w:val="0"/>
              <w:autoSpaceDN w:val="0"/>
              <w:adjustRightInd w:val="0"/>
              <w:jc w:val="both"/>
              <w:rPr>
                <w:b/>
                <w:sz w:val="22"/>
                <w:szCs w:val="22"/>
                <w:lang w:val="sr-Latn-ME"/>
              </w:rPr>
            </w:pPr>
            <w:r w:rsidRPr="0083687B">
              <w:rPr>
                <w:b/>
                <w:sz w:val="22"/>
                <w:szCs w:val="22"/>
                <w:lang w:val="sr-Latn-ME"/>
              </w:rPr>
              <w:t>N=172</w:t>
            </w:r>
          </w:p>
        </w:tc>
        <w:tc>
          <w:tcPr>
            <w:tcW w:w="2320" w:type="dxa"/>
            <w:shd w:val="clear" w:color="auto" w:fill="auto"/>
          </w:tcPr>
          <w:p w14:paraId="2428A3DB" w14:textId="77777777" w:rsidR="0083687B" w:rsidRPr="0083687B" w:rsidRDefault="0083687B">
            <w:pPr>
              <w:autoSpaceDE w:val="0"/>
              <w:autoSpaceDN w:val="0"/>
              <w:adjustRightInd w:val="0"/>
              <w:jc w:val="both"/>
              <w:rPr>
                <w:b/>
                <w:sz w:val="22"/>
                <w:szCs w:val="22"/>
                <w:lang w:val="sr-Latn-ME"/>
              </w:rPr>
            </w:pPr>
            <w:r w:rsidRPr="0083687B">
              <w:rPr>
                <w:b/>
                <w:sz w:val="22"/>
                <w:szCs w:val="22"/>
                <w:lang w:val="sr-Latn-ME"/>
              </w:rPr>
              <w:t>N=157</w:t>
            </w:r>
          </w:p>
        </w:tc>
      </w:tr>
      <w:tr w:rsidR="0083687B" w:rsidRPr="0083687B" w14:paraId="4A134CDC" w14:textId="77777777" w:rsidTr="0088568A">
        <w:tc>
          <w:tcPr>
            <w:tcW w:w="2320" w:type="dxa"/>
            <w:shd w:val="clear" w:color="auto" w:fill="auto"/>
          </w:tcPr>
          <w:p w14:paraId="42AD7C3A" w14:textId="77777777" w:rsidR="0083687B" w:rsidRPr="0083687B" w:rsidRDefault="0083687B" w:rsidP="00730D96">
            <w:pPr>
              <w:autoSpaceDE w:val="0"/>
              <w:autoSpaceDN w:val="0"/>
              <w:adjustRightInd w:val="0"/>
              <w:jc w:val="both"/>
              <w:rPr>
                <w:sz w:val="22"/>
                <w:szCs w:val="22"/>
                <w:lang w:val="sr-Latn-ME"/>
              </w:rPr>
            </w:pPr>
            <w:r w:rsidRPr="0083687B">
              <w:rPr>
                <w:sz w:val="22"/>
                <w:szCs w:val="22"/>
                <w:lang w:val="sr-Latn-ME"/>
              </w:rPr>
              <w:t xml:space="preserve">Klinička remisija </w:t>
            </w:r>
          </w:p>
        </w:tc>
        <w:tc>
          <w:tcPr>
            <w:tcW w:w="2320" w:type="dxa"/>
            <w:shd w:val="clear" w:color="auto" w:fill="auto"/>
          </w:tcPr>
          <w:p w14:paraId="14839F4E"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17%</w:t>
            </w:r>
          </w:p>
        </w:tc>
        <w:tc>
          <w:tcPr>
            <w:tcW w:w="2320" w:type="dxa"/>
            <w:shd w:val="clear" w:color="auto" w:fill="auto"/>
          </w:tcPr>
          <w:p w14:paraId="18832BD6"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40%*</w:t>
            </w:r>
          </w:p>
        </w:tc>
        <w:tc>
          <w:tcPr>
            <w:tcW w:w="2320" w:type="dxa"/>
            <w:shd w:val="clear" w:color="auto" w:fill="auto"/>
          </w:tcPr>
          <w:p w14:paraId="7B356291"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47%*</w:t>
            </w:r>
          </w:p>
        </w:tc>
      </w:tr>
      <w:tr w:rsidR="0083687B" w:rsidRPr="0083687B" w14:paraId="32C6CE51" w14:textId="77777777" w:rsidTr="0088568A">
        <w:tc>
          <w:tcPr>
            <w:tcW w:w="2320" w:type="dxa"/>
            <w:shd w:val="clear" w:color="auto" w:fill="auto"/>
          </w:tcPr>
          <w:p w14:paraId="61787B3F" w14:textId="77777777" w:rsidR="0083687B" w:rsidRPr="0083687B" w:rsidRDefault="0083687B" w:rsidP="00730D96">
            <w:pPr>
              <w:autoSpaceDE w:val="0"/>
              <w:autoSpaceDN w:val="0"/>
              <w:adjustRightInd w:val="0"/>
              <w:jc w:val="both"/>
              <w:rPr>
                <w:sz w:val="22"/>
                <w:szCs w:val="22"/>
                <w:lang w:val="sr-Latn-ME"/>
              </w:rPr>
            </w:pPr>
            <w:r w:rsidRPr="0083687B">
              <w:rPr>
                <w:sz w:val="22"/>
                <w:szCs w:val="22"/>
                <w:lang w:val="sr-Latn-ME"/>
              </w:rPr>
              <w:t>Klinički odgovor (CR-100)</w:t>
            </w:r>
          </w:p>
        </w:tc>
        <w:tc>
          <w:tcPr>
            <w:tcW w:w="2320" w:type="dxa"/>
            <w:shd w:val="clear" w:color="auto" w:fill="auto"/>
          </w:tcPr>
          <w:p w14:paraId="661D0C3B"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27%</w:t>
            </w:r>
          </w:p>
        </w:tc>
        <w:tc>
          <w:tcPr>
            <w:tcW w:w="2320" w:type="dxa"/>
            <w:shd w:val="clear" w:color="auto" w:fill="auto"/>
          </w:tcPr>
          <w:p w14:paraId="036B264D"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52%*</w:t>
            </w:r>
          </w:p>
        </w:tc>
        <w:tc>
          <w:tcPr>
            <w:tcW w:w="2320" w:type="dxa"/>
            <w:shd w:val="clear" w:color="auto" w:fill="auto"/>
          </w:tcPr>
          <w:p w14:paraId="40A91CE8"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52%*</w:t>
            </w:r>
          </w:p>
        </w:tc>
      </w:tr>
      <w:tr w:rsidR="0083687B" w:rsidRPr="0083687B" w14:paraId="72447A76" w14:textId="77777777" w:rsidTr="0088568A">
        <w:tc>
          <w:tcPr>
            <w:tcW w:w="2320" w:type="dxa"/>
            <w:shd w:val="clear" w:color="auto" w:fill="auto"/>
          </w:tcPr>
          <w:p w14:paraId="0FE5D1B2" w14:textId="77777777" w:rsidR="0083687B" w:rsidRPr="0083687B" w:rsidRDefault="0083687B" w:rsidP="00730D96">
            <w:pPr>
              <w:autoSpaceDE w:val="0"/>
              <w:autoSpaceDN w:val="0"/>
              <w:adjustRightInd w:val="0"/>
              <w:jc w:val="both"/>
              <w:rPr>
                <w:sz w:val="22"/>
                <w:szCs w:val="22"/>
                <w:lang w:val="sr-Latn-ME"/>
              </w:rPr>
            </w:pPr>
            <w:r w:rsidRPr="0083687B">
              <w:rPr>
                <w:sz w:val="22"/>
                <w:szCs w:val="22"/>
                <w:lang w:val="sr-Latn-ME"/>
              </w:rPr>
              <w:t>Pacijenti u remisiji bez upotrebe steroida &gt;= 90 dana</w:t>
            </w:r>
            <w:r w:rsidRPr="0083687B">
              <w:rPr>
                <w:sz w:val="22"/>
                <w:szCs w:val="22"/>
                <w:vertAlign w:val="superscript"/>
                <w:lang w:val="sr-Latn-ME"/>
              </w:rPr>
              <w:t>a</w:t>
            </w:r>
          </w:p>
        </w:tc>
        <w:tc>
          <w:tcPr>
            <w:tcW w:w="2320" w:type="dxa"/>
            <w:shd w:val="clear" w:color="auto" w:fill="auto"/>
          </w:tcPr>
          <w:p w14:paraId="7EAA4C16"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3% (2/66)</w:t>
            </w:r>
          </w:p>
        </w:tc>
        <w:tc>
          <w:tcPr>
            <w:tcW w:w="2320" w:type="dxa"/>
            <w:shd w:val="clear" w:color="auto" w:fill="auto"/>
          </w:tcPr>
          <w:p w14:paraId="6635F18F"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19% (11/58)**</w:t>
            </w:r>
          </w:p>
        </w:tc>
        <w:tc>
          <w:tcPr>
            <w:tcW w:w="2320" w:type="dxa"/>
            <w:shd w:val="clear" w:color="auto" w:fill="auto"/>
          </w:tcPr>
          <w:p w14:paraId="3E80E7AC"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15% (11/74)**</w:t>
            </w:r>
          </w:p>
        </w:tc>
      </w:tr>
      <w:tr w:rsidR="0083687B" w:rsidRPr="0083687B" w14:paraId="23F7672D" w14:textId="77777777" w:rsidTr="0088568A">
        <w:tc>
          <w:tcPr>
            <w:tcW w:w="2320" w:type="dxa"/>
            <w:shd w:val="clear" w:color="auto" w:fill="auto"/>
          </w:tcPr>
          <w:p w14:paraId="481AFDEC" w14:textId="77777777" w:rsidR="0083687B" w:rsidRPr="0083687B" w:rsidRDefault="0083687B" w:rsidP="00730D96">
            <w:pPr>
              <w:autoSpaceDE w:val="0"/>
              <w:autoSpaceDN w:val="0"/>
              <w:adjustRightInd w:val="0"/>
              <w:jc w:val="both"/>
              <w:rPr>
                <w:b/>
                <w:sz w:val="22"/>
                <w:szCs w:val="22"/>
                <w:lang w:val="sr-Latn-ME"/>
              </w:rPr>
            </w:pPr>
            <w:r w:rsidRPr="0083687B">
              <w:rPr>
                <w:b/>
                <w:sz w:val="22"/>
                <w:szCs w:val="22"/>
                <w:lang w:val="sr-Latn-ME"/>
              </w:rPr>
              <w:t>56. nedjelja</w:t>
            </w:r>
          </w:p>
        </w:tc>
        <w:tc>
          <w:tcPr>
            <w:tcW w:w="2320" w:type="dxa"/>
            <w:shd w:val="clear" w:color="auto" w:fill="auto"/>
          </w:tcPr>
          <w:p w14:paraId="4E8C26B8" w14:textId="77777777" w:rsidR="0083687B" w:rsidRPr="0083687B" w:rsidRDefault="0083687B">
            <w:pPr>
              <w:autoSpaceDE w:val="0"/>
              <w:autoSpaceDN w:val="0"/>
              <w:adjustRightInd w:val="0"/>
              <w:jc w:val="both"/>
              <w:rPr>
                <w:b/>
                <w:sz w:val="22"/>
                <w:szCs w:val="22"/>
                <w:lang w:val="sr-Latn-ME"/>
              </w:rPr>
            </w:pPr>
            <w:r w:rsidRPr="0083687B">
              <w:rPr>
                <w:b/>
                <w:sz w:val="22"/>
                <w:szCs w:val="22"/>
                <w:lang w:val="sr-Latn-ME"/>
              </w:rPr>
              <w:t>N=170</w:t>
            </w:r>
          </w:p>
        </w:tc>
        <w:tc>
          <w:tcPr>
            <w:tcW w:w="2320" w:type="dxa"/>
            <w:shd w:val="clear" w:color="auto" w:fill="auto"/>
          </w:tcPr>
          <w:p w14:paraId="71B62E77" w14:textId="77777777" w:rsidR="0083687B" w:rsidRPr="0083687B" w:rsidRDefault="0083687B">
            <w:pPr>
              <w:autoSpaceDE w:val="0"/>
              <w:autoSpaceDN w:val="0"/>
              <w:adjustRightInd w:val="0"/>
              <w:jc w:val="both"/>
              <w:rPr>
                <w:b/>
                <w:sz w:val="22"/>
                <w:szCs w:val="22"/>
                <w:lang w:val="sr-Latn-ME"/>
              </w:rPr>
            </w:pPr>
            <w:r w:rsidRPr="0083687B">
              <w:rPr>
                <w:b/>
                <w:sz w:val="22"/>
                <w:szCs w:val="22"/>
                <w:lang w:val="sr-Latn-ME"/>
              </w:rPr>
              <w:t>N=172</w:t>
            </w:r>
          </w:p>
        </w:tc>
        <w:tc>
          <w:tcPr>
            <w:tcW w:w="2320" w:type="dxa"/>
            <w:shd w:val="clear" w:color="auto" w:fill="auto"/>
          </w:tcPr>
          <w:p w14:paraId="75219253" w14:textId="77777777" w:rsidR="0083687B" w:rsidRPr="0083687B" w:rsidRDefault="0083687B">
            <w:pPr>
              <w:autoSpaceDE w:val="0"/>
              <w:autoSpaceDN w:val="0"/>
              <w:adjustRightInd w:val="0"/>
              <w:jc w:val="both"/>
              <w:rPr>
                <w:b/>
                <w:sz w:val="22"/>
                <w:szCs w:val="22"/>
                <w:lang w:val="sr-Latn-ME"/>
              </w:rPr>
            </w:pPr>
            <w:r w:rsidRPr="0083687B">
              <w:rPr>
                <w:b/>
                <w:sz w:val="22"/>
                <w:szCs w:val="22"/>
                <w:lang w:val="sr-Latn-ME"/>
              </w:rPr>
              <w:t>N=157</w:t>
            </w:r>
          </w:p>
        </w:tc>
      </w:tr>
      <w:tr w:rsidR="0083687B" w:rsidRPr="0083687B" w14:paraId="4C8AFE92" w14:textId="77777777" w:rsidTr="0088568A">
        <w:tc>
          <w:tcPr>
            <w:tcW w:w="2320" w:type="dxa"/>
            <w:shd w:val="clear" w:color="auto" w:fill="auto"/>
          </w:tcPr>
          <w:p w14:paraId="653DE7E9" w14:textId="77777777" w:rsidR="0083687B" w:rsidRPr="0083687B" w:rsidRDefault="0083687B" w:rsidP="00730D96">
            <w:pPr>
              <w:autoSpaceDE w:val="0"/>
              <w:autoSpaceDN w:val="0"/>
              <w:adjustRightInd w:val="0"/>
              <w:jc w:val="both"/>
              <w:rPr>
                <w:sz w:val="22"/>
                <w:szCs w:val="22"/>
                <w:lang w:val="sr-Latn-ME"/>
              </w:rPr>
            </w:pPr>
            <w:r w:rsidRPr="0083687B">
              <w:rPr>
                <w:sz w:val="22"/>
                <w:szCs w:val="22"/>
                <w:lang w:val="sr-Latn-ME"/>
              </w:rPr>
              <w:t xml:space="preserve">Klinička remisija </w:t>
            </w:r>
          </w:p>
        </w:tc>
        <w:tc>
          <w:tcPr>
            <w:tcW w:w="2320" w:type="dxa"/>
            <w:shd w:val="clear" w:color="auto" w:fill="auto"/>
          </w:tcPr>
          <w:p w14:paraId="12F6C930"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12%</w:t>
            </w:r>
          </w:p>
        </w:tc>
        <w:tc>
          <w:tcPr>
            <w:tcW w:w="2320" w:type="dxa"/>
            <w:shd w:val="clear" w:color="auto" w:fill="auto"/>
          </w:tcPr>
          <w:p w14:paraId="2090ED5D"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36%*</w:t>
            </w:r>
          </w:p>
        </w:tc>
        <w:tc>
          <w:tcPr>
            <w:tcW w:w="2320" w:type="dxa"/>
            <w:shd w:val="clear" w:color="auto" w:fill="auto"/>
          </w:tcPr>
          <w:p w14:paraId="72EEC1BA"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41%*</w:t>
            </w:r>
          </w:p>
        </w:tc>
      </w:tr>
      <w:tr w:rsidR="0083687B" w:rsidRPr="0083687B" w14:paraId="30747D6F" w14:textId="77777777" w:rsidTr="0088568A">
        <w:tc>
          <w:tcPr>
            <w:tcW w:w="2320" w:type="dxa"/>
            <w:shd w:val="clear" w:color="auto" w:fill="auto"/>
          </w:tcPr>
          <w:p w14:paraId="0B550694" w14:textId="77777777" w:rsidR="0083687B" w:rsidRPr="0083687B" w:rsidRDefault="0083687B" w:rsidP="00730D96">
            <w:pPr>
              <w:autoSpaceDE w:val="0"/>
              <w:autoSpaceDN w:val="0"/>
              <w:adjustRightInd w:val="0"/>
              <w:jc w:val="both"/>
              <w:rPr>
                <w:sz w:val="22"/>
                <w:szCs w:val="22"/>
                <w:lang w:val="sr-Latn-ME"/>
              </w:rPr>
            </w:pPr>
            <w:r w:rsidRPr="0083687B">
              <w:rPr>
                <w:sz w:val="22"/>
                <w:szCs w:val="22"/>
                <w:lang w:val="sr-Latn-ME"/>
              </w:rPr>
              <w:t>Klinički odgovor (CR-100)</w:t>
            </w:r>
          </w:p>
        </w:tc>
        <w:tc>
          <w:tcPr>
            <w:tcW w:w="2320" w:type="dxa"/>
            <w:shd w:val="clear" w:color="auto" w:fill="auto"/>
          </w:tcPr>
          <w:p w14:paraId="57E9FF95"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17%</w:t>
            </w:r>
          </w:p>
        </w:tc>
        <w:tc>
          <w:tcPr>
            <w:tcW w:w="2320" w:type="dxa"/>
            <w:shd w:val="clear" w:color="auto" w:fill="auto"/>
          </w:tcPr>
          <w:p w14:paraId="46FECA39"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41%*</w:t>
            </w:r>
          </w:p>
        </w:tc>
        <w:tc>
          <w:tcPr>
            <w:tcW w:w="2320" w:type="dxa"/>
            <w:shd w:val="clear" w:color="auto" w:fill="auto"/>
          </w:tcPr>
          <w:p w14:paraId="37A0D768"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48%*</w:t>
            </w:r>
          </w:p>
        </w:tc>
      </w:tr>
      <w:tr w:rsidR="0083687B" w:rsidRPr="0083687B" w14:paraId="0E177890" w14:textId="77777777" w:rsidTr="0088568A">
        <w:tc>
          <w:tcPr>
            <w:tcW w:w="2320" w:type="dxa"/>
            <w:shd w:val="clear" w:color="auto" w:fill="auto"/>
          </w:tcPr>
          <w:p w14:paraId="7FFCDE31" w14:textId="77777777" w:rsidR="0083687B" w:rsidRPr="0083687B" w:rsidRDefault="0083687B" w:rsidP="00730D96">
            <w:pPr>
              <w:autoSpaceDE w:val="0"/>
              <w:autoSpaceDN w:val="0"/>
              <w:adjustRightInd w:val="0"/>
              <w:jc w:val="both"/>
              <w:rPr>
                <w:sz w:val="22"/>
                <w:szCs w:val="22"/>
                <w:lang w:val="sr-Latn-ME"/>
              </w:rPr>
            </w:pPr>
            <w:r w:rsidRPr="0083687B">
              <w:rPr>
                <w:sz w:val="22"/>
                <w:szCs w:val="22"/>
                <w:lang w:val="sr-Latn-ME"/>
              </w:rPr>
              <w:t>Pacijenti u remisiji bez upotrebe steroida &gt;= 90 dana</w:t>
            </w:r>
            <w:r w:rsidRPr="0083687B">
              <w:rPr>
                <w:sz w:val="22"/>
                <w:szCs w:val="22"/>
                <w:vertAlign w:val="superscript"/>
                <w:lang w:val="sr-Latn-ME"/>
              </w:rPr>
              <w:t>a</w:t>
            </w:r>
          </w:p>
        </w:tc>
        <w:tc>
          <w:tcPr>
            <w:tcW w:w="2320" w:type="dxa"/>
            <w:shd w:val="clear" w:color="auto" w:fill="auto"/>
          </w:tcPr>
          <w:p w14:paraId="22E4F9F6"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 xml:space="preserve">5% (3/66) </w:t>
            </w:r>
          </w:p>
        </w:tc>
        <w:tc>
          <w:tcPr>
            <w:tcW w:w="2320" w:type="dxa"/>
            <w:shd w:val="clear" w:color="auto" w:fill="auto"/>
          </w:tcPr>
          <w:p w14:paraId="45560518"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29% (17/58)*</w:t>
            </w:r>
          </w:p>
        </w:tc>
        <w:tc>
          <w:tcPr>
            <w:tcW w:w="2320" w:type="dxa"/>
            <w:shd w:val="clear" w:color="auto" w:fill="auto"/>
          </w:tcPr>
          <w:p w14:paraId="100E4270"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20% (15/74)**</w:t>
            </w:r>
          </w:p>
        </w:tc>
      </w:tr>
    </w:tbl>
    <w:p w14:paraId="3578F6CB" w14:textId="77777777" w:rsidR="0083687B" w:rsidRPr="0083687B" w:rsidRDefault="0083687B" w:rsidP="00730D96">
      <w:pPr>
        <w:autoSpaceDE w:val="0"/>
        <w:autoSpaceDN w:val="0"/>
        <w:adjustRightInd w:val="0"/>
        <w:jc w:val="both"/>
        <w:rPr>
          <w:sz w:val="22"/>
          <w:szCs w:val="22"/>
          <w:lang w:val="sr-Latn-ME"/>
        </w:rPr>
      </w:pPr>
      <w:r w:rsidRPr="0083687B">
        <w:rPr>
          <w:sz w:val="22"/>
          <w:szCs w:val="22"/>
          <w:lang w:val="sr-Latn-ME"/>
        </w:rPr>
        <w:t xml:space="preserve">* p &lt; 0,001 za poređenje odnosa lijeka Humira i placeba u parovima </w:t>
      </w:r>
    </w:p>
    <w:p w14:paraId="7CA09259"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 xml:space="preserve">** p &lt; 0,02 za poređenje odnosa lijeka Humira i placeba u parovima </w:t>
      </w:r>
    </w:p>
    <w:p w14:paraId="371B60E9" w14:textId="77777777" w:rsidR="0083687B" w:rsidRPr="0083687B" w:rsidRDefault="0083687B">
      <w:pPr>
        <w:autoSpaceDE w:val="0"/>
        <w:autoSpaceDN w:val="0"/>
        <w:adjustRightInd w:val="0"/>
        <w:jc w:val="both"/>
        <w:rPr>
          <w:sz w:val="22"/>
          <w:szCs w:val="22"/>
          <w:lang w:val="sr-Latn-ME"/>
        </w:rPr>
      </w:pPr>
      <w:r w:rsidRPr="0083687B">
        <w:rPr>
          <w:sz w:val="22"/>
          <w:szCs w:val="22"/>
          <w:vertAlign w:val="superscript"/>
          <w:lang w:val="sr-Latn-ME"/>
        </w:rPr>
        <w:t>a</w:t>
      </w:r>
      <w:r w:rsidRPr="0083687B">
        <w:rPr>
          <w:sz w:val="22"/>
          <w:szCs w:val="22"/>
          <w:lang w:val="sr-Latn-ME"/>
        </w:rPr>
        <w:t xml:space="preserve"> od onih koji su na početku uzimali kortikosteroide</w:t>
      </w:r>
    </w:p>
    <w:p w14:paraId="306198CC" w14:textId="63F788C2" w:rsidR="0083687B" w:rsidRPr="0083687B" w:rsidRDefault="0083687B">
      <w:pPr>
        <w:autoSpaceDE w:val="0"/>
        <w:autoSpaceDN w:val="0"/>
        <w:adjustRightInd w:val="0"/>
        <w:jc w:val="both"/>
        <w:rPr>
          <w:sz w:val="22"/>
          <w:szCs w:val="22"/>
          <w:lang w:val="sr-Latn-ME"/>
        </w:rPr>
      </w:pPr>
      <w:r w:rsidRPr="0083687B">
        <w:rPr>
          <w:sz w:val="22"/>
          <w:szCs w:val="22"/>
          <w:lang w:val="sr-Latn-ME"/>
        </w:rPr>
        <w:t xml:space="preserve">Među pacijentima kod kojih u 4. nedjelji nije ostvaren klinički odgovor, 43% pacijenata na terapiji održavanja imalo je klinički odgovor do 12. nedjelje, u odnosu na 30% u grupi pacijenata koji su dobijali placebo. Ovi rezultati pokazuju da neki pacijenti, koji ne ostvare terapijski odgovor do 4. nedjelje, imaju koristi ukoliko se terapija nastavi do 12. nedjelje. Nastavak terapije duže od  12 nedjelja nije dovelo do značajno većeg procenta odgovora (vidjeti </w:t>
      </w:r>
      <w:r w:rsidR="00D319E4">
        <w:rPr>
          <w:sz w:val="22"/>
          <w:szCs w:val="22"/>
          <w:lang w:val="sr-Latn-ME"/>
        </w:rPr>
        <w:t>dio</w:t>
      </w:r>
      <w:r w:rsidR="00D319E4" w:rsidRPr="0083687B">
        <w:rPr>
          <w:sz w:val="22"/>
          <w:szCs w:val="22"/>
          <w:lang w:val="sr-Latn-ME"/>
        </w:rPr>
        <w:t xml:space="preserve"> </w:t>
      </w:r>
      <w:r w:rsidRPr="0083687B">
        <w:rPr>
          <w:sz w:val="22"/>
          <w:szCs w:val="22"/>
          <w:lang w:val="sr-Latn-ME"/>
        </w:rPr>
        <w:t>4.2).</w:t>
      </w:r>
    </w:p>
    <w:p w14:paraId="2B2F8EE5" w14:textId="77777777" w:rsidR="0083687B" w:rsidRPr="0083687B" w:rsidRDefault="0083687B">
      <w:pPr>
        <w:autoSpaceDE w:val="0"/>
        <w:autoSpaceDN w:val="0"/>
        <w:adjustRightInd w:val="0"/>
        <w:jc w:val="both"/>
        <w:rPr>
          <w:sz w:val="22"/>
          <w:szCs w:val="22"/>
          <w:lang w:val="sr-Latn-ME"/>
        </w:rPr>
      </w:pPr>
    </w:p>
    <w:p w14:paraId="5A89B74A"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117/276 pacijenata iz ispitivanja CD I i 272/777 pacijenata iz ispitivanja CD II i III su praćeni najmanje 3 godine otvorene terapije adalimumabom. 88, odnosno 189 pacijenata i dalje je bilo u kliničkoj remisiji. Klinički odgovor (CR-100) je održan kod 102, odnosno 233 pacijenta.</w:t>
      </w:r>
    </w:p>
    <w:p w14:paraId="70497263" w14:textId="77777777" w:rsidR="0083687B" w:rsidRPr="0083687B" w:rsidRDefault="0083687B">
      <w:pPr>
        <w:autoSpaceDE w:val="0"/>
        <w:autoSpaceDN w:val="0"/>
        <w:adjustRightInd w:val="0"/>
        <w:jc w:val="both"/>
        <w:rPr>
          <w:sz w:val="22"/>
          <w:szCs w:val="22"/>
          <w:lang w:val="sr-Latn-ME"/>
        </w:rPr>
      </w:pPr>
    </w:p>
    <w:p w14:paraId="4CB63E5E" w14:textId="77777777" w:rsidR="0083687B" w:rsidRPr="0083687B" w:rsidRDefault="0083687B">
      <w:pPr>
        <w:autoSpaceDE w:val="0"/>
        <w:autoSpaceDN w:val="0"/>
        <w:adjustRightInd w:val="0"/>
        <w:jc w:val="both"/>
        <w:rPr>
          <w:i/>
          <w:sz w:val="22"/>
          <w:szCs w:val="22"/>
          <w:u w:val="single"/>
          <w:lang w:val="sr-Latn-ME"/>
        </w:rPr>
      </w:pPr>
      <w:r w:rsidRPr="0083687B">
        <w:rPr>
          <w:i/>
          <w:sz w:val="22"/>
          <w:szCs w:val="22"/>
          <w:u w:val="single"/>
          <w:lang w:val="sr-Latn-ME"/>
        </w:rPr>
        <w:t>Kvalitet života</w:t>
      </w:r>
    </w:p>
    <w:p w14:paraId="0683867A" w14:textId="77777777" w:rsidR="0083687B" w:rsidRPr="0083687B" w:rsidRDefault="0083687B">
      <w:pPr>
        <w:autoSpaceDE w:val="0"/>
        <w:autoSpaceDN w:val="0"/>
        <w:adjustRightInd w:val="0"/>
        <w:jc w:val="both"/>
        <w:rPr>
          <w:sz w:val="22"/>
          <w:szCs w:val="22"/>
          <w:u w:val="single"/>
          <w:lang w:val="sr-Latn-ME"/>
        </w:rPr>
      </w:pPr>
    </w:p>
    <w:p w14:paraId="3E6DF977" w14:textId="2A46566A" w:rsidR="0083687B" w:rsidRPr="0083687B" w:rsidRDefault="0083687B">
      <w:pPr>
        <w:snapToGrid w:val="0"/>
        <w:jc w:val="both"/>
        <w:rPr>
          <w:sz w:val="22"/>
          <w:szCs w:val="22"/>
          <w:lang w:val="sr-Latn-ME"/>
        </w:rPr>
      </w:pPr>
      <w:r w:rsidRPr="0083687B">
        <w:rPr>
          <w:sz w:val="22"/>
          <w:szCs w:val="22"/>
          <w:lang w:val="sr-Latn-ME"/>
        </w:rPr>
        <w:t>U ispitivanjima CD I i CD II, u 4. nedjelji kod pacijenata koji su uzimali lijek Humira 80/40 mg i lijek Humira 160/80 mg došlo je do statistički značajnog poboljšanja u rezultatima prema Upitniku o upalnim bolestima crijeva (</w:t>
      </w:r>
      <w:r w:rsidR="009007A2" w:rsidRPr="009007A2">
        <w:rPr>
          <w:sz w:val="22"/>
          <w:szCs w:val="22"/>
          <w:lang w:val="sr-Latn-ME"/>
        </w:rPr>
        <w:t xml:space="preserve">engl. </w:t>
      </w:r>
      <w:r w:rsidR="009007A2" w:rsidRPr="00172A4E">
        <w:rPr>
          <w:i/>
          <w:sz w:val="22"/>
          <w:szCs w:val="22"/>
          <w:lang w:val="sr-Latn-ME"/>
        </w:rPr>
        <w:t>Inflammatory Bowel Disease Questionnaire;</w:t>
      </w:r>
      <w:r w:rsidR="009007A2">
        <w:rPr>
          <w:sz w:val="22"/>
          <w:szCs w:val="22"/>
          <w:lang w:val="sr-Latn-ME"/>
        </w:rPr>
        <w:t xml:space="preserve"> </w:t>
      </w:r>
      <w:r w:rsidRPr="0083687B">
        <w:rPr>
          <w:sz w:val="22"/>
          <w:szCs w:val="22"/>
          <w:lang w:val="sr-Latn-ME"/>
        </w:rPr>
        <w:t>IBDQ) u odnosu na grupu pacijenata koji su uzimali placebo. U ispitivanju CD III grupe pacijenata koje su uzimale adalimumab imale su, u 26. i 56. nedjelji, bolje rezultate od grupe koja je uzimala placebo.</w:t>
      </w:r>
    </w:p>
    <w:p w14:paraId="1C081E3A" w14:textId="77777777" w:rsidR="0083687B" w:rsidRPr="0083687B" w:rsidRDefault="0083687B">
      <w:pPr>
        <w:widowControl w:val="0"/>
        <w:autoSpaceDE w:val="0"/>
        <w:autoSpaceDN w:val="0"/>
        <w:adjustRightInd w:val="0"/>
        <w:jc w:val="both"/>
        <w:rPr>
          <w:sz w:val="22"/>
          <w:szCs w:val="22"/>
          <w:lang w:val="sr-Latn-ME"/>
        </w:rPr>
      </w:pPr>
    </w:p>
    <w:p w14:paraId="7E7C624B" w14:textId="77777777" w:rsidR="0083687B" w:rsidRPr="0083687B" w:rsidRDefault="0083687B">
      <w:pPr>
        <w:snapToGrid w:val="0"/>
        <w:jc w:val="both"/>
        <w:rPr>
          <w:i/>
          <w:sz w:val="22"/>
          <w:szCs w:val="22"/>
          <w:lang w:val="sr-Latn-ME"/>
        </w:rPr>
      </w:pPr>
      <w:r w:rsidRPr="0083687B">
        <w:rPr>
          <w:i/>
          <w:sz w:val="22"/>
          <w:szCs w:val="22"/>
          <w:lang w:val="sr-Latn-ME"/>
        </w:rPr>
        <w:t>Uveitis kod odraslih pacijenata</w:t>
      </w:r>
    </w:p>
    <w:p w14:paraId="04D3E58A" w14:textId="77777777" w:rsidR="0083687B" w:rsidRPr="0083687B" w:rsidRDefault="0083687B">
      <w:pPr>
        <w:snapToGrid w:val="0"/>
        <w:jc w:val="both"/>
        <w:rPr>
          <w:sz w:val="22"/>
          <w:szCs w:val="22"/>
          <w:lang w:val="sr-Latn-ME"/>
        </w:rPr>
      </w:pPr>
    </w:p>
    <w:p w14:paraId="50199036" w14:textId="676DF579" w:rsidR="0083687B" w:rsidRPr="0083687B" w:rsidRDefault="0083687B">
      <w:pPr>
        <w:widowControl w:val="0"/>
        <w:autoSpaceDE w:val="0"/>
        <w:autoSpaceDN w:val="0"/>
        <w:adjustRightInd w:val="0"/>
        <w:jc w:val="both"/>
        <w:rPr>
          <w:sz w:val="22"/>
          <w:szCs w:val="22"/>
          <w:lang w:val="sr-Latn-ME"/>
        </w:rPr>
      </w:pPr>
      <w:r w:rsidRPr="0083687B">
        <w:rPr>
          <w:sz w:val="22"/>
          <w:szCs w:val="22"/>
          <w:lang w:val="sr-Latn-ME"/>
        </w:rPr>
        <w:t>Bezbjednost i efikasnost lijeka Humira ocjenjivale su se kod odraslih pacijenata sa neinfektivnim intermedijarnim, posteriornim i panuveitisom, isključujući pacijente sa izolovanim anteriornim uveitisom, u dvije randomiz</w:t>
      </w:r>
      <w:r w:rsidR="002B5E52">
        <w:rPr>
          <w:sz w:val="22"/>
          <w:szCs w:val="22"/>
          <w:lang w:val="sr-Latn-ME"/>
        </w:rPr>
        <w:t>ovane</w:t>
      </w:r>
      <w:r w:rsidRPr="0083687B">
        <w:rPr>
          <w:sz w:val="22"/>
          <w:szCs w:val="22"/>
          <w:lang w:val="sr-Latn-ME"/>
        </w:rPr>
        <w:t xml:space="preserve">, dvostruko maskirane, placebom kontrolisane studije (UV I i II). Pacijenti su primali placebo ili lijek Humira u početnoj dozi od 80 mg, nakon koje je slijedila doza od 40 mg svake druge nedjelje, počevši nedjelju dana nakon početne doze. Bila je dopuštena istovremena primjena stabilnih doza jednog nebiološkog imunosupresiva. </w:t>
      </w:r>
    </w:p>
    <w:p w14:paraId="7FBE407B" w14:textId="77777777" w:rsidR="0083687B" w:rsidRPr="0083687B" w:rsidRDefault="0083687B">
      <w:pPr>
        <w:widowControl w:val="0"/>
        <w:autoSpaceDE w:val="0"/>
        <w:autoSpaceDN w:val="0"/>
        <w:adjustRightInd w:val="0"/>
        <w:jc w:val="both"/>
        <w:rPr>
          <w:sz w:val="22"/>
          <w:szCs w:val="22"/>
          <w:lang w:val="sr-Latn-ME"/>
        </w:rPr>
      </w:pPr>
    </w:p>
    <w:p w14:paraId="40BC98DB" w14:textId="77777777" w:rsidR="0083687B" w:rsidRPr="0083687B" w:rsidRDefault="0083687B">
      <w:pPr>
        <w:widowControl w:val="0"/>
        <w:autoSpaceDE w:val="0"/>
        <w:autoSpaceDN w:val="0"/>
        <w:adjustRightInd w:val="0"/>
        <w:jc w:val="both"/>
        <w:rPr>
          <w:sz w:val="22"/>
          <w:szCs w:val="22"/>
          <w:lang w:val="sr-Latn-ME"/>
        </w:rPr>
      </w:pPr>
      <w:r w:rsidRPr="0083687B">
        <w:rPr>
          <w:sz w:val="22"/>
          <w:szCs w:val="22"/>
          <w:lang w:val="sr-Latn-ME"/>
        </w:rPr>
        <w:t xml:space="preserve">Ispitivanje UV I ocjenjivalo je 217 pacijenata sa aktivnim uveitisom uprkos liječenju kortikosteroidima (oralni prednizon u dozi od 10 do 60 mg/dan). Svi su pacijenti pri uključivanju u ispitivanje 2 nedjelje </w:t>
      </w:r>
      <w:r w:rsidRPr="0083687B">
        <w:rPr>
          <w:sz w:val="22"/>
          <w:szCs w:val="22"/>
          <w:lang w:val="sr-Latn-ME"/>
        </w:rPr>
        <w:lastRenderedPageBreak/>
        <w:t>primali standardnu dozu prednizona od 60 mg/dan, nakon čega je uslijedilo obavezno postupno smanjivanje doze, uz potpuni prestanak primjene kortikosteroida do 15. nedjelje.</w:t>
      </w:r>
    </w:p>
    <w:p w14:paraId="1E40F23C" w14:textId="77777777" w:rsidR="0083687B" w:rsidRPr="0083687B" w:rsidRDefault="0083687B">
      <w:pPr>
        <w:widowControl w:val="0"/>
        <w:autoSpaceDE w:val="0"/>
        <w:autoSpaceDN w:val="0"/>
        <w:adjustRightInd w:val="0"/>
        <w:jc w:val="both"/>
        <w:rPr>
          <w:sz w:val="22"/>
          <w:szCs w:val="22"/>
          <w:lang w:val="sr-Latn-ME"/>
        </w:rPr>
      </w:pPr>
    </w:p>
    <w:p w14:paraId="3C99B81F" w14:textId="77777777" w:rsidR="0083687B" w:rsidRPr="0083687B" w:rsidRDefault="0083687B">
      <w:pPr>
        <w:widowControl w:val="0"/>
        <w:autoSpaceDE w:val="0"/>
        <w:autoSpaceDN w:val="0"/>
        <w:adjustRightInd w:val="0"/>
        <w:jc w:val="both"/>
        <w:rPr>
          <w:sz w:val="22"/>
          <w:szCs w:val="22"/>
          <w:lang w:val="sr-Latn-ME"/>
        </w:rPr>
      </w:pPr>
      <w:r w:rsidRPr="0083687B">
        <w:rPr>
          <w:sz w:val="22"/>
          <w:szCs w:val="22"/>
          <w:lang w:val="sr-Latn-ME"/>
        </w:rPr>
        <w:t xml:space="preserve">Ispitivanje UV II ocjenjivalo je 226 pacijenata sa neaktivnim uveitisom kojima je na početku ispitivanja za kontrolu bolesti bilo potrebno hronično liječenje kortikosteroidima (oralni prednizon u dozi od 10 do 35 mg/dan). Nakon toga je uslijedilo obavezno postupno smanjivanje doze i potpuni prestanak primjene kortikosteroida do 19. nedjelje. </w:t>
      </w:r>
    </w:p>
    <w:p w14:paraId="70394C4F" w14:textId="77777777" w:rsidR="0083687B" w:rsidRPr="0083687B" w:rsidRDefault="0083687B">
      <w:pPr>
        <w:widowControl w:val="0"/>
        <w:autoSpaceDE w:val="0"/>
        <w:autoSpaceDN w:val="0"/>
        <w:adjustRightInd w:val="0"/>
        <w:jc w:val="both"/>
        <w:rPr>
          <w:sz w:val="22"/>
          <w:szCs w:val="22"/>
          <w:lang w:val="sr-Latn-ME"/>
        </w:rPr>
      </w:pPr>
    </w:p>
    <w:p w14:paraId="613164BD" w14:textId="77777777" w:rsidR="0083687B" w:rsidRPr="0083687B" w:rsidRDefault="0083687B">
      <w:pPr>
        <w:widowControl w:val="0"/>
        <w:autoSpaceDE w:val="0"/>
        <w:autoSpaceDN w:val="0"/>
        <w:adjustRightInd w:val="0"/>
        <w:jc w:val="both"/>
        <w:rPr>
          <w:sz w:val="22"/>
          <w:szCs w:val="22"/>
          <w:lang w:val="sr-Latn-ME"/>
        </w:rPr>
      </w:pPr>
      <w:r w:rsidRPr="0083687B">
        <w:rPr>
          <w:sz w:val="22"/>
          <w:szCs w:val="22"/>
          <w:lang w:val="sr-Latn-ME"/>
        </w:rPr>
        <w:t xml:space="preserve">Primarna mjera ishoda za efikasnost u oba ispitivanja bilo je 'vrijeme do neuspjeha liječenja'. Neuspjeh liječenja definisao se višekomponentnim ishodom koji se temeljio na upalnim horioretinalnim i/ili upalnim retinalnim vaskularnim lezijama, stepenu prema broju ćelija u prednjoj očnoj komori (engl. </w:t>
      </w:r>
      <w:r w:rsidRPr="0083687B">
        <w:rPr>
          <w:i/>
          <w:sz w:val="22"/>
          <w:szCs w:val="22"/>
          <w:lang w:val="sr-Latn-ME"/>
        </w:rPr>
        <w:t>anterior chamber [AC] cell grade</w:t>
      </w:r>
      <w:r w:rsidRPr="0083687B">
        <w:rPr>
          <w:sz w:val="22"/>
          <w:szCs w:val="22"/>
          <w:lang w:val="sr-Latn-ME"/>
        </w:rPr>
        <w:t xml:space="preserve">), stepenu prema zamućenju staklastog tijela (engl. </w:t>
      </w:r>
      <w:r w:rsidRPr="0083687B">
        <w:rPr>
          <w:i/>
          <w:sz w:val="22"/>
          <w:szCs w:val="22"/>
          <w:lang w:val="sr-Latn-ME"/>
        </w:rPr>
        <w:t>vitreous haze [VH] grade</w:t>
      </w:r>
      <w:r w:rsidRPr="0083687B">
        <w:rPr>
          <w:sz w:val="22"/>
          <w:szCs w:val="22"/>
          <w:lang w:val="sr-Latn-ME"/>
        </w:rPr>
        <w:t xml:space="preserve">) te najboljoj korigovanoj oštrini vida (engl. </w:t>
      </w:r>
      <w:r w:rsidRPr="0083687B">
        <w:rPr>
          <w:i/>
          <w:sz w:val="22"/>
          <w:szCs w:val="22"/>
          <w:lang w:val="sr-Latn-ME"/>
        </w:rPr>
        <w:t>best corrected visual acuity</w:t>
      </w:r>
      <w:r w:rsidRPr="0083687B">
        <w:rPr>
          <w:sz w:val="22"/>
          <w:szCs w:val="22"/>
          <w:lang w:val="sr-Latn-ME"/>
        </w:rPr>
        <w:t>, BCVA).</w:t>
      </w:r>
      <w:r w:rsidRPr="0083687B">
        <w:rPr>
          <w:sz w:val="22"/>
          <w:szCs w:val="22"/>
          <w:lang w:val="sr-Latn-ME"/>
        </w:rPr>
        <w:cr/>
      </w:r>
    </w:p>
    <w:p w14:paraId="3EF2922F" w14:textId="006F226A" w:rsidR="0083687B" w:rsidRPr="0083687B" w:rsidRDefault="0083687B">
      <w:pPr>
        <w:widowControl w:val="0"/>
        <w:autoSpaceDE w:val="0"/>
        <w:autoSpaceDN w:val="0"/>
        <w:adjustRightInd w:val="0"/>
        <w:jc w:val="both"/>
        <w:rPr>
          <w:sz w:val="22"/>
          <w:szCs w:val="22"/>
          <w:lang w:val="sr-Latn-ME"/>
        </w:rPr>
      </w:pPr>
      <w:r w:rsidRPr="0083687B">
        <w:rPr>
          <w:sz w:val="22"/>
          <w:szCs w:val="22"/>
          <w:lang w:val="sr-Latn-ME"/>
        </w:rPr>
        <w:t>Pacijenti koji su dovršili ispitivanja UV I i UV II zadovoljavali su kriterijume za uključivanje u  nekontrolisani dugoročni produžetak ispitivanja čije je planirano vrijeme trajanja bilo 78 nedjelja. Pacijentima su smjeli nastaviti liječenje ispitivanim lijekom nakon 78. nedjelj</w:t>
      </w:r>
      <w:r w:rsidR="00FA1042">
        <w:rPr>
          <w:sz w:val="22"/>
          <w:szCs w:val="22"/>
          <w:lang w:val="sr-Latn-ME"/>
        </w:rPr>
        <w:t xml:space="preserve">e </w:t>
      </w:r>
      <w:r w:rsidRPr="0083687B">
        <w:rPr>
          <w:sz w:val="22"/>
          <w:szCs w:val="22"/>
          <w:lang w:val="sr-Latn-ME"/>
        </w:rPr>
        <w:t>do trenutka kada im je omogućen pristup lijeku Humira.</w:t>
      </w:r>
    </w:p>
    <w:p w14:paraId="788A4DA7" w14:textId="77777777" w:rsidR="009E0DAA" w:rsidRDefault="009E0DAA">
      <w:pPr>
        <w:widowControl w:val="0"/>
        <w:autoSpaceDE w:val="0"/>
        <w:autoSpaceDN w:val="0"/>
        <w:adjustRightInd w:val="0"/>
        <w:jc w:val="both"/>
        <w:rPr>
          <w:i/>
          <w:sz w:val="22"/>
          <w:szCs w:val="22"/>
          <w:u w:val="single"/>
          <w:lang w:val="sr-Latn-ME"/>
        </w:rPr>
      </w:pPr>
    </w:p>
    <w:p w14:paraId="53838F92" w14:textId="555D54C8" w:rsidR="0083687B" w:rsidRPr="0083687B" w:rsidRDefault="0083687B">
      <w:pPr>
        <w:widowControl w:val="0"/>
        <w:autoSpaceDE w:val="0"/>
        <w:autoSpaceDN w:val="0"/>
        <w:adjustRightInd w:val="0"/>
        <w:jc w:val="both"/>
        <w:rPr>
          <w:i/>
          <w:sz w:val="22"/>
          <w:szCs w:val="22"/>
          <w:u w:val="single"/>
          <w:lang w:val="sr-Latn-ME"/>
        </w:rPr>
      </w:pPr>
      <w:r w:rsidRPr="0083687B">
        <w:rPr>
          <w:i/>
          <w:sz w:val="22"/>
          <w:szCs w:val="22"/>
          <w:u w:val="single"/>
          <w:lang w:val="sr-Latn-ME"/>
        </w:rPr>
        <w:t>Klinički odgovor</w:t>
      </w:r>
    </w:p>
    <w:p w14:paraId="7927AE06" w14:textId="77777777" w:rsidR="0083687B" w:rsidRPr="0083687B" w:rsidRDefault="0083687B">
      <w:pPr>
        <w:widowControl w:val="0"/>
        <w:autoSpaceDE w:val="0"/>
        <w:autoSpaceDN w:val="0"/>
        <w:adjustRightInd w:val="0"/>
        <w:jc w:val="both"/>
        <w:rPr>
          <w:sz w:val="22"/>
          <w:szCs w:val="22"/>
          <w:lang w:val="sr-Latn-ME"/>
        </w:rPr>
      </w:pPr>
    </w:p>
    <w:p w14:paraId="024C2228" w14:textId="77777777" w:rsidR="0083687B" w:rsidRPr="0083687B" w:rsidRDefault="0083687B">
      <w:pPr>
        <w:widowControl w:val="0"/>
        <w:autoSpaceDE w:val="0"/>
        <w:autoSpaceDN w:val="0"/>
        <w:adjustRightInd w:val="0"/>
        <w:jc w:val="both"/>
        <w:rPr>
          <w:sz w:val="22"/>
          <w:szCs w:val="22"/>
          <w:lang w:val="sr-Latn-ME"/>
        </w:rPr>
      </w:pPr>
      <w:r w:rsidRPr="0083687B">
        <w:rPr>
          <w:sz w:val="22"/>
          <w:szCs w:val="22"/>
          <w:lang w:val="sr-Latn-ME"/>
        </w:rPr>
        <w:t>Rezultati iz oba ispitivanja pokazali su statistički značajno smanjenje rizika od neuspjeha liječenja kod pacijenata liječenih lijekom Humira u odnosu na one koji su primali placebo (vidjeti Tabelu 16). Oba su ispitivanja pokazala rani i održan efekat lijeka Humira na stopu neuspjeha liječenja u odnosu na placebo (vidjeti Sliku 1).</w:t>
      </w:r>
    </w:p>
    <w:p w14:paraId="3DC70351" w14:textId="77777777" w:rsidR="0083687B" w:rsidRPr="0083687B" w:rsidRDefault="0083687B">
      <w:pPr>
        <w:widowControl w:val="0"/>
        <w:autoSpaceDE w:val="0"/>
        <w:autoSpaceDN w:val="0"/>
        <w:adjustRightInd w:val="0"/>
        <w:jc w:val="both"/>
        <w:rPr>
          <w:sz w:val="22"/>
          <w:szCs w:val="22"/>
          <w:lang w:val="sr-Latn-ME"/>
        </w:rPr>
      </w:pPr>
    </w:p>
    <w:p w14:paraId="16D70968" w14:textId="34DF4019" w:rsidR="0083687B" w:rsidRPr="0083687B" w:rsidRDefault="0083687B" w:rsidP="00EB3350">
      <w:pPr>
        <w:widowControl w:val="0"/>
        <w:autoSpaceDE w:val="0"/>
        <w:autoSpaceDN w:val="0"/>
        <w:adjustRightInd w:val="0"/>
        <w:jc w:val="both"/>
        <w:rPr>
          <w:b/>
          <w:sz w:val="22"/>
          <w:szCs w:val="22"/>
          <w:lang w:val="sr-Latn-ME"/>
        </w:rPr>
      </w:pPr>
      <w:r w:rsidRPr="0083687B">
        <w:rPr>
          <w:b/>
          <w:sz w:val="22"/>
          <w:szCs w:val="22"/>
          <w:lang w:val="sr-Latn-ME"/>
        </w:rPr>
        <w:t>Tabela 16</w:t>
      </w:r>
      <w:r w:rsidR="009E0DAA">
        <w:rPr>
          <w:b/>
          <w:sz w:val="22"/>
          <w:szCs w:val="22"/>
          <w:lang w:val="sr-Latn-ME"/>
        </w:rPr>
        <w:t>.</w:t>
      </w:r>
      <w:r w:rsidRPr="0083687B">
        <w:rPr>
          <w:b/>
          <w:sz w:val="22"/>
          <w:szCs w:val="22"/>
          <w:lang w:val="sr-Latn-ME"/>
        </w:rPr>
        <w:t xml:space="preserve"> Vrijeme do neuspjeha liječenja u ispitivanjima UV I i UV II</w:t>
      </w:r>
      <w:r w:rsidRPr="0083687B">
        <w:rPr>
          <w:b/>
          <w:sz w:val="22"/>
          <w:szCs w:val="22"/>
          <w:lang w:val="sr-Latn-ME"/>
        </w:rPr>
        <w:cr/>
      </w:r>
    </w:p>
    <w:tbl>
      <w:tblPr>
        <w:tblW w:w="0" w:type="auto"/>
        <w:tblBorders>
          <w:top w:val="single" w:sz="4" w:space="0" w:color="auto"/>
          <w:bottom w:val="single" w:sz="4" w:space="0" w:color="auto"/>
        </w:tblBorders>
        <w:tblLook w:val="04A0" w:firstRow="1" w:lastRow="0" w:firstColumn="1" w:lastColumn="0" w:noHBand="0" w:noVBand="1"/>
      </w:tblPr>
      <w:tblGrid>
        <w:gridCol w:w="2261"/>
        <w:gridCol w:w="717"/>
        <w:gridCol w:w="1169"/>
        <w:gridCol w:w="1877"/>
        <w:gridCol w:w="718"/>
        <w:gridCol w:w="1161"/>
        <w:gridCol w:w="1170"/>
      </w:tblGrid>
      <w:tr w:rsidR="0083687B" w:rsidRPr="0083687B" w14:paraId="1549A6A4" w14:textId="77777777" w:rsidTr="0088568A">
        <w:tc>
          <w:tcPr>
            <w:tcW w:w="2268" w:type="dxa"/>
            <w:tcBorders>
              <w:top w:val="single" w:sz="4" w:space="0" w:color="auto"/>
              <w:bottom w:val="single" w:sz="4" w:space="0" w:color="auto"/>
            </w:tcBorders>
            <w:shd w:val="clear" w:color="auto" w:fill="auto"/>
          </w:tcPr>
          <w:p w14:paraId="52909021" w14:textId="77777777" w:rsidR="0083687B" w:rsidRPr="0083687B" w:rsidRDefault="0083687B" w:rsidP="00730D96">
            <w:pPr>
              <w:tabs>
                <w:tab w:val="left" w:pos="562"/>
              </w:tabs>
              <w:suppressAutoHyphens/>
              <w:jc w:val="both"/>
              <w:rPr>
                <w:b/>
                <w:sz w:val="22"/>
                <w:szCs w:val="22"/>
                <w:lang w:val="sr-Latn-ME"/>
              </w:rPr>
            </w:pPr>
            <w:r w:rsidRPr="0083687B">
              <w:rPr>
                <w:b/>
                <w:sz w:val="22"/>
                <w:szCs w:val="22"/>
                <w:lang w:val="sr-Latn-ME"/>
              </w:rPr>
              <w:t>Analiza</w:t>
            </w:r>
          </w:p>
          <w:p w14:paraId="0EF6286B" w14:textId="77777777" w:rsidR="0083687B" w:rsidRPr="0083687B" w:rsidRDefault="0083687B">
            <w:pPr>
              <w:tabs>
                <w:tab w:val="left" w:pos="562"/>
              </w:tabs>
              <w:suppressAutoHyphens/>
              <w:jc w:val="both"/>
              <w:rPr>
                <w:b/>
                <w:sz w:val="22"/>
                <w:szCs w:val="22"/>
                <w:lang w:val="sr-Latn-ME"/>
              </w:rPr>
            </w:pPr>
            <w:r w:rsidRPr="0083687B">
              <w:rPr>
                <w:b/>
                <w:sz w:val="22"/>
                <w:szCs w:val="22"/>
                <w:lang w:val="sr-Latn-ME"/>
              </w:rPr>
              <w:tab/>
              <w:t>Liječenje</w:t>
            </w:r>
          </w:p>
        </w:tc>
        <w:tc>
          <w:tcPr>
            <w:tcW w:w="720" w:type="dxa"/>
            <w:tcBorders>
              <w:top w:val="single" w:sz="4" w:space="0" w:color="auto"/>
              <w:bottom w:val="single" w:sz="4" w:space="0" w:color="auto"/>
            </w:tcBorders>
            <w:shd w:val="clear" w:color="auto" w:fill="auto"/>
          </w:tcPr>
          <w:p w14:paraId="14794FF7" w14:textId="77777777" w:rsidR="0083687B" w:rsidRPr="0083687B" w:rsidRDefault="0083687B">
            <w:pPr>
              <w:tabs>
                <w:tab w:val="left" w:pos="562"/>
              </w:tabs>
              <w:suppressAutoHyphens/>
              <w:jc w:val="both"/>
              <w:rPr>
                <w:b/>
                <w:sz w:val="22"/>
                <w:szCs w:val="22"/>
                <w:lang w:val="sr-Latn-ME"/>
              </w:rPr>
            </w:pPr>
            <w:r w:rsidRPr="0083687B">
              <w:rPr>
                <w:b/>
                <w:sz w:val="22"/>
                <w:szCs w:val="22"/>
                <w:lang w:val="sr-Latn-ME"/>
              </w:rPr>
              <w:t>N</w:t>
            </w:r>
          </w:p>
        </w:tc>
        <w:tc>
          <w:tcPr>
            <w:tcW w:w="1170" w:type="dxa"/>
            <w:tcBorders>
              <w:top w:val="single" w:sz="4" w:space="0" w:color="auto"/>
              <w:bottom w:val="single" w:sz="4" w:space="0" w:color="auto"/>
            </w:tcBorders>
            <w:shd w:val="clear" w:color="auto" w:fill="auto"/>
          </w:tcPr>
          <w:p w14:paraId="0CFD67F6" w14:textId="77777777" w:rsidR="0083687B" w:rsidRPr="0083687B" w:rsidRDefault="0083687B">
            <w:pPr>
              <w:tabs>
                <w:tab w:val="left" w:pos="562"/>
              </w:tabs>
              <w:suppressAutoHyphens/>
              <w:jc w:val="both"/>
              <w:rPr>
                <w:b/>
                <w:sz w:val="22"/>
                <w:szCs w:val="22"/>
                <w:lang w:val="sr-Latn-ME"/>
              </w:rPr>
            </w:pPr>
            <w:r w:rsidRPr="0083687B">
              <w:rPr>
                <w:b/>
                <w:sz w:val="22"/>
                <w:szCs w:val="22"/>
                <w:lang w:val="sr-Latn-ME"/>
              </w:rPr>
              <w:t>Neuspjeh</w:t>
            </w:r>
            <w:r w:rsidRPr="0083687B">
              <w:rPr>
                <w:b/>
                <w:sz w:val="22"/>
                <w:szCs w:val="22"/>
                <w:lang w:val="sr-Latn-ME"/>
              </w:rPr>
              <w:br/>
              <w:t>N (%)</w:t>
            </w:r>
          </w:p>
        </w:tc>
        <w:tc>
          <w:tcPr>
            <w:tcW w:w="1890" w:type="dxa"/>
            <w:tcBorders>
              <w:top w:val="single" w:sz="4" w:space="0" w:color="auto"/>
              <w:bottom w:val="single" w:sz="4" w:space="0" w:color="auto"/>
            </w:tcBorders>
            <w:shd w:val="clear" w:color="auto" w:fill="auto"/>
          </w:tcPr>
          <w:p w14:paraId="708A08CE" w14:textId="77777777" w:rsidR="0083687B" w:rsidRPr="0083687B" w:rsidRDefault="0083687B" w:rsidP="00EB3350">
            <w:pPr>
              <w:tabs>
                <w:tab w:val="left" w:pos="562"/>
              </w:tabs>
              <w:suppressAutoHyphens/>
              <w:jc w:val="both"/>
              <w:rPr>
                <w:b/>
                <w:sz w:val="22"/>
                <w:szCs w:val="22"/>
                <w:lang w:val="sr-Latn-ME"/>
              </w:rPr>
            </w:pPr>
            <w:r w:rsidRPr="0083687B">
              <w:rPr>
                <w:b/>
                <w:sz w:val="22"/>
                <w:szCs w:val="22"/>
                <w:lang w:val="sr-Latn-ME"/>
              </w:rPr>
              <w:t>Medijana vremena do neuspjeha (mjeseci)</w:t>
            </w:r>
          </w:p>
        </w:tc>
        <w:tc>
          <w:tcPr>
            <w:tcW w:w="720" w:type="dxa"/>
            <w:tcBorders>
              <w:top w:val="single" w:sz="4" w:space="0" w:color="auto"/>
              <w:bottom w:val="single" w:sz="4" w:space="0" w:color="auto"/>
            </w:tcBorders>
            <w:shd w:val="clear" w:color="auto" w:fill="auto"/>
          </w:tcPr>
          <w:p w14:paraId="7A80A8C4" w14:textId="77777777" w:rsidR="0083687B" w:rsidRPr="0083687B" w:rsidRDefault="0083687B" w:rsidP="00730D96">
            <w:pPr>
              <w:tabs>
                <w:tab w:val="left" w:pos="562"/>
              </w:tabs>
              <w:suppressAutoHyphens/>
              <w:jc w:val="both"/>
              <w:rPr>
                <w:b/>
                <w:sz w:val="22"/>
                <w:szCs w:val="22"/>
                <w:lang w:val="sr-Latn-ME"/>
              </w:rPr>
            </w:pPr>
            <w:r w:rsidRPr="0083687B">
              <w:rPr>
                <w:b/>
                <w:sz w:val="22"/>
                <w:szCs w:val="22"/>
                <w:lang w:val="sr-Latn-ME"/>
              </w:rPr>
              <w:t>HR</w:t>
            </w:r>
            <w:r w:rsidRPr="0083687B">
              <w:rPr>
                <w:b/>
                <w:sz w:val="22"/>
                <w:szCs w:val="22"/>
                <w:vertAlign w:val="superscript"/>
                <w:lang w:val="sr-Latn-ME"/>
              </w:rPr>
              <w:t>a</w:t>
            </w:r>
          </w:p>
        </w:tc>
        <w:tc>
          <w:tcPr>
            <w:tcW w:w="1170" w:type="dxa"/>
            <w:tcBorders>
              <w:top w:val="single" w:sz="4" w:space="0" w:color="auto"/>
              <w:bottom w:val="single" w:sz="4" w:space="0" w:color="auto"/>
            </w:tcBorders>
            <w:shd w:val="clear" w:color="auto" w:fill="auto"/>
          </w:tcPr>
          <w:p w14:paraId="34D750A1" w14:textId="77777777" w:rsidR="0083687B" w:rsidRPr="0083687B" w:rsidRDefault="0083687B">
            <w:pPr>
              <w:tabs>
                <w:tab w:val="left" w:pos="562"/>
              </w:tabs>
              <w:suppressAutoHyphens/>
              <w:jc w:val="both"/>
              <w:rPr>
                <w:b/>
                <w:sz w:val="22"/>
                <w:szCs w:val="22"/>
                <w:lang w:val="sr-Latn-ME"/>
              </w:rPr>
            </w:pPr>
            <w:r w:rsidRPr="0083687B">
              <w:rPr>
                <w:b/>
                <w:sz w:val="22"/>
                <w:szCs w:val="22"/>
                <w:lang w:val="sr-Latn-ME"/>
              </w:rPr>
              <w:t>CI 95% za HR</w:t>
            </w:r>
            <w:r w:rsidRPr="0083687B">
              <w:rPr>
                <w:b/>
                <w:sz w:val="22"/>
                <w:szCs w:val="22"/>
                <w:vertAlign w:val="superscript"/>
                <w:lang w:val="sr-Latn-ME"/>
              </w:rPr>
              <w:t>a</w:t>
            </w:r>
          </w:p>
        </w:tc>
        <w:tc>
          <w:tcPr>
            <w:tcW w:w="1170" w:type="dxa"/>
            <w:tcBorders>
              <w:top w:val="single" w:sz="4" w:space="0" w:color="auto"/>
              <w:bottom w:val="single" w:sz="4" w:space="0" w:color="auto"/>
            </w:tcBorders>
            <w:shd w:val="clear" w:color="auto" w:fill="auto"/>
          </w:tcPr>
          <w:p w14:paraId="433CF9D8" w14:textId="77777777" w:rsidR="0083687B" w:rsidRPr="0083687B" w:rsidRDefault="0083687B">
            <w:pPr>
              <w:tabs>
                <w:tab w:val="left" w:pos="562"/>
              </w:tabs>
              <w:suppressAutoHyphens/>
              <w:jc w:val="both"/>
              <w:rPr>
                <w:b/>
                <w:sz w:val="22"/>
                <w:szCs w:val="22"/>
                <w:lang w:val="sr-Latn-ME"/>
              </w:rPr>
            </w:pPr>
            <w:r w:rsidRPr="0083687B">
              <w:rPr>
                <w:b/>
                <w:i/>
                <w:sz w:val="22"/>
                <w:szCs w:val="22"/>
                <w:lang w:val="sr-Latn-ME"/>
              </w:rPr>
              <w:t>P</w:t>
            </w:r>
            <w:r w:rsidRPr="0083687B">
              <w:rPr>
                <w:b/>
                <w:sz w:val="22"/>
                <w:szCs w:val="22"/>
                <w:lang w:val="sr-Latn-ME"/>
              </w:rPr>
              <w:t>- vrijednost</w:t>
            </w:r>
            <w:r w:rsidRPr="0083687B">
              <w:rPr>
                <w:sz w:val="22"/>
                <w:szCs w:val="22"/>
                <w:vertAlign w:val="superscript"/>
                <w:lang w:val="sr-Latn-ME"/>
              </w:rPr>
              <w:t xml:space="preserve"> b</w:t>
            </w:r>
          </w:p>
        </w:tc>
      </w:tr>
      <w:tr w:rsidR="0083687B" w:rsidRPr="0083687B" w14:paraId="741722A1" w14:textId="77777777" w:rsidTr="0088568A">
        <w:tc>
          <w:tcPr>
            <w:tcW w:w="9108" w:type="dxa"/>
            <w:gridSpan w:val="7"/>
            <w:tcBorders>
              <w:top w:val="single" w:sz="4" w:space="0" w:color="auto"/>
              <w:bottom w:val="nil"/>
            </w:tcBorders>
            <w:shd w:val="clear" w:color="auto" w:fill="auto"/>
          </w:tcPr>
          <w:p w14:paraId="458AACE2" w14:textId="77777777" w:rsidR="0083687B" w:rsidRPr="0083687B" w:rsidRDefault="0083687B" w:rsidP="00730D96">
            <w:pPr>
              <w:tabs>
                <w:tab w:val="left" w:pos="562"/>
              </w:tabs>
              <w:suppressAutoHyphens/>
              <w:jc w:val="both"/>
              <w:rPr>
                <w:b/>
                <w:sz w:val="22"/>
                <w:szCs w:val="22"/>
                <w:lang w:val="sr-Latn-ME"/>
              </w:rPr>
            </w:pPr>
            <w:r w:rsidRPr="0083687B">
              <w:rPr>
                <w:b/>
                <w:sz w:val="22"/>
                <w:szCs w:val="22"/>
                <w:lang w:val="sr-Latn-ME"/>
              </w:rPr>
              <w:t xml:space="preserve">Vrijeme do neuspjeha liječenja u 6 nedjelji i nakon nje u ispitivanju UV I  </w:t>
            </w:r>
          </w:p>
        </w:tc>
      </w:tr>
      <w:tr w:rsidR="0083687B" w:rsidRPr="0083687B" w14:paraId="27A008D9" w14:textId="77777777" w:rsidTr="0088568A">
        <w:tc>
          <w:tcPr>
            <w:tcW w:w="2988" w:type="dxa"/>
            <w:gridSpan w:val="2"/>
            <w:tcBorders>
              <w:top w:val="nil"/>
              <w:bottom w:val="nil"/>
            </w:tcBorders>
            <w:shd w:val="clear" w:color="auto" w:fill="auto"/>
          </w:tcPr>
          <w:p w14:paraId="36987419" w14:textId="77777777" w:rsidR="0083687B" w:rsidRPr="0083687B" w:rsidRDefault="0083687B" w:rsidP="00730D96">
            <w:pPr>
              <w:tabs>
                <w:tab w:val="left" w:pos="562"/>
              </w:tabs>
              <w:suppressAutoHyphens/>
              <w:jc w:val="both"/>
              <w:rPr>
                <w:sz w:val="22"/>
                <w:szCs w:val="22"/>
                <w:lang w:val="sr-Latn-ME"/>
              </w:rPr>
            </w:pPr>
            <w:r w:rsidRPr="0083687B">
              <w:rPr>
                <w:sz w:val="22"/>
                <w:szCs w:val="22"/>
                <w:lang w:val="sr-Latn-ME"/>
              </w:rPr>
              <w:t>Primarna analiza (ITT)</w:t>
            </w:r>
          </w:p>
        </w:tc>
        <w:tc>
          <w:tcPr>
            <w:tcW w:w="1170" w:type="dxa"/>
            <w:tcBorders>
              <w:top w:val="nil"/>
              <w:bottom w:val="nil"/>
            </w:tcBorders>
            <w:shd w:val="clear" w:color="auto" w:fill="auto"/>
          </w:tcPr>
          <w:p w14:paraId="11AAB56E" w14:textId="77777777" w:rsidR="0083687B" w:rsidRPr="0083687B" w:rsidRDefault="0083687B">
            <w:pPr>
              <w:tabs>
                <w:tab w:val="left" w:pos="562"/>
              </w:tabs>
              <w:suppressAutoHyphens/>
              <w:jc w:val="both"/>
              <w:rPr>
                <w:sz w:val="22"/>
                <w:szCs w:val="22"/>
                <w:lang w:val="sr-Latn-ME"/>
              </w:rPr>
            </w:pPr>
          </w:p>
        </w:tc>
        <w:tc>
          <w:tcPr>
            <w:tcW w:w="1890" w:type="dxa"/>
            <w:tcBorders>
              <w:top w:val="nil"/>
              <w:bottom w:val="nil"/>
            </w:tcBorders>
            <w:shd w:val="clear" w:color="auto" w:fill="auto"/>
          </w:tcPr>
          <w:p w14:paraId="5CFF0856" w14:textId="77777777" w:rsidR="0083687B" w:rsidRPr="0083687B" w:rsidRDefault="0083687B">
            <w:pPr>
              <w:tabs>
                <w:tab w:val="left" w:pos="562"/>
              </w:tabs>
              <w:suppressAutoHyphens/>
              <w:jc w:val="both"/>
              <w:rPr>
                <w:sz w:val="22"/>
                <w:szCs w:val="22"/>
                <w:lang w:val="sr-Latn-ME"/>
              </w:rPr>
            </w:pPr>
          </w:p>
        </w:tc>
        <w:tc>
          <w:tcPr>
            <w:tcW w:w="720" w:type="dxa"/>
            <w:tcBorders>
              <w:top w:val="nil"/>
              <w:bottom w:val="nil"/>
            </w:tcBorders>
            <w:shd w:val="clear" w:color="auto" w:fill="auto"/>
          </w:tcPr>
          <w:p w14:paraId="3EEFC11B" w14:textId="77777777" w:rsidR="0083687B" w:rsidRPr="0083687B" w:rsidRDefault="0083687B">
            <w:pPr>
              <w:tabs>
                <w:tab w:val="left" w:pos="562"/>
              </w:tabs>
              <w:suppressAutoHyphens/>
              <w:jc w:val="both"/>
              <w:rPr>
                <w:sz w:val="22"/>
                <w:szCs w:val="22"/>
                <w:lang w:val="sr-Latn-ME"/>
              </w:rPr>
            </w:pPr>
          </w:p>
        </w:tc>
        <w:tc>
          <w:tcPr>
            <w:tcW w:w="1170" w:type="dxa"/>
            <w:tcBorders>
              <w:top w:val="nil"/>
              <w:bottom w:val="nil"/>
            </w:tcBorders>
            <w:shd w:val="clear" w:color="auto" w:fill="auto"/>
          </w:tcPr>
          <w:p w14:paraId="0ECFF7F0" w14:textId="77777777" w:rsidR="0083687B" w:rsidRPr="0083687B" w:rsidRDefault="0083687B">
            <w:pPr>
              <w:tabs>
                <w:tab w:val="left" w:pos="562"/>
              </w:tabs>
              <w:suppressAutoHyphens/>
              <w:jc w:val="both"/>
              <w:rPr>
                <w:sz w:val="22"/>
                <w:szCs w:val="22"/>
                <w:lang w:val="sr-Latn-ME"/>
              </w:rPr>
            </w:pPr>
          </w:p>
        </w:tc>
        <w:tc>
          <w:tcPr>
            <w:tcW w:w="1170" w:type="dxa"/>
            <w:tcBorders>
              <w:top w:val="nil"/>
              <w:bottom w:val="nil"/>
            </w:tcBorders>
            <w:shd w:val="clear" w:color="auto" w:fill="auto"/>
          </w:tcPr>
          <w:p w14:paraId="5B675E78" w14:textId="77777777" w:rsidR="0083687B" w:rsidRPr="0083687B" w:rsidRDefault="0083687B">
            <w:pPr>
              <w:tabs>
                <w:tab w:val="left" w:pos="562"/>
              </w:tabs>
              <w:suppressAutoHyphens/>
              <w:jc w:val="both"/>
              <w:rPr>
                <w:sz w:val="22"/>
                <w:szCs w:val="22"/>
                <w:lang w:val="sr-Latn-ME"/>
              </w:rPr>
            </w:pPr>
          </w:p>
        </w:tc>
      </w:tr>
      <w:tr w:rsidR="0083687B" w:rsidRPr="0083687B" w14:paraId="3FFA126A" w14:textId="77777777" w:rsidTr="0088568A">
        <w:tc>
          <w:tcPr>
            <w:tcW w:w="2268" w:type="dxa"/>
            <w:tcBorders>
              <w:top w:val="nil"/>
              <w:bottom w:val="nil"/>
            </w:tcBorders>
            <w:shd w:val="clear" w:color="auto" w:fill="auto"/>
          </w:tcPr>
          <w:p w14:paraId="41802BD9" w14:textId="77777777" w:rsidR="0083687B" w:rsidRPr="0083687B" w:rsidRDefault="0083687B" w:rsidP="00730D96">
            <w:pPr>
              <w:tabs>
                <w:tab w:val="left" w:pos="562"/>
              </w:tabs>
              <w:suppressAutoHyphens/>
              <w:jc w:val="both"/>
              <w:rPr>
                <w:sz w:val="22"/>
                <w:szCs w:val="22"/>
                <w:lang w:val="sr-Latn-ME"/>
              </w:rPr>
            </w:pPr>
            <w:r w:rsidRPr="0083687B">
              <w:rPr>
                <w:sz w:val="22"/>
                <w:szCs w:val="22"/>
                <w:lang w:val="sr-Latn-ME"/>
              </w:rPr>
              <w:tab/>
              <w:t>Placebo</w:t>
            </w:r>
          </w:p>
        </w:tc>
        <w:tc>
          <w:tcPr>
            <w:tcW w:w="720" w:type="dxa"/>
            <w:tcBorders>
              <w:top w:val="nil"/>
              <w:bottom w:val="nil"/>
            </w:tcBorders>
            <w:shd w:val="clear" w:color="auto" w:fill="auto"/>
          </w:tcPr>
          <w:p w14:paraId="6D1EF474" w14:textId="77777777" w:rsidR="0083687B" w:rsidRPr="0083687B" w:rsidRDefault="0083687B">
            <w:pPr>
              <w:tabs>
                <w:tab w:val="left" w:pos="562"/>
              </w:tabs>
              <w:suppressAutoHyphens/>
              <w:jc w:val="both"/>
              <w:rPr>
                <w:sz w:val="22"/>
                <w:szCs w:val="22"/>
                <w:lang w:val="sr-Latn-ME"/>
              </w:rPr>
            </w:pPr>
            <w:r w:rsidRPr="0083687B">
              <w:rPr>
                <w:sz w:val="22"/>
                <w:szCs w:val="22"/>
                <w:lang w:val="sr-Latn-ME"/>
              </w:rPr>
              <w:t>107</w:t>
            </w:r>
          </w:p>
        </w:tc>
        <w:tc>
          <w:tcPr>
            <w:tcW w:w="1170" w:type="dxa"/>
            <w:tcBorders>
              <w:top w:val="nil"/>
              <w:bottom w:val="nil"/>
            </w:tcBorders>
            <w:shd w:val="clear" w:color="auto" w:fill="auto"/>
          </w:tcPr>
          <w:p w14:paraId="5794F110" w14:textId="77777777" w:rsidR="0083687B" w:rsidRPr="0083687B" w:rsidRDefault="0083687B">
            <w:pPr>
              <w:tabs>
                <w:tab w:val="left" w:pos="562"/>
              </w:tabs>
              <w:suppressAutoHyphens/>
              <w:jc w:val="both"/>
              <w:rPr>
                <w:sz w:val="22"/>
                <w:szCs w:val="22"/>
                <w:lang w:val="sr-Latn-ME"/>
              </w:rPr>
            </w:pPr>
            <w:r w:rsidRPr="0083687B">
              <w:rPr>
                <w:sz w:val="22"/>
                <w:szCs w:val="22"/>
                <w:lang w:val="sr-Latn-ME"/>
              </w:rPr>
              <w:t>84 (78,5)</w:t>
            </w:r>
          </w:p>
        </w:tc>
        <w:tc>
          <w:tcPr>
            <w:tcW w:w="1890" w:type="dxa"/>
            <w:tcBorders>
              <w:top w:val="nil"/>
              <w:bottom w:val="nil"/>
            </w:tcBorders>
            <w:shd w:val="clear" w:color="auto" w:fill="auto"/>
          </w:tcPr>
          <w:p w14:paraId="07F0D473" w14:textId="77777777" w:rsidR="0083687B" w:rsidRPr="0083687B" w:rsidRDefault="0083687B">
            <w:pPr>
              <w:tabs>
                <w:tab w:val="left" w:pos="562"/>
              </w:tabs>
              <w:suppressAutoHyphens/>
              <w:jc w:val="both"/>
              <w:rPr>
                <w:sz w:val="22"/>
                <w:szCs w:val="22"/>
                <w:lang w:val="sr-Latn-ME"/>
              </w:rPr>
            </w:pPr>
            <w:r w:rsidRPr="0083687B">
              <w:rPr>
                <w:sz w:val="22"/>
                <w:szCs w:val="22"/>
                <w:lang w:val="sr-Latn-ME"/>
              </w:rPr>
              <w:t>3,0</w:t>
            </w:r>
          </w:p>
        </w:tc>
        <w:tc>
          <w:tcPr>
            <w:tcW w:w="720" w:type="dxa"/>
            <w:tcBorders>
              <w:top w:val="nil"/>
              <w:bottom w:val="nil"/>
            </w:tcBorders>
            <w:shd w:val="clear" w:color="auto" w:fill="auto"/>
          </w:tcPr>
          <w:p w14:paraId="3D12E6E4" w14:textId="77777777" w:rsidR="0083687B" w:rsidRPr="0083687B" w:rsidRDefault="0083687B">
            <w:pPr>
              <w:tabs>
                <w:tab w:val="left" w:pos="562"/>
              </w:tabs>
              <w:suppressAutoHyphens/>
              <w:jc w:val="both"/>
              <w:rPr>
                <w:sz w:val="22"/>
                <w:szCs w:val="22"/>
                <w:lang w:val="sr-Latn-ME"/>
              </w:rPr>
            </w:pPr>
            <w:r w:rsidRPr="0083687B">
              <w:rPr>
                <w:sz w:val="22"/>
                <w:szCs w:val="22"/>
                <w:lang w:val="sr-Latn-ME"/>
              </w:rPr>
              <w:t>--</w:t>
            </w:r>
          </w:p>
        </w:tc>
        <w:tc>
          <w:tcPr>
            <w:tcW w:w="1170" w:type="dxa"/>
            <w:tcBorders>
              <w:top w:val="nil"/>
              <w:bottom w:val="nil"/>
            </w:tcBorders>
            <w:shd w:val="clear" w:color="auto" w:fill="auto"/>
          </w:tcPr>
          <w:p w14:paraId="19308BA0" w14:textId="77777777" w:rsidR="0083687B" w:rsidRPr="0083687B" w:rsidRDefault="0083687B">
            <w:pPr>
              <w:tabs>
                <w:tab w:val="left" w:pos="562"/>
              </w:tabs>
              <w:suppressAutoHyphens/>
              <w:jc w:val="both"/>
              <w:rPr>
                <w:sz w:val="22"/>
                <w:szCs w:val="22"/>
                <w:lang w:val="sr-Latn-ME"/>
              </w:rPr>
            </w:pPr>
            <w:r w:rsidRPr="0083687B">
              <w:rPr>
                <w:sz w:val="22"/>
                <w:szCs w:val="22"/>
                <w:lang w:val="sr-Latn-ME"/>
              </w:rPr>
              <w:t>--</w:t>
            </w:r>
          </w:p>
        </w:tc>
        <w:tc>
          <w:tcPr>
            <w:tcW w:w="1170" w:type="dxa"/>
            <w:tcBorders>
              <w:top w:val="nil"/>
              <w:bottom w:val="nil"/>
            </w:tcBorders>
            <w:shd w:val="clear" w:color="auto" w:fill="auto"/>
          </w:tcPr>
          <w:p w14:paraId="766947F2" w14:textId="77777777" w:rsidR="0083687B" w:rsidRPr="0083687B" w:rsidRDefault="0083687B">
            <w:pPr>
              <w:tabs>
                <w:tab w:val="left" w:pos="562"/>
              </w:tabs>
              <w:suppressAutoHyphens/>
              <w:jc w:val="both"/>
              <w:rPr>
                <w:sz w:val="22"/>
                <w:szCs w:val="22"/>
                <w:lang w:val="sr-Latn-ME"/>
              </w:rPr>
            </w:pPr>
            <w:r w:rsidRPr="0083687B">
              <w:rPr>
                <w:sz w:val="22"/>
                <w:szCs w:val="22"/>
                <w:lang w:val="sr-Latn-ME"/>
              </w:rPr>
              <w:t>--</w:t>
            </w:r>
          </w:p>
        </w:tc>
      </w:tr>
      <w:tr w:rsidR="0083687B" w:rsidRPr="0083687B" w14:paraId="1CF4FF60" w14:textId="77777777" w:rsidTr="0088568A">
        <w:tc>
          <w:tcPr>
            <w:tcW w:w="2268" w:type="dxa"/>
            <w:tcBorders>
              <w:top w:val="nil"/>
              <w:bottom w:val="single" w:sz="4" w:space="0" w:color="auto"/>
            </w:tcBorders>
            <w:shd w:val="clear" w:color="auto" w:fill="auto"/>
          </w:tcPr>
          <w:p w14:paraId="77A13DF4" w14:textId="77777777" w:rsidR="0083687B" w:rsidRPr="0083687B" w:rsidRDefault="0083687B" w:rsidP="00730D96">
            <w:pPr>
              <w:tabs>
                <w:tab w:val="left" w:pos="562"/>
              </w:tabs>
              <w:suppressAutoHyphens/>
              <w:jc w:val="both"/>
              <w:rPr>
                <w:sz w:val="22"/>
                <w:szCs w:val="22"/>
                <w:lang w:val="sr-Latn-ME"/>
              </w:rPr>
            </w:pPr>
            <w:r w:rsidRPr="0083687B">
              <w:rPr>
                <w:sz w:val="22"/>
                <w:szCs w:val="22"/>
                <w:lang w:val="sr-Latn-ME"/>
              </w:rPr>
              <w:tab/>
              <w:t>Adalimumab</w:t>
            </w:r>
          </w:p>
        </w:tc>
        <w:tc>
          <w:tcPr>
            <w:tcW w:w="720" w:type="dxa"/>
            <w:tcBorders>
              <w:top w:val="nil"/>
              <w:bottom w:val="single" w:sz="4" w:space="0" w:color="auto"/>
            </w:tcBorders>
            <w:shd w:val="clear" w:color="auto" w:fill="auto"/>
          </w:tcPr>
          <w:p w14:paraId="7FD2A47C" w14:textId="77777777" w:rsidR="0083687B" w:rsidRPr="0083687B" w:rsidRDefault="0083687B">
            <w:pPr>
              <w:tabs>
                <w:tab w:val="left" w:pos="562"/>
              </w:tabs>
              <w:suppressAutoHyphens/>
              <w:jc w:val="both"/>
              <w:rPr>
                <w:sz w:val="22"/>
                <w:szCs w:val="22"/>
                <w:lang w:val="sr-Latn-ME"/>
              </w:rPr>
            </w:pPr>
            <w:r w:rsidRPr="0083687B">
              <w:rPr>
                <w:sz w:val="22"/>
                <w:szCs w:val="22"/>
                <w:lang w:val="sr-Latn-ME"/>
              </w:rPr>
              <w:t>110</w:t>
            </w:r>
          </w:p>
        </w:tc>
        <w:tc>
          <w:tcPr>
            <w:tcW w:w="1170" w:type="dxa"/>
            <w:tcBorders>
              <w:top w:val="nil"/>
              <w:bottom w:val="single" w:sz="4" w:space="0" w:color="auto"/>
            </w:tcBorders>
            <w:shd w:val="clear" w:color="auto" w:fill="auto"/>
          </w:tcPr>
          <w:p w14:paraId="4EFD2A26" w14:textId="77777777" w:rsidR="0083687B" w:rsidRPr="0083687B" w:rsidRDefault="0083687B">
            <w:pPr>
              <w:tabs>
                <w:tab w:val="left" w:pos="562"/>
              </w:tabs>
              <w:suppressAutoHyphens/>
              <w:jc w:val="both"/>
              <w:rPr>
                <w:sz w:val="22"/>
                <w:szCs w:val="22"/>
                <w:lang w:val="sr-Latn-ME"/>
              </w:rPr>
            </w:pPr>
            <w:r w:rsidRPr="0083687B">
              <w:rPr>
                <w:sz w:val="22"/>
                <w:szCs w:val="22"/>
                <w:lang w:val="sr-Latn-ME"/>
              </w:rPr>
              <w:t>60 (54,5)</w:t>
            </w:r>
          </w:p>
        </w:tc>
        <w:tc>
          <w:tcPr>
            <w:tcW w:w="1890" w:type="dxa"/>
            <w:tcBorders>
              <w:top w:val="nil"/>
              <w:bottom w:val="single" w:sz="4" w:space="0" w:color="auto"/>
            </w:tcBorders>
            <w:shd w:val="clear" w:color="auto" w:fill="auto"/>
          </w:tcPr>
          <w:p w14:paraId="6146CC71" w14:textId="77777777" w:rsidR="0083687B" w:rsidRPr="0083687B" w:rsidRDefault="0083687B">
            <w:pPr>
              <w:tabs>
                <w:tab w:val="left" w:pos="562"/>
              </w:tabs>
              <w:suppressAutoHyphens/>
              <w:jc w:val="both"/>
              <w:rPr>
                <w:sz w:val="22"/>
                <w:szCs w:val="22"/>
                <w:lang w:val="sr-Latn-ME"/>
              </w:rPr>
            </w:pPr>
            <w:r w:rsidRPr="0083687B">
              <w:rPr>
                <w:sz w:val="22"/>
                <w:szCs w:val="22"/>
                <w:lang w:val="sr-Latn-ME"/>
              </w:rPr>
              <w:t>5,6</w:t>
            </w:r>
          </w:p>
        </w:tc>
        <w:tc>
          <w:tcPr>
            <w:tcW w:w="720" w:type="dxa"/>
            <w:tcBorders>
              <w:top w:val="nil"/>
              <w:bottom w:val="single" w:sz="4" w:space="0" w:color="auto"/>
            </w:tcBorders>
            <w:shd w:val="clear" w:color="auto" w:fill="auto"/>
          </w:tcPr>
          <w:p w14:paraId="741E06AE" w14:textId="77777777" w:rsidR="0083687B" w:rsidRPr="0083687B" w:rsidRDefault="0083687B">
            <w:pPr>
              <w:tabs>
                <w:tab w:val="left" w:pos="562"/>
              </w:tabs>
              <w:suppressAutoHyphens/>
              <w:jc w:val="both"/>
              <w:rPr>
                <w:sz w:val="22"/>
                <w:szCs w:val="22"/>
                <w:lang w:val="sr-Latn-ME"/>
              </w:rPr>
            </w:pPr>
            <w:r w:rsidRPr="0083687B">
              <w:rPr>
                <w:sz w:val="22"/>
                <w:szCs w:val="22"/>
                <w:lang w:val="sr-Latn-ME"/>
              </w:rPr>
              <w:t>0,50</w:t>
            </w:r>
          </w:p>
        </w:tc>
        <w:tc>
          <w:tcPr>
            <w:tcW w:w="1170" w:type="dxa"/>
            <w:tcBorders>
              <w:top w:val="nil"/>
              <w:bottom w:val="single" w:sz="4" w:space="0" w:color="auto"/>
            </w:tcBorders>
            <w:shd w:val="clear" w:color="auto" w:fill="auto"/>
          </w:tcPr>
          <w:p w14:paraId="3EF3362D" w14:textId="77777777" w:rsidR="0083687B" w:rsidRPr="0083687B" w:rsidRDefault="0083687B">
            <w:pPr>
              <w:tabs>
                <w:tab w:val="left" w:pos="562"/>
              </w:tabs>
              <w:suppressAutoHyphens/>
              <w:jc w:val="both"/>
              <w:rPr>
                <w:sz w:val="22"/>
                <w:szCs w:val="22"/>
                <w:lang w:val="sr-Latn-ME"/>
              </w:rPr>
            </w:pPr>
            <w:r w:rsidRPr="0083687B">
              <w:rPr>
                <w:sz w:val="22"/>
                <w:szCs w:val="22"/>
                <w:lang w:val="sr-Latn-ME"/>
              </w:rPr>
              <w:t>0,36, 0,70</w:t>
            </w:r>
            <w:r w:rsidRPr="0083687B">
              <w:rPr>
                <w:sz w:val="22"/>
                <w:szCs w:val="22"/>
                <w:vertAlign w:val="superscript"/>
                <w:lang w:val="sr-Latn-ME"/>
              </w:rPr>
              <w:t xml:space="preserve"> </w:t>
            </w:r>
          </w:p>
        </w:tc>
        <w:tc>
          <w:tcPr>
            <w:tcW w:w="1170" w:type="dxa"/>
            <w:tcBorders>
              <w:top w:val="nil"/>
              <w:bottom w:val="single" w:sz="4" w:space="0" w:color="auto"/>
            </w:tcBorders>
            <w:shd w:val="clear" w:color="auto" w:fill="auto"/>
          </w:tcPr>
          <w:p w14:paraId="137224A8" w14:textId="77777777" w:rsidR="0083687B" w:rsidRPr="0083687B" w:rsidRDefault="0083687B">
            <w:pPr>
              <w:tabs>
                <w:tab w:val="left" w:pos="562"/>
              </w:tabs>
              <w:suppressAutoHyphens/>
              <w:jc w:val="both"/>
              <w:rPr>
                <w:sz w:val="22"/>
                <w:szCs w:val="22"/>
                <w:lang w:val="sr-Latn-ME"/>
              </w:rPr>
            </w:pPr>
            <w:r w:rsidRPr="0083687B">
              <w:rPr>
                <w:sz w:val="22"/>
                <w:szCs w:val="22"/>
                <w:lang w:val="sr-Latn-ME"/>
              </w:rPr>
              <w:t>&lt; 0,001</w:t>
            </w:r>
          </w:p>
        </w:tc>
      </w:tr>
      <w:tr w:rsidR="0083687B" w:rsidRPr="0083687B" w14:paraId="578C7B17" w14:textId="77777777" w:rsidTr="0088568A">
        <w:tblPrEx>
          <w:tblBorders>
            <w:left w:val="single" w:sz="4" w:space="0" w:color="auto"/>
            <w:right w:val="single" w:sz="4" w:space="0" w:color="auto"/>
            <w:insideH w:val="single" w:sz="4" w:space="0" w:color="auto"/>
            <w:insideV w:val="single" w:sz="4" w:space="0" w:color="auto"/>
          </w:tblBorders>
        </w:tblPrEx>
        <w:tc>
          <w:tcPr>
            <w:tcW w:w="9108" w:type="dxa"/>
            <w:gridSpan w:val="7"/>
            <w:tcBorders>
              <w:left w:val="nil"/>
              <w:bottom w:val="nil"/>
              <w:right w:val="nil"/>
            </w:tcBorders>
            <w:shd w:val="clear" w:color="auto" w:fill="auto"/>
          </w:tcPr>
          <w:p w14:paraId="7DF5BE25" w14:textId="77777777" w:rsidR="0083687B" w:rsidRPr="0083687B" w:rsidRDefault="0083687B" w:rsidP="00730D96">
            <w:pPr>
              <w:tabs>
                <w:tab w:val="left" w:pos="562"/>
              </w:tabs>
              <w:suppressAutoHyphens/>
              <w:jc w:val="both"/>
              <w:rPr>
                <w:b/>
                <w:sz w:val="22"/>
                <w:szCs w:val="22"/>
                <w:lang w:val="sr-Latn-ME"/>
              </w:rPr>
            </w:pPr>
            <w:r w:rsidRPr="0083687B">
              <w:rPr>
                <w:b/>
                <w:sz w:val="22"/>
                <w:szCs w:val="22"/>
                <w:lang w:val="sr-Latn-ME"/>
              </w:rPr>
              <w:t>Vrijeme do neuspjeha liječenja u 2. nedjelji ili nakon nje u ispitivanju UV II</w:t>
            </w:r>
          </w:p>
        </w:tc>
      </w:tr>
      <w:tr w:rsidR="0083687B" w:rsidRPr="0083687B" w14:paraId="5DA5398B" w14:textId="77777777" w:rsidTr="0088568A">
        <w:tblPrEx>
          <w:tblBorders>
            <w:left w:val="single" w:sz="4" w:space="0" w:color="auto"/>
            <w:right w:val="single" w:sz="4" w:space="0" w:color="auto"/>
            <w:insideH w:val="single" w:sz="4" w:space="0" w:color="auto"/>
            <w:insideV w:val="single" w:sz="4" w:space="0" w:color="auto"/>
          </w:tblBorders>
        </w:tblPrEx>
        <w:tc>
          <w:tcPr>
            <w:tcW w:w="2988" w:type="dxa"/>
            <w:gridSpan w:val="2"/>
            <w:tcBorders>
              <w:top w:val="nil"/>
              <w:left w:val="nil"/>
              <w:bottom w:val="nil"/>
              <w:right w:val="nil"/>
            </w:tcBorders>
            <w:shd w:val="clear" w:color="auto" w:fill="auto"/>
          </w:tcPr>
          <w:p w14:paraId="435AFFB1" w14:textId="77777777" w:rsidR="0083687B" w:rsidRPr="0083687B" w:rsidRDefault="0083687B" w:rsidP="00730D96">
            <w:pPr>
              <w:tabs>
                <w:tab w:val="left" w:pos="562"/>
              </w:tabs>
              <w:suppressAutoHyphens/>
              <w:jc w:val="both"/>
              <w:rPr>
                <w:sz w:val="22"/>
                <w:szCs w:val="22"/>
                <w:lang w:val="sr-Latn-ME"/>
              </w:rPr>
            </w:pPr>
            <w:r w:rsidRPr="0083687B">
              <w:rPr>
                <w:sz w:val="22"/>
                <w:szCs w:val="22"/>
                <w:lang w:val="sr-Latn-ME"/>
              </w:rPr>
              <w:t>Primarna analiza (ITT)</w:t>
            </w:r>
          </w:p>
        </w:tc>
        <w:tc>
          <w:tcPr>
            <w:tcW w:w="1170" w:type="dxa"/>
            <w:tcBorders>
              <w:top w:val="nil"/>
              <w:left w:val="nil"/>
              <w:bottom w:val="nil"/>
              <w:right w:val="nil"/>
            </w:tcBorders>
            <w:shd w:val="clear" w:color="auto" w:fill="auto"/>
          </w:tcPr>
          <w:p w14:paraId="150FF714" w14:textId="77777777" w:rsidR="0083687B" w:rsidRPr="0083687B" w:rsidRDefault="0083687B">
            <w:pPr>
              <w:tabs>
                <w:tab w:val="left" w:pos="562"/>
              </w:tabs>
              <w:suppressAutoHyphens/>
              <w:jc w:val="both"/>
              <w:rPr>
                <w:sz w:val="22"/>
                <w:szCs w:val="22"/>
                <w:lang w:val="sr-Latn-ME"/>
              </w:rPr>
            </w:pPr>
          </w:p>
        </w:tc>
        <w:tc>
          <w:tcPr>
            <w:tcW w:w="1890" w:type="dxa"/>
            <w:tcBorders>
              <w:top w:val="nil"/>
              <w:left w:val="nil"/>
              <w:bottom w:val="nil"/>
              <w:right w:val="nil"/>
            </w:tcBorders>
            <w:shd w:val="clear" w:color="auto" w:fill="auto"/>
          </w:tcPr>
          <w:p w14:paraId="20868293" w14:textId="77777777" w:rsidR="0083687B" w:rsidRPr="0083687B" w:rsidRDefault="0083687B">
            <w:pPr>
              <w:tabs>
                <w:tab w:val="left" w:pos="562"/>
              </w:tabs>
              <w:suppressAutoHyphens/>
              <w:jc w:val="both"/>
              <w:rPr>
                <w:sz w:val="22"/>
                <w:szCs w:val="22"/>
                <w:lang w:val="sr-Latn-ME"/>
              </w:rPr>
            </w:pPr>
          </w:p>
        </w:tc>
        <w:tc>
          <w:tcPr>
            <w:tcW w:w="720" w:type="dxa"/>
            <w:tcBorders>
              <w:top w:val="nil"/>
              <w:left w:val="nil"/>
              <w:bottom w:val="nil"/>
              <w:right w:val="nil"/>
            </w:tcBorders>
            <w:shd w:val="clear" w:color="auto" w:fill="auto"/>
          </w:tcPr>
          <w:p w14:paraId="634BFFBE" w14:textId="77777777" w:rsidR="0083687B" w:rsidRPr="0083687B" w:rsidRDefault="0083687B">
            <w:pPr>
              <w:tabs>
                <w:tab w:val="left" w:pos="562"/>
              </w:tabs>
              <w:suppressAutoHyphens/>
              <w:jc w:val="both"/>
              <w:rPr>
                <w:sz w:val="22"/>
                <w:szCs w:val="22"/>
                <w:lang w:val="sr-Latn-ME"/>
              </w:rPr>
            </w:pPr>
          </w:p>
        </w:tc>
        <w:tc>
          <w:tcPr>
            <w:tcW w:w="1170" w:type="dxa"/>
            <w:tcBorders>
              <w:top w:val="nil"/>
              <w:left w:val="nil"/>
              <w:bottom w:val="nil"/>
              <w:right w:val="nil"/>
            </w:tcBorders>
            <w:shd w:val="clear" w:color="auto" w:fill="auto"/>
          </w:tcPr>
          <w:p w14:paraId="759EFAA8" w14:textId="77777777" w:rsidR="0083687B" w:rsidRPr="0083687B" w:rsidRDefault="0083687B">
            <w:pPr>
              <w:tabs>
                <w:tab w:val="left" w:pos="562"/>
              </w:tabs>
              <w:suppressAutoHyphens/>
              <w:jc w:val="both"/>
              <w:rPr>
                <w:sz w:val="22"/>
                <w:szCs w:val="22"/>
                <w:lang w:val="sr-Latn-ME"/>
              </w:rPr>
            </w:pPr>
          </w:p>
        </w:tc>
        <w:tc>
          <w:tcPr>
            <w:tcW w:w="1170" w:type="dxa"/>
            <w:tcBorders>
              <w:top w:val="nil"/>
              <w:left w:val="nil"/>
              <w:bottom w:val="nil"/>
              <w:right w:val="nil"/>
            </w:tcBorders>
            <w:shd w:val="clear" w:color="auto" w:fill="auto"/>
          </w:tcPr>
          <w:p w14:paraId="6F02E8AD" w14:textId="77777777" w:rsidR="0083687B" w:rsidRPr="0083687B" w:rsidRDefault="0083687B">
            <w:pPr>
              <w:tabs>
                <w:tab w:val="left" w:pos="562"/>
              </w:tabs>
              <w:suppressAutoHyphens/>
              <w:jc w:val="both"/>
              <w:rPr>
                <w:sz w:val="22"/>
                <w:szCs w:val="22"/>
                <w:lang w:val="sr-Latn-ME"/>
              </w:rPr>
            </w:pPr>
          </w:p>
        </w:tc>
      </w:tr>
      <w:tr w:rsidR="0083687B" w:rsidRPr="0083687B" w14:paraId="0E1FA46D" w14:textId="77777777" w:rsidTr="0088568A">
        <w:tblPrEx>
          <w:tblBorders>
            <w:left w:val="single" w:sz="4" w:space="0" w:color="auto"/>
            <w:right w:val="single" w:sz="4" w:space="0" w:color="auto"/>
            <w:insideH w:val="single" w:sz="4" w:space="0" w:color="auto"/>
            <w:insideV w:val="single" w:sz="4" w:space="0" w:color="auto"/>
          </w:tblBorders>
        </w:tblPrEx>
        <w:tc>
          <w:tcPr>
            <w:tcW w:w="2268" w:type="dxa"/>
            <w:tcBorders>
              <w:top w:val="nil"/>
              <w:left w:val="nil"/>
              <w:bottom w:val="nil"/>
              <w:right w:val="nil"/>
            </w:tcBorders>
            <w:shd w:val="clear" w:color="auto" w:fill="auto"/>
          </w:tcPr>
          <w:p w14:paraId="269D7DB6" w14:textId="77777777" w:rsidR="0083687B" w:rsidRPr="0083687B" w:rsidRDefault="0083687B" w:rsidP="00730D96">
            <w:pPr>
              <w:tabs>
                <w:tab w:val="left" w:pos="562"/>
              </w:tabs>
              <w:suppressAutoHyphens/>
              <w:jc w:val="both"/>
              <w:rPr>
                <w:sz w:val="22"/>
                <w:szCs w:val="22"/>
                <w:lang w:val="sr-Latn-ME"/>
              </w:rPr>
            </w:pPr>
            <w:r w:rsidRPr="0083687B">
              <w:rPr>
                <w:sz w:val="22"/>
                <w:szCs w:val="22"/>
                <w:lang w:val="sr-Latn-ME"/>
              </w:rPr>
              <w:tab/>
              <w:t>Placebo</w:t>
            </w:r>
          </w:p>
        </w:tc>
        <w:tc>
          <w:tcPr>
            <w:tcW w:w="720" w:type="dxa"/>
            <w:tcBorders>
              <w:top w:val="nil"/>
              <w:left w:val="nil"/>
              <w:bottom w:val="nil"/>
              <w:right w:val="nil"/>
            </w:tcBorders>
            <w:shd w:val="clear" w:color="auto" w:fill="auto"/>
          </w:tcPr>
          <w:p w14:paraId="02EC7E65" w14:textId="77777777" w:rsidR="0083687B" w:rsidRPr="0083687B" w:rsidRDefault="0083687B">
            <w:pPr>
              <w:tabs>
                <w:tab w:val="left" w:pos="562"/>
              </w:tabs>
              <w:suppressAutoHyphens/>
              <w:jc w:val="both"/>
              <w:rPr>
                <w:sz w:val="22"/>
                <w:szCs w:val="22"/>
                <w:lang w:val="sr-Latn-ME"/>
              </w:rPr>
            </w:pPr>
            <w:r w:rsidRPr="0083687B">
              <w:rPr>
                <w:sz w:val="22"/>
                <w:szCs w:val="22"/>
                <w:lang w:val="sr-Latn-ME"/>
              </w:rPr>
              <w:t>111</w:t>
            </w:r>
          </w:p>
        </w:tc>
        <w:tc>
          <w:tcPr>
            <w:tcW w:w="1170" w:type="dxa"/>
            <w:tcBorders>
              <w:top w:val="nil"/>
              <w:left w:val="nil"/>
              <w:bottom w:val="nil"/>
              <w:right w:val="nil"/>
            </w:tcBorders>
            <w:shd w:val="clear" w:color="auto" w:fill="auto"/>
          </w:tcPr>
          <w:p w14:paraId="45B9A2E9" w14:textId="77777777" w:rsidR="0083687B" w:rsidRPr="0083687B" w:rsidRDefault="0083687B">
            <w:pPr>
              <w:tabs>
                <w:tab w:val="left" w:pos="562"/>
              </w:tabs>
              <w:suppressAutoHyphens/>
              <w:jc w:val="both"/>
              <w:rPr>
                <w:sz w:val="22"/>
                <w:szCs w:val="22"/>
                <w:lang w:val="sr-Latn-ME"/>
              </w:rPr>
            </w:pPr>
            <w:r w:rsidRPr="0083687B">
              <w:rPr>
                <w:sz w:val="22"/>
                <w:szCs w:val="22"/>
                <w:lang w:val="sr-Latn-ME"/>
              </w:rPr>
              <w:t>61 (55,0)</w:t>
            </w:r>
          </w:p>
        </w:tc>
        <w:tc>
          <w:tcPr>
            <w:tcW w:w="1890" w:type="dxa"/>
            <w:tcBorders>
              <w:top w:val="nil"/>
              <w:left w:val="nil"/>
              <w:bottom w:val="nil"/>
              <w:right w:val="nil"/>
            </w:tcBorders>
            <w:shd w:val="clear" w:color="auto" w:fill="auto"/>
          </w:tcPr>
          <w:p w14:paraId="7DABA3A7" w14:textId="77777777" w:rsidR="0083687B" w:rsidRPr="0083687B" w:rsidRDefault="0083687B">
            <w:pPr>
              <w:tabs>
                <w:tab w:val="left" w:pos="562"/>
              </w:tabs>
              <w:suppressAutoHyphens/>
              <w:jc w:val="both"/>
              <w:rPr>
                <w:sz w:val="22"/>
                <w:szCs w:val="22"/>
                <w:lang w:val="sr-Latn-ME"/>
              </w:rPr>
            </w:pPr>
            <w:r w:rsidRPr="0083687B">
              <w:rPr>
                <w:sz w:val="22"/>
                <w:szCs w:val="22"/>
                <w:lang w:val="sr-Latn-ME"/>
              </w:rPr>
              <w:t>8,3</w:t>
            </w:r>
          </w:p>
        </w:tc>
        <w:tc>
          <w:tcPr>
            <w:tcW w:w="720" w:type="dxa"/>
            <w:tcBorders>
              <w:top w:val="nil"/>
              <w:left w:val="nil"/>
              <w:bottom w:val="nil"/>
              <w:right w:val="nil"/>
            </w:tcBorders>
            <w:shd w:val="clear" w:color="auto" w:fill="auto"/>
          </w:tcPr>
          <w:p w14:paraId="3CB23ACC" w14:textId="77777777" w:rsidR="0083687B" w:rsidRPr="0083687B" w:rsidRDefault="0083687B">
            <w:pPr>
              <w:tabs>
                <w:tab w:val="left" w:pos="562"/>
              </w:tabs>
              <w:suppressAutoHyphens/>
              <w:jc w:val="both"/>
              <w:rPr>
                <w:sz w:val="22"/>
                <w:szCs w:val="22"/>
                <w:lang w:val="sr-Latn-ME"/>
              </w:rPr>
            </w:pPr>
            <w:r w:rsidRPr="0083687B">
              <w:rPr>
                <w:sz w:val="22"/>
                <w:szCs w:val="22"/>
                <w:lang w:val="sr-Latn-ME"/>
              </w:rPr>
              <w:t>--</w:t>
            </w:r>
          </w:p>
        </w:tc>
        <w:tc>
          <w:tcPr>
            <w:tcW w:w="1170" w:type="dxa"/>
            <w:tcBorders>
              <w:top w:val="nil"/>
              <w:left w:val="nil"/>
              <w:bottom w:val="nil"/>
              <w:right w:val="nil"/>
            </w:tcBorders>
            <w:shd w:val="clear" w:color="auto" w:fill="auto"/>
          </w:tcPr>
          <w:p w14:paraId="1C868B23" w14:textId="77777777" w:rsidR="0083687B" w:rsidRPr="0083687B" w:rsidRDefault="0083687B">
            <w:pPr>
              <w:tabs>
                <w:tab w:val="left" w:pos="562"/>
              </w:tabs>
              <w:suppressAutoHyphens/>
              <w:jc w:val="both"/>
              <w:rPr>
                <w:sz w:val="22"/>
                <w:szCs w:val="22"/>
                <w:lang w:val="sr-Latn-ME"/>
              </w:rPr>
            </w:pPr>
            <w:r w:rsidRPr="0083687B">
              <w:rPr>
                <w:sz w:val="22"/>
                <w:szCs w:val="22"/>
                <w:lang w:val="sr-Latn-ME"/>
              </w:rPr>
              <w:t>--</w:t>
            </w:r>
          </w:p>
        </w:tc>
        <w:tc>
          <w:tcPr>
            <w:tcW w:w="1170" w:type="dxa"/>
            <w:tcBorders>
              <w:top w:val="nil"/>
              <w:left w:val="nil"/>
              <w:bottom w:val="nil"/>
              <w:right w:val="nil"/>
            </w:tcBorders>
            <w:shd w:val="clear" w:color="auto" w:fill="auto"/>
          </w:tcPr>
          <w:p w14:paraId="70948E2F" w14:textId="77777777" w:rsidR="0083687B" w:rsidRPr="0083687B" w:rsidRDefault="0083687B">
            <w:pPr>
              <w:tabs>
                <w:tab w:val="left" w:pos="562"/>
              </w:tabs>
              <w:suppressAutoHyphens/>
              <w:jc w:val="both"/>
              <w:rPr>
                <w:sz w:val="22"/>
                <w:szCs w:val="22"/>
                <w:lang w:val="sr-Latn-ME"/>
              </w:rPr>
            </w:pPr>
            <w:r w:rsidRPr="0083687B">
              <w:rPr>
                <w:sz w:val="22"/>
                <w:szCs w:val="22"/>
                <w:lang w:val="sr-Latn-ME"/>
              </w:rPr>
              <w:t>--</w:t>
            </w:r>
          </w:p>
        </w:tc>
      </w:tr>
      <w:tr w:rsidR="0083687B" w:rsidRPr="0083687B" w14:paraId="6345E466" w14:textId="77777777" w:rsidTr="0088568A">
        <w:tblPrEx>
          <w:tblBorders>
            <w:left w:val="single" w:sz="4" w:space="0" w:color="auto"/>
            <w:right w:val="single" w:sz="4" w:space="0" w:color="auto"/>
            <w:insideH w:val="single" w:sz="4" w:space="0" w:color="auto"/>
            <w:insideV w:val="single" w:sz="4" w:space="0" w:color="auto"/>
          </w:tblBorders>
        </w:tblPrEx>
        <w:tc>
          <w:tcPr>
            <w:tcW w:w="2268" w:type="dxa"/>
            <w:tcBorders>
              <w:top w:val="nil"/>
              <w:left w:val="nil"/>
              <w:bottom w:val="single" w:sz="4" w:space="0" w:color="auto"/>
              <w:right w:val="nil"/>
            </w:tcBorders>
            <w:shd w:val="clear" w:color="auto" w:fill="auto"/>
          </w:tcPr>
          <w:p w14:paraId="6EF3AD1B" w14:textId="77777777" w:rsidR="0083687B" w:rsidRPr="0083687B" w:rsidRDefault="0083687B" w:rsidP="00730D96">
            <w:pPr>
              <w:tabs>
                <w:tab w:val="left" w:pos="562"/>
              </w:tabs>
              <w:suppressAutoHyphens/>
              <w:jc w:val="both"/>
              <w:rPr>
                <w:sz w:val="22"/>
                <w:szCs w:val="22"/>
                <w:lang w:val="sr-Latn-ME"/>
              </w:rPr>
            </w:pPr>
            <w:r w:rsidRPr="0083687B">
              <w:rPr>
                <w:sz w:val="22"/>
                <w:szCs w:val="22"/>
                <w:lang w:val="sr-Latn-ME"/>
              </w:rPr>
              <w:tab/>
              <w:t>Adalimumab</w:t>
            </w:r>
          </w:p>
        </w:tc>
        <w:tc>
          <w:tcPr>
            <w:tcW w:w="720" w:type="dxa"/>
            <w:tcBorders>
              <w:top w:val="nil"/>
              <w:left w:val="nil"/>
              <w:bottom w:val="single" w:sz="4" w:space="0" w:color="auto"/>
              <w:right w:val="nil"/>
            </w:tcBorders>
            <w:shd w:val="clear" w:color="auto" w:fill="auto"/>
          </w:tcPr>
          <w:p w14:paraId="1544D7E7" w14:textId="77777777" w:rsidR="0083687B" w:rsidRPr="0083687B" w:rsidRDefault="0083687B">
            <w:pPr>
              <w:tabs>
                <w:tab w:val="left" w:pos="562"/>
              </w:tabs>
              <w:suppressAutoHyphens/>
              <w:jc w:val="both"/>
              <w:rPr>
                <w:sz w:val="22"/>
                <w:szCs w:val="22"/>
                <w:lang w:val="sr-Latn-ME"/>
              </w:rPr>
            </w:pPr>
            <w:r w:rsidRPr="0083687B">
              <w:rPr>
                <w:sz w:val="22"/>
                <w:szCs w:val="22"/>
                <w:lang w:val="sr-Latn-ME"/>
              </w:rPr>
              <w:t>115</w:t>
            </w:r>
          </w:p>
        </w:tc>
        <w:tc>
          <w:tcPr>
            <w:tcW w:w="1170" w:type="dxa"/>
            <w:tcBorders>
              <w:top w:val="nil"/>
              <w:left w:val="nil"/>
              <w:bottom w:val="single" w:sz="4" w:space="0" w:color="auto"/>
              <w:right w:val="nil"/>
            </w:tcBorders>
            <w:shd w:val="clear" w:color="auto" w:fill="auto"/>
          </w:tcPr>
          <w:p w14:paraId="0D1B6C66" w14:textId="77777777" w:rsidR="0083687B" w:rsidRPr="0083687B" w:rsidRDefault="0083687B">
            <w:pPr>
              <w:tabs>
                <w:tab w:val="left" w:pos="562"/>
              </w:tabs>
              <w:suppressAutoHyphens/>
              <w:jc w:val="both"/>
              <w:rPr>
                <w:sz w:val="22"/>
                <w:szCs w:val="22"/>
                <w:lang w:val="sr-Latn-ME"/>
              </w:rPr>
            </w:pPr>
            <w:r w:rsidRPr="0083687B">
              <w:rPr>
                <w:sz w:val="22"/>
                <w:szCs w:val="22"/>
                <w:lang w:val="sr-Latn-ME"/>
              </w:rPr>
              <w:t>45 (39,1)</w:t>
            </w:r>
          </w:p>
        </w:tc>
        <w:tc>
          <w:tcPr>
            <w:tcW w:w="1890" w:type="dxa"/>
            <w:tcBorders>
              <w:top w:val="nil"/>
              <w:left w:val="nil"/>
              <w:bottom w:val="single" w:sz="4" w:space="0" w:color="auto"/>
              <w:right w:val="nil"/>
            </w:tcBorders>
            <w:shd w:val="clear" w:color="auto" w:fill="auto"/>
          </w:tcPr>
          <w:p w14:paraId="701A305C" w14:textId="77777777" w:rsidR="0083687B" w:rsidRPr="0083687B" w:rsidRDefault="0083687B">
            <w:pPr>
              <w:tabs>
                <w:tab w:val="left" w:pos="562"/>
              </w:tabs>
              <w:suppressAutoHyphens/>
              <w:jc w:val="both"/>
              <w:rPr>
                <w:sz w:val="22"/>
                <w:szCs w:val="22"/>
                <w:lang w:val="sr-Latn-ME"/>
              </w:rPr>
            </w:pPr>
            <w:r w:rsidRPr="0083687B">
              <w:rPr>
                <w:sz w:val="22"/>
                <w:szCs w:val="22"/>
                <w:lang w:val="sr-Latn-ME"/>
              </w:rPr>
              <w:t>NE</w:t>
            </w:r>
            <w:r w:rsidRPr="0083687B">
              <w:rPr>
                <w:sz w:val="22"/>
                <w:szCs w:val="22"/>
                <w:vertAlign w:val="superscript"/>
                <w:lang w:val="sr-Latn-ME"/>
              </w:rPr>
              <w:t>c</w:t>
            </w:r>
          </w:p>
        </w:tc>
        <w:tc>
          <w:tcPr>
            <w:tcW w:w="720" w:type="dxa"/>
            <w:tcBorders>
              <w:top w:val="nil"/>
              <w:left w:val="nil"/>
              <w:bottom w:val="single" w:sz="4" w:space="0" w:color="auto"/>
              <w:right w:val="nil"/>
            </w:tcBorders>
            <w:shd w:val="clear" w:color="auto" w:fill="auto"/>
          </w:tcPr>
          <w:p w14:paraId="37BE392D" w14:textId="77777777" w:rsidR="0083687B" w:rsidRPr="0083687B" w:rsidRDefault="0083687B">
            <w:pPr>
              <w:tabs>
                <w:tab w:val="left" w:pos="562"/>
              </w:tabs>
              <w:suppressAutoHyphens/>
              <w:jc w:val="both"/>
              <w:rPr>
                <w:sz w:val="22"/>
                <w:szCs w:val="22"/>
                <w:lang w:val="sr-Latn-ME"/>
              </w:rPr>
            </w:pPr>
            <w:r w:rsidRPr="0083687B">
              <w:rPr>
                <w:sz w:val="22"/>
                <w:szCs w:val="22"/>
                <w:lang w:val="sr-Latn-ME"/>
              </w:rPr>
              <w:t>0,57</w:t>
            </w:r>
          </w:p>
        </w:tc>
        <w:tc>
          <w:tcPr>
            <w:tcW w:w="1170" w:type="dxa"/>
            <w:tcBorders>
              <w:top w:val="nil"/>
              <w:left w:val="nil"/>
              <w:bottom w:val="single" w:sz="4" w:space="0" w:color="auto"/>
              <w:right w:val="nil"/>
            </w:tcBorders>
            <w:shd w:val="clear" w:color="auto" w:fill="auto"/>
          </w:tcPr>
          <w:p w14:paraId="17A441A7" w14:textId="77777777" w:rsidR="0083687B" w:rsidRPr="0083687B" w:rsidRDefault="0083687B">
            <w:pPr>
              <w:tabs>
                <w:tab w:val="left" w:pos="562"/>
              </w:tabs>
              <w:suppressAutoHyphens/>
              <w:jc w:val="both"/>
              <w:rPr>
                <w:sz w:val="22"/>
                <w:szCs w:val="22"/>
                <w:lang w:val="sr-Latn-ME"/>
              </w:rPr>
            </w:pPr>
            <w:r w:rsidRPr="0083687B">
              <w:rPr>
                <w:sz w:val="22"/>
                <w:szCs w:val="22"/>
                <w:lang w:val="sr-Latn-ME"/>
              </w:rPr>
              <w:t>0,39, 0,84</w:t>
            </w:r>
          </w:p>
        </w:tc>
        <w:tc>
          <w:tcPr>
            <w:tcW w:w="1170" w:type="dxa"/>
            <w:tcBorders>
              <w:top w:val="nil"/>
              <w:left w:val="nil"/>
              <w:bottom w:val="single" w:sz="4" w:space="0" w:color="auto"/>
              <w:right w:val="nil"/>
            </w:tcBorders>
            <w:shd w:val="clear" w:color="auto" w:fill="auto"/>
          </w:tcPr>
          <w:p w14:paraId="13775007" w14:textId="77777777" w:rsidR="0083687B" w:rsidRPr="0083687B" w:rsidRDefault="0083687B">
            <w:pPr>
              <w:tabs>
                <w:tab w:val="left" w:pos="562"/>
              </w:tabs>
              <w:suppressAutoHyphens/>
              <w:jc w:val="both"/>
              <w:rPr>
                <w:sz w:val="22"/>
                <w:szCs w:val="22"/>
                <w:lang w:val="sr-Latn-ME"/>
              </w:rPr>
            </w:pPr>
            <w:r w:rsidRPr="0083687B">
              <w:rPr>
                <w:sz w:val="22"/>
                <w:szCs w:val="22"/>
                <w:lang w:val="sr-Latn-ME"/>
              </w:rPr>
              <w:t>0,004</w:t>
            </w:r>
          </w:p>
        </w:tc>
      </w:tr>
    </w:tbl>
    <w:p w14:paraId="0B57FE51" w14:textId="77777777" w:rsidR="0083687B" w:rsidRPr="0083687B" w:rsidRDefault="0083687B" w:rsidP="00730D96">
      <w:pPr>
        <w:widowControl w:val="0"/>
        <w:autoSpaceDE w:val="0"/>
        <w:autoSpaceDN w:val="0"/>
        <w:adjustRightInd w:val="0"/>
        <w:jc w:val="both"/>
        <w:rPr>
          <w:sz w:val="22"/>
          <w:szCs w:val="22"/>
          <w:lang w:val="sr-Latn-ME"/>
        </w:rPr>
      </w:pPr>
    </w:p>
    <w:p w14:paraId="49C4140F" w14:textId="77777777" w:rsidR="0083687B" w:rsidRPr="0083687B" w:rsidRDefault="0083687B">
      <w:pPr>
        <w:widowControl w:val="0"/>
        <w:autoSpaceDE w:val="0"/>
        <w:autoSpaceDN w:val="0"/>
        <w:adjustRightInd w:val="0"/>
        <w:jc w:val="both"/>
        <w:rPr>
          <w:sz w:val="22"/>
          <w:szCs w:val="22"/>
          <w:lang w:val="sr-Latn-ME"/>
        </w:rPr>
      </w:pPr>
      <w:r w:rsidRPr="0083687B">
        <w:rPr>
          <w:sz w:val="22"/>
          <w:szCs w:val="22"/>
          <w:lang w:val="sr-Latn-ME"/>
        </w:rPr>
        <w:t>Napomena: Neuspjeh liječenja u 6. nedjelji ili nakon nje (ispitivanje UV I) odnosno u 2. nedjelji ili nakon nje (ispitivanje UV II) smatrao se događajem. Pacijenti koji su izašli iz ispitivanja zbog razloga koji nisu bili neuspjeh liječenja bili su cenzurisani u trenutku izlaska iz ispitivanja.</w:t>
      </w:r>
    </w:p>
    <w:p w14:paraId="02426ADB" w14:textId="77777777" w:rsidR="0083687B" w:rsidRPr="0083687B" w:rsidRDefault="0083687B">
      <w:pPr>
        <w:widowControl w:val="0"/>
        <w:autoSpaceDE w:val="0"/>
        <w:autoSpaceDN w:val="0"/>
        <w:adjustRightInd w:val="0"/>
        <w:jc w:val="both"/>
        <w:rPr>
          <w:sz w:val="22"/>
          <w:szCs w:val="22"/>
          <w:lang w:val="sr-Latn-ME"/>
        </w:rPr>
      </w:pPr>
      <w:r w:rsidRPr="0083687B">
        <w:rPr>
          <w:sz w:val="22"/>
          <w:szCs w:val="22"/>
          <w:lang w:val="sr-Latn-ME"/>
        </w:rPr>
        <w:t>a. HR za adalimumab naspram placeba iz regresije proporcionalnih hazarda, uz liječenje kao faktor.</w:t>
      </w:r>
    </w:p>
    <w:p w14:paraId="4909FA25" w14:textId="77777777" w:rsidR="0083687B" w:rsidRPr="0083687B" w:rsidRDefault="0083687B">
      <w:pPr>
        <w:widowControl w:val="0"/>
        <w:autoSpaceDE w:val="0"/>
        <w:autoSpaceDN w:val="0"/>
        <w:adjustRightInd w:val="0"/>
        <w:jc w:val="both"/>
        <w:rPr>
          <w:sz w:val="22"/>
          <w:szCs w:val="22"/>
          <w:lang w:val="sr-Latn-ME"/>
        </w:rPr>
      </w:pPr>
      <w:r w:rsidRPr="0083687B">
        <w:rPr>
          <w:sz w:val="22"/>
          <w:szCs w:val="22"/>
          <w:lang w:val="sr-Latn-ME"/>
        </w:rPr>
        <w:t>b. Dvostrana P-vrijednost iz log rang testa.</w:t>
      </w:r>
    </w:p>
    <w:p w14:paraId="1ECE4C31" w14:textId="77777777" w:rsidR="0083687B" w:rsidRPr="0083687B" w:rsidRDefault="0083687B">
      <w:pPr>
        <w:widowControl w:val="0"/>
        <w:autoSpaceDE w:val="0"/>
        <w:autoSpaceDN w:val="0"/>
        <w:adjustRightInd w:val="0"/>
        <w:jc w:val="both"/>
        <w:rPr>
          <w:sz w:val="22"/>
          <w:szCs w:val="22"/>
          <w:lang w:val="sr-Latn-ME"/>
        </w:rPr>
      </w:pPr>
      <w:r w:rsidRPr="0083687B">
        <w:rPr>
          <w:sz w:val="22"/>
          <w:szCs w:val="22"/>
          <w:lang w:val="sr-Latn-ME"/>
        </w:rPr>
        <w:t>c. NP = ne može se procijeniti. Manje od polovine pacijenata pod rizikom imalo je događaj.</w:t>
      </w:r>
    </w:p>
    <w:p w14:paraId="6B4DA9BF" w14:textId="77777777" w:rsidR="0083687B" w:rsidRPr="0083687B" w:rsidRDefault="0083687B">
      <w:pPr>
        <w:widowControl w:val="0"/>
        <w:autoSpaceDE w:val="0"/>
        <w:autoSpaceDN w:val="0"/>
        <w:adjustRightInd w:val="0"/>
        <w:jc w:val="both"/>
        <w:rPr>
          <w:sz w:val="22"/>
          <w:szCs w:val="22"/>
          <w:lang w:val="sr-Latn-ME"/>
        </w:rPr>
      </w:pPr>
    </w:p>
    <w:p w14:paraId="15D95C9A" w14:textId="77777777" w:rsidR="0083687B" w:rsidRPr="0083687B" w:rsidRDefault="0083687B">
      <w:pPr>
        <w:widowControl w:val="0"/>
        <w:autoSpaceDE w:val="0"/>
        <w:autoSpaceDN w:val="0"/>
        <w:adjustRightInd w:val="0"/>
        <w:jc w:val="both"/>
        <w:rPr>
          <w:b/>
          <w:sz w:val="22"/>
          <w:szCs w:val="22"/>
          <w:lang w:val="sr-Latn-ME"/>
        </w:rPr>
      </w:pPr>
    </w:p>
    <w:p w14:paraId="4EC23F8F" w14:textId="77777777" w:rsidR="0083687B" w:rsidRPr="0083687B" w:rsidRDefault="0083687B">
      <w:pPr>
        <w:widowControl w:val="0"/>
        <w:autoSpaceDE w:val="0"/>
        <w:autoSpaceDN w:val="0"/>
        <w:adjustRightInd w:val="0"/>
        <w:jc w:val="both"/>
        <w:rPr>
          <w:b/>
          <w:sz w:val="22"/>
          <w:szCs w:val="22"/>
          <w:lang w:val="sr-Latn-ME"/>
        </w:rPr>
      </w:pPr>
      <w:r w:rsidRPr="0083687B">
        <w:rPr>
          <w:b/>
          <w:sz w:val="22"/>
          <w:szCs w:val="22"/>
          <w:lang w:val="sr-Latn-ME"/>
        </w:rPr>
        <w:t>Slika 1: Kaplan-Meier-ove krive koje sažeto prikazuju vrijeme do neuspjeha liječenja u 6. nedjelji ili nakon nje (ispitivanje UV I) odnosno u 2. nedjelji ili nakon nje (ispitivanje UV II)</w:t>
      </w:r>
    </w:p>
    <w:p w14:paraId="0D0D32F5" w14:textId="77777777" w:rsidR="0083687B" w:rsidRPr="0083687B" w:rsidRDefault="0083687B">
      <w:pPr>
        <w:widowControl w:val="0"/>
        <w:autoSpaceDE w:val="0"/>
        <w:autoSpaceDN w:val="0"/>
        <w:adjustRightInd w:val="0"/>
        <w:jc w:val="both"/>
        <w:rPr>
          <w:b/>
          <w:sz w:val="22"/>
          <w:szCs w:val="22"/>
          <w:lang w:val="sr-Latn-ME"/>
        </w:rPr>
      </w:pPr>
    </w:p>
    <w:tbl>
      <w:tblPr>
        <w:tblW w:w="9288" w:type="dxa"/>
        <w:tblLayout w:type="fixed"/>
        <w:tblLook w:val="04A0" w:firstRow="1" w:lastRow="0" w:firstColumn="1" w:lastColumn="0" w:noHBand="0" w:noVBand="1"/>
      </w:tblPr>
      <w:tblGrid>
        <w:gridCol w:w="675"/>
        <w:gridCol w:w="3303"/>
        <w:gridCol w:w="1170"/>
        <w:gridCol w:w="1350"/>
        <w:gridCol w:w="900"/>
        <w:gridCol w:w="1890"/>
      </w:tblGrid>
      <w:tr w:rsidR="0083687B" w:rsidRPr="0083687B" w14:paraId="04D907A7" w14:textId="77777777" w:rsidTr="0088568A">
        <w:trPr>
          <w:cantSplit/>
          <w:trHeight w:val="3806"/>
        </w:trPr>
        <w:tc>
          <w:tcPr>
            <w:tcW w:w="675" w:type="dxa"/>
            <w:shd w:val="clear" w:color="auto" w:fill="auto"/>
            <w:textDirection w:val="btLr"/>
            <w:vAlign w:val="bottom"/>
          </w:tcPr>
          <w:p w14:paraId="4E68AAF5" w14:textId="4287EEDC" w:rsidR="0083687B" w:rsidRPr="0083687B" w:rsidRDefault="009E0DAA" w:rsidP="00EB3350">
            <w:pPr>
              <w:keepNext/>
              <w:tabs>
                <w:tab w:val="left" w:pos="562"/>
              </w:tabs>
              <w:suppressAutoHyphens/>
              <w:ind w:left="113" w:right="113"/>
              <w:jc w:val="both"/>
              <w:rPr>
                <w:b/>
                <w:sz w:val="22"/>
                <w:szCs w:val="22"/>
                <w:lang w:val="sr-Latn-ME"/>
              </w:rPr>
            </w:pPr>
            <w:r>
              <w:rPr>
                <w:b/>
                <w:sz w:val="22"/>
                <w:szCs w:val="22"/>
                <w:lang w:val="sr-Latn-ME"/>
              </w:rPr>
              <w:lastRenderedPageBreak/>
              <w:t>STOPA</w:t>
            </w:r>
            <w:r w:rsidRPr="0083687B">
              <w:rPr>
                <w:b/>
                <w:sz w:val="22"/>
                <w:szCs w:val="22"/>
                <w:lang w:val="sr-Latn-ME"/>
              </w:rPr>
              <w:t xml:space="preserve"> </w:t>
            </w:r>
            <w:r w:rsidR="0083687B" w:rsidRPr="0083687B">
              <w:rPr>
                <w:b/>
                <w:sz w:val="22"/>
                <w:szCs w:val="22"/>
                <w:lang w:val="sr-Latn-ME"/>
              </w:rPr>
              <w:t>NEUSPJEHA LIJEČENJA(%)</w:t>
            </w:r>
          </w:p>
        </w:tc>
        <w:tc>
          <w:tcPr>
            <w:tcW w:w="8613" w:type="dxa"/>
            <w:gridSpan w:val="5"/>
            <w:shd w:val="clear" w:color="auto" w:fill="auto"/>
            <w:vAlign w:val="bottom"/>
          </w:tcPr>
          <w:p w14:paraId="20735D8F" w14:textId="77777777" w:rsidR="0083687B" w:rsidRPr="0083687B" w:rsidRDefault="0083687B" w:rsidP="00730D96">
            <w:pPr>
              <w:keepNext/>
              <w:tabs>
                <w:tab w:val="left" w:pos="562"/>
              </w:tabs>
              <w:suppressAutoHyphens/>
              <w:jc w:val="both"/>
              <w:rPr>
                <w:sz w:val="22"/>
                <w:szCs w:val="22"/>
                <w:lang w:val="sr-Latn-ME"/>
              </w:rPr>
            </w:pPr>
            <w:r w:rsidRPr="0083687B">
              <w:rPr>
                <w:noProof/>
                <w:sz w:val="22"/>
                <w:szCs w:val="22"/>
              </w:rPr>
              <w:drawing>
                <wp:inline distT="0" distB="0" distL="0" distR="0" wp14:anchorId="32F79DE1" wp14:editId="60708512">
                  <wp:extent cx="5486400" cy="2207260"/>
                  <wp:effectExtent l="0" t="0" r="0" b="2540"/>
                  <wp:docPr id="17" name="Picture 17" descr="Humira Uveitis Figure 5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umira Uveitis Figure 5_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207260"/>
                          </a:xfrm>
                          <a:prstGeom prst="rect">
                            <a:avLst/>
                          </a:prstGeom>
                          <a:noFill/>
                          <a:ln>
                            <a:noFill/>
                          </a:ln>
                        </pic:spPr>
                      </pic:pic>
                    </a:graphicData>
                  </a:graphic>
                </wp:inline>
              </w:drawing>
            </w:r>
          </w:p>
        </w:tc>
      </w:tr>
      <w:tr w:rsidR="0083687B" w:rsidRPr="0083687B" w14:paraId="3FA826CF" w14:textId="77777777" w:rsidTr="0088568A">
        <w:tc>
          <w:tcPr>
            <w:tcW w:w="675" w:type="dxa"/>
            <w:shd w:val="clear" w:color="auto" w:fill="auto"/>
          </w:tcPr>
          <w:p w14:paraId="150736D6" w14:textId="77777777" w:rsidR="0083687B" w:rsidRPr="0083687B" w:rsidRDefault="0083687B" w:rsidP="00730D96">
            <w:pPr>
              <w:tabs>
                <w:tab w:val="left" w:pos="562"/>
              </w:tabs>
              <w:suppressAutoHyphens/>
              <w:jc w:val="both"/>
              <w:rPr>
                <w:sz w:val="22"/>
                <w:szCs w:val="22"/>
                <w:lang w:val="sr-Latn-ME"/>
              </w:rPr>
            </w:pPr>
          </w:p>
        </w:tc>
        <w:tc>
          <w:tcPr>
            <w:tcW w:w="8613" w:type="dxa"/>
            <w:gridSpan w:val="5"/>
            <w:shd w:val="clear" w:color="auto" w:fill="auto"/>
          </w:tcPr>
          <w:p w14:paraId="50CF66D0" w14:textId="77777777" w:rsidR="0083687B" w:rsidRPr="0083687B" w:rsidRDefault="0083687B" w:rsidP="00EB3350">
            <w:pPr>
              <w:tabs>
                <w:tab w:val="left" w:pos="562"/>
              </w:tabs>
              <w:suppressAutoHyphens/>
              <w:jc w:val="both"/>
              <w:rPr>
                <w:b/>
                <w:sz w:val="22"/>
                <w:szCs w:val="22"/>
                <w:lang w:val="sr-Latn-ME"/>
              </w:rPr>
            </w:pPr>
            <w:r w:rsidRPr="0083687B">
              <w:rPr>
                <w:b/>
                <w:sz w:val="22"/>
                <w:szCs w:val="22"/>
                <w:lang w:val="sr-Latn-ME"/>
              </w:rPr>
              <w:t>VRIJEME (MJESECI)</w:t>
            </w:r>
          </w:p>
        </w:tc>
      </w:tr>
      <w:tr w:rsidR="0083687B" w:rsidRPr="0083687B" w14:paraId="175ED125" w14:textId="77777777" w:rsidTr="0088568A">
        <w:tc>
          <w:tcPr>
            <w:tcW w:w="675" w:type="dxa"/>
            <w:shd w:val="clear" w:color="auto" w:fill="auto"/>
          </w:tcPr>
          <w:p w14:paraId="30E5A698" w14:textId="77777777" w:rsidR="0083687B" w:rsidRPr="0083687B" w:rsidRDefault="0083687B" w:rsidP="00730D96">
            <w:pPr>
              <w:tabs>
                <w:tab w:val="left" w:pos="562"/>
              </w:tabs>
              <w:suppressAutoHyphens/>
              <w:jc w:val="both"/>
              <w:rPr>
                <w:sz w:val="22"/>
                <w:szCs w:val="22"/>
                <w:lang w:val="sr-Latn-ME"/>
              </w:rPr>
            </w:pPr>
          </w:p>
        </w:tc>
        <w:tc>
          <w:tcPr>
            <w:tcW w:w="3303" w:type="dxa"/>
            <w:shd w:val="clear" w:color="auto" w:fill="auto"/>
          </w:tcPr>
          <w:p w14:paraId="7534F56C" w14:textId="77777777" w:rsidR="0083687B" w:rsidRPr="0083687B" w:rsidRDefault="0083687B">
            <w:pPr>
              <w:tabs>
                <w:tab w:val="left" w:pos="562"/>
              </w:tabs>
              <w:suppressAutoHyphens/>
              <w:jc w:val="both"/>
              <w:rPr>
                <w:sz w:val="22"/>
                <w:szCs w:val="22"/>
                <w:lang w:val="sr-Latn-ME"/>
              </w:rPr>
            </w:pPr>
            <w:r w:rsidRPr="0083687B">
              <w:rPr>
                <w:sz w:val="22"/>
                <w:szCs w:val="22"/>
                <w:lang w:val="sr-Latn-ME"/>
              </w:rPr>
              <w:t>Ispitivanje UV I        Liječenje</w:t>
            </w:r>
          </w:p>
        </w:tc>
        <w:tc>
          <w:tcPr>
            <w:tcW w:w="1170" w:type="dxa"/>
            <w:shd w:val="clear" w:color="auto" w:fill="auto"/>
          </w:tcPr>
          <w:p w14:paraId="0BB83922" w14:textId="77777777" w:rsidR="0083687B" w:rsidRPr="0083687B" w:rsidRDefault="0083687B">
            <w:pPr>
              <w:tabs>
                <w:tab w:val="left" w:pos="562"/>
              </w:tabs>
              <w:suppressAutoHyphens/>
              <w:jc w:val="both"/>
              <w:rPr>
                <w:sz w:val="22"/>
                <w:szCs w:val="22"/>
                <w:lang w:val="sr-Latn-ME"/>
              </w:rPr>
            </w:pPr>
            <w:r w:rsidRPr="0083687B">
              <w:rPr>
                <w:noProof/>
                <w:sz w:val="22"/>
                <w:szCs w:val="22"/>
              </w:rPr>
              <w:drawing>
                <wp:inline distT="0" distB="0" distL="0" distR="0" wp14:anchorId="57ADF68E" wp14:editId="47D87875">
                  <wp:extent cx="396875" cy="180340"/>
                  <wp:effectExtent l="0" t="0" r="3175" b="0"/>
                  <wp:docPr id="18" name="Picture 18" descr="Humira Uveitis Figure 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mira Uveitis Figure 5_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875" cy="180340"/>
                          </a:xfrm>
                          <a:prstGeom prst="rect">
                            <a:avLst/>
                          </a:prstGeom>
                          <a:noFill/>
                          <a:ln>
                            <a:noFill/>
                          </a:ln>
                        </pic:spPr>
                      </pic:pic>
                    </a:graphicData>
                  </a:graphic>
                </wp:inline>
              </w:drawing>
            </w:r>
          </w:p>
        </w:tc>
        <w:tc>
          <w:tcPr>
            <w:tcW w:w="1350" w:type="dxa"/>
            <w:shd w:val="clear" w:color="auto" w:fill="auto"/>
          </w:tcPr>
          <w:p w14:paraId="35747B6F" w14:textId="77777777" w:rsidR="0083687B" w:rsidRPr="0083687B" w:rsidRDefault="0083687B">
            <w:pPr>
              <w:tabs>
                <w:tab w:val="left" w:pos="562"/>
              </w:tabs>
              <w:suppressAutoHyphens/>
              <w:jc w:val="both"/>
              <w:rPr>
                <w:sz w:val="22"/>
                <w:szCs w:val="22"/>
                <w:lang w:val="sr-Latn-ME"/>
              </w:rPr>
            </w:pPr>
            <w:r w:rsidRPr="0083687B">
              <w:rPr>
                <w:sz w:val="22"/>
                <w:szCs w:val="22"/>
                <w:lang w:val="sr-Latn-ME"/>
              </w:rPr>
              <w:t>Placebo</w:t>
            </w:r>
          </w:p>
        </w:tc>
        <w:tc>
          <w:tcPr>
            <w:tcW w:w="900" w:type="dxa"/>
            <w:shd w:val="clear" w:color="auto" w:fill="auto"/>
          </w:tcPr>
          <w:p w14:paraId="50B02000" w14:textId="77777777" w:rsidR="0083687B" w:rsidRPr="0083687B" w:rsidRDefault="0083687B">
            <w:pPr>
              <w:tabs>
                <w:tab w:val="left" w:pos="562"/>
              </w:tabs>
              <w:suppressAutoHyphens/>
              <w:jc w:val="both"/>
              <w:rPr>
                <w:sz w:val="22"/>
                <w:szCs w:val="22"/>
                <w:lang w:val="sr-Latn-ME"/>
              </w:rPr>
            </w:pPr>
            <w:r w:rsidRPr="0083687B">
              <w:rPr>
                <w:noProof/>
                <w:sz w:val="22"/>
                <w:szCs w:val="22"/>
              </w:rPr>
              <w:drawing>
                <wp:inline distT="0" distB="0" distL="0" distR="0" wp14:anchorId="5691F64C" wp14:editId="38A29AA0">
                  <wp:extent cx="565785" cy="180340"/>
                  <wp:effectExtent l="0" t="0" r="5715" b="0"/>
                  <wp:docPr id="19" name="Picture 19" descr="Humira Uveitis Figure 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mira Uveitis Figure 5_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785" cy="180340"/>
                          </a:xfrm>
                          <a:prstGeom prst="rect">
                            <a:avLst/>
                          </a:prstGeom>
                          <a:noFill/>
                          <a:ln>
                            <a:noFill/>
                          </a:ln>
                        </pic:spPr>
                      </pic:pic>
                    </a:graphicData>
                  </a:graphic>
                </wp:inline>
              </w:drawing>
            </w:r>
          </w:p>
        </w:tc>
        <w:tc>
          <w:tcPr>
            <w:tcW w:w="1890" w:type="dxa"/>
            <w:shd w:val="clear" w:color="auto" w:fill="auto"/>
          </w:tcPr>
          <w:p w14:paraId="0FC86F34" w14:textId="77777777" w:rsidR="0083687B" w:rsidRPr="0083687B" w:rsidRDefault="0083687B">
            <w:pPr>
              <w:tabs>
                <w:tab w:val="left" w:pos="562"/>
              </w:tabs>
              <w:suppressAutoHyphens/>
              <w:jc w:val="both"/>
              <w:rPr>
                <w:sz w:val="22"/>
                <w:szCs w:val="22"/>
                <w:lang w:val="sr-Latn-ME"/>
              </w:rPr>
            </w:pPr>
            <w:r w:rsidRPr="0083687B">
              <w:rPr>
                <w:sz w:val="22"/>
                <w:szCs w:val="22"/>
                <w:lang w:val="sr-Latn-ME"/>
              </w:rPr>
              <w:t>Adalimumab</w:t>
            </w:r>
          </w:p>
        </w:tc>
      </w:tr>
      <w:tr w:rsidR="0083687B" w:rsidRPr="0083687B" w14:paraId="6670A5A0" w14:textId="77777777" w:rsidTr="0088568A">
        <w:tc>
          <w:tcPr>
            <w:tcW w:w="675" w:type="dxa"/>
            <w:shd w:val="clear" w:color="auto" w:fill="auto"/>
          </w:tcPr>
          <w:p w14:paraId="2B8A3536" w14:textId="77777777" w:rsidR="0083687B" w:rsidRPr="0083687B" w:rsidRDefault="0083687B" w:rsidP="00730D96">
            <w:pPr>
              <w:tabs>
                <w:tab w:val="left" w:pos="562"/>
              </w:tabs>
              <w:suppressAutoHyphens/>
              <w:jc w:val="both"/>
              <w:rPr>
                <w:sz w:val="22"/>
                <w:szCs w:val="22"/>
                <w:lang w:val="sr-Latn-ME"/>
              </w:rPr>
            </w:pPr>
          </w:p>
        </w:tc>
        <w:tc>
          <w:tcPr>
            <w:tcW w:w="3303" w:type="dxa"/>
            <w:shd w:val="clear" w:color="auto" w:fill="auto"/>
          </w:tcPr>
          <w:p w14:paraId="70281801" w14:textId="77777777" w:rsidR="0083687B" w:rsidRPr="0083687B" w:rsidRDefault="0083687B">
            <w:pPr>
              <w:tabs>
                <w:tab w:val="left" w:pos="562"/>
              </w:tabs>
              <w:suppressAutoHyphens/>
              <w:jc w:val="both"/>
              <w:rPr>
                <w:sz w:val="22"/>
                <w:szCs w:val="22"/>
                <w:lang w:val="sr-Latn-ME"/>
              </w:rPr>
            </w:pPr>
          </w:p>
        </w:tc>
        <w:tc>
          <w:tcPr>
            <w:tcW w:w="1170" w:type="dxa"/>
            <w:shd w:val="clear" w:color="auto" w:fill="auto"/>
          </w:tcPr>
          <w:p w14:paraId="4D2DD1D4" w14:textId="77777777" w:rsidR="0083687B" w:rsidRPr="0083687B" w:rsidRDefault="0083687B">
            <w:pPr>
              <w:tabs>
                <w:tab w:val="left" w:pos="562"/>
              </w:tabs>
              <w:suppressAutoHyphens/>
              <w:jc w:val="both"/>
              <w:rPr>
                <w:noProof/>
                <w:sz w:val="22"/>
                <w:szCs w:val="22"/>
              </w:rPr>
            </w:pPr>
          </w:p>
        </w:tc>
        <w:tc>
          <w:tcPr>
            <w:tcW w:w="1350" w:type="dxa"/>
            <w:shd w:val="clear" w:color="auto" w:fill="auto"/>
          </w:tcPr>
          <w:p w14:paraId="71D78868" w14:textId="77777777" w:rsidR="0083687B" w:rsidRPr="0083687B" w:rsidRDefault="0083687B">
            <w:pPr>
              <w:tabs>
                <w:tab w:val="left" w:pos="562"/>
              </w:tabs>
              <w:suppressAutoHyphens/>
              <w:jc w:val="both"/>
              <w:rPr>
                <w:sz w:val="22"/>
                <w:szCs w:val="22"/>
                <w:lang w:val="sr-Latn-ME"/>
              </w:rPr>
            </w:pPr>
          </w:p>
        </w:tc>
        <w:tc>
          <w:tcPr>
            <w:tcW w:w="900" w:type="dxa"/>
            <w:shd w:val="clear" w:color="auto" w:fill="auto"/>
          </w:tcPr>
          <w:p w14:paraId="7498E82D" w14:textId="77777777" w:rsidR="0083687B" w:rsidRPr="0083687B" w:rsidRDefault="0083687B">
            <w:pPr>
              <w:tabs>
                <w:tab w:val="left" w:pos="562"/>
              </w:tabs>
              <w:suppressAutoHyphens/>
              <w:jc w:val="both"/>
              <w:rPr>
                <w:noProof/>
                <w:sz w:val="22"/>
                <w:szCs w:val="22"/>
              </w:rPr>
            </w:pPr>
          </w:p>
        </w:tc>
        <w:tc>
          <w:tcPr>
            <w:tcW w:w="1890" w:type="dxa"/>
            <w:shd w:val="clear" w:color="auto" w:fill="auto"/>
          </w:tcPr>
          <w:p w14:paraId="291003DB" w14:textId="77777777" w:rsidR="0083687B" w:rsidRPr="0083687B" w:rsidRDefault="0083687B">
            <w:pPr>
              <w:tabs>
                <w:tab w:val="left" w:pos="562"/>
              </w:tabs>
              <w:suppressAutoHyphens/>
              <w:jc w:val="both"/>
              <w:rPr>
                <w:sz w:val="22"/>
                <w:szCs w:val="22"/>
                <w:lang w:val="sr-Latn-ME"/>
              </w:rPr>
            </w:pPr>
          </w:p>
        </w:tc>
      </w:tr>
      <w:tr w:rsidR="0083687B" w:rsidRPr="0083687B" w14:paraId="7DDA69BA" w14:textId="77777777" w:rsidTr="0088568A">
        <w:trPr>
          <w:trHeight w:val="3869"/>
        </w:trPr>
        <w:tc>
          <w:tcPr>
            <w:tcW w:w="675" w:type="dxa"/>
            <w:shd w:val="clear" w:color="auto" w:fill="auto"/>
            <w:textDirection w:val="btLr"/>
            <w:vAlign w:val="bottom"/>
          </w:tcPr>
          <w:p w14:paraId="0A8EC664" w14:textId="77777777" w:rsidR="0083687B" w:rsidRPr="0083687B" w:rsidRDefault="0083687B" w:rsidP="00730D96">
            <w:pPr>
              <w:tabs>
                <w:tab w:val="left" w:pos="562"/>
              </w:tabs>
              <w:suppressAutoHyphens/>
              <w:jc w:val="both"/>
              <w:rPr>
                <w:sz w:val="22"/>
                <w:szCs w:val="22"/>
                <w:lang w:val="sr-Latn-ME"/>
              </w:rPr>
            </w:pPr>
            <w:r w:rsidRPr="0083687B">
              <w:rPr>
                <w:b/>
                <w:sz w:val="22"/>
                <w:szCs w:val="22"/>
                <w:lang w:val="sr-Latn-ME"/>
              </w:rPr>
              <w:t>STOPA NEUSPJEHA LIJEČENJA (%)</w:t>
            </w:r>
          </w:p>
        </w:tc>
        <w:tc>
          <w:tcPr>
            <w:tcW w:w="8613" w:type="dxa"/>
            <w:gridSpan w:val="5"/>
            <w:shd w:val="clear" w:color="auto" w:fill="auto"/>
            <w:vAlign w:val="bottom"/>
          </w:tcPr>
          <w:p w14:paraId="225DA6F2" w14:textId="77777777" w:rsidR="0083687B" w:rsidRPr="0083687B" w:rsidRDefault="0083687B" w:rsidP="00730D96">
            <w:pPr>
              <w:tabs>
                <w:tab w:val="left" w:pos="562"/>
              </w:tabs>
              <w:suppressAutoHyphens/>
              <w:jc w:val="both"/>
              <w:rPr>
                <w:sz w:val="22"/>
                <w:szCs w:val="22"/>
                <w:lang w:val="sr-Latn-ME"/>
              </w:rPr>
            </w:pPr>
            <w:r w:rsidRPr="0083687B">
              <w:rPr>
                <w:noProof/>
                <w:sz w:val="22"/>
                <w:szCs w:val="22"/>
              </w:rPr>
              <w:drawing>
                <wp:inline distT="0" distB="0" distL="0" distR="0" wp14:anchorId="5112BDDF" wp14:editId="570AF45E">
                  <wp:extent cx="5486400" cy="2175510"/>
                  <wp:effectExtent l="0" t="0" r="0" b="0"/>
                  <wp:docPr id="8" name="Picture 8" descr="Humira Uveitis Figure 5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umira Uveitis Figure 5_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2175510"/>
                          </a:xfrm>
                          <a:prstGeom prst="rect">
                            <a:avLst/>
                          </a:prstGeom>
                          <a:noFill/>
                          <a:ln>
                            <a:noFill/>
                          </a:ln>
                        </pic:spPr>
                      </pic:pic>
                    </a:graphicData>
                  </a:graphic>
                </wp:inline>
              </w:drawing>
            </w:r>
          </w:p>
        </w:tc>
      </w:tr>
      <w:tr w:rsidR="0083687B" w:rsidRPr="0083687B" w14:paraId="72A988C3" w14:textId="77777777" w:rsidTr="0088568A">
        <w:tc>
          <w:tcPr>
            <w:tcW w:w="675" w:type="dxa"/>
            <w:shd w:val="clear" w:color="auto" w:fill="auto"/>
          </w:tcPr>
          <w:p w14:paraId="3F170047" w14:textId="77777777" w:rsidR="0083687B" w:rsidRPr="0083687B" w:rsidRDefault="0083687B" w:rsidP="00730D96">
            <w:pPr>
              <w:tabs>
                <w:tab w:val="left" w:pos="562"/>
              </w:tabs>
              <w:suppressAutoHyphens/>
              <w:jc w:val="both"/>
              <w:rPr>
                <w:sz w:val="22"/>
                <w:szCs w:val="22"/>
                <w:lang w:val="sr-Latn-ME"/>
              </w:rPr>
            </w:pPr>
          </w:p>
        </w:tc>
        <w:tc>
          <w:tcPr>
            <w:tcW w:w="8613" w:type="dxa"/>
            <w:gridSpan w:val="5"/>
            <w:shd w:val="clear" w:color="auto" w:fill="auto"/>
          </w:tcPr>
          <w:p w14:paraId="7072796F" w14:textId="77777777" w:rsidR="0083687B" w:rsidRPr="0083687B" w:rsidRDefault="0083687B" w:rsidP="00EB3350">
            <w:pPr>
              <w:tabs>
                <w:tab w:val="left" w:pos="562"/>
              </w:tabs>
              <w:suppressAutoHyphens/>
              <w:jc w:val="both"/>
              <w:rPr>
                <w:b/>
                <w:sz w:val="22"/>
                <w:szCs w:val="22"/>
                <w:lang w:val="sr-Latn-ME"/>
              </w:rPr>
            </w:pPr>
            <w:r w:rsidRPr="0083687B">
              <w:rPr>
                <w:b/>
                <w:sz w:val="22"/>
                <w:szCs w:val="22"/>
                <w:lang w:val="sr-Latn-ME"/>
              </w:rPr>
              <w:t>VRIJEME (MJESECI)</w:t>
            </w:r>
          </w:p>
        </w:tc>
      </w:tr>
      <w:tr w:rsidR="0083687B" w:rsidRPr="0083687B" w14:paraId="7C3CCD36" w14:textId="77777777" w:rsidTr="0088568A">
        <w:trPr>
          <w:trHeight w:val="369"/>
        </w:trPr>
        <w:tc>
          <w:tcPr>
            <w:tcW w:w="675" w:type="dxa"/>
            <w:shd w:val="clear" w:color="auto" w:fill="auto"/>
          </w:tcPr>
          <w:p w14:paraId="6CF0A157" w14:textId="77777777" w:rsidR="0083687B" w:rsidRPr="0083687B" w:rsidRDefault="0083687B" w:rsidP="00730D96">
            <w:pPr>
              <w:tabs>
                <w:tab w:val="left" w:pos="562"/>
              </w:tabs>
              <w:suppressAutoHyphens/>
              <w:jc w:val="both"/>
              <w:rPr>
                <w:sz w:val="22"/>
                <w:szCs w:val="22"/>
                <w:lang w:val="sr-Latn-ME"/>
              </w:rPr>
            </w:pPr>
          </w:p>
        </w:tc>
        <w:tc>
          <w:tcPr>
            <w:tcW w:w="3303" w:type="dxa"/>
            <w:shd w:val="clear" w:color="auto" w:fill="auto"/>
          </w:tcPr>
          <w:p w14:paraId="666A7439" w14:textId="77777777" w:rsidR="0083687B" w:rsidRPr="0083687B" w:rsidRDefault="0083687B">
            <w:pPr>
              <w:tabs>
                <w:tab w:val="left" w:pos="562"/>
              </w:tabs>
              <w:suppressAutoHyphens/>
              <w:jc w:val="both"/>
              <w:rPr>
                <w:sz w:val="22"/>
                <w:szCs w:val="22"/>
                <w:lang w:val="sr-Latn-ME"/>
              </w:rPr>
            </w:pPr>
            <w:r w:rsidRPr="0083687B">
              <w:rPr>
                <w:sz w:val="22"/>
                <w:szCs w:val="22"/>
                <w:lang w:val="sr-Latn-ME"/>
              </w:rPr>
              <w:t>Ispitivanje UV II        Liječenje</w:t>
            </w:r>
          </w:p>
        </w:tc>
        <w:tc>
          <w:tcPr>
            <w:tcW w:w="1170" w:type="dxa"/>
            <w:shd w:val="clear" w:color="auto" w:fill="auto"/>
          </w:tcPr>
          <w:p w14:paraId="1CF9A505" w14:textId="77777777" w:rsidR="0083687B" w:rsidRPr="0083687B" w:rsidRDefault="0083687B">
            <w:pPr>
              <w:tabs>
                <w:tab w:val="left" w:pos="562"/>
              </w:tabs>
              <w:suppressAutoHyphens/>
              <w:jc w:val="both"/>
              <w:rPr>
                <w:sz w:val="22"/>
                <w:szCs w:val="22"/>
                <w:lang w:val="sr-Latn-ME"/>
              </w:rPr>
            </w:pPr>
            <w:r w:rsidRPr="0083687B">
              <w:rPr>
                <w:noProof/>
                <w:sz w:val="22"/>
                <w:szCs w:val="22"/>
              </w:rPr>
              <w:drawing>
                <wp:inline distT="0" distB="0" distL="0" distR="0" wp14:anchorId="5A4DAA9D" wp14:editId="70973B86">
                  <wp:extent cx="396875" cy="180340"/>
                  <wp:effectExtent l="0" t="0" r="3175" b="0"/>
                  <wp:docPr id="9" name="Picture 9" descr="Humira Uveitis Figure 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umira Uveitis Figure 5_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875" cy="180340"/>
                          </a:xfrm>
                          <a:prstGeom prst="rect">
                            <a:avLst/>
                          </a:prstGeom>
                          <a:noFill/>
                          <a:ln>
                            <a:noFill/>
                          </a:ln>
                        </pic:spPr>
                      </pic:pic>
                    </a:graphicData>
                  </a:graphic>
                </wp:inline>
              </w:drawing>
            </w:r>
          </w:p>
        </w:tc>
        <w:tc>
          <w:tcPr>
            <w:tcW w:w="1350" w:type="dxa"/>
            <w:shd w:val="clear" w:color="auto" w:fill="auto"/>
          </w:tcPr>
          <w:p w14:paraId="303C8364" w14:textId="77777777" w:rsidR="0083687B" w:rsidRPr="0083687B" w:rsidRDefault="0083687B">
            <w:pPr>
              <w:tabs>
                <w:tab w:val="left" w:pos="562"/>
              </w:tabs>
              <w:suppressAutoHyphens/>
              <w:jc w:val="both"/>
              <w:rPr>
                <w:sz w:val="22"/>
                <w:szCs w:val="22"/>
                <w:lang w:val="sr-Latn-ME"/>
              </w:rPr>
            </w:pPr>
            <w:r w:rsidRPr="0083687B">
              <w:rPr>
                <w:sz w:val="22"/>
                <w:szCs w:val="22"/>
                <w:lang w:val="sr-Latn-ME"/>
              </w:rPr>
              <w:t>Placebo</w:t>
            </w:r>
          </w:p>
        </w:tc>
        <w:tc>
          <w:tcPr>
            <w:tcW w:w="900" w:type="dxa"/>
            <w:shd w:val="clear" w:color="auto" w:fill="auto"/>
          </w:tcPr>
          <w:p w14:paraId="1C894D40" w14:textId="77777777" w:rsidR="0083687B" w:rsidRPr="0083687B" w:rsidRDefault="0083687B">
            <w:pPr>
              <w:tabs>
                <w:tab w:val="left" w:pos="562"/>
              </w:tabs>
              <w:suppressAutoHyphens/>
              <w:jc w:val="both"/>
              <w:rPr>
                <w:sz w:val="22"/>
                <w:szCs w:val="22"/>
                <w:lang w:val="sr-Latn-ME"/>
              </w:rPr>
            </w:pPr>
            <w:r w:rsidRPr="0083687B">
              <w:rPr>
                <w:noProof/>
                <w:sz w:val="22"/>
                <w:szCs w:val="22"/>
              </w:rPr>
              <w:drawing>
                <wp:inline distT="0" distB="0" distL="0" distR="0" wp14:anchorId="74D3727F" wp14:editId="6EDC64D9">
                  <wp:extent cx="565785" cy="180340"/>
                  <wp:effectExtent l="0" t="0" r="5715" b="0"/>
                  <wp:docPr id="10" name="Picture 10" descr="Humira Uveitis Figure 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mira Uveitis Figure 5_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785" cy="180340"/>
                          </a:xfrm>
                          <a:prstGeom prst="rect">
                            <a:avLst/>
                          </a:prstGeom>
                          <a:noFill/>
                          <a:ln>
                            <a:noFill/>
                          </a:ln>
                        </pic:spPr>
                      </pic:pic>
                    </a:graphicData>
                  </a:graphic>
                </wp:inline>
              </w:drawing>
            </w:r>
          </w:p>
        </w:tc>
        <w:tc>
          <w:tcPr>
            <w:tcW w:w="1890" w:type="dxa"/>
            <w:shd w:val="clear" w:color="auto" w:fill="auto"/>
          </w:tcPr>
          <w:p w14:paraId="5A655362" w14:textId="77777777" w:rsidR="0083687B" w:rsidRPr="0083687B" w:rsidRDefault="0083687B">
            <w:pPr>
              <w:tabs>
                <w:tab w:val="left" w:pos="562"/>
              </w:tabs>
              <w:suppressAutoHyphens/>
              <w:jc w:val="both"/>
              <w:rPr>
                <w:sz w:val="22"/>
                <w:szCs w:val="22"/>
                <w:lang w:val="sr-Latn-ME"/>
              </w:rPr>
            </w:pPr>
            <w:r w:rsidRPr="0083687B">
              <w:rPr>
                <w:sz w:val="22"/>
                <w:szCs w:val="22"/>
                <w:lang w:val="sr-Latn-ME"/>
              </w:rPr>
              <w:t>Adalimumab</w:t>
            </w:r>
          </w:p>
        </w:tc>
      </w:tr>
      <w:tr w:rsidR="0083687B" w:rsidRPr="0083687B" w14:paraId="72AC58C2" w14:textId="77777777" w:rsidTr="0088568A">
        <w:trPr>
          <w:trHeight w:val="629"/>
        </w:trPr>
        <w:tc>
          <w:tcPr>
            <w:tcW w:w="9288" w:type="dxa"/>
            <w:gridSpan w:val="6"/>
            <w:shd w:val="clear" w:color="auto" w:fill="auto"/>
            <w:vAlign w:val="center"/>
          </w:tcPr>
          <w:p w14:paraId="43997F10" w14:textId="77777777" w:rsidR="0083687B" w:rsidRPr="0083687B" w:rsidRDefault="0083687B" w:rsidP="00730D96">
            <w:pPr>
              <w:tabs>
                <w:tab w:val="left" w:pos="562"/>
              </w:tabs>
              <w:suppressAutoHyphens/>
              <w:jc w:val="both"/>
              <w:rPr>
                <w:sz w:val="22"/>
                <w:szCs w:val="22"/>
                <w:lang w:val="sr-Latn-ME"/>
              </w:rPr>
            </w:pPr>
            <w:r w:rsidRPr="0083687B">
              <w:rPr>
                <w:sz w:val="22"/>
                <w:szCs w:val="22"/>
                <w:lang w:val="sr-Latn-ME"/>
              </w:rPr>
              <w:t>Napomena: P# = Placebo (broj događaja/broj pacijenata pod rizikom); A# = HUMIRA (broj događaja/broj pacijenata pod rizikom).</w:t>
            </w:r>
          </w:p>
        </w:tc>
      </w:tr>
    </w:tbl>
    <w:p w14:paraId="58D60369" w14:textId="77777777" w:rsidR="0083687B" w:rsidRPr="0083687B" w:rsidRDefault="0083687B" w:rsidP="00730D96">
      <w:pPr>
        <w:snapToGrid w:val="0"/>
        <w:jc w:val="both"/>
        <w:rPr>
          <w:sz w:val="22"/>
          <w:szCs w:val="22"/>
          <w:lang w:val="sr-Latn-ME"/>
        </w:rPr>
      </w:pPr>
    </w:p>
    <w:p w14:paraId="254DB394" w14:textId="77777777" w:rsidR="0083687B" w:rsidRPr="0083687B" w:rsidRDefault="0083687B">
      <w:pPr>
        <w:widowControl w:val="0"/>
        <w:autoSpaceDE w:val="0"/>
        <w:autoSpaceDN w:val="0"/>
        <w:adjustRightInd w:val="0"/>
        <w:jc w:val="both"/>
        <w:rPr>
          <w:sz w:val="22"/>
          <w:szCs w:val="22"/>
          <w:lang w:val="sr-Latn-ME"/>
        </w:rPr>
      </w:pPr>
      <w:r w:rsidRPr="0083687B">
        <w:rPr>
          <w:sz w:val="22"/>
          <w:szCs w:val="22"/>
          <w:lang w:val="sr-Latn-ME"/>
        </w:rPr>
        <w:t>U ispitivanju UV I primijećene su statistički značajne razlike u korist adalimumaba naspram placeba za svaku komponentu neuspjeha liječenja. U ispitivanju UV II, statistički značajne razlike primijećene su samo za oštrinu vida, ali su druge komponentne brojčano bile u korist adalimumaba.</w:t>
      </w:r>
    </w:p>
    <w:p w14:paraId="5CBFD11C" w14:textId="77777777" w:rsidR="0083687B" w:rsidRPr="0083687B" w:rsidRDefault="0083687B">
      <w:pPr>
        <w:widowControl w:val="0"/>
        <w:autoSpaceDE w:val="0"/>
        <w:autoSpaceDN w:val="0"/>
        <w:adjustRightInd w:val="0"/>
        <w:jc w:val="both"/>
        <w:rPr>
          <w:sz w:val="22"/>
          <w:szCs w:val="22"/>
          <w:u w:val="single"/>
          <w:lang w:val="sr-Latn-ME"/>
        </w:rPr>
      </w:pPr>
    </w:p>
    <w:p w14:paraId="45C60E5E" w14:textId="4344E4C5" w:rsidR="0083687B" w:rsidRPr="0083687B" w:rsidRDefault="0083687B">
      <w:pPr>
        <w:widowControl w:val="0"/>
        <w:autoSpaceDE w:val="0"/>
        <w:autoSpaceDN w:val="0"/>
        <w:adjustRightInd w:val="0"/>
        <w:jc w:val="both"/>
        <w:rPr>
          <w:sz w:val="22"/>
          <w:szCs w:val="22"/>
          <w:lang w:val="sr-Latn-ME"/>
        </w:rPr>
      </w:pPr>
      <w:r w:rsidRPr="00D710CF">
        <w:rPr>
          <w:sz w:val="22"/>
          <w:szCs w:val="22"/>
          <w:lang w:val="sr-Latn-ME"/>
        </w:rPr>
        <w:t>Od 4</w:t>
      </w:r>
      <w:r w:rsidR="009E0DAA" w:rsidRPr="00172A4E">
        <w:rPr>
          <w:sz w:val="22"/>
          <w:szCs w:val="22"/>
          <w:lang w:val="sr-Latn-ME"/>
        </w:rPr>
        <w:t>24</w:t>
      </w:r>
      <w:r w:rsidRPr="009E0DAA">
        <w:rPr>
          <w:sz w:val="22"/>
          <w:szCs w:val="22"/>
          <w:lang w:val="sr-Latn-ME"/>
        </w:rPr>
        <w:t xml:space="preserve"> ispitanika koji su bili uključeni u nekontrolisani dugoročni produžetak ispitivanja UV I i UV II, </w:t>
      </w:r>
      <w:r w:rsidR="009E0DAA" w:rsidRPr="00172A4E">
        <w:rPr>
          <w:sz w:val="22"/>
          <w:szCs w:val="22"/>
          <w:lang w:val="sr-Latn-ME"/>
        </w:rPr>
        <w:t>60</w:t>
      </w:r>
      <w:r w:rsidRPr="009E0DAA">
        <w:rPr>
          <w:sz w:val="22"/>
          <w:szCs w:val="22"/>
          <w:lang w:val="sr-Latn-ME"/>
        </w:rPr>
        <w:t xml:space="preserve"> ispitanika nije zadovoljavalo kriterijume (npr. zbog odstupanja ili zbog komplikacije kao posledica  dijabetičke retinopatije, usljed</w:t>
      </w:r>
      <w:r w:rsidRPr="0083687B">
        <w:rPr>
          <w:sz w:val="22"/>
          <w:szCs w:val="22"/>
          <w:lang w:val="sr-Latn-ME"/>
        </w:rPr>
        <w:t xml:space="preserve"> operacije uklanjanja katarakte ili vitrektomije) i bili su isključeni od prve analize efikasnosti. Od 364 pacijenta koji su ostali, 269 pacijenata (74%) koji su se mogli evaluirati su dostigli 78 nedjelja u otvorenoj studiji sa adalimumab liječenjem. Na osnovu posmatranih podataka,  216 (80,3%) su bili u stabilni (nije bilo aktivnih inflamatornih lezija, </w:t>
      </w:r>
      <w:r w:rsidRPr="0083687B">
        <w:rPr>
          <w:i/>
          <w:sz w:val="22"/>
          <w:szCs w:val="22"/>
          <w:lang w:val="sr-Latn-ME"/>
        </w:rPr>
        <w:t>AC cell grade</w:t>
      </w:r>
      <w:r w:rsidRPr="0083687B">
        <w:rPr>
          <w:sz w:val="22"/>
          <w:szCs w:val="22"/>
          <w:lang w:val="sr-Latn-ME"/>
        </w:rPr>
        <w:t xml:space="preserve"> ≤ 0,5+, </w:t>
      </w:r>
      <w:r w:rsidRPr="0083687B">
        <w:rPr>
          <w:i/>
          <w:sz w:val="22"/>
          <w:szCs w:val="22"/>
          <w:lang w:val="sr-Latn-ME"/>
        </w:rPr>
        <w:t>VH grade</w:t>
      </w:r>
      <w:r w:rsidRPr="0083687B">
        <w:rPr>
          <w:sz w:val="22"/>
          <w:szCs w:val="22"/>
          <w:lang w:val="sr-Latn-ME"/>
        </w:rPr>
        <w:t xml:space="preserve"> ≤ 0,5+) sa istovremenom dozom steroida ≤ 7,5 mg na dan, i 178 (66,2 %) su bili stabilni bez steroida. Najbolje korigovana vidna oštrina (BCVA) je bila povećana ili održana kod 88,6% očiju (pogoršanje &lt; 5 slova) u 78. nedjelji. Podaci koji su dobijeni nakon 78. nedjelja uglavnom su bili uskla</w:t>
      </w:r>
      <w:r w:rsidR="00E85E87">
        <w:rPr>
          <w:sz w:val="22"/>
          <w:szCs w:val="22"/>
          <w:lang w:val="sr-Latn-ME"/>
        </w:rPr>
        <w:t>đ</w:t>
      </w:r>
      <w:r w:rsidRPr="0083687B">
        <w:rPr>
          <w:sz w:val="22"/>
          <w:szCs w:val="22"/>
          <w:lang w:val="sr-Latn-ME"/>
        </w:rPr>
        <w:t>eni sa ovim rezu</w:t>
      </w:r>
      <w:r w:rsidR="00E85E87">
        <w:rPr>
          <w:sz w:val="22"/>
          <w:szCs w:val="22"/>
          <w:lang w:val="sr-Latn-ME"/>
        </w:rPr>
        <w:t>l</w:t>
      </w:r>
      <w:r w:rsidRPr="0083687B">
        <w:rPr>
          <w:sz w:val="22"/>
          <w:szCs w:val="22"/>
          <w:lang w:val="sr-Latn-ME"/>
        </w:rPr>
        <w:t>tatima, ali se broj uključenih ispitanika smanjio nakon 78. nedjelja. Sveukupno medju pacijentima  koji su prekinuli ispitivanje, njih 18% je prekinulo usljed neželjenih reakcija, i 8% usljed nedostatka odgovora na liječenje adalimumabom.</w:t>
      </w:r>
    </w:p>
    <w:p w14:paraId="5A21F4E7" w14:textId="77777777" w:rsidR="0083687B" w:rsidRPr="0083687B" w:rsidRDefault="0083687B">
      <w:pPr>
        <w:widowControl w:val="0"/>
        <w:autoSpaceDE w:val="0"/>
        <w:autoSpaceDN w:val="0"/>
        <w:adjustRightInd w:val="0"/>
        <w:jc w:val="both"/>
        <w:rPr>
          <w:sz w:val="22"/>
          <w:szCs w:val="22"/>
          <w:u w:val="single"/>
          <w:lang w:val="sr-Latn-ME"/>
        </w:rPr>
      </w:pPr>
    </w:p>
    <w:p w14:paraId="63BD2A11" w14:textId="77777777" w:rsidR="0083687B" w:rsidRPr="0083687B" w:rsidRDefault="0083687B">
      <w:pPr>
        <w:widowControl w:val="0"/>
        <w:autoSpaceDE w:val="0"/>
        <w:autoSpaceDN w:val="0"/>
        <w:adjustRightInd w:val="0"/>
        <w:jc w:val="both"/>
        <w:rPr>
          <w:i/>
          <w:sz w:val="22"/>
          <w:szCs w:val="22"/>
          <w:u w:val="single"/>
          <w:lang w:val="sr-Latn-ME"/>
        </w:rPr>
      </w:pPr>
      <w:r w:rsidRPr="0083687B">
        <w:rPr>
          <w:i/>
          <w:sz w:val="22"/>
          <w:szCs w:val="22"/>
          <w:u w:val="single"/>
          <w:lang w:val="sr-Latn-ME"/>
        </w:rPr>
        <w:lastRenderedPageBreak/>
        <w:t>Kvalitet života</w:t>
      </w:r>
    </w:p>
    <w:p w14:paraId="6B03BA72" w14:textId="77777777" w:rsidR="0083687B" w:rsidRPr="0083687B" w:rsidRDefault="0083687B">
      <w:pPr>
        <w:widowControl w:val="0"/>
        <w:autoSpaceDE w:val="0"/>
        <w:autoSpaceDN w:val="0"/>
        <w:adjustRightInd w:val="0"/>
        <w:jc w:val="both"/>
        <w:rPr>
          <w:sz w:val="22"/>
          <w:szCs w:val="22"/>
          <w:u w:val="single"/>
          <w:lang w:val="sr-Latn-ME"/>
        </w:rPr>
      </w:pPr>
    </w:p>
    <w:p w14:paraId="09149351" w14:textId="77777777" w:rsidR="0083687B" w:rsidRPr="0083687B" w:rsidRDefault="0083687B">
      <w:pPr>
        <w:widowControl w:val="0"/>
        <w:autoSpaceDE w:val="0"/>
        <w:autoSpaceDN w:val="0"/>
        <w:adjustRightInd w:val="0"/>
        <w:jc w:val="both"/>
        <w:rPr>
          <w:color w:val="000000"/>
          <w:sz w:val="22"/>
          <w:szCs w:val="22"/>
        </w:rPr>
      </w:pPr>
      <w:r w:rsidRPr="0083687B">
        <w:rPr>
          <w:sz w:val="22"/>
          <w:szCs w:val="22"/>
          <w:lang w:val="sr-Latn-ME"/>
        </w:rPr>
        <w:t xml:space="preserve">U oba su se klinička ispitivanja upitnikom NEI VFQ-25 određivali ishodi s obzirom na funkcionisanje povezano sa vidom koje su prijavljivali pacijenti. Većina podrezultata brojčano je išla u prilog lijeku Humira, a srednje vrijednosti razlike bile su statistički značajne za opšti vid, bol u oku, vid na blizinu, mentalno zdravlje i ukupan rezultat u ispitivanju UV I te za opšti vid i mentalno zdravlje u ispitivanju </w:t>
      </w:r>
      <w:r w:rsidRPr="0083687B">
        <w:rPr>
          <w:color w:val="000000"/>
          <w:sz w:val="22"/>
          <w:szCs w:val="22"/>
        </w:rPr>
        <w:t xml:space="preserve">UV II. Efekti povezani </w:t>
      </w:r>
      <w:proofErr w:type="gramStart"/>
      <w:r w:rsidRPr="0083687B">
        <w:rPr>
          <w:color w:val="000000"/>
          <w:sz w:val="22"/>
          <w:szCs w:val="22"/>
        </w:rPr>
        <w:t>sa</w:t>
      </w:r>
      <w:proofErr w:type="gramEnd"/>
      <w:r w:rsidRPr="0083687B">
        <w:rPr>
          <w:color w:val="000000"/>
          <w:sz w:val="22"/>
          <w:szCs w:val="22"/>
        </w:rPr>
        <w:t xml:space="preserve"> vidom koji nisu brojčano išli u prilog lijeku Humira bili su efekti na vid u boji u ispitivanju UV I, odnosno efekti na vid u boji, periferni vid i vid na blizinu u ispitivanju UV II.</w:t>
      </w:r>
    </w:p>
    <w:p w14:paraId="75642D1D" w14:textId="77777777" w:rsidR="0083687B" w:rsidRPr="0083687B" w:rsidRDefault="0083687B">
      <w:pPr>
        <w:snapToGrid w:val="0"/>
        <w:jc w:val="both"/>
        <w:rPr>
          <w:sz w:val="22"/>
          <w:szCs w:val="22"/>
          <w:lang w:val="sr-Latn-ME"/>
        </w:rPr>
      </w:pPr>
    </w:p>
    <w:p w14:paraId="1F23B590"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Imunogenost</w:t>
      </w:r>
    </w:p>
    <w:p w14:paraId="37F90AE3" w14:textId="77777777" w:rsidR="0083687B" w:rsidRPr="0083687B" w:rsidRDefault="0083687B">
      <w:pPr>
        <w:widowControl w:val="0"/>
        <w:autoSpaceDE w:val="0"/>
        <w:autoSpaceDN w:val="0"/>
        <w:adjustRightInd w:val="0"/>
        <w:jc w:val="both"/>
        <w:rPr>
          <w:sz w:val="22"/>
          <w:szCs w:val="22"/>
          <w:u w:val="single"/>
        </w:rPr>
      </w:pPr>
    </w:p>
    <w:p w14:paraId="68237B6E"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Stvaranje anti-adalimumab antitijela povezano je </w:t>
      </w:r>
      <w:proofErr w:type="gramStart"/>
      <w:r w:rsidRPr="0083687B">
        <w:rPr>
          <w:sz w:val="22"/>
          <w:szCs w:val="22"/>
        </w:rPr>
        <w:t>sa</w:t>
      </w:r>
      <w:proofErr w:type="gramEnd"/>
      <w:r w:rsidRPr="0083687B">
        <w:rPr>
          <w:sz w:val="22"/>
          <w:szCs w:val="22"/>
        </w:rPr>
        <w:t xml:space="preserve"> bržim uklanjanjem i slabijim terapeutskim djelovanjem adalimumaba. Prisutnost antitijela </w:t>
      </w:r>
      <w:proofErr w:type="gramStart"/>
      <w:r w:rsidRPr="0083687B">
        <w:rPr>
          <w:sz w:val="22"/>
          <w:szCs w:val="22"/>
        </w:rPr>
        <w:t>na</w:t>
      </w:r>
      <w:proofErr w:type="gramEnd"/>
      <w:r w:rsidRPr="0083687B">
        <w:rPr>
          <w:sz w:val="22"/>
          <w:szCs w:val="22"/>
        </w:rPr>
        <w:t xml:space="preserve"> adalimumab nije povezana sa stopom pojave neželjenih dejstva.</w:t>
      </w:r>
    </w:p>
    <w:p w14:paraId="34432A6A" w14:textId="77777777" w:rsidR="0083687B" w:rsidRPr="0083687B" w:rsidRDefault="0083687B">
      <w:pPr>
        <w:widowControl w:val="0"/>
        <w:autoSpaceDE w:val="0"/>
        <w:autoSpaceDN w:val="0"/>
        <w:adjustRightInd w:val="0"/>
        <w:jc w:val="both"/>
        <w:rPr>
          <w:sz w:val="22"/>
          <w:szCs w:val="22"/>
        </w:rPr>
      </w:pPr>
    </w:p>
    <w:p w14:paraId="0FBEFD3A" w14:textId="45092A1D" w:rsidR="0083687B" w:rsidRPr="0083687B" w:rsidRDefault="0083687B">
      <w:pPr>
        <w:widowControl w:val="0"/>
        <w:autoSpaceDE w:val="0"/>
        <w:autoSpaceDN w:val="0"/>
        <w:adjustRightInd w:val="0"/>
        <w:jc w:val="both"/>
        <w:rPr>
          <w:sz w:val="22"/>
          <w:szCs w:val="22"/>
        </w:rPr>
      </w:pPr>
      <w:r w:rsidRPr="0083687B">
        <w:rPr>
          <w:sz w:val="22"/>
          <w:szCs w:val="22"/>
        </w:rPr>
        <w:t>Kod pacijenata sa poliartikularnim juvenilnim idiopatskim artritisom, u uzrastu od 4-17 godina, anti-adalimumab antitijela su identifikovana kod 15</w:t>
      </w:r>
      <w:proofErr w:type="gramStart"/>
      <w:r w:rsidRPr="0083687B">
        <w:rPr>
          <w:sz w:val="22"/>
          <w:szCs w:val="22"/>
        </w:rPr>
        <w:t>,8</w:t>
      </w:r>
      <w:proofErr w:type="gramEnd"/>
      <w:r w:rsidRPr="0083687B">
        <w:rPr>
          <w:sz w:val="22"/>
          <w:szCs w:val="22"/>
        </w:rPr>
        <w:t>% (27/171) pacijenata liječenih adalimumabom. Kod pacijenata koji nisu istovremeno primili metotreksat, incidencija je bila 25</w:t>
      </w:r>
      <w:proofErr w:type="gramStart"/>
      <w:r w:rsidRPr="0083687B">
        <w:rPr>
          <w:sz w:val="22"/>
          <w:szCs w:val="22"/>
        </w:rPr>
        <w:t>,6</w:t>
      </w:r>
      <w:proofErr w:type="gramEnd"/>
      <w:r w:rsidRPr="0083687B">
        <w:rPr>
          <w:sz w:val="22"/>
          <w:szCs w:val="22"/>
        </w:rPr>
        <w:t xml:space="preserve">% (22/86) u poređenju sa 5,9% (5/85) kod pacijenata koji su primali adalimumab uz metotreksat. </w:t>
      </w:r>
    </w:p>
    <w:p w14:paraId="2D054FF2" w14:textId="77777777" w:rsidR="0083687B" w:rsidRPr="0083687B" w:rsidRDefault="0083687B">
      <w:pPr>
        <w:widowControl w:val="0"/>
        <w:autoSpaceDE w:val="0"/>
        <w:autoSpaceDN w:val="0"/>
        <w:adjustRightInd w:val="0"/>
        <w:jc w:val="both"/>
        <w:rPr>
          <w:sz w:val="22"/>
          <w:szCs w:val="22"/>
        </w:rPr>
      </w:pPr>
      <w:r w:rsidRPr="0083687B">
        <w:rPr>
          <w:sz w:val="22"/>
          <w:szCs w:val="22"/>
        </w:rPr>
        <w:t>Kod pacijenata sa poliartikularnim juvenilnim idiopatskim artritisom starosti od 2 do manje od 4 godine ili starijih od 4 godine, tjelesne težine ispod 15 kg, anti-adalimumab antitijela su identifikovana kod 7% (1 od 15 pacijenata), a jedan pacijent je primao istovremeno i metotreksat.</w:t>
      </w:r>
    </w:p>
    <w:p w14:paraId="3FD8C165" w14:textId="77777777" w:rsidR="0083687B" w:rsidRPr="0083687B" w:rsidRDefault="0083687B">
      <w:pPr>
        <w:widowControl w:val="0"/>
        <w:autoSpaceDE w:val="0"/>
        <w:autoSpaceDN w:val="0"/>
        <w:adjustRightInd w:val="0"/>
        <w:jc w:val="both"/>
        <w:rPr>
          <w:sz w:val="22"/>
          <w:szCs w:val="22"/>
        </w:rPr>
      </w:pPr>
    </w:p>
    <w:p w14:paraId="7980084B" w14:textId="77777777" w:rsidR="0083687B" w:rsidRPr="0083687B" w:rsidRDefault="0083687B">
      <w:pPr>
        <w:widowControl w:val="0"/>
        <w:autoSpaceDE w:val="0"/>
        <w:autoSpaceDN w:val="0"/>
        <w:adjustRightInd w:val="0"/>
        <w:jc w:val="both"/>
        <w:rPr>
          <w:sz w:val="22"/>
          <w:szCs w:val="22"/>
        </w:rPr>
      </w:pPr>
      <w:r w:rsidRPr="0083687B">
        <w:rPr>
          <w:sz w:val="22"/>
          <w:szCs w:val="22"/>
        </w:rPr>
        <w:t>Kod pacijenata sa artritisom povezanim sa entezitisom, anti-adalimumab antitijela su identifikovana kod 10</w:t>
      </w:r>
      <w:proofErr w:type="gramStart"/>
      <w:r w:rsidRPr="0083687B">
        <w:rPr>
          <w:sz w:val="22"/>
          <w:szCs w:val="22"/>
        </w:rPr>
        <w:t>,9</w:t>
      </w:r>
      <w:proofErr w:type="gramEnd"/>
      <w:r w:rsidRPr="0083687B">
        <w:rPr>
          <w:sz w:val="22"/>
          <w:szCs w:val="22"/>
        </w:rPr>
        <w:t>% (5/46) pacijenata liječenih adalimumabom. Kod pacijenata koji nisu primili metotreksat, incidenca je bila 13</w:t>
      </w:r>
      <w:proofErr w:type="gramStart"/>
      <w:r w:rsidRPr="0083687B">
        <w:rPr>
          <w:sz w:val="22"/>
          <w:szCs w:val="22"/>
        </w:rPr>
        <w:t>,6</w:t>
      </w:r>
      <w:proofErr w:type="gramEnd"/>
      <w:r w:rsidRPr="0083687B">
        <w:rPr>
          <w:sz w:val="22"/>
          <w:szCs w:val="22"/>
        </w:rPr>
        <w:t>% (3/22), u poređenju sa 8,3% (2/24) pacijenata koji su primali metotreksat uz adalimumab.</w:t>
      </w:r>
    </w:p>
    <w:p w14:paraId="3FCB25D3" w14:textId="77777777" w:rsidR="0083687B" w:rsidRPr="0083687B" w:rsidRDefault="0083687B">
      <w:pPr>
        <w:widowControl w:val="0"/>
        <w:autoSpaceDE w:val="0"/>
        <w:autoSpaceDN w:val="0"/>
        <w:adjustRightInd w:val="0"/>
        <w:jc w:val="both"/>
        <w:rPr>
          <w:sz w:val="22"/>
          <w:szCs w:val="22"/>
        </w:rPr>
      </w:pPr>
    </w:p>
    <w:p w14:paraId="6F76DDCD"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Pacijentima u studijama reumatoidnog artritisa I, II i III između 6. </w:t>
      </w:r>
      <w:proofErr w:type="gramStart"/>
      <w:r w:rsidRPr="0083687B">
        <w:rPr>
          <w:sz w:val="22"/>
          <w:szCs w:val="22"/>
        </w:rPr>
        <w:t>i</w:t>
      </w:r>
      <w:proofErr w:type="gramEnd"/>
      <w:r w:rsidRPr="0083687B">
        <w:rPr>
          <w:sz w:val="22"/>
          <w:szCs w:val="22"/>
        </w:rPr>
        <w:t xml:space="preserve"> 12. </w:t>
      </w:r>
      <w:proofErr w:type="gramStart"/>
      <w:r w:rsidRPr="0083687B">
        <w:rPr>
          <w:sz w:val="22"/>
          <w:szCs w:val="22"/>
        </w:rPr>
        <w:t>mjeseca</w:t>
      </w:r>
      <w:proofErr w:type="gramEnd"/>
      <w:r w:rsidRPr="0083687B">
        <w:rPr>
          <w:sz w:val="22"/>
          <w:szCs w:val="22"/>
        </w:rPr>
        <w:t xml:space="preserve"> terapije u više navrata vršene su pretrage kako bi se utvrdila prisutnost anti-adalimumab antitijela. U pivotalnim kliničkim ispitivanjima, anti-adalimumab antitijela nađena su kod 5</w:t>
      </w:r>
      <w:proofErr w:type="gramStart"/>
      <w:r w:rsidRPr="0083687B">
        <w:rPr>
          <w:sz w:val="22"/>
          <w:szCs w:val="22"/>
        </w:rPr>
        <w:t>,5</w:t>
      </w:r>
      <w:proofErr w:type="gramEnd"/>
      <w:r w:rsidRPr="0083687B">
        <w:rPr>
          <w:sz w:val="22"/>
          <w:szCs w:val="22"/>
        </w:rPr>
        <w:t>% (58/1053) pacijenata koji su uzimali adalimumab, u odnosu od 0,5% (2/370) koji su uzimali placebo. Kod pacijenata koji istovremeno nisu primali metotreksat, pojava anti-adalimumab antitijela bila je 12</w:t>
      </w:r>
      <w:proofErr w:type="gramStart"/>
      <w:r w:rsidRPr="0083687B">
        <w:rPr>
          <w:sz w:val="22"/>
          <w:szCs w:val="22"/>
        </w:rPr>
        <w:t>,4</w:t>
      </w:r>
      <w:proofErr w:type="gramEnd"/>
      <w:r w:rsidRPr="0083687B">
        <w:rPr>
          <w:sz w:val="22"/>
          <w:szCs w:val="22"/>
        </w:rPr>
        <w:t>% u odnosu na 0,6% u grupi pacijenata koji su primali metotreksat uz adalimumab.</w:t>
      </w:r>
    </w:p>
    <w:p w14:paraId="3E27EC9F" w14:textId="77777777" w:rsidR="0083687B" w:rsidRPr="0083687B" w:rsidRDefault="0083687B">
      <w:pPr>
        <w:widowControl w:val="0"/>
        <w:autoSpaceDE w:val="0"/>
        <w:autoSpaceDN w:val="0"/>
        <w:adjustRightInd w:val="0"/>
        <w:jc w:val="both"/>
        <w:rPr>
          <w:sz w:val="22"/>
          <w:szCs w:val="22"/>
        </w:rPr>
      </w:pPr>
    </w:p>
    <w:p w14:paraId="1CAD6003" w14:textId="77777777" w:rsidR="0083687B" w:rsidRPr="0083687B" w:rsidRDefault="0083687B">
      <w:pPr>
        <w:widowControl w:val="0"/>
        <w:autoSpaceDE w:val="0"/>
        <w:autoSpaceDN w:val="0"/>
        <w:adjustRightInd w:val="0"/>
        <w:jc w:val="both"/>
        <w:rPr>
          <w:sz w:val="22"/>
          <w:szCs w:val="22"/>
        </w:rPr>
      </w:pPr>
      <w:r w:rsidRPr="0083687B">
        <w:rPr>
          <w:sz w:val="22"/>
          <w:szCs w:val="22"/>
        </w:rPr>
        <w:t>Kod pedijatrijskih pacijenata sa psorijazom, anti-adalimumab antitijela nađena su kod 5/38 ispitanika (13%) liječenih monoterapijom adalimumabom u dozi od 0</w:t>
      </w:r>
      <w:proofErr w:type="gramStart"/>
      <w:r w:rsidRPr="0083687B">
        <w:rPr>
          <w:sz w:val="22"/>
          <w:szCs w:val="22"/>
        </w:rPr>
        <w:t>,8</w:t>
      </w:r>
      <w:proofErr w:type="gramEnd"/>
      <w:r w:rsidRPr="0083687B">
        <w:rPr>
          <w:sz w:val="22"/>
          <w:szCs w:val="22"/>
        </w:rPr>
        <w:t xml:space="preserve"> mg/kg.</w:t>
      </w:r>
    </w:p>
    <w:p w14:paraId="42491B2C" w14:textId="77777777" w:rsidR="0083687B" w:rsidRPr="0083687B" w:rsidRDefault="0083687B">
      <w:pPr>
        <w:widowControl w:val="0"/>
        <w:autoSpaceDE w:val="0"/>
        <w:autoSpaceDN w:val="0"/>
        <w:adjustRightInd w:val="0"/>
        <w:jc w:val="both"/>
        <w:rPr>
          <w:sz w:val="22"/>
          <w:szCs w:val="22"/>
        </w:rPr>
      </w:pPr>
    </w:p>
    <w:p w14:paraId="09A436C9" w14:textId="77777777" w:rsidR="0083687B" w:rsidRPr="0083687B" w:rsidRDefault="0083687B">
      <w:pPr>
        <w:widowControl w:val="0"/>
        <w:autoSpaceDE w:val="0"/>
        <w:autoSpaceDN w:val="0"/>
        <w:adjustRightInd w:val="0"/>
        <w:jc w:val="both"/>
        <w:rPr>
          <w:sz w:val="22"/>
          <w:szCs w:val="22"/>
        </w:rPr>
      </w:pPr>
      <w:r w:rsidRPr="0083687B">
        <w:rPr>
          <w:sz w:val="22"/>
          <w:szCs w:val="22"/>
        </w:rPr>
        <w:t>Kod odraslih pacijenata sa psorijazom, anti-adalimumab antitijela su nađena kod 77/920 (8</w:t>
      </w:r>
      <w:proofErr w:type="gramStart"/>
      <w:r w:rsidRPr="0083687B">
        <w:rPr>
          <w:sz w:val="22"/>
          <w:szCs w:val="22"/>
        </w:rPr>
        <w:t>,4</w:t>
      </w:r>
      <w:proofErr w:type="gramEnd"/>
      <w:r w:rsidRPr="0083687B">
        <w:rPr>
          <w:sz w:val="22"/>
          <w:szCs w:val="22"/>
        </w:rPr>
        <w:t>%) pacijenata liječenih adalimumabom kao monoterapijom.</w:t>
      </w:r>
    </w:p>
    <w:p w14:paraId="7BD681A7" w14:textId="77777777" w:rsidR="0083687B" w:rsidRPr="0083687B" w:rsidRDefault="0083687B">
      <w:pPr>
        <w:widowControl w:val="0"/>
        <w:autoSpaceDE w:val="0"/>
        <w:autoSpaceDN w:val="0"/>
        <w:adjustRightInd w:val="0"/>
        <w:jc w:val="both"/>
        <w:rPr>
          <w:sz w:val="22"/>
          <w:szCs w:val="22"/>
        </w:rPr>
      </w:pPr>
    </w:p>
    <w:p w14:paraId="6F38CC31" w14:textId="77777777" w:rsidR="0083687B" w:rsidRPr="0083687B" w:rsidRDefault="0083687B">
      <w:pPr>
        <w:widowControl w:val="0"/>
        <w:autoSpaceDE w:val="0"/>
        <w:autoSpaceDN w:val="0"/>
        <w:adjustRightInd w:val="0"/>
        <w:jc w:val="both"/>
        <w:rPr>
          <w:sz w:val="22"/>
          <w:szCs w:val="22"/>
        </w:rPr>
      </w:pPr>
      <w:r w:rsidRPr="0083687B">
        <w:rPr>
          <w:sz w:val="22"/>
          <w:szCs w:val="22"/>
        </w:rPr>
        <w:t>Kod odraslih pacijenata sa plak psorijazom i dugoročnom monoterapijom adalimumabom koji su bili uključeni u ispitivanje prekida i ponovnog uključivanja, vrijednost antitijela na adalimumab nakon ponovljene terapije (11/482 pacijenata, 2</w:t>
      </w:r>
      <w:proofErr w:type="gramStart"/>
      <w:r w:rsidRPr="0083687B">
        <w:rPr>
          <w:sz w:val="22"/>
          <w:szCs w:val="22"/>
        </w:rPr>
        <w:t>,3</w:t>
      </w:r>
      <w:proofErr w:type="gramEnd"/>
      <w:r w:rsidRPr="0083687B">
        <w:rPr>
          <w:sz w:val="22"/>
          <w:szCs w:val="22"/>
        </w:rPr>
        <w:t>%) bila je slična vrijednosti koja je primijećena prije prekida terapije (11/590 pacijenata, 1,9%).</w:t>
      </w:r>
    </w:p>
    <w:p w14:paraId="70FE5C9F" w14:textId="77777777" w:rsidR="0083687B" w:rsidRPr="0083687B" w:rsidRDefault="0083687B">
      <w:pPr>
        <w:widowControl w:val="0"/>
        <w:autoSpaceDE w:val="0"/>
        <w:autoSpaceDN w:val="0"/>
        <w:adjustRightInd w:val="0"/>
        <w:jc w:val="both"/>
        <w:rPr>
          <w:sz w:val="22"/>
          <w:szCs w:val="22"/>
        </w:rPr>
      </w:pPr>
    </w:p>
    <w:p w14:paraId="69344475" w14:textId="77777777" w:rsidR="0083687B" w:rsidRPr="0083687B" w:rsidRDefault="0083687B">
      <w:pPr>
        <w:widowControl w:val="0"/>
        <w:autoSpaceDE w:val="0"/>
        <w:autoSpaceDN w:val="0"/>
        <w:adjustRightInd w:val="0"/>
        <w:jc w:val="both"/>
        <w:rPr>
          <w:sz w:val="22"/>
          <w:szCs w:val="22"/>
        </w:rPr>
      </w:pPr>
      <w:r w:rsidRPr="0083687B">
        <w:rPr>
          <w:sz w:val="22"/>
          <w:szCs w:val="22"/>
        </w:rPr>
        <w:t>Kod pacijenata sa umjerenim do teškim oblikom aktivne Crohn-ove bolesti, stopa stvaranja antitijela na adalimumab bila je 3</w:t>
      </w:r>
      <w:proofErr w:type="gramStart"/>
      <w:r w:rsidRPr="0083687B">
        <w:rPr>
          <w:sz w:val="22"/>
          <w:szCs w:val="22"/>
        </w:rPr>
        <w:t>,3</w:t>
      </w:r>
      <w:proofErr w:type="gramEnd"/>
      <w:r w:rsidRPr="0083687B">
        <w:rPr>
          <w:sz w:val="22"/>
          <w:szCs w:val="22"/>
        </w:rPr>
        <w:t>% pacijenata koji primaju adalimumab.</w:t>
      </w:r>
    </w:p>
    <w:p w14:paraId="153330B8" w14:textId="77777777" w:rsidR="0083687B" w:rsidRPr="0083687B" w:rsidRDefault="0083687B">
      <w:pPr>
        <w:widowControl w:val="0"/>
        <w:autoSpaceDE w:val="0"/>
        <w:autoSpaceDN w:val="0"/>
        <w:adjustRightInd w:val="0"/>
        <w:jc w:val="both"/>
        <w:rPr>
          <w:sz w:val="22"/>
          <w:szCs w:val="22"/>
        </w:rPr>
      </w:pPr>
    </w:p>
    <w:p w14:paraId="67E0D21E" w14:textId="77777777" w:rsidR="0083687B" w:rsidRPr="0083687B" w:rsidRDefault="0083687B">
      <w:pPr>
        <w:widowControl w:val="0"/>
        <w:autoSpaceDE w:val="0"/>
        <w:autoSpaceDN w:val="0"/>
        <w:adjustRightInd w:val="0"/>
        <w:jc w:val="both"/>
        <w:rPr>
          <w:sz w:val="22"/>
          <w:szCs w:val="22"/>
        </w:rPr>
      </w:pPr>
      <w:r w:rsidRPr="0083687B">
        <w:rPr>
          <w:sz w:val="22"/>
          <w:szCs w:val="22"/>
        </w:rPr>
        <w:t>Kod odraslih pacijenata sa Crohn-ovom bolešću, antitijela na adalimumab su identifikovana kod 7/269 pacijenata (2</w:t>
      </w:r>
      <w:proofErr w:type="gramStart"/>
      <w:r w:rsidRPr="0083687B">
        <w:rPr>
          <w:sz w:val="22"/>
          <w:szCs w:val="22"/>
        </w:rPr>
        <w:t>,6</w:t>
      </w:r>
      <w:proofErr w:type="gramEnd"/>
      <w:r w:rsidRPr="0083687B">
        <w:rPr>
          <w:sz w:val="22"/>
          <w:szCs w:val="22"/>
        </w:rPr>
        <w:t>%).</w:t>
      </w:r>
    </w:p>
    <w:p w14:paraId="36E9A97B" w14:textId="77777777" w:rsidR="0083687B" w:rsidRPr="0083687B" w:rsidRDefault="0083687B">
      <w:pPr>
        <w:widowControl w:val="0"/>
        <w:autoSpaceDE w:val="0"/>
        <w:autoSpaceDN w:val="0"/>
        <w:adjustRightInd w:val="0"/>
        <w:jc w:val="both"/>
        <w:rPr>
          <w:sz w:val="22"/>
          <w:szCs w:val="22"/>
        </w:rPr>
      </w:pPr>
    </w:p>
    <w:p w14:paraId="3D17B2B1" w14:textId="77777777" w:rsidR="0083687B" w:rsidRPr="0083687B" w:rsidRDefault="0083687B">
      <w:pPr>
        <w:widowControl w:val="0"/>
        <w:autoSpaceDE w:val="0"/>
        <w:autoSpaceDN w:val="0"/>
        <w:adjustRightInd w:val="0"/>
        <w:jc w:val="both"/>
        <w:rPr>
          <w:sz w:val="22"/>
          <w:szCs w:val="22"/>
        </w:rPr>
      </w:pPr>
      <w:r w:rsidRPr="0083687B">
        <w:rPr>
          <w:sz w:val="22"/>
          <w:szCs w:val="22"/>
        </w:rPr>
        <w:t>Kod pacijenata sa neinfektivnim uveitisom, antitijela na adalimumab nađena su kod 4</w:t>
      </w:r>
      <w:proofErr w:type="gramStart"/>
      <w:r w:rsidRPr="0083687B">
        <w:rPr>
          <w:sz w:val="22"/>
          <w:szCs w:val="22"/>
        </w:rPr>
        <w:t>,8</w:t>
      </w:r>
      <w:proofErr w:type="gramEnd"/>
      <w:r w:rsidRPr="0083687B">
        <w:rPr>
          <w:sz w:val="22"/>
          <w:szCs w:val="22"/>
        </w:rPr>
        <w:t>% (12/249) pacijenata koji primaju adalimumab.</w:t>
      </w:r>
    </w:p>
    <w:p w14:paraId="512F166D" w14:textId="77777777" w:rsidR="0083687B" w:rsidRPr="0083687B" w:rsidRDefault="0083687B">
      <w:pPr>
        <w:widowControl w:val="0"/>
        <w:autoSpaceDE w:val="0"/>
        <w:autoSpaceDN w:val="0"/>
        <w:adjustRightInd w:val="0"/>
        <w:jc w:val="both"/>
        <w:rPr>
          <w:sz w:val="22"/>
          <w:szCs w:val="22"/>
        </w:rPr>
      </w:pPr>
    </w:p>
    <w:p w14:paraId="167C438B" w14:textId="77777777" w:rsidR="0083687B" w:rsidRPr="0083687B" w:rsidRDefault="0083687B">
      <w:pPr>
        <w:widowControl w:val="0"/>
        <w:autoSpaceDE w:val="0"/>
        <w:autoSpaceDN w:val="0"/>
        <w:adjustRightInd w:val="0"/>
        <w:jc w:val="both"/>
        <w:rPr>
          <w:sz w:val="22"/>
          <w:szCs w:val="22"/>
        </w:rPr>
      </w:pPr>
      <w:r w:rsidRPr="0083687B">
        <w:rPr>
          <w:sz w:val="22"/>
          <w:szCs w:val="22"/>
        </w:rPr>
        <w:t>Zbog toga što je analiza imunogenosti specifična za svaki lijek, nije prikladno porediti nivoe antitijela kod različitih ljekova.</w:t>
      </w:r>
    </w:p>
    <w:p w14:paraId="3837ED36" w14:textId="77777777" w:rsidR="0083687B" w:rsidRPr="0083687B" w:rsidRDefault="0083687B">
      <w:pPr>
        <w:widowControl w:val="0"/>
        <w:autoSpaceDE w:val="0"/>
        <w:autoSpaceDN w:val="0"/>
        <w:adjustRightInd w:val="0"/>
        <w:jc w:val="both"/>
        <w:rPr>
          <w:sz w:val="22"/>
          <w:szCs w:val="22"/>
        </w:rPr>
      </w:pPr>
    </w:p>
    <w:p w14:paraId="5493EF8E"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Pedijatrijska populacija</w:t>
      </w:r>
    </w:p>
    <w:p w14:paraId="7B55A4FC" w14:textId="77777777" w:rsidR="0083687B" w:rsidRPr="0083687B" w:rsidRDefault="0083687B">
      <w:pPr>
        <w:tabs>
          <w:tab w:val="left" w:pos="540"/>
          <w:tab w:val="left" w:pos="569"/>
        </w:tabs>
        <w:jc w:val="both"/>
        <w:rPr>
          <w:sz w:val="22"/>
          <w:szCs w:val="22"/>
          <w:lang w:val="sr-Latn-ME"/>
        </w:rPr>
      </w:pPr>
    </w:p>
    <w:p w14:paraId="1FA75F18" w14:textId="77777777" w:rsidR="0083687B" w:rsidRPr="00172A4E" w:rsidRDefault="0083687B" w:rsidP="00EB3350">
      <w:pPr>
        <w:widowControl w:val="0"/>
        <w:autoSpaceDE w:val="0"/>
        <w:autoSpaceDN w:val="0"/>
        <w:adjustRightInd w:val="0"/>
        <w:jc w:val="both"/>
        <w:rPr>
          <w:i/>
          <w:sz w:val="22"/>
          <w:szCs w:val="22"/>
          <w:lang w:val="hr-HR"/>
        </w:rPr>
      </w:pPr>
      <w:r w:rsidRPr="00172A4E">
        <w:rPr>
          <w:i/>
          <w:sz w:val="22"/>
          <w:szCs w:val="22"/>
          <w:lang w:val="hr-HR"/>
        </w:rPr>
        <w:t>Juvenilni idiopatski artritis (JIA)</w:t>
      </w:r>
    </w:p>
    <w:p w14:paraId="72F7E5D2" w14:textId="77777777" w:rsidR="0083687B" w:rsidRPr="00172A4E" w:rsidRDefault="0083687B" w:rsidP="00EB3350">
      <w:pPr>
        <w:widowControl w:val="0"/>
        <w:autoSpaceDE w:val="0"/>
        <w:autoSpaceDN w:val="0"/>
        <w:adjustRightInd w:val="0"/>
        <w:jc w:val="both"/>
        <w:rPr>
          <w:sz w:val="22"/>
          <w:szCs w:val="22"/>
          <w:u w:val="single"/>
          <w:lang w:val="hr-HR"/>
        </w:rPr>
      </w:pPr>
    </w:p>
    <w:p w14:paraId="2B389BC8" w14:textId="77777777" w:rsidR="0083687B" w:rsidRPr="00172A4E" w:rsidRDefault="0083687B" w:rsidP="00EB3350">
      <w:pPr>
        <w:widowControl w:val="0"/>
        <w:autoSpaceDE w:val="0"/>
        <w:autoSpaceDN w:val="0"/>
        <w:adjustRightInd w:val="0"/>
        <w:jc w:val="both"/>
        <w:rPr>
          <w:i/>
          <w:sz w:val="22"/>
          <w:szCs w:val="22"/>
          <w:u w:val="single"/>
          <w:lang w:val="hr-HR"/>
        </w:rPr>
      </w:pPr>
      <w:r w:rsidRPr="00172A4E">
        <w:rPr>
          <w:i/>
          <w:sz w:val="22"/>
          <w:szCs w:val="22"/>
          <w:u w:val="single"/>
          <w:lang w:val="hr-HR"/>
        </w:rPr>
        <w:t>Poliartikularni juvenilni idiopatski artritis (pJIA)</w:t>
      </w:r>
    </w:p>
    <w:p w14:paraId="35BD101D" w14:textId="77777777" w:rsidR="0083687B" w:rsidRPr="00172A4E" w:rsidRDefault="0083687B" w:rsidP="00EB3350">
      <w:pPr>
        <w:widowControl w:val="0"/>
        <w:autoSpaceDE w:val="0"/>
        <w:autoSpaceDN w:val="0"/>
        <w:adjustRightInd w:val="0"/>
        <w:jc w:val="both"/>
        <w:rPr>
          <w:sz w:val="22"/>
          <w:szCs w:val="22"/>
          <w:u w:val="single"/>
          <w:lang w:val="hr-HR"/>
        </w:rPr>
      </w:pPr>
    </w:p>
    <w:p w14:paraId="311FF4D0" w14:textId="0BA17E7E" w:rsidR="0083687B" w:rsidRPr="00172A4E" w:rsidRDefault="0083687B" w:rsidP="00730D96">
      <w:pPr>
        <w:widowControl w:val="0"/>
        <w:autoSpaceDE w:val="0"/>
        <w:autoSpaceDN w:val="0"/>
        <w:adjustRightInd w:val="0"/>
        <w:jc w:val="both"/>
        <w:rPr>
          <w:sz w:val="22"/>
          <w:szCs w:val="22"/>
          <w:lang w:val="hr-HR"/>
        </w:rPr>
      </w:pPr>
      <w:r w:rsidRPr="00172A4E">
        <w:rPr>
          <w:sz w:val="22"/>
          <w:szCs w:val="22"/>
          <w:lang w:val="hr-HR"/>
        </w:rPr>
        <w:t xml:space="preserve">Sigurnost i efikasnost lijeka Humira ocijenjeni su u dva ispitivanja (pJIA I i II) </w:t>
      </w:r>
      <w:r w:rsidR="00F7024F">
        <w:rPr>
          <w:sz w:val="22"/>
          <w:szCs w:val="22"/>
          <w:lang w:val="hr-HR"/>
        </w:rPr>
        <w:t>kod</w:t>
      </w:r>
      <w:r w:rsidRPr="00172A4E">
        <w:rPr>
          <w:sz w:val="22"/>
          <w:szCs w:val="22"/>
          <w:lang w:val="hr-HR"/>
        </w:rPr>
        <w:t xml:space="preserve"> djece sa aktivnim poliartikularnim ili poliartikularnim tokom juvenilnog idiopatskog artritisa i raznim vrstama početka JIA (najčešće negativni reumatoidni faktor ili pozitivni poliartritis i prošireni oligoartritis).</w:t>
      </w:r>
    </w:p>
    <w:p w14:paraId="31FFA5F5" w14:textId="77777777" w:rsidR="0083687B" w:rsidRPr="00172A4E" w:rsidRDefault="0083687B" w:rsidP="00EB3350">
      <w:pPr>
        <w:widowControl w:val="0"/>
        <w:autoSpaceDE w:val="0"/>
        <w:autoSpaceDN w:val="0"/>
        <w:adjustRightInd w:val="0"/>
        <w:jc w:val="both"/>
        <w:rPr>
          <w:sz w:val="22"/>
          <w:szCs w:val="22"/>
          <w:lang w:val="hr-HR"/>
        </w:rPr>
      </w:pPr>
    </w:p>
    <w:p w14:paraId="378E6C0A" w14:textId="77777777" w:rsidR="0083687B" w:rsidRPr="00172A4E" w:rsidRDefault="0083687B" w:rsidP="00EB3350">
      <w:pPr>
        <w:widowControl w:val="0"/>
        <w:autoSpaceDE w:val="0"/>
        <w:autoSpaceDN w:val="0"/>
        <w:adjustRightInd w:val="0"/>
        <w:jc w:val="both"/>
        <w:rPr>
          <w:sz w:val="22"/>
          <w:szCs w:val="22"/>
          <w:lang w:val="hr-HR"/>
        </w:rPr>
      </w:pPr>
      <w:r w:rsidRPr="00172A4E">
        <w:rPr>
          <w:sz w:val="22"/>
          <w:szCs w:val="22"/>
          <w:lang w:val="hr-HR"/>
        </w:rPr>
        <w:t xml:space="preserve">pJIA-I </w:t>
      </w:r>
    </w:p>
    <w:p w14:paraId="6DD392C6" w14:textId="77777777" w:rsidR="0083687B" w:rsidRPr="00172A4E" w:rsidRDefault="0083687B" w:rsidP="00EB3350">
      <w:pPr>
        <w:widowControl w:val="0"/>
        <w:autoSpaceDE w:val="0"/>
        <w:autoSpaceDN w:val="0"/>
        <w:adjustRightInd w:val="0"/>
        <w:jc w:val="both"/>
        <w:rPr>
          <w:sz w:val="22"/>
          <w:szCs w:val="22"/>
          <w:lang w:val="hr-HR"/>
        </w:rPr>
      </w:pPr>
    </w:p>
    <w:p w14:paraId="68B29948" w14:textId="4D7E6716" w:rsidR="0083687B" w:rsidRPr="00172A4E" w:rsidRDefault="0083687B" w:rsidP="00730D96">
      <w:pPr>
        <w:widowControl w:val="0"/>
        <w:autoSpaceDE w:val="0"/>
        <w:autoSpaceDN w:val="0"/>
        <w:adjustRightInd w:val="0"/>
        <w:jc w:val="both"/>
        <w:rPr>
          <w:sz w:val="22"/>
          <w:szCs w:val="22"/>
          <w:lang w:val="hr-HR"/>
        </w:rPr>
      </w:pPr>
      <w:r w:rsidRPr="00172A4E">
        <w:rPr>
          <w:sz w:val="22"/>
          <w:szCs w:val="22"/>
          <w:lang w:val="hr-HR"/>
        </w:rPr>
        <w:t>Sigurnost i efikasnost primjene lijeka Humira ocijenjena je u multicentričnom, randomiziranom, dvostruko-slijepom ispitivanju sa paralelnim grupama koje je uključivalo 171 dijete (u dobi od 4</w:t>
      </w:r>
      <w:r w:rsidRPr="00172A4E">
        <w:rPr>
          <w:sz w:val="22"/>
          <w:szCs w:val="22"/>
          <w:lang w:val="hr-HR"/>
        </w:rPr>
        <w:noBreakHyphen/>
        <w:t>17 godina) sa poliartikularnim JIA. U otvorenoj uvodnoj fazi ispitivanja bolesnici su podijeljeni u dvije grupe, jedna koja je uzimala metotreksat (označena sa MTX) i ona koja nije (označena s ne-MTX). Bolesnici u ne-MTX grupi ili nikad nisu uzimali metotreksat ili su ga prestali uzimati bar dvije sedmice prije uzimanja ispitivanog lijeka. Bolesnici su i dalje uzimali stabilne doze nesteroidnih antiinflamatornih lijekova (NSAIL</w:t>
      </w:r>
      <w:r w:rsidRPr="00172A4E">
        <w:rPr>
          <w:sz w:val="22"/>
          <w:szCs w:val="22"/>
          <w:lang w:val="hr-HR"/>
        </w:rPr>
        <w:noBreakHyphen/>
        <w:t>a) i/ili prednizona (≤0,2mg/kg/dan ili najviše 10 mg/dan). U ovoj otvorenoj uvodnoj fazi ispitivanja svi bolesnici su primali 24 mg/m</w:t>
      </w:r>
      <w:r w:rsidRPr="00172A4E">
        <w:rPr>
          <w:sz w:val="22"/>
          <w:szCs w:val="22"/>
          <w:vertAlign w:val="superscript"/>
          <w:lang w:val="hr-HR"/>
        </w:rPr>
        <w:t>2</w:t>
      </w:r>
      <w:r w:rsidRPr="00172A4E">
        <w:rPr>
          <w:sz w:val="22"/>
          <w:szCs w:val="22"/>
          <w:lang w:val="hr-HR"/>
        </w:rPr>
        <w:t xml:space="preserve"> lijeka Humira do maksimalne doze od 40 mg lijeka Humira, svake druge sedmice kroz 16 sedmica. Raspodjela bolesnika prema </w:t>
      </w:r>
      <w:r w:rsidR="00F7024F">
        <w:rPr>
          <w:sz w:val="22"/>
          <w:szCs w:val="22"/>
          <w:lang w:val="hr-HR"/>
        </w:rPr>
        <w:t>staroti</w:t>
      </w:r>
      <w:r w:rsidRPr="00172A4E">
        <w:rPr>
          <w:sz w:val="22"/>
          <w:szCs w:val="22"/>
          <w:lang w:val="hr-HR"/>
        </w:rPr>
        <w:t xml:space="preserve"> te minimalnoj, srednjoj i maksimalnoj dozi tokom ove faze prikazan</w:t>
      </w:r>
      <w:r w:rsidR="00F7024F">
        <w:rPr>
          <w:sz w:val="22"/>
          <w:szCs w:val="22"/>
          <w:lang w:val="hr-HR"/>
        </w:rPr>
        <w:t>a</w:t>
      </w:r>
      <w:r w:rsidRPr="00172A4E">
        <w:rPr>
          <w:sz w:val="22"/>
          <w:szCs w:val="22"/>
          <w:lang w:val="hr-HR"/>
        </w:rPr>
        <w:t xml:space="preserve"> je u Tabeli </w:t>
      </w:r>
      <w:r w:rsidR="00F7024F">
        <w:rPr>
          <w:sz w:val="22"/>
          <w:szCs w:val="22"/>
          <w:lang w:val="hr-HR"/>
        </w:rPr>
        <w:t>1</w:t>
      </w:r>
      <w:r w:rsidRPr="00172A4E">
        <w:rPr>
          <w:sz w:val="22"/>
          <w:szCs w:val="22"/>
          <w:lang w:val="hr-HR"/>
        </w:rPr>
        <w:t>7.</w:t>
      </w:r>
    </w:p>
    <w:p w14:paraId="4654D749" w14:textId="77777777" w:rsidR="009E0DAA" w:rsidRPr="00172A4E" w:rsidRDefault="009E0DAA">
      <w:pPr>
        <w:widowControl w:val="0"/>
        <w:autoSpaceDE w:val="0"/>
        <w:autoSpaceDN w:val="0"/>
        <w:adjustRightInd w:val="0"/>
        <w:spacing w:line="276" w:lineRule="auto"/>
        <w:jc w:val="both"/>
        <w:rPr>
          <w:sz w:val="22"/>
          <w:szCs w:val="22"/>
          <w:lang w:val="hr-HR"/>
        </w:rPr>
      </w:pPr>
    </w:p>
    <w:p w14:paraId="1CC38FFC" w14:textId="5B9DCCD9" w:rsidR="0083687B" w:rsidRPr="00172A4E" w:rsidRDefault="0083687B" w:rsidP="00EB3350">
      <w:pPr>
        <w:keepNext/>
        <w:autoSpaceDE w:val="0"/>
        <w:autoSpaceDN w:val="0"/>
        <w:adjustRightInd w:val="0"/>
        <w:jc w:val="both"/>
        <w:rPr>
          <w:b/>
          <w:sz w:val="22"/>
          <w:szCs w:val="22"/>
          <w:lang w:val="hr-HR"/>
        </w:rPr>
      </w:pPr>
      <w:r w:rsidRPr="00172A4E">
        <w:rPr>
          <w:b/>
          <w:sz w:val="22"/>
          <w:szCs w:val="22"/>
          <w:lang w:val="hr-HR"/>
        </w:rPr>
        <w:t xml:space="preserve">Tabela </w:t>
      </w:r>
      <w:r w:rsidR="00F7024F" w:rsidRPr="00172A4E">
        <w:rPr>
          <w:b/>
          <w:sz w:val="22"/>
          <w:szCs w:val="22"/>
          <w:lang w:val="hr-HR"/>
        </w:rPr>
        <w:t>1</w:t>
      </w:r>
      <w:r w:rsidRPr="00172A4E">
        <w:rPr>
          <w:b/>
          <w:sz w:val="22"/>
          <w:szCs w:val="22"/>
          <w:lang w:val="hr-HR"/>
        </w:rPr>
        <w:t>7</w:t>
      </w:r>
      <w:r w:rsidR="009E0DAA">
        <w:rPr>
          <w:b/>
          <w:sz w:val="22"/>
          <w:szCs w:val="22"/>
          <w:lang w:val="hr-HR"/>
        </w:rPr>
        <w:t xml:space="preserve">. </w:t>
      </w:r>
      <w:r w:rsidRPr="00172A4E">
        <w:rPr>
          <w:b/>
          <w:sz w:val="22"/>
          <w:szCs w:val="22"/>
          <w:lang w:val="hr-HR"/>
        </w:rPr>
        <w:t>Raspodjela bolesnika prema dobi i dozi adalimumaba primljenoj u otvorenoj</w:t>
      </w:r>
      <w:r w:rsidR="009E0DAA">
        <w:rPr>
          <w:b/>
          <w:sz w:val="22"/>
          <w:szCs w:val="22"/>
          <w:lang w:val="hr-HR"/>
        </w:rPr>
        <w:t xml:space="preserve"> </w:t>
      </w:r>
      <w:r w:rsidRPr="00172A4E">
        <w:rPr>
          <w:b/>
          <w:sz w:val="22"/>
          <w:szCs w:val="22"/>
          <w:lang w:val="hr-HR"/>
        </w:rPr>
        <w:t>uvodnoj fazi ispitivanja</w:t>
      </w:r>
    </w:p>
    <w:p w14:paraId="157769CD" w14:textId="77777777" w:rsidR="0083687B" w:rsidRPr="00172A4E" w:rsidRDefault="0083687B" w:rsidP="00EB3350">
      <w:pPr>
        <w:keepNext/>
        <w:autoSpaceDE w:val="0"/>
        <w:autoSpaceDN w:val="0"/>
        <w:adjustRightInd w:val="0"/>
        <w:ind w:left="567" w:hanging="567"/>
        <w:jc w:val="both"/>
        <w:rPr>
          <w:b/>
          <w:sz w:val="22"/>
          <w:szCs w:val="22"/>
          <w:lang w:val="hr-H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1"/>
        <w:gridCol w:w="3033"/>
        <w:gridCol w:w="3114"/>
      </w:tblGrid>
      <w:tr w:rsidR="0083687B" w:rsidRPr="00F7024F" w14:paraId="7257C17D" w14:textId="77777777" w:rsidTr="00172A4E">
        <w:tc>
          <w:tcPr>
            <w:tcW w:w="2921" w:type="dxa"/>
            <w:tcBorders>
              <w:top w:val="single" w:sz="4" w:space="0" w:color="auto"/>
              <w:left w:val="single" w:sz="4" w:space="0" w:color="auto"/>
              <w:bottom w:val="single" w:sz="4" w:space="0" w:color="auto"/>
              <w:right w:val="single" w:sz="4" w:space="0" w:color="auto"/>
            </w:tcBorders>
          </w:tcPr>
          <w:p w14:paraId="21229A3E" w14:textId="4FC883E3" w:rsidR="0083687B" w:rsidRPr="00172A4E" w:rsidRDefault="00F7024F" w:rsidP="00EB3350">
            <w:pPr>
              <w:keepNext/>
              <w:autoSpaceDE w:val="0"/>
              <w:autoSpaceDN w:val="0"/>
              <w:adjustRightInd w:val="0"/>
              <w:ind w:left="567" w:hanging="567"/>
              <w:jc w:val="both"/>
              <w:rPr>
                <w:b/>
                <w:bCs/>
                <w:sz w:val="22"/>
                <w:szCs w:val="22"/>
                <w:lang w:val="hr-HR"/>
              </w:rPr>
            </w:pPr>
            <w:r w:rsidRPr="00172A4E">
              <w:rPr>
                <w:b/>
                <w:bCs/>
                <w:sz w:val="22"/>
                <w:szCs w:val="22"/>
                <w:lang w:val="hr-HR"/>
              </w:rPr>
              <w:t>Starosne grupe</w:t>
            </w:r>
          </w:p>
        </w:tc>
        <w:tc>
          <w:tcPr>
            <w:tcW w:w="3033" w:type="dxa"/>
            <w:tcBorders>
              <w:top w:val="single" w:sz="4" w:space="0" w:color="auto"/>
              <w:left w:val="single" w:sz="4" w:space="0" w:color="auto"/>
              <w:bottom w:val="single" w:sz="4" w:space="0" w:color="auto"/>
              <w:right w:val="single" w:sz="4" w:space="0" w:color="auto"/>
            </w:tcBorders>
          </w:tcPr>
          <w:p w14:paraId="4783FBEA" w14:textId="77777777" w:rsidR="0083687B" w:rsidRPr="00172A4E" w:rsidRDefault="0083687B" w:rsidP="00EB3350">
            <w:pPr>
              <w:keepNext/>
              <w:autoSpaceDE w:val="0"/>
              <w:autoSpaceDN w:val="0"/>
              <w:adjustRightInd w:val="0"/>
              <w:ind w:left="567" w:hanging="567"/>
              <w:jc w:val="both"/>
              <w:rPr>
                <w:b/>
                <w:bCs/>
                <w:sz w:val="22"/>
                <w:szCs w:val="22"/>
                <w:lang w:val="hr-HR"/>
              </w:rPr>
            </w:pPr>
            <w:r w:rsidRPr="00172A4E">
              <w:rPr>
                <w:b/>
                <w:bCs/>
                <w:sz w:val="22"/>
                <w:szCs w:val="22"/>
                <w:lang w:val="hr-HR"/>
              </w:rPr>
              <w:t>Početni broj bolesnika n (%)</w:t>
            </w:r>
          </w:p>
        </w:tc>
        <w:tc>
          <w:tcPr>
            <w:tcW w:w="3114" w:type="dxa"/>
            <w:tcBorders>
              <w:top w:val="single" w:sz="4" w:space="0" w:color="auto"/>
              <w:left w:val="single" w:sz="4" w:space="0" w:color="auto"/>
              <w:bottom w:val="single" w:sz="4" w:space="0" w:color="auto"/>
              <w:right w:val="single" w:sz="4" w:space="0" w:color="auto"/>
            </w:tcBorders>
          </w:tcPr>
          <w:p w14:paraId="2D640D1C" w14:textId="77777777" w:rsidR="0083687B" w:rsidRPr="00172A4E" w:rsidRDefault="0083687B" w:rsidP="00EB3350">
            <w:pPr>
              <w:keepNext/>
              <w:autoSpaceDE w:val="0"/>
              <w:autoSpaceDN w:val="0"/>
              <w:adjustRightInd w:val="0"/>
              <w:jc w:val="both"/>
              <w:rPr>
                <w:b/>
                <w:bCs/>
                <w:sz w:val="22"/>
                <w:szCs w:val="22"/>
                <w:lang w:val="hr-HR"/>
              </w:rPr>
            </w:pPr>
            <w:r w:rsidRPr="00172A4E">
              <w:rPr>
                <w:b/>
                <w:bCs/>
                <w:sz w:val="22"/>
                <w:szCs w:val="22"/>
                <w:lang w:val="hr-HR"/>
              </w:rPr>
              <w:t xml:space="preserve">Minimalna, srednja i maksimalna doza </w:t>
            </w:r>
          </w:p>
        </w:tc>
      </w:tr>
      <w:tr w:rsidR="0083687B" w:rsidRPr="00F7024F" w14:paraId="6ADF3AB1" w14:textId="77777777" w:rsidTr="00172A4E">
        <w:tc>
          <w:tcPr>
            <w:tcW w:w="2921" w:type="dxa"/>
            <w:tcBorders>
              <w:top w:val="single" w:sz="4" w:space="0" w:color="auto"/>
              <w:left w:val="single" w:sz="4" w:space="0" w:color="auto"/>
              <w:bottom w:val="single" w:sz="4" w:space="0" w:color="auto"/>
              <w:right w:val="single" w:sz="4" w:space="0" w:color="auto"/>
            </w:tcBorders>
          </w:tcPr>
          <w:p w14:paraId="2BA6BBD7" w14:textId="77777777" w:rsidR="0083687B" w:rsidRPr="00172A4E" w:rsidRDefault="0083687B" w:rsidP="00EB3350">
            <w:pPr>
              <w:keepNext/>
              <w:autoSpaceDE w:val="0"/>
              <w:autoSpaceDN w:val="0"/>
              <w:adjustRightInd w:val="0"/>
              <w:ind w:left="567" w:hanging="567"/>
              <w:jc w:val="both"/>
              <w:rPr>
                <w:sz w:val="22"/>
                <w:szCs w:val="22"/>
                <w:lang w:val="hr-HR"/>
              </w:rPr>
            </w:pPr>
            <w:r w:rsidRPr="00172A4E">
              <w:rPr>
                <w:sz w:val="22"/>
                <w:szCs w:val="22"/>
                <w:lang w:val="hr-HR"/>
              </w:rPr>
              <w:t>4 do 7 godina</w:t>
            </w:r>
          </w:p>
        </w:tc>
        <w:tc>
          <w:tcPr>
            <w:tcW w:w="3033" w:type="dxa"/>
            <w:tcBorders>
              <w:top w:val="single" w:sz="4" w:space="0" w:color="auto"/>
              <w:left w:val="single" w:sz="4" w:space="0" w:color="auto"/>
              <w:bottom w:val="single" w:sz="4" w:space="0" w:color="auto"/>
              <w:right w:val="single" w:sz="4" w:space="0" w:color="auto"/>
            </w:tcBorders>
          </w:tcPr>
          <w:p w14:paraId="36810272" w14:textId="77777777" w:rsidR="0083687B" w:rsidRPr="00172A4E" w:rsidRDefault="0083687B" w:rsidP="00EB3350">
            <w:pPr>
              <w:keepNext/>
              <w:autoSpaceDE w:val="0"/>
              <w:autoSpaceDN w:val="0"/>
              <w:adjustRightInd w:val="0"/>
              <w:ind w:left="567" w:hanging="567"/>
              <w:jc w:val="both"/>
              <w:rPr>
                <w:sz w:val="22"/>
                <w:szCs w:val="22"/>
                <w:lang w:val="hr-HR"/>
              </w:rPr>
            </w:pPr>
            <w:r w:rsidRPr="00172A4E">
              <w:rPr>
                <w:sz w:val="22"/>
                <w:szCs w:val="22"/>
                <w:lang w:val="hr-HR"/>
              </w:rPr>
              <w:t>31 (18,1)</w:t>
            </w:r>
          </w:p>
        </w:tc>
        <w:tc>
          <w:tcPr>
            <w:tcW w:w="3114" w:type="dxa"/>
            <w:tcBorders>
              <w:top w:val="single" w:sz="4" w:space="0" w:color="auto"/>
              <w:left w:val="single" w:sz="4" w:space="0" w:color="auto"/>
              <w:bottom w:val="single" w:sz="4" w:space="0" w:color="auto"/>
              <w:right w:val="single" w:sz="4" w:space="0" w:color="auto"/>
            </w:tcBorders>
          </w:tcPr>
          <w:p w14:paraId="0E479301" w14:textId="77777777" w:rsidR="0083687B" w:rsidRPr="00172A4E" w:rsidRDefault="0083687B" w:rsidP="00EB3350">
            <w:pPr>
              <w:keepNext/>
              <w:autoSpaceDE w:val="0"/>
              <w:autoSpaceDN w:val="0"/>
              <w:adjustRightInd w:val="0"/>
              <w:ind w:left="567" w:hanging="567"/>
              <w:jc w:val="both"/>
              <w:rPr>
                <w:sz w:val="22"/>
                <w:szCs w:val="22"/>
                <w:lang w:val="hr-HR"/>
              </w:rPr>
            </w:pPr>
            <w:r w:rsidRPr="00172A4E">
              <w:rPr>
                <w:sz w:val="22"/>
                <w:szCs w:val="22"/>
                <w:lang w:val="hr-HR"/>
              </w:rPr>
              <w:t>10, 20 i 25 mg</w:t>
            </w:r>
          </w:p>
        </w:tc>
      </w:tr>
      <w:tr w:rsidR="0083687B" w:rsidRPr="00F7024F" w14:paraId="4289C2F8" w14:textId="77777777" w:rsidTr="00172A4E">
        <w:tc>
          <w:tcPr>
            <w:tcW w:w="2921" w:type="dxa"/>
            <w:tcBorders>
              <w:top w:val="single" w:sz="4" w:space="0" w:color="auto"/>
              <w:left w:val="single" w:sz="4" w:space="0" w:color="auto"/>
              <w:bottom w:val="single" w:sz="4" w:space="0" w:color="auto"/>
              <w:right w:val="single" w:sz="4" w:space="0" w:color="auto"/>
            </w:tcBorders>
          </w:tcPr>
          <w:p w14:paraId="10DB9463" w14:textId="77777777" w:rsidR="0083687B" w:rsidRPr="00172A4E" w:rsidRDefault="0083687B" w:rsidP="00EB3350">
            <w:pPr>
              <w:keepNext/>
              <w:autoSpaceDE w:val="0"/>
              <w:autoSpaceDN w:val="0"/>
              <w:adjustRightInd w:val="0"/>
              <w:ind w:left="567" w:hanging="567"/>
              <w:jc w:val="both"/>
              <w:rPr>
                <w:sz w:val="22"/>
                <w:szCs w:val="22"/>
                <w:lang w:val="hr-HR"/>
              </w:rPr>
            </w:pPr>
            <w:r w:rsidRPr="00172A4E">
              <w:rPr>
                <w:sz w:val="22"/>
                <w:szCs w:val="22"/>
                <w:lang w:val="hr-HR"/>
              </w:rPr>
              <w:t>8 do 12 godina</w:t>
            </w:r>
          </w:p>
        </w:tc>
        <w:tc>
          <w:tcPr>
            <w:tcW w:w="3033" w:type="dxa"/>
            <w:tcBorders>
              <w:top w:val="single" w:sz="4" w:space="0" w:color="auto"/>
              <w:left w:val="single" w:sz="4" w:space="0" w:color="auto"/>
              <w:bottom w:val="single" w:sz="4" w:space="0" w:color="auto"/>
              <w:right w:val="single" w:sz="4" w:space="0" w:color="auto"/>
            </w:tcBorders>
          </w:tcPr>
          <w:p w14:paraId="52D845A6" w14:textId="77777777" w:rsidR="0083687B" w:rsidRPr="00172A4E" w:rsidRDefault="0083687B" w:rsidP="00EB3350">
            <w:pPr>
              <w:keepNext/>
              <w:autoSpaceDE w:val="0"/>
              <w:autoSpaceDN w:val="0"/>
              <w:adjustRightInd w:val="0"/>
              <w:ind w:left="567" w:hanging="567"/>
              <w:jc w:val="both"/>
              <w:rPr>
                <w:sz w:val="22"/>
                <w:szCs w:val="22"/>
                <w:lang w:val="hr-HR"/>
              </w:rPr>
            </w:pPr>
            <w:r w:rsidRPr="00172A4E">
              <w:rPr>
                <w:sz w:val="22"/>
                <w:szCs w:val="22"/>
                <w:lang w:val="hr-HR"/>
              </w:rPr>
              <w:t>71 (41,5)</w:t>
            </w:r>
          </w:p>
        </w:tc>
        <w:tc>
          <w:tcPr>
            <w:tcW w:w="3114" w:type="dxa"/>
            <w:tcBorders>
              <w:top w:val="single" w:sz="4" w:space="0" w:color="auto"/>
              <w:left w:val="single" w:sz="4" w:space="0" w:color="auto"/>
              <w:bottom w:val="single" w:sz="4" w:space="0" w:color="auto"/>
              <w:right w:val="single" w:sz="4" w:space="0" w:color="auto"/>
            </w:tcBorders>
          </w:tcPr>
          <w:p w14:paraId="4DF4C72C" w14:textId="77777777" w:rsidR="0083687B" w:rsidRPr="00172A4E" w:rsidRDefault="0083687B" w:rsidP="00EB3350">
            <w:pPr>
              <w:keepNext/>
              <w:autoSpaceDE w:val="0"/>
              <w:autoSpaceDN w:val="0"/>
              <w:adjustRightInd w:val="0"/>
              <w:ind w:left="567" w:hanging="567"/>
              <w:jc w:val="both"/>
              <w:rPr>
                <w:sz w:val="22"/>
                <w:szCs w:val="22"/>
                <w:lang w:val="hr-HR"/>
              </w:rPr>
            </w:pPr>
            <w:r w:rsidRPr="00172A4E">
              <w:rPr>
                <w:sz w:val="22"/>
                <w:szCs w:val="22"/>
                <w:lang w:val="hr-HR"/>
              </w:rPr>
              <w:t>20, 25 i 40 mg</w:t>
            </w:r>
          </w:p>
        </w:tc>
      </w:tr>
      <w:tr w:rsidR="0083687B" w:rsidRPr="00F7024F" w14:paraId="49255838" w14:textId="77777777" w:rsidTr="00172A4E">
        <w:tc>
          <w:tcPr>
            <w:tcW w:w="2921" w:type="dxa"/>
            <w:tcBorders>
              <w:top w:val="single" w:sz="4" w:space="0" w:color="auto"/>
              <w:left w:val="single" w:sz="4" w:space="0" w:color="auto"/>
              <w:bottom w:val="single" w:sz="4" w:space="0" w:color="auto"/>
              <w:right w:val="single" w:sz="4" w:space="0" w:color="auto"/>
            </w:tcBorders>
          </w:tcPr>
          <w:p w14:paraId="3A0971B8" w14:textId="77777777" w:rsidR="0083687B" w:rsidRPr="00172A4E" w:rsidRDefault="0083687B" w:rsidP="00EB3350">
            <w:pPr>
              <w:widowControl w:val="0"/>
              <w:autoSpaceDE w:val="0"/>
              <w:autoSpaceDN w:val="0"/>
              <w:adjustRightInd w:val="0"/>
              <w:ind w:left="567" w:hanging="567"/>
              <w:jc w:val="both"/>
              <w:rPr>
                <w:sz w:val="22"/>
                <w:szCs w:val="22"/>
                <w:lang w:val="hr-HR"/>
              </w:rPr>
            </w:pPr>
            <w:r w:rsidRPr="00172A4E">
              <w:rPr>
                <w:sz w:val="22"/>
                <w:szCs w:val="22"/>
                <w:lang w:val="hr-HR"/>
              </w:rPr>
              <w:t>13 do 17 godina</w:t>
            </w:r>
          </w:p>
        </w:tc>
        <w:tc>
          <w:tcPr>
            <w:tcW w:w="3033" w:type="dxa"/>
            <w:tcBorders>
              <w:top w:val="single" w:sz="4" w:space="0" w:color="auto"/>
              <w:left w:val="single" w:sz="4" w:space="0" w:color="auto"/>
              <w:bottom w:val="single" w:sz="4" w:space="0" w:color="auto"/>
              <w:right w:val="single" w:sz="4" w:space="0" w:color="auto"/>
            </w:tcBorders>
          </w:tcPr>
          <w:p w14:paraId="175C8094" w14:textId="77777777" w:rsidR="0083687B" w:rsidRPr="00172A4E" w:rsidRDefault="0083687B" w:rsidP="00EB3350">
            <w:pPr>
              <w:widowControl w:val="0"/>
              <w:autoSpaceDE w:val="0"/>
              <w:autoSpaceDN w:val="0"/>
              <w:adjustRightInd w:val="0"/>
              <w:ind w:left="567" w:hanging="567"/>
              <w:jc w:val="both"/>
              <w:rPr>
                <w:sz w:val="22"/>
                <w:szCs w:val="22"/>
                <w:lang w:val="hr-HR"/>
              </w:rPr>
            </w:pPr>
            <w:r w:rsidRPr="00172A4E">
              <w:rPr>
                <w:sz w:val="22"/>
                <w:szCs w:val="22"/>
                <w:lang w:val="hr-HR"/>
              </w:rPr>
              <w:t>69 (40,4)</w:t>
            </w:r>
          </w:p>
        </w:tc>
        <w:tc>
          <w:tcPr>
            <w:tcW w:w="3114" w:type="dxa"/>
            <w:tcBorders>
              <w:top w:val="single" w:sz="4" w:space="0" w:color="auto"/>
              <w:left w:val="single" w:sz="4" w:space="0" w:color="auto"/>
              <w:bottom w:val="single" w:sz="4" w:space="0" w:color="auto"/>
              <w:right w:val="single" w:sz="4" w:space="0" w:color="auto"/>
            </w:tcBorders>
          </w:tcPr>
          <w:p w14:paraId="52BD7459" w14:textId="77777777" w:rsidR="0083687B" w:rsidRPr="00172A4E" w:rsidRDefault="0083687B" w:rsidP="00EB3350">
            <w:pPr>
              <w:widowControl w:val="0"/>
              <w:autoSpaceDE w:val="0"/>
              <w:autoSpaceDN w:val="0"/>
              <w:adjustRightInd w:val="0"/>
              <w:ind w:left="567" w:hanging="567"/>
              <w:jc w:val="both"/>
              <w:rPr>
                <w:sz w:val="22"/>
                <w:szCs w:val="22"/>
                <w:lang w:val="hr-HR"/>
              </w:rPr>
            </w:pPr>
            <w:r w:rsidRPr="00172A4E">
              <w:rPr>
                <w:sz w:val="22"/>
                <w:szCs w:val="22"/>
                <w:lang w:val="hr-HR"/>
              </w:rPr>
              <w:t>25, 40 i 40 mg</w:t>
            </w:r>
          </w:p>
        </w:tc>
      </w:tr>
    </w:tbl>
    <w:p w14:paraId="38B626AC" w14:textId="77777777" w:rsidR="0083687B" w:rsidRPr="00172A4E" w:rsidRDefault="0083687B" w:rsidP="00EB3350">
      <w:pPr>
        <w:widowControl w:val="0"/>
        <w:autoSpaceDE w:val="0"/>
        <w:autoSpaceDN w:val="0"/>
        <w:adjustRightInd w:val="0"/>
        <w:ind w:left="567" w:hanging="567"/>
        <w:jc w:val="both"/>
        <w:rPr>
          <w:sz w:val="22"/>
          <w:szCs w:val="22"/>
          <w:lang w:val="hr-HR"/>
        </w:rPr>
      </w:pPr>
    </w:p>
    <w:p w14:paraId="3EF67584" w14:textId="4867160A" w:rsidR="0083687B" w:rsidRPr="00172A4E" w:rsidRDefault="0083687B" w:rsidP="00730D96">
      <w:pPr>
        <w:widowControl w:val="0"/>
        <w:autoSpaceDE w:val="0"/>
        <w:autoSpaceDN w:val="0"/>
        <w:adjustRightInd w:val="0"/>
        <w:jc w:val="both"/>
        <w:rPr>
          <w:sz w:val="22"/>
          <w:szCs w:val="22"/>
          <w:lang w:val="hr-HR"/>
        </w:rPr>
      </w:pPr>
      <w:r w:rsidRPr="00172A4E">
        <w:rPr>
          <w:sz w:val="22"/>
          <w:szCs w:val="22"/>
          <w:lang w:val="hr-HR"/>
        </w:rPr>
        <w:t xml:space="preserve">Bolesnici koji su u </w:t>
      </w:r>
      <w:r w:rsidR="000035A4">
        <w:rPr>
          <w:sz w:val="22"/>
          <w:szCs w:val="22"/>
          <w:lang w:val="hr-HR"/>
        </w:rPr>
        <w:t>16. nedjelji</w:t>
      </w:r>
      <w:r w:rsidRPr="00172A4E">
        <w:rPr>
          <w:sz w:val="22"/>
          <w:szCs w:val="22"/>
          <w:lang w:val="hr-HR"/>
        </w:rPr>
        <w:t xml:space="preserve"> pokazali pedijatrijski odgovor ACR 30</w:t>
      </w:r>
      <w:r w:rsidRPr="00172A4E">
        <w:rPr>
          <w:i/>
          <w:sz w:val="22"/>
          <w:szCs w:val="22"/>
          <w:lang w:val="hr-HR"/>
        </w:rPr>
        <w:t xml:space="preserve"> </w:t>
      </w:r>
      <w:r w:rsidRPr="00172A4E">
        <w:rPr>
          <w:sz w:val="22"/>
          <w:szCs w:val="22"/>
          <w:lang w:val="hr-HR"/>
        </w:rPr>
        <w:t>(</w:t>
      </w:r>
      <w:r w:rsidRPr="00172A4E">
        <w:rPr>
          <w:i/>
          <w:sz w:val="22"/>
          <w:szCs w:val="22"/>
          <w:lang w:val="hr-HR"/>
        </w:rPr>
        <w:t>American College of Rheumatology 30</w:t>
      </w:r>
      <w:r w:rsidRPr="00172A4E">
        <w:rPr>
          <w:sz w:val="22"/>
          <w:szCs w:val="22"/>
          <w:lang w:val="hr-HR"/>
        </w:rPr>
        <w:t>) mogli su biti randomiz</w:t>
      </w:r>
      <w:r w:rsidR="000035A4">
        <w:rPr>
          <w:sz w:val="22"/>
          <w:szCs w:val="22"/>
          <w:lang w:val="hr-HR"/>
        </w:rPr>
        <w:t>ovani</w:t>
      </w:r>
      <w:r w:rsidRPr="00172A4E">
        <w:rPr>
          <w:sz w:val="22"/>
          <w:szCs w:val="22"/>
          <w:lang w:val="hr-HR"/>
        </w:rPr>
        <w:t xml:space="preserve"> u dvostruko slijepu fazu ispitivanja i prim</w:t>
      </w:r>
      <w:r w:rsidR="000035A4">
        <w:rPr>
          <w:sz w:val="22"/>
          <w:szCs w:val="22"/>
          <w:lang w:val="hr-HR"/>
        </w:rPr>
        <w:t>a</w:t>
      </w:r>
      <w:r w:rsidRPr="00172A4E">
        <w:rPr>
          <w:sz w:val="22"/>
          <w:szCs w:val="22"/>
          <w:lang w:val="hr-HR"/>
        </w:rPr>
        <w:t>ti ili 24 mg/m</w:t>
      </w:r>
      <w:r w:rsidRPr="00172A4E">
        <w:rPr>
          <w:sz w:val="22"/>
          <w:szCs w:val="22"/>
          <w:vertAlign w:val="superscript"/>
          <w:lang w:val="hr-HR"/>
        </w:rPr>
        <w:t>2</w:t>
      </w:r>
      <w:r w:rsidRPr="00172A4E">
        <w:rPr>
          <w:sz w:val="22"/>
          <w:szCs w:val="22"/>
          <w:lang w:val="hr-HR"/>
        </w:rPr>
        <w:t xml:space="preserve"> lijeka Humira, do maksimalne doze od 40 mg, ili placebo, svake druge sedmice kroz 32 sedmice ili do ponovne reaktivacije bolesti. Reaktivacija bolesti definisana je pogoršanjem od ≥30% od početnog stanja u ≥ 3 od 6 ključnih kriterij</w:t>
      </w:r>
      <w:r w:rsidR="00F7024F" w:rsidRPr="00ED776D">
        <w:rPr>
          <w:sz w:val="22"/>
          <w:szCs w:val="22"/>
          <w:lang w:val="hr-HR"/>
        </w:rPr>
        <w:t>uma</w:t>
      </w:r>
      <w:r w:rsidRPr="00172A4E">
        <w:rPr>
          <w:sz w:val="22"/>
          <w:szCs w:val="22"/>
          <w:lang w:val="hr-HR"/>
        </w:rPr>
        <w:t xml:space="preserve"> za pedijatrijski</w:t>
      </w:r>
      <w:r w:rsidRPr="00172A4E">
        <w:rPr>
          <w:i/>
          <w:sz w:val="22"/>
          <w:szCs w:val="22"/>
          <w:lang w:val="hr-HR"/>
        </w:rPr>
        <w:t xml:space="preserve"> </w:t>
      </w:r>
      <w:r w:rsidRPr="00172A4E">
        <w:rPr>
          <w:sz w:val="22"/>
          <w:szCs w:val="22"/>
          <w:lang w:val="hr-HR"/>
        </w:rPr>
        <w:t>ACR, prisutnošću ≥2 aktivna zgloba i poboljšanje veće od 30 % u najviše 1 od 6 kriterij</w:t>
      </w:r>
      <w:r w:rsidR="000035A4">
        <w:rPr>
          <w:sz w:val="22"/>
          <w:szCs w:val="22"/>
          <w:lang w:val="hr-HR"/>
        </w:rPr>
        <w:t>uma</w:t>
      </w:r>
      <w:r w:rsidRPr="00172A4E">
        <w:rPr>
          <w:sz w:val="22"/>
          <w:szCs w:val="22"/>
          <w:lang w:val="hr-HR"/>
        </w:rPr>
        <w:t xml:space="preserve">. Nakon 32 </w:t>
      </w:r>
      <w:r w:rsidR="000035A4">
        <w:rPr>
          <w:sz w:val="22"/>
          <w:szCs w:val="22"/>
          <w:lang w:val="hr-HR"/>
        </w:rPr>
        <w:t>nedjelje</w:t>
      </w:r>
      <w:r w:rsidRPr="00172A4E">
        <w:rPr>
          <w:sz w:val="22"/>
          <w:szCs w:val="22"/>
          <w:lang w:val="hr-HR"/>
        </w:rPr>
        <w:t>, odnosno nakon reaktivacije bolesti, bolesnici su mogli biti uključeni u otvoreni produžetak ispitivanja.</w:t>
      </w:r>
    </w:p>
    <w:p w14:paraId="7E19288B" w14:textId="35C5670F" w:rsidR="0083687B" w:rsidRPr="00172A4E" w:rsidRDefault="0083687B" w:rsidP="00EB3350">
      <w:pPr>
        <w:keepNext/>
        <w:autoSpaceDE w:val="0"/>
        <w:autoSpaceDN w:val="0"/>
        <w:adjustRightInd w:val="0"/>
        <w:spacing w:after="200" w:line="276" w:lineRule="auto"/>
        <w:ind w:left="567" w:hanging="567"/>
        <w:jc w:val="both"/>
        <w:rPr>
          <w:b/>
          <w:sz w:val="22"/>
          <w:szCs w:val="22"/>
          <w:lang w:val="bs-Latn-BA" w:eastAsia="bs-Latn-BA"/>
        </w:rPr>
      </w:pPr>
      <w:r w:rsidRPr="00172A4E">
        <w:rPr>
          <w:b/>
          <w:sz w:val="22"/>
          <w:szCs w:val="22"/>
          <w:lang w:val="bs-Latn-BA" w:eastAsia="bs-Latn-BA"/>
        </w:rPr>
        <w:lastRenderedPageBreak/>
        <w:t xml:space="preserve">Tabela </w:t>
      </w:r>
      <w:r w:rsidR="000035A4" w:rsidRPr="00172A4E">
        <w:rPr>
          <w:b/>
          <w:sz w:val="22"/>
          <w:szCs w:val="22"/>
          <w:lang w:val="bs-Latn-BA" w:eastAsia="bs-Latn-BA"/>
        </w:rPr>
        <w:t>1</w:t>
      </w:r>
      <w:r w:rsidRPr="00172A4E">
        <w:rPr>
          <w:b/>
          <w:sz w:val="22"/>
          <w:szCs w:val="22"/>
          <w:lang w:val="bs-Latn-BA" w:eastAsia="bs-Latn-BA"/>
        </w:rPr>
        <w:t>8</w:t>
      </w:r>
      <w:r w:rsidR="009E0DAA">
        <w:rPr>
          <w:b/>
          <w:sz w:val="22"/>
          <w:szCs w:val="22"/>
          <w:lang w:val="bs-Latn-BA" w:eastAsia="bs-Latn-BA"/>
        </w:rPr>
        <w:t xml:space="preserve">. </w:t>
      </w:r>
      <w:r w:rsidRPr="00172A4E">
        <w:rPr>
          <w:b/>
          <w:sz w:val="22"/>
          <w:szCs w:val="22"/>
          <w:lang w:val="bs-Latn-BA" w:eastAsia="bs-Latn-BA"/>
        </w:rPr>
        <w:t xml:space="preserve">Pedijatrijski odgovori ACR 30 u ispitivanju kod JIA  </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1667"/>
        <w:gridCol w:w="1677"/>
        <w:gridCol w:w="1728"/>
        <w:gridCol w:w="1752"/>
      </w:tblGrid>
      <w:tr w:rsidR="0083687B" w:rsidRPr="000035A4" w14:paraId="286E4D2E" w14:textId="77777777" w:rsidTr="0088568A">
        <w:trPr>
          <w:trHeight w:val="263"/>
        </w:trPr>
        <w:tc>
          <w:tcPr>
            <w:tcW w:w="2538" w:type="dxa"/>
            <w:tcBorders>
              <w:top w:val="single" w:sz="4" w:space="0" w:color="auto"/>
              <w:left w:val="single" w:sz="4" w:space="0" w:color="auto"/>
              <w:bottom w:val="single" w:sz="4" w:space="0" w:color="auto"/>
              <w:right w:val="single" w:sz="4" w:space="0" w:color="auto"/>
            </w:tcBorders>
          </w:tcPr>
          <w:p w14:paraId="26354EB0" w14:textId="77777777" w:rsidR="0083687B" w:rsidRPr="00172A4E" w:rsidRDefault="0083687B" w:rsidP="00EB3350">
            <w:pPr>
              <w:keepNext/>
              <w:autoSpaceDE w:val="0"/>
              <w:autoSpaceDN w:val="0"/>
              <w:adjustRightInd w:val="0"/>
              <w:spacing w:after="200" w:line="276" w:lineRule="auto"/>
              <w:ind w:left="567" w:hanging="567"/>
              <w:jc w:val="both"/>
              <w:rPr>
                <w:b/>
                <w:sz w:val="22"/>
                <w:szCs w:val="22"/>
                <w:lang w:val="bs-Latn-BA" w:eastAsia="bs-Latn-BA"/>
              </w:rPr>
            </w:pPr>
            <w:r w:rsidRPr="00172A4E">
              <w:rPr>
                <w:b/>
                <w:sz w:val="22"/>
                <w:szCs w:val="22"/>
                <w:lang w:val="bs-Latn-BA" w:eastAsia="bs-Latn-BA"/>
              </w:rPr>
              <w:t>Grupa</w:t>
            </w:r>
          </w:p>
        </w:tc>
        <w:tc>
          <w:tcPr>
            <w:tcW w:w="3344" w:type="dxa"/>
            <w:gridSpan w:val="2"/>
            <w:tcBorders>
              <w:top w:val="single" w:sz="4" w:space="0" w:color="auto"/>
              <w:left w:val="single" w:sz="4" w:space="0" w:color="auto"/>
              <w:bottom w:val="single" w:sz="4" w:space="0" w:color="auto"/>
              <w:right w:val="single" w:sz="4" w:space="0" w:color="auto"/>
            </w:tcBorders>
          </w:tcPr>
          <w:p w14:paraId="661888E2" w14:textId="77777777" w:rsidR="0083687B" w:rsidRPr="00172A4E" w:rsidRDefault="0083687B" w:rsidP="00EB3350">
            <w:pPr>
              <w:keepNext/>
              <w:autoSpaceDE w:val="0"/>
              <w:autoSpaceDN w:val="0"/>
              <w:adjustRightInd w:val="0"/>
              <w:spacing w:after="200" w:line="276" w:lineRule="auto"/>
              <w:ind w:left="567" w:hanging="567"/>
              <w:jc w:val="both"/>
              <w:rPr>
                <w:b/>
                <w:bCs/>
                <w:sz w:val="22"/>
                <w:szCs w:val="22"/>
                <w:lang w:val="bs-Latn-BA" w:eastAsia="bs-Latn-BA"/>
              </w:rPr>
            </w:pPr>
            <w:r w:rsidRPr="00172A4E">
              <w:rPr>
                <w:b/>
                <w:bCs/>
                <w:sz w:val="22"/>
                <w:szCs w:val="22"/>
                <w:lang w:val="bs-Latn-BA" w:eastAsia="bs-Latn-BA"/>
              </w:rPr>
              <w:t>MTX</w:t>
            </w:r>
          </w:p>
        </w:tc>
        <w:tc>
          <w:tcPr>
            <w:tcW w:w="3480" w:type="dxa"/>
            <w:gridSpan w:val="2"/>
            <w:tcBorders>
              <w:top w:val="single" w:sz="4" w:space="0" w:color="auto"/>
              <w:left w:val="single" w:sz="4" w:space="0" w:color="auto"/>
              <w:bottom w:val="single" w:sz="4" w:space="0" w:color="auto"/>
              <w:right w:val="single" w:sz="4" w:space="0" w:color="auto"/>
            </w:tcBorders>
          </w:tcPr>
          <w:p w14:paraId="564822DD" w14:textId="77777777" w:rsidR="0083687B" w:rsidRPr="00172A4E" w:rsidRDefault="0083687B" w:rsidP="00EB3350">
            <w:pPr>
              <w:keepNext/>
              <w:autoSpaceDE w:val="0"/>
              <w:autoSpaceDN w:val="0"/>
              <w:adjustRightInd w:val="0"/>
              <w:spacing w:after="200" w:line="276" w:lineRule="auto"/>
              <w:ind w:left="567" w:hanging="567"/>
              <w:jc w:val="both"/>
              <w:rPr>
                <w:b/>
                <w:bCs/>
                <w:sz w:val="22"/>
                <w:szCs w:val="22"/>
                <w:lang w:val="bs-Latn-BA" w:eastAsia="bs-Latn-BA"/>
              </w:rPr>
            </w:pPr>
            <w:r w:rsidRPr="00172A4E">
              <w:rPr>
                <w:b/>
                <w:bCs/>
                <w:sz w:val="22"/>
                <w:szCs w:val="22"/>
                <w:lang w:val="bs-Latn-BA" w:eastAsia="bs-Latn-BA"/>
              </w:rPr>
              <w:t>Bez MTX</w:t>
            </w:r>
            <w:r w:rsidRPr="00172A4E">
              <w:rPr>
                <w:b/>
                <w:bCs/>
                <w:sz w:val="22"/>
                <w:szCs w:val="22"/>
                <w:lang w:val="bs-Latn-BA" w:eastAsia="bs-Latn-BA"/>
              </w:rPr>
              <w:noBreakHyphen/>
              <w:t>a</w:t>
            </w:r>
          </w:p>
        </w:tc>
      </w:tr>
      <w:tr w:rsidR="0083687B" w:rsidRPr="000035A4" w14:paraId="23F8B49F" w14:textId="77777777" w:rsidTr="0088568A">
        <w:trPr>
          <w:trHeight w:val="263"/>
        </w:trPr>
        <w:tc>
          <w:tcPr>
            <w:tcW w:w="2538" w:type="dxa"/>
            <w:tcBorders>
              <w:top w:val="single" w:sz="4" w:space="0" w:color="auto"/>
              <w:left w:val="single" w:sz="4" w:space="0" w:color="auto"/>
              <w:bottom w:val="single" w:sz="4" w:space="0" w:color="auto"/>
              <w:right w:val="single" w:sz="4" w:space="0" w:color="auto"/>
            </w:tcBorders>
          </w:tcPr>
          <w:p w14:paraId="2A93AFD5" w14:textId="77777777" w:rsidR="0083687B" w:rsidRPr="00172A4E" w:rsidRDefault="0083687B" w:rsidP="00EB3350">
            <w:pPr>
              <w:keepNext/>
              <w:autoSpaceDE w:val="0"/>
              <w:autoSpaceDN w:val="0"/>
              <w:adjustRightInd w:val="0"/>
              <w:spacing w:after="200" w:line="276" w:lineRule="auto"/>
              <w:ind w:left="567" w:hanging="567"/>
              <w:jc w:val="both"/>
              <w:rPr>
                <w:b/>
                <w:bCs/>
                <w:sz w:val="22"/>
                <w:szCs w:val="22"/>
                <w:lang w:val="bs-Latn-BA" w:eastAsia="bs-Latn-BA"/>
              </w:rPr>
            </w:pPr>
            <w:r w:rsidRPr="00172A4E">
              <w:rPr>
                <w:b/>
                <w:bCs/>
                <w:sz w:val="22"/>
                <w:szCs w:val="22"/>
                <w:lang w:val="bs-Latn-BA" w:eastAsia="bs-Latn-BA"/>
              </w:rPr>
              <w:t>Faza</w:t>
            </w:r>
          </w:p>
        </w:tc>
        <w:tc>
          <w:tcPr>
            <w:tcW w:w="3344" w:type="dxa"/>
            <w:gridSpan w:val="2"/>
            <w:tcBorders>
              <w:top w:val="single" w:sz="4" w:space="0" w:color="auto"/>
              <w:left w:val="single" w:sz="4" w:space="0" w:color="auto"/>
              <w:bottom w:val="single" w:sz="4" w:space="0" w:color="auto"/>
              <w:right w:val="single" w:sz="4" w:space="0" w:color="auto"/>
            </w:tcBorders>
          </w:tcPr>
          <w:p w14:paraId="7ECD5B36" w14:textId="77777777" w:rsidR="0083687B" w:rsidRPr="00172A4E" w:rsidRDefault="0083687B" w:rsidP="00EB3350">
            <w:pPr>
              <w:keepNext/>
              <w:autoSpaceDE w:val="0"/>
              <w:autoSpaceDN w:val="0"/>
              <w:adjustRightInd w:val="0"/>
              <w:spacing w:after="200" w:line="276" w:lineRule="auto"/>
              <w:ind w:left="567" w:hanging="567"/>
              <w:jc w:val="both"/>
              <w:rPr>
                <w:sz w:val="22"/>
                <w:szCs w:val="22"/>
                <w:lang w:val="bs-Latn-BA" w:eastAsia="bs-Latn-BA"/>
              </w:rPr>
            </w:pPr>
          </w:p>
        </w:tc>
        <w:tc>
          <w:tcPr>
            <w:tcW w:w="3480" w:type="dxa"/>
            <w:gridSpan w:val="2"/>
            <w:tcBorders>
              <w:top w:val="single" w:sz="4" w:space="0" w:color="auto"/>
              <w:left w:val="single" w:sz="4" w:space="0" w:color="auto"/>
              <w:bottom w:val="single" w:sz="4" w:space="0" w:color="auto"/>
              <w:right w:val="single" w:sz="4" w:space="0" w:color="auto"/>
            </w:tcBorders>
          </w:tcPr>
          <w:p w14:paraId="273128D8" w14:textId="77777777" w:rsidR="0083687B" w:rsidRPr="00172A4E" w:rsidRDefault="0083687B" w:rsidP="00EB3350">
            <w:pPr>
              <w:keepNext/>
              <w:autoSpaceDE w:val="0"/>
              <w:autoSpaceDN w:val="0"/>
              <w:adjustRightInd w:val="0"/>
              <w:spacing w:after="200" w:line="276" w:lineRule="auto"/>
              <w:ind w:left="567" w:hanging="567"/>
              <w:jc w:val="both"/>
              <w:rPr>
                <w:sz w:val="22"/>
                <w:szCs w:val="22"/>
                <w:lang w:val="bs-Latn-BA" w:eastAsia="bs-Latn-BA"/>
              </w:rPr>
            </w:pPr>
          </w:p>
        </w:tc>
      </w:tr>
      <w:tr w:rsidR="0083687B" w:rsidRPr="000035A4" w14:paraId="2325DAA2" w14:textId="77777777" w:rsidTr="0088568A">
        <w:trPr>
          <w:trHeight w:val="540"/>
        </w:trPr>
        <w:tc>
          <w:tcPr>
            <w:tcW w:w="2538" w:type="dxa"/>
            <w:tcBorders>
              <w:top w:val="single" w:sz="4" w:space="0" w:color="auto"/>
              <w:left w:val="single" w:sz="4" w:space="0" w:color="auto"/>
              <w:bottom w:val="single" w:sz="4" w:space="0" w:color="auto"/>
              <w:right w:val="single" w:sz="4" w:space="0" w:color="auto"/>
            </w:tcBorders>
          </w:tcPr>
          <w:p w14:paraId="1735FC8C" w14:textId="710F73BA" w:rsidR="0083687B" w:rsidRPr="00172A4E" w:rsidRDefault="0083687B" w:rsidP="00EB3350">
            <w:pPr>
              <w:keepNext/>
              <w:autoSpaceDE w:val="0"/>
              <w:autoSpaceDN w:val="0"/>
              <w:adjustRightInd w:val="0"/>
              <w:spacing w:after="200" w:line="276" w:lineRule="auto"/>
              <w:jc w:val="both"/>
              <w:rPr>
                <w:sz w:val="22"/>
                <w:szCs w:val="22"/>
                <w:lang w:val="bs-Latn-BA" w:eastAsia="bs-Latn-BA"/>
              </w:rPr>
            </w:pPr>
            <w:r w:rsidRPr="00172A4E">
              <w:rPr>
                <w:sz w:val="22"/>
                <w:szCs w:val="22"/>
                <w:lang w:val="bs-Latn-BA" w:eastAsia="bs-Latn-BA"/>
              </w:rPr>
              <w:t xml:space="preserve">Otvorena uvodna – 16 </w:t>
            </w:r>
            <w:r w:rsidR="000035A4">
              <w:rPr>
                <w:sz w:val="22"/>
                <w:szCs w:val="22"/>
                <w:lang w:val="bs-Latn-BA" w:eastAsia="bs-Latn-BA"/>
              </w:rPr>
              <w:t>nedjelja</w:t>
            </w:r>
          </w:p>
        </w:tc>
        <w:tc>
          <w:tcPr>
            <w:tcW w:w="3344" w:type="dxa"/>
            <w:gridSpan w:val="2"/>
            <w:tcBorders>
              <w:top w:val="single" w:sz="4" w:space="0" w:color="auto"/>
              <w:left w:val="single" w:sz="4" w:space="0" w:color="auto"/>
              <w:bottom w:val="single" w:sz="4" w:space="0" w:color="auto"/>
              <w:right w:val="single" w:sz="4" w:space="0" w:color="auto"/>
            </w:tcBorders>
          </w:tcPr>
          <w:p w14:paraId="0D2656F6" w14:textId="77777777" w:rsidR="0083687B" w:rsidRPr="00172A4E" w:rsidRDefault="0083687B" w:rsidP="00EB3350">
            <w:pPr>
              <w:keepNext/>
              <w:autoSpaceDE w:val="0"/>
              <w:autoSpaceDN w:val="0"/>
              <w:adjustRightInd w:val="0"/>
              <w:spacing w:after="200" w:line="276" w:lineRule="auto"/>
              <w:ind w:left="567" w:hanging="567"/>
              <w:jc w:val="both"/>
              <w:rPr>
                <w:sz w:val="22"/>
                <w:szCs w:val="22"/>
                <w:lang w:val="bs-Latn-BA" w:eastAsia="bs-Latn-BA"/>
              </w:rPr>
            </w:pPr>
          </w:p>
        </w:tc>
        <w:tc>
          <w:tcPr>
            <w:tcW w:w="3480" w:type="dxa"/>
            <w:gridSpan w:val="2"/>
            <w:tcBorders>
              <w:top w:val="single" w:sz="4" w:space="0" w:color="auto"/>
              <w:left w:val="single" w:sz="4" w:space="0" w:color="auto"/>
              <w:bottom w:val="single" w:sz="4" w:space="0" w:color="auto"/>
              <w:right w:val="single" w:sz="4" w:space="0" w:color="auto"/>
            </w:tcBorders>
          </w:tcPr>
          <w:p w14:paraId="12E2D584" w14:textId="77777777" w:rsidR="0083687B" w:rsidRPr="00172A4E" w:rsidRDefault="0083687B" w:rsidP="00EB3350">
            <w:pPr>
              <w:keepNext/>
              <w:autoSpaceDE w:val="0"/>
              <w:autoSpaceDN w:val="0"/>
              <w:adjustRightInd w:val="0"/>
              <w:spacing w:after="200" w:line="276" w:lineRule="auto"/>
              <w:ind w:left="567" w:hanging="567"/>
              <w:jc w:val="both"/>
              <w:rPr>
                <w:sz w:val="22"/>
                <w:szCs w:val="22"/>
                <w:lang w:val="bs-Latn-BA" w:eastAsia="bs-Latn-BA"/>
              </w:rPr>
            </w:pPr>
          </w:p>
        </w:tc>
      </w:tr>
      <w:tr w:rsidR="0083687B" w:rsidRPr="000035A4" w14:paraId="039C3585" w14:textId="77777777" w:rsidTr="0088568A">
        <w:trPr>
          <w:trHeight w:val="525"/>
        </w:trPr>
        <w:tc>
          <w:tcPr>
            <w:tcW w:w="2538" w:type="dxa"/>
            <w:tcBorders>
              <w:top w:val="single" w:sz="4" w:space="0" w:color="auto"/>
              <w:left w:val="single" w:sz="4" w:space="0" w:color="auto"/>
              <w:bottom w:val="single" w:sz="4" w:space="0" w:color="auto"/>
              <w:right w:val="single" w:sz="4" w:space="0" w:color="auto"/>
            </w:tcBorders>
          </w:tcPr>
          <w:p w14:paraId="7E413CBC" w14:textId="77777777" w:rsidR="0083687B" w:rsidRPr="00172A4E" w:rsidRDefault="0083687B" w:rsidP="00EB3350">
            <w:pPr>
              <w:keepNext/>
              <w:autoSpaceDE w:val="0"/>
              <w:autoSpaceDN w:val="0"/>
              <w:adjustRightInd w:val="0"/>
              <w:spacing w:after="200" w:line="276" w:lineRule="auto"/>
              <w:jc w:val="both"/>
              <w:rPr>
                <w:sz w:val="22"/>
                <w:szCs w:val="22"/>
                <w:lang w:val="bs-Latn-BA" w:eastAsia="bs-Latn-BA"/>
              </w:rPr>
            </w:pPr>
            <w:r w:rsidRPr="00172A4E">
              <w:rPr>
                <w:sz w:val="22"/>
                <w:szCs w:val="22"/>
                <w:lang w:val="bs-Latn-BA" w:eastAsia="bs-Latn-BA"/>
              </w:rPr>
              <w:t>Pedijatrijski odgovor ACR 30 (n/N)</w:t>
            </w:r>
          </w:p>
        </w:tc>
        <w:tc>
          <w:tcPr>
            <w:tcW w:w="3344" w:type="dxa"/>
            <w:gridSpan w:val="2"/>
            <w:tcBorders>
              <w:top w:val="single" w:sz="4" w:space="0" w:color="auto"/>
              <w:left w:val="single" w:sz="4" w:space="0" w:color="auto"/>
              <w:bottom w:val="single" w:sz="4" w:space="0" w:color="auto"/>
              <w:right w:val="single" w:sz="4" w:space="0" w:color="auto"/>
            </w:tcBorders>
          </w:tcPr>
          <w:p w14:paraId="27C3E7DE" w14:textId="77777777" w:rsidR="0083687B" w:rsidRPr="00172A4E" w:rsidRDefault="0083687B" w:rsidP="00EB3350">
            <w:pPr>
              <w:keepNext/>
              <w:autoSpaceDE w:val="0"/>
              <w:autoSpaceDN w:val="0"/>
              <w:adjustRightInd w:val="0"/>
              <w:spacing w:after="200" w:line="276" w:lineRule="auto"/>
              <w:ind w:left="567" w:hanging="567"/>
              <w:jc w:val="both"/>
              <w:rPr>
                <w:sz w:val="22"/>
                <w:szCs w:val="22"/>
                <w:lang w:val="bs-Latn-BA" w:eastAsia="bs-Latn-BA"/>
              </w:rPr>
            </w:pPr>
            <w:r w:rsidRPr="00172A4E">
              <w:rPr>
                <w:sz w:val="22"/>
                <w:szCs w:val="22"/>
                <w:lang w:val="bs-Latn-BA" w:eastAsia="bs-Latn-BA"/>
              </w:rPr>
              <w:t>94,1% (80/85)</w:t>
            </w:r>
          </w:p>
        </w:tc>
        <w:tc>
          <w:tcPr>
            <w:tcW w:w="3480" w:type="dxa"/>
            <w:gridSpan w:val="2"/>
            <w:tcBorders>
              <w:top w:val="single" w:sz="4" w:space="0" w:color="auto"/>
              <w:left w:val="single" w:sz="4" w:space="0" w:color="auto"/>
              <w:bottom w:val="single" w:sz="4" w:space="0" w:color="auto"/>
              <w:right w:val="single" w:sz="4" w:space="0" w:color="auto"/>
            </w:tcBorders>
          </w:tcPr>
          <w:p w14:paraId="21A2F4F6" w14:textId="77777777" w:rsidR="0083687B" w:rsidRPr="00172A4E" w:rsidRDefault="0083687B" w:rsidP="00EB3350">
            <w:pPr>
              <w:keepNext/>
              <w:autoSpaceDE w:val="0"/>
              <w:autoSpaceDN w:val="0"/>
              <w:adjustRightInd w:val="0"/>
              <w:spacing w:after="200" w:line="276" w:lineRule="auto"/>
              <w:ind w:left="567" w:hanging="567"/>
              <w:jc w:val="both"/>
              <w:rPr>
                <w:sz w:val="22"/>
                <w:szCs w:val="22"/>
                <w:lang w:val="bs-Latn-BA" w:eastAsia="bs-Latn-BA"/>
              </w:rPr>
            </w:pPr>
            <w:r w:rsidRPr="00172A4E">
              <w:rPr>
                <w:sz w:val="22"/>
                <w:szCs w:val="22"/>
                <w:lang w:val="bs-Latn-BA" w:eastAsia="bs-Latn-BA"/>
              </w:rPr>
              <w:t>74,4% (64/86)</w:t>
            </w:r>
          </w:p>
        </w:tc>
      </w:tr>
      <w:tr w:rsidR="0083687B" w:rsidRPr="000035A4" w14:paraId="041F3B7D" w14:textId="77777777" w:rsidTr="0088568A">
        <w:trPr>
          <w:cantSplit/>
          <w:trHeight w:val="263"/>
        </w:trPr>
        <w:tc>
          <w:tcPr>
            <w:tcW w:w="9362" w:type="dxa"/>
            <w:gridSpan w:val="5"/>
            <w:tcBorders>
              <w:top w:val="single" w:sz="4" w:space="0" w:color="auto"/>
              <w:left w:val="single" w:sz="4" w:space="0" w:color="auto"/>
              <w:bottom w:val="single" w:sz="4" w:space="0" w:color="auto"/>
              <w:right w:val="single" w:sz="4" w:space="0" w:color="auto"/>
            </w:tcBorders>
          </w:tcPr>
          <w:p w14:paraId="1ABDF2FB" w14:textId="77777777" w:rsidR="0083687B" w:rsidRPr="00172A4E" w:rsidRDefault="0083687B" w:rsidP="00EB3350">
            <w:pPr>
              <w:keepNext/>
              <w:autoSpaceDE w:val="0"/>
              <w:autoSpaceDN w:val="0"/>
              <w:adjustRightInd w:val="0"/>
              <w:spacing w:after="200" w:line="276" w:lineRule="auto"/>
              <w:jc w:val="both"/>
              <w:rPr>
                <w:sz w:val="22"/>
                <w:szCs w:val="22"/>
                <w:lang w:val="bs-Latn-BA" w:eastAsia="bs-Latn-BA"/>
              </w:rPr>
            </w:pPr>
            <w:r w:rsidRPr="00172A4E">
              <w:rPr>
                <w:sz w:val="22"/>
                <w:szCs w:val="22"/>
                <w:lang w:val="bs-Latn-BA" w:eastAsia="bs-Latn-BA"/>
              </w:rPr>
              <w:t>Ishodi za efikasnost</w:t>
            </w:r>
          </w:p>
        </w:tc>
      </w:tr>
      <w:tr w:rsidR="0083687B" w:rsidRPr="000035A4" w14:paraId="35C5298C" w14:textId="77777777" w:rsidTr="0088568A">
        <w:trPr>
          <w:cantSplit/>
          <w:trHeight w:val="540"/>
        </w:trPr>
        <w:tc>
          <w:tcPr>
            <w:tcW w:w="2538" w:type="dxa"/>
            <w:tcBorders>
              <w:top w:val="single" w:sz="4" w:space="0" w:color="auto"/>
              <w:left w:val="single" w:sz="4" w:space="0" w:color="auto"/>
              <w:bottom w:val="single" w:sz="4" w:space="0" w:color="auto"/>
              <w:right w:val="single" w:sz="4" w:space="0" w:color="auto"/>
            </w:tcBorders>
          </w:tcPr>
          <w:p w14:paraId="3D39D5A5" w14:textId="78D79922" w:rsidR="0083687B" w:rsidRPr="00172A4E" w:rsidRDefault="0083687B" w:rsidP="00EB3350">
            <w:pPr>
              <w:keepNext/>
              <w:autoSpaceDE w:val="0"/>
              <w:autoSpaceDN w:val="0"/>
              <w:adjustRightInd w:val="0"/>
              <w:spacing w:after="200" w:line="276" w:lineRule="auto"/>
              <w:jc w:val="both"/>
              <w:rPr>
                <w:sz w:val="22"/>
                <w:szCs w:val="22"/>
                <w:lang w:val="bs-Latn-BA" w:eastAsia="bs-Latn-BA"/>
              </w:rPr>
            </w:pPr>
            <w:r w:rsidRPr="00172A4E">
              <w:rPr>
                <w:sz w:val="22"/>
                <w:szCs w:val="22"/>
                <w:lang w:val="bs-Latn-BA" w:eastAsia="bs-Latn-BA"/>
              </w:rPr>
              <w:t xml:space="preserve">Dvostruko slijepa – 32 </w:t>
            </w:r>
            <w:r w:rsidR="000035A4">
              <w:rPr>
                <w:sz w:val="22"/>
                <w:szCs w:val="22"/>
                <w:lang w:val="bs-Latn-BA" w:eastAsia="bs-Latn-BA"/>
              </w:rPr>
              <w:t>nedjelje</w:t>
            </w:r>
          </w:p>
        </w:tc>
        <w:tc>
          <w:tcPr>
            <w:tcW w:w="1667" w:type="dxa"/>
            <w:tcBorders>
              <w:top w:val="single" w:sz="4" w:space="0" w:color="auto"/>
              <w:left w:val="single" w:sz="4" w:space="0" w:color="auto"/>
              <w:bottom w:val="single" w:sz="4" w:space="0" w:color="auto"/>
              <w:right w:val="single" w:sz="4" w:space="0" w:color="auto"/>
            </w:tcBorders>
          </w:tcPr>
          <w:p w14:paraId="0B6DA688" w14:textId="77777777" w:rsidR="000035A4" w:rsidRDefault="0083687B" w:rsidP="00EB3350">
            <w:pPr>
              <w:keepNext/>
              <w:autoSpaceDE w:val="0"/>
              <w:autoSpaceDN w:val="0"/>
              <w:adjustRightInd w:val="0"/>
              <w:spacing w:after="200" w:line="276" w:lineRule="auto"/>
              <w:jc w:val="both"/>
              <w:rPr>
                <w:sz w:val="22"/>
                <w:szCs w:val="22"/>
                <w:lang w:val="bs-Latn-BA" w:eastAsia="bs-Latn-BA"/>
              </w:rPr>
            </w:pPr>
            <w:r w:rsidRPr="00172A4E">
              <w:rPr>
                <w:sz w:val="22"/>
                <w:szCs w:val="22"/>
                <w:lang w:val="bs-Latn-BA" w:eastAsia="bs-Latn-BA"/>
              </w:rPr>
              <w:t xml:space="preserve">Humira/MTX </w:t>
            </w:r>
          </w:p>
          <w:p w14:paraId="6EC5ED5C" w14:textId="1F0E876A" w:rsidR="0083687B" w:rsidRPr="00172A4E" w:rsidRDefault="0083687B" w:rsidP="00EB3350">
            <w:pPr>
              <w:keepNext/>
              <w:autoSpaceDE w:val="0"/>
              <w:autoSpaceDN w:val="0"/>
              <w:adjustRightInd w:val="0"/>
              <w:spacing w:after="200" w:line="276" w:lineRule="auto"/>
              <w:jc w:val="both"/>
              <w:rPr>
                <w:sz w:val="22"/>
                <w:szCs w:val="22"/>
                <w:lang w:val="bs-Latn-BA" w:eastAsia="bs-Latn-BA"/>
              </w:rPr>
            </w:pPr>
            <w:r w:rsidRPr="00172A4E">
              <w:rPr>
                <w:sz w:val="22"/>
                <w:szCs w:val="22"/>
                <w:lang w:val="bs-Latn-BA" w:eastAsia="bs-Latn-BA"/>
              </w:rPr>
              <w:t>(N=38)</w:t>
            </w:r>
          </w:p>
        </w:tc>
        <w:tc>
          <w:tcPr>
            <w:tcW w:w="1677" w:type="dxa"/>
            <w:tcBorders>
              <w:top w:val="single" w:sz="4" w:space="0" w:color="auto"/>
              <w:left w:val="single" w:sz="4" w:space="0" w:color="auto"/>
              <w:bottom w:val="single" w:sz="4" w:space="0" w:color="auto"/>
              <w:right w:val="single" w:sz="4" w:space="0" w:color="auto"/>
            </w:tcBorders>
          </w:tcPr>
          <w:p w14:paraId="3A2FDB22" w14:textId="77777777" w:rsidR="0083687B" w:rsidRPr="00172A4E" w:rsidRDefault="0083687B" w:rsidP="00EB3350">
            <w:pPr>
              <w:keepNext/>
              <w:autoSpaceDE w:val="0"/>
              <w:autoSpaceDN w:val="0"/>
              <w:adjustRightInd w:val="0"/>
              <w:spacing w:after="200" w:line="276" w:lineRule="auto"/>
              <w:jc w:val="both"/>
              <w:rPr>
                <w:sz w:val="22"/>
                <w:szCs w:val="22"/>
                <w:lang w:val="bs-Latn-BA" w:eastAsia="bs-Latn-BA"/>
              </w:rPr>
            </w:pPr>
            <w:r w:rsidRPr="00172A4E">
              <w:rPr>
                <w:sz w:val="22"/>
                <w:szCs w:val="22"/>
                <w:lang w:val="bs-Latn-BA" w:eastAsia="bs-Latn-BA"/>
              </w:rPr>
              <w:t>Placebo/MTX</w:t>
            </w:r>
          </w:p>
          <w:p w14:paraId="58F672CE" w14:textId="77777777" w:rsidR="0083687B" w:rsidRPr="00172A4E" w:rsidRDefault="0083687B" w:rsidP="00EB3350">
            <w:pPr>
              <w:keepNext/>
              <w:autoSpaceDE w:val="0"/>
              <w:autoSpaceDN w:val="0"/>
              <w:adjustRightInd w:val="0"/>
              <w:spacing w:after="200" w:line="276" w:lineRule="auto"/>
              <w:jc w:val="both"/>
              <w:rPr>
                <w:sz w:val="22"/>
                <w:szCs w:val="22"/>
                <w:lang w:val="bs-Latn-BA" w:eastAsia="bs-Latn-BA"/>
              </w:rPr>
            </w:pPr>
            <w:r w:rsidRPr="00172A4E">
              <w:rPr>
                <w:sz w:val="22"/>
                <w:szCs w:val="22"/>
                <w:lang w:val="bs-Latn-BA" w:eastAsia="bs-Latn-BA"/>
              </w:rPr>
              <w:t>(N=37)</w:t>
            </w:r>
          </w:p>
        </w:tc>
        <w:tc>
          <w:tcPr>
            <w:tcW w:w="1728" w:type="dxa"/>
            <w:tcBorders>
              <w:top w:val="single" w:sz="4" w:space="0" w:color="auto"/>
              <w:left w:val="single" w:sz="4" w:space="0" w:color="auto"/>
              <w:bottom w:val="single" w:sz="4" w:space="0" w:color="auto"/>
              <w:right w:val="single" w:sz="4" w:space="0" w:color="auto"/>
            </w:tcBorders>
          </w:tcPr>
          <w:p w14:paraId="019F1F4F" w14:textId="77777777" w:rsidR="0083687B" w:rsidRPr="00172A4E" w:rsidRDefault="0083687B" w:rsidP="00EB3350">
            <w:pPr>
              <w:keepNext/>
              <w:autoSpaceDE w:val="0"/>
              <w:autoSpaceDN w:val="0"/>
              <w:adjustRightInd w:val="0"/>
              <w:spacing w:after="200" w:line="276" w:lineRule="auto"/>
              <w:ind w:left="567" w:hanging="567"/>
              <w:jc w:val="both"/>
              <w:rPr>
                <w:sz w:val="22"/>
                <w:szCs w:val="22"/>
                <w:lang w:val="bs-Latn-BA" w:eastAsia="bs-Latn-BA"/>
              </w:rPr>
            </w:pPr>
            <w:r w:rsidRPr="00172A4E">
              <w:rPr>
                <w:sz w:val="22"/>
                <w:szCs w:val="22"/>
                <w:lang w:val="bs-Latn-BA" w:eastAsia="bs-Latn-BA"/>
              </w:rPr>
              <w:t>Humira</w:t>
            </w:r>
          </w:p>
          <w:p w14:paraId="5080BE57" w14:textId="77777777" w:rsidR="0083687B" w:rsidRPr="00172A4E" w:rsidRDefault="0083687B" w:rsidP="00EB3350">
            <w:pPr>
              <w:keepNext/>
              <w:autoSpaceDE w:val="0"/>
              <w:autoSpaceDN w:val="0"/>
              <w:adjustRightInd w:val="0"/>
              <w:spacing w:after="200" w:line="276" w:lineRule="auto"/>
              <w:ind w:left="567" w:hanging="567"/>
              <w:jc w:val="both"/>
              <w:rPr>
                <w:sz w:val="22"/>
                <w:szCs w:val="22"/>
                <w:lang w:val="bs-Latn-BA" w:eastAsia="bs-Latn-BA"/>
              </w:rPr>
            </w:pPr>
            <w:r w:rsidRPr="00172A4E">
              <w:rPr>
                <w:sz w:val="22"/>
                <w:szCs w:val="22"/>
                <w:lang w:val="bs-Latn-BA" w:eastAsia="bs-Latn-BA"/>
              </w:rPr>
              <w:t>(N=30)</w:t>
            </w:r>
          </w:p>
        </w:tc>
        <w:tc>
          <w:tcPr>
            <w:tcW w:w="1752" w:type="dxa"/>
            <w:tcBorders>
              <w:top w:val="single" w:sz="4" w:space="0" w:color="auto"/>
              <w:left w:val="single" w:sz="4" w:space="0" w:color="auto"/>
              <w:bottom w:val="single" w:sz="4" w:space="0" w:color="auto"/>
              <w:right w:val="single" w:sz="4" w:space="0" w:color="auto"/>
            </w:tcBorders>
          </w:tcPr>
          <w:p w14:paraId="7612E2A0" w14:textId="77777777" w:rsidR="0083687B" w:rsidRPr="00172A4E" w:rsidRDefault="0083687B" w:rsidP="00EB3350">
            <w:pPr>
              <w:keepNext/>
              <w:autoSpaceDE w:val="0"/>
              <w:autoSpaceDN w:val="0"/>
              <w:adjustRightInd w:val="0"/>
              <w:spacing w:after="200" w:line="276" w:lineRule="auto"/>
              <w:ind w:left="567" w:hanging="567"/>
              <w:jc w:val="both"/>
              <w:rPr>
                <w:sz w:val="22"/>
                <w:szCs w:val="22"/>
                <w:lang w:val="bs-Latn-BA" w:eastAsia="bs-Latn-BA"/>
              </w:rPr>
            </w:pPr>
            <w:r w:rsidRPr="00172A4E">
              <w:rPr>
                <w:sz w:val="22"/>
                <w:szCs w:val="22"/>
                <w:lang w:val="bs-Latn-BA" w:eastAsia="bs-Latn-BA"/>
              </w:rPr>
              <w:t>Placebo</w:t>
            </w:r>
          </w:p>
          <w:p w14:paraId="4D8D0351" w14:textId="77777777" w:rsidR="0083687B" w:rsidRPr="00172A4E" w:rsidRDefault="0083687B" w:rsidP="00EB3350">
            <w:pPr>
              <w:keepNext/>
              <w:autoSpaceDE w:val="0"/>
              <w:autoSpaceDN w:val="0"/>
              <w:adjustRightInd w:val="0"/>
              <w:spacing w:after="200" w:line="276" w:lineRule="auto"/>
              <w:ind w:left="567" w:hanging="567"/>
              <w:jc w:val="both"/>
              <w:rPr>
                <w:sz w:val="22"/>
                <w:szCs w:val="22"/>
                <w:lang w:val="bs-Latn-BA" w:eastAsia="bs-Latn-BA"/>
              </w:rPr>
            </w:pPr>
            <w:r w:rsidRPr="00172A4E">
              <w:rPr>
                <w:sz w:val="22"/>
                <w:szCs w:val="22"/>
                <w:lang w:val="bs-Latn-BA" w:eastAsia="bs-Latn-BA"/>
              </w:rPr>
              <w:t>(N=28)</w:t>
            </w:r>
          </w:p>
        </w:tc>
      </w:tr>
      <w:tr w:rsidR="0083687B" w:rsidRPr="000035A4" w14:paraId="4EE26EC0" w14:textId="77777777" w:rsidTr="0088568A">
        <w:trPr>
          <w:cantSplit/>
          <w:trHeight w:val="802"/>
        </w:trPr>
        <w:tc>
          <w:tcPr>
            <w:tcW w:w="2538" w:type="dxa"/>
            <w:tcBorders>
              <w:top w:val="single" w:sz="4" w:space="0" w:color="auto"/>
              <w:left w:val="single" w:sz="4" w:space="0" w:color="auto"/>
              <w:bottom w:val="single" w:sz="4" w:space="0" w:color="auto"/>
              <w:right w:val="single" w:sz="4" w:space="0" w:color="auto"/>
            </w:tcBorders>
          </w:tcPr>
          <w:p w14:paraId="67D7A1A5" w14:textId="7FE87253" w:rsidR="0083687B" w:rsidRPr="00172A4E" w:rsidRDefault="0083687B" w:rsidP="00EB3350">
            <w:pPr>
              <w:keepNext/>
              <w:autoSpaceDE w:val="0"/>
              <w:autoSpaceDN w:val="0"/>
              <w:adjustRightInd w:val="0"/>
              <w:spacing w:after="200" w:line="276" w:lineRule="auto"/>
              <w:jc w:val="both"/>
              <w:rPr>
                <w:sz w:val="22"/>
                <w:szCs w:val="22"/>
                <w:lang w:val="bs-Latn-BA" w:eastAsia="bs-Latn-BA"/>
              </w:rPr>
            </w:pPr>
            <w:r w:rsidRPr="00172A4E">
              <w:rPr>
                <w:sz w:val="22"/>
                <w:szCs w:val="22"/>
                <w:lang w:val="bs-Latn-BA" w:eastAsia="bs-Latn-BA"/>
              </w:rPr>
              <w:t xml:space="preserve">Reaktivacija bolesti pri kraju perioda od 32 </w:t>
            </w:r>
            <w:r w:rsidR="000035A4">
              <w:rPr>
                <w:sz w:val="22"/>
                <w:szCs w:val="22"/>
                <w:lang w:val="bs-Latn-BA" w:eastAsia="bs-Latn-BA"/>
              </w:rPr>
              <w:t>nedjelje</w:t>
            </w:r>
            <w:r w:rsidR="000035A4" w:rsidRPr="00172A4E">
              <w:rPr>
                <w:sz w:val="22"/>
                <w:szCs w:val="22"/>
                <w:vertAlign w:val="superscript"/>
                <w:lang w:val="bs-Latn-BA" w:eastAsia="bs-Latn-BA"/>
              </w:rPr>
              <w:t>a</w:t>
            </w:r>
            <w:r w:rsidR="000035A4" w:rsidRPr="00172A4E">
              <w:rPr>
                <w:sz w:val="22"/>
                <w:szCs w:val="22"/>
                <w:lang w:val="bs-Latn-BA" w:eastAsia="bs-Latn-BA"/>
              </w:rPr>
              <w:t xml:space="preserve"> </w:t>
            </w:r>
            <w:r w:rsidRPr="00172A4E">
              <w:rPr>
                <w:sz w:val="22"/>
                <w:szCs w:val="22"/>
                <w:lang w:val="bs-Latn-BA" w:eastAsia="bs-Latn-BA"/>
              </w:rPr>
              <w:t>(n/N)</w:t>
            </w:r>
          </w:p>
        </w:tc>
        <w:tc>
          <w:tcPr>
            <w:tcW w:w="1667" w:type="dxa"/>
            <w:tcBorders>
              <w:top w:val="single" w:sz="4" w:space="0" w:color="auto"/>
              <w:left w:val="single" w:sz="4" w:space="0" w:color="auto"/>
              <w:bottom w:val="single" w:sz="4" w:space="0" w:color="auto"/>
              <w:right w:val="single" w:sz="4" w:space="0" w:color="auto"/>
            </w:tcBorders>
          </w:tcPr>
          <w:p w14:paraId="56612336" w14:textId="77777777" w:rsidR="0083687B" w:rsidRPr="00172A4E" w:rsidRDefault="0083687B" w:rsidP="00EB3350">
            <w:pPr>
              <w:keepNext/>
              <w:autoSpaceDE w:val="0"/>
              <w:autoSpaceDN w:val="0"/>
              <w:adjustRightInd w:val="0"/>
              <w:spacing w:after="200" w:line="276" w:lineRule="auto"/>
              <w:jc w:val="both"/>
              <w:rPr>
                <w:sz w:val="22"/>
                <w:szCs w:val="22"/>
                <w:lang w:val="bs-Latn-BA" w:eastAsia="bs-Latn-BA"/>
              </w:rPr>
            </w:pPr>
            <w:r w:rsidRPr="00172A4E">
              <w:rPr>
                <w:sz w:val="22"/>
                <w:szCs w:val="22"/>
                <w:lang w:val="bs-Latn-BA" w:eastAsia="bs-Latn-BA"/>
              </w:rPr>
              <w:t>36,8% (14/38)</w:t>
            </w:r>
          </w:p>
        </w:tc>
        <w:tc>
          <w:tcPr>
            <w:tcW w:w="1677" w:type="dxa"/>
            <w:tcBorders>
              <w:top w:val="single" w:sz="4" w:space="0" w:color="auto"/>
              <w:left w:val="single" w:sz="4" w:space="0" w:color="auto"/>
              <w:bottom w:val="single" w:sz="4" w:space="0" w:color="auto"/>
              <w:right w:val="single" w:sz="4" w:space="0" w:color="auto"/>
            </w:tcBorders>
          </w:tcPr>
          <w:p w14:paraId="6790BA83" w14:textId="77777777" w:rsidR="0083687B" w:rsidRPr="00172A4E" w:rsidRDefault="0083687B" w:rsidP="00EB3350">
            <w:pPr>
              <w:keepNext/>
              <w:autoSpaceDE w:val="0"/>
              <w:autoSpaceDN w:val="0"/>
              <w:adjustRightInd w:val="0"/>
              <w:spacing w:after="200" w:line="276" w:lineRule="auto"/>
              <w:jc w:val="both"/>
              <w:rPr>
                <w:sz w:val="22"/>
                <w:szCs w:val="22"/>
                <w:lang w:val="bs-Latn-BA" w:eastAsia="bs-Latn-BA"/>
              </w:rPr>
            </w:pPr>
            <w:r w:rsidRPr="00172A4E">
              <w:rPr>
                <w:sz w:val="22"/>
                <w:szCs w:val="22"/>
                <w:lang w:val="bs-Latn-BA" w:eastAsia="bs-Latn-BA"/>
              </w:rPr>
              <w:t>64,9% (24/37)</w:t>
            </w:r>
            <w:r w:rsidRPr="00172A4E">
              <w:rPr>
                <w:sz w:val="22"/>
                <w:szCs w:val="22"/>
                <w:vertAlign w:val="superscript"/>
                <w:lang w:val="bs-Latn-BA" w:eastAsia="bs-Latn-BA"/>
              </w:rPr>
              <w:t>b</w:t>
            </w:r>
          </w:p>
        </w:tc>
        <w:tc>
          <w:tcPr>
            <w:tcW w:w="1728" w:type="dxa"/>
            <w:tcBorders>
              <w:top w:val="single" w:sz="4" w:space="0" w:color="auto"/>
              <w:left w:val="single" w:sz="4" w:space="0" w:color="auto"/>
              <w:bottom w:val="single" w:sz="4" w:space="0" w:color="auto"/>
              <w:right w:val="single" w:sz="4" w:space="0" w:color="auto"/>
            </w:tcBorders>
          </w:tcPr>
          <w:p w14:paraId="36502302" w14:textId="77777777" w:rsidR="0083687B" w:rsidRPr="00172A4E" w:rsidRDefault="0083687B" w:rsidP="00EB3350">
            <w:pPr>
              <w:keepNext/>
              <w:autoSpaceDE w:val="0"/>
              <w:autoSpaceDN w:val="0"/>
              <w:adjustRightInd w:val="0"/>
              <w:spacing w:after="200" w:line="276" w:lineRule="auto"/>
              <w:ind w:left="567" w:hanging="567"/>
              <w:jc w:val="both"/>
              <w:rPr>
                <w:sz w:val="22"/>
                <w:szCs w:val="22"/>
                <w:lang w:val="bs-Latn-BA" w:eastAsia="bs-Latn-BA"/>
              </w:rPr>
            </w:pPr>
            <w:r w:rsidRPr="00172A4E">
              <w:rPr>
                <w:sz w:val="22"/>
                <w:szCs w:val="22"/>
                <w:lang w:val="bs-Latn-BA" w:eastAsia="bs-Latn-BA"/>
              </w:rPr>
              <w:t>43,3% (13/30)</w:t>
            </w:r>
          </w:p>
        </w:tc>
        <w:tc>
          <w:tcPr>
            <w:tcW w:w="1752" w:type="dxa"/>
            <w:tcBorders>
              <w:top w:val="single" w:sz="4" w:space="0" w:color="auto"/>
              <w:left w:val="single" w:sz="4" w:space="0" w:color="auto"/>
              <w:bottom w:val="single" w:sz="4" w:space="0" w:color="auto"/>
              <w:right w:val="single" w:sz="4" w:space="0" w:color="auto"/>
            </w:tcBorders>
          </w:tcPr>
          <w:p w14:paraId="3B5BE163" w14:textId="77777777" w:rsidR="0083687B" w:rsidRPr="00172A4E" w:rsidRDefault="0083687B" w:rsidP="00EB3350">
            <w:pPr>
              <w:keepNext/>
              <w:autoSpaceDE w:val="0"/>
              <w:autoSpaceDN w:val="0"/>
              <w:adjustRightInd w:val="0"/>
              <w:spacing w:after="200" w:line="276" w:lineRule="auto"/>
              <w:ind w:left="567" w:hanging="567"/>
              <w:jc w:val="both"/>
              <w:rPr>
                <w:sz w:val="22"/>
                <w:szCs w:val="22"/>
                <w:lang w:val="bs-Latn-BA" w:eastAsia="bs-Latn-BA"/>
              </w:rPr>
            </w:pPr>
            <w:r w:rsidRPr="00172A4E">
              <w:rPr>
                <w:sz w:val="22"/>
                <w:szCs w:val="22"/>
                <w:lang w:val="bs-Latn-BA" w:eastAsia="bs-Latn-BA"/>
              </w:rPr>
              <w:t>71,4% (20/28)</w:t>
            </w:r>
            <w:r w:rsidRPr="00172A4E">
              <w:rPr>
                <w:sz w:val="22"/>
                <w:szCs w:val="22"/>
                <w:vertAlign w:val="superscript"/>
                <w:lang w:val="bs-Latn-BA" w:eastAsia="bs-Latn-BA"/>
              </w:rPr>
              <w:t>c</w:t>
            </w:r>
          </w:p>
        </w:tc>
      </w:tr>
      <w:tr w:rsidR="0083687B" w:rsidRPr="000035A4" w14:paraId="077B6C41" w14:textId="77777777" w:rsidTr="0088568A">
        <w:trPr>
          <w:cantSplit/>
          <w:trHeight w:val="540"/>
        </w:trPr>
        <w:tc>
          <w:tcPr>
            <w:tcW w:w="2538" w:type="dxa"/>
            <w:tcBorders>
              <w:top w:val="single" w:sz="4" w:space="0" w:color="auto"/>
              <w:left w:val="single" w:sz="4" w:space="0" w:color="auto"/>
              <w:bottom w:val="single" w:sz="4" w:space="0" w:color="auto"/>
              <w:right w:val="single" w:sz="4" w:space="0" w:color="auto"/>
            </w:tcBorders>
          </w:tcPr>
          <w:p w14:paraId="5FBFA925" w14:textId="77777777" w:rsidR="0083687B" w:rsidRPr="00172A4E" w:rsidRDefault="0083687B" w:rsidP="00EB3350">
            <w:pPr>
              <w:keepNext/>
              <w:autoSpaceDE w:val="0"/>
              <w:autoSpaceDN w:val="0"/>
              <w:adjustRightInd w:val="0"/>
              <w:spacing w:after="200" w:line="276" w:lineRule="auto"/>
              <w:jc w:val="both"/>
              <w:rPr>
                <w:sz w:val="22"/>
                <w:szCs w:val="22"/>
                <w:lang w:val="bs-Latn-BA" w:eastAsia="bs-Latn-BA"/>
              </w:rPr>
            </w:pPr>
            <w:r w:rsidRPr="00172A4E">
              <w:rPr>
                <w:sz w:val="22"/>
                <w:szCs w:val="22"/>
                <w:lang w:val="bs-Latn-BA" w:eastAsia="bs-Latn-BA"/>
              </w:rPr>
              <w:t>Medijan vremena do reaktivacije bolesti</w:t>
            </w:r>
          </w:p>
        </w:tc>
        <w:tc>
          <w:tcPr>
            <w:tcW w:w="1667" w:type="dxa"/>
            <w:tcBorders>
              <w:top w:val="single" w:sz="4" w:space="0" w:color="auto"/>
              <w:left w:val="single" w:sz="4" w:space="0" w:color="auto"/>
              <w:bottom w:val="single" w:sz="4" w:space="0" w:color="auto"/>
              <w:right w:val="single" w:sz="4" w:space="0" w:color="auto"/>
            </w:tcBorders>
          </w:tcPr>
          <w:p w14:paraId="56C8D1C6" w14:textId="1376D44A" w:rsidR="0083687B" w:rsidRPr="00172A4E" w:rsidRDefault="0083687B" w:rsidP="00EB3350">
            <w:pPr>
              <w:keepNext/>
              <w:autoSpaceDE w:val="0"/>
              <w:autoSpaceDN w:val="0"/>
              <w:adjustRightInd w:val="0"/>
              <w:spacing w:after="200" w:line="276" w:lineRule="auto"/>
              <w:jc w:val="both"/>
              <w:rPr>
                <w:sz w:val="22"/>
                <w:szCs w:val="22"/>
                <w:lang w:val="bs-Latn-BA" w:eastAsia="bs-Latn-BA"/>
              </w:rPr>
            </w:pPr>
            <w:r w:rsidRPr="00172A4E">
              <w:rPr>
                <w:sz w:val="22"/>
                <w:szCs w:val="22"/>
                <w:lang w:val="bs-Latn-BA" w:eastAsia="bs-Latn-BA"/>
              </w:rPr>
              <w:t xml:space="preserve">&gt;32 </w:t>
            </w:r>
            <w:r w:rsidR="000035A4">
              <w:rPr>
                <w:sz w:val="22"/>
                <w:szCs w:val="22"/>
                <w:lang w:val="bs-Latn-BA" w:eastAsia="bs-Latn-BA"/>
              </w:rPr>
              <w:t>nedjelje</w:t>
            </w:r>
          </w:p>
        </w:tc>
        <w:tc>
          <w:tcPr>
            <w:tcW w:w="1677" w:type="dxa"/>
            <w:tcBorders>
              <w:top w:val="single" w:sz="4" w:space="0" w:color="auto"/>
              <w:left w:val="single" w:sz="4" w:space="0" w:color="auto"/>
              <w:bottom w:val="single" w:sz="4" w:space="0" w:color="auto"/>
              <w:right w:val="single" w:sz="4" w:space="0" w:color="auto"/>
            </w:tcBorders>
          </w:tcPr>
          <w:p w14:paraId="712470E5" w14:textId="50BAD15B" w:rsidR="0083687B" w:rsidRPr="00172A4E" w:rsidRDefault="0083687B" w:rsidP="00EB3350">
            <w:pPr>
              <w:keepNext/>
              <w:autoSpaceDE w:val="0"/>
              <w:autoSpaceDN w:val="0"/>
              <w:adjustRightInd w:val="0"/>
              <w:spacing w:after="200" w:line="276" w:lineRule="auto"/>
              <w:jc w:val="both"/>
              <w:rPr>
                <w:sz w:val="22"/>
                <w:szCs w:val="22"/>
                <w:lang w:val="bs-Latn-BA" w:eastAsia="bs-Latn-BA"/>
              </w:rPr>
            </w:pPr>
            <w:r w:rsidRPr="00172A4E">
              <w:rPr>
                <w:sz w:val="22"/>
                <w:szCs w:val="22"/>
                <w:lang w:val="bs-Latn-BA" w:eastAsia="bs-Latn-BA"/>
              </w:rPr>
              <w:t xml:space="preserve">20 </w:t>
            </w:r>
            <w:r w:rsidR="000035A4">
              <w:rPr>
                <w:sz w:val="22"/>
                <w:szCs w:val="22"/>
                <w:lang w:val="bs-Latn-BA" w:eastAsia="bs-Latn-BA"/>
              </w:rPr>
              <w:t>nedjelja</w:t>
            </w:r>
          </w:p>
        </w:tc>
        <w:tc>
          <w:tcPr>
            <w:tcW w:w="1728" w:type="dxa"/>
            <w:tcBorders>
              <w:top w:val="single" w:sz="4" w:space="0" w:color="auto"/>
              <w:left w:val="single" w:sz="4" w:space="0" w:color="auto"/>
              <w:bottom w:val="single" w:sz="4" w:space="0" w:color="auto"/>
              <w:right w:val="single" w:sz="4" w:space="0" w:color="auto"/>
            </w:tcBorders>
          </w:tcPr>
          <w:p w14:paraId="1E0BE479" w14:textId="29FE6BEC" w:rsidR="0083687B" w:rsidRPr="00172A4E" w:rsidRDefault="0083687B" w:rsidP="00EB3350">
            <w:pPr>
              <w:keepNext/>
              <w:autoSpaceDE w:val="0"/>
              <w:autoSpaceDN w:val="0"/>
              <w:adjustRightInd w:val="0"/>
              <w:spacing w:after="200" w:line="276" w:lineRule="auto"/>
              <w:ind w:left="567" w:hanging="567"/>
              <w:jc w:val="both"/>
              <w:rPr>
                <w:sz w:val="22"/>
                <w:szCs w:val="22"/>
                <w:lang w:val="bs-Latn-BA" w:eastAsia="bs-Latn-BA"/>
              </w:rPr>
            </w:pPr>
            <w:r w:rsidRPr="00172A4E">
              <w:rPr>
                <w:sz w:val="22"/>
                <w:szCs w:val="22"/>
                <w:lang w:val="bs-Latn-BA" w:eastAsia="bs-Latn-BA"/>
              </w:rPr>
              <w:t xml:space="preserve">&gt;32 </w:t>
            </w:r>
            <w:r w:rsidR="000035A4">
              <w:rPr>
                <w:sz w:val="22"/>
                <w:szCs w:val="22"/>
                <w:lang w:val="bs-Latn-BA" w:eastAsia="bs-Latn-BA"/>
              </w:rPr>
              <w:t>nedjelje</w:t>
            </w:r>
          </w:p>
        </w:tc>
        <w:tc>
          <w:tcPr>
            <w:tcW w:w="1752" w:type="dxa"/>
            <w:tcBorders>
              <w:top w:val="single" w:sz="4" w:space="0" w:color="auto"/>
              <w:left w:val="single" w:sz="4" w:space="0" w:color="auto"/>
              <w:bottom w:val="single" w:sz="4" w:space="0" w:color="auto"/>
              <w:right w:val="single" w:sz="4" w:space="0" w:color="auto"/>
            </w:tcBorders>
          </w:tcPr>
          <w:p w14:paraId="4948C35C" w14:textId="207F0ABD" w:rsidR="0083687B" w:rsidRPr="00172A4E" w:rsidRDefault="0083687B" w:rsidP="00EB3350">
            <w:pPr>
              <w:keepNext/>
              <w:autoSpaceDE w:val="0"/>
              <w:autoSpaceDN w:val="0"/>
              <w:adjustRightInd w:val="0"/>
              <w:spacing w:after="200" w:line="276" w:lineRule="auto"/>
              <w:ind w:left="567" w:hanging="567"/>
              <w:jc w:val="both"/>
              <w:rPr>
                <w:sz w:val="22"/>
                <w:szCs w:val="22"/>
                <w:lang w:val="bs-Latn-BA" w:eastAsia="bs-Latn-BA"/>
              </w:rPr>
            </w:pPr>
            <w:r w:rsidRPr="00172A4E">
              <w:rPr>
                <w:sz w:val="22"/>
                <w:szCs w:val="22"/>
                <w:lang w:val="bs-Latn-BA" w:eastAsia="bs-Latn-BA"/>
              </w:rPr>
              <w:t xml:space="preserve">14 </w:t>
            </w:r>
            <w:r w:rsidR="000035A4">
              <w:rPr>
                <w:sz w:val="22"/>
                <w:szCs w:val="22"/>
                <w:lang w:val="bs-Latn-BA" w:eastAsia="bs-Latn-BA"/>
              </w:rPr>
              <w:t>nedjelja</w:t>
            </w:r>
          </w:p>
        </w:tc>
      </w:tr>
    </w:tbl>
    <w:p w14:paraId="24F4A633" w14:textId="77777777" w:rsidR="0083687B" w:rsidRPr="00172A4E" w:rsidRDefault="0083687B" w:rsidP="00EB3350">
      <w:pPr>
        <w:keepNext/>
        <w:autoSpaceDE w:val="0"/>
        <w:autoSpaceDN w:val="0"/>
        <w:adjustRightInd w:val="0"/>
        <w:jc w:val="both"/>
        <w:rPr>
          <w:color w:val="FF0000"/>
          <w:sz w:val="22"/>
          <w:szCs w:val="22"/>
          <w:vertAlign w:val="superscript"/>
          <w:lang w:val="hr-HR"/>
        </w:rPr>
      </w:pPr>
    </w:p>
    <w:p w14:paraId="5898A8ED" w14:textId="44CBAB82" w:rsidR="0083687B" w:rsidRPr="00172A4E" w:rsidRDefault="0083687B" w:rsidP="00EB3350">
      <w:pPr>
        <w:keepNext/>
        <w:autoSpaceDE w:val="0"/>
        <w:autoSpaceDN w:val="0"/>
        <w:adjustRightInd w:val="0"/>
        <w:jc w:val="both"/>
        <w:rPr>
          <w:sz w:val="22"/>
          <w:szCs w:val="22"/>
          <w:lang w:val="hr-HR"/>
        </w:rPr>
      </w:pPr>
      <w:r w:rsidRPr="00172A4E">
        <w:rPr>
          <w:sz w:val="22"/>
          <w:szCs w:val="22"/>
          <w:vertAlign w:val="superscript"/>
          <w:lang w:val="hr-HR"/>
        </w:rPr>
        <w:t>a</w:t>
      </w:r>
      <w:r w:rsidRPr="00172A4E">
        <w:rPr>
          <w:sz w:val="22"/>
          <w:szCs w:val="22"/>
          <w:lang w:val="hr-HR"/>
        </w:rPr>
        <w:t xml:space="preserve">Pedijatrijski odgovori ACR 30/50/70 nakon </w:t>
      </w:r>
      <w:r w:rsidR="000035A4" w:rsidRPr="00172A4E">
        <w:rPr>
          <w:sz w:val="22"/>
          <w:szCs w:val="22"/>
          <w:lang w:val="hr-HR"/>
        </w:rPr>
        <w:t>48 nedjelja</w:t>
      </w:r>
      <w:r w:rsidRPr="00172A4E">
        <w:rPr>
          <w:sz w:val="22"/>
          <w:szCs w:val="22"/>
          <w:lang w:val="hr-HR"/>
        </w:rPr>
        <w:t xml:space="preserve"> bili su značajno veći nego u grupi koja je uzimala placebo</w:t>
      </w:r>
    </w:p>
    <w:p w14:paraId="739560FD" w14:textId="77777777" w:rsidR="0083687B" w:rsidRPr="00172A4E" w:rsidRDefault="0083687B" w:rsidP="00EB3350">
      <w:pPr>
        <w:keepNext/>
        <w:autoSpaceDE w:val="0"/>
        <w:autoSpaceDN w:val="0"/>
        <w:adjustRightInd w:val="0"/>
        <w:ind w:left="567" w:hanging="567"/>
        <w:jc w:val="both"/>
        <w:rPr>
          <w:sz w:val="22"/>
          <w:szCs w:val="22"/>
          <w:lang w:val="hr-HR"/>
        </w:rPr>
      </w:pPr>
      <w:r w:rsidRPr="00172A4E">
        <w:rPr>
          <w:sz w:val="22"/>
          <w:szCs w:val="22"/>
          <w:vertAlign w:val="superscript"/>
          <w:lang w:val="hr-HR"/>
        </w:rPr>
        <w:t>b</w:t>
      </w:r>
      <w:r w:rsidRPr="00172A4E">
        <w:rPr>
          <w:sz w:val="22"/>
          <w:szCs w:val="22"/>
          <w:lang w:val="hr-HR"/>
        </w:rPr>
        <w:t>p=0,015</w:t>
      </w:r>
    </w:p>
    <w:p w14:paraId="44B6C265" w14:textId="77777777" w:rsidR="0083687B" w:rsidRPr="00172A4E" w:rsidRDefault="0083687B" w:rsidP="00EB3350">
      <w:pPr>
        <w:widowControl w:val="0"/>
        <w:autoSpaceDE w:val="0"/>
        <w:autoSpaceDN w:val="0"/>
        <w:adjustRightInd w:val="0"/>
        <w:ind w:left="567" w:hanging="567"/>
        <w:jc w:val="both"/>
        <w:rPr>
          <w:sz w:val="22"/>
          <w:szCs w:val="22"/>
          <w:lang w:val="hr-HR"/>
        </w:rPr>
      </w:pPr>
      <w:r w:rsidRPr="00172A4E">
        <w:rPr>
          <w:sz w:val="22"/>
          <w:szCs w:val="22"/>
          <w:vertAlign w:val="superscript"/>
          <w:lang w:val="hr-HR"/>
        </w:rPr>
        <w:t>c</w:t>
      </w:r>
      <w:r w:rsidRPr="00172A4E">
        <w:rPr>
          <w:sz w:val="22"/>
          <w:szCs w:val="22"/>
          <w:lang w:val="hr-HR"/>
        </w:rPr>
        <w:t>p=0,031</w:t>
      </w:r>
    </w:p>
    <w:p w14:paraId="324C7987" w14:textId="77777777" w:rsidR="0083687B" w:rsidRPr="00172A4E" w:rsidRDefault="0083687B" w:rsidP="00730D96">
      <w:pPr>
        <w:widowControl w:val="0"/>
        <w:autoSpaceDE w:val="0"/>
        <w:autoSpaceDN w:val="0"/>
        <w:adjustRightInd w:val="0"/>
        <w:ind w:left="567" w:hanging="567"/>
        <w:jc w:val="both"/>
        <w:rPr>
          <w:sz w:val="22"/>
          <w:szCs w:val="22"/>
          <w:lang w:val="hr-HR"/>
        </w:rPr>
      </w:pPr>
    </w:p>
    <w:p w14:paraId="3ADF0BE8" w14:textId="547F7291" w:rsidR="0083687B" w:rsidRPr="00172A4E" w:rsidRDefault="0083687B">
      <w:pPr>
        <w:widowControl w:val="0"/>
        <w:autoSpaceDE w:val="0"/>
        <w:autoSpaceDN w:val="0"/>
        <w:adjustRightInd w:val="0"/>
        <w:jc w:val="both"/>
        <w:rPr>
          <w:sz w:val="22"/>
          <w:szCs w:val="22"/>
          <w:lang w:val="hr-HR"/>
        </w:rPr>
      </w:pPr>
      <w:r w:rsidRPr="00172A4E">
        <w:rPr>
          <w:sz w:val="22"/>
          <w:szCs w:val="22"/>
          <w:lang w:val="hr-HR"/>
        </w:rPr>
        <w:t xml:space="preserve">Među </w:t>
      </w:r>
      <w:r w:rsidR="000035A4">
        <w:rPr>
          <w:sz w:val="22"/>
          <w:szCs w:val="22"/>
          <w:lang w:val="hr-HR"/>
        </w:rPr>
        <w:t>pacijentima</w:t>
      </w:r>
      <w:r w:rsidR="000035A4" w:rsidRPr="00172A4E">
        <w:rPr>
          <w:sz w:val="22"/>
          <w:szCs w:val="22"/>
          <w:lang w:val="hr-HR"/>
        </w:rPr>
        <w:t xml:space="preserve"> </w:t>
      </w:r>
      <w:r w:rsidRPr="00172A4E">
        <w:rPr>
          <w:sz w:val="22"/>
          <w:szCs w:val="22"/>
          <w:lang w:val="hr-HR"/>
        </w:rPr>
        <w:t>koji su imali klinički odgovor u Sedmici 16 (n=144), pedijatrijski odgovori ACR 30/50/70/90 održali su se i do šest godina u otvorenom produžetku ispitivanja u bolesnika koji su uzimali lijek Humira tokom cijelog ispitivanja. Ukupno je 19 ispitanika, od kojih 11 iz grupe koja je na početku ispitivanja bila u dobi od 4 do 12 godina i 8 iz grupe koja je na početku ispitivanja bila u dobi od 13 do 17 godina, liječeno 6 ili više godina.</w:t>
      </w:r>
    </w:p>
    <w:p w14:paraId="19D89149" w14:textId="77777777" w:rsidR="0083687B" w:rsidRPr="00172A4E" w:rsidRDefault="0083687B">
      <w:pPr>
        <w:widowControl w:val="0"/>
        <w:autoSpaceDE w:val="0"/>
        <w:autoSpaceDN w:val="0"/>
        <w:adjustRightInd w:val="0"/>
        <w:jc w:val="both"/>
        <w:rPr>
          <w:sz w:val="22"/>
          <w:szCs w:val="22"/>
          <w:lang w:val="hr-HR"/>
        </w:rPr>
      </w:pPr>
    </w:p>
    <w:p w14:paraId="244A545E" w14:textId="16C5F569" w:rsidR="0083687B" w:rsidRPr="00172A4E" w:rsidRDefault="0083687B">
      <w:pPr>
        <w:widowControl w:val="0"/>
        <w:autoSpaceDE w:val="0"/>
        <w:autoSpaceDN w:val="0"/>
        <w:adjustRightInd w:val="0"/>
        <w:jc w:val="both"/>
        <w:rPr>
          <w:sz w:val="22"/>
          <w:szCs w:val="22"/>
          <w:lang w:val="hr-HR"/>
        </w:rPr>
      </w:pPr>
      <w:r w:rsidRPr="00172A4E">
        <w:rPr>
          <w:sz w:val="22"/>
          <w:szCs w:val="22"/>
          <w:lang w:val="hr-HR"/>
        </w:rPr>
        <w:t xml:space="preserve">Ukupni odgovori bili su uglavnom bolji i manje je </w:t>
      </w:r>
      <w:r w:rsidR="000035A4">
        <w:rPr>
          <w:sz w:val="22"/>
          <w:szCs w:val="22"/>
          <w:lang w:val="hr-HR"/>
        </w:rPr>
        <w:t>pacijenat</w:t>
      </w:r>
      <w:r w:rsidRPr="00172A4E">
        <w:rPr>
          <w:sz w:val="22"/>
          <w:szCs w:val="22"/>
          <w:lang w:val="hr-HR"/>
        </w:rPr>
        <w:t>a razvilo antitijela kada s</w:t>
      </w:r>
      <w:r w:rsidR="000035A4">
        <w:rPr>
          <w:sz w:val="22"/>
          <w:szCs w:val="22"/>
          <w:lang w:val="hr-HR"/>
        </w:rPr>
        <w:t>u</w:t>
      </w:r>
      <w:r w:rsidRPr="00172A4E">
        <w:rPr>
          <w:sz w:val="22"/>
          <w:szCs w:val="22"/>
          <w:lang w:val="hr-HR"/>
        </w:rPr>
        <w:t xml:space="preserve"> primali kombinovanu terapiju lijekom Humira i metotreksatom u odnosu na monoterapiju lijekom Humira. Uzimajući to u obzir, preporučuje se da se Humira daje u kombinaciji sa metotreksatom, a monoterapija samo u onih bolesnika u kojih primjena metotreksata nije prikladna (vidjeti dio 4.2).</w:t>
      </w:r>
    </w:p>
    <w:p w14:paraId="5293727D" w14:textId="77777777" w:rsidR="0083687B" w:rsidRPr="00172A4E" w:rsidRDefault="0083687B" w:rsidP="00EB3350">
      <w:pPr>
        <w:widowControl w:val="0"/>
        <w:autoSpaceDE w:val="0"/>
        <w:autoSpaceDN w:val="0"/>
        <w:adjustRightInd w:val="0"/>
        <w:jc w:val="both"/>
        <w:rPr>
          <w:sz w:val="22"/>
          <w:szCs w:val="22"/>
          <w:lang w:val="hr-HR"/>
        </w:rPr>
      </w:pPr>
    </w:p>
    <w:p w14:paraId="7D9C052A" w14:textId="77777777" w:rsidR="0083687B" w:rsidRPr="00172A4E" w:rsidRDefault="0083687B" w:rsidP="00EB3350">
      <w:pPr>
        <w:widowControl w:val="0"/>
        <w:autoSpaceDE w:val="0"/>
        <w:autoSpaceDN w:val="0"/>
        <w:adjustRightInd w:val="0"/>
        <w:jc w:val="both"/>
        <w:rPr>
          <w:sz w:val="22"/>
          <w:szCs w:val="22"/>
          <w:lang w:val="hr-HR"/>
        </w:rPr>
      </w:pPr>
      <w:r w:rsidRPr="00172A4E">
        <w:rPr>
          <w:sz w:val="22"/>
          <w:szCs w:val="22"/>
          <w:lang w:val="hr-HR"/>
        </w:rPr>
        <w:t>pJIA II</w:t>
      </w:r>
    </w:p>
    <w:p w14:paraId="657F21B4" w14:textId="77777777" w:rsidR="0083687B" w:rsidRPr="00172A4E" w:rsidRDefault="0083687B" w:rsidP="00EB3350">
      <w:pPr>
        <w:widowControl w:val="0"/>
        <w:autoSpaceDE w:val="0"/>
        <w:autoSpaceDN w:val="0"/>
        <w:adjustRightInd w:val="0"/>
        <w:jc w:val="both"/>
        <w:rPr>
          <w:sz w:val="22"/>
          <w:szCs w:val="22"/>
          <w:lang w:val="hr-HR"/>
        </w:rPr>
      </w:pPr>
    </w:p>
    <w:p w14:paraId="593CE38F" w14:textId="3D27AA9D" w:rsidR="0083687B" w:rsidRPr="00172A4E" w:rsidRDefault="0083687B" w:rsidP="00730D96">
      <w:pPr>
        <w:widowControl w:val="0"/>
        <w:autoSpaceDE w:val="0"/>
        <w:autoSpaceDN w:val="0"/>
        <w:adjustRightInd w:val="0"/>
        <w:jc w:val="both"/>
        <w:rPr>
          <w:sz w:val="22"/>
          <w:szCs w:val="22"/>
          <w:lang w:val="hr-HR"/>
        </w:rPr>
      </w:pPr>
      <w:r w:rsidRPr="00172A4E">
        <w:rPr>
          <w:sz w:val="22"/>
          <w:szCs w:val="22"/>
          <w:lang w:val="hr-HR"/>
        </w:rPr>
        <w:t>Sigurnost i efikasnost lijeka Humira ocijenjeni su u otvorenom, multicentričnom ispitivanju koje je uključivalo 32 djece (</w:t>
      </w:r>
      <w:r w:rsidR="000035A4" w:rsidRPr="00ED776D">
        <w:rPr>
          <w:sz w:val="22"/>
          <w:szCs w:val="22"/>
          <w:lang w:val="hr-HR"/>
        </w:rPr>
        <w:t xml:space="preserve">uzrasta </w:t>
      </w:r>
      <w:r w:rsidRPr="00172A4E">
        <w:rPr>
          <w:sz w:val="22"/>
          <w:szCs w:val="22"/>
          <w:lang w:val="hr-HR"/>
        </w:rPr>
        <w:t xml:space="preserve">od 2 do manje od 4 godine ili </w:t>
      </w:r>
      <w:r w:rsidR="000035A4" w:rsidRPr="00ED776D">
        <w:rPr>
          <w:sz w:val="22"/>
          <w:szCs w:val="22"/>
          <w:lang w:val="hr-HR"/>
        </w:rPr>
        <w:t xml:space="preserve">uzrasta </w:t>
      </w:r>
      <w:r w:rsidRPr="00172A4E">
        <w:rPr>
          <w:sz w:val="22"/>
          <w:szCs w:val="22"/>
          <w:lang w:val="hr-HR"/>
        </w:rPr>
        <w:t xml:space="preserve">od 4 godine i više i tjelesne </w:t>
      </w:r>
      <w:r w:rsidR="000035A4" w:rsidRPr="00ED776D">
        <w:rPr>
          <w:sz w:val="22"/>
          <w:szCs w:val="22"/>
          <w:lang w:val="hr-HR"/>
        </w:rPr>
        <w:t>mase</w:t>
      </w:r>
      <w:r w:rsidRPr="00172A4E">
        <w:rPr>
          <w:sz w:val="22"/>
          <w:szCs w:val="22"/>
          <w:lang w:val="hr-HR"/>
        </w:rPr>
        <w:t xml:space="preserve"> manje od 15 kg) sa umjerenim do teškim aktivnim poliartikularnim JIA. Bolesnici su primali 24 mg/m</w:t>
      </w:r>
      <w:r w:rsidRPr="00172A4E">
        <w:rPr>
          <w:sz w:val="22"/>
          <w:szCs w:val="22"/>
          <w:vertAlign w:val="superscript"/>
          <w:lang w:val="hr-HR"/>
        </w:rPr>
        <w:t>2</w:t>
      </w:r>
      <w:r w:rsidRPr="00172A4E">
        <w:rPr>
          <w:sz w:val="22"/>
          <w:szCs w:val="22"/>
          <w:lang w:val="hr-HR"/>
        </w:rPr>
        <w:t xml:space="preserve"> tjelesne površine lijeka Humira, do maksimalne doze od 20 mg, svake druge sedmice kao pojedinačnu dozu s.c. injekcijom kroz najmanje 24 sedmice. Tokom ispitivanja, većina ispitanika je istovremeno uzimala metotreksat, a nekoliko je prijavilo primjenu kortikosteroida ili NSAIL-a.</w:t>
      </w:r>
    </w:p>
    <w:p w14:paraId="0FF2D7BE" w14:textId="77777777" w:rsidR="0083687B" w:rsidRPr="00172A4E" w:rsidRDefault="0083687B" w:rsidP="00EB3350">
      <w:pPr>
        <w:widowControl w:val="0"/>
        <w:autoSpaceDE w:val="0"/>
        <w:autoSpaceDN w:val="0"/>
        <w:adjustRightInd w:val="0"/>
        <w:jc w:val="both"/>
        <w:rPr>
          <w:sz w:val="22"/>
          <w:szCs w:val="22"/>
          <w:lang w:val="hr-HR"/>
        </w:rPr>
      </w:pPr>
    </w:p>
    <w:p w14:paraId="724B51FD" w14:textId="6160F4DA" w:rsidR="0083687B" w:rsidRPr="00172A4E" w:rsidRDefault="0083687B" w:rsidP="00730D96">
      <w:pPr>
        <w:tabs>
          <w:tab w:val="left" w:pos="562"/>
        </w:tabs>
        <w:suppressAutoHyphens/>
        <w:jc w:val="both"/>
        <w:rPr>
          <w:sz w:val="22"/>
          <w:szCs w:val="22"/>
          <w:lang w:val="hr-HR"/>
        </w:rPr>
      </w:pPr>
      <w:r w:rsidRPr="00172A4E">
        <w:rPr>
          <w:sz w:val="22"/>
          <w:szCs w:val="22"/>
          <w:lang w:val="hr-HR"/>
        </w:rPr>
        <w:t xml:space="preserve">U Sedmici 12 i Sedmici 24, pedijatrijski odgovor ACR30 bio je 93,5%, odnosno 90,0%, što je utvrđeno na osnovu zabilježenih podataka. Udio ispitanika sa pedijatrijskim odgovorom ACR 50/70/90 u </w:t>
      </w:r>
      <w:r w:rsidR="003F3DE3">
        <w:rPr>
          <w:sz w:val="22"/>
          <w:szCs w:val="22"/>
          <w:lang w:val="hr-HR"/>
        </w:rPr>
        <w:t>12. i 24. nedjelji</w:t>
      </w:r>
      <w:r w:rsidRPr="00172A4E">
        <w:rPr>
          <w:sz w:val="22"/>
          <w:szCs w:val="22"/>
          <w:lang w:val="hr-HR"/>
        </w:rPr>
        <w:t xml:space="preserve"> bio je 90,3%/61,3%/38,7%, odnosno 83,3%/73,3%/36,7%. Među onima koji su odgovorili na terapiju (pedijatrijski odgovor ACR 30) </w:t>
      </w:r>
      <w:r w:rsidR="003F3DE3">
        <w:rPr>
          <w:sz w:val="22"/>
          <w:szCs w:val="22"/>
          <w:lang w:val="hr-HR"/>
        </w:rPr>
        <w:t>u 24. nedjelji</w:t>
      </w:r>
      <w:r w:rsidRPr="00172A4E">
        <w:rPr>
          <w:sz w:val="22"/>
          <w:szCs w:val="22"/>
          <w:lang w:val="hr-HR"/>
        </w:rPr>
        <w:t xml:space="preserve"> (n=27 od 30 bolesnika), pedijatrij</w:t>
      </w:r>
      <w:r w:rsidR="003F3DE3">
        <w:rPr>
          <w:sz w:val="22"/>
          <w:szCs w:val="22"/>
          <w:lang w:val="hr-HR"/>
        </w:rPr>
        <w:t xml:space="preserve">ski </w:t>
      </w:r>
      <w:r w:rsidRPr="00172A4E">
        <w:rPr>
          <w:sz w:val="22"/>
          <w:szCs w:val="22"/>
          <w:lang w:val="hr-HR"/>
        </w:rPr>
        <w:t xml:space="preserve">odgovori </w:t>
      </w:r>
      <w:r w:rsidRPr="00172A4E">
        <w:rPr>
          <w:sz w:val="22"/>
          <w:szCs w:val="22"/>
          <w:lang w:val="hr-HR"/>
        </w:rPr>
        <w:lastRenderedPageBreak/>
        <w:t xml:space="preserve">ACR 30 održali su se do 60 </w:t>
      </w:r>
      <w:r w:rsidR="003F3DE3">
        <w:rPr>
          <w:sz w:val="22"/>
          <w:szCs w:val="22"/>
          <w:lang w:val="hr-HR"/>
        </w:rPr>
        <w:t xml:space="preserve">nedjelja </w:t>
      </w:r>
      <w:r w:rsidRPr="00172A4E">
        <w:rPr>
          <w:sz w:val="22"/>
          <w:szCs w:val="22"/>
          <w:lang w:val="hr-HR"/>
        </w:rPr>
        <w:t xml:space="preserve">u otvorenom produžetku ispitivanja u bolesnika koji su primali lijek Humira </w:t>
      </w:r>
      <w:r w:rsidR="003F3DE3">
        <w:rPr>
          <w:sz w:val="22"/>
          <w:szCs w:val="22"/>
          <w:lang w:val="hr-HR"/>
        </w:rPr>
        <w:t>tokom ovog vremenskog perioda</w:t>
      </w:r>
      <w:r w:rsidRPr="00172A4E">
        <w:rPr>
          <w:sz w:val="22"/>
          <w:szCs w:val="22"/>
          <w:lang w:val="hr-HR"/>
        </w:rPr>
        <w:t xml:space="preserve">. Ukupno, 20 ispitanika je liječeno 60 </w:t>
      </w:r>
      <w:r w:rsidR="006C496A">
        <w:rPr>
          <w:sz w:val="22"/>
          <w:szCs w:val="22"/>
          <w:lang w:val="hr-HR"/>
        </w:rPr>
        <w:t>nedjelja</w:t>
      </w:r>
      <w:r w:rsidRPr="00172A4E">
        <w:rPr>
          <w:sz w:val="22"/>
          <w:szCs w:val="22"/>
          <w:lang w:val="hr-HR"/>
        </w:rPr>
        <w:t xml:space="preserve"> ili duže. </w:t>
      </w:r>
    </w:p>
    <w:p w14:paraId="4E953911" w14:textId="77777777" w:rsidR="0083687B" w:rsidRPr="0083687B" w:rsidRDefault="0083687B" w:rsidP="00EB3350">
      <w:pPr>
        <w:widowControl w:val="0"/>
        <w:autoSpaceDE w:val="0"/>
        <w:autoSpaceDN w:val="0"/>
        <w:adjustRightInd w:val="0"/>
        <w:jc w:val="both"/>
        <w:rPr>
          <w:rFonts w:ascii="Microsoft Sans Serif" w:hAnsi="Microsoft Sans Serif" w:cs="Microsoft Sans Serif"/>
          <w:sz w:val="20"/>
          <w:szCs w:val="20"/>
          <w:lang w:val="hr-HR"/>
        </w:rPr>
      </w:pPr>
    </w:p>
    <w:p w14:paraId="4DBB1937" w14:textId="77777777" w:rsidR="0083687B" w:rsidRPr="00172A4E" w:rsidRDefault="0083687B" w:rsidP="00EB3350">
      <w:pPr>
        <w:widowControl w:val="0"/>
        <w:autoSpaceDE w:val="0"/>
        <w:autoSpaceDN w:val="0"/>
        <w:adjustRightInd w:val="0"/>
        <w:jc w:val="both"/>
        <w:rPr>
          <w:i/>
          <w:sz w:val="22"/>
          <w:szCs w:val="22"/>
          <w:u w:val="single"/>
          <w:lang w:val="hr-HR"/>
        </w:rPr>
      </w:pPr>
      <w:r w:rsidRPr="00172A4E">
        <w:rPr>
          <w:i/>
          <w:sz w:val="22"/>
          <w:szCs w:val="22"/>
          <w:u w:val="single"/>
          <w:lang w:val="hr-HR"/>
        </w:rPr>
        <w:t>Artritis povezan sa entezitisom</w:t>
      </w:r>
    </w:p>
    <w:p w14:paraId="1DC33D3B" w14:textId="77777777" w:rsidR="0083687B" w:rsidRPr="00172A4E" w:rsidRDefault="0083687B" w:rsidP="00EB3350">
      <w:pPr>
        <w:widowControl w:val="0"/>
        <w:autoSpaceDE w:val="0"/>
        <w:autoSpaceDN w:val="0"/>
        <w:adjustRightInd w:val="0"/>
        <w:jc w:val="both"/>
        <w:rPr>
          <w:sz w:val="22"/>
          <w:szCs w:val="22"/>
          <w:lang w:val="hr-HR"/>
        </w:rPr>
      </w:pPr>
    </w:p>
    <w:p w14:paraId="6610C9A3" w14:textId="298B4DA0" w:rsidR="0083687B" w:rsidRPr="00172A4E" w:rsidRDefault="0083687B" w:rsidP="00730D96">
      <w:pPr>
        <w:widowControl w:val="0"/>
        <w:autoSpaceDE w:val="0"/>
        <w:autoSpaceDN w:val="0"/>
        <w:adjustRightInd w:val="0"/>
        <w:jc w:val="both"/>
        <w:rPr>
          <w:sz w:val="22"/>
          <w:szCs w:val="22"/>
          <w:lang w:val="hr-HR"/>
        </w:rPr>
      </w:pPr>
      <w:r w:rsidRPr="00172A4E">
        <w:rPr>
          <w:sz w:val="22"/>
          <w:szCs w:val="22"/>
          <w:lang w:val="hr-HR"/>
        </w:rPr>
        <w:t>Sigurnost i efikasnost lijeka Humira ocijenjeni su u multicentričnom, randomiz</w:t>
      </w:r>
      <w:r w:rsidR="00E23182">
        <w:rPr>
          <w:sz w:val="22"/>
          <w:szCs w:val="22"/>
          <w:lang w:val="hr-HR"/>
        </w:rPr>
        <w:t>ovanom</w:t>
      </w:r>
      <w:r w:rsidRPr="00172A4E">
        <w:rPr>
          <w:sz w:val="22"/>
          <w:szCs w:val="22"/>
          <w:lang w:val="hr-HR"/>
        </w:rPr>
        <w:t xml:space="preserve">, dvostruko-slijepom ispitivanju koje je uključivalo 46 pedijatrijskih bolesnika (u dobi od 6 do 17 godina) sa umjerenim artritisom povezanim sa entezitisom. </w:t>
      </w:r>
      <w:r w:rsidR="0052437C">
        <w:rPr>
          <w:sz w:val="22"/>
          <w:szCs w:val="22"/>
          <w:lang w:val="hr-HR"/>
        </w:rPr>
        <w:t>Pacijenti</w:t>
      </w:r>
      <w:r w:rsidR="0052437C" w:rsidRPr="00172A4E">
        <w:rPr>
          <w:sz w:val="22"/>
          <w:szCs w:val="22"/>
          <w:lang w:val="hr-HR"/>
        </w:rPr>
        <w:t xml:space="preserve"> </w:t>
      </w:r>
      <w:r w:rsidRPr="00172A4E">
        <w:rPr>
          <w:sz w:val="22"/>
          <w:szCs w:val="22"/>
          <w:lang w:val="hr-HR"/>
        </w:rPr>
        <w:t>su bili randomiz</w:t>
      </w:r>
      <w:r w:rsidR="00DE6ADF">
        <w:rPr>
          <w:sz w:val="22"/>
          <w:szCs w:val="22"/>
          <w:lang w:val="hr-HR"/>
        </w:rPr>
        <w:t xml:space="preserve">ovani </w:t>
      </w:r>
      <w:r w:rsidRPr="00172A4E">
        <w:rPr>
          <w:sz w:val="22"/>
          <w:szCs w:val="22"/>
          <w:lang w:val="hr-HR"/>
        </w:rPr>
        <w:t>i primali su ili 24 mg/m</w:t>
      </w:r>
      <w:r w:rsidRPr="00172A4E">
        <w:rPr>
          <w:sz w:val="22"/>
          <w:szCs w:val="22"/>
          <w:vertAlign w:val="superscript"/>
          <w:lang w:val="hr-HR"/>
        </w:rPr>
        <w:t>2</w:t>
      </w:r>
      <w:r w:rsidRPr="00172A4E">
        <w:rPr>
          <w:sz w:val="22"/>
          <w:szCs w:val="22"/>
          <w:lang w:val="hr-HR"/>
        </w:rPr>
        <w:t xml:space="preserve"> tjelesne površine lijeka Humira do maksimalne doze od 40 mg ili placebo svake druge </w:t>
      </w:r>
      <w:r w:rsidR="00DE6ADF">
        <w:rPr>
          <w:sz w:val="22"/>
          <w:szCs w:val="22"/>
          <w:lang w:val="hr-HR"/>
        </w:rPr>
        <w:t>nedjelje</w:t>
      </w:r>
      <w:r w:rsidR="00DE6ADF" w:rsidRPr="00172A4E">
        <w:rPr>
          <w:sz w:val="22"/>
          <w:szCs w:val="22"/>
          <w:lang w:val="hr-HR"/>
        </w:rPr>
        <w:t xml:space="preserve"> </w:t>
      </w:r>
      <w:r w:rsidRPr="00172A4E">
        <w:rPr>
          <w:sz w:val="22"/>
          <w:szCs w:val="22"/>
          <w:lang w:val="hr-HR"/>
        </w:rPr>
        <w:t xml:space="preserve">tokom 12 </w:t>
      </w:r>
      <w:r w:rsidR="00DE6ADF">
        <w:rPr>
          <w:sz w:val="22"/>
          <w:szCs w:val="22"/>
          <w:lang w:val="hr-HR"/>
        </w:rPr>
        <w:t>nedjelja</w:t>
      </w:r>
      <w:r w:rsidRPr="00172A4E">
        <w:rPr>
          <w:sz w:val="22"/>
          <w:szCs w:val="22"/>
          <w:lang w:val="hr-HR"/>
        </w:rPr>
        <w:t xml:space="preserve">. Nakon dvostruko-slijepog perioda uslijedilo je otvoreno razdoblje tokom kojeg su </w:t>
      </w:r>
      <w:r w:rsidR="00DE6ADF">
        <w:rPr>
          <w:sz w:val="22"/>
          <w:szCs w:val="22"/>
          <w:lang w:val="hr-HR"/>
        </w:rPr>
        <w:t>pacijenti</w:t>
      </w:r>
      <w:r w:rsidR="00DE6ADF" w:rsidRPr="00172A4E">
        <w:rPr>
          <w:sz w:val="22"/>
          <w:szCs w:val="22"/>
          <w:lang w:val="hr-HR"/>
        </w:rPr>
        <w:t xml:space="preserve"> </w:t>
      </w:r>
      <w:r w:rsidRPr="00172A4E">
        <w:rPr>
          <w:sz w:val="22"/>
          <w:szCs w:val="22"/>
          <w:lang w:val="hr-HR"/>
        </w:rPr>
        <w:t>primali 24 mg/m</w:t>
      </w:r>
      <w:r w:rsidRPr="00172A4E">
        <w:rPr>
          <w:sz w:val="22"/>
          <w:szCs w:val="22"/>
          <w:vertAlign w:val="superscript"/>
          <w:lang w:val="hr-HR"/>
        </w:rPr>
        <w:t>2</w:t>
      </w:r>
      <w:r w:rsidRPr="00172A4E">
        <w:rPr>
          <w:sz w:val="22"/>
          <w:szCs w:val="22"/>
          <w:lang w:val="hr-HR"/>
        </w:rPr>
        <w:t xml:space="preserve"> tjelesne površine lijeka Humira do maksimalne doze od 40 mg svake druge </w:t>
      </w:r>
      <w:r w:rsidR="0052437C">
        <w:rPr>
          <w:sz w:val="22"/>
          <w:szCs w:val="22"/>
          <w:lang w:val="hr-HR"/>
        </w:rPr>
        <w:t xml:space="preserve">nedjelje </w:t>
      </w:r>
      <w:r w:rsidRPr="00172A4E">
        <w:rPr>
          <w:sz w:val="22"/>
          <w:szCs w:val="22"/>
          <w:lang w:val="hr-HR"/>
        </w:rPr>
        <w:t xml:space="preserve">supkutano tokom najviše 192 dodatne </w:t>
      </w:r>
      <w:r w:rsidR="00DE6ADF">
        <w:rPr>
          <w:sz w:val="22"/>
          <w:szCs w:val="22"/>
          <w:lang w:val="hr-HR"/>
        </w:rPr>
        <w:t>nedjelje</w:t>
      </w:r>
      <w:r w:rsidRPr="00172A4E">
        <w:rPr>
          <w:sz w:val="22"/>
          <w:szCs w:val="22"/>
          <w:lang w:val="hr-HR"/>
        </w:rPr>
        <w:t xml:space="preserve">. Primarna mjera ishoda bio je procenat promjene početne vrijednosti do </w:t>
      </w:r>
      <w:r w:rsidR="00DE6ADF">
        <w:rPr>
          <w:sz w:val="22"/>
          <w:szCs w:val="22"/>
          <w:lang w:val="hr-HR"/>
        </w:rPr>
        <w:t>12 nedjelje</w:t>
      </w:r>
      <w:r w:rsidRPr="00172A4E">
        <w:rPr>
          <w:sz w:val="22"/>
          <w:szCs w:val="22"/>
          <w:lang w:val="hr-HR"/>
        </w:rPr>
        <w:t xml:space="preserve"> u broju aktivnih zglobova</w:t>
      </w:r>
      <w:r w:rsidR="00DE6ADF">
        <w:rPr>
          <w:sz w:val="22"/>
          <w:szCs w:val="22"/>
          <w:lang w:val="hr-HR"/>
        </w:rPr>
        <w:t xml:space="preserve"> zahvaćenih</w:t>
      </w:r>
      <w:r w:rsidRPr="00172A4E">
        <w:rPr>
          <w:sz w:val="22"/>
          <w:szCs w:val="22"/>
          <w:lang w:val="hr-HR"/>
        </w:rPr>
        <w:t xml:space="preserve"> artritisom (oticanje koje nije posljedica deformacije ili zglobovi sa gubitkom pokretljivosti</w:t>
      </w:r>
      <w:r w:rsidRPr="00172A4E">
        <w:rPr>
          <w:color w:val="FF0000"/>
          <w:sz w:val="22"/>
          <w:szCs w:val="22"/>
          <w:lang w:val="hr-HR"/>
        </w:rPr>
        <w:t xml:space="preserve"> </w:t>
      </w:r>
      <w:r w:rsidRPr="00172A4E">
        <w:rPr>
          <w:sz w:val="22"/>
          <w:szCs w:val="22"/>
          <w:lang w:val="hr-HR"/>
        </w:rPr>
        <w:t xml:space="preserve">uz bol i/ili osjetljivost), koji je postignut uz srednji procenat smanjenja od -62,6% (medijan postotka promjene -88,9%) </w:t>
      </w:r>
      <w:r w:rsidR="00DE6ADF">
        <w:rPr>
          <w:sz w:val="22"/>
          <w:szCs w:val="22"/>
          <w:lang w:val="hr-HR"/>
        </w:rPr>
        <w:t>kod pacijenata</w:t>
      </w:r>
      <w:r w:rsidRPr="00172A4E">
        <w:rPr>
          <w:sz w:val="22"/>
          <w:szCs w:val="22"/>
          <w:lang w:val="hr-HR"/>
        </w:rPr>
        <w:t xml:space="preserve"> u grupi liječenoj lijekom Humira u poređenju sa -11,6% (medijan postotka promjene -50,0%) </w:t>
      </w:r>
      <w:r w:rsidR="00DE6ADF">
        <w:rPr>
          <w:sz w:val="22"/>
          <w:szCs w:val="22"/>
          <w:lang w:val="hr-HR"/>
        </w:rPr>
        <w:t>kod pacijenata</w:t>
      </w:r>
      <w:r w:rsidRPr="00172A4E">
        <w:rPr>
          <w:sz w:val="22"/>
          <w:szCs w:val="22"/>
          <w:lang w:val="hr-HR"/>
        </w:rPr>
        <w:t xml:space="preserve"> u grupi koja je primala placebo.</w:t>
      </w:r>
      <w:r w:rsidRPr="00172A4E">
        <w:rPr>
          <w:color w:val="C00000"/>
          <w:sz w:val="22"/>
          <w:szCs w:val="22"/>
          <w:lang w:val="hr-HR"/>
        </w:rPr>
        <w:t xml:space="preserve"> </w:t>
      </w:r>
      <w:r w:rsidRPr="00172A4E">
        <w:rPr>
          <w:sz w:val="22"/>
          <w:szCs w:val="22"/>
          <w:lang w:val="hr-HR"/>
        </w:rPr>
        <w:t xml:space="preserve">Poboljšanje rezultata u broju aktivnih zglobova zahvaćenih artritisom održalo se tokom otvorenog perioda kroz 156 </w:t>
      </w:r>
      <w:r w:rsidR="00DE6ADF">
        <w:rPr>
          <w:sz w:val="22"/>
          <w:szCs w:val="22"/>
          <w:lang w:val="hr-HR"/>
        </w:rPr>
        <w:t>nedjelja</w:t>
      </w:r>
      <w:r w:rsidR="00DE6ADF" w:rsidRPr="00172A4E">
        <w:rPr>
          <w:sz w:val="22"/>
          <w:szCs w:val="22"/>
          <w:lang w:val="hr-HR"/>
        </w:rPr>
        <w:t xml:space="preserve"> </w:t>
      </w:r>
      <w:r w:rsidRPr="00172A4E">
        <w:rPr>
          <w:sz w:val="22"/>
          <w:szCs w:val="22"/>
          <w:lang w:val="hr-HR"/>
        </w:rPr>
        <w:t xml:space="preserve">ispitivanja za 26 od 31 (84%) </w:t>
      </w:r>
      <w:r w:rsidR="00DE6ADF">
        <w:rPr>
          <w:sz w:val="22"/>
          <w:szCs w:val="22"/>
          <w:lang w:val="hr-HR"/>
        </w:rPr>
        <w:t>pacijenata</w:t>
      </w:r>
      <w:r w:rsidR="00DE6ADF" w:rsidRPr="00172A4E">
        <w:rPr>
          <w:sz w:val="22"/>
          <w:szCs w:val="22"/>
          <w:lang w:val="hr-HR"/>
        </w:rPr>
        <w:t xml:space="preserve"> </w:t>
      </w:r>
      <w:r w:rsidRPr="00172A4E">
        <w:rPr>
          <w:sz w:val="22"/>
          <w:szCs w:val="22"/>
          <w:lang w:val="hr-HR"/>
        </w:rPr>
        <w:t xml:space="preserve">u grupi koja je koristila Humiru koji su ostali u ispitivanju. Iako nije statistički značajno, većina </w:t>
      </w:r>
      <w:r w:rsidR="00DE6ADF">
        <w:rPr>
          <w:sz w:val="22"/>
          <w:szCs w:val="22"/>
          <w:lang w:val="hr-HR"/>
        </w:rPr>
        <w:t>pacijenata</w:t>
      </w:r>
      <w:r w:rsidR="00DE6ADF" w:rsidRPr="00172A4E">
        <w:rPr>
          <w:sz w:val="22"/>
          <w:szCs w:val="22"/>
          <w:lang w:val="hr-HR"/>
        </w:rPr>
        <w:t xml:space="preserve"> </w:t>
      </w:r>
      <w:r w:rsidRPr="00172A4E">
        <w:rPr>
          <w:sz w:val="22"/>
          <w:szCs w:val="22"/>
          <w:lang w:val="hr-HR"/>
        </w:rPr>
        <w:t>pokazala je kliničko poboljšanje sekundarnih mjera ishoda kao što su broj mjesta zahvaćenih entezitisom, broj osjetljivih zglobova, broj otečenih zglobova, pedijatrijski odgovor ACR 50 i pedijatrijski odgovor ACR 70.</w:t>
      </w:r>
    </w:p>
    <w:p w14:paraId="2D145DD0" w14:textId="77777777" w:rsidR="0083687B" w:rsidRPr="0083687B" w:rsidRDefault="0083687B">
      <w:pPr>
        <w:widowControl w:val="0"/>
        <w:autoSpaceDE w:val="0"/>
        <w:autoSpaceDN w:val="0"/>
        <w:adjustRightInd w:val="0"/>
        <w:jc w:val="both"/>
        <w:rPr>
          <w:rFonts w:ascii="Microsoft Sans Serif" w:hAnsi="Microsoft Sans Serif" w:cs="Microsoft Sans Serif"/>
          <w:sz w:val="20"/>
          <w:szCs w:val="20"/>
          <w:lang w:val="hr-HR"/>
        </w:rPr>
      </w:pPr>
    </w:p>
    <w:p w14:paraId="015FC81D" w14:textId="602DB43C" w:rsidR="0083687B" w:rsidRPr="00172A4E" w:rsidRDefault="0083687B" w:rsidP="00EB3350">
      <w:pPr>
        <w:tabs>
          <w:tab w:val="left" w:pos="562"/>
        </w:tabs>
        <w:autoSpaceDE w:val="0"/>
        <w:jc w:val="both"/>
        <w:rPr>
          <w:sz w:val="22"/>
          <w:szCs w:val="22"/>
          <w:lang w:eastAsia="bs-Latn-BA"/>
        </w:rPr>
      </w:pPr>
      <w:r w:rsidRPr="00172A4E">
        <w:rPr>
          <w:i/>
          <w:iCs/>
          <w:sz w:val="22"/>
          <w:szCs w:val="22"/>
          <w:lang w:eastAsia="bs-Latn-BA"/>
        </w:rPr>
        <w:t xml:space="preserve">Plak psorijaza </w:t>
      </w:r>
      <w:r w:rsidR="000105B2" w:rsidRPr="00172A4E">
        <w:rPr>
          <w:i/>
          <w:iCs/>
          <w:sz w:val="22"/>
          <w:szCs w:val="22"/>
          <w:lang w:eastAsia="bs-Latn-BA"/>
        </w:rPr>
        <w:t>kod</w:t>
      </w:r>
      <w:r w:rsidRPr="00172A4E">
        <w:rPr>
          <w:i/>
          <w:iCs/>
          <w:sz w:val="22"/>
          <w:szCs w:val="22"/>
          <w:lang w:eastAsia="bs-Latn-BA"/>
        </w:rPr>
        <w:t xml:space="preserve"> djece</w:t>
      </w:r>
    </w:p>
    <w:p w14:paraId="528CA1F4" w14:textId="6E680965" w:rsidR="0083687B" w:rsidRPr="00172A4E" w:rsidRDefault="0083687B" w:rsidP="00730D96">
      <w:pPr>
        <w:tabs>
          <w:tab w:val="left" w:pos="562"/>
        </w:tabs>
        <w:autoSpaceDE w:val="0"/>
        <w:jc w:val="both"/>
        <w:rPr>
          <w:sz w:val="22"/>
          <w:szCs w:val="22"/>
          <w:lang w:val="hr-HR" w:eastAsia="bs-Latn-BA"/>
        </w:rPr>
      </w:pPr>
      <w:r w:rsidRPr="00172A4E">
        <w:rPr>
          <w:sz w:val="22"/>
          <w:szCs w:val="22"/>
          <w:lang w:eastAsia="bs-Latn-BA"/>
        </w:rPr>
        <w:t>Efikasnost lijeka Humira ocjenjivala se u randomiz</w:t>
      </w:r>
      <w:r w:rsidR="000105B2">
        <w:rPr>
          <w:sz w:val="22"/>
          <w:szCs w:val="22"/>
          <w:lang w:eastAsia="bs-Latn-BA"/>
        </w:rPr>
        <w:t>ovanom</w:t>
      </w:r>
      <w:r w:rsidRPr="00172A4E">
        <w:rPr>
          <w:sz w:val="22"/>
          <w:szCs w:val="22"/>
          <w:lang w:eastAsia="bs-Latn-BA"/>
        </w:rPr>
        <w:t xml:space="preserve">, dvostruko slijepom, kontrolisanom ispitivanju sprovedenom </w:t>
      </w:r>
      <w:r w:rsidR="000105B2">
        <w:rPr>
          <w:sz w:val="22"/>
          <w:szCs w:val="22"/>
          <w:lang w:eastAsia="bs-Latn-BA"/>
        </w:rPr>
        <w:t>kod</w:t>
      </w:r>
      <w:r w:rsidRPr="00172A4E">
        <w:rPr>
          <w:sz w:val="22"/>
          <w:szCs w:val="22"/>
          <w:lang w:eastAsia="bs-Latn-BA"/>
        </w:rPr>
        <w:t xml:space="preserve"> 114 pedijatrijskih </w:t>
      </w:r>
      <w:r w:rsidR="000105B2">
        <w:rPr>
          <w:sz w:val="22"/>
          <w:szCs w:val="22"/>
          <w:lang w:eastAsia="bs-Latn-BA"/>
        </w:rPr>
        <w:t>pacijenata</w:t>
      </w:r>
      <w:r w:rsidRPr="00172A4E">
        <w:rPr>
          <w:sz w:val="22"/>
          <w:szCs w:val="22"/>
          <w:lang w:eastAsia="bs-Latn-BA"/>
        </w:rPr>
        <w:t xml:space="preserve"> </w:t>
      </w:r>
      <w:r w:rsidR="00F56E79">
        <w:rPr>
          <w:sz w:val="22"/>
          <w:szCs w:val="22"/>
          <w:lang w:eastAsia="bs-Latn-BA"/>
        </w:rPr>
        <w:t>starosti</w:t>
      </w:r>
      <w:r w:rsidRPr="00172A4E">
        <w:rPr>
          <w:sz w:val="22"/>
          <w:szCs w:val="22"/>
          <w:lang w:eastAsia="bs-Latn-BA"/>
        </w:rPr>
        <w:t xml:space="preserve"> od 4 ili više godina sa teškom hroni</w:t>
      </w:r>
      <w:r w:rsidRPr="00172A4E">
        <w:rPr>
          <w:sz w:val="22"/>
          <w:szCs w:val="22"/>
          <w:lang w:val="hr-HR" w:eastAsia="bs-Latn-BA"/>
        </w:rPr>
        <w:t>čnom plak psorijazom (koja se definisala kao</w:t>
      </w:r>
      <w:r w:rsidR="004C30D4">
        <w:rPr>
          <w:sz w:val="22"/>
          <w:szCs w:val="22"/>
          <w:lang w:val="hr-HR" w:eastAsia="bs-Latn-BA"/>
        </w:rPr>
        <w:t xml:space="preserve"> rezultat prema opštoj procjeni ljekara</w:t>
      </w:r>
      <w:r w:rsidRPr="00172A4E">
        <w:rPr>
          <w:sz w:val="22"/>
          <w:szCs w:val="22"/>
          <w:lang w:val="hr-HR" w:eastAsia="bs-Latn-BA"/>
        </w:rPr>
        <w:t xml:space="preserve"> </w:t>
      </w:r>
      <w:r w:rsidR="004C30D4">
        <w:rPr>
          <w:sz w:val="22"/>
          <w:szCs w:val="22"/>
          <w:lang w:val="hr-HR" w:eastAsia="bs-Latn-BA"/>
        </w:rPr>
        <w:t>(</w:t>
      </w:r>
      <w:r w:rsidR="004C30D4" w:rsidRPr="004C30D4">
        <w:rPr>
          <w:sz w:val="22"/>
          <w:szCs w:val="22"/>
          <w:lang w:val="hr-HR" w:eastAsia="bs-Latn-BA"/>
        </w:rPr>
        <w:t>engl.</w:t>
      </w:r>
      <w:r w:rsidR="004C30D4">
        <w:rPr>
          <w:sz w:val="22"/>
          <w:szCs w:val="22"/>
          <w:lang w:val="hr-HR" w:eastAsia="bs-Latn-BA"/>
        </w:rPr>
        <w:t xml:space="preserve"> </w:t>
      </w:r>
      <w:r w:rsidR="004C30D4" w:rsidRPr="004C30D4">
        <w:rPr>
          <w:sz w:val="22"/>
          <w:szCs w:val="22"/>
          <w:lang w:val="hr-HR" w:eastAsia="bs-Latn-BA"/>
        </w:rPr>
        <w:t xml:space="preserve"> </w:t>
      </w:r>
      <w:r w:rsidR="004C30D4" w:rsidRPr="00172A4E">
        <w:rPr>
          <w:i/>
          <w:sz w:val="22"/>
          <w:szCs w:val="22"/>
          <w:lang w:val="hr-HR" w:eastAsia="bs-Latn-BA"/>
        </w:rPr>
        <w:t>Physician Global Assessment</w:t>
      </w:r>
      <w:r w:rsidR="004C30D4">
        <w:rPr>
          <w:sz w:val="22"/>
          <w:szCs w:val="22"/>
          <w:lang w:val="hr-HR" w:eastAsia="bs-Latn-BA"/>
        </w:rPr>
        <w:t xml:space="preserve">, </w:t>
      </w:r>
      <w:r w:rsidRPr="00172A4E">
        <w:rPr>
          <w:sz w:val="22"/>
          <w:szCs w:val="22"/>
          <w:lang w:val="hr-HR" w:eastAsia="bs-Latn-BA"/>
        </w:rPr>
        <w:t>PGA</w:t>
      </w:r>
      <w:r w:rsidR="004C30D4">
        <w:rPr>
          <w:sz w:val="22"/>
          <w:szCs w:val="22"/>
          <w:lang w:val="hr-HR" w:eastAsia="bs-Latn-BA"/>
        </w:rPr>
        <w:t>)</w:t>
      </w:r>
      <w:r w:rsidRPr="00172A4E">
        <w:rPr>
          <w:sz w:val="22"/>
          <w:szCs w:val="22"/>
          <w:lang w:val="hr-HR" w:eastAsia="bs-Latn-BA"/>
        </w:rPr>
        <w:t xml:space="preserve"> rezultat od ≥ 4 ili zahvaćenost površine tijela od &gt; 20% ili zahvaćenost površine tijela od &gt; 10% sa vrlo debelim lezijama ili </w:t>
      </w:r>
      <w:r w:rsidR="004C30D4">
        <w:rPr>
          <w:sz w:val="22"/>
          <w:szCs w:val="22"/>
          <w:lang w:val="hr-HR" w:eastAsia="bs-Latn-BA"/>
        </w:rPr>
        <w:t>r</w:t>
      </w:r>
      <w:r w:rsidR="004C30D4" w:rsidRPr="004C30D4">
        <w:rPr>
          <w:sz w:val="22"/>
          <w:szCs w:val="22"/>
          <w:lang w:val="hr-HR" w:eastAsia="bs-Latn-BA"/>
        </w:rPr>
        <w:t>ezultat prema ljestvici za ocjenjivanje zahvaćenosti kože i težine</w:t>
      </w:r>
      <w:r w:rsidR="004C30D4">
        <w:rPr>
          <w:sz w:val="22"/>
          <w:szCs w:val="22"/>
          <w:lang w:val="hr-HR" w:eastAsia="bs-Latn-BA"/>
        </w:rPr>
        <w:t xml:space="preserve"> </w:t>
      </w:r>
      <w:r w:rsidR="004C30D4" w:rsidRPr="004C30D4">
        <w:rPr>
          <w:sz w:val="22"/>
          <w:szCs w:val="22"/>
          <w:lang w:val="hr-HR" w:eastAsia="bs-Latn-BA"/>
        </w:rPr>
        <w:t xml:space="preserve">kliničke slike (engl. </w:t>
      </w:r>
      <w:r w:rsidR="004C30D4" w:rsidRPr="00172A4E">
        <w:rPr>
          <w:i/>
          <w:sz w:val="22"/>
          <w:szCs w:val="22"/>
          <w:lang w:val="hr-HR" w:eastAsia="bs-Latn-BA"/>
        </w:rPr>
        <w:t>Psoriasis Area and Severity Index</w:t>
      </w:r>
      <w:r w:rsidR="004C30D4" w:rsidRPr="004C30D4">
        <w:rPr>
          <w:sz w:val="22"/>
          <w:szCs w:val="22"/>
          <w:lang w:val="hr-HR" w:eastAsia="bs-Latn-BA"/>
        </w:rPr>
        <w:t xml:space="preserve">, PASI) </w:t>
      </w:r>
      <w:r w:rsidRPr="00172A4E">
        <w:rPr>
          <w:sz w:val="22"/>
          <w:szCs w:val="22"/>
          <w:lang w:val="hr-HR" w:eastAsia="bs-Latn-BA"/>
        </w:rPr>
        <w:t xml:space="preserve">od ≥ 20 ili ≥ 10 uz klinički značajnu zahvaćenost lica, genitalija ili šaka/stopala) </w:t>
      </w:r>
      <w:r w:rsidR="000105B2">
        <w:rPr>
          <w:sz w:val="22"/>
          <w:szCs w:val="22"/>
          <w:lang w:val="hr-HR" w:eastAsia="bs-Latn-BA"/>
        </w:rPr>
        <w:t>kod</w:t>
      </w:r>
      <w:r w:rsidRPr="00172A4E">
        <w:rPr>
          <w:sz w:val="22"/>
          <w:szCs w:val="22"/>
          <w:lang w:val="hr-HR" w:eastAsia="bs-Latn-BA"/>
        </w:rPr>
        <w:t xml:space="preserve"> kojih bolest nije bila dovoljno dobro kontrolisana topikalnom terapijom i helioterapijom ili fototerapijom.</w:t>
      </w:r>
    </w:p>
    <w:p w14:paraId="1427760C" w14:textId="044FFA1B" w:rsidR="0083687B" w:rsidRDefault="000105B2" w:rsidP="00EB3350">
      <w:pPr>
        <w:tabs>
          <w:tab w:val="left" w:pos="562"/>
        </w:tabs>
        <w:autoSpaceDE w:val="0"/>
        <w:jc w:val="both"/>
        <w:rPr>
          <w:sz w:val="22"/>
          <w:szCs w:val="22"/>
          <w:lang w:val="hr-HR" w:eastAsia="bs-Latn-BA"/>
        </w:rPr>
      </w:pPr>
      <w:r>
        <w:rPr>
          <w:sz w:val="22"/>
          <w:szCs w:val="22"/>
          <w:lang w:eastAsia="bs-Latn-BA"/>
        </w:rPr>
        <w:t>Pacijenti</w:t>
      </w:r>
      <w:r w:rsidRPr="00172A4E">
        <w:rPr>
          <w:sz w:val="22"/>
          <w:szCs w:val="22"/>
          <w:lang w:eastAsia="bs-Latn-BA"/>
        </w:rPr>
        <w:t xml:space="preserve"> </w:t>
      </w:r>
      <w:r w:rsidR="0083687B" w:rsidRPr="00172A4E">
        <w:rPr>
          <w:sz w:val="22"/>
          <w:szCs w:val="22"/>
          <w:lang w:eastAsia="bs-Latn-BA"/>
        </w:rPr>
        <w:t>su primali lijek Humira u dozi od 0,8 mg/kg svake druge</w:t>
      </w:r>
      <w:r>
        <w:rPr>
          <w:sz w:val="22"/>
          <w:szCs w:val="22"/>
          <w:lang w:eastAsia="bs-Latn-BA"/>
        </w:rPr>
        <w:t xml:space="preserve"> nedjelje</w:t>
      </w:r>
      <w:r w:rsidR="0083687B" w:rsidRPr="00172A4E">
        <w:rPr>
          <w:sz w:val="22"/>
          <w:szCs w:val="22"/>
          <w:lang w:eastAsia="bs-Latn-BA"/>
        </w:rPr>
        <w:t xml:space="preserve"> (do najviše 40 mg), 0,4 mg/kg svake druge </w:t>
      </w:r>
      <w:r>
        <w:rPr>
          <w:sz w:val="22"/>
          <w:szCs w:val="22"/>
          <w:lang w:eastAsia="bs-Latn-BA"/>
        </w:rPr>
        <w:t>nedjelje</w:t>
      </w:r>
      <w:r w:rsidR="0083687B" w:rsidRPr="00172A4E">
        <w:rPr>
          <w:sz w:val="22"/>
          <w:szCs w:val="22"/>
          <w:lang w:eastAsia="bs-Latn-BA"/>
        </w:rPr>
        <w:t xml:space="preserve"> (do najviše 20 mg) ili metotreksat u dozi od 0,1-0,4 mg/kg jednom sedmično (do najviše 25 mg). U </w:t>
      </w:r>
      <w:r>
        <w:rPr>
          <w:sz w:val="22"/>
          <w:szCs w:val="22"/>
          <w:lang w:eastAsia="bs-Latn-BA"/>
        </w:rPr>
        <w:t xml:space="preserve">16. </w:t>
      </w:r>
      <w:proofErr w:type="gramStart"/>
      <w:r>
        <w:rPr>
          <w:sz w:val="22"/>
          <w:szCs w:val="22"/>
          <w:lang w:eastAsia="bs-Latn-BA"/>
        </w:rPr>
        <w:t>nedjelji</w:t>
      </w:r>
      <w:proofErr w:type="gramEnd"/>
      <w:r w:rsidR="0083687B" w:rsidRPr="00172A4E">
        <w:rPr>
          <w:sz w:val="22"/>
          <w:szCs w:val="22"/>
          <w:lang w:eastAsia="bs-Latn-BA"/>
        </w:rPr>
        <w:t xml:space="preserve"> pozitivan odgovor s obzirom na efikasnost (npr. PASI 75) postigao je ve</w:t>
      </w:r>
      <w:r w:rsidR="0083687B" w:rsidRPr="00172A4E">
        <w:rPr>
          <w:sz w:val="22"/>
          <w:szCs w:val="22"/>
          <w:lang w:val="hr-HR" w:eastAsia="bs-Latn-BA"/>
        </w:rPr>
        <w:t xml:space="preserve">ći broj </w:t>
      </w:r>
      <w:r>
        <w:rPr>
          <w:sz w:val="22"/>
          <w:szCs w:val="22"/>
          <w:lang w:val="hr-HR" w:eastAsia="bs-Latn-BA"/>
        </w:rPr>
        <w:t>pacijenata</w:t>
      </w:r>
      <w:r w:rsidRPr="00172A4E">
        <w:rPr>
          <w:sz w:val="22"/>
          <w:szCs w:val="22"/>
          <w:lang w:val="hr-HR" w:eastAsia="bs-Latn-BA"/>
        </w:rPr>
        <w:t xml:space="preserve"> </w:t>
      </w:r>
      <w:r w:rsidR="0083687B" w:rsidRPr="00172A4E">
        <w:rPr>
          <w:sz w:val="22"/>
          <w:szCs w:val="22"/>
          <w:lang w:val="hr-HR" w:eastAsia="bs-Latn-BA"/>
        </w:rPr>
        <w:t>randomiz</w:t>
      </w:r>
      <w:r>
        <w:rPr>
          <w:sz w:val="22"/>
          <w:szCs w:val="22"/>
          <w:lang w:val="hr-HR" w:eastAsia="bs-Latn-BA"/>
        </w:rPr>
        <w:t>ovanih</w:t>
      </w:r>
      <w:r w:rsidR="0083687B" w:rsidRPr="00172A4E">
        <w:rPr>
          <w:sz w:val="22"/>
          <w:szCs w:val="22"/>
          <w:lang w:val="hr-HR" w:eastAsia="bs-Latn-BA"/>
        </w:rPr>
        <w:t xml:space="preserve"> za liječenje lijekom Humira u dozi od</w:t>
      </w:r>
      <w:r w:rsidR="006A441C">
        <w:rPr>
          <w:sz w:val="22"/>
          <w:szCs w:val="22"/>
          <w:lang w:val="hr-HR" w:eastAsia="bs-Latn-BA"/>
        </w:rPr>
        <w:t xml:space="preserve"> </w:t>
      </w:r>
      <w:r w:rsidR="0083687B" w:rsidRPr="00172A4E">
        <w:rPr>
          <w:sz w:val="22"/>
          <w:szCs w:val="22"/>
          <w:lang w:val="hr-HR" w:eastAsia="bs-Latn-BA"/>
        </w:rPr>
        <w:t>0</w:t>
      </w:r>
      <w:proofErr w:type="gramStart"/>
      <w:r w:rsidR="0083687B" w:rsidRPr="00172A4E">
        <w:rPr>
          <w:sz w:val="22"/>
          <w:szCs w:val="22"/>
          <w:lang w:val="hr-HR" w:eastAsia="bs-Latn-BA"/>
        </w:rPr>
        <w:t>,8</w:t>
      </w:r>
      <w:proofErr w:type="gramEnd"/>
      <w:r w:rsidR="0083687B" w:rsidRPr="00172A4E">
        <w:rPr>
          <w:sz w:val="22"/>
          <w:szCs w:val="22"/>
          <w:lang w:val="hr-HR" w:eastAsia="bs-Latn-BA"/>
        </w:rPr>
        <w:t xml:space="preserve"> mg/kg nego onih randomiz</w:t>
      </w:r>
      <w:r>
        <w:rPr>
          <w:sz w:val="22"/>
          <w:szCs w:val="22"/>
          <w:lang w:val="hr-HR" w:eastAsia="bs-Latn-BA"/>
        </w:rPr>
        <w:t>ovanih</w:t>
      </w:r>
      <w:r w:rsidR="0083687B" w:rsidRPr="00172A4E">
        <w:rPr>
          <w:sz w:val="22"/>
          <w:szCs w:val="22"/>
          <w:lang w:val="hr-HR" w:eastAsia="bs-Latn-BA"/>
        </w:rPr>
        <w:t xml:space="preserve"> za primanje doze od 0,4 mg/kg svake druge </w:t>
      </w:r>
      <w:r>
        <w:rPr>
          <w:sz w:val="22"/>
          <w:szCs w:val="22"/>
          <w:lang w:val="hr-HR" w:eastAsia="bs-Latn-BA"/>
        </w:rPr>
        <w:t>nedjelje</w:t>
      </w:r>
      <w:r w:rsidRPr="00172A4E">
        <w:rPr>
          <w:sz w:val="22"/>
          <w:szCs w:val="22"/>
          <w:lang w:val="hr-HR" w:eastAsia="bs-Latn-BA"/>
        </w:rPr>
        <w:t xml:space="preserve"> </w:t>
      </w:r>
      <w:r w:rsidR="0083687B" w:rsidRPr="00172A4E">
        <w:rPr>
          <w:sz w:val="22"/>
          <w:szCs w:val="22"/>
          <w:lang w:val="hr-HR" w:eastAsia="bs-Latn-BA"/>
        </w:rPr>
        <w:t>ili za liječenje MTXom.</w:t>
      </w:r>
    </w:p>
    <w:p w14:paraId="5F3B0254" w14:textId="77777777" w:rsidR="00EB3350" w:rsidRPr="00EB3350" w:rsidRDefault="00EB3350" w:rsidP="00EB3350">
      <w:pPr>
        <w:tabs>
          <w:tab w:val="left" w:pos="562"/>
        </w:tabs>
        <w:autoSpaceDE w:val="0"/>
        <w:jc w:val="both"/>
        <w:rPr>
          <w:sz w:val="22"/>
          <w:szCs w:val="22"/>
          <w:lang w:val="hr-HR" w:eastAsia="bs-Latn-BA"/>
        </w:rPr>
      </w:pPr>
    </w:p>
    <w:p w14:paraId="162DE35D" w14:textId="38DC10BE" w:rsidR="0083687B" w:rsidRPr="00172A4E" w:rsidRDefault="0083687B" w:rsidP="00EB3350">
      <w:pPr>
        <w:tabs>
          <w:tab w:val="left" w:pos="562"/>
        </w:tabs>
        <w:autoSpaceDE w:val="0"/>
        <w:spacing w:after="200" w:line="276" w:lineRule="auto"/>
        <w:jc w:val="both"/>
        <w:rPr>
          <w:sz w:val="22"/>
          <w:szCs w:val="22"/>
          <w:lang w:eastAsia="bs-Latn-BA"/>
        </w:rPr>
      </w:pPr>
      <w:r w:rsidRPr="00172A4E">
        <w:rPr>
          <w:b/>
          <w:bCs/>
          <w:sz w:val="22"/>
          <w:szCs w:val="22"/>
          <w:lang w:eastAsia="bs-Latn-BA"/>
        </w:rPr>
        <w:t>Tabela 1</w:t>
      </w:r>
      <w:r w:rsidR="00F56E79" w:rsidRPr="00172A4E">
        <w:rPr>
          <w:b/>
          <w:bCs/>
          <w:sz w:val="22"/>
          <w:szCs w:val="22"/>
          <w:lang w:eastAsia="bs-Latn-BA"/>
        </w:rPr>
        <w:t>9</w:t>
      </w:r>
      <w:r w:rsidR="009E0DAA">
        <w:rPr>
          <w:b/>
          <w:bCs/>
          <w:sz w:val="22"/>
          <w:szCs w:val="22"/>
          <w:lang w:eastAsia="bs-Latn-BA"/>
        </w:rPr>
        <w:t xml:space="preserve">. </w:t>
      </w:r>
      <w:r w:rsidRPr="00172A4E">
        <w:rPr>
          <w:b/>
          <w:bCs/>
          <w:sz w:val="22"/>
          <w:szCs w:val="22"/>
          <w:lang w:eastAsia="bs-Latn-BA"/>
        </w:rPr>
        <w:t xml:space="preserve">Rezultati efikasnosti u pedijatrijskih bolesnika </w:t>
      </w:r>
      <w:proofErr w:type="gramStart"/>
      <w:r w:rsidRPr="00172A4E">
        <w:rPr>
          <w:b/>
          <w:bCs/>
          <w:sz w:val="22"/>
          <w:szCs w:val="22"/>
          <w:lang w:eastAsia="bs-Latn-BA"/>
        </w:rPr>
        <w:t>sa</w:t>
      </w:r>
      <w:proofErr w:type="gramEnd"/>
      <w:r w:rsidRPr="00172A4E">
        <w:rPr>
          <w:b/>
          <w:bCs/>
          <w:sz w:val="22"/>
          <w:szCs w:val="22"/>
          <w:lang w:eastAsia="bs-Latn-BA"/>
        </w:rPr>
        <w:t xml:space="preserve"> plak psorijazom u Sedmici 16</w:t>
      </w:r>
    </w:p>
    <w:tbl>
      <w:tblPr>
        <w:tblW w:w="0" w:type="auto"/>
        <w:tblInd w:w="14" w:type="dxa"/>
        <w:tblLayout w:type="fixed"/>
        <w:tblCellMar>
          <w:left w:w="14" w:type="dxa"/>
          <w:right w:w="14" w:type="dxa"/>
        </w:tblCellMar>
        <w:tblLook w:val="04A0" w:firstRow="1" w:lastRow="0" w:firstColumn="1" w:lastColumn="0" w:noHBand="0" w:noVBand="1"/>
      </w:tblPr>
      <w:tblGrid>
        <w:gridCol w:w="4083"/>
        <w:gridCol w:w="1470"/>
        <w:gridCol w:w="3515"/>
      </w:tblGrid>
      <w:tr w:rsidR="0083687B" w:rsidRPr="00FF3524" w14:paraId="6AD40750" w14:textId="77777777" w:rsidTr="0088568A">
        <w:trPr>
          <w:trHeight w:val="23"/>
        </w:trPr>
        <w:tc>
          <w:tcPr>
            <w:tcW w:w="4083" w:type="dxa"/>
            <w:tcBorders>
              <w:top w:val="single" w:sz="2" w:space="0" w:color="000000"/>
              <w:left w:val="single" w:sz="2" w:space="0" w:color="000000"/>
              <w:bottom w:val="single" w:sz="2" w:space="0" w:color="000000"/>
              <w:right w:val="nil"/>
            </w:tcBorders>
            <w:shd w:val="clear" w:color="auto" w:fill="FFFFFF"/>
            <w:vAlign w:val="center"/>
          </w:tcPr>
          <w:p w14:paraId="79782C3E" w14:textId="77777777" w:rsidR="0083687B" w:rsidRPr="00172A4E" w:rsidRDefault="0083687B" w:rsidP="00EB3350">
            <w:pPr>
              <w:keepNext/>
              <w:widowControl w:val="0"/>
              <w:tabs>
                <w:tab w:val="left" w:pos="562"/>
              </w:tabs>
              <w:suppressAutoHyphens/>
              <w:autoSpaceDE w:val="0"/>
              <w:snapToGrid w:val="0"/>
              <w:spacing w:line="276" w:lineRule="auto"/>
              <w:jc w:val="both"/>
              <w:rPr>
                <w:rFonts w:eastAsia="Calibri"/>
                <w:kern w:val="2"/>
                <w:sz w:val="22"/>
                <w:szCs w:val="22"/>
                <w:lang w:eastAsia="bs-Latn-BA"/>
              </w:rPr>
            </w:pPr>
          </w:p>
        </w:tc>
        <w:tc>
          <w:tcPr>
            <w:tcW w:w="1470" w:type="dxa"/>
            <w:tcBorders>
              <w:top w:val="single" w:sz="2" w:space="0" w:color="000000"/>
              <w:left w:val="single" w:sz="2" w:space="0" w:color="000000"/>
              <w:bottom w:val="single" w:sz="2" w:space="0" w:color="000000"/>
              <w:right w:val="nil"/>
            </w:tcBorders>
            <w:shd w:val="clear" w:color="auto" w:fill="FFFFFF"/>
            <w:vAlign w:val="center"/>
            <w:hideMark/>
          </w:tcPr>
          <w:p w14:paraId="12462EFA" w14:textId="77777777" w:rsidR="0083687B" w:rsidRPr="00172A4E" w:rsidRDefault="0083687B" w:rsidP="00EB3350">
            <w:pPr>
              <w:keepNext/>
              <w:widowControl w:val="0"/>
              <w:tabs>
                <w:tab w:val="left" w:pos="562"/>
              </w:tabs>
              <w:suppressAutoHyphens/>
              <w:autoSpaceDE w:val="0"/>
              <w:spacing w:line="276" w:lineRule="auto"/>
              <w:jc w:val="both"/>
              <w:rPr>
                <w:kern w:val="2"/>
                <w:sz w:val="22"/>
                <w:szCs w:val="22"/>
                <w:lang w:eastAsia="bs-Latn-BA"/>
              </w:rPr>
            </w:pPr>
            <w:r w:rsidRPr="00172A4E">
              <w:rPr>
                <w:sz w:val="22"/>
                <w:szCs w:val="22"/>
                <w:lang w:eastAsia="bs-Latn-BA"/>
              </w:rPr>
              <w:t>MTX</w:t>
            </w:r>
            <w:r w:rsidRPr="00172A4E">
              <w:rPr>
                <w:position w:val="6"/>
                <w:sz w:val="22"/>
                <w:szCs w:val="22"/>
                <w:lang w:eastAsia="bs-Latn-BA"/>
              </w:rPr>
              <w:t>a</w:t>
            </w:r>
            <w:r w:rsidRPr="00172A4E">
              <w:rPr>
                <w:sz w:val="22"/>
                <w:szCs w:val="22"/>
                <w:lang w:eastAsia="bs-Latn-BA"/>
              </w:rPr>
              <w:br/>
              <w:t xml:space="preserve">N=37 </w:t>
            </w:r>
          </w:p>
        </w:tc>
        <w:tc>
          <w:tcPr>
            <w:tcW w:w="351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984E864" w14:textId="77777777" w:rsidR="0083687B" w:rsidRPr="00172A4E" w:rsidRDefault="0083687B" w:rsidP="00EB3350">
            <w:pPr>
              <w:keepNext/>
              <w:widowControl w:val="0"/>
              <w:tabs>
                <w:tab w:val="left" w:pos="562"/>
              </w:tabs>
              <w:suppressAutoHyphens/>
              <w:autoSpaceDE w:val="0"/>
              <w:spacing w:line="276" w:lineRule="auto"/>
              <w:jc w:val="both"/>
              <w:rPr>
                <w:rFonts w:eastAsia="Andale Sans UI"/>
                <w:kern w:val="2"/>
                <w:sz w:val="22"/>
                <w:szCs w:val="22"/>
                <w:lang w:val="bs-Latn-BA" w:eastAsia="bs-Latn-BA"/>
              </w:rPr>
            </w:pPr>
            <w:r w:rsidRPr="00172A4E">
              <w:rPr>
                <w:sz w:val="22"/>
                <w:szCs w:val="22"/>
                <w:lang w:eastAsia="bs-Latn-BA"/>
              </w:rPr>
              <w:t>Humira 0,8 mg/kg svake druge sedmice</w:t>
            </w:r>
            <w:r w:rsidRPr="00172A4E">
              <w:rPr>
                <w:sz w:val="22"/>
                <w:szCs w:val="22"/>
                <w:lang w:eastAsia="bs-Latn-BA"/>
              </w:rPr>
              <w:br/>
              <w:t xml:space="preserve">N=38 </w:t>
            </w:r>
          </w:p>
        </w:tc>
      </w:tr>
      <w:tr w:rsidR="0083687B" w:rsidRPr="00FF3524" w14:paraId="1B2A0F27" w14:textId="77777777" w:rsidTr="0088568A">
        <w:trPr>
          <w:trHeight w:val="23"/>
        </w:trPr>
        <w:tc>
          <w:tcPr>
            <w:tcW w:w="4083" w:type="dxa"/>
            <w:tcBorders>
              <w:top w:val="single" w:sz="2" w:space="0" w:color="000000"/>
              <w:left w:val="single" w:sz="2" w:space="0" w:color="000000"/>
              <w:bottom w:val="single" w:sz="2" w:space="0" w:color="000000"/>
              <w:right w:val="nil"/>
            </w:tcBorders>
            <w:shd w:val="clear" w:color="auto" w:fill="FFFFFF"/>
            <w:vAlign w:val="center"/>
            <w:hideMark/>
          </w:tcPr>
          <w:p w14:paraId="632970BC" w14:textId="77777777" w:rsidR="0083687B" w:rsidRPr="00172A4E" w:rsidRDefault="0083687B" w:rsidP="00EB3350">
            <w:pPr>
              <w:keepNext/>
              <w:widowControl w:val="0"/>
              <w:tabs>
                <w:tab w:val="left" w:pos="562"/>
              </w:tabs>
              <w:suppressAutoHyphens/>
              <w:autoSpaceDE w:val="0"/>
              <w:spacing w:line="276" w:lineRule="auto"/>
              <w:jc w:val="both"/>
              <w:rPr>
                <w:kern w:val="2"/>
                <w:sz w:val="22"/>
                <w:szCs w:val="22"/>
                <w:lang w:eastAsia="bs-Latn-BA"/>
              </w:rPr>
            </w:pPr>
            <w:r w:rsidRPr="00172A4E">
              <w:rPr>
                <w:sz w:val="22"/>
                <w:szCs w:val="22"/>
                <w:lang w:eastAsia="bs-Latn-BA"/>
              </w:rPr>
              <w:t>PASI 75</w:t>
            </w:r>
            <w:r w:rsidRPr="00172A4E">
              <w:rPr>
                <w:position w:val="6"/>
                <w:sz w:val="22"/>
                <w:szCs w:val="22"/>
                <w:lang w:eastAsia="bs-Latn-BA"/>
              </w:rPr>
              <w:t>b</w:t>
            </w:r>
          </w:p>
        </w:tc>
        <w:tc>
          <w:tcPr>
            <w:tcW w:w="1470" w:type="dxa"/>
            <w:tcBorders>
              <w:top w:val="single" w:sz="2" w:space="0" w:color="000000"/>
              <w:left w:val="single" w:sz="2" w:space="0" w:color="000000"/>
              <w:bottom w:val="single" w:sz="2" w:space="0" w:color="000000"/>
              <w:right w:val="nil"/>
            </w:tcBorders>
            <w:shd w:val="clear" w:color="auto" w:fill="FFFFFF"/>
            <w:vAlign w:val="center"/>
            <w:hideMark/>
          </w:tcPr>
          <w:p w14:paraId="47D6D30F" w14:textId="77777777" w:rsidR="0083687B" w:rsidRPr="00172A4E" w:rsidRDefault="0083687B" w:rsidP="00EB3350">
            <w:pPr>
              <w:keepNext/>
              <w:widowControl w:val="0"/>
              <w:tabs>
                <w:tab w:val="left" w:pos="562"/>
              </w:tabs>
              <w:suppressAutoHyphens/>
              <w:autoSpaceDE w:val="0"/>
              <w:spacing w:line="276" w:lineRule="auto"/>
              <w:jc w:val="both"/>
              <w:rPr>
                <w:kern w:val="2"/>
                <w:sz w:val="22"/>
                <w:szCs w:val="22"/>
                <w:lang w:eastAsia="bs-Latn-BA"/>
              </w:rPr>
            </w:pPr>
            <w:r w:rsidRPr="00172A4E">
              <w:rPr>
                <w:sz w:val="22"/>
                <w:szCs w:val="22"/>
                <w:lang w:eastAsia="bs-Latn-BA"/>
              </w:rPr>
              <w:t>12 (32</w:t>
            </w:r>
            <w:proofErr w:type="gramStart"/>
            <w:r w:rsidRPr="00172A4E">
              <w:rPr>
                <w:sz w:val="22"/>
                <w:szCs w:val="22"/>
                <w:lang w:eastAsia="bs-Latn-BA"/>
              </w:rPr>
              <w:t>,4</w:t>
            </w:r>
            <w:proofErr w:type="gramEnd"/>
            <w:r w:rsidRPr="00172A4E">
              <w:rPr>
                <w:sz w:val="22"/>
                <w:szCs w:val="22"/>
                <w:lang w:eastAsia="bs-Latn-BA"/>
              </w:rPr>
              <w:t>%)</w:t>
            </w:r>
          </w:p>
        </w:tc>
        <w:tc>
          <w:tcPr>
            <w:tcW w:w="351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76BBC78" w14:textId="77777777" w:rsidR="0083687B" w:rsidRPr="00172A4E" w:rsidRDefault="0083687B" w:rsidP="00EB3350">
            <w:pPr>
              <w:keepNext/>
              <w:widowControl w:val="0"/>
              <w:tabs>
                <w:tab w:val="left" w:pos="562"/>
              </w:tabs>
              <w:suppressAutoHyphens/>
              <w:autoSpaceDE w:val="0"/>
              <w:spacing w:line="276" w:lineRule="auto"/>
              <w:jc w:val="both"/>
              <w:rPr>
                <w:rFonts w:eastAsia="Andale Sans UI"/>
                <w:kern w:val="2"/>
                <w:sz w:val="22"/>
                <w:szCs w:val="22"/>
                <w:lang w:val="bs-Latn-BA" w:eastAsia="bs-Latn-BA"/>
              </w:rPr>
            </w:pPr>
            <w:r w:rsidRPr="00172A4E">
              <w:rPr>
                <w:sz w:val="22"/>
                <w:szCs w:val="22"/>
                <w:lang w:eastAsia="bs-Latn-BA"/>
              </w:rPr>
              <w:t>22 (57</w:t>
            </w:r>
            <w:proofErr w:type="gramStart"/>
            <w:r w:rsidRPr="00172A4E">
              <w:rPr>
                <w:sz w:val="22"/>
                <w:szCs w:val="22"/>
                <w:lang w:eastAsia="bs-Latn-BA"/>
              </w:rPr>
              <w:t>,9</w:t>
            </w:r>
            <w:proofErr w:type="gramEnd"/>
            <w:r w:rsidRPr="00172A4E">
              <w:rPr>
                <w:sz w:val="22"/>
                <w:szCs w:val="22"/>
                <w:lang w:eastAsia="bs-Latn-BA"/>
              </w:rPr>
              <w:t>%)</w:t>
            </w:r>
          </w:p>
        </w:tc>
      </w:tr>
      <w:tr w:rsidR="0083687B" w:rsidRPr="00FF3524" w14:paraId="3D3FFD49" w14:textId="77777777" w:rsidTr="0088568A">
        <w:trPr>
          <w:trHeight w:val="23"/>
        </w:trPr>
        <w:tc>
          <w:tcPr>
            <w:tcW w:w="4083" w:type="dxa"/>
            <w:tcBorders>
              <w:top w:val="single" w:sz="2" w:space="0" w:color="000000"/>
              <w:left w:val="single" w:sz="2" w:space="0" w:color="000000"/>
              <w:bottom w:val="single" w:sz="2" w:space="0" w:color="000000"/>
              <w:right w:val="nil"/>
            </w:tcBorders>
            <w:shd w:val="clear" w:color="auto" w:fill="FFFFFF"/>
            <w:vAlign w:val="center"/>
            <w:hideMark/>
          </w:tcPr>
          <w:p w14:paraId="3794108D" w14:textId="77777777" w:rsidR="0083687B" w:rsidRPr="00172A4E" w:rsidRDefault="0083687B" w:rsidP="00EB3350">
            <w:pPr>
              <w:keepNext/>
              <w:widowControl w:val="0"/>
              <w:tabs>
                <w:tab w:val="left" w:pos="562"/>
              </w:tabs>
              <w:suppressAutoHyphens/>
              <w:autoSpaceDE w:val="0"/>
              <w:spacing w:line="276" w:lineRule="auto"/>
              <w:jc w:val="both"/>
              <w:rPr>
                <w:kern w:val="2"/>
                <w:sz w:val="22"/>
                <w:szCs w:val="22"/>
                <w:lang w:eastAsia="bs-Latn-BA"/>
              </w:rPr>
            </w:pPr>
            <w:r w:rsidRPr="00172A4E">
              <w:rPr>
                <w:sz w:val="22"/>
                <w:szCs w:val="22"/>
                <w:lang w:eastAsia="bs-Latn-BA"/>
              </w:rPr>
              <w:t>PGA: bez bolesti/minimalno</w:t>
            </w:r>
            <w:r w:rsidRPr="00172A4E">
              <w:rPr>
                <w:position w:val="6"/>
                <w:sz w:val="22"/>
                <w:szCs w:val="22"/>
                <w:lang w:eastAsia="bs-Latn-BA"/>
              </w:rPr>
              <w:t>c</w:t>
            </w:r>
          </w:p>
        </w:tc>
        <w:tc>
          <w:tcPr>
            <w:tcW w:w="1470" w:type="dxa"/>
            <w:tcBorders>
              <w:top w:val="single" w:sz="2" w:space="0" w:color="000000"/>
              <w:left w:val="single" w:sz="2" w:space="0" w:color="000000"/>
              <w:bottom w:val="single" w:sz="2" w:space="0" w:color="000000"/>
              <w:right w:val="nil"/>
            </w:tcBorders>
            <w:shd w:val="clear" w:color="auto" w:fill="FFFFFF"/>
            <w:vAlign w:val="center"/>
            <w:hideMark/>
          </w:tcPr>
          <w:p w14:paraId="464BD2B4" w14:textId="77777777" w:rsidR="0083687B" w:rsidRPr="00172A4E" w:rsidRDefault="0083687B" w:rsidP="00EB3350">
            <w:pPr>
              <w:keepNext/>
              <w:widowControl w:val="0"/>
              <w:tabs>
                <w:tab w:val="left" w:pos="562"/>
              </w:tabs>
              <w:suppressAutoHyphens/>
              <w:autoSpaceDE w:val="0"/>
              <w:spacing w:line="276" w:lineRule="auto"/>
              <w:jc w:val="both"/>
              <w:rPr>
                <w:kern w:val="2"/>
                <w:sz w:val="22"/>
                <w:szCs w:val="22"/>
                <w:lang w:eastAsia="bs-Latn-BA"/>
              </w:rPr>
            </w:pPr>
            <w:r w:rsidRPr="00172A4E">
              <w:rPr>
                <w:sz w:val="22"/>
                <w:szCs w:val="22"/>
                <w:lang w:eastAsia="bs-Latn-BA"/>
              </w:rPr>
              <w:t>15 (40</w:t>
            </w:r>
            <w:proofErr w:type="gramStart"/>
            <w:r w:rsidRPr="00172A4E">
              <w:rPr>
                <w:sz w:val="22"/>
                <w:szCs w:val="22"/>
                <w:lang w:eastAsia="bs-Latn-BA"/>
              </w:rPr>
              <w:t>,5</w:t>
            </w:r>
            <w:proofErr w:type="gramEnd"/>
            <w:r w:rsidRPr="00172A4E">
              <w:rPr>
                <w:sz w:val="22"/>
                <w:szCs w:val="22"/>
                <w:lang w:eastAsia="bs-Latn-BA"/>
              </w:rPr>
              <w:t>%)</w:t>
            </w:r>
          </w:p>
        </w:tc>
        <w:tc>
          <w:tcPr>
            <w:tcW w:w="351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5DF294B" w14:textId="77777777" w:rsidR="0083687B" w:rsidRPr="00172A4E" w:rsidRDefault="0083687B" w:rsidP="00EB3350">
            <w:pPr>
              <w:keepNext/>
              <w:widowControl w:val="0"/>
              <w:tabs>
                <w:tab w:val="left" w:pos="562"/>
              </w:tabs>
              <w:suppressAutoHyphens/>
              <w:autoSpaceDE w:val="0"/>
              <w:spacing w:line="276" w:lineRule="auto"/>
              <w:jc w:val="both"/>
              <w:rPr>
                <w:rFonts w:eastAsia="Andale Sans UI"/>
                <w:kern w:val="2"/>
                <w:sz w:val="22"/>
                <w:szCs w:val="22"/>
                <w:lang w:val="bs-Latn-BA" w:eastAsia="bs-Latn-BA"/>
              </w:rPr>
            </w:pPr>
            <w:r w:rsidRPr="00172A4E">
              <w:rPr>
                <w:sz w:val="22"/>
                <w:szCs w:val="22"/>
                <w:lang w:eastAsia="bs-Latn-BA"/>
              </w:rPr>
              <w:t>23 (60</w:t>
            </w:r>
            <w:proofErr w:type="gramStart"/>
            <w:r w:rsidRPr="00172A4E">
              <w:rPr>
                <w:sz w:val="22"/>
                <w:szCs w:val="22"/>
                <w:lang w:eastAsia="bs-Latn-BA"/>
              </w:rPr>
              <w:t>,5</w:t>
            </w:r>
            <w:proofErr w:type="gramEnd"/>
            <w:r w:rsidRPr="00172A4E">
              <w:rPr>
                <w:sz w:val="22"/>
                <w:szCs w:val="22"/>
                <w:lang w:eastAsia="bs-Latn-BA"/>
              </w:rPr>
              <w:t>%)</w:t>
            </w:r>
          </w:p>
        </w:tc>
      </w:tr>
      <w:tr w:rsidR="0083687B" w:rsidRPr="00FF3524" w14:paraId="67CB6C90" w14:textId="77777777" w:rsidTr="0088568A">
        <w:trPr>
          <w:trHeight w:val="23"/>
        </w:trPr>
        <w:tc>
          <w:tcPr>
            <w:tcW w:w="9068"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AE4A798" w14:textId="77777777" w:rsidR="0083687B" w:rsidRPr="00172A4E" w:rsidRDefault="0083687B" w:rsidP="00EB3350">
            <w:pPr>
              <w:tabs>
                <w:tab w:val="left" w:pos="562"/>
              </w:tabs>
              <w:autoSpaceDE w:val="0"/>
              <w:spacing w:line="276" w:lineRule="auto"/>
              <w:jc w:val="both"/>
              <w:rPr>
                <w:kern w:val="2"/>
                <w:position w:val="6"/>
                <w:sz w:val="22"/>
                <w:szCs w:val="22"/>
                <w:lang w:eastAsia="bs-Latn-BA"/>
              </w:rPr>
            </w:pPr>
            <w:r w:rsidRPr="00172A4E">
              <w:rPr>
                <w:position w:val="6"/>
                <w:sz w:val="22"/>
                <w:szCs w:val="22"/>
                <w:lang w:eastAsia="bs-Latn-BA"/>
              </w:rPr>
              <w:t xml:space="preserve">a </w:t>
            </w:r>
            <w:r w:rsidRPr="00172A4E">
              <w:rPr>
                <w:sz w:val="22"/>
                <w:szCs w:val="22"/>
                <w:lang w:eastAsia="bs-Latn-BA"/>
              </w:rPr>
              <w:t>MTX = metotreksat</w:t>
            </w:r>
          </w:p>
          <w:p w14:paraId="10FE5667" w14:textId="77777777" w:rsidR="0083687B" w:rsidRPr="00172A4E" w:rsidRDefault="0083687B" w:rsidP="00EB3350">
            <w:pPr>
              <w:tabs>
                <w:tab w:val="left" w:pos="562"/>
              </w:tabs>
              <w:autoSpaceDE w:val="0"/>
              <w:spacing w:line="276" w:lineRule="auto"/>
              <w:jc w:val="both"/>
              <w:rPr>
                <w:position w:val="6"/>
                <w:sz w:val="22"/>
                <w:szCs w:val="22"/>
                <w:lang w:eastAsia="bs-Latn-BA"/>
              </w:rPr>
            </w:pPr>
            <w:r w:rsidRPr="00172A4E">
              <w:rPr>
                <w:position w:val="6"/>
                <w:sz w:val="22"/>
                <w:szCs w:val="22"/>
                <w:lang w:eastAsia="bs-Latn-BA"/>
              </w:rPr>
              <w:t>b</w:t>
            </w:r>
            <w:r w:rsidRPr="00172A4E">
              <w:rPr>
                <w:sz w:val="22"/>
                <w:szCs w:val="22"/>
                <w:lang w:eastAsia="bs-Latn-BA"/>
              </w:rPr>
              <w:t xml:space="preserve"> P=0,027, Humira 0,8 mg/kg naspram MTX-a</w:t>
            </w:r>
          </w:p>
          <w:p w14:paraId="08455B47" w14:textId="77777777" w:rsidR="0083687B" w:rsidRPr="00172A4E" w:rsidRDefault="0083687B" w:rsidP="00EB3350">
            <w:pPr>
              <w:widowControl w:val="0"/>
              <w:tabs>
                <w:tab w:val="left" w:pos="562"/>
              </w:tabs>
              <w:suppressAutoHyphens/>
              <w:autoSpaceDE w:val="0"/>
              <w:spacing w:after="120" w:line="276" w:lineRule="auto"/>
              <w:jc w:val="both"/>
              <w:rPr>
                <w:rFonts w:eastAsia="Andale Sans UI"/>
                <w:kern w:val="2"/>
                <w:sz w:val="22"/>
                <w:szCs w:val="22"/>
                <w:lang w:val="bs-Latn-BA" w:eastAsia="bs-Latn-BA"/>
              </w:rPr>
            </w:pPr>
            <w:r w:rsidRPr="00172A4E">
              <w:rPr>
                <w:position w:val="6"/>
                <w:sz w:val="22"/>
                <w:szCs w:val="22"/>
                <w:lang w:eastAsia="bs-Latn-BA"/>
              </w:rPr>
              <w:t>c</w:t>
            </w:r>
            <w:r w:rsidRPr="00172A4E">
              <w:rPr>
                <w:sz w:val="22"/>
                <w:szCs w:val="22"/>
                <w:lang w:eastAsia="bs-Latn-BA"/>
              </w:rPr>
              <w:t xml:space="preserve"> P=0,083, Humira 0,8 mg/kg naspram MTX-a</w:t>
            </w:r>
          </w:p>
        </w:tc>
      </w:tr>
    </w:tbl>
    <w:p w14:paraId="549E88DD" w14:textId="263D7DBF" w:rsidR="0083687B" w:rsidRPr="00172A4E" w:rsidRDefault="0083687B" w:rsidP="00730D96">
      <w:pPr>
        <w:tabs>
          <w:tab w:val="left" w:pos="562"/>
        </w:tabs>
        <w:autoSpaceDE w:val="0"/>
        <w:jc w:val="both"/>
        <w:rPr>
          <w:sz w:val="22"/>
          <w:szCs w:val="22"/>
          <w:lang w:eastAsia="bs-Latn-BA"/>
        </w:rPr>
      </w:pPr>
      <w:r w:rsidRPr="00172A4E">
        <w:rPr>
          <w:sz w:val="22"/>
          <w:szCs w:val="22"/>
          <w:lang w:eastAsia="bs-Latn-BA"/>
        </w:rPr>
        <w:t>U bolesnika koji su postigli PASI 75 ili PGA rezultat 'bez bolesti' ili 'minimalno', lije</w:t>
      </w:r>
      <w:r w:rsidRPr="00172A4E">
        <w:rPr>
          <w:sz w:val="22"/>
          <w:szCs w:val="22"/>
          <w:lang w:val="hr-HR" w:eastAsia="bs-Latn-BA"/>
        </w:rPr>
        <w:t xml:space="preserve">čenje je prekinuto tokom perioda do najviše 36 </w:t>
      </w:r>
      <w:r w:rsidR="009378F9">
        <w:rPr>
          <w:sz w:val="22"/>
          <w:szCs w:val="22"/>
          <w:lang w:val="hr-HR" w:eastAsia="bs-Latn-BA"/>
        </w:rPr>
        <w:t>nedjelja</w:t>
      </w:r>
      <w:r w:rsidR="009378F9" w:rsidRPr="00172A4E">
        <w:rPr>
          <w:sz w:val="22"/>
          <w:szCs w:val="22"/>
          <w:lang w:val="hr-HR" w:eastAsia="bs-Latn-BA"/>
        </w:rPr>
        <w:t xml:space="preserve"> </w:t>
      </w:r>
      <w:r w:rsidRPr="00172A4E">
        <w:rPr>
          <w:sz w:val="22"/>
          <w:szCs w:val="22"/>
          <w:lang w:val="hr-HR" w:eastAsia="bs-Latn-BA"/>
        </w:rPr>
        <w:t xml:space="preserve">te se pratio gubitak kontrole bolesti (tj. pogoršanje PGA rezultata za najmanje 2 stepena). </w:t>
      </w:r>
      <w:r w:rsidR="009378F9">
        <w:rPr>
          <w:sz w:val="22"/>
          <w:szCs w:val="22"/>
          <w:lang w:val="hr-HR" w:eastAsia="bs-Latn-BA"/>
        </w:rPr>
        <w:t>Pacijenti</w:t>
      </w:r>
      <w:r w:rsidR="009378F9" w:rsidRPr="00172A4E">
        <w:rPr>
          <w:sz w:val="22"/>
          <w:szCs w:val="22"/>
          <w:lang w:val="hr-HR" w:eastAsia="bs-Latn-BA"/>
        </w:rPr>
        <w:t xml:space="preserve"> </w:t>
      </w:r>
      <w:r w:rsidRPr="00172A4E">
        <w:rPr>
          <w:sz w:val="22"/>
          <w:szCs w:val="22"/>
          <w:lang w:val="hr-HR" w:eastAsia="bs-Latn-BA"/>
        </w:rPr>
        <w:t>su zatim ponovno započeli liječenje adalimumabom u dozi od 0,8 mg/kg svake druge sedmice tokom dodatnih 16 sedmica, a stope odgovora primijećene tokom ponovnog liječenja bile su slične onima prethodno zabilježenima tokom perioda dvostruko slijepog liječenja: odgovor PASI 75 postiglo je 78,9% (15 od 19 ispitanika), a PGA rezultat 'bez bolesti' ili 'minimalno' njih 52,6% (10 od 19 ispitanika).</w:t>
      </w:r>
    </w:p>
    <w:p w14:paraId="60F573FB" w14:textId="200DCC33" w:rsidR="0083687B" w:rsidRPr="00172A4E" w:rsidRDefault="0083687B" w:rsidP="00730D96">
      <w:pPr>
        <w:tabs>
          <w:tab w:val="left" w:pos="562"/>
        </w:tabs>
        <w:autoSpaceDE w:val="0"/>
        <w:jc w:val="both"/>
        <w:rPr>
          <w:sz w:val="22"/>
          <w:szCs w:val="22"/>
          <w:lang w:val="hr-HR" w:eastAsia="bs-Latn-BA"/>
        </w:rPr>
      </w:pPr>
      <w:r w:rsidRPr="00172A4E">
        <w:rPr>
          <w:sz w:val="22"/>
          <w:szCs w:val="22"/>
          <w:lang w:eastAsia="bs-Latn-BA"/>
        </w:rPr>
        <w:lastRenderedPageBreak/>
        <w:t xml:space="preserve">U otvorenom periodu ispitivanja, odgovor PASI 75 i PGA rezultat 'bez bolesti' ili 'minimalno' održali su se tokom dodatne 52 </w:t>
      </w:r>
      <w:r w:rsidR="009378F9">
        <w:rPr>
          <w:sz w:val="22"/>
          <w:szCs w:val="22"/>
          <w:lang w:eastAsia="bs-Latn-BA"/>
        </w:rPr>
        <w:t>nedjelje</w:t>
      </w:r>
      <w:r w:rsidRPr="00172A4E">
        <w:rPr>
          <w:sz w:val="22"/>
          <w:szCs w:val="22"/>
          <w:lang w:eastAsia="bs-Latn-BA"/>
        </w:rPr>
        <w:t>, bez novih nalaza povezanih sa sigurnoš</w:t>
      </w:r>
      <w:r w:rsidRPr="00172A4E">
        <w:rPr>
          <w:sz w:val="22"/>
          <w:szCs w:val="22"/>
          <w:lang w:val="hr-HR" w:eastAsia="bs-Latn-BA"/>
        </w:rPr>
        <w:t>ću.</w:t>
      </w:r>
    </w:p>
    <w:p w14:paraId="436F5207" w14:textId="4C5F82C3" w:rsidR="0083687B" w:rsidRPr="00172A4E" w:rsidRDefault="0083687B" w:rsidP="00EB3350">
      <w:pPr>
        <w:autoSpaceDE w:val="0"/>
        <w:jc w:val="both"/>
        <w:rPr>
          <w:b/>
          <w:bCs/>
          <w:i/>
          <w:iCs/>
          <w:sz w:val="22"/>
          <w:szCs w:val="22"/>
          <w:lang w:eastAsia="bs-Latn-BA"/>
        </w:rPr>
      </w:pPr>
      <w:r w:rsidRPr="00172A4E">
        <w:rPr>
          <w:i/>
          <w:iCs/>
          <w:color w:val="000000"/>
          <w:sz w:val="22"/>
          <w:szCs w:val="22"/>
          <w:lang w:eastAsia="bs-Latn-BA"/>
        </w:rPr>
        <w:t xml:space="preserve">Crohnova bolest </w:t>
      </w:r>
      <w:r w:rsidR="003725E6">
        <w:rPr>
          <w:i/>
          <w:iCs/>
          <w:color w:val="000000"/>
          <w:sz w:val="22"/>
          <w:szCs w:val="22"/>
          <w:lang w:eastAsia="bs-Latn-BA"/>
        </w:rPr>
        <w:t>kod</w:t>
      </w:r>
      <w:r w:rsidRPr="00172A4E">
        <w:rPr>
          <w:i/>
          <w:iCs/>
          <w:color w:val="000000"/>
          <w:sz w:val="22"/>
          <w:szCs w:val="22"/>
          <w:lang w:eastAsia="bs-Latn-BA"/>
        </w:rPr>
        <w:t xml:space="preserve"> djece </w:t>
      </w:r>
    </w:p>
    <w:p w14:paraId="20AABB53" w14:textId="32CF270B" w:rsidR="0083687B" w:rsidRPr="00172A4E" w:rsidRDefault="0083687B" w:rsidP="00730D96">
      <w:pPr>
        <w:autoSpaceDE w:val="0"/>
        <w:jc w:val="both"/>
        <w:rPr>
          <w:sz w:val="22"/>
          <w:szCs w:val="22"/>
          <w:lang w:val="hr-HR" w:eastAsia="bs-Latn-BA"/>
        </w:rPr>
      </w:pPr>
      <w:r w:rsidRPr="00172A4E">
        <w:rPr>
          <w:sz w:val="22"/>
          <w:szCs w:val="22"/>
          <w:lang w:eastAsia="bs-Latn-BA"/>
        </w:rPr>
        <w:t>Efikasnost i sigurnost lijeka Humira ispitivane su u multicentri</w:t>
      </w:r>
      <w:r w:rsidRPr="00172A4E">
        <w:rPr>
          <w:sz w:val="22"/>
          <w:szCs w:val="22"/>
          <w:lang w:val="hr-HR" w:eastAsia="bs-Latn-BA"/>
        </w:rPr>
        <w:t xml:space="preserve">čnom, randomiziranom, dvostruko-slijepom kliničkom ispitivanju indukcijske terapije i terapije održavanja dozama </w:t>
      </w:r>
      <w:r w:rsidR="001D6986">
        <w:rPr>
          <w:sz w:val="22"/>
          <w:szCs w:val="22"/>
          <w:lang w:val="hr-HR" w:eastAsia="bs-Latn-BA"/>
        </w:rPr>
        <w:t>zavisnim</w:t>
      </w:r>
      <w:r w:rsidRPr="00172A4E">
        <w:rPr>
          <w:sz w:val="22"/>
          <w:szCs w:val="22"/>
          <w:lang w:val="hr-HR" w:eastAsia="bs-Latn-BA"/>
        </w:rPr>
        <w:t xml:space="preserve"> o</w:t>
      </w:r>
      <w:r w:rsidR="001D6986">
        <w:rPr>
          <w:sz w:val="22"/>
          <w:szCs w:val="22"/>
          <w:lang w:val="hr-HR" w:eastAsia="bs-Latn-BA"/>
        </w:rPr>
        <w:t>d</w:t>
      </w:r>
      <w:r w:rsidRPr="00172A4E">
        <w:rPr>
          <w:sz w:val="22"/>
          <w:szCs w:val="22"/>
          <w:lang w:val="hr-HR" w:eastAsia="bs-Latn-BA"/>
        </w:rPr>
        <w:t xml:space="preserve"> tjel</w:t>
      </w:r>
      <w:r w:rsidR="001D6986">
        <w:rPr>
          <w:sz w:val="22"/>
          <w:szCs w:val="22"/>
          <w:lang w:val="hr-HR" w:eastAsia="bs-Latn-BA"/>
        </w:rPr>
        <w:t>esne</w:t>
      </w:r>
      <w:r w:rsidRPr="00172A4E">
        <w:rPr>
          <w:sz w:val="22"/>
          <w:szCs w:val="22"/>
          <w:lang w:val="hr-HR" w:eastAsia="bs-Latn-BA"/>
        </w:rPr>
        <w:t xml:space="preserve"> teži</w:t>
      </w:r>
      <w:r w:rsidR="001D6986">
        <w:rPr>
          <w:sz w:val="22"/>
          <w:szCs w:val="22"/>
          <w:lang w:val="hr-HR" w:eastAsia="bs-Latn-BA"/>
        </w:rPr>
        <w:t>ne</w:t>
      </w:r>
      <w:r w:rsidRPr="00172A4E">
        <w:rPr>
          <w:sz w:val="22"/>
          <w:szCs w:val="22"/>
          <w:lang w:val="hr-HR" w:eastAsia="bs-Latn-BA"/>
        </w:rPr>
        <w:t xml:space="preserve"> (&lt; 40 kg ili ≥ 40 kg</w:t>
      </w:r>
      <w:proofErr w:type="gramStart"/>
      <w:r w:rsidRPr="00172A4E">
        <w:rPr>
          <w:sz w:val="22"/>
          <w:szCs w:val="22"/>
          <w:lang w:val="hr-HR" w:eastAsia="bs-Latn-BA"/>
        </w:rPr>
        <w:t>)  192</w:t>
      </w:r>
      <w:proofErr w:type="gramEnd"/>
      <w:r w:rsidRPr="00172A4E">
        <w:rPr>
          <w:sz w:val="22"/>
          <w:szCs w:val="22"/>
          <w:lang w:val="hr-HR" w:eastAsia="bs-Latn-BA"/>
        </w:rPr>
        <w:t xml:space="preserve"> pedijatrijska </w:t>
      </w:r>
      <w:r w:rsidR="001D6986">
        <w:rPr>
          <w:sz w:val="22"/>
          <w:szCs w:val="22"/>
          <w:lang w:val="hr-HR" w:eastAsia="bs-Latn-BA"/>
        </w:rPr>
        <w:t>pacijenta</w:t>
      </w:r>
      <w:r w:rsidRPr="00172A4E">
        <w:rPr>
          <w:sz w:val="22"/>
          <w:szCs w:val="22"/>
          <w:lang w:val="hr-HR" w:eastAsia="bs-Latn-BA"/>
        </w:rPr>
        <w:t xml:space="preserve"> u</w:t>
      </w:r>
      <w:r w:rsidR="001D6986">
        <w:rPr>
          <w:sz w:val="22"/>
          <w:szCs w:val="22"/>
          <w:lang w:val="hr-HR" w:eastAsia="bs-Latn-BA"/>
        </w:rPr>
        <w:t xml:space="preserve">zrasta </w:t>
      </w:r>
      <w:r w:rsidRPr="00172A4E">
        <w:rPr>
          <w:sz w:val="22"/>
          <w:szCs w:val="22"/>
          <w:lang w:val="hr-HR" w:eastAsia="bs-Latn-BA"/>
        </w:rPr>
        <w:t xml:space="preserve">između (i uključujući) 6 i 17 godina sa umjerenom do teškom Crohnovom bolešću (engl. </w:t>
      </w:r>
      <w:r w:rsidRPr="00172A4E">
        <w:rPr>
          <w:i/>
          <w:iCs/>
          <w:sz w:val="22"/>
          <w:szCs w:val="22"/>
          <w:lang w:val="hr-HR" w:eastAsia="bs-Latn-BA"/>
        </w:rPr>
        <w:t>Crohn's disease</w:t>
      </w:r>
      <w:r w:rsidRPr="00172A4E">
        <w:rPr>
          <w:sz w:val="22"/>
          <w:szCs w:val="22"/>
          <w:lang w:val="hr-HR" w:eastAsia="bs-Latn-BA"/>
        </w:rPr>
        <w:t xml:space="preserve">, CD), definisanom rezultatom prema Indeksu aktivnosti Crohnove bolesti </w:t>
      </w:r>
      <w:r w:rsidR="001D6986">
        <w:rPr>
          <w:sz w:val="22"/>
          <w:szCs w:val="22"/>
          <w:lang w:val="hr-HR" w:eastAsia="bs-Latn-BA"/>
        </w:rPr>
        <w:t>kod</w:t>
      </w:r>
      <w:r w:rsidRPr="00172A4E">
        <w:rPr>
          <w:sz w:val="22"/>
          <w:szCs w:val="22"/>
          <w:lang w:val="hr-HR" w:eastAsia="bs-Latn-BA"/>
        </w:rPr>
        <w:t xml:space="preserve"> djece (engl. </w:t>
      </w:r>
      <w:r w:rsidRPr="00172A4E">
        <w:rPr>
          <w:i/>
          <w:iCs/>
          <w:sz w:val="22"/>
          <w:szCs w:val="22"/>
          <w:lang w:val="hr-HR" w:eastAsia="bs-Latn-BA"/>
        </w:rPr>
        <w:t>Paediatric Crohn’s Disease Activity Index</w:t>
      </w:r>
      <w:r w:rsidRPr="00172A4E">
        <w:rPr>
          <w:sz w:val="22"/>
          <w:szCs w:val="22"/>
          <w:lang w:val="hr-HR" w:eastAsia="bs-Latn-BA"/>
        </w:rPr>
        <w:t xml:space="preserve">, PCDAI) &gt;30. Ispitanici su bili pogodni ako je ranije konvencionalno liječenje Crohnove bolesti bilo neuspješno (uključujući kortikosteroid i/ili imunomodulator). </w:t>
      </w:r>
      <w:r w:rsidR="001D6986">
        <w:rPr>
          <w:sz w:val="22"/>
          <w:szCs w:val="22"/>
          <w:lang w:val="hr-HR" w:eastAsia="bs-Latn-BA"/>
        </w:rPr>
        <w:t>Takođe su</w:t>
      </w:r>
      <w:r w:rsidRPr="00172A4E">
        <w:rPr>
          <w:sz w:val="22"/>
          <w:szCs w:val="22"/>
          <w:lang w:val="hr-HR" w:eastAsia="bs-Latn-BA"/>
        </w:rPr>
        <w:t xml:space="preserve"> mogli </w:t>
      </w:r>
      <w:r w:rsidR="001D6986">
        <w:rPr>
          <w:sz w:val="22"/>
          <w:szCs w:val="22"/>
          <w:lang w:val="hr-HR" w:eastAsia="bs-Latn-BA"/>
        </w:rPr>
        <w:t xml:space="preserve">učestvovati </w:t>
      </w:r>
      <w:r w:rsidRPr="00172A4E">
        <w:rPr>
          <w:sz w:val="22"/>
          <w:szCs w:val="22"/>
          <w:lang w:val="hr-HR" w:eastAsia="bs-Latn-BA"/>
        </w:rPr>
        <w:t xml:space="preserve">ispitanici koji su izgubili odgovor na prethodno liječenje infliksimabom ili koji ga nisu podnosili. </w:t>
      </w:r>
    </w:p>
    <w:p w14:paraId="50E11E64" w14:textId="01E43AA1" w:rsidR="0083687B" w:rsidRPr="00172A4E" w:rsidRDefault="0083687B">
      <w:pPr>
        <w:tabs>
          <w:tab w:val="left" w:pos="1294"/>
        </w:tabs>
        <w:autoSpaceDE w:val="0"/>
        <w:jc w:val="both"/>
        <w:rPr>
          <w:sz w:val="22"/>
          <w:szCs w:val="22"/>
          <w:lang w:eastAsia="bs-Latn-BA"/>
        </w:rPr>
      </w:pPr>
      <w:r w:rsidRPr="00172A4E">
        <w:rPr>
          <w:sz w:val="22"/>
          <w:szCs w:val="22"/>
          <w:lang w:eastAsia="bs-Latn-BA"/>
        </w:rPr>
        <w:t>Svi ispitanici su primali otvorenu indukcijsku terapiju u dozi odre</w:t>
      </w:r>
      <w:r w:rsidRPr="00172A4E">
        <w:rPr>
          <w:sz w:val="22"/>
          <w:szCs w:val="22"/>
          <w:lang w:val="hr-HR" w:eastAsia="bs-Latn-BA"/>
        </w:rPr>
        <w:t>đenoj prema njihovoj početnoj tjelesnoj težini: 160 mg u</w:t>
      </w:r>
      <w:r w:rsidR="00385A88">
        <w:rPr>
          <w:sz w:val="22"/>
          <w:szCs w:val="22"/>
          <w:lang w:val="hr-HR" w:eastAsia="bs-Latn-BA"/>
        </w:rPr>
        <w:t xml:space="preserve"> nultoj nedjelji</w:t>
      </w:r>
      <w:r w:rsidRPr="00172A4E">
        <w:rPr>
          <w:sz w:val="22"/>
          <w:szCs w:val="22"/>
          <w:lang w:val="hr-HR" w:eastAsia="bs-Latn-BA"/>
        </w:rPr>
        <w:t xml:space="preserve"> i 80 mg u </w:t>
      </w:r>
      <w:r w:rsidR="00385A88">
        <w:rPr>
          <w:sz w:val="22"/>
          <w:szCs w:val="22"/>
          <w:lang w:val="hr-HR" w:eastAsia="bs-Latn-BA"/>
        </w:rPr>
        <w:t>drugoj nedjelji</w:t>
      </w:r>
      <w:r w:rsidRPr="00172A4E">
        <w:rPr>
          <w:sz w:val="22"/>
          <w:szCs w:val="22"/>
          <w:lang w:val="hr-HR" w:eastAsia="bs-Latn-BA"/>
        </w:rPr>
        <w:t xml:space="preserve"> za ispitanike tjelesne težine ≥ 40 kg, odnosno 80 mg i 40 mg za ispitanike tjelesne težine &lt; 40 kg.</w:t>
      </w:r>
    </w:p>
    <w:p w14:paraId="6757C7DB" w14:textId="73F7E0C2" w:rsidR="0083687B" w:rsidRPr="00172A4E" w:rsidRDefault="0083687B">
      <w:pPr>
        <w:tabs>
          <w:tab w:val="left" w:pos="562"/>
        </w:tabs>
        <w:autoSpaceDE w:val="0"/>
        <w:jc w:val="both"/>
        <w:rPr>
          <w:sz w:val="22"/>
          <w:szCs w:val="22"/>
          <w:lang w:eastAsia="bs-Latn-BA"/>
        </w:rPr>
      </w:pPr>
      <w:r w:rsidRPr="00172A4E">
        <w:rPr>
          <w:sz w:val="22"/>
          <w:szCs w:val="22"/>
          <w:lang w:eastAsia="bs-Latn-BA"/>
        </w:rPr>
        <w:t>U</w:t>
      </w:r>
      <w:r w:rsidRPr="00172A4E">
        <w:rPr>
          <w:sz w:val="22"/>
          <w:szCs w:val="22"/>
          <w:lang w:val="hr-HR" w:eastAsia="bs-Latn-BA"/>
        </w:rPr>
        <w:t xml:space="preserve"> </w:t>
      </w:r>
      <w:r w:rsidR="00385A88">
        <w:rPr>
          <w:sz w:val="22"/>
          <w:szCs w:val="22"/>
          <w:lang w:val="hr-HR" w:eastAsia="bs-Latn-BA"/>
        </w:rPr>
        <w:t>4. nedjelji</w:t>
      </w:r>
      <w:r w:rsidRPr="00172A4E">
        <w:rPr>
          <w:sz w:val="22"/>
          <w:szCs w:val="22"/>
          <w:lang w:val="hr-HR" w:eastAsia="bs-Latn-BA"/>
        </w:rPr>
        <w:t xml:space="preserve"> ispitanici su randomiz</w:t>
      </w:r>
      <w:r w:rsidR="00385A88">
        <w:rPr>
          <w:sz w:val="22"/>
          <w:szCs w:val="22"/>
          <w:lang w:val="hr-HR" w:eastAsia="bs-Latn-BA"/>
        </w:rPr>
        <w:t>ovani</w:t>
      </w:r>
      <w:r w:rsidRPr="00172A4E">
        <w:rPr>
          <w:sz w:val="22"/>
          <w:szCs w:val="22"/>
          <w:lang w:val="hr-HR" w:eastAsia="bs-Latn-BA"/>
        </w:rPr>
        <w:t xml:space="preserve"> u o</w:t>
      </w:r>
      <w:r w:rsidR="00385A88">
        <w:rPr>
          <w:sz w:val="22"/>
          <w:szCs w:val="22"/>
          <w:lang w:val="hr-HR" w:eastAsia="bs-Latn-BA"/>
        </w:rPr>
        <w:t>dnosu</w:t>
      </w:r>
      <w:r w:rsidRPr="00172A4E">
        <w:rPr>
          <w:sz w:val="22"/>
          <w:szCs w:val="22"/>
          <w:lang w:val="hr-HR" w:eastAsia="bs-Latn-BA"/>
        </w:rPr>
        <w:t xml:space="preserve"> 1:1 na osnovu njihove tjelesne težine u tom trenutku za liječenje niskom dozom ili standardnom dozom održavanja, kako je prikazano u Tabeli </w:t>
      </w:r>
      <w:r w:rsidR="00385A88">
        <w:rPr>
          <w:sz w:val="22"/>
          <w:szCs w:val="22"/>
          <w:lang w:val="hr-HR" w:eastAsia="bs-Latn-BA"/>
        </w:rPr>
        <w:t>20</w:t>
      </w:r>
      <w:r w:rsidRPr="00172A4E">
        <w:rPr>
          <w:sz w:val="22"/>
          <w:szCs w:val="22"/>
          <w:lang w:val="hr-HR" w:eastAsia="bs-Latn-BA"/>
        </w:rPr>
        <w:t>.</w:t>
      </w:r>
    </w:p>
    <w:p w14:paraId="2D9AFB1F" w14:textId="77777777" w:rsidR="0083687B" w:rsidRPr="00172A4E" w:rsidRDefault="0083687B">
      <w:pPr>
        <w:tabs>
          <w:tab w:val="left" w:pos="562"/>
        </w:tabs>
        <w:autoSpaceDE w:val="0"/>
        <w:spacing w:after="200"/>
        <w:jc w:val="both"/>
        <w:rPr>
          <w:sz w:val="22"/>
          <w:szCs w:val="22"/>
          <w:lang w:eastAsia="bs-Latn-BA"/>
        </w:rPr>
      </w:pPr>
    </w:p>
    <w:tbl>
      <w:tblPr>
        <w:tblW w:w="0" w:type="auto"/>
        <w:tblInd w:w="1881" w:type="dxa"/>
        <w:tblLayout w:type="fixed"/>
        <w:tblLook w:val="0000" w:firstRow="0" w:lastRow="0" w:firstColumn="0" w:lastColumn="0" w:noHBand="0" w:noVBand="0"/>
      </w:tblPr>
      <w:tblGrid>
        <w:gridCol w:w="1720"/>
        <w:gridCol w:w="1622"/>
        <w:gridCol w:w="1980"/>
      </w:tblGrid>
      <w:tr w:rsidR="0083687B" w:rsidRPr="003849E5" w14:paraId="788D785D" w14:textId="77777777" w:rsidTr="0088568A">
        <w:trPr>
          <w:trHeight w:val="263"/>
        </w:trPr>
        <w:tc>
          <w:tcPr>
            <w:tcW w:w="5322" w:type="dxa"/>
            <w:gridSpan w:val="3"/>
            <w:tcBorders>
              <w:top w:val="nil"/>
              <w:bottom w:val="single" w:sz="1" w:space="0" w:color="000000"/>
            </w:tcBorders>
            <w:shd w:val="clear" w:color="auto" w:fill="FFFFFF"/>
          </w:tcPr>
          <w:p w14:paraId="03D76013" w14:textId="673F81C4" w:rsidR="0083687B" w:rsidRPr="00172A4E" w:rsidRDefault="0083687B" w:rsidP="00EB3350">
            <w:pPr>
              <w:keepNext/>
              <w:tabs>
                <w:tab w:val="left" w:pos="562"/>
              </w:tabs>
              <w:autoSpaceDE w:val="0"/>
              <w:spacing w:after="200"/>
              <w:jc w:val="both"/>
              <w:rPr>
                <w:sz w:val="22"/>
                <w:szCs w:val="22"/>
                <w:lang w:val="bs-Latn-BA" w:eastAsia="bs-Latn-BA"/>
              </w:rPr>
            </w:pPr>
            <w:r w:rsidRPr="00172A4E">
              <w:rPr>
                <w:b/>
                <w:bCs/>
                <w:sz w:val="22"/>
                <w:szCs w:val="22"/>
                <w:lang w:eastAsia="bs-Latn-BA"/>
              </w:rPr>
              <w:t xml:space="preserve">Tabela </w:t>
            </w:r>
            <w:r w:rsidR="00385A88">
              <w:rPr>
                <w:b/>
                <w:bCs/>
                <w:sz w:val="22"/>
                <w:szCs w:val="22"/>
                <w:lang w:eastAsia="bs-Latn-BA"/>
              </w:rPr>
              <w:t>20</w:t>
            </w:r>
            <w:r w:rsidR="009E0DAA">
              <w:rPr>
                <w:b/>
                <w:bCs/>
                <w:sz w:val="22"/>
                <w:szCs w:val="22"/>
                <w:lang w:eastAsia="bs-Latn-BA"/>
              </w:rPr>
              <w:t xml:space="preserve">. </w:t>
            </w:r>
            <w:r w:rsidRPr="00172A4E">
              <w:rPr>
                <w:b/>
                <w:bCs/>
                <w:sz w:val="22"/>
                <w:szCs w:val="22"/>
                <w:lang w:eastAsia="bs-Latn-BA"/>
              </w:rPr>
              <w:t>Režim održavanja</w:t>
            </w:r>
          </w:p>
        </w:tc>
      </w:tr>
      <w:tr w:rsidR="0083687B" w:rsidRPr="003849E5" w14:paraId="48183FB6" w14:textId="77777777" w:rsidTr="0088568A">
        <w:trPr>
          <w:trHeight w:val="23"/>
        </w:trPr>
        <w:tc>
          <w:tcPr>
            <w:tcW w:w="1720" w:type="dxa"/>
            <w:tcBorders>
              <w:top w:val="single" w:sz="1" w:space="0" w:color="000000"/>
              <w:left w:val="single" w:sz="1" w:space="0" w:color="000000"/>
              <w:bottom w:val="single" w:sz="1" w:space="0" w:color="000000"/>
            </w:tcBorders>
            <w:shd w:val="clear" w:color="auto" w:fill="FFFFFF"/>
          </w:tcPr>
          <w:p w14:paraId="664F8237" w14:textId="77777777" w:rsidR="0083687B" w:rsidRPr="00172A4E" w:rsidRDefault="0083687B" w:rsidP="00EB3350">
            <w:pPr>
              <w:keepNext/>
              <w:tabs>
                <w:tab w:val="left" w:pos="562"/>
              </w:tabs>
              <w:autoSpaceDE w:val="0"/>
              <w:spacing w:after="200"/>
              <w:jc w:val="both"/>
              <w:rPr>
                <w:b/>
                <w:bCs/>
                <w:sz w:val="22"/>
                <w:szCs w:val="22"/>
                <w:lang w:eastAsia="bs-Latn-BA"/>
              </w:rPr>
            </w:pPr>
            <w:r w:rsidRPr="00172A4E">
              <w:rPr>
                <w:b/>
                <w:bCs/>
                <w:sz w:val="22"/>
                <w:szCs w:val="22"/>
                <w:lang w:eastAsia="bs-Latn-BA"/>
              </w:rPr>
              <w:t>Tjelesna težina bolesnika</w:t>
            </w:r>
          </w:p>
        </w:tc>
        <w:tc>
          <w:tcPr>
            <w:tcW w:w="1622" w:type="dxa"/>
            <w:tcBorders>
              <w:top w:val="single" w:sz="1" w:space="0" w:color="000000"/>
              <w:left w:val="single" w:sz="1" w:space="0" w:color="000000"/>
              <w:bottom w:val="single" w:sz="1" w:space="0" w:color="000000"/>
            </w:tcBorders>
            <w:shd w:val="clear" w:color="auto" w:fill="FFFFFF"/>
          </w:tcPr>
          <w:p w14:paraId="134370B1" w14:textId="77777777" w:rsidR="0083687B" w:rsidRPr="00172A4E" w:rsidRDefault="0083687B" w:rsidP="00EB3350">
            <w:pPr>
              <w:keepNext/>
              <w:tabs>
                <w:tab w:val="left" w:pos="562"/>
              </w:tabs>
              <w:autoSpaceDE w:val="0"/>
              <w:spacing w:after="200"/>
              <w:jc w:val="both"/>
              <w:rPr>
                <w:b/>
                <w:bCs/>
                <w:sz w:val="22"/>
                <w:szCs w:val="22"/>
                <w:lang w:eastAsia="bs-Latn-BA"/>
              </w:rPr>
            </w:pPr>
            <w:r w:rsidRPr="00172A4E">
              <w:rPr>
                <w:b/>
                <w:bCs/>
                <w:sz w:val="22"/>
                <w:szCs w:val="22"/>
                <w:lang w:eastAsia="bs-Latn-BA"/>
              </w:rPr>
              <w:t>Niska doza</w:t>
            </w:r>
          </w:p>
        </w:tc>
        <w:tc>
          <w:tcPr>
            <w:tcW w:w="1980" w:type="dxa"/>
            <w:tcBorders>
              <w:top w:val="single" w:sz="1" w:space="0" w:color="000000"/>
              <w:left w:val="single" w:sz="1" w:space="0" w:color="000000"/>
              <w:bottom w:val="single" w:sz="1" w:space="0" w:color="000000"/>
              <w:right w:val="single" w:sz="1" w:space="0" w:color="000000"/>
            </w:tcBorders>
            <w:shd w:val="clear" w:color="auto" w:fill="FFFFFF"/>
          </w:tcPr>
          <w:p w14:paraId="1D4701AE" w14:textId="77777777" w:rsidR="0083687B" w:rsidRPr="00172A4E" w:rsidRDefault="0083687B" w:rsidP="00EB3350">
            <w:pPr>
              <w:keepNext/>
              <w:tabs>
                <w:tab w:val="left" w:pos="562"/>
              </w:tabs>
              <w:autoSpaceDE w:val="0"/>
              <w:spacing w:after="200"/>
              <w:jc w:val="both"/>
              <w:rPr>
                <w:sz w:val="22"/>
                <w:szCs w:val="22"/>
                <w:lang w:val="bs-Latn-BA" w:eastAsia="bs-Latn-BA"/>
              </w:rPr>
            </w:pPr>
            <w:r w:rsidRPr="00172A4E">
              <w:rPr>
                <w:b/>
                <w:bCs/>
                <w:sz w:val="22"/>
                <w:szCs w:val="22"/>
                <w:lang w:eastAsia="bs-Latn-BA"/>
              </w:rPr>
              <w:t>Standardna doza</w:t>
            </w:r>
          </w:p>
        </w:tc>
      </w:tr>
      <w:tr w:rsidR="0083687B" w:rsidRPr="003849E5" w14:paraId="2F5FE58A" w14:textId="77777777" w:rsidTr="0088568A">
        <w:trPr>
          <w:trHeight w:val="23"/>
        </w:trPr>
        <w:tc>
          <w:tcPr>
            <w:tcW w:w="1720" w:type="dxa"/>
            <w:tcBorders>
              <w:top w:val="single" w:sz="1" w:space="0" w:color="000000"/>
              <w:left w:val="single" w:sz="1" w:space="0" w:color="000000"/>
              <w:bottom w:val="single" w:sz="1" w:space="0" w:color="000000"/>
            </w:tcBorders>
            <w:shd w:val="clear" w:color="auto" w:fill="FFFFFF"/>
          </w:tcPr>
          <w:p w14:paraId="6550F83D" w14:textId="77777777" w:rsidR="0083687B" w:rsidRPr="00172A4E" w:rsidRDefault="0083687B" w:rsidP="00EB3350">
            <w:pPr>
              <w:keepNext/>
              <w:tabs>
                <w:tab w:val="left" w:pos="562"/>
              </w:tabs>
              <w:autoSpaceDE w:val="0"/>
              <w:spacing w:after="200"/>
              <w:jc w:val="both"/>
              <w:rPr>
                <w:sz w:val="22"/>
                <w:szCs w:val="22"/>
                <w:lang w:eastAsia="bs-Latn-BA"/>
              </w:rPr>
            </w:pPr>
            <w:r w:rsidRPr="00172A4E">
              <w:rPr>
                <w:sz w:val="22"/>
                <w:szCs w:val="22"/>
                <w:lang w:eastAsia="bs-Latn-BA"/>
              </w:rPr>
              <w:t>&lt; 40 kg</w:t>
            </w:r>
          </w:p>
        </w:tc>
        <w:tc>
          <w:tcPr>
            <w:tcW w:w="1622" w:type="dxa"/>
            <w:tcBorders>
              <w:top w:val="single" w:sz="1" w:space="0" w:color="000000"/>
              <w:left w:val="single" w:sz="1" w:space="0" w:color="000000"/>
              <w:bottom w:val="single" w:sz="1" w:space="0" w:color="000000"/>
            </w:tcBorders>
            <w:shd w:val="clear" w:color="auto" w:fill="FFFFFF"/>
          </w:tcPr>
          <w:p w14:paraId="6E50352B" w14:textId="0A621E37" w:rsidR="0083687B" w:rsidRPr="00172A4E" w:rsidRDefault="0083687B" w:rsidP="00EB3350">
            <w:pPr>
              <w:keepNext/>
              <w:tabs>
                <w:tab w:val="left" w:pos="562"/>
              </w:tabs>
              <w:autoSpaceDE w:val="0"/>
              <w:spacing w:after="200"/>
              <w:jc w:val="both"/>
              <w:rPr>
                <w:sz w:val="22"/>
                <w:szCs w:val="22"/>
                <w:lang w:eastAsia="bs-Latn-BA"/>
              </w:rPr>
            </w:pPr>
            <w:r w:rsidRPr="00172A4E">
              <w:rPr>
                <w:sz w:val="22"/>
                <w:szCs w:val="22"/>
                <w:lang w:eastAsia="bs-Latn-BA"/>
              </w:rPr>
              <w:t xml:space="preserve">10 mg svake druge </w:t>
            </w:r>
            <w:r w:rsidR="00385A88">
              <w:rPr>
                <w:sz w:val="22"/>
                <w:szCs w:val="22"/>
                <w:lang w:eastAsia="bs-Latn-BA"/>
              </w:rPr>
              <w:t>nedjelje</w:t>
            </w:r>
          </w:p>
        </w:tc>
        <w:tc>
          <w:tcPr>
            <w:tcW w:w="1980" w:type="dxa"/>
            <w:tcBorders>
              <w:top w:val="single" w:sz="1" w:space="0" w:color="000000"/>
              <w:left w:val="single" w:sz="1" w:space="0" w:color="000000"/>
              <w:bottom w:val="single" w:sz="1" w:space="0" w:color="000000"/>
              <w:right w:val="single" w:sz="1" w:space="0" w:color="000000"/>
            </w:tcBorders>
            <w:shd w:val="clear" w:color="auto" w:fill="FFFFFF"/>
          </w:tcPr>
          <w:p w14:paraId="161499E0" w14:textId="712DC792" w:rsidR="0083687B" w:rsidRPr="00172A4E" w:rsidRDefault="0083687B" w:rsidP="00EB3350">
            <w:pPr>
              <w:keepNext/>
              <w:tabs>
                <w:tab w:val="left" w:pos="562"/>
              </w:tabs>
              <w:autoSpaceDE w:val="0"/>
              <w:spacing w:after="200"/>
              <w:jc w:val="both"/>
              <w:rPr>
                <w:sz w:val="22"/>
                <w:szCs w:val="22"/>
                <w:lang w:val="bs-Latn-BA" w:eastAsia="bs-Latn-BA"/>
              </w:rPr>
            </w:pPr>
            <w:r w:rsidRPr="00172A4E">
              <w:rPr>
                <w:sz w:val="22"/>
                <w:szCs w:val="22"/>
                <w:lang w:eastAsia="bs-Latn-BA"/>
              </w:rPr>
              <w:t xml:space="preserve">20 mg svake druge </w:t>
            </w:r>
            <w:r w:rsidR="00385A88">
              <w:rPr>
                <w:sz w:val="22"/>
                <w:szCs w:val="22"/>
                <w:lang w:eastAsia="bs-Latn-BA"/>
              </w:rPr>
              <w:t>nedjelje</w:t>
            </w:r>
          </w:p>
        </w:tc>
      </w:tr>
      <w:tr w:rsidR="0083687B" w:rsidRPr="003849E5" w14:paraId="007F1D3E" w14:textId="77777777" w:rsidTr="0088568A">
        <w:trPr>
          <w:trHeight w:val="23"/>
        </w:trPr>
        <w:tc>
          <w:tcPr>
            <w:tcW w:w="1720" w:type="dxa"/>
            <w:tcBorders>
              <w:top w:val="single" w:sz="1" w:space="0" w:color="000000"/>
              <w:left w:val="single" w:sz="1" w:space="0" w:color="000000"/>
              <w:bottom w:val="single" w:sz="1" w:space="0" w:color="000000"/>
            </w:tcBorders>
            <w:shd w:val="clear" w:color="auto" w:fill="FFFFFF"/>
          </w:tcPr>
          <w:p w14:paraId="0CF5BDB2" w14:textId="77777777" w:rsidR="0083687B" w:rsidRPr="00172A4E" w:rsidRDefault="0083687B" w:rsidP="00EB3350">
            <w:pPr>
              <w:tabs>
                <w:tab w:val="left" w:pos="562"/>
              </w:tabs>
              <w:autoSpaceDE w:val="0"/>
              <w:spacing w:after="200"/>
              <w:jc w:val="both"/>
              <w:rPr>
                <w:sz w:val="22"/>
                <w:szCs w:val="22"/>
                <w:lang w:eastAsia="bs-Latn-BA"/>
              </w:rPr>
            </w:pPr>
            <w:r w:rsidRPr="00172A4E">
              <w:rPr>
                <w:sz w:val="22"/>
                <w:szCs w:val="22"/>
                <w:lang w:eastAsia="bs-Latn-BA"/>
              </w:rPr>
              <w:t>≥ 40 kg</w:t>
            </w:r>
          </w:p>
        </w:tc>
        <w:tc>
          <w:tcPr>
            <w:tcW w:w="1622" w:type="dxa"/>
            <w:tcBorders>
              <w:top w:val="single" w:sz="1" w:space="0" w:color="000000"/>
              <w:left w:val="single" w:sz="1" w:space="0" w:color="000000"/>
              <w:bottom w:val="single" w:sz="1" w:space="0" w:color="000000"/>
            </w:tcBorders>
            <w:shd w:val="clear" w:color="auto" w:fill="FFFFFF"/>
          </w:tcPr>
          <w:p w14:paraId="4A7B11FB" w14:textId="044E1099" w:rsidR="0083687B" w:rsidRPr="00172A4E" w:rsidRDefault="0083687B" w:rsidP="00EB3350">
            <w:pPr>
              <w:tabs>
                <w:tab w:val="left" w:pos="562"/>
              </w:tabs>
              <w:autoSpaceDE w:val="0"/>
              <w:spacing w:after="200"/>
              <w:jc w:val="both"/>
              <w:rPr>
                <w:sz w:val="22"/>
                <w:szCs w:val="22"/>
                <w:lang w:eastAsia="bs-Latn-BA"/>
              </w:rPr>
            </w:pPr>
            <w:r w:rsidRPr="00172A4E">
              <w:rPr>
                <w:sz w:val="22"/>
                <w:szCs w:val="22"/>
                <w:lang w:eastAsia="bs-Latn-BA"/>
              </w:rPr>
              <w:t xml:space="preserve">20 mg svake druge </w:t>
            </w:r>
            <w:r w:rsidR="00385A88">
              <w:rPr>
                <w:sz w:val="22"/>
                <w:szCs w:val="22"/>
                <w:lang w:eastAsia="bs-Latn-BA"/>
              </w:rPr>
              <w:t>nedjelje</w:t>
            </w:r>
          </w:p>
        </w:tc>
        <w:tc>
          <w:tcPr>
            <w:tcW w:w="1980" w:type="dxa"/>
            <w:tcBorders>
              <w:top w:val="single" w:sz="1" w:space="0" w:color="000000"/>
              <w:left w:val="single" w:sz="1" w:space="0" w:color="000000"/>
              <w:bottom w:val="single" w:sz="1" w:space="0" w:color="000000"/>
              <w:right w:val="single" w:sz="1" w:space="0" w:color="000000"/>
            </w:tcBorders>
            <w:shd w:val="clear" w:color="auto" w:fill="FFFFFF"/>
          </w:tcPr>
          <w:p w14:paraId="6E6DAC7D" w14:textId="41DF6811" w:rsidR="0083687B" w:rsidRPr="00172A4E" w:rsidRDefault="0083687B" w:rsidP="00EB3350">
            <w:pPr>
              <w:tabs>
                <w:tab w:val="left" w:pos="562"/>
              </w:tabs>
              <w:autoSpaceDE w:val="0"/>
              <w:spacing w:after="200"/>
              <w:jc w:val="both"/>
              <w:rPr>
                <w:sz w:val="22"/>
                <w:szCs w:val="22"/>
                <w:lang w:val="bs-Latn-BA" w:eastAsia="bs-Latn-BA"/>
              </w:rPr>
            </w:pPr>
            <w:r w:rsidRPr="00172A4E">
              <w:rPr>
                <w:sz w:val="22"/>
                <w:szCs w:val="22"/>
                <w:lang w:eastAsia="bs-Latn-BA"/>
              </w:rPr>
              <w:t xml:space="preserve">40 mg svake druge </w:t>
            </w:r>
            <w:r w:rsidR="00385A88">
              <w:rPr>
                <w:sz w:val="22"/>
                <w:szCs w:val="22"/>
                <w:lang w:eastAsia="bs-Latn-BA"/>
              </w:rPr>
              <w:t>nedjelje</w:t>
            </w:r>
          </w:p>
        </w:tc>
      </w:tr>
    </w:tbl>
    <w:p w14:paraId="2791814E" w14:textId="77777777" w:rsidR="0083687B" w:rsidRPr="00172A4E" w:rsidRDefault="0083687B" w:rsidP="00EB3350">
      <w:pPr>
        <w:tabs>
          <w:tab w:val="left" w:pos="562"/>
        </w:tabs>
        <w:autoSpaceDE w:val="0"/>
        <w:spacing w:after="200"/>
        <w:jc w:val="both"/>
        <w:rPr>
          <w:sz w:val="22"/>
          <w:szCs w:val="22"/>
          <w:lang w:eastAsia="bs-Latn-BA"/>
        </w:rPr>
      </w:pPr>
    </w:p>
    <w:p w14:paraId="141A6681" w14:textId="77777777" w:rsidR="0083687B" w:rsidRPr="00172A4E" w:rsidRDefault="0083687B" w:rsidP="00EB3350">
      <w:pPr>
        <w:tabs>
          <w:tab w:val="left" w:pos="562"/>
        </w:tabs>
        <w:autoSpaceDE w:val="0"/>
        <w:spacing w:after="200"/>
        <w:jc w:val="both"/>
        <w:rPr>
          <w:sz w:val="22"/>
          <w:szCs w:val="22"/>
          <w:lang w:eastAsia="bs-Latn-BA"/>
        </w:rPr>
      </w:pPr>
      <w:r w:rsidRPr="00172A4E">
        <w:rPr>
          <w:i/>
          <w:iCs/>
          <w:sz w:val="22"/>
          <w:szCs w:val="22"/>
          <w:u w:val="single"/>
          <w:lang w:eastAsia="bs-Latn-BA"/>
        </w:rPr>
        <w:t>Rezultati efikasnosti</w:t>
      </w:r>
    </w:p>
    <w:p w14:paraId="53DB27AF" w14:textId="78EBC1C5" w:rsidR="0083687B" w:rsidRPr="00172A4E" w:rsidRDefault="0083687B" w:rsidP="00730D96">
      <w:pPr>
        <w:tabs>
          <w:tab w:val="left" w:pos="562"/>
        </w:tabs>
        <w:autoSpaceDE w:val="0"/>
        <w:spacing w:after="200"/>
        <w:jc w:val="both"/>
        <w:rPr>
          <w:sz w:val="22"/>
          <w:szCs w:val="22"/>
          <w:lang w:eastAsia="bs-Latn-BA"/>
        </w:rPr>
      </w:pPr>
      <w:r w:rsidRPr="00172A4E">
        <w:rPr>
          <w:sz w:val="22"/>
          <w:szCs w:val="22"/>
          <w:lang w:eastAsia="bs-Latn-BA"/>
        </w:rPr>
        <w:t>Primarna mjera ishoda ispitivanja bi</w:t>
      </w:r>
      <w:r w:rsidR="00AC659F">
        <w:rPr>
          <w:sz w:val="22"/>
          <w:szCs w:val="22"/>
          <w:lang w:eastAsia="bs-Latn-BA"/>
        </w:rPr>
        <w:t>la</w:t>
      </w:r>
      <w:r w:rsidRPr="00172A4E">
        <w:rPr>
          <w:sz w:val="22"/>
          <w:szCs w:val="22"/>
          <w:lang w:eastAsia="bs-Latn-BA"/>
        </w:rPr>
        <w:t xml:space="preserve"> je klini</w:t>
      </w:r>
      <w:r w:rsidRPr="00172A4E">
        <w:rPr>
          <w:sz w:val="22"/>
          <w:szCs w:val="22"/>
          <w:lang w:val="hr-HR" w:eastAsia="bs-Latn-BA"/>
        </w:rPr>
        <w:t xml:space="preserve">čka remisija u </w:t>
      </w:r>
      <w:r w:rsidR="00AC659F">
        <w:rPr>
          <w:sz w:val="22"/>
          <w:szCs w:val="22"/>
          <w:lang w:val="hr-HR" w:eastAsia="bs-Latn-BA"/>
        </w:rPr>
        <w:t>26. nedjelji</w:t>
      </w:r>
      <w:r w:rsidRPr="00172A4E">
        <w:rPr>
          <w:sz w:val="22"/>
          <w:szCs w:val="22"/>
          <w:lang w:val="hr-HR" w:eastAsia="bs-Latn-BA"/>
        </w:rPr>
        <w:t>, definisana kao PCDAI rezultat ≤10.</w:t>
      </w:r>
    </w:p>
    <w:p w14:paraId="198E4B57" w14:textId="4437B0AA" w:rsidR="0083687B" w:rsidRPr="00172A4E" w:rsidRDefault="0083687B">
      <w:pPr>
        <w:tabs>
          <w:tab w:val="left" w:pos="562"/>
        </w:tabs>
        <w:autoSpaceDE w:val="0"/>
        <w:spacing w:after="200"/>
        <w:jc w:val="both"/>
        <w:rPr>
          <w:sz w:val="22"/>
          <w:szCs w:val="22"/>
          <w:lang w:eastAsia="bs-Latn-BA"/>
        </w:rPr>
      </w:pPr>
      <w:r w:rsidRPr="00172A4E">
        <w:rPr>
          <w:sz w:val="22"/>
          <w:szCs w:val="22"/>
          <w:lang w:eastAsia="bs-Latn-BA"/>
        </w:rPr>
        <w:t>Stope klini</w:t>
      </w:r>
      <w:r w:rsidRPr="00172A4E">
        <w:rPr>
          <w:sz w:val="22"/>
          <w:szCs w:val="22"/>
          <w:lang w:val="hr-HR" w:eastAsia="bs-Latn-BA"/>
        </w:rPr>
        <w:t xml:space="preserve">čke remisije i kliničkog odgovora (definisano kao smanjenje PCDAI rezultata za barem 15 bodova </w:t>
      </w:r>
      <w:proofErr w:type="gramStart"/>
      <w:r w:rsidRPr="00172A4E">
        <w:rPr>
          <w:sz w:val="22"/>
          <w:szCs w:val="22"/>
          <w:lang w:val="hr-HR" w:eastAsia="bs-Latn-BA"/>
        </w:rPr>
        <w:t>od</w:t>
      </w:r>
      <w:proofErr w:type="gramEnd"/>
      <w:r w:rsidRPr="00172A4E">
        <w:rPr>
          <w:sz w:val="22"/>
          <w:szCs w:val="22"/>
          <w:lang w:val="hr-HR" w:eastAsia="bs-Latn-BA"/>
        </w:rPr>
        <w:t xml:space="preserve"> početne vrijednosti) prikazane su u Tabeli </w:t>
      </w:r>
      <w:r w:rsidR="00AC659F">
        <w:rPr>
          <w:sz w:val="22"/>
          <w:szCs w:val="22"/>
          <w:lang w:val="hr-HR" w:eastAsia="bs-Latn-BA"/>
        </w:rPr>
        <w:t>21</w:t>
      </w:r>
      <w:r w:rsidRPr="00172A4E">
        <w:rPr>
          <w:sz w:val="22"/>
          <w:szCs w:val="22"/>
          <w:lang w:val="hr-HR" w:eastAsia="bs-Latn-BA"/>
        </w:rPr>
        <w:t xml:space="preserve">. Stope prestanka uzimanja kortikosteroida ili imunomodulatora prikazane su u Tabeli </w:t>
      </w:r>
      <w:r w:rsidR="00AC659F">
        <w:rPr>
          <w:sz w:val="22"/>
          <w:szCs w:val="22"/>
          <w:lang w:val="hr-HR" w:eastAsia="bs-Latn-BA"/>
        </w:rPr>
        <w:t>22</w:t>
      </w:r>
      <w:r w:rsidRPr="00172A4E">
        <w:rPr>
          <w:sz w:val="22"/>
          <w:szCs w:val="22"/>
          <w:lang w:val="hr-HR" w:eastAsia="bs-Latn-BA"/>
        </w:rPr>
        <w:t>.</w:t>
      </w:r>
    </w:p>
    <w:p w14:paraId="02ED13D6" w14:textId="77777777" w:rsidR="0083687B" w:rsidRPr="00172A4E" w:rsidRDefault="0083687B">
      <w:pPr>
        <w:tabs>
          <w:tab w:val="left" w:pos="562"/>
        </w:tabs>
        <w:autoSpaceDE w:val="0"/>
        <w:spacing w:after="120"/>
        <w:jc w:val="both"/>
        <w:rPr>
          <w:sz w:val="22"/>
          <w:szCs w:val="22"/>
          <w:lang w:eastAsia="bs-Latn-BA"/>
        </w:rPr>
      </w:pPr>
    </w:p>
    <w:tbl>
      <w:tblPr>
        <w:tblW w:w="0" w:type="auto"/>
        <w:tblInd w:w="1153" w:type="dxa"/>
        <w:tblLayout w:type="fixed"/>
        <w:tblCellMar>
          <w:left w:w="28" w:type="dxa"/>
          <w:right w:w="28" w:type="dxa"/>
        </w:tblCellMar>
        <w:tblLook w:val="0000" w:firstRow="0" w:lastRow="0" w:firstColumn="0" w:lastColumn="0" w:noHBand="0" w:noVBand="0"/>
      </w:tblPr>
      <w:tblGrid>
        <w:gridCol w:w="2321"/>
        <w:gridCol w:w="1614"/>
        <w:gridCol w:w="1591"/>
        <w:gridCol w:w="1257"/>
      </w:tblGrid>
      <w:tr w:rsidR="0083687B" w:rsidRPr="003849E5" w14:paraId="1AF7B71D" w14:textId="77777777" w:rsidTr="0088568A">
        <w:trPr>
          <w:trHeight w:val="23"/>
        </w:trPr>
        <w:tc>
          <w:tcPr>
            <w:tcW w:w="6783" w:type="dxa"/>
            <w:gridSpan w:val="4"/>
            <w:tcBorders>
              <w:top w:val="nil"/>
              <w:bottom w:val="single" w:sz="1" w:space="0" w:color="000000"/>
            </w:tcBorders>
            <w:shd w:val="clear" w:color="auto" w:fill="FFFFFF"/>
          </w:tcPr>
          <w:p w14:paraId="608CF74A" w14:textId="16A0CF1F" w:rsidR="0083687B" w:rsidRPr="00172A4E" w:rsidRDefault="0083687B" w:rsidP="00EB3350">
            <w:pPr>
              <w:keepNext/>
              <w:tabs>
                <w:tab w:val="left" w:pos="-878"/>
                <w:tab w:val="left" w:pos="562"/>
              </w:tabs>
              <w:autoSpaceDE w:val="0"/>
              <w:spacing w:after="120"/>
              <w:ind w:left="15"/>
              <w:jc w:val="both"/>
              <w:rPr>
                <w:sz w:val="22"/>
                <w:szCs w:val="22"/>
                <w:lang w:val="bs-Latn-BA" w:eastAsia="bs-Latn-BA"/>
              </w:rPr>
            </w:pPr>
            <w:r w:rsidRPr="00172A4E">
              <w:rPr>
                <w:b/>
                <w:bCs/>
                <w:sz w:val="22"/>
                <w:szCs w:val="22"/>
                <w:lang w:eastAsia="bs-Latn-BA"/>
              </w:rPr>
              <w:lastRenderedPageBreak/>
              <w:t xml:space="preserve">Tabela </w:t>
            </w:r>
            <w:r w:rsidR="00AC659F">
              <w:rPr>
                <w:b/>
                <w:bCs/>
                <w:sz w:val="22"/>
                <w:szCs w:val="22"/>
                <w:lang w:eastAsia="bs-Latn-BA"/>
              </w:rPr>
              <w:t>21</w:t>
            </w:r>
            <w:r w:rsidR="009E0DAA">
              <w:rPr>
                <w:b/>
                <w:bCs/>
                <w:sz w:val="22"/>
                <w:szCs w:val="22"/>
                <w:lang w:eastAsia="bs-Latn-BA"/>
              </w:rPr>
              <w:t xml:space="preserve">. </w:t>
            </w:r>
            <w:r w:rsidRPr="00172A4E">
              <w:rPr>
                <w:b/>
                <w:bCs/>
                <w:sz w:val="22"/>
                <w:szCs w:val="22"/>
                <w:lang w:eastAsia="bs-Latn-BA"/>
              </w:rPr>
              <w:t xml:space="preserve">Ispitivanje </w:t>
            </w:r>
            <w:r w:rsidR="00CB003E">
              <w:rPr>
                <w:b/>
                <w:bCs/>
                <w:sz w:val="22"/>
                <w:szCs w:val="22"/>
                <w:lang w:eastAsia="bs-Latn-BA"/>
              </w:rPr>
              <w:t xml:space="preserve">kod </w:t>
            </w:r>
            <w:r w:rsidRPr="00172A4E">
              <w:rPr>
                <w:b/>
                <w:bCs/>
                <w:sz w:val="22"/>
                <w:szCs w:val="22"/>
                <w:lang w:eastAsia="bs-Latn-BA"/>
              </w:rPr>
              <w:t xml:space="preserve">Crohnove bolesti </w:t>
            </w:r>
            <w:r w:rsidR="00AC659F">
              <w:rPr>
                <w:b/>
                <w:bCs/>
                <w:sz w:val="22"/>
                <w:szCs w:val="22"/>
                <w:lang w:eastAsia="bs-Latn-BA"/>
              </w:rPr>
              <w:t>kod</w:t>
            </w:r>
            <w:r w:rsidRPr="00172A4E">
              <w:rPr>
                <w:b/>
                <w:bCs/>
                <w:sz w:val="22"/>
                <w:szCs w:val="22"/>
                <w:lang w:eastAsia="bs-Latn-BA"/>
              </w:rPr>
              <w:t xml:space="preserve"> djecePCDAI klini</w:t>
            </w:r>
            <w:r w:rsidRPr="00172A4E">
              <w:rPr>
                <w:b/>
                <w:bCs/>
                <w:sz w:val="22"/>
                <w:szCs w:val="22"/>
                <w:lang w:val="hr-HR" w:eastAsia="bs-Latn-BA"/>
              </w:rPr>
              <w:t>čka remisija i odgovor</w:t>
            </w:r>
          </w:p>
        </w:tc>
      </w:tr>
      <w:tr w:rsidR="0083687B" w:rsidRPr="003849E5" w14:paraId="7F8E2DCC" w14:textId="77777777" w:rsidTr="0088568A">
        <w:trPr>
          <w:trHeight w:val="23"/>
        </w:trPr>
        <w:tc>
          <w:tcPr>
            <w:tcW w:w="2321" w:type="dxa"/>
            <w:tcBorders>
              <w:top w:val="single" w:sz="1" w:space="0" w:color="000000"/>
              <w:left w:val="single" w:sz="1" w:space="0" w:color="000000"/>
              <w:bottom w:val="single" w:sz="1" w:space="0" w:color="000000"/>
            </w:tcBorders>
            <w:shd w:val="clear" w:color="auto" w:fill="FFFFFF"/>
          </w:tcPr>
          <w:p w14:paraId="2C389639" w14:textId="77777777" w:rsidR="0083687B" w:rsidRPr="00172A4E" w:rsidRDefault="0083687B" w:rsidP="00EB3350">
            <w:pPr>
              <w:keepNext/>
              <w:keepLines/>
              <w:tabs>
                <w:tab w:val="left" w:pos="-1080"/>
                <w:tab w:val="left" w:pos="562"/>
              </w:tabs>
              <w:autoSpaceDE w:val="0"/>
              <w:snapToGrid w:val="0"/>
              <w:spacing w:after="200"/>
              <w:ind w:left="15"/>
              <w:jc w:val="both"/>
              <w:rPr>
                <w:rFonts w:eastAsia="Calibri"/>
                <w:sz w:val="22"/>
                <w:szCs w:val="22"/>
                <w:lang w:eastAsia="bs-Latn-BA"/>
              </w:rPr>
            </w:pPr>
          </w:p>
        </w:tc>
        <w:tc>
          <w:tcPr>
            <w:tcW w:w="1614" w:type="dxa"/>
            <w:tcBorders>
              <w:top w:val="single" w:sz="1" w:space="0" w:color="000000"/>
              <w:left w:val="single" w:sz="1" w:space="0" w:color="000000"/>
              <w:bottom w:val="single" w:sz="1" w:space="0" w:color="000000"/>
            </w:tcBorders>
            <w:shd w:val="clear" w:color="auto" w:fill="FFFFFF"/>
          </w:tcPr>
          <w:p w14:paraId="2948F769" w14:textId="32369807" w:rsidR="00CB003E" w:rsidRPr="00172A4E" w:rsidRDefault="0083687B" w:rsidP="00EB3350">
            <w:pPr>
              <w:keepNext/>
              <w:keepLines/>
              <w:tabs>
                <w:tab w:val="left" w:pos="-1080"/>
                <w:tab w:val="left" w:pos="562"/>
              </w:tabs>
              <w:autoSpaceDE w:val="0"/>
              <w:spacing w:after="200"/>
              <w:ind w:left="15"/>
              <w:jc w:val="both"/>
              <w:rPr>
                <w:b/>
                <w:bCs/>
                <w:sz w:val="22"/>
                <w:szCs w:val="22"/>
                <w:lang w:eastAsia="bs-Latn-BA"/>
              </w:rPr>
            </w:pPr>
            <w:r w:rsidRPr="00172A4E">
              <w:rPr>
                <w:b/>
                <w:bCs/>
                <w:sz w:val="22"/>
                <w:szCs w:val="22"/>
                <w:lang w:eastAsia="bs-Latn-BA"/>
              </w:rPr>
              <w:t>Standardna doza</w:t>
            </w:r>
          </w:p>
          <w:p w14:paraId="05F6BD0A" w14:textId="73730E1F" w:rsidR="0083687B" w:rsidRPr="00172A4E" w:rsidRDefault="0083687B" w:rsidP="00EB3350">
            <w:pPr>
              <w:keepNext/>
              <w:keepLines/>
              <w:tabs>
                <w:tab w:val="left" w:pos="-1080"/>
                <w:tab w:val="left" w:pos="562"/>
              </w:tabs>
              <w:autoSpaceDE w:val="0"/>
              <w:spacing w:after="200"/>
              <w:ind w:left="15"/>
              <w:jc w:val="both"/>
              <w:rPr>
                <w:b/>
                <w:bCs/>
                <w:sz w:val="22"/>
                <w:szCs w:val="22"/>
                <w:lang w:eastAsia="bs-Latn-BA"/>
              </w:rPr>
            </w:pPr>
            <w:r w:rsidRPr="00172A4E">
              <w:rPr>
                <w:b/>
                <w:bCs/>
                <w:sz w:val="22"/>
                <w:szCs w:val="22"/>
                <w:lang w:eastAsia="bs-Latn-BA"/>
              </w:rPr>
              <w:t xml:space="preserve">40/20 mg svake druge </w:t>
            </w:r>
            <w:r w:rsidR="00CB003E">
              <w:rPr>
                <w:b/>
                <w:bCs/>
                <w:sz w:val="22"/>
                <w:szCs w:val="22"/>
                <w:lang w:eastAsia="bs-Latn-BA"/>
              </w:rPr>
              <w:t>nedjelje</w:t>
            </w:r>
          </w:p>
          <w:p w14:paraId="65BECFD1" w14:textId="77777777" w:rsidR="0083687B" w:rsidRPr="00172A4E" w:rsidRDefault="0083687B" w:rsidP="00EB3350">
            <w:pPr>
              <w:keepNext/>
              <w:keepLines/>
              <w:tabs>
                <w:tab w:val="left" w:pos="-1080"/>
                <w:tab w:val="left" w:pos="562"/>
              </w:tabs>
              <w:autoSpaceDE w:val="0"/>
              <w:spacing w:after="200"/>
              <w:ind w:left="15"/>
              <w:jc w:val="both"/>
              <w:rPr>
                <w:b/>
                <w:bCs/>
                <w:sz w:val="22"/>
                <w:szCs w:val="22"/>
                <w:lang w:eastAsia="bs-Latn-BA"/>
              </w:rPr>
            </w:pPr>
            <w:r w:rsidRPr="00172A4E">
              <w:rPr>
                <w:b/>
                <w:bCs/>
                <w:sz w:val="22"/>
                <w:szCs w:val="22"/>
                <w:lang w:eastAsia="bs-Latn-BA"/>
              </w:rPr>
              <w:t>N = 93</w:t>
            </w:r>
          </w:p>
        </w:tc>
        <w:tc>
          <w:tcPr>
            <w:tcW w:w="1591" w:type="dxa"/>
            <w:tcBorders>
              <w:top w:val="single" w:sz="1" w:space="0" w:color="000000"/>
              <w:left w:val="single" w:sz="1" w:space="0" w:color="000000"/>
              <w:bottom w:val="single" w:sz="1" w:space="0" w:color="000000"/>
            </w:tcBorders>
            <w:shd w:val="clear" w:color="auto" w:fill="FFFFFF"/>
          </w:tcPr>
          <w:p w14:paraId="40F834CA" w14:textId="1FF1A357" w:rsidR="0083687B" w:rsidRPr="00172A4E" w:rsidRDefault="0083687B" w:rsidP="00EB3350">
            <w:pPr>
              <w:keepNext/>
              <w:keepLines/>
              <w:tabs>
                <w:tab w:val="left" w:pos="-1080"/>
                <w:tab w:val="left" w:pos="562"/>
              </w:tabs>
              <w:autoSpaceDE w:val="0"/>
              <w:spacing w:after="200"/>
              <w:ind w:left="15"/>
              <w:jc w:val="both"/>
              <w:rPr>
                <w:b/>
                <w:bCs/>
                <w:sz w:val="22"/>
                <w:szCs w:val="22"/>
                <w:lang w:eastAsia="bs-Latn-BA"/>
              </w:rPr>
            </w:pPr>
            <w:r w:rsidRPr="00172A4E">
              <w:rPr>
                <w:b/>
                <w:bCs/>
                <w:sz w:val="22"/>
                <w:szCs w:val="22"/>
                <w:lang w:eastAsia="bs-Latn-BA"/>
              </w:rPr>
              <w:t>Niska doza</w:t>
            </w:r>
          </w:p>
          <w:p w14:paraId="0D0E06E6" w14:textId="1413FFA0" w:rsidR="0083687B" w:rsidRPr="00172A4E" w:rsidRDefault="0083687B" w:rsidP="00EB3350">
            <w:pPr>
              <w:keepNext/>
              <w:keepLines/>
              <w:tabs>
                <w:tab w:val="left" w:pos="-1080"/>
                <w:tab w:val="left" w:pos="562"/>
              </w:tabs>
              <w:autoSpaceDE w:val="0"/>
              <w:spacing w:after="200"/>
              <w:jc w:val="both"/>
              <w:rPr>
                <w:b/>
                <w:bCs/>
                <w:sz w:val="22"/>
                <w:szCs w:val="22"/>
                <w:lang w:eastAsia="bs-Latn-BA"/>
              </w:rPr>
            </w:pPr>
            <w:r w:rsidRPr="00172A4E">
              <w:rPr>
                <w:b/>
                <w:bCs/>
                <w:sz w:val="22"/>
                <w:szCs w:val="22"/>
                <w:lang w:eastAsia="bs-Latn-BA"/>
              </w:rPr>
              <w:t xml:space="preserve">20/10 mg svake druge </w:t>
            </w:r>
            <w:r w:rsidR="00CB003E">
              <w:rPr>
                <w:b/>
                <w:bCs/>
                <w:sz w:val="22"/>
                <w:szCs w:val="22"/>
                <w:lang w:eastAsia="bs-Latn-BA"/>
              </w:rPr>
              <w:t>nedjelje</w:t>
            </w:r>
          </w:p>
          <w:p w14:paraId="6E2B4D0A" w14:textId="77777777" w:rsidR="0083687B" w:rsidRPr="00172A4E" w:rsidRDefault="0083687B" w:rsidP="00EB3350">
            <w:pPr>
              <w:keepNext/>
              <w:keepLines/>
              <w:tabs>
                <w:tab w:val="left" w:pos="-1080"/>
                <w:tab w:val="left" w:pos="562"/>
              </w:tabs>
              <w:autoSpaceDE w:val="0"/>
              <w:spacing w:after="200"/>
              <w:ind w:left="15"/>
              <w:jc w:val="both"/>
              <w:rPr>
                <w:b/>
                <w:bCs/>
                <w:sz w:val="22"/>
                <w:szCs w:val="22"/>
                <w:lang w:eastAsia="bs-Latn-BA"/>
              </w:rPr>
            </w:pPr>
            <w:r w:rsidRPr="00172A4E">
              <w:rPr>
                <w:b/>
                <w:bCs/>
                <w:sz w:val="22"/>
                <w:szCs w:val="22"/>
                <w:lang w:eastAsia="bs-Latn-BA"/>
              </w:rPr>
              <w:t>N = 95</w:t>
            </w:r>
          </w:p>
        </w:tc>
        <w:tc>
          <w:tcPr>
            <w:tcW w:w="1257" w:type="dxa"/>
            <w:tcBorders>
              <w:top w:val="single" w:sz="1" w:space="0" w:color="000000"/>
              <w:left w:val="single" w:sz="1" w:space="0" w:color="000000"/>
              <w:bottom w:val="single" w:sz="1" w:space="0" w:color="000000"/>
              <w:right w:val="single" w:sz="1" w:space="0" w:color="000000"/>
            </w:tcBorders>
            <w:shd w:val="clear" w:color="auto" w:fill="FFFFFF"/>
          </w:tcPr>
          <w:p w14:paraId="0E376E46" w14:textId="77777777" w:rsidR="0083687B" w:rsidRPr="00172A4E" w:rsidRDefault="0083687B" w:rsidP="00EB3350">
            <w:pPr>
              <w:keepNext/>
              <w:keepLines/>
              <w:tabs>
                <w:tab w:val="left" w:pos="-1080"/>
                <w:tab w:val="left" w:pos="562"/>
              </w:tabs>
              <w:autoSpaceDE w:val="0"/>
              <w:spacing w:after="200"/>
              <w:ind w:left="15"/>
              <w:jc w:val="both"/>
              <w:rPr>
                <w:sz w:val="22"/>
                <w:szCs w:val="22"/>
                <w:lang w:val="bs-Latn-BA" w:eastAsia="bs-Latn-BA"/>
              </w:rPr>
            </w:pPr>
            <w:r w:rsidRPr="00172A4E">
              <w:rPr>
                <w:b/>
                <w:bCs/>
                <w:sz w:val="22"/>
                <w:szCs w:val="22"/>
                <w:lang w:eastAsia="bs-Latn-BA"/>
              </w:rPr>
              <w:t>P vrijednost</w:t>
            </w:r>
            <w:r w:rsidRPr="00172A4E">
              <w:rPr>
                <w:sz w:val="22"/>
                <w:szCs w:val="22"/>
                <w:lang w:eastAsia="bs-Latn-BA"/>
              </w:rPr>
              <w:t>*</w:t>
            </w:r>
          </w:p>
        </w:tc>
      </w:tr>
      <w:tr w:rsidR="0083687B" w:rsidRPr="003849E5" w14:paraId="3D910596" w14:textId="77777777" w:rsidTr="0088568A">
        <w:trPr>
          <w:trHeight w:val="23"/>
        </w:trPr>
        <w:tc>
          <w:tcPr>
            <w:tcW w:w="2321" w:type="dxa"/>
            <w:tcBorders>
              <w:top w:val="single" w:sz="1" w:space="0" w:color="000000"/>
              <w:left w:val="single" w:sz="1" w:space="0" w:color="000000"/>
              <w:bottom w:val="single" w:sz="1" w:space="0" w:color="000000"/>
            </w:tcBorders>
            <w:shd w:val="clear" w:color="auto" w:fill="FFFFFF"/>
            <w:vAlign w:val="bottom"/>
          </w:tcPr>
          <w:p w14:paraId="0C7FD80F" w14:textId="5E424762" w:rsidR="0083687B" w:rsidRPr="00172A4E" w:rsidRDefault="00CB003E" w:rsidP="00EB3350">
            <w:pPr>
              <w:keepNext/>
              <w:keepLines/>
              <w:tabs>
                <w:tab w:val="left" w:pos="-1080"/>
                <w:tab w:val="left" w:pos="562"/>
              </w:tabs>
              <w:autoSpaceDE w:val="0"/>
              <w:spacing w:after="200"/>
              <w:ind w:left="15"/>
              <w:jc w:val="both"/>
              <w:rPr>
                <w:rFonts w:eastAsia="Calibri"/>
                <w:sz w:val="22"/>
                <w:szCs w:val="22"/>
                <w:lang w:eastAsia="bs-Latn-BA"/>
              </w:rPr>
            </w:pPr>
            <w:r>
              <w:rPr>
                <w:b/>
                <w:bCs/>
                <w:sz w:val="22"/>
                <w:szCs w:val="22"/>
                <w:lang w:eastAsia="bs-Latn-BA"/>
              </w:rPr>
              <w:t>26. nedjelja</w:t>
            </w:r>
          </w:p>
        </w:tc>
        <w:tc>
          <w:tcPr>
            <w:tcW w:w="1614" w:type="dxa"/>
            <w:tcBorders>
              <w:top w:val="single" w:sz="1" w:space="0" w:color="000000"/>
              <w:left w:val="single" w:sz="1" w:space="0" w:color="000000"/>
              <w:bottom w:val="single" w:sz="1" w:space="0" w:color="000000"/>
            </w:tcBorders>
            <w:shd w:val="clear" w:color="auto" w:fill="FFFFFF"/>
            <w:vAlign w:val="bottom"/>
          </w:tcPr>
          <w:p w14:paraId="1F906F20" w14:textId="77777777" w:rsidR="0083687B" w:rsidRPr="00172A4E" w:rsidRDefault="0083687B" w:rsidP="00EB3350">
            <w:pPr>
              <w:keepNext/>
              <w:keepLines/>
              <w:tabs>
                <w:tab w:val="left" w:pos="-1080"/>
                <w:tab w:val="left" w:pos="562"/>
              </w:tabs>
              <w:autoSpaceDE w:val="0"/>
              <w:snapToGrid w:val="0"/>
              <w:spacing w:after="200"/>
              <w:ind w:left="15"/>
              <w:jc w:val="both"/>
              <w:rPr>
                <w:rFonts w:eastAsia="Calibri"/>
                <w:sz w:val="22"/>
                <w:szCs w:val="22"/>
                <w:lang w:eastAsia="bs-Latn-BA"/>
              </w:rPr>
            </w:pPr>
          </w:p>
        </w:tc>
        <w:tc>
          <w:tcPr>
            <w:tcW w:w="1591" w:type="dxa"/>
            <w:tcBorders>
              <w:top w:val="single" w:sz="1" w:space="0" w:color="000000"/>
              <w:left w:val="single" w:sz="1" w:space="0" w:color="000000"/>
              <w:bottom w:val="single" w:sz="1" w:space="0" w:color="000000"/>
            </w:tcBorders>
            <w:shd w:val="clear" w:color="auto" w:fill="FFFFFF"/>
            <w:vAlign w:val="bottom"/>
          </w:tcPr>
          <w:p w14:paraId="0303D088" w14:textId="77777777" w:rsidR="0083687B" w:rsidRPr="00172A4E" w:rsidRDefault="0083687B" w:rsidP="00EB3350">
            <w:pPr>
              <w:keepNext/>
              <w:keepLines/>
              <w:tabs>
                <w:tab w:val="left" w:pos="-1080"/>
                <w:tab w:val="left" w:pos="562"/>
              </w:tabs>
              <w:autoSpaceDE w:val="0"/>
              <w:snapToGrid w:val="0"/>
              <w:spacing w:after="200"/>
              <w:ind w:left="15"/>
              <w:jc w:val="both"/>
              <w:rPr>
                <w:rFonts w:eastAsia="Calibri"/>
                <w:sz w:val="22"/>
                <w:szCs w:val="22"/>
                <w:lang w:eastAsia="bs-Latn-BA"/>
              </w:rPr>
            </w:pPr>
          </w:p>
        </w:tc>
        <w:tc>
          <w:tcPr>
            <w:tcW w:w="1257" w:type="dxa"/>
            <w:tcBorders>
              <w:top w:val="single" w:sz="1" w:space="0" w:color="000000"/>
              <w:left w:val="single" w:sz="1" w:space="0" w:color="000000"/>
              <w:bottom w:val="single" w:sz="1" w:space="0" w:color="000000"/>
              <w:right w:val="single" w:sz="1" w:space="0" w:color="000000"/>
            </w:tcBorders>
            <w:shd w:val="clear" w:color="auto" w:fill="FFFFFF"/>
            <w:vAlign w:val="bottom"/>
          </w:tcPr>
          <w:p w14:paraId="4463A3D5" w14:textId="77777777" w:rsidR="0083687B" w:rsidRPr="00172A4E" w:rsidRDefault="0083687B" w:rsidP="00EB3350">
            <w:pPr>
              <w:keepNext/>
              <w:tabs>
                <w:tab w:val="left" w:pos="562"/>
              </w:tabs>
              <w:autoSpaceDE w:val="0"/>
              <w:snapToGrid w:val="0"/>
              <w:spacing w:after="200"/>
              <w:ind w:left="15"/>
              <w:jc w:val="both"/>
              <w:rPr>
                <w:rFonts w:eastAsia="Calibri"/>
                <w:sz w:val="22"/>
                <w:szCs w:val="22"/>
                <w:lang w:eastAsia="bs-Latn-BA"/>
              </w:rPr>
            </w:pPr>
          </w:p>
        </w:tc>
      </w:tr>
      <w:tr w:rsidR="0083687B" w:rsidRPr="003849E5" w14:paraId="36F5F054" w14:textId="77777777" w:rsidTr="0088568A">
        <w:trPr>
          <w:trHeight w:val="23"/>
        </w:trPr>
        <w:tc>
          <w:tcPr>
            <w:tcW w:w="2321" w:type="dxa"/>
            <w:tcBorders>
              <w:top w:val="single" w:sz="1" w:space="0" w:color="000000"/>
              <w:left w:val="single" w:sz="1" w:space="0" w:color="000000"/>
              <w:bottom w:val="single" w:sz="1" w:space="0" w:color="000000"/>
            </w:tcBorders>
            <w:shd w:val="clear" w:color="auto" w:fill="FFFFFF"/>
            <w:vAlign w:val="bottom"/>
          </w:tcPr>
          <w:p w14:paraId="7F9028D9" w14:textId="77777777" w:rsidR="0083687B" w:rsidRPr="00172A4E" w:rsidRDefault="0083687B" w:rsidP="00EB3350">
            <w:pPr>
              <w:keepNext/>
              <w:keepLines/>
              <w:tabs>
                <w:tab w:val="left" w:pos="-1080"/>
                <w:tab w:val="left" w:pos="562"/>
              </w:tabs>
              <w:autoSpaceDE w:val="0"/>
              <w:spacing w:after="200"/>
              <w:ind w:left="15"/>
              <w:jc w:val="both"/>
              <w:rPr>
                <w:sz w:val="22"/>
                <w:szCs w:val="22"/>
                <w:lang w:eastAsia="bs-Latn-BA"/>
              </w:rPr>
            </w:pPr>
            <w:r w:rsidRPr="00172A4E">
              <w:rPr>
                <w:sz w:val="22"/>
                <w:szCs w:val="22"/>
                <w:lang w:eastAsia="bs-Latn-BA"/>
              </w:rPr>
              <w:t xml:space="preserve">   Klini</w:t>
            </w:r>
            <w:r w:rsidRPr="00172A4E">
              <w:rPr>
                <w:sz w:val="22"/>
                <w:szCs w:val="22"/>
                <w:lang w:val="hr-HR" w:eastAsia="bs-Latn-BA"/>
              </w:rPr>
              <w:t>čka remisija</w:t>
            </w:r>
          </w:p>
        </w:tc>
        <w:tc>
          <w:tcPr>
            <w:tcW w:w="1614" w:type="dxa"/>
            <w:tcBorders>
              <w:top w:val="single" w:sz="1" w:space="0" w:color="000000"/>
              <w:left w:val="single" w:sz="1" w:space="0" w:color="000000"/>
              <w:bottom w:val="single" w:sz="1" w:space="0" w:color="000000"/>
            </w:tcBorders>
            <w:shd w:val="clear" w:color="auto" w:fill="FFFFFF"/>
            <w:vAlign w:val="bottom"/>
          </w:tcPr>
          <w:p w14:paraId="587C1979" w14:textId="77777777" w:rsidR="0083687B" w:rsidRPr="00172A4E" w:rsidRDefault="0083687B" w:rsidP="00EB3350">
            <w:pPr>
              <w:keepNext/>
              <w:keepLines/>
              <w:tabs>
                <w:tab w:val="left" w:pos="-1080"/>
                <w:tab w:val="left" w:pos="562"/>
              </w:tabs>
              <w:autoSpaceDE w:val="0"/>
              <w:spacing w:after="200"/>
              <w:ind w:left="15"/>
              <w:jc w:val="both"/>
              <w:rPr>
                <w:sz w:val="22"/>
                <w:szCs w:val="22"/>
                <w:lang w:eastAsia="bs-Latn-BA"/>
              </w:rPr>
            </w:pPr>
            <w:r w:rsidRPr="00172A4E">
              <w:rPr>
                <w:sz w:val="22"/>
                <w:szCs w:val="22"/>
                <w:lang w:eastAsia="bs-Latn-BA"/>
              </w:rPr>
              <w:t>38,7%</w:t>
            </w:r>
          </w:p>
        </w:tc>
        <w:tc>
          <w:tcPr>
            <w:tcW w:w="1591" w:type="dxa"/>
            <w:tcBorders>
              <w:top w:val="single" w:sz="1" w:space="0" w:color="000000"/>
              <w:left w:val="single" w:sz="1" w:space="0" w:color="000000"/>
              <w:bottom w:val="single" w:sz="1" w:space="0" w:color="000000"/>
            </w:tcBorders>
            <w:shd w:val="clear" w:color="auto" w:fill="FFFFFF"/>
            <w:vAlign w:val="bottom"/>
          </w:tcPr>
          <w:p w14:paraId="2BEA0E8D" w14:textId="77777777" w:rsidR="0083687B" w:rsidRPr="00172A4E" w:rsidRDefault="0083687B" w:rsidP="00EB3350">
            <w:pPr>
              <w:keepNext/>
              <w:keepLines/>
              <w:tabs>
                <w:tab w:val="left" w:pos="-1080"/>
                <w:tab w:val="left" w:pos="562"/>
              </w:tabs>
              <w:autoSpaceDE w:val="0"/>
              <w:spacing w:after="200"/>
              <w:ind w:left="15"/>
              <w:jc w:val="both"/>
              <w:rPr>
                <w:sz w:val="22"/>
                <w:szCs w:val="22"/>
                <w:lang w:eastAsia="bs-Latn-BA"/>
              </w:rPr>
            </w:pPr>
            <w:r w:rsidRPr="00172A4E">
              <w:rPr>
                <w:sz w:val="22"/>
                <w:szCs w:val="22"/>
                <w:lang w:eastAsia="bs-Latn-BA"/>
              </w:rPr>
              <w:t>28,4%</w:t>
            </w:r>
          </w:p>
        </w:tc>
        <w:tc>
          <w:tcPr>
            <w:tcW w:w="1257" w:type="dxa"/>
            <w:tcBorders>
              <w:top w:val="single" w:sz="1" w:space="0" w:color="000000"/>
              <w:left w:val="single" w:sz="1" w:space="0" w:color="000000"/>
              <w:bottom w:val="single" w:sz="1" w:space="0" w:color="000000"/>
              <w:right w:val="single" w:sz="1" w:space="0" w:color="000000"/>
            </w:tcBorders>
            <w:shd w:val="clear" w:color="auto" w:fill="FFFFFF"/>
            <w:vAlign w:val="bottom"/>
          </w:tcPr>
          <w:p w14:paraId="4D3CF7A9" w14:textId="77777777" w:rsidR="0083687B" w:rsidRPr="00172A4E" w:rsidRDefault="0083687B" w:rsidP="00EB3350">
            <w:pPr>
              <w:keepNext/>
              <w:keepLines/>
              <w:tabs>
                <w:tab w:val="left" w:pos="-1080"/>
                <w:tab w:val="left" w:pos="562"/>
              </w:tabs>
              <w:autoSpaceDE w:val="0"/>
              <w:spacing w:after="200"/>
              <w:ind w:left="15"/>
              <w:jc w:val="both"/>
              <w:rPr>
                <w:sz w:val="22"/>
                <w:szCs w:val="22"/>
                <w:lang w:val="bs-Latn-BA" w:eastAsia="bs-Latn-BA"/>
              </w:rPr>
            </w:pPr>
            <w:r w:rsidRPr="00172A4E">
              <w:rPr>
                <w:sz w:val="22"/>
                <w:szCs w:val="22"/>
                <w:lang w:eastAsia="bs-Latn-BA"/>
              </w:rPr>
              <w:t>0,075</w:t>
            </w:r>
          </w:p>
        </w:tc>
      </w:tr>
      <w:tr w:rsidR="0083687B" w:rsidRPr="003849E5" w14:paraId="757C3E72" w14:textId="77777777" w:rsidTr="0088568A">
        <w:trPr>
          <w:trHeight w:val="23"/>
        </w:trPr>
        <w:tc>
          <w:tcPr>
            <w:tcW w:w="2321" w:type="dxa"/>
            <w:tcBorders>
              <w:top w:val="single" w:sz="1" w:space="0" w:color="000000"/>
              <w:left w:val="single" w:sz="1" w:space="0" w:color="000000"/>
              <w:bottom w:val="single" w:sz="1" w:space="0" w:color="000000"/>
            </w:tcBorders>
            <w:shd w:val="clear" w:color="auto" w:fill="FFFFFF"/>
          </w:tcPr>
          <w:p w14:paraId="14118981" w14:textId="77777777" w:rsidR="0083687B" w:rsidRPr="00172A4E" w:rsidRDefault="0083687B" w:rsidP="00EB3350">
            <w:pPr>
              <w:keepNext/>
              <w:keepLines/>
              <w:tabs>
                <w:tab w:val="left" w:pos="-1080"/>
                <w:tab w:val="left" w:pos="562"/>
              </w:tabs>
              <w:autoSpaceDE w:val="0"/>
              <w:spacing w:after="200"/>
              <w:ind w:left="15"/>
              <w:jc w:val="both"/>
              <w:rPr>
                <w:sz w:val="22"/>
                <w:szCs w:val="22"/>
                <w:lang w:eastAsia="bs-Latn-BA"/>
              </w:rPr>
            </w:pPr>
            <w:r w:rsidRPr="00172A4E">
              <w:rPr>
                <w:sz w:val="22"/>
                <w:szCs w:val="22"/>
                <w:lang w:eastAsia="bs-Latn-BA"/>
              </w:rPr>
              <w:t xml:space="preserve">   Klini</w:t>
            </w:r>
            <w:r w:rsidRPr="00172A4E">
              <w:rPr>
                <w:sz w:val="22"/>
                <w:szCs w:val="22"/>
                <w:lang w:val="hr-HR" w:eastAsia="bs-Latn-BA"/>
              </w:rPr>
              <w:t xml:space="preserve">čki odgovor </w:t>
            </w:r>
          </w:p>
        </w:tc>
        <w:tc>
          <w:tcPr>
            <w:tcW w:w="1614" w:type="dxa"/>
            <w:tcBorders>
              <w:top w:val="single" w:sz="1" w:space="0" w:color="000000"/>
              <w:left w:val="single" w:sz="1" w:space="0" w:color="000000"/>
              <w:bottom w:val="single" w:sz="1" w:space="0" w:color="000000"/>
            </w:tcBorders>
            <w:shd w:val="clear" w:color="auto" w:fill="FFFFFF"/>
          </w:tcPr>
          <w:p w14:paraId="7FD4DC2C" w14:textId="77777777" w:rsidR="0083687B" w:rsidRPr="00172A4E" w:rsidRDefault="0083687B" w:rsidP="00EB3350">
            <w:pPr>
              <w:keepNext/>
              <w:keepLines/>
              <w:tabs>
                <w:tab w:val="left" w:pos="-1080"/>
                <w:tab w:val="left" w:pos="562"/>
              </w:tabs>
              <w:autoSpaceDE w:val="0"/>
              <w:spacing w:after="200"/>
              <w:ind w:left="15"/>
              <w:jc w:val="both"/>
              <w:rPr>
                <w:sz w:val="22"/>
                <w:szCs w:val="22"/>
                <w:lang w:eastAsia="bs-Latn-BA"/>
              </w:rPr>
            </w:pPr>
            <w:r w:rsidRPr="00172A4E">
              <w:rPr>
                <w:sz w:val="22"/>
                <w:szCs w:val="22"/>
                <w:lang w:eastAsia="bs-Latn-BA"/>
              </w:rPr>
              <w:t>59,1%</w:t>
            </w:r>
          </w:p>
        </w:tc>
        <w:tc>
          <w:tcPr>
            <w:tcW w:w="1591" w:type="dxa"/>
            <w:tcBorders>
              <w:top w:val="single" w:sz="1" w:space="0" w:color="000000"/>
              <w:left w:val="single" w:sz="1" w:space="0" w:color="000000"/>
              <w:bottom w:val="single" w:sz="1" w:space="0" w:color="000000"/>
            </w:tcBorders>
            <w:shd w:val="clear" w:color="auto" w:fill="FFFFFF"/>
          </w:tcPr>
          <w:p w14:paraId="240F7AAC" w14:textId="77777777" w:rsidR="0083687B" w:rsidRPr="00172A4E" w:rsidRDefault="0083687B" w:rsidP="00EB3350">
            <w:pPr>
              <w:keepNext/>
              <w:keepLines/>
              <w:tabs>
                <w:tab w:val="left" w:pos="-1080"/>
                <w:tab w:val="left" w:pos="562"/>
              </w:tabs>
              <w:autoSpaceDE w:val="0"/>
              <w:spacing w:after="200"/>
              <w:ind w:left="15"/>
              <w:jc w:val="both"/>
              <w:rPr>
                <w:sz w:val="22"/>
                <w:szCs w:val="22"/>
                <w:lang w:eastAsia="bs-Latn-BA"/>
              </w:rPr>
            </w:pPr>
            <w:r w:rsidRPr="00172A4E">
              <w:rPr>
                <w:sz w:val="22"/>
                <w:szCs w:val="22"/>
                <w:lang w:eastAsia="bs-Latn-BA"/>
              </w:rPr>
              <w:t>48,4%</w:t>
            </w:r>
          </w:p>
        </w:tc>
        <w:tc>
          <w:tcPr>
            <w:tcW w:w="1257" w:type="dxa"/>
            <w:tcBorders>
              <w:top w:val="single" w:sz="1" w:space="0" w:color="000000"/>
              <w:left w:val="single" w:sz="1" w:space="0" w:color="000000"/>
              <w:bottom w:val="single" w:sz="1" w:space="0" w:color="000000"/>
              <w:right w:val="single" w:sz="1" w:space="0" w:color="000000"/>
            </w:tcBorders>
            <w:shd w:val="clear" w:color="auto" w:fill="FFFFFF"/>
          </w:tcPr>
          <w:p w14:paraId="00E1E78A" w14:textId="77777777" w:rsidR="0083687B" w:rsidRPr="00172A4E" w:rsidRDefault="0083687B" w:rsidP="00EB3350">
            <w:pPr>
              <w:keepNext/>
              <w:keepLines/>
              <w:tabs>
                <w:tab w:val="left" w:pos="-1080"/>
                <w:tab w:val="left" w:pos="562"/>
              </w:tabs>
              <w:autoSpaceDE w:val="0"/>
              <w:spacing w:after="200"/>
              <w:ind w:left="15"/>
              <w:jc w:val="both"/>
              <w:rPr>
                <w:sz w:val="22"/>
                <w:szCs w:val="22"/>
                <w:lang w:val="bs-Latn-BA" w:eastAsia="bs-Latn-BA"/>
              </w:rPr>
            </w:pPr>
            <w:r w:rsidRPr="00172A4E">
              <w:rPr>
                <w:sz w:val="22"/>
                <w:szCs w:val="22"/>
                <w:lang w:eastAsia="bs-Latn-BA"/>
              </w:rPr>
              <w:t>0,073</w:t>
            </w:r>
          </w:p>
        </w:tc>
      </w:tr>
      <w:tr w:rsidR="0083687B" w:rsidRPr="003849E5" w14:paraId="236E9B8A" w14:textId="77777777" w:rsidTr="0088568A">
        <w:trPr>
          <w:trHeight w:val="23"/>
        </w:trPr>
        <w:tc>
          <w:tcPr>
            <w:tcW w:w="2321" w:type="dxa"/>
            <w:tcBorders>
              <w:top w:val="single" w:sz="1" w:space="0" w:color="000000"/>
              <w:left w:val="single" w:sz="1" w:space="0" w:color="000000"/>
              <w:bottom w:val="single" w:sz="1" w:space="0" w:color="000000"/>
            </w:tcBorders>
            <w:shd w:val="clear" w:color="auto" w:fill="FFFFFF"/>
            <w:vAlign w:val="bottom"/>
          </w:tcPr>
          <w:p w14:paraId="3A7486CA" w14:textId="2FB96587" w:rsidR="0083687B" w:rsidRPr="00172A4E" w:rsidRDefault="00CB003E" w:rsidP="00EB3350">
            <w:pPr>
              <w:keepNext/>
              <w:keepLines/>
              <w:tabs>
                <w:tab w:val="left" w:pos="-1080"/>
                <w:tab w:val="left" w:pos="562"/>
              </w:tabs>
              <w:autoSpaceDE w:val="0"/>
              <w:spacing w:after="200"/>
              <w:ind w:left="15"/>
              <w:jc w:val="both"/>
              <w:rPr>
                <w:rFonts w:eastAsia="Calibri"/>
                <w:sz w:val="22"/>
                <w:szCs w:val="22"/>
                <w:lang w:eastAsia="bs-Latn-BA"/>
              </w:rPr>
            </w:pPr>
            <w:r>
              <w:rPr>
                <w:b/>
                <w:bCs/>
                <w:sz w:val="22"/>
                <w:szCs w:val="22"/>
                <w:lang w:eastAsia="bs-Latn-BA"/>
              </w:rPr>
              <w:t>52. nedjelja</w:t>
            </w:r>
          </w:p>
        </w:tc>
        <w:tc>
          <w:tcPr>
            <w:tcW w:w="1614" w:type="dxa"/>
            <w:tcBorders>
              <w:top w:val="single" w:sz="1" w:space="0" w:color="000000"/>
              <w:left w:val="single" w:sz="1" w:space="0" w:color="000000"/>
              <w:bottom w:val="single" w:sz="1" w:space="0" w:color="000000"/>
            </w:tcBorders>
            <w:shd w:val="clear" w:color="auto" w:fill="FFFFFF"/>
            <w:vAlign w:val="bottom"/>
          </w:tcPr>
          <w:p w14:paraId="2363BDA4" w14:textId="77777777" w:rsidR="0083687B" w:rsidRPr="00172A4E" w:rsidRDefault="0083687B" w:rsidP="00EB3350">
            <w:pPr>
              <w:keepNext/>
              <w:keepLines/>
              <w:tabs>
                <w:tab w:val="left" w:pos="-1080"/>
                <w:tab w:val="left" w:pos="562"/>
              </w:tabs>
              <w:autoSpaceDE w:val="0"/>
              <w:snapToGrid w:val="0"/>
              <w:spacing w:after="200"/>
              <w:ind w:left="15"/>
              <w:jc w:val="both"/>
              <w:rPr>
                <w:rFonts w:eastAsia="Calibri"/>
                <w:sz w:val="22"/>
                <w:szCs w:val="22"/>
                <w:lang w:eastAsia="bs-Latn-BA"/>
              </w:rPr>
            </w:pPr>
          </w:p>
        </w:tc>
        <w:tc>
          <w:tcPr>
            <w:tcW w:w="1591" w:type="dxa"/>
            <w:tcBorders>
              <w:top w:val="single" w:sz="1" w:space="0" w:color="000000"/>
              <w:left w:val="single" w:sz="1" w:space="0" w:color="000000"/>
              <w:bottom w:val="single" w:sz="1" w:space="0" w:color="000000"/>
            </w:tcBorders>
            <w:shd w:val="clear" w:color="auto" w:fill="FFFFFF"/>
            <w:vAlign w:val="bottom"/>
          </w:tcPr>
          <w:p w14:paraId="446EF047" w14:textId="77777777" w:rsidR="0083687B" w:rsidRPr="00172A4E" w:rsidRDefault="0083687B" w:rsidP="00EB3350">
            <w:pPr>
              <w:keepNext/>
              <w:keepLines/>
              <w:tabs>
                <w:tab w:val="left" w:pos="-1080"/>
                <w:tab w:val="left" w:pos="562"/>
              </w:tabs>
              <w:autoSpaceDE w:val="0"/>
              <w:snapToGrid w:val="0"/>
              <w:spacing w:after="200"/>
              <w:ind w:left="15"/>
              <w:jc w:val="both"/>
              <w:rPr>
                <w:rFonts w:eastAsia="Calibri"/>
                <w:sz w:val="22"/>
                <w:szCs w:val="22"/>
                <w:lang w:eastAsia="bs-Latn-BA"/>
              </w:rPr>
            </w:pPr>
          </w:p>
        </w:tc>
        <w:tc>
          <w:tcPr>
            <w:tcW w:w="1257" w:type="dxa"/>
            <w:tcBorders>
              <w:top w:val="single" w:sz="1" w:space="0" w:color="000000"/>
              <w:left w:val="single" w:sz="1" w:space="0" w:color="000000"/>
              <w:bottom w:val="single" w:sz="1" w:space="0" w:color="000000"/>
              <w:right w:val="single" w:sz="1" w:space="0" w:color="000000"/>
            </w:tcBorders>
            <w:shd w:val="clear" w:color="auto" w:fill="FFFFFF"/>
            <w:vAlign w:val="bottom"/>
          </w:tcPr>
          <w:p w14:paraId="6F04BA5E" w14:textId="77777777" w:rsidR="0083687B" w:rsidRPr="00172A4E" w:rsidRDefault="0083687B" w:rsidP="00EB3350">
            <w:pPr>
              <w:keepNext/>
              <w:tabs>
                <w:tab w:val="left" w:pos="562"/>
              </w:tabs>
              <w:autoSpaceDE w:val="0"/>
              <w:snapToGrid w:val="0"/>
              <w:spacing w:after="200"/>
              <w:ind w:left="15"/>
              <w:jc w:val="both"/>
              <w:rPr>
                <w:rFonts w:eastAsia="Calibri"/>
                <w:sz w:val="22"/>
                <w:szCs w:val="22"/>
                <w:lang w:eastAsia="bs-Latn-BA"/>
              </w:rPr>
            </w:pPr>
          </w:p>
        </w:tc>
      </w:tr>
      <w:tr w:rsidR="0083687B" w:rsidRPr="003849E5" w14:paraId="594D3753" w14:textId="77777777" w:rsidTr="0088568A">
        <w:trPr>
          <w:trHeight w:val="23"/>
        </w:trPr>
        <w:tc>
          <w:tcPr>
            <w:tcW w:w="2321" w:type="dxa"/>
            <w:tcBorders>
              <w:top w:val="single" w:sz="1" w:space="0" w:color="000000"/>
              <w:left w:val="single" w:sz="1" w:space="0" w:color="000000"/>
              <w:bottom w:val="single" w:sz="1" w:space="0" w:color="000000"/>
            </w:tcBorders>
            <w:shd w:val="clear" w:color="auto" w:fill="FFFFFF"/>
            <w:vAlign w:val="bottom"/>
          </w:tcPr>
          <w:p w14:paraId="6551CC7B" w14:textId="77777777" w:rsidR="0083687B" w:rsidRPr="00172A4E" w:rsidRDefault="0083687B" w:rsidP="00EB3350">
            <w:pPr>
              <w:keepNext/>
              <w:keepLines/>
              <w:tabs>
                <w:tab w:val="left" w:pos="-1080"/>
                <w:tab w:val="left" w:pos="562"/>
              </w:tabs>
              <w:autoSpaceDE w:val="0"/>
              <w:spacing w:after="200"/>
              <w:ind w:left="15"/>
              <w:jc w:val="both"/>
              <w:rPr>
                <w:sz w:val="22"/>
                <w:szCs w:val="22"/>
                <w:lang w:eastAsia="bs-Latn-BA"/>
              </w:rPr>
            </w:pPr>
            <w:r w:rsidRPr="00172A4E">
              <w:rPr>
                <w:sz w:val="22"/>
                <w:szCs w:val="22"/>
                <w:lang w:eastAsia="bs-Latn-BA"/>
              </w:rPr>
              <w:t xml:space="preserve">   Klini</w:t>
            </w:r>
            <w:r w:rsidRPr="00172A4E">
              <w:rPr>
                <w:sz w:val="22"/>
                <w:szCs w:val="22"/>
                <w:lang w:val="hr-HR" w:eastAsia="bs-Latn-BA"/>
              </w:rPr>
              <w:t>čka remisija</w:t>
            </w:r>
          </w:p>
        </w:tc>
        <w:tc>
          <w:tcPr>
            <w:tcW w:w="1614" w:type="dxa"/>
            <w:tcBorders>
              <w:top w:val="single" w:sz="1" w:space="0" w:color="000000"/>
              <w:left w:val="single" w:sz="1" w:space="0" w:color="000000"/>
              <w:bottom w:val="single" w:sz="1" w:space="0" w:color="000000"/>
            </w:tcBorders>
            <w:shd w:val="clear" w:color="auto" w:fill="FFFFFF"/>
            <w:vAlign w:val="bottom"/>
          </w:tcPr>
          <w:p w14:paraId="0E1E723D" w14:textId="77777777" w:rsidR="0083687B" w:rsidRPr="00172A4E" w:rsidRDefault="0083687B" w:rsidP="00EB3350">
            <w:pPr>
              <w:keepNext/>
              <w:keepLines/>
              <w:tabs>
                <w:tab w:val="left" w:pos="-1080"/>
                <w:tab w:val="left" w:pos="562"/>
              </w:tabs>
              <w:autoSpaceDE w:val="0"/>
              <w:spacing w:after="200"/>
              <w:ind w:left="15"/>
              <w:jc w:val="both"/>
              <w:rPr>
                <w:sz w:val="22"/>
                <w:szCs w:val="22"/>
                <w:lang w:eastAsia="bs-Latn-BA"/>
              </w:rPr>
            </w:pPr>
            <w:r w:rsidRPr="00172A4E">
              <w:rPr>
                <w:sz w:val="22"/>
                <w:szCs w:val="22"/>
                <w:lang w:eastAsia="bs-Latn-BA"/>
              </w:rPr>
              <w:t>33,3%</w:t>
            </w:r>
          </w:p>
        </w:tc>
        <w:tc>
          <w:tcPr>
            <w:tcW w:w="1591" w:type="dxa"/>
            <w:tcBorders>
              <w:top w:val="single" w:sz="1" w:space="0" w:color="000000"/>
              <w:left w:val="single" w:sz="1" w:space="0" w:color="000000"/>
              <w:bottom w:val="single" w:sz="1" w:space="0" w:color="000000"/>
            </w:tcBorders>
            <w:shd w:val="clear" w:color="auto" w:fill="FFFFFF"/>
            <w:vAlign w:val="bottom"/>
          </w:tcPr>
          <w:p w14:paraId="411142AF" w14:textId="77777777" w:rsidR="0083687B" w:rsidRPr="00172A4E" w:rsidRDefault="0083687B" w:rsidP="00EB3350">
            <w:pPr>
              <w:keepNext/>
              <w:keepLines/>
              <w:tabs>
                <w:tab w:val="left" w:pos="-1080"/>
                <w:tab w:val="left" w:pos="562"/>
              </w:tabs>
              <w:autoSpaceDE w:val="0"/>
              <w:spacing w:after="200"/>
              <w:ind w:left="15"/>
              <w:jc w:val="both"/>
              <w:rPr>
                <w:sz w:val="22"/>
                <w:szCs w:val="22"/>
                <w:lang w:eastAsia="bs-Latn-BA"/>
              </w:rPr>
            </w:pPr>
            <w:r w:rsidRPr="00172A4E">
              <w:rPr>
                <w:sz w:val="22"/>
                <w:szCs w:val="22"/>
                <w:lang w:eastAsia="bs-Latn-BA"/>
              </w:rPr>
              <w:t>23,2%</w:t>
            </w:r>
          </w:p>
        </w:tc>
        <w:tc>
          <w:tcPr>
            <w:tcW w:w="1257" w:type="dxa"/>
            <w:tcBorders>
              <w:top w:val="single" w:sz="1" w:space="0" w:color="000000"/>
              <w:left w:val="single" w:sz="1" w:space="0" w:color="000000"/>
              <w:bottom w:val="single" w:sz="1" w:space="0" w:color="000000"/>
              <w:right w:val="single" w:sz="1" w:space="0" w:color="000000"/>
            </w:tcBorders>
            <w:shd w:val="clear" w:color="auto" w:fill="FFFFFF"/>
            <w:vAlign w:val="bottom"/>
          </w:tcPr>
          <w:p w14:paraId="4E381A13" w14:textId="77777777" w:rsidR="0083687B" w:rsidRPr="00172A4E" w:rsidRDefault="0083687B" w:rsidP="00EB3350">
            <w:pPr>
              <w:keepNext/>
              <w:keepLines/>
              <w:tabs>
                <w:tab w:val="left" w:pos="-1080"/>
                <w:tab w:val="left" w:pos="562"/>
              </w:tabs>
              <w:autoSpaceDE w:val="0"/>
              <w:spacing w:after="200"/>
              <w:ind w:left="15"/>
              <w:jc w:val="both"/>
              <w:rPr>
                <w:sz w:val="22"/>
                <w:szCs w:val="22"/>
                <w:lang w:val="bs-Latn-BA" w:eastAsia="bs-Latn-BA"/>
              </w:rPr>
            </w:pPr>
            <w:r w:rsidRPr="00172A4E">
              <w:rPr>
                <w:sz w:val="22"/>
                <w:szCs w:val="22"/>
                <w:lang w:eastAsia="bs-Latn-BA"/>
              </w:rPr>
              <w:t>0,100</w:t>
            </w:r>
          </w:p>
        </w:tc>
      </w:tr>
      <w:tr w:rsidR="0083687B" w:rsidRPr="003849E5" w14:paraId="0E69CA00" w14:textId="77777777" w:rsidTr="0088568A">
        <w:trPr>
          <w:trHeight w:val="23"/>
        </w:trPr>
        <w:tc>
          <w:tcPr>
            <w:tcW w:w="2321" w:type="dxa"/>
            <w:tcBorders>
              <w:top w:val="single" w:sz="1" w:space="0" w:color="000000"/>
              <w:left w:val="single" w:sz="1" w:space="0" w:color="000000"/>
              <w:bottom w:val="single" w:sz="1" w:space="0" w:color="000000"/>
            </w:tcBorders>
            <w:shd w:val="clear" w:color="auto" w:fill="FFFFFF"/>
          </w:tcPr>
          <w:p w14:paraId="02503EA0" w14:textId="77777777" w:rsidR="0083687B" w:rsidRPr="00172A4E" w:rsidRDefault="0083687B" w:rsidP="00EB3350">
            <w:pPr>
              <w:keepNext/>
              <w:keepLines/>
              <w:tabs>
                <w:tab w:val="left" w:pos="-1080"/>
                <w:tab w:val="left" w:pos="562"/>
              </w:tabs>
              <w:autoSpaceDE w:val="0"/>
              <w:spacing w:after="200"/>
              <w:ind w:left="15"/>
              <w:jc w:val="both"/>
              <w:rPr>
                <w:sz w:val="22"/>
                <w:szCs w:val="22"/>
                <w:lang w:eastAsia="bs-Latn-BA"/>
              </w:rPr>
            </w:pPr>
            <w:r w:rsidRPr="00172A4E">
              <w:rPr>
                <w:sz w:val="22"/>
                <w:szCs w:val="22"/>
                <w:lang w:eastAsia="bs-Latn-BA"/>
              </w:rPr>
              <w:t xml:space="preserve">   Klini</w:t>
            </w:r>
            <w:r w:rsidRPr="00172A4E">
              <w:rPr>
                <w:sz w:val="22"/>
                <w:szCs w:val="22"/>
                <w:lang w:val="hr-HR" w:eastAsia="bs-Latn-BA"/>
              </w:rPr>
              <w:t>čki odgovor</w:t>
            </w:r>
          </w:p>
        </w:tc>
        <w:tc>
          <w:tcPr>
            <w:tcW w:w="1614" w:type="dxa"/>
            <w:tcBorders>
              <w:top w:val="single" w:sz="1" w:space="0" w:color="000000"/>
              <w:left w:val="single" w:sz="1" w:space="0" w:color="000000"/>
              <w:bottom w:val="single" w:sz="1" w:space="0" w:color="000000"/>
            </w:tcBorders>
            <w:shd w:val="clear" w:color="auto" w:fill="FFFFFF"/>
          </w:tcPr>
          <w:p w14:paraId="5B7F40F0" w14:textId="77777777" w:rsidR="0083687B" w:rsidRPr="00172A4E" w:rsidRDefault="0083687B" w:rsidP="00EB3350">
            <w:pPr>
              <w:keepNext/>
              <w:keepLines/>
              <w:tabs>
                <w:tab w:val="left" w:pos="-1080"/>
                <w:tab w:val="left" w:pos="562"/>
              </w:tabs>
              <w:autoSpaceDE w:val="0"/>
              <w:spacing w:after="200"/>
              <w:ind w:left="15"/>
              <w:jc w:val="both"/>
              <w:rPr>
                <w:sz w:val="22"/>
                <w:szCs w:val="22"/>
                <w:lang w:eastAsia="bs-Latn-BA"/>
              </w:rPr>
            </w:pPr>
            <w:r w:rsidRPr="00172A4E">
              <w:rPr>
                <w:sz w:val="22"/>
                <w:szCs w:val="22"/>
                <w:lang w:eastAsia="bs-Latn-BA"/>
              </w:rPr>
              <w:t>41,9%</w:t>
            </w:r>
          </w:p>
        </w:tc>
        <w:tc>
          <w:tcPr>
            <w:tcW w:w="1591" w:type="dxa"/>
            <w:tcBorders>
              <w:top w:val="single" w:sz="1" w:space="0" w:color="000000"/>
              <w:left w:val="single" w:sz="1" w:space="0" w:color="000000"/>
              <w:bottom w:val="single" w:sz="1" w:space="0" w:color="000000"/>
            </w:tcBorders>
            <w:shd w:val="clear" w:color="auto" w:fill="FFFFFF"/>
          </w:tcPr>
          <w:p w14:paraId="3BEB159A" w14:textId="77777777" w:rsidR="0083687B" w:rsidRPr="00172A4E" w:rsidRDefault="0083687B" w:rsidP="00EB3350">
            <w:pPr>
              <w:keepNext/>
              <w:keepLines/>
              <w:tabs>
                <w:tab w:val="left" w:pos="-1080"/>
                <w:tab w:val="left" w:pos="562"/>
              </w:tabs>
              <w:autoSpaceDE w:val="0"/>
              <w:spacing w:after="200"/>
              <w:ind w:left="15"/>
              <w:jc w:val="both"/>
              <w:rPr>
                <w:sz w:val="22"/>
                <w:szCs w:val="22"/>
                <w:lang w:eastAsia="bs-Latn-BA"/>
              </w:rPr>
            </w:pPr>
            <w:r w:rsidRPr="00172A4E">
              <w:rPr>
                <w:sz w:val="22"/>
                <w:szCs w:val="22"/>
                <w:lang w:eastAsia="bs-Latn-BA"/>
              </w:rPr>
              <w:t>28,4%</w:t>
            </w:r>
          </w:p>
        </w:tc>
        <w:tc>
          <w:tcPr>
            <w:tcW w:w="1257" w:type="dxa"/>
            <w:tcBorders>
              <w:top w:val="single" w:sz="1" w:space="0" w:color="000000"/>
              <w:left w:val="single" w:sz="1" w:space="0" w:color="000000"/>
              <w:bottom w:val="single" w:sz="1" w:space="0" w:color="000000"/>
              <w:right w:val="single" w:sz="1" w:space="0" w:color="000000"/>
            </w:tcBorders>
            <w:shd w:val="clear" w:color="auto" w:fill="FFFFFF"/>
          </w:tcPr>
          <w:p w14:paraId="44A87A54" w14:textId="77777777" w:rsidR="0083687B" w:rsidRPr="00172A4E" w:rsidRDefault="0083687B" w:rsidP="00EB3350">
            <w:pPr>
              <w:keepNext/>
              <w:keepLines/>
              <w:tabs>
                <w:tab w:val="left" w:pos="-1080"/>
                <w:tab w:val="left" w:pos="562"/>
              </w:tabs>
              <w:autoSpaceDE w:val="0"/>
              <w:spacing w:after="200"/>
              <w:ind w:left="15"/>
              <w:jc w:val="both"/>
              <w:rPr>
                <w:sz w:val="22"/>
                <w:szCs w:val="22"/>
                <w:lang w:val="bs-Latn-BA" w:eastAsia="bs-Latn-BA"/>
              </w:rPr>
            </w:pPr>
            <w:r w:rsidRPr="00172A4E">
              <w:rPr>
                <w:sz w:val="22"/>
                <w:szCs w:val="22"/>
                <w:lang w:eastAsia="bs-Latn-BA"/>
              </w:rPr>
              <w:t>0,038</w:t>
            </w:r>
          </w:p>
        </w:tc>
      </w:tr>
      <w:tr w:rsidR="0083687B" w:rsidRPr="003849E5" w14:paraId="744E862B" w14:textId="77777777" w:rsidTr="0088568A">
        <w:trPr>
          <w:trHeight w:val="23"/>
        </w:trPr>
        <w:tc>
          <w:tcPr>
            <w:tcW w:w="6783" w:type="dxa"/>
            <w:gridSpan w:val="4"/>
            <w:tcBorders>
              <w:top w:val="single" w:sz="1" w:space="0" w:color="000000"/>
              <w:left w:val="single" w:sz="1" w:space="0" w:color="000000"/>
              <w:bottom w:val="single" w:sz="1" w:space="0" w:color="000000"/>
              <w:right w:val="single" w:sz="1" w:space="0" w:color="000000"/>
            </w:tcBorders>
            <w:shd w:val="clear" w:color="auto" w:fill="FFFFFF"/>
          </w:tcPr>
          <w:p w14:paraId="0B77218B" w14:textId="77777777" w:rsidR="0083687B" w:rsidRPr="00172A4E" w:rsidRDefault="0083687B" w:rsidP="00EB3350">
            <w:pPr>
              <w:keepLines/>
              <w:tabs>
                <w:tab w:val="left" w:pos="-1080"/>
                <w:tab w:val="left" w:pos="562"/>
              </w:tabs>
              <w:autoSpaceDE w:val="0"/>
              <w:spacing w:after="200"/>
              <w:ind w:left="15"/>
              <w:jc w:val="both"/>
              <w:rPr>
                <w:sz w:val="22"/>
                <w:szCs w:val="22"/>
                <w:lang w:val="bs-Latn-BA" w:eastAsia="bs-Latn-BA"/>
              </w:rPr>
            </w:pPr>
            <w:r w:rsidRPr="00172A4E">
              <w:rPr>
                <w:sz w:val="22"/>
                <w:szCs w:val="22"/>
                <w:lang w:eastAsia="bs-Latn-BA"/>
              </w:rPr>
              <w:t xml:space="preserve">* </w:t>
            </w:r>
            <w:proofErr w:type="gramStart"/>
            <w:r w:rsidRPr="00172A4E">
              <w:rPr>
                <w:sz w:val="22"/>
                <w:szCs w:val="22"/>
                <w:lang w:eastAsia="bs-Latn-BA"/>
              </w:rPr>
              <w:t>p</w:t>
            </w:r>
            <w:proofErr w:type="gramEnd"/>
            <w:r w:rsidRPr="00172A4E">
              <w:rPr>
                <w:sz w:val="22"/>
                <w:szCs w:val="22"/>
                <w:lang w:eastAsia="bs-Latn-BA"/>
              </w:rPr>
              <w:t xml:space="preserve"> vrijednost za standardnu dozu u poređenju sa niskom dozom.</w:t>
            </w:r>
          </w:p>
        </w:tc>
      </w:tr>
    </w:tbl>
    <w:p w14:paraId="037E1410" w14:textId="77777777" w:rsidR="0083687B" w:rsidRPr="00172A4E" w:rsidRDefault="0083687B" w:rsidP="00EB3350">
      <w:pPr>
        <w:tabs>
          <w:tab w:val="left" w:pos="1294"/>
        </w:tabs>
        <w:autoSpaceDE w:val="0"/>
        <w:spacing w:after="200"/>
        <w:jc w:val="both"/>
        <w:rPr>
          <w:sz w:val="22"/>
          <w:szCs w:val="22"/>
          <w:lang w:eastAsia="bs-Latn-BA"/>
        </w:rPr>
      </w:pPr>
      <w:r w:rsidRPr="00172A4E">
        <w:rPr>
          <w:sz w:val="22"/>
          <w:szCs w:val="22"/>
          <w:lang w:eastAsia="bs-Latn-BA"/>
        </w:rPr>
        <w:t xml:space="preserve"> </w:t>
      </w:r>
    </w:p>
    <w:p w14:paraId="16D467C8" w14:textId="77777777" w:rsidR="0083687B" w:rsidRPr="00172A4E" w:rsidRDefault="0083687B" w:rsidP="00EB3350">
      <w:pPr>
        <w:tabs>
          <w:tab w:val="left" w:pos="562"/>
        </w:tabs>
        <w:autoSpaceDE w:val="0"/>
        <w:spacing w:after="200"/>
        <w:jc w:val="both"/>
        <w:rPr>
          <w:sz w:val="22"/>
          <w:szCs w:val="22"/>
          <w:lang w:eastAsia="bs-Latn-BA"/>
        </w:rPr>
      </w:pPr>
    </w:p>
    <w:tbl>
      <w:tblPr>
        <w:tblW w:w="9148" w:type="dxa"/>
        <w:tblInd w:w="28" w:type="dxa"/>
        <w:tblLayout w:type="fixed"/>
        <w:tblCellMar>
          <w:left w:w="28" w:type="dxa"/>
          <w:right w:w="28" w:type="dxa"/>
        </w:tblCellMar>
        <w:tblLook w:val="0000" w:firstRow="0" w:lastRow="0" w:firstColumn="0" w:lastColumn="0" w:noHBand="0" w:noVBand="0"/>
      </w:tblPr>
      <w:tblGrid>
        <w:gridCol w:w="3205"/>
        <w:gridCol w:w="1987"/>
        <w:gridCol w:w="1863"/>
        <w:gridCol w:w="1989"/>
        <w:gridCol w:w="26"/>
        <w:gridCol w:w="26"/>
        <w:gridCol w:w="26"/>
        <w:gridCol w:w="26"/>
      </w:tblGrid>
      <w:tr w:rsidR="0083687B" w:rsidRPr="003849E5" w14:paraId="1375E5A5" w14:textId="77777777" w:rsidTr="00172A4E">
        <w:trPr>
          <w:trHeight w:val="23"/>
        </w:trPr>
        <w:tc>
          <w:tcPr>
            <w:tcW w:w="9147" w:type="dxa"/>
            <w:gridSpan w:val="8"/>
            <w:tcBorders>
              <w:bottom w:val="single" w:sz="1" w:space="0" w:color="000000"/>
            </w:tcBorders>
            <w:shd w:val="clear" w:color="auto" w:fill="FFFFFF"/>
          </w:tcPr>
          <w:p w14:paraId="662956AB" w14:textId="63DE981C" w:rsidR="0083687B" w:rsidRPr="00172A4E" w:rsidRDefault="0083687B" w:rsidP="00EB3350">
            <w:pPr>
              <w:keepNext/>
              <w:tabs>
                <w:tab w:val="left" w:pos="-878"/>
                <w:tab w:val="left" w:pos="562"/>
              </w:tabs>
              <w:autoSpaceDE w:val="0"/>
              <w:spacing w:after="120"/>
              <w:jc w:val="both"/>
              <w:rPr>
                <w:b/>
                <w:bCs/>
                <w:sz w:val="22"/>
                <w:szCs w:val="22"/>
                <w:lang w:eastAsia="bs-Latn-BA"/>
              </w:rPr>
            </w:pPr>
            <w:r w:rsidRPr="00172A4E">
              <w:rPr>
                <w:b/>
                <w:bCs/>
                <w:sz w:val="22"/>
                <w:szCs w:val="22"/>
                <w:lang w:eastAsia="bs-Latn-BA"/>
              </w:rPr>
              <w:t xml:space="preserve">Tabela </w:t>
            </w:r>
            <w:r w:rsidR="00CB003E">
              <w:rPr>
                <w:b/>
                <w:bCs/>
                <w:sz w:val="22"/>
                <w:szCs w:val="22"/>
                <w:lang w:eastAsia="bs-Latn-BA"/>
              </w:rPr>
              <w:t>22</w:t>
            </w:r>
            <w:r w:rsidR="009E0DAA">
              <w:rPr>
                <w:b/>
                <w:bCs/>
                <w:sz w:val="22"/>
                <w:szCs w:val="22"/>
                <w:lang w:eastAsia="bs-Latn-BA"/>
              </w:rPr>
              <w:t xml:space="preserve">. </w:t>
            </w:r>
            <w:r w:rsidRPr="00172A4E">
              <w:rPr>
                <w:b/>
                <w:bCs/>
                <w:sz w:val="22"/>
                <w:szCs w:val="22"/>
                <w:lang w:eastAsia="bs-Latn-BA"/>
              </w:rPr>
              <w:t>Ispitivanje</w:t>
            </w:r>
            <w:r w:rsidR="00CB003E">
              <w:rPr>
                <w:b/>
                <w:bCs/>
                <w:sz w:val="22"/>
                <w:szCs w:val="22"/>
                <w:lang w:eastAsia="bs-Latn-BA"/>
              </w:rPr>
              <w:t xml:space="preserve"> kod</w:t>
            </w:r>
            <w:r w:rsidRPr="00172A4E">
              <w:rPr>
                <w:b/>
                <w:bCs/>
                <w:sz w:val="22"/>
                <w:szCs w:val="22"/>
                <w:lang w:eastAsia="bs-Latn-BA"/>
              </w:rPr>
              <w:t xml:space="preserve"> Crohnove bolesti</w:t>
            </w:r>
            <w:r w:rsidR="00CB003E">
              <w:rPr>
                <w:b/>
                <w:bCs/>
                <w:sz w:val="22"/>
                <w:szCs w:val="22"/>
                <w:lang w:eastAsia="bs-Latn-BA"/>
              </w:rPr>
              <w:t xml:space="preserve"> kod</w:t>
            </w:r>
            <w:r w:rsidRPr="00172A4E">
              <w:rPr>
                <w:b/>
                <w:bCs/>
                <w:sz w:val="22"/>
                <w:szCs w:val="22"/>
                <w:lang w:eastAsia="bs-Latn-BA"/>
              </w:rPr>
              <w:t xml:space="preserve"> djece</w:t>
            </w:r>
          </w:p>
          <w:p w14:paraId="5AEEBA82" w14:textId="77777777" w:rsidR="0083687B" w:rsidRPr="00172A4E" w:rsidRDefault="0083687B" w:rsidP="00EB3350">
            <w:pPr>
              <w:keepNext/>
              <w:tabs>
                <w:tab w:val="left" w:pos="-878"/>
                <w:tab w:val="left" w:pos="562"/>
              </w:tabs>
              <w:autoSpaceDE w:val="0"/>
              <w:spacing w:after="120"/>
              <w:jc w:val="both"/>
              <w:rPr>
                <w:sz w:val="22"/>
                <w:szCs w:val="22"/>
                <w:lang w:val="bs-Latn-BA" w:eastAsia="bs-Latn-BA"/>
              </w:rPr>
            </w:pPr>
            <w:r w:rsidRPr="00172A4E">
              <w:rPr>
                <w:b/>
                <w:bCs/>
                <w:sz w:val="22"/>
                <w:szCs w:val="22"/>
                <w:lang w:eastAsia="bs-Latn-BA"/>
              </w:rPr>
              <w:t>Prestanak uzimanja kortikosteroida ili imunomodulatora i remisija fistula</w:t>
            </w:r>
          </w:p>
        </w:tc>
      </w:tr>
      <w:tr w:rsidR="0083687B" w:rsidRPr="003849E5" w14:paraId="04436B36" w14:textId="77777777" w:rsidTr="00172A4E">
        <w:trPr>
          <w:trHeight w:val="23"/>
        </w:trPr>
        <w:tc>
          <w:tcPr>
            <w:tcW w:w="3205" w:type="dxa"/>
            <w:tcBorders>
              <w:top w:val="single" w:sz="1" w:space="0" w:color="000000"/>
              <w:left w:val="single" w:sz="1" w:space="0" w:color="000000"/>
              <w:bottom w:val="single" w:sz="1" w:space="0" w:color="000000"/>
            </w:tcBorders>
            <w:shd w:val="clear" w:color="auto" w:fill="FFFFFF"/>
          </w:tcPr>
          <w:p w14:paraId="2CF7AB4E" w14:textId="77777777" w:rsidR="0083687B" w:rsidRPr="00172A4E" w:rsidRDefault="0083687B" w:rsidP="00EB3350">
            <w:pPr>
              <w:keepNext/>
              <w:keepLines/>
              <w:tabs>
                <w:tab w:val="left" w:pos="-1080"/>
                <w:tab w:val="left" w:pos="562"/>
              </w:tabs>
              <w:autoSpaceDE w:val="0"/>
              <w:snapToGrid w:val="0"/>
              <w:spacing w:after="240"/>
              <w:jc w:val="both"/>
              <w:rPr>
                <w:rFonts w:eastAsia="Calibri"/>
                <w:sz w:val="22"/>
                <w:szCs w:val="22"/>
                <w:lang w:eastAsia="bs-Latn-BA"/>
              </w:rPr>
            </w:pPr>
          </w:p>
        </w:tc>
        <w:tc>
          <w:tcPr>
            <w:tcW w:w="1987" w:type="dxa"/>
            <w:tcBorders>
              <w:top w:val="single" w:sz="1" w:space="0" w:color="000000"/>
              <w:left w:val="single" w:sz="1" w:space="0" w:color="000000"/>
              <w:bottom w:val="single" w:sz="1" w:space="0" w:color="000000"/>
            </w:tcBorders>
            <w:shd w:val="clear" w:color="auto" w:fill="FFFFFF"/>
          </w:tcPr>
          <w:p w14:paraId="3473AA4D" w14:textId="77777777" w:rsidR="0083687B" w:rsidRPr="00172A4E" w:rsidRDefault="0083687B" w:rsidP="00EB3350">
            <w:pPr>
              <w:keepNext/>
              <w:keepLines/>
              <w:tabs>
                <w:tab w:val="left" w:pos="-1080"/>
                <w:tab w:val="left" w:pos="562"/>
              </w:tabs>
              <w:autoSpaceDE w:val="0"/>
              <w:spacing w:after="240"/>
              <w:ind w:left="15"/>
              <w:jc w:val="both"/>
              <w:rPr>
                <w:b/>
                <w:bCs/>
                <w:sz w:val="22"/>
                <w:szCs w:val="22"/>
                <w:lang w:eastAsia="bs-Latn-BA"/>
              </w:rPr>
            </w:pPr>
            <w:r w:rsidRPr="00172A4E">
              <w:rPr>
                <w:b/>
                <w:bCs/>
                <w:sz w:val="22"/>
                <w:szCs w:val="22"/>
                <w:lang w:eastAsia="bs-Latn-BA"/>
              </w:rPr>
              <w:t>Standardna doza</w:t>
            </w:r>
          </w:p>
          <w:p w14:paraId="54591314" w14:textId="6D7E65F3" w:rsidR="0083687B" w:rsidRPr="00172A4E" w:rsidRDefault="0083687B" w:rsidP="00EB3350">
            <w:pPr>
              <w:keepNext/>
              <w:keepLines/>
              <w:tabs>
                <w:tab w:val="left" w:pos="-1080"/>
                <w:tab w:val="left" w:pos="562"/>
              </w:tabs>
              <w:autoSpaceDE w:val="0"/>
              <w:spacing w:after="240"/>
              <w:ind w:left="15"/>
              <w:jc w:val="both"/>
              <w:rPr>
                <w:b/>
                <w:bCs/>
                <w:sz w:val="22"/>
                <w:szCs w:val="22"/>
                <w:lang w:eastAsia="bs-Latn-BA"/>
              </w:rPr>
            </w:pPr>
            <w:r w:rsidRPr="00172A4E">
              <w:rPr>
                <w:b/>
                <w:bCs/>
                <w:sz w:val="22"/>
                <w:szCs w:val="22"/>
                <w:lang w:eastAsia="bs-Latn-BA"/>
              </w:rPr>
              <w:t xml:space="preserve">40/20 mg svake druge </w:t>
            </w:r>
            <w:r w:rsidR="00CB003E">
              <w:rPr>
                <w:b/>
                <w:bCs/>
                <w:sz w:val="22"/>
                <w:szCs w:val="22"/>
                <w:lang w:eastAsia="bs-Latn-BA"/>
              </w:rPr>
              <w:t>nedjelje</w:t>
            </w:r>
          </w:p>
        </w:tc>
        <w:tc>
          <w:tcPr>
            <w:tcW w:w="1863" w:type="dxa"/>
            <w:tcBorders>
              <w:top w:val="single" w:sz="1" w:space="0" w:color="000000"/>
              <w:left w:val="single" w:sz="1" w:space="0" w:color="000000"/>
              <w:bottom w:val="single" w:sz="1" w:space="0" w:color="000000"/>
            </w:tcBorders>
            <w:shd w:val="clear" w:color="auto" w:fill="FFFFFF"/>
          </w:tcPr>
          <w:p w14:paraId="783DCE90" w14:textId="77777777" w:rsidR="0083687B" w:rsidRPr="00172A4E" w:rsidRDefault="0083687B" w:rsidP="00EB3350">
            <w:pPr>
              <w:keepNext/>
              <w:keepLines/>
              <w:tabs>
                <w:tab w:val="left" w:pos="-1080"/>
                <w:tab w:val="left" w:pos="562"/>
              </w:tabs>
              <w:autoSpaceDE w:val="0"/>
              <w:spacing w:after="240"/>
              <w:ind w:left="15"/>
              <w:jc w:val="both"/>
              <w:rPr>
                <w:b/>
                <w:bCs/>
                <w:sz w:val="22"/>
                <w:szCs w:val="22"/>
                <w:lang w:eastAsia="bs-Latn-BA"/>
              </w:rPr>
            </w:pPr>
            <w:r w:rsidRPr="00172A4E">
              <w:rPr>
                <w:b/>
                <w:bCs/>
                <w:sz w:val="22"/>
                <w:szCs w:val="22"/>
                <w:lang w:eastAsia="bs-Latn-BA"/>
              </w:rPr>
              <w:t>Niska doza</w:t>
            </w:r>
          </w:p>
          <w:p w14:paraId="762A6484" w14:textId="251A1E2E" w:rsidR="0083687B" w:rsidRPr="00172A4E" w:rsidRDefault="0083687B" w:rsidP="00EB3350">
            <w:pPr>
              <w:keepNext/>
              <w:keepLines/>
              <w:tabs>
                <w:tab w:val="left" w:pos="-1080"/>
                <w:tab w:val="left" w:pos="562"/>
              </w:tabs>
              <w:autoSpaceDE w:val="0"/>
              <w:spacing w:after="240"/>
              <w:ind w:left="15"/>
              <w:jc w:val="both"/>
              <w:rPr>
                <w:b/>
                <w:bCs/>
                <w:sz w:val="22"/>
                <w:szCs w:val="22"/>
                <w:lang w:eastAsia="bs-Latn-BA"/>
              </w:rPr>
            </w:pPr>
            <w:r w:rsidRPr="00172A4E">
              <w:rPr>
                <w:b/>
                <w:bCs/>
                <w:sz w:val="22"/>
                <w:szCs w:val="22"/>
                <w:lang w:eastAsia="bs-Latn-BA"/>
              </w:rPr>
              <w:t xml:space="preserve">20/10 mg svake druge </w:t>
            </w:r>
            <w:r w:rsidR="00CB003E">
              <w:rPr>
                <w:b/>
                <w:bCs/>
                <w:sz w:val="22"/>
                <w:szCs w:val="22"/>
                <w:lang w:eastAsia="bs-Latn-BA"/>
              </w:rPr>
              <w:t>nedjelje</w:t>
            </w:r>
          </w:p>
        </w:tc>
        <w:tc>
          <w:tcPr>
            <w:tcW w:w="2092" w:type="dxa"/>
            <w:gridSpan w:val="5"/>
            <w:tcBorders>
              <w:top w:val="single" w:sz="1" w:space="0" w:color="000000"/>
              <w:left w:val="single" w:sz="1" w:space="0" w:color="000000"/>
              <w:bottom w:val="single" w:sz="1" w:space="0" w:color="000000"/>
              <w:right w:val="single" w:sz="1" w:space="0" w:color="000000"/>
            </w:tcBorders>
            <w:shd w:val="clear" w:color="auto" w:fill="FFFFFF"/>
          </w:tcPr>
          <w:p w14:paraId="535F260C" w14:textId="77777777" w:rsidR="0083687B" w:rsidRPr="00172A4E" w:rsidRDefault="0083687B" w:rsidP="00EB3350">
            <w:pPr>
              <w:keepNext/>
              <w:keepLines/>
              <w:tabs>
                <w:tab w:val="left" w:pos="-1080"/>
                <w:tab w:val="left" w:pos="562"/>
              </w:tabs>
              <w:autoSpaceDE w:val="0"/>
              <w:spacing w:after="240"/>
              <w:ind w:left="15"/>
              <w:jc w:val="both"/>
              <w:rPr>
                <w:sz w:val="22"/>
                <w:szCs w:val="22"/>
                <w:lang w:val="bs-Latn-BA" w:eastAsia="bs-Latn-BA"/>
              </w:rPr>
            </w:pPr>
            <w:r w:rsidRPr="00172A4E">
              <w:rPr>
                <w:b/>
                <w:bCs/>
                <w:sz w:val="22"/>
                <w:szCs w:val="22"/>
                <w:lang w:eastAsia="bs-Latn-BA"/>
              </w:rPr>
              <w:t>P vrijednost</w:t>
            </w:r>
            <w:r w:rsidRPr="00172A4E">
              <w:rPr>
                <w:b/>
                <w:bCs/>
                <w:position w:val="6"/>
                <w:sz w:val="22"/>
                <w:szCs w:val="22"/>
                <w:lang w:eastAsia="bs-Latn-BA"/>
              </w:rPr>
              <w:t>1</w:t>
            </w:r>
          </w:p>
        </w:tc>
      </w:tr>
      <w:tr w:rsidR="0083687B" w:rsidRPr="003849E5" w14:paraId="56DE9F72" w14:textId="77777777" w:rsidTr="00172A4E">
        <w:trPr>
          <w:trHeight w:val="23"/>
        </w:trPr>
        <w:tc>
          <w:tcPr>
            <w:tcW w:w="3205" w:type="dxa"/>
            <w:tcBorders>
              <w:top w:val="single" w:sz="1" w:space="0" w:color="000000"/>
              <w:left w:val="single" w:sz="1" w:space="0" w:color="000000"/>
              <w:bottom w:val="single" w:sz="1" w:space="0" w:color="000000"/>
            </w:tcBorders>
            <w:shd w:val="clear" w:color="auto" w:fill="FFFFFF"/>
            <w:vAlign w:val="bottom"/>
          </w:tcPr>
          <w:p w14:paraId="2974A9B8" w14:textId="77777777" w:rsidR="0083687B" w:rsidRPr="00172A4E" w:rsidRDefault="0083687B" w:rsidP="00EB3350">
            <w:pPr>
              <w:keepNext/>
              <w:keepLines/>
              <w:tabs>
                <w:tab w:val="left" w:pos="-1080"/>
                <w:tab w:val="left" w:pos="562"/>
              </w:tabs>
              <w:autoSpaceDE w:val="0"/>
              <w:spacing w:after="240"/>
              <w:jc w:val="both"/>
              <w:rPr>
                <w:b/>
                <w:bCs/>
                <w:sz w:val="22"/>
                <w:szCs w:val="22"/>
                <w:lang w:eastAsia="bs-Latn-BA"/>
              </w:rPr>
            </w:pPr>
            <w:r w:rsidRPr="00172A4E">
              <w:rPr>
                <w:b/>
                <w:bCs/>
                <w:sz w:val="22"/>
                <w:szCs w:val="22"/>
                <w:lang w:eastAsia="bs-Latn-BA"/>
              </w:rPr>
              <w:t>Prekinuta primjena kortikosteroida</w:t>
            </w:r>
          </w:p>
        </w:tc>
        <w:tc>
          <w:tcPr>
            <w:tcW w:w="1987" w:type="dxa"/>
            <w:tcBorders>
              <w:top w:val="single" w:sz="1" w:space="0" w:color="000000"/>
              <w:left w:val="single" w:sz="1" w:space="0" w:color="000000"/>
              <w:bottom w:val="single" w:sz="1" w:space="0" w:color="000000"/>
            </w:tcBorders>
            <w:shd w:val="clear" w:color="auto" w:fill="FFFFFF"/>
            <w:vAlign w:val="bottom"/>
          </w:tcPr>
          <w:p w14:paraId="7B9FCD09" w14:textId="77777777" w:rsidR="0083687B" w:rsidRPr="00172A4E" w:rsidRDefault="0083687B" w:rsidP="00EB3350">
            <w:pPr>
              <w:keepNext/>
              <w:keepLines/>
              <w:tabs>
                <w:tab w:val="left" w:pos="-1080"/>
                <w:tab w:val="left" w:pos="562"/>
              </w:tabs>
              <w:autoSpaceDE w:val="0"/>
              <w:spacing w:after="240"/>
              <w:ind w:left="15"/>
              <w:jc w:val="both"/>
              <w:rPr>
                <w:b/>
                <w:bCs/>
                <w:sz w:val="22"/>
                <w:szCs w:val="22"/>
                <w:lang w:eastAsia="bs-Latn-BA"/>
              </w:rPr>
            </w:pPr>
            <w:r w:rsidRPr="00172A4E">
              <w:rPr>
                <w:b/>
                <w:bCs/>
                <w:sz w:val="22"/>
                <w:szCs w:val="22"/>
                <w:lang w:eastAsia="bs-Latn-BA"/>
              </w:rPr>
              <w:t>N= 33</w:t>
            </w:r>
          </w:p>
        </w:tc>
        <w:tc>
          <w:tcPr>
            <w:tcW w:w="1863" w:type="dxa"/>
            <w:tcBorders>
              <w:top w:val="single" w:sz="1" w:space="0" w:color="000000"/>
              <w:left w:val="single" w:sz="1" w:space="0" w:color="000000"/>
              <w:bottom w:val="single" w:sz="1" w:space="0" w:color="000000"/>
            </w:tcBorders>
            <w:shd w:val="clear" w:color="auto" w:fill="FFFFFF"/>
            <w:vAlign w:val="bottom"/>
          </w:tcPr>
          <w:p w14:paraId="3C89C044" w14:textId="77777777" w:rsidR="0083687B" w:rsidRPr="00172A4E" w:rsidRDefault="0083687B" w:rsidP="00EB3350">
            <w:pPr>
              <w:keepNext/>
              <w:keepLines/>
              <w:tabs>
                <w:tab w:val="left" w:pos="-1080"/>
                <w:tab w:val="left" w:pos="562"/>
              </w:tabs>
              <w:autoSpaceDE w:val="0"/>
              <w:spacing w:after="240"/>
              <w:ind w:left="15"/>
              <w:jc w:val="both"/>
              <w:rPr>
                <w:rFonts w:eastAsia="Calibri"/>
                <w:sz w:val="22"/>
                <w:szCs w:val="22"/>
                <w:lang w:eastAsia="bs-Latn-BA"/>
              </w:rPr>
            </w:pPr>
            <w:r w:rsidRPr="00172A4E">
              <w:rPr>
                <w:b/>
                <w:bCs/>
                <w:sz w:val="22"/>
                <w:szCs w:val="22"/>
                <w:lang w:eastAsia="bs-Latn-BA"/>
              </w:rPr>
              <w:t>N=38</w:t>
            </w:r>
          </w:p>
        </w:tc>
        <w:tc>
          <w:tcPr>
            <w:tcW w:w="2092" w:type="dxa"/>
            <w:gridSpan w:val="5"/>
            <w:tcBorders>
              <w:top w:val="single" w:sz="1" w:space="0" w:color="000000"/>
              <w:left w:val="single" w:sz="1" w:space="0" w:color="000000"/>
              <w:bottom w:val="single" w:sz="1" w:space="0" w:color="000000"/>
              <w:right w:val="single" w:sz="1" w:space="0" w:color="000000"/>
            </w:tcBorders>
            <w:shd w:val="clear" w:color="auto" w:fill="FFFFFF"/>
            <w:vAlign w:val="bottom"/>
          </w:tcPr>
          <w:p w14:paraId="0BA1BD0F" w14:textId="77777777" w:rsidR="0083687B" w:rsidRPr="00172A4E" w:rsidRDefault="0083687B" w:rsidP="00EB3350">
            <w:pPr>
              <w:keepNext/>
              <w:tabs>
                <w:tab w:val="left" w:pos="562"/>
              </w:tabs>
              <w:autoSpaceDE w:val="0"/>
              <w:snapToGrid w:val="0"/>
              <w:spacing w:after="240"/>
              <w:ind w:left="15"/>
              <w:jc w:val="both"/>
              <w:rPr>
                <w:rFonts w:eastAsia="Calibri"/>
                <w:sz w:val="22"/>
                <w:szCs w:val="22"/>
                <w:lang w:eastAsia="bs-Latn-BA"/>
              </w:rPr>
            </w:pPr>
          </w:p>
        </w:tc>
      </w:tr>
      <w:tr w:rsidR="0083687B" w:rsidRPr="003849E5" w14:paraId="36D0A405" w14:textId="77777777" w:rsidTr="00172A4E">
        <w:trPr>
          <w:trHeight w:val="23"/>
        </w:trPr>
        <w:tc>
          <w:tcPr>
            <w:tcW w:w="3205" w:type="dxa"/>
            <w:tcBorders>
              <w:top w:val="single" w:sz="1" w:space="0" w:color="000000"/>
              <w:left w:val="single" w:sz="1" w:space="0" w:color="000000"/>
              <w:bottom w:val="single" w:sz="1" w:space="0" w:color="000000"/>
            </w:tcBorders>
            <w:shd w:val="clear" w:color="auto" w:fill="FFFFFF"/>
            <w:vAlign w:val="bottom"/>
          </w:tcPr>
          <w:p w14:paraId="3597BEB1" w14:textId="76048AC6" w:rsidR="0083687B" w:rsidRPr="00172A4E" w:rsidRDefault="00CB003E" w:rsidP="00EB3350">
            <w:pPr>
              <w:keepNext/>
              <w:keepLines/>
              <w:tabs>
                <w:tab w:val="left" w:pos="-1080"/>
                <w:tab w:val="left" w:pos="562"/>
              </w:tabs>
              <w:autoSpaceDE w:val="0"/>
              <w:spacing w:after="240"/>
              <w:jc w:val="both"/>
              <w:rPr>
                <w:sz w:val="22"/>
                <w:szCs w:val="22"/>
                <w:lang w:eastAsia="bs-Latn-BA"/>
              </w:rPr>
            </w:pPr>
            <w:r>
              <w:rPr>
                <w:sz w:val="22"/>
                <w:szCs w:val="22"/>
                <w:lang w:eastAsia="bs-Latn-BA"/>
              </w:rPr>
              <w:t>26. nedjelja</w:t>
            </w:r>
          </w:p>
        </w:tc>
        <w:tc>
          <w:tcPr>
            <w:tcW w:w="1987" w:type="dxa"/>
            <w:tcBorders>
              <w:top w:val="single" w:sz="1" w:space="0" w:color="000000"/>
              <w:left w:val="single" w:sz="1" w:space="0" w:color="000000"/>
              <w:bottom w:val="single" w:sz="1" w:space="0" w:color="000000"/>
            </w:tcBorders>
            <w:shd w:val="clear" w:color="auto" w:fill="FFFFFF"/>
            <w:vAlign w:val="bottom"/>
          </w:tcPr>
          <w:p w14:paraId="197B63D2" w14:textId="77777777" w:rsidR="0083687B" w:rsidRPr="00172A4E" w:rsidRDefault="0083687B" w:rsidP="00EB3350">
            <w:pPr>
              <w:keepNext/>
              <w:keepLines/>
              <w:tabs>
                <w:tab w:val="left" w:pos="-1080"/>
                <w:tab w:val="left" w:pos="562"/>
              </w:tabs>
              <w:autoSpaceDE w:val="0"/>
              <w:spacing w:after="240"/>
              <w:ind w:left="15"/>
              <w:jc w:val="both"/>
              <w:rPr>
                <w:sz w:val="22"/>
                <w:szCs w:val="22"/>
                <w:lang w:eastAsia="bs-Latn-BA"/>
              </w:rPr>
            </w:pPr>
            <w:r w:rsidRPr="00172A4E">
              <w:rPr>
                <w:sz w:val="22"/>
                <w:szCs w:val="22"/>
                <w:lang w:eastAsia="bs-Latn-BA"/>
              </w:rPr>
              <w:t>84,8%</w:t>
            </w:r>
          </w:p>
        </w:tc>
        <w:tc>
          <w:tcPr>
            <w:tcW w:w="1863" w:type="dxa"/>
            <w:tcBorders>
              <w:top w:val="single" w:sz="1" w:space="0" w:color="000000"/>
              <w:left w:val="single" w:sz="1" w:space="0" w:color="000000"/>
              <w:bottom w:val="single" w:sz="1" w:space="0" w:color="000000"/>
            </w:tcBorders>
            <w:shd w:val="clear" w:color="auto" w:fill="FFFFFF"/>
            <w:vAlign w:val="bottom"/>
          </w:tcPr>
          <w:p w14:paraId="2DB128C3" w14:textId="77777777" w:rsidR="0083687B" w:rsidRPr="00172A4E" w:rsidRDefault="0083687B" w:rsidP="00EB3350">
            <w:pPr>
              <w:keepNext/>
              <w:keepLines/>
              <w:tabs>
                <w:tab w:val="left" w:pos="-1080"/>
                <w:tab w:val="left" w:pos="562"/>
              </w:tabs>
              <w:autoSpaceDE w:val="0"/>
              <w:spacing w:after="240"/>
              <w:ind w:left="15"/>
              <w:jc w:val="both"/>
              <w:rPr>
                <w:sz w:val="22"/>
                <w:szCs w:val="22"/>
                <w:lang w:eastAsia="bs-Latn-BA"/>
              </w:rPr>
            </w:pPr>
            <w:r w:rsidRPr="00172A4E">
              <w:rPr>
                <w:sz w:val="22"/>
                <w:szCs w:val="22"/>
                <w:lang w:eastAsia="bs-Latn-BA"/>
              </w:rPr>
              <w:t>65,8%</w:t>
            </w:r>
          </w:p>
        </w:tc>
        <w:tc>
          <w:tcPr>
            <w:tcW w:w="2092" w:type="dxa"/>
            <w:gridSpan w:val="5"/>
            <w:tcBorders>
              <w:top w:val="single" w:sz="1" w:space="0" w:color="000000"/>
              <w:left w:val="single" w:sz="1" w:space="0" w:color="000000"/>
              <w:bottom w:val="single" w:sz="1" w:space="0" w:color="000000"/>
              <w:right w:val="single" w:sz="1" w:space="0" w:color="000000"/>
            </w:tcBorders>
            <w:shd w:val="clear" w:color="auto" w:fill="FFFFFF"/>
            <w:vAlign w:val="bottom"/>
          </w:tcPr>
          <w:p w14:paraId="00758088" w14:textId="77777777" w:rsidR="0083687B" w:rsidRPr="00172A4E" w:rsidRDefault="0083687B" w:rsidP="00EB3350">
            <w:pPr>
              <w:keepNext/>
              <w:keepLines/>
              <w:tabs>
                <w:tab w:val="left" w:pos="-1080"/>
                <w:tab w:val="left" w:pos="562"/>
              </w:tabs>
              <w:autoSpaceDE w:val="0"/>
              <w:spacing w:after="240"/>
              <w:ind w:left="15"/>
              <w:jc w:val="both"/>
              <w:rPr>
                <w:sz w:val="22"/>
                <w:szCs w:val="22"/>
                <w:lang w:val="bs-Latn-BA" w:eastAsia="bs-Latn-BA"/>
              </w:rPr>
            </w:pPr>
            <w:r w:rsidRPr="00172A4E">
              <w:rPr>
                <w:sz w:val="22"/>
                <w:szCs w:val="22"/>
                <w:lang w:eastAsia="bs-Latn-BA"/>
              </w:rPr>
              <w:t>0,066</w:t>
            </w:r>
          </w:p>
        </w:tc>
      </w:tr>
      <w:tr w:rsidR="0083687B" w:rsidRPr="003849E5" w14:paraId="76B47C5A" w14:textId="77777777" w:rsidTr="00172A4E">
        <w:trPr>
          <w:trHeight w:val="23"/>
        </w:trPr>
        <w:tc>
          <w:tcPr>
            <w:tcW w:w="3205" w:type="dxa"/>
            <w:tcBorders>
              <w:top w:val="single" w:sz="1" w:space="0" w:color="000000"/>
              <w:left w:val="single" w:sz="1" w:space="0" w:color="000000"/>
              <w:bottom w:val="single" w:sz="1" w:space="0" w:color="000000"/>
            </w:tcBorders>
            <w:shd w:val="clear" w:color="auto" w:fill="FFFFFF"/>
            <w:vAlign w:val="bottom"/>
          </w:tcPr>
          <w:p w14:paraId="7D3119A6" w14:textId="274CB362" w:rsidR="0083687B" w:rsidRPr="00172A4E" w:rsidRDefault="00CB003E" w:rsidP="00EB3350">
            <w:pPr>
              <w:keepNext/>
              <w:keepLines/>
              <w:tabs>
                <w:tab w:val="left" w:pos="-1080"/>
                <w:tab w:val="left" w:pos="562"/>
              </w:tabs>
              <w:autoSpaceDE w:val="0"/>
              <w:spacing w:after="240"/>
              <w:jc w:val="both"/>
              <w:rPr>
                <w:sz w:val="22"/>
                <w:szCs w:val="22"/>
                <w:lang w:eastAsia="bs-Latn-BA"/>
              </w:rPr>
            </w:pPr>
            <w:r>
              <w:rPr>
                <w:sz w:val="22"/>
                <w:szCs w:val="22"/>
                <w:lang w:eastAsia="bs-Latn-BA"/>
              </w:rPr>
              <w:t>52. nedjelja</w:t>
            </w:r>
          </w:p>
        </w:tc>
        <w:tc>
          <w:tcPr>
            <w:tcW w:w="1987" w:type="dxa"/>
            <w:tcBorders>
              <w:top w:val="single" w:sz="1" w:space="0" w:color="000000"/>
              <w:left w:val="single" w:sz="1" w:space="0" w:color="000000"/>
              <w:bottom w:val="single" w:sz="1" w:space="0" w:color="000000"/>
            </w:tcBorders>
            <w:shd w:val="clear" w:color="auto" w:fill="FFFFFF"/>
          </w:tcPr>
          <w:p w14:paraId="5FB1E5B2" w14:textId="77777777" w:rsidR="0083687B" w:rsidRPr="00172A4E" w:rsidRDefault="0083687B" w:rsidP="00EB3350">
            <w:pPr>
              <w:keepNext/>
              <w:keepLines/>
              <w:tabs>
                <w:tab w:val="left" w:pos="-1080"/>
                <w:tab w:val="left" w:pos="562"/>
              </w:tabs>
              <w:autoSpaceDE w:val="0"/>
              <w:spacing w:after="240"/>
              <w:ind w:left="15"/>
              <w:jc w:val="both"/>
              <w:rPr>
                <w:sz w:val="22"/>
                <w:szCs w:val="22"/>
                <w:lang w:eastAsia="bs-Latn-BA"/>
              </w:rPr>
            </w:pPr>
            <w:r w:rsidRPr="00172A4E">
              <w:rPr>
                <w:sz w:val="22"/>
                <w:szCs w:val="22"/>
                <w:lang w:eastAsia="bs-Latn-BA"/>
              </w:rPr>
              <w:t>69,7%</w:t>
            </w:r>
          </w:p>
        </w:tc>
        <w:tc>
          <w:tcPr>
            <w:tcW w:w="1863" w:type="dxa"/>
            <w:tcBorders>
              <w:top w:val="single" w:sz="1" w:space="0" w:color="000000"/>
              <w:left w:val="single" w:sz="1" w:space="0" w:color="000000"/>
              <w:bottom w:val="single" w:sz="1" w:space="0" w:color="000000"/>
            </w:tcBorders>
            <w:shd w:val="clear" w:color="auto" w:fill="FFFFFF"/>
          </w:tcPr>
          <w:p w14:paraId="46C5C930" w14:textId="77777777" w:rsidR="0083687B" w:rsidRPr="00172A4E" w:rsidRDefault="0083687B" w:rsidP="00EB3350">
            <w:pPr>
              <w:keepNext/>
              <w:keepLines/>
              <w:tabs>
                <w:tab w:val="left" w:pos="-1080"/>
                <w:tab w:val="left" w:pos="562"/>
              </w:tabs>
              <w:autoSpaceDE w:val="0"/>
              <w:spacing w:after="240"/>
              <w:ind w:left="15"/>
              <w:jc w:val="both"/>
              <w:rPr>
                <w:sz w:val="22"/>
                <w:szCs w:val="22"/>
                <w:lang w:eastAsia="bs-Latn-BA"/>
              </w:rPr>
            </w:pPr>
            <w:r w:rsidRPr="00172A4E">
              <w:rPr>
                <w:sz w:val="22"/>
                <w:szCs w:val="22"/>
                <w:lang w:eastAsia="bs-Latn-BA"/>
              </w:rPr>
              <w:t>60,5%</w:t>
            </w:r>
          </w:p>
        </w:tc>
        <w:tc>
          <w:tcPr>
            <w:tcW w:w="2092" w:type="dxa"/>
            <w:gridSpan w:val="5"/>
            <w:tcBorders>
              <w:top w:val="single" w:sz="1" w:space="0" w:color="000000"/>
              <w:left w:val="single" w:sz="1" w:space="0" w:color="000000"/>
              <w:bottom w:val="single" w:sz="1" w:space="0" w:color="000000"/>
              <w:right w:val="single" w:sz="1" w:space="0" w:color="000000"/>
            </w:tcBorders>
            <w:shd w:val="clear" w:color="auto" w:fill="FFFFFF"/>
            <w:vAlign w:val="bottom"/>
          </w:tcPr>
          <w:p w14:paraId="2CC40304" w14:textId="77777777" w:rsidR="0083687B" w:rsidRPr="00172A4E" w:rsidRDefault="0083687B" w:rsidP="00EB3350">
            <w:pPr>
              <w:keepNext/>
              <w:keepLines/>
              <w:tabs>
                <w:tab w:val="left" w:pos="-1080"/>
                <w:tab w:val="left" w:pos="562"/>
              </w:tabs>
              <w:autoSpaceDE w:val="0"/>
              <w:spacing w:after="240"/>
              <w:ind w:left="15"/>
              <w:jc w:val="both"/>
              <w:rPr>
                <w:sz w:val="22"/>
                <w:szCs w:val="22"/>
                <w:lang w:val="bs-Latn-BA" w:eastAsia="bs-Latn-BA"/>
              </w:rPr>
            </w:pPr>
            <w:r w:rsidRPr="00172A4E">
              <w:rPr>
                <w:sz w:val="22"/>
                <w:szCs w:val="22"/>
                <w:lang w:eastAsia="bs-Latn-BA"/>
              </w:rPr>
              <w:t>0,420</w:t>
            </w:r>
          </w:p>
        </w:tc>
      </w:tr>
      <w:tr w:rsidR="0083687B" w:rsidRPr="003849E5" w14:paraId="47BC73D7" w14:textId="77777777" w:rsidTr="00172A4E">
        <w:trPr>
          <w:trHeight w:val="23"/>
        </w:trPr>
        <w:tc>
          <w:tcPr>
            <w:tcW w:w="3205" w:type="dxa"/>
            <w:tcBorders>
              <w:top w:val="single" w:sz="1" w:space="0" w:color="000000"/>
              <w:left w:val="single" w:sz="1" w:space="0" w:color="000000"/>
              <w:bottom w:val="single" w:sz="1" w:space="0" w:color="000000"/>
            </w:tcBorders>
            <w:shd w:val="clear" w:color="auto" w:fill="FFFFFF"/>
            <w:vAlign w:val="bottom"/>
          </w:tcPr>
          <w:p w14:paraId="051388FA" w14:textId="77777777" w:rsidR="0083687B" w:rsidRPr="00172A4E" w:rsidRDefault="0083687B" w:rsidP="00EB3350">
            <w:pPr>
              <w:keepNext/>
              <w:keepLines/>
              <w:tabs>
                <w:tab w:val="left" w:pos="-1080"/>
                <w:tab w:val="left" w:pos="562"/>
              </w:tabs>
              <w:autoSpaceDE w:val="0"/>
              <w:spacing w:after="240"/>
              <w:jc w:val="both"/>
              <w:rPr>
                <w:b/>
                <w:bCs/>
                <w:sz w:val="22"/>
                <w:szCs w:val="22"/>
                <w:lang w:eastAsia="bs-Latn-BA"/>
              </w:rPr>
            </w:pPr>
            <w:r w:rsidRPr="00172A4E">
              <w:rPr>
                <w:b/>
                <w:bCs/>
                <w:sz w:val="22"/>
                <w:szCs w:val="22"/>
                <w:lang w:eastAsia="bs-Latn-BA"/>
              </w:rPr>
              <w:t>Prekinuta primjena imunomodulatora</w:t>
            </w:r>
            <w:r w:rsidRPr="00172A4E">
              <w:rPr>
                <w:b/>
                <w:bCs/>
                <w:position w:val="6"/>
                <w:sz w:val="22"/>
                <w:szCs w:val="22"/>
                <w:lang w:eastAsia="bs-Latn-BA"/>
              </w:rPr>
              <w:t>2</w:t>
            </w:r>
          </w:p>
        </w:tc>
        <w:tc>
          <w:tcPr>
            <w:tcW w:w="1987" w:type="dxa"/>
            <w:tcBorders>
              <w:top w:val="single" w:sz="1" w:space="0" w:color="000000"/>
              <w:left w:val="single" w:sz="1" w:space="0" w:color="000000"/>
              <w:bottom w:val="single" w:sz="1" w:space="0" w:color="000000"/>
            </w:tcBorders>
            <w:shd w:val="clear" w:color="auto" w:fill="FFFFFF"/>
            <w:vAlign w:val="bottom"/>
          </w:tcPr>
          <w:p w14:paraId="597A9119" w14:textId="77777777" w:rsidR="0083687B" w:rsidRPr="00172A4E" w:rsidRDefault="0083687B" w:rsidP="00EB3350">
            <w:pPr>
              <w:keepNext/>
              <w:keepLines/>
              <w:tabs>
                <w:tab w:val="left" w:pos="-1080"/>
                <w:tab w:val="left" w:pos="562"/>
              </w:tabs>
              <w:autoSpaceDE w:val="0"/>
              <w:spacing w:after="240"/>
              <w:ind w:left="15"/>
              <w:jc w:val="both"/>
              <w:rPr>
                <w:b/>
                <w:bCs/>
                <w:sz w:val="22"/>
                <w:szCs w:val="22"/>
                <w:lang w:eastAsia="bs-Latn-BA"/>
              </w:rPr>
            </w:pPr>
            <w:r w:rsidRPr="00172A4E">
              <w:rPr>
                <w:b/>
                <w:bCs/>
                <w:sz w:val="22"/>
                <w:szCs w:val="22"/>
                <w:lang w:eastAsia="bs-Latn-BA"/>
              </w:rPr>
              <w:t>N=60</w:t>
            </w:r>
          </w:p>
        </w:tc>
        <w:tc>
          <w:tcPr>
            <w:tcW w:w="1863" w:type="dxa"/>
            <w:tcBorders>
              <w:top w:val="single" w:sz="1" w:space="0" w:color="000000"/>
              <w:left w:val="single" w:sz="1" w:space="0" w:color="000000"/>
              <w:bottom w:val="single" w:sz="1" w:space="0" w:color="000000"/>
            </w:tcBorders>
            <w:shd w:val="clear" w:color="auto" w:fill="FFFFFF"/>
            <w:vAlign w:val="bottom"/>
          </w:tcPr>
          <w:p w14:paraId="4E1D415A" w14:textId="77777777" w:rsidR="0083687B" w:rsidRPr="00172A4E" w:rsidRDefault="0083687B" w:rsidP="00EB3350">
            <w:pPr>
              <w:keepNext/>
              <w:keepLines/>
              <w:tabs>
                <w:tab w:val="left" w:pos="-1080"/>
                <w:tab w:val="left" w:pos="562"/>
              </w:tabs>
              <w:autoSpaceDE w:val="0"/>
              <w:spacing w:after="240"/>
              <w:ind w:left="15"/>
              <w:jc w:val="both"/>
              <w:rPr>
                <w:rFonts w:eastAsia="Calibri"/>
                <w:sz w:val="22"/>
                <w:szCs w:val="22"/>
                <w:lang w:eastAsia="bs-Latn-BA"/>
              </w:rPr>
            </w:pPr>
            <w:r w:rsidRPr="00172A4E">
              <w:rPr>
                <w:b/>
                <w:bCs/>
                <w:sz w:val="22"/>
                <w:szCs w:val="22"/>
                <w:lang w:eastAsia="bs-Latn-BA"/>
              </w:rPr>
              <w:t>N=57</w:t>
            </w:r>
          </w:p>
        </w:tc>
        <w:tc>
          <w:tcPr>
            <w:tcW w:w="2092" w:type="dxa"/>
            <w:gridSpan w:val="5"/>
            <w:tcBorders>
              <w:top w:val="single" w:sz="1" w:space="0" w:color="000000"/>
              <w:left w:val="single" w:sz="1" w:space="0" w:color="000000"/>
              <w:bottom w:val="single" w:sz="1" w:space="0" w:color="000000"/>
              <w:right w:val="single" w:sz="1" w:space="0" w:color="000000"/>
            </w:tcBorders>
            <w:shd w:val="clear" w:color="auto" w:fill="FFFFFF"/>
            <w:vAlign w:val="bottom"/>
          </w:tcPr>
          <w:p w14:paraId="5360E84B" w14:textId="77777777" w:rsidR="0083687B" w:rsidRPr="00172A4E" w:rsidRDefault="0083687B" w:rsidP="00EB3350">
            <w:pPr>
              <w:keepNext/>
              <w:tabs>
                <w:tab w:val="left" w:pos="562"/>
              </w:tabs>
              <w:autoSpaceDE w:val="0"/>
              <w:snapToGrid w:val="0"/>
              <w:spacing w:after="240"/>
              <w:ind w:left="15"/>
              <w:jc w:val="both"/>
              <w:rPr>
                <w:rFonts w:eastAsia="Calibri"/>
                <w:sz w:val="22"/>
                <w:szCs w:val="22"/>
                <w:lang w:eastAsia="bs-Latn-BA"/>
              </w:rPr>
            </w:pPr>
          </w:p>
        </w:tc>
      </w:tr>
      <w:tr w:rsidR="0083687B" w:rsidRPr="003849E5" w14:paraId="2A316954" w14:textId="77777777" w:rsidTr="00172A4E">
        <w:trPr>
          <w:trHeight w:val="23"/>
        </w:trPr>
        <w:tc>
          <w:tcPr>
            <w:tcW w:w="3205" w:type="dxa"/>
            <w:tcBorders>
              <w:top w:val="single" w:sz="1" w:space="0" w:color="000000"/>
              <w:left w:val="single" w:sz="1" w:space="0" w:color="000000"/>
              <w:bottom w:val="single" w:sz="1" w:space="0" w:color="000000"/>
            </w:tcBorders>
            <w:shd w:val="clear" w:color="auto" w:fill="FFFFFF"/>
          </w:tcPr>
          <w:p w14:paraId="23B4DCD8" w14:textId="448A8E58" w:rsidR="0083687B" w:rsidRPr="00172A4E" w:rsidRDefault="00CB003E" w:rsidP="00EB3350">
            <w:pPr>
              <w:keepNext/>
              <w:keepLines/>
              <w:tabs>
                <w:tab w:val="left" w:pos="-1080"/>
                <w:tab w:val="left" w:pos="562"/>
              </w:tabs>
              <w:autoSpaceDE w:val="0"/>
              <w:spacing w:after="240"/>
              <w:jc w:val="both"/>
              <w:rPr>
                <w:sz w:val="22"/>
                <w:szCs w:val="22"/>
                <w:lang w:eastAsia="bs-Latn-BA"/>
              </w:rPr>
            </w:pPr>
            <w:r>
              <w:rPr>
                <w:sz w:val="22"/>
                <w:szCs w:val="22"/>
                <w:lang w:eastAsia="bs-Latn-BA"/>
              </w:rPr>
              <w:t>52. nedjelja</w:t>
            </w:r>
          </w:p>
        </w:tc>
        <w:tc>
          <w:tcPr>
            <w:tcW w:w="1987" w:type="dxa"/>
            <w:tcBorders>
              <w:top w:val="single" w:sz="1" w:space="0" w:color="000000"/>
              <w:left w:val="single" w:sz="1" w:space="0" w:color="000000"/>
              <w:bottom w:val="single" w:sz="1" w:space="0" w:color="000000"/>
            </w:tcBorders>
            <w:shd w:val="clear" w:color="auto" w:fill="FFFFFF"/>
          </w:tcPr>
          <w:p w14:paraId="6C8906DC" w14:textId="77777777" w:rsidR="0083687B" w:rsidRPr="00172A4E" w:rsidRDefault="0083687B" w:rsidP="00EB3350">
            <w:pPr>
              <w:keepNext/>
              <w:keepLines/>
              <w:tabs>
                <w:tab w:val="left" w:pos="-1080"/>
                <w:tab w:val="left" w:pos="562"/>
              </w:tabs>
              <w:autoSpaceDE w:val="0"/>
              <w:spacing w:after="240"/>
              <w:ind w:left="15"/>
              <w:jc w:val="both"/>
              <w:rPr>
                <w:sz w:val="22"/>
                <w:szCs w:val="22"/>
                <w:lang w:eastAsia="bs-Latn-BA"/>
              </w:rPr>
            </w:pPr>
            <w:r w:rsidRPr="00172A4E">
              <w:rPr>
                <w:sz w:val="22"/>
                <w:szCs w:val="22"/>
                <w:lang w:eastAsia="bs-Latn-BA"/>
              </w:rPr>
              <w:t>30,0%</w:t>
            </w:r>
          </w:p>
        </w:tc>
        <w:tc>
          <w:tcPr>
            <w:tcW w:w="1863" w:type="dxa"/>
            <w:tcBorders>
              <w:top w:val="single" w:sz="1" w:space="0" w:color="000000"/>
              <w:left w:val="single" w:sz="1" w:space="0" w:color="000000"/>
              <w:bottom w:val="single" w:sz="1" w:space="0" w:color="000000"/>
            </w:tcBorders>
            <w:shd w:val="clear" w:color="auto" w:fill="FFFFFF"/>
          </w:tcPr>
          <w:p w14:paraId="5FD90F32" w14:textId="77777777" w:rsidR="0083687B" w:rsidRPr="00172A4E" w:rsidRDefault="0083687B" w:rsidP="00EB3350">
            <w:pPr>
              <w:keepNext/>
              <w:keepLines/>
              <w:tabs>
                <w:tab w:val="left" w:pos="-1080"/>
                <w:tab w:val="left" w:pos="562"/>
              </w:tabs>
              <w:autoSpaceDE w:val="0"/>
              <w:spacing w:after="240"/>
              <w:ind w:left="15"/>
              <w:jc w:val="both"/>
              <w:rPr>
                <w:sz w:val="22"/>
                <w:szCs w:val="22"/>
                <w:lang w:eastAsia="bs-Latn-BA"/>
              </w:rPr>
            </w:pPr>
            <w:r w:rsidRPr="00172A4E">
              <w:rPr>
                <w:sz w:val="22"/>
                <w:szCs w:val="22"/>
                <w:lang w:eastAsia="bs-Latn-BA"/>
              </w:rPr>
              <w:t>29,8%</w:t>
            </w:r>
          </w:p>
        </w:tc>
        <w:tc>
          <w:tcPr>
            <w:tcW w:w="2092" w:type="dxa"/>
            <w:gridSpan w:val="5"/>
            <w:tcBorders>
              <w:top w:val="single" w:sz="1" w:space="0" w:color="000000"/>
              <w:left w:val="single" w:sz="1" w:space="0" w:color="000000"/>
              <w:bottom w:val="single" w:sz="1" w:space="0" w:color="000000"/>
              <w:right w:val="single" w:sz="1" w:space="0" w:color="000000"/>
            </w:tcBorders>
            <w:shd w:val="clear" w:color="auto" w:fill="FFFFFF"/>
          </w:tcPr>
          <w:p w14:paraId="2528D2F3" w14:textId="77777777" w:rsidR="0083687B" w:rsidRPr="00172A4E" w:rsidRDefault="0083687B" w:rsidP="00EB3350">
            <w:pPr>
              <w:keepNext/>
              <w:keepLines/>
              <w:tabs>
                <w:tab w:val="left" w:pos="-1080"/>
                <w:tab w:val="left" w:pos="562"/>
              </w:tabs>
              <w:autoSpaceDE w:val="0"/>
              <w:spacing w:after="240"/>
              <w:ind w:left="15"/>
              <w:jc w:val="both"/>
              <w:rPr>
                <w:sz w:val="22"/>
                <w:szCs w:val="22"/>
                <w:lang w:val="bs-Latn-BA" w:eastAsia="bs-Latn-BA"/>
              </w:rPr>
            </w:pPr>
            <w:r w:rsidRPr="00172A4E">
              <w:rPr>
                <w:sz w:val="22"/>
                <w:szCs w:val="22"/>
                <w:lang w:eastAsia="bs-Latn-BA"/>
              </w:rPr>
              <w:t>0,983</w:t>
            </w:r>
          </w:p>
        </w:tc>
      </w:tr>
      <w:tr w:rsidR="0083687B" w:rsidRPr="003849E5" w14:paraId="2BDC3BB8" w14:textId="77777777" w:rsidTr="00172A4E">
        <w:trPr>
          <w:trHeight w:val="23"/>
        </w:trPr>
        <w:tc>
          <w:tcPr>
            <w:tcW w:w="3205" w:type="dxa"/>
            <w:tcBorders>
              <w:top w:val="single" w:sz="1" w:space="0" w:color="000000"/>
              <w:left w:val="single" w:sz="1" w:space="0" w:color="000000"/>
              <w:bottom w:val="single" w:sz="1" w:space="0" w:color="000000"/>
            </w:tcBorders>
            <w:shd w:val="clear" w:color="auto" w:fill="FFFFFF"/>
          </w:tcPr>
          <w:p w14:paraId="44A28612" w14:textId="77777777" w:rsidR="0083687B" w:rsidRPr="00172A4E" w:rsidRDefault="0083687B" w:rsidP="00EB3350">
            <w:pPr>
              <w:keepNext/>
              <w:keepLines/>
              <w:tabs>
                <w:tab w:val="left" w:pos="-1080"/>
                <w:tab w:val="left" w:pos="562"/>
              </w:tabs>
              <w:autoSpaceDE w:val="0"/>
              <w:spacing w:after="240"/>
              <w:jc w:val="both"/>
              <w:rPr>
                <w:b/>
                <w:bCs/>
                <w:sz w:val="22"/>
                <w:szCs w:val="22"/>
                <w:lang w:eastAsia="bs-Latn-BA"/>
              </w:rPr>
            </w:pPr>
            <w:r w:rsidRPr="00172A4E">
              <w:rPr>
                <w:b/>
                <w:bCs/>
                <w:sz w:val="22"/>
                <w:szCs w:val="22"/>
                <w:lang w:eastAsia="bs-Latn-BA"/>
              </w:rPr>
              <w:t>Remisija fistula</w:t>
            </w:r>
            <w:r w:rsidRPr="00172A4E">
              <w:rPr>
                <w:b/>
                <w:bCs/>
                <w:position w:val="6"/>
                <w:sz w:val="22"/>
                <w:szCs w:val="22"/>
                <w:lang w:eastAsia="bs-Latn-BA"/>
              </w:rPr>
              <w:t>3</w:t>
            </w:r>
          </w:p>
        </w:tc>
        <w:tc>
          <w:tcPr>
            <w:tcW w:w="1987" w:type="dxa"/>
            <w:tcBorders>
              <w:top w:val="single" w:sz="1" w:space="0" w:color="000000"/>
              <w:left w:val="single" w:sz="1" w:space="0" w:color="000000"/>
              <w:bottom w:val="single" w:sz="1" w:space="0" w:color="000000"/>
            </w:tcBorders>
            <w:shd w:val="clear" w:color="auto" w:fill="FFFFFF"/>
          </w:tcPr>
          <w:p w14:paraId="29FE301D" w14:textId="77777777" w:rsidR="0083687B" w:rsidRPr="00172A4E" w:rsidRDefault="0083687B" w:rsidP="00EB3350">
            <w:pPr>
              <w:keepNext/>
              <w:keepLines/>
              <w:tabs>
                <w:tab w:val="left" w:pos="-1080"/>
                <w:tab w:val="left" w:pos="562"/>
              </w:tabs>
              <w:autoSpaceDE w:val="0"/>
              <w:spacing w:after="240"/>
              <w:ind w:left="15"/>
              <w:jc w:val="both"/>
              <w:rPr>
                <w:b/>
                <w:bCs/>
                <w:sz w:val="22"/>
                <w:szCs w:val="22"/>
                <w:lang w:eastAsia="bs-Latn-BA"/>
              </w:rPr>
            </w:pPr>
            <w:r w:rsidRPr="00172A4E">
              <w:rPr>
                <w:b/>
                <w:bCs/>
                <w:sz w:val="22"/>
                <w:szCs w:val="22"/>
                <w:lang w:eastAsia="bs-Latn-BA"/>
              </w:rPr>
              <w:t>N=15</w:t>
            </w:r>
          </w:p>
        </w:tc>
        <w:tc>
          <w:tcPr>
            <w:tcW w:w="1863" w:type="dxa"/>
            <w:tcBorders>
              <w:top w:val="single" w:sz="1" w:space="0" w:color="000000"/>
              <w:left w:val="single" w:sz="1" w:space="0" w:color="000000"/>
              <w:bottom w:val="single" w:sz="1" w:space="0" w:color="000000"/>
            </w:tcBorders>
            <w:shd w:val="clear" w:color="auto" w:fill="FFFFFF"/>
          </w:tcPr>
          <w:p w14:paraId="17889EA1" w14:textId="77777777" w:rsidR="0083687B" w:rsidRPr="00172A4E" w:rsidRDefault="0083687B" w:rsidP="00EB3350">
            <w:pPr>
              <w:keepNext/>
              <w:keepLines/>
              <w:tabs>
                <w:tab w:val="left" w:pos="-1080"/>
                <w:tab w:val="left" w:pos="562"/>
              </w:tabs>
              <w:autoSpaceDE w:val="0"/>
              <w:spacing w:after="240"/>
              <w:ind w:left="15"/>
              <w:jc w:val="both"/>
              <w:rPr>
                <w:rFonts w:eastAsia="Calibri"/>
                <w:sz w:val="22"/>
                <w:szCs w:val="22"/>
                <w:lang w:eastAsia="bs-Latn-BA"/>
              </w:rPr>
            </w:pPr>
            <w:r w:rsidRPr="00172A4E">
              <w:rPr>
                <w:b/>
                <w:bCs/>
                <w:sz w:val="22"/>
                <w:szCs w:val="22"/>
                <w:lang w:eastAsia="bs-Latn-BA"/>
              </w:rPr>
              <w:t>N=21</w:t>
            </w:r>
          </w:p>
        </w:tc>
        <w:tc>
          <w:tcPr>
            <w:tcW w:w="2092" w:type="dxa"/>
            <w:gridSpan w:val="5"/>
            <w:tcBorders>
              <w:top w:val="single" w:sz="1" w:space="0" w:color="000000"/>
              <w:left w:val="single" w:sz="1" w:space="0" w:color="000000"/>
              <w:bottom w:val="single" w:sz="1" w:space="0" w:color="000000"/>
              <w:right w:val="single" w:sz="1" w:space="0" w:color="000000"/>
            </w:tcBorders>
            <w:shd w:val="clear" w:color="auto" w:fill="FFFFFF"/>
          </w:tcPr>
          <w:p w14:paraId="6F3A5503" w14:textId="77777777" w:rsidR="0083687B" w:rsidRPr="00172A4E" w:rsidRDefault="0083687B" w:rsidP="00EB3350">
            <w:pPr>
              <w:keepNext/>
              <w:keepLines/>
              <w:tabs>
                <w:tab w:val="left" w:pos="-1080"/>
                <w:tab w:val="left" w:pos="562"/>
              </w:tabs>
              <w:autoSpaceDE w:val="0"/>
              <w:snapToGrid w:val="0"/>
              <w:spacing w:after="240"/>
              <w:ind w:left="15"/>
              <w:jc w:val="both"/>
              <w:rPr>
                <w:rFonts w:eastAsia="Calibri"/>
                <w:sz w:val="22"/>
                <w:szCs w:val="22"/>
                <w:lang w:eastAsia="bs-Latn-BA"/>
              </w:rPr>
            </w:pPr>
          </w:p>
        </w:tc>
      </w:tr>
      <w:tr w:rsidR="0083687B" w:rsidRPr="003849E5" w14:paraId="5FD23BFD" w14:textId="77777777" w:rsidTr="00172A4E">
        <w:trPr>
          <w:trHeight w:val="23"/>
        </w:trPr>
        <w:tc>
          <w:tcPr>
            <w:tcW w:w="3205" w:type="dxa"/>
            <w:tcBorders>
              <w:top w:val="single" w:sz="1" w:space="0" w:color="000000"/>
              <w:left w:val="single" w:sz="1" w:space="0" w:color="000000"/>
              <w:bottom w:val="single" w:sz="1" w:space="0" w:color="000000"/>
            </w:tcBorders>
            <w:shd w:val="clear" w:color="auto" w:fill="FFFFFF"/>
          </w:tcPr>
          <w:p w14:paraId="3AEBBD6A" w14:textId="12839459" w:rsidR="0083687B" w:rsidRPr="00172A4E" w:rsidRDefault="00CB003E" w:rsidP="00EB3350">
            <w:pPr>
              <w:keepNext/>
              <w:keepLines/>
              <w:tabs>
                <w:tab w:val="left" w:pos="-1080"/>
                <w:tab w:val="left" w:pos="562"/>
              </w:tabs>
              <w:autoSpaceDE w:val="0"/>
              <w:spacing w:after="240"/>
              <w:jc w:val="both"/>
              <w:rPr>
                <w:sz w:val="22"/>
                <w:szCs w:val="22"/>
                <w:lang w:eastAsia="bs-Latn-BA"/>
              </w:rPr>
            </w:pPr>
            <w:r>
              <w:rPr>
                <w:sz w:val="22"/>
                <w:szCs w:val="22"/>
                <w:lang w:eastAsia="bs-Latn-BA"/>
              </w:rPr>
              <w:t>26. nedjelja</w:t>
            </w:r>
          </w:p>
        </w:tc>
        <w:tc>
          <w:tcPr>
            <w:tcW w:w="1987" w:type="dxa"/>
            <w:tcBorders>
              <w:top w:val="single" w:sz="1" w:space="0" w:color="000000"/>
              <w:left w:val="single" w:sz="1" w:space="0" w:color="000000"/>
              <w:bottom w:val="single" w:sz="1" w:space="0" w:color="000000"/>
            </w:tcBorders>
            <w:shd w:val="clear" w:color="auto" w:fill="FFFFFF"/>
          </w:tcPr>
          <w:p w14:paraId="00CE4E7F" w14:textId="77777777" w:rsidR="0083687B" w:rsidRPr="00172A4E" w:rsidRDefault="0083687B" w:rsidP="00EB3350">
            <w:pPr>
              <w:keepNext/>
              <w:keepLines/>
              <w:tabs>
                <w:tab w:val="left" w:pos="-1080"/>
                <w:tab w:val="left" w:pos="562"/>
              </w:tabs>
              <w:autoSpaceDE w:val="0"/>
              <w:spacing w:after="240"/>
              <w:ind w:left="15"/>
              <w:jc w:val="both"/>
              <w:rPr>
                <w:sz w:val="22"/>
                <w:szCs w:val="22"/>
                <w:lang w:eastAsia="bs-Latn-BA"/>
              </w:rPr>
            </w:pPr>
            <w:r w:rsidRPr="00172A4E">
              <w:rPr>
                <w:sz w:val="22"/>
                <w:szCs w:val="22"/>
                <w:lang w:eastAsia="bs-Latn-BA"/>
              </w:rPr>
              <w:t>46,7%</w:t>
            </w:r>
          </w:p>
        </w:tc>
        <w:tc>
          <w:tcPr>
            <w:tcW w:w="1863" w:type="dxa"/>
            <w:tcBorders>
              <w:top w:val="single" w:sz="1" w:space="0" w:color="000000"/>
              <w:left w:val="single" w:sz="1" w:space="0" w:color="000000"/>
              <w:bottom w:val="single" w:sz="1" w:space="0" w:color="000000"/>
            </w:tcBorders>
            <w:shd w:val="clear" w:color="auto" w:fill="FFFFFF"/>
          </w:tcPr>
          <w:p w14:paraId="05A62074" w14:textId="77777777" w:rsidR="0083687B" w:rsidRPr="00172A4E" w:rsidRDefault="0083687B" w:rsidP="00EB3350">
            <w:pPr>
              <w:keepNext/>
              <w:keepLines/>
              <w:tabs>
                <w:tab w:val="left" w:pos="-1080"/>
                <w:tab w:val="left" w:pos="562"/>
              </w:tabs>
              <w:autoSpaceDE w:val="0"/>
              <w:spacing w:after="240"/>
              <w:ind w:left="15"/>
              <w:jc w:val="both"/>
              <w:rPr>
                <w:sz w:val="22"/>
                <w:szCs w:val="22"/>
                <w:lang w:eastAsia="bs-Latn-BA"/>
              </w:rPr>
            </w:pPr>
            <w:r w:rsidRPr="00172A4E">
              <w:rPr>
                <w:sz w:val="22"/>
                <w:szCs w:val="22"/>
                <w:lang w:eastAsia="bs-Latn-BA"/>
              </w:rPr>
              <w:t>38,1%</w:t>
            </w:r>
          </w:p>
        </w:tc>
        <w:tc>
          <w:tcPr>
            <w:tcW w:w="2092" w:type="dxa"/>
            <w:gridSpan w:val="5"/>
            <w:tcBorders>
              <w:top w:val="single" w:sz="1" w:space="0" w:color="000000"/>
              <w:left w:val="single" w:sz="1" w:space="0" w:color="000000"/>
              <w:bottom w:val="single" w:sz="1" w:space="0" w:color="000000"/>
              <w:right w:val="single" w:sz="1" w:space="0" w:color="000000"/>
            </w:tcBorders>
            <w:shd w:val="clear" w:color="auto" w:fill="FFFFFF"/>
          </w:tcPr>
          <w:p w14:paraId="5137AC1A" w14:textId="77777777" w:rsidR="0083687B" w:rsidRPr="00172A4E" w:rsidRDefault="0083687B" w:rsidP="00EB3350">
            <w:pPr>
              <w:keepNext/>
              <w:keepLines/>
              <w:tabs>
                <w:tab w:val="left" w:pos="-1080"/>
                <w:tab w:val="left" w:pos="562"/>
              </w:tabs>
              <w:autoSpaceDE w:val="0"/>
              <w:spacing w:after="240"/>
              <w:ind w:left="15"/>
              <w:jc w:val="both"/>
              <w:rPr>
                <w:sz w:val="22"/>
                <w:szCs w:val="22"/>
                <w:lang w:val="bs-Latn-BA" w:eastAsia="bs-Latn-BA"/>
              </w:rPr>
            </w:pPr>
            <w:r w:rsidRPr="00172A4E">
              <w:rPr>
                <w:sz w:val="22"/>
                <w:szCs w:val="22"/>
                <w:lang w:eastAsia="bs-Latn-BA"/>
              </w:rPr>
              <w:t>0,608</w:t>
            </w:r>
          </w:p>
        </w:tc>
      </w:tr>
      <w:tr w:rsidR="0083687B" w:rsidRPr="003849E5" w14:paraId="187BD9C9" w14:textId="77777777" w:rsidTr="00172A4E">
        <w:trPr>
          <w:trHeight w:val="23"/>
        </w:trPr>
        <w:tc>
          <w:tcPr>
            <w:tcW w:w="3205" w:type="dxa"/>
            <w:tcBorders>
              <w:top w:val="single" w:sz="1" w:space="0" w:color="000000"/>
              <w:left w:val="single" w:sz="1" w:space="0" w:color="000000"/>
              <w:bottom w:val="single" w:sz="1" w:space="0" w:color="000000"/>
            </w:tcBorders>
            <w:shd w:val="clear" w:color="auto" w:fill="FFFFFF"/>
          </w:tcPr>
          <w:p w14:paraId="1F5451FF" w14:textId="5CDECDA8" w:rsidR="0083687B" w:rsidRPr="00172A4E" w:rsidRDefault="00CB003E" w:rsidP="00EB3350">
            <w:pPr>
              <w:keepNext/>
              <w:keepLines/>
              <w:tabs>
                <w:tab w:val="left" w:pos="-1080"/>
                <w:tab w:val="left" w:pos="562"/>
              </w:tabs>
              <w:autoSpaceDE w:val="0"/>
              <w:spacing w:after="240"/>
              <w:jc w:val="both"/>
              <w:rPr>
                <w:sz w:val="22"/>
                <w:szCs w:val="22"/>
                <w:lang w:eastAsia="bs-Latn-BA"/>
              </w:rPr>
            </w:pPr>
            <w:r>
              <w:rPr>
                <w:sz w:val="22"/>
                <w:szCs w:val="22"/>
                <w:lang w:eastAsia="bs-Latn-BA"/>
              </w:rPr>
              <w:t>52. nedjelja</w:t>
            </w:r>
          </w:p>
        </w:tc>
        <w:tc>
          <w:tcPr>
            <w:tcW w:w="1987" w:type="dxa"/>
            <w:tcBorders>
              <w:top w:val="single" w:sz="1" w:space="0" w:color="000000"/>
              <w:left w:val="single" w:sz="1" w:space="0" w:color="000000"/>
              <w:bottom w:val="single" w:sz="1" w:space="0" w:color="000000"/>
            </w:tcBorders>
            <w:shd w:val="clear" w:color="auto" w:fill="FFFFFF"/>
          </w:tcPr>
          <w:p w14:paraId="00DA6B7F" w14:textId="77777777" w:rsidR="0083687B" w:rsidRPr="00172A4E" w:rsidRDefault="0083687B" w:rsidP="00EB3350">
            <w:pPr>
              <w:keepNext/>
              <w:keepLines/>
              <w:tabs>
                <w:tab w:val="left" w:pos="-1080"/>
                <w:tab w:val="left" w:pos="562"/>
              </w:tabs>
              <w:autoSpaceDE w:val="0"/>
              <w:spacing w:after="240"/>
              <w:ind w:left="15"/>
              <w:jc w:val="both"/>
              <w:rPr>
                <w:sz w:val="22"/>
                <w:szCs w:val="22"/>
                <w:lang w:eastAsia="bs-Latn-BA"/>
              </w:rPr>
            </w:pPr>
            <w:r w:rsidRPr="00172A4E">
              <w:rPr>
                <w:sz w:val="22"/>
                <w:szCs w:val="22"/>
                <w:lang w:eastAsia="bs-Latn-BA"/>
              </w:rPr>
              <w:t>40,0%</w:t>
            </w:r>
          </w:p>
        </w:tc>
        <w:tc>
          <w:tcPr>
            <w:tcW w:w="1863" w:type="dxa"/>
            <w:tcBorders>
              <w:top w:val="single" w:sz="1" w:space="0" w:color="000000"/>
              <w:left w:val="single" w:sz="1" w:space="0" w:color="000000"/>
              <w:bottom w:val="single" w:sz="1" w:space="0" w:color="000000"/>
            </w:tcBorders>
            <w:shd w:val="clear" w:color="auto" w:fill="FFFFFF"/>
          </w:tcPr>
          <w:p w14:paraId="565AA208" w14:textId="77777777" w:rsidR="0083687B" w:rsidRPr="00172A4E" w:rsidRDefault="0083687B" w:rsidP="00EB3350">
            <w:pPr>
              <w:keepNext/>
              <w:keepLines/>
              <w:tabs>
                <w:tab w:val="left" w:pos="-1080"/>
                <w:tab w:val="left" w:pos="562"/>
              </w:tabs>
              <w:autoSpaceDE w:val="0"/>
              <w:spacing w:after="240"/>
              <w:ind w:left="15"/>
              <w:jc w:val="both"/>
              <w:rPr>
                <w:sz w:val="22"/>
                <w:szCs w:val="22"/>
                <w:lang w:eastAsia="bs-Latn-BA"/>
              </w:rPr>
            </w:pPr>
            <w:r w:rsidRPr="00172A4E">
              <w:rPr>
                <w:sz w:val="22"/>
                <w:szCs w:val="22"/>
                <w:lang w:eastAsia="bs-Latn-BA"/>
              </w:rPr>
              <w:t>23,8%</w:t>
            </w:r>
          </w:p>
        </w:tc>
        <w:tc>
          <w:tcPr>
            <w:tcW w:w="2092" w:type="dxa"/>
            <w:gridSpan w:val="5"/>
            <w:tcBorders>
              <w:top w:val="single" w:sz="1" w:space="0" w:color="000000"/>
              <w:left w:val="single" w:sz="1" w:space="0" w:color="000000"/>
              <w:bottom w:val="single" w:sz="1" w:space="0" w:color="000000"/>
              <w:right w:val="single" w:sz="1" w:space="0" w:color="000000"/>
            </w:tcBorders>
            <w:shd w:val="clear" w:color="auto" w:fill="FFFFFF"/>
          </w:tcPr>
          <w:p w14:paraId="6E06DDE7" w14:textId="77777777" w:rsidR="0083687B" w:rsidRPr="00172A4E" w:rsidRDefault="0083687B" w:rsidP="00EB3350">
            <w:pPr>
              <w:keepNext/>
              <w:keepLines/>
              <w:tabs>
                <w:tab w:val="left" w:pos="-1080"/>
                <w:tab w:val="left" w:pos="562"/>
              </w:tabs>
              <w:autoSpaceDE w:val="0"/>
              <w:spacing w:after="240"/>
              <w:ind w:left="15"/>
              <w:jc w:val="both"/>
              <w:rPr>
                <w:sz w:val="22"/>
                <w:szCs w:val="22"/>
                <w:lang w:val="bs-Latn-BA" w:eastAsia="bs-Latn-BA"/>
              </w:rPr>
            </w:pPr>
            <w:r w:rsidRPr="00172A4E">
              <w:rPr>
                <w:sz w:val="22"/>
                <w:szCs w:val="22"/>
                <w:lang w:eastAsia="bs-Latn-BA"/>
              </w:rPr>
              <w:t>0,303</w:t>
            </w:r>
          </w:p>
        </w:tc>
      </w:tr>
      <w:tr w:rsidR="0083687B" w:rsidRPr="003849E5" w14:paraId="54382BD4" w14:textId="77777777" w:rsidTr="00172A4E">
        <w:tblPrEx>
          <w:tblCellMar>
            <w:left w:w="0" w:type="dxa"/>
            <w:right w:w="0" w:type="dxa"/>
          </w:tblCellMar>
        </w:tblPrEx>
        <w:trPr>
          <w:trHeight w:val="177"/>
        </w:trPr>
        <w:tc>
          <w:tcPr>
            <w:tcW w:w="9044" w:type="dxa"/>
            <w:gridSpan w:val="4"/>
            <w:tcBorders>
              <w:top w:val="single" w:sz="1" w:space="0" w:color="000000"/>
            </w:tcBorders>
            <w:shd w:val="clear" w:color="auto" w:fill="FFFFFF"/>
          </w:tcPr>
          <w:p w14:paraId="625EB907" w14:textId="77777777" w:rsidR="0083687B" w:rsidRPr="00172A4E" w:rsidRDefault="0083687B" w:rsidP="00730D96">
            <w:pPr>
              <w:keepLines/>
              <w:tabs>
                <w:tab w:val="left" w:pos="-1080"/>
                <w:tab w:val="left" w:pos="562"/>
              </w:tabs>
              <w:autoSpaceDE w:val="0"/>
              <w:ind w:right="111"/>
              <w:jc w:val="both"/>
              <w:rPr>
                <w:position w:val="6"/>
                <w:sz w:val="22"/>
                <w:szCs w:val="22"/>
                <w:lang w:eastAsia="bs-Latn-BA"/>
              </w:rPr>
            </w:pPr>
            <w:r w:rsidRPr="00172A4E">
              <w:rPr>
                <w:position w:val="6"/>
                <w:sz w:val="22"/>
                <w:szCs w:val="22"/>
                <w:lang w:eastAsia="bs-Latn-BA"/>
              </w:rPr>
              <w:t>1</w:t>
            </w:r>
            <w:r w:rsidRPr="00172A4E">
              <w:rPr>
                <w:sz w:val="22"/>
                <w:szCs w:val="22"/>
                <w:lang w:eastAsia="bs-Latn-BA"/>
              </w:rPr>
              <w:t xml:space="preserve"> p vrijednost za standardnu dozu u poređenju sa niskom dozom.</w:t>
            </w:r>
          </w:p>
          <w:p w14:paraId="66ED268B" w14:textId="7A9A239E" w:rsidR="0083687B" w:rsidRPr="00172A4E" w:rsidRDefault="0083687B">
            <w:pPr>
              <w:keepLines/>
              <w:tabs>
                <w:tab w:val="left" w:pos="-1080"/>
                <w:tab w:val="left" w:pos="562"/>
              </w:tabs>
              <w:autoSpaceDE w:val="0"/>
              <w:ind w:right="111"/>
              <w:jc w:val="both"/>
              <w:rPr>
                <w:position w:val="6"/>
                <w:sz w:val="22"/>
                <w:szCs w:val="22"/>
                <w:lang w:eastAsia="bs-Latn-BA"/>
              </w:rPr>
            </w:pPr>
            <w:r w:rsidRPr="00172A4E">
              <w:rPr>
                <w:position w:val="6"/>
                <w:sz w:val="22"/>
                <w:szCs w:val="22"/>
                <w:lang w:eastAsia="bs-Latn-BA"/>
              </w:rPr>
              <w:t>2</w:t>
            </w:r>
            <w:r w:rsidRPr="00172A4E">
              <w:rPr>
                <w:sz w:val="22"/>
                <w:szCs w:val="22"/>
                <w:lang w:eastAsia="bs-Latn-BA"/>
              </w:rPr>
              <w:t xml:space="preserve"> Imunosupresivna terapija mogla se obustaviti samo u </w:t>
            </w:r>
            <w:r w:rsidR="00BA623E">
              <w:rPr>
                <w:sz w:val="22"/>
                <w:szCs w:val="22"/>
                <w:lang w:val="hr-HR" w:eastAsia="bs-Latn-BA"/>
              </w:rPr>
              <w:t>26. nedjelji</w:t>
            </w:r>
            <w:r w:rsidRPr="00172A4E">
              <w:rPr>
                <w:sz w:val="22"/>
                <w:szCs w:val="22"/>
                <w:lang w:val="hr-HR" w:eastAsia="bs-Latn-BA"/>
              </w:rPr>
              <w:t xml:space="preserve"> </w:t>
            </w:r>
            <w:r w:rsidRPr="00172A4E">
              <w:rPr>
                <w:sz w:val="22"/>
                <w:szCs w:val="22"/>
                <w:lang w:eastAsia="bs-Latn-BA"/>
              </w:rPr>
              <w:t xml:space="preserve"> ili kasnije, prema slobodnoj procjeni ispitiva</w:t>
            </w:r>
            <w:r w:rsidRPr="00172A4E">
              <w:rPr>
                <w:sz w:val="22"/>
                <w:szCs w:val="22"/>
                <w:lang w:val="hr-HR" w:eastAsia="bs-Latn-BA"/>
              </w:rPr>
              <w:t>ča ako je ispitanik ispunio kriterij</w:t>
            </w:r>
            <w:r w:rsidR="00BA623E">
              <w:rPr>
                <w:sz w:val="22"/>
                <w:szCs w:val="22"/>
                <w:lang w:val="hr-HR" w:eastAsia="bs-Latn-BA"/>
              </w:rPr>
              <w:t>ume</w:t>
            </w:r>
            <w:r w:rsidRPr="00172A4E">
              <w:rPr>
                <w:sz w:val="22"/>
                <w:szCs w:val="22"/>
                <w:lang w:val="hr-HR" w:eastAsia="bs-Latn-BA"/>
              </w:rPr>
              <w:t xml:space="preserve"> kliničkog odgovora </w:t>
            </w:r>
          </w:p>
          <w:p w14:paraId="32EC9D01" w14:textId="1326EF1C" w:rsidR="0083687B" w:rsidRPr="00172A4E" w:rsidRDefault="0083687B">
            <w:pPr>
              <w:keepLines/>
              <w:tabs>
                <w:tab w:val="left" w:pos="-1080"/>
                <w:tab w:val="left" w:pos="562"/>
              </w:tabs>
              <w:autoSpaceDE w:val="0"/>
              <w:ind w:right="111"/>
              <w:jc w:val="both"/>
              <w:rPr>
                <w:sz w:val="22"/>
                <w:szCs w:val="22"/>
                <w:lang w:val="bs-Latn-BA" w:eastAsia="bs-Latn-BA"/>
              </w:rPr>
            </w:pPr>
            <w:r w:rsidRPr="00172A4E">
              <w:rPr>
                <w:position w:val="6"/>
                <w:sz w:val="22"/>
                <w:szCs w:val="22"/>
                <w:lang w:eastAsia="bs-Latn-BA"/>
              </w:rPr>
              <w:lastRenderedPageBreak/>
              <w:t>3</w:t>
            </w:r>
            <w:r w:rsidRPr="00172A4E">
              <w:rPr>
                <w:sz w:val="22"/>
                <w:szCs w:val="22"/>
                <w:lang w:eastAsia="bs-Latn-BA"/>
              </w:rPr>
              <w:t xml:space="preserve"> definisano kao zatvaranje svih fistula iz kojih se na po</w:t>
            </w:r>
            <w:r w:rsidRPr="00172A4E">
              <w:rPr>
                <w:sz w:val="22"/>
                <w:szCs w:val="22"/>
                <w:lang w:val="hr-HR" w:eastAsia="bs-Latn-BA"/>
              </w:rPr>
              <w:t>četku cijedio sadržaj, održano kroz barem 2 uzastopn</w:t>
            </w:r>
            <w:r w:rsidR="00BA623E">
              <w:rPr>
                <w:sz w:val="22"/>
                <w:szCs w:val="22"/>
                <w:lang w:val="hr-HR" w:eastAsia="bs-Latn-BA"/>
              </w:rPr>
              <w:t>e</w:t>
            </w:r>
            <w:r w:rsidRPr="00172A4E">
              <w:rPr>
                <w:sz w:val="22"/>
                <w:szCs w:val="22"/>
                <w:lang w:val="hr-HR" w:eastAsia="bs-Latn-BA"/>
              </w:rPr>
              <w:t xml:space="preserve"> posjet</w:t>
            </w:r>
            <w:r w:rsidR="00BA623E">
              <w:rPr>
                <w:sz w:val="22"/>
                <w:szCs w:val="22"/>
                <w:lang w:val="hr-HR" w:eastAsia="bs-Latn-BA"/>
              </w:rPr>
              <w:t>e</w:t>
            </w:r>
            <w:r w:rsidRPr="00172A4E">
              <w:rPr>
                <w:sz w:val="22"/>
                <w:szCs w:val="22"/>
                <w:lang w:val="hr-HR" w:eastAsia="bs-Latn-BA"/>
              </w:rPr>
              <w:t xml:space="preserve"> nakon početka liječenja</w:t>
            </w:r>
          </w:p>
        </w:tc>
        <w:tc>
          <w:tcPr>
            <w:tcW w:w="26" w:type="dxa"/>
            <w:shd w:val="clear" w:color="auto" w:fill="auto"/>
          </w:tcPr>
          <w:p w14:paraId="3A500887" w14:textId="77777777" w:rsidR="0083687B" w:rsidRPr="00172A4E" w:rsidRDefault="0083687B" w:rsidP="00EB3350">
            <w:pPr>
              <w:snapToGrid w:val="0"/>
              <w:jc w:val="both"/>
              <w:rPr>
                <w:sz w:val="22"/>
                <w:szCs w:val="22"/>
                <w:lang w:val="bs-Latn-BA" w:eastAsia="bs-Latn-BA"/>
              </w:rPr>
            </w:pPr>
          </w:p>
        </w:tc>
        <w:tc>
          <w:tcPr>
            <w:tcW w:w="26" w:type="dxa"/>
            <w:shd w:val="clear" w:color="auto" w:fill="auto"/>
          </w:tcPr>
          <w:p w14:paraId="2B6402BA" w14:textId="77777777" w:rsidR="0083687B" w:rsidRPr="00172A4E" w:rsidRDefault="0083687B" w:rsidP="00EB3350">
            <w:pPr>
              <w:snapToGrid w:val="0"/>
              <w:jc w:val="both"/>
              <w:rPr>
                <w:sz w:val="22"/>
                <w:szCs w:val="22"/>
                <w:lang w:val="bs-Latn-BA" w:eastAsia="bs-Latn-BA"/>
              </w:rPr>
            </w:pPr>
          </w:p>
        </w:tc>
        <w:tc>
          <w:tcPr>
            <w:tcW w:w="26" w:type="dxa"/>
            <w:shd w:val="clear" w:color="auto" w:fill="auto"/>
          </w:tcPr>
          <w:p w14:paraId="36C971B0" w14:textId="77777777" w:rsidR="0083687B" w:rsidRPr="00172A4E" w:rsidRDefault="0083687B" w:rsidP="00EB3350">
            <w:pPr>
              <w:snapToGrid w:val="0"/>
              <w:jc w:val="both"/>
              <w:rPr>
                <w:sz w:val="22"/>
                <w:szCs w:val="22"/>
                <w:lang w:val="bs-Latn-BA" w:eastAsia="bs-Latn-BA"/>
              </w:rPr>
            </w:pPr>
          </w:p>
        </w:tc>
        <w:tc>
          <w:tcPr>
            <w:tcW w:w="26" w:type="dxa"/>
            <w:shd w:val="clear" w:color="auto" w:fill="auto"/>
          </w:tcPr>
          <w:p w14:paraId="691B37CA" w14:textId="77777777" w:rsidR="0083687B" w:rsidRPr="00172A4E" w:rsidRDefault="0083687B" w:rsidP="00EB3350">
            <w:pPr>
              <w:snapToGrid w:val="0"/>
              <w:jc w:val="both"/>
              <w:rPr>
                <w:sz w:val="22"/>
                <w:szCs w:val="22"/>
                <w:lang w:val="bs-Latn-BA" w:eastAsia="bs-Latn-BA"/>
              </w:rPr>
            </w:pPr>
          </w:p>
        </w:tc>
      </w:tr>
    </w:tbl>
    <w:p w14:paraId="09F64FFE" w14:textId="57AFBB92" w:rsidR="0083687B" w:rsidRPr="00172A4E" w:rsidRDefault="0083687B" w:rsidP="00EB3350">
      <w:pPr>
        <w:tabs>
          <w:tab w:val="left" w:pos="562"/>
        </w:tabs>
        <w:autoSpaceDE w:val="0"/>
        <w:jc w:val="both"/>
        <w:rPr>
          <w:sz w:val="22"/>
          <w:szCs w:val="22"/>
          <w:u w:val="single"/>
          <w:lang w:eastAsia="bs-Latn-BA"/>
        </w:rPr>
      </w:pPr>
      <w:r w:rsidRPr="00172A4E">
        <w:rPr>
          <w:sz w:val="22"/>
          <w:szCs w:val="22"/>
          <w:lang w:eastAsia="bs-Latn-BA"/>
        </w:rPr>
        <w:t>U obje grupe su zabilježena statisti</w:t>
      </w:r>
      <w:r w:rsidRPr="00172A4E">
        <w:rPr>
          <w:sz w:val="22"/>
          <w:szCs w:val="22"/>
          <w:lang w:val="hr-HR" w:eastAsia="bs-Latn-BA"/>
        </w:rPr>
        <w:t xml:space="preserve">čki značajna povećanja (poboljšanja) indeksa tjelesne mase i brzine </w:t>
      </w:r>
      <w:proofErr w:type="gramStart"/>
      <w:r w:rsidRPr="00172A4E">
        <w:rPr>
          <w:sz w:val="22"/>
          <w:szCs w:val="22"/>
          <w:lang w:val="hr-HR" w:eastAsia="bs-Latn-BA"/>
        </w:rPr>
        <w:t>rasta</w:t>
      </w:r>
      <w:proofErr w:type="gramEnd"/>
      <w:r w:rsidRPr="00172A4E">
        <w:rPr>
          <w:sz w:val="22"/>
          <w:szCs w:val="22"/>
          <w:lang w:val="hr-HR" w:eastAsia="bs-Latn-BA"/>
        </w:rPr>
        <w:t xml:space="preserve"> u </w:t>
      </w:r>
      <w:r w:rsidR="00BA623E">
        <w:rPr>
          <w:sz w:val="22"/>
          <w:szCs w:val="22"/>
          <w:lang w:val="hr-HR" w:eastAsia="bs-Latn-BA"/>
        </w:rPr>
        <w:t>26. i 52. nedjelji</w:t>
      </w:r>
      <w:r w:rsidRPr="00172A4E">
        <w:rPr>
          <w:sz w:val="22"/>
          <w:szCs w:val="22"/>
          <w:lang w:val="hr-HR" w:eastAsia="bs-Latn-BA"/>
        </w:rPr>
        <w:t xml:space="preserve"> u odnosu na početne vrijednosti.</w:t>
      </w:r>
    </w:p>
    <w:p w14:paraId="49676CEF" w14:textId="0BBBA4F0" w:rsidR="0083687B" w:rsidRPr="00172A4E" w:rsidRDefault="0083687B" w:rsidP="00730D96">
      <w:pPr>
        <w:tabs>
          <w:tab w:val="left" w:pos="562"/>
        </w:tabs>
        <w:autoSpaceDE w:val="0"/>
        <w:jc w:val="both"/>
        <w:rPr>
          <w:sz w:val="22"/>
          <w:szCs w:val="22"/>
          <w:lang w:val="hr-HR" w:eastAsia="bs-Latn-BA"/>
        </w:rPr>
      </w:pPr>
      <w:r w:rsidRPr="00172A4E">
        <w:rPr>
          <w:sz w:val="22"/>
          <w:szCs w:val="22"/>
          <w:lang w:eastAsia="bs-Latn-BA"/>
        </w:rPr>
        <w:t>Tako</w:t>
      </w:r>
      <w:r w:rsidRPr="00172A4E">
        <w:rPr>
          <w:sz w:val="22"/>
          <w:szCs w:val="22"/>
          <w:lang w:val="hr-HR" w:eastAsia="bs-Latn-BA"/>
        </w:rPr>
        <w:t xml:space="preserve">đe su u obje grupe u odnosu </w:t>
      </w:r>
      <w:proofErr w:type="gramStart"/>
      <w:r w:rsidRPr="00172A4E">
        <w:rPr>
          <w:sz w:val="22"/>
          <w:szCs w:val="22"/>
          <w:lang w:val="hr-HR" w:eastAsia="bs-Latn-BA"/>
        </w:rPr>
        <w:t>na</w:t>
      </w:r>
      <w:proofErr w:type="gramEnd"/>
      <w:r w:rsidRPr="00172A4E">
        <w:rPr>
          <w:sz w:val="22"/>
          <w:szCs w:val="22"/>
          <w:lang w:val="hr-HR" w:eastAsia="bs-Latn-BA"/>
        </w:rPr>
        <w:t xml:space="preserve"> početne vrijednosti zabilježena statistički i klinički značajna poboljšanja parametara kvalitet</w:t>
      </w:r>
      <w:r w:rsidR="00EB71F9">
        <w:rPr>
          <w:sz w:val="22"/>
          <w:szCs w:val="22"/>
          <w:lang w:val="hr-HR" w:eastAsia="bs-Latn-BA"/>
        </w:rPr>
        <w:t>a</w:t>
      </w:r>
      <w:r w:rsidRPr="00172A4E">
        <w:rPr>
          <w:sz w:val="22"/>
          <w:szCs w:val="22"/>
          <w:lang w:val="hr-HR" w:eastAsia="bs-Latn-BA"/>
        </w:rPr>
        <w:t xml:space="preserve"> života (uključujući IMPACT III).</w:t>
      </w:r>
    </w:p>
    <w:p w14:paraId="1FCAE65E" w14:textId="77777777" w:rsidR="0083687B" w:rsidRPr="00172A4E" w:rsidRDefault="0083687B">
      <w:pPr>
        <w:tabs>
          <w:tab w:val="left" w:pos="562"/>
        </w:tabs>
        <w:suppressAutoHyphens/>
        <w:jc w:val="both"/>
        <w:rPr>
          <w:sz w:val="22"/>
          <w:szCs w:val="22"/>
          <w:lang w:val="hr-HR"/>
        </w:rPr>
      </w:pPr>
      <w:r w:rsidRPr="00172A4E">
        <w:rPr>
          <w:sz w:val="22"/>
          <w:szCs w:val="22"/>
          <w:lang w:val="hr-HR"/>
        </w:rPr>
        <w:t xml:space="preserve">Stotinu bolesnika (n=100) iz ispitivanja pedijatrijskih bolesnika sa Crohnovom bolešću (engl. </w:t>
      </w:r>
      <w:r w:rsidRPr="00172A4E">
        <w:rPr>
          <w:i/>
          <w:sz w:val="22"/>
          <w:szCs w:val="22"/>
          <w:lang w:val="hr-HR"/>
        </w:rPr>
        <w:t>Paediatric CD Study</w:t>
      </w:r>
      <w:r w:rsidRPr="00172A4E">
        <w:rPr>
          <w:sz w:val="22"/>
          <w:szCs w:val="22"/>
          <w:lang w:val="hr-HR"/>
        </w:rPr>
        <w:t>) nastavilo je otvoreni dugotrajni produžetak ispitivanja. Nakon 5 godina terapije adalimumabom, 74,0% (37/50) od 50 bolesnika koji su ostali u ispitivanju i dalje su bili u kliničkoj remisiji dok je 92,0% (46/50) bolesnika nastavilo imati klinički odgovor prema PCDAI rezultatu.</w:t>
      </w:r>
    </w:p>
    <w:p w14:paraId="45F459F2" w14:textId="38B336F2" w:rsidR="0083687B" w:rsidRPr="00172A4E" w:rsidRDefault="0083687B">
      <w:pPr>
        <w:autoSpaceDE w:val="0"/>
        <w:jc w:val="both"/>
        <w:rPr>
          <w:sz w:val="22"/>
          <w:szCs w:val="22"/>
          <w:lang w:val="hr-HR" w:eastAsia="bs-Latn-BA"/>
        </w:rPr>
      </w:pPr>
      <w:r w:rsidRPr="00172A4E">
        <w:rPr>
          <w:sz w:val="22"/>
          <w:szCs w:val="22"/>
          <w:lang w:val="hr-HR" w:eastAsia="bs-Latn-BA"/>
        </w:rPr>
        <w:t xml:space="preserve">Uveitis </w:t>
      </w:r>
      <w:r w:rsidR="00770706">
        <w:rPr>
          <w:sz w:val="22"/>
          <w:szCs w:val="22"/>
          <w:lang w:val="hr-HR" w:eastAsia="bs-Latn-BA"/>
        </w:rPr>
        <w:t>kod</w:t>
      </w:r>
      <w:r w:rsidRPr="00172A4E">
        <w:rPr>
          <w:sz w:val="22"/>
          <w:szCs w:val="22"/>
          <w:lang w:val="hr-HR" w:eastAsia="bs-Latn-BA"/>
        </w:rPr>
        <w:t xml:space="preserve"> djece</w:t>
      </w:r>
    </w:p>
    <w:p w14:paraId="4A2B82CA" w14:textId="1DB8E507" w:rsidR="0083687B" w:rsidRPr="00172A4E" w:rsidRDefault="0083687B">
      <w:pPr>
        <w:autoSpaceDE w:val="0"/>
        <w:jc w:val="both"/>
        <w:rPr>
          <w:sz w:val="22"/>
          <w:szCs w:val="22"/>
          <w:lang w:eastAsia="bs-Latn-BA"/>
        </w:rPr>
      </w:pPr>
      <w:r w:rsidRPr="00172A4E">
        <w:rPr>
          <w:sz w:val="22"/>
          <w:szCs w:val="22"/>
          <w:lang w:eastAsia="bs-Latn-BA"/>
        </w:rPr>
        <w:t xml:space="preserve">Sigurnost i efikasnost </w:t>
      </w:r>
      <w:r w:rsidR="00DA42DA">
        <w:rPr>
          <w:sz w:val="22"/>
          <w:szCs w:val="22"/>
          <w:lang w:eastAsia="bs-Latn-BA"/>
        </w:rPr>
        <w:t xml:space="preserve">lijeka </w:t>
      </w:r>
      <w:r w:rsidRPr="00172A4E">
        <w:rPr>
          <w:sz w:val="22"/>
          <w:szCs w:val="22"/>
          <w:lang w:eastAsia="bs-Latn-BA"/>
        </w:rPr>
        <w:t>Humir</w:t>
      </w:r>
      <w:r w:rsidR="00DA42DA">
        <w:rPr>
          <w:sz w:val="22"/>
          <w:szCs w:val="22"/>
          <w:lang w:eastAsia="bs-Latn-BA"/>
        </w:rPr>
        <w:t>a</w:t>
      </w:r>
      <w:r w:rsidRPr="00172A4E">
        <w:rPr>
          <w:sz w:val="22"/>
          <w:szCs w:val="22"/>
          <w:lang w:eastAsia="bs-Latn-BA"/>
        </w:rPr>
        <w:t xml:space="preserve"> procjenjivan</w:t>
      </w:r>
      <w:r w:rsidR="00DA42DA">
        <w:rPr>
          <w:sz w:val="22"/>
          <w:szCs w:val="22"/>
          <w:lang w:eastAsia="bs-Latn-BA"/>
        </w:rPr>
        <w:t>e su</w:t>
      </w:r>
      <w:r w:rsidRPr="00172A4E">
        <w:rPr>
          <w:sz w:val="22"/>
          <w:szCs w:val="22"/>
          <w:lang w:eastAsia="bs-Latn-BA"/>
        </w:rPr>
        <w:t xml:space="preserve"> u randomiz</w:t>
      </w:r>
      <w:r w:rsidR="00DA42DA">
        <w:rPr>
          <w:sz w:val="22"/>
          <w:szCs w:val="22"/>
          <w:lang w:eastAsia="bs-Latn-BA"/>
        </w:rPr>
        <w:t>ovanoj,</w:t>
      </w:r>
      <w:r w:rsidRPr="00172A4E">
        <w:rPr>
          <w:sz w:val="22"/>
          <w:szCs w:val="22"/>
          <w:lang w:eastAsia="bs-Latn-BA"/>
        </w:rPr>
        <w:t xml:space="preserve"> dvostruko-maskiranoj, kontrolisanoj studiji </w:t>
      </w:r>
      <w:proofErr w:type="gramStart"/>
      <w:r w:rsidRPr="00172A4E">
        <w:rPr>
          <w:sz w:val="22"/>
          <w:szCs w:val="22"/>
          <w:lang w:eastAsia="bs-Latn-BA"/>
        </w:rPr>
        <w:t>od</w:t>
      </w:r>
      <w:proofErr w:type="gramEnd"/>
      <w:r w:rsidRPr="00172A4E">
        <w:rPr>
          <w:sz w:val="22"/>
          <w:szCs w:val="22"/>
          <w:lang w:eastAsia="bs-Latn-BA"/>
        </w:rPr>
        <w:t xml:space="preserve"> 90 pedijatrijskih pacijenata od 2 do ˂18 godina sa aktivnim neinfektivnim anteriornim uveitisom koji je povezan sa JIA-om koji su bili refraktorni na terapiju metotreksatom u trajanju od najmanje 12 </w:t>
      </w:r>
      <w:r w:rsidR="00DA42DA">
        <w:rPr>
          <w:sz w:val="22"/>
          <w:szCs w:val="22"/>
          <w:lang w:eastAsia="bs-Latn-BA"/>
        </w:rPr>
        <w:t>nedjelja</w:t>
      </w:r>
      <w:r w:rsidRPr="00172A4E">
        <w:rPr>
          <w:sz w:val="22"/>
          <w:szCs w:val="22"/>
          <w:lang w:eastAsia="bs-Latn-BA"/>
        </w:rPr>
        <w:t xml:space="preserve">. Pacijenti su primali bilo placebo </w:t>
      </w:r>
      <w:proofErr w:type="gramStart"/>
      <w:r w:rsidRPr="00172A4E">
        <w:rPr>
          <w:sz w:val="22"/>
          <w:szCs w:val="22"/>
          <w:lang w:eastAsia="bs-Latn-BA"/>
        </w:rPr>
        <w:t>ili</w:t>
      </w:r>
      <w:proofErr w:type="gramEnd"/>
      <w:r w:rsidRPr="00172A4E">
        <w:rPr>
          <w:sz w:val="22"/>
          <w:szCs w:val="22"/>
          <w:lang w:eastAsia="bs-Latn-BA"/>
        </w:rPr>
        <w:t xml:space="preserve"> 20 mg adalimumaba (ako je &lt;30 kg) ili 40 mg adalimumaba (ako je ≥ 30 kg) svake druge </w:t>
      </w:r>
      <w:r w:rsidR="00DA42DA">
        <w:rPr>
          <w:sz w:val="22"/>
          <w:szCs w:val="22"/>
          <w:lang w:eastAsia="bs-Latn-BA"/>
        </w:rPr>
        <w:t>nedjelje</w:t>
      </w:r>
      <w:r w:rsidR="00DA42DA" w:rsidRPr="00172A4E">
        <w:rPr>
          <w:sz w:val="22"/>
          <w:szCs w:val="22"/>
          <w:lang w:eastAsia="bs-Latn-BA"/>
        </w:rPr>
        <w:t xml:space="preserve"> </w:t>
      </w:r>
      <w:r w:rsidRPr="00172A4E">
        <w:rPr>
          <w:sz w:val="22"/>
          <w:szCs w:val="22"/>
          <w:lang w:eastAsia="bs-Latn-BA"/>
        </w:rPr>
        <w:t>u kombinaciji sa njihovom osnovnom dozom metotreksata.</w:t>
      </w:r>
    </w:p>
    <w:p w14:paraId="02454C1D" w14:textId="301C8DF6" w:rsidR="0083687B" w:rsidRPr="00172A4E" w:rsidRDefault="00212655">
      <w:pPr>
        <w:autoSpaceDE w:val="0"/>
        <w:jc w:val="both"/>
        <w:rPr>
          <w:sz w:val="22"/>
          <w:szCs w:val="22"/>
          <w:lang w:eastAsia="bs-Latn-BA"/>
        </w:rPr>
      </w:pPr>
      <w:r>
        <w:rPr>
          <w:sz w:val="22"/>
          <w:szCs w:val="22"/>
          <w:lang w:eastAsia="bs-Latn-BA"/>
        </w:rPr>
        <w:t xml:space="preserve">Primarni parameter praćenja </w:t>
      </w:r>
      <w:proofErr w:type="gramStart"/>
      <w:r>
        <w:rPr>
          <w:sz w:val="22"/>
          <w:szCs w:val="22"/>
          <w:lang w:eastAsia="bs-Latn-BA"/>
        </w:rPr>
        <w:t xml:space="preserve">bio </w:t>
      </w:r>
      <w:r w:rsidR="0083687B" w:rsidRPr="00172A4E">
        <w:rPr>
          <w:sz w:val="22"/>
          <w:szCs w:val="22"/>
          <w:lang w:eastAsia="bs-Latn-BA"/>
        </w:rPr>
        <w:t xml:space="preserve"> je</w:t>
      </w:r>
      <w:proofErr w:type="gramEnd"/>
      <w:r w:rsidR="0083687B" w:rsidRPr="00172A4E">
        <w:rPr>
          <w:sz w:val="22"/>
          <w:szCs w:val="22"/>
          <w:lang w:eastAsia="bs-Latn-BA"/>
        </w:rPr>
        <w:t xml:space="preserve"> "vrijeme do neuspjeha lečenja". Kriteri</w:t>
      </w:r>
      <w:r w:rsidR="006B6018">
        <w:rPr>
          <w:sz w:val="22"/>
          <w:szCs w:val="22"/>
          <w:lang w:eastAsia="bs-Latn-BA"/>
        </w:rPr>
        <w:t>jumi</w:t>
      </w:r>
      <w:r w:rsidR="0083687B" w:rsidRPr="00172A4E">
        <w:rPr>
          <w:sz w:val="22"/>
          <w:szCs w:val="22"/>
          <w:lang w:eastAsia="bs-Latn-BA"/>
        </w:rPr>
        <w:t xml:space="preserve"> koji utiču </w:t>
      </w:r>
      <w:proofErr w:type="gramStart"/>
      <w:r w:rsidR="0083687B" w:rsidRPr="00172A4E">
        <w:rPr>
          <w:sz w:val="22"/>
          <w:szCs w:val="22"/>
          <w:lang w:eastAsia="bs-Latn-BA"/>
        </w:rPr>
        <w:t>na</w:t>
      </w:r>
      <w:proofErr w:type="gramEnd"/>
      <w:r w:rsidR="0083687B" w:rsidRPr="00172A4E">
        <w:rPr>
          <w:sz w:val="22"/>
          <w:szCs w:val="22"/>
          <w:lang w:eastAsia="bs-Latn-BA"/>
        </w:rPr>
        <w:t xml:space="preserve"> neuspjeh liječenja su pogoršanje ili </w:t>
      </w:r>
      <w:r w:rsidR="006B6018">
        <w:rPr>
          <w:sz w:val="22"/>
          <w:szCs w:val="22"/>
          <w:lang w:eastAsia="bs-Latn-BA"/>
        </w:rPr>
        <w:t>dugotrajan izostanak poboljšanja upale oka</w:t>
      </w:r>
      <w:r w:rsidR="0083687B" w:rsidRPr="00172A4E">
        <w:rPr>
          <w:sz w:val="22"/>
          <w:szCs w:val="22"/>
          <w:lang w:eastAsia="bs-Latn-BA"/>
        </w:rPr>
        <w:t>, djelimično poboljšanje sa razvojem trajnih očnih komorbiditeta ili pogoršanjem očnih komorbiditeta, nedozvoljen</w:t>
      </w:r>
      <w:r w:rsidR="006B6018">
        <w:rPr>
          <w:sz w:val="22"/>
          <w:szCs w:val="22"/>
          <w:lang w:eastAsia="bs-Latn-BA"/>
        </w:rPr>
        <w:t xml:space="preserve">a istovremena primjena drugih ljekova te prekid liječenja na duži vremenski period. </w:t>
      </w:r>
    </w:p>
    <w:p w14:paraId="3785A803" w14:textId="77777777" w:rsidR="0083687B" w:rsidRPr="00172A4E" w:rsidRDefault="0083687B">
      <w:pPr>
        <w:autoSpaceDE w:val="0"/>
        <w:jc w:val="both"/>
        <w:rPr>
          <w:sz w:val="22"/>
          <w:szCs w:val="22"/>
          <w:lang w:eastAsia="bs-Latn-BA"/>
        </w:rPr>
      </w:pPr>
      <w:r w:rsidRPr="00172A4E">
        <w:rPr>
          <w:sz w:val="22"/>
          <w:szCs w:val="22"/>
          <w:lang w:eastAsia="bs-Latn-BA"/>
        </w:rPr>
        <w:t>Klinički odgovor</w:t>
      </w:r>
    </w:p>
    <w:p w14:paraId="1D8B4CC4" w14:textId="2FB53CBD" w:rsidR="0083687B" w:rsidRPr="00172A4E" w:rsidRDefault="0083687B">
      <w:pPr>
        <w:autoSpaceDE w:val="0"/>
        <w:jc w:val="both"/>
        <w:rPr>
          <w:sz w:val="22"/>
          <w:szCs w:val="22"/>
          <w:lang w:eastAsia="bs-Latn-BA"/>
        </w:rPr>
      </w:pPr>
      <w:r w:rsidRPr="00172A4E">
        <w:rPr>
          <w:sz w:val="22"/>
          <w:szCs w:val="22"/>
          <w:lang w:eastAsia="bs-Latn-BA"/>
        </w:rPr>
        <w:t xml:space="preserve">Adalimumab je značajno odložio “vrijeme do neuspjeha liječenja”, u poređenju sa placebom (vidjeti Sliku </w:t>
      </w:r>
      <w:r w:rsidR="00F83367">
        <w:rPr>
          <w:sz w:val="22"/>
          <w:szCs w:val="22"/>
          <w:lang w:eastAsia="bs-Latn-BA"/>
        </w:rPr>
        <w:t>2</w:t>
      </w:r>
      <w:r w:rsidRPr="00172A4E">
        <w:rPr>
          <w:sz w:val="22"/>
          <w:szCs w:val="22"/>
          <w:lang w:eastAsia="bs-Latn-BA"/>
        </w:rPr>
        <w:t>, P &lt;0</w:t>
      </w:r>
      <w:proofErr w:type="gramStart"/>
      <w:r w:rsidRPr="00172A4E">
        <w:rPr>
          <w:sz w:val="22"/>
          <w:szCs w:val="22"/>
          <w:lang w:eastAsia="bs-Latn-BA"/>
        </w:rPr>
        <w:t>,0001</w:t>
      </w:r>
      <w:proofErr w:type="gramEnd"/>
      <w:r w:rsidRPr="00172A4E">
        <w:rPr>
          <w:sz w:val="22"/>
          <w:szCs w:val="22"/>
          <w:lang w:eastAsia="bs-Latn-BA"/>
        </w:rPr>
        <w:t xml:space="preserve"> iz </w:t>
      </w:r>
      <w:r w:rsidR="00F83367">
        <w:rPr>
          <w:sz w:val="22"/>
          <w:szCs w:val="22"/>
          <w:lang w:eastAsia="bs-Latn-BA"/>
        </w:rPr>
        <w:t>long-rang</w:t>
      </w:r>
      <w:r w:rsidR="00F83367" w:rsidRPr="00172A4E">
        <w:rPr>
          <w:sz w:val="22"/>
          <w:szCs w:val="22"/>
          <w:lang w:eastAsia="bs-Latn-BA"/>
        </w:rPr>
        <w:t xml:space="preserve"> </w:t>
      </w:r>
      <w:r w:rsidRPr="00172A4E">
        <w:rPr>
          <w:sz w:val="22"/>
          <w:szCs w:val="22"/>
          <w:lang w:eastAsia="bs-Latn-BA"/>
        </w:rPr>
        <w:t>testa). Srednje vrijeme do neuspjeha liječenja bilo je 24</w:t>
      </w:r>
      <w:proofErr w:type="gramStart"/>
      <w:r w:rsidRPr="00172A4E">
        <w:rPr>
          <w:sz w:val="22"/>
          <w:szCs w:val="22"/>
          <w:lang w:eastAsia="bs-Latn-BA"/>
        </w:rPr>
        <w:t>,1</w:t>
      </w:r>
      <w:proofErr w:type="gramEnd"/>
      <w:r w:rsidRPr="00172A4E">
        <w:rPr>
          <w:sz w:val="22"/>
          <w:szCs w:val="22"/>
          <w:lang w:eastAsia="bs-Latn-BA"/>
        </w:rPr>
        <w:t xml:space="preserve"> </w:t>
      </w:r>
      <w:r w:rsidR="00F83367">
        <w:rPr>
          <w:sz w:val="22"/>
          <w:szCs w:val="22"/>
          <w:lang w:eastAsia="bs-Latn-BA"/>
        </w:rPr>
        <w:t>nedjelje</w:t>
      </w:r>
      <w:r w:rsidRPr="00172A4E">
        <w:rPr>
          <w:sz w:val="22"/>
          <w:szCs w:val="22"/>
          <w:lang w:eastAsia="bs-Latn-BA"/>
        </w:rPr>
        <w:t xml:space="preserve"> za osobe koje su </w:t>
      </w:r>
      <w:r w:rsidR="00F83367">
        <w:rPr>
          <w:sz w:val="22"/>
          <w:szCs w:val="22"/>
          <w:lang w:eastAsia="bs-Latn-BA"/>
        </w:rPr>
        <w:t>primale</w:t>
      </w:r>
      <w:r w:rsidRPr="00172A4E">
        <w:rPr>
          <w:sz w:val="22"/>
          <w:szCs w:val="22"/>
          <w:lang w:eastAsia="bs-Latn-BA"/>
        </w:rPr>
        <w:t xml:space="preserve"> placebo, dok </w:t>
      </w:r>
      <w:r w:rsidR="00F83367">
        <w:rPr>
          <w:sz w:val="22"/>
          <w:szCs w:val="22"/>
          <w:lang w:eastAsia="bs-Latn-BA"/>
        </w:rPr>
        <w:t xml:space="preserve"> </w:t>
      </w:r>
      <w:r w:rsidRPr="00172A4E">
        <w:rPr>
          <w:sz w:val="22"/>
          <w:szCs w:val="22"/>
          <w:lang w:eastAsia="bs-Latn-BA"/>
        </w:rPr>
        <w:t>srednj</w:t>
      </w:r>
      <w:r w:rsidR="00F83367">
        <w:rPr>
          <w:sz w:val="22"/>
          <w:szCs w:val="22"/>
          <w:lang w:eastAsia="bs-Latn-BA"/>
        </w:rPr>
        <w:t>u</w:t>
      </w:r>
      <w:r w:rsidRPr="00172A4E">
        <w:rPr>
          <w:sz w:val="22"/>
          <w:szCs w:val="22"/>
          <w:lang w:eastAsia="bs-Latn-BA"/>
        </w:rPr>
        <w:t xml:space="preserve"> vrijednost vremena do neuspjeha liječenja nije bilo moguće procijeniti </w:t>
      </w:r>
      <w:r w:rsidR="00F83367">
        <w:rPr>
          <w:sz w:val="22"/>
          <w:szCs w:val="22"/>
          <w:lang w:eastAsia="bs-Latn-BA"/>
        </w:rPr>
        <w:t>kod</w:t>
      </w:r>
      <w:r w:rsidRPr="00172A4E">
        <w:rPr>
          <w:sz w:val="22"/>
          <w:szCs w:val="22"/>
          <w:lang w:eastAsia="bs-Latn-BA"/>
        </w:rPr>
        <w:t xml:space="preserve"> osoba liječenih adalimumabom, jer je </w:t>
      </w:r>
      <w:r w:rsidR="00F83367">
        <w:rPr>
          <w:sz w:val="22"/>
          <w:szCs w:val="22"/>
          <w:lang w:eastAsia="bs-Latn-BA"/>
        </w:rPr>
        <w:t xml:space="preserve">kod </w:t>
      </w:r>
      <w:r w:rsidRPr="00172A4E">
        <w:rPr>
          <w:sz w:val="22"/>
          <w:szCs w:val="22"/>
          <w:lang w:eastAsia="bs-Latn-BA"/>
        </w:rPr>
        <w:t xml:space="preserve">manje od polovine ovih ispitanika došlo do neuspjeha liječenja. Adalimumab je značajno smanjio rizik </w:t>
      </w:r>
      <w:proofErr w:type="gramStart"/>
      <w:r w:rsidRPr="00172A4E">
        <w:rPr>
          <w:sz w:val="22"/>
          <w:szCs w:val="22"/>
          <w:lang w:eastAsia="bs-Latn-BA"/>
        </w:rPr>
        <w:t>od</w:t>
      </w:r>
      <w:proofErr w:type="gramEnd"/>
      <w:r w:rsidRPr="00172A4E">
        <w:rPr>
          <w:sz w:val="22"/>
          <w:szCs w:val="22"/>
          <w:lang w:eastAsia="bs-Latn-BA"/>
        </w:rPr>
        <w:t xml:space="preserve"> neuspjeha liječenja za 75% u odnosu na placebo, što pokazuje odnos rizika (HR = 0.25 [95% CI: 0.12, 0.49]).</w:t>
      </w:r>
    </w:p>
    <w:p w14:paraId="4B594B78" w14:textId="77777777" w:rsidR="00212655" w:rsidRDefault="00212655">
      <w:pPr>
        <w:autoSpaceDE w:val="0"/>
        <w:spacing w:after="200" w:line="276" w:lineRule="auto"/>
        <w:jc w:val="both"/>
        <w:rPr>
          <w:b/>
          <w:sz w:val="22"/>
          <w:szCs w:val="22"/>
          <w:lang w:eastAsia="bs-Latn-BA"/>
        </w:rPr>
      </w:pPr>
    </w:p>
    <w:p w14:paraId="37736DA3" w14:textId="77777777" w:rsidR="00212655" w:rsidRDefault="00212655">
      <w:pPr>
        <w:autoSpaceDE w:val="0"/>
        <w:spacing w:after="200" w:line="276" w:lineRule="auto"/>
        <w:jc w:val="both"/>
        <w:rPr>
          <w:b/>
          <w:sz w:val="22"/>
          <w:szCs w:val="22"/>
          <w:lang w:eastAsia="bs-Latn-BA"/>
        </w:rPr>
      </w:pPr>
    </w:p>
    <w:p w14:paraId="21D6352F" w14:textId="77777777" w:rsidR="00212655" w:rsidRDefault="00212655">
      <w:pPr>
        <w:autoSpaceDE w:val="0"/>
        <w:spacing w:after="200" w:line="276" w:lineRule="auto"/>
        <w:jc w:val="both"/>
        <w:rPr>
          <w:b/>
          <w:sz w:val="22"/>
          <w:szCs w:val="22"/>
          <w:lang w:eastAsia="bs-Latn-BA"/>
        </w:rPr>
      </w:pPr>
    </w:p>
    <w:p w14:paraId="23EDB5B1" w14:textId="77777777" w:rsidR="00212655" w:rsidRDefault="00212655">
      <w:pPr>
        <w:autoSpaceDE w:val="0"/>
        <w:spacing w:after="200" w:line="276" w:lineRule="auto"/>
        <w:jc w:val="both"/>
        <w:rPr>
          <w:b/>
          <w:sz w:val="22"/>
          <w:szCs w:val="22"/>
          <w:lang w:eastAsia="bs-Latn-BA"/>
        </w:rPr>
      </w:pPr>
    </w:p>
    <w:p w14:paraId="53B6BBD1" w14:textId="77777777" w:rsidR="00212655" w:rsidRDefault="00212655">
      <w:pPr>
        <w:autoSpaceDE w:val="0"/>
        <w:spacing w:after="200" w:line="276" w:lineRule="auto"/>
        <w:jc w:val="both"/>
        <w:rPr>
          <w:b/>
          <w:sz w:val="22"/>
          <w:szCs w:val="22"/>
          <w:lang w:eastAsia="bs-Latn-BA"/>
        </w:rPr>
      </w:pPr>
    </w:p>
    <w:p w14:paraId="0DBDD19D" w14:textId="77777777" w:rsidR="00212655" w:rsidRDefault="00212655">
      <w:pPr>
        <w:autoSpaceDE w:val="0"/>
        <w:spacing w:after="200" w:line="276" w:lineRule="auto"/>
        <w:jc w:val="both"/>
        <w:rPr>
          <w:b/>
          <w:sz w:val="22"/>
          <w:szCs w:val="22"/>
          <w:lang w:eastAsia="bs-Latn-BA"/>
        </w:rPr>
      </w:pPr>
    </w:p>
    <w:p w14:paraId="21BA5486" w14:textId="77777777" w:rsidR="00212655" w:rsidRDefault="00212655">
      <w:pPr>
        <w:autoSpaceDE w:val="0"/>
        <w:spacing w:after="200" w:line="276" w:lineRule="auto"/>
        <w:jc w:val="both"/>
        <w:rPr>
          <w:b/>
          <w:sz w:val="22"/>
          <w:szCs w:val="22"/>
          <w:lang w:eastAsia="bs-Latn-BA"/>
        </w:rPr>
      </w:pPr>
    </w:p>
    <w:p w14:paraId="742B54D7" w14:textId="77777777" w:rsidR="00212655" w:rsidRDefault="00212655">
      <w:pPr>
        <w:autoSpaceDE w:val="0"/>
        <w:spacing w:after="200" w:line="276" w:lineRule="auto"/>
        <w:jc w:val="both"/>
        <w:rPr>
          <w:b/>
          <w:sz w:val="22"/>
          <w:szCs w:val="22"/>
          <w:lang w:eastAsia="bs-Latn-BA"/>
        </w:rPr>
      </w:pPr>
    </w:p>
    <w:p w14:paraId="73EBEFAA" w14:textId="77777777" w:rsidR="00212655" w:rsidRDefault="00212655">
      <w:pPr>
        <w:autoSpaceDE w:val="0"/>
        <w:spacing w:after="200" w:line="276" w:lineRule="auto"/>
        <w:jc w:val="both"/>
        <w:rPr>
          <w:b/>
          <w:sz w:val="22"/>
          <w:szCs w:val="22"/>
          <w:lang w:eastAsia="bs-Latn-BA"/>
        </w:rPr>
      </w:pPr>
    </w:p>
    <w:p w14:paraId="6AB3C5CE" w14:textId="77777777" w:rsidR="00212655" w:rsidRDefault="00212655">
      <w:pPr>
        <w:autoSpaceDE w:val="0"/>
        <w:spacing w:after="200" w:line="276" w:lineRule="auto"/>
        <w:jc w:val="both"/>
        <w:rPr>
          <w:b/>
          <w:sz w:val="22"/>
          <w:szCs w:val="22"/>
          <w:lang w:eastAsia="bs-Latn-BA"/>
        </w:rPr>
      </w:pPr>
    </w:p>
    <w:p w14:paraId="5E6FA342" w14:textId="77777777" w:rsidR="00212655" w:rsidRDefault="00212655">
      <w:pPr>
        <w:autoSpaceDE w:val="0"/>
        <w:spacing w:after="200" w:line="276" w:lineRule="auto"/>
        <w:jc w:val="both"/>
        <w:rPr>
          <w:b/>
          <w:sz w:val="22"/>
          <w:szCs w:val="22"/>
          <w:lang w:eastAsia="bs-Latn-BA"/>
        </w:rPr>
      </w:pPr>
    </w:p>
    <w:p w14:paraId="5E12159A" w14:textId="77777777" w:rsidR="00212655" w:rsidRDefault="00212655">
      <w:pPr>
        <w:autoSpaceDE w:val="0"/>
        <w:spacing w:after="200" w:line="276" w:lineRule="auto"/>
        <w:jc w:val="both"/>
        <w:rPr>
          <w:b/>
          <w:sz w:val="22"/>
          <w:szCs w:val="22"/>
          <w:lang w:eastAsia="bs-Latn-BA"/>
        </w:rPr>
      </w:pPr>
    </w:p>
    <w:p w14:paraId="1800ABDD" w14:textId="77777777" w:rsidR="00212655" w:rsidRDefault="00212655">
      <w:pPr>
        <w:autoSpaceDE w:val="0"/>
        <w:spacing w:after="200" w:line="276" w:lineRule="auto"/>
        <w:jc w:val="both"/>
        <w:rPr>
          <w:b/>
          <w:sz w:val="22"/>
          <w:szCs w:val="22"/>
          <w:lang w:eastAsia="bs-Latn-BA"/>
        </w:rPr>
      </w:pPr>
    </w:p>
    <w:p w14:paraId="6F88FE33" w14:textId="77777777" w:rsidR="00212655" w:rsidRDefault="00212655">
      <w:pPr>
        <w:autoSpaceDE w:val="0"/>
        <w:spacing w:after="200" w:line="276" w:lineRule="auto"/>
        <w:jc w:val="both"/>
        <w:rPr>
          <w:b/>
          <w:sz w:val="22"/>
          <w:szCs w:val="22"/>
          <w:lang w:eastAsia="bs-Latn-BA"/>
        </w:rPr>
      </w:pPr>
    </w:p>
    <w:p w14:paraId="54B3E0D7" w14:textId="77777777" w:rsidR="00212655" w:rsidRDefault="00212655">
      <w:pPr>
        <w:autoSpaceDE w:val="0"/>
        <w:spacing w:after="200" w:line="276" w:lineRule="auto"/>
        <w:jc w:val="both"/>
        <w:rPr>
          <w:b/>
          <w:sz w:val="22"/>
          <w:szCs w:val="22"/>
          <w:lang w:eastAsia="bs-Latn-BA"/>
        </w:rPr>
      </w:pPr>
    </w:p>
    <w:p w14:paraId="040CC53C" w14:textId="671792C7" w:rsidR="0083687B" w:rsidRPr="00172A4E" w:rsidRDefault="0083687B">
      <w:pPr>
        <w:autoSpaceDE w:val="0"/>
        <w:spacing w:after="200" w:line="276" w:lineRule="auto"/>
        <w:jc w:val="both"/>
        <w:rPr>
          <w:b/>
          <w:sz w:val="22"/>
          <w:szCs w:val="22"/>
          <w:lang w:eastAsia="bs-Latn-BA"/>
        </w:rPr>
      </w:pPr>
      <w:r w:rsidRPr="00172A4E">
        <w:rPr>
          <w:b/>
          <w:sz w:val="22"/>
          <w:szCs w:val="22"/>
          <w:lang w:eastAsia="bs-Latn-BA"/>
        </w:rPr>
        <w:lastRenderedPageBreak/>
        <w:t xml:space="preserve">Slika </w:t>
      </w:r>
      <w:r w:rsidR="00465830" w:rsidRPr="00172A4E">
        <w:rPr>
          <w:b/>
          <w:sz w:val="22"/>
          <w:szCs w:val="22"/>
          <w:lang w:eastAsia="bs-Latn-BA"/>
        </w:rPr>
        <w:t>2</w:t>
      </w:r>
      <w:r w:rsidRPr="00172A4E">
        <w:rPr>
          <w:b/>
          <w:sz w:val="22"/>
          <w:szCs w:val="22"/>
          <w:lang w:eastAsia="bs-Latn-BA"/>
        </w:rPr>
        <w:t xml:space="preserve">: Kaplan-Meierove krive </w:t>
      </w:r>
      <w:r w:rsidR="00465830" w:rsidRPr="00172A4E">
        <w:rPr>
          <w:b/>
          <w:sz w:val="22"/>
          <w:szCs w:val="22"/>
          <w:lang w:eastAsia="bs-Latn-BA"/>
        </w:rPr>
        <w:t>koje sažeto prikazuju</w:t>
      </w:r>
      <w:r w:rsidRPr="00172A4E">
        <w:rPr>
          <w:b/>
          <w:sz w:val="22"/>
          <w:szCs w:val="22"/>
          <w:lang w:eastAsia="bs-Latn-BA"/>
        </w:rPr>
        <w:t xml:space="preserve"> vrijeme do neuspjeha</w:t>
      </w:r>
      <w:r w:rsidR="00465830" w:rsidRPr="00172A4E">
        <w:rPr>
          <w:b/>
          <w:sz w:val="22"/>
          <w:szCs w:val="22"/>
          <w:lang w:eastAsia="bs-Latn-BA"/>
        </w:rPr>
        <w:t xml:space="preserve"> </w:t>
      </w:r>
      <w:r w:rsidRPr="00172A4E">
        <w:rPr>
          <w:b/>
          <w:sz w:val="22"/>
          <w:szCs w:val="22"/>
          <w:lang w:eastAsia="bs-Latn-BA"/>
        </w:rPr>
        <w:t>liječenj</w:t>
      </w:r>
      <w:r w:rsidR="00465830" w:rsidRPr="00172A4E">
        <w:rPr>
          <w:b/>
          <w:sz w:val="22"/>
          <w:szCs w:val="22"/>
          <w:lang w:eastAsia="bs-Latn-BA"/>
        </w:rPr>
        <w:t>a</w:t>
      </w:r>
      <w:r w:rsidRPr="00172A4E">
        <w:rPr>
          <w:b/>
          <w:sz w:val="22"/>
          <w:szCs w:val="22"/>
          <w:lang w:eastAsia="bs-Latn-BA"/>
        </w:rPr>
        <w:t xml:space="preserve"> u ispitivanju </w:t>
      </w:r>
      <w:proofErr w:type="gramStart"/>
      <w:r w:rsidR="00465830" w:rsidRPr="00172A4E">
        <w:rPr>
          <w:b/>
          <w:sz w:val="22"/>
          <w:szCs w:val="22"/>
          <w:lang w:eastAsia="bs-Latn-BA"/>
        </w:rPr>
        <w:t>liječenja  u</w:t>
      </w:r>
      <w:proofErr w:type="gramEnd"/>
      <w:r w:rsidR="00465830" w:rsidRPr="00172A4E">
        <w:rPr>
          <w:b/>
          <w:sz w:val="22"/>
          <w:szCs w:val="22"/>
          <w:lang w:eastAsia="bs-Latn-BA"/>
        </w:rPr>
        <w:t xml:space="preserve"> ispitivanju liječenja uveitisa kod djece</w:t>
      </w:r>
    </w:p>
    <w:p w14:paraId="78F753F4" w14:textId="77777777" w:rsidR="0083687B" w:rsidRPr="0083687B" w:rsidRDefault="0083687B">
      <w:pPr>
        <w:autoSpaceDE w:val="0"/>
        <w:spacing w:after="200" w:line="276" w:lineRule="auto"/>
        <w:jc w:val="both"/>
        <w:rPr>
          <w:rFonts w:ascii="Microsoft Sans Serif" w:hAnsi="Microsoft Sans Serif" w:cs="Microsoft Sans Serif"/>
          <w:color w:val="FF0000"/>
          <w:sz w:val="20"/>
          <w:szCs w:val="20"/>
          <w:lang w:eastAsia="bs-Latn-BA"/>
        </w:rPr>
      </w:pPr>
    </w:p>
    <w:tbl>
      <w:tblPr>
        <w:tblpPr w:leftFromText="180" w:rightFromText="180" w:vertAnchor="text" w:tblpY="1"/>
        <w:tblOverlap w:val="never"/>
        <w:tblW w:w="9288" w:type="dxa"/>
        <w:tblLayout w:type="fixed"/>
        <w:tblLook w:val="04A0" w:firstRow="1" w:lastRow="0" w:firstColumn="1" w:lastColumn="0" w:noHBand="0" w:noVBand="1"/>
      </w:tblPr>
      <w:tblGrid>
        <w:gridCol w:w="468"/>
        <w:gridCol w:w="3510"/>
        <w:gridCol w:w="1170"/>
        <w:gridCol w:w="1350"/>
        <w:gridCol w:w="900"/>
        <w:gridCol w:w="1890"/>
      </w:tblGrid>
      <w:tr w:rsidR="0083687B" w:rsidRPr="0083687B" w14:paraId="50D9E690" w14:textId="77777777" w:rsidTr="0088568A">
        <w:trPr>
          <w:cantSplit/>
          <w:trHeight w:val="3806"/>
        </w:trPr>
        <w:tc>
          <w:tcPr>
            <w:tcW w:w="468" w:type="dxa"/>
            <w:shd w:val="clear" w:color="auto" w:fill="auto"/>
            <w:textDirection w:val="btLr"/>
            <w:vAlign w:val="bottom"/>
          </w:tcPr>
          <w:p w14:paraId="435CAA95" w14:textId="77777777" w:rsidR="0083687B" w:rsidRPr="00172A4E" w:rsidRDefault="0083687B" w:rsidP="00EB3350">
            <w:pPr>
              <w:keepNext/>
              <w:tabs>
                <w:tab w:val="left" w:pos="562"/>
              </w:tabs>
              <w:suppressAutoHyphens/>
              <w:ind w:left="113" w:right="113"/>
              <w:jc w:val="both"/>
              <w:rPr>
                <w:b/>
                <w:sz w:val="20"/>
                <w:szCs w:val="20"/>
              </w:rPr>
            </w:pPr>
            <w:r w:rsidRPr="00172A4E">
              <w:rPr>
                <w:b/>
                <w:sz w:val="20"/>
                <w:szCs w:val="20"/>
              </w:rPr>
              <w:t>VJEROVATNOĆA NEUSPJEHA LIJEČENJA</w:t>
            </w:r>
          </w:p>
        </w:tc>
        <w:tc>
          <w:tcPr>
            <w:tcW w:w="8820" w:type="dxa"/>
            <w:gridSpan w:val="5"/>
            <w:shd w:val="clear" w:color="auto" w:fill="auto"/>
            <w:vAlign w:val="bottom"/>
          </w:tcPr>
          <w:p w14:paraId="5508E22E" w14:textId="77777777" w:rsidR="0083687B" w:rsidRPr="0083687B" w:rsidRDefault="0083687B" w:rsidP="00EB3350">
            <w:pPr>
              <w:keepNext/>
              <w:tabs>
                <w:tab w:val="left" w:pos="562"/>
              </w:tabs>
              <w:suppressAutoHyphens/>
              <w:jc w:val="both"/>
              <w:rPr>
                <w:rFonts w:ascii="Microsoft Sans Serif" w:hAnsi="Microsoft Sans Serif" w:cs="Microsoft Sans Serif"/>
                <w:sz w:val="20"/>
                <w:szCs w:val="20"/>
              </w:rPr>
            </w:pPr>
            <w:r w:rsidRPr="0083687B">
              <w:rPr>
                <w:rFonts w:ascii="Microsoft Sans Serif" w:hAnsi="Microsoft Sans Serif" w:cs="Microsoft Sans Serif"/>
                <w:noProof/>
                <w:sz w:val="20"/>
                <w:szCs w:val="20"/>
              </w:rPr>
              <w:drawing>
                <wp:inline distT="0" distB="0" distL="0" distR="0" wp14:anchorId="1815DCA2" wp14:editId="19BDF9D0">
                  <wp:extent cx="5486400" cy="4552950"/>
                  <wp:effectExtent l="19050" t="0" r="0" b="0"/>
                  <wp:docPr id="20" name="Picture 7" descr="Humira PED UV KM Curve REVISE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umira PED UV KM Curve REVISED 3"/>
                          <pic:cNvPicPr>
                            <a:picLocks noChangeAspect="1" noChangeArrowheads="1"/>
                          </pic:cNvPicPr>
                        </pic:nvPicPr>
                        <pic:blipFill>
                          <a:blip r:embed="rId16"/>
                          <a:srcRect/>
                          <a:stretch>
                            <a:fillRect/>
                          </a:stretch>
                        </pic:blipFill>
                        <pic:spPr bwMode="auto">
                          <a:xfrm>
                            <a:off x="0" y="0"/>
                            <a:ext cx="5486400" cy="4552950"/>
                          </a:xfrm>
                          <a:prstGeom prst="rect">
                            <a:avLst/>
                          </a:prstGeom>
                          <a:noFill/>
                          <a:ln w="9525">
                            <a:noFill/>
                            <a:miter lim="800000"/>
                            <a:headEnd/>
                            <a:tailEnd/>
                          </a:ln>
                        </pic:spPr>
                      </pic:pic>
                    </a:graphicData>
                  </a:graphic>
                </wp:inline>
              </w:drawing>
            </w:r>
          </w:p>
        </w:tc>
      </w:tr>
      <w:tr w:rsidR="0083687B" w:rsidRPr="0083687B" w14:paraId="1C923446" w14:textId="77777777" w:rsidTr="0088568A">
        <w:tc>
          <w:tcPr>
            <w:tcW w:w="468" w:type="dxa"/>
            <w:shd w:val="clear" w:color="auto" w:fill="auto"/>
          </w:tcPr>
          <w:p w14:paraId="526EF2B6" w14:textId="77777777" w:rsidR="0083687B" w:rsidRPr="0083687B" w:rsidRDefault="0083687B" w:rsidP="00EB3350">
            <w:pPr>
              <w:keepNext/>
              <w:tabs>
                <w:tab w:val="left" w:pos="562"/>
              </w:tabs>
              <w:suppressAutoHyphens/>
              <w:jc w:val="both"/>
              <w:rPr>
                <w:rFonts w:ascii="Microsoft Sans Serif" w:hAnsi="Microsoft Sans Serif" w:cs="Microsoft Sans Serif"/>
                <w:sz w:val="20"/>
                <w:szCs w:val="20"/>
              </w:rPr>
            </w:pPr>
          </w:p>
        </w:tc>
        <w:tc>
          <w:tcPr>
            <w:tcW w:w="8820" w:type="dxa"/>
            <w:gridSpan w:val="5"/>
            <w:shd w:val="clear" w:color="auto" w:fill="auto"/>
          </w:tcPr>
          <w:p w14:paraId="05620624" w14:textId="0E66D7DA" w:rsidR="0083687B" w:rsidRPr="0083687B" w:rsidRDefault="0083687B" w:rsidP="00EB3350">
            <w:pPr>
              <w:keepNext/>
              <w:tabs>
                <w:tab w:val="left" w:pos="562"/>
              </w:tabs>
              <w:suppressAutoHyphens/>
              <w:jc w:val="both"/>
              <w:rPr>
                <w:rFonts w:ascii="Microsoft Sans Serif" w:hAnsi="Microsoft Sans Serif" w:cs="Microsoft Sans Serif"/>
                <w:b/>
                <w:sz w:val="20"/>
                <w:szCs w:val="20"/>
              </w:rPr>
            </w:pPr>
            <w:r w:rsidRPr="00172A4E">
              <w:rPr>
                <w:b/>
                <w:sz w:val="20"/>
                <w:szCs w:val="20"/>
              </w:rPr>
              <w:t>VRIJEME (</w:t>
            </w:r>
            <w:r w:rsidR="00465830">
              <w:rPr>
                <w:b/>
                <w:sz w:val="20"/>
                <w:szCs w:val="20"/>
              </w:rPr>
              <w:t>NEDJELJE</w:t>
            </w:r>
            <w:r w:rsidRPr="0083687B">
              <w:rPr>
                <w:rFonts w:ascii="Microsoft Sans Serif" w:hAnsi="Microsoft Sans Serif" w:cs="Microsoft Sans Serif"/>
                <w:b/>
                <w:sz w:val="20"/>
                <w:szCs w:val="20"/>
              </w:rPr>
              <w:t>)</w:t>
            </w:r>
          </w:p>
        </w:tc>
      </w:tr>
      <w:tr w:rsidR="0083687B" w:rsidRPr="0083687B" w14:paraId="4FC4F7D1" w14:textId="77777777" w:rsidTr="0088568A">
        <w:tc>
          <w:tcPr>
            <w:tcW w:w="468" w:type="dxa"/>
            <w:shd w:val="clear" w:color="auto" w:fill="auto"/>
          </w:tcPr>
          <w:p w14:paraId="2FEC26D1" w14:textId="77777777" w:rsidR="0083687B" w:rsidRPr="0083687B" w:rsidRDefault="0083687B" w:rsidP="00EB3350">
            <w:pPr>
              <w:keepNext/>
              <w:tabs>
                <w:tab w:val="left" w:pos="562"/>
              </w:tabs>
              <w:suppressAutoHyphens/>
              <w:jc w:val="both"/>
              <w:rPr>
                <w:rFonts w:ascii="Microsoft Sans Serif" w:hAnsi="Microsoft Sans Serif" w:cs="Microsoft Sans Serif"/>
                <w:sz w:val="20"/>
                <w:szCs w:val="20"/>
              </w:rPr>
            </w:pPr>
          </w:p>
        </w:tc>
        <w:tc>
          <w:tcPr>
            <w:tcW w:w="3510" w:type="dxa"/>
            <w:shd w:val="clear" w:color="auto" w:fill="auto"/>
          </w:tcPr>
          <w:p w14:paraId="1199DB0C" w14:textId="77777777" w:rsidR="0083687B" w:rsidRPr="00172A4E" w:rsidRDefault="0083687B" w:rsidP="00EB3350">
            <w:pPr>
              <w:keepNext/>
              <w:tabs>
                <w:tab w:val="left" w:pos="562"/>
              </w:tabs>
              <w:suppressAutoHyphens/>
              <w:jc w:val="both"/>
              <w:rPr>
                <w:sz w:val="20"/>
                <w:szCs w:val="20"/>
              </w:rPr>
            </w:pPr>
            <w:r w:rsidRPr="00172A4E">
              <w:rPr>
                <w:sz w:val="20"/>
                <w:szCs w:val="20"/>
              </w:rPr>
              <w:t>Tretman</w:t>
            </w:r>
          </w:p>
        </w:tc>
        <w:tc>
          <w:tcPr>
            <w:tcW w:w="1170" w:type="dxa"/>
            <w:shd w:val="clear" w:color="auto" w:fill="auto"/>
            <w:vAlign w:val="bottom"/>
          </w:tcPr>
          <w:p w14:paraId="56751AE6" w14:textId="77777777" w:rsidR="0083687B" w:rsidRPr="00172A4E" w:rsidRDefault="0083687B" w:rsidP="00EB3350">
            <w:pPr>
              <w:keepNext/>
              <w:tabs>
                <w:tab w:val="left" w:pos="562"/>
              </w:tabs>
              <w:suppressAutoHyphens/>
              <w:jc w:val="both"/>
              <w:rPr>
                <w:sz w:val="20"/>
                <w:szCs w:val="20"/>
              </w:rPr>
            </w:pPr>
            <w:r w:rsidRPr="00172A4E">
              <w:rPr>
                <w:noProof/>
                <w:sz w:val="20"/>
                <w:szCs w:val="20"/>
              </w:rPr>
              <w:drawing>
                <wp:inline distT="0" distB="0" distL="0" distR="0" wp14:anchorId="28255491" wp14:editId="3B29F466">
                  <wp:extent cx="457200" cy="123825"/>
                  <wp:effectExtent l="19050" t="0" r="0" b="0"/>
                  <wp:docPr id="12" name="Picture 8" descr="Humira PED UV KM Curv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umira PED UV KM Curve 11"/>
                          <pic:cNvPicPr>
                            <a:picLocks noChangeAspect="1" noChangeArrowheads="1"/>
                          </pic:cNvPicPr>
                        </pic:nvPicPr>
                        <pic:blipFill>
                          <a:blip r:embed="rId17"/>
                          <a:srcRect/>
                          <a:stretch>
                            <a:fillRect/>
                          </a:stretch>
                        </pic:blipFill>
                        <pic:spPr bwMode="auto">
                          <a:xfrm>
                            <a:off x="0" y="0"/>
                            <a:ext cx="457200" cy="123825"/>
                          </a:xfrm>
                          <a:prstGeom prst="rect">
                            <a:avLst/>
                          </a:prstGeom>
                          <a:noFill/>
                          <a:ln w="9525">
                            <a:noFill/>
                            <a:miter lim="800000"/>
                            <a:headEnd/>
                            <a:tailEnd/>
                          </a:ln>
                        </pic:spPr>
                      </pic:pic>
                    </a:graphicData>
                  </a:graphic>
                </wp:inline>
              </w:drawing>
            </w:r>
          </w:p>
        </w:tc>
        <w:tc>
          <w:tcPr>
            <w:tcW w:w="1350" w:type="dxa"/>
            <w:shd w:val="clear" w:color="auto" w:fill="auto"/>
          </w:tcPr>
          <w:p w14:paraId="6595C497" w14:textId="77777777" w:rsidR="0083687B" w:rsidRPr="00172A4E" w:rsidRDefault="0083687B" w:rsidP="00EB3350">
            <w:pPr>
              <w:keepNext/>
              <w:tabs>
                <w:tab w:val="left" w:pos="562"/>
              </w:tabs>
              <w:suppressAutoHyphens/>
              <w:jc w:val="both"/>
              <w:rPr>
                <w:sz w:val="20"/>
                <w:szCs w:val="20"/>
              </w:rPr>
            </w:pPr>
            <w:r w:rsidRPr="00172A4E">
              <w:rPr>
                <w:sz w:val="20"/>
                <w:szCs w:val="20"/>
              </w:rPr>
              <w:t>Placebo</w:t>
            </w:r>
          </w:p>
        </w:tc>
        <w:tc>
          <w:tcPr>
            <w:tcW w:w="900" w:type="dxa"/>
            <w:shd w:val="clear" w:color="auto" w:fill="auto"/>
            <w:vAlign w:val="center"/>
          </w:tcPr>
          <w:p w14:paraId="3DA3C94B" w14:textId="77777777" w:rsidR="0083687B" w:rsidRPr="00172A4E" w:rsidRDefault="0083687B" w:rsidP="00EB3350">
            <w:pPr>
              <w:keepNext/>
              <w:tabs>
                <w:tab w:val="left" w:pos="562"/>
              </w:tabs>
              <w:suppressAutoHyphens/>
              <w:jc w:val="both"/>
              <w:rPr>
                <w:sz w:val="20"/>
                <w:szCs w:val="20"/>
              </w:rPr>
            </w:pPr>
            <w:r w:rsidRPr="00172A4E">
              <w:rPr>
                <w:noProof/>
                <w:sz w:val="20"/>
                <w:szCs w:val="20"/>
              </w:rPr>
              <w:drawing>
                <wp:inline distT="0" distB="0" distL="0" distR="0" wp14:anchorId="5391CFF6" wp14:editId="1BE3E138">
                  <wp:extent cx="457200" cy="85725"/>
                  <wp:effectExtent l="19050" t="0" r="0" b="0"/>
                  <wp:docPr id="13" name="Picture 9" descr="Humira PED UV KM Curv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umira PED UV KM Curve 11"/>
                          <pic:cNvPicPr>
                            <a:picLocks noChangeAspect="1" noChangeArrowheads="1"/>
                          </pic:cNvPicPr>
                        </pic:nvPicPr>
                        <pic:blipFill>
                          <a:blip r:embed="rId18"/>
                          <a:srcRect/>
                          <a:stretch>
                            <a:fillRect/>
                          </a:stretch>
                        </pic:blipFill>
                        <pic:spPr bwMode="auto">
                          <a:xfrm>
                            <a:off x="0" y="0"/>
                            <a:ext cx="457200" cy="85725"/>
                          </a:xfrm>
                          <a:prstGeom prst="rect">
                            <a:avLst/>
                          </a:prstGeom>
                          <a:noFill/>
                          <a:ln w="9525">
                            <a:noFill/>
                            <a:miter lim="800000"/>
                            <a:headEnd/>
                            <a:tailEnd/>
                          </a:ln>
                        </pic:spPr>
                      </pic:pic>
                    </a:graphicData>
                  </a:graphic>
                </wp:inline>
              </w:drawing>
            </w:r>
          </w:p>
        </w:tc>
        <w:tc>
          <w:tcPr>
            <w:tcW w:w="1890" w:type="dxa"/>
            <w:shd w:val="clear" w:color="auto" w:fill="auto"/>
          </w:tcPr>
          <w:p w14:paraId="4F6E266D" w14:textId="77777777" w:rsidR="0083687B" w:rsidRPr="00172A4E" w:rsidRDefault="0083687B" w:rsidP="00EB3350">
            <w:pPr>
              <w:keepNext/>
              <w:tabs>
                <w:tab w:val="left" w:pos="562"/>
              </w:tabs>
              <w:suppressAutoHyphens/>
              <w:jc w:val="both"/>
              <w:rPr>
                <w:sz w:val="20"/>
                <w:szCs w:val="20"/>
              </w:rPr>
            </w:pPr>
            <w:r w:rsidRPr="00172A4E">
              <w:rPr>
                <w:sz w:val="20"/>
                <w:szCs w:val="20"/>
              </w:rPr>
              <w:t>Adalimumab</w:t>
            </w:r>
          </w:p>
        </w:tc>
      </w:tr>
      <w:tr w:rsidR="0083687B" w:rsidRPr="0083687B" w14:paraId="76FA2F94" w14:textId="77777777" w:rsidTr="0088568A">
        <w:tc>
          <w:tcPr>
            <w:tcW w:w="468" w:type="dxa"/>
            <w:shd w:val="clear" w:color="auto" w:fill="auto"/>
          </w:tcPr>
          <w:p w14:paraId="5263ED0F" w14:textId="77777777" w:rsidR="0083687B" w:rsidRPr="0083687B" w:rsidRDefault="0083687B" w:rsidP="00EB3350">
            <w:pPr>
              <w:tabs>
                <w:tab w:val="left" w:pos="562"/>
              </w:tabs>
              <w:suppressAutoHyphens/>
              <w:jc w:val="both"/>
              <w:rPr>
                <w:rFonts w:ascii="Microsoft Sans Serif" w:hAnsi="Microsoft Sans Serif" w:cs="Microsoft Sans Serif"/>
                <w:sz w:val="20"/>
                <w:szCs w:val="20"/>
              </w:rPr>
            </w:pPr>
          </w:p>
        </w:tc>
        <w:tc>
          <w:tcPr>
            <w:tcW w:w="8820" w:type="dxa"/>
            <w:gridSpan w:val="5"/>
            <w:shd w:val="clear" w:color="auto" w:fill="auto"/>
          </w:tcPr>
          <w:p w14:paraId="5E8A3403" w14:textId="77777777" w:rsidR="0083687B" w:rsidRPr="00172A4E" w:rsidRDefault="0083687B" w:rsidP="00EB3350">
            <w:pPr>
              <w:tabs>
                <w:tab w:val="left" w:pos="562"/>
              </w:tabs>
              <w:suppressAutoHyphens/>
              <w:jc w:val="both"/>
              <w:rPr>
                <w:sz w:val="20"/>
                <w:szCs w:val="20"/>
              </w:rPr>
            </w:pPr>
            <w:r w:rsidRPr="00172A4E">
              <w:rPr>
                <w:sz w:val="20"/>
                <w:szCs w:val="20"/>
              </w:rPr>
              <w:t>NAPOMENA: P = Placebo (broj rizika); H = HUMIRA (broj rizika).</w:t>
            </w:r>
          </w:p>
        </w:tc>
      </w:tr>
    </w:tbl>
    <w:p w14:paraId="77002E75" w14:textId="77777777" w:rsidR="0083687B" w:rsidRPr="0083687B" w:rsidRDefault="0083687B" w:rsidP="00730D96">
      <w:pPr>
        <w:tabs>
          <w:tab w:val="left" w:pos="540"/>
          <w:tab w:val="left" w:pos="569"/>
        </w:tabs>
        <w:jc w:val="both"/>
        <w:rPr>
          <w:b/>
          <w:bCs/>
          <w:sz w:val="22"/>
          <w:szCs w:val="22"/>
          <w:lang w:val="sr-Latn-ME"/>
        </w:rPr>
      </w:pPr>
    </w:p>
    <w:p w14:paraId="5D033BB5" w14:textId="77777777" w:rsidR="0083687B" w:rsidRPr="0083687B" w:rsidRDefault="0083687B">
      <w:pPr>
        <w:tabs>
          <w:tab w:val="left" w:pos="540"/>
          <w:tab w:val="left" w:pos="569"/>
        </w:tabs>
        <w:jc w:val="both"/>
        <w:rPr>
          <w:b/>
          <w:bCs/>
          <w:sz w:val="22"/>
          <w:szCs w:val="22"/>
          <w:lang w:val="sr-Latn-ME"/>
        </w:rPr>
      </w:pPr>
    </w:p>
    <w:p w14:paraId="60167CAC"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5.2. </w:t>
      </w:r>
      <w:r w:rsidRPr="0083687B">
        <w:rPr>
          <w:b/>
          <w:bCs/>
          <w:sz w:val="22"/>
          <w:szCs w:val="22"/>
          <w:lang w:val="sr-Latn-ME"/>
        </w:rPr>
        <w:tab/>
        <w:t>Farmakokinetički podaci</w:t>
      </w:r>
    </w:p>
    <w:p w14:paraId="59B9BE3B" w14:textId="77777777" w:rsidR="0083687B" w:rsidRPr="0083687B" w:rsidRDefault="0083687B">
      <w:pPr>
        <w:tabs>
          <w:tab w:val="left" w:pos="540"/>
          <w:tab w:val="left" w:pos="569"/>
        </w:tabs>
        <w:jc w:val="both"/>
        <w:rPr>
          <w:bCs/>
          <w:sz w:val="22"/>
          <w:szCs w:val="22"/>
          <w:lang w:val="sr-Latn-ME"/>
        </w:rPr>
      </w:pPr>
    </w:p>
    <w:p w14:paraId="45C3BEEA" w14:textId="77777777" w:rsidR="0083687B" w:rsidRPr="0083687B" w:rsidRDefault="0083687B">
      <w:pPr>
        <w:widowControl w:val="0"/>
        <w:autoSpaceDE w:val="0"/>
        <w:autoSpaceDN w:val="0"/>
        <w:adjustRightInd w:val="0"/>
        <w:ind w:left="567" w:hanging="567"/>
        <w:jc w:val="both"/>
        <w:rPr>
          <w:sz w:val="22"/>
          <w:szCs w:val="22"/>
          <w:u w:val="single"/>
        </w:rPr>
      </w:pPr>
      <w:r w:rsidRPr="0083687B">
        <w:rPr>
          <w:sz w:val="22"/>
          <w:szCs w:val="22"/>
          <w:u w:val="single"/>
        </w:rPr>
        <w:t>Resorpcija i distribucija</w:t>
      </w:r>
    </w:p>
    <w:p w14:paraId="017FFCEA" w14:textId="77777777" w:rsidR="0083687B" w:rsidRPr="0083687B" w:rsidRDefault="0083687B">
      <w:pPr>
        <w:widowControl w:val="0"/>
        <w:autoSpaceDE w:val="0"/>
        <w:autoSpaceDN w:val="0"/>
        <w:adjustRightInd w:val="0"/>
        <w:ind w:left="567" w:hanging="567"/>
        <w:jc w:val="both"/>
        <w:rPr>
          <w:sz w:val="22"/>
          <w:szCs w:val="22"/>
          <w:u w:val="single"/>
        </w:rPr>
      </w:pPr>
    </w:p>
    <w:p w14:paraId="261651AF" w14:textId="77777777" w:rsidR="0083687B" w:rsidRPr="0083687B" w:rsidRDefault="0083687B">
      <w:pPr>
        <w:suppressAutoHyphens/>
        <w:jc w:val="both"/>
        <w:rPr>
          <w:sz w:val="22"/>
          <w:szCs w:val="22"/>
        </w:rPr>
      </w:pPr>
      <w:r w:rsidRPr="0083687B">
        <w:rPr>
          <w:sz w:val="22"/>
          <w:szCs w:val="22"/>
        </w:rPr>
        <w:t>Nakon primjene 24 mg/m</w:t>
      </w:r>
      <w:r w:rsidRPr="0083687B">
        <w:rPr>
          <w:sz w:val="22"/>
          <w:szCs w:val="22"/>
          <w:vertAlign w:val="superscript"/>
        </w:rPr>
        <w:t>2</w:t>
      </w:r>
      <w:r w:rsidRPr="0083687B">
        <w:rPr>
          <w:sz w:val="22"/>
          <w:szCs w:val="22"/>
        </w:rPr>
        <w:t xml:space="preserve"> ( maksimalno 40 mg) potkožno svake druge nedjelje kod pacijenata sa poliartikularnim juvenilnim idiopatskim artritisom (JIA) u uzrastu od 4-17 godina, srednja vrijednost najniže koncentracije adalimumaba u serumu u stanju dinamičke ravnoteže (vrijednosti mjerene od 20. do 48. nedjelje) bila je 5,6 ± 5,6 µg/ml (102% CV) za adalimumab bez istovremene primjene metotreksata, i 10,9 ± 5,2 µg/ml (47,7% CV) s istovremenom primjenom metotreksata. </w:t>
      </w:r>
    </w:p>
    <w:p w14:paraId="414874A7" w14:textId="77777777" w:rsidR="0083687B" w:rsidRPr="0083687B" w:rsidRDefault="0083687B">
      <w:pPr>
        <w:suppressAutoHyphens/>
        <w:jc w:val="both"/>
        <w:rPr>
          <w:sz w:val="22"/>
          <w:szCs w:val="22"/>
        </w:rPr>
      </w:pPr>
    </w:p>
    <w:p w14:paraId="13AFF3FD" w14:textId="77777777" w:rsidR="0083687B" w:rsidRPr="0083687B" w:rsidRDefault="0083687B">
      <w:pPr>
        <w:suppressAutoHyphens/>
        <w:jc w:val="both"/>
        <w:rPr>
          <w:sz w:val="22"/>
          <w:szCs w:val="22"/>
        </w:rPr>
      </w:pPr>
      <w:r w:rsidRPr="0083687B">
        <w:rPr>
          <w:sz w:val="22"/>
          <w:szCs w:val="22"/>
        </w:rPr>
        <w:t>Kod pacijenata sa poliartikularnom JIA starosti od 2 do &lt; 4 godine ili starosti od 4 godine i starijih s tjelesnom težinom manjom od 15 kg nakon primjene 24 mg/m</w:t>
      </w:r>
      <w:r w:rsidRPr="0083687B">
        <w:rPr>
          <w:sz w:val="22"/>
          <w:szCs w:val="22"/>
          <w:vertAlign w:val="superscript"/>
        </w:rPr>
        <w:t>2</w:t>
      </w:r>
      <w:r w:rsidRPr="0083687B">
        <w:rPr>
          <w:sz w:val="22"/>
          <w:szCs w:val="22"/>
        </w:rPr>
        <w:t xml:space="preserve"> adalimumaba, srednja vrijednost najniže koncentracije adalimumaba u serumu u stanju dinamičke ravnoteže bila je 6</w:t>
      </w:r>
      <w:proofErr w:type="gramStart"/>
      <w:r w:rsidRPr="0083687B">
        <w:rPr>
          <w:sz w:val="22"/>
          <w:szCs w:val="22"/>
        </w:rPr>
        <w:t>,0</w:t>
      </w:r>
      <w:proofErr w:type="gramEnd"/>
      <w:r w:rsidRPr="0083687B">
        <w:rPr>
          <w:sz w:val="22"/>
          <w:szCs w:val="22"/>
        </w:rPr>
        <w:t xml:space="preserve"> ± 6,1 µg/ml (101% CV) za adalimumab bez istovremene primjene sa metotreksatom, i 7,9 ± 5,6 µg/ml (71,2 % CV) s istovremenom primjenom metotreksata.</w:t>
      </w:r>
    </w:p>
    <w:p w14:paraId="602FED73" w14:textId="77777777" w:rsidR="0083687B" w:rsidRPr="0083687B" w:rsidRDefault="0083687B">
      <w:pPr>
        <w:suppressAutoHyphens/>
        <w:jc w:val="both"/>
        <w:rPr>
          <w:sz w:val="22"/>
          <w:szCs w:val="22"/>
        </w:rPr>
      </w:pPr>
    </w:p>
    <w:p w14:paraId="29B54BFD" w14:textId="696DF0D4" w:rsidR="0083687B" w:rsidRPr="0083687B" w:rsidRDefault="0083687B">
      <w:pPr>
        <w:suppressAutoHyphens/>
        <w:jc w:val="both"/>
        <w:rPr>
          <w:sz w:val="22"/>
          <w:szCs w:val="22"/>
        </w:rPr>
      </w:pPr>
      <w:r w:rsidRPr="0083687B">
        <w:rPr>
          <w:sz w:val="22"/>
          <w:szCs w:val="22"/>
        </w:rPr>
        <w:t>Tokom administracije 24 mg/m</w:t>
      </w:r>
      <w:r w:rsidRPr="0083687B">
        <w:rPr>
          <w:sz w:val="22"/>
          <w:szCs w:val="22"/>
          <w:vertAlign w:val="superscript"/>
        </w:rPr>
        <w:t>2</w:t>
      </w:r>
      <w:r w:rsidRPr="0083687B">
        <w:rPr>
          <w:sz w:val="22"/>
          <w:szCs w:val="22"/>
        </w:rPr>
        <w:t xml:space="preserve"> ( maksimalno 40 mg) su</w:t>
      </w:r>
      <w:r w:rsidR="00BD5BC4">
        <w:rPr>
          <w:sz w:val="22"/>
          <w:szCs w:val="22"/>
        </w:rPr>
        <w:t>p</w:t>
      </w:r>
      <w:r w:rsidRPr="0083687B">
        <w:rPr>
          <w:sz w:val="22"/>
          <w:szCs w:val="22"/>
        </w:rPr>
        <w:t xml:space="preserve">kutanom injekcijom svake druge nedjelje kod pacijenata sa artritisom povezanim sa entezitisom, srednja vrijednost najniže koncentracije adalimumaba u serumu u stanju dinamičke ravnoteže (vrijednosti mjerene u 24. nedjelji) je bila 8,8 ± </w:t>
      </w:r>
      <w:r w:rsidRPr="0083687B">
        <w:rPr>
          <w:sz w:val="22"/>
          <w:szCs w:val="22"/>
        </w:rPr>
        <w:lastRenderedPageBreak/>
        <w:t>6,6 µg/ml bez istovremene primjene sa metotreksatom, i 11,8 ± 4,3 µg/ml sa istovremenom primjenom metotreksata.</w:t>
      </w:r>
    </w:p>
    <w:p w14:paraId="2B310260" w14:textId="77777777" w:rsidR="0083687B" w:rsidRPr="0083687B" w:rsidRDefault="0083687B">
      <w:pPr>
        <w:suppressAutoHyphens/>
        <w:jc w:val="both"/>
        <w:rPr>
          <w:sz w:val="22"/>
          <w:szCs w:val="22"/>
        </w:rPr>
      </w:pPr>
    </w:p>
    <w:p w14:paraId="1234F212" w14:textId="39BCE136" w:rsidR="0083687B" w:rsidRPr="0083687B" w:rsidRDefault="0083687B">
      <w:pPr>
        <w:tabs>
          <w:tab w:val="left" w:pos="562"/>
        </w:tabs>
        <w:suppressAutoHyphens/>
        <w:jc w:val="both"/>
        <w:rPr>
          <w:sz w:val="22"/>
          <w:szCs w:val="22"/>
          <w:lang w:val="hr-HR"/>
        </w:rPr>
      </w:pPr>
      <w:r w:rsidRPr="0083687B">
        <w:rPr>
          <w:sz w:val="22"/>
          <w:szCs w:val="22"/>
          <w:lang w:val="hr-HR"/>
        </w:rPr>
        <w:t>Nakon su</w:t>
      </w:r>
      <w:r w:rsidR="00BD5BC4">
        <w:rPr>
          <w:sz w:val="22"/>
          <w:szCs w:val="22"/>
          <w:lang w:val="hr-HR"/>
        </w:rPr>
        <w:t>p</w:t>
      </w:r>
      <w:r w:rsidRPr="0083687B">
        <w:rPr>
          <w:sz w:val="22"/>
          <w:szCs w:val="22"/>
          <w:lang w:val="hr-HR"/>
        </w:rPr>
        <w:t>kutano primijenjene doze od 0,8 mg/kg (do maksimalno 40 mg) svake druge nedjelje kod pedijatrijskih pacijenata sa hroničnom plak psorijazom, srednja vrijednost ± SD najniže koncentracije adalimumaba u stanju dinamičke ravnoteže iznosila je približno 7,4 ± 5,8 µg/ml (79% CV).</w:t>
      </w:r>
    </w:p>
    <w:p w14:paraId="1437642C" w14:textId="77777777" w:rsidR="0083687B" w:rsidRPr="0083687B" w:rsidRDefault="0083687B">
      <w:pPr>
        <w:autoSpaceDE w:val="0"/>
        <w:autoSpaceDN w:val="0"/>
        <w:adjustRightInd w:val="0"/>
        <w:jc w:val="both"/>
        <w:rPr>
          <w:sz w:val="22"/>
          <w:szCs w:val="22"/>
          <w:lang w:val="sr-Latn-ME"/>
        </w:rPr>
      </w:pPr>
    </w:p>
    <w:p w14:paraId="2C0AB856"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Kod pedijatrijskih pacijenata sa umjerenim do teškim oblikom Crohn-ove bolesti, indukciona doza u otvorenoj studiji bila je 160/80 mg ili 80/40 mg u nultoj nedjelji i drugoj nedjelji, u zavisnosti od tjelesne težine (granična vrijednost od 40 kg). Nakon 4. nedjelje, pacijenti su randomizovani 1:1, da bi primali ili standardnu dozu održavanja (40/20 mg svake druge nedjelje) ili nisku dozu održavanja (20/10 mg svake druge nedjelje), na osnovu tjelesne težine. Prosječna (±SD) koncentracija adalimumaba u serumu nakon 4. nedjelje bila je 15,7 ± 6,6 µg/ml kod ispitanika sa tjelesnom težinom ≥40 kg (160/80 mg), i 10,6 ± 6,1 µg/ml kod ispitanika sa tjelesnom težinom &lt;40 kg (80/40 mg).</w:t>
      </w:r>
    </w:p>
    <w:p w14:paraId="324E989B" w14:textId="77777777" w:rsidR="0083687B" w:rsidRPr="0083687B" w:rsidRDefault="0083687B">
      <w:pPr>
        <w:autoSpaceDE w:val="0"/>
        <w:autoSpaceDN w:val="0"/>
        <w:adjustRightInd w:val="0"/>
        <w:jc w:val="both"/>
        <w:rPr>
          <w:sz w:val="22"/>
          <w:szCs w:val="22"/>
          <w:lang w:val="sr-Latn-ME"/>
        </w:rPr>
      </w:pPr>
    </w:p>
    <w:p w14:paraId="0C41323A"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Kod ispitanika koji su ostali na svojoj randomizovanoj terapiji, prosječne koncentracije adalimumaba u serumu nakon 52. nedjelje bile su 9,5 ± 5,6 µg/ml u grupi koja je primala standardnu dozu, i 3,5 ± 2,2 µg/ml u grupi koja je primala nisku dozu. Prosječne koncentracije su održane kod pacijenata koji su nastavili da primaju adalimumab terapiju svake druge nedjelje tokom 52 nedjelje. Kod ispitanika kod kojih je doza povećana i koji su primali terapiju jednom nedjeljno, prosječna koncentracija adalimumaba u serumu nakon 52. nedjelje bila je 15,3 ± 11,4 µg/ml (40/20 mg nedjeljno) i 6,7 ± 3,5  µg/ml (20/10 mg nedjeljno).</w:t>
      </w:r>
    </w:p>
    <w:p w14:paraId="3C308C39" w14:textId="77777777" w:rsidR="0083687B" w:rsidRPr="0083687B" w:rsidRDefault="0083687B">
      <w:pPr>
        <w:autoSpaceDE w:val="0"/>
        <w:autoSpaceDN w:val="0"/>
        <w:adjustRightInd w:val="0"/>
        <w:jc w:val="both"/>
        <w:rPr>
          <w:sz w:val="22"/>
          <w:szCs w:val="22"/>
          <w:lang w:val="sr-Latn-ME"/>
        </w:rPr>
      </w:pPr>
    </w:p>
    <w:p w14:paraId="2D80468B"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Izloženost adalimumabu kod pedijatrijskih pacijenata sa uveitisom predviđena je uz pomoć farmakokinetičkog modeliranja i simulacije na osnovu farmakokinetike kod ostalih pedijatrijskih pacijenata (psorijaza kod djece, juvenilni idiopatski artritis, Crohn-ova bolest kod djece i artritis povezan s entezitisom). Nisu dostupni klinički podaci kod primjene početne doze lijeka Humira kod djece u uzrastu &lt; 6 godina. Predviđena izloženost je indikovana u odsustvu metotreksata, početna doza može da dovede do inicijalnog povećanja sistematske izloženosti.</w:t>
      </w:r>
    </w:p>
    <w:p w14:paraId="2D1F0230" w14:textId="77777777" w:rsidR="0083687B" w:rsidRPr="0083687B" w:rsidRDefault="0083687B">
      <w:pPr>
        <w:autoSpaceDE w:val="0"/>
        <w:autoSpaceDN w:val="0"/>
        <w:adjustRightInd w:val="0"/>
        <w:jc w:val="both"/>
        <w:rPr>
          <w:sz w:val="22"/>
          <w:szCs w:val="22"/>
          <w:lang w:val="sr-Latn-ME"/>
        </w:rPr>
      </w:pPr>
    </w:p>
    <w:p w14:paraId="19A3AE0D" w14:textId="77777777" w:rsidR="0083687B" w:rsidRPr="0083687B" w:rsidRDefault="0083687B">
      <w:pPr>
        <w:autoSpaceDE w:val="0"/>
        <w:autoSpaceDN w:val="0"/>
        <w:adjustRightInd w:val="0"/>
        <w:jc w:val="both"/>
        <w:rPr>
          <w:sz w:val="22"/>
          <w:szCs w:val="22"/>
          <w:u w:val="single"/>
          <w:lang w:val="sr-Latn-ME"/>
        </w:rPr>
      </w:pPr>
      <w:r w:rsidRPr="0083687B">
        <w:rPr>
          <w:sz w:val="22"/>
          <w:szCs w:val="22"/>
          <w:u w:val="single"/>
          <w:lang w:val="sr-Latn-ME"/>
        </w:rPr>
        <w:t>Veza između izloženosti i odgovora na liječenje kod pedijatrijske populacije</w:t>
      </w:r>
    </w:p>
    <w:p w14:paraId="3758EE8F" w14:textId="77777777" w:rsidR="0083687B" w:rsidRPr="0083687B" w:rsidRDefault="0083687B">
      <w:pPr>
        <w:autoSpaceDE w:val="0"/>
        <w:autoSpaceDN w:val="0"/>
        <w:adjustRightInd w:val="0"/>
        <w:jc w:val="both"/>
        <w:rPr>
          <w:sz w:val="22"/>
          <w:szCs w:val="22"/>
          <w:lang w:val="sr-Latn-ME"/>
        </w:rPr>
      </w:pPr>
    </w:p>
    <w:p w14:paraId="69C4A283"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Na osnovu podataka iz kliničkih ispitivanja kod pacijenata sa juvenilnim idiopatskim artritisom (poliartikularnim juvenilnim idiopatskim artritisom i artritisom povezanim sa entezitisom), utvrđena je veza između plazmatskih koncentracija i odgovora PedACR 50. Prividna plazmatska koncentracija adalimumaba uz koju se postiže polovina maksimalne vjerovatnoće za odgovor PedACR 50 (EC50) bila je 3 μg/ml (95% CI: 1-6 μg/ml).</w:t>
      </w:r>
    </w:p>
    <w:p w14:paraId="379B6F21" w14:textId="77777777" w:rsidR="0083687B" w:rsidRPr="0083687B" w:rsidRDefault="0083687B">
      <w:pPr>
        <w:autoSpaceDE w:val="0"/>
        <w:autoSpaceDN w:val="0"/>
        <w:adjustRightInd w:val="0"/>
        <w:jc w:val="both"/>
        <w:rPr>
          <w:sz w:val="22"/>
          <w:szCs w:val="22"/>
          <w:lang w:val="sr-Latn-ME"/>
        </w:rPr>
      </w:pPr>
    </w:p>
    <w:p w14:paraId="61032246" w14:textId="77777777" w:rsidR="0083687B" w:rsidRPr="0083687B" w:rsidRDefault="0083687B">
      <w:pPr>
        <w:autoSpaceDE w:val="0"/>
        <w:autoSpaceDN w:val="0"/>
        <w:adjustRightInd w:val="0"/>
        <w:jc w:val="both"/>
        <w:rPr>
          <w:sz w:val="22"/>
          <w:szCs w:val="22"/>
          <w:lang w:val="sr-Latn-ME"/>
        </w:rPr>
      </w:pPr>
      <w:r w:rsidRPr="0083687B">
        <w:rPr>
          <w:sz w:val="22"/>
          <w:szCs w:val="22"/>
          <w:lang w:val="sr-Latn-ME"/>
        </w:rPr>
        <w:t>Veza između izloženosti i odgovora na liječenje, odnosno između koncentracije adalimumaba i njegove efikasnosti kod pedijatrijskih pacijenata sa teškom hroničnom plak psorijazom, utvrđena je za odgovor PASI75 i PGA rezultat 'bez bolesti' ili 'minimalno'. Sa povećanjem koncentracija adalimumaba, povećavale su se i stope odgovora PASI 75 i PGA rezultata 'bez bolesti' ili 'minimalno', u oba slučaja uz sličan prividan EC50 od približno 4,5 μg/ml (95% CI: 0,4-47,6 odnosno 1,9-10,5).</w:t>
      </w:r>
    </w:p>
    <w:p w14:paraId="5046B6BD" w14:textId="77777777" w:rsidR="0083687B" w:rsidRPr="0083687B" w:rsidRDefault="0083687B">
      <w:pPr>
        <w:autoSpaceDE w:val="0"/>
        <w:autoSpaceDN w:val="0"/>
        <w:adjustRightInd w:val="0"/>
        <w:jc w:val="both"/>
        <w:rPr>
          <w:sz w:val="22"/>
          <w:szCs w:val="22"/>
          <w:lang w:val="sr-Latn-ME"/>
        </w:rPr>
      </w:pPr>
    </w:p>
    <w:p w14:paraId="43DD4C4C" w14:textId="77777777" w:rsidR="0083687B" w:rsidRPr="0083687B" w:rsidRDefault="0083687B">
      <w:pPr>
        <w:autoSpaceDE w:val="0"/>
        <w:autoSpaceDN w:val="0"/>
        <w:adjustRightInd w:val="0"/>
        <w:jc w:val="both"/>
        <w:rPr>
          <w:sz w:val="22"/>
          <w:szCs w:val="22"/>
          <w:u w:val="single"/>
          <w:lang w:val="sr-Latn-ME"/>
        </w:rPr>
      </w:pPr>
      <w:r w:rsidRPr="0083687B">
        <w:rPr>
          <w:sz w:val="22"/>
          <w:szCs w:val="22"/>
          <w:u w:val="single"/>
          <w:lang w:val="sr-Latn-ME"/>
        </w:rPr>
        <w:t>Odrasli</w:t>
      </w:r>
    </w:p>
    <w:p w14:paraId="1BC4DF12" w14:textId="77777777" w:rsidR="0083687B" w:rsidRPr="0083687B" w:rsidRDefault="0083687B">
      <w:pPr>
        <w:autoSpaceDE w:val="0"/>
        <w:autoSpaceDN w:val="0"/>
        <w:adjustRightInd w:val="0"/>
        <w:jc w:val="both"/>
        <w:rPr>
          <w:sz w:val="22"/>
          <w:szCs w:val="22"/>
          <w:u w:val="single"/>
          <w:lang w:val="sr-Latn-ME"/>
        </w:rPr>
      </w:pPr>
    </w:p>
    <w:p w14:paraId="6AAE78BF"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Nakon supkutane primjene jednokratne doze </w:t>
      </w:r>
      <w:proofErr w:type="gramStart"/>
      <w:r w:rsidRPr="0083687B">
        <w:rPr>
          <w:sz w:val="22"/>
          <w:szCs w:val="22"/>
        </w:rPr>
        <w:t>od</w:t>
      </w:r>
      <w:proofErr w:type="gramEnd"/>
      <w:r w:rsidRPr="0083687B">
        <w:rPr>
          <w:sz w:val="22"/>
          <w:szCs w:val="22"/>
        </w:rPr>
        <w:t xml:space="preserve"> 40 mg, adalimumab se sporo resorbuje i raspoređuje po tkivima, a vršne koncentracije u serumu postižu se približno 5 dana nakon primjene. Prosječna apsolutna bioraspoloživost adalimumaba nakon primjene jednokratne potkožne doze </w:t>
      </w:r>
      <w:proofErr w:type="gramStart"/>
      <w:r w:rsidRPr="0083687B">
        <w:rPr>
          <w:sz w:val="22"/>
          <w:szCs w:val="22"/>
        </w:rPr>
        <w:t>od</w:t>
      </w:r>
      <w:proofErr w:type="gramEnd"/>
      <w:r w:rsidRPr="0083687B">
        <w:rPr>
          <w:sz w:val="22"/>
          <w:szCs w:val="22"/>
        </w:rPr>
        <w:t xml:space="preserve"> 40 mg bila je 64 % u tri ispitivanja. Nakon pojedinačnih intravenskih doza koje su se kretale od 0</w:t>
      </w:r>
      <w:proofErr w:type="gramStart"/>
      <w:r w:rsidRPr="0083687B">
        <w:rPr>
          <w:sz w:val="22"/>
          <w:szCs w:val="22"/>
        </w:rPr>
        <w:t>,25</w:t>
      </w:r>
      <w:proofErr w:type="gramEnd"/>
      <w:r w:rsidRPr="0083687B">
        <w:rPr>
          <w:sz w:val="22"/>
          <w:szCs w:val="22"/>
        </w:rPr>
        <w:t xml:space="preserve"> do 10 mg/kg, koncentracije su bile proporcionalne dozi. Nakon primjene doza od 0</w:t>
      </w:r>
      <w:proofErr w:type="gramStart"/>
      <w:r w:rsidRPr="0083687B">
        <w:rPr>
          <w:sz w:val="22"/>
          <w:szCs w:val="22"/>
        </w:rPr>
        <w:t>,5</w:t>
      </w:r>
      <w:proofErr w:type="gramEnd"/>
      <w:r w:rsidRPr="0083687B">
        <w:rPr>
          <w:sz w:val="22"/>
          <w:szCs w:val="22"/>
        </w:rPr>
        <w:t xml:space="preserve"> mg/kg (~40 mg) klirens adalimumaba je bio u rasponu od 11 do 15 ml/sat, a volumen raspodjele (V</w:t>
      </w:r>
      <w:r w:rsidRPr="0083687B">
        <w:rPr>
          <w:position w:val="-8"/>
          <w:sz w:val="22"/>
          <w:szCs w:val="22"/>
          <w:vertAlign w:val="subscript"/>
        </w:rPr>
        <w:t>ss</w:t>
      </w:r>
      <w:r w:rsidRPr="0083687B">
        <w:rPr>
          <w:sz w:val="22"/>
          <w:szCs w:val="22"/>
        </w:rPr>
        <w:t xml:space="preserve">) je iznosio od 5 do 6 litara. Srednje poluvrijeme eliminacije u terminalnoj fazi približno je iznosilo dvije nedjelje. Koncentracije adalimumaba u sinovijalnoj tečnosti nekolicine pacijenata </w:t>
      </w:r>
      <w:proofErr w:type="gramStart"/>
      <w:r w:rsidRPr="0083687B">
        <w:rPr>
          <w:sz w:val="22"/>
          <w:szCs w:val="22"/>
        </w:rPr>
        <w:t>sa</w:t>
      </w:r>
      <w:proofErr w:type="gramEnd"/>
      <w:r w:rsidRPr="0083687B">
        <w:rPr>
          <w:sz w:val="22"/>
          <w:szCs w:val="22"/>
        </w:rPr>
        <w:t xml:space="preserve"> reumatoidnim artritisom iznosile su 31% – 96% koncentracija u serumu.</w:t>
      </w:r>
    </w:p>
    <w:p w14:paraId="425B34F7" w14:textId="77777777" w:rsidR="0083687B" w:rsidRPr="0083687B" w:rsidRDefault="0083687B">
      <w:pPr>
        <w:widowControl w:val="0"/>
        <w:autoSpaceDE w:val="0"/>
        <w:autoSpaceDN w:val="0"/>
        <w:adjustRightInd w:val="0"/>
        <w:ind w:left="567" w:hanging="567"/>
        <w:jc w:val="both"/>
        <w:rPr>
          <w:sz w:val="22"/>
          <w:szCs w:val="22"/>
        </w:rPr>
      </w:pPr>
    </w:p>
    <w:p w14:paraId="400BD20E" w14:textId="77777777" w:rsidR="0083687B" w:rsidRPr="0083687B" w:rsidRDefault="0083687B">
      <w:pPr>
        <w:widowControl w:val="0"/>
        <w:autoSpaceDE w:val="0"/>
        <w:autoSpaceDN w:val="0"/>
        <w:adjustRightInd w:val="0"/>
        <w:jc w:val="both"/>
        <w:rPr>
          <w:sz w:val="22"/>
          <w:szCs w:val="22"/>
        </w:rPr>
      </w:pPr>
      <w:r w:rsidRPr="0083687B">
        <w:rPr>
          <w:sz w:val="22"/>
          <w:szCs w:val="22"/>
        </w:rPr>
        <w:lastRenderedPageBreak/>
        <w:t>Nakon potkožne primjene lijeka Humira u dozi od 40 mg svake dvije nedjelje kod odraslih pacijenata sa reumatoidnim artritisom, srednje najniže koncentracije u serumu u stanju dinamičke ravnoteže bile su približno 5 μg/ml (bez istovremene primjene metotreksata), odnosno 8 – 9 μg/ml (uz metotreksat). Najniži nivoi adalimumaba u serumu u stanju dinamičke ravnoteže povećavali su se uglavnom srazmjerno dozi nakon potkožne primjene 20, 40 i 80 mg svake druge nedjelje, odnosno svake nedjelje.</w:t>
      </w:r>
    </w:p>
    <w:p w14:paraId="20863343" w14:textId="77777777" w:rsidR="0083687B" w:rsidRPr="0083687B" w:rsidRDefault="0083687B">
      <w:pPr>
        <w:widowControl w:val="0"/>
        <w:autoSpaceDE w:val="0"/>
        <w:autoSpaceDN w:val="0"/>
        <w:adjustRightInd w:val="0"/>
        <w:jc w:val="both"/>
        <w:rPr>
          <w:sz w:val="22"/>
          <w:szCs w:val="22"/>
        </w:rPr>
      </w:pPr>
    </w:p>
    <w:p w14:paraId="57695274" w14:textId="0B5FDAEF" w:rsidR="0083687B" w:rsidRPr="0083687B" w:rsidRDefault="0083687B">
      <w:pPr>
        <w:widowControl w:val="0"/>
        <w:autoSpaceDE w:val="0"/>
        <w:autoSpaceDN w:val="0"/>
        <w:adjustRightInd w:val="0"/>
        <w:jc w:val="both"/>
        <w:rPr>
          <w:sz w:val="22"/>
          <w:szCs w:val="22"/>
        </w:rPr>
      </w:pPr>
      <w:r w:rsidRPr="0083687B">
        <w:rPr>
          <w:sz w:val="22"/>
          <w:szCs w:val="22"/>
        </w:rPr>
        <w:t xml:space="preserve">Kod odraslih pacijenata sa psorijazom, srednja vrijednost najniže koncentracije u stanju dinamičke ravnoteže bila je 5 µg/ml tokom primjene monoterapije dozom adalimumaba od 40 mg svake </w:t>
      </w:r>
      <w:r w:rsidR="00CD5BDC" w:rsidRPr="00D710CF">
        <w:rPr>
          <w:sz w:val="22"/>
          <w:szCs w:val="22"/>
        </w:rPr>
        <w:t>druge</w:t>
      </w:r>
      <w:r w:rsidR="00CD5BDC">
        <w:rPr>
          <w:sz w:val="22"/>
          <w:szCs w:val="22"/>
        </w:rPr>
        <w:t xml:space="preserve"> </w:t>
      </w:r>
      <w:r w:rsidRPr="0083687B">
        <w:rPr>
          <w:sz w:val="22"/>
          <w:szCs w:val="22"/>
        </w:rPr>
        <w:t>nedjelje.</w:t>
      </w:r>
    </w:p>
    <w:p w14:paraId="7E8D000F" w14:textId="77777777" w:rsidR="0083687B" w:rsidRPr="0083687B" w:rsidRDefault="0083687B">
      <w:pPr>
        <w:widowControl w:val="0"/>
        <w:autoSpaceDE w:val="0"/>
        <w:autoSpaceDN w:val="0"/>
        <w:adjustRightInd w:val="0"/>
        <w:jc w:val="both"/>
        <w:rPr>
          <w:sz w:val="22"/>
          <w:szCs w:val="22"/>
        </w:rPr>
      </w:pPr>
    </w:p>
    <w:p w14:paraId="02482A14" w14:textId="77777777" w:rsidR="0083687B" w:rsidRPr="0083687B" w:rsidRDefault="0083687B">
      <w:pPr>
        <w:widowControl w:val="0"/>
        <w:autoSpaceDE w:val="0"/>
        <w:autoSpaceDN w:val="0"/>
        <w:adjustRightInd w:val="0"/>
        <w:jc w:val="both"/>
        <w:rPr>
          <w:sz w:val="22"/>
          <w:szCs w:val="22"/>
        </w:rPr>
      </w:pPr>
      <w:r w:rsidRPr="0083687B">
        <w:rPr>
          <w:sz w:val="22"/>
          <w:szCs w:val="22"/>
        </w:rPr>
        <w:t>Tokom perioda indukcije kod pacijenata sa Crohn-ovom bolešću, nakon početne doze od 80 mg lijeka Humira u nultoj nedjelji i zatim 40 mg u drugoj nedjelji postignute su najniže serumske koncentracije adalimumaba od oko 5,5 μg/ml, odnosno 12 μg/ml ako je početna doza bila 160 mg lijeka Humira u nultoj nedjelji i zatim 80 mg u drugoj nedjelji. Kod pacijenata sa Crohn-ovom bolešću koji primaju terapiju održavanja dozom od 40 mg svake druge nedjelje, prosječna najniža koncentracija adalimumaba u serumu u stanju dinamičke ravnoteže bila je oko 7 μg/ml.</w:t>
      </w:r>
    </w:p>
    <w:p w14:paraId="2582E0AA" w14:textId="77777777" w:rsidR="0083687B" w:rsidRPr="0083687B" w:rsidRDefault="0083687B">
      <w:pPr>
        <w:widowControl w:val="0"/>
        <w:autoSpaceDE w:val="0"/>
        <w:autoSpaceDN w:val="0"/>
        <w:adjustRightInd w:val="0"/>
        <w:jc w:val="both"/>
        <w:rPr>
          <w:sz w:val="22"/>
          <w:szCs w:val="22"/>
        </w:rPr>
      </w:pPr>
    </w:p>
    <w:p w14:paraId="28F1915C" w14:textId="77777777" w:rsidR="0083687B" w:rsidRPr="0083687B" w:rsidRDefault="0083687B">
      <w:pPr>
        <w:widowControl w:val="0"/>
        <w:autoSpaceDE w:val="0"/>
        <w:autoSpaceDN w:val="0"/>
        <w:adjustRightInd w:val="0"/>
        <w:jc w:val="both"/>
        <w:rPr>
          <w:sz w:val="22"/>
          <w:szCs w:val="22"/>
        </w:rPr>
      </w:pPr>
      <w:r w:rsidRPr="0083687B">
        <w:rPr>
          <w:sz w:val="22"/>
          <w:szCs w:val="22"/>
        </w:rPr>
        <w:t>Kod odraslih pacijenata sa uveitisom, inicijalna doza adalimumaba od 80 mg u nultoj nedjelji nakon čega slijedi 40 mg svake druge nedjelje, počevši od prve nedjelje, dovela je do srednje vrijednosti koncentracija u stanju dinamičke ravnoteže od približno 8–10 µg/ml.</w:t>
      </w:r>
    </w:p>
    <w:p w14:paraId="5662385C" w14:textId="77777777" w:rsidR="0083687B" w:rsidRPr="0083687B" w:rsidRDefault="0083687B">
      <w:pPr>
        <w:widowControl w:val="0"/>
        <w:autoSpaceDE w:val="0"/>
        <w:autoSpaceDN w:val="0"/>
        <w:adjustRightInd w:val="0"/>
        <w:jc w:val="both"/>
        <w:rPr>
          <w:sz w:val="22"/>
          <w:szCs w:val="22"/>
        </w:rPr>
      </w:pPr>
    </w:p>
    <w:p w14:paraId="1118F545" w14:textId="77777777" w:rsidR="0083687B" w:rsidRPr="0083687B" w:rsidRDefault="0083687B">
      <w:pPr>
        <w:widowControl w:val="0"/>
        <w:autoSpaceDE w:val="0"/>
        <w:autoSpaceDN w:val="0"/>
        <w:adjustRightInd w:val="0"/>
        <w:jc w:val="both"/>
        <w:rPr>
          <w:sz w:val="22"/>
          <w:szCs w:val="22"/>
        </w:rPr>
      </w:pPr>
      <w:r w:rsidRPr="0083687B">
        <w:rPr>
          <w:sz w:val="22"/>
          <w:szCs w:val="22"/>
          <w:lang w:val="sr-Latn-ME"/>
        </w:rPr>
        <w:t>Populacijskim farmakokinetičkim i farmakokinetičkim/farmakodinamičkim modeliranjem i simulacijom predviđeno je poređenje izloženosti adalimumabu i efikasnosti adalimumaba kod pacijenata koji su  liječeni sa 80 mg svake druge nedjelje i kod onih liječenih sa 40 mg svake nedjelje (uključujući odrasle pacijente sa reumatoidnim artritisom, gnojnim hidradenitisom, ulceroznim kolitisom, Crohn-ovom bolešću ili psorijazom, pacijente sa adolescentnim gnojnim hidradenitisom, i pedijatrijske pacijente tjelesne težine ≥ 40 kg s Crohn-ovom bolešću).</w:t>
      </w:r>
    </w:p>
    <w:p w14:paraId="0586155D" w14:textId="77777777" w:rsidR="0083687B" w:rsidRPr="0083687B" w:rsidRDefault="0083687B">
      <w:pPr>
        <w:widowControl w:val="0"/>
        <w:autoSpaceDE w:val="0"/>
        <w:autoSpaceDN w:val="0"/>
        <w:adjustRightInd w:val="0"/>
        <w:jc w:val="both"/>
        <w:rPr>
          <w:sz w:val="22"/>
          <w:szCs w:val="22"/>
        </w:rPr>
      </w:pPr>
    </w:p>
    <w:p w14:paraId="03EE343B" w14:textId="77777777" w:rsidR="0083687B" w:rsidRPr="0083687B" w:rsidRDefault="0083687B">
      <w:pPr>
        <w:widowControl w:val="0"/>
        <w:autoSpaceDE w:val="0"/>
        <w:autoSpaceDN w:val="0"/>
        <w:adjustRightInd w:val="0"/>
        <w:jc w:val="both"/>
        <w:rPr>
          <w:sz w:val="22"/>
          <w:szCs w:val="22"/>
          <w:u w:val="single"/>
        </w:rPr>
      </w:pPr>
      <w:r w:rsidRPr="0083687B">
        <w:rPr>
          <w:sz w:val="22"/>
          <w:szCs w:val="22"/>
          <w:u w:val="single"/>
        </w:rPr>
        <w:t>Eliminacija</w:t>
      </w:r>
    </w:p>
    <w:p w14:paraId="64566BAF" w14:textId="77777777" w:rsidR="0083687B" w:rsidRPr="0083687B" w:rsidRDefault="0083687B">
      <w:pPr>
        <w:widowControl w:val="0"/>
        <w:autoSpaceDE w:val="0"/>
        <w:autoSpaceDN w:val="0"/>
        <w:adjustRightInd w:val="0"/>
        <w:jc w:val="both"/>
        <w:rPr>
          <w:sz w:val="22"/>
          <w:szCs w:val="22"/>
          <w:u w:val="single"/>
        </w:rPr>
      </w:pPr>
    </w:p>
    <w:p w14:paraId="626E17E0" w14:textId="1E18B98C" w:rsidR="0083687B" w:rsidRPr="0083687B" w:rsidRDefault="0083687B">
      <w:pPr>
        <w:widowControl w:val="0"/>
        <w:autoSpaceDE w:val="0"/>
        <w:autoSpaceDN w:val="0"/>
        <w:adjustRightInd w:val="0"/>
        <w:jc w:val="both"/>
        <w:rPr>
          <w:sz w:val="22"/>
          <w:szCs w:val="22"/>
        </w:rPr>
      </w:pPr>
      <w:r w:rsidRPr="0083687B">
        <w:rPr>
          <w:sz w:val="22"/>
          <w:szCs w:val="22"/>
        </w:rPr>
        <w:t xml:space="preserve">Populacijske farmakokinetičke analize </w:t>
      </w:r>
      <w:proofErr w:type="gramStart"/>
      <w:r w:rsidRPr="0083687B">
        <w:rPr>
          <w:sz w:val="22"/>
          <w:szCs w:val="22"/>
        </w:rPr>
        <w:t>na</w:t>
      </w:r>
      <w:proofErr w:type="gramEnd"/>
      <w:r w:rsidRPr="0083687B">
        <w:rPr>
          <w:sz w:val="22"/>
          <w:szCs w:val="22"/>
        </w:rPr>
        <w:t xml:space="preserve"> osnovu podataka dobijenih kod više od 1300 pacijenata sa reumatoidnim artritisom pokazale su tendenciju da se prividni klirens adalimumaba povećava sa pacijentovom tjelesnom težinom. Nakon prilagodjavanja za razlike u tjelesnoj težini, čini se da pol i starost pacijenata nemaju znatnijeg uticaja </w:t>
      </w:r>
      <w:proofErr w:type="gramStart"/>
      <w:r w:rsidRPr="0083687B">
        <w:rPr>
          <w:sz w:val="22"/>
          <w:szCs w:val="22"/>
        </w:rPr>
        <w:t>na</w:t>
      </w:r>
      <w:proofErr w:type="gramEnd"/>
      <w:r w:rsidRPr="0083687B">
        <w:rPr>
          <w:sz w:val="22"/>
          <w:szCs w:val="22"/>
        </w:rPr>
        <w:t xml:space="preserve"> klirens adalimumaba. Primijećeno je da su vrijednosti slobodnog adalimumaba u serumu (onoga koji nije vezan za antitijela </w:t>
      </w:r>
      <w:proofErr w:type="gramStart"/>
      <w:r w:rsidRPr="0083687B">
        <w:rPr>
          <w:sz w:val="22"/>
          <w:szCs w:val="22"/>
        </w:rPr>
        <w:t>na</w:t>
      </w:r>
      <w:proofErr w:type="gramEnd"/>
      <w:r w:rsidRPr="0083687B">
        <w:rPr>
          <w:sz w:val="22"/>
          <w:szCs w:val="22"/>
        </w:rPr>
        <w:t xml:space="preserve"> adalimumab – AAA) niže kod pacijenata sa mjerljivim nivoima AAA</w:t>
      </w:r>
    </w:p>
    <w:p w14:paraId="3496DD85" w14:textId="77777777" w:rsidR="0083687B" w:rsidRPr="0083687B" w:rsidRDefault="0083687B">
      <w:pPr>
        <w:tabs>
          <w:tab w:val="left" w:pos="540"/>
          <w:tab w:val="left" w:pos="569"/>
        </w:tabs>
        <w:jc w:val="both"/>
        <w:rPr>
          <w:bCs/>
          <w:sz w:val="22"/>
          <w:szCs w:val="22"/>
          <w:lang w:val="sr-Latn-ME"/>
        </w:rPr>
      </w:pPr>
    </w:p>
    <w:p w14:paraId="1ABCF56F" w14:textId="77777777" w:rsidR="0083687B" w:rsidRPr="0083687B" w:rsidRDefault="0083687B">
      <w:pPr>
        <w:tabs>
          <w:tab w:val="left" w:pos="540"/>
          <w:tab w:val="left" w:pos="569"/>
        </w:tabs>
        <w:jc w:val="both"/>
        <w:rPr>
          <w:bCs/>
          <w:sz w:val="22"/>
          <w:szCs w:val="22"/>
          <w:u w:val="single"/>
          <w:lang w:val="sr-Latn-ME"/>
        </w:rPr>
      </w:pPr>
      <w:r w:rsidRPr="0083687B">
        <w:rPr>
          <w:bCs/>
          <w:sz w:val="22"/>
          <w:szCs w:val="22"/>
          <w:u w:val="single"/>
          <w:lang w:val="sr-Latn-ME"/>
        </w:rPr>
        <w:t>Oštećenje jetre ili bubrega</w:t>
      </w:r>
    </w:p>
    <w:p w14:paraId="5E206D0D" w14:textId="77777777" w:rsidR="0083687B" w:rsidRPr="0083687B" w:rsidRDefault="0083687B">
      <w:pPr>
        <w:tabs>
          <w:tab w:val="left" w:pos="540"/>
          <w:tab w:val="left" w:pos="569"/>
        </w:tabs>
        <w:jc w:val="both"/>
        <w:rPr>
          <w:bCs/>
          <w:sz w:val="22"/>
          <w:szCs w:val="22"/>
          <w:u w:val="single"/>
          <w:lang w:val="sr-Latn-ME"/>
        </w:rPr>
      </w:pPr>
    </w:p>
    <w:p w14:paraId="1D0481BD" w14:textId="77777777" w:rsidR="0083687B" w:rsidRPr="0083687B" w:rsidRDefault="0083687B">
      <w:pPr>
        <w:tabs>
          <w:tab w:val="left" w:pos="540"/>
          <w:tab w:val="left" w:pos="569"/>
        </w:tabs>
        <w:jc w:val="both"/>
        <w:rPr>
          <w:bCs/>
          <w:sz w:val="22"/>
          <w:szCs w:val="22"/>
          <w:lang w:val="sr-Latn-ME"/>
        </w:rPr>
      </w:pPr>
      <w:r w:rsidRPr="0083687B">
        <w:rPr>
          <w:bCs/>
          <w:sz w:val="22"/>
          <w:szCs w:val="22"/>
          <w:lang w:val="sr-Latn-ME"/>
        </w:rPr>
        <w:t>Lijek Humira nije ispitivan kod pacijenata sa oštećenom funkcijom bubrega ili jetre.</w:t>
      </w:r>
    </w:p>
    <w:p w14:paraId="50F1E65B" w14:textId="77777777" w:rsidR="0083687B" w:rsidRPr="0083687B" w:rsidRDefault="0083687B">
      <w:pPr>
        <w:tabs>
          <w:tab w:val="left" w:pos="540"/>
          <w:tab w:val="left" w:pos="569"/>
        </w:tabs>
        <w:jc w:val="both"/>
        <w:rPr>
          <w:b/>
          <w:bCs/>
          <w:sz w:val="22"/>
          <w:szCs w:val="22"/>
          <w:lang w:val="sr-Latn-ME"/>
        </w:rPr>
      </w:pPr>
    </w:p>
    <w:p w14:paraId="6B1F21D3"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5.3. </w:t>
      </w:r>
      <w:r w:rsidRPr="0083687B">
        <w:rPr>
          <w:b/>
          <w:bCs/>
          <w:sz w:val="22"/>
          <w:szCs w:val="22"/>
          <w:lang w:val="sr-Latn-ME"/>
        </w:rPr>
        <w:tab/>
        <w:t xml:space="preserve">Pretklinički podaci o bezbjednosti </w:t>
      </w:r>
    </w:p>
    <w:p w14:paraId="246183A8" w14:textId="77777777" w:rsidR="0083687B" w:rsidRPr="0083687B" w:rsidRDefault="0083687B">
      <w:pPr>
        <w:tabs>
          <w:tab w:val="left" w:pos="540"/>
          <w:tab w:val="left" w:pos="569"/>
        </w:tabs>
        <w:jc w:val="both"/>
        <w:rPr>
          <w:bCs/>
          <w:sz w:val="22"/>
          <w:szCs w:val="22"/>
          <w:lang w:val="sr-Latn-ME"/>
        </w:rPr>
      </w:pPr>
    </w:p>
    <w:p w14:paraId="4C047C01" w14:textId="77777777" w:rsidR="0083687B" w:rsidRPr="0083687B" w:rsidRDefault="0083687B">
      <w:pPr>
        <w:widowControl w:val="0"/>
        <w:autoSpaceDE w:val="0"/>
        <w:autoSpaceDN w:val="0"/>
        <w:adjustRightInd w:val="0"/>
        <w:jc w:val="both"/>
        <w:rPr>
          <w:sz w:val="22"/>
          <w:szCs w:val="22"/>
        </w:rPr>
      </w:pPr>
      <w:r w:rsidRPr="0083687B">
        <w:rPr>
          <w:sz w:val="22"/>
          <w:szCs w:val="22"/>
        </w:rPr>
        <w:t xml:space="preserve">Pretklinički podaci ne ukazuju </w:t>
      </w:r>
      <w:proofErr w:type="gramStart"/>
      <w:r w:rsidRPr="0083687B">
        <w:rPr>
          <w:sz w:val="22"/>
          <w:szCs w:val="22"/>
        </w:rPr>
        <w:t>na</w:t>
      </w:r>
      <w:proofErr w:type="gramEnd"/>
      <w:r w:rsidRPr="0083687B">
        <w:rPr>
          <w:sz w:val="22"/>
          <w:szCs w:val="22"/>
        </w:rPr>
        <w:t xml:space="preserve"> poseban rizik za ljude na osnovu ispitivanja toksičnosti pojedinačne doze, toksičnosti ponovljenih doza i genotoksičnosti.</w:t>
      </w:r>
    </w:p>
    <w:p w14:paraId="63160023" w14:textId="77777777" w:rsidR="0083687B" w:rsidRPr="0083687B" w:rsidRDefault="0083687B">
      <w:pPr>
        <w:widowControl w:val="0"/>
        <w:autoSpaceDE w:val="0"/>
        <w:autoSpaceDN w:val="0"/>
        <w:adjustRightInd w:val="0"/>
        <w:jc w:val="both"/>
        <w:rPr>
          <w:sz w:val="22"/>
          <w:szCs w:val="22"/>
        </w:rPr>
      </w:pPr>
      <w:r w:rsidRPr="0083687B">
        <w:rPr>
          <w:sz w:val="22"/>
          <w:szCs w:val="22"/>
        </w:rPr>
        <w:t>Ispitivanja embriofetalne i perinatalne razvojne toksičnosti sprovedena na makaki majmunima sa dozama od 0</w:t>
      </w:r>
      <w:proofErr w:type="gramStart"/>
      <w:r w:rsidRPr="0083687B">
        <w:rPr>
          <w:sz w:val="22"/>
          <w:szCs w:val="22"/>
        </w:rPr>
        <w:t>,30</w:t>
      </w:r>
      <w:proofErr w:type="gramEnd"/>
      <w:r w:rsidRPr="0083687B">
        <w:rPr>
          <w:sz w:val="22"/>
          <w:szCs w:val="22"/>
        </w:rPr>
        <w:t xml:space="preserve"> i 100 mg/kg (9 – 17 majmuna po grupi) nisu pokazala znakove oštećenja fetusa usljed primjene adalimumaba. Ispitivanja kancerogenosti </w:t>
      </w:r>
      <w:proofErr w:type="gramStart"/>
      <w:r w:rsidRPr="0083687B">
        <w:rPr>
          <w:sz w:val="22"/>
          <w:szCs w:val="22"/>
        </w:rPr>
        <w:t>te</w:t>
      </w:r>
      <w:proofErr w:type="gramEnd"/>
      <w:r w:rsidRPr="0083687B">
        <w:rPr>
          <w:sz w:val="22"/>
          <w:szCs w:val="22"/>
        </w:rPr>
        <w:t xml:space="preserve"> standardna procjena toksičnosti za plodnost i postnatalne toksičnosti nisu sprovedena sa adalimumabom zbog nepostojanja odgovarajućih modela za antitijela sa ograničenom unakrsnom reaktivnošću sa TNF-om glodara, odnosno stvaranje neutrališućih antitijela kod glodara.</w:t>
      </w:r>
    </w:p>
    <w:p w14:paraId="2DA9ED4E" w14:textId="63DEE781" w:rsidR="0083687B" w:rsidRDefault="0083687B">
      <w:pPr>
        <w:tabs>
          <w:tab w:val="left" w:pos="540"/>
          <w:tab w:val="left" w:pos="569"/>
        </w:tabs>
        <w:jc w:val="both"/>
        <w:rPr>
          <w:b/>
          <w:bCs/>
          <w:sz w:val="22"/>
          <w:szCs w:val="22"/>
          <w:lang w:val="sr-Latn-ME"/>
        </w:rPr>
      </w:pPr>
    </w:p>
    <w:p w14:paraId="79642A8F" w14:textId="77777777" w:rsidR="00FA17D1" w:rsidRPr="0083687B" w:rsidRDefault="00FA17D1">
      <w:pPr>
        <w:tabs>
          <w:tab w:val="left" w:pos="540"/>
          <w:tab w:val="left" w:pos="569"/>
        </w:tabs>
        <w:jc w:val="both"/>
        <w:rPr>
          <w:b/>
          <w:bCs/>
          <w:sz w:val="22"/>
          <w:szCs w:val="22"/>
          <w:lang w:val="sr-Latn-ME"/>
        </w:rPr>
      </w:pPr>
    </w:p>
    <w:p w14:paraId="6B01A7F8"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6. </w:t>
      </w:r>
      <w:r w:rsidRPr="0083687B">
        <w:rPr>
          <w:b/>
          <w:bCs/>
          <w:sz w:val="22"/>
          <w:szCs w:val="22"/>
          <w:lang w:val="sr-Latn-ME"/>
        </w:rPr>
        <w:tab/>
        <w:t>FARMACEUTSKI PODACI</w:t>
      </w:r>
    </w:p>
    <w:p w14:paraId="3995BEBE" w14:textId="77777777" w:rsidR="0083687B" w:rsidRPr="0083687B" w:rsidRDefault="0083687B">
      <w:pPr>
        <w:tabs>
          <w:tab w:val="left" w:pos="540"/>
          <w:tab w:val="left" w:pos="569"/>
        </w:tabs>
        <w:jc w:val="both"/>
        <w:rPr>
          <w:bCs/>
          <w:sz w:val="22"/>
          <w:szCs w:val="22"/>
          <w:lang w:val="sr-Latn-ME"/>
        </w:rPr>
      </w:pPr>
    </w:p>
    <w:p w14:paraId="40C35D5C"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6.1. </w:t>
      </w:r>
      <w:r w:rsidRPr="0083687B">
        <w:rPr>
          <w:b/>
          <w:bCs/>
          <w:sz w:val="22"/>
          <w:szCs w:val="22"/>
          <w:lang w:val="sr-Latn-ME"/>
        </w:rPr>
        <w:tab/>
        <w:t>Lista pomoćnih supstanci (ekscipijenasa)</w:t>
      </w:r>
    </w:p>
    <w:p w14:paraId="21E16033" w14:textId="77777777" w:rsidR="0083687B" w:rsidRPr="0083687B" w:rsidRDefault="0083687B">
      <w:pPr>
        <w:tabs>
          <w:tab w:val="left" w:pos="540"/>
          <w:tab w:val="left" w:pos="569"/>
        </w:tabs>
        <w:jc w:val="both"/>
        <w:rPr>
          <w:sz w:val="22"/>
          <w:szCs w:val="22"/>
          <w:lang w:val="sr-Latn-ME"/>
        </w:rPr>
      </w:pPr>
    </w:p>
    <w:p w14:paraId="5E344CD5" w14:textId="1EA0C19A" w:rsidR="0083687B" w:rsidRPr="0083687B" w:rsidRDefault="00FA17D1">
      <w:pPr>
        <w:tabs>
          <w:tab w:val="left" w:pos="540"/>
          <w:tab w:val="left" w:pos="569"/>
        </w:tabs>
        <w:jc w:val="both"/>
        <w:rPr>
          <w:sz w:val="22"/>
          <w:szCs w:val="22"/>
          <w:lang w:val="sr-Latn-ME"/>
        </w:rPr>
      </w:pPr>
      <w:r>
        <w:rPr>
          <w:sz w:val="22"/>
          <w:szCs w:val="22"/>
          <w:lang w:val="sr-Latn-ME"/>
        </w:rPr>
        <w:lastRenderedPageBreak/>
        <w:t>M</w:t>
      </w:r>
      <w:r w:rsidR="0083687B" w:rsidRPr="0083687B">
        <w:rPr>
          <w:sz w:val="22"/>
          <w:szCs w:val="22"/>
          <w:lang w:val="sr-Latn-ME"/>
        </w:rPr>
        <w:t>anitol</w:t>
      </w:r>
    </w:p>
    <w:p w14:paraId="17746C16" w14:textId="7182406F" w:rsidR="0083687B" w:rsidRPr="0083687B" w:rsidRDefault="00FA17D1">
      <w:pPr>
        <w:tabs>
          <w:tab w:val="left" w:pos="540"/>
          <w:tab w:val="left" w:pos="569"/>
        </w:tabs>
        <w:jc w:val="both"/>
        <w:rPr>
          <w:sz w:val="22"/>
          <w:szCs w:val="22"/>
          <w:lang w:val="sr-Latn-ME"/>
        </w:rPr>
      </w:pPr>
      <w:r>
        <w:rPr>
          <w:sz w:val="22"/>
          <w:szCs w:val="22"/>
          <w:lang w:val="sr-Latn-ME"/>
        </w:rPr>
        <w:t>P</w:t>
      </w:r>
      <w:r w:rsidR="0083687B" w:rsidRPr="0083687B">
        <w:rPr>
          <w:sz w:val="22"/>
          <w:szCs w:val="22"/>
          <w:lang w:val="sr-Latn-ME"/>
        </w:rPr>
        <w:t>olisorbat 80</w:t>
      </w:r>
    </w:p>
    <w:p w14:paraId="68634043" w14:textId="0117E703" w:rsidR="0083687B" w:rsidRPr="0083687B" w:rsidRDefault="00FA17D1">
      <w:pPr>
        <w:tabs>
          <w:tab w:val="left" w:pos="540"/>
          <w:tab w:val="left" w:pos="569"/>
        </w:tabs>
        <w:jc w:val="both"/>
        <w:rPr>
          <w:bCs/>
          <w:sz w:val="22"/>
          <w:szCs w:val="22"/>
          <w:lang w:val="sr-Latn-ME"/>
        </w:rPr>
      </w:pPr>
      <w:r>
        <w:rPr>
          <w:sz w:val="22"/>
          <w:szCs w:val="22"/>
          <w:lang w:val="sr-Latn-ME"/>
        </w:rPr>
        <w:t>V</w:t>
      </w:r>
      <w:bookmarkStart w:id="0" w:name="_GoBack"/>
      <w:bookmarkEnd w:id="0"/>
      <w:r w:rsidR="0083687B" w:rsidRPr="0083687B">
        <w:rPr>
          <w:sz w:val="22"/>
          <w:szCs w:val="22"/>
          <w:lang w:val="sr-Latn-ME"/>
        </w:rPr>
        <w:t>oda za injekcije</w:t>
      </w:r>
    </w:p>
    <w:p w14:paraId="42A533FD" w14:textId="77777777" w:rsidR="0083687B" w:rsidRPr="0083687B" w:rsidRDefault="0083687B">
      <w:pPr>
        <w:tabs>
          <w:tab w:val="left" w:pos="540"/>
          <w:tab w:val="left" w:pos="569"/>
        </w:tabs>
        <w:jc w:val="both"/>
        <w:rPr>
          <w:bCs/>
          <w:sz w:val="22"/>
          <w:szCs w:val="22"/>
          <w:lang w:val="sr-Latn-ME"/>
        </w:rPr>
      </w:pPr>
    </w:p>
    <w:p w14:paraId="56C84F18"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6.2. </w:t>
      </w:r>
      <w:r w:rsidRPr="0083687B">
        <w:rPr>
          <w:b/>
          <w:bCs/>
          <w:sz w:val="22"/>
          <w:szCs w:val="22"/>
          <w:lang w:val="sr-Latn-ME"/>
        </w:rPr>
        <w:tab/>
        <w:t>Inkompatibilnosti</w:t>
      </w:r>
    </w:p>
    <w:p w14:paraId="5D8F31EB" w14:textId="77777777" w:rsidR="0083687B" w:rsidRPr="0083687B" w:rsidRDefault="0083687B">
      <w:pPr>
        <w:tabs>
          <w:tab w:val="left" w:pos="540"/>
        </w:tabs>
        <w:jc w:val="both"/>
        <w:rPr>
          <w:bCs/>
          <w:sz w:val="22"/>
          <w:szCs w:val="22"/>
          <w:lang w:val="sr-Latn-ME"/>
        </w:rPr>
      </w:pPr>
      <w:r w:rsidRPr="0083687B">
        <w:rPr>
          <w:bCs/>
          <w:sz w:val="22"/>
          <w:szCs w:val="22"/>
          <w:lang w:val="sr-Latn-ME"/>
        </w:rPr>
        <w:tab/>
      </w:r>
    </w:p>
    <w:p w14:paraId="597AFB48" w14:textId="77777777" w:rsidR="0083687B" w:rsidRPr="0083687B" w:rsidRDefault="0083687B">
      <w:pPr>
        <w:tabs>
          <w:tab w:val="left" w:pos="540"/>
        </w:tabs>
        <w:jc w:val="both"/>
        <w:rPr>
          <w:bCs/>
          <w:sz w:val="22"/>
          <w:szCs w:val="22"/>
          <w:lang w:val="sr-Latn-ME"/>
        </w:rPr>
      </w:pPr>
      <w:r w:rsidRPr="0083687B">
        <w:rPr>
          <w:bCs/>
          <w:sz w:val="22"/>
          <w:szCs w:val="22"/>
          <w:lang w:val="sr-Latn-ME"/>
        </w:rPr>
        <w:t>Zbog nedostatka ispitivanja kompatibilnosti, ovaj lijek se ne smije miješati sa drugim ljekovima.</w:t>
      </w:r>
    </w:p>
    <w:p w14:paraId="5E06DD1C" w14:textId="77777777" w:rsidR="0083687B" w:rsidRPr="0083687B" w:rsidRDefault="0083687B">
      <w:pPr>
        <w:tabs>
          <w:tab w:val="left" w:pos="540"/>
        </w:tabs>
        <w:jc w:val="both"/>
        <w:rPr>
          <w:bCs/>
          <w:sz w:val="22"/>
          <w:szCs w:val="22"/>
          <w:lang w:val="sr-Latn-ME"/>
        </w:rPr>
      </w:pPr>
    </w:p>
    <w:p w14:paraId="485D60D9"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6.3.</w:t>
      </w:r>
      <w:r w:rsidRPr="0083687B">
        <w:rPr>
          <w:b/>
          <w:bCs/>
          <w:sz w:val="22"/>
          <w:szCs w:val="22"/>
          <w:lang w:val="sr-Latn-ME"/>
        </w:rPr>
        <w:tab/>
        <w:t>Rok upotrebe</w:t>
      </w:r>
    </w:p>
    <w:p w14:paraId="41595154" w14:textId="77777777" w:rsidR="0083687B" w:rsidRPr="0083687B" w:rsidRDefault="0083687B">
      <w:pPr>
        <w:tabs>
          <w:tab w:val="left" w:pos="540"/>
          <w:tab w:val="left" w:pos="569"/>
        </w:tabs>
        <w:jc w:val="both"/>
        <w:rPr>
          <w:bCs/>
          <w:sz w:val="22"/>
          <w:szCs w:val="22"/>
          <w:lang w:val="sr-Latn-ME"/>
        </w:rPr>
      </w:pPr>
    </w:p>
    <w:p w14:paraId="1A91DDF5" w14:textId="77777777" w:rsidR="0083687B" w:rsidRPr="0083687B" w:rsidRDefault="0083687B">
      <w:pPr>
        <w:tabs>
          <w:tab w:val="left" w:pos="540"/>
          <w:tab w:val="left" w:pos="569"/>
        </w:tabs>
        <w:jc w:val="both"/>
        <w:rPr>
          <w:bCs/>
          <w:sz w:val="22"/>
          <w:szCs w:val="22"/>
          <w:lang w:val="sr-Latn-ME"/>
        </w:rPr>
      </w:pPr>
      <w:r w:rsidRPr="0083687B">
        <w:rPr>
          <w:bCs/>
          <w:sz w:val="22"/>
          <w:szCs w:val="22"/>
          <w:lang w:val="sr-Latn-ME"/>
        </w:rPr>
        <w:t>2 godine</w:t>
      </w:r>
    </w:p>
    <w:p w14:paraId="68FCBCB2" w14:textId="77777777" w:rsidR="0083687B" w:rsidRPr="0083687B" w:rsidRDefault="0083687B">
      <w:pPr>
        <w:tabs>
          <w:tab w:val="left" w:pos="540"/>
          <w:tab w:val="left" w:pos="569"/>
        </w:tabs>
        <w:jc w:val="both"/>
        <w:rPr>
          <w:bCs/>
          <w:sz w:val="22"/>
          <w:szCs w:val="22"/>
          <w:lang w:val="sr-Latn-ME"/>
        </w:rPr>
      </w:pPr>
    </w:p>
    <w:p w14:paraId="42DFD773"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6.4. </w:t>
      </w:r>
      <w:r w:rsidRPr="0083687B">
        <w:rPr>
          <w:b/>
          <w:bCs/>
          <w:sz w:val="22"/>
          <w:szCs w:val="22"/>
          <w:lang w:val="sr-Latn-ME"/>
        </w:rPr>
        <w:tab/>
        <w:t>Posebne mjere upozorenja pri čuvanju lijeka</w:t>
      </w:r>
    </w:p>
    <w:p w14:paraId="20592800" w14:textId="77777777" w:rsidR="0083687B" w:rsidRPr="0083687B" w:rsidRDefault="0083687B">
      <w:pPr>
        <w:tabs>
          <w:tab w:val="left" w:pos="540"/>
          <w:tab w:val="left" w:pos="569"/>
        </w:tabs>
        <w:jc w:val="both"/>
        <w:rPr>
          <w:bCs/>
          <w:sz w:val="22"/>
          <w:szCs w:val="22"/>
          <w:lang w:val="sr-Latn-ME"/>
        </w:rPr>
      </w:pPr>
    </w:p>
    <w:p w14:paraId="17605DF2" w14:textId="77777777" w:rsidR="0083687B" w:rsidRPr="0083687B" w:rsidRDefault="0083687B">
      <w:pPr>
        <w:tabs>
          <w:tab w:val="left" w:pos="540"/>
          <w:tab w:val="left" w:pos="569"/>
        </w:tabs>
        <w:jc w:val="both"/>
        <w:rPr>
          <w:bCs/>
          <w:sz w:val="22"/>
          <w:szCs w:val="22"/>
          <w:lang w:val="sr-Latn-ME"/>
        </w:rPr>
      </w:pPr>
      <w:r w:rsidRPr="0083687B">
        <w:rPr>
          <w:bCs/>
          <w:sz w:val="22"/>
          <w:szCs w:val="22"/>
          <w:lang w:val="sr-Latn-ME"/>
        </w:rPr>
        <w:t>Čuvati u frižideru (2°C – 8°C). Ne zamrzavati. Napunjeni injekcioni špric čuvati u spoljašnjem pakovanju radi zaštite od svjetlosti.</w:t>
      </w:r>
    </w:p>
    <w:p w14:paraId="6700CD80" w14:textId="77777777" w:rsidR="0083687B" w:rsidRPr="0083687B" w:rsidRDefault="0083687B">
      <w:pPr>
        <w:tabs>
          <w:tab w:val="left" w:pos="540"/>
          <w:tab w:val="left" w:pos="569"/>
        </w:tabs>
        <w:jc w:val="both"/>
        <w:rPr>
          <w:bCs/>
          <w:sz w:val="22"/>
          <w:szCs w:val="22"/>
          <w:lang w:val="sr-Latn-ME"/>
        </w:rPr>
      </w:pPr>
    </w:p>
    <w:p w14:paraId="24D8975F" w14:textId="77777777" w:rsidR="0083687B" w:rsidRPr="0083687B" w:rsidRDefault="0083687B">
      <w:pPr>
        <w:tabs>
          <w:tab w:val="left" w:pos="540"/>
          <w:tab w:val="left" w:pos="569"/>
        </w:tabs>
        <w:jc w:val="both"/>
        <w:rPr>
          <w:bCs/>
          <w:sz w:val="22"/>
          <w:szCs w:val="22"/>
          <w:lang w:val="sr-Latn-ME"/>
        </w:rPr>
      </w:pPr>
      <w:r w:rsidRPr="0083687B">
        <w:rPr>
          <w:bCs/>
          <w:sz w:val="22"/>
          <w:szCs w:val="22"/>
          <w:lang w:val="sr-Latn-ME"/>
        </w:rPr>
        <w:t>Jedan napunjeni injekcioni špric lijeka Humira može se čuvati na temperaturama do maksimalno 25°C u trajanju do 14 dana. Špric se mora zaštiti od svjetlosti i ako se ne iskoristi u toku 14 dana odbaciti.</w:t>
      </w:r>
    </w:p>
    <w:p w14:paraId="2433D242" w14:textId="77777777" w:rsidR="0083687B" w:rsidRPr="0083687B" w:rsidRDefault="0083687B">
      <w:pPr>
        <w:tabs>
          <w:tab w:val="left" w:pos="540"/>
          <w:tab w:val="left" w:pos="569"/>
        </w:tabs>
        <w:jc w:val="both"/>
        <w:rPr>
          <w:bCs/>
          <w:sz w:val="22"/>
          <w:szCs w:val="22"/>
          <w:lang w:val="sr-Latn-ME"/>
        </w:rPr>
      </w:pPr>
    </w:p>
    <w:p w14:paraId="7315F109"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6.5. </w:t>
      </w:r>
      <w:r w:rsidRPr="0083687B">
        <w:rPr>
          <w:b/>
          <w:bCs/>
          <w:sz w:val="22"/>
          <w:szCs w:val="22"/>
          <w:lang w:val="sr-Latn-ME"/>
        </w:rPr>
        <w:tab/>
        <w:t>Vrsta i sadržaj pakovanja</w:t>
      </w:r>
    </w:p>
    <w:p w14:paraId="2BCCD5EA" w14:textId="77777777" w:rsidR="0083687B" w:rsidRPr="0083687B" w:rsidRDefault="0083687B">
      <w:pPr>
        <w:tabs>
          <w:tab w:val="left" w:pos="540"/>
          <w:tab w:val="left" w:pos="569"/>
        </w:tabs>
        <w:jc w:val="both"/>
        <w:rPr>
          <w:bCs/>
          <w:sz w:val="22"/>
          <w:szCs w:val="22"/>
          <w:lang w:val="sr-Latn-ME"/>
        </w:rPr>
      </w:pPr>
    </w:p>
    <w:p w14:paraId="6C373E5B" w14:textId="77777777" w:rsidR="0083687B" w:rsidRPr="0083687B" w:rsidRDefault="0083687B">
      <w:pPr>
        <w:tabs>
          <w:tab w:val="left" w:pos="540"/>
          <w:tab w:val="left" w:pos="569"/>
        </w:tabs>
        <w:jc w:val="both"/>
        <w:rPr>
          <w:bCs/>
          <w:sz w:val="22"/>
          <w:szCs w:val="22"/>
          <w:lang w:val="sr-Latn-ME"/>
        </w:rPr>
      </w:pPr>
      <w:r w:rsidRPr="0083687B">
        <w:rPr>
          <w:bCs/>
          <w:sz w:val="22"/>
          <w:szCs w:val="22"/>
          <w:lang w:val="sr-Latn-ME"/>
        </w:rPr>
        <w:t>Lijek Humira 20 mg/0.2 ml rastvor za injekciju u napunjenom injekcionom špricu za jednokratnu primijenu (staklo tipa I), sa čepom klipa (brombutil guma) i iglom sa zaštitom za iglu (termoplastični elastomer).</w:t>
      </w:r>
    </w:p>
    <w:p w14:paraId="1E602CC9" w14:textId="77777777" w:rsidR="0083687B" w:rsidRPr="0083687B" w:rsidRDefault="0083687B">
      <w:pPr>
        <w:tabs>
          <w:tab w:val="left" w:pos="540"/>
          <w:tab w:val="left" w:pos="569"/>
        </w:tabs>
        <w:jc w:val="both"/>
        <w:rPr>
          <w:bCs/>
          <w:sz w:val="22"/>
          <w:szCs w:val="22"/>
          <w:lang w:val="sr-Latn-ME"/>
        </w:rPr>
      </w:pPr>
    </w:p>
    <w:p w14:paraId="6AA2DB15" w14:textId="77777777" w:rsidR="0083687B" w:rsidRPr="0083687B" w:rsidRDefault="0083687B">
      <w:pPr>
        <w:tabs>
          <w:tab w:val="left" w:pos="540"/>
          <w:tab w:val="left" w:pos="569"/>
        </w:tabs>
        <w:jc w:val="both"/>
        <w:rPr>
          <w:bCs/>
          <w:sz w:val="22"/>
          <w:szCs w:val="22"/>
          <w:lang w:val="sr-Latn-ME"/>
        </w:rPr>
      </w:pPr>
      <w:r w:rsidRPr="0083687B">
        <w:rPr>
          <w:bCs/>
          <w:sz w:val="22"/>
          <w:szCs w:val="22"/>
          <w:lang w:val="sr-Latn-ME"/>
        </w:rPr>
        <w:t>Pakovanje:</w:t>
      </w:r>
    </w:p>
    <w:p w14:paraId="04BB9A16" w14:textId="77777777" w:rsidR="0083687B" w:rsidRPr="0083687B" w:rsidRDefault="0083687B">
      <w:pPr>
        <w:numPr>
          <w:ilvl w:val="0"/>
          <w:numId w:val="5"/>
        </w:numPr>
        <w:tabs>
          <w:tab w:val="left" w:pos="284"/>
          <w:tab w:val="left" w:pos="540"/>
        </w:tabs>
        <w:spacing w:after="160" w:line="259" w:lineRule="auto"/>
        <w:ind w:left="284" w:hanging="284"/>
        <w:contextualSpacing/>
        <w:jc w:val="both"/>
        <w:rPr>
          <w:bCs/>
          <w:sz w:val="22"/>
          <w:szCs w:val="22"/>
          <w:lang w:val="sr-Latn-ME"/>
        </w:rPr>
      </w:pPr>
      <w:r w:rsidRPr="0083687B">
        <w:rPr>
          <w:bCs/>
          <w:sz w:val="22"/>
          <w:szCs w:val="22"/>
          <w:lang w:val="sr-Latn-ME"/>
        </w:rPr>
        <w:t xml:space="preserve">2 napunjena injekciona šprica (0.2 ml sterilnog rastvora), svaki sa po 1 alkoholnim tupferom u blisteru. </w:t>
      </w:r>
    </w:p>
    <w:p w14:paraId="2C12EF39" w14:textId="77777777" w:rsidR="0083687B" w:rsidRPr="0083687B" w:rsidRDefault="0083687B">
      <w:pPr>
        <w:tabs>
          <w:tab w:val="left" w:pos="540"/>
          <w:tab w:val="left" w:pos="569"/>
        </w:tabs>
        <w:jc w:val="both"/>
        <w:rPr>
          <w:bCs/>
          <w:sz w:val="22"/>
          <w:szCs w:val="22"/>
          <w:lang w:val="sr-Latn-ME"/>
        </w:rPr>
      </w:pPr>
    </w:p>
    <w:p w14:paraId="6D701E25" w14:textId="77777777" w:rsidR="0083687B" w:rsidRPr="0083687B" w:rsidRDefault="0083687B">
      <w:pPr>
        <w:tabs>
          <w:tab w:val="left" w:pos="540"/>
          <w:tab w:val="left" w:pos="569"/>
        </w:tabs>
        <w:jc w:val="both"/>
        <w:rPr>
          <w:b/>
          <w:bCs/>
          <w:sz w:val="22"/>
          <w:szCs w:val="22"/>
        </w:rPr>
      </w:pPr>
      <w:r w:rsidRPr="0083687B">
        <w:rPr>
          <w:b/>
          <w:bCs/>
          <w:sz w:val="22"/>
          <w:szCs w:val="22"/>
          <w:lang w:val="sr-Latn-ME"/>
        </w:rPr>
        <w:t xml:space="preserve">6.6. </w:t>
      </w:r>
      <w:r w:rsidRPr="0083687B">
        <w:rPr>
          <w:b/>
          <w:bCs/>
          <w:sz w:val="22"/>
          <w:szCs w:val="22"/>
          <w:lang w:val="sr-Latn-ME"/>
        </w:rPr>
        <w:tab/>
        <w:t xml:space="preserve">Posebne mjere opreza pri odlaganju materijala koji treba odbaciti nakon primjene lijeka </w:t>
      </w:r>
      <w:r w:rsidRPr="0083687B">
        <w:rPr>
          <w:b/>
          <w:bCs/>
          <w:sz w:val="22"/>
          <w:szCs w:val="22"/>
        </w:rPr>
        <w:t xml:space="preserve">(i druga uputstva za rukovanje lijekom) </w:t>
      </w:r>
    </w:p>
    <w:p w14:paraId="01415360" w14:textId="77777777" w:rsidR="0083687B" w:rsidRPr="0083687B" w:rsidRDefault="0083687B">
      <w:pPr>
        <w:tabs>
          <w:tab w:val="left" w:pos="540"/>
          <w:tab w:val="left" w:pos="569"/>
        </w:tabs>
        <w:jc w:val="both"/>
        <w:rPr>
          <w:bCs/>
          <w:sz w:val="22"/>
          <w:szCs w:val="22"/>
          <w:lang w:val="sr-Latn-ME"/>
        </w:rPr>
      </w:pPr>
    </w:p>
    <w:p w14:paraId="42284CF0" w14:textId="77777777" w:rsidR="0083687B" w:rsidRPr="0083687B" w:rsidRDefault="0083687B">
      <w:pPr>
        <w:tabs>
          <w:tab w:val="left" w:pos="540"/>
          <w:tab w:val="left" w:pos="569"/>
        </w:tabs>
        <w:jc w:val="both"/>
        <w:rPr>
          <w:bCs/>
          <w:sz w:val="22"/>
          <w:szCs w:val="22"/>
          <w:lang w:val="sr-Latn-ME"/>
        </w:rPr>
      </w:pPr>
      <w:r w:rsidRPr="0083687B">
        <w:rPr>
          <w:bCs/>
          <w:sz w:val="22"/>
          <w:szCs w:val="22"/>
          <w:lang w:val="sr-Latn-ME"/>
        </w:rPr>
        <w:t>Neiskorišteni lijek ili otpadni materijal se odlaže u skladu sa propisima za zbrinjavanje medicinskog otpada.</w:t>
      </w:r>
    </w:p>
    <w:p w14:paraId="09CBB4C0" w14:textId="77777777" w:rsidR="0083687B" w:rsidRDefault="0083687B">
      <w:pPr>
        <w:tabs>
          <w:tab w:val="left" w:pos="540"/>
          <w:tab w:val="left" w:pos="569"/>
        </w:tabs>
        <w:jc w:val="both"/>
        <w:rPr>
          <w:b/>
          <w:bCs/>
          <w:sz w:val="22"/>
          <w:szCs w:val="22"/>
          <w:lang w:val="sr-Latn-ME"/>
        </w:rPr>
      </w:pPr>
    </w:p>
    <w:p w14:paraId="32C5636F" w14:textId="77777777" w:rsidR="00EB3350" w:rsidRPr="0083687B" w:rsidRDefault="00EB3350">
      <w:pPr>
        <w:tabs>
          <w:tab w:val="left" w:pos="540"/>
          <w:tab w:val="left" w:pos="569"/>
        </w:tabs>
        <w:jc w:val="both"/>
        <w:rPr>
          <w:b/>
          <w:bCs/>
          <w:sz w:val="22"/>
          <w:szCs w:val="22"/>
          <w:lang w:val="sr-Latn-ME"/>
        </w:rPr>
      </w:pPr>
    </w:p>
    <w:p w14:paraId="66E1E132"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7. </w:t>
      </w:r>
      <w:r w:rsidRPr="0083687B">
        <w:rPr>
          <w:b/>
          <w:bCs/>
          <w:sz w:val="22"/>
          <w:szCs w:val="22"/>
          <w:lang w:val="sr-Latn-ME"/>
        </w:rPr>
        <w:tab/>
        <w:t xml:space="preserve">NOSILAC DOZVOLE </w:t>
      </w:r>
    </w:p>
    <w:p w14:paraId="028924E4"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ab/>
      </w:r>
    </w:p>
    <w:p w14:paraId="6258FD9E" w14:textId="77777777" w:rsidR="0083687B" w:rsidRPr="0083687B" w:rsidRDefault="0083687B">
      <w:pPr>
        <w:jc w:val="both"/>
        <w:rPr>
          <w:sz w:val="22"/>
          <w:szCs w:val="22"/>
          <w:lang w:val="sr-Latn-ME"/>
        </w:rPr>
      </w:pPr>
      <w:r w:rsidRPr="0083687B">
        <w:rPr>
          <w:sz w:val="22"/>
          <w:szCs w:val="22"/>
          <w:lang w:val="sr-Latn-ME"/>
        </w:rPr>
        <w:t xml:space="preserve">Društvo za trgovinu na veliko farmaceutskim proizvodima „Glosarij“ d.o.o. - Podgorica </w:t>
      </w:r>
    </w:p>
    <w:p w14:paraId="0B06787C" w14:textId="77777777" w:rsidR="0083687B" w:rsidRPr="0083687B" w:rsidRDefault="0083687B">
      <w:pPr>
        <w:jc w:val="both"/>
        <w:rPr>
          <w:sz w:val="22"/>
          <w:szCs w:val="22"/>
          <w:lang w:val="sr-Latn-ME"/>
        </w:rPr>
      </w:pPr>
      <w:r w:rsidRPr="0083687B">
        <w:rPr>
          <w:sz w:val="22"/>
          <w:szCs w:val="22"/>
          <w:lang w:val="sr-Latn-ME"/>
        </w:rPr>
        <w:t>Vojislavljevića 76,</w:t>
      </w:r>
    </w:p>
    <w:p w14:paraId="1248EE9D" w14:textId="77777777" w:rsidR="0083687B" w:rsidRPr="0083687B" w:rsidRDefault="0083687B">
      <w:pPr>
        <w:jc w:val="both"/>
        <w:rPr>
          <w:sz w:val="22"/>
          <w:szCs w:val="22"/>
          <w:lang w:val="sr-Latn-ME"/>
        </w:rPr>
      </w:pPr>
      <w:r w:rsidRPr="0083687B">
        <w:rPr>
          <w:sz w:val="22"/>
          <w:szCs w:val="22"/>
          <w:lang w:val="sr-Latn-ME"/>
        </w:rPr>
        <w:t>Podgorica, Crna Gora</w:t>
      </w:r>
    </w:p>
    <w:p w14:paraId="1C7F8788" w14:textId="77777777" w:rsidR="0083687B" w:rsidRDefault="0083687B">
      <w:pPr>
        <w:tabs>
          <w:tab w:val="left" w:pos="540"/>
          <w:tab w:val="left" w:pos="569"/>
        </w:tabs>
        <w:jc w:val="both"/>
        <w:rPr>
          <w:bCs/>
          <w:sz w:val="22"/>
          <w:szCs w:val="22"/>
          <w:lang w:val="sr-Latn-ME"/>
        </w:rPr>
      </w:pPr>
    </w:p>
    <w:p w14:paraId="12DFBC05" w14:textId="77777777" w:rsidR="00EB3350" w:rsidRPr="0083687B" w:rsidRDefault="00EB3350">
      <w:pPr>
        <w:tabs>
          <w:tab w:val="left" w:pos="540"/>
          <w:tab w:val="left" w:pos="569"/>
        </w:tabs>
        <w:jc w:val="both"/>
        <w:rPr>
          <w:bCs/>
          <w:sz w:val="22"/>
          <w:szCs w:val="22"/>
          <w:lang w:val="sr-Latn-ME"/>
        </w:rPr>
      </w:pPr>
    </w:p>
    <w:p w14:paraId="637F3456"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8. </w:t>
      </w:r>
      <w:r w:rsidRPr="0083687B">
        <w:rPr>
          <w:b/>
          <w:bCs/>
          <w:sz w:val="22"/>
          <w:szCs w:val="22"/>
          <w:lang w:val="sr-Latn-ME"/>
        </w:rPr>
        <w:tab/>
        <w:t>BROJ DOZVOLE ZA STAVLJANJE LIJEKA U PROMET</w:t>
      </w:r>
    </w:p>
    <w:p w14:paraId="2207AF78" w14:textId="77777777" w:rsidR="0083687B" w:rsidRPr="0083687B" w:rsidRDefault="0083687B">
      <w:pPr>
        <w:tabs>
          <w:tab w:val="left" w:pos="540"/>
          <w:tab w:val="left" w:pos="569"/>
        </w:tabs>
        <w:jc w:val="both"/>
        <w:rPr>
          <w:bCs/>
          <w:sz w:val="22"/>
          <w:szCs w:val="22"/>
          <w:lang w:val="sr-Latn-ME"/>
        </w:rPr>
      </w:pPr>
    </w:p>
    <w:p w14:paraId="7C38F25E" w14:textId="65A62D57" w:rsidR="0083687B" w:rsidRPr="0083687B" w:rsidRDefault="0083687B">
      <w:pPr>
        <w:widowControl w:val="0"/>
        <w:autoSpaceDE w:val="0"/>
        <w:autoSpaceDN w:val="0"/>
        <w:adjustRightInd w:val="0"/>
        <w:jc w:val="both"/>
        <w:rPr>
          <w:color w:val="000000"/>
          <w:sz w:val="22"/>
          <w:szCs w:val="22"/>
        </w:rPr>
      </w:pPr>
      <w:r w:rsidRPr="0083687B">
        <w:rPr>
          <w:color w:val="000000"/>
          <w:sz w:val="22"/>
          <w:szCs w:val="22"/>
        </w:rPr>
        <w:t>Humira, rastvor za injekciju u napunjenom injekcionom špricu, 20 mg /0.2 ml, napunjeni injekcioni špric, 2 x 0.2 ml: 2030/19/23 - 3372</w:t>
      </w:r>
    </w:p>
    <w:p w14:paraId="2FB6EFF1" w14:textId="77777777" w:rsidR="0083687B" w:rsidRPr="0083687B" w:rsidRDefault="0083687B">
      <w:pPr>
        <w:tabs>
          <w:tab w:val="left" w:pos="540"/>
          <w:tab w:val="left" w:pos="569"/>
        </w:tabs>
        <w:jc w:val="both"/>
        <w:rPr>
          <w:bCs/>
          <w:sz w:val="22"/>
          <w:szCs w:val="22"/>
          <w:lang w:val="sr-Latn-ME"/>
        </w:rPr>
      </w:pPr>
    </w:p>
    <w:p w14:paraId="181FCAB1" w14:textId="77777777" w:rsidR="0083687B" w:rsidRPr="0083687B" w:rsidRDefault="0083687B">
      <w:pPr>
        <w:tabs>
          <w:tab w:val="left" w:pos="540"/>
          <w:tab w:val="left" w:pos="569"/>
        </w:tabs>
        <w:jc w:val="both"/>
        <w:rPr>
          <w:bCs/>
          <w:sz w:val="22"/>
          <w:szCs w:val="22"/>
          <w:lang w:val="sr-Latn-ME"/>
        </w:rPr>
      </w:pPr>
    </w:p>
    <w:p w14:paraId="16AFAF7C" w14:textId="77777777" w:rsidR="0083687B" w:rsidRPr="0083687B" w:rsidRDefault="0083687B">
      <w:pPr>
        <w:tabs>
          <w:tab w:val="left" w:pos="540"/>
          <w:tab w:val="left" w:pos="569"/>
        </w:tabs>
        <w:jc w:val="both"/>
        <w:rPr>
          <w:b/>
          <w:bCs/>
          <w:sz w:val="22"/>
          <w:szCs w:val="22"/>
          <w:lang w:val="sr-Latn-ME"/>
        </w:rPr>
      </w:pPr>
      <w:r w:rsidRPr="0083687B">
        <w:rPr>
          <w:b/>
          <w:bCs/>
          <w:sz w:val="22"/>
          <w:szCs w:val="22"/>
          <w:lang w:val="sr-Latn-ME"/>
        </w:rPr>
        <w:t xml:space="preserve">9. </w:t>
      </w:r>
      <w:r w:rsidRPr="0083687B">
        <w:rPr>
          <w:b/>
          <w:bCs/>
          <w:sz w:val="22"/>
          <w:szCs w:val="22"/>
          <w:lang w:val="sr-Latn-ME"/>
        </w:rPr>
        <w:tab/>
        <w:t xml:space="preserve">DATUM PRVE DOZVOLE/OBNOVE DOZVOLE </w:t>
      </w:r>
      <w:r w:rsidRPr="0083687B">
        <w:rPr>
          <w:b/>
          <w:bCs/>
          <w:sz w:val="22"/>
          <w:szCs w:val="22"/>
        </w:rPr>
        <w:t>ZA STAVLJANJE LIJEKA U PROMET</w:t>
      </w:r>
    </w:p>
    <w:p w14:paraId="6CEBF0F3" w14:textId="77777777" w:rsidR="0083687B" w:rsidRPr="0083687B" w:rsidRDefault="0083687B">
      <w:pPr>
        <w:tabs>
          <w:tab w:val="left" w:pos="540"/>
          <w:tab w:val="left" w:pos="569"/>
        </w:tabs>
        <w:jc w:val="both"/>
        <w:rPr>
          <w:bCs/>
          <w:sz w:val="22"/>
          <w:szCs w:val="22"/>
          <w:lang w:val="sr-Latn-ME"/>
        </w:rPr>
      </w:pPr>
    </w:p>
    <w:p w14:paraId="15BA23D1" w14:textId="6E5544A2" w:rsidR="0083687B" w:rsidRPr="0083687B" w:rsidRDefault="0083687B">
      <w:pPr>
        <w:tabs>
          <w:tab w:val="left" w:pos="540"/>
          <w:tab w:val="left" w:pos="569"/>
        </w:tabs>
        <w:jc w:val="both"/>
        <w:rPr>
          <w:bCs/>
          <w:sz w:val="22"/>
          <w:szCs w:val="22"/>
          <w:lang w:val="sr-Latn-ME"/>
        </w:rPr>
      </w:pPr>
      <w:r w:rsidRPr="0083687B">
        <w:rPr>
          <w:sz w:val="22"/>
          <w:szCs w:val="22"/>
          <w:lang w:val="sr-Latn-ME"/>
        </w:rPr>
        <w:t>Humira, rastvor za injekciju u napunjenom injekcionom špricu, 20 mg /0.2 ml, napunjeni injekcioni špric, 2 x 0.2 ml:</w:t>
      </w:r>
      <w:r w:rsidRPr="0083687B">
        <w:rPr>
          <w:rFonts w:asciiTheme="minorHAnsi" w:eastAsiaTheme="minorHAnsi" w:hAnsiTheme="minorHAnsi" w:cstheme="minorBidi"/>
          <w:sz w:val="22"/>
          <w:szCs w:val="22"/>
        </w:rPr>
        <w:t xml:space="preserve"> </w:t>
      </w:r>
      <w:r w:rsidRPr="0083687B">
        <w:rPr>
          <w:sz w:val="22"/>
          <w:szCs w:val="22"/>
          <w:lang w:val="sr-Latn-ME"/>
        </w:rPr>
        <w:t>21.02.2019. godine</w:t>
      </w:r>
    </w:p>
    <w:p w14:paraId="20FCCF36" w14:textId="77777777" w:rsidR="0083687B" w:rsidRPr="0083687B" w:rsidRDefault="0083687B">
      <w:pPr>
        <w:tabs>
          <w:tab w:val="left" w:pos="540"/>
          <w:tab w:val="left" w:pos="569"/>
        </w:tabs>
        <w:jc w:val="both"/>
        <w:rPr>
          <w:bCs/>
          <w:sz w:val="22"/>
          <w:szCs w:val="22"/>
          <w:lang w:val="sr-Latn-ME"/>
        </w:rPr>
      </w:pPr>
    </w:p>
    <w:p w14:paraId="1DA60CA2" w14:textId="77777777" w:rsidR="0083687B" w:rsidRPr="0083687B" w:rsidRDefault="0083687B">
      <w:pPr>
        <w:tabs>
          <w:tab w:val="left" w:pos="540"/>
          <w:tab w:val="left" w:pos="569"/>
        </w:tabs>
        <w:jc w:val="both"/>
        <w:rPr>
          <w:bCs/>
          <w:sz w:val="22"/>
          <w:szCs w:val="22"/>
          <w:lang w:val="sr-Latn-ME"/>
        </w:rPr>
      </w:pPr>
    </w:p>
    <w:p w14:paraId="063F574E" w14:textId="77777777" w:rsidR="0083687B" w:rsidRPr="0083687B" w:rsidRDefault="0083687B">
      <w:pPr>
        <w:tabs>
          <w:tab w:val="left" w:pos="540"/>
          <w:tab w:val="left" w:pos="569"/>
        </w:tabs>
        <w:ind w:left="540" w:hanging="540"/>
        <w:jc w:val="both"/>
        <w:rPr>
          <w:b/>
          <w:bCs/>
          <w:sz w:val="22"/>
          <w:szCs w:val="22"/>
          <w:lang w:val="sr-Latn-ME"/>
        </w:rPr>
      </w:pPr>
      <w:r w:rsidRPr="0083687B">
        <w:rPr>
          <w:b/>
          <w:bCs/>
          <w:sz w:val="22"/>
          <w:szCs w:val="22"/>
          <w:lang w:val="sr-Latn-ME"/>
        </w:rPr>
        <w:t xml:space="preserve">10. </w:t>
      </w:r>
      <w:r w:rsidRPr="0083687B">
        <w:rPr>
          <w:b/>
          <w:bCs/>
          <w:sz w:val="22"/>
          <w:szCs w:val="22"/>
          <w:lang w:val="sr-Latn-ME"/>
        </w:rPr>
        <w:tab/>
        <w:t xml:space="preserve">DATUM REVIZIJE TEKSTA </w:t>
      </w:r>
    </w:p>
    <w:p w14:paraId="61B776F0" w14:textId="77777777" w:rsidR="003C17AB" w:rsidRPr="00CA1FEB" w:rsidRDefault="003C17AB" w:rsidP="00EB3350">
      <w:pPr>
        <w:jc w:val="both"/>
        <w:rPr>
          <w:sz w:val="22"/>
          <w:szCs w:val="22"/>
          <w:lang w:val="sr-Latn-CS"/>
        </w:rPr>
      </w:pPr>
    </w:p>
    <w:p w14:paraId="6FB75430" w14:textId="59847183" w:rsidR="003C17AB" w:rsidRDefault="00730D96" w:rsidP="00730D96">
      <w:pPr>
        <w:tabs>
          <w:tab w:val="left" w:pos="540"/>
          <w:tab w:val="left" w:pos="569"/>
        </w:tabs>
        <w:jc w:val="both"/>
        <w:rPr>
          <w:noProof/>
          <w:sz w:val="22"/>
          <w:szCs w:val="22"/>
          <w:lang w:val="hr-HR"/>
        </w:rPr>
      </w:pPr>
      <w:r>
        <w:rPr>
          <w:noProof/>
          <w:sz w:val="22"/>
          <w:szCs w:val="22"/>
          <w:lang w:val="hr-HR"/>
        </w:rPr>
        <w:t>Jun,</w:t>
      </w:r>
      <w:r w:rsidR="00EB3350">
        <w:rPr>
          <w:noProof/>
          <w:sz w:val="22"/>
          <w:szCs w:val="22"/>
          <w:lang w:val="hr-HR"/>
        </w:rPr>
        <w:t xml:space="preserve"> </w:t>
      </w:r>
      <w:r>
        <w:rPr>
          <w:noProof/>
          <w:sz w:val="22"/>
          <w:szCs w:val="22"/>
          <w:lang w:val="hr-HR"/>
        </w:rPr>
        <w:t>2025.godine</w:t>
      </w:r>
    </w:p>
    <w:p w14:paraId="6725A0E2" w14:textId="77777777" w:rsidR="00C37FD7" w:rsidRPr="00786071" w:rsidRDefault="00C37FD7" w:rsidP="00EB3350">
      <w:pPr>
        <w:tabs>
          <w:tab w:val="left" w:pos="540"/>
          <w:tab w:val="left" w:pos="569"/>
        </w:tabs>
        <w:jc w:val="both"/>
        <w:rPr>
          <w:bCs/>
          <w:sz w:val="22"/>
          <w:szCs w:val="22"/>
        </w:rPr>
      </w:pPr>
    </w:p>
    <w:p w14:paraId="7266271D" w14:textId="77777777" w:rsidR="004E70AD" w:rsidRPr="00786071" w:rsidRDefault="004E70AD" w:rsidP="00EB3350">
      <w:pPr>
        <w:tabs>
          <w:tab w:val="left" w:pos="540"/>
          <w:tab w:val="left" w:pos="569"/>
        </w:tabs>
        <w:jc w:val="both"/>
        <w:rPr>
          <w:b/>
          <w:bCs/>
          <w:sz w:val="22"/>
          <w:szCs w:val="22"/>
        </w:rPr>
      </w:pPr>
    </w:p>
    <w:p w14:paraId="4A3C49C1" w14:textId="2C4F7357" w:rsidR="003F6A59" w:rsidRPr="00786071" w:rsidRDefault="003F6A59" w:rsidP="00EB3350">
      <w:pPr>
        <w:jc w:val="both"/>
        <w:rPr>
          <w:sz w:val="22"/>
          <w:szCs w:val="22"/>
          <w:lang w:val="pl-PL"/>
        </w:rPr>
      </w:pPr>
    </w:p>
    <w:sectPr w:rsidR="003F6A59" w:rsidRPr="00786071" w:rsidSect="006B5404">
      <w:footerReference w:type="default" r:id="rId19"/>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CB83A" w14:textId="77777777" w:rsidR="00595D54" w:rsidRDefault="00595D54">
      <w:r>
        <w:separator/>
      </w:r>
    </w:p>
  </w:endnote>
  <w:endnote w:type="continuationSeparator" w:id="0">
    <w:p w14:paraId="676207A3" w14:textId="77777777" w:rsidR="00595D54" w:rsidRDefault="0059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ndale Sans UI">
    <w:altName w:val="Calibri"/>
    <w:charset w:val="EE"/>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2190" w14:textId="2AEE56FB" w:rsidR="00174FA4" w:rsidRPr="00F413F0" w:rsidRDefault="00174FA4" w:rsidP="000D2444">
    <w:pPr>
      <w:pStyle w:val="Footer"/>
      <w:jc w:val="center"/>
      <w:rPr>
        <w:szCs w:val="22"/>
      </w:rPr>
    </w:pPr>
    <w:r w:rsidRPr="00F413F0">
      <w:fldChar w:fldCharType="begin"/>
    </w:r>
    <w:r w:rsidRPr="00F413F0">
      <w:instrText xml:space="preserve"> PAGE </w:instrText>
    </w:r>
    <w:r w:rsidRPr="00F413F0">
      <w:fldChar w:fldCharType="separate"/>
    </w:r>
    <w:r w:rsidR="00FA17D1">
      <w:rPr>
        <w:noProof/>
      </w:rPr>
      <w:t>41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A17D1">
      <w:rPr>
        <w:noProof/>
      </w:rPr>
      <w:t>42</w:t>
    </w:r>
    <w:r w:rsidRPr="00F413F0">
      <w:fldChar w:fldCharType="end"/>
    </w:r>
  </w:p>
  <w:p w14:paraId="22EE7F7C" w14:textId="3644ED41" w:rsidR="00174FA4" w:rsidRPr="00B23F69" w:rsidRDefault="00174FA4" w:rsidP="00B23F69">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F9046" w14:textId="77777777" w:rsidR="00595D54" w:rsidRDefault="00595D54">
      <w:r>
        <w:separator/>
      </w:r>
    </w:p>
  </w:footnote>
  <w:footnote w:type="continuationSeparator" w:id="0">
    <w:p w14:paraId="76AA5C79" w14:textId="77777777" w:rsidR="00595D54" w:rsidRDefault="0059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B4B"/>
    <w:multiLevelType w:val="hybridMultilevel"/>
    <w:tmpl w:val="A658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76744"/>
    <w:multiLevelType w:val="hybridMultilevel"/>
    <w:tmpl w:val="50E48E22"/>
    <w:lvl w:ilvl="0" w:tplc="1F7AFC12">
      <w:start w:val="1"/>
      <w:numFmt w:val="decimal"/>
      <w:lvlText w:val="%1)"/>
      <w:lvlJc w:val="left"/>
      <w:pPr>
        <w:tabs>
          <w:tab w:val="num" w:pos="360"/>
        </w:tabs>
        <w:ind w:left="360" w:hanging="360"/>
      </w:pPr>
      <w:rPr>
        <w:rFonts w:hint="default"/>
        <w:vertAlign w:val="superscrip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10687C"/>
    <w:multiLevelType w:val="multilevel"/>
    <w:tmpl w:val="0409001F"/>
    <w:styleLink w:val="1111112"/>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BC77894"/>
    <w:multiLevelType w:val="hybridMultilevel"/>
    <w:tmpl w:val="7AAE01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737B0BE8"/>
    <w:multiLevelType w:val="singleLevel"/>
    <w:tmpl w:val="922E774C"/>
    <w:lvl w:ilvl="0">
      <w:start w:val="1"/>
      <w:numFmt w:val="lowerLetter"/>
      <w:pStyle w:val="TableFootnoteLetter"/>
      <w:lvlText w:val="%1."/>
      <w:lvlJc w:val="left"/>
      <w:pPr>
        <w:ind w:left="360" w:hanging="360"/>
      </w:pPr>
      <w:rPr>
        <w:rFonts w:ascii="Times New Roman" w:hAnsi="Times New Roman" w:cs="Times New Roman" w:hint="default"/>
        <w:b w:val="0"/>
        <w:i w:val="0"/>
        <w:caps w:val="0"/>
        <w:sz w:val="22"/>
        <w:szCs w:val="22"/>
        <w:u w:val="none"/>
        <w:vertAlign w:val="superscript"/>
      </w:rPr>
    </w:lvl>
  </w:abstractNum>
  <w:num w:numId="1">
    <w:abstractNumId w:val="2"/>
  </w:num>
  <w:num w:numId="2">
    <w:abstractNumId w:val="3"/>
  </w:num>
  <w:num w:numId="3">
    <w:abstractNumId w:val="1"/>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5A4"/>
    <w:rsid w:val="000105B2"/>
    <w:rsid w:val="000155BB"/>
    <w:rsid w:val="000176CA"/>
    <w:rsid w:val="00036FA0"/>
    <w:rsid w:val="0003793F"/>
    <w:rsid w:val="00057B10"/>
    <w:rsid w:val="00057E35"/>
    <w:rsid w:val="000633DC"/>
    <w:rsid w:val="00076726"/>
    <w:rsid w:val="00080303"/>
    <w:rsid w:val="000A28B4"/>
    <w:rsid w:val="000A3F58"/>
    <w:rsid w:val="000D2343"/>
    <w:rsid w:val="000D2444"/>
    <w:rsid w:val="000D3449"/>
    <w:rsid w:val="000D39CC"/>
    <w:rsid w:val="000D425A"/>
    <w:rsid w:val="000D60CC"/>
    <w:rsid w:val="000E2084"/>
    <w:rsid w:val="000E6C23"/>
    <w:rsid w:val="000E6F55"/>
    <w:rsid w:val="000F4249"/>
    <w:rsid w:val="000F77FA"/>
    <w:rsid w:val="00107BF7"/>
    <w:rsid w:val="00126F53"/>
    <w:rsid w:val="0014766D"/>
    <w:rsid w:val="001536CC"/>
    <w:rsid w:val="00172A4E"/>
    <w:rsid w:val="00174FA4"/>
    <w:rsid w:val="001A3FBA"/>
    <w:rsid w:val="001A5518"/>
    <w:rsid w:val="001B1C6A"/>
    <w:rsid w:val="001B1C6C"/>
    <w:rsid w:val="001B4511"/>
    <w:rsid w:val="001C1263"/>
    <w:rsid w:val="001C1417"/>
    <w:rsid w:val="001D39F7"/>
    <w:rsid w:val="001D6986"/>
    <w:rsid w:val="001E390B"/>
    <w:rsid w:val="001F42FB"/>
    <w:rsid w:val="001F719A"/>
    <w:rsid w:val="002031B3"/>
    <w:rsid w:val="00206470"/>
    <w:rsid w:val="00212655"/>
    <w:rsid w:val="00215931"/>
    <w:rsid w:val="00224C91"/>
    <w:rsid w:val="00227BDB"/>
    <w:rsid w:val="00234CB1"/>
    <w:rsid w:val="002352F8"/>
    <w:rsid w:val="002510A5"/>
    <w:rsid w:val="002541B7"/>
    <w:rsid w:val="00254A0A"/>
    <w:rsid w:val="0025588C"/>
    <w:rsid w:val="00263ABB"/>
    <w:rsid w:val="00266046"/>
    <w:rsid w:val="00276A0C"/>
    <w:rsid w:val="002846DB"/>
    <w:rsid w:val="00284CCD"/>
    <w:rsid w:val="00291566"/>
    <w:rsid w:val="00295C77"/>
    <w:rsid w:val="00296959"/>
    <w:rsid w:val="002B5E52"/>
    <w:rsid w:val="002C6637"/>
    <w:rsid w:val="002D10F6"/>
    <w:rsid w:val="002E0135"/>
    <w:rsid w:val="002E37A5"/>
    <w:rsid w:val="00310F03"/>
    <w:rsid w:val="003247D2"/>
    <w:rsid w:val="003330EF"/>
    <w:rsid w:val="00336D08"/>
    <w:rsid w:val="003445C1"/>
    <w:rsid w:val="003533AE"/>
    <w:rsid w:val="00355B61"/>
    <w:rsid w:val="00361904"/>
    <w:rsid w:val="00362686"/>
    <w:rsid w:val="00371510"/>
    <w:rsid w:val="003725E6"/>
    <w:rsid w:val="0038093A"/>
    <w:rsid w:val="003849E5"/>
    <w:rsid w:val="00385A88"/>
    <w:rsid w:val="00387BA9"/>
    <w:rsid w:val="0039322B"/>
    <w:rsid w:val="003951FD"/>
    <w:rsid w:val="00396DFD"/>
    <w:rsid w:val="003A7059"/>
    <w:rsid w:val="003B7A36"/>
    <w:rsid w:val="003C1604"/>
    <w:rsid w:val="003C17AB"/>
    <w:rsid w:val="003C3056"/>
    <w:rsid w:val="003C7823"/>
    <w:rsid w:val="003E1DCC"/>
    <w:rsid w:val="003F11A1"/>
    <w:rsid w:val="003F3DE3"/>
    <w:rsid w:val="003F6A59"/>
    <w:rsid w:val="004065C8"/>
    <w:rsid w:val="004109FA"/>
    <w:rsid w:val="00411B4B"/>
    <w:rsid w:val="00414476"/>
    <w:rsid w:val="00415BEE"/>
    <w:rsid w:val="0042377E"/>
    <w:rsid w:val="00427F85"/>
    <w:rsid w:val="00436F42"/>
    <w:rsid w:val="004378B4"/>
    <w:rsid w:val="00445CA6"/>
    <w:rsid w:val="00451314"/>
    <w:rsid w:val="00452E9D"/>
    <w:rsid w:val="004534C7"/>
    <w:rsid w:val="00453F08"/>
    <w:rsid w:val="00456F65"/>
    <w:rsid w:val="00461910"/>
    <w:rsid w:val="00465830"/>
    <w:rsid w:val="004671AA"/>
    <w:rsid w:val="00480FB1"/>
    <w:rsid w:val="00483928"/>
    <w:rsid w:val="00492498"/>
    <w:rsid w:val="004A038C"/>
    <w:rsid w:val="004A2675"/>
    <w:rsid w:val="004C30D4"/>
    <w:rsid w:val="004C331F"/>
    <w:rsid w:val="004D2DF3"/>
    <w:rsid w:val="004D44DF"/>
    <w:rsid w:val="004D6103"/>
    <w:rsid w:val="004E355E"/>
    <w:rsid w:val="004E3BCE"/>
    <w:rsid w:val="004E70AD"/>
    <w:rsid w:val="004F0E97"/>
    <w:rsid w:val="00501DD1"/>
    <w:rsid w:val="00515C21"/>
    <w:rsid w:val="00522539"/>
    <w:rsid w:val="00524240"/>
    <w:rsid w:val="0052437C"/>
    <w:rsid w:val="00526A75"/>
    <w:rsid w:val="00527976"/>
    <w:rsid w:val="00530BD7"/>
    <w:rsid w:val="00545CD2"/>
    <w:rsid w:val="005476F3"/>
    <w:rsid w:val="00572527"/>
    <w:rsid w:val="00573C20"/>
    <w:rsid w:val="00573E40"/>
    <w:rsid w:val="00576348"/>
    <w:rsid w:val="00595D54"/>
    <w:rsid w:val="005A0B2E"/>
    <w:rsid w:val="005A23D2"/>
    <w:rsid w:val="005A36CB"/>
    <w:rsid w:val="005B49B8"/>
    <w:rsid w:val="005C0741"/>
    <w:rsid w:val="005C5EF4"/>
    <w:rsid w:val="005E2E0B"/>
    <w:rsid w:val="005E7A7D"/>
    <w:rsid w:val="00601DB2"/>
    <w:rsid w:val="00602457"/>
    <w:rsid w:val="0062362E"/>
    <w:rsid w:val="00644FC3"/>
    <w:rsid w:val="00646BD1"/>
    <w:rsid w:val="006561C2"/>
    <w:rsid w:val="0067153B"/>
    <w:rsid w:val="00671CB3"/>
    <w:rsid w:val="00674BAF"/>
    <w:rsid w:val="00682200"/>
    <w:rsid w:val="00692BF6"/>
    <w:rsid w:val="00692EEE"/>
    <w:rsid w:val="006A1497"/>
    <w:rsid w:val="006A441C"/>
    <w:rsid w:val="006B0BD1"/>
    <w:rsid w:val="006B5404"/>
    <w:rsid w:val="006B6018"/>
    <w:rsid w:val="006C2A96"/>
    <w:rsid w:val="006C496A"/>
    <w:rsid w:val="006D20A5"/>
    <w:rsid w:val="006D37BF"/>
    <w:rsid w:val="006E5C7F"/>
    <w:rsid w:val="00702E22"/>
    <w:rsid w:val="00716E28"/>
    <w:rsid w:val="0072020E"/>
    <w:rsid w:val="00730D96"/>
    <w:rsid w:val="00750173"/>
    <w:rsid w:val="00761BE9"/>
    <w:rsid w:val="00770706"/>
    <w:rsid w:val="00774649"/>
    <w:rsid w:val="007847C2"/>
    <w:rsid w:val="00786071"/>
    <w:rsid w:val="007879DD"/>
    <w:rsid w:val="007A3ECB"/>
    <w:rsid w:val="007A5B19"/>
    <w:rsid w:val="007C6771"/>
    <w:rsid w:val="007D7BB3"/>
    <w:rsid w:val="0082032C"/>
    <w:rsid w:val="00824AB9"/>
    <w:rsid w:val="0083687B"/>
    <w:rsid w:val="00836B35"/>
    <w:rsid w:val="008407AE"/>
    <w:rsid w:val="00843BDE"/>
    <w:rsid w:val="0087588C"/>
    <w:rsid w:val="0088568A"/>
    <w:rsid w:val="0089705C"/>
    <w:rsid w:val="008A6D43"/>
    <w:rsid w:val="008B491E"/>
    <w:rsid w:val="008C1A28"/>
    <w:rsid w:val="008C2E98"/>
    <w:rsid w:val="008E1096"/>
    <w:rsid w:val="008E49BD"/>
    <w:rsid w:val="008E53E9"/>
    <w:rsid w:val="008E5771"/>
    <w:rsid w:val="008F4ACF"/>
    <w:rsid w:val="009007A2"/>
    <w:rsid w:val="00904F70"/>
    <w:rsid w:val="00913EE6"/>
    <w:rsid w:val="00924166"/>
    <w:rsid w:val="009378F9"/>
    <w:rsid w:val="00940B9B"/>
    <w:rsid w:val="0095676E"/>
    <w:rsid w:val="00956983"/>
    <w:rsid w:val="0096278A"/>
    <w:rsid w:val="00963CF0"/>
    <w:rsid w:val="00964BB1"/>
    <w:rsid w:val="009775D9"/>
    <w:rsid w:val="0099079F"/>
    <w:rsid w:val="00997175"/>
    <w:rsid w:val="009A1847"/>
    <w:rsid w:val="009B062A"/>
    <w:rsid w:val="009C46F8"/>
    <w:rsid w:val="009E0DAA"/>
    <w:rsid w:val="009E7C6F"/>
    <w:rsid w:val="009F1793"/>
    <w:rsid w:val="009F2D23"/>
    <w:rsid w:val="00A01D69"/>
    <w:rsid w:val="00A02335"/>
    <w:rsid w:val="00A46C9A"/>
    <w:rsid w:val="00A607EB"/>
    <w:rsid w:val="00A619F3"/>
    <w:rsid w:val="00A62A73"/>
    <w:rsid w:val="00A87159"/>
    <w:rsid w:val="00A87FF6"/>
    <w:rsid w:val="00AA0063"/>
    <w:rsid w:val="00AA0A3B"/>
    <w:rsid w:val="00AA2763"/>
    <w:rsid w:val="00AA33B6"/>
    <w:rsid w:val="00AA448D"/>
    <w:rsid w:val="00AB50CA"/>
    <w:rsid w:val="00AB6D64"/>
    <w:rsid w:val="00AC53CE"/>
    <w:rsid w:val="00AC659F"/>
    <w:rsid w:val="00AD2193"/>
    <w:rsid w:val="00AF2AC7"/>
    <w:rsid w:val="00AF74CE"/>
    <w:rsid w:val="00AF76D9"/>
    <w:rsid w:val="00B208DB"/>
    <w:rsid w:val="00B23F69"/>
    <w:rsid w:val="00B30798"/>
    <w:rsid w:val="00B4237D"/>
    <w:rsid w:val="00B60619"/>
    <w:rsid w:val="00B66A70"/>
    <w:rsid w:val="00B66AEE"/>
    <w:rsid w:val="00B67366"/>
    <w:rsid w:val="00B80EE1"/>
    <w:rsid w:val="00B84135"/>
    <w:rsid w:val="00B91AB8"/>
    <w:rsid w:val="00BA0342"/>
    <w:rsid w:val="00BA623E"/>
    <w:rsid w:val="00BD5BC4"/>
    <w:rsid w:val="00BF17E5"/>
    <w:rsid w:val="00BF30CE"/>
    <w:rsid w:val="00C04D34"/>
    <w:rsid w:val="00C05DF8"/>
    <w:rsid w:val="00C06864"/>
    <w:rsid w:val="00C10F54"/>
    <w:rsid w:val="00C23D8D"/>
    <w:rsid w:val="00C340BF"/>
    <w:rsid w:val="00C37AA3"/>
    <w:rsid w:val="00C37FD7"/>
    <w:rsid w:val="00C43419"/>
    <w:rsid w:val="00C44CF3"/>
    <w:rsid w:val="00C45962"/>
    <w:rsid w:val="00C47E70"/>
    <w:rsid w:val="00C57F3B"/>
    <w:rsid w:val="00C61BE0"/>
    <w:rsid w:val="00C656BF"/>
    <w:rsid w:val="00C6707E"/>
    <w:rsid w:val="00C70B0E"/>
    <w:rsid w:val="00C773CA"/>
    <w:rsid w:val="00C83785"/>
    <w:rsid w:val="00C94C0D"/>
    <w:rsid w:val="00CA1FEB"/>
    <w:rsid w:val="00CB003E"/>
    <w:rsid w:val="00CD2BAB"/>
    <w:rsid w:val="00CD45DE"/>
    <w:rsid w:val="00CD4F85"/>
    <w:rsid w:val="00CD5BDC"/>
    <w:rsid w:val="00CD6F02"/>
    <w:rsid w:val="00CE246D"/>
    <w:rsid w:val="00CF07A0"/>
    <w:rsid w:val="00CF3E03"/>
    <w:rsid w:val="00D0082A"/>
    <w:rsid w:val="00D21455"/>
    <w:rsid w:val="00D319E4"/>
    <w:rsid w:val="00D33046"/>
    <w:rsid w:val="00D35256"/>
    <w:rsid w:val="00D41D47"/>
    <w:rsid w:val="00D47634"/>
    <w:rsid w:val="00D709B3"/>
    <w:rsid w:val="00D710CF"/>
    <w:rsid w:val="00D93C29"/>
    <w:rsid w:val="00DA03A9"/>
    <w:rsid w:val="00DA03DD"/>
    <w:rsid w:val="00DA2ED6"/>
    <w:rsid w:val="00DA42DA"/>
    <w:rsid w:val="00DB5E49"/>
    <w:rsid w:val="00DB76B8"/>
    <w:rsid w:val="00DC20D4"/>
    <w:rsid w:val="00DC2EA1"/>
    <w:rsid w:val="00DD6AAF"/>
    <w:rsid w:val="00DE3F5C"/>
    <w:rsid w:val="00DE6ADF"/>
    <w:rsid w:val="00DF1D20"/>
    <w:rsid w:val="00E161C3"/>
    <w:rsid w:val="00E21324"/>
    <w:rsid w:val="00E21B5B"/>
    <w:rsid w:val="00E23182"/>
    <w:rsid w:val="00E246B9"/>
    <w:rsid w:val="00E25829"/>
    <w:rsid w:val="00E27836"/>
    <w:rsid w:val="00E31FEA"/>
    <w:rsid w:val="00E36EDD"/>
    <w:rsid w:val="00E4456F"/>
    <w:rsid w:val="00E45169"/>
    <w:rsid w:val="00E47787"/>
    <w:rsid w:val="00E51C30"/>
    <w:rsid w:val="00E54CED"/>
    <w:rsid w:val="00E64180"/>
    <w:rsid w:val="00E726BD"/>
    <w:rsid w:val="00E74AEE"/>
    <w:rsid w:val="00E85E87"/>
    <w:rsid w:val="00E868E5"/>
    <w:rsid w:val="00E87CAD"/>
    <w:rsid w:val="00E9237A"/>
    <w:rsid w:val="00E939FA"/>
    <w:rsid w:val="00EA5765"/>
    <w:rsid w:val="00EB3350"/>
    <w:rsid w:val="00EB3D9A"/>
    <w:rsid w:val="00EB71F9"/>
    <w:rsid w:val="00EB7E86"/>
    <w:rsid w:val="00EC2532"/>
    <w:rsid w:val="00ED776D"/>
    <w:rsid w:val="00ED7812"/>
    <w:rsid w:val="00EF3B86"/>
    <w:rsid w:val="00F167A4"/>
    <w:rsid w:val="00F317E9"/>
    <w:rsid w:val="00F34447"/>
    <w:rsid w:val="00F34554"/>
    <w:rsid w:val="00F45F77"/>
    <w:rsid w:val="00F5167F"/>
    <w:rsid w:val="00F52258"/>
    <w:rsid w:val="00F5410D"/>
    <w:rsid w:val="00F56E79"/>
    <w:rsid w:val="00F7024F"/>
    <w:rsid w:val="00F83367"/>
    <w:rsid w:val="00F8570A"/>
    <w:rsid w:val="00F91C7B"/>
    <w:rsid w:val="00FA1042"/>
    <w:rsid w:val="00FA17D1"/>
    <w:rsid w:val="00FA5F6C"/>
    <w:rsid w:val="00FB5E22"/>
    <w:rsid w:val="00FC5EB3"/>
    <w:rsid w:val="00FE46CA"/>
    <w:rsid w:val="00FF3524"/>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07B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4A2675"/>
    <w:pPr>
      <w:keepNext/>
      <w:outlineLvl w:val="2"/>
    </w:pPr>
    <w:rPr>
      <w:rFonts w:ascii="Arial" w:hAnsi="Arial" w:cs="Arial"/>
      <w:b/>
      <w:bCs/>
      <w:i/>
      <w:iCs/>
      <w:color w:val="FF000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Default">
    <w:name w:val="Default"/>
    <w:rsid w:val="00526A75"/>
    <w:pPr>
      <w:widowControl w:val="0"/>
      <w:autoSpaceDE w:val="0"/>
      <w:autoSpaceDN w:val="0"/>
      <w:adjustRightInd w:val="0"/>
    </w:pPr>
    <w:rPr>
      <w:rFonts w:ascii="Arial" w:hAnsi="Arial" w:cs="Arial"/>
      <w:color w:val="000000"/>
      <w:sz w:val="24"/>
      <w:szCs w:val="24"/>
      <w:lang w:val="en-US" w:eastAsia="en-US"/>
    </w:rPr>
  </w:style>
  <w:style w:type="character" w:customStyle="1" w:styleId="Heading3Char">
    <w:name w:val="Heading 3 Char"/>
    <w:basedOn w:val="DefaultParagraphFont"/>
    <w:link w:val="Heading3"/>
    <w:rsid w:val="004A2675"/>
    <w:rPr>
      <w:rFonts w:ascii="Arial" w:hAnsi="Arial" w:cs="Arial"/>
      <w:b/>
      <w:bCs/>
      <w:i/>
      <w:iCs/>
      <w:color w:val="FF0000"/>
      <w:sz w:val="24"/>
      <w:szCs w:val="24"/>
      <w:lang w:val="hr-HR" w:eastAsia="en-US"/>
    </w:rPr>
  </w:style>
  <w:style w:type="numbering" w:customStyle="1" w:styleId="NoList1">
    <w:name w:val="No List1"/>
    <w:next w:val="NoList"/>
    <w:uiPriority w:val="99"/>
    <w:semiHidden/>
    <w:unhideWhenUsed/>
    <w:rsid w:val="004A2675"/>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4A2675"/>
    <w:rPr>
      <w:sz w:val="24"/>
      <w:szCs w:val="24"/>
      <w:lang w:val="en-US" w:eastAsia="en-US"/>
    </w:rPr>
  </w:style>
  <w:style w:type="character" w:customStyle="1" w:styleId="FooterChar">
    <w:name w:val="Footer Char"/>
    <w:basedOn w:val="DefaultParagraphFont"/>
    <w:link w:val="Footer"/>
    <w:uiPriority w:val="99"/>
    <w:rsid w:val="004A2675"/>
    <w:rPr>
      <w:sz w:val="24"/>
      <w:szCs w:val="24"/>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4A2675"/>
    <w:rPr>
      <w:lang w:val="en-US" w:eastAsia="en-US" w:bidi="ar-SA"/>
    </w:rPr>
  </w:style>
  <w:style w:type="table" w:styleId="TableGrid">
    <w:name w:val="Table Grid"/>
    <w:basedOn w:val="TableNormal"/>
    <w:rsid w:val="004A2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A2675"/>
    <w:rPr>
      <w:rFonts w:ascii="Arial" w:hAnsi="Arial" w:cs="Arial"/>
      <w:i/>
      <w:iCs/>
      <w:color w:val="999999"/>
      <w:sz w:val="18"/>
      <w:szCs w:val="24"/>
      <w:lang w:val="en-US" w:eastAsia="en-US"/>
    </w:rPr>
  </w:style>
  <w:style w:type="numbering" w:customStyle="1" w:styleId="1111111">
    <w:name w:val="1 / 1.1 / 1.1.11"/>
    <w:basedOn w:val="NoList"/>
    <w:next w:val="111111"/>
    <w:rsid w:val="004A2675"/>
  </w:style>
  <w:style w:type="character" w:customStyle="1" w:styleId="CommentSubjectChar">
    <w:name w:val="Comment Subject Char"/>
    <w:basedOn w:val="CommentTextChar"/>
    <w:link w:val="CommentSubject"/>
    <w:semiHidden/>
    <w:rsid w:val="004A2675"/>
    <w:rPr>
      <w:b/>
      <w:bCs/>
      <w:lang w:val="en-US" w:eastAsia="en-US"/>
    </w:rPr>
  </w:style>
  <w:style w:type="character" w:customStyle="1" w:styleId="BalloonTextChar">
    <w:name w:val="Balloon Text Char"/>
    <w:basedOn w:val="DefaultParagraphFont"/>
    <w:link w:val="BalloonText"/>
    <w:semiHidden/>
    <w:rsid w:val="004A2675"/>
    <w:rPr>
      <w:rFonts w:ascii="Tahoma" w:hAnsi="Tahoma" w:cs="Tahoma"/>
      <w:sz w:val="16"/>
      <w:szCs w:val="16"/>
      <w:lang w:val="en-US" w:eastAsia="en-US"/>
    </w:rPr>
  </w:style>
  <w:style w:type="paragraph" w:customStyle="1" w:styleId="DefaultText">
    <w:name w:val="Default Text"/>
    <w:basedOn w:val="Normal"/>
    <w:rsid w:val="004A2675"/>
    <w:pPr>
      <w:overflowPunct w:val="0"/>
      <w:autoSpaceDE w:val="0"/>
      <w:autoSpaceDN w:val="0"/>
      <w:adjustRightInd w:val="0"/>
      <w:textAlignment w:val="baseline"/>
    </w:pPr>
    <w:rPr>
      <w:rFonts w:ascii="Arial" w:hAnsi="Arial" w:cs="Arial"/>
      <w:sz w:val="22"/>
      <w:szCs w:val="22"/>
    </w:rPr>
  </w:style>
  <w:style w:type="paragraph" w:customStyle="1" w:styleId="EMEANormal">
    <w:name w:val="EMEA Normal"/>
    <w:rsid w:val="004A2675"/>
    <w:pPr>
      <w:tabs>
        <w:tab w:val="left" w:pos="562"/>
      </w:tabs>
      <w:suppressAutoHyphens/>
    </w:pPr>
    <w:rPr>
      <w:sz w:val="22"/>
      <w:szCs w:val="22"/>
      <w:lang w:val="en-US" w:eastAsia="en-US"/>
    </w:rPr>
  </w:style>
  <w:style w:type="paragraph" w:styleId="EndnoteText">
    <w:name w:val="endnote text"/>
    <w:basedOn w:val="Normal"/>
    <w:next w:val="Normal"/>
    <w:link w:val="EndnoteTextChar"/>
    <w:rsid w:val="004A2675"/>
    <w:pPr>
      <w:tabs>
        <w:tab w:val="left" w:pos="562"/>
      </w:tabs>
      <w:suppressAutoHyphens/>
    </w:pPr>
    <w:rPr>
      <w:sz w:val="22"/>
      <w:szCs w:val="22"/>
    </w:rPr>
  </w:style>
  <w:style w:type="character" w:customStyle="1" w:styleId="EndnoteTextChar">
    <w:name w:val="Endnote Text Char"/>
    <w:basedOn w:val="DefaultParagraphFont"/>
    <w:link w:val="EndnoteText"/>
    <w:rsid w:val="004A2675"/>
    <w:rPr>
      <w:sz w:val="22"/>
      <w:szCs w:val="22"/>
      <w:lang w:val="en-US" w:eastAsia="en-US"/>
    </w:rPr>
  </w:style>
  <w:style w:type="paragraph" w:styleId="BodyText3">
    <w:name w:val="Body Text 3"/>
    <w:basedOn w:val="Normal"/>
    <w:link w:val="BodyText3Char"/>
    <w:rsid w:val="004A2675"/>
    <w:pPr>
      <w:tabs>
        <w:tab w:val="left" w:pos="562"/>
      </w:tabs>
      <w:suppressAutoHyphens/>
      <w:jc w:val="both"/>
    </w:pPr>
    <w:rPr>
      <w:b/>
      <w:bCs/>
      <w:i/>
      <w:iCs/>
      <w:sz w:val="22"/>
      <w:szCs w:val="22"/>
    </w:rPr>
  </w:style>
  <w:style w:type="character" w:customStyle="1" w:styleId="BodyText3Char">
    <w:name w:val="Body Text 3 Char"/>
    <w:basedOn w:val="DefaultParagraphFont"/>
    <w:link w:val="BodyText3"/>
    <w:rsid w:val="004A2675"/>
    <w:rPr>
      <w:b/>
      <w:bCs/>
      <w:i/>
      <w:iCs/>
      <w:sz w:val="22"/>
      <w:szCs w:val="22"/>
      <w:lang w:val="en-US" w:eastAsia="en-US"/>
    </w:rPr>
  </w:style>
  <w:style w:type="paragraph" w:styleId="BodyTextIndent2">
    <w:name w:val="Body Text Indent 2"/>
    <w:basedOn w:val="Normal"/>
    <w:link w:val="BodyTextIndent2Char"/>
    <w:rsid w:val="004A2675"/>
    <w:pPr>
      <w:tabs>
        <w:tab w:val="left" w:pos="567"/>
      </w:tabs>
      <w:ind w:left="567" w:hanging="567"/>
    </w:pPr>
    <w:rPr>
      <w:rFonts w:ascii="Arial" w:hAnsi="Arial" w:cs="Arial"/>
      <w:lang w:val="hr-HR"/>
    </w:rPr>
  </w:style>
  <w:style w:type="character" w:customStyle="1" w:styleId="BodyTextIndent2Char">
    <w:name w:val="Body Text Indent 2 Char"/>
    <w:basedOn w:val="DefaultParagraphFont"/>
    <w:link w:val="BodyTextIndent2"/>
    <w:rsid w:val="004A2675"/>
    <w:rPr>
      <w:rFonts w:ascii="Arial" w:hAnsi="Arial" w:cs="Arial"/>
      <w:sz w:val="24"/>
      <w:szCs w:val="24"/>
      <w:lang w:val="hr-HR" w:eastAsia="en-US"/>
    </w:rPr>
  </w:style>
  <w:style w:type="paragraph" w:styleId="BodyText">
    <w:name w:val="Body Text"/>
    <w:basedOn w:val="Normal"/>
    <w:link w:val="BodyTextChar"/>
    <w:rsid w:val="004A2675"/>
    <w:pPr>
      <w:jc w:val="both"/>
    </w:pPr>
    <w:rPr>
      <w:rFonts w:ascii="Arial" w:hAnsi="Arial" w:cs="Arial"/>
    </w:rPr>
  </w:style>
  <w:style w:type="character" w:customStyle="1" w:styleId="BodyTextChar">
    <w:name w:val="Body Text Char"/>
    <w:basedOn w:val="DefaultParagraphFont"/>
    <w:link w:val="BodyText"/>
    <w:rsid w:val="004A2675"/>
    <w:rPr>
      <w:rFonts w:ascii="Arial" w:hAnsi="Arial" w:cs="Arial"/>
      <w:sz w:val="24"/>
      <w:szCs w:val="24"/>
      <w:lang w:val="en-US" w:eastAsia="en-US"/>
    </w:rPr>
  </w:style>
  <w:style w:type="paragraph" w:customStyle="1" w:styleId="Tekstbalonia1">
    <w:name w:val="Tekst balončića1"/>
    <w:basedOn w:val="Normal"/>
    <w:semiHidden/>
    <w:rsid w:val="004A2675"/>
    <w:rPr>
      <w:rFonts w:ascii="Tahoma" w:hAnsi="Tahoma" w:cs="Tahoma"/>
      <w:sz w:val="16"/>
      <w:szCs w:val="16"/>
    </w:rPr>
  </w:style>
  <w:style w:type="paragraph" w:styleId="Revision">
    <w:name w:val="Revision"/>
    <w:hidden/>
    <w:uiPriority w:val="99"/>
    <w:semiHidden/>
    <w:rsid w:val="004A2675"/>
    <w:rPr>
      <w:sz w:val="24"/>
      <w:szCs w:val="24"/>
      <w:lang w:val="en-US" w:eastAsia="en-US"/>
    </w:rPr>
  </w:style>
  <w:style w:type="paragraph" w:customStyle="1" w:styleId="TableFootnoteLetter">
    <w:name w:val="Table Footnote Letter"/>
    <w:rsid w:val="004A2675"/>
    <w:pPr>
      <w:keepLines/>
      <w:numPr>
        <w:numId w:val="4"/>
      </w:numPr>
      <w:spacing w:before="40" w:line="240" w:lineRule="exact"/>
    </w:pPr>
    <w:rPr>
      <w:rFonts w:ascii="Verdana" w:eastAsia="MS Mincho" w:hAnsi="Verdana"/>
      <w:sz w:val="16"/>
      <w:szCs w:val="18"/>
      <w:lang w:val="en-US" w:eastAsia="ja-JP"/>
    </w:rPr>
  </w:style>
  <w:style w:type="numbering" w:customStyle="1" w:styleId="NoList11">
    <w:name w:val="No List11"/>
    <w:next w:val="NoList"/>
    <w:uiPriority w:val="99"/>
    <w:semiHidden/>
    <w:unhideWhenUsed/>
    <w:rsid w:val="004A2675"/>
  </w:style>
  <w:style w:type="numbering" w:customStyle="1" w:styleId="11111111">
    <w:name w:val="1 / 1.1 / 1.1.111"/>
    <w:basedOn w:val="NoList"/>
    <w:next w:val="111111"/>
    <w:rsid w:val="004A2675"/>
  </w:style>
  <w:style w:type="table" w:customStyle="1" w:styleId="TableGrid1">
    <w:name w:val="Table Grid1"/>
    <w:basedOn w:val="TableNormal"/>
    <w:next w:val="TableGrid"/>
    <w:rsid w:val="004A2675"/>
    <w:pPr>
      <w:tabs>
        <w:tab w:val="left" w:pos="562"/>
      </w:tabs>
      <w:suppressAutoHyphens/>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33DC"/>
    <w:pPr>
      <w:ind w:left="720"/>
      <w:contextualSpacing/>
    </w:pPr>
  </w:style>
  <w:style w:type="numbering" w:customStyle="1" w:styleId="NoList2">
    <w:name w:val="No List2"/>
    <w:next w:val="NoList"/>
    <w:uiPriority w:val="99"/>
    <w:semiHidden/>
    <w:unhideWhenUsed/>
    <w:rsid w:val="0083687B"/>
  </w:style>
  <w:style w:type="table" w:customStyle="1" w:styleId="TableGrid11">
    <w:name w:val="Table Grid11"/>
    <w:basedOn w:val="TableNormal"/>
    <w:next w:val="TableGrid"/>
    <w:rsid w:val="0083687B"/>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83687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3687B"/>
  </w:style>
  <w:style w:type="numbering" w:customStyle="1" w:styleId="1111112">
    <w:name w:val="1 / 1.1 / 1.1.12"/>
    <w:basedOn w:val="NoList"/>
    <w:next w:val="111111"/>
    <w:rsid w:val="0083687B"/>
    <w:pPr>
      <w:numPr>
        <w:numId w:val="1"/>
      </w:numPr>
    </w:pPr>
  </w:style>
  <w:style w:type="table" w:customStyle="1" w:styleId="TableGrid21">
    <w:name w:val="Table Grid21"/>
    <w:basedOn w:val="TableNormal"/>
    <w:next w:val="TableGrid"/>
    <w:rsid w:val="00836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vigiflow-eforms.who-umc.org/me/mead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78C4-8080-4614-8109-6FE4A196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17745</Words>
  <Characters>101151</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118659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Dedejić</cp:lastModifiedBy>
  <cp:revision>5</cp:revision>
  <dcterms:created xsi:type="dcterms:W3CDTF">2025-06-16T10:18:00Z</dcterms:created>
  <dcterms:modified xsi:type="dcterms:W3CDTF">2025-06-30T05:58:00Z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