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1248B" w14:textId="77777777" w:rsidR="00770F09" w:rsidRPr="00770F09" w:rsidRDefault="00770F09" w:rsidP="006E3005">
      <w:pPr>
        <w:jc w:val="center"/>
        <w:rPr>
          <w:b/>
          <w:u w:val="single"/>
        </w:rPr>
      </w:pPr>
    </w:p>
    <w:p w14:paraId="51B884C6" w14:textId="6F6EE416" w:rsidR="00E3621A" w:rsidRPr="00770F09" w:rsidRDefault="00304015" w:rsidP="006E3005">
      <w:pPr>
        <w:jc w:val="center"/>
        <w:rPr>
          <w:b/>
          <w:bCs/>
          <w:u w:val="single"/>
        </w:rPr>
      </w:pPr>
      <w:r w:rsidRPr="00770F09">
        <w:rPr>
          <w:b/>
          <w:u w:val="single"/>
        </w:rPr>
        <w:t>SAŽETAK KARAKTERISTIKA LIJEKA</w:t>
      </w:r>
    </w:p>
    <w:p w14:paraId="410D1E09" w14:textId="2D508A20" w:rsidR="00304015" w:rsidRPr="00770F09" w:rsidRDefault="00304015" w:rsidP="00304015">
      <w:pPr>
        <w:pStyle w:val="11ptBold"/>
        <w:ind w:left="0" w:firstLine="0"/>
        <w:rPr>
          <w:b w:val="0"/>
          <w:bCs w:val="0"/>
        </w:rPr>
      </w:pPr>
    </w:p>
    <w:p w14:paraId="318E3E34" w14:textId="77777777" w:rsidR="00304015" w:rsidRPr="00770F09" w:rsidRDefault="00304015" w:rsidP="00304015">
      <w:pPr>
        <w:pStyle w:val="11ptBold"/>
        <w:ind w:left="0" w:firstLine="0"/>
        <w:rPr>
          <w:b w:val="0"/>
          <w:bCs w:val="0"/>
        </w:rPr>
      </w:pPr>
    </w:p>
    <w:p w14:paraId="42ABE3BF" w14:textId="2F46288C" w:rsidR="0023264C" w:rsidRPr="00770F09" w:rsidRDefault="008E1E02" w:rsidP="003F4B0F">
      <w:pPr>
        <w:pStyle w:val="11ptBold"/>
        <w:ind w:left="0" w:firstLine="0"/>
      </w:pPr>
      <w:r w:rsidRPr="00770F09">
        <w:t>1.</w:t>
      </w:r>
      <w:r w:rsidRPr="00770F09">
        <w:tab/>
        <w:t>NAZIV LIJEKA</w:t>
      </w:r>
    </w:p>
    <w:p w14:paraId="574CF46C" w14:textId="77777777" w:rsidR="0023264C" w:rsidRPr="00770F09" w:rsidRDefault="0023264C" w:rsidP="006E3005">
      <w:pPr>
        <w:keepNext/>
        <w:tabs>
          <w:tab w:val="left" w:pos="567"/>
        </w:tabs>
      </w:pPr>
    </w:p>
    <w:p w14:paraId="3E49AB80" w14:textId="09AF7990" w:rsidR="0023264C" w:rsidRPr="00770F09" w:rsidRDefault="008E1E02" w:rsidP="006E3005">
      <w:pPr>
        <w:tabs>
          <w:tab w:val="left" w:pos="567"/>
        </w:tabs>
      </w:pPr>
      <w:r w:rsidRPr="00770F09">
        <w:t>Vectibix, 20 mg/ml, koncentrat za rastvor za infuziju</w:t>
      </w:r>
    </w:p>
    <w:p w14:paraId="2B45264B" w14:textId="77777777" w:rsidR="0023264C" w:rsidRPr="00770F09" w:rsidRDefault="0023264C" w:rsidP="006E3005">
      <w:pPr>
        <w:tabs>
          <w:tab w:val="left" w:pos="567"/>
        </w:tabs>
      </w:pPr>
    </w:p>
    <w:p w14:paraId="16DAC817" w14:textId="77777777" w:rsidR="0023264C" w:rsidRPr="00770F09" w:rsidRDefault="00466DFA" w:rsidP="006E3005">
      <w:pPr>
        <w:tabs>
          <w:tab w:val="left" w:pos="567"/>
        </w:tabs>
      </w:pPr>
      <w:r w:rsidRPr="00770F09">
        <w:t>INN: panitumumab</w:t>
      </w:r>
    </w:p>
    <w:p w14:paraId="623AE0B6" w14:textId="77777777" w:rsidR="0023264C" w:rsidRPr="00770F09" w:rsidRDefault="0023264C" w:rsidP="006E3005">
      <w:pPr>
        <w:tabs>
          <w:tab w:val="left" w:pos="567"/>
        </w:tabs>
      </w:pPr>
    </w:p>
    <w:p w14:paraId="07CB9577" w14:textId="77777777" w:rsidR="0023264C" w:rsidRPr="00770F09" w:rsidRDefault="0023264C" w:rsidP="006E3005">
      <w:pPr>
        <w:tabs>
          <w:tab w:val="left" w:pos="567"/>
        </w:tabs>
      </w:pPr>
    </w:p>
    <w:p w14:paraId="2831A690" w14:textId="77777777" w:rsidR="0023264C" w:rsidRPr="00770F09" w:rsidRDefault="008E1E02" w:rsidP="006E3005">
      <w:pPr>
        <w:pStyle w:val="11ptBold"/>
      </w:pPr>
      <w:r w:rsidRPr="00770F09">
        <w:t>2.</w:t>
      </w:r>
      <w:r w:rsidRPr="00770F09">
        <w:tab/>
        <w:t>KVALITATIVNI I KVANTITATIVNI SASTAV</w:t>
      </w:r>
    </w:p>
    <w:p w14:paraId="13CF9BDC" w14:textId="77777777" w:rsidR="0023264C" w:rsidRPr="00770F09" w:rsidRDefault="0023264C" w:rsidP="006E3005">
      <w:pPr>
        <w:keepNext/>
        <w:tabs>
          <w:tab w:val="left" w:pos="567"/>
        </w:tabs>
      </w:pPr>
    </w:p>
    <w:p w14:paraId="1E9B0D95" w14:textId="77777777" w:rsidR="0023264C" w:rsidRPr="00770F09" w:rsidRDefault="008E1E02" w:rsidP="00195E0E">
      <w:pPr>
        <w:tabs>
          <w:tab w:val="left" w:pos="567"/>
        </w:tabs>
        <w:jc w:val="both"/>
      </w:pPr>
      <w:r w:rsidRPr="00770F09">
        <w:t>Jedan ml koncentrata sadrži 20 mg panitumumaba.</w:t>
      </w:r>
    </w:p>
    <w:p w14:paraId="3D64CB9F" w14:textId="77777777" w:rsidR="0023264C" w:rsidRPr="00770F09" w:rsidRDefault="0023264C" w:rsidP="00195E0E">
      <w:pPr>
        <w:tabs>
          <w:tab w:val="left" w:pos="567"/>
        </w:tabs>
        <w:jc w:val="both"/>
      </w:pPr>
    </w:p>
    <w:p w14:paraId="5EE458F8" w14:textId="1F13480B" w:rsidR="0023264C" w:rsidRPr="00770F09" w:rsidRDefault="008E1E02" w:rsidP="00195E0E">
      <w:pPr>
        <w:tabs>
          <w:tab w:val="left" w:pos="567"/>
        </w:tabs>
        <w:jc w:val="both"/>
      </w:pPr>
      <w:r w:rsidRPr="00770F09">
        <w:t>Jedna bočica sadrži 100 mg panitumumaba u 5 ml.</w:t>
      </w:r>
    </w:p>
    <w:p w14:paraId="7936037F" w14:textId="77777777" w:rsidR="0023264C" w:rsidRPr="00770F09" w:rsidRDefault="0023264C" w:rsidP="00195E0E">
      <w:pPr>
        <w:tabs>
          <w:tab w:val="left" w:pos="567"/>
        </w:tabs>
        <w:jc w:val="both"/>
      </w:pPr>
    </w:p>
    <w:p w14:paraId="28312470" w14:textId="750C6936" w:rsidR="0023264C" w:rsidRPr="00770F09" w:rsidRDefault="008E1E02" w:rsidP="00195E0E">
      <w:pPr>
        <w:tabs>
          <w:tab w:val="left" w:pos="567"/>
        </w:tabs>
        <w:jc w:val="both"/>
      </w:pPr>
      <w:r w:rsidRPr="00770F09">
        <w:t>Ukoliko se priprema u skladu sa uputstvima datim u</w:t>
      </w:r>
      <w:r w:rsidR="00822A75" w:rsidRPr="00770F09">
        <w:t xml:space="preserve"> </w:t>
      </w:r>
      <w:r w:rsidR="00C4278F" w:rsidRPr="00770F09">
        <w:t xml:space="preserve">dijelu </w:t>
      </w:r>
      <w:r w:rsidRPr="00770F09">
        <w:t> 6.6, dobijena koncentracija panitumumaba ne treba da bude veća od 10 mg/ml.</w:t>
      </w:r>
    </w:p>
    <w:p w14:paraId="004F9590" w14:textId="77777777" w:rsidR="0023264C" w:rsidRPr="00770F09" w:rsidRDefault="0023264C" w:rsidP="00195E0E">
      <w:pPr>
        <w:tabs>
          <w:tab w:val="left" w:pos="567"/>
        </w:tabs>
        <w:jc w:val="both"/>
      </w:pPr>
    </w:p>
    <w:p w14:paraId="0829639F" w14:textId="77777777" w:rsidR="00B150E6" w:rsidRPr="00770F09" w:rsidRDefault="008E1E02" w:rsidP="00195E0E">
      <w:pPr>
        <w:tabs>
          <w:tab w:val="left" w:pos="567"/>
        </w:tabs>
        <w:jc w:val="both"/>
      </w:pPr>
      <w:r w:rsidRPr="00770F09">
        <w:t>Panitumumab je potpuno humano monoklonsko antitijelo klase IgG2 dobijeno tehnologijom rekombinantne DNK iz ćelijske linije sisara (</w:t>
      </w:r>
      <w:r w:rsidRPr="00770F09">
        <w:rPr>
          <w:i/>
        </w:rPr>
        <w:t>CHO</w:t>
      </w:r>
      <w:r w:rsidRPr="00770F09">
        <w:t>).</w:t>
      </w:r>
    </w:p>
    <w:p w14:paraId="36DF87FB" w14:textId="77777777" w:rsidR="0023264C" w:rsidRPr="00770F09" w:rsidRDefault="0023264C" w:rsidP="00195E0E">
      <w:pPr>
        <w:tabs>
          <w:tab w:val="left" w:pos="567"/>
        </w:tabs>
        <w:jc w:val="both"/>
      </w:pPr>
    </w:p>
    <w:p w14:paraId="38707966" w14:textId="77777777" w:rsidR="0023264C" w:rsidRPr="00770F09" w:rsidRDefault="008E1E02" w:rsidP="00195E0E">
      <w:pPr>
        <w:keepNext/>
        <w:tabs>
          <w:tab w:val="left" w:pos="567"/>
        </w:tabs>
        <w:jc w:val="both"/>
        <w:rPr>
          <w:u w:val="single"/>
        </w:rPr>
      </w:pPr>
      <w:r w:rsidRPr="00770F09">
        <w:rPr>
          <w:u w:val="single"/>
        </w:rPr>
        <w:t>Pomoćne supstance sa potvrđenim dejstvom:</w:t>
      </w:r>
    </w:p>
    <w:p w14:paraId="3B91EC39" w14:textId="7BAF91BD" w:rsidR="007F13B7" w:rsidRPr="00770F09" w:rsidRDefault="008E1E02" w:rsidP="00195E0E">
      <w:pPr>
        <w:tabs>
          <w:tab w:val="left" w:pos="567"/>
        </w:tabs>
        <w:jc w:val="both"/>
      </w:pPr>
      <w:r w:rsidRPr="00770F09">
        <w:t>Jedan ml koncentrata sadrži 0,150 mmol natrijuma, što je ekvivalentno 3,45 mg natrijuma.</w:t>
      </w:r>
    </w:p>
    <w:p w14:paraId="2F986246" w14:textId="77777777" w:rsidR="000910BF" w:rsidRPr="00770F09" w:rsidRDefault="000910BF" w:rsidP="00195E0E">
      <w:pPr>
        <w:tabs>
          <w:tab w:val="left" w:pos="567"/>
        </w:tabs>
        <w:jc w:val="both"/>
      </w:pPr>
    </w:p>
    <w:p w14:paraId="3F379EF9" w14:textId="4A0F05E9" w:rsidR="0023264C" w:rsidRPr="00770F09" w:rsidRDefault="00275809" w:rsidP="00465A69">
      <w:r w:rsidRPr="00770F09">
        <w:t>Za spisak svih ekscipijenasa, pogledati dio 6.1.</w:t>
      </w:r>
    </w:p>
    <w:p w14:paraId="53DA7CAA" w14:textId="77777777" w:rsidR="0023264C" w:rsidRPr="00770F09" w:rsidRDefault="0023264C" w:rsidP="00195E0E">
      <w:pPr>
        <w:tabs>
          <w:tab w:val="left" w:pos="567"/>
        </w:tabs>
        <w:jc w:val="both"/>
      </w:pPr>
    </w:p>
    <w:p w14:paraId="7FED6729" w14:textId="77777777" w:rsidR="0023264C" w:rsidRPr="00770F09" w:rsidRDefault="0023264C" w:rsidP="006E3005">
      <w:pPr>
        <w:tabs>
          <w:tab w:val="left" w:pos="567"/>
        </w:tabs>
      </w:pPr>
    </w:p>
    <w:p w14:paraId="519B9531" w14:textId="77777777" w:rsidR="0023264C" w:rsidRPr="00770F09" w:rsidRDefault="00316FDC" w:rsidP="006E3005">
      <w:pPr>
        <w:pStyle w:val="11ptBold"/>
      </w:pPr>
      <w:r w:rsidRPr="00770F09">
        <w:t>3.</w:t>
      </w:r>
      <w:r w:rsidRPr="00770F09">
        <w:tab/>
        <w:t>FARMACEUTSKI OBLIK</w:t>
      </w:r>
    </w:p>
    <w:p w14:paraId="58B75809" w14:textId="77777777" w:rsidR="0023264C" w:rsidRPr="00770F09" w:rsidRDefault="0023264C" w:rsidP="006E3005">
      <w:pPr>
        <w:keepNext/>
        <w:tabs>
          <w:tab w:val="left" w:pos="567"/>
        </w:tabs>
      </w:pPr>
    </w:p>
    <w:p w14:paraId="0CB925F1" w14:textId="77777777" w:rsidR="00B150E6" w:rsidRPr="00770F09" w:rsidRDefault="008608C8" w:rsidP="006E3005">
      <w:pPr>
        <w:tabs>
          <w:tab w:val="left" w:pos="567"/>
        </w:tabs>
      </w:pPr>
      <w:r w:rsidRPr="00770F09">
        <w:t>Koncentrat za rastvor za infuziju (sterilni koncentrat).</w:t>
      </w:r>
    </w:p>
    <w:p w14:paraId="35F14BC5" w14:textId="77777777" w:rsidR="0023264C" w:rsidRPr="00770F09" w:rsidRDefault="0023264C" w:rsidP="006E3005">
      <w:pPr>
        <w:tabs>
          <w:tab w:val="left" w:pos="567"/>
        </w:tabs>
        <w:rPr>
          <w:iCs/>
        </w:rPr>
      </w:pPr>
    </w:p>
    <w:p w14:paraId="04F48768" w14:textId="41BF9674" w:rsidR="0023264C" w:rsidRPr="00770F09" w:rsidRDefault="008608C8" w:rsidP="006E3005">
      <w:pPr>
        <w:tabs>
          <w:tab w:val="left" w:pos="567"/>
        </w:tabs>
        <w:rPr>
          <w:iCs/>
        </w:rPr>
      </w:pPr>
      <w:r w:rsidRPr="00770F09">
        <w:t>Bezbojni rastvor pH vrijednosti od 5,6 do 6,0 koji može da sadrži providne do bijele, vidljive amorfne proteinske čestice panitumumaba.</w:t>
      </w:r>
    </w:p>
    <w:p w14:paraId="33FB5528" w14:textId="77777777" w:rsidR="0023264C" w:rsidRPr="00770F09" w:rsidRDefault="0023264C" w:rsidP="006E3005">
      <w:pPr>
        <w:tabs>
          <w:tab w:val="left" w:pos="567"/>
        </w:tabs>
      </w:pPr>
    </w:p>
    <w:p w14:paraId="4BFEB819" w14:textId="77777777" w:rsidR="0023264C" w:rsidRPr="00770F09" w:rsidRDefault="0023264C" w:rsidP="006E3005">
      <w:pPr>
        <w:tabs>
          <w:tab w:val="left" w:pos="567"/>
        </w:tabs>
      </w:pPr>
    </w:p>
    <w:p w14:paraId="05E96563" w14:textId="77777777" w:rsidR="0023264C" w:rsidRPr="00770F09" w:rsidRDefault="008608C8" w:rsidP="00195E0E">
      <w:pPr>
        <w:pStyle w:val="11ptBold"/>
        <w:jc w:val="both"/>
      </w:pPr>
      <w:r w:rsidRPr="00770F09">
        <w:t>4.</w:t>
      </w:r>
      <w:r w:rsidRPr="00770F09">
        <w:tab/>
        <w:t>KLINIČKI PODACI</w:t>
      </w:r>
    </w:p>
    <w:p w14:paraId="65E33352" w14:textId="77777777" w:rsidR="0023264C" w:rsidRPr="00770F09" w:rsidRDefault="0023264C" w:rsidP="00195E0E">
      <w:pPr>
        <w:keepNext/>
        <w:tabs>
          <w:tab w:val="left" w:pos="567"/>
        </w:tabs>
        <w:jc w:val="both"/>
      </w:pPr>
    </w:p>
    <w:p w14:paraId="5834BF02" w14:textId="77777777" w:rsidR="0023264C" w:rsidRPr="00770F09" w:rsidRDefault="00C60B41" w:rsidP="00195E0E">
      <w:pPr>
        <w:pStyle w:val="11ptBold"/>
        <w:jc w:val="both"/>
      </w:pPr>
      <w:r w:rsidRPr="00770F09">
        <w:t>4.1.</w:t>
      </w:r>
      <w:r w:rsidRPr="00770F09">
        <w:tab/>
        <w:t>Terapijske indikacije</w:t>
      </w:r>
    </w:p>
    <w:p w14:paraId="7A9090FB" w14:textId="77777777" w:rsidR="0023264C" w:rsidRPr="00770F09" w:rsidRDefault="0023264C" w:rsidP="00195E0E">
      <w:pPr>
        <w:keepNext/>
        <w:tabs>
          <w:tab w:val="left" w:pos="567"/>
        </w:tabs>
        <w:jc w:val="both"/>
      </w:pPr>
    </w:p>
    <w:p w14:paraId="1716E48C" w14:textId="77777777" w:rsidR="0023264C" w:rsidRPr="00770F09" w:rsidRDefault="00B55D4C" w:rsidP="00195E0E">
      <w:pPr>
        <w:keepNext/>
        <w:tabs>
          <w:tab w:val="left" w:pos="567"/>
        </w:tabs>
        <w:jc w:val="both"/>
      </w:pPr>
      <w:r w:rsidRPr="00770F09">
        <w:t xml:space="preserve">Vectibix je indikovan za liječenje odraslih pacijenata sa metastatskim kolorektalnim karcinomom (mCRC) sa divljim tipom </w:t>
      </w:r>
      <w:r w:rsidRPr="00770F09">
        <w:rPr>
          <w:i/>
        </w:rPr>
        <w:t>RAS</w:t>
      </w:r>
      <w:r w:rsidRPr="00770F09">
        <w:t xml:space="preserve"> gena:</w:t>
      </w:r>
    </w:p>
    <w:p w14:paraId="644A8FF8" w14:textId="77777777" w:rsidR="00B150E6" w:rsidRPr="00770F09" w:rsidRDefault="00B55D4C" w:rsidP="00195E0E">
      <w:pPr>
        <w:keepNext/>
        <w:numPr>
          <w:ilvl w:val="0"/>
          <w:numId w:val="5"/>
        </w:numPr>
        <w:tabs>
          <w:tab w:val="left" w:pos="567"/>
        </w:tabs>
        <w:ind w:left="0" w:firstLine="0"/>
        <w:jc w:val="both"/>
        <w:rPr>
          <w:bCs/>
        </w:rPr>
      </w:pPr>
      <w:r w:rsidRPr="00770F09">
        <w:t>kao prva linija terapije u kombinaciji sa FOLFOX ili FOLFIRI.</w:t>
      </w:r>
    </w:p>
    <w:p w14:paraId="1B821761" w14:textId="77777777" w:rsidR="00B150E6" w:rsidRPr="00770F09" w:rsidRDefault="00B55D4C" w:rsidP="00195E0E">
      <w:pPr>
        <w:keepNext/>
        <w:numPr>
          <w:ilvl w:val="0"/>
          <w:numId w:val="5"/>
        </w:numPr>
        <w:tabs>
          <w:tab w:val="left" w:pos="567"/>
        </w:tabs>
        <w:ind w:left="567" w:hanging="567"/>
        <w:jc w:val="both"/>
        <w:rPr>
          <w:bCs/>
        </w:rPr>
      </w:pPr>
      <w:r w:rsidRPr="00770F09">
        <w:t>kao druga linija terapije u kombinaciji sa FOLFIRI kod pacijenata koji su kao prvu liniju terapije primili hemioterapiju zasnovanu na fluoropirimidinu (izuzev irinotekana).</w:t>
      </w:r>
    </w:p>
    <w:p w14:paraId="68C7A87F" w14:textId="77777777" w:rsidR="0023264C" w:rsidRPr="00770F09" w:rsidRDefault="00B55D4C" w:rsidP="00195E0E">
      <w:pPr>
        <w:numPr>
          <w:ilvl w:val="0"/>
          <w:numId w:val="5"/>
        </w:numPr>
        <w:tabs>
          <w:tab w:val="left" w:pos="567"/>
        </w:tabs>
        <w:ind w:left="567" w:hanging="567"/>
        <w:jc w:val="both"/>
      </w:pPr>
      <w:r w:rsidRPr="00770F09">
        <w:t>kao monoterapija, poslije neuspjeha primijenjenih hemioterapijskih režima koji su sadržali fluoropirimidin, oksaliplatin i irinotekan.</w:t>
      </w:r>
    </w:p>
    <w:p w14:paraId="4E97FC2F" w14:textId="77777777" w:rsidR="0023264C" w:rsidRPr="00770F09" w:rsidRDefault="0023264C" w:rsidP="00195E0E">
      <w:pPr>
        <w:tabs>
          <w:tab w:val="left" w:pos="567"/>
        </w:tabs>
        <w:jc w:val="both"/>
      </w:pPr>
    </w:p>
    <w:p w14:paraId="37B26E11" w14:textId="77777777" w:rsidR="0023264C" w:rsidRPr="00770F09" w:rsidRDefault="008B78F0" w:rsidP="00195E0E">
      <w:pPr>
        <w:pStyle w:val="11ptBold"/>
        <w:jc w:val="both"/>
      </w:pPr>
      <w:r w:rsidRPr="00770F09">
        <w:t>4.2.</w:t>
      </w:r>
      <w:r w:rsidRPr="00770F09">
        <w:tab/>
        <w:t>Doziranje i način primjene</w:t>
      </w:r>
    </w:p>
    <w:p w14:paraId="53355798" w14:textId="77777777" w:rsidR="0023264C" w:rsidRPr="00770F09" w:rsidRDefault="0023264C" w:rsidP="00195E0E">
      <w:pPr>
        <w:keepNext/>
        <w:tabs>
          <w:tab w:val="left" w:pos="567"/>
        </w:tabs>
        <w:jc w:val="both"/>
      </w:pPr>
    </w:p>
    <w:p w14:paraId="406E3EC1" w14:textId="77777777" w:rsidR="0023264C" w:rsidRPr="00770F09" w:rsidRDefault="008B78F0" w:rsidP="00195E0E">
      <w:pPr>
        <w:tabs>
          <w:tab w:val="left" w:pos="567"/>
        </w:tabs>
        <w:jc w:val="both"/>
      </w:pPr>
      <w:r w:rsidRPr="00770F09">
        <w:t xml:space="preserve">Liječenje lijekom Vectibix treba da se vrši pod nadzorom ljekara koji imaju iskustva u primjeni onkološke terapije. Prije započinjanja terapije lijekom Vectibix neophodno je dokazati prisustvo divljeg tipa </w:t>
      </w:r>
      <w:r w:rsidRPr="00770F09">
        <w:rPr>
          <w:i/>
        </w:rPr>
        <w:t>RAS</w:t>
      </w:r>
      <w:r w:rsidRPr="00770F09">
        <w:t xml:space="preserve"> (</w:t>
      </w:r>
      <w:r w:rsidRPr="00770F09">
        <w:rPr>
          <w:i/>
        </w:rPr>
        <w:t xml:space="preserve">KRAS </w:t>
      </w:r>
      <w:r w:rsidRPr="00770F09">
        <w:t xml:space="preserve">i </w:t>
      </w:r>
      <w:r w:rsidRPr="00770F09">
        <w:rPr>
          <w:i/>
        </w:rPr>
        <w:t>NRAS)</w:t>
      </w:r>
      <w:r w:rsidRPr="00770F09">
        <w:t xml:space="preserve"> gena. Mutacioni status treba odrediti u odgovarajućoj laboratoriji primjenom validirane test metode za detekciju mutacija </w:t>
      </w:r>
      <w:r w:rsidRPr="00770F09">
        <w:rPr>
          <w:i/>
        </w:rPr>
        <w:t>KRAS</w:t>
      </w:r>
      <w:r w:rsidRPr="00770F09">
        <w:t xml:space="preserve"> gena (eksoni 2, 3 i 4) i </w:t>
      </w:r>
      <w:r w:rsidRPr="00770F09">
        <w:rPr>
          <w:i/>
        </w:rPr>
        <w:t>NRAS</w:t>
      </w:r>
      <w:r w:rsidRPr="00770F09">
        <w:t xml:space="preserve"> gena (eksoni 2, 3 i 4).</w:t>
      </w:r>
    </w:p>
    <w:p w14:paraId="606A5877" w14:textId="77777777" w:rsidR="0023264C" w:rsidRPr="00770F09" w:rsidRDefault="0023264C" w:rsidP="00195E0E">
      <w:pPr>
        <w:tabs>
          <w:tab w:val="left" w:pos="567"/>
        </w:tabs>
        <w:jc w:val="both"/>
      </w:pPr>
    </w:p>
    <w:p w14:paraId="6AD0ABB6" w14:textId="77777777" w:rsidR="0023264C" w:rsidRPr="00770F09" w:rsidRDefault="00CC561E" w:rsidP="00195E0E">
      <w:pPr>
        <w:pStyle w:val="lbltxt"/>
        <w:keepNext/>
        <w:jc w:val="both"/>
        <w:rPr>
          <w:szCs w:val="22"/>
        </w:rPr>
      </w:pPr>
      <w:r w:rsidRPr="00770F09">
        <w:rPr>
          <w:u w:val="single"/>
        </w:rPr>
        <w:lastRenderedPageBreak/>
        <w:t>Doziranje</w:t>
      </w:r>
    </w:p>
    <w:p w14:paraId="62586731" w14:textId="77777777" w:rsidR="0023264C" w:rsidRPr="00770F09" w:rsidRDefault="0023264C" w:rsidP="00195E0E">
      <w:pPr>
        <w:keepNext/>
        <w:tabs>
          <w:tab w:val="left" w:pos="567"/>
        </w:tabs>
        <w:jc w:val="both"/>
      </w:pPr>
    </w:p>
    <w:p w14:paraId="747BA93A" w14:textId="7DC7DB31" w:rsidR="0023264C" w:rsidRPr="00770F09" w:rsidRDefault="00CC561E" w:rsidP="00195E0E">
      <w:pPr>
        <w:tabs>
          <w:tab w:val="left" w:pos="567"/>
        </w:tabs>
        <w:jc w:val="both"/>
      </w:pPr>
      <w:r w:rsidRPr="00770F09">
        <w:t>Preporučena doza lijeka Vectibix iznosi 6 mg/kg tjelesne mase i primjenjuje se jednom u dvije nedjelje.</w:t>
      </w:r>
    </w:p>
    <w:p w14:paraId="4717FB86" w14:textId="77777777" w:rsidR="0023264C" w:rsidRPr="00770F09" w:rsidRDefault="0023264C" w:rsidP="00195E0E">
      <w:pPr>
        <w:tabs>
          <w:tab w:val="left" w:pos="567"/>
        </w:tabs>
        <w:jc w:val="both"/>
      </w:pPr>
    </w:p>
    <w:p w14:paraId="7E191B6B" w14:textId="7730D88A" w:rsidR="0023264C" w:rsidRPr="00770F09" w:rsidRDefault="00CC561E" w:rsidP="00195E0E">
      <w:pPr>
        <w:tabs>
          <w:tab w:val="left" w:pos="567"/>
        </w:tabs>
        <w:jc w:val="both"/>
      </w:pPr>
      <w:r w:rsidRPr="00770F09">
        <w:t>U slučaju da se jave teške dermatološke reakcije (≥ 3 stepen), može biti neophodno prilagođavanje doze lijeka Vectibix na sljedeći način:</w:t>
      </w:r>
    </w:p>
    <w:p w14:paraId="3AEBCF59" w14:textId="77777777" w:rsidR="007F13B7" w:rsidRPr="00770F09" w:rsidRDefault="007F13B7" w:rsidP="00195E0E">
      <w:pPr>
        <w:pStyle w:val="Date"/>
        <w:jc w:val="both"/>
      </w:pPr>
    </w:p>
    <w:tbl>
      <w:tblPr>
        <w:tblW w:w="5000" w:type="pct"/>
        <w:jc w:val="center"/>
        <w:tblLayout w:type="fixed"/>
        <w:tblCellMar>
          <w:left w:w="0" w:type="dxa"/>
          <w:right w:w="0" w:type="dxa"/>
        </w:tblCellMar>
        <w:tblLook w:val="0000" w:firstRow="0" w:lastRow="0" w:firstColumn="0" w:lastColumn="0" w:noHBand="0" w:noVBand="0"/>
      </w:tblPr>
      <w:tblGrid>
        <w:gridCol w:w="1848"/>
        <w:gridCol w:w="1846"/>
        <w:gridCol w:w="2712"/>
        <w:gridCol w:w="2645"/>
      </w:tblGrid>
      <w:tr w:rsidR="007F13B7" w:rsidRPr="00770F09" w14:paraId="19BF09D3" w14:textId="77777777" w:rsidTr="00195E0E">
        <w:trPr>
          <w:cantSplit/>
          <w:trHeight w:val="57"/>
          <w:tblHeader/>
          <w:jc w:val="center"/>
        </w:trPr>
        <w:tc>
          <w:tcPr>
            <w:tcW w:w="10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7E6233" w14:textId="77777777" w:rsidR="007F13B7" w:rsidRPr="00770F09" w:rsidRDefault="007F13B7" w:rsidP="00195E0E">
            <w:pPr>
              <w:pStyle w:val="Style11ptBoldC"/>
              <w:jc w:val="both"/>
              <w:rPr>
                <w:vertAlign w:val="superscript"/>
              </w:rPr>
            </w:pPr>
            <w:r w:rsidRPr="00770F09">
              <w:t xml:space="preserve">Pojave simptoma na koži: </w:t>
            </w:r>
            <w:r w:rsidRPr="00770F09">
              <w:br/>
              <w:t>≥ 3 stepen</w:t>
            </w:r>
            <w:r w:rsidRPr="00770F09">
              <w:rPr>
                <w:vertAlign w:val="superscript"/>
              </w:rPr>
              <w:t>1</w:t>
            </w:r>
          </w:p>
        </w:tc>
        <w:tc>
          <w:tcPr>
            <w:tcW w:w="1020"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28A0257" w14:textId="77777777" w:rsidR="007F13B7" w:rsidRPr="00770F09" w:rsidRDefault="007F13B7" w:rsidP="00195E0E">
            <w:pPr>
              <w:pStyle w:val="Style11ptBoldC"/>
              <w:jc w:val="both"/>
            </w:pPr>
            <w:r w:rsidRPr="00770F09">
              <w:t>Primjena lijeka Vectibix</w:t>
            </w:r>
          </w:p>
        </w:tc>
        <w:tc>
          <w:tcPr>
            <w:tcW w:w="1498"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38885D8" w14:textId="77777777" w:rsidR="007F13B7" w:rsidRPr="00770F09" w:rsidRDefault="007F13B7" w:rsidP="00195E0E">
            <w:pPr>
              <w:pStyle w:val="Style11ptBoldC"/>
              <w:jc w:val="both"/>
            </w:pPr>
            <w:r w:rsidRPr="00770F09">
              <w:t>Rezultat</w:t>
            </w:r>
          </w:p>
        </w:tc>
        <w:tc>
          <w:tcPr>
            <w:tcW w:w="1461" w:type="pct"/>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78378D3" w14:textId="77777777" w:rsidR="007F13B7" w:rsidRPr="00770F09" w:rsidRDefault="007F13B7" w:rsidP="00195E0E">
            <w:pPr>
              <w:pStyle w:val="Style11ptBoldC"/>
              <w:jc w:val="both"/>
            </w:pPr>
            <w:r w:rsidRPr="00770F09">
              <w:t>Prilagođavanje doze</w:t>
            </w:r>
          </w:p>
        </w:tc>
      </w:tr>
      <w:tr w:rsidR="007F13B7" w:rsidRPr="00770F09" w14:paraId="0B717F22" w14:textId="77777777" w:rsidTr="00195E0E">
        <w:trPr>
          <w:cantSplit/>
          <w:trHeight w:val="57"/>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0E8AEF4" w14:textId="77777777" w:rsidR="007F13B7" w:rsidRPr="00770F09" w:rsidRDefault="007F13B7" w:rsidP="00195E0E">
            <w:pPr>
              <w:keepNext/>
              <w:jc w:val="both"/>
              <w:rPr>
                <w:rFonts w:eastAsia="MS Mincho" w:cs="Arial"/>
              </w:rPr>
            </w:pPr>
            <w:r w:rsidRPr="00770F09">
              <w:t>Početna pojava</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098CB58A" w14:textId="77777777" w:rsidR="007F13B7" w:rsidRPr="00770F09" w:rsidRDefault="007F13B7" w:rsidP="00195E0E">
            <w:pPr>
              <w:jc w:val="both"/>
              <w:rPr>
                <w:rFonts w:eastAsia="MS Mincho" w:cs="Arial"/>
              </w:rPr>
            </w:pPr>
            <w:r w:rsidRPr="00770F09">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761D1C03" w14:textId="77777777" w:rsidR="007F13B7" w:rsidRPr="00770F09" w:rsidRDefault="007F13B7" w:rsidP="00195E0E">
            <w:pPr>
              <w:jc w:val="both"/>
              <w:rPr>
                <w:rFonts w:eastAsia="MS Mincho" w:cs="Arial"/>
              </w:rPr>
            </w:pPr>
            <w:r w:rsidRPr="00770F09">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55C897B9" w14:textId="77777777" w:rsidR="007F13B7" w:rsidRPr="00770F09" w:rsidRDefault="007F13B7" w:rsidP="00195E0E">
            <w:pPr>
              <w:jc w:val="both"/>
              <w:rPr>
                <w:rFonts w:eastAsia="MS Mincho" w:cs="Arial"/>
              </w:rPr>
            </w:pPr>
            <w:r w:rsidRPr="00770F09">
              <w:t>Nastaviti sa primjenom infuzije sa 100% originalne doze</w:t>
            </w:r>
          </w:p>
        </w:tc>
      </w:tr>
      <w:tr w:rsidR="007F13B7" w:rsidRPr="00770F09" w14:paraId="156B3CC9" w14:textId="77777777" w:rsidTr="00195E0E">
        <w:trPr>
          <w:cantSplit/>
          <w:trHeight w:val="57"/>
          <w:jc w:val="center"/>
        </w:trPr>
        <w:tc>
          <w:tcPr>
            <w:tcW w:w="1021" w:type="pct"/>
            <w:vMerge/>
            <w:tcBorders>
              <w:top w:val="nil"/>
              <w:left w:val="single" w:sz="8" w:space="0" w:color="000000"/>
              <w:bottom w:val="single" w:sz="8" w:space="0" w:color="000000"/>
              <w:right w:val="single" w:sz="8" w:space="0" w:color="000000"/>
            </w:tcBorders>
            <w:vAlign w:val="center"/>
          </w:tcPr>
          <w:p w14:paraId="1C26F68C" w14:textId="77777777" w:rsidR="007F13B7" w:rsidRPr="00770F09" w:rsidRDefault="007F13B7" w:rsidP="00195E0E">
            <w:pPr>
              <w:jc w:val="both"/>
              <w:rPr>
                <w:rFonts w:eastAsia="MS Mincho" w:cs="Arial"/>
                <w:lang w:eastAsia="ja-JP"/>
              </w:rPr>
            </w:pPr>
          </w:p>
        </w:tc>
        <w:tc>
          <w:tcPr>
            <w:tcW w:w="1020" w:type="pct"/>
            <w:vMerge/>
            <w:tcBorders>
              <w:top w:val="nil"/>
              <w:left w:val="nil"/>
              <w:bottom w:val="single" w:sz="8" w:space="0" w:color="000000"/>
              <w:right w:val="single" w:sz="8" w:space="0" w:color="000000"/>
            </w:tcBorders>
            <w:vAlign w:val="center"/>
          </w:tcPr>
          <w:p w14:paraId="1DCD1F5F" w14:textId="77777777" w:rsidR="007F13B7" w:rsidRPr="00770F09" w:rsidRDefault="007F13B7" w:rsidP="00195E0E">
            <w:pPr>
              <w:jc w:val="both"/>
              <w:rPr>
                <w:rFonts w:eastAsia="MS Mincho" w:cs="Arial"/>
                <w:lang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61393010" w14:textId="77777777" w:rsidR="007F13B7" w:rsidRPr="00770F09" w:rsidRDefault="007F13B7" w:rsidP="00195E0E">
            <w:pPr>
              <w:jc w:val="both"/>
              <w:rPr>
                <w:rFonts w:eastAsia="MS Mincho" w:cs="Arial"/>
              </w:rPr>
            </w:pPr>
            <w:r w:rsidRPr="00770F09">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69F5CAA0" w14:textId="77777777" w:rsidR="007F13B7" w:rsidRPr="00770F09" w:rsidRDefault="007F13B7" w:rsidP="00195E0E">
            <w:pPr>
              <w:jc w:val="both"/>
              <w:rPr>
                <w:rFonts w:eastAsia="MS Mincho" w:cs="Arial"/>
              </w:rPr>
            </w:pPr>
            <w:r w:rsidRPr="00770F09">
              <w:t>Prekinuti</w:t>
            </w:r>
          </w:p>
        </w:tc>
      </w:tr>
      <w:tr w:rsidR="007F13B7" w:rsidRPr="00770F09" w14:paraId="0E7A1729" w14:textId="77777777" w:rsidTr="00195E0E">
        <w:trPr>
          <w:cantSplit/>
          <w:trHeight w:val="57"/>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07AAA2" w14:textId="77777777" w:rsidR="007F13B7" w:rsidRPr="00770F09" w:rsidRDefault="007F13B7" w:rsidP="00195E0E">
            <w:pPr>
              <w:jc w:val="both"/>
              <w:rPr>
                <w:rFonts w:eastAsia="MS Mincho" w:cs="Arial"/>
              </w:rPr>
            </w:pPr>
            <w:r w:rsidRPr="00770F09">
              <w:t>Kod druge pojave</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1729EADC" w14:textId="77777777" w:rsidR="007F13B7" w:rsidRPr="00770F09" w:rsidRDefault="007F13B7" w:rsidP="00195E0E">
            <w:pPr>
              <w:jc w:val="both"/>
              <w:rPr>
                <w:rFonts w:eastAsia="MS Mincho" w:cs="Arial"/>
              </w:rPr>
            </w:pPr>
            <w:r w:rsidRPr="00770F09">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3E23C3E0" w14:textId="77777777" w:rsidR="007F13B7" w:rsidRPr="00770F09" w:rsidRDefault="007F13B7" w:rsidP="00195E0E">
            <w:pPr>
              <w:jc w:val="both"/>
              <w:rPr>
                <w:rFonts w:eastAsia="MS Mincho" w:cs="Arial"/>
              </w:rPr>
            </w:pPr>
            <w:r w:rsidRPr="00770F09">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7D1E4CED" w14:textId="77777777" w:rsidR="007F13B7" w:rsidRPr="00770F09" w:rsidRDefault="007F13B7" w:rsidP="00195E0E">
            <w:pPr>
              <w:jc w:val="both"/>
              <w:rPr>
                <w:rFonts w:eastAsia="MS Mincho" w:cs="Arial"/>
              </w:rPr>
            </w:pPr>
            <w:r w:rsidRPr="00770F09">
              <w:t>Nastaviti sa primjenom infuzije sa 80% originalne doze</w:t>
            </w:r>
          </w:p>
        </w:tc>
      </w:tr>
      <w:tr w:rsidR="007F13B7" w:rsidRPr="00770F09" w14:paraId="7B5F5D12" w14:textId="77777777" w:rsidTr="00195E0E">
        <w:trPr>
          <w:cantSplit/>
          <w:trHeight w:val="57"/>
          <w:jc w:val="center"/>
        </w:trPr>
        <w:tc>
          <w:tcPr>
            <w:tcW w:w="1021" w:type="pct"/>
            <w:vMerge/>
            <w:tcBorders>
              <w:top w:val="nil"/>
              <w:left w:val="single" w:sz="8" w:space="0" w:color="000000"/>
              <w:bottom w:val="single" w:sz="8" w:space="0" w:color="000000"/>
              <w:right w:val="single" w:sz="8" w:space="0" w:color="000000"/>
            </w:tcBorders>
            <w:vAlign w:val="center"/>
          </w:tcPr>
          <w:p w14:paraId="7CD74B7E" w14:textId="77777777" w:rsidR="007F13B7" w:rsidRPr="00770F09" w:rsidRDefault="007F13B7" w:rsidP="00195E0E">
            <w:pPr>
              <w:jc w:val="both"/>
              <w:rPr>
                <w:rFonts w:eastAsia="MS Mincho" w:cs="Arial"/>
                <w:lang w:eastAsia="ja-JP"/>
              </w:rPr>
            </w:pPr>
          </w:p>
        </w:tc>
        <w:tc>
          <w:tcPr>
            <w:tcW w:w="1020" w:type="pct"/>
            <w:vMerge/>
            <w:tcBorders>
              <w:top w:val="nil"/>
              <w:left w:val="nil"/>
              <w:bottom w:val="single" w:sz="8" w:space="0" w:color="000000"/>
              <w:right w:val="single" w:sz="8" w:space="0" w:color="000000"/>
            </w:tcBorders>
            <w:vAlign w:val="center"/>
          </w:tcPr>
          <w:p w14:paraId="6A782B8A" w14:textId="77777777" w:rsidR="007F13B7" w:rsidRPr="00770F09" w:rsidRDefault="007F13B7" w:rsidP="00195E0E">
            <w:pPr>
              <w:jc w:val="both"/>
              <w:rPr>
                <w:rFonts w:eastAsia="MS Mincho" w:cs="Arial"/>
                <w:lang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1F2B3642" w14:textId="77777777" w:rsidR="007F13B7" w:rsidRPr="00770F09" w:rsidRDefault="007F13B7" w:rsidP="00195E0E">
            <w:pPr>
              <w:jc w:val="both"/>
              <w:rPr>
                <w:rFonts w:eastAsia="MS Mincho" w:cs="Arial"/>
              </w:rPr>
            </w:pPr>
            <w:r w:rsidRPr="00770F09">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57CD55BF" w14:textId="77777777" w:rsidR="007F13B7" w:rsidRPr="00770F09" w:rsidRDefault="007F13B7" w:rsidP="00195E0E">
            <w:pPr>
              <w:jc w:val="both"/>
              <w:rPr>
                <w:rFonts w:eastAsia="MS Mincho" w:cs="Arial"/>
              </w:rPr>
            </w:pPr>
            <w:r w:rsidRPr="00770F09">
              <w:t>Prekinuti</w:t>
            </w:r>
          </w:p>
        </w:tc>
      </w:tr>
      <w:tr w:rsidR="007F13B7" w:rsidRPr="00770F09" w14:paraId="6784C2E2" w14:textId="77777777" w:rsidTr="00195E0E">
        <w:trPr>
          <w:cantSplit/>
          <w:trHeight w:val="57"/>
          <w:jc w:val="center"/>
        </w:trPr>
        <w:tc>
          <w:tcPr>
            <w:tcW w:w="1021" w:type="pct"/>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826FD5" w14:textId="77777777" w:rsidR="007F13B7" w:rsidRPr="00770F09" w:rsidRDefault="007F13B7" w:rsidP="00195E0E">
            <w:pPr>
              <w:keepNext/>
              <w:jc w:val="both"/>
              <w:rPr>
                <w:rFonts w:eastAsia="MS Mincho" w:cs="Arial"/>
              </w:rPr>
            </w:pPr>
            <w:r w:rsidRPr="00770F09">
              <w:t>Kod treće pojave</w:t>
            </w:r>
          </w:p>
        </w:tc>
        <w:tc>
          <w:tcPr>
            <w:tcW w:w="1020" w:type="pct"/>
            <w:vMerge w:val="restart"/>
            <w:tcBorders>
              <w:top w:val="nil"/>
              <w:left w:val="nil"/>
              <w:bottom w:val="single" w:sz="8" w:space="0" w:color="000000"/>
              <w:right w:val="single" w:sz="8" w:space="0" w:color="000000"/>
            </w:tcBorders>
            <w:tcMar>
              <w:top w:w="0" w:type="dxa"/>
              <w:left w:w="108" w:type="dxa"/>
              <w:bottom w:w="0" w:type="dxa"/>
              <w:right w:w="108" w:type="dxa"/>
            </w:tcMar>
          </w:tcPr>
          <w:p w14:paraId="6B08EE41" w14:textId="77777777" w:rsidR="007F13B7" w:rsidRPr="00770F09" w:rsidRDefault="007F13B7" w:rsidP="00195E0E">
            <w:pPr>
              <w:keepNext/>
              <w:jc w:val="both"/>
              <w:rPr>
                <w:rFonts w:eastAsia="MS Mincho" w:cs="Arial"/>
              </w:rPr>
            </w:pPr>
            <w:r w:rsidRPr="00770F09">
              <w:t>Izostaviti 1 ili 2 doze</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50A93670" w14:textId="77777777" w:rsidR="007F13B7" w:rsidRPr="00770F09" w:rsidRDefault="007F13B7" w:rsidP="00195E0E">
            <w:pPr>
              <w:keepNext/>
              <w:jc w:val="both"/>
              <w:rPr>
                <w:rFonts w:eastAsia="MS Mincho" w:cs="Arial"/>
              </w:rPr>
            </w:pPr>
            <w:r w:rsidRPr="00770F09">
              <w:t>Popravilo se (&lt; 3 stepen)</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069A463A" w14:textId="77777777" w:rsidR="007F13B7" w:rsidRPr="00770F09" w:rsidRDefault="007F13B7" w:rsidP="00195E0E">
            <w:pPr>
              <w:keepNext/>
              <w:jc w:val="both"/>
              <w:rPr>
                <w:rFonts w:eastAsia="MS Mincho" w:cs="Arial"/>
              </w:rPr>
            </w:pPr>
            <w:r w:rsidRPr="00770F09">
              <w:t>Nastaviti sa primjenom infuzije sa 60% originalne doze</w:t>
            </w:r>
          </w:p>
        </w:tc>
      </w:tr>
      <w:tr w:rsidR="007F13B7" w:rsidRPr="00770F09" w14:paraId="499FF10A" w14:textId="77777777" w:rsidTr="00195E0E">
        <w:trPr>
          <w:cantSplit/>
          <w:trHeight w:val="57"/>
          <w:jc w:val="center"/>
        </w:trPr>
        <w:tc>
          <w:tcPr>
            <w:tcW w:w="1021" w:type="pct"/>
            <w:vMerge/>
            <w:tcBorders>
              <w:top w:val="nil"/>
              <w:left w:val="single" w:sz="8" w:space="0" w:color="000000"/>
              <w:bottom w:val="single" w:sz="8" w:space="0" w:color="000000"/>
              <w:right w:val="single" w:sz="8" w:space="0" w:color="000000"/>
            </w:tcBorders>
            <w:vAlign w:val="center"/>
          </w:tcPr>
          <w:p w14:paraId="6B35518F" w14:textId="77777777" w:rsidR="007F13B7" w:rsidRPr="00770F09" w:rsidRDefault="007F13B7" w:rsidP="00195E0E">
            <w:pPr>
              <w:keepNext/>
              <w:jc w:val="both"/>
              <w:rPr>
                <w:rFonts w:eastAsia="MS Mincho" w:cs="Arial"/>
                <w:lang w:eastAsia="ja-JP"/>
              </w:rPr>
            </w:pPr>
          </w:p>
        </w:tc>
        <w:tc>
          <w:tcPr>
            <w:tcW w:w="1020" w:type="pct"/>
            <w:vMerge/>
            <w:tcBorders>
              <w:top w:val="nil"/>
              <w:left w:val="nil"/>
              <w:bottom w:val="single" w:sz="8" w:space="0" w:color="000000"/>
              <w:right w:val="single" w:sz="8" w:space="0" w:color="000000"/>
            </w:tcBorders>
            <w:vAlign w:val="center"/>
          </w:tcPr>
          <w:p w14:paraId="7786C5A5" w14:textId="77777777" w:rsidR="007F13B7" w:rsidRPr="00770F09" w:rsidRDefault="007F13B7" w:rsidP="00195E0E">
            <w:pPr>
              <w:keepNext/>
              <w:jc w:val="both"/>
              <w:rPr>
                <w:rFonts w:eastAsia="MS Mincho" w:cs="Arial"/>
                <w:lang w:eastAsia="ja-JP"/>
              </w:rPr>
            </w:pP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08593DF6" w14:textId="77777777" w:rsidR="007F13B7" w:rsidRPr="00770F09" w:rsidRDefault="007F13B7" w:rsidP="00195E0E">
            <w:pPr>
              <w:keepNext/>
              <w:jc w:val="both"/>
              <w:rPr>
                <w:rFonts w:eastAsia="MS Mincho" w:cs="Arial"/>
              </w:rPr>
            </w:pPr>
            <w:r w:rsidRPr="00770F09">
              <w:t>Nijesu se povukle</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62AAB2F3" w14:textId="77777777" w:rsidR="007F13B7" w:rsidRPr="00770F09" w:rsidRDefault="007F13B7" w:rsidP="00195E0E">
            <w:pPr>
              <w:keepNext/>
              <w:jc w:val="both"/>
              <w:rPr>
                <w:rFonts w:eastAsia="MS Mincho" w:cs="Arial"/>
              </w:rPr>
            </w:pPr>
            <w:r w:rsidRPr="00770F09">
              <w:t>Prekinuti</w:t>
            </w:r>
          </w:p>
        </w:tc>
      </w:tr>
      <w:tr w:rsidR="007F13B7" w:rsidRPr="00770F09" w14:paraId="7741A020" w14:textId="77777777" w:rsidTr="00195E0E">
        <w:trPr>
          <w:cantSplit/>
          <w:trHeight w:val="57"/>
          <w:jc w:val="center"/>
        </w:trPr>
        <w:tc>
          <w:tcPr>
            <w:tcW w:w="102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7EEE188" w14:textId="77777777" w:rsidR="007F13B7" w:rsidRPr="00770F09" w:rsidRDefault="007F13B7" w:rsidP="00195E0E">
            <w:pPr>
              <w:keepNext/>
              <w:jc w:val="both"/>
              <w:rPr>
                <w:rFonts w:eastAsia="MS Mincho" w:cs="Arial"/>
              </w:rPr>
            </w:pPr>
            <w:r w:rsidRPr="00770F09">
              <w:t>Kod četvrte pojave</w:t>
            </w:r>
          </w:p>
        </w:tc>
        <w:tc>
          <w:tcPr>
            <w:tcW w:w="1020" w:type="pct"/>
            <w:tcBorders>
              <w:top w:val="nil"/>
              <w:left w:val="nil"/>
              <w:bottom w:val="single" w:sz="8" w:space="0" w:color="000000"/>
              <w:right w:val="single" w:sz="8" w:space="0" w:color="000000"/>
            </w:tcBorders>
            <w:tcMar>
              <w:top w:w="0" w:type="dxa"/>
              <w:left w:w="108" w:type="dxa"/>
              <w:bottom w:w="0" w:type="dxa"/>
              <w:right w:w="108" w:type="dxa"/>
            </w:tcMar>
          </w:tcPr>
          <w:p w14:paraId="424ECA2A" w14:textId="77777777" w:rsidR="007F13B7" w:rsidRPr="00770F09" w:rsidRDefault="007F13B7" w:rsidP="00195E0E">
            <w:pPr>
              <w:keepNext/>
              <w:jc w:val="both"/>
              <w:rPr>
                <w:rFonts w:eastAsia="MS Mincho" w:cs="Arial"/>
              </w:rPr>
            </w:pPr>
            <w:r w:rsidRPr="00770F09">
              <w:t>Prekinuti</w:t>
            </w:r>
          </w:p>
        </w:tc>
        <w:tc>
          <w:tcPr>
            <w:tcW w:w="1498" w:type="pct"/>
            <w:tcBorders>
              <w:top w:val="nil"/>
              <w:left w:val="nil"/>
              <w:bottom w:val="single" w:sz="8" w:space="0" w:color="000000"/>
              <w:right w:val="single" w:sz="8" w:space="0" w:color="000000"/>
            </w:tcBorders>
            <w:tcMar>
              <w:top w:w="0" w:type="dxa"/>
              <w:left w:w="108" w:type="dxa"/>
              <w:bottom w:w="0" w:type="dxa"/>
              <w:right w:w="108" w:type="dxa"/>
            </w:tcMar>
          </w:tcPr>
          <w:p w14:paraId="63AE8A18" w14:textId="77777777" w:rsidR="007F13B7" w:rsidRPr="00770F09" w:rsidRDefault="007F13B7" w:rsidP="00195E0E">
            <w:pPr>
              <w:keepNext/>
              <w:jc w:val="both"/>
              <w:rPr>
                <w:rFonts w:eastAsia="MS Mincho" w:cs="Arial"/>
              </w:rPr>
            </w:pPr>
            <w:r w:rsidRPr="00770F09">
              <w:t>-</w:t>
            </w:r>
          </w:p>
        </w:tc>
        <w:tc>
          <w:tcPr>
            <w:tcW w:w="1461" w:type="pct"/>
            <w:tcBorders>
              <w:top w:val="nil"/>
              <w:left w:val="nil"/>
              <w:bottom w:val="single" w:sz="8" w:space="0" w:color="000000"/>
              <w:right w:val="single" w:sz="8" w:space="0" w:color="000000"/>
            </w:tcBorders>
            <w:tcMar>
              <w:top w:w="0" w:type="dxa"/>
              <w:left w:w="108" w:type="dxa"/>
              <w:bottom w:w="0" w:type="dxa"/>
              <w:right w:w="108" w:type="dxa"/>
            </w:tcMar>
          </w:tcPr>
          <w:p w14:paraId="39F49695" w14:textId="77777777" w:rsidR="007F13B7" w:rsidRPr="00770F09" w:rsidRDefault="007F13B7" w:rsidP="00195E0E">
            <w:pPr>
              <w:keepNext/>
              <w:jc w:val="both"/>
              <w:rPr>
                <w:rFonts w:eastAsia="MS Mincho" w:cs="Arial"/>
              </w:rPr>
            </w:pPr>
            <w:r w:rsidRPr="00770F09">
              <w:t>-</w:t>
            </w:r>
          </w:p>
        </w:tc>
      </w:tr>
    </w:tbl>
    <w:p w14:paraId="2BA8EF33" w14:textId="0C0F8734" w:rsidR="007F13B7" w:rsidRPr="00770F09" w:rsidRDefault="007F13B7" w:rsidP="00195E0E">
      <w:pPr>
        <w:pStyle w:val="Style10tablenotes"/>
        <w:jc w:val="both"/>
      </w:pPr>
      <w:r w:rsidRPr="00770F09">
        <w:rPr>
          <w:vertAlign w:val="superscript"/>
        </w:rPr>
        <w:t>1</w:t>
      </w:r>
      <w:r w:rsidRPr="00770F09">
        <w:t xml:space="preserve"> Stepen 3 ili veći se definiše kao težak ili životno ugrožavajući</w:t>
      </w:r>
    </w:p>
    <w:p w14:paraId="243DCC9D" w14:textId="77777777" w:rsidR="0023264C" w:rsidRPr="00770F09" w:rsidRDefault="0023264C" w:rsidP="00195E0E">
      <w:pPr>
        <w:tabs>
          <w:tab w:val="left" w:pos="567"/>
        </w:tabs>
        <w:jc w:val="both"/>
      </w:pPr>
    </w:p>
    <w:p w14:paraId="71DF5682" w14:textId="77777777" w:rsidR="0023264C" w:rsidRPr="00770F09" w:rsidRDefault="00EA083D" w:rsidP="00195E0E">
      <w:pPr>
        <w:keepNext/>
        <w:tabs>
          <w:tab w:val="left" w:pos="567"/>
        </w:tabs>
        <w:jc w:val="both"/>
        <w:rPr>
          <w:bCs/>
          <w:i/>
          <w:u w:val="single"/>
        </w:rPr>
      </w:pPr>
      <w:r w:rsidRPr="00770F09">
        <w:rPr>
          <w:i/>
          <w:u w:val="single"/>
        </w:rPr>
        <w:t>Posebne populacije</w:t>
      </w:r>
    </w:p>
    <w:p w14:paraId="2006B144" w14:textId="77777777" w:rsidR="0023264C" w:rsidRPr="00770F09" w:rsidRDefault="0023264C" w:rsidP="00195E0E">
      <w:pPr>
        <w:keepNext/>
        <w:tabs>
          <w:tab w:val="left" w:pos="567"/>
        </w:tabs>
        <w:jc w:val="both"/>
        <w:rPr>
          <w:bCs/>
        </w:rPr>
      </w:pPr>
    </w:p>
    <w:p w14:paraId="3BCB30E1" w14:textId="77777777" w:rsidR="00B150E6" w:rsidRPr="00770F09" w:rsidRDefault="00EA083D" w:rsidP="00195E0E">
      <w:pPr>
        <w:tabs>
          <w:tab w:val="left" w:pos="567"/>
        </w:tabs>
        <w:jc w:val="both"/>
      </w:pPr>
      <w:r w:rsidRPr="00770F09">
        <w:t>Bezbjednost i efikasnost lijeka Vectibix nisu ispitivane kod pacijenata sa oštećenjem bubrega i jetre.</w:t>
      </w:r>
    </w:p>
    <w:p w14:paraId="7D1F03E6" w14:textId="77777777" w:rsidR="0023264C" w:rsidRPr="00770F09" w:rsidRDefault="0023264C" w:rsidP="00195E0E">
      <w:pPr>
        <w:tabs>
          <w:tab w:val="left" w:pos="567"/>
        </w:tabs>
        <w:jc w:val="both"/>
      </w:pPr>
    </w:p>
    <w:p w14:paraId="29E5786E" w14:textId="77777777" w:rsidR="0023264C" w:rsidRPr="00770F09" w:rsidRDefault="00EA083D" w:rsidP="00195E0E">
      <w:pPr>
        <w:tabs>
          <w:tab w:val="left" w:pos="567"/>
        </w:tabs>
        <w:jc w:val="both"/>
      </w:pPr>
      <w:r w:rsidRPr="00770F09">
        <w:t>Ne postoje klinički podaci koji ukazuju na potrebu prilagođavanja doze kod starijih pacijenata.</w:t>
      </w:r>
    </w:p>
    <w:p w14:paraId="6349E0C3" w14:textId="77777777" w:rsidR="0023264C" w:rsidRPr="00770F09" w:rsidRDefault="0023264C" w:rsidP="00195E0E">
      <w:pPr>
        <w:tabs>
          <w:tab w:val="left" w:pos="567"/>
        </w:tabs>
        <w:jc w:val="both"/>
      </w:pPr>
    </w:p>
    <w:p w14:paraId="244079A6" w14:textId="77777777" w:rsidR="0023264C" w:rsidRPr="00770F09" w:rsidRDefault="00EA083D" w:rsidP="00195E0E">
      <w:pPr>
        <w:keepNext/>
        <w:tabs>
          <w:tab w:val="left" w:pos="567"/>
        </w:tabs>
        <w:jc w:val="both"/>
        <w:rPr>
          <w:i/>
          <w:u w:val="single"/>
        </w:rPr>
      </w:pPr>
      <w:r w:rsidRPr="00770F09">
        <w:rPr>
          <w:i/>
          <w:u w:val="single"/>
        </w:rPr>
        <w:t>Pedijatrijska populacija</w:t>
      </w:r>
    </w:p>
    <w:p w14:paraId="5887A2DB" w14:textId="77777777" w:rsidR="0023264C" w:rsidRPr="00770F09" w:rsidRDefault="0023264C" w:rsidP="00195E0E">
      <w:pPr>
        <w:keepNext/>
        <w:tabs>
          <w:tab w:val="left" w:pos="567"/>
        </w:tabs>
        <w:jc w:val="both"/>
      </w:pPr>
    </w:p>
    <w:p w14:paraId="667F8552" w14:textId="77777777" w:rsidR="0023264C" w:rsidRPr="00770F09" w:rsidRDefault="00EA083D" w:rsidP="00195E0E">
      <w:pPr>
        <w:tabs>
          <w:tab w:val="left" w:pos="567"/>
        </w:tabs>
        <w:jc w:val="both"/>
      </w:pPr>
      <w:r w:rsidRPr="00770F09">
        <w:t>Nema relevantnih podataka o primjeni lijeka Vectibix u pedijatrijskoj populaciji u indikaciji liječenja kolorektalnog karcinoma.</w:t>
      </w:r>
    </w:p>
    <w:p w14:paraId="452A8BDB" w14:textId="77777777" w:rsidR="0023264C" w:rsidRPr="00770F09" w:rsidRDefault="0023264C" w:rsidP="00195E0E">
      <w:pPr>
        <w:tabs>
          <w:tab w:val="left" w:pos="567"/>
        </w:tabs>
        <w:jc w:val="both"/>
      </w:pPr>
    </w:p>
    <w:p w14:paraId="0C442E13" w14:textId="77777777" w:rsidR="00B150E6" w:rsidRPr="00770F09" w:rsidRDefault="00EA083D" w:rsidP="00195E0E">
      <w:pPr>
        <w:keepNext/>
        <w:tabs>
          <w:tab w:val="left" w:pos="567"/>
        </w:tabs>
        <w:jc w:val="both"/>
        <w:rPr>
          <w:u w:val="single"/>
        </w:rPr>
      </w:pPr>
      <w:r w:rsidRPr="00770F09">
        <w:rPr>
          <w:u w:val="single"/>
        </w:rPr>
        <w:t>Način primjene</w:t>
      </w:r>
    </w:p>
    <w:p w14:paraId="2EA83664" w14:textId="77777777" w:rsidR="0023264C" w:rsidRPr="00770F09" w:rsidRDefault="0023264C" w:rsidP="00195E0E">
      <w:pPr>
        <w:keepNext/>
        <w:tabs>
          <w:tab w:val="left" w:pos="567"/>
        </w:tabs>
        <w:jc w:val="both"/>
        <w:rPr>
          <w:u w:val="single"/>
        </w:rPr>
      </w:pPr>
    </w:p>
    <w:p w14:paraId="4E0DC466" w14:textId="3D6285C0" w:rsidR="007F13B7" w:rsidRPr="00770F09" w:rsidRDefault="007F13B7" w:rsidP="00195E0E">
      <w:pPr>
        <w:jc w:val="both"/>
      </w:pPr>
      <w:r w:rsidRPr="00770F09">
        <w:t xml:space="preserve">Vectibix mora da se primjenjuje u vidu intravenske infuzije </w:t>
      </w:r>
      <w:r w:rsidR="007864F2" w:rsidRPr="00770F09">
        <w:t xml:space="preserve">putem </w:t>
      </w:r>
      <w:r w:rsidRPr="00770F09">
        <w:t>infuzione pumpe.</w:t>
      </w:r>
    </w:p>
    <w:p w14:paraId="01346582" w14:textId="77777777" w:rsidR="007F13B7" w:rsidRPr="00770F09" w:rsidRDefault="007F13B7" w:rsidP="00195E0E">
      <w:pPr>
        <w:jc w:val="both"/>
      </w:pPr>
    </w:p>
    <w:p w14:paraId="5226E7A5" w14:textId="043FFC3D" w:rsidR="007F13B7" w:rsidRPr="00770F09" w:rsidRDefault="007F13B7" w:rsidP="00195E0E">
      <w:pPr>
        <w:jc w:val="both"/>
        <w:rPr>
          <w:u w:val="single"/>
        </w:rPr>
      </w:pPr>
      <w:r w:rsidRPr="00770F09">
        <w:t>Prije primjene infuzije lijek Vectibix mora biti rastvoren u 9 mg/ml (0,9%) rastvoru natrijum hlorida za injekcije do dobijanja konačne koncentracije koja ne treba da bude veća od 10 mg/ml (za uputstva za pripremu pogledajte</w:t>
      </w:r>
      <w:r w:rsidR="00822A75" w:rsidRPr="00770F09">
        <w:t xml:space="preserve"> </w:t>
      </w:r>
      <w:r w:rsidR="00CC0A40" w:rsidRPr="00770F09">
        <w:t xml:space="preserve"> </w:t>
      </w:r>
      <w:r w:rsidR="00C4278F" w:rsidRPr="00770F09">
        <w:t xml:space="preserve">dio </w:t>
      </w:r>
      <w:r w:rsidRPr="00770F09">
        <w:t> 6.6).</w:t>
      </w:r>
    </w:p>
    <w:p w14:paraId="3991805B" w14:textId="77777777" w:rsidR="007F13B7" w:rsidRPr="00770F09" w:rsidRDefault="007F13B7" w:rsidP="00195E0E">
      <w:pPr>
        <w:jc w:val="both"/>
      </w:pPr>
    </w:p>
    <w:p w14:paraId="063B699B" w14:textId="29D428AD" w:rsidR="0023264C" w:rsidRPr="00770F09" w:rsidRDefault="00EA083D" w:rsidP="00195E0E">
      <w:pPr>
        <w:tabs>
          <w:tab w:val="left" w:pos="567"/>
        </w:tabs>
        <w:jc w:val="both"/>
      </w:pPr>
      <w:r w:rsidRPr="00770F09">
        <w:t>Vectibix mora da se primjenjuje sa linijskim filterom promjera 0,2 ili 0,22 mikrometra koji slabo vezuje proteine, putem centralnog ili perifernog venskog katetera. Preporučeno vrijeme primjene infuzije iznosi približno 60 minuta. Ukoliko pacijent dobro podnese prvu infuziju, naredne infuzije se mogu primjeniti u trajanju od 30 do 60 minuta. Doze veće od 1000 mg treba primjenjivati tokom</w:t>
      </w:r>
      <w:r w:rsidR="007864F2" w:rsidRPr="00770F09">
        <w:t xml:space="preserve"> približno</w:t>
      </w:r>
      <w:r w:rsidRPr="00770F09">
        <w:t xml:space="preserve"> 90 minuta (uputstva o rukovanju opisana su u </w:t>
      </w:r>
      <w:r w:rsidR="00C4278F" w:rsidRPr="00770F09">
        <w:t xml:space="preserve">dijelu </w:t>
      </w:r>
      <w:r w:rsidRPr="00770F09">
        <w:t>6.6).</w:t>
      </w:r>
    </w:p>
    <w:p w14:paraId="304F1987" w14:textId="77777777" w:rsidR="0023264C" w:rsidRPr="00770F09" w:rsidRDefault="0023264C" w:rsidP="00195E0E">
      <w:pPr>
        <w:tabs>
          <w:tab w:val="left" w:pos="567"/>
        </w:tabs>
        <w:jc w:val="both"/>
      </w:pPr>
    </w:p>
    <w:p w14:paraId="65932F0D" w14:textId="4E599A32" w:rsidR="0023264C" w:rsidRPr="00770F09" w:rsidRDefault="00EA083D" w:rsidP="00195E0E">
      <w:pPr>
        <w:tabs>
          <w:tab w:val="left" w:pos="567"/>
        </w:tabs>
        <w:jc w:val="both"/>
      </w:pPr>
      <w:r w:rsidRPr="00770F09">
        <w:t xml:space="preserve">Infuzione linije treba isprati </w:t>
      </w:r>
      <w:r w:rsidR="00703E6D" w:rsidRPr="00770F09">
        <w:t xml:space="preserve">rastvorom </w:t>
      </w:r>
      <w:r w:rsidRPr="00770F09">
        <w:t>natrijum</w:t>
      </w:r>
      <w:r w:rsidR="00703E6D" w:rsidRPr="00770F09">
        <w:t xml:space="preserve"> </w:t>
      </w:r>
      <w:r w:rsidRPr="00770F09">
        <w:t>hlorida prije i poslije primjene lijeka Vectibix da bi se izbjeglo miješanje sa drugim ljekovima ili intravenskim rastvorima.</w:t>
      </w:r>
    </w:p>
    <w:p w14:paraId="5A80EBD9" w14:textId="77777777" w:rsidR="0023264C" w:rsidRPr="00770F09" w:rsidRDefault="0023264C" w:rsidP="00195E0E">
      <w:pPr>
        <w:tabs>
          <w:tab w:val="left" w:pos="567"/>
        </w:tabs>
        <w:jc w:val="both"/>
      </w:pPr>
    </w:p>
    <w:p w14:paraId="1EE4D3C7" w14:textId="1A9F49A4" w:rsidR="0023264C" w:rsidRPr="00770F09" w:rsidRDefault="00EA083D" w:rsidP="00195E0E">
      <w:pPr>
        <w:tabs>
          <w:tab w:val="left" w:pos="567"/>
        </w:tabs>
        <w:jc w:val="both"/>
      </w:pPr>
      <w:r w:rsidRPr="00770F09">
        <w:t>U slučaju pojave reakcija povezanih sa primjenom infuzije, treba smanjiti brzinu primjene infuzije lijeka Vectibix (vid</w:t>
      </w:r>
      <w:r w:rsidR="00C4278F" w:rsidRPr="00770F09">
        <w:t>j</w:t>
      </w:r>
      <w:r w:rsidRPr="00770F09">
        <w:t>eti</w:t>
      </w:r>
      <w:r w:rsidR="00822A75" w:rsidRPr="00770F09">
        <w:t xml:space="preserve"> </w:t>
      </w:r>
      <w:r w:rsidR="00CC0A40" w:rsidRPr="00770F09">
        <w:t xml:space="preserve"> </w:t>
      </w:r>
      <w:r w:rsidR="00C4278F" w:rsidRPr="00770F09">
        <w:t xml:space="preserve">dio </w:t>
      </w:r>
      <w:r w:rsidRPr="00770F09">
        <w:t> 4.4).</w:t>
      </w:r>
    </w:p>
    <w:p w14:paraId="4B9D3B01" w14:textId="77777777" w:rsidR="0023264C" w:rsidRPr="00770F09" w:rsidRDefault="0023264C" w:rsidP="00195E0E">
      <w:pPr>
        <w:tabs>
          <w:tab w:val="left" w:pos="567"/>
        </w:tabs>
        <w:jc w:val="both"/>
      </w:pPr>
    </w:p>
    <w:p w14:paraId="69ED7AAA" w14:textId="77777777" w:rsidR="0023264C" w:rsidRPr="00770F09" w:rsidRDefault="00B401B4" w:rsidP="00195E0E">
      <w:pPr>
        <w:tabs>
          <w:tab w:val="left" w:pos="567"/>
        </w:tabs>
        <w:jc w:val="both"/>
      </w:pPr>
      <w:r w:rsidRPr="00770F09">
        <w:t>Vectibix se ne smije primjenjivati u vidu intravenske bolus injekcije ili brzom intravenskom primjenom.</w:t>
      </w:r>
    </w:p>
    <w:p w14:paraId="5687BBC6" w14:textId="77777777" w:rsidR="0023264C" w:rsidRPr="00770F09" w:rsidRDefault="0023264C" w:rsidP="00195E0E">
      <w:pPr>
        <w:tabs>
          <w:tab w:val="left" w:pos="567"/>
        </w:tabs>
        <w:jc w:val="both"/>
      </w:pPr>
    </w:p>
    <w:p w14:paraId="303B89FA" w14:textId="3DF29B08" w:rsidR="0023264C" w:rsidRPr="00770F09" w:rsidRDefault="00B401B4" w:rsidP="00195E0E">
      <w:pPr>
        <w:tabs>
          <w:tab w:val="left" w:pos="567"/>
        </w:tabs>
        <w:jc w:val="both"/>
      </w:pPr>
      <w:r w:rsidRPr="00770F09">
        <w:t>Uputstva o razblaživanju lijeka prije primjene mogu se naći u</w:t>
      </w:r>
      <w:r w:rsidR="00822A75" w:rsidRPr="00770F09">
        <w:t xml:space="preserve"> </w:t>
      </w:r>
      <w:r w:rsidR="00CC0A40" w:rsidRPr="00770F09">
        <w:t xml:space="preserve"> </w:t>
      </w:r>
      <w:r w:rsidR="00C4278F" w:rsidRPr="00770F09">
        <w:t>dijelu</w:t>
      </w:r>
      <w:r w:rsidRPr="00770F09">
        <w:t> 6.6.</w:t>
      </w:r>
    </w:p>
    <w:p w14:paraId="7728F6A3" w14:textId="77777777" w:rsidR="0023264C" w:rsidRPr="00770F09" w:rsidRDefault="0023264C" w:rsidP="00195E0E">
      <w:pPr>
        <w:tabs>
          <w:tab w:val="left" w:pos="567"/>
        </w:tabs>
        <w:jc w:val="both"/>
      </w:pPr>
    </w:p>
    <w:p w14:paraId="798ABB9B" w14:textId="77777777" w:rsidR="0023264C" w:rsidRPr="00770F09" w:rsidRDefault="00E46BE4" w:rsidP="00195E0E">
      <w:pPr>
        <w:pStyle w:val="11ptBold"/>
        <w:jc w:val="both"/>
      </w:pPr>
      <w:r w:rsidRPr="00770F09">
        <w:t>4.3.</w:t>
      </w:r>
      <w:r w:rsidRPr="00770F09">
        <w:tab/>
        <w:t>Kontraindikacije</w:t>
      </w:r>
    </w:p>
    <w:p w14:paraId="5A4C14D4" w14:textId="77777777" w:rsidR="0023264C" w:rsidRPr="00770F09" w:rsidRDefault="0023264C" w:rsidP="00195E0E">
      <w:pPr>
        <w:keepNext/>
        <w:tabs>
          <w:tab w:val="left" w:pos="567"/>
        </w:tabs>
        <w:jc w:val="both"/>
      </w:pPr>
    </w:p>
    <w:p w14:paraId="33C7FC08" w14:textId="72D8D366" w:rsidR="0023264C" w:rsidRPr="00770F09" w:rsidRDefault="00E46BE4" w:rsidP="00195E0E">
      <w:pPr>
        <w:tabs>
          <w:tab w:val="left" w:pos="567"/>
        </w:tabs>
        <w:jc w:val="both"/>
      </w:pPr>
      <w:r w:rsidRPr="00770F09">
        <w:t>Pacijenti sa ranije poznatim teškim ili životno ugrožavajućim reakcijama preosjetljivosti na aktivnu supstancu ili bilo koju od pomoćnih supstanci navedenih u</w:t>
      </w:r>
      <w:r w:rsidR="007C1CC6" w:rsidRPr="00770F09">
        <w:t xml:space="preserve"> </w:t>
      </w:r>
      <w:r w:rsidR="00C4278F" w:rsidRPr="00770F09">
        <w:t xml:space="preserve">dijelu </w:t>
      </w:r>
      <w:r w:rsidRPr="00770F09">
        <w:t xml:space="preserve"> 6.1 (vidjeti </w:t>
      </w:r>
      <w:r w:rsidR="00C4278F" w:rsidRPr="00770F09">
        <w:t xml:space="preserve">dio </w:t>
      </w:r>
      <w:r w:rsidRPr="00770F09">
        <w:t>4.4).</w:t>
      </w:r>
    </w:p>
    <w:p w14:paraId="1A1C91C8" w14:textId="77777777" w:rsidR="0023264C" w:rsidRPr="00770F09" w:rsidRDefault="0023264C" w:rsidP="00195E0E">
      <w:pPr>
        <w:tabs>
          <w:tab w:val="left" w:pos="567"/>
        </w:tabs>
        <w:jc w:val="both"/>
      </w:pPr>
    </w:p>
    <w:p w14:paraId="55115516" w14:textId="40BF824D" w:rsidR="0023264C" w:rsidRPr="00770F09" w:rsidRDefault="00E46BE4" w:rsidP="00195E0E">
      <w:pPr>
        <w:tabs>
          <w:tab w:val="left" w:pos="567"/>
        </w:tabs>
        <w:jc w:val="both"/>
      </w:pPr>
      <w:r w:rsidRPr="00770F09">
        <w:t>Pacijenti sa intersticijalnim pneumonitisom ili pulmonalnom fibrozom (vidjeti</w:t>
      </w:r>
      <w:r w:rsidR="00822A75" w:rsidRPr="00770F09">
        <w:t xml:space="preserve"> </w:t>
      </w:r>
      <w:r w:rsidR="00821818" w:rsidRPr="00770F09">
        <w:t xml:space="preserve"> </w:t>
      </w:r>
      <w:r w:rsidR="00C4278F" w:rsidRPr="00770F09">
        <w:t xml:space="preserve">dio </w:t>
      </w:r>
      <w:r w:rsidRPr="00770F09">
        <w:t> 4.4).</w:t>
      </w:r>
    </w:p>
    <w:p w14:paraId="14FA0603" w14:textId="77777777" w:rsidR="0023264C" w:rsidRPr="00770F09" w:rsidRDefault="0023264C" w:rsidP="00195E0E">
      <w:pPr>
        <w:tabs>
          <w:tab w:val="left" w:pos="567"/>
        </w:tabs>
        <w:jc w:val="both"/>
      </w:pPr>
    </w:p>
    <w:p w14:paraId="56C54C79" w14:textId="40A572A5" w:rsidR="0023264C" w:rsidRPr="00770F09" w:rsidRDefault="00E46BE4" w:rsidP="00195E0E">
      <w:pPr>
        <w:tabs>
          <w:tab w:val="left" w:pos="567"/>
        </w:tabs>
        <w:jc w:val="both"/>
        <w:rPr>
          <w:bCs/>
        </w:rPr>
      </w:pPr>
      <w:r w:rsidRPr="00770F09">
        <w:t xml:space="preserve">Kombinacija lijeka Vectibix sa hemioterapijom oksaliplatinom je kontraindikovana kod pacijenata sa mCRC sa mutiranim </w:t>
      </w:r>
      <w:r w:rsidRPr="00770F09">
        <w:rPr>
          <w:i/>
        </w:rPr>
        <w:t>RAS</w:t>
      </w:r>
      <w:r w:rsidRPr="00770F09">
        <w:t xml:space="preserve"> genom i kod pacijenata kod kojih mCRC </w:t>
      </w:r>
      <w:r w:rsidRPr="00770F09">
        <w:rPr>
          <w:i/>
        </w:rPr>
        <w:t>RAS</w:t>
      </w:r>
      <w:r w:rsidRPr="00770F09">
        <w:t xml:space="preserve"> status nije poznat (vidjeti</w:t>
      </w:r>
      <w:r w:rsidR="00822A75" w:rsidRPr="00770F09">
        <w:t xml:space="preserve"> </w:t>
      </w:r>
      <w:r w:rsidR="00251D39" w:rsidRPr="00770F09">
        <w:t xml:space="preserve"> </w:t>
      </w:r>
      <w:r w:rsidR="00C4278F" w:rsidRPr="00770F09">
        <w:t xml:space="preserve">dio </w:t>
      </w:r>
      <w:r w:rsidRPr="00770F09">
        <w:t> 4.4).</w:t>
      </w:r>
    </w:p>
    <w:p w14:paraId="6A139E50" w14:textId="77777777" w:rsidR="0023264C" w:rsidRPr="00770F09" w:rsidRDefault="0023264C" w:rsidP="00195E0E">
      <w:pPr>
        <w:tabs>
          <w:tab w:val="left" w:pos="567"/>
        </w:tabs>
        <w:jc w:val="both"/>
      </w:pPr>
    </w:p>
    <w:p w14:paraId="0DAD5389" w14:textId="77777777" w:rsidR="0023264C" w:rsidRPr="00770F09" w:rsidRDefault="004174CC" w:rsidP="00195E0E">
      <w:pPr>
        <w:pStyle w:val="11ptBold"/>
        <w:jc w:val="both"/>
      </w:pPr>
      <w:r w:rsidRPr="00770F09">
        <w:t>4.4.</w:t>
      </w:r>
      <w:r w:rsidRPr="00770F09">
        <w:tab/>
        <w:t>Posebna upozorenja i mjere opreza pri upotrebi lijeka</w:t>
      </w:r>
    </w:p>
    <w:p w14:paraId="4D6A5488" w14:textId="77777777" w:rsidR="0023264C" w:rsidRPr="00770F09" w:rsidRDefault="0023264C" w:rsidP="00195E0E">
      <w:pPr>
        <w:keepNext/>
        <w:tabs>
          <w:tab w:val="left" w:pos="567"/>
        </w:tabs>
        <w:jc w:val="both"/>
      </w:pPr>
    </w:p>
    <w:p w14:paraId="7D8139D7" w14:textId="55CBFDAA" w:rsidR="008E649B" w:rsidRPr="00770F09" w:rsidRDefault="008E649B" w:rsidP="00195E0E">
      <w:pPr>
        <w:pStyle w:val="Style11Underlined"/>
        <w:jc w:val="both"/>
      </w:pPr>
      <w:r w:rsidRPr="00770F09">
        <w:t>Sl</w:t>
      </w:r>
      <w:r w:rsidR="002F15DD" w:rsidRPr="00770F09">
        <w:t>ij</w:t>
      </w:r>
      <w:r w:rsidRPr="00770F09">
        <w:t>edljivost</w:t>
      </w:r>
    </w:p>
    <w:p w14:paraId="6194DB66" w14:textId="77777777" w:rsidR="008E649B" w:rsidRPr="00770F09" w:rsidRDefault="008E649B" w:rsidP="00195E0E">
      <w:pPr>
        <w:keepNext/>
        <w:jc w:val="both"/>
      </w:pPr>
    </w:p>
    <w:p w14:paraId="26B1C048" w14:textId="286BA3C0" w:rsidR="008E649B" w:rsidRPr="00770F09" w:rsidRDefault="008E649B" w:rsidP="00195E0E">
      <w:pPr>
        <w:jc w:val="both"/>
        <w:rPr>
          <w:noProof/>
        </w:rPr>
      </w:pPr>
      <w:r w:rsidRPr="00770F09">
        <w:t>Kako bi se poboljšala sl</w:t>
      </w:r>
      <w:r w:rsidR="002F15DD" w:rsidRPr="00770F09">
        <w:t>ij</w:t>
      </w:r>
      <w:r w:rsidRPr="00770F09">
        <w:t>edljivost bioloških ljekova, potrebno je jasno zabilježiti ime i broj serije primijenjenog lijeka.</w:t>
      </w:r>
    </w:p>
    <w:p w14:paraId="0C2A5709" w14:textId="77777777" w:rsidR="008E649B" w:rsidRPr="00770F09" w:rsidRDefault="008E649B" w:rsidP="00195E0E">
      <w:pPr>
        <w:jc w:val="both"/>
        <w:rPr>
          <w:bCs/>
          <w:u w:val="single"/>
        </w:rPr>
      </w:pPr>
    </w:p>
    <w:p w14:paraId="0339D43B" w14:textId="77777777" w:rsidR="00B150E6" w:rsidRPr="00770F09" w:rsidRDefault="00333F6D" w:rsidP="00195E0E">
      <w:pPr>
        <w:keepNext/>
        <w:tabs>
          <w:tab w:val="left" w:pos="567"/>
        </w:tabs>
        <w:jc w:val="both"/>
      </w:pPr>
      <w:r w:rsidRPr="00770F09">
        <w:rPr>
          <w:u w:val="single"/>
        </w:rPr>
        <w:t>Dermatološke reakcije i toksičnost mekih tkiva</w:t>
      </w:r>
    </w:p>
    <w:p w14:paraId="5C8F8159" w14:textId="77777777" w:rsidR="0023264C" w:rsidRPr="00770F09" w:rsidRDefault="0023264C" w:rsidP="00195E0E">
      <w:pPr>
        <w:keepNext/>
        <w:tabs>
          <w:tab w:val="left" w:pos="567"/>
        </w:tabs>
        <w:jc w:val="both"/>
        <w:rPr>
          <w:bCs/>
        </w:rPr>
      </w:pPr>
    </w:p>
    <w:p w14:paraId="341BFF9C" w14:textId="02DFDDC2" w:rsidR="00333F6D" w:rsidRPr="00770F09" w:rsidRDefault="00333F6D" w:rsidP="00195E0E">
      <w:pPr>
        <w:tabs>
          <w:tab w:val="left" w:pos="567"/>
        </w:tabs>
        <w:jc w:val="both"/>
      </w:pPr>
      <w:r w:rsidRPr="00770F09">
        <w:t>Dermatološke reakcije, kao farmakološki efekti koji su primijećeni kod inhibitora receptora epidermalnog faktora rasta (EGFR), primijećene su i kod skoro svih pacijenata (oko 94%) liječenih lijekom Vectibix. Teške (NCI</w:t>
      </w:r>
      <w:r w:rsidRPr="00770F09">
        <w:noBreakHyphen/>
        <w:t>CTC 3. stepena) reakcije na koži primijećene su kod 23%, a životno ugrožavajuće (NCI</w:t>
      </w:r>
      <w:r w:rsidRPr="00770F09">
        <w:noBreakHyphen/>
        <w:t>CTC 4. stepena) reakcije na koži kod &lt; 1% pacijenata koji su liječeni lijekom Vectibix u monoterapiji i u kombinaciji sa hemioterapijom (n = 2224) (vidjeti</w:t>
      </w:r>
      <w:r w:rsidR="00822A75" w:rsidRPr="00770F09">
        <w:t xml:space="preserve"> </w:t>
      </w:r>
      <w:r w:rsidR="00C4278F" w:rsidRPr="00770F09">
        <w:t xml:space="preserve">dio </w:t>
      </w:r>
      <w:r w:rsidRPr="00770F09">
        <w:t> 4.8). Ukoliko pacijent razvije dermatološke reakcije 3. stepena (CTCAE v 4.0) ili višeg stepena, ili reakcije koje izazivaju netoleranciju, pogledajte preporuke za prilagođavanje doza u</w:t>
      </w:r>
      <w:r w:rsidR="00822A75" w:rsidRPr="00770F09">
        <w:t xml:space="preserve"> </w:t>
      </w:r>
      <w:r w:rsidR="00C4278F" w:rsidRPr="00770F09">
        <w:t xml:space="preserve">dijelu </w:t>
      </w:r>
      <w:r w:rsidRPr="00770F09">
        <w:t> 4.2.</w:t>
      </w:r>
    </w:p>
    <w:p w14:paraId="4CB907D5" w14:textId="77777777" w:rsidR="0023264C" w:rsidRPr="00770F09" w:rsidRDefault="0023264C" w:rsidP="00195E0E">
      <w:pPr>
        <w:tabs>
          <w:tab w:val="left" w:pos="567"/>
        </w:tabs>
        <w:jc w:val="both"/>
      </w:pPr>
    </w:p>
    <w:p w14:paraId="716E5B14" w14:textId="77777777" w:rsidR="0023264C" w:rsidRPr="00770F09" w:rsidRDefault="00F6338E" w:rsidP="00195E0E">
      <w:pPr>
        <w:tabs>
          <w:tab w:val="left" w:pos="567"/>
        </w:tabs>
        <w:jc w:val="both"/>
      </w:pPr>
      <w:r w:rsidRPr="00770F09">
        <w:t>U kliničkim studijama su nakon razvoja teških dermatoloških reakcija (uključujući stomatitis) prijavljene komplikovane infekcije kao što je sepsa i nekrotizirajući fasciitis, koje su u rijetkim slučajevima imale fatalan ishod, kao i lokalni apscesi koji su zahtijevali inciziju ili drenažu. Pacijente koji su imali teške dermatološke reakcije ili toksičnost mekih tkiva, ili kod kojih je došlo do pogoršanja reakcija tokom primjene lijeka Vectibix, treba pratiti zbog moguće pojave zapaljenja ili infekcija (uključujući celulitis i nekrotizirajući fasciitis), i ukoliko se pojave, odmah započeti sa odgovarajućom terapijom. Životno ugrožavajuće i fatalne komplikacije infekcija uključujući nekrotizirajući fasciitis i sepsu primijećeni su kod pacijenata liječenih lijekom Vectibix. Tokom post</w:t>
      </w:r>
      <w:r w:rsidRPr="00770F09">
        <w:noBreakHyphen/>
        <w:t xml:space="preserve">marketinškog praćenja su prijavljeni rijetki slučajevi </w:t>
      </w:r>
      <w:r w:rsidRPr="00770F09">
        <w:rPr>
          <w:i/>
        </w:rPr>
        <w:t>Stevens</w:t>
      </w:r>
      <w:r w:rsidRPr="00770F09">
        <w:rPr>
          <w:i/>
        </w:rPr>
        <w:noBreakHyphen/>
        <w:t>Johnsonov-og</w:t>
      </w:r>
      <w:r w:rsidRPr="00770F09">
        <w:t xml:space="preserve"> sindroma i toksične epidermalne nekrolize kod pacijenata koji su primali Vectibix. Terapiju lijekom Vectibix treba prekinuti ili obustaviti u slučaju dermatološke toksičnosti ili toksičnosti mekih tkiva udruženih sa teškim ili životno ugrožavajućim komplikacijama zapaljenja ili infekcija.</w:t>
      </w:r>
    </w:p>
    <w:p w14:paraId="31A91344" w14:textId="77777777" w:rsidR="0023264C" w:rsidRPr="00770F09" w:rsidRDefault="0023264C" w:rsidP="00195E0E">
      <w:pPr>
        <w:tabs>
          <w:tab w:val="left" w:pos="567"/>
        </w:tabs>
        <w:jc w:val="both"/>
      </w:pPr>
    </w:p>
    <w:p w14:paraId="300ABAD0" w14:textId="0F082D77" w:rsidR="0023264C" w:rsidRPr="00770F09" w:rsidRDefault="00F6338E" w:rsidP="00195E0E">
      <w:pPr>
        <w:tabs>
          <w:tab w:val="left" w:pos="567"/>
        </w:tabs>
        <w:jc w:val="both"/>
      </w:pPr>
      <w:r w:rsidRPr="00770F09">
        <w:t>Liječenje i saniranje dermatoloških reakcija zavisi od njihove težine i može da podrazumijeva primjenu hidratantne kreme, kreme sa zaštitnim faktorom (SPF &gt; 15 UVA i UVB), i topikalne steroide (ne jače od 1% hidrokortizona) koji se nanose na zahvaćenu oblast i/ili primjena oralnih antibiotika (npr. doksiciklina). Preporučuje se takođe da pacijenti koji imaju osip/dermatološke toksične efekte koriste zaštitne kreme i da nose šešire kako bi ograničili izloženost suncu, jer izloženost sunčevoj svjetlosti može da pogorša reakcije koje se mogu javiti na koži. Pacijentima se savjetuje da nanose hidrantnu kremu ili kremu sa zaštitnim faktorom na lice, šake, stopala, vrat, leđa i grudi svakog jutra tokom trajanja liječenja i da nanose topikalne steroide na lice, šake, stopala, vrat, leđa i grudi svake večeri tokom trajanja liječenja.</w:t>
      </w:r>
    </w:p>
    <w:p w14:paraId="26AD8E7D" w14:textId="77777777" w:rsidR="0023264C" w:rsidRPr="00770F09" w:rsidRDefault="0023264C" w:rsidP="00195E0E">
      <w:pPr>
        <w:tabs>
          <w:tab w:val="left" w:pos="567"/>
        </w:tabs>
        <w:jc w:val="both"/>
      </w:pPr>
    </w:p>
    <w:p w14:paraId="6B400B7A" w14:textId="77777777" w:rsidR="0023264C" w:rsidRPr="00770F09" w:rsidRDefault="00F802AB" w:rsidP="00195E0E">
      <w:pPr>
        <w:keepNext/>
        <w:tabs>
          <w:tab w:val="left" w:pos="567"/>
        </w:tabs>
        <w:jc w:val="both"/>
        <w:rPr>
          <w:bCs/>
          <w:u w:val="single"/>
        </w:rPr>
      </w:pPr>
      <w:r w:rsidRPr="00770F09">
        <w:rPr>
          <w:u w:val="single"/>
        </w:rPr>
        <w:lastRenderedPageBreak/>
        <w:t>Komplikacije na plućima</w:t>
      </w:r>
    </w:p>
    <w:p w14:paraId="13053EC2" w14:textId="77777777" w:rsidR="0023264C" w:rsidRPr="00770F09" w:rsidRDefault="0023264C" w:rsidP="00195E0E">
      <w:pPr>
        <w:keepNext/>
        <w:tabs>
          <w:tab w:val="left" w:pos="567"/>
        </w:tabs>
        <w:jc w:val="both"/>
        <w:rPr>
          <w:bCs/>
        </w:rPr>
      </w:pPr>
    </w:p>
    <w:p w14:paraId="4B4560A2" w14:textId="77777777" w:rsidR="0023264C" w:rsidRPr="00770F09" w:rsidRDefault="00F802AB" w:rsidP="00195E0E">
      <w:pPr>
        <w:tabs>
          <w:tab w:val="left" w:pos="567"/>
        </w:tabs>
        <w:jc w:val="both"/>
      </w:pPr>
      <w:r w:rsidRPr="00770F09">
        <w:t>Pacijenti sa ranijim ili postojećim intersticijalnim pneumonitisom ili pulmonalnom fibrozom su isključeni iz kliničkih studija. Primijećeni su kako fatalni tako i nefatalni slučajevi intersticijalne bolesti pluća (ILD) uglavnom među japanskom populacijom. U slučaju akutne pojave ili pogoršanja plućnih simptoma, liječenje lijekom Vectibix treba prekinuti i odmah ispitati ove simptome. Ukoliko se dijagnostikuje ILD, treba privremeno prekinuti sa primjenom lijeka Vectibix i sprovesti odgovarajuće liječenje. Kod pacijenata sa ranije dijagnostikovanim intersticijalnim pneumonitisom ili pulmonalnom fibrozom, mora se pažljivo razmotriti odnos koristi terapije sa panitumumabom naspram rizika od komplikacija na plućima.</w:t>
      </w:r>
    </w:p>
    <w:p w14:paraId="3F98FD9E" w14:textId="77777777" w:rsidR="0023264C" w:rsidRPr="00770F09" w:rsidRDefault="0023264C" w:rsidP="00195E0E">
      <w:pPr>
        <w:tabs>
          <w:tab w:val="left" w:pos="567"/>
        </w:tabs>
        <w:jc w:val="both"/>
      </w:pPr>
    </w:p>
    <w:p w14:paraId="6B467D46" w14:textId="77777777" w:rsidR="00B150E6" w:rsidRPr="00770F09" w:rsidRDefault="00F802AB" w:rsidP="00195E0E">
      <w:pPr>
        <w:keepNext/>
        <w:tabs>
          <w:tab w:val="left" w:pos="567"/>
        </w:tabs>
        <w:jc w:val="both"/>
        <w:rPr>
          <w:iCs/>
          <w:u w:val="single"/>
        </w:rPr>
      </w:pPr>
      <w:r w:rsidRPr="00770F09">
        <w:rPr>
          <w:u w:val="single"/>
        </w:rPr>
        <w:t>Poremećaj elektrolita</w:t>
      </w:r>
    </w:p>
    <w:p w14:paraId="0A40CF55" w14:textId="77777777" w:rsidR="0023264C" w:rsidRPr="00770F09" w:rsidRDefault="0023264C" w:rsidP="00195E0E">
      <w:pPr>
        <w:keepNext/>
        <w:tabs>
          <w:tab w:val="left" w:pos="567"/>
        </w:tabs>
        <w:jc w:val="both"/>
        <w:rPr>
          <w:iCs/>
        </w:rPr>
      </w:pPr>
    </w:p>
    <w:p w14:paraId="735EAEBE" w14:textId="78CAFA99" w:rsidR="0023264C" w:rsidRPr="00770F09" w:rsidRDefault="00F802AB" w:rsidP="00195E0E">
      <w:pPr>
        <w:tabs>
          <w:tab w:val="left" w:pos="567"/>
        </w:tabs>
        <w:jc w:val="both"/>
        <w:rPr>
          <w:iCs/>
        </w:rPr>
      </w:pPr>
      <w:r w:rsidRPr="00770F09">
        <w:t>Kod nekih pacijenata je primijećeno progresivno opadanje nivoa magnezijuma u serumu koje može dovesti do teške hipomagnezijemije (4. stepena). Pacijente treba periodično pratiti zbog moguće hipomagnezijemije i udružene hipokalcijemije prije započinjanja Vectibix terapije, i povremeno nakon toga i do 8 nedjelja nakon završetka terapije (vidjeti</w:t>
      </w:r>
      <w:r w:rsidR="00822A75" w:rsidRPr="00770F09">
        <w:t xml:space="preserve"> </w:t>
      </w:r>
      <w:r w:rsidR="00C4278F" w:rsidRPr="00770F09">
        <w:t xml:space="preserve">dio </w:t>
      </w:r>
      <w:r w:rsidRPr="00770F09">
        <w:t> 4.8). Preporučuje se nadoknada magnezijuma, po potrebi.</w:t>
      </w:r>
    </w:p>
    <w:p w14:paraId="12629813" w14:textId="77777777" w:rsidR="0023264C" w:rsidRPr="00770F09" w:rsidRDefault="0023264C" w:rsidP="00195E0E">
      <w:pPr>
        <w:tabs>
          <w:tab w:val="left" w:pos="567"/>
        </w:tabs>
        <w:jc w:val="both"/>
      </w:pPr>
    </w:p>
    <w:p w14:paraId="6B70DDDA" w14:textId="77777777" w:rsidR="0023264C" w:rsidRPr="00770F09" w:rsidRDefault="00F802AB" w:rsidP="00195E0E">
      <w:pPr>
        <w:tabs>
          <w:tab w:val="left" w:pos="567"/>
        </w:tabs>
        <w:jc w:val="both"/>
      </w:pPr>
      <w:r w:rsidRPr="00770F09">
        <w:t>Primijećeni su i drugi poremećaji elektrolita, uključujući hipokalijemiju. Praćenje kao i nadoknada ovih elektrolita se preporučuje po potrebi.</w:t>
      </w:r>
    </w:p>
    <w:p w14:paraId="63FBE2F0" w14:textId="77777777" w:rsidR="0023264C" w:rsidRPr="00770F09" w:rsidRDefault="0023264C" w:rsidP="00195E0E">
      <w:pPr>
        <w:tabs>
          <w:tab w:val="left" w:pos="567"/>
        </w:tabs>
        <w:jc w:val="both"/>
      </w:pPr>
    </w:p>
    <w:p w14:paraId="513DFD02" w14:textId="77777777" w:rsidR="0023264C" w:rsidRPr="00770F09" w:rsidRDefault="008E22DE" w:rsidP="00195E0E">
      <w:pPr>
        <w:keepNext/>
        <w:tabs>
          <w:tab w:val="left" w:pos="567"/>
        </w:tabs>
        <w:jc w:val="both"/>
        <w:rPr>
          <w:u w:val="single"/>
        </w:rPr>
      </w:pPr>
      <w:r w:rsidRPr="00770F09">
        <w:rPr>
          <w:u w:val="single"/>
        </w:rPr>
        <w:t>Reakcije povezane sa primjenom infuzije</w:t>
      </w:r>
    </w:p>
    <w:p w14:paraId="52201E2D" w14:textId="77777777" w:rsidR="0023264C" w:rsidRPr="00770F09" w:rsidRDefault="0023264C" w:rsidP="00195E0E">
      <w:pPr>
        <w:keepNext/>
        <w:tabs>
          <w:tab w:val="left" w:pos="567"/>
        </w:tabs>
        <w:jc w:val="both"/>
      </w:pPr>
    </w:p>
    <w:p w14:paraId="35328621" w14:textId="0F52F317" w:rsidR="0023264C" w:rsidRPr="00770F09" w:rsidRDefault="008E22DE" w:rsidP="00195E0E">
      <w:pPr>
        <w:tabs>
          <w:tab w:val="left" w:pos="567"/>
        </w:tabs>
        <w:jc w:val="both"/>
        <w:rPr>
          <w:bCs/>
          <w:iCs/>
        </w:rPr>
      </w:pPr>
      <w:r w:rsidRPr="00770F09">
        <w:t>U kliničkim studijama (n = 2224) koje su proučavale monoterapiju i kombinovanu terapiju mCRC, reakcije povezane sa primjenom infuzije (koje se javljaju 24 sata nakon primjene infuzije) su prijavljene kod pacijenata koji su primali Vectibix, uključujući teške reakcije povezane sa primjenom infuzije (NCI</w:t>
      </w:r>
      <w:r w:rsidRPr="00770F09">
        <w:noBreakHyphen/>
        <w:t>CTC stepen 3 i stepen 4).</w:t>
      </w:r>
    </w:p>
    <w:p w14:paraId="6E507B66" w14:textId="77777777" w:rsidR="0023264C" w:rsidRPr="00770F09" w:rsidRDefault="0023264C" w:rsidP="00195E0E">
      <w:pPr>
        <w:tabs>
          <w:tab w:val="left" w:pos="567"/>
        </w:tabs>
        <w:jc w:val="both"/>
      </w:pPr>
    </w:p>
    <w:p w14:paraId="209AE8F9" w14:textId="11EB883C" w:rsidR="0023264C" w:rsidRPr="00770F09" w:rsidRDefault="008E22DE" w:rsidP="00195E0E">
      <w:pPr>
        <w:tabs>
          <w:tab w:val="left" w:pos="567"/>
        </w:tabs>
        <w:jc w:val="both"/>
      </w:pPr>
      <w:r w:rsidRPr="00770F09">
        <w:t>U post</w:t>
      </w:r>
      <w:r w:rsidRPr="00770F09">
        <w:noBreakHyphen/>
        <w:t>marketinškom periodu prijavljene su teške reakcije povezane sa primjenom infuzije, uključujući i rijetke post</w:t>
      </w:r>
      <w:r w:rsidRPr="00770F09">
        <w:noBreakHyphen/>
        <w:t>marketinške izvještaje slučajeva sa fatalnim ishodom. Ukoliko dođe do pojave teških ili životno ugrožavajućih neželjenih reakcija tokom ili u bilo kom trenutku primjene infuzije, kao što je bronhospazam, angioedem, hipotenzija, potreba za parenteralnim terapijom ili anafilaksa, treba trajno prekinuti sa primjenom Vectibix terapije (vidjeti</w:t>
      </w:r>
      <w:r w:rsidR="00822A75" w:rsidRPr="00770F09">
        <w:t xml:space="preserve"> </w:t>
      </w:r>
      <w:r w:rsidR="00B93013" w:rsidRPr="00770F09">
        <w:t>dijelov</w:t>
      </w:r>
      <w:r w:rsidR="00822A75" w:rsidRPr="00770F09">
        <w:t>e</w:t>
      </w:r>
      <w:r w:rsidRPr="00770F09">
        <w:t> 4.3 i 4.8).</w:t>
      </w:r>
    </w:p>
    <w:p w14:paraId="71E8681A" w14:textId="77777777" w:rsidR="0023264C" w:rsidRPr="00770F09" w:rsidRDefault="0023264C" w:rsidP="00195E0E">
      <w:pPr>
        <w:tabs>
          <w:tab w:val="left" w:pos="567"/>
        </w:tabs>
        <w:jc w:val="both"/>
      </w:pPr>
    </w:p>
    <w:p w14:paraId="7BEEB0DE" w14:textId="77777777" w:rsidR="0023264C" w:rsidRPr="00770F09" w:rsidRDefault="008E22DE" w:rsidP="00195E0E">
      <w:pPr>
        <w:tabs>
          <w:tab w:val="left" w:pos="567"/>
        </w:tabs>
        <w:jc w:val="both"/>
      </w:pPr>
      <w:r w:rsidRPr="00770F09">
        <w:t>Kod pacijenata kod kojih se jave blage ili umjerene (CTCAE v 4.0 stepena 1 i 2) reakcije povezane sa primjenom infuzije, savjetuje se smanjenje brzine tokom primjene infuzije. Preporučuje se da se i kod narednih primjena održava ova smanjena brzina infuzije.</w:t>
      </w:r>
    </w:p>
    <w:p w14:paraId="0F042592" w14:textId="77777777" w:rsidR="0023264C" w:rsidRPr="00770F09" w:rsidRDefault="0023264C" w:rsidP="00195E0E">
      <w:pPr>
        <w:tabs>
          <w:tab w:val="left" w:pos="567"/>
        </w:tabs>
        <w:jc w:val="both"/>
      </w:pPr>
    </w:p>
    <w:p w14:paraId="2D21FB53" w14:textId="77777777" w:rsidR="0023264C" w:rsidRPr="00770F09" w:rsidRDefault="008E22DE" w:rsidP="00195E0E">
      <w:pPr>
        <w:tabs>
          <w:tab w:val="left" w:pos="567"/>
        </w:tabs>
        <w:jc w:val="both"/>
      </w:pPr>
      <w:r w:rsidRPr="00770F09">
        <w:t>Prijavljene su reakcije preosjetljivosti koje se javljaju i nakon 24 sata od primjene infuzije, uključujući i jedan slučaj angioedema sa fatalnim ishodom koji se javio više od 24 sata nakon primjene infuzije. Treba upozoriti pacijente da postoji mogućnost kasnijeg razvoja reakcija i uputiti ih da se u slučaju pojave simptoma reakcija preosjetljivosti odmah jave ljekaru.</w:t>
      </w:r>
    </w:p>
    <w:p w14:paraId="0BB37C38" w14:textId="77777777" w:rsidR="0023264C" w:rsidRPr="00770F09" w:rsidRDefault="0023264C" w:rsidP="00195E0E">
      <w:pPr>
        <w:tabs>
          <w:tab w:val="left" w:pos="567"/>
        </w:tabs>
        <w:jc w:val="both"/>
      </w:pPr>
    </w:p>
    <w:p w14:paraId="7FB11461" w14:textId="77777777" w:rsidR="0023264C" w:rsidRPr="00770F09" w:rsidRDefault="006658FD" w:rsidP="00195E0E">
      <w:pPr>
        <w:keepNext/>
        <w:tabs>
          <w:tab w:val="left" w:pos="567"/>
        </w:tabs>
        <w:jc w:val="both"/>
        <w:rPr>
          <w:u w:val="single"/>
        </w:rPr>
      </w:pPr>
      <w:r w:rsidRPr="00770F09">
        <w:rPr>
          <w:u w:val="single"/>
        </w:rPr>
        <w:t>Akutno oštećenje bubrega</w:t>
      </w:r>
    </w:p>
    <w:p w14:paraId="4767DB9A" w14:textId="77777777" w:rsidR="0023264C" w:rsidRPr="00770F09" w:rsidRDefault="0023264C" w:rsidP="00195E0E">
      <w:pPr>
        <w:keepNext/>
        <w:tabs>
          <w:tab w:val="left" w:pos="567"/>
        </w:tabs>
        <w:jc w:val="both"/>
      </w:pPr>
    </w:p>
    <w:p w14:paraId="40C5DABB" w14:textId="34515C86" w:rsidR="00965F8C" w:rsidRPr="00770F09" w:rsidRDefault="006658FD" w:rsidP="00195E0E">
      <w:pPr>
        <w:rPr>
          <w:bCs/>
        </w:rPr>
      </w:pPr>
      <w:r w:rsidRPr="00770F09">
        <w:t>Kod pacijenata kod kojih se razvila teška dijareja i dehidratacija primijećeno je akutno oštećenje bubrega. Pacijentima kod kojih se javi teška dijareja savjetuje se da se hitno konsultuju sa ljekarom.</w:t>
      </w:r>
    </w:p>
    <w:p w14:paraId="783AD3F0" w14:textId="77777777" w:rsidR="00195E0E" w:rsidRPr="00770F09" w:rsidRDefault="00195E0E" w:rsidP="00195E0E">
      <w:pPr>
        <w:keepNext/>
        <w:tabs>
          <w:tab w:val="left" w:pos="567"/>
        </w:tabs>
        <w:jc w:val="both"/>
        <w:rPr>
          <w:u w:val="single"/>
        </w:rPr>
      </w:pPr>
    </w:p>
    <w:p w14:paraId="632EBD47" w14:textId="7541CBF8" w:rsidR="0023264C" w:rsidRPr="00770F09" w:rsidRDefault="000526AE" w:rsidP="00195E0E">
      <w:pPr>
        <w:keepNext/>
        <w:tabs>
          <w:tab w:val="left" w:pos="567"/>
        </w:tabs>
        <w:jc w:val="both"/>
        <w:rPr>
          <w:bCs/>
          <w:u w:val="single"/>
        </w:rPr>
      </w:pPr>
      <w:r w:rsidRPr="00770F09">
        <w:rPr>
          <w:u w:val="single"/>
        </w:rPr>
        <w:t>Vectibix u kombinaciji sa irinotekanom, bolus 5</w:t>
      </w:r>
      <w:r w:rsidRPr="00770F09">
        <w:rPr>
          <w:u w:val="single"/>
        </w:rPr>
        <w:noBreakHyphen/>
        <w:t>fluorouracilom i leukovorinom (IFL) režimom hemioterapije</w:t>
      </w:r>
    </w:p>
    <w:p w14:paraId="13203F83" w14:textId="77777777" w:rsidR="0023264C" w:rsidRPr="00770F09" w:rsidRDefault="0023264C" w:rsidP="00195E0E">
      <w:pPr>
        <w:keepNext/>
        <w:tabs>
          <w:tab w:val="left" w:pos="567"/>
        </w:tabs>
        <w:jc w:val="both"/>
        <w:rPr>
          <w:bCs/>
        </w:rPr>
      </w:pPr>
    </w:p>
    <w:p w14:paraId="57313B96" w14:textId="5126B3FD" w:rsidR="0023264C" w:rsidRPr="00770F09" w:rsidRDefault="000526AE" w:rsidP="00195E0E">
      <w:pPr>
        <w:keepLines/>
        <w:tabs>
          <w:tab w:val="left" w:pos="567"/>
        </w:tabs>
        <w:jc w:val="both"/>
      </w:pPr>
      <w:r w:rsidRPr="00770F09">
        <w:t>Pacijenti koji primaju Vectibix u kombinaciji sa IFL režimom [bolus 5</w:t>
      </w:r>
      <w:r w:rsidRPr="00770F09">
        <w:noBreakHyphen/>
        <w:t>fluorouracil (500 mg/m</w:t>
      </w:r>
      <w:r w:rsidRPr="00770F09">
        <w:rPr>
          <w:vertAlign w:val="superscript"/>
        </w:rPr>
        <w:t>2</w:t>
      </w:r>
      <w:r w:rsidRPr="00770F09">
        <w:t>), leukovorin (20 mg/m</w:t>
      </w:r>
      <w:r w:rsidRPr="00770F09">
        <w:rPr>
          <w:vertAlign w:val="superscript"/>
        </w:rPr>
        <w:t>2</w:t>
      </w:r>
      <w:r w:rsidRPr="00770F09">
        <w:t>) i irinotekan (125 mg/m</w:t>
      </w:r>
      <w:r w:rsidRPr="00770F09">
        <w:rPr>
          <w:vertAlign w:val="superscript"/>
        </w:rPr>
        <w:t>2</w:t>
      </w:r>
      <w:r w:rsidRPr="00770F09">
        <w:t>)] su imali povećanu incidencu teške dijareje (vidjeti</w:t>
      </w:r>
      <w:r w:rsidR="00822A75" w:rsidRPr="00770F09">
        <w:t xml:space="preserve"> </w:t>
      </w:r>
      <w:r w:rsidR="00B93013" w:rsidRPr="00770F09">
        <w:t>dio</w:t>
      </w:r>
      <w:r w:rsidRPr="00770F09">
        <w:t> 4.8). Stoga primjenu lijeka Vectibix u kombinaciji sa IFL režimom treba izbjegavati (vidjeti</w:t>
      </w:r>
      <w:r w:rsidR="00822A75" w:rsidRPr="00770F09">
        <w:t xml:space="preserve"> </w:t>
      </w:r>
      <w:r w:rsidR="00B93013" w:rsidRPr="00770F09">
        <w:t>dio</w:t>
      </w:r>
      <w:r w:rsidRPr="00770F09">
        <w:t> 4.5).</w:t>
      </w:r>
    </w:p>
    <w:p w14:paraId="16C7CFC6" w14:textId="77777777" w:rsidR="0023264C" w:rsidRPr="00770F09" w:rsidRDefault="0023264C" w:rsidP="00195E0E">
      <w:pPr>
        <w:tabs>
          <w:tab w:val="left" w:pos="567"/>
        </w:tabs>
        <w:jc w:val="both"/>
      </w:pPr>
    </w:p>
    <w:p w14:paraId="0A7A9016" w14:textId="77777777" w:rsidR="0023264C" w:rsidRPr="00770F09" w:rsidRDefault="00D86669" w:rsidP="00195E0E">
      <w:pPr>
        <w:keepNext/>
        <w:tabs>
          <w:tab w:val="left" w:pos="567"/>
        </w:tabs>
        <w:jc w:val="both"/>
        <w:rPr>
          <w:bCs/>
          <w:u w:val="single"/>
        </w:rPr>
      </w:pPr>
      <w:r w:rsidRPr="00770F09">
        <w:rPr>
          <w:u w:val="single"/>
        </w:rPr>
        <w:lastRenderedPageBreak/>
        <w:t>Vectibix u kombinaciji sa bevacizumabom i hemioterapijom</w:t>
      </w:r>
    </w:p>
    <w:p w14:paraId="1AF65577" w14:textId="77777777" w:rsidR="0023264C" w:rsidRPr="00770F09" w:rsidRDefault="0023264C" w:rsidP="00195E0E">
      <w:pPr>
        <w:keepNext/>
        <w:tabs>
          <w:tab w:val="left" w:pos="567"/>
        </w:tabs>
        <w:jc w:val="both"/>
        <w:rPr>
          <w:bCs/>
          <w:u w:val="single"/>
        </w:rPr>
      </w:pPr>
    </w:p>
    <w:p w14:paraId="773975EB" w14:textId="0E732CF4" w:rsidR="0023264C" w:rsidRPr="00770F09" w:rsidRDefault="00D86669" w:rsidP="00195E0E">
      <w:pPr>
        <w:tabs>
          <w:tab w:val="left" w:pos="567"/>
        </w:tabs>
        <w:jc w:val="both"/>
      </w:pPr>
      <w:r w:rsidRPr="00770F09">
        <w:t>Primijećen je kraći period preživljavanja bez progresije bolesti i povećan broj smrtnih slučajeva kod pacijenata koji su primali lijek Vectibix u kombinaciji sa bevacizumabom i hemioterapijom. Primijećena je i veća učestalost plućne embolije, infekcija (uglavnom dermatoloških), dijareje, poremećaja elektrolita, mučnine, povraćanja i dehidratacije takođe je primijećena u grupi pacijenata koji su primali Vectibix u kombinaciji sa bevacizumabom i hemioterapijom. Lijek Vectibix ne treba primjenjivati u kombinaciji sa hemioterapijom koja sadrži bevacizumab (vidjeti</w:t>
      </w:r>
      <w:r w:rsidR="00822A75" w:rsidRPr="00770F09">
        <w:t xml:space="preserve"> </w:t>
      </w:r>
      <w:r w:rsidR="00C4278F" w:rsidRPr="00770F09">
        <w:t xml:space="preserve">dio </w:t>
      </w:r>
      <w:r w:rsidRPr="00770F09">
        <w:t> 4.5 i 5.1).</w:t>
      </w:r>
    </w:p>
    <w:p w14:paraId="726DA158" w14:textId="77777777" w:rsidR="0023264C" w:rsidRPr="00770F09" w:rsidRDefault="0023264C" w:rsidP="00195E0E">
      <w:pPr>
        <w:tabs>
          <w:tab w:val="left" w:pos="567"/>
        </w:tabs>
        <w:jc w:val="both"/>
      </w:pPr>
    </w:p>
    <w:p w14:paraId="72D3993D" w14:textId="77777777" w:rsidR="0023264C" w:rsidRPr="00770F09" w:rsidRDefault="00D86669" w:rsidP="00195E0E">
      <w:pPr>
        <w:pStyle w:val="11ptUnderline"/>
        <w:jc w:val="both"/>
      </w:pPr>
      <w:r w:rsidRPr="00770F09">
        <w:t xml:space="preserve">Vectibix u kombinaciji sa hemioterapijom zasnovanom na oksaliplatinu kod pacijenata sa mCRC sa mutiranim </w:t>
      </w:r>
      <w:r w:rsidRPr="00770F09">
        <w:rPr>
          <w:i/>
        </w:rPr>
        <w:t>RAS</w:t>
      </w:r>
      <w:r w:rsidRPr="00770F09">
        <w:t xml:space="preserve"> genom ili kod kojih </w:t>
      </w:r>
      <w:r w:rsidRPr="00770F09">
        <w:rPr>
          <w:i/>
        </w:rPr>
        <w:t>RAS</w:t>
      </w:r>
      <w:r w:rsidRPr="00770F09">
        <w:t xml:space="preserve"> status tumora nije poznat</w:t>
      </w:r>
    </w:p>
    <w:p w14:paraId="3AAAA522" w14:textId="77777777" w:rsidR="0023264C" w:rsidRPr="00770F09" w:rsidRDefault="0023264C" w:rsidP="00195E0E">
      <w:pPr>
        <w:keepNext/>
        <w:tabs>
          <w:tab w:val="left" w:pos="567"/>
        </w:tabs>
        <w:jc w:val="both"/>
        <w:rPr>
          <w:b/>
          <w:bCs/>
          <w:iCs/>
        </w:rPr>
      </w:pPr>
    </w:p>
    <w:p w14:paraId="3F8DD973" w14:textId="051AD16A" w:rsidR="00B150E6" w:rsidRPr="00770F09" w:rsidRDefault="00D86669" w:rsidP="00195E0E">
      <w:pPr>
        <w:tabs>
          <w:tab w:val="left" w:pos="567"/>
        </w:tabs>
        <w:jc w:val="both"/>
      </w:pPr>
      <w:r w:rsidRPr="00770F09">
        <w:t xml:space="preserve">Kombinacija lijeka Vectibix sa hemioterapijom koja sadrži oksaliplatin je kontraindikovana kod mCRC pacijenata sa mutiranim </w:t>
      </w:r>
      <w:r w:rsidRPr="00770F09">
        <w:rPr>
          <w:i/>
        </w:rPr>
        <w:t>RAS</w:t>
      </w:r>
      <w:r w:rsidRPr="00770F09">
        <w:t xml:space="preserve"> genom i kod pacijenata kod kojih </w:t>
      </w:r>
      <w:r w:rsidRPr="00770F09">
        <w:rPr>
          <w:i/>
        </w:rPr>
        <w:t>RAS</w:t>
      </w:r>
      <w:r w:rsidRPr="00770F09">
        <w:t xml:space="preserve"> status mCRC nije poznat (vidjeti </w:t>
      </w:r>
      <w:r w:rsidR="00C4278F" w:rsidRPr="00770F09">
        <w:t xml:space="preserve">dijelove </w:t>
      </w:r>
      <w:r w:rsidRPr="00770F09">
        <w:t>4.3 i 5.1).</w:t>
      </w:r>
    </w:p>
    <w:p w14:paraId="3FDBF149" w14:textId="77777777" w:rsidR="0023264C" w:rsidRPr="00770F09" w:rsidRDefault="0023264C" w:rsidP="00195E0E">
      <w:pPr>
        <w:tabs>
          <w:tab w:val="left" w:pos="567"/>
        </w:tabs>
        <w:jc w:val="both"/>
      </w:pPr>
    </w:p>
    <w:p w14:paraId="73C4558F" w14:textId="64C81913" w:rsidR="00B150E6" w:rsidRPr="00770F09" w:rsidRDefault="00AA77D0" w:rsidP="00195E0E">
      <w:pPr>
        <w:tabs>
          <w:tab w:val="left" w:pos="567"/>
        </w:tabs>
        <w:jc w:val="both"/>
      </w:pPr>
      <w:r w:rsidRPr="00770F09">
        <w:t xml:space="preserve">Uočeno je kraće preživljavanje bez progresije (PFS) i ukupno preživljavanje (OS) kod pacijenata sa mutiranim </w:t>
      </w:r>
      <w:r w:rsidRPr="00770F09">
        <w:rPr>
          <w:i/>
        </w:rPr>
        <w:t>KRAS</w:t>
      </w:r>
      <w:r w:rsidRPr="00770F09">
        <w:t xml:space="preserve"> (ekson 2) tumorima i dodatnim </w:t>
      </w:r>
      <w:r w:rsidRPr="00770F09">
        <w:rPr>
          <w:i/>
        </w:rPr>
        <w:t>RAS</w:t>
      </w:r>
      <w:r w:rsidRPr="00770F09">
        <w:t xml:space="preserve"> mutacijama (</w:t>
      </w:r>
      <w:r w:rsidRPr="00770F09">
        <w:rPr>
          <w:i/>
        </w:rPr>
        <w:t>KRAS</w:t>
      </w:r>
      <w:r w:rsidRPr="00770F09">
        <w:t xml:space="preserve"> [eksoni 3 i 4] ili </w:t>
      </w:r>
      <w:r w:rsidRPr="00770F09">
        <w:rPr>
          <w:i/>
        </w:rPr>
        <w:t>NRAS</w:t>
      </w:r>
      <w:r w:rsidRPr="00770F09">
        <w:t xml:space="preserve"> [eksoni 2, 3, 4]) koji su dobijali panitumumab u kombinaciji sa infuzionim rastvorima 5</w:t>
      </w:r>
      <w:r w:rsidRPr="00770F09">
        <w:noBreakHyphen/>
        <w:t>fluorouracila, leukovorina i oksaliplatina (FOLFOX) u odnosu na pacijente koji su dobijali samo FOLFOX (vidjeti</w:t>
      </w:r>
      <w:r w:rsidR="00822A75" w:rsidRPr="00770F09">
        <w:t xml:space="preserve"> </w:t>
      </w:r>
      <w:r w:rsidR="00C4278F" w:rsidRPr="00770F09">
        <w:t xml:space="preserve">dio </w:t>
      </w:r>
      <w:r w:rsidRPr="00770F09">
        <w:t> 5.1).</w:t>
      </w:r>
    </w:p>
    <w:p w14:paraId="7EF50B45" w14:textId="77777777" w:rsidR="0023264C" w:rsidRPr="00770F09" w:rsidRDefault="0023264C" w:rsidP="00195E0E">
      <w:pPr>
        <w:tabs>
          <w:tab w:val="left" w:pos="567"/>
        </w:tabs>
        <w:jc w:val="both"/>
      </w:pPr>
    </w:p>
    <w:p w14:paraId="19BE47BC" w14:textId="1D9B5C71" w:rsidR="00B150E6" w:rsidRPr="00770F09" w:rsidRDefault="00D86669" w:rsidP="00195E0E">
      <w:pPr>
        <w:tabs>
          <w:tab w:val="left" w:pos="567"/>
        </w:tabs>
        <w:jc w:val="both"/>
      </w:pPr>
      <w:r w:rsidRPr="00770F09">
        <w:rPr>
          <w:i/>
        </w:rPr>
        <w:t xml:space="preserve">RAS </w:t>
      </w:r>
      <w:r w:rsidRPr="00770F09">
        <w:t>mutacioni status treba odrediti pomoću validirane test metode u odgovarajućoj laboratoriji (videti</w:t>
      </w:r>
      <w:r w:rsidR="00822A75" w:rsidRPr="00770F09">
        <w:t xml:space="preserve"> </w:t>
      </w:r>
      <w:r w:rsidR="00B93013" w:rsidRPr="00770F09">
        <w:t>dio</w:t>
      </w:r>
      <w:r w:rsidRPr="00770F09">
        <w:t xml:space="preserve"> 4.2). Ukoliko se Vectibix koristi u kombinaciji sa FOLFOX, preporuka je da se mutacioni status odredi u laboratoriji koja je učesnik </w:t>
      </w:r>
      <w:r w:rsidRPr="00770F09">
        <w:rPr>
          <w:i/>
        </w:rPr>
        <w:t xml:space="preserve">RAS External Quality Assurance programme </w:t>
      </w:r>
      <w:r w:rsidRPr="00770F09">
        <w:t>ili status divljeg tipa tumora potvrdi ponovljenim testom.</w:t>
      </w:r>
    </w:p>
    <w:p w14:paraId="33D2BFE7" w14:textId="77777777" w:rsidR="0023264C" w:rsidRPr="00770F09" w:rsidRDefault="0023264C" w:rsidP="00195E0E">
      <w:pPr>
        <w:tabs>
          <w:tab w:val="left" w:pos="567"/>
        </w:tabs>
        <w:jc w:val="both"/>
      </w:pPr>
    </w:p>
    <w:p w14:paraId="3718DB22" w14:textId="77777777" w:rsidR="0023264C" w:rsidRPr="00770F09" w:rsidRDefault="008A455C" w:rsidP="00195E0E">
      <w:pPr>
        <w:keepNext/>
        <w:tabs>
          <w:tab w:val="left" w:pos="567"/>
        </w:tabs>
        <w:jc w:val="both"/>
        <w:rPr>
          <w:u w:val="single"/>
        </w:rPr>
      </w:pPr>
      <w:r w:rsidRPr="00770F09">
        <w:rPr>
          <w:u w:val="single"/>
        </w:rPr>
        <w:t>Okularna toksičnost</w:t>
      </w:r>
    </w:p>
    <w:p w14:paraId="4F9B7580" w14:textId="77777777" w:rsidR="0023264C" w:rsidRPr="00770F09" w:rsidRDefault="0023264C" w:rsidP="00195E0E">
      <w:pPr>
        <w:keepNext/>
        <w:tabs>
          <w:tab w:val="left" w:pos="567"/>
        </w:tabs>
        <w:jc w:val="both"/>
      </w:pPr>
    </w:p>
    <w:p w14:paraId="19F79AA6" w14:textId="3499090C" w:rsidR="00B150E6" w:rsidRPr="00770F09" w:rsidRDefault="008A455C" w:rsidP="00195E0E">
      <w:pPr>
        <w:tabs>
          <w:tab w:val="left" w:pos="567"/>
        </w:tabs>
        <w:jc w:val="both"/>
        <w:rPr>
          <w:bCs/>
        </w:rPr>
      </w:pPr>
      <w:r w:rsidRPr="00770F09">
        <w:t>Prijavljeni su teški slučajevi keratitisa i ulceroznog keratitisa, koji mogu da dovedu do perforacije rožnjače. Pacijente kod kojih se jave znaci ili simptomi koji ukazuju na keratitis, kao što su akutno ili pogoršano stanje: zapaljenja očiju, lakrimacija, blaga osjetljivost na svjetlo, zamućen vid, bol u oku i/ili crvenilo očiju, treba odmah uputiti specijalisti oftalmologu.</w:t>
      </w:r>
    </w:p>
    <w:p w14:paraId="4AF4A267" w14:textId="77777777" w:rsidR="0023264C" w:rsidRPr="00770F09" w:rsidRDefault="0023264C" w:rsidP="00195E0E">
      <w:pPr>
        <w:tabs>
          <w:tab w:val="left" w:pos="567"/>
        </w:tabs>
        <w:jc w:val="both"/>
        <w:rPr>
          <w:bCs/>
        </w:rPr>
      </w:pPr>
    </w:p>
    <w:p w14:paraId="260729ED" w14:textId="77777777" w:rsidR="0023264C" w:rsidRPr="00770F09" w:rsidRDefault="008A455C" w:rsidP="00195E0E">
      <w:pPr>
        <w:tabs>
          <w:tab w:val="left" w:pos="567"/>
        </w:tabs>
        <w:jc w:val="both"/>
        <w:rPr>
          <w:bCs/>
        </w:rPr>
      </w:pPr>
      <w:r w:rsidRPr="00770F09">
        <w:t>Ukoliko se potvrdi dijagnoza ulceroznog keratitisa, treba prekinuti ili potpuno obustaviti liječenje lijekom Vectibix. Ukoliko se potvrdi dijagnoza keratitisa, treba pažljivo razmotriti koristi i rizike liječenja.</w:t>
      </w:r>
    </w:p>
    <w:p w14:paraId="7BE04123" w14:textId="77777777" w:rsidR="0023264C" w:rsidRPr="00770F09" w:rsidRDefault="0023264C" w:rsidP="00195E0E">
      <w:pPr>
        <w:tabs>
          <w:tab w:val="left" w:pos="567"/>
        </w:tabs>
        <w:jc w:val="both"/>
        <w:rPr>
          <w:bCs/>
        </w:rPr>
      </w:pPr>
    </w:p>
    <w:p w14:paraId="652FC5F6" w14:textId="77777777" w:rsidR="0023264C" w:rsidRPr="00770F09" w:rsidRDefault="008A455C" w:rsidP="00195E0E">
      <w:pPr>
        <w:tabs>
          <w:tab w:val="left" w:pos="567"/>
        </w:tabs>
        <w:jc w:val="both"/>
        <w:rPr>
          <w:bCs/>
        </w:rPr>
      </w:pPr>
      <w:r w:rsidRPr="00770F09">
        <w:t>Vectibix treba koristiti sa oprezom kod pacijenata sa anamnezom keratitisa, ulceroznog keratitisa ili teške suvoće očiju. Korišćenje kontaktnih sočiva takođe predstavlja faktor rizika za nastanak keratitisa i ulceracija.</w:t>
      </w:r>
    </w:p>
    <w:p w14:paraId="74CA5E15" w14:textId="77777777" w:rsidR="0023264C" w:rsidRPr="00770F09" w:rsidRDefault="0023264C" w:rsidP="00195E0E">
      <w:pPr>
        <w:tabs>
          <w:tab w:val="left" w:pos="567"/>
        </w:tabs>
        <w:jc w:val="both"/>
      </w:pPr>
    </w:p>
    <w:p w14:paraId="1288452A" w14:textId="77777777" w:rsidR="0023264C" w:rsidRPr="00770F09" w:rsidRDefault="00F46BA8" w:rsidP="00195E0E">
      <w:pPr>
        <w:keepNext/>
        <w:tabs>
          <w:tab w:val="left" w:pos="567"/>
        </w:tabs>
        <w:jc w:val="both"/>
        <w:rPr>
          <w:bCs/>
          <w:u w:val="single"/>
        </w:rPr>
      </w:pPr>
      <w:r w:rsidRPr="00770F09">
        <w:rPr>
          <w:u w:val="single"/>
        </w:rPr>
        <w:t>Pacijenti sa ECOG 2 performance statusom (opštim stanjem pacijenta merenim ECOG skalom) liječeni lijekom Vectibix u kombinaciji sa hemioterapijom</w:t>
      </w:r>
    </w:p>
    <w:p w14:paraId="10D227B7" w14:textId="77777777" w:rsidR="0023264C" w:rsidRPr="00770F09" w:rsidRDefault="0023264C" w:rsidP="00195E0E">
      <w:pPr>
        <w:keepNext/>
        <w:tabs>
          <w:tab w:val="left" w:pos="567"/>
        </w:tabs>
        <w:jc w:val="both"/>
      </w:pPr>
    </w:p>
    <w:p w14:paraId="694A4795" w14:textId="77777777" w:rsidR="0023264C" w:rsidRPr="00770F09" w:rsidRDefault="00F46BA8" w:rsidP="00195E0E">
      <w:pPr>
        <w:tabs>
          <w:tab w:val="left" w:pos="567"/>
        </w:tabs>
        <w:jc w:val="both"/>
      </w:pPr>
      <w:r w:rsidRPr="00770F09">
        <w:t>Kod pacijenata sa ECOG 2 Performance statusom, preporučuje se procjena koristi i rizika prije započinjanja primjene lijeka Vectibix u kombinaciji sa hemioterapijom za liječenje mCRC. Kod pacijenata sa ECOG 2 Performance statusom, nije zabilježen pozitivan odnos koristi i rizika.</w:t>
      </w:r>
    </w:p>
    <w:p w14:paraId="61A9107E" w14:textId="77777777" w:rsidR="0023264C" w:rsidRPr="00770F09" w:rsidRDefault="0023264C" w:rsidP="00195E0E">
      <w:pPr>
        <w:tabs>
          <w:tab w:val="left" w:pos="567"/>
        </w:tabs>
        <w:jc w:val="both"/>
      </w:pPr>
    </w:p>
    <w:p w14:paraId="2DEAAB29" w14:textId="77777777" w:rsidR="0023264C" w:rsidRPr="00770F09" w:rsidRDefault="00F46BA8" w:rsidP="00195E0E">
      <w:pPr>
        <w:keepNext/>
        <w:tabs>
          <w:tab w:val="left" w:pos="567"/>
        </w:tabs>
        <w:jc w:val="both"/>
        <w:rPr>
          <w:u w:val="single"/>
        </w:rPr>
      </w:pPr>
      <w:r w:rsidRPr="00770F09">
        <w:rPr>
          <w:u w:val="single"/>
        </w:rPr>
        <w:t>Stariji pacijenti</w:t>
      </w:r>
    </w:p>
    <w:p w14:paraId="1EB50143" w14:textId="77777777" w:rsidR="0023264C" w:rsidRPr="00770F09" w:rsidRDefault="0023264C" w:rsidP="00195E0E">
      <w:pPr>
        <w:keepNext/>
        <w:tabs>
          <w:tab w:val="left" w:pos="567"/>
        </w:tabs>
        <w:jc w:val="both"/>
      </w:pPr>
    </w:p>
    <w:p w14:paraId="20FE381D" w14:textId="065544AE" w:rsidR="0023264C" w:rsidRPr="00770F09" w:rsidRDefault="00F46BA8" w:rsidP="00195E0E">
      <w:pPr>
        <w:tabs>
          <w:tab w:val="left" w:pos="567"/>
        </w:tabs>
        <w:jc w:val="both"/>
      </w:pPr>
      <w:r w:rsidRPr="00770F09">
        <w:t>Nije primijećena ukupna razlika u bezbjednosti i efikasnosti kod starijih pacijenata (≥ 65 godina) liječenih lijekom Vectibix u obliku monoterapije. Međutim, prijavljen je veći broj teških neželjenih reakcija kod starijih pacijenata liječenih lijekom Vectibix u kombinaciji sa FOLFIRI ili FOLFOX hemioterapijom u poređenju sa primjenom same hemioterapije (vidjeti</w:t>
      </w:r>
      <w:r w:rsidR="00822A75" w:rsidRPr="00770F09">
        <w:t xml:space="preserve"> </w:t>
      </w:r>
      <w:r w:rsidR="00B93013" w:rsidRPr="00770F09">
        <w:t>dio</w:t>
      </w:r>
      <w:r w:rsidRPr="00770F09">
        <w:t> 4.8).</w:t>
      </w:r>
    </w:p>
    <w:p w14:paraId="53BB8308" w14:textId="77777777" w:rsidR="0023264C" w:rsidRPr="00770F09" w:rsidRDefault="0023264C" w:rsidP="00195E0E">
      <w:pPr>
        <w:tabs>
          <w:tab w:val="left" w:pos="567"/>
        </w:tabs>
        <w:jc w:val="both"/>
      </w:pPr>
    </w:p>
    <w:p w14:paraId="5B9EA338" w14:textId="3D7EEB87" w:rsidR="0023264C" w:rsidRPr="00770F09" w:rsidRDefault="0079155F" w:rsidP="00195E0E">
      <w:pPr>
        <w:keepNext/>
        <w:tabs>
          <w:tab w:val="left" w:pos="567"/>
        </w:tabs>
        <w:jc w:val="both"/>
        <w:rPr>
          <w:u w:val="single"/>
        </w:rPr>
      </w:pPr>
      <w:r w:rsidRPr="00770F09">
        <w:rPr>
          <w:u w:val="single"/>
        </w:rPr>
        <w:lastRenderedPageBreak/>
        <w:t>Upozorenje o pomoćnim supstancama</w:t>
      </w:r>
    </w:p>
    <w:p w14:paraId="6FE888F6" w14:textId="77777777" w:rsidR="0023264C" w:rsidRPr="00770F09" w:rsidRDefault="0023264C" w:rsidP="00195E0E">
      <w:pPr>
        <w:keepNext/>
        <w:tabs>
          <w:tab w:val="left" w:pos="567"/>
        </w:tabs>
        <w:jc w:val="both"/>
        <w:rPr>
          <w:u w:val="single"/>
        </w:rPr>
      </w:pPr>
    </w:p>
    <w:p w14:paraId="7E72586A" w14:textId="6DFCD4CB" w:rsidR="0079155F" w:rsidRPr="00770F09" w:rsidRDefault="0079155F" w:rsidP="00195E0E">
      <w:pPr>
        <w:pStyle w:val="Style11"/>
        <w:jc w:val="both"/>
      </w:pPr>
      <w:r w:rsidRPr="00770F09">
        <w:t>Ovaj lijek sadrži 3,45 mg natrijuma po ml, što je jednako 0,17 % najvišeg dnevnog unosa od 2 g natrijuma koji SZO preporučuje za odrasle.</w:t>
      </w:r>
    </w:p>
    <w:p w14:paraId="638A750F" w14:textId="77777777" w:rsidR="0023264C" w:rsidRPr="00770F09" w:rsidRDefault="0023264C" w:rsidP="00195E0E">
      <w:pPr>
        <w:tabs>
          <w:tab w:val="left" w:pos="567"/>
        </w:tabs>
        <w:jc w:val="both"/>
      </w:pPr>
    </w:p>
    <w:p w14:paraId="51B9B2CA" w14:textId="77777777" w:rsidR="0023264C" w:rsidRPr="00770F09" w:rsidRDefault="0046697B" w:rsidP="00195E0E">
      <w:pPr>
        <w:pStyle w:val="11ptBold"/>
        <w:jc w:val="both"/>
      </w:pPr>
      <w:r w:rsidRPr="00770F09">
        <w:t>4.5.</w:t>
      </w:r>
      <w:r w:rsidRPr="00770F09">
        <w:tab/>
        <w:t>Interakcije sa drugim ljekovima i druge vrste interakcija</w:t>
      </w:r>
    </w:p>
    <w:p w14:paraId="5C0CD044" w14:textId="77777777" w:rsidR="0023264C" w:rsidRPr="00770F09" w:rsidRDefault="0023264C" w:rsidP="00195E0E">
      <w:pPr>
        <w:keepNext/>
        <w:tabs>
          <w:tab w:val="left" w:pos="567"/>
        </w:tabs>
        <w:jc w:val="both"/>
      </w:pPr>
    </w:p>
    <w:p w14:paraId="729E9538" w14:textId="77777777" w:rsidR="0023264C" w:rsidRPr="00770F09" w:rsidRDefault="0046697B" w:rsidP="00195E0E">
      <w:pPr>
        <w:tabs>
          <w:tab w:val="left" w:pos="567"/>
        </w:tabs>
        <w:jc w:val="both"/>
      </w:pPr>
      <w:r w:rsidRPr="00770F09">
        <w:t>Podaci iz studije interakcije lijeka Vectibix i irinotekana kod pacijenata sa mCRC ukazuju na to da se farmakokinetika irinotekana i njegovog aktivnog metabolita, SN</w:t>
      </w:r>
      <w:r w:rsidRPr="00770F09">
        <w:noBreakHyphen/>
        <w:t>38, ne mijenja pri istovremenoj primjeni ova dva lijeka. Rezultati poređenja u „cross</w:t>
      </w:r>
      <w:r w:rsidRPr="00770F09">
        <w:noBreakHyphen/>
        <w:t>over“ studiji ukazuju na to da terapijski režimi koji sadrže irinotekan (IFL ili FOLFIRI) nemaju uticaj na farmakokinetiku panitumumaba.</w:t>
      </w:r>
    </w:p>
    <w:p w14:paraId="48CF815A" w14:textId="77777777" w:rsidR="0023264C" w:rsidRPr="00770F09" w:rsidRDefault="0023264C" w:rsidP="00195E0E">
      <w:pPr>
        <w:tabs>
          <w:tab w:val="left" w:pos="567"/>
        </w:tabs>
        <w:jc w:val="both"/>
      </w:pPr>
    </w:p>
    <w:p w14:paraId="5BA224D9" w14:textId="63833A27" w:rsidR="0023264C" w:rsidRPr="00770F09" w:rsidRDefault="0046697B" w:rsidP="00195E0E">
      <w:pPr>
        <w:tabs>
          <w:tab w:val="left" w:pos="567"/>
        </w:tabs>
        <w:jc w:val="both"/>
      </w:pPr>
      <w:r w:rsidRPr="00770F09">
        <w:t>Vectibix ne treba primjenjivati u kombinaciji sa IFL hemioterapijom ili hemioterapijom koja sadrži bevacizumab. Kod primjene panitumumaba u kombinaciji sa IFL hemioterapijom primijećena je povećana incidenca teške dijareje (vidjeti</w:t>
      </w:r>
      <w:r w:rsidR="00822A75" w:rsidRPr="00770F09">
        <w:t xml:space="preserve"> </w:t>
      </w:r>
      <w:r w:rsidR="00C4278F" w:rsidRPr="00770F09">
        <w:t xml:space="preserve">dio </w:t>
      </w:r>
      <w:r w:rsidRPr="00770F09">
        <w:t> 4.4), a povećana toksičnost i broj smrtnih slučajeva prim</w:t>
      </w:r>
      <w:r w:rsidR="002F15DD" w:rsidRPr="00770F09">
        <w:t>ij</w:t>
      </w:r>
      <w:r w:rsidRPr="00770F09">
        <w:t>ećeni su kad je panitumumab bio kombinovan sa bevacizumabom i hemioterapijom (vidjeti</w:t>
      </w:r>
      <w:r w:rsidR="00822A75" w:rsidRPr="00770F09">
        <w:t xml:space="preserve"> </w:t>
      </w:r>
      <w:r w:rsidR="00C4278F" w:rsidRPr="00770F09">
        <w:t xml:space="preserve">dijelove </w:t>
      </w:r>
      <w:r w:rsidRPr="00770F09">
        <w:t> 4.4 i 5.1).</w:t>
      </w:r>
    </w:p>
    <w:p w14:paraId="766C79C9" w14:textId="77777777" w:rsidR="0023264C" w:rsidRPr="00770F09" w:rsidRDefault="0023264C" w:rsidP="00195E0E">
      <w:pPr>
        <w:tabs>
          <w:tab w:val="left" w:pos="567"/>
        </w:tabs>
        <w:jc w:val="both"/>
        <w:rPr>
          <w:iCs/>
        </w:rPr>
      </w:pPr>
    </w:p>
    <w:p w14:paraId="3A8915DF" w14:textId="7E8403AF" w:rsidR="0023264C" w:rsidRPr="00770F09" w:rsidRDefault="0046697B" w:rsidP="00195E0E">
      <w:pPr>
        <w:tabs>
          <w:tab w:val="left" w:pos="567"/>
        </w:tabs>
        <w:jc w:val="both"/>
        <w:rPr>
          <w:iCs/>
        </w:rPr>
      </w:pPr>
      <w:r w:rsidRPr="00770F09">
        <w:t xml:space="preserve">Vectibix ne treba primjenjivati u kombinaciji sa hemioterapijom koja sadrži oksaliplatin kod pacijenata sa mCRC sa mutiranim </w:t>
      </w:r>
      <w:r w:rsidRPr="00770F09">
        <w:rPr>
          <w:i/>
        </w:rPr>
        <w:t>RAS</w:t>
      </w:r>
      <w:r w:rsidRPr="00770F09">
        <w:t xml:space="preserve"> genom kao i kod pacijenata kod kojih status </w:t>
      </w:r>
      <w:r w:rsidRPr="00770F09">
        <w:rPr>
          <w:i/>
        </w:rPr>
        <w:t>RAS</w:t>
      </w:r>
      <w:r w:rsidRPr="00770F09">
        <w:t xml:space="preserve"> gena nije poznat. Kraće preživljavanje bez progresije bolesti i kraće ukupno preživljavanje uočeni su u kliničkoj studiji kod pacijenata sa mutiranim </w:t>
      </w:r>
      <w:r w:rsidRPr="00770F09">
        <w:rPr>
          <w:i/>
        </w:rPr>
        <w:t>RAS</w:t>
      </w:r>
      <w:r w:rsidRPr="00770F09">
        <w:t xml:space="preserve"> tumorima koji su dobijali panitumumab u kombinaciji sa FOLFOX (vidjeti</w:t>
      </w:r>
      <w:r w:rsidR="00822A75" w:rsidRPr="00770F09">
        <w:t xml:space="preserve"> </w:t>
      </w:r>
      <w:r w:rsidR="00C4278F" w:rsidRPr="00770F09">
        <w:t xml:space="preserve">dijelove </w:t>
      </w:r>
      <w:r w:rsidRPr="00770F09">
        <w:t> 4.4 i 5.1).</w:t>
      </w:r>
    </w:p>
    <w:p w14:paraId="3818DD9C" w14:textId="77777777" w:rsidR="0023264C" w:rsidRPr="00770F09" w:rsidRDefault="0023264C" w:rsidP="00195E0E">
      <w:pPr>
        <w:tabs>
          <w:tab w:val="left" w:pos="567"/>
        </w:tabs>
        <w:jc w:val="both"/>
      </w:pPr>
    </w:p>
    <w:p w14:paraId="2CFA7C18" w14:textId="78C7DED6" w:rsidR="0023264C" w:rsidRPr="00770F09" w:rsidRDefault="00722950" w:rsidP="00195E0E">
      <w:pPr>
        <w:pStyle w:val="11ptBold"/>
        <w:jc w:val="both"/>
      </w:pPr>
      <w:r w:rsidRPr="00770F09">
        <w:t>4.6.</w:t>
      </w:r>
      <w:r w:rsidRPr="00770F09">
        <w:tab/>
        <w:t>Plodnost, trudnoća i dojenje</w:t>
      </w:r>
    </w:p>
    <w:p w14:paraId="20777711" w14:textId="77777777" w:rsidR="0023264C" w:rsidRPr="00770F09" w:rsidRDefault="0023264C" w:rsidP="00195E0E">
      <w:pPr>
        <w:keepNext/>
        <w:tabs>
          <w:tab w:val="left" w:pos="567"/>
        </w:tabs>
        <w:jc w:val="both"/>
      </w:pPr>
    </w:p>
    <w:p w14:paraId="221F928E" w14:textId="77777777" w:rsidR="0023264C" w:rsidRPr="00770F09" w:rsidRDefault="00722950" w:rsidP="00195E0E">
      <w:pPr>
        <w:pStyle w:val="lbltxt"/>
        <w:keepNext/>
        <w:jc w:val="both"/>
        <w:rPr>
          <w:u w:val="single"/>
        </w:rPr>
      </w:pPr>
      <w:r w:rsidRPr="00770F09">
        <w:rPr>
          <w:u w:val="single"/>
        </w:rPr>
        <w:t>Trudnoća</w:t>
      </w:r>
    </w:p>
    <w:p w14:paraId="30462116" w14:textId="77777777" w:rsidR="0023264C" w:rsidRPr="00770F09" w:rsidRDefault="0023264C" w:rsidP="00195E0E">
      <w:pPr>
        <w:keepNext/>
        <w:tabs>
          <w:tab w:val="left" w:pos="567"/>
        </w:tabs>
        <w:jc w:val="both"/>
      </w:pPr>
    </w:p>
    <w:p w14:paraId="0D70181F" w14:textId="1887F817" w:rsidR="00B150E6" w:rsidRPr="00770F09" w:rsidRDefault="00722950" w:rsidP="00195E0E">
      <w:pPr>
        <w:tabs>
          <w:tab w:val="left" w:pos="567"/>
        </w:tabs>
        <w:jc w:val="both"/>
      </w:pPr>
      <w:r w:rsidRPr="00770F09">
        <w:t>Nema adekvatnih podataka o primjeni lijeka Vectibix kod trudnica. Studije na životinjama su pokazale reproduktivnu toksičnost (vidjeti</w:t>
      </w:r>
      <w:r w:rsidR="00822A75" w:rsidRPr="00770F09">
        <w:t xml:space="preserve"> </w:t>
      </w:r>
      <w:r w:rsidR="00B93013" w:rsidRPr="00770F09">
        <w:t>dio</w:t>
      </w:r>
      <w:r w:rsidRPr="00770F09">
        <w:t> 5.3). Potencijalni rizik kod ljudi nije poznat. EGFR je uključen u kontrolu prenatalnog razvoja i može biti od presudnog značaja za normalnu organogenezu, proliferaciju i diferencijaciju embriona koji se razvija. Iz navedenih razloga, postoji mogućnost da Vectibix izazove fetalno oštećenje kada ga koriste trudnice.</w:t>
      </w:r>
    </w:p>
    <w:p w14:paraId="205A098C" w14:textId="77777777" w:rsidR="0023264C" w:rsidRPr="00770F09" w:rsidRDefault="0023264C" w:rsidP="00195E0E">
      <w:pPr>
        <w:tabs>
          <w:tab w:val="left" w:pos="567"/>
        </w:tabs>
        <w:jc w:val="both"/>
      </w:pPr>
    </w:p>
    <w:p w14:paraId="392D00BF" w14:textId="77777777" w:rsidR="00B150E6" w:rsidRPr="00770F09" w:rsidRDefault="00722950" w:rsidP="00195E0E">
      <w:pPr>
        <w:tabs>
          <w:tab w:val="left" w:pos="567"/>
        </w:tabs>
        <w:jc w:val="both"/>
      </w:pPr>
      <w:r w:rsidRPr="00770F09">
        <w:t>Poznato je da humani IgG prolazi kroz placentu, tako da panitumumab može da se prenese sa majke na fetus. Ženama u fertilnom periodu se savjetuje da tokom primjene lijeka Vectibix kao i 2 mjeseca nakon primjene posljednje doze koriste adekvatna sredstva kontracepcije. Ukoliko se Vectibix primjenjuje tokom trudnoće ili ukoliko pacijentkinja tokom terapije ostane u drugom stanju, treba joj objasniti koji su potencijalni rizici od gubitka trudnoće kao i potencijalni štetni uticaji na razvoj fetusa.</w:t>
      </w:r>
    </w:p>
    <w:p w14:paraId="0E8284C5" w14:textId="77777777" w:rsidR="0023264C" w:rsidRPr="00770F09" w:rsidRDefault="0023264C" w:rsidP="00195E0E">
      <w:pPr>
        <w:tabs>
          <w:tab w:val="left" w:pos="567"/>
        </w:tabs>
        <w:jc w:val="both"/>
      </w:pPr>
    </w:p>
    <w:p w14:paraId="402C23D4" w14:textId="77777777" w:rsidR="0023264C" w:rsidRPr="00770F09" w:rsidRDefault="00297587" w:rsidP="00195E0E">
      <w:pPr>
        <w:pStyle w:val="lbltxt"/>
        <w:keepNext/>
        <w:jc w:val="both"/>
        <w:rPr>
          <w:noProof w:val="0"/>
          <w:u w:val="single"/>
        </w:rPr>
      </w:pPr>
      <w:r w:rsidRPr="00770F09">
        <w:rPr>
          <w:u w:val="single"/>
        </w:rPr>
        <w:t>Dojenje</w:t>
      </w:r>
    </w:p>
    <w:p w14:paraId="78674092" w14:textId="77777777" w:rsidR="0023264C" w:rsidRPr="00770F09" w:rsidRDefault="0023264C" w:rsidP="00195E0E">
      <w:pPr>
        <w:keepNext/>
        <w:tabs>
          <w:tab w:val="left" w:pos="567"/>
        </w:tabs>
        <w:jc w:val="both"/>
      </w:pPr>
    </w:p>
    <w:p w14:paraId="2C2528F6" w14:textId="77777777" w:rsidR="00B150E6" w:rsidRPr="00770F09" w:rsidRDefault="00297587" w:rsidP="00195E0E">
      <w:pPr>
        <w:tabs>
          <w:tab w:val="left" w:pos="567"/>
        </w:tabs>
        <w:jc w:val="both"/>
      </w:pPr>
      <w:r w:rsidRPr="00770F09">
        <w:t>Nije poznato da li se panitumumab izlučuje u mlijeko. Budući da se humani IgG izlučuje u mlijeko, moguće je da je slučaj isti i sa panitumumabom. Nije poznato kolika je mogućnost resorpcije i štetnog uticaja na odojče nakon gutanja ove supstance. Preporučuje sa da se dojenje obustavi tokom terapije lijekom Vectibix i 2 mjeseca nakon primjene posljednje doze.</w:t>
      </w:r>
    </w:p>
    <w:p w14:paraId="28A12C07" w14:textId="77777777" w:rsidR="0023264C" w:rsidRPr="00770F09" w:rsidRDefault="0023264C" w:rsidP="00195E0E">
      <w:pPr>
        <w:tabs>
          <w:tab w:val="left" w:pos="567"/>
        </w:tabs>
        <w:jc w:val="both"/>
      </w:pPr>
    </w:p>
    <w:p w14:paraId="333A6A7A" w14:textId="4C31FDE0" w:rsidR="0023264C" w:rsidRPr="00770F09" w:rsidRDefault="002F15DD" w:rsidP="00195E0E">
      <w:pPr>
        <w:keepNext/>
        <w:tabs>
          <w:tab w:val="left" w:pos="567"/>
        </w:tabs>
        <w:jc w:val="both"/>
      </w:pPr>
      <w:r w:rsidRPr="00770F09">
        <w:t>Plodnost</w:t>
      </w:r>
    </w:p>
    <w:p w14:paraId="34E55EDB" w14:textId="77777777" w:rsidR="002F15DD" w:rsidRPr="00770F09" w:rsidRDefault="002F15DD" w:rsidP="00195E0E">
      <w:pPr>
        <w:keepNext/>
        <w:tabs>
          <w:tab w:val="left" w:pos="567"/>
        </w:tabs>
        <w:jc w:val="both"/>
      </w:pPr>
    </w:p>
    <w:p w14:paraId="6313ABBA" w14:textId="0505F38E" w:rsidR="0023264C" w:rsidRPr="00770F09" w:rsidRDefault="00CC447A" w:rsidP="00195E0E">
      <w:pPr>
        <w:tabs>
          <w:tab w:val="left" w:pos="567"/>
        </w:tabs>
        <w:jc w:val="both"/>
      </w:pPr>
      <w:r w:rsidRPr="00770F09">
        <w:t>Studije na životinjama su pokazale reverzibilan efekat na menstrualni ciklus i smanjenu plodnost kod ženki majmuna (vidjeti</w:t>
      </w:r>
      <w:r w:rsidR="00822A75" w:rsidRPr="00770F09">
        <w:t xml:space="preserve"> </w:t>
      </w:r>
      <w:r w:rsidR="00C4278F" w:rsidRPr="00770F09">
        <w:t>dio</w:t>
      </w:r>
      <w:r w:rsidRPr="00770F09">
        <w:t> 5.3). Panitumumab može da utiče na mogućnost žena da zatrudne.</w:t>
      </w:r>
    </w:p>
    <w:p w14:paraId="04AFDD82" w14:textId="77777777" w:rsidR="0023264C" w:rsidRPr="00770F09" w:rsidRDefault="0023264C" w:rsidP="00195E0E">
      <w:pPr>
        <w:tabs>
          <w:tab w:val="left" w:pos="567"/>
        </w:tabs>
        <w:jc w:val="both"/>
      </w:pPr>
    </w:p>
    <w:p w14:paraId="69D17D05" w14:textId="30C15279" w:rsidR="0023264C" w:rsidRPr="00770F09" w:rsidRDefault="00CC447A" w:rsidP="00195E0E">
      <w:pPr>
        <w:pStyle w:val="11ptBold"/>
        <w:jc w:val="both"/>
      </w:pPr>
      <w:r w:rsidRPr="00770F09">
        <w:t>4.7.</w:t>
      </w:r>
      <w:r w:rsidRPr="00770F09">
        <w:tab/>
        <w:t>Uticaj na sposobnost upravljanja vozilima i rukovanje mašinama</w:t>
      </w:r>
    </w:p>
    <w:p w14:paraId="24B61CE2" w14:textId="77777777" w:rsidR="0023264C" w:rsidRPr="00770F09" w:rsidRDefault="0023264C" w:rsidP="00195E0E">
      <w:pPr>
        <w:keepNext/>
        <w:tabs>
          <w:tab w:val="left" w:pos="567"/>
        </w:tabs>
        <w:jc w:val="both"/>
      </w:pPr>
    </w:p>
    <w:p w14:paraId="797ECB70" w14:textId="74A51A83" w:rsidR="0023264C" w:rsidRPr="00770F09" w:rsidRDefault="0079155F" w:rsidP="00195E0E">
      <w:pPr>
        <w:tabs>
          <w:tab w:val="left" w:pos="567"/>
        </w:tabs>
        <w:jc w:val="both"/>
      </w:pPr>
      <w:r w:rsidRPr="00770F09">
        <w:t xml:space="preserve">Vectibix može u manjoj mjeri uticati na sposobnosti prilikom upravljanja motornim vozilima i rukovanja mašinama. Ukoliko pacijent osjeti simptome nastale pod uticajem terapije koji utiču na vid </w:t>
      </w:r>
      <w:r w:rsidRPr="00770F09">
        <w:lastRenderedPageBreak/>
        <w:t>i/ili sposobnost koncentracije i pravovremenog reagovanja, savjetuje se da ne vozi i ne rukuje mašinama dok ovi simptomi ne prođu.</w:t>
      </w:r>
    </w:p>
    <w:p w14:paraId="104F7084" w14:textId="77777777" w:rsidR="0023264C" w:rsidRPr="00770F09" w:rsidRDefault="0023264C" w:rsidP="00195E0E">
      <w:pPr>
        <w:tabs>
          <w:tab w:val="left" w:pos="567"/>
        </w:tabs>
        <w:jc w:val="both"/>
      </w:pPr>
    </w:p>
    <w:p w14:paraId="529C2FEC" w14:textId="77777777" w:rsidR="0023264C" w:rsidRPr="00770F09" w:rsidRDefault="001C3A71" w:rsidP="00195E0E">
      <w:pPr>
        <w:pStyle w:val="11ptBold"/>
        <w:jc w:val="both"/>
      </w:pPr>
      <w:r w:rsidRPr="00770F09">
        <w:t>4.8.</w:t>
      </w:r>
      <w:r w:rsidRPr="00770F09">
        <w:tab/>
        <w:t>Neželjena dejstva</w:t>
      </w:r>
    </w:p>
    <w:p w14:paraId="4CE764DF" w14:textId="77777777" w:rsidR="0023264C" w:rsidRPr="00770F09" w:rsidRDefault="0023264C" w:rsidP="00195E0E">
      <w:pPr>
        <w:pStyle w:val="lbltxt"/>
        <w:keepNext/>
        <w:jc w:val="both"/>
        <w:rPr>
          <w:noProof w:val="0"/>
          <w:szCs w:val="22"/>
        </w:rPr>
      </w:pPr>
    </w:p>
    <w:p w14:paraId="6415ADAE" w14:textId="77777777" w:rsidR="00B150E6" w:rsidRPr="00770F09" w:rsidRDefault="001C3A71" w:rsidP="00195E0E">
      <w:pPr>
        <w:pStyle w:val="lbltxt"/>
        <w:keepNext/>
        <w:jc w:val="both"/>
        <w:rPr>
          <w:bCs/>
          <w:iCs/>
          <w:noProof w:val="0"/>
          <w:szCs w:val="22"/>
          <w:u w:val="single"/>
        </w:rPr>
      </w:pPr>
      <w:r w:rsidRPr="00770F09">
        <w:rPr>
          <w:u w:val="single"/>
        </w:rPr>
        <w:t>Sažetak bezbjednosnog profila</w:t>
      </w:r>
    </w:p>
    <w:p w14:paraId="2EB4D0EA" w14:textId="77777777" w:rsidR="0023264C" w:rsidRPr="00770F09" w:rsidRDefault="0023264C" w:rsidP="00195E0E">
      <w:pPr>
        <w:keepNext/>
        <w:tabs>
          <w:tab w:val="left" w:pos="567"/>
        </w:tabs>
        <w:jc w:val="both"/>
      </w:pPr>
    </w:p>
    <w:p w14:paraId="69BF7FA4" w14:textId="7E28BD01" w:rsidR="00B150E6" w:rsidRPr="00770F09" w:rsidRDefault="001C3A71" w:rsidP="00195E0E">
      <w:pPr>
        <w:tabs>
          <w:tab w:val="left" w:pos="567"/>
        </w:tabs>
        <w:jc w:val="both"/>
      </w:pPr>
      <w:r w:rsidRPr="00770F09">
        <w:t>Na osnovu analize svih mCRC kliničkih ispitivanja pacijenata koji su primali lijek Vectibix u obliku monoterapije i u kombinaciji sa hemioterapijom (n = 2224), najčešće prijavljivane neželjene reakcije su bile reakcije na koži, koje su se javljale kod oko 94% pacijenata. Ove reakcije su povezane sa farmakološkim efektima lijeka Vectibix i uglavnom su blage ili umjerene, dok je 23% teških (3. stepena, NCI</w:t>
      </w:r>
      <w:r w:rsidRPr="00770F09">
        <w:noBreakHyphen/>
        <w:t>CTC) i &lt; 1% životno ugrožavajućih (4. stepena NCI</w:t>
      </w:r>
      <w:r w:rsidRPr="00770F09">
        <w:noBreakHyphen/>
        <w:t>CTC). Informacije o liječenju reakcija na koži, uključujući i preporuke o izmjeni doze, date su u</w:t>
      </w:r>
      <w:r w:rsidR="00822A75" w:rsidRPr="00770F09">
        <w:t xml:space="preserve"> </w:t>
      </w:r>
      <w:r w:rsidR="00C4278F" w:rsidRPr="00770F09">
        <w:t xml:space="preserve">dijelu </w:t>
      </w:r>
      <w:r w:rsidRPr="00770F09">
        <w:t> 4.4.</w:t>
      </w:r>
    </w:p>
    <w:p w14:paraId="7290A039" w14:textId="77777777" w:rsidR="0023264C" w:rsidRPr="00770F09" w:rsidRDefault="0023264C" w:rsidP="00195E0E">
      <w:pPr>
        <w:tabs>
          <w:tab w:val="left" w:pos="567"/>
        </w:tabs>
        <w:jc w:val="both"/>
      </w:pPr>
    </w:p>
    <w:p w14:paraId="315FAF42" w14:textId="77777777" w:rsidR="00B150E6" w:rsidRPr="00770F09" w:rsidRDefault="001C3A71" w:rsidP="00195E0E">
      <w:pPr>
        <w:tabs>
          <w:tab w:val="left" w:pos="567"/>
        </w:tabs>
        <w:jc w:val="both"/>
      </w:pPr>
      <w:r w:rsidRPr="00770F09">
        <w:t>Veoma često prijavljivane neželjene reakcije, koje se javljaju kod ≥ 20% pacijenata, su bili gastrointestinalni poremećaji [dijareja (46%), mučnina (39%), povraćanje (26%), konstipacija (23%) i bol u abdomenu (23%)]; opšti poremećaji [umor (35%), pireksija (21%)); poremećaji metabolizma i ishrane (smanjen apetit (30%)); infekcije i infestacije [paronihija (20%)]; i poremećaji kože i potkožnog tkiva [osip (47%), akneiformni dermatitis (39%), pruritus (36%), eritem (33%) i suvoća kože (21%)].</w:t>
      </w:r>
    </w:p>
    <w:p w14:paraId="3ED336E4" w14:textId="77777777" w:rsidR="0023264C" w:rsidRPr="00770F09" w:rsidRDefault="0023264C" w:rsidP="00195E0E">
      <w:pPr>
        <w:tabs>
          <w:tab w:val="left" w:pos="567"/>
        </w:tabs>
        <w:jc w:val="both"/>
      </w:pPr>
    </w:p>
    <w:p w14:paraId="47EDA058" w14:textId="1B7E6F72" w:rsidR="0023264C" w:rsidRPr="00770F09" w:rsidRDefault="00C36CD4" w:rsidP="00195E0E">
      <w:pPr>
        <w:keepNext/>
        <w:tabs>
          <w:tab w:val="left" w:pos="567"/>
        </w:tabs>
        <w:jc w:val="both"/>
        <w:rPr>
          <w:u w:val="single"/>
        </w:rPr>
      </w:pPr>
      <w:r w:rsidRPr="00770F09">
        <w:rPr>
          <w:u w:val="single"/>
        </w:rPr>
        <w:t>Tabelarna lista neželjenih reakcija</w:t>
      </w:r>
    </w:p>
    <w:p w14:paraId="022D2FCE" w14:textId="77777777" w:rsidR="0023264C" w:rsidRPr="00770F09" w:rsidRDefault="0023264C" w:rsidP="00195E0E">
      <w:pPr>
        <w:keepNext/>
        <w:tabs>
          <w:tab w:val="left" w:pos="567"/>
        </w:tabs>
        <w:jc w:val="both"/>
      </w:pPr>
    </w:p>
    <w:p w14:paraId="1A8FB187" w14:textId="77777777" w:rsidR="0023264C" w:rsidRPr="00770F09" w:rsidRDefault="00C36CD4" w:rsidP="00195E0E">
      <w:pPr>
        <w:tabs>
          <w:tab w:val="left" w:pos="567"/>
        </w:tabs>
        <w:jc w:val="both"/>
        <w:rPr>
          <w:bCs/>
          <w:iCs/>
        </w:rPr>
      </w:pPr>
      <w:r w:rsidRPr="00770F09">
        <w:t>Podaci u tabeli ispod opisuju neželjene reakcije koje su prijavljene u kliničkim studijama kod pacijenata sa mCRC koji su primali panitumumab u obliku monoterapije, ili u kombinaciji sa hemioterapijom (n = 2224), kao i tokom spontanog prijavljivanja. U okviru svake grupe neželjene reakcije su predstavljene prema opadajućoj ozbiljnosti.</w:t>
      </w:r>
    </w:p>
    <w:p w14:paraId="159A4AA9" w14:textId="77777777" w:rsidR="00A86D4A" w:rsidRPr="00770F09" w:rsidRDefault="00A86D4A" w:rsidP="00195E0E">
      <w:pPr>
        <w:tabs>
          <w:tab w:val="left" w:pos="567"/>
        </w:tabs>
        <w:jc w:val="both"/>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1986"/>
        <w:gridCol w:w="2491"/>
        <w:gridCol w:w="2625"/>
      </w:tblGrid>
      <w:tr w:rsidR="00A86D4A" w:rsidRPr="00770F09" w14:paraId="63F79297" w14:textId="77777777" w:rsidTr="009D6589">
        <w:trPr>
          <w:cantSplit/>
          <w:trHeight w:val="405"/>
          <w:tblHeader/>
        </w:trPr>
        <w:tc>
          <w:tcPr>
            <w:tcW w:w="988" w:type="pct"/>
          </w:tcPr>
          <w:p w14:paraId="5B2EEBDE" w14:textId="77777777" w:rsidR="00A86D4A" w:rsidRPr="00770F09" w:rsidRDefault="00A86D4A" w:rsidP="00195E0E">
            <w:pPr>
              <w:keepNext/>
              <w:tabs>
                <w:tab w:val="left" w:pos="567"/>
              </w:tabs>
              <w:jc w:val="both"/>
              <w:rPr>
                <w:sz w:val="20"/>
              </w:rPr>
            </w:pPr>
          </w:p>
        </w:tc>
        <w:tc>
          <w:tcPr>
            <w:tcW w:w="4012" w:type="pct"/>
            <w:gridSpan w:val="3"/>
          </w:tcPr>
          <w:p w14:paraId="321B7F83" w14:textId="77777777" w:rsidR="00A86D4A" w:rsidRPr="00770F09" w:rsidRDefault="00A86D4A" w:rsidP="00195E0E">
            <w:pPr>
              <w:keepNext/>
              <w:tabs>
                <w:tab w:val="left" w:pos="567"/>
              </w:tabs>
              <w:jc w:val="both"/>
              <w:rPr>
                <w:sz w:val="20"/>
              </w:rPr>
            </w:pPr>
            <w:r w:rsidRPr="00770F09">
              <w:rPr>
                <w:b/>
                <w:sz w:val="20"/>
              </w:rPr>
              <w:t>Neželjene reakcije</w:t>
            </w:r>
          </w:p>
        </w:tc>
      </w:tr>
      <w:tr w:rsidR="0099078E" w:rsidRPr="00770F09" w14:paraId="27E86291" w14:textId="77777777" w:rsidTr="009D6589">
        <w:tblPrEx>
          <w:tblLook w:val="01E0" w:firstRow="1" w:lastRow="1" w:firstColumn="1" w:lastColumn="1" w:noHBand="0" w:noVBand="0"/>
        </w:tblPrEx>
        <w:trPr>
          <w:cantSplit/>
          <w:tblHeader/>
        </w:trPr>
        <w:tc>
          <w:tcPr>
            <w:tcW w:w="988" w:type="pct"/>
          </w:tcPr>
          <w:p w14:paraId="2BBF8811" w14:textId="77777777" w:rsidR="0099078E" w:rsidRPr="00770F09" w:rsidRDefault="0099078E" w:rsidP="00195E0E">
            <w:pPr>
              <w:keepNext/>
              <w:tabs>
                <w:tab w:val="left" w:pos="567"/>
              </w:tabs>
              <w:jc w:val="both"/>
              <w:rPr>
                <w:b/>
                <w:sz w:val="20"/>
              </w:rPr>
            </w:pPr>
            <w:r w:rsidRPr="00770F09">
              <w:rPr>
                <w:b/>
                <w:sz w:val="20"/>
              </w:rPr>
              <w:t>MedDRA klasifikacija sistema organa</w:t>
            </w:r>
          </w:p>
        </w:tc>
        <w:tc>
          <w:tcPr>
            <w:tcW w:w="1122" w:type="pct"/>
          </w:tcPr>
          <w:p w14:paraId="6DD3CC84" w14:textId="77777777" w:rsidR="00B150E6" w:rsidRPr="00770F09" w:rsidRDefault="0099078E" w:rsidP="00195E0E">
            <w:pPr>
              <w:keepNext/>
              <w:tabs>
                <w:tab w:val="left" w:pos="567"/>
              </w:tabs>
              <w:jc w:val="both"/>
              <w:rPr>
                <w:b/>
                <w:sz w:val="20"/>
              </w:rPr>
            </w:pPr>
            <w:r w:rsidRPr="00770F09">
              <w:rPr>
                <w:b/>
                <w:sz w:val="20"/>
              </w:rPr>
              <w:t>Veoma česte</w:t>
            </w:r>
          </w:p>
          <w:p w14:paraId="7159C3B5" w14:textId="77777777" w:rsidR="0099078E" w:rsidRPr="00770F09" w:rsidRDefault="0099078E" w:rsidP="00195E0E">
            <w:pPr>
              <w:keepNext/>
              <w:tabs>
                <w:tab w:val="left" w:pos="567"/>
              </w:tabs>
              <w:jc w:val="both"/>
              <w:rPr>
                <w:bCs/>
                <w:sz w:val="20"/>
              </w:rPr>
            </w:pPr>
            <w:r w:rsidRPr="00770F09">
              <w:rPr>
                <w:b/>
                <w:sz w:val="20"/>
              </w:rPr>
              <w:t>(≥ 1/10)</w:t>
            </w:r>
          </w:p>
        </w:tc>
        <w:tc>
          <w:tcPr>
            <w:tcW w:w="1407" w:type="pct"/>
          </w:tcPr>
          <w:p w14:paraId="1BB5FC5B" w14:textId="77777777" w:rsidR="00B150E6" w:rsidRPr="00770F09" w:rsidRDefault="0099078E" w:rsidP="00195E0E">
            <w:pPr>
              <w:tabs>
                <w:tab w:val="left" w:pos="567"/>
              </w:tabs>
              <w:jc w:val="both"/>
              <w:rPr>
                <w:b/>
                <w:sz w:val="20"/>
              </w:rPr>
            </w:pPr>
            <w:r w:rsidRPr="00770F09">
              <w:rPr>
                <w:b/>
                <w:sz w:val="20"/>
              </w:rPr>
              <w:t>Česte</w:t>
            </w:r>
          </w:p>
          <w:p w14:paraId="2F9EDD71" w14:textId="77777777" w:rsidR="0099078E" w:rsidRPr="00770F09" w:rsidRDefault="0099078E" w:rsidP="00195E0E">
            <w:pPr>
              <w:tabs>
                <w:tab w:val="left" w:pos="567"/>
              </w:tabs>
              <w:jc w:val="both"/>
              <w:rPr>
                <w:b/>
                <w:sz w:val="20"/>
              </w:rPr>
            </w:pPr>
            <w:r w:rsidRPr="00770F09">
              <w:rPr>
                <w:b/>
                <w:sz w:val="20"/>
              </w:rPr>
              <w:t>(≥ 1/100 do &lt; 1/10)</w:t>
            </w:r>
          </w:p>
        </w:tc>
        <w:tc>
          <w:tcPr>
            <w:tcW w:w="1483" w:type="pct"/>
          </w:tcPr>
          <w:p w14:paraId="7CA1FC3B" w14:textId="77777777" w:rsidR="0023264C" w:rsidRPr="00770F09" w:rsidRDefault="0099078E" w:rsidP="00195E0E">
            <w:pPr>
              <w:tabs>
                <w:tab w:val="left" w:pos="567"/>
              </w:tabs>
              <w:jc w:val="both"/>
              <w:rPr>
                <w:b/>
                <w:sz w:val="20"/>
              </w:rPr>
            </w:pPr>
            <w:r w:rsidRPr="00770F09">
              <w:rPr>
                <w:b/>
                <w:sz w:val="20"/>
              </w:rPr>
              <w:t>Povremene</w:t>
            </w:r>
          </w:p>
          <w:p w14:paraId="6D566EDF" w14:textId="77777777" w:rsidR="0099078E" w:rsidRPr="00770F09" w:rsidRDefault="0099078E" w:rsidP="00195E0E">
            <w:pPr>
              <w:tabs>
                <w:tab w:val="left" w:pos="567"/>
              </w:tabs>
              <w:jc w:val="both"/>
              <w:rPr>
                <w:b/>
                <w:sz w:val="20"/>
              </w:rPr>
            </w:pPr>
            <w:r w:rsidRPr="00770F09">
              <w:rPr>
                <w:b/>
                <w:sz w:val="20"/>
              </w:rPr>
              <w:t>(≥ 1/1000 do &lt; 1/100)</w:t>
            </w:r>
          </w:p>
        </w:tc>
      </w:tr>
      <w:tr w:rsidR="0099078E" w:rsidRPr="00770F09" w14:paraId="31AC8E51" w14:textId="77777777" w:rsidTr="009D6589">
        <w:tblPrEx>
          <w:tblLook w:val="01E0" w:firstRow="1" w:lastRow="1" w:firstColumn="1" w:lastColumn="1" w:noHBand="0" w:noVBand="0"/>
        </w:tblPrEx>
        <w:trPr>
          <w:cantSplit/>
        </w:trPr>
        <w:tc>
          <w:tcPr>
            <w:tcW w:w="988" w:type="pct"/>
          </w:tcPr>
          <w:p w14:paraId="191A0A67" w14:textId="77777777" w:rsidR="0099078E" w:rsidRPr="00770F09" w:rsidRDefault="0099078E" w:rsidP="00195E0E">
            <w:pPr>
              <w:tabs>
                <w:tab w:val="left" w:pos="567"/>
              </w:tabs>
              <w:jc w:val="both"/>
              <w:rPr>
                <w:sz w:val="20"/>
              </w:rPr>
            </w:pPr>
            <w:r w:rsidRPr="00770F09">
              <w:rPr>
                <w:sz w:val="20"/>
              </w:rPr>
              <w:t>Infekcije i infestacije</w:t>
            </w:r>
          </w:p>
        </w:tc>
        <w:tc>
          <w:tcPr>
            <w:tcW w:w="1122" w:type="pct"/>
          </w:tcPr>
          <w:p w14:paraId="170DCDF6" w14:textId="77777777" w:rsidR="0023264C" w:rsidRPr="00770F09" w:rsidRDefault="0099078E" w:rsidP="00195E0E">
            <w:pPr>
              <w:tabs>
                <w:tab w:val="left" w:pos="567"/>
              </w:tabs>
              <w:jc w:val="both"/>
              <w:rPr>
                <w:sz w:val="20"/>
              </w:rPr>
            </w:pPr>
            <w:r w:rsidRPr="00770F09">
              <w:rPr>
                <w:sz w:val="20"/>
              </w:rPr>
              <w:t>Konjuktivitis</w:t>
            </w:r>
          </w:p>
          <w:p w14:paraId="07A32738" w14:textId="77777777" w:rsidR="0099078E" w:rsidRPr="00770F09" w:rsidRDefault="0099078E" w:rsidP="00195E0E">
            <w:pPr>
              <w:tabs>
                <w:tab w:val="left" w:pos="567"/>
              </w:tabs>
              <w:jc w:val="both"/>
              <w:rPr>
                <w:sz w:val="20"/>
              </w:rPr>
            </w:pPr>
            <w:r w:rsidRPr="00770F09">
              <w:rPr>
                <w:sz w:val="20"/>
              </w:rPr>
              <w:t>Paronihija</w:t>
            </w:r>
            <w:r w:rsidRPr="00770F09">
              <w:rPr>
                <w:sz w:val="20"/>
                <w:vertAlign w:val="superscript"/>
              </w:rPr>
              <w:t>1</w:t>
            </w:r>
          </w:p>
        </w:tc>
        <w:tc>
          <w:tcPr>
            <w:tcW w:w="1407" w:type="pct"/>
          </w:tcPr>
          <w:p w14:paraId="19244273" w14:textId="77777777" w:rsidR="0023264C" w:rsidRPr="00770F09" w:rsidRDefault="0099078E" w:rsidP="00195E0E">
            <w:pPr>
              <w:tabs>
                <w:tab w:val="left" w:pos="567"/>
              </w:tabs>
              <w:jc w:val="both"/>
              <w:rPr>
                <w:sz w:val="20"/>
              </w:rPr>
            </w:pPr>
            <w:r w:rsidRPr="00770F09">
              <w:rPr>
                <w:sz w:val="20"/>
              </w:rPr>
              <w:t>Pustularni osip</w:t>
            </w:r>
          </w:p>
          <w:p w14:paraId="1F15E49C" w14:textId="77777777" w:rsidR="0023264C" w:rsidRPr="00770F09" w:rsidRDefault="0099078E" w:rsidP="00195E0E">
            <w:pPr>
              <w:tabs>
                <w:tab w:val="left" w:pos="567"/>
              </w:tabs>
              <w:jc w:val="both"/>
              <w:rPr>
                <w:sz w:val="20"/>
              </w:rPr>
            </w:pPr>
            <w:r w:rsidRPr="00770F09">
              <w:rPr>
                <w:sz w:val="20"/>
              </w:rPr>
              <w:t>Celulitis</w:t>
            </w:r>
            <w:r w:rsidRPr="00770F09">
              <w:rPr>
                <w:sz w:val="20"/>
                <w:vertAlign w:val="superscript"/>
              </w:rPr>
              <w:t>1</w:t>
            </w:r>
          </w:p>
          <w:p w14:paraId="25EFFC4E" w14:textId="77777777" w:rsidR="00B150E6" w:rsidRPr="00770F09" w:rsidRDefault="0099078E" w:rsidP="00195E0E">
            <w:pPr>
              <w:tabs>
                <w:tab w:val="left" w:pos="567"/>
              </w:tabs>
              <w:jc w:val="both"/>
              <w:rPr>
                <w:sz w:val="20"/>
              </w:rPr>
            </w:pPr>
            <w:r w:rsidRPr="00770F09">
              <w:rPr>
                <w:sz w:val="20"/>
              </w:rPr>
              <w:t>Infekcija urinarnog trakta</w:t>
            </w:r>
          </w:p>
          <w:p w14:paraId="02AF08B1" w14:textId="77777777" w:rsidR="0023264C" w:rsidRPr="00770F09" w:rsidRDefault="0099078E" w:rsidP="00195E0E">
            <w:pPr>
              <w:tabs>
                <w:tab w:val="left" w:pos="567"/>
              </w:tabs>
              <w:jc w:val="both"/>
              <w:rPr>
                <w:sz w:val="20"/>
              </w:rPr>
            </w:pPr>
            <w:r w:rsidRPr="00770F09">
              <w:rPr>
                <w:sz w:val="20"/>
              </w:rPr>
              <w:t>Folikulitis</w:t>
            </w:r>
          </w:p>
          <w:p w14:paraId="0FED254D" w14:textId="77777777" w:rsidR="0099078E" w:rsidRPr="00770F09" w:rsidRDefault="0099078E" w:rsidP="00195E0E">
            <w:pPr>
              <w:tabs>
                <w:tab w:val="left" w:pos="567"/>
              </w:tabs>
              <w:jc w:val="both"/>
              <w:rPr>
                <w:sz w:val="20"/>
              </w:rPr>
            </w:pPr>
            <w:r w:rsidRPr="00770F09">
              <w:rPr>
                <w:sz w:val="20"/>
              </w:rPr>
              <w:t>Lokalizovane infekcije</w:t>
            </w:r>
          </w:p>
        </w:tc>
        <w:tc>
          <w:tcPr>
            <w:tcW w:w="1483" w:type="pct"/>
          </w:tcPr>
          <w:p w14:paraId="17BCBAE4" w14:textId="77777777" w:rsidR="0023264C" w:rsidRPr="00770F09" w:rsidRDefault="0099078E" w:rsidP="00195E0E">
            <w:pPr>
              <w:tabs>
                <w:tab w:val="left" w:pos="567"/>
              </w:tabs>
              <w:jc w:val="both"/>
              <w:rPr>
                <w:sz w:val="20"/>
              </w:rPr>
            </w:pPr>
            <w:r w:rsidRPr="00770F09">
              <w:rPr>
                <w:sz w:val="20"/>
              </w:rPr>
              <w:t>Infekcija očiju</w:t>
            </w:r>
          </w:p>
          <w:p w14:paraId="3E5A84FC" w14:textId="77777777" w:rsidR="0099078E" w:rsidRPr="00770F09" w:rsidRDefault="0099078E" w:rsidP="00195E0E">
            <w:pPr>
              <w:tabs>
                <w:tab w:val="left" w:pos="567"/>
              </w:tabs>
              <w:jc w:val="both"/>
              <w:rPr>
                <w:sz w:val="20"/>
              </w:rPr>
            </w:pPr>
            <w:r w:rsidRPr="00770F09">
              <w:rPr>
                <w:sz w:val="20"/>
              </w:rPr>
              <w:t>Infekcija očnih kapaka</w:t>
            </w:r>
          </w:p>
        </w:tc>
      </w:tr>
      <w:tr w:rsidR="0099078E" w:rsidRPr="00770F09" w14:paraId="70CF6A5C" w14:textId="77777777" w:rsidTr="009D6589">
        <w:tblPrEx>
          <w:tblLook w:val="01E0" w:firstRow="1" w:lastRow="1" w:firstColumn="1" w:lastColumn="1" w:noHBand="0" w:noVBand="0"/>
        </w:tblPrEx>
        <w:trPr>
          <w:cantSplit/>
        </w:trPr>
        <w:tc>
          <w:tcPr>
            <w:tcW w:w="988" w:type="pct"/>
          </w:tcPr>
          <w:p w14:paraId="43DC79F0" w14:textId="77777777" w:rsidR="0099078E" w:rsidRPr="00770F09" w:rsidRDefault="0099078E" w:rsidP="00195E0E">
            <w:pPr>
              <w:tabs>
                <w:tab w:val="left" w:pos="567"/>
              </w:tabs>
              <w:jc w:val="both"/>
              <w:rPr>
                <w:sz w:val="20"/>
              </w:rPr>
            </w:pPr>
            <w:r w:rsidRPr="00770F09">
              <w:rPr>
                <w:sz w:val="20"/>
              </w:rPr>
              <w:t>Poremećaji krvi i limfnog sistema</w:t>
            </w:r>
          </w:p>
        </w:tc>
        <w:tc>
          <w:tcPr>
            <w:tcW w:w="1122" w:type="pct"/>
          </w:tcPr>
          <w:p w14:paraId="7C3ED515" w14:textId="77777777" w:rsidR="0099078E" w:rsidRPr="00770F09" w:rsidRDefault="0099078E" w:rsidP="00195E0E">
            <w:pPr>
              <w:tabs>
                <w:tab w:val="left" w:pos="567"/>
              </w:tabs>
              <w:jc w:val="both"/>
              <w:rPr>
                <w:sz w:val="20"/>
              </w:rPr>
            </w:pPr>
            <w:r w:rsidRPr="00770F09">
              <w:rPr>
                <w:sz w:val="20"/>
              </w:rPr>
              <w:t>Anemija</w:t>
            </w:r>
          </w:p>
        </w:tc>
        <w:tc>
          <w:tcPr>
            <w:tcW w:w="1407" w:type="pct"/>
          </w:tcPr>
          <w:p w14:paraId="11819239" w14:textId="77777777" w:rsidR="0099078E" w:rsidRPr="00770F09" w:rsidRDefault="0099078E" w:rsidP="00195E0E">
            <w:pPr>
              <w:tabs>
                <w:tab w:val="left" w:pos="567"/>
              </w:tabs>
              <w:jc w:val="both"/>
              <w:rPr>
                <w:sz w:val="20"/>
              </w:rPr>
            </w:pPr>
            <w:r w:rsidRPr="00770F09">
              <w:rPr>
                <w:sz w:val="20"/>
              </w:rPr>
              <w:t>Leukopenija</w:t>
            </w:r>
          </w:p>
        </w:tc>
        <w:tc>
          <w:tcPr>
            <w:tcW w:w="1483" w:type="pct"/>
          </w:tcPr>
          <w:p w14:paraId="32D35778" w14:textId="77777777" w:rsidR="0099078E" w:rsidRPr="00770F09" w:rsidRDefault="0099078E" w:rsidP="00195E0E">
            <w:pPr>
              <w:tabs>
                <w:tab w:val="left" w:pos="567"/>
              </w:tabs>
              <w:jc w:val="both"/>
              <w:rPr>
                <w:sz w:val="20"/>
              </w:rPr>
            </w:pPr>
          </w:p>
        </w:tc>
      </w:tr>
      <w:tr w:rsidR="0099078E" w:rsidRPr="00770F09" w14:paraId="595BB49F" w14:textId="77777777" w:rsidTr="009D6589">
        <w:tblPrEx>
          <w:tblLook w:val="01E0" w:firstRow="1" w:lastRow="1" w:firstColumn="1" w:lastColumn="1" w:noHBand="0" w:noVBand="0"/>
        </w:tblPrEx>
        <w:trPr>
          <w:cantSplit/>
        </w:trPr>
        <w:tc>
          <w:tcPr>
            <w:tcW w:w="988" w:type="pct"/>
          </w:tcPr>
          <w:p w14:paraId="60304E78" w14:textId="77777777" w:rsidR="0099078E" w:rsidRPr="00770F09" w:rsidRDefault="0099078E" w:rsidP="00195E0E">
            <w:pPr>
              <w:tabs>
                <w:tab w:val="left" w:pos="567"/>
              </w:tabs>
              <w:jc w:val="both"/>
              <w:rPr>
                <w:sz w:val="20"/>
              </w:rPr>
            </w:pPr>
            <w:r w:rsidRPr="00770F09">
              <w:rPr>
                <w:sz w:val="20"/>
              </w:rPr>
              <w:t>Poremećaji imunog sistema</w:t>
            </w:r>
          </w:p>
        </w:tc>
        <w:tc>
          <w:tcPr>
            <w:tcW w:w="1122" w:type="pct"/>
          </w:tcPr>
          <w:p w14:paraId="383F45F5" w14:textId="77777777" w:rsidR="0099078E" w:rsidRPr="00770F09" w:rsidRDefault="0099078E" w:rsidP="00195E0E">
            <w:pPr>
              <w:tabs>
                <w:tab w:val="left" w:pos="567"/>
              </w:tabs>
              <w:jc w:val="both"/>
              <w:rPr>
                <w:sz w:val="20"/>
              </w:rPr>
            </w:pPr>
          </w:p>
        </w:tc>
        <w:tc>
          <w:tcPr>
            <w:tcW w:w="1407" w:type="pct"/>
          </w:tcPr>
          <w:p w14:paraId="6E6BA536" w14:textId="77777777" w:rsidR="0099078E" w:rsidRPr="00770F09" w:rsidRDefault="0099078E" w:rsidP="00195E0E">
            <w:pPr>
              <w:tabs>
                <w:tab w:val="left" w:pos="567"/>
              </w:tabs>
              <w:jc w:val="both"/>
              <w:rPr>
                <w:sz w:val="20"/>
              </w:rPr>
            </w:pPr>
            <w:r w:rsidRPr="00770F09">
              <w:rPr>
                <w:sz w:val="20"/>
              </w:rPr>
              <w:t>Preosjetljivost</w:t>
            </w:r>
            <w:r w:rsidRPr="00770F09">
              <w:rPr>
                <w:sz w:val="20"/>
                <w:vertAlign w:val="superscript"/>
              </w:rPr>
              <w:t>1</w:t>
            </w:r>
          </w:p>
        </w:tc>
        <w:tc>
          <w:tcPr>
            <w:tcW w:w="1483" w:type="pct"/>
          </w:tcPr>
          <w:p w14:paraId="32AE0752" w14:textId="77777777" w:rsidR="0099078E" w:rsidRPr="00770F09" w:rsidRDefault="0099078E" w:rsidP="00195E0E">
            <w:pPr>
              <w:tabs>
                <w:tab w:val="left" w:pos="567"/>
              </w:tabs>
              <w:jc w:val="both"/>
              <w:rPr>
                <w:sz w:val="20"/>
              </w:rPr>
            </w:pPr>
            <w:r w:rsidRPr="00770F09">
              <w:rPr>
                <w:sz w:val="20"/>
              </w:rPr>
              <w:t>Anafilaktička reakcija</w:t>
            </w:r>
            <w:r w:rsidRPr="00770F09">
              <w:rPr>
                <w:sz w:val="20"/>
                <w:vertAlign w:val="superscript"/>
              </w:rPr>
              <w:t>2</w:t>
            </w:r>
          </w:p>
        </w:tc>
      </w:tr>
      <w:tr w:rsidR="0099078E" w:rsidRPr="00770F09" w14:paraId="10A48E5E" w14:textId="77777777" w:rsidTr="009D6589">
        <w:tblPrEx>
          <w:tblLook w:val="01E0" w:firstRow="1" w:lastRow="1" w:firstColumn="1" w:lastColumn="1" w:noHBand="0" w:noVBand="0"/>
        </w:tblPrEx>
        <w:trPr>
          <w:cantSplit/>
        </w:trPr>
        <w:tc>
          <w:tcPr>
            <w:tcW w:w="988" w:type="pct"/>
          </w:tcPr>
          <w:p w14:paraId="2E2D1DD1" w14:textId="77777777" w:rsidR="0099078E" w:rsidRPr="00770F09" w:rsidRDefault="0099078E" w:rsidP="00195E0E">
            <w:pPr>
              <w:tabs>
                <w:tab w:val="left" w:pos="567"/>
              </w:tabs>
              <w:jc w:val="both"/>
              <w:rPr>
                <w:sz w:val="20"/>
              </w:rPr>
            </w:pPr>
            <w:r w:rsidRPr="00770F09">
              <w:rPr>
                <w:sz w:val="20"/>
              </w:rPr>
              <w:t>Poremećaji metabolizma i ishrane</w:t>
            </w:r>
          </w:p>
        </w:tc>
        <w:tc>
          <w:tcPr>
            <w:tcW w:w="1122" w:type="pct"/>
          </w:tcPr>
          <w:p w14:paraId="13DD9D8A" w14:textId="77777777" w:rsidR="0023264C" w:rsidRPr="00770F09" w:rsidRDefault="0099078E" w:rsidP="00195E0E">
            <w:pPr>
              <w:tabs>
                <w:tab w:val="left" w:pos="567"/>
              </w:tabs>
              <w:jc w:val="both"/>
              <w:rPr>
                <w:sz w:val="20"/>
              </w:rPr>
            </w:pPr>
            <w:r w:rsidRPr="00770F09">
              <w:rPr>
                <w:sz w:val="20"/>
              </w:rPr>
              <w:t>Hipokalijemija</w:t>
            </w:r>
          </w:p>
          <w:p w14:paraId="37F17CF8" w14:textId="77777777" w:rsidR="0023264C" w:rsidRPr="00770F09" w:rsidRDefault="0099078E" w:rsidP="00195E0E">
            <w:pPr>
              <w:tabs>
                <w:tab w:val="left" w:pos="567"/>
              </w:tabs>
              <w:jc w:val="both"/>
              <w:rPr>
                <w:sz w:val="20"/>
              </w:rPr>
            </w:pPr>
            <w:r w:rsidRPr="00770F09">
              <w:rPr>
                <w:sz w:val="20"/>
              </w:rPr>
              <w:t>Hipomagnezijemija</w:t>
            </w:r>
          </w:p>
          <w:p w14:paraId="4653F4A9" w14:textId="77777777" w:rsidR="0099078E" w:rsidRPr="00770F09" w:rsidRDefault="0099078E" w:rsidP="00195E0E">
            <w:pPr>
              <w:tabs>
                <w:tab w:val="left" w:pos="567"/>
              </w:tabs>
              <w:jc w:val="both"/>
              <w:rPr>
                <w:sz w:val="20"/>
              </w:rPr>
            </w:pPr>
            <w:r w:rsidRPr="00770F09">
              <w:rPr>
                <w:sz w:val="20"/>
              </w:rPr>
              <w:t>Smanjen apetit</w:t>
            </w:r>
          </w:p>
        </w:tc>
        <w:tc>
          <w:tcPr>
            <w:tcW w:w="1407" w:type="pct"/>
          </w:tcPr>
          <w:p w14:paraId="1DDDC493" w14:textId="77777777" w:rsidR="0023264C" w:rsidRPr="00770F09" w:rsidRDefault="0099078E" w:rsidP="00195E0E">
            <w:pPr>
              <w:tabs>
                <w:tab w:val="left" w:pos="567"/>
              </w:tabs>
              <w:jc w:val="both"/>
              <w:rPr>
                <w:sz w:val="20"/>
              </w:rPr>
            </w:pPr>
            <w:r w:rsidRPr="00770F09">
              <w:rPr>
                <w:sz w:val="20"/>
              </w:rPr>
              <w:t>Hipokalcijemija</w:t>
            </w:r>
          </w:p>
          <w:p w14:paraId="5FCAF253" w14:textId="77777777" w:rsidR="0023264C" w:rsidRPr="00770F09" w:rsidRDefault="0099078E" w:rsidP="00195E0E">
            <w:pPr>
              <w:tabs>
                <w:tab w:val="left" w:pos="567"/>
              </w:tabs>
              <w:jc w:val="both"/>
              <w:rPr>
                <w:sz w:val="20"/>
              </w:rPr>
            </w:pPr>
            <w:r w:rsidRPr="00770F09">
              <w:rPr>
                <w:sz w:val="20"/>
              </w:rPr>
              <w:t>Dehidratacija</w:t>
            </w:r>
          </w:p>
          <w:p w14:paraId="07BF3977" w14:textId="77777777" w:rsidR="0023264C" w:rsidRPr="00770F09" w:rsidRDefault="0099078E" w:rsidP="00195E0E">
            <w:pPr>
              <w:tabs>
                <w:tab w:val="left" w:pos="567"/>
              </w:tabs>
              <w:jc w:val="both"/>
              <w:rPr>
                <w:sz w:val="20"/>
              </w:rPr>
            </w:pPr>
            <w:r w:rsidRPr="00770F09">
              <w:rPr>
                <w:sz w:val="20"/>
              </w:rPr>
              <w:t>Hiperglikemija</w:t>
            </w:r>
          </w:p>
          <w:p w14:paraId="4E0C3F81" w14:textId="77777777" w:rsidR="0099078E" w:rsidRPr="00770F09" w:rsidRDefault="0099078E" w:rsidP="00195E0E">
            <w:pPr>
              <w:tabs>
                <w:tab w:val="left" w:pos="567"/>
              </w:tabs>
              <w:jc w:val="both"/>
              <w:rPr>
                <w:sz w:val="20"/>
              </w:rPr>
            </w:pPr>
            <w:r w:rsidRPr="00770F09">
              <w:rPr>
                <w:sz w:val="20"/>
              </w:rPr>
              <w:t>Hipofosfatemija</w:t>
            </w:r>
          </w:p>
        </w:tc>
        <w:tc>
          <w:tcPr>
            <w:tcW w:w="1483" w:type="pct"/>
          </w:tcPr>
          <w:p w14:paraId="46ED1752" w14:textId="77777777" w:rsidR="0099078E" w:rsidRPr="00770F09" w:rsidRDefault="0099078E" w:rsidP="00195E0E">
            <w:pPr>
              <w:tabs>
                <w:tab w:val="left" w:pos="567"/>
              </w:tabs>
              <w:jc w:val="both"/>
              <w:rPr>
                <w:sz w:val="20"/>
              </w:rPr>
            </w:pPr>
          </w:p>
        </w:tc>
      </w:tr>
      <w:tr w:rsidR="0099078E" w:rsidRPr="00770F09" w14:paraId="68FA0E26" w14:textId="77777777" w:rsidTr="009D6589">
        <w:tblPrEx>
          <w:tblLook w:val="01E0" w:firstRow="1" w:lastRow="1" w:firstColumn="1" w:lastColumn="1" w:noHBand="0" w:noVBand="0"/>
        </w:tblPrEx>
        <w:trPr>
          <w:cantSplit/>
        </w:trPr>
        <w:tc>
          <w:tcPr>
            <w:tcW w:w="988" w:type="pct"/>
          </w:tcPr>
          <w:p w14:paraId="13F65D01" w14:textId="77777777" w:rsidR="0099078E" w:rsidRPr="00770F09" w:rsidRDefault="0099078E" w:rsidP="00195E0E">
            <w:pPr>
              <w:tabs>
                <w:tab w:val="left" w:pos="567"/>
              </w:tabs>
              <w:jc w:val="both"/>
              <w:rPr>
                <w:sz w:val="20"/>
              </w:rPr>
            </w:pPr>
            <w:r w:rsidRPr="00770F09">
              <w:rPr>
                <w:sz w:val="20"/>
              </w:rPr>
              <w:t>Psihijatrijski poremećaji</w:t>
            </w:r>
          </w:p>
        </w:tc>
        <w:tc>
          <w:tcPr>
            <w:tcW w:w="1122" w:type="pct"/>
          </w:tcPr>
          <w:p w14:paraId="6D5AB352" w14:textId="77777777" w:rsidR="0099078E" w:rsidRPr="00770F09" w:rsidRDefault="0099078E" w:rsidP="00195E0E">
            <w:pPr>
              <w:tabs>
                <w:tab w:val="left" w:pos="567"/>
              </w:tabs>
              <w:jc w:val="both"/>
              <w:rPr>
                <w:sz w:val="20"/>
              </w:rPr>
            </w:pPr>
            <w:r w:rsidRPr="00770F09">
              <w:rPr>
                <w:sz w:val="20"/>
              </w:rPr>
              <w:t>Nesanica</w:t>
            </w:r>
          </w:p>
        </w:tc>
        <w:tc>
          <w:tcPr>
            <w:tcW w:w="1407" w:type="pct"/>
          </w:tcPr>
          <w:p w14:paraId="4B9E4753" w14:textId="77777777" w:rsidR="0099078E" w:rsidRPr="00770F09" w:rsidRDefault="0099078E" w:rsidP="00195E0E">
            <w:pPr>
              <w:tabs>
                <w:tab w:val="left" w:pos="567"/>
              </w:tabs>
              <w:jc w:val="both"/>
              <w:rPr>
                <w:sz w:val="20"/>
              </w:rPr>
            </w:pPr>
            <w:r w:rsidRPr="00770F09">
              <w:rPr>
                <w:sz w:val="20"/>
              </w:rPr>
              <w:t>Anksioznost</w:t>
            </w:r>
          </w:p>
        </w:tc>
        <w:tc>
          <w:tcPr>
            <w:tcW w:w="1483" w:type="pct"/>
          </w:tcPr>
          <w:p w14:paraId="122322C8" w14:textId="77777777" w:rsidR="0099078E" w:rsidRPr="00770F09" w:rsidRDefault="0099078E" w:rsidP="00195E0E">
            <w:pPr>
              <w:tabs>
                <w:tab w:val="left" w:pos="567"/>
              </w:tabs>
              <w:jc w:val="both"/>
              <w:rPr>
                <w:sz w:val="20"/>
              </w:rPr>
            </w:pPr>
          </w:p>
        </w:tc>
      </w:tr>
      <w:tr w:rsidR="0099078E" w:rsidRPr="00770F09" w14:paraId="4A8F9218" w14:textId="77777777" w:rsidTr="009D6589">
        <w:tblPrEx>
          <w:tblLook w:val="01E0" w:firstRow="1" w:lastRow="1" w:firstColumn="1" w:lastColumn="1" w:noHBand="0" w:noVBand="0"/>
        </w:tblPrEx>
        <w:trPr>
          <w:cantSplit/>
        </w:trPr>
        <w:tc>
          <w:tcPr>
            <w:tcW w:w="988" w:type="pct"/>
          </w:tcPr>
          <w:p w14:paraId="5BFDAA2F" w14:textId="77777777" w:rsidR="0099078E" w:rsidRPr="00770F09" w:rsidRDefault="0099078E" w:rsidP="00195E0E">
            <w:pPr>
              <w:tabs>
                <w:tab w:val="left" w:pos="567"/>
              </w:tabs>
              <w:jc w:val="both"/>
              <w:rPr>
                <w:sz w:val="20"/>
              </w:rPr>
            </w:pPr>
            <w:r w:rsidRPr="00770F09">
              <w:rPr>
                <w:sz w:val="20"/>
              </w:rPr>
              <w:t>Poremećaji nervnog sistema</w:t>
            </w:r>
          </w:p>
        </w:tc>
        <w:tc>
          <w:tcPr>
            <w:tcW w:w="1122" w:type="pct"/>
          </w:tcPr>
          <w:p w14:paraId="2D76B9DF" w14:textId="77777777" w:rsidR="0099078E" w:rsidRPr="00770F09" w:rsidRDefault="0099078E" w:rsidP="00195E0E">
            <w:pPr>
              <w:tabs>
                <w:tab w:val="left" w:pos="567"/>
              </w:tabs>
              <w:jc w:val="both"/>
              <w:rPr>
                <w:sz w:val="20"/>
              </w:rPr>
            </w:pPr>
          </w:p>
        </w:tc>
        <w:tc>
          <w:tcPr>
            <w:tcW w:w="1407" w:type="pct"/>
          </w:tcPr>
          <w:p w14:paraId="3EC56FF6" w14:textId="77777777" w:rsidR="0023264C" w:rsidRPr="00770F09" w:rsidRDefault="0099078E" w:rsidP="00195E0E">
            <w:pPr>
              <w:tabs>
                <w:tab w:val="left" w:pos="567"/>
              </w:tabs>
              <w:jc w:val="both"/>
              <w:rPr>
                <w:sz w:val="20"/>
              </w:rPr>
            </w:pPr>
            <w:r w:rsidRPr="00770F09">
              <w:rPr>
                <w:sz w:val="20"/>
              </w:rPr>
              <w:t>Glavobolja</w:t>
            </w:r>
          </w:p>
          <w:p w14:paraId="376502F0" w14:textId="77777777" w:rsidR="0099078E" w:rsidRPr="00770F09" w:rsidRDefault="0099078E" w:rsidP="00195E0E">
            <w:pPr>
              <w:tabs>
                <w:tab w:val="left" w:pos="567"/>
              </w:tabs>
              <w:jc w:val="both"/>
              <w:rPr>
                <w:sz w:val="20"/>
              </w:rPr>
            </w:pPr>
            <w:r w:rsidRPr="00770F09">
              <w:rPr>
                <w:sz w:val="20"/>
              </w:rPr>
              <w:t>Vrtoglavica</w:t>
            </w:r>
          </w:p>
        </w:tc>
        <w:tc>
          <w:tcPr>
            <w:tcW w:w="1483" w:type="pct"/>
          </w:tcPr>
          <w:p w14:paraId="392E9179" w14:textId="77777777" w:rsidR="0099078E" w:rsidRPr="00770F09" w:rsidRDefault="0099078E" w:rsidP="00195E0E">
            <w:pPr>
              <w:tabs>
                <w:tab w:val="left" w:pos="567"/>
              </w:tabs>
              <w:jc w:val="both"/>
              <w:rPr>
                <w:sz w:val="20"/>
              </w:rPr>
            </w:pPr>
          </w:p>
        </w:tc>
      </w:tr>
      <w:tr w:rsidR="0099078E" w:rsidRPr="00770F09" w14:paraId="2AE6225D" w14:textId="77777777" w:rsidTr="009D6589">
        <w:tblPrEx>
          <w:tblLook w:val="01E0" w:firstRow="1" w:lastRow="1" w:firstColumn="1" w:lastColumn="1" w:noHBand="0" w:noVBand="0"/>
        </w:tblPrEx>
        <w:trPr>
          <w:cantSplit/>
        </w:trPr>
        <w:tc>
          <w:tcPr>
            <w:tcW w:w="988" w:type="pct"/>
          </w:tcPr>
          <w:p w14:paraId="00E472F9" w14:textId="77777777" w:rsidR="0099078E" w:rsidRPr="00770F09" w:rsidRDefault="0099078E" w:rsidP="00195E0E">
            <w:pPr>
              <w:tabs>
                <w:tab w:val="left" w:pos="567"/>
              </w:tabs>
              <w:jc w:val="both"/>
              <w:rPr>
                <w:sz w:val="20"/>
              </w:rPr>
            </w:pPr>
            <w:r w:rsidRPr="00770F09">
              <w:rPr>
                <w:sz w:val="20"/>
              </w:rPr>
              <w:t>Poremećaji na nivou oka</w:t>
            </w:r>
          </w:p>
        </w:tc>
        <w:tc>
          <w:tcPr>
            <w:tcW w:w="1122" w:type="pct"/>
          </w:tcPr>
          <w:p w14:paraId="571B5C2C" w14:textId="77777777" w:rsidR="0099078E" w:rsidRPr="00770F09" w:rsidRDefault="0099078E" w:rsidP="00195E0E">
            <w:pPr>
              <w:tabs>
                <w:tab w:val="left" w:pos="567"/>
              </w:tabs>
              <w:jc w:val="both"/>
              <w:rPr>
                <w:sz w:val="20"/>
              </w:rPr>
            </w:pPr>
          </w:p>
        </w:tc>
        <w:tc>
          <w:tcPr>
            <w:tcW w:w="1407" w:type="pct"/>
          </w:tcPr>
          <w:p w14:paraId="4FABFA26" w14:textId="77777777" w:rsidR="00B150E6" w:rsidRPr="00770F09" w:rsidRDefault="0099078E" w:rsidP="00195E0E">
            <w:pPr>
              <w:tabs>
                <w:tab w:val="left" w:pos="567"/>
              </w:tabs>
              <w:jc w:val="both"/>
              <w:rPr>
                <w:sz w:val="20"/>
              </w:rPr>
            </w:pPr>
            <w:r w:rsidRPr="00770F09">
              <w:rPr>
                <w:sz w:val="20"/>
              </w:rPr>
              <w:t>Blefaritis</w:t>
            </w:r>
          </w:p>
          <w:p w14:paraId="13A853E8" w14:textId="77777777" w:rsidR="0023264C" w:rsidRPr="00770F09" w:rsidRDefault="0099078E" w:rsidP="00195E0E">
            <w:pPr>
              <w:tabs>
                <w:tab w:val="left" w:pos="567"/>
              </w:tabs>
              <w:jc w:val="both"/>
              <w:rPr>
                <w:sz w:val="20"/>
              </w:rPr>
            </w:pPr>
            <w:r w:rsidRPr="00770F09">
              <w:rPr>
                <w:sz w:val="20"/>
              </w:rPr>
              <w:t>Rast trepavica</w:t>
            </w:r>
          </w:p>
          <w:p w14:paraId="3BA7A56D" w14:textId="77777777" w:rsidR="0023264C" w:rsidRPr="00770F09" w:rsidRDefault="0099078E" w:rsidP="00195E0E">
            <w:pPr>
              <w:tabs>
                <w:tab w:val="left" w:pos="567"/>
              </w:tabs>
              <w:jc w:val="both"/>
              <w:rPr>
                <w:sz w:val="20"/>
              </w:rPr>
            </w:pPr>
            <w:r w:rsidRPr="00770F09">
              <w:rPr>
                <w:sz w:val="20"/>
              </w:rPr>
              <w:t>Pojačano izlučivanje suza</w:t>
            </w:r>
          </w:p>
          <w:p w14:paraId="29821EA4" w14:textId="77777777" w:rsidR="0023264C" w:rsidRPr="00770F09" w:rsidRDefault="0099078E" w:rsidP="00195E0E">
            <w:pPr>
              <w:tabs>
                <w:tab w:val="left" w:pos="567"/>
              </w:tabs>
              <w:jc w:val="both"/>
              <w:rPr>
                <w:sz w:val="20"/>
              </w:rPr>
            </w:pPr>
            <w:r w:rsidRPr="00770F09">
              <w:rPr>
                <w:sz w:val="20"/>
              </w:rPr>
              <w:t>Okularna hiperemija</w:t>
            </w:r>
          </w:p>
          <w:p w14:paraId="7FDE3D76" w14:textId="77777777" w:rsidR="0023264C" w:rsidRPr="00770F09" w:rsidRDefault="0099078E" w:rsidP="00195E0E">
            <w:pPr>
              <w:tabs>
                <w:tab w:val="left" w:pos="567"/>
              </w:tabs>
              <w:jc w:val="both"/>
              <w:rPr>
                <w:sz w:val="20"/>
              </w:rPr>
            </w:pPr>
            <w:r w:rsidRPr="00770F09">
              <w:rPr>
                <w:sz w:val="20"/>
              </w:rPr>
              <w:t>Suvoća očiju</w:t>
            </w:r>
          </w:p>
          <w:p w14:paraId="0BE8C770" w14:textId="77777777" w:rsidR="0023264C" w:rsidRPr="00770F09" w:rsidRDefault="0099078E" w:rsidP="00195E0E">
            <w:pPr>
              <w:tabs>
                <w:tab w:val="left" w:pos="567"/>
              </w:tabs>
              <w:jc w:val="both"/>
              <w:rPr>
                <w:sz w:val="20"/>
              </w:rPr>
            </w:pPr>
            <w:r w:rsidRPr="00770F09">
              <w:rPr>
                <w:sz w:val="20"/>
              </w:rPr>
              <w:t>Pruritus očiju</w:t>
            </w:r>
          </w:p>
          <w:p w14:paraId="7C37D8FE" w14:textId="77777777" w:rsidR="0099078E" w:rsidRPr="00770F09" w:rsidRDefault="0099078E" w:rsidP="00195E0E">
            <w:pPr>
              <w:tabs>
                <w:tab w:val="left" w:pos="567"/>
              </w:tabs>
              <w:jc w:val="both"/>
              <w:rPr>
                <w:sz w:val="20"/>
              </w:rPr>
            </w:pPr>
            <w:r w:rsidRPr="00770F09">
              <w:rPr>
                <w:sz w:val="20"/>
              </w:rPr>
              <w:t>Iritacija očiju</w:t>
            </w:r>
          </w:p>
        </w:tc>
        <w:tc>
          <w:tcPr>
            <w:tcW w:w="1483" w:type="pct"/>
          </w:tcPr>
          <w:p w14:paraId="058C8927" w14:textId="77777777" w:rsidR="0023264C" w:rsidRPr="00770F09" w:rsidRDefault="0099078E" w:rsidP="00195E0E">
            <w:pPr>
              <w:tabs>
                <w:tab w:val="left" w:pos="567"/>
              </w:tabs>
              <w:jc w:val="both"/>
              <w:rPr>
                <w:sz w:val="20"/>
              </w:rPr>
            </w:pPr>
            <w:r w:rsidRPr="00770F09">
              <w:rPr>
                <w:sz w:val="20"/>
              </w:rPr>
              <w:t>Ulcerozni keratitis</w:t>
            </w:r>
            <w:r w:rsidRPr="00770F09">
              <w:rPr>
                <w:sz w:val="20"/>
                <w:vertAlign w:val="superscript"/>
              </w:rPr>
              <w:t>1,4</w:t>
            </w:r>
          </w:p>
          <w:p w14:paraId="7B7660D3" w14:textId="77777777" w:rsidR="0023264C" w:rsidRPr="00770F09" w:rsidRDefault="0099078E" w:rsidP="00195E0E">
            <w:pPr>
              <w:tabs>
                <w:tab w:val="left" w:pos="567"/>
              </w:tabs>
              <w:jc w:val="both"/>
              <w:rPr>
                <w:sz w:val="20"/>
              </w:rPr>
            </w:pPr>
            <w:r w:rsidRPr="00770F09">
              <w:rPr>
                <w:sz w:val="20"/>
              </w:rPr>
              <w:t>Keratitis</w:t>
            </w:r>
            <w:r w:rsidRPr="00770F09">
              <w:rPr>
                <w:sz w:val="20"/>
                <w:vertAlign w:val="superscript"/>
              </w:rPr>
              <w:t>1</w:t>
            </w:r>
          </w:p>
          <w:p w14:paraId="076D7FAF" w14:textId="77777777" w:rsidR="0023264C" w:rsidRPr="00770F09" w:rsidRDefault="0099078E" w:rsidP="00195E0E">
            <w:pPr>
              <w:tabs>
                <w:tab w:val="left" w:pos="567"/>
              </w:tabs>
              <w:jc w:val="both"/>
              <w:rPr>
                <w:sz w:val="20"/>
              </w:rPr>
            </w:pPr>
            <w:r w:rsidRPr="00770F09">
              <w:rPr>
                <w:sz w:val="20"/>
              </w:rPr>
              <w:t>Iritacija očnih kapaka</w:t>
            </w:r>
          </w:p>
          <w:p w14:paraId="0EC807F6" w14:textId="77777777" w:rsidR="0099078E" w:rsidRPr="00770F09" w:rsidRDefault="0099078E" w:rsidP="00195E0E">
            <w:pPr>
              <w:tabs>
                <w:tab w:val="left" w:pos="567"/>
              </w:tabs>
              <w:jc w:val="both"/>
              <w:rPr>
                <w:sz w:val="20"/>
              </w:rPr>
            </w:pPr>
          </w:p>
        </w:tc>
      </w:tr>
      <w:tr w:rsidR="0099078E" w:rsidRPr="00770F09" w14:paraId="3E308DC7" w14:textId="77777777" w:rsidTr="009D6589">
        <w:tblPrEx>
          <w:tblLook w:val="01E0" w:firstRow="1" w:lastRow="1" w:firstColumn="1" w:lastColumn="1" w:noHBand="0" w:noVBand="0"/>
        </w:tblPrEx>
        <w:trPr>
          <w:cantSplit/>
        </w:trPr>
        <w:tc>
          <w:tcPr>
            <w:tcW w:w="988" w:type="pct"/>
          </w:tcPr>
          <w:p w14:paraId="59C113E3" w14:textId="77777777" w:rsidR="0099078E" w:rsidRPr="00770F09" w:rsidRDefault="0099078E" w:rsidP="00195E0E">
            <w:pPr>
              <w:tabs>
                <w:tab w:val="left" w:pos="567"/>
              </w:tabs>
              <w:jc w:val="both"/>
              <w:rPr>
                <w:sz w:val="20"/>
              </w:rPr>
            </w:pPr>
            <w:r w:rsidRPr="00770F09">
              <w:rPr>
                <w:sz w:val="20"/>
              </w:rPr>
              <w:t>Kardiološki poremećaji</w:t>
            </w:r>
          </w:p>
        </w:tc>
        <w:tc>
          <w:tcPr>
            <w:tcW w:w="1122" w:type="pct"/>
          </w:tcPr>
          <w:p w14:paraId="5F24DDF4" w14:textId="77777777" w:rsidR="0099078E" w:rsidRPr="00770F09" w:rsidRDefault="0099078E" w:rsidP="00195E0E">
            <w:pPr>
              <w:tabs>
                <w:tab w:val="left" w:pos="567"/>
              </w:tabs>
              <w:jc w:val="both"/>
              <w:rPr>
                <w:sz w:val="20"/>
              </w:rPr>
            </w:pPr>
          </w:p>
        </w:tc>
        <w:tc>
          <w:tcPr>
            <w:tcW w:w="1407" w:type="pct"/>
          </w:tcPr>
          <w:p w14:paraId="2463C876" w14:textId="77777777" w:rsidR="0099078E" w:rsidRPr="00770F09" w:rsidRDefault="0099078E" w:rsidP="00195E0E">
            <w:pPr>
              <w:tabs>
                <w:tab w:val="left" w:pos="567"/>
              </w:tabs>
              <w:jc w:val="both"/>
              <w:rPr>
                <w:sz w:val="20"/>
              </w:rPr>
            </w:pPr>
            <w:r w:rsidRPr="00770F09">
              <w:rPr>
                <w:sz w:val="20"/>
              </w:rPr>
              <w:t>Tahikardija</w:t>
            </w:r>
          </w:p>
        </w:tc>
        <w:tc>
          <w:tcPr>
            <w:tcW w:w="1483" w:type="pct"/>
          </w:tcPr>
          <w:p w14:paraId="230E2325" w14:textId="77777777" w:rsidR="00B150E6" w:rsidRPr="00770F09" w:rsidRDefault="0099078E" w:rsidP="00195E0E">
            <w:pPr>
              <w:tabs>
                <w:tab w:val="left" w:pos="567"/>
              </w:tabs>
              <w:jc w:val="both"/>
              <w:rPr>
                <w:sz w:val="20"/>
              </w:rPr>
            </w:pPr>
            <w:r w:rsidRPr="00770F09">
              <w:rPr>
                <w:sz w:val="20"/>
              </w:rPr>
              <w:t>Cijanoza</w:t>
            </w:r>
          </w:p>
          <w:p w14:paraId="706718D5" w14:textId="77777777" w:rsidR="0099078E" w:rsidRPr="00770F09" w:rsidRDefault="0099078E" w:rsidP="00195E0E">
            <w:pPr>
              <w:tabs>
                <w:tab w:val="left" w:pos="567"/>
              </w:tabs>
              <w:jc w:val="both"/>
              <w:rPr>
                <w:sz w:val="20"/>
                <w:vertAlign w:val="superscript"/>
              </w:rPr>
            </w:pPr>
          </w:p>
        </w:tc>
      </w:tr>
      <w:tr w:rsidR="0099078E" w:rsidRPr="00770F09" w14:paraId="4CDB25F6" w14:textId="77777777" w:rsidTr="009D6589">
        <w:tblPrEx>
          <w:tblLook w:val="01E0" w:firstRow="1" w:lastRow="1" w:firstColumn="1" w:lastColumn="1" w:noHBand="0" w:noVBand="0"/>
        </w:tblPrEx>
        <w:trPr>
          <w:cantSplit/>
        </w:trPr>
        <w:tc>
          <w:tcPr>
            <w:tcW w:w="988" w:type="pct"/>
          </w:tcPr>
          <w:p w14:paraId="67BBE26F" w14:textId="77777777" w:rsidR="0099078E" w:rsidRPr="00770F09" w:rsidRDefault="0099078E" w:rsidP="00195E0E">
            <w:pPr>
              <w:tabs>
                <w:tab w:val="left" w:pos="567"/>
              </w:tabs>
              <w:jc w:val="both"/>
              <w:rPr>
                <w:sz w:val="20"/>
              </w:rPr>
            </w:pPr>
            <w:r w:rsidRPr="00770F09">
              <w:rPr>
                <w:sz w:val="20"/>
              </w:rPr>
              <w:lastRenderedPageBreak/>
              <w:t>Vaskularni poremećaji</w:t>
            </w:r>
          </w:p>
        </w:tc>
        <w:tc>
          <w:tcPr>
            <w:tcW w:w="1122" w:type="pct"/>
          </w:tcPr>
          <w:p w14:paraId="2DEA9FAE" w14:textId="77777777" w:rsidR="0099078E" w:rsidRPr="00770F09" w:rsidRDefault="0099078E" w:rsidP="00195E0E">
            <w:pPr>
              <w:tabs>
                <w:tab w:val="left" w:pos="567"/>
              </w:tabs>
              <w:jc w:val="both"/>
              <w:rPr>
                <w:sz w:val="20"/>
              </w:rPr>
            </w:pPr>
          </w:p>
        </w:tc>
        <w:tc>
          <w:tcPr>
            <w:tcW w:w="1407" w:type="pct"/>
          </w:tcPr>
          <w:p w14:paraId="1CFCAA82" w14:textId="77777777" w:rsidR="0023264C" w:rsidRPr="00770F09" w:rsidRDefault="0099078E" w:rsidP="00195E0E">
            <w:pPr>
              <w:tabs>
                <w:tab w:val="left" w:pos="567"/>
              </w:tabs>
              <w:jc w:val="both"/>
              <w:rPr>
                <w:sz w:val="20"/>
              </w:rPr>
            </w:pPr>
            <w:r w:rsidRPr="00770F09">
              <w:rPr>
                <w:sz w:val="20"/>
              </w:rPr>
              <w:t>Duboka venska tromboza</w:t>
            </w:r>
          </w:p>
          <w:p w14:paraId="2425FDF7" w14:textId="77777777" w:rsidR="0023264C" w:rsidRPr="00770F09" w:rsidRDefault="0099078E" w:rsidP="00195E0E">
            <w:pPr>
              <w:tabs>
                <w:tab w:val="left" w:pos="567"/>
              </w:tabs>
              <w:jc w:val="both"/>
              <w:rPr>
                <w:sz w:val="20"/>
                <w:vertAlign w:val="superscript"/>
              </w:rPr>
            </w:pPr>
            <w:r w:rsidRPr="00770F09">
              <w:rPr>
                <w:sz w:val="20"/>
              </w:rPr>
              <w:t>Hipotenzija</w:t>
            </w:r>
          </w:p>
          <w:p w14:paraId="608CC42C" w14:textId="77777777" w:rsidR="0023264C" w:rsidRPr="00770F09" w:rsidRDefault="0099078E" w:rsidP="00195E0E">
            <w:pPr>
              <w:tabs>
                <w:tab w:val="left" w:pos="567"/>
              </w:tabs>
              <w:jc w:val="both"/>
              <w:rPr>
                <w:sz w:val="20"/>
                <w:vertAlign w:val="superscript"/>
              </w:rPr>
            </w:pPr>
            <w:r w:rsidRPr="00770F09">
              <w:rPr>
                <w:sz w:val="20"/>
              </w:rPr>
              <w:t>Hipertenzija</w:t>
            </w:r>
          </w:p>
          <w:p w14:paraId="134EA4DA" w14:textId="77777777" w:rsidR="0099078E" w:rsidRPr="00770F09" w:rsidRDefault="0099078E" w:rsidP="00195E0E">
            <w:pPr>
              <w:tabs>
                <w:tab w:val="left" w:pos="567"/>
              </w:tabs>
              <w:jc w:val="both"/>
              <w:rPr>
                <w:sz w:val="20"/>
              </w:rPr>
            </w:pPr>
            <w:r w:rsidRPr="00770F09">
              <w:rPr>
                <w:sz w:val="20"/>
              </w:rPr>
              <w:t>Naleti crvenila</w:t>
            </w:r>
          </w:p>
        </w:tc>
        <w:tc>
          <w:tcPr>
            <w:tcW w:w="1483" w:type="pct"/>
          </w:tcPr>
          <w:p w14:paraId="4B170301" w14:textId="77777777" w:rsidR="0099078E" w:rsidRPr="00770F09" w:rsidRDefault="0099078E" w:rsidP="00195E0E">
            <w:pPr>
              <w:tabs>
                <w:tab w:val="left" w:pos="567"/>
              </w:tabs>
              <w:jc w:val="both"/>
              <w:rPr>
                <w:sz w:val="20"/>
              </w:rPr>
            </w:pPr>
          </w:p>
        </w:tc>
      </w:tr>
      <w:tr w:rsidR="0099078E" w:rsidRPr="00770F09" w14:paraId="2A3F7C31" w14:textId="77777777" w:rsidTr="009D6589">
        <w:tblPrEx>
          <w:tblLook w:val="01E0" w:firstRow="1" w:lastRow="1" w:firstColumn="1" w:lastColumn="1" w:noHBand="0" w:noVBand="0"/>
        </w:tblPrEx>
        <w:trPr>
          <w:cantSplit/>
        </w:trPr>
        <w:tc>
          <w:tcPr>
            <w:tcW w:w="988" w:type="pct"/>
          </w:tcPr>
          <w:p w14:paraId="0E4C3E17" w14:textId="77777777" w:rsidR="0099078E" w:rsidRPr="00770F09" w:rsidRDefault="0099078E" w:rsidP="00195E0E">
            <w:pPr>
              <w:tabs>
                <w:tab w:val="left" w:pos="567"/>
              </w:tabs>
              <w:jc w:val="both"/>
              <w:rPr>
                <w:sz w:val="20"/>
              </w:rPr>
            </w:pPr>
            <w:r w:rsidRPr="00770F09">
              <w:rPr>
                <w:sz w:val="20"/>
              </w:rPr>
              <w:t>Respiratorni, torakalni i medijastinalni poremećaji</w:t>
            </w:r>
          </w:p>
        </w:tc>
        <w:tc>
          <w:tcPr>
            <w:tcW w:w="1122" w:type="pct"/>
          </w:tcPr>
          <w:p w14:paraId="1DF6A52A" w14:textId="77777777" w:rsidR="0023264C" w:rsidRPr="00770F09" w:rsidRDefault="0099078E" w:rsidP="00195E0E">
            <w:pPr>
              <w:tabs>
                <w:tab w:val="left" w:pos="567"/>
              </w:tabs>
              <w:jc w:val="both"/>
              <w:rPr>
                <w:sz w:val="20"/>
              </w:rPr>
            </w:pPr>
            <w:r w:rsidRPr="00770F09">
              <w:rPr>
                <w:sz w:val="20"/>
              </w:rPr>
              <w:t>Dispneja</w:t>
            </w:r>
          </w:p>
          <w:p w14:paraId="1A2B0790" w14:textId="77777777" w:rsidR="0099078E" w:rsidRPr="00770F09" w:rsidRDefault="0099078E" w:rsidP="00195E0E">
            <w:pPr>
              <w:tabs>
                <w:tab w:val="left" w:pos="567"/>
              </w:tabs>
              <w:jc w:val="both"/>
              <w:rPr>
                <w:sz w:val="20"/>
              </w:rPr>
            </w:pPr>
            <w:r w:rsidRPr="00770F09">
              <w:rPr>
                <w:sz w:val="20"/>
              </w:rPr>
              <w:t>Kašalj</w:t>
            </w:r>
          </w:p>
        </w:tc>
        <w:tc>
          <w:tcPr>
            <w:tcW w:w="1407" w:type="pct"/>
          </w:tcPr>
          <w:p w14:paraId="7FCDE7D7" w14:textId="77777777" w:rsidR="0023264C" w:rsidRPr="00770F09" w:rsidRDefault="0099078E" w:rsidP="00195E0E">
            <w:pPr>
              <w:tabs>
                <w:tab w:val="left" w:pos="567"/>
              </w:tabs>
              <w:jc w:val="both"/>
              <w:rPr>
                <w:sz w:val="20"/>
              </w:rPr>
            </w:pPr>
            <w:r w:rsidRPr="00770F09">
              <w:rPr>
                <w:sz w:val="20"/>
              </w:rPr>
              <w:t>Plućna embolija</w:t>
            </w:r>
          </w:p>
          <w:p w14:paraId="19441CB7" w14:textId="77777777" w:rsidR="0099078E" w:rsidRPr="00770F09" w:rsidRDefault="0099078E" w:rsidP="00195E0E">
            <w:pPr>
              <w:tabs>
                <w:tab w:val="left" w:pos="567"/>
              </w:tabs>
              <w:jc w:val="both"/>
              <w:rPr>
                <w:sz w:val="20"/>
              </w:rPr>
            </w:pPr>
            <w:r w:rsidRPr="00770F09">
              <w:rPr>
                <w:sz w:val="20"/>
              </w:rPr>
              <w:t>Epistaksa</w:t>
            </w:r>
          </w:p>
        </w:tc>
        <w:tc>
          <w:tcPr>
            <w:tcW w:w="1483" w:type="pct"/>
          </w:tcPr>
          <w:p w14:paraId="650E6AD3" w14:textId="77777777" w:rsidR="0023264C" w:rsidRPr="00770F09" w:rsidRDefault="0099078E" w:rsidP="00195E0E">
            <w:pPr>
              <w:tabs>
                <w:tab w:val="left" w:pos="567"/>
              </w:tabs>
              <w:jc w:val="both"/>
              <w:rPr>
                <w:sz w:val="20"/>
              </w:rPr>
            </w:pPr>
            <w:r w:rsidRPr="00770F09">
              <w:rPr>
                <w:sz w:val="20"/>
              </w:rPr>
              <w:t>Intersticijalna bolest pluća</w:t>
            </w:r>
            <w:r w:rsidRPr="00770F09">
              <w:rPr>
                <w:sz w:val="20"/>
                <w:vertAlign w:val="superscript"/>
              </w:rPr>
              <w:t>3</w:t>
            </w:r>
          </w:p>
          <w:p w14:paraId="48E1EB20" w14:textId="24758C4A" w:rsidR="006A4FDE" w:rsidRPr="00770F09" w:rsidRDefault="0099078E" w:rsidP="00195E0E">
            <w:pPr>
              <w:tabs>
                <w:tab w:val="left" w:pos="567"/>
              </w:tabs>
              <w:jc w:val="both"/>
              <w:rPr>
                <w:sz w:val="20"/>
              </w:rPr>
            </w:pPr>
            <w:r w:rsidRPr="00770F09">
              <w:rPr>
                <w:sz w:val="20"/>
              </w:rPr>
              <w:t>Bronhospazam</w:t>
            </w:r>
          </w:p>
          <w:p w14:paraId="75251264" w14:textId="40F317B9" w:rsidR="0099078E" w:rsidRPr="00770F09" w:rsidRDefault="0099078E" w:rsidP="00195E0E">
            <w:pPr>
              <w:tabs>
                <w:tab w:val="left" w:pos="567"/>
              </w:tabs>
              <w:jc w:val="both"/>
              <w:rPr>
                <w:sz w:val="20"/>
              </w:rPr>
            </w:pPr>
            <w:r w:rsidRPr="00770F09">
              <w:rPr>
                <w:sz w:val="20"/>
              </w:rPr>
              <w:t>Suvoća nosa</w:t>
            </w:r>
          </w:p>
        </w:tc>
      </w:tr>
      <w:tr w:rsidR="0099078E" w:rsidRPr="00770F09" w14:paraId="562436CA" w14:textId="77777777" w:rsidTr="009D6589">
        <w:tblPrEx>
          <w:tblLook w:val="01E0" w:firstRow="1" w:lastRow="1" w:firstColumn="1" w:lastColumn="1" w:noHBand="0" w:noVBand="0"/>
        </w:tblPrEx>
        <w:trPr>
          <w:cantSplit/>
        </w:trPr>
        <w:tc>
          <w:tcPr>
            <w:tcW w:w="988" w:type="pct"/>
          </w:tcPr>
          <w:p w14:paraId="608C3300" w14:textId="77777777" w:rsidR="0099078E" w:rsidRPr="00770F09" w:rsidRDefault="0099078E" w:rsidP="00195E0E">
            <w:pPr>
              <w:tabs>
                <w:tab w:val="left" w:pos="567"/>
              </w:tabs>
              <w:jc w:val="both"/>
              <w:rPr>
                <w:sz w:val="20"/>
              </w:rPr>
            </w:pPr>
            <w:r w:rsidRPr="00770F09">
              <w:rPr>
                <w:sz w:val="20"/>
              </w:rPr>
              <w:t>Gastrointestinalni poremećaji</w:t>
            </w:r>
          </w:p>
        </w:tc>
        <w:tc>
          <w:tcPr>
            <w:tcW w:w="1122" w:type="pct"/>
          </w:tcPr>
          <w:p w14:paraId="7D8D609C" w14:textId="77777777" w:rsidR="0023264C" w:rsidRPr="00770F09" w:rsidRDefault="0099078E" w:rsidP="00195E0E">
            <w:pPr>
              <w:tabs>
                <w:tab w:val="left" w:pos="567"/>
              </w:tabs>
              <w:jc w:val="both"/>
              <w:rPr>
                <w:sz w:val="20"/>
              </w:rPr>
            </w:pPr>
            <w:r w:rsidRPr="00770F09">
              <w:rPr>
                <w:sz w:val="20"/>
              </w:rPr>
              <w:t>Dijareja</w:t>
            </w:r>
            <w:r w:rsidRPr="00770F09">
              <w:rPr>
                <w:sz w:val="20"/>
                <w:vertAlign w:val="superscript"/>
              </w:rPr>
              <w:t>1</w:t>
            </w:r>
          </w:p>
          <w:p w14:paraId="33C04A2B" w14:textId="77777777" w:rsidR="00B150E6" w:rsidRPr="00770F09" w:rsidRDefault="0099078E" w:rsidP="00195E0E">
            <w:pPr>
              <w:tabs>
                <w:tab w:val="left" w:pos="567"/>
              </w:tabs>
              <w:jc w:val="both"/>
              <w:rPr>
                <w:sz w:val="20"/>
              </w:rPr>
            </w:pPr>
            <w:r w:rsidRPr="00770F09">
              <w:rPr>
                <w:sz w:val="20"/>
              </w:rPr>
              <w:t>Mučnina</w:t>
            </w:r>
          </w:p>
          <w:p w14:paraId="72EA1315" w14:textId="77777777" w:rsidR="0023264C" w:rsidRPr="00770F09" w:rsidRDefault="0099078E" w:rsidP="00195E0E">
            <w:pPr>
              <w:tabs>
                <w:tab w:val="left" w:pos="567"/>
              </w:tabs>
              <w:jc w:val="both"/>
              <w:rPr>
                <w:sz w:val="20"/>
                <w:vertAlign w:val="superscript"/>
              </w:rPr>
            </w:pPr>
            <w:r w:rsidRPr="00770F09">
              <w:rPr>
                <w:sz w:val="20"/>
              </w:rPr>
              <w:t>Povraćanje</w:t>
            </w:r>
          </w:p>
          <w:p w14:paraId="18EB0711" w14:textId="77777777" w:rsidR="00B150E6" w:rsidRPr="00770F09" w:rsidRDefault="0099078E" w:rsidP="00195E0E">
            <w:pPr>
              <w:tabs>
                <w:tab w:val="left" w:pos="567"/>
              </w:tabs>
              <w:jc w:val="both"/>
              <w:rPr>
                <w:sz w:val="20"/>
              </w:rPr>
            </w:pPr>
            <w:r w:rsidRPr="00770F09">
              <w:rPr>
                <w:sz w:val="20"/>
              </w:rPr>
              <w:t>Bol u abdomenu</w:t>
            </w:r>
          </w:p>
          <w:p w14:paraId="0B7AC32A" w14:textId="77777777" w:rsidR="00B150E6" w:rsidRPr="00770F09" w:rsidRDefault="0099078E" w:rsidP="00195E0E">
            <w:pPr>
              <w:tabs>
                <w:tab w:val="left" w:pos="567"/>
              </w:tabs>
              <w:jc w:val="both"/>
              <w:rPr>
                <w:sz w:val="20"/>
              </w:rPr>
            </w:pPr>
            <w:r w:rsidRPr="00770F09">
              <w:rPr>
                <w:sz w:val="20"/>
              </w:rPr>
              <w:t>Stomatitis</w:t>
            </w:r>
          </w:p>
          <w:p w14:paraId="7F9DC745" w14:textId="77777777" w:rsidR="0099078E" w:rsidRPr="00770F09" w:rsidRDefault="0099078E" w:rsidP="00195E0E">
            <w:pPr>
              <w:tabs>
                <w:tab w:val="left" w:pos="567"/>
              </w:tabs>
              <w:jc w:val="both"/>
              <w:rPr>
                <w:sz w:val="20"/>
              </w:rPr>
            </w:pPr>
            <w:r w:rsidRPr="00770F09">
              <w:rPr>
                <w:sz w:val="20"/>
              </w:rPr>
              <w:t>Konstipacija</w:t>
            </w:r>
          </w:p>
        </w:tc>
        <w:tc>
          <w:tcPr>
            <w:tcW w:w="1407" w:type="pct"/>
          </w:tcPr>
          <w:p w14:paraId="62F297ED" w14:textId="77777777" w:rsidR="0023264C" w:rsidRPr="00770F09" w:rsidRDefault="0099078E" w:rsidP="00195E0E">
            <w:pPr>
              <w:tabs>
                <w:tab w:val="left" w:pos="567"/>
              </w:tabs>
              <w:jc w:val="both"/>
              <w:rPr>
                <w:sz w:val="20"/>
              </w:rPr>
            </w:pPr>
            <w:r w:rsidRPr="00770F09">
              <w:rPr>
                <w:sz w:val="20"/>
              </w:rPr>
              <w:t>Rektalna krvarenja</w:t>
            </w:r>
          </w:p>
          <w:p w14:paraId="0FBB54AA" w14:textId="77777777" w:rsidR="0023264C" w:rsidRPr="00770F09" w:rsidRDefault="0099078E" w:rsidP="00195E0E">
            <w:pPr>
              <w:tabs>
                <w:tab w:val="left" w:pos="567"/>
              </w:tabs>
              <w:jc w:val="both"/>
              <w:rPr>
                <w:sz w:val="20"/>
              </w:rPr>
            </w:pPr>
            <w:r w:rsidRPr="00770F09">
              <w:rPr>
                <w:sz w:val="20"/>
              </w:rPr>
              <w:t>Suvoća usta</w:t>
            </w:r>
          </w:p>
          <w:p w14:paraId="20ABB103" w14:textId="77777777" w:rsidR="0023264C" w:rsidRPr="00770F09" w:rsidRDefault="0099078E" w:rsidP="00195E0E">
            <w:pPr>
              <w:tabs>
                <w:tab w:val="left" w:pos="567"/>
              </w:tabs>
              <w:jc w:val="both"/>
              <w:rPr>
                <w:sz w:val="20"/>
              </w:rPr>
            </w:pPr>
            <w:r w:rsidRPr="00770F09">
              <w:rPr>
                <w:sz w:val="20"/>
              </w:rPr>
              <w:t>Dispepsija</w:t>
            </w:r>
          </w:p>
          <w:p w14:paraId="75B27CDB" w14:textId="77777777" w:rsidR="0023264C" w:rsidRPr="00770F09" w:rsidRDefault="0099078E" w:rsidP="00195E0E">
            <w:pPr>
              <w:tabs>
                <w:tab w:val="left" w:pos="567"/>
              </w:tabs>
              <w:jc w:val="both"/>
              <w:rPr>
                <w:sz w:val="20"/>
              </w:rPr>
            </w:pPr>
            <w:r w:rsidRPr="00770F09">
              <w:rPr>
                <w:sz w:val="20"/>
              </w:rPr>
              <w:t>Aftozni ulkus</w:t>
            </w:r>
          </w:p>
          <w:p w14:paraId="5B6CC34F" w14:textId="77777777" w:rsidR="0023264C" w:rsidRPr="00770F09" w:rsidRDefault="0099078E" w:rsidP="00195E0E">
            <w:pPr>
              <w:tabs>
                <w:tab w:val="left" w:pos="567"/>
              </w:tabs>
              <w:jc w:val="both"/>
              <w:rPr>
                <w:sz w:val="20"/>
              </w:rPr>
            </w:pPr>
            <w:r w:rsidRPr="00770F09">
              <w:rPr>
                <w:sz w:val="20"/>
              </w:rPr>
              <w:t>Heilitis</w:t>
            </w:r>
          </w:p>
          <w:p w14:paraId="768DA150" w14:textId="77777777" w:rsidR="0099078E" w:rsidRPr="00770F09" w:rsidRDefault="0099078E" w:rsidP="00195E0E">
            <w:pPr>
              <w:tabs>
                <w:tab w:val="left" w:pos="567"/>
              </w:tabs>
              <w:jc w:val="both"/>
              <w:rPr>
                <w:sz w:val="20"/>
              </w:rPr>
            </w:pPr>
            <w:r w:rsidRPr="00770F09">
              <w:rPr>
                <w:sz w:val="20"/>
              </w:rPr>
              <w:t>Gastroezofagealna refluksna bolest</w:t>
            </w:r>
          </w:p>
        </w:tc>
        <w:tc>
          <w:tcPr>
            <w:tcW w:w="1483" w:type="pct"/>
          </w:tcPr>
          <w:p w14:paraId="32725E51" w14:textId="77777777" w:rsidR="0023264C" w:rsidRPr="00770F09" w:rsidRDefault="0099078E" w:rsidP="00195E0E">
            <w:pPr>
              <w:tabs>
                <w:tab w:val="left" w:pos="567"/>
              </w:tabs>
              <w:jc w:val="both"/>
              <w:rPr>
                <w:sz w:val="20"/>
              </w:rPr>
            </w:pPr>
            <w:r w:rsidRPr="00770F09">
              <w:rPr>
                <w:sz w:val="20"/>
              </w:rPr>
              <w:t>Ispucala usta</w:t>
            </w:r>
          </w:p>
          <w:p w14:paraId="689924C3" w14:textId="77777777" w:rsidR="0099078E" w:rsidRPr="00770F09" w:rsidRDefault="0099078E" w:rsidP="00195E0E">
            <w:pPr>
              <w:tabs>
                <w:tab w:val="left" w:pos="567"/>
              </w:tabs>
              <w:jc w:val="both"/>
              <w:rPr>
                <w:sz w:val="20"/>
              </w:rPr>
            </w:pPr>
            <w:r w:rsidRPr="00770F09">
              <w:rPr>
                <w:sz w:val="20"/>
              </w:rPr>
              <w:t>Suve usne</w:t>
            </w:r>
          </w:p>
        </w:tc>
      </w:tr>
      <w:tr w:rsidR="0099078E" w:rsidRPr="00770F09" w14:paraId="168420A2" w14:textId="77777777" w:rsidTr="009D6589">
        <w:tblPrEx>
          <w:tblLook w:val="01E0" w:firstRow="1" w:lastRow="1" w:firstColumn="1" w:lastColumn="1" w:noHBand="0" w:noVBand="0"/>
        </w:tblPrEx>
        <w:trPr>
          <w:cantSplit/>
        </w:trPr>
        <w:tc>
          <w:tcPr>
            <w:tcW w:w="988" w:type="pct"/>
          </w:tcPr>
          <w:p w14:paraId="4656B714" w14:textId="77777777" w:rsidR="0099078E" w:rsidRPr="00770F09" w:rsidRDefault="0099078E" w:rsidP="00195E0E">
            <w:pPr>
              <w:tabs>
                <w:tab w:val="left" w:pos="567"/>
              </w:tabs>
              <w:jc w:val="both"/>
              <w:rPr>
                <w:sz w:val="20"/>
              </w:rPr>
            </w:pPr>
            <w:r w:rsidRPr="00770F09">
              <w:rPr>
                <w:sz w:val="20"/>
              </w:rPr>
              <w:t>Poremećaji na nivou kože i potkožnog tkiva</w:t>
            </w:r>
            <w:r w:rsidRPr="00770F09">
              <w:rPr>
                <w:sz w:val="20"/>
                <w:vertAlign w:val="superscript"/>
              </w:rPr>
              <w:t>1</w:t>
            </w:r>
          </w:p>
        </w:tc>
        <w:tc>
          <w:tcPr>
            <w:tcW w:w="1122" w:type="pct"/>
          </w:tcPr>
          <w:p w14:paraId="07BA4FFD" w14:textId="77777777" w:rsidR="00B150E6" w:rsidRPr="00770F09" w:rsidRDefault="0099078E" w:rsidP="00195E0E">
            <w:pPr>
              <w:tabs>
                <w:tab w:val="left" w:pos="567"/>
              </w:tabs>
              <w:jc w:val="both"/>
              <w:rPr>
                <w:sz w:val="20"/>
              </w:rPr>
            </w:pPr>
            <w:r w:rsidRPr="00770F09">
              <w:rPr>
                <w:sz w:val="20"/>
              </w:rPr>
              <w:t>Akneiformni dermatitis</w:t>
            </w:r>
          </w:p>
          <w:p w14:paraId="119B4899" w14:textId="77777777" w:rsidR="0023264C" w:rsidRPr="00770F09" w:rsidRDefault="0099078E" w:rsidP="00195E0E">
            <w:pPr>
              <w:tabs>
                <w:tab w:val="left" w:pos="567"/>
              </w:tabs>
              <w:jc w:val="both"/>
              <w:rPr>
                <w:sz w:val="20"/>
              </w:rPr>
            </w:pPr>
            <w:r w:rsidRPr="00770F09">
              <w:rPr>
                <w:sz w:val="20"/>
              </w:rPr>
              <w:t>Osip</w:t>
            </w:r>
          </w:p>
          <w:p w14:paraId="0D3CC517" w14:textId="77777777" w:rsidR="00B150E6" w:rsidRPr="00770F09" w:rsidRDefault="0099078E" w:rsidP="00195E0E">
            <w:pPr>
              <w:tabs>
                <w:tab w:val="left" w:pos="567"/>
              </w:tabs>
              <w:jc w:val="both"/>
              <w:rPr>
                <w:sz w:val="20"/>
              </w:rPr>
            </w:pPr>
            <w:r w:rsidRPr="00770F09">
              <w:rPr>
                <w:sz w:val="20"/>
              </w:rPr>
              <w:t>Eritem</w:t>
            </w:r>
          </w:p>
          <w:p w14:paraId="6F61BCF9" w14:textId="77777777" w:rsidR="0023264C" w:rsidRPr="00770F09" w:rsidRDefault="0099078E" w:rsidP="00195E0E">
            <w:pPr>
              <w:tabs>
                <w:tab w:val="left" w:pos="567"/>
              </w:tabs>
              <w:jc w:val="both"/>
              <w:rPr>
                <w:sz w:val="20"/>
              </w:rPr>
            </w:pPr>
            <w:r w:rsidRPr="00770F09">
              <w:rPr>
                <w:sz w:val="20"/>
              </w:rPr>
              <w:t>Pruritus</w:t>
            </w:r>
          </w:p>
          <w:p w14:paraId="139B9073" w14:textId="77777777" w:rsidR="0023264C" w:rsidRPr="00770F09" w:rsidRDefault="0099078E" w:rsidP="00195E0E">
            <w:pPr>
              <w:tabs>
                <w:tab w:val="left" w:pos="567"/>
              </w:tabs>
              <w:jc w:val="both"/>
              <w:rPr>
                <w:sz w:val="20"/>
              </w:rPr>
            </w:pPr>
            <w:r w:rsidRPr="00770F09">
              <w:rPr>
                <w:sz w:val="20"/>
              </w:rPr>
              <w:t>Suva koža</w:t>
            </w:r>
          </w:p>
          <w:p w14:paraId="52014625" w14:textId="77777777" w:rsidR="0023264C" w:rsidRPr="00770F09" w:rsidRDefault="0099078E" w:rsidP="00195E0E">
            <w:pPr>
              <w:tabs>
                <w:tab w:val="left" w:pos="567"/>
              </w:tabs>
              <w:jc w:val="both"/>
              <w:rPr>
                <w:sz w:val="20"/>
              </w:rPr>
            </w:pPr>
            <w:r w:rsidRPr="00770F09">
              <w:rPr>
                <w:sz w:val="20"/>
              </w:rPr>
              <w:t>Fisure na koži</w:t>
            </w:r>
          </w:p>
          <w:p w14:paraId="15ECE664" w14:textId="77777777" w:rsidR="0023264C" w:rsidRPr="00770F09" w:rsidRDefault="0099078E" w:rsidP="00195E0E">
            <w:pPr>
              <w:tabs>
                <w:tab w:val="left" w:pos="567"/>
              </w:tabs>
              <w:jc w:val="both"/>
              <w:rPr>
                <w:sz w:val="20"/>
              </w:rPr>
            </w:pPr>
            <w:r w:rsidRPr="00770F09">
              <w:rPr>
                <w:sz w:val="20"/>
              </w:rPr>
              <w:t>Akne</w:t>
            </w:r>
          </w:p>
          <w:p w14:paraId="3C4F41DA" w14:textId="77777777" w:rsidR="0099078E" w:rsidRPr="00770F09" w:rsidRDefault="0099078E" w:rsidP="00195E0E">
            <w:pPr>
              <w:tabs>
                <w:tab w:val="left" w:pos="567"/>
              </w:tabs>
              <w:jc w:val="both"/>
              <w:rPr>
                <w:sz w:val="20"/>
              </w:rPr>
            </w:pPr>
            <w:r w:rsidRPr="00770F09">
              <w:rPr>
                <w:sz w:val="20"/>
              </w:rPr>
              <w:t>Alopecija</w:t>
            </w:r>
          </w:p>
        </w:tc>
        <w:tc>
          <w:tcPr>
            <w:tcW w:w="1407" w:type="pct"/>
          </w:tcPr>
          <w:p w14:paraId="479E1286" w14:textId="77777777" w:rsidR="0023264C" w:rsidRPr="00770F09" w:rsidRDefault="0099078E" w:rsidP="00195E0E">
            <w:pPr>
              <w:tabs>
                <w:tab w:val="left" w:pos="567"/>
              </w:tabs>
              <w:jc w:val="both"/>
              <w:rPr>
                <w:sz w:val="20"/>
              </w:rPr>
            </w:pPr>
            <w:r w:rsidRPr="00770F09">
              <w:rPr>
                <w:sz w:val="20"/>
              </w:rPr>
              <w:t>Ulceracije kože</w:t>
            </w:r>
          </w:p>
          <w:p w14:paraId="16397FB7" w14:textId="77777777" w:rsidR="0023264C" w:rsidRPr="00770F09" w:rsidRDefault="0099078E" w:rsidP="00195E0E">
            <w:pPr>
              <w:tabs>
                <w:tab w:val="left" w:pos="567"/>
              </w:tabs>
              <w:jc w:val="both"/>
              <w:rPr>
                <w:sz w:val="20"/>
              </w:rPr>
            </w:pPr>
            <w:r w:rsidRPr="00770F09">
              <w:rPr>
                <w:sz w:val="20"/>
              </w:rPr>
              <w:t>Eksfolijacija kože</w:t>
            </w:r>
          </w:p>
          <w:p w14:paraId="36E54B93" w14:textId="77777777" w:rsidR="0023264C" w:rsidRPr="00770F09" w:rsidRDefault="0099078E" w:rsidP="00195E0E">
            <w:pPr>
              <w:tabs>
                <w:tab w:val="left" w:pos="567"/>
              </w:tabs>
              <w:jc w:val="both"/>
              <w:rPr>
                <w:sz w:val="20"/>
              </w:rPr>
            </w:pPr>
            <w:r w:rsidRPr="00770F09">
              <w:rPr>
                <w:sz w:val="20"/>
              </w:rPr>
              <w:t>Eksfolijativni osip</w:t>
            </w:r>
          </w:p>
          <w:p w14:paraId="159113CE" w14:textId="77777777" w:rsidR="0023264C" w:rsidRPr="00770F09" w:rsidRDefault="0099078E" w:rsidP="00195E0E">
            <w:pPr>
              <w:tabs>
                <w:tab w:val="left" w:pos="567"/>
              </w:tabs>
              <w:jc w:val="both"/>
              <w:rPr>
                <w:sz w:val="20"/>
              </w:rPr>
            </w:pPr>
            <w:r w:rsidRPr="00770F09">
              <w:rPr>
                <w:sz w:val="20"/>
              </w:rPr>
              <w:t>Dermatitis</w:t>
            </w:r>
          </w:p>
          <w:p w14:paraId="79B191A9" w14:textId="77777777" w:rsidR="0023264C" w:rsidRPr="00770F09" w:rsidRDefault="0099078E" w:rsidP="00195E0E">
            <w:pPr>
              <w:tabs>
                <w:tab w:val="left" w:pos="567"/>
              </w:tabs>
              <w:jc w:val="both"/>
              <w:rPr>
                <w:sz w:val="20"/>
              </w:rPr>
            </w:pPr>
            <w:r w:rsidRPr="00770F09">
              <w:rPr>
                <w:sz w:val="20"/>
              </w:rPr>
              <w:t>Papularni osip</w:t>
            </w:r>
          </w:p>
          <w:p w14:paraId="2C2DF9B4" w14:textId="77777777" w:rsidR="0023264C" w:rsidRPr="00770F09" w:rsidRDefault="0099078E" w:rsidP="00195E0E">
            <w:pPr>
              <w:tabs>
                <w:tab w:val="left" w:pos="567"/>
              </w:tabs>
              <w:jc w:val="both"/>
              <w:rPr>
                <w:sz w:val="20"/>
              </w:rPr>
            </w:pPr>
            <w:r w:rsidRPr="00770F09">
              <w:rPr>
                <w:sz w:val="20"/>
              </w:rPr>
              <w:t>Osip praćen svrabom</w:t>
            </w:r>
          </w:p>
          <w:p w14:paraId="7AD14B39" w14:textId="77777777" w:rsidR="0023264C" w:rsidRPr="00770F09" w:rsidRDefault="0099078E" w:rsidP="00195E0E">
            <w:pPr>
              <w:tabs>
                <w:tab w:val="left" w:pos="567"/>
              </w:tabs>
              <w:jc w:val="both"/>
              <w:rPr>
                <w:sz w:val="20"/>
              </w:rPr>
            </w:pPr>
            <w:r w:rsidRPr="00770F09">
              <w:rPr>
                <w:sz w:val="20"/>
              </w:rPr>
              <w:t>Eritematozni osip</w:t>
            </w:r>
          </w:p>
          <w:p w14:paraId="4A3FCBEF" w14:textId="77777777" w:rsidR="0023264C" w:rsidRPr="00770F09" w:rsidRDefault="0099078E" w:rsidP="00195E0E">
            <w:pPr>
              <w:tabs>
                <w:tab w:val="left" w:pos="567"/>
              </w:tabs>
              <w:jc w:val="both"/>
              <w:rPr>
                <w:sz w:val="20"/>
              </w:rPr>
            </w:pPr>
            <w:r w:rsidRPr="00770F09">
              <w:rPr>
                <w:sz w:val="20"/>
              </w:rPr>
              <w:t>Generalizovani osip</w:t>
            </w:r>
          </w:p>
          <w:p w14:paraId="0C7F5DFA" w14:textId="77777777" w:rsidR="0023264C" w:rsidRPr="00770F09" w:rsidRDefault="0099078E" w:rsidP="00195E0E">
            <w:pPr>
              <w:tabs>
                <w:tab w:val="left" w:pos="567"/>
              </w:tabs>
              <w:jc w:val="both"/>
              <w:rPr>
                <w:sz w:val="20"/>
              </w:rPr>
            </w:pPr>
            <w:r w:rsidRPr="00770F09">
              <w:rPr>
                <w:sz w:val="20"/>
              </w:rPr>
              <w:t>Makularni osip</w:t>
            </w:r>
          </w:p>
          <w:p w14:paraId="0D45049C" w14:textId="77777777" w:rsidR="0023264C" w:rsidRPr="00770F09" w:rsidRDefault="0099078E" w:rsidP="00195E0E">
            <w:pPr>
              <w:tabs>
                <w:tab w:val="left" w:pos="567"/>
              </w:tabs>
              <w:jc w:val="both"/>
              <w:rPr>
                <w:sz w:val="20"/>
              </w:rPr>
            </w:pPr>
            <w:r w:rsidRPr="00770F09">
              <w:rPr>
                <w:sz w:val="20"/>
              </w:rPr>
              <w:t>Makulo</w:t>
            </w:r>
            <w:r w:rsidRPr="00770F09">
              <w:rPr>
                <w:sz w:val="20"/>
              </w:rPr>
              <w:noBreakHyphen/>
              <w:t>papularni osip</w:t>
            </w:r>
          </w:p>
          <w:p w14:paraId="2BCE7E69" w14:textId="77777777" w:rsidR="0023264C" w:rsidRPr="00770F09" w:rsidRDefault="0099078E" w:rsidP="00195E0E">
            <w:pPr>
              <w:tabs>
                <w:tab w:val="left" w:pos="567"/>
              </w:tabs>
              <w:jc w:val="both"/>
              <w:rPr>
                <w:sz w:val="20"/>
              </w:rPr>
            </w:pPr>
            <w:r w:rsidRPr="00770F09">
              <w:rPr>
                <w:sz w:val="20"/>
              </w:rPr>
              <w:t>Lezije na koži</w:t>
            </w:r>
          </w:p>
          <w:p w14:paraId="2BD43C4A" w14:textId="77777777" w:rsidR="00B150E6" w:rsidRPr="00770F09" w:rsidRDefault="0099078E" w:rsidP="00195E0E">
            <w:pPr>
              <w:tabs>
                <w:tab w:val="left" w:pos="567"/>
              </w:tabs>
              <w:jc w:val="both"/>
              <w:rPr>
                <w:sz w:val="20"/>
              </w:rPr>
            </w:pPr>
            <w:r w:rsidRPr="00770F09">
              <w:rPr>
                <w:sz w:val="20"/>
              </w:rPr>
              <w:t>Toksičnost kože</w:t>
            </w:r>
          </w:p>
          <w:p w14:paraId="0819BAED" w14:textId="77777777" w:rsidR="0023264C" w:rsidRPr="00770F09" w:rsidRDefault="0099078E" w:rsidP="00195E0E">
            <w:pPr>
              <w:tabs>
                <w:tab w:val="left" w:pos="567"/>
              </w:tabs>
              <w:jc w:val="both"/>
              <w:rPr>
                <w:sz w:val="20"/>
              </w:rPr>
            </w:pPr>
            <w:r w:rsidRPr="00770F09">
              <w:rPr>
                <w:sz w:val="20"/>
              </w:rPr>
              <w:t>Kraste</w:t>
            </w:r>
          </w:p>
          <w:p w14:paraId="5E24D9FB" w14:textId="77777777" w:rsidR="00B150E6" w:rsidRPr="00770F09" w:rsidRDefault="0099078E" w:rsidP="00195E0E">
            <w:pPr>
              <w:tabs>
                <w:tab w:val="left" w:pos="567"/>
              </w:tabs>
              <w:jc w:val="both"/>
              <w:rPr>
                <w:sz w:val="20"/>
              </w:rPr>
            </w:pPr>
            <w:r w:rsidRPr="00770F09">
              <w:rPr>
                <w:sz w:val="20"/>
              </w:rPr>
              <w:t>Hipertrihoza</w:t>
            </w:r>
          </w:p>
          <w:p w14:paraId="46CB61C0" w14:textId="77777777" w:rsidR="0023264C" w:rsidRPr="00770F09" w:rsidRDefault="0099078E" w:rsidP="00195E0E">
            <w:pPr>
              <w:tabs>
                <w:tab w:val="left" w:pos="567"/>
              </w:tabs>
              <w:jc w:val="both"/>
              <w:rPr>
                <w:sz w:val="20"/>
              </w:rPr>
            </w:pPr>
            <w:r w:rsidRPr="00770F09">
              <w:rPr>
                <w:sz w:val="20"/>
              </w:rPr>
              <w:t>Onihoklasis</w:t>
            </w:r>
          </w:p>
          <w:p w14:paraId="0371EE5A" w14:textId="77777777" w:rsidR="00B150E6" w:rsidRPr="00770F09" w:rsidRDefault="0099078E" w:rsidP="00195E0E">
            <w:pPr>
              <w:tabs>
                <w:tab w:val="left" w:pos="567"/>
              </w:tabs>
              <w:jc w:val="both"/>
              <w:rPr>
                <w:sz w:val="20"/>
              </w:rPr>
            </w:pPr>
            <w:r w:rsidRPr="00770F09">
              <w:rPr>
                <w:sz w:val="20"/>
              </w:rPr>
              <w:t>Poremećaji nokta</w:t>
            </w:r>
          </w:p>
          <w:p w14:paraId="44D19FE1" w14:textId="77777777" w:rsidR="0023264C" w:rsidRPr="00770F09" w:rsidRDefault="0099078E" w:rsidP="00195E0E">
            <w:pPr>
              <w:tabs>
                <w:tab w:val="left" w:pos="567"/>
              </w:tabs>
              <w:jc w:val="both"/>
              <w:rPr>
                <w:sz w:val="20"/>
              </w:rPr>
            </w:pPr>
            <w:r w:rsidRPr="00770F09">
              <w:rPr>
                <w:sz w:val="20"/>
              </w:rPr>
              <w:t>Hiperhidroza</w:t>
            </w:r>
          </w:p>
          <w:p w14:paraId="38EF4285" w14:textId="77777777" w:rsidR="0099078E" w:rsidRPr="00770F09" w:rsidRDefault="0099078E" w:rsidP="00195E0E">
            <w:pPr>
              <w:tabs>
                <w:tab w:val="left" w:pos="567"/>
              </w:tabs>
              <w:jc w:val="both"/>
              <w:rPr>
                <w:sz w:val="20"/>
              </w:rPr>
            </w:pPr>
            <w:r w:rsidRPr="00770F09">
              <w:rPr>
                <w:sz w:val="20"/>
              </w:rPr>
              <w:t>Sindrom palmoplantarne eritrodisestezije</w:t>
            </w:r>
          </w:p>
        </w:tc>
        <w:tc>
          <w:tcPr>
            <w:tcW w:w="1483" w:type="pct"/>
          </w:tcPr>
          <w:p w14:paraId="4DD7C29B" w14:textId="22C0797A" w:rsidR="0023264C" w:rsidRPr="00770F09" w:rsidRDefault="0099078E" w:rsidP="00195E0E">
            <w:pPr>
              <w:tabs>
                <w:tab w:val="left" w:pos="567"/>
              </w:tabs>
              <w:jc w:val="both"/>
              <w:rPr>
                <w:sz w:val="20"/>
              </w:rPr>
            </w:pPr>
            <w:r w:rsidRPr="00770F09">
              <w:rPr>
                <w:sz w:val="20"/>
              </w:rPr>
              <w:t>Toksična epidermalna nekroliza</w:t>
            </w:r>
            <w:r w:rsidRPr="00770F09">
              <w:rPr>
                <w:sz w:val="20"/>
                <w:vertAlign w:val="superscript"/>
              </w:rPr>
              <w:t>1,4</w:t>
            </w:r>
          </w:p>
          <w:p w14:paraId="6951896D" w14:textId="6F2D75DB" w:rsidR="0023264C" w:rsidRPr="00770F09" w:rsidRDefault="0099078E" w:rsidP="00195E0E">
            <w:pPr>
              <w:tabs>
                <w:tab w:val="left" w:pos="567"/>
              </w:tabs>
              <w:jc w:val="both"/>
              <w:rPr>
                <w:sz w:val="20"/>
                <w:vertAlign w:val="superscript"/>
              </w:rPr>
            </w:pPr>
            <w:r w:rsidRPr="00770F09">
              <w:rPr>
                <w:sz w:val="20"/>
              </w:rPr>
              <w:t>StevensJohnson-ov sindrom</w:t>
            </w:r>
            <w:r w:rsidRPr="00770F09">
              <w:rPr>
                <w:sz w:val="20"/>
                <w:vertAlign w:val="superscript"/>
              </w:rPr>
              <w:t>1,4</w:t>
            </w:r>
          </w:p>
          <w:p w14:paraId="7812019F" w14:textId="47E0A3EB" w:rsidR="0023264C" w:rsidRPr="00770F09" w:rsidRDefault="0099078E" w:rsidP="00195E0E">
            <w:pPr>
              <w:tabs>
                <w:tab w:val="left" w:pos="567"/>
              </w:tabs>
              <w:jc w:val="both"/>
              <w:rPr>
                <w:sz w:val="20"/>
                <w:u w:val="single"/>
                <w:vertAlign w:val="superscript"/>
              </w:rPr>
            </w:pPr>
            <w:r w:rsidRPr="00770F09">
              <w:rPr>
                <w:sz w:val="20"/>
              </w:rPr>
              <w:t>Nekroza kože</w:t>
            </w:r>
            <w:r w:rsidRPr="00770F09">
              <w:rPr>
                <w:sz w:val="20"/>
                <w:vertAlign w:val="superscript"/>
              </w:rPr>
              <w:t>1,4</w:t>
            </w:r>
          </w:p>
          <w:p w14:paraId="65D52799" w14:textId="77777777" w:rsidR="0023264C" w:rsidRPr="00770F09" w:rsidRDefault="0099078E" w:rsidP="00195E0E">
            <w:pPr>
              <w:tabs>
                <w:tab w:val="left" w:pos="567"/>
              </w:tabs>
              <w:jc w:val="both"/>
              <w:rPr>
                <w:sz w:val="20"/>
                <w:vertAlign w:val="superscript"/>
              </w:rPr>
            </w:pPr>
            <w:r w:rsidRPr="00770F09">
              <w:rPr>
                <w:sz w:val="20"/>
              </w:rPr>
              <w:t>Angioedem</w:t>
            </w:r>
            <w:r w:rsidRPr="00770F09">
              <w:rPr>
                <w:sz w:val="20"/>
                <w:vertAlign w:val="superscript"/>
              </w:rPr>
              <w:t>1</w:t>
            </w:r>
          </w:p>
          <w:p w14:paraId="3D5CF5B8" w14:textId="77777777" w:rsidR="0023264C" w:rsidRPr="00770F09" w:rsidRDefault="0099078E" w:rsidP="00195E0E">
            <w:pPr>
              <w:tabs>
                <w:tab w:val="left" w:pos="567"/>
              </w:tabs>
              <w:jc w:val="both"/>
              <w:rPr>
                <w:sz w:val="20"/>
              </w:rPr>
            </w:pPr>
            <w:r w:rsidRPr="00770F09">
              <w:rPr>
                <w:sz w:val="20"/>
              </w:rPr>
              <w:t>Hirzutizam</w:t>
            </w:r>
          </w:p>
          <w:p w14:paraId="324B6538" w14:textId="77777777" w:rsidR="0023264C" w:rsidRPr="00770F09" w:rsidRDefault="0099078E" w:rsidP="00195E0E">
            <w:pPr>
              <w:tabs>
                <w:tab w:val="left" w:pos="567"/>
              </w:tabs>
              <w:jc w:val="both"/>
              <w:rPr>
                <w:sz w:val="20"/>
              </w:rPr>
            </w:pPr>
            <w:r w:rsidRPr="00770F09">
              <w:rPr>
                <w:sz w:val="20"/>
              </w:rPr>
              <w:t>Urastanja noktiju</w:t>
            </w:r>
          </w:p>
          <w:p w14:paraId="1176D2DD" w14:textId="77777777" w:rsidR="0099078E" w:rsidRPr="00770F09" w:rsidRDefault="0099078E" w:rsidP="00195E0E">
            <w:pPr>
              <w:tabs>
                <w:tab w:val="left" w:pos="567"/>
              </w:tabs>
              <w:jc w:val="both"/>
              <w:rPr>
                <w:sz w:val="20"/>
              </w:rPr>
            </w:pPr>
            <w:r w:rsidRPr="00770F09">
              <w:rPr>
                <w:sz w:val="20"/>
              </w:rPr>
              <w:t>Oniholiza</w:t>
            </w:r>
          </w:p>
        </w:tc>
      </w:tr>
      <w:tr w:rsidR="0099078E" w:rsidRPr="00770F09" w14:paraId="7D8DD972" w14:textId="77777777" w:rsidTr="009D6589">
        <w:tblPrEx>
          <w:tblLook w:val="01E0" w:firstRow="1" w:lastRow="1" w:firstColumn="1" w:lastColumn="1" w:noHBand="0" w:noVBand="0"/>
        </w:tblPrEx>
        <w:trPr>
          <w:cantSplit/>
        </w:trPr>
        <w:tc>
          <w:tcPr>
            <w:tcW w:w="988" w:type="pct"/>
          </w:tcPr>
          <w:p w14:paraId="65E4B11A" w14:textId="77777777" w:rsidR="0099078E" w:rsidRPr="00770F09" w:rsidRDefault="0099078E" w:rsidP="00195E0E">
            <w:pPr>
              <w:tabs>
                <w:tab w:val="left" w:pos="567"/>
              </w:tabs>
              <w:jc w:val="both"/>
              <w:rPr>
                <w:sz w:val="20"/>
              </w:rPr>
            </w:pPr>
            <w:r w:rsidRPr="00770F09">
              <w:rPr>
                <w:sz w:val="20"/>
              </w:rPr>
              <w:t>Poremećaji mišićno</w:t>
            </w:r>
            <w:r w:rsidRPr="00770F09">
              <w:rPr>
                <w:sz w:val="20"/>
              </w:rPr>
              <w:noBreakHyphen/>
              <w:t>skeletnog i vezivnog tkiva</w:t>
            </w:r>
          </w:p>
        </w:tc>
        <w:tc>
          <w:tcPr>
            <w:tcW w:w="1122" w:type="pct"/>
          </w:tcPr>
          <w:p w14:paraId="116B32E0" w14:textId="77777777" w:rsidR="0099078E" w:rsidRPr="00770F09" w:rsidRDefault="0099078E" w:rsidP="00195E0E">
            <w:pPr>
              <w:tabs>
                <w:tab w:val="left" w:pos="567"/>
              </w:tabs>
              <w:jc w:val="both"/>
              <w:rPr>
                <w:sz w:val="20"/>
              </w:rPr>
            </w:pPr>
            <w:r w:rsidRPr="00770F09">
              <w:rPr>
                <w:sz w:val="20"/>
              </w:rPr>
              <w:t>Bol u leđima</w:t>
            </w:r>
          </w:p>
        </w:tc>
        <w:tc>
          <w:tcPr>
            <w:tcW w:w="1407" w:type="pct"/>
          </w:tcPr>
          <w:p w14:paraId="588B7B96" w14:textId="77777777" w:rsidR="0099078E" w:rsidRPr="00770F09" w:rsidRDefault="0099078E" w:rsidP="00195E0E">
            <w:pPr>
              <w:tabs>
                <w:tab w:val="left" w:pos="567"/>
              </w:tabs>
              <w:jc w:val="both"/>
              <w:rPr>
                <w:sz w:val="20"/>
              </w:rPr>
            </w:pPr>
            <w:r w:rsidRPr="00770F09">
              <w:rPr>
                <w:sz w:val="20"/>
              </w:rPr>
              <w:t>Bol u ekstremitetima</w:t>
            </w:r>
          </w:p>
        </w:tc>
        <w:tc>
          <w:tcPr>
            <w:tcW w:w="1483" w:type="pct"/>
          </w:tcPr>
          <w:p w14:paraId="7A111CE1" w14:textId="77777777" w:rsidR="0099078E" w:rsidRPr="00770F09" w:rsidRDefault="0099078E" w:rsidP="00195E0E">
            <w:pPr>
              <w:tabs>
                <w:tab w:val="left" w:pos="567"/>
              </w:tabs>
              <w:jc w:val="both"/>
              <w:rPr>
                <w:sz w:val="20"/>
              </w:rPr>
            </w:pPr>
          </w:p>
        </w:tc>
      </w:tr>
      <w:tr w:rsidR="0099078E" w:rsidRPr="00770F09" w14:paraId="4F3310F1" w14:textId="77777777" w:rsidTr="009D6589">
        <w:tblPrEx>
          <w:tblLook w:val="01E0" w:firstRow="1" w:lastRow="1" w:firstColumn="1" w:lastColumn="1" w:noHBand="0" w:noVBand="0"/>
        </w:tblPrEx>
        <w:trPr>
          <w:cantSplit/>
        </w:trPr>
        <w:tc>
          <w:tcPr>
            <w:tcW w:w="988" w:type="pct"/>
          </w:tcPr>
          <w:p w14:paraId="45DBF867" w14:textId="77777777" w:rsidR="0099078E" w:rsidRPr="00770F09" w:rsidRDefault="0099078E" w:rsidP="00195E0E">
            <w:pPr>
              <w:tabs>
                <w:tab w:val="left" w:pos="567"/>
              </w:tabs>
              <w:jc w:val="both"/>
              <w:rPr>
                <w:sz w:val="20"/>
              </w:rPr>
            </w:pPr>
            <w:r w:rsidRPr="00770F09">
              <w:rPr>
                <w:sz w:val="20"/>
              </w:rPr>
              <w:t>Opšti poremećaji i poremećaji na mjestu primjene</w:t>
            </w:r>
          </w:p>
        </w:tc>
        <w:tc>
          <w:tcPr>
            <w:tcW w:w="1122" w:type="pct"/>
          </w:tcPr>
          <w:p w14:paraId="22D5695A" w14:textId="77777777" w:rsidR="0023264C" w:rsidRPr="00770F09" w:rsidRDefault="0099078E" w:rsidP="00195E0E">
            <w:pPr>
              <w:tabs>
                <w:tab w:val="left" w:pos="567"/>
              </w:tabs>
              <w:jc w:val="both"/>
              <w:rPr>
                <w:sz w:val="20"/>
              </w:rPr>
            </w:pPr>
            <w:r w:rsidRPr="00770F09">
              <w:rPr>
                <w:sz w:val="20"/>
              </w:rPr>
              <w:t>Umor</w:t>
            </w:r>
          </w:p>
          <w:p w14:paraId="703764AE" w14:textId="77777777" w:rsidR="0023264C" w:rsidRPr="00770F09" w:rsidRDefault="0099078E" w:rsidP="00195E0E">
            <w:pPr>
              <w:tabs>
                <w:tab w:val="left" w:pos="567"/>
              </w:tabs>
              <w:jc w:val="both"/>
              <w:rPr>
                <w:sz w:val="20"/>
              </w:rPr>
            </w:pPr>
            <w:r w:rsidRPr="00770F09">
              <w:rPr>
                <w:sz w:val="20"/>
              </w:rPr>
              <w:t>Pireksija</w:t>
            </w:r>
          </w:p>
          <w:p w14:paraId="181E4FE3" w14:textId="77777777" w:rsidR="0023264C" w:rsidRPr="00770F09" w:rsidRDefault="0099078E" w:rsidP="00195E0E">
            <w:pPr>
              <w:tabs>
                <w:tab w:val="left" w:pos="567"/>
              </w:tabs>
              <w:jc w:val="both"/>
              <w:rPr>
                <w:sz w:val="20"/>
              </w:rPr>
            </w:pPr>
            <w:r w:rsidRPr="00770F09">
              <w:rPr>
                <w:sz w:val="20"/>
              </w:rPr>
              <w:t>Astenija</w:t>
            </w:r>
          </w:p>
          <w:p w14:paraId="5DEB87DD" w14:textId="77777777" w:rsidR="0023264C" w:rsidRPr="00770F09" w:rsidRDefault="0099078E" w:rsidP="00195E0E">
            <w:pPr>
              <w:tabs>
                <w:tab w:val="left" w:pos="567"/>
              </w:tabs>
              <w:jc w:val="both"/>
              <w:rPr>
                <w:sz w:val="20"/>
              </w:rPr>
            </w:pPr>
            <w:r w:rsidRPr="00770F09">
              <w:rPr>
                <w:sz w:val="20"/>
              </w:rPr>
              <w:t>Inflamacija mukoze</w:t>
            </w:r>
          </w:p>
          <w:p w14:paraId="2FC7FF4E" w14:textId="77777777" w:rsidR="0099078E" w:rsidRPr="00770F09" w:rsidRDefault="0099078E" w:rsidP="00195E0E">
            <w:pPr>
              <w:tabs>
                <w:tab w:val="left" w:pos="567"/>
              </w:tabs>
              <w:jc w:val="both"/>
              <w:rPr>
                <w:sz w:val="20"/>
                <w:vertAlign w:val="superscript"/>
              </w:rPr>
            </w:pPr>
            <w:r w:rsidRPr="00770F09">
              <w:rPr>
                <w:sz w:val="20"/>
              </w:rPr>
              <w:t>Periferni edem</w:t>
            </w:r>
          </w:p>
        </w:tc>
        <w:tc>
          <w:tcPr>
            <w:tcW w:w="1407" w:type="pct"/>
          </w:tcPr>
          <w:p w14:paraId="269A1AE5" w14:textId="77777777" w:rsidR="0023264C" w:rsidRPr="00770F09" w:rsidRDefault="0099078E" w:rsidP="00195E0E">
            <w:pPr>
              <w:tabs>
                <w:tab w:val="left" w:pos="567"/>
              </w:tabs>
              <w:jc w:val="both"/>
              <w:rPr>
                <w:sz w:val="20"/>
              </w:rPr>
            </w:pPr>
            <w:r w:rsidRPr="00770F09">
              <w:rPr>
                <w:sz w:val="20"/>
              </w:rPr>
              <w:t>Bol u grudima</w:t>
            </w:r>
          </w:p>
          <w:p w14:paraId="01068894" w14:textId="77777777" w:rsidR="0023264C" w:rsidRPr="00770F09" w:rsidRDefault="0099078E" w:rsidP="00195E0E">
            <w:pPr>
              <w:tabs>
                <w:tab w:val="left" w:pos="567"/>
              </w:tabs>
              <w:jc w:val="both"/>
              <w:rPr>
                <w:sz w:val="20"/>
              </w:rPr>
            </w:pPr>
            <w:r w:rsidRPr="00770F09">
              <w:rPr>
                <w:sz w:val="20"/>
              </w:rPr>
              <w:t>Bol</w:t>
            </w:r>
          </w:p>
          <w:p w14:paraId="72B250E2" w14:textId="77777777" w:rsidR="0099078E" w:rsidRPr="00770F09" w:rsidRDefault="0099078E" w:rsidP="00195E0E">
            <w:pPr>
              <w:tabs>
                <w:tab w:val="left" w:pos="567"/>
              </w:tabs>
              <w:jc w:val="both"/>
              <w:rPr>
                <w:sz w:val="20"/>
                <w:vertAlign w:val="superscript"/>
              </w:rPr>
            </w:pPr>
            <w:r w:rsidRPr="00770F09">
              <w:rPr>
                <w:sz w:val="20"/>
              </w:rPr>
              <w:t>Drhtavica</w:t>
            </w:r>
          </w:p>
        </w:tc>
        <w:tc>
          <w:tcPr>
            <w:tcW w:w="1483" w:type="pct"/>
          </w:tcPr>
          <w:p w14:paraId="3DD5D401" w14:textId="77777777" w:rsidR="0099078E" w:rsidRPr="00770F09" w:rsidRDefault="0099078E" w:rsidP="00195E0E">
            <w:pPr>
              <w:tabs>
                <w:tab w:val="left" w:pos="567"/>
              </w:tabs>
              <w:jc w:val="both"/>
              <w:rPr>
                <w:sz w:val="20"/>
                <w:vertAlign w:val="superscript"/>
              </w:rPr>
            </w:pPr>
          </w:p>
        </w:tc>
      </w:tr>
      <w:tr w:rsidR="0099078E" w:rsidRPr="00770F09" w14:paraId="39509BC9" w14:textId="77777777" w:rsidTr="009D6589">
        <w:tblPrEx>
          <w:tblLook w:val="01E0" w:firstRow="1" w:lastRow="1" w:firstColumn="1" w:lastColumn="1" w:noHBand="0" w:noVBand="0"/>
        </w:tblPrEx>
        <w:trPr>
          <w:cantSplit/>
        </w:trPr>
        <w:tc>
          <w:tcPr>
            <w:tcW w:w="988" w:type="pct"/>
          </w:tcPr>
          <w:p w14:paraId="751DBA93" w14:textId="77777777" w:rsidR="0099078E" w:rsidRPr="00770F09" w:rsidRDefault="0099078E" w:rsidP="00195E0E">
            <w:pPr>
              <w:keepNext/>
              <w:tabs>
                <w:tab w:val="left" w:pos="567"/>
              </w:tabs>
              <w:jc w:val="both"/>
              <w:rPr>
                <w:sz w:val="20"/>
              </w:rPr>
            </w:pPr>
            <w:r w:rsidRPr="00770F09">
              <w:rPr>
                <w:sz w:val="20"/>
              </w:rPr>
              <w:t>Povrede, trovanja i proceduralne komplikacije</w:t>
            </w:r>
          </w:p>
        </w:tc>
        <w:tc>
          <w:tcPr>
            <w:tcW w:w="1122" w:type="pct"/>
          </w:tcPr>
          <w:p w14:paraId="108B8F1E" w14:textId="77777777" w:rsidR="0099078E" w:rsidRPr="00770F09" w:rsidRDefault="0099078E" w:rsidP="00195E0E">
            <w:pPr>
              <w:keepNext/>
              <w:tabs>
                <w:tab w:val="left" w:pos="567"/>
              </w:tabs>
              <w:jc w:val="both"/>
              <w:rPr>
                <w:sz w:val="20"/>
              </w:rPr>
            </w:pPr>
          </w:p>
        </w:tc>
        <w:tc>
          <w:tcPr>
            <w:tcW w:w="1407" w:type="pct"/>
          </w:tcPr>
          <w:p w14:paraId="54FE3329" w14:textId="77777777" w:rsidR="0099078E" w:rsidRPr="00770F09" w:rsidRDefault="0099078E" w:rsidP="00195E0E">
            <w:pPr>
              <w:keepNext/>
              <w:tabs>
                <w:tab w:val="left" w:pos="567"/>
              </w:tabs>
              <w:jc w:val="both"/>
              <w:rPr>
                <w:sz w:val="20"/>
              </w:rPr>
            </w:pPr>
          </w:p>
        </w:tc>
        <w:tc>
          <w:tcPr>
            <w:tcW w:w="1483" w:type="pct"/>
          </w:tcPr>
          <w:p w14:paraId="36FD8DC0" w14:textId="2C9F891C" w:rsidR="00B150E6" w:rsidRPr="00770F09" w:rsidRDefault="0099078E" w:rsidP="00195E0E">
            <w:pPr>
              <w:keepNext/>
              <w:tabs>
                <w:tab w:val="left" w:pos="567"/>
              </w:tabs>
              <w:jc w:val="both"/>
              <w:rPr>
                <w:sz w:val="20"/>
              </w:rPr>
            </w:pPr>
            <w:r w:rsidRPr="00770F09">
              <w:rPr>
                <w:sz w:val="20"/>
              </w:rPr>
              <w:t>Reakcije povezane sa prim</w:t>
            </w:r>
            <w:r w:rsidR="002F15DD" w:rsidRPr="00770F09">
              <w:rPr>
                <w:sz w:val="20"/>
              </w:rPr>
              <w:t>j</w:t>
            </w:r>
            <w:r w:rsidRPr="00770F09">
              <w:rPr>
                <w:sz w:val="20"/>
              </w:rPr>
              <w:t>enom infuzije</w:t>
            </w:r>
            <w:r w:rsidRPr="00770F09">
              <w:rPr>
                <w:sz w:val="20"/>
                <w:vertAlign w:val="superscript"/>
              </w:rPr>
              <w:t>1</w:t>
            </w:r>
          </w:p>
          <w:p w14:paraId="3833E122" w14:textId="77777777" w:rsidR="0099078E" w:rsidRPr="00770F09" w:rsidRDefault="0099078E" w:rsidP="00195E0E">
            <w:pPr>
              <w:keepNext/>
              <w:tabs>
                <w:tab w:val="left" w:pos="567"/>
              </w:tabs>
              <w:jc w:val="both"/>
              <w:rPr>
                <w:sz w:val="20"/>
              </w:rPr>
            </w:pPr>
          </w:p>
        </w:tc>
      </w:tr>
      <w:tr w:rsidR="0099078E" w:rsidRPr="00770F09" w14:paraId="728E7C10" w14:textId="77777777" w:rsidTr="009D6589">
        <w:tblPrEx>
          <w:tblLook w:val="01E0" w:firstRow="1" w:lastRow="1" w:firstColumn="1" w:lastColumn="1" w:noHBand="0" w:noVBand="0"/>
        </w:tblPrEx>
        <w:trPr>
          <w:cantSplit/>
        </w:trPr>
        <w:tc>
          <w:tcPr>
            <w:tcW w:w="988" w:type="pct"/>
          </w:tcPr>
          <w:p w14:paraId="64753DF7" w14:textId="77777777" w:rsidR="0099078E" w:rsidRPr="00770F09" w:rsidRDefault="0099078E" w:rsidP="00195E0E">
            <w:pPr>
              <w:keepNext/>
              <w:tabs>
                <w:tab w:val="left" w:pos="567"/>
              </w:tabs>
              <w:jc w:val="both"/>
              <w:rPr>
                <w:sz w:val="20"/>
              </w:rPr>
            </w:pPr>
            <w:r w:rsidRPr="00770F09">
              <w:rPr>
                <w:sz w:val="20"/>
              </w:rPr>
              <w:t>Ispitivanja</w:t>
            </w:r>
          </w:p>
        </w:tc>
        <w:tc>
          <w:tcPr>
            <w:tcW w:w="1122" w:type="pct"/>
          </w:tcPr>
          <w:p w14:paraId="00D725AB" w14:textId="77777777" w:rsidR="0099078E" w:rsidRPr="00770F09" w:rsidRDefault="0099078E" w:rsidP="00195E0E">
            <w:pPr>
              <w:keepNext/>
              <w:tabs>
                <w:tab w:val="left" w:pos="567"/>
              </w:tabs>
              <w:jc w:val="both"/>
              <w:rPr>
                <w:sz w:val="20"/>
              </w:rPr>
            </w:pPr>
            <w:r w:rsidRPr="00770F09">
              <w:rPr>
                <w:sz w:val="20"/>
              </w:rPr>
              <w:t>Smanjena tjelesna masa</w:t>
            </w:r>
          </w:p>
        </w:tc>
        <w:tc>
          <w:tcPr>
            <w:tcW w:w="1407" w:type="pct"/>
          </w:tcPr>
          <w:p w14:paraId="58CCCB0A" w14:textId="77777777" w:rsidR="0099078E" w:rsidRPr="00770F09" w:rsidRDefault="0099078E" w:rsidP="00195E0E">
            <w:pPr>
              <w:keepNext/>
              <w:tabs>
                <w:tab w:val="left" w:pos="567"/>
              </w:tabs>
              <w:jc w:val="both"/>
              <w:rPr>
                <w:sz w:val="20"/>
              </w:rPr>
            </w:pPr>
            <w:r w:rsidRPr="00770F09">
              <w:rPr>
                <w:sz w:val="20"/>
              </w:rPr>
              <w:t>Smanjen nivo magnezijuma u krvi</w:t>
            </w:r>
          </w:p>
        </w:tc>
        <w:tc>
          <w:tcPr>
            <w:tcW w:w="1483" w:type="pct"/>
          </w:tcPr>
          <w:p w14:paraId="43962822" w14:textId="77777777" w:rsidR="0099078E" w:rsidRPr="00770F09" w:rsidRDefault="0099078E" w:rsidP="00195E0E">
            <w:pPr>
              <w:keepNext/>
              <w:tabs>
                <w:tab w:val="left" w:pos="567"/>
              </w:tabs>
              <w:jc w:val="both"/>
              <w:rPr>
                <w:sz w:val="20"/>
              </w:rPr>
            </w:pPr>
          </w:p>
        </w:tc>
      </w:tr>
    </w:tbl>
    <w:p w14:paraId="5F3A583D" w14:textId="1886C8D7" w:rsidR="0023264C" w:rsidRPr="00770F09" w:rsidRDefault="008C73D3" w:rsidP="00195E0E">
      <w:pPr>
        <w:keepNext/>
        <w:tabs>
          <w:tab w:val="left" w:pos="567"/>
        </w:tabs>
        <w:jc w:val="both"/>
        <w:rPr>
          <w:sz w:val="20"/>
          <w:szCs w:val="20"/>
        </w:rPr>
      </w:pPr>
      <w:r w:rsidRPr="00770F09">
        <w:rPr>
          <w:sz w:val="20"/>
          <w:vertAlign w:val="superscript"/>
        </w:rPr>
        <w:t>1</w:t>
      </w:r>
      <w:r w:rsidRPr="00770F09">
        <w:rPr>
          <w:sz w:val="20"/>
        </w:rPr>
        <w:t xml:space="preserve"> Vidjeti </w:t>
      </w:r>
      <w:r w:rsidR="00C4278F" w:rsidRPr="00770F09">
        <w:rPr>
          <w:sz w:val="20"/>
        </w:rPr>
        <w:t xml:space="preserve">dio </w:t>
      </w:r>
      <w:r w:rsidRPr="00770F09">
        <w:rPr>
          <w:sz w:val="20"/>
        </w:rPr>
        <w:t>”Opis odabranih neželjenih reakcija“ dolje</w:t>
      </w:r>
    </w:p>
    <w:p w14:paraId="5C5801B0" w14:textId="1EEC1979" w:rsidR="0023264C" w:rsidRPr="00770F09" w:rsidRDefault="008C73D3" w:rsidP="00195E0E">
      <w:pPr>
        <w:keepNext/>
        <w:tabs>
          <w:tab w:val="left" w:pos="567"/>
        </w:tabs>
        <w:jc w:val="both"/>
        <w:rPr>
          <w:sz w:val="20"/>
          <w:szCs w:val="20"/>
        </w:rPr>
      </w:pPr>
      <w:r w:rsidRPr="00770F09">
        <w:rPr>
          <w:sz w:val="20"/>
          <w:vertAlign w:val="superscript"/>
        </w:rPr>
        <w:t>2</w:t>
      </w:r>
      <w:r w:rsidRPr="00770F09">
        <w:rPr>
          <w:sz w:val="20"/>
        </w:rPr>
        <w:t xml:space="preserve"> Vidjeti </w:t>
      </w:r>
      <w:r w:rsidR="00C4278F" w:rsidRPr="00770F09">
        <w:rPr>
          <w:sz w:val="20"/>
        </w:rPr>
        <w:t xml:space="preserve">dio </w:t>
      </w:r>
      <w:r w:rsidRPr="00770F09">
        <w:rPr>
          <w:sz w:val="20"/>
        </w:rPr>
        <w:t>4.4 Reakcije povezane sa primjenom infuzije</w:t>
      </w:r>
    </w:p>
    <w:p w14:paraId="37459B7F" w14:textId="7740484E" w:rsidR="0023264C" w:rsidRPr="00770F09" w:rsidRDefault="008C73D3" w:rsidP="00195E0E">
      <w:pPr>
        <w:keepNext/>
        <w:jc w:val="both"/>
        <w:rPr>
          <w:sz w:val="20"/>
          <w:szCs w:val="20"/>
        </w:rPr>
      </w:pPr>
      <w:r w:rsidRPr="00770F09">
        <w:rPr>
          <w:sz w:val="20"/>
          <w:vertAlign w:val="superscript"/>
        </w:rPr>
        <w:t>3</w:t>
      </w:r>
      <w:r w:rsidRPr="00770F09">
        <w:rPr>
          <w:sz w:val="20"/>
        </w:rPr>
        <w:t xml:space="preserve"> Vidjeti</w:t>
      </w:r>
      <w:r w:rsidR="00822A75" w:rsidRPr="00770F09">
        <w:rPr>
          <w:sz w:val="20"/>
        </w:rPr>
        <w:t xml:space="preserve"> </w:t>
      </w:r>
      <w:r w:rsidR="00C4278F" w:rsidRPr="00770F09">
        <w:rPr>
          <w:sz w:val="20"/>
        </w:rPr>
        <w:t xml:space="preserve">dio </w:t>
      </w:r>
      <w:r w:rsidRPr="00770F09">
        <w:rPr>
          <w:sz w:val="20"/>
        </w:rPr>
        <w:t> 4.4 Komplikacije na plućima</w:t>
      </w:r>
    </w:p>
    <w:p w14:paraId="046B39D2" w14:textId="3C21EA61" w:rsidR="0023264C" w:rsidRPr="00770F09" w:rsidRDefault="005422BA" w:rsidP="00195E0E">
      <w:pPr>
        <w:pStyle w:val="Style10tablenotes"/>
        <w:jc w:val="both"/>
      </w:pPr>
      <w:r w:rsidRPr="00770F09">
        <w:rPr>
          <w:vertAlign w:val="superscript"/>
        </w:rPr>
        <w:t>4</w:t>
      </w:r>
      <w:r w:rsidRPr="00770F09">
        <w:t xml:space="preserve"> Nekroza kože, StevensJohnson -ov sindrom, toksična epidermalna nekroliza i ulcerozni keratitis su neželjene reakcije na panitumumab koje su bile prijavljene poslije stavljanja u promet. Za ove neželjene reakcije je bila procjenjena maksimalna kategorija frekvencije sa gornjom granicom od 95%, interval poverenja za tačku procjene je procenjen na osnovu regulatornih smernica za procjenu učestalosti neželjenih reakcija iz spontanog izveštavanja. Maksimalna frekvencija procjenjena je sa gornjom granicom od 95%, interval povjerenja za tačku procjene, tj. 3/2224 (ili 0,13%).</w:t>
      </w:r>
    </w:p>
    <w:p w14:paraId="2095E93C" w14:textId="77777777" w:rsidR="0023264C" w:rsidRPr="00770F09" w:rsidRDefault="0023264C" w:rsidP="00195E0E">
      <w:pPr>
        <w:tabs>
          <w:tab w:val="left" w:pos="567"/>
        </w:tabs>
        <w:jc w:val="both"/>
      </w:pPr>
    </w:p>
    <w:p w14:paraId="32216243" w14:textId="77777777" w:rsidR="00B150E6" w:rsidRPr="00770F09" w:rsidRDefault="001B3CBE" w:rsidP="00195E0E">
      <w:pPr>
        <w:tabs>
          <w:tab w:val="left" w:pos="567"/>
        </w:tabs>
        <w:jc w:val="both"/>
      </w:pPr>
      <w:r w:rsidRPr="00770F09">
        <w:lastRenderedPageBreak/>
        <w:t>Bezbjednosni profil lijeka Vectibix u kombinaciji sa hemioterapijom se sastoji od prijavljenih neželjenih reakcija na Vectibix (u vidu monoterapije) i toksičnosti osnovnog hemioterapijskog režima. Nisu prijavljene nove toksičnosti, ili pogoršanje prethodnih toksičnosti izvan očekivanih dodatnih efekata. Reakcije na koži su bile najčešće prijavljene neželjene reakcije kod pacijenata koji su primali panitumumab u kombinaciji sa hemioterapijom. Druge vrste toksičnosti koje su primijećene sa povećanom učestalošću, a koje se odnose na monoterapiju, su uključivale hipomegnezijemiju, dijareju i stomatitis. Ove toksičnosti rijetko dovode do prekida terapije lijekom Vectibix ili hemioterapije.</w:t>
      </w:r>
    </w:p>
    <w:p w14:paraId="45C37869" w14:textId="77777777" w:rsidR="0023264C" w:rsidRPr="00770F09" w:rsidRDefault="0023264C" w:rsidP="00195E0E">
      <w:pPr>
        <w:tabs>
          <w:tab w:val="left" w:pos="567"/>
        </w:tabs>
        <w:jc w:val="both"/>
      </w:pPr>
    </w:p>
    <w:p w14:paraId="76EF2656" w14:textId="77777777" w:rsidR="0023264C" w:rsidRPr="00770F09" w:rsidRDefault="001B3CBE" w:rsidP="00195E0E">
      <w:pPr>
        <w:keepNext/>
        <w:tabs>
          <w:tab w:val="left" w:pos="567"/>
        </w:tabs>
        <w:jc w:val="both"/>
      </w:pPr>
      <w:r w:rsidRPr="00770F09">
        <w:rPr>
          <w:u w:val="single"/>
        </w:rPr>
        <w:t>Opis odabranih neželjenih reakcija</w:t>
      </w:r>
    </w:p>
    <w:p w14:paraId="4F9EBB69" w14:textId="77777777" w:rsidR="0023264C" w:rsidRPr="00770F09" w:rsidRDefault="0023264C" w:rsidP="00195E0E">
      <w:pPr>
        <w:keepNext/>
        <w:tabs>
          <w:tab w:val="left" w:pos="567"/>
        </w:tabs>
        <w:jc w:val="both"/>
      </w:pPr>
    </w:p>
    <w:p w14:paraId="178882E3" w14:textId="77777777" w:rsidR="0023264C" w:rsidRPr="00770F09" w:rsidRDefault="001B3CBE" w:rsidP="00195E0E">
      <w:pPr>
        <w:keepNext/>
        <w:tabs>
          <w:tab w:val="left" w:pos="567"/>
        </w:tabs>
        <w:jc w:val="both"/>
        <w:rPr>
          <w:bCs/>
          <w:i/>
        </w:rPr>
      </w:pPr>
      <w:r w:rsidRPr="00770F09">
        <w:rPr>
          <w:i/>
        </w:rPr>
        <w:t>Gastrointestinalni poremećaji</w:t>
      </w:r>
    </w:p>
    <w:p w14:paraId="6B120CD6" w14:textId="77777777" w:rsidR="0023264C" w:rsidRPr="00770F09" w:rsidRDefault="0023264C" w:rsidP="00195E0E">
      <w:pPr>
        <w:keepNext/>
        <w:tabs>
          <w:tab w:val="left" w:pos="567"/>
        </w:tabs>
        <w:jc w:val="both"/>
      </w:pPr>
    </w:p>
    <w:p w14:paraId="2E836DCC" w14:textId="77777777" w:rsidR="00B150E6" w:rsidRPr="00770F09" w:rsidRDefault="001B3CBE" w:rsidP="00195E0E">
      <w:pPr>
        <w:tabs>
          <w:tab w:val="left" w:pos="567"/>
        </w:tabs>
        <w:jc w:val="both"/>
      </w:pPr>
      <w:r w:rsidRPr="00770F09">
        <w:t>Kada je prijavljena, dijareja je uglavnom bila blaga ili umjerena. Prijavljena je teška dijareja (NCI</w:t>
      </w:r>
      <w:r w:rsidRPr="00770F09">
        <w:noBreakHyphen/>
        <w:t>CTC stepen 3 i 4) kod 2% pacijenata liječenih lijekom Vectibix u monoterapiji, a kod 16% pacijenata liječenih kombinacijom Vectibix i hemioterapije.</w:t>
      </w:r>
    </w:p>
    <w:p w14:paraId="0317EEEC" w14:textId="77777777" w:rsidR="0023264C" w:rsidRPr="00770F09" w:rsidRDefault="0023264C" w:rsidP="00195E0E">
      <w:pPr>
        <w:tabs>
          <w:tab w:val="left" w:pos="567"/>
        </w:tabs>
        <w:jc w:val="both"/>
      </w:pPr>
    </w:p>
    <w:p w14:paraId="483595F9" w14:textId="46F8BF67" w:rsidR="0023264C" w:rsidRPr="00770F09" w:rsidRDefault="001B3CBE" w:rsidP="00195E0E">
      <w:pPr>
        <w:tabs>
          <w:tab w:val="left" w:pos="567"/>
        </w:tabs>
        <w:jc w:val="both"/>
      </w:pPr>
      <w:r w:rsidRPr="00770F09">
        <w:t>Bilo je izvještaja o akutnoj insuficijenciji bubrega kod pacijenata kod kojih je prijavljena dijareja i dehidratacija (vidjeti</w:t>
      </w:r>
      <w:r w:rsidR="00C4278F" w:rsidRPr="00770F09">
        <w:t xml:space="preserve"> dio</w:t>
      </w:r>
      <w:r w:rsidRPr="00770F09">
        <w:t> 4.4).</w:t>
      </w:r>
    </w:p>
    <w:p w14:paraId="4AC73AD0" w14:textId="77777777" w:rsidR="0023264C" w:rsidRPr="00770F09" w:rsidRDefault="0023264C" w:rsidP="00195E0E">
      <w:pPr>
        <w:tabs>
          <w:tab w:val="left" w:pos="567"/>
        </w:tabs>
        <w:jc w:val="both"/>
      </w:pPr>
    </w:p>
    <w:p w14:paraId="582827BC" w14:textId="77777777" w:rsidR="0023264C" w:rsidRPr="00770F09" w:rsidRDefault="00056040" w:rsidP="00195E0E">
      <w:pPr>
        <w:keepNext/>
        <w:tabs>
          <w:tab w:val="left" w:pos="567"/>
        </w:tabs>
        <w:jc w:val="both"/>
        <w:rPr>
          <w:i/>
        </w:rPr>
      </w:pPr>
      <w:r w:rsidRPr="00770F09">
        <w:rPr>
          <w:i/>
        </w:rPr>
        <w:t>Reakcije povezane sa primjenom infuzije</w:t>
      </w:r>
    </w:p>
    <w:p w14:paraId="17893FE6" w14:textId="77777777" w:rsidR="0023264C" w:rsidRPr="00770F09" w:rsidRDefault="0023264C" w:rsidP="00195E0E">
      <w:pPr>
        <w:keepNext/>
        <w:tabs>
          <w:tab w:val="left" w:pos="567"/>
        </w:tabs>
        <w:jc w:val="both"/>
      </w:pPr>
    </w:p>
    <w:p w14:paraId="076523EA" w14:textId="77777777" w:rsidR="0023264C" w:rsidRPr="00770F09" w:rsidRDefault="00056040" w:rsidP="00195E0E">
      <w:pPr>
        <w:tabs>
          <w:tab w:val="left" w:pos="567"/>
        </w:tabs>
        <w:jc w:val="both"/>
      </w:pPr>
      <w:r w:rsidRPr="00770F09">
        <w:t>Reakcije povezane sa primjenom infuzije (koje se javljaju 24 sata nakon infuzije), koje mogu imati simptome kao što su drhtavica, temperatura ili dispneja, su prijavljene u mCRC kliničkim studijama (n = 2224) tokom monoterapije i u kombinaciji kod oko 5% pacijenata koji su primali lijek Vectibix, od kojih je 1% bilo teško (NCI</w:t>
      </w:r>
      <w:r w:rsidRPr="00770F09">
        <w:noBreakHyphen/>
        <w:t>CTC stepen 3 i stepen 4).</w:t>
      </w:r>
    </w:p>
    <w:p w14:paraId="4E1F74D0" w14:textId="77777777" w:rsidR="0023264C" w:rsidRPr="00770F09" w:rsidRDefault="0023264C" w:rsidP="00195E0E">
      <w:pPr>
        <w:tabs>
          <w:tab w:val="left" w:pos="567"/>
        </w:tabs>
        <w:jc w:val="both"/>
      </w:pPr>
    </w:p>
    <w:p w14:paraId="27D1413B" w14:textId="79A642E7" w:rsidR="0023264C" w:rsidRPr="00770F09" w:rsidRDefault="00056040" w:rsidP="00195E0E">
      <w:pPr>
        <w:tabs>
          <w:tab w:val="left" w:pos="567"/>
        </w:tabs>
        <w:jc w:val="both"/>
      </w:pPr>
      <w:r w:rsidRPr="00770F09">
        <w:t>U jednoj kliničkoj studiji došlo je do pojave fatalnog angioedema kod jednog pacijenta sa rekurentnim i metastatskim karcinomom skvamoznih ćelija glave i vrata koji je liječen lijekom Vectibix. Ovaj fatalni događaj se desio nakon ponovnog izlaganja lijeku nakon prethodne epizode angioedema; obje epizode su se dogodile nakon više od 24 sata od primjene lijeka (vidjeti</w:t>
      </w:r>
      <w:r w:rsidR="00822A75" w:rsidRPr="00770F09">
        <w:t xml:space="preserve"> </w:t>
      </w:r>
      <w:r w:rsidR="00C4278F" w:rsidRPr="00770F09">
        <w:t>dijelove</w:t>
      </w:r>
      <w:r w:rsidRPr="00770F09">
        <w:t> 4.3 i 4.4). U post</w:t>
      </w:r>
      <w:r w:rsidRPr="00770F09">
        <w:noBreakHyphen/>
        <w:t>marketinškom istraživanju su prijavljene reakcije preosjetljivosti koje se javljaju više od 24 sata nakon primjene infuzije.</w:t>
      </w:r>
    </w:p>
    <w:p w14:paraId="21C03CF7" w14:textId="77777777" w:rsidR="0023264C" w:rsidRPr="00770F09" w:rsidRDefault="0023264C" w:rsidP="00195E0E">
      <w:pPr>
        <w:tabs>
          <w:tab w:val="left" w:pos="567"/>
        </w:tabs>
        <w:jc w:val="both"/>
      </w:pPr>
    </w:p>
    <w:p w14:paraId="66EFA2F9" w14:textId="7A440506" w:rsidR="0023264C" w:rsidRPr="00770F09" w:rsidRDefault="00056040" w:rsidP="00195E0E">
      <w:pPr>
        <w:tabs>
          <w:tab w:val="left" w:pos="567"/>
        </w:tabs>
        <w:jc w:val="both"/>
      </w:pPr>
      <w:r w:rsidRPr="00770F09">
        <w:t>Za više informacija o liječenju reakcija nastalih usljed primjene infuzije, vidjeti</w:t>
      </w:r>
      <w:r w:rsidR="00C4278F" w:rsidRPr="00770F09">
        <w:t xml:space="preserve"> dio</w:t>
      </w:r>
      <w:r w:rsidRPr="00770F09">
        <w:t> 4.4.</w:t>
      </w:r>
    </w:p>
    <w:p w14:paraId="0DEB1422" w14:textId="77777777" w:rsidR="0023264C" w:rsidRPr="00770F09" w:rsidRDefault="00040394" w:rsidP="00195E0E">
      <w:pPr>
        <w:keepNext/>
        <w:tabs>
          <w:tab w:val="left" w:pos="567"/>
        </w:tabs>
        <w:jc w:val="both"/>
        <w:rPr>
          <w:bCs/>
          <w:i/>
        </w:rPr>
      </w:pPr>
      <w:r w:rsidRPr="00770F09">
        <w:rPr>
          <w:i/>
        </w:rPr>
        <w:t>Poremećaji kože i potkožnog tkiva</w:t>
      </w:r>
    </w:p>
    <w:p w14:paraId="0E70099D" w14:textId="77777777" w:rsidR="0023264C" w:rsidRPr="00770F09" w:rsidRDefault="0023264C" w:rsidP="00195E0E">
      <w:pPr>
        <w:keepNext/>
        <w:tabs>
          <w:tab w:val="left" w:pos="567"/>
        </w:tabs>
        <w:jc w:val="both"/>
      </w:pPr>
    </w:p>
    <w:p w14:paraId="7B2D746B" w14:textId="77777777" w:rsidR="00B150E6" w:rsidRPr="00770F09" w:rsidRDefault="00040394" w:rsidP="00195E0E">
      <w:pPr>
        <w:tabs>
          <w:tab w:val="left" w:pos="567"/>
        </w:tabs>
        <w:jc w:val="both"/>
      </w:pPr>
      <w:r w:rsidRPr="00770F09">
        <w:t>Osip na koži se najčešće javljao na licu, grudima i leđima ali je mogao da se proširi na ekstremitete. Nakon razvoja teških reakcija na koži i potkožnom tkivu, prijavljene su infekcijske komplikacije uključujući i sepsu, koja je u rijetkim slučajevima dovela do fatalnog ishoda, celulitis i stvaranje lokalnih apscesa koji su zahtijevali inciziju ili drenažu. Srednje vrijeme do pojave prvog simptoma dermatološke reakcije bilo je 10 dana, a prosječno vrijeme do povlačenja simptoma nakon posljednje doze lijeka Vectibix je bilo 31 dan.</w:t>
      </w:r>
    </w:p>
    <w:p w14:paraId="19D82968" w14:textId="77777777" w:rsidR="0023264C" w:rsidRPr="00770F09" w:rsidRDefault="0023264C" w:rsidP="00195E0E">
      <w:pPr>
        <w:tabs>
          <w:tab w:val="left" w:pos="567"/>
        </w:tabs>
        <w:jc w:val="both"/>
      </w:pPr>
    </w:p>
    <w:p w14:paraId="14B92A10" w14:textId="77777777" w:rsidR="0023264C" w:rsidRPr="00770F09" w:rsidRDefault="00040394" w:rsidP="00195E0E">
      <w:pPr>
        <w:tabs>
          <w:tab w:val="left" w:pos="567"/>
        </w:tabs>
        <w:jc w:val="both"/>
      </w:pPr>
      <w:r w:rsidRPr="00770F09">
        <w:t>Paronihijalno zapaljenje se dovodi u vezu sa oticanjem lateralnih ivica nokta na rukama i nogama.</w:t>
      </w:r>
    </w:p>
    <w:p w14:paraId="1E8F72E5" w14:textId="77777777" w:rsidR="0023264C" w:rsidRPr="00770F09" w:rsidRDefault="0023264C" w:rsidP="00195E0E">
      <w:pPr>
        <w:tabs>
          <w:tab w:val="left" w:pos="567"/>
        </w:tabs>
        <w:jc w:val="both"/>
      </w:pPr>
    </w:p>
    <w:p w14:paraId="00376ED2" w14:textId="77777777" w:rsidR="00B150E6" w:rsidRPr="00770F09" w:rsidRDefault="00040394" w:rsidP="00195E0E">
      <w:pPr>
        <w:tabs>
          <w:tab w:val="left" w:pos="567"/>
        </w:tabs>
        <w:jc w:val="both"/>
      </w:pPr>
      <w:r w:rsidRPr="00770F09">
        <w:t>Dermatološke reakcije (uključujući reakcije na noktima), koje su primijećene kod pacijenata koji su primali Vectibix ili druge EGFR inhibitore, su povezane sa farmakološkim efektima terapije.</w:t>
      </w:r>
    </w:p>
    <w:p w14:paraId="69A32788" w14:textId="77777777" w:rsidR="0023264C" w:rsidRPr="00770F09" w:rsidRDefault="0023264C" w:rsidP="00195E0E">
      <w:pPr>
        <w:tabs>
          <w:tab w:val="left" w:pos="567"/>
        </w:tabs>
        <w:jc w:val="both"/>
      </w:pPr>
    </w:p>
    <w:p w14:paraId="333083EB" w14:textId="032C0877" w:rsidR="00B150E6" w:rsidRPr="00770F09" w:rsidRDefault="00040394" w:rsidP="00195E0E">
      <w:pPr>
        <w:tabs>
          <w:tab w:val="left" w:pos="567"/>
        </w:tabs>
        <w:jc w:val="both"/>
        <w:rPr>
          <w:bCs/>
        </w:rPr>
      </w:pPr>
      <w:r w:rsidRPr="00770F09">
        <w:t>U svim kliničkim studijama, reakcije na koži su se javile kod oko 94% pacijenata koji su primali Vectibix u obliku monoterapije ili u kombinaciji sa hemioterapijom (n = 2224). Ovi slučajevi su uglavnom podrazumijevali osip i akneiformni dermatitis i najčešće su bili blagog ili umjerenog karaktera. Teške (NCI</w:t>
      </w:r>
      <w:r w:rsidRPr="00770F09">
        <w:noBreakHyphen/>
        <w:t>CTC stepen 3) reakcije na koži su prijavljene kod 23% a životno ugrožavajuće (NCI</w:t>
      </w:r>
      <w:r w:rsidRPr="00770F09">
        <w:noBreakHyphen/>
        <w:t>CTC stepen 4) reakcije na koži kod &lt; 1% pacijenata. Životno ugrožavajuće i fatalne komplikacije infekcija uključujući nekrotizirajući fasciitis i sepsu primijećeni su kod pacijenata koji su bili na terapiji lijekom Vectibix (vidjeti</w:t>
      </w:r>
      <w:r w:rsidR="00822A75" w:rsidRPr="00770F09">
        <w:t xml:space="preserve"> </w:t>
      </w:r>
      <w:r w:rsidR="00C4278F" w:rsidRPr="00770F09">
        <w:t>dio</w:t>
      </w:r>
      <w:r w:rsidRPr="00770F09">
        <w:t> 4.4).</w:t>
      </w:r>
    </w:p>
    <w:p w14:paraId="6741ABBB" w14:textId="77777777" w:rsidR="0023264C" w:rsidRPr="00770F09" w:rsidRDefault="0023264C" w:rsidP="00195E0E">
      <w:pPr>
        <w:tabs>
          <w:tab w:val="left" w:pos="567"/>
        </w:tabs>
        <w:jc w:val="both"/>
      </w:pPr>
    </w:p>
    <w:p w14:paraId="5D660B36" w14:textId="0B422ED0" w:rsidR="0023264C" w:rsidRPr="00770F09" w:rsidRDefault="00040394" w:rsidP="00195E0E">
      <w:pPr>
        <w:tabs>
          <w:tab w:val="left" w:pos="567"/>
        </w:tabs>
        <w:jc w:val="both"/>
      </w:pPr>
      <w:r w:rsidRPr="00770F09">
        <w:lastRenderedPageBreak/>
        <w:t>Informacije o liječenju dermatoloških reakcija, uključujući i preporuke o izmjeni doze, date su u</w:t>
      </w:r>
      <w:r w:rsidR="00822A75" w:rsidRPr="00770F09">
        <w:t xml:space="preserve"> </w:t>
      </w:r>
      <w:r w:rsidR="00B93013" w:rsidRPr="00770F09">
        <w:t>dijelu</w:t>
      </w:r>
      <w:r w:rsidRPr="00770F09">
        <w:t> 4.4.</w:t>
      </w:r>
    </w:p>
    <w:p w14:paraId="2EC8EE23" w14:textId="77777777" w:rsidR="0023264C" w:rsidRPr="00770F09" w:rsidRDefault="0023264C" w:rsidP="00195E0E">
      <w:pPr>
        <w:tabs>
          <w:tab w:val="left" w:pos="567"/>
        </w:tabs>
        <w:jc w:val="both"/>
        <w:rPr>
          <w:u w:val="single"/>
        </w:rPr>
      </w:pPr>
    </w:p>
    <w:p w14:paraId="6D646E2F" w14:textId="67635255" w:rsidR="0023264C" w:rsidRPr="00770F09" w:rsidRDefault="00040394" w:rsidP="00195E0E">
      <w:pPr>
        <w:tabs>
          <w:tab w:val="left" w:pos="567"/>
        </w:tabs>
        <w:jc w:val="both"/>
      </w:pPr>
      <w:r w:rsidRPr="00770F09">
        <w:t>U post</w:t>
      </w:r>
      <w:r w:rsidRPr="00770F09">
        <w:noBreakHyphen/>
        <w:t xml:space="preserve">marketinškom periodu su prijavljeni rijetki slučajevi nekroze kože, </w:t>
      </w:r>
      <w:r w:rsidRPr="00770F09">
        <w:rPr>
          <w:i/>
        </w:rPr>
        <w:t>Stevens</w:t>
      </w:r>
      <w:r w:rsidRPr="00770F09">
        <w:rPr>
          <w:i/>
        </w:rPr>
        <w:noBreakHyphen/>
        <w:t>Johnsonov-og</w:t>
      </w:r>
      <w:r w:rsidRPr="00770F09">
        <w:t xml:space="preserve"> sindorma i toksične epidermalne nekrolize (vidjeti</w:t>
      </w:r>
      <w:r w:rsidR="00822A75" w:rsidRPr="00770F09">
        <w:t xml:space="preserve"> </w:t>
      </w:r>
      <w:r w:rsidR="00C4278F" w:rsidRPr="00770F09">
        <w:t>dio</w:t>
      </w:r>
      <w:r w:rsidRPr="00770F09">
        <w:t> 4.4).</w:t>
      </w:r>
    </w:p>
    <w:p w14:paraId="40E3E720" w14:textId="77777777" w:rsidR="0023264C" w:rsidRPr="00770F09" w:rsidRDefault="0023264C" w:rsidP="00195E0E">
      <w:pPr>
        <w:tabs>
          <w:tab w:val="left" w:pos="567"/>
        </w:tabs>
        <w:jc w:val="both"/>
      </w:pPr>
    </w:p>
    <w:p w14:paraId="02269FC1" w14:textId="77777777" w:rsidR="0023264C" w:rsidRPr="00770F09" w:rsidRDefault="006571D6" w:rsidP="00195E0E">
      <w:pPr>
        <w:keepNext/>
        <w:tabs>
          <w:tab w:val="left" w:pos="567"/>
        </w:tabs>
        <w:jc w:val="both"/>
        <w:rPr>
          <w:i/>
          <w:iCs/>
        </w:rPr>
      </w:pPr>
      <w:r w:rsidRPr="00770F09">
        <w:rPr>
          <w:i/>
        </w:rPr>
        <w:t>Okularna toksičnost</w:t>
      </w:r>
    </w:p>
    <w:p w14:paraId="1ECB5C86" w14:textId="77777777" w:rsidR="0023264C" w:rsidRPr="00770F09" w:rsidRDefault="0023264C" w:rsidP="00195E0E">
      <w:pPr>
        <w:keepNext/>
        <w:tabs>
          <w:tab w:val="left" w:pos="567"/>
        </w:tabs>
        <w:jc w:val="both"/>
        <w:rPr>
          <w:iCs/>
          <w:u w:val="single"/>
        </w:rPr>
      </w:pPr>
    </w:p>
    <w:p w14:paraId="7AA93700" w14:textId="2430D3AD" w:rsidR="0023264C" w:rsidRPr="00770F09" w:rsidRDefault="00F17A6C" w:rsidP="00195E0E">
      <w:pPr>
        <w:tabs>
          <w:tab w:val="left" w:pos="567"/>
        </w:tabs>
        <w:jc w:val="both"/>
      </w:pPr>
      <w:r w:rsidRPr="00770F09">
        <w:t>Prijavljeni su slučajevi teškog keratitisa i ulceroznog keratitisa, koji mogu da dovedu do perforacije rožnjače (vidjeti</w:t>
      </w:r>
      <w:r w:rsidR="00822A75" w:rsidRPr="00770F09">
        <w:t xml:space="preserve"> </w:t>
      </w:r>
      <w:r w:rsidR="00C4278F" w:rsidRPr="00770F09">
        <w:t>dio</w:t>
      </w:r>
      <w:r w:rsidRPr="00770F09">
        <w:t> 4.4).</w:t>
      </w:r>
    </w:p>
    <w:p w14:paraId="48B0064B" w14:textId="77777777" w:rsidR="0023264C" w:rsidRPr="00770F09" w:rsidRDefault="0023264C" w:rsidP="00195E0E">
      <w:pPr>
        <w:tabs>
          <w:tab w:val="left" w:pos="567"/>
        </w:tabs>
        <w:jc w:val="both"/>
      </w:pPr>
    </w:p>
    <w:p w14:paraId="23EE3880" w14:textId="77777777" w:rsidR="00B150E6" w:rsidRPr="00770F09" w:rsidRDefault="006571D6" w:rsidP="00195E0E">
      <w:pPr>
        <w:keepNext/>
        <w:tabs>
          <w:tab w:val="left" w:pos="567"/>
        </w:tabs>
        <w:jc w:val="both"/>
        <w:rPr>
          <w:u w:val="single"/>
        </w:rPr>
      </w:pPr>
      <w:r w:rsidRPr="00770F09">
        <w:rPr>
          <w:u w:val="single"/>
        </w:rPr>
        <w:t>Druge posebne populacije</w:t>
      </w:r>
    </w:p>
    <w:p w14:paraId="04FA4465" w14:textId="77777777" w:rsidR="0023264C" w:rsidRPr="00770F09" w:rsidRDefault="0023264C" w:rsidP="00195E0E">
      <w:pPr>
        <w:keepNext/>
        <w:tabs>
          <w:tab w:val="left" w:pos="567"/>
        </w:tabs>
        <w:jc w:val="both"/>
      </w:pPr>
    </w:p>
    <w:p w14:paraId="101E8B85" w14:textId="77777777" w:rsidR="0023264C" w:rsidRPr="00770F09" w:rsidRDefault="006571D6" w:rsidP="00195E0E">
      <w:pPr>
        <w:tabs>
          <w:tab w:val="left" w:pos="567"/>
        </w:tabs>
        <w:jc w:val="both"/>
      </w:pPr>
      <w:r w:rsidRPr="00770F09">
        <w:t>Nije primijećena ukupna razlika u bezbjednosti i efikasnosti kod starijih pacijenata (≥ 65 godina) liječenih lijekom Vectibix u obliku monoterapije. Međutim, prijavljen je veći broj teških neželjenih reakcija kod starijih pacijenata liječenih lijekom Vectibix u kombinaciji sa FOLFIRI (45% u odnosu na 32%) ili FOLFOX (52% u odnosu na 37%) hemioterapijom u poređenju sa primjenom same hemioterapije (vidjeti poglavlje 4.4). Najveće povećanje ozbiljnog neželjenog dejstva uključujući dijareju zabilježeno je kod pacijenata liječenih lijekom Vectibix u kombinaciji sa FOLFOX ili FOLFIRI, i dehidratacija i plućna embolija kod pacijenata liječenih kombinacijom Vectibix i FOLFIRI.</w:t>
      </w:r>
    </w:p>
    <w:p w14:paraId="7EDB22F6" w14:textId="77777777" w:rsidR="0023264C" w:rsidRPr="00770F09" w:rsidRDefault="0023264C" w:rsidP="00195E0E">
      <w:pPr>
        <w:tabs>
          <w:tab w:val="left" w:pos="567"/>
        </w:tabs>
        <w:jc w:val="both"/>
        <w:rPr>
          <w:b/>
        </w:rPr>
      </w:pPr>
    </w:p>
    <w:p w14:paraId="37D939AB" w14:textId="77777777" w:rsidR="00B150E6" w:rsidRPr="00770F09" w:rsidRDefault="006571D6" w:rsidP="00195E0E">
      <w:pPr>
        <w:tabs>
          <w:tab w:val="left" w:pos="567"/>
        </w:tabs>
        <w:jc w:val="both"/>
      </w:pPr>
      <w:r w:rsidRPr="00770F09">
        <w:t>Bezbjednost lijeka Vectibix nije proučavana kod pacijenata sa oslabljenom funkcijom bubrega ili jetre.</w:t>
      </w:r>
    </w:p>
    <w:p w14:paraId="23862A2B" w14:textId="39530BE7" w:rsidR="0023264C" w:rsidRPr="00770F09" w:rsidRDefault="0023264C" w:rsidP="00195E0E">
      <w:pPr>
        <w:tabs>
          <w:tab w:val="left" w:pos="567"/>
        </w:tabs>
        <w:jc w:val="both"/>
      </w:pPr>
    </w:p>
    <w:p w14:paraId="6D0C6D50" w14:textId="77777777" w:rsidR="0023264C" w:rsidRPr="00770F09" w:rsidRDefault="006571D6" w:rsidP="00195E0E">
      <w:pPr>
        <w:keepNext/>
        <w:tabs>
          <w:tab w:val="left" w:pos="567"/>
        </w:tabs>
        <w:jc w:val="both"/>
        <w:rPr>
          <w:u w:val="single"/>
        </w:rPr>
      </w:pPr>
      <w:r w:rsidRPr="00770F09">
        <w:rPr>
          <w:u w:val="single"/>
        </w:rPr>
        <w:t>Prijavljivanje sumnji na neželjena dejstva</w:t>
      </w:r>
    </w:p>
    <w:p w14:paraId="10CA9106" w14:textId="77777777" w:rsidR="0023264C" w:rsidRPr="00770F09" w:rsidRDefault="0023264C" w:rsidP="00195E0E">
      <w:pPr>
        <w:keepNext/>
        <w:tabs>
          <w:tab w:val="left" w:pos="567"/>
        </w:tabs>
        <w:jc w:val="both"/>
      </w:pPr>
    </w:p>
    <w:p w14:paraId="462A4981" w14:textId="3B6D0EDF" w:rsidR="0023264C" w:rsidRPr="00770F09" w:rsidRDefault="00D07779" w:rsidP="00195E0E">
      <w:pPr>
        <w:keepNext/>
        <w:tabs>
          <w:tab w:val="left" w:pos="567"/>
        </w:tabs>
        <w:jc w:val="both"/>
      </w:pPr>
      <w:r w:rsidRPr="00770F09">
        <w:t>Prijavljivanje neželjenih dejstava nakon dobijanja dozvole</w:t>
      </w:r>
      <w:r w:rsidR="00C4278F" w:rsidRPr="00770F09">
        <w:t xml:space="preserve"> za lijek</w:t>
      </w:r>
      <w:r w:rsidRPr="00770F09">
        <w:t xml:space="preserve"> je od velikog značaja jer obezbjeđuje kontinuirano praćenje odnosa korist/rizik primjene lijeka. Zdravstveni radnici treba da prijave svaku sumnju na neželjeno dejstvo ovog lijeka Institutu za ljekove i medicinska sredstva (CInMED):</w:t>
      </w:r>
    </w:p>
    <w:p w14:paraId="5F52A7CA" w14:textId="77777777" w:rsidR="0023264C" w:rsidRPr="00770F09" w:rsidRDefault="0023264C" w:rsidP="00195E0E">
      <w:pPr>
        <w:keepNext/>
        <w:tabs>
          <w:tab w:val="left" w:pos="567"/>
        </w:tabs>
        <w:jc w:val="both"/>
        <w:rPr>
          <w:iCs/>
        </w:rPr>
      </w:pPr>
    </w:p>
    <w:p w14:paraId="00FBC6A1" w14:textId="76F7BFA2" w:rsidR="0023264C" w:rsidRPr="00770F09" w:rsidRDefault="0091495A" w:rsidP="00195E0E">
      <w:pPr>
        <w:keepNext/>
        <w:tabs>
          <w:tab w:val="left" w:pos="567"/>
        </w:tabs>
        <w:jc w:val="both"/>
      </w:pPr>
      <w:r w:rsidRPr="00770F09">
        <w:t>Institut za ljekove i medicinska sredstva</w:t>
      </w:r>
    </w:p>
    <w:p w14:paraId="55FFC496" w14:textId="77777777" w:rsidR="0023264C" w:rsidRPr="00770F09" w:rsidRDefault="00D07779" w:rsidP="00195E0E">
      <w:pPr>
        <w:keepNext/>
        <w:tabs>
          <w:tab w:val="left" w:pos="567"/>
        </w:tabs>
        <w:jc w:val="both"/>
      </w:pPr>
      <w:r w:rsidRPr="00770F09">
        <w:t>Odjeljenje za farmakovigilancu</w:t>
      </w:r>
    </w:p>
    <w:p w14:paraId="50258DE0" w14:textId="77777777" w:rsidR="0023264C" w:rsidRPr="00770F09" w:rsidRDefault="00D07779" w:rsidP="00195E0E">
      <w:pPr>
        <w:keepNext/>
        <w:tabs>
          <w:tab w:val="left" w:pos="567"/>
        </w:tabs>
        <w:jc w:val="both"/>
      </w:pPr>
      <w:r w:rsidRPr="00770F09">
        <w:t>Bulevar Ivana Crnojevića 64a, 81000 Podgorica</w:t>
      </w:r>
    </w:p>
    <w:p w14:paraId="4BC0B872" w14:textId="77777777" w:rsidR="0023264C" w:rsidRPr="00770F09" w:rsidRDefault="0023264C" w:rsidP="00195E0E">
      <w:pPr>
        <w:keepNext/>
        <w:tabs>
          <w:tab w:val="left" w:pos="567"/>
        </w:tabs>
        <w:jc w:val="both"/>
      </w:pPr>
    </w:p>
    <w:p w14:paraId="3B70C0BC" w14:textId="77777777" w:rsidR="00B150E6" w:rsidRPr="00770F09" w:rsidRDefault="00D07779" w:rsidP="00195E0E">
      <w:pPr>
        <w:keepNext/>
        <w:tabs>
          <w:tab w:val="left" w:pos="567"/>
        </w:tabs>
        <w:jc w:val="both"/>
      </w:pPr>
      <w:r w:rsidRPr="00770F09">
        <w:t>tel: +382 (0) 20 310 280</w:t>
      </w:r>
    </w:p>
    <w:p w14:paraId="6F9EC589" w14:textId="77777777" w:rsidR="0023264C" w:rsidRPr="00770F09" w:rsidRDefault="00D07779" w:rsidP="00195E0E">
      <w:pPr>
        <w:keepNext/>
        <w:tabs>
          <w:tab w:val="left" w:pos="567"/>
        </w:tabs>
        <w:jc w:val="both"/>
      </w:pPr>
      <w:r w:rsidRPr="00770F09">
        <w:t>fax: +382 (0) 20 310 581</w:t>
      </w:r>
    </w:p>
    <w:p w14:paraId="021F8FA6" w14:textId="77777777" w:rsidR="0091495A" w:rsidRPr="00770F09" w:rsidRDefault="00B75890" w:rsidP="00195E0E">
      <w:pPr>
        <w:keepNext/>
        <w:tabs>
          <w:tab w:val="left" w:pos="567"/>
        </w:tabs>
        <w:jc w:val="both"/>
        <w:rPr>
          <w:rFonts w:eastAsia="Times New Roman"/>
        </w:rPr>
      </w:pPr>
      <w:hyperlink r:id="rId11" w:history="1">
        <w:r w:rsidR="004012BE" w:rsidRPr="00770F09">
          <w:rPr>
            <w:color w:val="0000FF"/>
            <w:u w:val="single"/>
          </w:rPr>
          <w:t>www.cinmed.me</w:t>
        </w:r>
      </w:hyperlink>
    </w:p>
    <w:p w14:paraId="390CFF6C" w14:textId="6EF3F4EF" w:rsidR="0023264C" w:rsidRPr="00770F09" w:rsidRDefault="00B75890" w:rsidP="00195E0E">
      <w:pPr>
        <w:keepNext/>
        <w:autoSpaceDE w:val="0"/>
        <w:autoSpaceDN w:val="0"/>
        <w:jc w:val="both"/>
      </w:pPr>
      <w:hyperlink r:id="rId12" w:history="1">
        <w:r w:rsidR="004012BE" w:rsidRPr="00770F09">
          <w:rPr>
            <w:color w:val="0000FF"/>
            <w:u w:val="single"/>
          </w:rPr>
          <w:t>nezeljenadejstva@cinmed.me</w:t>
        </w:r>
      </w:hyperlink>
    </w:p>
    <w:p w14:paraId="2EE591C2" w14:textId="22071D30" w:rsidR="00496B51" w:rsidRPr="00770F09" w:rsidRDefault="00C50DC6" w:rsidP="00195E0E">
      <w:pPr>
        <w:keepNext/>
        <w:autoSpaceDE w:val="0"/>
        <w:autoSpaceDN w:val="0"/>
        <w:jc w:val="both"/>
        <w:rPr>
          <w:color w:val="000000"/>
        </w:rPr>
      </w:pPr>
      <w:r w:rsidRPr="00770F09">
        <w:rPr>
          <w:color w:val="000000"/>
        </w:rPr>
        <w:t>putem IS zdravstvene zaštite</w:t>
      </w:r>
    </w:p>
    <w:p w14:paraId="56CE9765" w14:textId="77777777" w:rsidR="008B5916" w:rsidRPr="00770F09" w:rsidRDefault="008B5916" w:rsidP="00195E0E">
      <w:pPr>
        <w:autoSpaceDE w:val="0"/>
        <w:autoSpaceDN w:val="0"/>
        <w:jc w:val="both"/>
        <w:rPr>
          <w:color w:val="000000"/>
        </w:rPr>
      </w:pPr>
    </w:p>
    <w:p w14:paraId="11E711EC" w14:textId="08138508" w:rsidR="003928D8" w:rsidRPr="00770F09" w:rsidRDefault="003928D8" w:rsidP="00195E0E">
      <w:pPr>
        <w:keepNext/>
        <w:jc w:val="both"/>
      </w:pPr>
      <w:r w:rsidRPr="00770F09">
        <w:t>QR kod za online prijavu sumnje na neželjeno dejstvo lijeka:</w:t>
      </w:r>
    </w:p>
    <w:p w14:paraId="68A752AA" w14:textId="77777777" w:rsidR="003928D8" w:rsidRPr="00770F09" w:rsidRDefault="003928D8" w:rsidP="00965F8C">
      <w:pPr>
        <w:pStyle w:val="NoSpacing"/>
        <w:keepNext/>
        <w:jc w:val="both"/>
        <w:rPr>
          <w:rFonts w:eastAsia="Calibri"/>
          <w:sz w:val="22"/>
          <w:szCs w:val="22"/>
        </w:rPr>
      </w:pPr>
    </w:p>
    <w:p w14:paraId="03C72AB8" w14:textId="5E7D3C71" w:rsidR="003928D8" w:rsidRPr="00770F09" w:rsidRDefault="00803915" w:rsidP="00195E0E">
      <w:pPr>
        <w:keepNext/>
        <w:autoSpaceDE w:val="0"/>
        <w:autoSpaceDN w:val="0"/>
        <w:jc w:val="both"/>
        <w:rPr>
          <w:color w:val="000000"/>
        </w:rPr>
      </w:pPr>
      <w:r w:rsidRPr="00770F09">
        <w:rPr>
          <w:b/>
          <w:bCs/>
          <w:noProof/>
          <w:lang w:val="en-US" w:eastAsia="en-US"/>
        </w:rPr>
        <w:drawing>
          <wp:inline distT="0" distB="0" distL="0" distR="0" wp14:anchorId="326DC937" wp14:editId="38CD1301">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8123F19" w14:textId="77777777" w:rsidR="0023264C" w:rsidRPr="00770F09" w:rsidRDefault="0023264C" w:rsidP="00195E0E">
      <w:pPr>
        <w:tabs>
          <w:tab w:val="left" w:pos="567"/>
        </w:tabs>
        <w:jc w:val="both"/>
      </w:pPr>
    </w:p>
    <w:p w14:paraId="1F0BA090" w14:textId="197FAEDA" w:rsidR="0023264C" w:rsidRPr="00770F09" w:rsidRDefault="00BC4B9F" w:rsidP="00195E0E">
      <w:pPr>
        <w:pStyle w:val="11ptBold"/>
        <w:jc w:val="both"/>
      </w:pPr>
      <w:r w:rsidRPr="00770F09">
        <w:t>4.9.</w:t>
      </w:r>
      <w:r w:rsidRPr="00770F09">
        <w:tab/>
        <w:t>Predoziranje</w:t>
      </w:r>
    </w:p>
    <w:p w14:paraId="1C1B7F2B" w14:textId="77777777" w:rsidR="0023264C" w:rsidRPr="00770F09" w:rsidRDefault="0023264C" w:rsidP="00195E0E">
      <w:pPr>
        <w:keepNext/>
        <w:tabs>
          <w:tab w:val="left" w:pos="567"/>
        </w:tabs>
        <w:jc w:val="both"/>
      </w:pPr>
    </w:p>
    <w:p w14:paraId="65EA59B4" w14:textId="77777777" w:rsidR="0023264C" w:rsidRPr="00770F09" w:rsidRDefault="00BC4B9F" w:rsidP="00195E0E">
      <w:pPr>
        <w:tabs>
          <w:tab w:val="left" w:pos="567"/>
        </w:tabs>
        <w:jc w:val="both"/>
      </w:pPr>
      <w:r w:rsidRPr="00770F09">
        <w:t>U kliničkim studijama su testirane doze do 9 mg/kg. Postoje izvještaji o predoziranju dozama oko 2 puta većim od preporučenih terapijskih doza (12 mg/kg). Neželjene reakcije koje su primijećene obuhvataju toksičnost kože, dijareju, dehidrataciju i umor i u skladu su sa bezbjednosnim profilom pri primjeni preporučene doze.</w:t>
      </w:r>
    </w:p>
    <w:p w14:paraId="6A803A5C" w14:textId="77777777" w:rsidR="0023264C" w:rsidRPr="00770F09" w:rsidRDefault="0023264C" w:rsidP="00195E0E">
      <w:pPr>
        <w:tabs>
          <w:tab w:val="left" w:pos="567"/>
        </w:tabs>
        <w:jc w:val="both"/>
      </w:pPr>
    </w:p>
    <w:p w14:paraId="544BD1CF" w14:textId="77777777" w:rsidR="0023264C" w:rsidRPr="00770F09" w:rsidRDefault="0023264C" w:rsidP="00195E0E">
      <w:pPr>
        <w:tabs>
          <w:tab w:val="left" w:pos="567"/>
        </w:tabs>
        <w:jc w:val="both"/>
      </w:pPr>
    </w:p>
    <w:p w14:paraId="7BBCCBBC" w14:textId="77777777" w:rsidR="0023264C" w:rsidRPr="00770F09" w:rsidRDefault="00D07779" w:rsidP="00195E0E">
      <w:pPr>
        <w:pStyle w:val="11ptBold"/>
        <w:jc w:val="both"/>
      </w:pPr>
      <w:r w:rsidRPr="00770F09">
        <w:lastRenderedPageBreak/>
        <w:t>5.</w:t>
      </w:r>
      <w:r w:rsidRPr="00770F09">
        <w:tab/>
        <w:t>FARMAKOLOŠKI PODACI</w:t>
      </w:r>
    </w:p>
    <w:p w14:paraId="14E0EDD3" w14:textId="77777777" w:rsidR="0023264C" w:rsidRPr="00770F09" w:rsidRDefault="0023264C" w:rsidP="00195E0E">
      <w:pPr>
        <w:keepNext/>
        <w:tabs>
          <w:tab w:val="left" w:pos="567"/>
        </w:tabs>
        <w:jc w:val="both"/>
        <w:rPr>
          <w:b/>
        </w:rPr>
      </w:pPr>
    </w:p>
    <w:p w14:paraId="14107B51" w14:textId="77777777" w:rsidR="0023264C" w:rsidRPr="00770F09" w:rsidRDefault="00D07779" w:rsidP="00195E0E">
      <w:pPr>
        <w:pStyle w:val="11ptBold"/>
        <w:jc w:val="both"/>
      </w:pPr>
      <w:r w:rsidRPr="00770F09">
        <w:t>5.1.</w:t>
      </w:r>
      <w:r w:rsidRPr="00770F09">
        <w:tab/>
        <w:t>Farmakodinamski podaci</w:t>
      </w:r>
    </w:p>
    <w:p w14:paraId="575786BA" w14:textId="77777777" w:rsidR="0023264C" w:rsidRPr="00770F09" w:rsidRDefault="0023264C" w:rsidP="00195E0E">
      <w:pPr>
        <w:keepNext/>
        <w:tabs>
          <w:tab w:val="left" w:pos="567"/>
        </w:tabs>
        <w:jc w:val="both"/>
      </w:pPr>
    </w:p>
    <w:p w14:paraId="53D85F2B" w14:textId="31F3224D" w:rsidR="0023264C" w:rsidRPr="00770F09" w:rsidRDefault="00D07779" w:rsidP="00195E0E">
      <w:pPr>
        <w:keepNext/>
        <w:tabs>
          <w:tab w:val="left" w:pos="567"/>
        </w:tabs>
        <w:jc w:val="both"/>
      </w:pPr>
      <w:r w:rsidRPr="00770F09">
        <w:t>Farmakoterapijska grupa: Antineoplastici, monoklonska antitijela i konjugati antitijela i lijeka.</w:t>
      </w:r>
    </w:p>
    <w:p w14:paraId="2EC7C70B" w14:textId="77777777" w:rsidR="0023264C" w:rsidRPr="00770F09" w:rsidRDefault="0023264C" w:rsidP="00195E0E">
      <w:pPr>
        <w:keepNext/>
        <w:tabs>
          <w:tab w:val="left" w:pos="567"/>
        </w:tabs>
        <w:jc w:val="both"/>
      </w:pPr>
    </w:p>
    <w:p w14:paraId="412BC358" w14:textId="69D61406" w:rsidR="0023264C" w:rsidRPr="00770F09" w:rsidRDefault="00A45F37" w:rsidP="00195E0E">
      <w:pPr>
        <w:keepNext/>
        <w:tabs>
          <w:tab w:val="left" w:pos="567"/>
        </w:tabs>
        <w:jc w:val="both"/>
      </w:pPr>
      <w:r w:rsidRPr="00770F09">
        <w:t>ATC kod: L01FE02</w:t>
      </w:r>
    </w:p>
    <w:p w14:paraId="46F1D259" w14:textId="77777777" w:rsidR="0023264C" w:rsidRPr="00770F09" w:rsidRDefault="0023264C" w:rsidP="00195E0E">
      <w:pPr>
        <w:tabs>
          <w:tab w:val="left" w:pos="567"/>
        </w:tabs>
        <w:jc w:val="both"/>
      </w:pPr>
    </w:p>
    <w:p w14:paraId="461F6FD5" w14:textId="77777777" w:rsidR="0023264C" w:rsidRPr="00770F09" w:rsidRDefault="00044DA4" w:rsidP="00195E0E">
      <w:pPr>
        <w:keepNext/>
        <w:tabs>
          <w:tab w:val="left" w:pos="567"/>
        </w:tabs>
        <w:jc w:val="both"/>
        <w:rPr>
          <w:u w:val="single"/>
        </w:rPr>
      </w:pPr>
      <w:r w:rsidRPr="00770F09">
        <w:rPr>
          <w:u w:val="single"/>
        </w:rPr>
        <w:t>Mehanizam dejstva</w:t>
      </w:r>
    </w:p>
    <w:p w14:paraId="3F120D81" w14:textId="77777777" w:rsidR="0023264C" w:rsidRPr="00770F09" w:rsidRDefault="0023264C" w:rsidP="00195E0E">
      <w:pPr>
        <w:keepNext/>
        <w:tabs>
          <w:tab w:val="left" w:pos="567"/>
        </w:tabs>
        <w:jc w:val="both"/>
      </w:pPr>
    </w:p>
    <w:p w14:paraId="329CE083" w14:textId="4B8957A3" w:rsidR="00B150E6" w:rsidRPr="00770F09" w:rsidRDefault="00044DA4" w:rsidP="00195E0E">
      <w:pPr>
        <w:tabs>
          <w:tab w:val="left" w:pos="567"/>
        </w:tabs>
        <w:jc w:val="both"/>
      </w:pPr>
      <w:r w:rsidRPr="00770F09">
        <w:t>Panitumumab je rekombinantno, humano IgG2 monoklonsko antitijelo koje se sa velikim afinitetom specifično vezuje za EGFR. EGFR je transmembranski glikoprotein koji pripada podvrsti receptora tipa I tirozin kinaze u koju spadaju EGFR (HER1/c</w:t>
      </w:r>
      <w:r w:rsidRPr="00770F09">
        <w:noBreakHyphen/>
        <w:t>ErbB</w:t>
      </w:r>
      <w:r w:rsidRPr="00770F09">
        <w:noBreakHyphen/>
        <w:t>1), HER2, HER3 i HER4. EGFR podstiče rast ćelija u normalnim epitelijalnim tkivima, uključujući kožu i folikul dlake, a može se ispoljiti</w:t>
      </w:r>
      <w:r w:rsidRPr="00770F09">
        <w:noBreakHyphen/>
        <w:t>eksprimirati i na mnogim ćelijama tumora.</w:t>
      </w:r>
    </w:p>
    <w:p w14:paraId="475DC27A" w14:textId="77777777" w:rsidR="0023264C" w:rsidRPr="00770F09" w:rsidRDefault="0023264C" w:rsidP="00195E0E">
      <w:pPr>
        <w:tabs>
          <w:tab w:val="left" w:pos="567"/>
        </w:tabs>
        <w:jc w:val="both"/>
      </w:pPr>
    </w:p>
    <w:p w14:paraId="72FAA7B2" w14:textId="77777777" w:rsidR="00B150E6" w:rsidRPr="00770F09" w:rsidRDefault="00044DA4" w:rsidP="00195E0E">
      <w:pPr>
        <w:tabs>
          <w:tab w:val="left" w:pos="567"/>
        </w:tabs>
        <w:jc w:val="both"/>
      </w:pPr>
      <w:r w:rsidRPr="00770F09">
        <w:t>Panitumumab se vezuje za mjesto na EGFR receptoru za koji se vezuje normalan ligand i inhibiše autofosforilaciju receptora indukovanu svim poznatim EGFR ligandima. Vezivanje panitumumaba za EGFR dovodi do internalizacije receptora, inhibicije rasta ćelija, indukovanja apoptoze i smanjenog stvaranja interleukin 8 i vaskularnog endotelijalnog faktora rasta.</w:t>
      </w:r>
    </w:p>
    <w:p w14:paraId="15004EA7" w14:textId="77777777" w:rsidR="0023264C" w:rsidRPr="00770F09" w:rsidRDefault="0023264C" w:rsidP="00195E0E">
      <w:pPr>
        <w:tabs>
          <w:tab w:val="left" w:pos="567"/>
        </w:tabs>
        <w:jc w:val="both"/>
      </w:pPr>
    </w:p>
    <w:p w14:paraId="47D6213A" w14:textId="77777777" w:rsidR="0023264C" w:rsidRPr="00770F09" w:rsidRDefault="00044DA4" w:rsidP="00195E0E">
      <w:pPr>
        <w:tabs>
          <w:tab w:val="left" w:pos="567"/>
        </w:tabs>
        <w:jc w:val="both"/>
        <w:rPr>
          <w:bCs/>
        </w:rPr>
      </w:pPr>
      <w:r w:rsidRPr="00770F09">
        <w:rPr>
          <w:i/>
        </w:rPr>
        <w:t>KRAS</w:t>
      </w:r>
      <w:r w:rsidRPr="00770F09">
        <w:t xml:space="preserve"> (Kirsten rat sarcoma 2 viral oncogene homologue) i </w:t>
      </w:r>
      <w:r w:rsidRPr="00770F09">
        <w:rPr>
          <w:i/>
        </w:rPr>
        <w:t xml:space="preserve">NRAS </w:t>
      </w:r>
      <w:r w:rsidRPr="00770F09">
        <w:t xml:space="preserve">(Neuroblastoma </w:t>
      </w:r>
      <w:r w:rsidRPr="00770F09">
        <w:rPr>
          <w:i/>
        </w:rPr>
        <w:t>RAS</w:t>
      </w:r>
      <w:r w:rsidRPr="00770F09">
        <w:t xml:space="preserve"> viral oncogene homologue) su visoko povezani članovi familije </w:t>
      </w:r>
      <w:r w:rsidRPr="00770F09">
        <w:rPr>
          <w:i/>
        </w:rPr>
        <w:t>RAS</w:t>
      </w:r>
      <w:r w:rsidRPr="00770F09">
        <w:t xml:space="preserve"> onkogena. </w:t>
      </w:r>
      <w:r w:rsidRPr="00770F09">
        <w:rPr>
          <w:i/>
        </w:rPr>
        <w:t>KRAS</w:t>
      </w:r>
      <w:r w:rsidRPr="00770F09">
        <w:t xml:space="preserve"> i </w:t>
      </w:r>
      <w:r w:rsidRPr="00770F09">
        <w:rPr>
          <w:i/>
        </w:rPr>
        <w:t>NRAS</w:t>
      </w:r>
      <w:r w:rsidRPr="00770F09">
        <w:t xml:space="preserve"> geni kodiraju male GTP</w:t>
      </w:r>
      <w:r w:rsidRPr="00770F09">
        <w:noBreakHyphen/>
        <w:t xml:space="preserve">vezujuće proteine koji su uključeni u transdukciju signala. Brojni stimulusi, uključujući i one nastale uslijed EGFR aktiviraju </w:t>
      </w:r>
      <w:r w:rsidRPr="00770F09">
        <w:rPr>
          <w:i/>
        </w:rPr>
        <w:t>KRAS</w:t>
      </w:r>
      <w:r w:rsidRPr="00770F09">
        <w:t xml:space="preserve"> i </w:t>
      </w:r>
      <w:r w:rsidRPr="00770F09">
        <w:rPr>
          <w:i/>
        </w:rPr>
        <w:t>NRAS</w:t>
      </w:r>
      <w:r w:rsidRPr="00770F09">
        <w:t xml:space="preserve"> što zatim stimuliše druge intracelularne proteine koji dalje dovode do proliferacije ćelija, preživljavanja ćelija i angiogeneze.</w:t>
      </w:r>
    </w:p>
    <w:p w14:paraId="7CC58FA0" w14:textId="77777777" w:rsidR="0023264C" w:rsidRPr="00770F09" w:rsidRDefault="0023264C" w:rsidP="00195E0E">
      <w:pPr>
        <w:tabs>
          <w:tab w:val="left" w:pos="567"/>
        </w:tabs>
        <w:jc w:val="both"/>
        <w:rPr>
          <w:bCs/>
        </w:rPr>
      </w:pPr>
    </w:p>
    <w:p w14:paraId="4223D9FF" w14:textId="77777777" w:rsidR="0023264C" w:rsidRPr="00770F09" w:rsidRDefault="00044DA4" w:rsidP="00195E0E">
      <w:pPr>
        <w:tabs>
          <w:tab w:val="left" w:pos="567"/>
        </w:tabs>
        <w:jc w:val="both"/>
        <w:rPr>
          <w:bCs/>
        </w:rPr>
      </w:pPr>
      <w:r w:rsidRPr="00770F09">
        <w:t xml:space="preserve">Aktivirajuće mutacije u </w:t>
      </w:r>
      <w:r w:rsidRPr="00770F09">
        <w:rPr>
          <w:i/>
        </w:rPr>
        <w:t>RAS</w:t>
      </w:r>
      <w:r w:rsidRPr="00770F09">
        <w:t xml:space="preserve"> genima se često javljaju u mnogim tumorima kod ljudi i uključene su u onkogenezu i progresiju tumora.</w:t>
      </w:r>
    </w:p>
    <w:p w14:paraId="746EE2A0" w14:textId="77777777" w:rsidR="0023264C" w:rsidRPr="00770F09" w:rsidRDefault="0023264C" w:rsidP="00195E0E">
      <w:pPr>
        <w:tabs>
          <w:tab w:val="left" w:pos="567"/>
        </w:tabs>
        <w:jc w:val="both"/>
        <w:rPr>
          <w:bCs/>
        </w:rPr>
      </w:pPr>
    </w:p>
    <w:p w14:paraId="5CF90FE8" w14:textId="77777777" w:rsidR="0023264C" w:rsidRPr="00770F09" w:rsidRDefault="003814E0" w:rsidP="00195E0E">
      <w:pPr>
        <w:keepNext/>
        <w:tabs>
          <w:tab w:val="left" w:pos="567"/>
        </w:tabs>
        <w:jc w:val="both"/>
        <w:rPr>
          <w:u w:val="single"/>
        </w:rPr>
      </w:pPr>
      <w:r w:rsidRPr="00770F09">
        <w:rPr>
          <w:u w:val="single"/>
        </w:rPr>
        <w:t>Farmakodinamski efekti</w:t>
      </w:r>
    </w:p>
    <w:p w14:paraId="59E413D1" w14:textId="77777777" w:rsidR="0023264C" w:rsidRPr="00770F09" w:rsidRDefault="0023264C" w:rsidP="00195E0E">
      <w:pPr>
        <w:keepNext/>
        <w:tabs>
          <w:tab w:val="left" w:pos="567"/>
        </w:tabs>
        <w:jc w:val="both"/>
        <w:rPr>
          <w:u w:val="single"/>
        </w:rPr>
      </w:pPr>
    </w:p>
    <w:p w14:paraId="1DD91F48" w14:textId="77777777" w:rsidR="00B150E6" w:rsidRPr="00770F09" w:rsidRDefault="003814E0" w:rsidP="00195E0E">
      <w:pPr>
        <w:tabs>
          <w:tab w:val="left" w:pos="567"/>
        </w:tabs>
        <w:jc w:val="both"/>
      </w:pPr>
      <w:r w:rsidRPr="00770F09">
        <w:rPr>
          <w:i/>
        </w:rPr>
        <w:t>In vitro</w:t>
      </w:r>
      <w:r w:rsidRPr="00770F09">
        <w:t xml:space="preserve"> analize i </w:t>
      </w:r>
      <w:r w:rsidRPr="00770F09">
        <w:rPr>
          <w:i/>
        </w:rPr>
        <w:t>in vivo</w:t>
      </w:r>
      <w:r w:rsidRPr="00770F09">
        <w:t xml:space="preserve"> studije na životinjama su pokazale da panitumumab inhibiše rast i preživljavanje ćelija tumora sa ekspresijom receptora EGFR. Nisu primijećeni anti</w:t>
      </w:r>
      <w:r w:rsidRPr="00770F09">
        <w:noBreakHyphen/>
        <w:t>tumor efekti panitumumaba kod humanih tumor ksenografta kod kojih ne postoji ekspresija receptora EGFR. Dodavanje panitumumaba radioterapiji, hemioterapiji ili drugim ciljanim terapijskim ljekovima u studijama na životinjama dovelo je do porasta anti</w:t>
      </w:r>
      <w:r w:rsidRPr="00770F09">
        <w:noBreakHyphen/>
        <w:t>tumorskog efekta u poređenju sa radioterapijom, hemioterapijom ili drugim ciljanim terapijskim ljekovima primijenjenim u obliku monoterapije.</w:t>
      </w:r>
    </w:p>
    <w:p w14:paraId="2D91C547" w14:textId="77777777" w:rsidR="0023264C" w:rsidRPr="00770F09" w:rsidRDefault="0023264C" w:rsidP="00195E0E">
      <w:pPr>
        <w:tabs>
          <w:tab w:val="left" w:pos="567"/>
        </w:tabs>
        <w:jc w:val="both"/>
      </w:pPr>
    </w:p>
    <w:p w14:paraId="4C4A1081" w14:textId="0E4E6E93" w:rsidR="00B150E6" w:rsidRPr="00770F09" w:rsidRDefault="003814E0" w:rsidP="00195E0E">
      <w:pPr>
        <w:tabs>
          <w:tab w:val="left" w:pos="567"/>
        </w:tabs>
        <w:jc w:val="both"/>
      </w:pPr>
      <w:r w:rsidRPr="00770F09">
        <w:t>Dermatološke reakcije (uključujući reakcije na noktima) primijećene kod pacijenata liječenih lijekom Vectibix ili drugim EGFR inhibitorima su povezane sa farmakološkim efektima terapije (vidjeti poređenje u</w:t>
      </w:r>
      <w:r w:rsidR="00822A75" w:rsidRPr="00770F09">
        <w:t xml:space="preserve"> </w:t>
      </w:r>
      <w:r w:rsidR="00195E0E" w:rsidRPr="00770F09">
        <w:t>djelovi</w:t>
      </w:r>
      <w:r w:rsidR="00C4278F" w:rsidRPr="00770F09">
        <w:t>ma</w:t>
      </w:r>
      <w:r w:rsidRPr="00770F09">
        <w:t> 4.2 i 4.8).</w:t>
      </w:r>
    </w:p>
    <w:p w14:paraId="50680B4A" w14:textId="77777777" w:rsidR="0023264C" w:rsidRPr="00770F09" w:rsidRDefault="0023264C" w:rsidP="00195E0E">
      <w:pPr>
        <w:tabs>
          <w:tab w:val="left" w:pos="567"/>
        </w:tabs>
        <w:jc w:val="both"/>
      </w:pPr>
    </w:p>
    <w:p w14:paraId="4285FB56" w14:textId="77777777" w:rsidR="0023264C" w:rsidRPr="00770F09" w:rsidRDefault="003814E0" w:rsidP="00195E0E">
      <w:pPr>
        <w:keepNext/>
        <w:tabs>
          <w:tab w:val="left" w:pos="567"/>
        </w:tabs>
        <w:jc w:val="both"/>
        <w:rPr>
          <w:iCs/>
          <w:u w:val="single"/>
        </w:rPr>
      </w:pPr>
      <w:r w:rsidRPr="00770F09">
        <w:rPr>
          <w:u w:val="single"/>
        </w:rPr>
        <w:t>Imunogenost</w:t>
      </w:r>
    </w:p>
    <w:p w14:paraId="2907E9D6" w14:textId="77777777" w:rsidR="0023264C" w:rsidRPr="00770F09" w:rsidRDefault="0023264C" w:rsidP="00195E0E">
      <w:pPr>
        <w:keepNext/>
        <w:tabs>
          <w:tab w:val="left" w:pos="567"/>
        </w:tabs>
        <w:jc w:val="both"/>
        <w:rPr>
          <w:iCs/>
          <w:u w:val="single"/>
        </w:rPr>
      </w:pPr>
    </w:p>
    <w:p w14:paraId="2FA2772F" w14:textId="77777777" w:rsidR="0023264C" w:rsidRPr="00770F09" w:rsidRDefault="003814E0" w:rsidP="00195E0E">
      <w:pPr>
        <w:tabs>
          <w:tab w:val="left" w:pos="567"/>
        </w:tabs>
        <w:jc w:val="both"/>
      </w:pPr>
      <w:r w:rsidRPr="00770F09">
        <w:t>Kao i kod svih terapijskih proteina, i kod ovog lijeka postoji imunogeni potencijal. Podaci o razvoju anti</w:t>
      </w:r>
      <w:r w:rsidRPr="00770F09">
        <w:noBreakHyphen/>
        <w:t>panitumumab antitijela su procjenjivani uz pomoć dva različita skrining imunoeseja za otkrivanje anti</w:t>
      </w:r>
      <w:r w:rsidRPr="00770F09">
        <w:noBreakHyphen/>
        <w:t xml:space="preserve">panitumumab vezujućih antitijela (ELISA koja procjenjuje antitijela sa visokim afinitetom i Biosensor imunoesej koji ocjenjuje antitijela sa niskim i sa visokim afinitetom). Kod pacijenata kod kojih su serološki testovi bili pozitivni u bilo kom skrining imunoeseju, sprovedeno je </w:t>
      </w:r>
      <w:r w:rsidRPr="00770F09">
        <w:rPr>
          <w:i/>
        </w:rPr>
        <w:t>in vitro</w:t>
      </w:r>
      <w:r w:rsidRPr="00770F09">
        <w:t xml:space="preserve"> biološko testiranje kako bi se detektovala neutrališuća antitijela.</w:t>
      </w:r>
    </w:p>
    <w:p w14:paraId="06C301A5" w14:textId="77777777" w:rsidR="0023264C" w:rsidRPr="00770F09" w:rsidRDefault="0023264C" w:rsidP="00195E0E">
      <w:pPr>
        <w:tabs>
          <w:tab w:val="left" w:pos="567"/>
        </w:tabs>
        <w:jc w:val="both"/>
      </w:pPr>
    </w:p>
    <w:p w14:paraId="0222D9EE" w14:textId="77777777" w:rsidR="0023264C" w:rsidRPr="00770F09" w:rsidRDefault="00ED3594" w:rsidP="00195E0E">
      <w:pPr>
        <w:keepNext/>
        <w:tabs>
          <w:tab w:val="left" w:pos="567"/>
        </w:tabs>
        <w:ind w:left="567" w:hanging="567"/>
        <w:jc w:val="both"/>
      </w:pPr>
      <w:r w:rsidRPr="00770F09">
        <w:lastRenderedPageBreak/>
        <w:t>U obliku monoterapije:</w:t>
      </w:r>
    </w:p>
    <w:p w14:paraId="0E0F41C7" w14:textId="77777777" w:rsidR="0023264C" w:rsidRPr="00770F09" w:rsidRDefault="00ED3594" w:rsidP="00195E0E">
      <w:pPr>
        <w:keepNext/>
        <w:numPr>
          <w:ilvl w:val="0"/>
          <w:numId w:val="6"/>
        </w:numPr>
        <w:tabs>
          <w:tab w:val="left" w:pos="567"/>
        </w:tabs>
        <w:ind w:left="567" w:hanging="567"/>
        <w:jc w:val="both"/>
      </w:pPr>
      <w:r w:rsidRPr="00770F09">
        <w:t>Incidenca antitijela koja se vezuju (isključujući pacijente koji su imali pozitivan odgovor prije primjene doze i one koji su imali prolazan pozitivan odgovor) bila je &lt; 1% što je određeno disocijacijom kiselina ELISA i 3,8% što je određeno Biacore testom;</w:t>
      </w:r>
    </w:p>
    <w:p w14:paraId="7A5B1940" w14:textId="77777777" w:rsidR="0023264C" w:rsidRPr="00770F09" w:rsidRDefault="00ED3594" w:rsidP="00195E0E">
      <w:pPr>
        <w:keepNext/>
        <w:numPr>
          <w:ilvl w:val="0"/>
          <w:numId w:val="6"/>
        </w:numPr>
        <w:tabs>
          <w:tab w:val="left" w:pos="567"/>
        </w:tabs>
        <w:ind w:left="567" w:hanging="567"/>
        <w:jc w:val="both"/>
      </w:pPr>
      <w:r w:rsidRPr="00770F09">
        <w:t>Incidenca neutrališućih antitijela (isključujući pacijente koji su imali pozitivan odgovor prije primjene doze i one koji su imali prolazan pozitivan odgovor) bila je &lt; 1%;</w:t>
      </w:r>
    </w:p>
    <w:p w14:paraId="13E4B8AB" w14:textId="77777777" w:rsidR="0023264C" w:rsidRPr="00770F09" w:rsidRDefault="00ED3594" w:rsidP="00195E0E">
      <w:pPr>
        <w:numPr>
          <w:ilvl w:val="0"/>
          <w:numId w:val="6"/>
        </w:numPr>
        <w:tabs>
          <w:tab w:val="left" w:pos="567"/>
        </w:tabs>
        <w:ind w:left="567" w:hanging="567"/>
        <w:jc w:val="both"/>
      </w:pPr>
      <w:r w:rsidRPr="00770F09">
        <w:t>U poređenju sa pacijentima kod kojih nije došlo do razvoja antitijela, nije primijećena povezanost između prisustva anti</w:t>
      </w:r>
      <w:r w:rsidRPr="00770F09">
        <w:noBreakHyphen/>
        <w:t>panitumumab antitijela i farmakokinetike, efikasnosti i bezbjednosti.</w:t>
      </w:r>
    </w:p>
    <w:p w14:paraId="488D3AE2" w14:textId="77777777" w:rsidR="00B150E6" w:rsidRPr="00770F09" w:rsidRDefault="00ED3594" w:rsidP="00195E0E">
      <w:pPr>
        <w:keepNext/>
        <w:tabs>
          <w:tab w:val="left" w:pos="567"/>
        </w:tabs>
        <w:ind w:left="567" w:hanging="567"/>
        <w:jc w:val="both"/>
      </w:pPr>
      <w:r w:rsidRPr="00770F09">
        <w:t>U kombinovanoj hemioterapiji irinotekanom ili oksaliplatinom:</w:t>
      </w:r>
    </w:p>
    <w:p w14:paraId="6D18C3DE" w14:textId="77777777" w:rsidR="0023264C" w:rsidRPr="00770F09" w:rsidRDefault="00ED3594" w:rsidP="00195E0E">
      <w:pPr>
        <w:keepNext/>
        <w:numPr>
          <w:ilvl w:val="0"/>
          <w:numId w:val="6"/>
        </w:numPr>
        <w:tabs>
          <w:tab w:val="left" w:pos="567"/>
        </w:tabs>
        <w:ind w:left="567" w:hanging="567"/>
        <w:jc w:val="both"/>
      </w:pPr>
      <w:r w:rsidRPr="00770F09">
        <w:t>Incidenca antitijela koja se vezuju (isključujući pacijente koji su imali pozitivan odgovor prije primjene doze) bila je 1% što je određeno disocijacijom kiselina ELISA i &lt; 1% što je određeno Biacore testom;</w:t>
      </w:r>
    </w:p>
    <w:p w14:paraId="6A1F1EB2" w14:textId="77777777" w:rsidR="0023264C" w:rsidRPr="00770F09" w:rsidRDefault="00ED3594" w:rsidP="00195E0E">
      <w:pPr>
        <w:keepNext/>
        <w:numPr>
          <w:ilvl w:val="0"/>
          <w:numId w:val="6"/>
        </w:numPr>
        <w:tabs>
          <w:tab w:val="left" w:pos="567"/>
        </w:tabs>
        <w:ind w:left="567" w:hanging="567"/>
        <w:jc w:val="both"/>
      </w:pPr>
      <w:r w:rsidRPr="00770F09">
        <w:t>Incidenca neutrališućih antitijela (isključujući pacijente koji su imali pozitivan odgovor prije primjene doze) bila je &lt; 1%;</w:t>
      </w:r>
    </w:p>
    <w:p w14:paraId="46E98707" w14:textId="77777777" w:rsidR="0023264C" w:rsidRPr="00770F09" w:rsidRDefault="00ED3594" w:rsidP="00195E0E">
      <w:pPr>
        <w:numPr>
          <w:ilvl w:val="0"/>
          <w:numId w:val="6"/>
        </w:numPr>
        <w:tabs>
          <w:tab w:val="left" w:pos="567"/>
        </w:tabs>
        <w:ind w:left="567" w:hanging="567"/>
        <w:jc w:val="both"/>
      </w:pPr>
      <w:r w:rsidRPr="00770F09">
        <w:t>Nema dokaza o izmijenjenom bezbjednosnom profilu kod pacijenata koji su na testovima imali pozitivne rezultate na antitijela na Vectibix.</w:t>
      </w:r>
    </w:p>
    <w:p w14:paraId="07EDF4C2" w14:textId="77777777" w:rsidR="0023264C" w:rsidRPr="00770F09" w:rsidRDefault="0023264C" w:rsidP="00195E0E">
      <w:pPr>
        <w:tabs>
          <w:tab w:val="left" w:pos="567"/>
        </w:tabs>
        <w:jc w:val="both"/>
      </w:pPr>
    </w:p>
    <w:p w14:paraId="4ED36874" w14:textId="4092060A" w:rsidR="0023264C" w:rsidRPr="00770F09" w:rsidRDefault="006B62B7" w:rsidP="00195E0E">
      <w:pPr>
        <w:tabs>
          <w:tab w:val="left" w:pos="567"/>
        </w:tabs>
        <w:jc w:val="both"/>
      </w:pPr>
      <w:r w:rsidRPr="00770F09">
        <w:t>Detekcija stvaranja antitijela zavisi od osjetljivosti i specifičnosti eseja. Na incidencu pozitivnog prisustva antitijela primijećenih u eseju može da utiče nekoliko faktora kao što je metodologija testa, rukovanje uzorcima, vrijeme uzimanja uzorka, istovremena primjena drugih ljekova, kao i osnovna bolest, te stoga, poređenje incidence antitijela sa drugim proizvodima može da bude nepouzdano.</w:t>
      </w:r>
    </w:p>
    <w:p w14:paraId="1F5B09E7" w14:textId="77777777" w:rsidR="0023264C" w:rsidRPr="00770F09" w:rsidRDefault="0023264C" w:rsidP="00195E0E">
      <w:pPr>
        <w:tabs>
          <w:tab w:val="left" w:pos="567"/>
        </w:tabs>
        <w:jc w:val="both"/>
      </w:pPr>
    </w:p>
    <w:p w14:paraId="02979BA5" w14:textId="77777777" w:rsidR="0023264C" w:rsidRPr="00770F09" w:rsidRDefault="009F136A" w:rsidP="00195E0E">
      <w:pPr>
        <w:keepNext/>
        <w:tabs>
          <w:tab w:val="left" w:pos="567"/>
        </w:tabs>
        <w:jc w:val="both"/>
        <w:rPr>
          <w:iCs/>
          <w:u w:val="single"/>
        </w:rPr>
      </w:pPr>
      <w:r w:rsidRPr="00770F09">
        <w:rPr>
          <w:u w:val="single"/>
        </w:rPr>
        <w:t>Klinička efikasnost monoterapije</w:t>
      </w:r>
    </w:p>
    <w:p w14:paraId="0D3AA950" w14:textId="77777777" w:rsidR="0023264C" w:rsidRPr="00770F09" w:rsidRDefault="0023264C" w:rsidP="00195E0E">
      <w:pPr>
        <w:keepNext/>
        <w:tabs>
          <w:tab w:val="left" w:pos="567"/>
        </w:tabs>
        <w:jc w:val="both"/>
      </w:pPr>
    </w:p>
    <w:p w14:paraId="1E7E2787" w14:textId="77777777" w:rsidR="00B150E6" w:rsidRPr="00770F09" w:rsidRDefault="009F136A" w:rsidP="00195E0E">
      <w:pPr>
        <w:tabs>
          <w:tab w:val="left" w:pos="567"/>
        </w:tabs>
        <w:jc w:val="both"/>
        <w:rPr>
          <w:iCs/>
        </w:rPr>
      </w:pPr>
      <w:r w:rsidRPr="00770F09">
        <w:t>Efikasnost lijeka Vectibix u vidu monoterapije kod pacijenata sa metastatskim kolorektalnim karcinomom (mCRC) kod kojih je došlo do progresije bolesti tokom ili nakon prethodno primljene hemioterapije ispitivana je u u jednom otvorenom ispitivanju sa jednom grupom pacijenata (585 pacijenta) i u dva randomizovana kontrolisana ispitivanja: u jednom je Vectibix kompariran sa najboljom suportivnom njegom (BSC – best supportive care) (463 pacijenta), a u drugom sa cetuksimabom (1010 pacijenata).</w:t>
      </w:r>
    </w:p>
    <w:p w14:paraId="68BF18C2" w14:textId="77777777" w:rsidR="0023264C" w:rsidRPr="00770F09" w:rsidRDefault="0023264C" w:rsidP="00195E0E">
      <w:pPr>
        <w:tabs>
          <w:tab w:val="left" w:pos="567"/>
        </w:tabs>
        <w:jc w:val="both"/>
        <w:rPr>
          <w:iCs/>
        </w:rPr>
      </w:pPr>
    </w:p>
    <w:p w14:paraId="0625BA50" w14:textId="3CFE9782" w:rsidR="00B150E6" w:rsidRPr="00770F09" w:rsidRDefault="006D2CAA" w:rsidP="00195E0E">
      <w:pPr>
        <w:tabs>
          <w:tab w:val="left" w:pos="567"/>
        </w:tabs>
        <w:jc w:val="both"/>
      </w:pPr>
      <w:r w:rsidRPr="00770F09">
        <w:t>Multinacionalno, randomizovano kontrolisano ispitivanje sprovedeno je na 463 pacijenta sa metastatskim karcinomom kolona ili rektuma koji eksprimira EGFR pošto je potvrđeno da je došlo do neuspjeha sa terapijskim režimima koji sadrže oksaliplatin i irinotekan. Pacijenti su randomizovani 1:1 da primaju Vectibix u dozi od 6 mg/kg jednom u dvije nedjelje uz najbolju suportivnu njegu (koja ne podrazumijeva hemioterapiju) (BSC) ili da samo primaju BSC. Pacijenti su liječeni sve do pojave progresije bolesti ili neprihvatljive toksičnosti. Nakon progresije bolesti pacijenti koji su primali samo BSC prebačeni su, u nastavku studije na Vectibix u dozi od 6 mg/kg jednom u dvije nedjelje.</w:t>
      </w:r>
    </w:p>
    <w:p w14:paraId="7069332D" w14:textId="77777777" w:rsidR="0023264C" w:rsidRPr="00770F09" w:rsidRDefault="0023264C" w:rsidP="00195E0E">
      <w:pPr>
        <w:tabs>
          <w:tab w:val="left" w:pos="567"/>
        </w:tabs>
        <w:jc w:val="both"/>
      </w:pPr>
    </w:p>
    <w:p w14:paraId="0EDD3452" w14:textId="75066DE2" w:rsidR="00B150E6" w:rsidRPr="00770F09" w:rsidRDefault="00FC3081" w:rsidP="00195E0E">
      <w:pPr>
        <w:tabs>
          <w:tab w:val="left" w:pos="567"/>
        </w:tabs>
        <w:jc w:val="both"/>
        <w:rPr>
          <w:iCs/>
        </w:rPr>
      </w:pPr>
      <w:r w:rsidRPr="00770F09">
        <w:t xml:space="preserve">Primarni cilj studije bio je PFS. Studija je retrospektivno analizirana u odnosu na divlji tip </w:t>
      </w:r>
      <w:r w:rsidRPr="00770F09">
        <w:rPr>
          <w:i/>
        </w:rPr>
        <w:t>KRAS</w:t>
      </w:r>
      <w:r w:rsidRPr="00770F09">
        <w:t xml:space="preserve"> gena (ekson 2) i mutirani </w:t>
      </w:r>
      <w:r w:rsidRPr="00770F09">
        <w:rPr>
          <w:i/>
        </w:rPr>
        <w:t xml:space="preserve">KRAS </w:t>
      </w:r>
      <w:r w:rsidRPr="00770F09">
        <w:t xml:space="preserve">(ekson 2) gen. Uzorci tumora koji su dobijeni pri primarnoj resekciji kolorektalnog karcinoma analizirani su na potencijalno prisustvo sedam najčešćih aktivirajućih mutacija u kodonima 12 i 13 </w:t>
      </w:r>
      <w:r w:rsidRPr="00770F09">
        <w:rPr>
          <w:i/>
        </w:rPr>
        <w:t>KRAS</w:t>
      </w:r>
      <w:r w:rsidRPr="00770F09">
        <w:t xml:space="preserve"> gena. Od 427 (92%) pacijenata kod kojih je ispitan </w:t>
      </w:r>
      <w:r w:rsidRPr="00770F09">
        <w:rPr>
          <w:i/>
        </w:rPr>
        <w:t>KRAS</w:t>
      </w:r>
      <w:r w:rsidRPr="00770F09">
        <w:t xml:space="preserve"> status, 184 pacijenta imalo je mutacije </w:t>
      </w:r>
      <w:r w:rsidRPr="00770F09">
        <w:rPr>
          <w:i/>
        </w:rPr>
        <w:t>KRAS</w:t>
      </w:r>
      <w:r w:rsidRPr="00770F09">
        <w:t xml:space="preserve"> gena. Rezultati analize efikasnosti prilagođene zbog mogućih grešaka uslijed neplaniranih procjena, dati su u tabeli ispod. Nije bilo razlike u ukupnom preživljavanju (OS) između grupa.</w:t>
      </w:r>
    </w:p>
    <w:p w14:paraId="572CE1B7" w14:textId="77777777" w:rsidR="00FC3081" w:rsidRPr="00770F09" w:rsidRDefault="00FC3081" w:rsidP="00195E0E">
      <w:pPr>
        <w:tabs>
          <w:tab w:val="left" w:pos="567"/>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3"/>
        <w:gridCol w:w="1710"/>
        <w:gridCol w:w="1530"/>
        <w:gridCol w:w="1530"/>
        <w:gridCol w:w="1618"/>
      </w:tblGrid>
      <w:tr w:rsidR="00FC3081" w:rsidRPr="00770F09" w14:paraId="2CE27F4D" w14:textId="77777777" w:rsidTr="009D6589">
        <w:trPr>
          <w:cantSplit/>
          <w:tblHeader/>
        </w:trPr>
        <w:tc>
          <w:tcPr>
            <w:tcW w:w="2613" w:type="dxa"/>
          </w:tcPr>
          <w:p w14:paraId="6FDBFE99" w14:textId="77777777" w:rsidR="00FC3081" w:rsidRPr="00770F09" w:rsidRDefault="00FC3081" w:rsidP="00195E0E">
            <w:pPr>
              <w:keepNext/>
              <w:tabs>
                <w:tab w:val="left" w:pos="567"/>
              </w:tabs>
              <w:jc w:val="both"/>
            </w:pPr>
          </w:p>
        </w:tc>
        <w:tc>
          <w:tcPr>
            <w:tcW w:w="3240" w:type="dxa"/>
            <w:gridSpan w:val="2"/>
          </w:tcPr>
          <w:p w14:paraId="65C31A9B" w14:textId="77777777" w:rsidR="00FC3081" w:rsidRPr="00770F09" w:rsidRDefault="00FC3081" w:rsidP="00195E0E">
            <w:pPr>
              <w:jc w:val="both"/>
              <w:rPr>
                <w:b/>
              </w:rPr>
            </w:pPr>
            <w:r w:rsidRPr="00770F09">
              <w:rPr>
                <w:b/>
              </w:rPr>
              <w:t xml:space="preserve">Populacija sa divljim tipom </w:t>
            </w:r>
            <w:r w:rsidRPr="00770F09">
              <w:rPr>
                <w:b/>
                <w:i/>
              </w:rPr>
              <w:t xml:space="preserve">KRAS </w:t>
            </w:r>
            <w:r w:rsidRPr="00770F09">
              <w:rPr>
                <w:b/>
              </w:rPr>
              <w:t>(ekson 2) gena</w:t>
            </w:r>
          </w:p>
        </w:tc>
        <w:tc>
          <w:tcPr>
            <w:tcW w:w="3148" w:type="dxa"/>
            <w:gridSpan w:val="2"/>
          </w:tcPr>
          <w:p w14:paraId="08E0A339" w14:textId="77777777" w:rsidR="00FC3081" w:rsidRPr="00770F09" w:rsidRDefault="00FC3081" w:rsidP="00195E0E">
            <w:pPr>
              <w:keepNext/>
              <w:tabs>
                <w:tab w:val="left" w:pos="567"/>
              </w:tabs>
              <w:jc w:val="both"/>
            </w:pPr>
            <w:r w:rsidRPr="00770F09">
              <w:rPr>
                <w:b/>
              </w:rPr>
              <w:t xml:space="preserve">Populacija sa mutiranim </w:t>
            </w:r>
            <w:r w:rsidRPr="00770F09">
              <w:rPr>
                <w:b/>
                <w:i/>
              </w:rPr>
              <w:t xml:space="preserve">KRAS </w:t>
            </w:r>
            <w:r w:rsidRPr="00770F09">
              <w:rPr>
                <w:b/>
              </w:rPr>
              <w:t>(ekson 2) genom</w:t>
            </w:r>
          </w:p>
        </w:tc>
      </w:tr>
      <w:tr w:rsidR="00FC3081" w:rsidRPr="00770F09" w14:paraId="13BCE7F3" w14:textId="77777777" w:rsidTr="009D6589">
        <w:trPr>
          <w:cantSplit/>
          <w:tblHeader/>
        </w:trPr>
        <w:tc>
          <w:tcPr>
            <w:tcW w:w="2613" w:type="dxa"/>
          </w:tcPr>
          <w:p w14:paraId="083A6C4A" w14:textId="77777777" w:rsidR="00FC3081" w:rsidRPr="00770F09" w:rsidRDefault="00FC3081" w:rsidP="00195E0E">
            <w:pPr>
              <w:keepNext/>
              <w:tabs>
                <w:tab w:val="left" w:pos="567"/>
              </w:tabs>
              <w:jc w:val="both"/>
            </w:pPr>
          </w:p>
        </w:tc>
        <w:tc>
          <w:tcPr>
            <w:tcW w:w="1710" w:type="dxa"/>
          </w:tcPr>
          <w:p w14:paraId="44591904" w14:textId="77777777" w:rsidR="0023264C" w:rsidRPr="00770F09" w:rsidRDefault="00FC3081" w:rsidP="00195E0E">
            <w:pPr>
              <w:keepNext/>
              <w:tabs>
                <w:tab w:val="left" w:pos="567"/>
              </w:tabs>
              <w:jc w:val="both"/>
            </w:pPr>
            <w:r w:rsidRPr="00770F09">
              <w:rPr>
                <w:b/>
              </w:rPr>
              <w:t>Vectibix plus BSC</w:t>
            </w:r>
          </w:p>
          <w:p w14:paraId="292188E5" w14:textId="77777777" w:rsidR="00FC3081" w:rsidRPr="00770F09" w:rsidRDefault="00FC3081" w:rsidP="00195E0E">
            <w:pPr>
              <w:keepNext/>
              <w:tabs>
                <w:tab w:val="left" w:pos="567"/>
              </w:tabs>
              <w:jc w:val="both"/>
            </w:pPr>
            <w:r w:rsidRPr="00770F09">
              <w:rPr>
                <w:b/>
              </w:rPr>
              <w:t>(n = 124)</w:t>
            </w:r>
          </w:p>
        </w:tc>
        <w:tc>
          <w:tcPr>
            <w:tcW w:w="1530" w:type="dxa"/>
          </w:tcPr>
          <w:p w14:paraId="068D75E3" w14:textId="77777777" w:rsidR="0023264C" w:rsidRPr="00770F09" w:rsidRDefault="00FC3081" w:rsidP="00195E0E">
            <w:pPr>
              <w:keepNext/>
              <w:tabs>
                <w:tab w:val="left" w:pos="567"/>
              </w:tabs>
              <w:jc w:val="both"/>
              <w:rPr>
                <w:b/>
                <w:bCs/>
              </w:rPr>
            </w:pPr>
            <w:r w:rsidRPr="00770F09">
              <w:rPr>
                <w:b/>
              </w:rPr>
              <w:t>BSC</w:t>
            </w:r>
          </w:p>
          <w:p w14:paraId="7BF03DE2" w14:textId="77777777" w:rsidR="00FC3081" w:rsidRPr="00770F09" w:rsidRDefault="00FC3081" w:rsidP="00195E0E">
            <w:pPr>
              <w:keepNext/>
              <w:tabs>
                <w:tab w:val="left" w:pos="567"/>
              </w:tabs>
              <w:jc w:val="both"/>
            </w:pPr>
            <w:r w:rsidRPr="00770F09">
              <w:rPr>
                <w:b/>
              </w:rPr>
              <w:t>(n = 119)</w:t>
            </w:r>
          </w:p>
        </w:tc>
        <w:tc>
          <w:tcPr>
            <w:tcW w:w="1530" w:type="dxa"/>
          </w:tcPr>
          <w:p w14:paraId="4A82FEB0" w14:textId="77777777" w:rsidR="0023264C" w:rsidRPr="00770F09" w:rsidRDefault="00FC3081" w:rsidP="00195E0E">
            <w:pPr>
              <w:keepNext/>
              <w:tabs>
                <w:tab w:val="left" w:pos="567"/>
              </w:tabs>
              <w:jc w:val="both"/>
            </w:pPr>
            <w:r w:rsidRPr="00770F09">
              <w:rPr>
                <w:b/>
              </w:rPr>
              <w:t>Vectibix plus BSC</w:t>
            </w:r>
          </w:p>
          <w:p w14:paraId="1E717BE2" w14:textId="77777777" w:rsidR="00FC3081" w:rsidRPr="00770F09" w:rsidRDefault="00FC3081" w:rsidP="00195E0E">
            <w:pPr>
              <w:keepNext/>
              <w:tabs>
                <w:tab w:val="left" w:pos="567"/>
              </w:tabs>
              <w:jc w:val="both"/>
            </w:pPr>
            <w:r w:rsidRPr="00770F09">
              <w:rPr>
                <w:b/>
              </w:rPr>
              <w:t>(n = 84)</w:t>
            </w:r>
          </w:p>
        </w:tc>
        <w:tc>
          <w:tcPr>
            <w:tcW w:w="1618" w:type="dxa"/>
          </w:tcPr>
          <w:p w14:paraId="02AA4DB2" w14:textId="77777777" w:rsidR="0023264C" w:rsidRPr="00770F09" w:rsidRDefault="00FC3081" w:rsidP="00195E0E">
            <w:pPr>
              <w:tabs>
                <w:tab w:val="left" w:pos="567"/>
              </w:tabs>
              <w:jc w:val="both"/>
              <w:rPr>
                <w:b/>
                <w:bCs/>
              </w:rPr>
            </w:pPr>
            <w:r w:rsidRPr="00770F09">
              <w:rPr>
                <w:b/>
              </w:rPr>
              <w:t>BSC</w:t>
            </w:r>
          </w:p>
          <w:p w14:paraId="5A7348CE" w14:textId="77777777" w:rsidR="00FC3081" w:rsidRPr="00770F09" w:rsidRDefault="00FC3081" w:rsidP="00195E0E">
            <w:pPr>
              <w:tabs>
                <w:tab w:val="left" w:pos="567"/>
              </w:tabs>
              <w:jc w:val="both"/>
            </w:pPr>
            <w:r w:rsidRPr="00770F09">
              <w:rPr>
                <w:b/>
              </w:rPr>
              <w:t>(n = 100)</w:t>
            </w:r>
          </w:p>
        </w:tc>
      </w:tr>
      <w:tr w:rsidR="00FC3081" w:rsidRPr="00770F09" w14:paraId="1B319467" w14:textId="77777777" w:rsidTr="009D6589">
        <w:trPr>
          <w:cantSplit/>
        </w:trPr>
        <w:tc>
          <w:tcPr>
            <w:tcW w:w="2613" w:type="dxa"/>
          </w:tcPr>
          <w:p w14:paraId="511B08FA" w14:textId="77777777" w:rsidR="00FC3081" w:rsidRPr="00770F09" w:rsidRDefault="00FC3081" w:rsidP="00195E0E">
            <w:pPr>
              <w:keepNext/>
              <w:tabs>
                <w:tab w:val="left" w:pos="567"/>
              </w:tabs>
              <w:jc w:val="both"/>
            </w:pPr>
            <w:r w:rsidRPr="00770F09">
              <w:rPr>
                <w:b/>
              </w:rPr>
              <w:t>ORR n (%)</w:t>
            </w:r>
          </w:p>
        </w:tc>
        <w:tc>
          <w:tcPr>
            <w:tcW w:w="1710" w:type="dxa"/>
          </w:tcPr>
          <w:p w14:paraId="15344566" w14:textId="77777777" w:rsidR="00FC3081" w:rsidRPr="00770F09" w:rsidRDefault="00FC3081" w:rsidP="00195E0E">
            <w:pPr>
              <w:tabs>
                <w:tab w:val="left" w:pos="567"/>
              </w:tabs>
              <w:jc w:val="both"/>
            </w:pPr>
            <w:r w:rsidRPr="00770F09">
              <w:t>17%</w:t>
            </w:r>
          </w:p>
        </w:tc>
        <w:tc>
          <w:tcPr>
            <w:tcW w:w="1530" w:type="dxa"/>
          </w:tcPr>
          <w:p w14:paraId="11572716" w14:textId="77777777" w:rsidR="00FC3081" w:rsidRPr="00770F09" w:rsidRDefault="00FC3081" w:rsidP="00195E0E">
            <w:pPr>
              <w:tabs>
                <w:tab w:val="left" w:pos="567"/>
              </w:tabs>
              <w:jc w:val="both"/>
            </w:pPr>
            <w:r w:rsidRPr="00770F09">
              <w:t>0%</w:t>
            </w:r>
          </w:p>
        </w:tc>
        <w:tc>
          <w:tcPr>
            <w:tcW w:w="1530" w:type="dxa"/>
          </w:tcPr>
          <w:p w14:paraId="57831FFA" w14:textId="77777777" w:rsidR="00FC3081" w:rsidRPr="00770F09" w:rsidRDefault="00FC3081" w:rsidP="00195E0E">
            <w:pPr>
              <w:tabs>
                <w:tab w:val="left" w:pos="567"/>
              </w:tabs>
              <w:jc w:val="both"/>
            </w:pPr>
            <w:r w:rsidRPr="00770F09">
              <w:t>0%</w:t>
            </w:r>
          </w:p>
        </w:tc>
        <w:tc>
          <w:tcPr>
            <w:tcW w:w="1618" w:type="dxa"/>
          </w:tcPr>
          <w:p w14:paraId="5C6EA15F" w14:textId="77777777" w:rsidR="00FC3081" w:rsidRPr="00770F09" w:rsidRDefault="00FC3081" w:rsidP="00195E0E">
            <w:pPr>
              <w:tabs>
                <w:tab w:val="left" w:pos="567"/>
              </w:tabs>
              <w:jc w:val="both"/>
            </w:pPr>
            <w:r w:rsidRPr="00770F09">
              <w:t>0%</w:t>
            </w:r>
          </w:p>
        </w:tc>
      </w:tr>
      <w:tr w:rsidR="00FC3081" w:rsidRPr="00770F09" w14:paraId="1C4AEE12" w14:textId="77777777" w:rsidTr="009D6589">
        <w:trPr>
          <w:cantSplit/>
        </w:trPr>
        <w:tc>
          <w:tcPr>
            <w:tcW w:w="2613" w:type="dxa"/>
          </w:tcPr>
          <w:p w14:paraId="5816F38E" w14:textId="77777777" w:rsidR="00FC3081" w:rsidRPr="00770F09" w:rsidRDefault="00FC3081" w:rsidP="00195E0E">
            <w:pPr>
              <w:tabs>
                <w:tab w:val="left" w:pos="567"/>
              </w:tabs>
              <w:jc w:val="both"/>
            </w:pPr>
            <w:r w:rsidRPr="00770F09">
              <w:t>Stopa objektivnog odgovora (procjena istraživača)</w:t>
            </w:r>
            <w:r w:rsidRPr="00770F09">
              <w:rPr>
                <w:vertAlign w:val="superscript"/>
              </w:rPr>
              <w:t>a</w:t>
            </w:r>
            <w:r w:rsidRPr="00770F09">
              <w:t xml:space="preserve"> (95% CI)</w:t>
            </w:r>
          </w:p>
        </w:tc>
        <w:tc>
          <w:tcPr>
            <w:tcW w:w="3240" w:type="dxa"/>
            <w:gridSpan w:val="2"/>
          </w:tcPr>
          <w:p w14:paraId="038A7B03" w14:textId="77777777" w:rsidR="0023264C" w:rsidRPr="00770F09" w:rsidRDefault="00FC3081" w:rsidP="00195E0E">
            <w:pPr>
              <w:tabs>
                <w:tab w:val="left" w:pos="567"/>
              </w:tabs>
              <w:jc w:val="both"/>
            </w:pPr>
            <w:r w:rsidRPr="00770F09">
              <w:t>22%</w:t>
            </w:r>
          </w:p>
          <w:p w14:paraId="729DCF32" w14:textId="77777777" w:rsidR="00FC3081" w:rsidRPr="00770F09" w:rsidRDefault="00FC3081" w:rsidP="00195E0E">
            <w:pPr>
              <w:tabs>
                <w:tab w:val="left" w:pos="567"/>
              </w:tabs>
              <w:jc w:val="both"/>
            </w:pPr>
            <w:r w:rsidRPr="00770F09">
              <w:t>(14; 32)</w:t>
            </w:r>
          </w:p>
        </w:tc>
        <w:tc>
          <w:tcPr>
            <w:tcW w:w="3148" w:type="dxa"/>
            <w:gridSpan w:val="2"/>
          </w:tcPr>
          <w:p w14:paraId="2B229858" w14:textId="77777777" w:rsidR="0023264C" w:rsidRPr="00770F09" w:rsidRDefault="00FC3081" w:rsidP="00195E0E">
            <w:pPr>
              <w:tabs>
                <w:tab w:val="left" w:pos="567"/>
              </w:tabs>
              <w:jc w:val="both"/>
            </w:pPr>
            <w:r w:rsidRPr="00770F09">
              <w:t>0%</w:t>
            </w:r>
          </w:p>
          <w:p w14:paraId="693B2016" w14:textId="77777777" w:rsidR="00FC3081" w:rsidRPr="00770F09" w:rsidRDefault="00FC3081" w:rsidP="00195E0E">
            <w:pPr>
              <w:tabs>
                <w:tab w:val="left" w:pos="567"/>
              </w:tabs>
              <w:jc w:val="both"/>
            </w:pPr>
            <w:r w:rsidRPr="00770F09">
              <w:t>(0; 4)</w:t>
            </w:r>
          </w:p>
        </w:tc>
      </w:tr>
      <w:tr w:rsidR="00FC3081" w:rsidRPr="00770F09" w14:paraId="4A22C643" w14:textId="77777777" w:rsidTr="009D6589">
        <w:trPr>
          <w:cantSplit/>
        </w:trPr>
        <w:tc>
          <w:tcPr>
            <w:tcW w:w="2613" w:type="dxa"/>
          </w:tcPr>
          <w:p w14:paraId="019BE89B" w14:textId="2A2E413C" w:rsidR="00FC3081" w:rsidRPr="00770F09" w:rsidRDefault="00FC3081" w:rsidP="00195E0E">
            <w:pPr>
              <w:keepNext/>
              <w:tabs>
                <w:tab w:val="left" w:pos="567"/>
              </w:tabs>
              <w:jc w:val="both"/>
            </w:pPr>
            <w:r w:rsidRPr="00770F09">
              <w:rPr>
                <w:b/>
              </w:rPr>
              <w:lastRenderedPageBreak/>
              <w:t>Stabilizacija bolesti</w:t>
            </w:r>
          </w:p>
        </w:tc>
        <w:tc>
          <w:tcPr>
            <w:tcW w:w="1710" w:type="dxa"/>
          </w:tcPr>
          <w:p w14:paraId="55374166" w14:textId="77777777" w:rsidR="00FC3081" w:rsidRPr="00770F09" w:rsidRDefault="00FC3081" w:rsidP="00195E0E">
            <w:pPr>
              <w:keepNext/>
              <w:tabs>
                <w:tab w:val="left" w:pos="567"/>
              </w:tabs>
              <w:jc w:val="both"/>
            </w:pPr>
            <w:r w:rsidRPr="00770F09">
              <w:t>34%</w:t>
            </w:r>
          </w:p>
        </w:tc>
        <w:tc>
          <w:tcPr>
            <w:tcW w:w="1530" w:type="dxa"/>
          </w:tcPr>
          <w:p w14:paraId="43D4BDA6" w14:textId="77777777" w:rsidR="00FC3081" w:rsidRPr="00770F09" w:rsidRDefault="00FC3081" w:rsidP="00195E0E">
            <w:pPr>
              <w:keepNext/>
              <w:tabs>
                <w:tab w:val="left" w:pos="567"/>
              </w:tabs>
              <w:jc w:val="both"/>
            </w:pPr>
            <w:r w:rsidRPr="00770F09">
              <w:t>12%</w:t>
            </w:r>
          </w:p>
        </w:tc>
        <w:tc>
          <w:tcPr>
            <w:tcW w:w="1530" w:type="dxa"/>
          </w:tcPr>
          <w:p w14:paraId="537C5535" w14:textId="77777777" w:rsidR="00FC3081" w:rsidRPr="00770F09" w:rsidRDefault="00FC3081" w:rsidP="00195E0E">
            <w:pPr>
              <w:keepNext/>
              <w:tabs>
                <w:tab w:val="left" w:pos="567"/>
              </w:tabs>
              <w:jc w:val="both"/>
            </w:pPr>
            <w:r w:rsidRPr="00770F09">
              <w:t>12%</w:t>
            </w:r>
          </w:p>
        </w:tc>
        <w:tc>
          <w:tcPr>
            <w:tcW w:w="1618" w:type="dxa"/>
          </w:tcPr>
          <w:p w14:paraId="63DDAC2A" w14:textId="77777777" w:rsidR="00FC3081" w:rsidRPr="00770F09" w:rsidRDefault="00FC3081" w:rsidP="00195E0E">
            <w:pPr>
              <w:keepNext/>
              <w:tabs>
                <w:tab w:val="left" w:pos="567"/>
              </w:tabs>
              <w:jc w:val="both"/>
            </w:pPr>
            <w:r w:rsidRPr="00770F09">
              <w:t>8%</w:t>
            </w:r>
          </w:p>
        </w:tc>
      </w:tr>
      <w:tr w:rsidR="00FC3081" w:rsidRPr="00770F09" w14:paraId="2E2C4DA9" w14:textId="77777777" w:rsidTr="009D6589">
        <w:trPr>
          <w:cantSplit/>
        </w:trPr>
        <w:tc>
          <w:tcPr>
            <w:tcW w:w="2613" w:type="dxa"/>
          </w:tcPr>
          <w:p w14:paraId="331CCD9C" w14:textId="77777777" w:rsidR="00FC3081" w:rsidRPr="00770F09" w:rsidRDefault="00FC3081" w:rsidP="00195E0E">
            <w:pPr>
              <w:keepNext/>
              <w:tabs>
                <w:tab w:val="left" w:pos="567"/>
              </w:tabs>
              <w:jc w:val="both"/>
            </w:pPr>
            <w:r w:rsidRPr="00770F09">
              <w:rPr>
                <w:b/>
              </w:rPr>
              <w:t>PFS</w:t>
            </w:r>
          </w:p>
        </w:tc>
        <w:tc>
          <w:tcPr>
            <w:tcW w:w="6388" w:type="dxa"/>
            <w:gridSpan w:val="4"/>
          </w:tcPr>
          <w:p w14:paraId="7308A845" w14:textId="77777777" w:rsidR="00FC3081" w:rsidRPr="00770F09" w:rsidRDefault="00FC3081" w:rsidP="00195E0E">
            <w:pPr>
              <w:keepNext/>
              <w:tabs>
                <w:tab w:val="left" w:pos="567"/>
              </w:tabs>
              <w:jc w:val="both"/>
            </w:pPr>
          </w:p>
        </w:tc>
      </w:tr>
      <w:tr w:rsidR="00FC3081" w:rsidRPr="00770F09" w14:paraId="1A62E50F" w14:textId="77777777" w:rsidTr="009D6589">
        <w:trPr>
          <w:cantSplit/>
        </w:trPr>
        <w:tc>
          <w:tcPr>
            <w:tcW w:w="2613" w:type="dxa"/>
            <w:tcBorders>
              <w:bottom w:val="single" w:sz="4" w:space="0" w:color="auto"/>
            </w:tcBorders>
          </w:tcPr>
          <w:p w14:paraId="74AC2A20" w14:textId="77777777" w:rsidR="00FC3081" w:rsidRPr="00770F09" w:rsidRDefault="00FC3081" w:rsidP="00195E0E">
            <w:pPr>
              <w:keepNext/>
              <w:tabs>
                <w:tab w:val="left" w:pos="567"/>
              </w:tabs>
              <w:jc w:val="both"/>
            </w:pPr>
            <w:r w:rsidRPr="00770F09">
              <w:t>Koeficijent rizika (95% CI)</w:t>
            </w:r>
          </w:p>
        </w:tc>
        <w:tc>
          <w:tcPr>
            <w:tcW w:w="3240" w:type="dxa"/>
            <w:gridSpan w:val="2"/>
            <w:tcBorders>
              <w:bottom w:val="single" w:sz="4" w:space="0" w:color="auto"/>
            </w:tcBorders>
          </w:tcPr>
          <w:p w14:paraId="0BD916BF" w14:textId="77777777" w:rsidR="00FC3081" w:rsidRPr="00770F09" w:rsidRDefault="00FC3081" w:rsidP="00195E0E">
            <w:pPr>
              <w:keepNext/>
              <w:tabs>
                <w:tab w:val="left" w:pos="567"/>
              </w:tabs>
              <w:jc w:val="both"/>
            </w:pPr>
            <w:r w:rsidRPr="00770F09">
              <w:t>0,49 (0,37; 0,65)</w:t>
            </w:r>
            <w:r w:rsidRPr="00770F09">
              <w:br/>
              <w:t>p &lt; 0,0001</w:t>
            </w:r>
          </w:p>
        </w:tc>
        <w:tc>
          <w:tcPr>
            <w:tcW w:w="3148" w:type="dxa"/>
            <w:gridSpan w:val="2"/>
            <w:tcBorders>
              <w:bottom w:val="single" w:sz="4" w:space="0" w:color="auto"/>
            </w:tcBorders>
          </w:tcPr>
          <w:p w14:paraId="224A6073" w14:textId="77777777" w:rsidR="00FC3081" w:rsidRPr="00770F09" w:rsidRDefault="00FC3081" w:rsidP="00195E0E">
            <w:pPr>
              <w:keepNext/>
              <w:tabs>
                <w:tab w:val="left" w:pos="567"/>
              </w:tabs>
              <w:jc w:val="both"/>
            </w:pPr>
            <w:r w:rsidRPr="00770F09">
              <w:t>1,07 (0,77; 1,48)</w:t>
            </w:r>
            <w:r w:rsidRPr="00770F09">
              <w:br/>
              <w:t>p = 0,6880</w:t>
            </w:r>
          </w:p>
        </w:tc>
      </w:tr>
      <w:tr w:rsidR="00FC3081" w:rsidRPr="00770F09" w14:paraId="6939828A" w14:textId="77777777" w:rsidTr="009D6589">
        <w:trPr>
          <w:cantSplit/>
        </w:trPr>
        <w:tc>
          <w:tcPr>
            <w:tcW w:w="2613" w:type="dxa"/>
            <w:tcBorders>
              <w:bottom w:val="single" w:sz="4" w:space="0" w:color="auto"/>
            </w:tcBorders>
          </w:tcPr>
          <w:p w14:paraId="5EFA3CA6" w14:textId="77777777" w:rsidR="00FC3081" w:rsidRPr="00770F09" w:rsidRDefault="00FC3081" w:rsidP="00195E0E">
            <w:pPr>
              <w:keepNext/>
              <w:tabs>
                <w:tab w:val="left" w:pos="567"/>
              </w:tabs>
              <w:jc w:val="both"/>
            </w:pPr>
            <w:r w:rsidRPr="00770F09">
              <w:t>Srednja vrijednost (nedelje)</w:t>
            </w:r>
          </w:p>
        </w:tc>
        <w:tc>
          <w:tcPr>
            <w:tcW w:w="1710" w:type="dxa"/>
            <w:tcBorders>
              <w:bottom w:val="single" w:sz="4" w:space="0" w:color="auto"/>
            </w:tcBorders>
          </w:tcPr>
          <w:p w14:paraId="40F5A218" w14:textId="77777777" w:rsidR="00FC3081" w:rsidRPr="00770F09" w:rsidRDefault="00FC3081" w:rsidP="00195E0E">
            <w:pPr>
              <w:keepNext/>
              <w:tabs>
                <w:tab w:val="left" w:pos="567"/>
              </w:tabs>
              <w:jc w:val="both"/>
            </w:pPr>
            <w:r w:rsidRPr="00770F09">
              <w:t>16,0</w:t>
            </w:r>
          </w:p>
        </w:tc>
        <w:tc>
          <w:tcPr>
            <w:tcW w:w="1530" w:type="dxa"/>
            <w:tcBorders>
              <w:bottom w:val="single" w:sz="4" w:space="0" w:color="auto"/>
            </w:tcBorders>
          </w:tcPr>
          <w:p w14:paraId="2A583AE0" w14:textId="77777777" w:rsidR="00FC3081" w:rsidRPr="00770F09" w:rsidRDefault="00FC3081" w:rsidP="00195E0E">
            <w:pPr>
              <w:keepNext/>
              <w:tabs>
                <w:tab w:val="left" w:pos="567"/>
              </w:tabs>
              <w:jc w:val="both"/>
            </w:pPr>
            <w:r w:rsidRPr="00770F09">
              <w:t>8,0</w:t>
            </w:r>
          </w:p>
        </w:tc>
        <w:tc>
          <w:tcPr>
            <w:tcW w:w="1530" w:type="dxa"/>
            <w:tcBorders>
              <w:bottom w:val="single" w:sz="4" w:space="0" w:color="auto"/>
            </w:tcBorders>
          </w:tcPr>
          <w:p w14:paraId="15D77A25" w14:textId="77777777" w:rsidR="00FC3081" w:rsidRPr="00770F09" w:rsidRDefault="00FC3081" w:rsidP="00195E0E">
            <w:pPr>
              <w:keepNext/>
              <w:tabs>
                <w:tab w:val="left" w:pos="567"/>
              </w:tabs>
              <w:jc w:val="both"/>
            </w:pPr>
            <w:r w:rsidRPr="00770F09">
              <w:t>8,0</w:t>
            </w:r>
          </w:p>
        </w:tc>
        <w:tc>
          <w:tcPr>
            <w:tcW w:w="1618" w:type="dxa"/>
            <w:tcBorders>
              <w:bottom w:val="single" w:sz="4" w:space="0" w:color="auto"/>
            </w:tcBorders>
          </w:tcPr>
          <w:p w14:paraId="06759DF5" w14:textId="77777777" w:rsidR="00FC3081" w:rsidRPr="00770F09" w:rsidRDefault="00FC3081" w:rsidP="00195E0E">
            <w:pPr>
              <w:keepNext/>
              <w:tabs>
                <w:tab w:val="left" w:pos="567"/>
              </w:tabs>
              <w:jc w:val="both"/>
            </w:pPr>
            <w:r w:rsidRPr="00770F09">
              <w:t>8,0</w:t>
            </w:r>
          </w:p>
        </w:tc>
      </w:tr>
    </w:tbl>
    <w:p w14:paraId="5E51CD5C" w14:textId="77777777" w:rsidR="0023264C" w:rsidRPr="00770F09" w:rsidRDefault="003A3C8D" w:rsidP="00195E0E">
      <w:pPr>
        <w:keepNext/>
        <w:tabs>
          <w:tab w:val="left" w:pos="567"/>
        </w:tabs>
        <w:jc w:val="both"/>
        <w:rPr>
          <w:sz w:val="20"/>
          <w:szCs w:val="20"/>
        </w:rPr>
      </w:pPr>
      <w:r w:rsidRPr="00770F09">
        <w:rPr>
          <w:sz w:val="20"/>
        </w:rPr>
        <w:t>CI = interval pouzdanosti</w:t>
      </w:r>
    </w:p>
    <w:p w14:paraId="03402B7A" w14:textId="77777777" w:rsidR="0023264C" w:rsidRPr="00770F09" w:rsidRDefault="00492DD0" w:rsidP="00195E0E">
      <w:pPr>
        <w:tabs>
          <w:tab w:val="left" w:pos="567"/>
        </w:tabs>
        <w:jc w:val="both"/>
        <w:rPr>
          <w:sz w:val="20"/>
          <w:szCs w:val="20"/>
        </w:rPr>
      </w:pPr>
      <w:r w:rsidRPr="00770F09">
        <w:rPr>
          <w:sz w:val="20"/>
          <w:vertAlign w:val="superscript"/>
        </w:rPr>
        <w:t>a</w:t>
      </w:r>
      <w:r w:rsidRPr="00770F09">
        <w:rPr>
          <w:sz w:val="20"/>
        </w:rPr>
        <w:t xml:space="preserve"> Kod pacijenata koji su poslije progresije bolesti prebačeni sa BSC na panitumumab (95% CI)</w:t>
      </w:r>
    </w:p>
    <w:p w14:paraId="4FD08DC2" w14:textId="77777777" w:rsidR="0023264C" w:rsidRPr="00770F09" w:rsidRDefault="0023264C" w:rsidP="00195E0E">
      <w:pPr>
        <w:tabs>
          <w:tab w:val="left" w:pos="567"/>
        </w:tabs>
        <w:jc w:val="both"/>
      </w:pPr>
    </w:p>
    <w:p w14:paraId="0EDB2C4A" w14:textId="77777777" w:rsidR="0023264C" w:rsidRPr="00770F09" w:rsidRDefault="007F4E86" w:rsidP="00195E0E">
      <w:pPr>
        <w:tabs>
          <w:tab w:val="left" w:pos="567"/>
        </w:tabs>
        <w:jc w:val="both"/>
      </w:pPr>
      <w:r w:rsidRPr="00770F09">
        <w:t xml:space="preserve">U jednoj eksplorativnoj analizi sačuvanih uzoraka tumora iz ove studije, kod 11 od 72 pacijenta (15%) sa divljim tipom </w:t>
      </w:r>
      <w:r w:rsidRPr="00770F09">
        <w:rPr>
          <w:i/>
        </w:rPr>
        <w:t>RAS</w:t>
      </w:r>
      <w:r w:rsidRPr="00770F09">
        <w:t xml:space="preserve"> tumora koji su primili panitumumab dobijen je objektivan odgovor u poređenju sa samo 1 od 95 pacijenata (1%) sa mutiranim </w:t>
      </w:r>
      <w:r w:rsidRPr="00770F09">
        <w:rPr>
          <w:i/>
        </w:rPr>
        <w:t>RAS</w:t>
      </w:r>
      <w:r w:rsidRPr="00770F09">
        <w:t xml:space="preserve"> tumorima. Pored toga, liječenje panitumumabom bilo je povezano sa poboljšanjem u PFS u poređenju sa BSC kod pacijenata sa divljim tipom </w:t>
      </w:r>
      <w:r w:rsidRPr="00770F09">
        <w:rPr>
          <w:i/>
        </w:rPr>
        <w:t>RAS</w:t>
      </w:r>
      <w:r w:rsidRPr="00770F09">
        <w:t xml:space="preserve"> tumora (HR = 0,38 [95% CI: 0,27; 0,56]), ali ne i kod pacijenata sa tumorima kod kojih su postojale </w:t>
      </w:r>
      <w:r w:rsidRPr="00770F09">
        <w:rPr>
          <w:i/>
        </w:rPr>
        <w:t xml:space="preserve">RAS </w:t>
      </w:r>
      <w:r w:rsidRPr="00770F09">
        <w:t>mutacije (HR = 0,98 [95% CI: 0,73; 1,31]).</w:t>
      </w:r>
    </w:p>
    <w:p w14:paraId="093ED114" w14:textId="77777777" w:rsidR="0023264C" w:rsidRPr="00770F09" w:rsidRDefault="0023264C" w:rsidP="00195E0E">
      <w:pPr>
        <w:tabs>
          <w:tab w:val="left" w:pos="567"/>
        </w:tabs>
        <w:jc w:val="both"/>
      </w:pPr>
    </w:p>
    <w:p w14:paraId="49E7969A" w14:textId="77777777" w:rsidR="00B150E6" w:rsidRPr="00770F09" w:rsidRDefault="007F4E86" w:rsidP="00195E0E">
      <w:pPr>
        <w:tabs>
          <w:tab w:val="left" w:pos="567"/>
        </w:tabs>
        <w:jc w:val="both"/>
      </w:pPr>
      <w:r w:rsidRPr="00770F09">
        <w:t xml:space="preserve">Efikasnost lijeka Vectibix je takođe ispitivana u jednom otvorenom ispitivanju kod pacijenata sa mCRC sa divljim tipom </w:t>
      </w:r>
      <w:r w:rsidRPr="00770F09">
        <w:rPr>
          <w:i/>
        </w:rPr>
        <w:t>KRAS</w:t>
      </w:r>
      <w:r w:rsidRPr="00770F09">
        <w:t xml:space="preserve"> gena (ekson 2). Ukupno 1010 pacijenata koji nisu odgovorili na hemioterapiju su randomizovani 1:1 za primanje Vectibixa ili cetuksimaba da bi se utvrdilo da li je Vectibix neinferioran u odnosu na cetuksimab. Primarni parametar efikasnosti je bilo OS. Sekundarni parametri efikasnosti su uključivali PFS i stopu objektivnog odgovora (ORR).</w:t>
      </w:r>
    </w:p>
    <w:p w14:paraId="54895D79" w14:textId="77777777" w:rsidR="0023264C" w:rsidRPr="00770F09" w:rsidRDefault="0023264C" w:rsidP="00195E0E">
      <w:pPr>
        <w:tabs>
          <w:tab w:val="left" w:pos="567"/>
        </w:tabs>
        <w:jc w:val="both"/>
      </w:pPr>
    </w:p>
    <w:p w14:paraId="34D3C865" w14:textId="77777777" w:rsidR="0023264C" w:rsidRPr="00770F09" w:rsidRDefault="007F4E86" w:rsidP="00195E0E">
      <w:pPr>
        <w:keepNext/>
        <w:tabs>
          <w:tab w:val="left" w:pos="567"/>
        </w:tabs>
        <w:jc w:val="both"/>
      </w:pPr>
      <w:r w:rsidRPr="00770F09">
        <w:t>Rezultati efikasnosti ove studije su prikazani u tabeli.</w:t>
      </w:r>
    </w:p>
    <w:p w14:paraId="3BBB9193" w14:textId="77777777" w:rsidR="007F4E86" w:rsidRPr="00770F09" w:rsidRDefault="007F4E86" w:rsidP="00195E0E">
      <w:pPr>
        <w:keepNext/>
        <w:tabs>
          <w:tab w:val="left" w:pos="567"/>
        </w:tabs>
        <w:jc w:val="both"/>
      </w:pPr>
    </w:p>
    <w:tbl>
      <w:tblPr>
        <w:tblW w:w="4927" w:type="pct"/>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6"/>
        <w:gridCol w:w="2913"/>
        <w:gridCol w:w="3000"/>
      </w:tblGrid>
      <w:tr w:rsidR="007F4E86" w:rsidRPr="00770F09" w14:paraId="2DFAB287" w14:textId="77777777" w:rsidTr="003D7A0C">
        <w:trPr>
          <w:cantSplit/>
          <w:trHeight w:val="512"/>
          <w:tblHeader/>
        </w:trPr>
        <w:tc>
          <w:tcPr>
            <w:tcW w:w="1689" w:type="pct"/>
            <w:shd w:val="clear" w:color="auto" w:fill="auto"/>
            <w:vAlign w:val="center"/>
          </w:tcPr>
          <w:p w14:paraId="25CC87CD" w14:textId="77777777" w:rsidR="007F4E86" w:rsidRPr="00770F09" w:rsidRDefault="007F4E86" w:rsidP="00195E0E">
            <w:pPr>
              <w:keepNext/>
              <w:tabs>
                <w:tab w:val="left" w:pos="567"/>
              </w:tabs>
              <w:jc w:val="both"/>
            </w:pPr>
            <w:r w:rsidRPr="00770F09">
              <w:rPr>
                <w:b/>
              </w:rPr>
              <w:t xml:space="preserve">Populacija sa divljim tipom </w:t>
            </w:r>
            <w:r w:rsidRPr="00770F09">
              <w:rPr>
                <w:b/>
                <w:i/>
              </w:rPr>
              <w:t>KRAS</w:t>
            </w:r>
            <w:r w:rsidRPr="00770F09">
              <w:rPr>
                <w:b/>
              </w:rPr>
              <w:t xml:space="preserve"> (ekson 2) gena</w:t>
            </w:r>
          </w:p>
        </w:tc>
        <w:tc>
          <w:tcPr>
            <w:tcW w:w="1631" w:type="pct"/>
            <w:shd w:val="clear" w:color="auto" w:fill="auto"/>
            <w:vAlign w:val="center"/>
          </w:tcPr>
          <w:p w14:paraId="32827D52" w14:textId="77777777" w:rsidR="0023264C" w:rsidRPr="00770F09" w:rsidRDefault="007F4E86" w:rsidP="00195E0E">
            <w:pPr>
              <w:keepNext/>
              <w:tabs>
                <w:tab w:val="left" w:pos="567"/>
              </w:tabs>
              <w:jc w:val="both"/>
              <w:rPr>
                <w:b/>
                <w:bCs/>
              </w:rPr>
            </w:pPr>
            <w:r w:rsidRPr="00770F09">
              <w:rPr>
                <w:b/>
              </w:rPr>
              <w:t>Vectibix</w:t>
            </w:r>
          </w:p>
          <w:p w14:paraId="530E6EF5" w14:textId="77777777" w:rsidR="007F4E86" w:rsidRPr="00770F09" w:rsidRDefault="007F4E86" w:rsidP="00195E0E">
            <w:pPr>
              <w:keepNext/>
              <w:tabs>
                <w:tab w:val="left" w:pos="567"/>
              </w:tabs>
              <w:jc w:val="both"/>
            </w:pPr>
            <w:r w:rsidRPr="00770F09">
              <w:t>(n = 499)</w:t>
            </w:r>
          </w:p>
        </w:tc>
        <w:tc>
          <w:tcPr>
            <w:tcW w:w="1680" w:type="pct"/>
            <w:shd w:val="clear" w:color="auto" w:fill="auto"/>
            <w:vAlign w:val="center"/>
          </w:tcPr>
          <w:p w14:paraId="6BC3815F" w14:textId="77777777" w:rsidR="0023264C" w:rsidRPr="00770F09" w:rsidRDefault="007F4E86" w:rsidP="00195E0E">
            <w:pPr>
              <w:keepNext/>
              <w:tabs>
                <w:tab w:val="left" w:pos="567"/>
              </w:tabs>
              <w:jc w:val="both"/>
              <w:rPr>
                <w:b/>
              </w:rPr>
            </w:pPr>
            <w:r w:rsidRPr="00770F09">
              <w:rPr>
                <w:b/>
              </w:rPr>
              <w:t>Cetuksimab</w:t>
            </w:r>
          </w:p>
          <w:p w14:paraId="46470795" w14:textId="77777777" w:rsidR="007F4E86" w:rsidRPr="00770F09" w:rsidRDefault="007F4E86" w:rsidP="00195E0E">
            <w:pPr>
              <w:keepNext/>
              <w:tabs>
                <w:tab w:val="left" w:pos="567"/>
              </w:tabs>
              <w:jc w:val="both"/>
            </w:pPr>
            <w:r w:rsidRPr="00770F09">
              <w:t>(n = 500)</w:t>
            </w:r>
          </w:p>
        </w:tc>
      </w:tr>
      <w:tr w:rsidR="007F4E86" w:rsidRPr="00770F09" w14:paraId="579F4CFF" w14:textId="77777777" w:rsidTr="00C30DFD">
        <w:trPr>
          <w:cantSplit/>
          <w:trHeight w:val="287"/>
        </w:trPr>
        <w:tc>
          <w:tcPr>
            <w:tcW w:w="5000" w:type="pct"/>
            <w:gridSpan w:val="3"/>
            <w:shd w:val="clear" w:color="auto" w:fill="auto"/>
            <w:vAlign w:val="center"/>
          </w:tcPr>
          <w:p w14:paraId="059F9EE4" w14:textId="77777777" w:rsidR="007F4E86" w:rsidRPr="00770F09" w:rsidRDefault="007F4E86" w:rsidP="00195E0E">
            <w:pPr>
              <w:keepNext/>
              <w:tabs>
                <w:tab w:val="left" w:pos="567"/>
              </w:tabs>
              <w:jc w:val="both"/>
              <w:rPr>
                <w:b/>
              </w:rPr>
            </w:pPr>
            <w:r w:rsidRPr="00770F09">
              <w:rPr>
                <w:b/>
              </w:rPr>
              <w:t>OS</w:t>
            </w:r>
          </w:p>
        </w:tc>
      </w:tr>
      <w:tr w:rsidR="007F4E86" w:rsidRPr="00770F09" w14:paraId="3F780B2E" w14:textId="77777777" w:rsidTr="003D7A0C">
        <w:trPr>
          <w:cantSplit/>
          <w:trHeight w:val="287"/>
        </w:trPr>
        <w:tc>
          <w:tcPr>
            <w:tcW w:w="1689" w:type="pct"/>
            <w:shd w:val="clear" w:color="auto" w:fill="auto"/>
            <w:vAlign w:val="center"/>
          </w:tcPr>
          <w:p w14:paraId="1559A702" w14:textId="77777777" w:rsidR="007F4E86" w:rsidRPr="00770F09" w:rsidRDefault="007F4E86" w:rsidP="00195E0E">
            <w:pPr>
              <w:keepNext/>
              <w:tabs>
                <w:tab w:val="left" w:pos="567"/>
              </w:tabs>
              <w:jc w:val="both"/>
            </w:pPr>
            <w:r w:rsidRPr="00770F09">
              <w:t>Srednja vrijednost (mjeseci) (95% CI)</w:t>
            </w:r>
          </w:p>
        </w:tc>
        <w:tc>
          <w:tcPr>
            <w:tcW w:w="1631" w:type="pct"/>
            <w:shd w:val="clear" w:color="auto" w:fill="auto"/>
            <w:vAlign w:val="center"/>
          </w:tcPr>
          <w:p w14:paraId="2B68BF6F" w14:textId="77777777" w:rsidR="007F4E86" w:rsidRPr="00770F09" w:rsidRDefault="007F4E86" w:rsidP="00195E0E">
            <w:pPr>
              <w:keepNext/>
              <w:tabs>
                <w:tab w:val="left" w:pos="567"/>
              </w:tabs>
              <w:jc w:val="both"/>
            </w:pPr>
            <w:r w:rsidRPr="00770F09">
              <w:t>10,4 (9,4; 11,6)</w:t>
            </w:r>
          </w:p>
        </w:tc>
        <w:tc>
          <w:tcPr>
            <w:tcW w:w="1680" w:type="pct"/>
            <w:shd w:val="clear" w:color="auto" w:fill="auto"/>
            <w:vAlign w:val="center"/>
          </w:tcPr>
          <w:p w14:paraId="6C84D8A4" w14:textId="77777777" w:rsidR="007F4E86" w:rsidRPr="00770F09" w:rsidRDefault="007F4E86" w:rsidP="00195E0E">
            <w:pPr>
              <w:keepNext/>
              <w:tabs>
                <w:tab w:val="left" w:pos="567"/>
              </w:tabs>
              <w:jc w:val="both"/>
            </w:pPr>
            <w:r w:rsidRPr="00770F09">
              <w:t>10,0 (9,3; 11,0)</w:t>
            </w:r>
          </w:p>
        </w:tc>
      </w:tr>
      <w:tr w:rsidR="007F4E86" w:rsidRPr="00770F09" w14:paraId="46759EED" w14:textId="77777777" w:rsidTr="003D7A0C">
        <w:trPr>
          <w:cantSplit/>
          <w:trHeight w:val="287"/>
        </w:trPr>
        <w:tc>
          <w:tcPr>
            <w:tcW w:w="1689" w:type="pct"/>
            <w:shd w:val="clear" w:color="auto" w:fill="auto"/>
            <w:vAlign w:val="center"/>
          </w:tcPr>
          <w:p w14:paraId="7B51CA6F" w14:textId="77777777" w:rsidR="007F4E86" w:rsidRPr="00770F09" w:rsidRDefault="007F4E86" w:rsidP="00195E0E">
            <w:pPr>
              <w:tabs>
                <w:tab w:val="left" w:pos="567"/>
              </w:tabs>
              <w:jc w:val="both"/>
            </w:pPr>
            <w:r w:rsidRPr="00770F09">
              <w:t>Koeficijent rizika (95% CI)</w:t>
            </w:r>
          </w:p>
        </w:tc>
        <w:tc>
          <w:tcPr>
            <w:tcW w:w="3311" w:type="pct"/>
            <w:gridSpan w:val="2"/>
            <w:shd w:val="clear" w:color="auto" w:fill="auto"/>
            <w:vAlign w:val="center"/>
          </w:tcPr>
          <w:p w14:paraId="0BD005A7" w14:textId="77777777" w:rsidR="007F4E86" w:rsidRPr="00770F09" w:rsidRDefault="007F4E86" w:rsidP="00195E0E">
            <w:pPr>
              <w:tabs>
                <w:tab w:val="left" w:pos="567"/>
              </w:tabs>
              <w:jc w:val="both"/>
            </w:pPr>
            <w:r w:rsidRPr="00770F09">
              <w:t>0,97 (0,84; 1,11)</w:t>
            </w:r>
          </w:p>
        </w:tc>
      </w:tr>
      <w:tr w:rsidR="007F4E86" w:rsidRPr="00770F09" w14:paraId="32115110" w14:textId="77777777" w:rsidTr="00C30DFD">
        <w:trPr>
          <w:cantSplit/>
          <w:trHeight w:val="287"/>
        </w:trPr>
        <w:tc>
          <w:tcPr>
            <w:tcW w:w="5000" w:type="pct"/>
            <w:gridSpan w:val="3"/>
            <w:shd w:val="clear" w:color="auto" w:fill="auto"/>
            <w:vAlign w:val="center"/>
          </w:tcPr>
          <w:p w14:paraId="295EB9F9" w14:textId="77777777" w:rsidR="007F4E86" w:rsidRPr="00770F09" w:rsidRDefault="007F4E86" w:rsidP="00195E0E">
            <w:pPr>
              <w:keepNext/>
              <w:tabs>
                <w:tab w:val="left" w:pos="567"/>
              </w:tabs>
              <w:jc w:val="both"/>
              <w:rPr>
                <w:b/>
              </w:rPr>
            </w:pPr>
            <w:r w:rsidRPr="00770F09">
              <w:rPr>
                <w:b/>
              </w:rPr>
              <w:t>PFS</w:t>
            </w:r>
          </w:p>
        </w:tc>
      </w:tr>
      <w:tr w:rsidR="007F4E86" w:rsidRPr="00770F09" w14:paraId="41FAD7A3" w14:textId="77777777" w:rsidTr="003D7A0C">
        <w:trPr>
          <w:cantSplit/>
          <w:trHeight w:val="287"/>
        </w:trPr>
        <w:tc>
          <w:tcPr>
            <w:tcW w:w="1689" w:type="pct"/>
            <w:shd w:val="clear" w:color="auto" w:fill="auto"/>
            <w:vAlign w:val="center"/>
          </w:tcPr>
          <w:p w14:paraId="5D5F90DA" w14:textId="77777777" w:rsidR="007F4E86" w:rsidRPr="00770F09" w:rsidRDefault="007F4E86" w:rsidP="00195E0E">
            <w:pPr>
              <w:keepNext/>
              <w:tabs>
                <w:tab w:val="left" w:pos="567"/>
              </w:tabs>
              <w:jc w:val="both"/>
            </w:pPr>
            <w:r w:rsidRPr="00770F09">
              <w:t>Srednja vrijednost (mjeseci) (95% CI)</w:t>
            </w:r>
          </w:p>
        </w:tc>
        <w:tc>
          <w:tcPr>
            <w:tcW w:w="1631" w:type="pct"/>
            <w:shd w:val="clear" w:color="auto" w:fill="auto"/>
            <w:vAlign w:val="center"/>
          </w:tcPr>
          <w:p w14:paraId="3644E452" w14:textId="77777777" w:rsidR="007F4E86" w:rsidRPr="00770F09" w:rsidRDefault="007F4E86" w:rsidP="00195E0E">
            <w:pPr>
              <w:keepNext/>
              <w:tabs>
                <w:tab w:val="left" w:pos="567"/>
              </w:tabs>
              <w:jc w:val="both"/>
            </w:pPr>
            <w:r w:rsidRPr="00770F09">
              <w:t>4,1 (3,2; 4,8)</w:t>
            </w:r>
          </w:p>
        </w:tc>
        <w:tc>
          <w:tcPr>
            <w:tcW w:w="1680" w:type="pct"/>
            <w:shd w:val="clear" w:color="auto" w:fill="auto"/>
            <w:vAlign w:val="center"/>
          </w:tcPr>
          <w:p w14:paraId="0BF7F190" w14:textId="77777777" w:rsidR="007F4E86" w:rsidRPr="00770F09" w:rsidRDefault="007F4E86" w:rsidP="00195E0E">
            <w:pPr>
              <w:keepNext/>
              <w:tabs>
                <w:tab w:val="left" w:pos="567"/>
              </w:tabs>
              <w:jc w:val="both"/>
            </w:pPr>
            <w:r w:rsidRPr="00770F09">
              <w:t>4,4 (3,2; 4,8)</w:t>
            </w:r>
          </w:p>
        </w:tc>
      </w:tr>
      <w:tr w:rsidR="007F4E86" w:rsidRPr="00770F09" w14:paraId="6E231B40" w14:textId="77777777" w:rsidTr="003D7A0C">
        <w:trPr>
          <w:cantSplit/>
          <w:trHeight w:val="287"/>
        </w:trPr>
        <w:tc>
          <w:tcPr>
            <w:tcW w:w="1689" w:type="pct"/>
            <w:shd w:val="clear" w:color="auto" w:fill="auto"/>
            <w:vAlign w:val="center"/>
          </w:tcPr>
          <w:p w14:paraId="4F2F5624" w14:textId="77777777" w:rsidR="007F4E86" w:rsidRPr="00770F09" w:rsidRDefault="007F4E86" w:rsidP="00195E0E">
            <w:pPr>
              <w:tabs>
                <w:tab w:val="left" w:pos="567"/>
              </w:tabs>
              <w:jc w:val="both"/>
            </w:pPr>
            <w:r w:rsidRPr="00770F09">
              <w:t>Koeficijent rizika (95% CI)</w:t>
            </w:r>
          </w:p>
        </w:tc>
        <w:tc>
          <w:tcPr>
            <w:tcW w:w="3311" w:type="pct"/>
            <w:gridSpan w:val="2"/>
            <w:shd w:val="clear" w:color="auto" w:fill="auto"/>
            <w:vAlign w:val="center"/>
          </w:tcPr>
          <w:p w14:paraId="66087952" w14:textId="77777777" w:rsidR="007F4E86" w:rsidRPr="00770F09" w:rsidRDefault="007F4E86" w:rsidP="00195E0E">
            <w:pPr>
              <w:tabs>
                <w:tab w:val="left" w:pos="567"/>
              </w:tabs>
              <w:jc w:val="both"/>
            </w:pPr>
            <w:r w:rsidRPr="00770F09">
              <w:t>1,00 (0,88; 1,14)</w:t>
            </w:r>
          </w:p>
        </w:tc>
      </w:tr>
      <w:tr w:rsidR="007F4E86" w:rsidRPr="00770F09" w14:paraId="51513A88" w14:textId="77777777" w:rsidTr="00C30DFD">
        <w:trPr>
          <w:cantSplit/>
          <w:trHeight w:val="287"/>
        </w:trPr>
        <w:tc>
          <w:tcPr>
            <w:tcW w:w="5000" w:type="pct"/>
            <w:gridSpan w:val="3"/>
            <w:shd w:val="clear" w:color="auto" w:fill="auto"/>
            <w:vAlign w:val="center"/>
          </w:tcPr>
          <w:p w14:paraId="53D945A2" w14:textId="77777777" w:rsidR="007F4E86" w:rsidRPr="00770F09" w:rsidRDefault="007F4E86" w:rsidP="00195E0E">
            <w:pPr>
              <w:keepNext/>
              <w:tabs>
                <w:tab w:val="left" w:pos="567"/>
              </w:tabs>
              <w:jc w:val="both"/>
              <w:rPr>
                <w:b/>
              </w:rPr>
            </w:pPr>
            <w:r w:rsidRPr="00770F09">
              <w:rPr>
                <w:b/>
              </w:rPr>
              <w:t>ORR</w:t>
            </w:r>
          </w:p>
        </w:tc>
      </w:tr>
      <w:tr w:rsidR="007F4E86" w:rsidRPr="00770F09" w14:paraId="635F5CE4" w14:textId="77777777" w:rsidTr="003D7A0C">
        <w:trPr>
          <w:cantSplit/>
          <w:trHeight w:val="287"/>
        </w:trPr>
        <w:tc>
          <w:tcPr>
            <w:tcW w:w="1689" w:type="pct"/>
            <w:shd w:val="clear" w:color="auto" w:fill="auto"/>
            <w:vAlign w:val="center"/>
          </w:tcPr>
          <w:p w14:paraId="343F55B7" w14:textId="77777777" w:rsidR="007F4E86" w:rsidRPr="00770F09" w:rsidRDefault="007F4E86" w:rsidP="00195E0E">
            <w:pPr>
              <w:keepNext/>
              <w:tabs>
                <w:tab w:val="left" w:pos="567"/>
              </w:tabs>
              <w:jc w:val="both"/>
            </w:pPr>
            <w:r w:rsidRPr="00770F09">
              <w:t>n (%) (95% CI)</w:t>
            </w:r>
          </w:p>
        </w:tc>
        <w:tc>
          <w:tcPr>
            <w:tcW w:w="1631" w:type="pct"/>
            <w:shd w:val="clear" w:color="auto" w:fill="auto"/>
            <w:vAlign w:val="center"/>
          </w:tcPr>
          <w:p w14:paraId="7CC80CF1" w14:textId="77777777" w:rsidR="007F4E86" w:rsidRPr="00770F09" w:rsidRDefault="007F4E86" w:rsidP="00195E0E">
            <w:pPr>
              <w:keepNext/>
              <w:tabs>
                <w:tab w:val="left" w:pos="567"/>
              </w:tabs>
              <w:jc w:val="both"/>
            </w:pPr>
            <w:r w:rsidRPr="00770F09">
              <w:t>22% (18%, 26%)</w:t>
            </w:r>
          </w:p>
        </w:tc>
        <w:tc>
          <w:tcPr>
            <w:tcW w:w="1680" w:type="pct"/>
            <w:shd w:val="clear" w:color="auto" w:fill="auto"/>
            <w:vAlign w:val="center"/>
          </w:tcPr>
          <w:p w14:paraId="21A573FC" w14:textId="77777777" w:rsidR="007F4E86" w:rsidRPr="00770F09" w:rsidRDefault="007F4E86" w:rsidP="00195E0E">
            <w:pPr>
              <w:keepNext/>
              <w:tabs>
                <w:tab w:val="left" w:pos="567"/>
              </w:tabs>
              <w:jc w:val="both"/>
            </w:pPr>
            <w:r w:rsidRPr="00770F09">
              <w:t>20% (16%, 24%)</w:t>
            </w:r>
          </w:p>
        </w:tc>
      </w:tr>
      <w:tr w:rsidR="007F4E86" w:rsidRPr="00770F09" w14:paraId="65413541" w14:textId="77777777" w:rsidTr="003D7A0C">
        <w:trPr>
          <w:cantSplit/>
          <w:trHeight w:val="287"/>
        </w:trPr>
        <w:tc>
          <w:tcPr>
            <w:tcW w:w="1689" w:type="pct"/>
            <w:shd w:val="clear" w:color="auto" w:fill="auto"/>
            <w:vAlign w:val="center"/>
          </w:tcPr>
          <w:p w14:paraId="5C7B8891" w14:textId="77777777" w:rsidR="007F4E86" w:rsidRPr="00770F09" w:rsidRDefault="007F4E86" w:rsidP="00195E0E">
            <w:pPr>
              <w:tabs>
                <w:tab w:val="left" w:pos="567"/>
              </w:tabs>
              <w:jc w:val="both"/>
            </w:pPr>
            <w:r w:rsidRPr="00770F09">
              <w:t>Koeficijent vjerovatnoće (95% CI)</w:t>
            </w:r>
          </w:p>
        </w:tc>
        <w:tc>
          <w:tcPr>
            <w:tcW w:w="3311" w:type="pct"/>
            <w:gridSpan w:val="2"/>
            <w:shd w:val="clear" w:color="auto" w:fill="auto"/>
            <w:vAlign w:val="center"/>
          </w:tcPr>
          <w:p w14:paraId="0A33188B" w14:textId="77777777" w:rsidR="007F4E86" w:rsidRPr="00770F09" w:rsidRDefault="007F4E86" w:rsidP="00195E0E">
            <w:pPr>
              <w:tabs>
                <w:tab w:val="left" w:pos="567"/>
              </w:tabs>
              <w:jc w:val="both"/>
            </w:pPr>
            <w:r w:rsidRPr="00770F09">
              <w:t>1,15 (0,83; 1,58)</w:t>
            </w:r>
          </w:p>
        </w:tc>
      </w:tr>
    </w:tbl>
    <w:p w14:paraId="11A4F7A0" w14:textId="77777777" w:rsidR="0023264C" w:rsidRPr="00770F09" w:rsidRDefault="0023264C" w:rsidP="00195E0E">
      <w:pPr>
        <w:tabs>
          <w:tab w:val="left" w:pos="567"/>
        </w:tabs>
        <w:jc w:val="both"/>
      </w:pPr>
    </w:p>
    <w:p w14:paraId="00BC7604" w14:textId="77777777" w:rsidR="0023264C" w:rsidRPr="00770F09" w:rsidRDefault="007F1721" w:rsidP="00195E0E">
      <w:pPr>
        <w:tabs>
          <w:tab w:val="left" w:pos="567"/>
        </w:tabs>
        <w:jc w:val="both"/>
      </w:pPr>
      <w:r w:rsidRPr="00770F09">
        <w:t xml:space="preserve">Ukupno, bezbijednosni profil panitumumaba je bio sličan cetuksimabu, posebno po pitanju tokičnosti na koži. Međutim, reakcije na mjestu primjene infuzije su bile češće kod cetuksimaba (13% </w:t>
      </w:r>
      <w:r w:rsidRPr="00770F09">
        <w:rPr>
          <w:i/>
        </w:rPr>
        <w:t>vs</w:t>
      </w:r>
      <w:r w:rsidRPr="00770F09">
        <w:t xml:space="preserve"> 3%) dok se poremećaj elektrolita češće javljao kod panitumumaba, posebno hipomagnezijemija (29% </w:t>
      </w:r>
      <w:r w:rsidRPr="00770F09">
        <w:rPr>
          <w:i/>
        </w:rPr>
        <w:t>vs</w:t>
      </w:r>
      <w:r w:rsidRPr="00770F09">
        <w:t xml:space="preserve"> 19%).</w:t>
      </w:r>
    </w:p>
    <w:p w14:paraId="59083677" w14:textId="77777777" w:rsidR="0023264C" w:rsidRPr="00770F09" w:rsidRDefault="0023264C" w:rsidP="00195E0E">
      <w:pPr>
        <w:tabs>
          <w:tab w:val="left" w:pos="567"/>
        </w:tabs>
        <w:jc w:val="both"/>
      </w:pPr>
    </w:p>
    <w:p w14:paraId="2B1E6A38" w14:textId="77777777" w:rsidR="0023264C" w:rsidRPr="00770F09" w:rsidRDefault="007F1721" w:rsidP="00195E0E">
      <w:pPr>
        <w:keepNext/>
        <w:tabs>
          <w:tab w:val="left" w:pos="567"/>
        </w:tabs>
        <w:jc w:val="both"/>
        <w:rPr>
          <w:iCs/>
          <w:u w:val="single"/>
        </w:rPr>
      </w:pPr>
      <w:r w:rsidRPr="00770F09">
        <w:rPr>
          <w:u w:val="single"/>
        </w:rPr>
        <w:t>Klinička efikasnost u kombinaciji sa hemioterapijom</w:t>
      </w:r>
    </w:p>
    <w:p w14:paraId="48DDB65E" w14:textId="77777777" w:rsidR="0023264C" w:rsidRPr="00770F09" w:rsidRDefault="0023264C" w:rsidP="00195E0E">
      <w:pPr>
        <w:keepNext/>
        <w:tabs>
          <w:tab w:val="left" w:pos="567"/>
        </w:tabs>
        <w:jc w:val="both"/>
      </w:pPr>
    </w:p>
    <w:p w14:paraId="7CAA0DAF" w14:textId="77777777" w:rsidR="0023264C" w:rsidRPr="00770F09" w:rsidRDefault="007F1721" w:rsidP="00195E0E">
      <w:pPr>
        <w:tabs>
          <w:tab w:val="left" w:pos="567"/>
        </w:tabs>
        <w:jc w:val="both"/>
      </w:pPr>
      <w:r w:rsidRPr="00770F09">
        <w:t xml:space="preserve">Među pacijentima sa mCRC sa divljim tipom </w:t>
      </w:r>
      <w:r w:rsidRPr="00770F09">
        <w:rPr>
          <w:i/>
        </w:rPr>
        <w:t>RAS</w:t>
      </w:r>
      <w:r w:rsidRPr="00770F09">
        <w:t xml:space="preserve"> gena, PFS, OS i ORR bili su poboljšani kod pacijenata koji su primali panitumumab u kombinaciji sa hemioterapijom (FOLFOX ili FOLFIRI) u poređenju sa onima koji su primali samo hemioterapiju. Kod pacijenata koji su pored </w:t>
      </w:r>
      <w:r w:rsidRPr="00770F09">
        <w:rPr>
          <w:i/>
        </w:rPr>
        <w:t xml:space="preserve">KRAS </w:t>
      </w:r>
      <w:r w:rsidRPr="00770F09">
        <w:t xml:space="preserve">ekson 2 imali dodatne </w:t>
      </w:r>
      <w:r w:rsidRPr="00770F09">
        <w:rPr>
          <w:i/>
        </w:rPr>
        <w:t>RAS</w:t>
      </w:r>
      <w:r w:rsidRPr="00770F09">
        <w:t xml:space="preserve"> mutacije, nije bilo vjerovatno da će imati koristi od davanja panitumumaba u kombinaciji sa FOLFIRI, dok je uočen štetan efekat kod ovih pacijenata pri primjeni panitumumaba u kombinaciji sa FOLFOX. Utvrđeno je da je postojanje </w:t>
      </w:r>
      <w:r w:rsidRPr="00770F09">
        <w:rPr>
          <w:i/>
        </w:rPr>
        <w:t>BRAF</w:t>
      </w:r>
      <w:r w:rsidRPr="00770F09">
        <w:t xml:space="preserve"> mutacija na eksonu 15 pokazatelj lošijeg ishoda terapije. </w:t>
      </w:r>
      <w:r w:rsidRPr="00770F09">
        <w:rPr>
          <w:i/>
        </w:rPr>
        <w:lastRenderedPageBreak/>
        <w:t>BRAF</w:t>
      </w:r>
      <w:r w:rsidRPr="00770F09">
        <w:t xml:space="preserve"> mutacije ne predstavljaju prognostički faktor za ishod terapije panitumumabom u kombinaciji sa FOLFOX ili FOLFIRI.</w:t>
      </w:r>
    </w:p>
    <w:p w14:paraId="22DBF51A" w14:textId="77777777" w:rsidR="0023264C" w:rsidRPr="00770F09" w:rsidRDefault="0023264C" w:rsidP="00195E0E">
      <w:pPr>
        <w:tabs>
          <w:tab w:val="left" w:pos="567"/>
        </w:tabs>
        <w:jc w:val="both"/>
      </w:pPr>
    </w:p>
    <w:p w14:paraId="6B56AA1A" w14:textId="77777777" w:rsidR="0023264C" w:rsidRPr="00770F09" w:rsidRDefault="007F1721" w:rsidP="00195E0E">
      <w:pPr>
        <w:keepNext/>
        <w:tabs>
          <w:tab w:val="left" w:pos="567"/>
        </w:tabs>
        <w:jc w:val="both"/>
        <w:rPr>
          <w:i/>
          <w:u w:val="single"/>
        </w:rPr>
      </w:pPr>
      <w:r w:rsidRPr="00770F09">
        <w:rPr>
          <w:i/>
          <w:u w:val="single"/>
        </w:rPr>
        <w:t>Prva linija terapije - kombinovana terapija sa FOLFOX</w:t>
      </w:r>
    </w:p>
    <w:p w14:paraId="76C8A878" w14:textId="77777777" w:rsidR="0023264C" w:rsidRPr="00770F09" w:rsidRDefault="0023264C" w:rsidP="00195E0E">
      <w:pPr>
        <w:keepNext/>
        <w:tabs>
          <w:tab w:val="left" w:pos="567"/>
        </w:tabs>
        <w:jc w:val="both"/>
      </w:pPr>
    </w:p>
    <w:p w14:paraId="0AF3FBB5" w14:textId="77777777" w:rsidR="00B150E6" w:rsidRPr="00770F09" w:rsidRDefault="007F1721" w:rsidP="00195E0E">
      <w:pPr>
        <w:tabs>
          <w:tab w:val="left" w:pos="567"/>
        </w:tabs>
        <w:jc w:val="both"/>
      </w:pPr>
      <w:r w:rsidRPr="00770F09">
        <w:t>Efikasnost lijeka Vectibix u kombinaciji sa okslaiplatinom, 5</w:t>
      </w:r>
      <w:r w:rsidRPr="00770F09">
        <w:noBreakHyphen/>
        <w:t>fluorouracilom (5</w:t>
      </w:r>
      <w:r w:rsidRPr="00770F09">
        <w:noBreakHyphen/>
        <w:t xml:space="preserve">FU) i leukovorinom (FOLFOX) je ispitivana u randomizovanoj, kontrolisanoj studiji na 1183 pacijenta sa mCRC, pri čemu je primarni parametar praćenja bio PFS. Drugi ključni parametri efikasnosti bili su OS, ORR, vrijeme do postizanja odgovora, vrijeme do progresije (TTP) i trajanje odgovora. Rezultati studije prospektivno su analiziranii odnosu na </w:t>
      </w:r>
      <w:r w:rsidRPr="00770F09">
        <w:rPr>
          <w:i/>
        </w:rPr>
        <w:t>KRAS</w:t>
      </w:r>
      <w:r w:rsidRPr="00770F09">
        <w:t xml:space="preserve"> (ekson 2) status tumora koji je bio ispitan kod 93% pacijenata.</w:t>
      </w:r>
    </w:p>
    <w:p w14:paraId="4D0C08D3" w14:textId="77777777" w:rsidR="0023264C" w:rsidRPr="00770F09" w:rsidRDefault="0023264C" w:rsidP="00195E0E">
      <w:pPr>
        <w:tabs>
          <w:tab w:val="left" w:pos="567"/>
        </w:tabs>
        <w:jc w:val="both"/>
      </w:pPr>
    </w:p>
    <w:p w14:paraId="61BB57B9" w14:textId="40738125" w:rsidR="0023264C" w:rsidRPr="00770F09" w:rsidRDefault="007F1721" w:rsidP="00195E0E">
      <w:pPr>
        <w:tabs>
          <w:tab w:val="left" w:pos="567"/>
        </w:tabs>
        <w:jc w:val="both"/>
      </w:pPr>
      <w:r w:rsidRPr="00770F09">
        <w:t xml:space="preserve">Sprovedena je unapred definisana retrospektivna analiza podgrupe od 641 od ukupno 656 pacijenata sa divljm tipom </w:t>
      </w:r>
      <w:r w:rsidRPr="00770F09">
        <w:rPr>
          <w:i/>
        </w:rPr>
        <w:t xml:space="preserve">KRAS </w:t>
      </w:r>
      <w:r w:rsidRPr="00770F09">
        <w:t xml:space="preserve">(ekson 2) mCRC. Uzorci tumora pacijenata sa divljim tipom </w:t>
      </w:r>
      <w:r w:rsidRPr="00770F09">
        <w:rPr>
          <w:i/>
        </w:rPr>
        <w:t>KRAS</w:t>
      </w:r>
      <w:r w:rsidRPr="00770F09">
        <w:t xml:space="preserve"> ekson 2 (kodoni 12/13) gena su ispitani na dodatne</w:t>
      </w:r>
      <w:r w:rsidRPr="00770F09">
        <w:rPr>
          <w:i/>
        </w:rPr>
        <w:t xml:space="preserve"> RAS</w:t>
      </w:r>
      <w:r w:rsidRPr="00770F09">
        <w:t xml:space="preserve"> mutacije na </w:t>
      </w:r>
      <w:r w:rsidRPr="00770F09">
        <w:rPr>
          <w:i/>
        </w:rPr>
        <w:t>KRAS</w:t>
      </w:r>
      <w:r w:rsidRPr="00770F09">
        <w:t xml:space="preserve"> eksonu 3 (kodon 61) i eksonu 4 (kodoni 117/146) i </w:t>
      </w:r>
      <w:r w:rsidRPr="00770F09">
        <w:rPr>
          <w:i/>
        </w:rPr>
        <w:t>NRAS</w:t>
      </w:r>
      <w:r w:rsidRPr="00770F09">
        <w:t xml:space="preserve"> eksonu 2 (kodoni 12/13), eksonu 3 (kodon 61) i eksonu 4 (kodoni 117/146) i </w:t>
      </w:r>
      <w:r w:rsidRPr="00770F09">
        <w:rPr>
          <w:i/>
        </w:rPr>
        <w:t>BRAF</w:t>
      </w:r>
      <w:r w:rsidRPr="00770F09">
        <w:t xml:space="preserve"> eksonu 15 (kodon 600). Incidenca ovih dodatnih </w:t>
      </w:r>
      <w:r w:rsidRPr="00770F09">
        <w:rPr>
          <w:i/>
        </w:rPr>
        <w:t>RAS</w:t>
      </w:r>
      <w:r w:rsidRPr="00770F09">
        <w:t xml:space="preserve"> mutacija u populaciji pacijenata sa divljim tipom </w:t>
      </w:r>
      <w:r w:rsidRPr="00770F09">
        <w:rPr>
          <w:i/>
        </w:rPr>
        <w:t>KRAS</w:t>
      </w:r>
      <w:r w:rsidRPr="00770F09">
        <w:t xml:space="preserve"> na eksonu 2 iznosila je oko 16%.</w:t>
      </w:r>
    </w:p>
    <w:p w14:paraId="6B214293" w14:textId="77777777" w:rsidR="0023264C" w:rsidRPr="00770F09" w:rsidRDefault="0023264C" w:rsidP="00195E0E">
      <w:pPr>
        <w:tabs>
          <w:tab w:val="left" w:pos="567"/>
        </w:tabs>
        <w:jc w:val="both"/>
      </w:pPr>
    </w:p>
    <w:p w14:paraId="7603F098" w14:textId="77777777" w:rsidR="0023264C" w:rsidRPr="00770F09" w:rsidRDefault="007F1721" w:rsidP="00195E0E">
      <w:pPr>
        <w:tabs>
          <w:tab w:val="left" w:pos="567"/>
        </w:tabs>
        <w:jc w:val="both"/>
      </w:pPr>
      <w:r w:rsidRPr="00770F09">
        <w:t xml:space="preserve">Rezultati kod pacijenata sa divljim tipom </w:t>
      </w:r>
      <w:r w:rsidRPr="00770F09">
        <w:rPr>
          <w:i/>
        </w:rPr>
        <w:t>RAS</w:t>
      </w:r>
      <w:r w:rsidRPr="00770F09">
        <w:t xml:space="preserve"> mCRC i mutiranim </w:t>
      </w:r>
      <w:r w:rsidRPr="00770F09">
        <w:rPr>
          <w:i/>
        </w:rPr>
        <w:t>RAS</w:t>
      </w:r>
      <w:r w:rsidRPr="00770F09">
        <w:t xml:space="preserve"> mCRC dati su u tabeli ispod.</w:t>
      </w:r>
    </w:p>
    <w:p w14:paraId="1031E657" w14:textId="77777777" w:rsidR="007F1721" w:rsidRPr="00770F09" w:rsidRDefault="007F1721" w:rsidP="00195E0E">
      <w:pPr>
        <w:tabs>
          <w:tab w:val="left" w:pos="567"/>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98"/>
        <w:gridCol w:w="1871"/>
        <w:gridCol w:w="1871"/>
        <w:gridCol w:w="1871"/>
      </w:tblGrid>
      <w:tr w:rsidR="007F1721" w:rsidRPr="00770F09" w14:paraId="1223AEF9" w14:textId="77777777" w:rsidTr="00496B51">
        <w:trPr>
          <w:cantSplit/>
          <w:trHeight w:val="287"/>
          <w:tblHeader/>
        </w:trPr>
        <w:tc>
          <w:tcPr>
            <w:tcW w:w="1560" w:type="dxa"/>
          </w:tcPr>
          <w:p w14:paraId="655E5977" w14:textId="77777777" w:rsidR="007F1721" w:rsidRPr="00770F09" w:rsidRDefault="007F1721" w:rsidP="00195E0E">
            <w:pPr>
              <w:keepNext/>
              <w:tabs>
                <w:tab w:val="left" w:pos="567"/>
              </w:tabs>
              <w:jc w:val="both"/>
              <w:rPr>
                <w:b/>
              </w:rPr>
            </w:pPr>
          </w:p>
        </w:tc>
        <w:tc>
          <w:tcPr>
            <w:tcW w:w="1898" w:type="dxa"/>
          </w:tcPr>
          <w:p w14:paraId="6F9B1D78" w14:textId="77777777" w:rsidR="0023264C" w:rsidRPr="00770F09" w:rsidRDefault="007F1721" w:rsidP="00195E0E">
            <w:pPr>
              <w:keepNext/>
              <w:tabs>
                <w:tab w:val="left" w:pos="567"/>
              </w:tabs>
              <w:jc w:val="both"/>
              <w:rPr>
                <w:b/>
              </w:rPr>
            </w:pPr>
            <w:r w:rsidRPr="00770F09">
              <w:rPr>
                <w:b/>
              </w:rPr>
              <w:t>Vectibix plus FOLFOX</w:t>
            </w:r>
          </w:p>
          <w:p w14:paraId="2CC66C5F" w14:textId="77777777" w:rsidR="0023264C" w:rsidRPr="00770F09" w:rsidRDefault="007F1721" w:rsidP="00195E0E">
            <w:pPr>
              <w:keepNext/>
              <w:tabs>
                <w:tab w:val="left" w:pos="567"/>
              </w:tabs>
              <w:jc w:val="both"/>
              <w:rPr>
                <w:b/>
              </w:rPr>
            </w:pPr>
            <w:r w:rsidRPr="00770F09">
              <w:rPr>
                <w:b/>
              </w:rPr>
              <w:t>(mjeseci)</w:t>
            </w:r>
          </w:p>
          <w:p w14:paraId="53384204" w14:textId="77777777" w:rsidR="007F1721" w:rsidRPr="00770F09" w:rsidRDefault="007F1721" w:rsidP="00195E0E">
            <w:pPr>
              <w:keepNext/>
              <w:tabs>
                <w:tab w:val="left" w:pos="567"/>
              </w:tabs>
              <w:jc w:val="both"/>
              <w:rPr>
                <w:b/>
              </w:rPr>
            </w:pPr>
            <w:r w:rsidRPr="00770F09">
              <w:rPr>
                <w:b/>
              </w:rPr>
              <w:t>Srednja vrijednost (95% CI)</w:t>
            </w:r>
          </w:p>
        </w:tc>
        <w:tc>
          <w:tcPr>
            <w:tcW w:w="1871" w:type="dxa"/>
          </w:tcPr>
          <w:p w14:paraId="30497490" w14:textId="77777777" w:rsidR="0023264C" w:rsidRPr="00770F09" w:rsidRDefault="007F1721" w:rsidP="00195E0E">
            <w:pPr>
              <w:keepNext/>
              <w:tabs>
                <w:tab w:val="left" w:pos="567"/>
              </w:tabs>
              <w:jc w:val="both"/>
              <w:rPr>
                <w:b/>
                <w:bCs/>
              </w:rPr>
            </w:pPr>
            <w:r w:rsidRPr="00770F09">
              <w:rPr>
                <w:b/>
              </w:rPr>
              <w:t>FOLFOX</w:t>
            </w:r>
          </w:p>
          <w:p w14:paraId="0D097B60" w14:textId="77777777" w:rsidR="0023264C" w:rsidRPr="00770F09" w:rsidRDefault="007F1721" w:rsidP="00195E0E">
            <w:pPr>
              <w:keepNext/>
              <w:tabs>
                <w:tab w:val="left" w:pos="567"/>
              </w:tabs>
              <w:jc w:val="both"/>
              <w:rPr>
                <w:b/>
              </w:rPr>
            </w:pPr>
            <w:r w:rsidRPr="00770F09">
              <w:rPr>
                <w:b/>
              </w:rPr>
              <w:t>(mjeseci)</w:t>
            </w:r>
          </w:p>
          <w:p w14:paraId="3FCEDB28" w14:textId="77777777" w:rsidR="007F1721" w:rsidRPr="00770F09" w:rsidRDefault="007F1721" w:rsidP="00195E0E">
            <w:pPr>
              <w:keepNext/>
              <w:tabs>
                <w:tab w:val="left" w:pos="567"/>
              </w:tabs>
              <w:jc w:val="both"/>
              <w:rPr>
                <w:b/>
              </w:rPr>
            </w:pPr>
            <w:r w:rsidRPr="00770F09">
              <w:rPr>
                <w:b/>
              </w:rPr>
              <w:t>Srednja vrijednost (95% CI)</w:t>
            </w:r>
          </w:p>
        </w:tc>
        <w:tc>
          <w:tcPr>
            <w:tcW w:w="1871" w:type="dxa"/>
          </w:tcPr>
          <w:p w14:paraId="7DBA59BB" w14:textId="77777777" w:rsidR="0023264C" w:rsidRPr="00770F09" w:rsidRDefault="007F1721" w:rsidP="00195E0E">
            <w:pPr>
              <w:keepNext/>
              <w:tabs>
                <w:tab w:val="left" w:pos="567"/>
              </w:tabs>
              <w:jc w:val="both"/>
              <w:rPr>
                <w:b/>
              </w:rPr>
            </w:pPr>
            <w:r w:rsidRPr="00770F09">
              <w:rPr>
                <w:b/>
              </w:rPr>
              <w:t>Razlika</w:t>
            </w:r>
          </w:p>
          <w:p w14:paraId="711150B8" w14:textId="77777777" w:rsidR="007F1721" w:rsidRPr="00770F09" w:rsidRDefault="007F1721" w:rsidP="00195E0E">
            <w:pPr>
              <w:keepNext/>
              <w:tabs>
                <w:tab w:val="left" w:pos="567"/>
              </w:tabs>
              <w:jc w:val="both"/>
              <w:rPr>
                <w:b/>
              </w:rPr>
            </w:pPr>
            <w:r w:rsidRPr="00770F09">
              <w:rPr>
                <w:b/>
              </w:rPr>
              <w:t>(mjeseci)</w:t>
            </w:r>
          </w:p>
        </w:tc>
        <w:tc>
          <w:tcPr>
            <w:tcW w:w="1871" w:type="dxa"/>
          </w:tcPr>
          <w:p w14:paraId="4052915D" w14:textId="77777777" w:rsidR="0023264C" w:rsidRPr="00770F09" w:rsidRDefault="007F1721" w:rsidP="00195E0E">
            <w:pPr>
              <w:keepNext/>
              <w:tabs>
                <w:tab w:val="left" w:pos="567"/>
              </w:tabs>
              <w:jc w:val="both"/>
              <w:rPr>
                <w:b/>
              </w:rPr>
            </w:pPr>
            <w:r w:rsidRPr="00770F09">
              <w:rPr>
                <w:b/>
              </w:rPr>
              <w:t>Koeficijent rizika</w:t>
            </w:r>
          </w:p>
          <w:p w14:paraId="3A9F73A1" w14:textId="77777777" w:rsidR="007F1721" w:rsidRPr="00770F09" w:rsidRDefault="007F1721" w:rsidP="00195E0E">
            <w:pPr>
              <w:keepNext/>
              <w:tabs>
                <w:tab w:val="left" w:pos="567"/>
              </w:tabs>
              <w:jc w:val="both"/>
              <w:rPr>
                <w:b/>
              </w:rPr>
            </w:pPr>
            <w:r w:rsidRPr="00770F09">
              <w:rPr>
                <w:b/>
              </w:rPr>
              <w:t>(95% CI)</w:t>
            </w:r>
          </w:p>
        </w:tc>
      </w:tr>
      <w:tr w:rsidR="007F1721" w:rsidRPr="00770F09" w14:paraId="51EB049D" w14:textId="77777777" w:rsidTr="009D6589">
        <w:trPr>
          <w:cantSplit/>
          <w:trHeight w:val="287"/>
        </w:trPr>
        <w:tc>
          <w:tcPr>
            <w:tcW w:w="9071" w:type="dxa"/>
            <w:gridSpan w:val="5"/>
          </w:tcPr>
          <w:p w14:paraId="7DFC44DE" w14:textId="77777777" w:rsidR="007F1721" w:rsidRPr="00770F09" w:rsidRDefault="007F1721" w:rsidP="00195E0E">
            <w:pPr>
              <w:keepNext/>
              <w:tabs>
                <w:tab w:val="left" w:pos="567"/>
              </w:tabs>
              <w:jc w:val="both"/>
            </w:pPr>
            <w:r w:rsidRPr="00770F09">
              <w:rPr>
                <w:b/>
              </w:rPr>
              <w:t xml:space="preserve">Populacija sa divljim tipom </w:t>
            </w:r>
            <w:r w:rsidRPr="00770F09">
              <w:rPr>
                <w:b/>
                <w:i/>
              </w:rPr>
              <w:t>RAS</w:t>
            </w:r>
            <w:r w:rsidRPr="00770F09">
              <w:rPr>
                <w:b/>
              </w:rPr>
              <w:t xml:space="preserve"> gena</w:t>
            </w:r>
          </w:p>
        </w:tc>
      </w:tr>
      <w:tr w:rsidR="007F1721" w:rsidRPr="00770F09" w14:paraId="0E45ADC4" w14:textId="77777777" w:rsidTr="00496B51">
        <w:trPr>
          <w:cantSplit/>
          <w:trHeight w:val="287"/>
        </w:trPr>
        <w:tc>
          <w:tcPr>
            <w:tcW w:w="1560" w:type="dxa"/>
          </w:tcPr>
          <w:p w14:paraId="401CE090" w14:textId="77777777" w:rsidR="007F1721" w:rsidRPr="00770F09" w:rsidRDefault="007F1721" w:rsidP="00195E0E">
            <w:pPr>
              <w:keepNext/>
              <w:tabs>
                <w:tab w:val="left" w:pos="567"/>
              </w:tabs>
              <w:jc w:val="both"/>
            </w:pPr>
            <w:r w:rsidRPr="00770F09">
              <w:t>PFS</w:t>
            </w:r>
          </w:p>
        </w:tc>
        <w:tc>
          <w:tcPr>
            <w:tcW w:w="1898" w:type="dxa"/>
          </w:tcPr>
          <w:p w14:paraId="2EDFD2E0" w14:textId="77777777" w:rsidR="0023264C" w:rsidRPr="00770F09" w:rsidRDefault="007F1721" w:rsidP="00195E0E">
            <w:pPr>
              <w:keepNext/>
              <w:tabs>
                <w:tab w:val="left" w:pos="567"/>
              </w:tabs>
              <w:jc w:val="both"/>
            </w:pPr>
            <w:r w:rsidRPr="00770F09">
              <w:t>10,1</w:t>
            </w:r>
          </w:p>
          <w:p w14:paraId="5BA997B1" w14:textId="77777777" w:rsidR="007F1721" w:rsidRPr="00770F09" w:rsidRDefault="007F1721" w:rsidP="00195E0E">
            <w:pPr>
              <w:keepNext/>
              <w:tabs>
                <w:tab w:val="left" w:pos="567"/>
              </w:tabs>
              <w:jc w:val="both"/>
            </w:pPr>
            <w:r w:rsidRPr="00770F09">
              <w:t>(9,3; 12,0)</w:t>
            </w:r>
          </w:p>
        </w:tc>
        <w:tc>
          <w:tcPr>
            <w:tcW w:w="1871" w:type="dxa"/>
          </w:tcPr>
          <w:p w14:paraId="142D439C" w14:textId="77777777" w:rsidR="0023264C" w:rsidRPr="00770F09" w:rsidRDefault="007F1721" w:rsidP="00195E0E">
            <w:pPr>
              <w:keepNext/>
              <w:tabs>
                <w:tab w:val="left" w:pos="567"/>
              </w:tabs>
              <w:jc w:val="both"/>
            </w:pPr>
            <w:r w:rsidRPr="00770F09">
              <w:t>7,9</w:t>
            </w:r>
          </w:p>
          <w:p w14:paraId="27877723" w14:textId="77777777" w:rsidR="007F1721" w:rsidRPr="00770F09" w:rsidRDefault="007F1721" w:rsidP="00195E0E">
            <w:pPr>
              <w:keepNext/>
              <w:tabs>
                <w:tab w:val="left" w:pos="567"/>
              </w:tabs>
              <w:jc w:val="both"/>
            </w:pPr>
            <w:r w:rsidRPr="00770F09">
              <w:t>(7,2; 9,3)</w:t>
            </w:r>
          </w:p>
        </w:tc>
        <w:tc>
          <w:tcPr>
            <w:tcW w:w="1871" w:type="dxa"/>
          </w:tcPr>
          <w:p w14:paraId="12F24DCA" w14:textId="77777777" w:rsidR="007F1721" w:rsidRPr="00770F09" w:rsidRDefault="007F1721" w:rsidP="00195E0E">
            <w:pPr>
              <w:keepNext/>
              <w:tabs>
                <w:tab w:val="left" w:pos="567"/>
              </w:tabs>
              <w:jc w:val="both"/>
            </w:pPr>
            <w:r w:rsidRPr="00770F09">
              <w:t>2,2</w:t>
            </w:r>
          </w:p>
        </w:tc>
        <w:tc>
          <w:tcPr>
            <w:tcW w:w="1871" w:type="dxa"/>
          </w:tcPr>
          <w:p w14:paraId="749EEA37" w14:textId="77777777" w:rsidR="0023264C" w:rsidRPr="00770F09" w:rsidRDefault="007F1721" w:rsidP="00195E0E">
            <w:pPr>
              <w:keepNext/>
              <w:tabs>
                <w:tab w:val="left" w:pos="567"/>
              </w:tabs>
              <w:jc w:val="both"/>
            </w:pPr>
            <w:r w:rsidRPr="00770F09">
              <w:t>0,72</w:t>
            </w:r>
          </w:p>
          <w:p w14:paraId="0F8C23CA" w14:textId="77777777" w:rsidR="007F1721" w:rsidRPr="00770F09" w:rsidRDefault="007F1721" w:rsidP="00195E0E">
            <w:pPr>
              <w:keepNext/>
              <w:tabs>
                <w:tab w:val="left" w:pos="567"/>
              </w:tabs>
              <w:jc w:val="both"/>
            </w:pPr>
            <w:r w:rsidRPr="00770F09">
              <w:t>(0,58; 0,90)</w:t>
            </w:r>
          </w:p>
        </w:tc>
      </w:tr>
      <w:tr w:rsidR="007F1721" w:rsidRPr="00770F09" w14:paraId="109A4D29" w14:textId="77777777" w:rsidTr="00496B51">
        <w:trPr>
          <w:cantSplit/>
          <w:trHeight w:val="287"/>
        </w:trPr>
        <w:tc>
          <w:tcPr>
            <w:tcW w:w="1560" w:type="dxa"/>
          </w:tcPr>
          <w:p w14:paraId="2227E038" w14:textId="77777777" w:rsidR="007F1721" w:rsidRPr="00770F09" w:rsidRDefault="007F1721" w:rsidP="00195E0E">
            <w:pPr>
              <w:tabs>
                <w:tab w:val="left" w:pos="567"/>
              </w:tabs>
              <w:jc w:val="both"/>
            </w:pPr>
            <w:r w:rsidRPr="00770F09">
              <w:t>OS</w:t>
            </w:r>
          </w:p>
        </w:tc>
        <w:tc>
          <w:tcPr>
            <w:tcW w:w="1898" w:type="dxa"/>
          </w:tcPr>
          <w:p w14:paraId="6ED177AB" w14:textId="77777777" w:rsidR="0023264C" w:rsidRPr="00770F09" w:rsidRDefault="007F1721" w:rsidP="00195E0E">
            <w:pPr>
              <w:tabs>
                <w:tab w:val="left" w:pos="567"/>
              </w:tabs>
              <w:jc w:val="both"/>
            </w:pPr>
            <w:r w:rsidRPr="00770F09">
              <w:t>26,0</w:t>
            </w:r>
          </w:p>
          <w:p w14:paraId="74E8C537" w14:textId="77777777" w:rsidR="007F1721" w:rsidRPr="00770F09" w:rsidRDefault="007F1721" w:rsidP="00195E0E">
            <w:pPr>
              <w:tabs>
                <w:tab w:val="left" w:pos="567"/>
              </w:tabs>
              <w:jc w:val="both"/>
            </w:pPr>
            <w:r w:rsidRPr="00770F09">
              <w:t>(21,7; 30,4)</w:t>
            </w:r>
          </w:p>
        </w:tc>
        <w:tc>
          <w:tcPr>
            <w:tcW w:w="1871" w:type="dxa"/>
          </w:tcPr>
          <w:p w14:paraId="20E2D6FA" w14:textId="77777777" w:rsidR="0023264C" w:rsidRPr="00770F09" w:rsidRDefault="007F1721" w:rsidP="00195E0E">
            <w:pPr>
              <w:tabs>
                <w:tab w:val="left" w:pos="567"/>
              </w:tabs>
              <w:jc w:val="both"/>
            </w:pPr>
            <w:r w:rsidRPr="00770F09">
              <w:t>20,2</w:t>
            </w:r>
          </w:p>
          <w:p w14:paraId="395E025F" w14:textId="77777777" w:rsidR="007F1721" w:rsidRPr="00770F09" w:rsidRDefault="007F1721" w:rsidP="00195E0E">
            <w:pPr>
              <w:tabs>
                <w:tab w:val="left" w:pos="567"/>
              </w:tabs>
              <w:jc w:val="both"/>
            </w:pPr>
            <w:r w:rsidRPr="00770F09">
              <w:t>(17,7; 23,1)</w:t>
            </w:r>
          </w:p>
        </w:tc>
        <w:tc>
          <w:tcPr>
            <w:tcW w:w="1871" w:type="dxa"/>
          </w:tcPr>
          <w:p w14:paraId="668DD046" w14:textId="77777777" w:rsidR="007F1721" w:rsidRPr="00770F09" w:rsidRDefault="007F1721" w:rsidP="00195E0E">
            <w:pPr>
              <w:tabs>
                <w:tab w:val="left" w:pos="567"/>
              </w:tabs>
              <w:jc w:val="both"/>
            </w:pPr>
            <w:r w:rsidRPr="00770F09">
              <w:t>5,8</w:t>
            </w:r>
          </w:p>
        </w:tc>
        <w:tc>
          <w:tcPr>
            <w:tcW w:w="1871" w:type="dxa"/>
          </w:tcPr>
          <w:p w14:paraId="697BFE7F" w14:textId="77777777" w:rsidR="0023264C" w:rsidRPr="00770F09" w:rsidRDefault="007F1721" w:rsidP="00195E0E">
            <w:pPr>
              <w:tabs>
                <w:tab w:val="left" w:pos="567"/>
              </w:tabs>
              <w:jc w:val="both"/>
            </w:pPr>
            <w:r w:rsidRPr="00770F09">
              <w:t>0,78</w:t>
            </w:r>
          </w:p>
          <w:p w14:paraId="54DF2BA5" w14:textId="77777777" w:rsidR="007F1721" w:rsidRPr="00770F09" w:rsidRDefault="007F1721" w:rsidP="00195E0E">
            <w:pPr>
              <w:tabs>
                <w:tab w:val="left" w:pos="567"/>
              </w:tabs>
              <w:jc w:val="both"/>
            </w:pPr>
            <w:r w:rsidRPr="00770F09">
              <w:t>(0,62; 0,99)</w:t>
            </w:r>
          </w:p>
        </w:tc>
      </w:tr>
      <w:tr w:rsidR="007F1721" w:rsidRPr="00770F09" w14:paraId="226DAD6C" w14:textId="77777777" w:rsidTr="009D6589">
        <w:trPr>
          <w:cantSplit/>
          <w:trHeight w:val="287"/>
        </w:trPr>
        <w:tc>
          <w:tcPr>
            <w:tcW w:w="9071" w:type="dxa"/>
            <w:gridSpan w:val="5"/>
          </w:tcPr>
          <w:p w14:paraId="0A8EC6CF" w14:textId="77777777" w:rsidR="007F1721" w:rsidRPr="00770F09" w:rsidRDefault="007F1721" w:rsidP="00195E0E">
            <w:pPr>
              <w:keepNext/>
              <w:tabs>
                <w:tab w:val="left" w:pos="567"/>
              </w:tabs>
              <w:jc w:val="both"/>
            </w:pPr>
            <w:r w:rsidRPr="00770F09">
              <w:rPr>
                <w:b/>
              </w:rPr>
              <w:t xml:space="preserve">Populacija sa mutiranim </w:t>
            </w:r>
            <w:r w:rsidRPr="00770F09">
              <w:rPr>
                <w:b/>
                <w:i/>
              </w:rPr>
              <w:t>RAS</w:t>
            </w:r>
            <w:r w:rsidRPr="00770F09">
              <w:rPr>
                <w:b/>
              </w:rPr>
              <w:t xml:space="preserve"> genom</w:t>
            </w:r>
          </w:p>
        </w:tc>
      </w:tr>
      <w:tr w:rsidR="007F1721" w:rsidRPr="00770F09" w14:paraId="525ABBFA" w14:textId="77777777" w:rsidTr="00496B51">
        <w:trPr>
          <w:cantSplit/>
          <w:trHeight w:val="287"/>
        </w:trPr>
        <w:tc>
          <w:tcPr>
            <w:tcW w:w="1560" w:type="dxa"/>
          </w:tcPr>
          <w:p w14:paraId="64A2C0E1" w14:textId="77777777" w:rsidR="007F1721" w:rsidRPr="00770F09" w:rsidRDefault="007F1721" w:rsidP="00195E0E">
            <w:pPr>
              <w:keepNext/>
              <w:tabs>
                <w:tab w:val="left" w:pos="567"/>
              </w:tabs>
              <w:jc w:val="both"/>
            </w:pPr>
            <w:r w:rsidRPr="00770F09">
              <w:t>PFS</w:t>
            </w:r>
          </w:p>
        </w:tc>
        <w:tc>
          <w:tcPr>
            <w:tcW w:w="1898" w:type="dxa"/>
          </w:tcPr>
          <w:p w14:paraId="52CE5DDD" w14:textId="77777777" w:rsidR="0023264C" w:rsidRPr="00770F09" w:rsidRDefault="007F1721" w:rsidP="00195E0E">
            <w:pPr>
              <w:keepNext/>
              <w:tabs>
                <w:tab w:val="left" w:pos="567"/>
              </w:tabs>
              <w:jc w:val="both"/>
            </w:pPr>
            <w:r w:rsidRPr="00770F09">
              <w:t>7,3</w:t>
            </w:r>
          </w:p>
          <w:p w14:paraId="51F3D73A" w14:textId="77777777" w:rsidR="007F1721" w:rsidRPr="00770F09" w:rsidRDefault="007F1721" w:rsidP="00195E0E">
            <w:pPr>
              <w:keepNext/>
              <w:tabs>
                <w:tab w:val="left" w:pos="567"/>
              </w:tabs>
              <w:jc w:val="both"/>
            </w:pPr>
            <w:r w:rsidRPr="00770F09">
              <w:t>(6,3; 7,9)</w:t>
            </w:r>
          </w:p>
        </w:tc>
        <w:tc>
          <w:tcPr>
            <w:tcW w:w="1871" w:type="dxa"/>
          </w:tcPr>
          <w:p w14:paraId="1294B426" w14:textId="77777777" w:rsidR="0023264C" w:rsidRPr="00770F09" w:rsidRDefault="007F1721" w:rsidP="00195E0E">
            <w:pPr>
              <w:keepNext/>
              <w:tabs>
                <w:tab w:val="left" w:pos="567"/>
              </w:tabs>
              <w:jc w:val="both"/>
            </w:pPr>
            <w:r w:rsidRPr="00770F09">
              <w:t>8,7</w:t>
            </w:r>
          </w:p>
          <w:p w14:paraId="6DCFD4BE" w14:textId="77777777" w:rsidR="007F1721" w:rsidRPr="00770F09" w:rsidRDefault="007F1721" w:rsidP="00195E0E">
            <w:pPr>
              <w:keepNext/>
              <w:tabs>
                <w:tab w:val="left" w:pos="567"/>
              </w:tabs>
              <w:jc w:val="both"/>
            </w:pPr>
            <w:r w:rsidRPr="00770F09">
              <w:t>(7,6; 9,4)</w:t>
            </w:r>
          </w:p>
        </w:tc>
        <w:tc>
          <w:tcPr>
            <w:tcW w:w="1871" w:type="dxa"/>
          </w:tcPr>
          <w:p w14:paraId="59216D0A" w14:textId="77777777" w:rsidR="007F1721" w:rsidRPr="00770F09" w:rsidRDefault="007F1721" w:rsidP="00195E0E">
            <w:pPr>
              <w:keepNext/>
              <w:tabs>
                <w:tab w:val="left" w:pos="567"/>
              </w:tabs>
              <w:jc w:val="both"/>
            </w:pPr>
            <w:r w:rsidRPr="00770F09">
              <w:t>-1,4</w:t>
            </w:r>
          </w:p>
        </w:tc>
        <w:tc>
          <w:tcPr>
            <w:tcW w:w="1871" w:type="dxa"/>
          </w:tcPr>
          <w:p w14:paraId="726107C0" w14:textId="77777777" w:rsidR="0023264C" w:rsidRPr="00770F09" w:rsidRDefault="007F1721" w:rsidP="00195E0E">
            <w:pPr>
              <w:keepNext/>
              <w:tabs>
                <w:tab w:val="left" w:pos="567"/>
              </w:tabs>
              <w:jc w:val="both"/>
            </w:pPr>
            <w:r w:rsidRPr="00770F09">
              <w:t>1,31</w:t>
            </w:r>
          </w:p>
          <w:p w14:paraId="0F7338E7" w14:textId="77777777" w:rsidR="007F1721" w:rsidRPr="00770F09" w:rsidRDefault="007F1721" w:rsidP="00195E0E">
            <w:pPr>
              <w:keepNext/>
              <w:tabs>
                <w:tab w:val="left" w:pos="567"/>
              </w:tabs>
              <w:jc w:val="both"/>
            </w:pPr>
            <w:r w:rsidRPr="00770F09">
              <w:t>(1,07; 1,60)</w:t>
            </w:r>
          </w:p>
        </w:tc>
      </w:tr>
      <w:tr w:rsidR="007F1721" w:rsidRPr="00770F09" w14:paraId="4110D90C" w14:textId="77777777" w:rsidTr="00496B51">
        <w:trPr>
          <w:cantSplit/>
          <w:trHeight w:val="287"/>
        </w:trPr>
        <w:tc>
          <w:tcPr>
            <w:tcW w:w="1560" w:type="dxa"/>
          </w:tcPr>
          <w:p w14:paraId="7DEA3949" w14:textId="77777777" w:rsidR="007F1721" w:rsidRPr="00770F09" w:rsidRDefault="007F1721" w:rsidP="00195E0E">
            <w:pPr>
              <w:tabs>
                <w:tab w:val="left" w:pos="567"/>
              </w:tabs>
              <w:jc w:val="both"/>
            </w:pPr>
            <w:r w:rsidRPr="00770F09">
              <w:t>OS</w:t>
            </w:r>
          </w:p>
        </w:tc>
        <w:tc>
          <w:tcPr>
            <w:tcW w:w="1898" w:type="dxa"/>
          </w:tcPr>
          <w:p w14:paraId="1DA4B310" w14:textId="77777777" w:rsidR="0023264C" w:rsidRPr="00770F09" w:rsidRDefault="007F1721" w:rsidP="00195E0E">
            <w:pPr>
              <w:tabs>
                <w:tab w:val="left" w:pos="567"/>
              </w:tabs>
              <w:jc w:val="both"/>
            </w:pPr>
            <w:r w:rsidRPr="00770F09">
              <w:t>15,6</w:t>
            </w:r>
          </w:p>
          <w:p w14:paraId="527624EF" w14:textId="77777777" w:rsidR="007F1721" w:rsidRPr="00770F09" w:rsidRDefault="007F1721" w:rsidP="00195E0E">
            <w:pPr>
              <w:tabs>
                <w:tab w:val="left" w:pos="567"/>
              </w:tabs>
              <w:jc w:val="both"/>
            </w:pPr>
            <w:r w:rsidRPr="00770F09">
              <w:t>(13,4; 17,9)</w:t>
            </w:r>
          </w:p>
        </w:tc>
        <w:tc>
          <w:tcPr>
            <w:tcW w:w="1871" w:type="dxa"/>
          </w:tcPr>
          <w:p w14:paraId="1973C08A" w14:textId="77777777" w:rsidR="0023264C" w:rsidRPr="00770F09" w:rsidRDefault="007F1721" w:rsidP="00195E0E">
            <w:pPr>
              <w:tabs>
                <w:tab w:val="left" w:pos="567"/>
              </w:tabs>
              <w:jc w:val="both"/>
            </w:pPr>
            <w:r w:rsidRPr="00770F09">
              <w:t>19,2</w:t>
            </w:r>
          </w:p>
          <w:p w14:paraId="08AE2E33" w14:textId="77777777" w:rsidR="007F1721" w:rsidRPr="00770F09" w:rsidRDefault="007F1721" w:rsidP="00195E0E">
            <w:pPr>
              <w:tabs>
                <w:tab w:val="left" w:pos="567"/>
              </w:tabs>
              <w:jc w:val="both"/>
            </w:pPr>
            <w:r w:rsidRPr="00770F09">
              <w:t>(16,7; 21,8)</w:t>
            </w:r>
          </w:p>
        </w:tc>
        <w:tc>
          <w:tcPr>
            <w:tcW w:w="1871" w:type="dxa"/>
          </w:tcPr>
          <w:p w14:paraId="1D2F199F" w14:textId="77777777" w:rsidR="007F1721" w:rsidRPr="00770F09" w:rsidRDefault="007F1721" w:rsidP="00195E0E">
            <w:pPr>
              <w:tabs>
                <w:tab w:val="left" w:pos="567"/>
              </w:tabs>
              <w:jc w:val="both"/>
            </w:pPr>
            <w:r w:rsidRPr="00770F09">
              <w:t>-3,6</w:t>
            </w:r>
          </w:p>
        </w:tc>
        <w:tc>
          <w:tcPr>
            <w:tcW w:w="1871" w:type="dxa"/>
          </w:tcPr>
          <w:p w14:paraId="32F699FE" w14:textId="77777777" w:rsidR="0023264C" w:rsidRPr="00770F09" w:rsidRDefault="007F1721" w:rsidP="00195E0E">
            <w:pPr>
              <w:tabs>
                <w:tab w:val="left" w:pos="567"/>
              </w:tabs>
              <w:jc w:val="both"/>
            </w:pPr>
            <w:r w:rsidRPr="00770F09">
              <w:t>1,25</w:t>
            </w:r>
          </w:p>
          <w:p w14:paraId="397E65B6" w14:textId="77777777" w:rsidR="007F1721" w:rsidRPr="00770F09" w:rsidRDefault="007F1721" w:rsidP="00195E0E">
            <w:pPr>
              <w:tabs>
                <w:tab w:val="left" w:pos="567"/>
              </w:tabs>
              <w:jc w:val="both"/>
            </w:pPr>
            <w:r w:rsidRPr="00770F09">
              <w:t>(1,02; 1,55)</w:t>
            </w:r>
          </w:p>
        </w:tc>
      </w:tr>
    </w:tbl>
    <w:p w14:paraId="3E638AB5" w14:textId="77777777" w:rsidR="0023264C" w:rsidRPr="00770F09" w:rsidRDefault="0023264C" w:rsidP="00195E0E">
      <w:pPr>
        <w:tabs>
          <w:tab w:val="left" w:pos="567"/>
        </w:tabs>
        <w:jc w:val="both"/>
      </w:pPr>
    </w:p>
    <w:p w14:paraId="0BCD2A6F" w14:textId="77777777" w:rsidR="00B150E6" w:rsidRPr="00770F09" w:rsidRDefault="00B27662" w:rsidP="00195E0E">
      <w:pPr>
        <w:tabs>
          <w:tab w:val="left" w:pos="567"/>
        </w:tabs>
        <w:jc w:val="both"/>
      </w:pPr>
      <w:r w:rsidRPr="00770F09">
        <w:t xml:space="preserve">Naknadno su otkrivene i dodatne mutacije na </w:t>
      </w:r>
      <w:r w:rsidRPr="00770F09">
        <w:rPr>
          <w:i/>
        </w:rPr>
        <w:t>KRAS</w:t>
      </w:r>
      <w:r w:rsidRPr="00770F09">
        <w:t xml:space="preserve"> i </w:t>
      </w:r>
      <w:r w:rsidRPr="00770F09">
        <w:rPr>
          <w:i/>
        </w:rPr>
        <w:t>NRAS</w:t>
      </w:r>
      <w:r w:rsidRPr="00770F09">
        <w:t xml:space="preserve"> eksonu 3 (kodon 59) (n = 7). Eksplorativnom analizom dobijeni su rezultati slični ovima prikazanim u gornjoj tabeli.</w:t>
      </w:r>
    </w:p>
    <w:p w14:paraId="58E18E48" w14:textId="77777777" w:rsidR="0023264C" w:rsidRPr="00770F09" w:rsidRDefault="0023264C" w:rsidP="00195E0E">
      <w:pPr>
        <w:tabs>
          <w:tab w:val="left" w:pos="567"/>
        </w:tabs>
        <w:jc w:val="both"/>
      </w:pPr>
    </w:p>
    <w:p w14:paraId="601C5591" w14:textId="77777777" w:rsidR="0023264C" w:rsidRPr="00770F09" w:rsidRDefault="007F1E4E" w:rsidP="00195E0E">
      <w:pPr>
        <w:keepNext/>
        <w:tabs>
          <w:tab w:val="left" w:pos="567"/>
        </w:tabs>
        <w:jc w:val="both"/>
        <w:rPr>
          <w:i/>
          <w:u w:val="single"/>
        </w:rPr>
      </w:pPr>
      <w:r w:rsidRPr="00770F09">
        <w:rPr>
          <w:i/>
          <w:u w:val="single"/>
        </w:rPr>
        <w:t>Liječenje u kombinaciji sa FOLFIRI</w:t>
      </w:r>
    </w:p>
    <w:p w14:paraId="3A0B8DB8" w14:textId="77777777" w:rsidR="0023264C" w:rsidRPr="00770F09" w:rsidRDefault="0023264C" w:rsidP="00195E0E">
      <w:pPr>
        <w:keepNext/>
        <w:tabs>
          <w:tab w:val="left" w:pos="567"/>
        </w:tabs>
        <w:jc w:val="both"/>
      </w:pPr>
    </w:p>
    <w:p w14:paraId="684890DA" w14:textId="77777777" w:rsidR="00B150E6" w:rsidRPr="00770F09" w:rsidRDefault="007F1E4E" w:rsidP="00195E0E">
      <w:pPr>
        <w:tabs>
          <w:tab w:val="left" w:pos="567"/>
        </w:tabs>
        <w:jc w:val="both"/>
      </w:pPr>
      <w:r w:rsidRPr="00770F09">
        <w:t>Efikasnost lijeka Vectibix kao druge linije terapije mCRC, ispitivana je u kombinaciji sa irinotekanom, 5</w:t>
      </w:r>
      <w:r w:rsidRPr="00770F09">
        <w:noBreakHyphen/>
        <w:t>fluorouracilom (5</w:t>
      </w:r>
      <w:r w:rsidRPr="00770F09">
        <w:noBreakHyphen/>
        <w:t xml:space="preserve">FU) i leukovorinom (FOLFIRI) u randomizovanoj, kontrolisanoj studiji na 1186 pacijenta sa mCRC, pri čemu su primarni parametri efikasnosti bili OS i PFS. Drugi ključni parametri efikasnosti bili su ORR, vrijeme do postizanja odgovora, TTP i trajanje odgovora. Rezultati studije su prospektivno analizirani u odnosu na </w:t>
      </w:r>
      <w:r w:rsidRPr="00770F09">
        <w:rPr>
          <w:i/>
        </w:rPr>
        <w:t>KRAS</w:t>
      </w:r>
      <w:r w:rsidRPr="00770F09">
        <w:t xml:space="preserve"> (ekson 2) status tumora koji je bio ispitan kod 91% pacijenata.</w:t>
      </w:r>
    </w:p>
    <w:p w14:paraId="42E9E033" w14:textId="77777777" w:rsidR="0023264C" w:rsidRPr="00770F09" w:rsidRDefault="0023264C" w:rsidP="00195E0E">
      <w:pPr>
        <w:tabs>
          <w:tab w:val="left" w:pos="567"/>
        </w:tabs>
        <w:jc w:val="both"/>
      </w:pPr>
    </w:p>
    <w:p w14:paraId="214AD8AD" w14:textId="77777777" w:rsidR="0023264C" w:rsidRPr="00770F09" w:rsidRDefault="00736AF4" w:rsidP="00195E0E">
      <w:pPr>
        <w:tabs>
          <w:tab w:val="left" w:pos="567"/>
        </w:tabs>
        <w:jc w:val="both"/>
      </w:pPr>
      <w:r w:rsidRPr="00770F09">
        <w:t xml:space="preserve">Sprovedena je unaprijed definisana retrospektivna analiza podgrupe od 586 od ukupno 597 pacijenata sa mCRC sa divljm tipom </w:t>
      </w:r>
      <w:r w:rsidRPr="00770F09">
        <w:rPr>
          <w:i/>
        </w:rPr>
        <w:t xml:space="preserve">KRAS </w:t>
      </w:r>
      <w:r w:rsidRPr="00770F09">
        <w:t>(ekson 2). Uzorci tumora ovih pacijenata ispitani su na dodatne</w:t>
      </w:r>
      <w:r w:rsidRPr="00770F09">
        <w:rPr>
          <w:i/>
        </w:rPr>
        <w:t xml:space="preserve"> RAS</w:t>
      </w:r>
      <w:r w:rsidRPr="00770F09">
        <w:t xml:space="preserve"> i </w:t>
      </w:r>
      <w:r w:rsidRPr="00770F09">
        <w:rPr>
          <w:i/>
        </w:rPr>
        <w:t>BRAF</w:t>
      </w:r>
      <w:r w:rsidRPr="00770F09">
        <w:t xml:space="preserve"> mutacije, kako je prethodno opisano. </w:t>
      </w:r>
      <w:r w:rsidRPr="00770F09">
        <w:rPr>
          <w:i/>
        </w:rPr>
        <w:t>RAS/BRAF</w:t>
      </w:r>
      <w:r w:rsidRPr="00770F09">
        <w:t xml:space="preserve"> status je utvrđen kod 85% (1014 od 1186 randomiziranih pacijenata). Incidenca pojave ovih dodatnih </w:t>
      </w:r>
      <w:r w:rsidRPr="00770F09">
        <w:rPr>
          <w:i/>
        </w:rPr>
        <w:t>RAS</w:t>
      </w:r>
      <w:r w:rsidRPr="00770F09">
        <w:t xml:space="preserve"> mutacija (</w:t>
      </w:r>
      <w:r w:rsidRPr="00770F09">
        <w:rPr>
          <w:i/>
        </w:rPr>
        <w:t>KRAS</w:t>
      </w:r>
      <w:r w:rsidRPr="00770F09">
        <w:t xml:space="preserve"> eksoni 3, 4 i </w:t>
      </w:r>
      <w:r w:rsidRPr="00770F09">
        <w:rPr>
          <w:i/>
        </w:rPr>
        <w:t>NRAS</w:t>
      </w:r>
      <w:r w:rsidRPr="00770F09">
        <w:t xml:space="preserve"> eksoni 2, 3, 4) kod populacije sa divljim tipom </w:t>
      </w:r>
      <w:r w:rsidRPr="00770F09">
        <w:rPr>
          <w:i/>
        </w:rPr>
        <w:t>KRAS</w:t>
      </w:r>
      <w:r w:rsidRPr="00770F09">
        <w:t xml:space="preserve"> (ekson 2) bila je približno 19%. Incidenca pojave </w:t>
      </w:r>
      <w:r w:rsidRPr="00770F09">
        <w:rPr>
          <w:i/>
        </w:rPr>
        <w:t>BRAF</w:t>
      </w:r>
      <w:r w:rsidRPr="00770F09">
        <w:t xml:space="preserve"> mutacije na eksonu 15 kod populacije sa divljim tipom </w:t>
      </w:r>
      <w:r w:rsidRPr="00770F09">
        <w:rPr>
          <w:i/>
        </w:rPr>
        <w:t>KRAS</w:t>
      </w:r>
      <w:r w:rsidRPr="00770F09">
        <w:t xml:space="preserve"> (ekson 2) bila je približno 8%. Rezultati efikasnosti kod pacijenata sa mCRC sa divljim tipom</w:t>
      </w:r>
      <w:r w:rsidRPr="00770F09">
        <w:rPr>
          <w:i/>
        </w:rPr>
        <w:t xml:space="preserve"> RAS</w:t>
      </w:r>
      <w:r w:rsidRPr="00770F09">
        <w:t xml:space="preserve"> i mCRC mutiranim </w:t>
      </w:r>
      <w:r w:rsidRPr="00770F09">
        <w:rPr>
          <w:i/>
        </w:rPr>
        <w:t>RAS</w:t>
      </w:r>
      <w:r w:rsidRPr="00770F09">
        <w:t xml:space="preserve"> prikazani su u donjoj tabeli.</w:t>
      </w:r>
    </w:p>
    <w:p w14:paraId="4F6717A6" w14:textId="77777777" w:rsidR="00736AF4" w:rsidRPr="00770F09" w:rsidRDefault="00736AF4" w:rsidP="00195E0E">
      <w:pPr>
        <w:tabs>
          <w:tab w:val="left" w:pos="567"/>
        </w:tabs>
        <w:jc w:val="both"/>
      </w:pPr>
    </w:p>
    <w:tbl>
      <w:tblPr>
        <w:tblW w:w="4891"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9"/>
        <w:gridCol w:w="2345"/>
        <w:gridCol w:w="2345"/>
        <w:gridCol w:w="2264"/>
      </w:tblGrid>
      <w:tr w:rsidR="003A69C4" w:rsidRPr="00770F09" w14:paraId="2F82AC91" w14:textId="77777777" w:rsidTr="009D6589">
        <w:trPr>
          <w:cantSplit/>
          <w:trHeight w:val="287"/>
          <w:tblHeader/>
        </w:trPr>
        <w:tc>
          <w:tcPr>
            <w:tcW w:w="1077" w:type="pct"/>
          </w:tcPr>
          <w:p w14:paraId="41031AFD" w14:textId="77777777" w:rsidR="003A69C4" w:rsidRPr="00770F09" w:rsidRDefault="003A69C4" w:rsidP="00195E0E">
            <w:pPr>
              <w:keepNext/>
              <w:tabs>
                <w:tab w:val="left" w:pos="567"/>
              </w:tabs>
              <w:jc w:val="both"/>
              <w:rPr>
                <w:b/>
              </w:rPr>
            </w:pPr>
          </w:p>
        </w:tc>
        <w:tc>
          <w:tcPr>
            <w:tcW w:w="1323" w:type="pct"/>
          </w:tcPr>
          <w:p w14:paraId="2F2F3407" w14:textId="77777777" w:rsidR="0023264C" w:rsidRPr="00770F09" w:rsidRDefault="003A69C4" w:rsidP="00195E0E">
            <w:pPr>
              <w:keepNext/>
              <w:tabs>
                <w:tab w:val="left" w:pos="567"/>
              </w:tabs>
              <w:jc w:val="both"/>
              <w:rPr>
                <w:b/>
              </w:rPr>
            </w:pPr>
            <w:r w:rsidRPr="00770F09">
              <w:rPr>
                <w:b/>
              </w:rPr>
              <w:t>Vectibix plus FOLFIRI</w:t>
            </w:r>
          </w:p>
          <w:p w14:paraId="40EBBB66" w14:textId="77777777" w:rsidR="0023264C" w:rsidRPr="00770F09" w:rsidRDefault="003A69C4" w:rsidP="00195E0E">
            <w:pPr>
              <w:keepNext/>
              <w:tabs>
                <w:tab w:val="left" w:pos="567"/>
              </w:tabs>
              <w:jc w:val="both"/>
              <w:rPr>
                <w:b/>
              </w:rPr>
            </w:pPr>
            <w:r w:rsidRPr="00770F09">
              <w:rPr>
                <w:b/>
              </w:rPr>
              <w:t>(mjeseci)</w:t>
            </w:r>
          </w:p>
          <w:p w14:paraId="2E80FD24" w14:textId="77777777" w:rsidR="003A69C4" w:rsidRPr="00770F09" w:rsidRDefault="003A69C4" w:rsidP="00195E0E">
            <w:pPr>
              <w:keepNext/>
              <w:tabs>
                <w:tab w:val="left" w:pos="567"/>
              </w:tabs>
              <w:jc w:val="both"/>
              <w:rPr>
                <w:b/>
              </w:rPr>
            </w:pPr>
            <w:r w:rsidRPr="00770F09">
              <w:rPr>
                <w:b/>
              </w:rPr>
              <w:t>Srednja vrijednost (95% CI)</w:t>
            </w:r>
          </w:p>
        </w:tc>
        <w:tc>
          <w:tcPr>
            <w:tcW w:w="1323" w:type="pct"/>
          </w:tcPr>
          <w:p w14:paraId="257C13B0" w14:textId="77777777" w:rsidR="0023264C" w:rsidRPr="00770F09" w:rsidRDefault="003A69C4" w:rsidP="00195E0E">
            <w:pPr>
              <w:keepNext/>
              <w:tabs>
                <w:tab w:val="left" w:pos="567"/>
              </w:tabs>
              <w:jc w:val="both"/>
              <w:rPr>
                <w:b/>
                <w:bCs/>
              </w:rPr>
            </w:pPr>
            <w:r w:rsidRPr="00770F09">
              <w:rPr>
                <w:b/>
              </w:rPr>
              <w:t>FOLFIRI</w:t>
            </w:r>
          </w:p>
          <w:p w14:paraId="240C16F7" w14:textId="77777777" w:rsidR="0023264C" w:rsidRPr="00770F09" w:rsidRDefault="003A69C4" w:rsidP="00195E0E">
            <w:pPr>
              <w:keepNext/>
              <w:tabs>
                <w:tab w:val="left" w:pos="567"/>
              </w:tabs>
              <w:jc w:val="both"/>
              <w:rPr>
                <w:b/>
              </w:rPr>
            </w:pPr>
            <w:r w:rsidRPr="00770F09">
              <w:rPr>
                <w:b/>
              </w:rPr>
              <w:t>(mjeseci)</w:t>
            </w:r>
          </w:p>
          <w:p w14:paraId="7ED9B4E7" w14:textId="77777777" w:rsidR="003A69C4" w:rsidRPr="00770F09" w:rsidRDefault="003A69C4" w:rsidP="00195E0E">
            <w:pPr>
              <w:keepNext/>
              <w:tabs>
                <w:tab w:val="left" w:pos="567"/>
              </w:tabs>
              <w:jc w:val="both"/>
              <w:rPr>
                <w:b/>
              </w:rPr>
            </w:pPr>
            <w:r w:rsidRPr="00770F09">
              <w:rPr>
                <w:b/>
              </w:rPr>
              <w:t>Srednja vrijednost (95% CI)</w:t>
            </w:r>
          </w:p>
        </w:tc>
        <w:tc>
          <w:tcPr>
            <w:tcW w:w="1278" w:type="pct"/>
          </w:tcPr>
          <w:p w14:paraId="00FE0472" w14:textId="77777777" w:rsidR="0023264C" w:rsidRPr="00770F09" w:rsidRDefault="003A69C4" w:rsidP="00195E0E">
            <w:pPr>
              <w:keepNext/>
              <w:tabs>
                <w:tab w:val="left" w:pos="567"/>
              </w:tabs>
              <w:jc w:val="both"/>
              <w:rPr>
                <w:b/>
              </w:rPr>
            </w:pPr>
            <w:r w:rsidRPr="00770F09">
              <w:rPr>
                <w:b/>
              </w:rPr>
              <w:t>Koeficijent rizika</w:t>
            </w:r>
          </w:p>
          <w:p w14:paraId="2BFD4D13" w14:textId="77777777" w:rsidR="003A69C4" w:rsidRPr="00770F09" w:rsidRDefault="003A69C4" w:rsidP="00195E0E">
            <w:pPr>
              <w:keepNext/>
              <w:tabs>
                <w:tab w:val="left" w:pos="567"/>
              </w:tabs>
              <w:jc w:val="both"/>
              <w:rPr>
                <w:b/>
              </w:rPr>
            </w:pPr>
            <w:r w:rsidRPr="00770F09">
              <w:rPr>
                <w:b/>
              </w:rPr>
              <w:t>(95% CI)</w:t>
            </w:r>
          </w:p>
        </w:tc>
      </w:tr>
      <w:tr w:rsidR="003A69C4" w:rsidRPr="00770F09" w14:paraId="33BA7400" w14:textId="77777777" w:rsidTr="009D6589">
        <w:trPr>
          <w:cantSplit/>
          <w:trHeight w:val="287"/>
        </w:trPr>
        <w:tc>
          <w:tcPr>
            <w:tcW w:w="5000" w:type="pct"/>
            <w:gridSpan w:val="4"/>
          </w:tcPr>
          <w:p w14:paraId="432313C6" w14:textId="77777777" w:rsidR="003A69C4" w:rsidRPr="00770F09" w:rsidRDefault="003A69C4" w:rsidP="00195E0E">
            <w:pPr>
              <w:keepNext/>
              <w:tabs>
                <w:tab w:val="left" w:pos="567"/>
              </w:tabs>
              <w:jc w:val="both"/>
            </w:pPr>
            <w:r w:rsidRPr="00770F09">
              <w:rPr>
                <w:b/>
              </w:rPr>
              <w:t xml:space="preserve">Populacija sa divljim tipom </w:t>
            </w:r>
            <w:r w:rsidRPr="00770F09">
              <w:rPr>
                <w:b/>
                <w:i/>
              </w:rPr>
              <w:t xml:space="preserve">RAS </w:t>
            </w:r>
            <w:r w:rsidRPr="00770F09">
              <w:rPr>
                <w:b/>
              </w:rPr>
              <w:t>gena</w:t>
            </w:r>
          </w:p>
        </w:tc>
      </w:tr>
      <w:tr w:rsidR="003A69C4" w:rsidRPr="00770F09" w14:paraId="37092D80" w14:textId="77777777" w:rsidTr="009D6589">
        <w:trPr>
          <w:cantSplit/>
          <w:trHeight w:val="287"/>
        </w:trPr>
        <w:tc>
          <w:tcPr>
            <w:tcW w:w="1077" w:type="pct"/>
          </w:tcPr>
          <w:p w14:paraId="1300F6B9" w14:textId="77777777" w:rsidR="003A69C4" w:rsidRPr="00770F09" w:rsidRDefault="003A69C4" w:rsidP="00195E0E">
            <w:pPr>
              <w:keepNext/>
              <w:tabs>
                <w:tab w:val="left" w:pos="567"/>
              </w:tabs>
              <w:jc w:val="both"/>
            </w:pPr>
            <w:r w:rsidRPr="00770F09">
              <w:t>PFS</w:t>
            </w:r>
          </w:p>
        </w:tc>
        <w:tc>
          <w:tcPr>
            <w:tcW w:w="1323" w:type="pct"/>
          </w:tcPr>
          <w:p w14:paraId="2705DF11" w14:textId="77777777" w:rsidR="0023264C" w:rsidRPr="00770F09" w:rsidRDefault="003A69C4" w:rsidP="00195E0E">
            <w:pPr>
              <w:keepNext/>
              <w:tabs>
                <w:tab w:val="left" w:pos="567"/>
              </w:tabs>
              <w:jc w:val="both"/>
            </w:pPr>
            <w:r w:rsidRPr="00770F09">
              <w:t>6,4</w:t>
            </w:r>
          </w:p>
          <w:p w14:paraId="274B4A12" w14:textId="77777777" w:rsidR="003A69C4" w:rsidRPr="00770F09" w:rsidRDefault="003A69C4" w:rsidP="00195E0E">
            <w:pPr>
              <w:keepNext/>
              <w:tabs>
                <w:tab w:val="left" w:pos="567"/>
              </w:tabs>
              <w:jc w:val="both"/>
            </w:pPr>
            <w:r w:rsidRPr="00770F09">
              <w:t>(5,5; 7,4)</w:t>
            </w:r>
          </w:p>
        </w:tc>
        <w:tc>
          <w:tcPr>
            <w:tcW w:w="1323" w:type="pct"/>
          </w:tcPr>
          <w:p w14:paraId="0E65658A" w14:textId="77777777" w:rsidR="0023264C" w:rsidRPr="00770F09" w:rsidRDefault="003A69C4" w:rsidP="00195E0E">
            <w:pPr>
              <w:keepNext/>
              <w:tabs>
                <w:tab w:val="left" w:pos="567"/>
              </w:tabs>
              <w:jc w:val="both"/>
            </w:pPr>
            <w:r w:rsidRPr="00770F09">
              <w:t>4,6</w:t>
            </w:r>
          </w:p>
          <w:p w14:paraId="62F5202B" w14:textId="77777777" w:rsidR="003A69C4" w:rsidRPr="00770F09" w:rsidRDefault="003A69C4" w:rsidP="00195E0E">
            <w:pPr>
              <w:keepNext/>
              <w:tabs>
                <w:tab w:val="left" w:pos="567"/>
              </w:tabs>
              <w:jc w:val="both"/>
            </w:pPr>
            <w:r w:rsidRPr="00770F09">
              <w:t>(3,7; 5,6)</w:t>
            </w:r>
          </w:p>
        </w:tc>
        <w:tc>
          <w:tcPr>
            <w:tcW w:w="1278" w:type="pct"/>
          </w:tcPr>
          <w:p w14:paraId="70E004EF" w14:textId="77777777" w:rsidR="0023264C" w:rsidRPr="00770F09" w:rsidRDefault="003A69C4" w:rsidP="00195E0E">
            <w:pPr>
              <w:keepNext/>
              <w:tabs>
                <w:tab w:val="left" w:pos="567"/>
              </w:tabs>
              <w:jc w:val="both"/>
            </w:pPr>
            <w:r w:rsidRPr="00770F09">
              <w:t>0,70</w:t>
            </w:r>
          </w:p>
          <w:p w14:paraId="5D2A3391" w14:textId="77777777" w:rsidR="003A69C4" w:rsidRPr="00770F09" w:rsidRDefault="003A69C4" w:rsidP="00195E0E">
            <w:pPr>
              <w:keepNext/>
              <w:tabs>
                <w:tab w:val="left" w:pos="567"/>
              </w:tabs>
              <w:jc w:val="both"/>
            </w:pPr>
            <w:r w:rsidRPr="00770F09">
              <w:t>(0,54; 0,91)</w:t>
            </w:r>
          </w:p>
        </w:tc>
      </w:tr>
      <w:tr w:rsidR="003A69C4" w:rsidRPr="00770F09" w14:paraId="69D0411C" w14:textId="77777777" w:rsidTr="009D6589">
        <w:trPr>
          <w:cantSplit/>
          <w:trHeight w:val="287"/>
        </w:trPr>
        <w:tc>
          <w:tcPr>
            <w:tcW w:w="1077" w:type="pct"/>
          </w:tcPr>
          <w:p w14:paraId="76234995" w14:textId="77777777" w:rsidR="003A69C4" w:rsidRPr="00770F09" w:rsidRDefault="003A69C4" w:rsidP="00195E0E">
            <w:pPr>
              <w:tabs>
                <w:tab w:val="left" w:pos="567"/>
              </w:tabs>
              <w:jc w:val="both"/>
            </w:pPr>
            <w:r w:rsidRPr="00770F09">
              <w:t>OS</w:t>
            </w:r>
          </w:p>
        </w:tc>
        <w:tc>
          <w:tcPr>
            <w:tcW w:w="1323" w:type="pct"/>
          </w:tcPr>
          <w:p w14:paraId="42CAE146" w14:textId="77777777" w:rsidR="0023264C" w:rsidRPr="00770F09" w:rsidRDefault="003A69C4" w:rsidP="00195E0E">
            <w:pPr>
              <w:tabs>
                <w:tab w:val="left" w:pos="567"/>
              </w:tabs>
              <w:jc w:val="both"/>
            </w:pPr>
            <w:r w:rsidRPr="00770F09">
              <w:t>16,2</w:t>
            </w:r>
          </w:p>
          <w:p w14:paraId="7C3115EA" w14:textId="77777777" w:rsidR="003A69C4" w:rsidRPr="00770F09" w:rsidRDefault="003A69C4" w:rsidP="00195E0E">
            <w:pPr>
              <w:tabs>
                <w:tab w:val="left" w:pos="567"/>
              </w:tabs>
              <w:jc w:val="both"/>
            </w:pPr>
            <w:r w:rsidRPr="00770F09">
              <w:t>(14,5; 19,7)</w:t>
            </w:r>
          </w:p>
        </w:tc>
        <w:tc>
          <w:tcPr>
            <w:tcW w:w="1323" w:type="pct"/>
          </w:tcPr>
          <w:p w14:paraId="0222A9E6" w14:textId="77777777" w:rsidR="00B150E6" w:rsidRPr="00770F09" w:rsidRDefault="003A69C4" w:rsidP="00195E0E">
            <w:pPr>
              <w:tabs>
                <w:tab w:val="left" w:pos="567"/>
              </w:tabs>
              <w:jc w:val="both"/>
            </w:pPr>
            <w:r w:rsidRPr="00770F09">
              <w:t>13,9</w:t>
            </w:r>
          </w:p>
          <w:p w14:paraId="06DC81A6" w14:textId="77777777" w:rsidR="003A69C4" w:rsidRPr="00770F09" w:rsidRDefault="003A69C4" w:rsidP="00195E0E">
            <w:pPr>
              <w:tabs>
                <w:tab w:val="left" w:pos="567"/>
              </w:tabs>
              <w:jc w:val="both"/>
            </w:pPr>
            <w:r w:rsidRPr="00770F09">
              <w:t>(11,9; 16,0)</w:t>
            </w:r>
          </w:p>
        </w:tc>
        <w:tc>
          <w:tcPr>
            <w:tcW w:w="1278" w:type="pct"/>
          </w:tcPr>
          <w:p w14:paraId="54666D69" w14:textId="77777777" w:rsidR="0023264C" w:rsidRPr="00770F09" w:rsidRDefault="003A69C4" w:rsidP="00195E0E">
            <w:pPr>
              <w:tabs>
                <w:tab w:val="left" w:pos="567"/>
              </w:tabs>
              <w:jc w:val="both"/>
            </w:pPr>
            <w:r w:rsidRPr="00770F09">
              <w:t>0,81</w:t>
            </w:r>
          </w:p>
          <w:p w14:paraId="78803723" w14:textId="77777777" w:rsidR="003A69C4" w:rsidRPr="00770F09" w:rsidRDefault="003A69C4" w:rsidP="00195E0E">
            <w:pPr>
              <w:tabs>
                <w:tab w:val="left" w:pos="567"/>
              </w:tabs>
              <w:jc w:val="both"/>
            </w:pPr>
            <w:r w:rsidRPr="00770F09">
              <w:t>(0,63; 1,02)</w:t>
            </w:r>
          </w:p>
        </w:tc>
      </w:tr>
      <w:tr w:rsidR="003A69C4" w:rsidRPr="00770F09" w14:paraId="4CD41AC2" w14:textId="77777777" w:rsidTr="009D6589">
        <w:trPr>
          <w:cantSplit/>
          <w:trHeight w:val="287"/>
        </w:trPr>
        <w:tc>
          <w:tcPr>
            <w:tcW w:w="5000" w:type="pct"/>
            <w:gridSpan w:val="4"/>
          </w:tcPr>
          <w:p w14:paraId="755EB1B3" w14:textId="77777777" w:rsidR="003A69C4" w:rsidRPr="00770F09" w:rsidRDefault="003A69C4" w:rsidP="00195E0E">
            <w:pPr>
              <w:keepNext/>
              <w:tabs>
                <w:tab w:val="left" w:pos="567"/>
              </w:tabs>
              <w:jc w:val="both"/>
            </w:pPr>
            <w:r w:rsidRPr="00770F09">
              <w:rPr>
                <w:b/>
              </w:rPr>
              <w:t xml:space="preserve">Populacija sa mutiranim </w:t>
            </w:r>
            <w:r w:rsidRPr="00770F09">
              <w:rPr>
                <w:b/>
                <w:i/>
              </w:rPr>
              <w:t>RAS</w:t>
            </w:r>
            <w:r w:rsidRPr="00770F09">
              <w:rPr>
                <w:b/>
              </w:rPr>
              <w:t xml:space="preserve"> genom</w:t>
            </w:r>
          </w:p>
        </w:tc>
      </w:tr>
      <w:tr w:rsidR="003A69C4" w:rsidRPr="00770F09" w14:paraId="126A5B62" w14:textId="77777777" w:rsidTr="009D6589">
        <w:trPr>
          <w:cantSplit/>
          <w:trHeight w:val="287"/>
        </w:trPr>
        <w:tc>
          <w:tcPr>
            <w:tcW w:w="1077" w:type="pct"/>
          </w:tcPr>
          <w:p w14:paraId="001372B3" w14:textId="77777777" w:rsidR="003A69C4" w:rsidRPr="00770F09" w:rsidRDefault="003A69C4" w:rsidP="00195E0E">
            <w:pPr>
              <w:keepNext/>
              <w:tabs>
                <w:tab w:val="left" w:pos="567"/>
              </w:tabs>
              <w:jc w:val="both"/>
            </w:pPr>
            <w:r w:rsidRPr="00770F09">
              <w:t>PFS</w:t>
            </w:r>
          </w:p>
        </w:tc>
        <w:tc>
          <w:tcPr>
            <w:tcW w:w="1323" w:type="pct"/>
          </w:tcPr>
          <w:p w14:paraId="0523F7ED" w14:textId="77777777" w:rsidR="0023264C" w:rsidRPr="00770F09" w:rsidRDefault="003A69C4" w:rsidP="00195E0E">
            <w:pPr>
              <w:keepNext/>
              <w:tabs>
                <w:tab w:val="left" w:pos="567"/>
              </w:tabs>
              <w:jc w:val="both"/>
            </w:pPr>
            <w:r w:rsidRPr="00770F09">
              <w:t>4,8</w:t>
            </w:r>
          </w:p>
          <w:p w14:paraId="4FEAE9BC" w14:textId="77777777" w:rsidR="003A69C4" w:rsidRPr="00770F09" w:rsidRDefault="003A69C4" w:rsidP="00195E0E">
            <w:pPr>
              <w:keepNext/>
              <w:tabs>
                <w:tab w:val="left" w:pos="567"/>
              </w:tabs>
              <w:jc w:val="both"/>
            </w:pPr>
            <w:r w:rsidRPr="00770F09">
              <w:t>(3,7; 5,5)</w:t>
            </w:r>
          </w:p>
        </w:tc>
        <w:tc>
          <w:tcPr>
            <w:tcW w:w="1323" w:type="pct"/>
          </w:tcPr>
          <w:p w14:paraId="02159FFF" w14:textId="77777777" w:rsidR="0023264C" w:rsidRPr="00770F09" w:rsidRDefault="003A69C4" w:rsidP="00195E0E">
            <w:pPr>
              <w:keepNext/>
              <w:tabs>
                <w:tab w:val="left" w:pos="567"/>
              </w:tabs>
              <w:jc w:val="both"/>
            </w:pPr>
            <w:r w:rsidRPr="00770F09">
              <w:t>4,0</w:t>
            </w:r>
          </w:p>
          <w:p w14:paraId="12A79A9C" w14:textId="77777777" w:rsidR="003A69C4" w:rsidRPr="00770F09" w:rsidRDefault="003A69C4" w:rsidP="00195E0E">
            <w:pPr>
              <w:keepNext/>
              <w:tabs>
                <w:tab w:val="left" w:pos="567"/>
              </w:tabs>
              <w:jc w:val="both"/>
            </w:pPr>
            <w:r w:rsidRPr="00770F09">
              <w:t>(3,6; 5,5)</w:t>
            </w:r>
          </w:p>
        </w:tc>
        <w:tc>
          <w:tcPr>
            <w:tcW w:w="1278" w:type="pct"/>
          </w:tcPr>
          <w:p w14:paraId="42E30327" w14:textId="77777777" w:rsidR="0023264C" w:rsidRPr="00770F09" w:rsidRDefault="003A69C4" w:rsidP="00195E0E">
            <w:pPr>
              <w:keepNext/>
              <w:tabs>
                <w:tab w:val="left" w:pos="567"/>
              </w:tabs>
              <w:jc w:val="both"/>
            </w:pPr>
            <w:r w:rsidRPr="00770F09">
              <w:t>0,86</w:t>
            </w:r>
          </w:p>
          <w:p w14:paraId="19FCCDA8" w14:textId="77777777" w:rsidR="003A69C4" w:rsidRPr="00770F09" w:rsidRDefault="003A69C4" w:rsidP="00195E0E">
            <w:pPr>
              <w:keepNext/>
              <w:tabs>
                <w:tab w:val="left" w:pos="567"/>
              </w:tabs>
              <w:jc w:val="both"/>
            </w:pPr>
            <w:r w:rsidRPr="00770F09">
              <w:t>(0,70; 1,05)</w:t>
            </w:r>
          </w:p>
        </w:tc>
      </w:tr>
      <w:tr w:rsidR="003A69C4" w:rsidRPr="00770F09" w14:paraId="7BBCEFF1" w14:textId="77777777" w:rsidTr="009D6589">
        <w:trPr>
          <w:cantSplit/>
          <w:trHeight w:val="287"/>
        </w:trPr>
        <w:tc>
          <w:tcPr>
            <w:tcW w:w="1077" w:type="pct"/>
          </w:tcPr>
          <w:p w14:paraId="15407EAB" w14:textId="77777777" w:rsidR="003A69C4" w:rsidRPr="00770F09" w:rsidRDefault="003A69C4" w:rsidP="00195E0E">
            <w:pPr>
              <w:tabs>
                <w:tab w:val="left" w:pos="567"/>
              </w:tabs>
              <w:jc w:val="both"/>
            </w:pPr>
            <w:r w:rsidRPr="00770F09">
              <w:t>OS</w:t>
            </w:r>
          </w:p>
        </w:tc>
        <w:tc>
          <w:tcPr>
            <w:tcW w:w="1323" w:type="pct"/>
          </w:tcPr>
          <w:p w14:paraId="66482535" w14:textId="77777777" w:rsidR="0023264C" w:rsidRPr="00770F09" w:rsidRDefault="003A69C4" w:rsidP="00195E0E">
            <w:pPr>
              <w:tabs>
                <w:tab w:val="left" w:pos="567"/>
              </w:tabs>
              <w:jc w:val="both"/>
            </w:pPr>
            <w:r w:rsidRPr="00770F09">
              <w:t>11,8</w:t>
            </w:r>
          </w:p>
          <w:p w14:paraId="78C86035" w14:textId="77777777" w:rsidR="003A69C4" w:rsidRPr="00770F09" w:rsidRDefault="003A69C4" w:rsidP="00195E0E">
            <w:pPr>
              <w:tabs>
                <w:tab w:val="left" w:pos="567"/>
              </w:tabs>
              <w:jc w:val="both"/>
            </w:pPr>
            <w:r w:rsidRPr="00770F09">
              <w:t>(10,4; 13,1)</w:t>
            </w:r>
          </w:p>
        </w:tc>
        <w:tc>
          <w:tcPr>
            <w:tcW w:w="1323" w:type="pct"/>
          </w:tcPr>
          <w:p w14:paraId="3A1FB80E" w14:textId="77777777" w:rsidR="0023264C" w:rsidRPr="00770F09" w:rsidRDefault="003A69C4" w:rsidP="00195E0E">
            <w:pPr>
              <w:tabs>
                <w:tab w:val="left" w:pos="567"/>
              </w:tabs>
              <w:jc w:val="both"/>
            </w:pPr>
            <w:r w:rsidRPr="00770F09">
              <w:t>11,1</w:t>
            </w:r>
          </w:p>
          <w:p w14:paraId="6DE4D304" w14:textId="77777777" w:rsidR="003A69C4" w:rsidRPr="00770F09" w:rsidRDefault="003A69C4" w:rsidP="00195E0E">
            <w:pPr>
              <w:tabs>
                <w:tab w:val="left" w:pos="567"/>
              </w:tabs>
              <w:jc w:val="both"/>
            </w:pPr>
            <w:r w:rsidRPr="00770F09">
              <w:t>(10,2; 12,4)</w:t>
            </w:r>
          </w:p>
        </w:tc>
        <w:tc>
          <w:tcPr>
            <w:tcW w:w="1278" w:type="pct"/>
          </w:tcPr>
          <w:p w14:paraId="7E8029CC" w14:textId="77777777" w:rsidR="0023264C" w:rsidRPr="00770F09" w:rsidRDefault="003A69C4" w:rsidP="00195E0E">
            <w:pPr>
              <w:tabs>
                <w:tab w:val="left" w:pos="567"/>
              </w:tabs>
              <w:jc w:val="both"/>
            </w:pPr>
            <w:r w:rsidRPr="00770F09">
              <w:t>0,91</w:t>
            </w:r>
          </w:p>
          <w:p w14:paraId="15D0864D" w14:textId="77777777" w:rsidR="003A69C4" w:rsidRPr="00770F09" w:rsidRDefault="003A69C4" w:rsidP="00195E0E">
            <w:pPr>
              <w:tabs>
                <w:tab w:val="left" w:pos="567"/>
              </w:tabs>
              <w:jc w:val="both"/>
            </w:pPr>
            <w:r w:rsidRPr="00770F09">
              <w:t>(0,76; 1,10)</w:t>
            </w:r>
          </w:p>
        </w:tc>
      </w:tr>
    </w:tbl>
    <w:p w14:paraId="1A4DE4B1" w14:textId="77777777" w:rsidR="0023264C" w:rsidRPr="00770F09" w:rsidRDefault="0023264C" w:rsidP="00195E0E">
      <w:pPr>
        <w:tabs>
          <w:tab w:val="left" w:pos="567"/>
        </w:tabs>
        <w:jc w:val="both"/>
      </w:pPr>
    </w:p>
    <w:p w14:paraId="394B22C2" w14:textId="77777777" w:rsidR="00B150E6" w:rsidRPr="00770F09" w:rsidRDefault="00021FF7" w:rsidP="00195E0E">
      <w:pPr>
        <w:tabs>
          <w:tab w:val="left" w:pos="567"/>
        </w:tabs>
        <w:jc w:val="both"/>
      </w:pPr>
      <w:r w:rsidRPr="00770F09">
        <w:t>Efikasnost lijeka Vectibix kao prve linije u kombinaciji s FOLFIRI-jem ispitana je u studiji s jednom grupom od 154 pacijenta u kojoj je primarni cilj ispitivanja bila stopa objektivnog odgovora (ORR). Drugi ključni parametri ispitivanja uključivali su PFS, vrijeme do odgovora, TTP i trajanje odgovora.</w:t>
      </w:r>
    </w:p>
    <w:p w14:paraId="128138C2" w14:textId="77777777" w:rsidR="0023264C" w:rsidRPr="00770F09" w:rsidRDefault="0023264C" w:rsidP="00195E0E">
      <w:pPr>
        <w:tabs>
          <w:tab w:val="left" w:pos="567"/>
        </w:tabs>
        <w:jc w:val="both"/>
      </w:pPr>
    </w:p>
    <w:p w14:paraId="026B1A82" w14:textId="77777777" w:rsidR="0023264C" w:rsidRPr="00770F09" w:rsidRDefault="00021FF7" w:rsidP="00195E0E">
      <w:pPr>
        <w:tabs>
          <w:tab w:val="left" w:pos="567"/>
        </w:tabs>
        <w:jc w:val="both"/>
      </w:pPr>
      <w:r w:rsidRPr="00770F09">
        <w:t xml:space="preserve">Sprovedena je unaprijed definisana retrospektivna analiza podgrupe od 143 od ukupno 154 pacijenta sa mCRC sa divljim tipom </w:t>
      </w:r>
      <w:r w:rsidRPr="00770F09">
        <w:rPr>
          <w:i/>
        </w:rPr>
        <w:t>KRAS</w:t>
      </w:r>
      <w:r w:rsidRPr="00770F09">
        <w:t xml:space="preserve"> (ekson 2) čiji su uzorci tumora ispitani na dodatne </w:t>
      </w:r>
      <w:r w:rsidRPr="00770F09">
        <w:rPr>
          <w:i/>
        </w:rPr>
        <w:t>RAS</w:t>
      </w:r>
      <w:r w:rsidRPr="00770F09">
        <w:t xml:space="preserve"> mutacije. Incidenca tih dodatnih </w:t>
      </w:r>
      <w:r w:rsidRPr="00770F09">
        <w:rPr>
          <w:i/>
        </w:rPr>
        <w:t xml:space="preserve">RAS </w:t>
      </w:r>
      <w:r w:rsidRPr="00770F09">
        <w:t>mutacija (</w:t>
      </w:r>
      <w:r w:rsidRPr="00770F09">
        <w:rPr>
          <w:i/>
        </w:rPr>
        <w:t>KRAS</w:t>
      </w:r>
      <w:r w:rsidRPr="00770F09">
        <w:t xml:space="preserve"> eksoni 3, 4 i </w:t>
      </w:r>
      <w:r w:rsidRPr="00770F09">
        <w:rPr>
          <w:i/>
        </w:rPr>
        <w:t>NRAS</w:t>
      </w:r>
      <w:r w:rsidRPr="00770F09">
        <w:t xml:space="preserve"> eksoni 2, 3, 4) u populaciji s divljim tipom </w:t>
      </w:r>
      <w:r w:rsidRPr="00770F09">
        <w:rPr>
          <w:i/>
        </w:rPr>
        <w:t>KRAS</w:t>
      </w:r>
      <w:r w:rsidRPr="00770F09">
        <w:t xml:space="preserve"> (ekson 2) bila je približno 10%.</w:t>
      </w:r>
    </w:p>
    <w:p w14:paraId="61E4B142" w14:textId="77777777" w:rsidR="0023264C" w:rsidRPr="00770F09" w:rsidRDefault="0023264C" w:rsidP="00195E0E">
      <w:pPr>
        <w:tabs>
          <w:tab w:val="left" w:pos="567"/>
        </w:tabs>
        <w:jc w:val="both"/>
      </w:pPr>
    </w:p>
    <w:p w14:paraId="1D712E7C" w14:textId="77777777" w:rsidR="0023264C" w:rsidRPr="00770F09" w:rsidRDefault="00021FF7" w:rsidP="00195E0E">
      <w:pPr>
        <w:tabs>
          <w:tab w:val="left" w:pos="567"/>
        </w:tabs>
        <w:jc w:val="both"/>
      </w:pPr>
      <w:r w:rsidRPr="00770F09">
        <w:t xml:space="preserve">Rezultati primarne analize kod pacijenata sa mCRC sa divljim tipom </w:t>
      </w:r>
      <w:r w:rsidRPr="00770F09">
        <w:rPr>
          <w:i/>
        </w:rPr>
        <w:t>RAS</w:t>
      </w:r>
      <w:r w:rsidRPr="00770F09">
        <w:t xml:space="preserve"> i mCRC mutiranim tipom </w:t>
      </w:r>
      <w:r w:rsidRPr="00770F09">
        <w:rPr>
          <w:i/>
        </w:rPr>
        <w:t xml:space="preserve">RAS </w:t>
      </w:r>
      <w:r w:rsidRPr="00770F09">
        <w:t>prikazani su u tabeli ispod.</w:t>
      </w:r>
    </w:p>
    <w:p w14:paraId="1A111F0B" w14:textId="77777777" w:rsidR="00021FF7" w:rsidRPr="00770F09" w:rsidRDefault="00021FF7" w:rsidP="00195E0E">
      <w:pPr>
        <w:tabs>
          <w:tab w:val="left" w:pos="567"/>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693"/>
        <w:gridCol w:w="2578"/>
      </w:tblGrid>
      <w:tr w:rsidR="00C90518" w:rsidRPr="00770F09" w14:paraId="472CDC38" w14:textId="77777777" w:rsidTr="009D6589">
        <w:trPr>
          <w:cantSplit/>
          <w:tblHeader/>
        </w:trPr>
        <w:tc>
          <w:tcPr>
            <w:tcW w:w="3828" w:type="dxa"/>
            <w:shd w:val="clear" w:color="auto" w:fill="auto"/>
          </w:tcPr>
          <w:p w14:paraId="1DE0B43A" w14:textId="77777777" w:rsidR="00C90518" w:rsidRPr="00770F09" w:rsidRDefault="00C90518" w:rsidP="00195E0E">
            <w:pPr>
              <w:keepNext/>
              <w:tabs>
                <w:tab w:val="left" w:pos="567"/>
              </w:tabs>
              <w:jc w:val="both"/>
            </w:pPr>
          </w:p>
        </w:tc>
        <w:tc>
          <w:tcPr>
            <w:tcW w:w="5271" w:type="dxa"/>
            <w:gridSpan w:val="2"/>
            <w:shd w:val="clear" w:color="auto" w:fill="auto"/>
          </w:tcPr>
          <w:p w14:paraId="506ED6A2" w14:textId="77777777" w:rsidR="00C90518" w:rsidRPr="00770F09" w:rsidRDefault="00C90518" w:rsidP="00195E0E">
            <w:pPr>
              <w:keepNext/>
              <w:tabs>
                <w:tab w:val="left" w:pos="567"/>
              </w:tabs>
              <w:jc w:val="both"/>
              <w:rPr>
                <w:b/>
              </w:rPr>
            </w:pPr>
            <w:r w:rsidRPr="00770F09">
              <w:rPr>
                <w:b/>
              </w:rPr>
              <w:t>Panitumumab + FOLFIRI</w:t>
            </w:r>
          </w:p>
        </w:tc>
      </w:tr>
      <w:tr w:rsidR="00C90518" w:rsidRPr="00770F09" w14:paraId="35739107" w14:textId="77777777" w:rsidTr="009D6589">
        <w:trPr>
          <w:cantSplit/>
          <w:tblHeader/>
        </w:trPr>
        <w:tc>
          <w:tcPr>
            <w:tcW w:w="3828" w:type="dxa"/>
            <w:shd w:val="clear" w:color="auto" w:fill="auto"/>
          </w:tcPr>
          <w:p w14:paraId="1F09223E" w14:textId="77777777" w:rsidR="00C90518" w:rsidRPr="00770F09" w:rsidRDefault="00C90518" w:rsidP="00195E0E">
            <w:pPr>
              <w:keepNext/>
              <w:tabs>
                <w:tab w:val="left" w:pos="567"/>
              </w:tabs>
              <w:jc w:val="both"/>
            </w:pPr>
          </w:p>
        </w:tc>
        <w:tc>
          <w:tcPr>
            <w:tcW w:w="2693" w:type="dxa"/>
            <w:shd w:val="clear" w:color="auto" w:fill="auto"/>
          </w:tcPr>
          <w:p w14:paraId="3C736C75" w14:textId="77777777" w:rsidR="00C90518" w:rsidRPr="00770F09" w:rsidRDefault="00C90518" w:rsidP="00195E0E">
            <w:pPr>
              <w:keepNext/>
              <w:tabs>
                <w:tab w:val="left" w:pos="567"/>
              </w:tabs>
              <w:jc w:val="both"/>
              <w:rPr>
                <w:b/>
              </w:rPr>
            </w:pPr>
            <w:r w:rsidRPr="00770F09">
              <w:rPr>
                <w:b/>
              </w:rPr>
              <w:t xml:space="preserve">Divlji tip </w:t>
            </w:r>
            <w:r w:rsidRPr="00770F09">
              <w:rPr>
                <w:b/>
                <w:i/>
              </w:rPr>
              <w:t>RAS</w:t>
            </w:r>
            <w:r w:rsidRPr="00770F09">
              <w:rPr>
                <w:b/>
              </w:rPr>
              <w:t xml:space="preserve"> (n = 69)</w:t>
            </w:r>
          </w:p>
        </w:tc>
        <w:tc>
          <w:tcPr>
            <w:tcW w:w="2578" w:type="dxa"/>
            <w:shd w:val="clear" w:color="auto" w:fill="auto"/>
          </w:tcPr>
          <w:p w14:paraId="3314865E" w14:textId="77777777" w:rsidR="00C90518" w:rsidRPr="00770F09" w:rsidRDefault="00C90518" w:rsidP="00195E0E">
            <w:pPr>
              <w:keepNext/>
              <w:tabs>
                <w:tab w:val="left" w:pos="567"/>
              </w:tabs>
              <w:jc w:val="both"/>
              <w:rPr>
                <w:b/>
              </w:rPr>
            </w:pPr>
            <w:r w:rsidRPr="00770F09">
              <w:rPr>
                <w:b/>
              </w:rPr>
              <w:t xml:space="preserve">Mutirani </w:t>
            </w:r>
            <w:r w:rsidRPr="00770F09">
              <w:rPr>
                <w:b/>
                <w:i/>
              </w:rPr>
              <w:t xml:space="preserve">RAS </w:t>
            </w:r>
            <w:r w:rsidRPr="00770F09">
              <w:rPr>
                <w:b/>
              </w:rPr>
              <w:t>(n = 74)</w:t>
            </w:r>
          </w:p>
        </w:tc>
      </w:tr>
      <w:tr w:rsidR="00C90518" w:rsidRPr="00770F09" w14:paraId="3761AABE" w14:textId="77777777" w:rsidTr="009D6589">
        <w:trPr>
          <w:cantSplit/>
        </w:trPr>
        <w:tc>
          <w:tcPr>
            <w:tcW w:w="3828" w:type="dxa"/>
            <w:shd w:val="clear" w:color="auto" w:fill="auto"/>
          </w:tcPr>
          <w:p w14:paraId="2D8F7AF5" w14:textId="77777777" w:rsidR="0023264C" w:rsidRPr="00770F09" w:rsidRDefault="00C90518" w:rsidP="00195E0E">
            <w:pPr>
              <w:keepNext/>
              <w:tabs>
                <w:tab w:val="left" w:pos="567"/>
              </w:tabs>
              <w:jc w:val="both"/>
            </w:pPr>
            <w:r w:rsidRPr="00770F09">
              <w:t>ORR (%)</w:t>
            </w:r>
          </w:p>
          <w:p w14:paraId="746CD26E" w14:textId="77777777" w:rsidR="00C90518" w:rsidRPr="00770F09" w:rsidRDefault="00C90518" w:rsidP="00195E0E">
            <w:pPr>
              <w:keepNext/>
              <w:tabs>
                <w:tab w:val="left" w:pos="567"/>
              </w:tabs>
              <w:jc w:val="both"/>
            </w:pPr>
            <w:r w:rsidRPr="00770F09">
              <w:t>(95% CI)</w:t>
            </w:r>
          </w:p>
        </w:tc>
        <w:tc>
          <w:tcPr>
            <w:tcW w:w="2693" w:type="dxa"/>
            <w:shd w:val="clear" w:color="auto" w:fill="auto"/>
          </w:tcPr>
          <w:p w14:paraId="0DD1C677" w14:textId="77777777" w:rsidR="0023264C" w:rsidRPr="00770F09" w:rsidRDefault="00C90518" w:rsidP="00195E0E">
            <w:pPr>
              <w:keepNext/>
              <w:tabs>
                <w:tab w:val="left" w:pos="567"/>
              </w:tabs>
              <w:jc w:val="both"/>
            </w:pPr>
            <w:r w:rsidRPr="00770F09">
              <w:t>59</w:t>
            </w:r>
          </w:p>
          <w:p w14:paraId="43B78A7D" w14:textId="77777777" w:rsidR="00C90518" w:rsidRPr="00770F09" w:rsidRDefault="00C90518" w:rsidP="00195E0E">
            <w:pPr>
              <w:keepNext/>
              <w:tabs>
                <w:tab w:val="left" w:pos="567"/>
              </w:tabs>
              <w:jc w:val="both"/>
            </w:pPr>
            <w:r w:rsidRPr="00770F09">
              <w:t>(46; 71)</w:t>
            </w:r>
          </w:p>
        </w:tc>
        <w:tc>
          <w:tcPr>
            <w:tcW w:w="2578" w:type="dxa"/>
            <w:shd w:val="clear" w:color="auto" w:fill="auto"/>
          </w:tcPr>
          <w:p w14:paraId="7348AD48" w14:textId="77777777" w:rsidR="0023264C" w:rsidRPr="00770F09" w:rsidRDefault="00C90518" w:rsidP="00195E0E">
            <w:pPr>
              <w:keepNext/>
              <w:tabs>
                <w:tab w:val="left" w:pos="567"/>
              </w:tabs>
              <w:jc w:val="both"/>
            </w:pPr>
            <w:r w:rsidRPr="00770F09">
              <w:t>41</w:t>
            </w:r>
          </w:p>
          <w:p w14:paraId="462C951F" w14:textId="77777777" w:rsidR="00C90518" w:rsidRPr="00770F09" w:rsidRDefault="00C90518" w:rsidP="00195E0E">
            <w:pPr>
              <w:keepNext/>
              <w:tabs>
                <w:tab w:val="left" w:pos="567"/>
              </w:tabs>
              <w:jc w:val="both"/>
            </w:pPr>
            <w:r w:rsidRPr="00770F09">
              <w:t>(30; 53)</w:t>
            </w:r>
          </w:p>
        </w:tc>
      </w:tr>
      <w:tr w:rsidR="00C90518" w:rsidRPr="00770F09" w14:paraId="5F0C409E" w14:textId="77777777" w:rsidTr="009D6589">
        <w:trPr>
          <w:cantSplit/>
        </w:trPr>
        <w:tc>
          <w:tcPr>
            <w:tcW w:w="3828" w:type="dxa"/>
            <w:shd w:val="clear" w:color="auto" w:fill="auto"/>
          </w:tcPr>
          <w:p w14:paraId="38E004C1" w14:textId="77777777" w:rsidR="00B150E6" w:rsidRPr="00770F09" w:rsidRDefault="00C90518" w:rsidP="00195E0E">
            <w:pPr>
              <w:keepNext/>
              <w:tabs>
                <w:tab w:val="left" w:pos="567"/>
              </w:tabs>
              <w:jc w:val="both"/>
            </w:pPr>
            <w:r w:rsidRPr="00770F09">
              <w:t>Srednja vrijednost PFS (mjeseci)</w:t>
            </w:r>
          </w:p>
          <w:p w14:paraId="05232FC4" w14:textId="77777777" w:rsidR="00C90518" w:rsidRPr="00770F09" w:rsidRDefault="00C90518" w:rsidP="00195E0E">
            <w:pPr>
              <w:keepNext/>
              <w:tabs>
                <w:tab w:val="left" w:pos="567"/>
              </w:tabs>
              <w:jc w:val="both"/>
            </w:pPr>
            <w:r w:rsidRPr="00770F09">
              <w:t xml:space="preserve">(95% CI) </w:t>
            </w:r>
          </w:p>
        </w:tc>
        <w:tc>
          <w:tcPr>
            <w:tcW w:w="2693" w:type="dxa"/>
            <w:shd w:val="clear" w:color="auto" w:fill="auto"/>
          </w:tcPr>
          <w:p w14:paraId="31EC28E7" w14:textId="77777777" w:rsidR="0023264C" w:rsidRPr="00770F09" w:rsidRDefault="00C90518" w:rsidP="00195E0E">
            <w:pPr>
              <w:keepNext/>
              <w:tabs>
                <w:tab w:val="left" w:pos="567"/>
              </w:tabs>
              <w:jc w:val="both"/>
            </w:pPr>
            <w:r w:rsidRPr="00770F09">
              <w:t>11,2</w:t>
            </w:r>
          </w:p>
          <w:p w14:paraId="4BE9F052" w14:textId="77777777" w:rsidR="00C90518" w:rsidRPr="00770F09" w:rsidRDefault="00C90518" w:rsidP="00195E0E">
            <w:pPr>
              <w:keepNext/>
              <w:tabs>
                <w:tab w:val="left" w:pos="567"/>
              </w:tabs>
              <w:jc w:val="both"/>
            </w:pPr>
            <w:r w:rsidRPr="00770F09">
              <w:t>(7,6; 14,8)</w:t>
            </w:r>
          </w:p>
        </w:tc>
        <w:tc>
          <w:tcPr>
            <w:tcW w:w="2578" w:type="dxa"/>
            <w:shd w:val="clear" w:color="auto" w:fill="auto"/>
          </w:tcPr>
          <w:p w14:paraId="68B561CA" w14:textId="77777777" w:rsidR="0023264C" w:rsidRPr="00770F09" w:rsidRDefault="00C90518" w:rsidP="00195E0E">
            <w:pPr>
              <w:keepNext/>
              <w:tabs>
                <w:tab w:val="left" w:pos="567"/>
              </w:tabs>
              <w:jc w:val="both"/>
            </w:pPr>
            <w:r w:rsidRPr="00770F09">
              <w:t>7,3</w:t>
            </w:r>
          </w:p>
          <w:p w14:paraId="117560B8" w14:textId="77777777" w:rsidR="00C90518" w:rsidRPr="00770F09" w:rsidRDefault="00C90518" w:rsidP="00195E0E">
            <w:pPr>
              <w:keepNext/>
              <w:tabs>
                <w:tab w:val="left" w:pos="567"/>
              </w:tabs>
              <w:jc w:val="both"/>
            </w:pPr>
            <w:r w:rsidRPr="00770F09">
              <w:t>(5,8; 7,5)</w:t>
            </w:r>
          </w:p>
        </w:tc>
      </w:tr>
      <w:tr w:rsidR="00C90518" w:rsidRPr="00770F09" w14:paraId="1B40B825" w14:textId="77777777" w:rsidTr="009D6589">
        <w:trPr>
          <w:cantSplit/>
        </w:trPr>
        <w:tc>
          <w:tcPr>
            <w:tcW w:w="3828" w:type="dxa"/>
            <w:shd w:val="clear" w:color="auto" w:fill="auto"/>
          </w:tcPr>
          <w:p w14:paraId="7417DC11" w14:textId="4F27FABC" w:rsidR="0023264C" w:rsidRPr="00770F09" w:rsidRDefault="00C90518" w:rsidP="00195E0E">
            <w:pPr>
              <w:keepNext/>
              <w:tabs>
                <w:tab w:val="left" w:pos="567"/>
              </w:tabs>
              <w:jc w:val="both"/>
            </w:pPr>
            <w:r w:rsidRPr="00770F09">
              <w:t>Srednja vrijednost trajanja odgovora (mjeseci)</w:t>
            </w:r>
          </w:p>
          <w:p w14:paraId="52625CE1" w14:textId="77777777" w:rsidR="00C90518" w:rsidRPr="00770F09" w:rsidRDefault="00C90518" w:rsidP="00195E0E">
            <w:pPr>
              <w:keepNext/>
              <w:tabs>
                <w:tab w:val="left" w:pos="567"/>
              </w:tabs>
              <w:jc w:val="both"/>
            </w:pPr>
            <w:r w:rsidRPr="00770F09">
              <w:t>(95% CI)</w:t>
            </w:r>
          </w:p>
        </w:tc>
        <w:tc>
          <w:tcPr>
            <w:tcW w:w="2693" w:type="dxa"/>
            <w:shd w:val="clear" w:color="auto" w:fill="auto"/>
          </w:tcPr>
          <w:p w14:paraId="22920260" w14:textId="77777777" w:rsidR="0023264C" w:rsidRPr="00770F09" w:rsidRDefault="00C90518" w:rsidP="00195E0E">
            <w:pPr>
              <w:keepNext/>
              <w:tabs>
                <w:tab w:val="left" w:pos="567"/>
              </w:tabs>
              <w:jc w:val="both"/>
            </w:pPr>
            <w:r w:rsidRPr="00770F09">
              <w:t>13,0</w:t>
            </w:r>
          </w:p>
          <w:p w14:paraId="5671E029" w14:textId="77777777" w:rsidR="00C90518" w:rsidRPr="00770F09" w:rsidRDefault="00C90518" w:rsidP="00195E0E">
            <w:pPr>
              <w:keepNext/>
              <w:tabs>
                <w:tab w:val="left" w:pos="567"/>
              </w:tabs>
              <w:jc w:val="both"/>
            </w:pPr>
            <w:r w:rsidRPr="00770F09">
              <w:t>(9,3; 15,7)</w:t>
            </w:r>
          </w:p>
        </w:tc>
        <w:tc>
          <w:tcPr>
            <w:tcW w:w="2578" w:type="dxa"/>
            <w:shd w:val="clear" w:color="auto" w:fill="auto"/>
          </w:tcPr>
          <w:p w14:paraId="69B16314" w14:textId="77777777" w:rsidR="0023264C" w:rsidRPr="00770F09" w:rsidRDefault="00C90518" w:rsidP="00195E0E">
            <w:pPr>
              <w:keepNext/>
              <w:tabs>
                <w:tab w:val="left" w:pos="567"/>
              </w:tabs>
              <w:jc w:val="both"/>
            </w:pPr>
            <w:r w:rsidRPr="00770F09">
              <w:t>5,8</w:t>
            </w:r>
          </w:p>
          <w:p w14:paraId="5532DC78" w14:textId="77777777" w:rsidR="00C90518" w:rsidRPr="00770F09" w:rsidRDefault="00C90518" w:rsidP="00195E0E">
            <w:pPr>
              <w:keepNext/>
              <w:tabs>
                <w:tab w:val="left" w:pos="567"/>
              </w:tabs>
              <w:jc w:val="both"/>
            </w:pPr>
            <w:r w:rsidRPr="00770F09">
              <w:t>(3,9; 7,8)</w:t>
            </w:r>
          </w:p>
        </w:tc>
      </w:tr>
      <w:tr w:rsidR="00C90518" w:rsidRPr="00770F09" w14:paraId="231FF3F0" w14:textId="77777777" w:rsidTr="009D6589">
        <w:trPr>
          <w:cantSplit/>
        </w:trPr>
        <w:tc>
          <w:tcPr>
            <w:tcW w:w="3828" w:type="dxa"/>
            <w:shd w:val="clear" w:color="auto" w:fill="auto"/>
          </w:tcPr>
          <w:p w14:paraId="1CE52109" w14:textId="77777777" w:rsidR="00B150E6" w:rsidRPr="00770F09" w:rsidRDefault="00C90518" w:rsidP="00195E0E">
            <w:pPr>
              <w:keepNext/>
              <w:tabs>
                <w:tab w:val="left" w:pos="567"/>
              </w:tabs>
              <w:jc w:val="both"/>
            </w:pPr>
            <w:r w:rsidRPr="00770F09">
              <w:t>Srednja vrijednost TTP (mjeseci)</w:t>
            </w:r>
          </w:p>
          <w:p w14:paraId="1D311596" w14:textId="77777777" w:rsidR="00C90518" w:rsidRPr="00770F09" w:rsidRDefault="00C90518" w:rsidP="00195E0E">
            <w:pPr>
              <w:keepNext/>
              <w:tabs>
                <w:tab w:val="left" w:pos="567"/>
              </w:tabs>
              <w:jc w:val="both"/>
            </w:pPr>
            <w:r w:rsidRPr="00770F09">
              <w:t>(95% CI)</w:t>
            </w:r>
          </w:p>
        </w:tc>
        <w:tc>
          <w:tcPr>
            <w:tcW w:w="2693" w:type="dxa"/>
            <w:shd w:val="clear" w:color="auto" w:fill="auto"/>
          </w:tcPr>
          <w:p w14:paraId="7F15E19F" w14:textId="77777777" w:rsidR="0023264C" w:rsidRPr="00770F09" w:rsidRDefault="00C90518" w:rsidP="00195E0E">
            <w:pPr>
              <w:keepNext/>
              <w:tabs>
                <w:tab w:val="left" w:pos="567"/>
              </w:tabs>
              <w:jc w:val="both"/>
            </w:pPr>
            <w:r w:rsidRPr="00770F09">
              <w:t>13,2</w:t>
            </w:r>
          </w:p>
          <w:p w14:paraId="057D9191" w14:textId="77777777" w:rsidR="00C90518" w:rsidRPr="00770F09" w:rsidRDefault="00C90518" w:rsidP="00195E0E">
            <w:pPr>
              <w:keepNext/>
              <w:tabs>
                <w:tab w:val="left" w:pos="567"/>
              </w:tabs>
              <w:jc w:val="both"/>
            </w:pPr>
            <w:r w:rsidRPr="00770F09">
              <w:t>(7,8; 17,0)</w:t>
            </w:r>
          </w:p>
        </w:tc>
        <w:tc>
          <w:tcPr>
            <w:tcW w:w="2578" w:type="dxa"/>
            <w:shd w:val="clear" w:color="auto" w:fill="auto"/>
          </w:tcPr>
          <w:p w14:paraId="3D462471" w14:textId="77777777" w:rsidR="0023264C" w:rsidRPr="00770F09" w:rsidRDefault="00C90518" w:rsidP="00195E0E">
            <w:pPr>
              <w:keepNext/>
              <w:tabs>
                <w:tab w:val="left" w:pos="567"/>
              </w:tabs>
              <w:jc w:val="both"/>
            </w:pPr>
            <w:r w:rsidRPr="00770F09">
              <w:t>7,3</w:t>
            </w:r>
          </w:p>
          <w:p w14:paraId="46F0E8CE" w14:textId="77777777" w:rsidR="00C90518" w:rsidRPr="00770F09" w:rsidRDefault="00C90518" w:rsidP="00195E0E">
            <w:pPr>
              <w:keepNext/>
              <w:tabs>
                <w:tab w:val="left" w:pos="567"/>
              </w:tabs>
              <w:jc w:val="both"/>
            </w:pPr>
            <w:r w:rsidRPr="00770F09">
              <w:t>(6,1; 7,6)</w:t>
            </w:r>
          </w:p>
        </w:tc>
      </w:tr>
    </w:tbl>
    <w:p w14:paraId="1BDE1482" w14:textId="77777777" w:rsidR="0023264C" w:rsidRPr="00770F09" w:rsidRDefault="0023264C" w:rsidP="00195E0E">
      <w:pPr>
        <w:tabs>
          <w:tab w:val="left" w:pos="567"/>
        </w:tabs>
        <w:jc w:val="both"/>
      </w:pPr>
    </w:p>
    <w:p w14:paraId="31C57C4B" w14:textId="4BCADC55" w:rsidR="0023264C" w:rsidRPr="00770F09" w:rsidRDefault="00B657F1" w:rsidP="00195E0E">
      <w:pPr>
        <w:keepNext/>
        <w:tabs>
          <w:tab w:val="left" w:pos="567"/>
        </w:tabs>
        <w:jc w:val="both"/>
        <w:rPr>
          <w:i/>
          <w:u w:val="single"/>
        </w:rPr>
      </w:pPr>
      <w:r w:rsidRPr="00770F09">
        <w:rPr>
          <w:i/>
          <w:u w:val="single"/>
        </w:rPr>
        <w:t>Prva linija terapije – kombinacija sa bevacizumabom i hemioterapijom zasnovanom na oksaliplatinu ili irinotekanu</w:t>
      </w:r>
    </w:p>
    <w:p w14:paraId="003E2483" w14:textId="77777777" w:rsidR="0023264C" w:rsidRPr="00770F09" w:rsidRDefault="0023264C" w:rsidP="00195E0E">
      <w:pPr>
        <w:keepNext/>
        <w:tabs>
          <w:tab w:val="left" w:pos="567"/>
        </w:tabs>
        <w:jc w:val="both"/>
      </w:pPr>
    </w:p>
    <w:p w14:paraId="6B0B7234" w14:textId="77777777" w:rsidR="00B150E6" w:rsidRPr="00770F09" w:rsidRDefault="00B657F1" w:rsidP="00195E0E">
      <w:pPr>
        <w:tabs>
          <w:tab w:val="left" w:pos="567"/>
        </w:tabs>
        <w:jc w:val="both"/>
      </w:pPr>
      <w:r w:rsidRPr="00770F09">
        <w:t>U jednoj randomizovanoj, otvorenoj, kontrolisanoj kliničkoj studiji hemioterapija (oksaliplatin ili irinotekan) i bevacizumab su primjenjivani sa ili bez panitumumaba kao prva linija terapije pacijenata sa metastatskim kolorektalnim karcinomom (n = 1053 [n = 823 grupa sa oksaliplatinom, n = 230 grupa sa irinotekanom]). Liječenje panitumumabom je prekinuto zbog statistički značajnog smanjenja PFS u grupi koja je primala panitumumab, što je uočeno u periodičnoj analizi studije.</w:t>
      </w:r>
    </w:p>
    <w:p w14:paraId="31293313" w14:textId="77777777" w:rsidR="0023264C" w:rsidRPr="00770F09" w:rsidRDefault="0023264C" w:rsidP="00195E0E">
      <w:pPr>
        <w:tabs>
          <w:tab w:val="left" w:pos="567"/>
        </w:tabs>
        <w:jc w:val="both"/>
      </w:pPr>
    </w:p>
    <w:p w14:paraId="14991D46" w14:textId="77777777" w:rsidR="0023264C" w:rsidRPr="00770F09" w:rsidRDefault="00B657F1" w:rsidP="00195E0E">
      <w:pPr>
        <w:tabs>
          <w:tab w:val="left" w:pos="567"/>
        </w:tabs>
        <w:jc w:val="both"/>
      </w:pPr>
      <w:r w:rsidRPr="00770F09">
        <w:t xml:space="preserve">Glavni cilj studije bilo je poređenje PFS u grupi sa oksaliplatinom. U finalnoj analizi, HR za PFS iznosio je 1,27 (95% CI: 1,06; 1,52). Srednje vrijeme preživljavanja bez progresije bolesti bilo je 10,0 (95% CI: 8,9; 11,0) mjeseci u grupi koja je primala panitumumab i 11,4 (95% CI: 10,5; 11,9) mjeseci u grupi koja nije primala panitumumab. U grupi koja je primala panitumumab došlo je do porasta mortaliteta. HR za OS iznosio je 1,43 (95% CI: 1,11; 1,83). Srednje vrijeme ukupnog preživljavanja je iznosilo 19,4 </w:t>
      </w:r>
      <w:r w:rsidRPr="00770F09">
        <w:lastRenderedPageBreak/>
        <w:t>(95% CI: 18,4; 20,8) u grupi koja je primala panitumumab i 24,5 (95% CI: 20,4; 24,5) u grupi koja nije primala panitumumab.</w:t>
      </w:r>
    </w:p>
    <w:p w14:paraId="5104B0D7" w14:textId="77777777" w:rsidR="0023264C" w:rsidRPr="00770F09" w:rsidRDefault="0023264C" w:rsidP="00195E0E">
      <w:pPr>
        <w:tabs>
          <w:tab w:val="left" w:pos="567"/>
        </w:tabs>
        <w:jc w:val="both"/>
      </w:pPr>
    </w:p>
    <w:p w14:paraId="3C00FA9A" w14:textId="54CB1A45" w:rsidR="0023264C" w:rsidRPr="00770F09" w:rsidRDefault="00B657F1" w:rsidP="00195E0E">
      <w:pPr>
        <w:tabs>
          <w:tab w:val="left" w:pos="567"/>
        </w:tabs>
        <w:jc w:val="both"/>
      </w:pPr>
      <w:r w:rsidRPr="00770F09">
        <w:t>Dodatnom analizom efikasnosti u odnosu na status</w:t>
      </w:r>
      <w:r w:rsidRPr="00770F09">
        <w:rPr>
          <w:i/>
        </w:rPr>
        <w:t xml:space="preserve"> KRAS</w:t>
      </w:r>
      <w:r w:rsidRPr="00770F09">
        <w:t xml:space="preserve"> (ekson 2) gena nije identifikovana podgrupa pacijenata koji bi mogli imati koristi od terapije panitumumabom u kombinaciji sa bevacizumabom i hemioterapijom zasnovanom na oksaliplatinu ili irinotekanu. U podgrupi pacijenata sa divljim tipom </w:t>
      </w:r>
      <w:r w:rsidRPr="00770F09">
        <w:rPr>
          <w:i/>
        </w:rPr>
        <w:t>KRAS</w:t>
      </w:r>
      <w:r w:rsidRPr="00770F09">
        <w:t xml:space="preserve"> gena u okviru oksaliplatinske grupe, HR za PFS iznosio je 1,36 sa 95% CI: 1,04, 1,77. U podgrupi pacijenata sa mutiranim</w:t>
      </w:r>
      <w:r w:rsidRPr="00770F09">
        <w:rPr>
          <w:i/>
        </w:rPr>
        <w:t xml:space="preserve"> KRAS</w:t>
      </w:r>
      <w:r w:rsidRPr="00770F09">
        <w:t xml:space="preserve"> genom, HR za PFS iznosio je 1,25 sa 95% CI: 0,91, 1,71. Trend boljeg OS uočen je u kontrolnoj grupi kod pacijenata sa divljim tipom </w:t>
      </w:r>
      <w:r w:rsidRPr="00770F09">
        <w:rPr>
          <w:i/>
        </w:rPr>
        <w:t>KRAS</w:t>
      </w:r>
      <w:r w:rsidRPr="00770F09">
        <w:t xml:space="preserve"> gena u okviru oksaliplatin grupe (HR = 1,89; 95% CI: 1,30; 2,75). Takođe, trend lošijeg preživljavanja uočen je pri primjeni panitumumaba sa irinotekanom bez obzira na mutacioni status </w:t>
      </w:r>
      <w:r w:rsidRPr="00770F09">
        <w:rPr>
          <w:i/>
        </w:rPr>
        <w:t>KRAS</w:t>
      </w:r>
      <w:r w:rsidRPr="00770F09">
        <w:t xml:space="preserve"> gena. Sve ukupno gledajući, panitumumab u kombinaciji sa hemioterapijom i bevacizumabom se karakteriše nepovoljnim korist/rizik odnosom bez obzira na tumorski </w:t>
      </w:r>
      <w:r w:rsidRPr="00770F09">
        <w:rPr>
          <w:i/>
        </w:rPr>
        <w:t>KRAS</w:t>
      </w:r>
      <w:r w:rsidRPr="00770F09">
        <w:t xml:space="preserve"> mutacioni status.</w:t>
      </w:r>
    </w:p>
    <w:p w14:paraId="0C9ABF43" w14:textId="77777777" w:rsidR="0023264C" w:rsidRPr="00770F09" w:rsidRDefault="0023264C" w:rsidP="00195E0E">
      <w:pPr>
        <w:tabs>
          <w:tab w:val="left" w:pos="567"/>
        </w:tabs>
        <w:jc w:val="both"/>
      </w:pPr>
    </w:p>
    <w:p w14:paraId="27A83499" w14:textId="77777777" w:rsidR="00B150E6" w:rsidRPr="00770F09" w:rsidRDefault="00B657F1" w:rsidP="00195E0E">
      <w:pPr>
        <w:keepNext/>
        <w:tabs>
          <w:tab w:val="left" w:pos="567"/>
        </w:tabs>
        <w:jc w:val="both"/>
        <w:rPr>
          <w:u w:val="single"/>
        </w:rPr>
      </w:pPr>
      <w:r w:rsidRPr="00770F09">
        <w:rPr>
          <w:u w:val="single"/>
        </w:rPr>
        <w:t>Pedijatrijska populacija</w:t>
      </w:r>
    </w:p>
    <w:p w14:paraId="7AF6A174" w14:textId="77777777" w:rsidR="0023264C" w:rsidRPr="00770F09" w:rsidRDefault="0023264C" w:rsidP="00195E0E">
      <w:pPr>
        <w:keepNext/>
        <w:tabs>
          <w:tab w:val="left" w:pos="567"/>
        </w:tabs>
        <w:jc w:val="both"/>
      </w:pPr>
    </w:p>
    <w:p w14:paraId="629CD11B" w14:textId="3C379BDA" w:rsidR="0023264C" w:rsidRPr="00770F09" w:rsidRDefault="00B657F1" w:rsidP="00195E0E">
      <w:pPr>
        <w:tabs>
          <w:tab w:val="left" w:pos="567"/>
        </w:tabs>
        <w:jc w:val="both"/>
        <w:rPr>
          <w:iCs/>
        </w:rPr>
      </w:pPr>
      <w:r w:rsidRPr="00770F09">
        <w:t>Evropska agencija za lijekove je izuzela od obaveze podnošenja rezultata studija sa lijekom Vectibix kod svih podgrupa pedijatrijskih pacijenata sa kolorektalnim karcinomom (vidjeti</w:t>
      </w:r>
      <w:r w:rsidR="00815CBC" w:rsidRPr="00770F09">
        <w:t xml:space="preserve"> </w:t>
      </w:r>
      <w:r w:rsidR="00C4278F" w:rsidRPr="00770F09">
        <w:t xml:space="preserve">dio </w:t>
      </w:r>
      <w:r w:rsidRPr="00770F09">
        <w:t> 4.2 Informacije o primjeni u pedijatrijskoj populaciji).</w:t>
      </w:r>
    </w:p>
    <w:p w14:paraId="350EDD4A" w14:textId="77777777" w:rsidR="0023264C" w:rsidRPr="00770F09" w:rsidRDefault="0023264C" w:rsidP="00195E0E">
      <w:pPr>
        <w:tabs>
          <w:tab w:val="left" w:pos="567"/>
        </w:tabs>
        <w:jc w:val="both"/>
      </w:pPr>
    </w:p>
    <w:p w14:paraId="164C299D" w14:textId="77777777" w:rsidR="0023264C" w:rsidRPr="00770F09" w:rsidRDefault="00B657F1" w:rsidP="00195E0E">
      <w:pPr>
        <w:pStyle w:val="11ptBold"/>
        <w:jc w:val="both"/>
      </w:pPr>
      <w:r w:rsidRPr="00770F09">
        <w:t>5.2.</w:t>
      </w:r>
      <w:r w:rsidRPr="00770F09">
        <w:tab/>
        <w:t>Farmakokinetički podaci</w:t>
      </w:r>
    </w:p>
    <w:p w14:paraId="02E53BB0" w14:textId="77777777" w:rsidR="0023264C" w:rsidRPr="00770F09" w:rsidRDefault="0023264C" w:rsidP="00195E0E">
      <w:pPr>
        <w:keepNext/>
        <w:tabs>
          <w:tab w:val="left" w:pos="567"/>
        </w:tabs>
        <w:jc w:val="both"/>
      </w:pPr>
    </w:p>
    <w:p w14:paraId="2F2F85A3" w14:textId="77777777" w:rsidR="0023264C" w:rsidRPr="00770F09" w:rsidRDefault="00B657F1" w:rsidP="00195E0E">
      <w:pPr>
        <w:pStyle w:val="BodyText"/>
        <w:spacing w:after="0"/>
        <w:ind w:right="-1"/>
        <w:jc w:val="both"/>
      </w:pPr>
      <w:r w:rsidRPr="00770F09">
        <w:t>Kada se primjenjuje u vidu monoterapije ili u kombinaciji sa hemioterapijom, Vectibix ispoljava nelinearnu farmakokinetiku.</w:t>
      </w:r>
    </w:p>
    <w:p w14:paraId="4D26889F" w14:textId="77777777" w:rsidR="0023264C" w:rsidRPr="00770F09" w:rsidRDefault="0023264C" w:rsidP="00195E0E">
      <w:pPr>
        <w:tabs>
          <w:tab w:val="left" w:pos="567"/>
        </w:tabs>
        <w:jc w:val="both"/>
      </w:pPr>
    </w:p>
    <w:p w14:paraId="5A541467" w14:textId="77777777" w:rsidR="0023264C" w:rsidRPr="00770F09" w:rsidRDefault="00B657F1" w:rsidP="00195E0E">
      <w:pPr>
        <w:tabs>
          <w:tab w:val="left" w:pos="567"/>
        </w:tabs>
        <w:jc w:val="both"/>
      </w:pPr>
      <w:r w:rsidRPr="00770F09">
        <w:t>Nakon primjene pojedinačne doze panitumumaba u vidu jednočasovne infuzije, površina ispod krive koncentracija</w:t>
      </w:r>
      <w:r w:rsidRPr="00770F09">
        <w:noBreakHyphen/>
        <w:t xml:space="preserve">vrijeme (PIK) se povećala više u odnosu na dozno zavistan način primjene, a klirens (CL) panitumumaba se smanjio sa 30,6 na 4,6 ml/dan/kg sa povećanjem </w:t>
      </w:r>
      <w:bookmarkStart w:id="0" w:name="_GoBack"/>
      <w:bookmarkEnd w:id="0"/>
      <w:r w:rsidRPr="00770F09">
        <w:t>doze sa 0,75 na 9 mg/kg. Međutim, pri dozama iznad 2 mg/kg, vrijednost PIK panitumumaba se povećava uglavnom na dozno zavistan način.</w:t>
      </w:r>
    </w:p>
    <w:p w14:paraId="669F88AF" w14:textId="77777777" w:rsidR="0023264C" w:rsidRPr="00770F09" w:rsidRDefault="0023264C" w:rsidP="00195E0E">
      <w:pPr>
        <w:tabs>
          <w:tab w:val="left" w:pos="567"/>
        </w:tabs>
        <w:jc w:val="both"/>
      </w:pPr>
    </w:p>
    <w:p w14:paraId="114B968A" w14:textId="77777777" w:rsidR="0023264C" w:rsidRPr="00770F09" w:rsidRDefault="00B657F1" w:rsidP="00195E0E">
      <w:pPr>
        <w:tabs>
          <w:tab w:val="left" w:pos="567"/>
        </w:tabs>
        <w:jc w:val="both"/>
      </w:pPr>
      <w:r w:rsidRPr="00770F09">
        <w:t>Nakon preporučene primjene doznog režima (6 mg/kg na dvije nedjelje, u vidu jednočasovne infuzije), koncentracije panitumumaba su dostigle nivoe ravnotežnog stanja nakon treće infuzije sa prosječnom (±Standardnom Devijacijom [SD]) pikom i najvišim koncentracijama od 213±59 i najnižim 39±14 mcg/ml. Srednja vrijednost (±SD) PIK</w:t>
      </w:r>
      <w:r w:rsidRPr="00770F09">
        <w:rPr>
          <w:vertAlign w:val="subscript"/>
        </w:rPr>
        <w:t>0-tau</w:t>
      </w:r>
      <w:r w:rsidRPr="00770F09">
        <w:t xml:space="preserve"> je iznosila 1306±374 mcg•dan/ml a srednja vrijednost CL 4,9±1,4 ml/kg/dan. Poluvrijeme eliminacije je iznosilo približno 7,5 dana (od 3,6 do 10,9 dana).</w:t>
      </w:r>
    </w:p>
    <w:p w14:paraId="1BDAF45E" w14:textId="77777777" w:rsidR="0023264C" w:rsidRPr="00770F09" w:rsidRDefault="0023264C" w:rsidP="00195E0E">
      <w:pPr>
        <w:tabs>
          <w:tab w:val="left" w:pos="567"/>
        </w:tabs>
        <w:jc w:val="both"/>
      </w:pPr>
    </w:p>
    <w:p w14:paraId="39DD7185" w14:textId="77777777" w:rsidR="00B150E6" w:rsidRPr="00770F09" w:rsidRDefault="00E04316" w:rsidP="00195E0E">
      <w:pPr>
        <w:tabs>
          <w:tab w:val="left" w:pos="567"/>
        </w:tabs>
        <w:jc w:val="both"/>
      </w:pPr>
      <w:r w:rsidRPr="00770F09">
        <w:t>Populaciona farmakokinetička analiza je sprovedena da bi se ispitao potencijalni efekat odabranih kovarijansi na farmakokinetiku panitumumaba. Rezultati ukazuju na to da uzrast (21-88), pol, vrsta tumora, rasa, funkcija jetre i bubrega, hemioterapijski lijek kao i intezitet bojenja membrane EGFR (1+, 2+, 3+) u ćelijama tumora nisu imali očigledan utjecaj na farmakokinetiku panitumumaba.</w:t>
      </w:r>
    </w:p>
    <w:p w14:paraId="7F58DE11" w14:textId="77777777" w:rsidR="0023264C" w:rsidRPr="00770F09" w:rsidRDefault="0023264C" w:rsidP="00195E0E">
      <w:pPr>
        <w:tabs>
          <w:tab w:val="left" w:pos="567"/>
        </w:tabs>
        <w:jc w:val="both"/>
      </w:pPr>
    </w:p>
    <w:p w14:paraId="0F4C41D1" w14:textId="77777777" w:rsidR="0023264C" w:rsidRPr="00770F09" w:rsidRDefault="00E04316" w:rsidP="00195E0E">
      <w:pPr>
        <w:tabs>
          <w:tab w:val="left" w:pos="567"/>
        </w:tabs>
        <w:jc w:val="both"/>
      </w:pPr>
      <w:r w:rsidRPr="00770F09">
        <w:t>Nijesu sprovedene kliničke studije kojima bi se ispitala farmakokinetika panitumumaba kod pacijenata sa oslabljenom funkcijom bubrega ili jetre.</w:t>
      </w:r>
    </w:p>
    <w:p w14:paraId="7B85AA57" w14:textId="77777777" w:rsidR="0023264C" w:rsidRPr="00770F09" w:rsidRDefault="0023264C" w:rsidP="00195E0E">
      <w:pPr>
        <w:tabs>
          <w:tab w:val="left" w:pos="567"/>
        </w:tabs>
        <w:jc w:val="both"/>
      </w:pPr>
    </w:p>
    <w:p w14:paraId="51E4CD61" w14:textId="77777777" w:rsidR="0023264C" w:rsidRPr="00770F09" w:rsidRDefault="00947E9E" w:rsidP="00195E0E">
      <w:pPr>
        <w:pStyle w:val="11ptBold"/>
        <w:jc w:val="both"/>
      </w:pPr>
      <w:r w:rsidRPr="00770F09">
        <w:t>5.3.</w:t>
      </w:r>
      <w:r w:rsidRPr="00770F09">
        <w:tab/>
        <w:t>Pretklinički podaci o bezbjednosti</w:t>
      </w:r>
    </w:p>
    <w:p w14:paraId="51A7F328" w14:textId="77777777" w:rsidR="0023264C" w:rsidRPr="00770F09" w:rsidRDefault="0023264C" w:rsidP="00195E0E">
      <w:pPr>
        <w:keepNext/>
        <w:tabs>
          <w:tab w:val="left" w:pos="567"/>
        </w:tabs>
        <w:jc w:val="both"/>
      </w:pPr>
    </w:p>
    <w:p w14:paraId="3328151B" w14:textId="77777777" w:rsidR="0023264C" w:rsidRPr="00770F09" w:rsidRDefault="00947E9E" w:rsidP="00195E0E">
      <w:pPr>
        <w:tabs>
          <w:tab w:val="left" w:pos="567"/>
        </w:tabs>
        <w:jc w:val="both"/>
      </w:pPr>
      <w:r w:rsidRPr="00770F09">
        <w:t>Neželjene reakcije primijećene kod životinja pri nivoima izloženosti sličnim kliničkim nivoima, koje mogu biti od važnosti za kliničku primjenu su sljedeće:</w:t>
      </w:r>
    </w:p>
    <w:p w14:paraId="23BE82E7" w14:textId="77777777" w:rsidR="0023264C" w:rsidRPr="00770F09" w:rsidRDefault="0023264C" w:rsidP="00195E0E">
      <w:pPr>
        <w:tabs>
          <w:tab w:val="left" w:pos="567"/>
        </w:tabs>
        <w:jc w:val="both"/>
      </w:pPr>
    </w:p>
    <w:p w14:paraId="5EB0A671" w14:textId="77777777" w:rsidR="0023264C" w:rsidRPr="00770F09" w:rsidRDefault="00947E9E" w:rsidP="00195E0E">
      <w:pPr>
        <w:tabs>
          <w:tab w:val="left" w:pos="567"/>
        </w:tabs>
        <w:jc w:val="both"/>
      </w:pPr>
      <w:r w:rsidRPr="00770F09">
        <w:t>Osip na koži i dijareja su bile najznačajnije reakcije primijećene u studijama toksičnosti ponovljene doze u trajanju do 26 nedjelja kod javanskih makaka majmuna. Ovi rezultati su primijećeni pri dozama ekvivalentnim preporučenim dozama za primjenu kod ljudi i bile su reverzibilne po povlačenju lijeka panitumumab. Smatra se da su osip na koži i dijareja primijećeni kod majmuna povezani sa farmakološkim dejstvom panitumumaba i da su slični reakcijama u studijama toksičnosti drugih anti</w:t>
      </w:r>
      <w:r w:rsidRPr="00770F09">
        <w:noBreakHyphen/>
        <w:t>EGFR inhibitora.</w:t>
      </w:r>
    </w:p>
    <w:p w14:paraId="39EE24AD" w14:textId="77777777" w:rsidR="0023264C" w:rsidRPr="00770F09" w:rsidRDefault="0023264C" w:rsidP="00195E0E">
      <w:pPr>
        <w:tabs>
          <w:tab w:val="left" w:pos="567"/>
        </w:tabs>
        <w:jc w:val="both"/>
      </w:pPr>
    </w:p>
    <w:p w14:paraId="0001E2B5" w14:textId="77777777" w:rsidR="0023264C" w:rsidRPr="00770F09" w:rsidRDefault="001A5172" w:rsidP="00195E0E">
      <w:pPr>
        <w:tabs>
          <w:tab w:val="left" w:pos="567"/>
        </w:tabs>
        <w:jc w:val="both"/>
      </w:pPr>
      <w:r w:rsidRPr="00770F09">
        <w:lastRenderedPageBreak/>
        <w:t>Nisu sprovedene studije koje proučavaju mutageni i karcinogeni potencijal panitumumaba.</w:t>
      </w:r>
    </w:p>
    <w:p w14:paraId="6362F5C5" w14:textId="77777777" w:rsidR="0023264C" w:rsidRPr="00770F09" w:rsidRDefault="0023264C" w:rsidP="00195E0E">
      <w:pPr>
        <w:tabs>
          <w:tab w:val="left" w:pos="567"/>
        </w:tabs>
        <w:jc w:val="both"/>
      </w:pPr>
    </w:p>
    <w:p w14:paraId="667B735D" w14:textId="77777777" w:rsidR="0023264C" w:rsidRPr="00770F09" w:rsidRDefault="001A5172" w:rsidP="00195E0E">
      <w:pPr>
        <w:tabs>
          <w:tab w:val="left" w:pos="567"/>
        </w:tabs>
        <w:jc w:val="both"/>
      </w:pPr>
      <w:r w:rsidRPr="00770F09">
        <w:t>Studije na životinjama nisu dovoljne za procjenu embrio</w:t>
      </w:r>
      <w:r w:rsidRPr="00770F09">
        <w:noBreakHyphen/>
        <w:t>fetalnog razvoja budući da fetalna izloženost panitumumaba nije ispitivana. Pokazano je da panitumumab izaziva abortuse i/ili smrti fetusa kod javanskih makaka majmuna ukoliko se primjenjuje tokom perioda organogeneze u dozama sličnim preporučenim dozama za primjenu kod ljudi.</w:t>
      </w:r>
    </w:p>
    <w:p w14:paraId="29059499" w14:textId="77777777" w:rsidR="0023264C" w:rsidRPr="00770F09" w:rsidRDefault="0023264C" w:rsidP="00195E0E">
      <w:pPr>
        <w:tabs>
          <w:tab w:val="left" w:pos="567"/>
        </w:tabs>
        <w:jc w:val="both"/>
      </w:pPr>
    </w:p>
    <w:p w14:paraId="562274F1" w14:textId="77777777" w:rsidR="0023264C" w:rsidRPr="00770F09" w:rsidRDefault="001A5172" w:rsidP="00195E0E">
      <w:pPr>
        <w:tabs>
          <w:tab w:val="left" w:pos="567"/>
        </w:tabs>
        <w:jc w:val="both"/>
      </w:pPr>
      <w:r w:rsidRPr="00770F09">
        <w:t>Nisu sprovedene formalne studije reproduktivnosti kod muškaraca; međutim, mikroskopska procijena reproduktivnih organa kod mužjaka javanskih makaka majmuna sprovedena u okviru studija toksičnosti nakon ponovljene doze, pri primjeni doza do 5 puta većim od doza za primjenu kod ljudi izražene u mg/kg, nije pokazala razlike u odnosu na kontrolnu grupu mužjaka majmuna. Studije plodnosti sprovedene kod ženki javanskih makaka majmuna su pokazale da panitumumab može da izazove produžen menstrualni ciklus i/ili amenoreju i smanjenu stopu trudnoća koja se javila kod svih procjenjivanih doza.</w:t>
      </w:r>
    </w:p>
    <w:p w14:paraId="02ED26B5" w14:textId="77777777" w:rsidR="0023264C" w:rsidRPr="00770F09" w:rsidRDefault="0023264C" w:rsidP="00195E0E">
      <w:pPr>
        <w:tabs>
          <w:tab w:val="left" w:pos="567"/>
        </w:tabs>
        <w:jc w:val="both"/>
      </w:pPr>
    </w:p>
    <w:p w14:paraId="5EF2A978" w14:textId="77777777" w:rsidR="0023264C" w:rsidRPr="00770F09" w:rsidRDefault="001A5172" w:rsidP="00195E0E">
      <w:pPr>
        <w:tabs>
          <w:tab w:val="left" w:pos="567"/>
        </w:tabs>
        <w:jc w:val="both"/>
        <w:rPr>
          <w:b/>
        </w:rPr>
      </w:pPr>
      <w:r w:rsidRPr="00770F09">
        <w:t>Nisu sprovođene studije pre- i post-natalnog razvoja kod životinja pri primjeni lijeka panitumumab. Prije započinjanja Vectibix terapije treba informisati sve pacijente o potencijalnom riziku primjene panitumumaba na pre- i post-natalni razvoj.</w:t>
      </w:r>
    </w:p>
    <w:p w14:paraId="1E5C57E2" w14:textId="77777777" w:rsidR="0023264C" w:rsidRPr="00770F09" w:rsidRDefault="0023264C" w:rsidP="00195E0E">
      <w:pPr>
        <w:tabs>
          <w:tab w:val="left" w:pos="567"/>
        </w:tabs>
        <w:jc w:val="both"/>
      </w:pPr>
    </w:p>
    <w:p w14:paraId="57A44A2C" w14:textId="77777777" w:rsidR="0023264C" w:rsidRPr="00770F09" w:rsidRDefault="0023264C" w:rsidP="00195E0E">
      <w:pPr>
        <w:tabs>
          <w:tab w:val="left" w:pos="567"/>
        </w:tabs>
        <w:jc w:val="both"/>
      </w:pPr>
    </w:p>
    <w:p w14:paraId="54BE685A" w14:textId="77777777" w:rsidR="0023264C" w:rsidRPr="00770F09" w:rsidRDefault="003D256B" w:rsidP="00195E0E">
      <w:pPr>
        <w:pStyle w:val="11ptBold"/>
        <w:jc w:val="both"/>
      </w:pPr>
      <w:r w:rsidRPr="00770F09">
        <w:t>6.</w:t>
      </w:r>
      <w:r w:rsidRPr="00770F09">
        <w:tab/>
        <w:t>FARMACEUTSKI PODACI</w:t>
      </w:r>
    </w:p>
    <w:p w14:paraId="27B633E4" w14:textId="77777777" w:rsidR="0023264C" w:rsidRPr="00770F09" w:rsidRDefault="0023264C" w:rsidP="00195E0E">
      <w:pPr>
        <w:pStyle w:val="lbltxt"/>
        <w:keepNext/>
        <w:jc w:val="both"/>
        <w:rPr>
          <w:szCs w:val="22"/>
        </w:rPr>
      </w:pPr>
    </w:p>
    <w:p w14:paraId="13F17A96" w14:textId="77777777" w:rsidR="0023264C" w:rsidRPr="00770F09" w:rsidRDefault="003D256B" w:rsidP="00195E0E">
      <w:pPr>
        <w:pStyle w:val="11ptBold"/>
        <w:jc w:val="both"/>
      </w:pPr>
      <w:r w:rsidRPr="00770F09">
        <w:t>6.1.</w:t>
      </w:r>
      <w:r w:rsidRPr="00770F09">
        <w:tab/>
        <w:t>Lista pomoćnih supstanci</w:t>
      </w:r>
    </w:p>
    <w:p w14:paraId="31F88E48" w14:textId="77777777" w:rsidR="0023264C" w:rsidRPr="00770F09" w:rsidRDefault="0023264C" w:rsidP="00195E0E">
      <w:pPr>
        <w:keepNext/>
        <w:tabs>
          <w:tab w:val="left" w:pos="567"/>
        </w:tabs>
        <w:jc w:val="both"/>
      </w:pPr>
    </w:p>
    <w:p w14:paraId="27772611" w14:textId="77777777" w:rsidR="00B150E6" w:rsidRPr="00770F09" w:rsidRDefault="003D256B" w:rsidP="00195E0E">
      <w:pPr>
        <w:keepNext/>
        <w:tabs>
          <w:tab w:val="left" w:pos="567"/>
        </w:tabs>
        <w:jc w:val="both"/>
      </w:pPr>
      <w:r w:rsidRPr="00770F09">
        <w:t>Natrijum hlorid</w:t>
      </w:r>
    </w:p>
    <w:p w14:paraId="20FC1FB6" w14:textId="0EBBBF15" w:rsidR="0023264C" w:rsidRPr="00770F09" w:rsidRDefault="003D256B" w:rsidP="00195E0E">
      <w:pPr>
        <w:keepNext/>
        <w:tabs>
          <w:tab w:val="left" w:pos="567"/>
        </w:tabs>
        <w:jc w:val="both"/>
      </w:pPr>
      <w:r w:rsidRPr="00770F09">
        <w:t>Natrijum acetat trihidrat</w:t>
      </w:r>
    </w:p>
    <w:p w14:paraId="0359522D" w14:textId="539E3F53" w:rsidR="0023264C" w:rsidRPr="00770F09" w:rsidRDefault="003D256B" w:rsidP="00195E0E">
      <w:pPr>
        <w:keepNext/>
        <w:tabs>
          <w:tab w:val="left" w:pos="567"/>
        </w:tabs>
        <w:jc w:val="both"/>
      </w:pPr>
      <w:r w:rsidRPr="00770F09">
        <w:t>Sirćetna kiselina, glacijalna (za podešavanje pH</w:t>
      </w:r>
      <w:r w:rsidR="00DC44E2" w:rsidRPr="00770F09">
        <w:t xml:space="preserve"> </w:t>
      </w:r>
      <w:r w:rsidRPr="00770F09">
        <w:t>vrijednosti)</w:t>
      </w:r>
    </w:p>
    <w:p w14:paraId="14B23FA6" w14:textId="77777777" w:rsidR="0023264C" w:rsidRPr="00770F09" w:rsidRDefault="003D256B" w:rsidP="00195E0E">
      <w:pPr>
        <w:tabs>
          <w:tab w:val="left" w:pos="567"/>
        </w:tabs>
        <w:jc w:val="both"/>
      </w:pPr>
      <w:r w:rsidRPr="00770F09">
        <w:t>Voda za injekcije</w:t>
      </w:r>
    </w:p>
    <w:p w14:paraId="154078BB" w14:textId="77777777" w:rsidR="0023264C" w:rsidRPr="00770F09" w:rsidRDefault="0023264C" w:rsidP="00195E0E">
      <w:pPr>
        <w:tabs>
          <w:tab w:val="left" w:pos="567"/>
        </w:tabs>
        <w:jc w:val="both"/>
      </w:pPr>
    </w:p>
    <w:p w14:paraId="656464F7" w14:textId="77777777" w:rsidR="0023264C" w:rsidRPr="00770F09" w:rsidRDefault="00E12050" w:rsidP="00195E0E">
      <w:pPr>
        <w:pStyle w:val="11ptBold"/>
        <w:jc w:val="both"/>
      </w:pPr>
      <w:r w:rsidRPr="00770F09">
        <w:t>6.2.</w:t>
      </w:r>
      <w:r w:rsidRPr="00770F09">
        <w:tab/>
        <w:t>Inkompatibilnosti</w:t>
      </w:r>
    </w:p>
    <w:p w14:paraId="57823910" w14:textId="77777777" w:rsidR="0023264C" w:rsidRPr="00770F09" w:rsidRDefault="0023264C" w:rsidP="00195E0E">
      <w:pPr>
        <w:keepNext/>
        <w:tabs>
          <w:tab w:val="left" w:pos="567"/>
        </w:tabs>
        <w:jc w:val="both"/>
      </w:pPr>
    </w:p>
    <w:p w14:paraId="39D3F2C7" w14:textId="346A765F" w:rsidR="0023264C" w:rsidRPr="00770F09" w:rsidRDefault="00E12050" w:rsidP="00195E0E">
      <w:pPr>
        <w:tabs>
          <w:tab w:val="left" w:pos="567"/>
        </w:tabs>
        <w:jc w:val="both"/>
      </w:pPr>
      <w:r w:rsidRPr="00770F09">
        <w:t xml:space="preserve">Ovaj </w:t>
      </w:r>
      <w:r w:rsidR="00806B4B" w:rsidRPr="00770F09">
        <w:t xml:space="preserve">lijek </w:t>
      </w:r>
      <w:r w:rsidRPr="00770F09">
        <w:t>se ne smije miješati sa drugima ljekovima osim onim navedenim u</w:t>
      </w:r>
      <w:r w:rsidR="00C334C8" w:rsidRPr="00770F09">
        <w:t xml:space="preserve"> </w:t>
      </w:r>
      <w:r w:rsidR="00C4278F" w:rsidRPr="00770F09">
        <w:t>dijelu</w:t>
      </w:r>
      <w:r w:rsidRPr="00770F09">
        <w:t> 6.6.</w:t>
      </w:r>
    </w:p>
    <w:p w14:paraId="13159F93" w14:textId="77777777" w:rsidR="0023264C" w:rsidRPr="00770F09" w:rsidRDefault="0023264C" w:rsidP="00195E0E">
      <w:pPr>
        <w:tabs>
          <w:tab w:val="left" w:pos="567"/>
        </w:tabs>
        <w:jc w:val="both"/>
      </w:pPr>
    </w:p>
    <w:p w14:paraId="3F9797BB" w14:textId="77777777" w:rsidR="0023264C" w:rsidRPr="00770F09" w:rsidRDefault="00A012B1" w:rsidP="00195E0E">
      <w:pPr>
        <w:pStyle w:val="11ptBold"/>
        <w:jc w:val="both"/>
      </w:pPr>
      <w:r w:rsidRPr="00770F09">
        <w:t>6.3.</w:t>
      </w:r>
      <w:r w:rsidRPr="00770F09">
        <w:tab/>
        <w:t>Rok upotrebe</w:t>
      </w:r>
    </w:p>
    <w:p w14:paraId="35A4A5CB" w14:textId="77777777" w:rsidR="0023264C" w:rsidRPr="00770F09" w:rsidRDefault="0023264C" w:rsidP="00195E0E">
      <w:pPr>
        <w:keepNext/>
        <w:tabs>
          <w:tab w:val="left" w:pos="567"/>
        </w:tabs>
        <w:jc w:val="both"/>
      </w:pPr>
    </w:p>
    <w:p w14:paraId="087933D1" w14:textId="77777777" w:rsidR="0023264C" w:rsidRPr="00770F09" w:rsidRDefault="00012A1C" w:rsidP="00195E0E">
      <w:pPr>
        <w:jc w:val="both"/>
        <w:rPr>
          <w:bCs/>
        </w:rPr>
      </w:pPr>
      <w:r w:rsidRPr="00770F09">
        <w:t>Rok upotrebe neotvorenog lijeka: 3 (tri) godine.</w:t>
      </w:r>
    </w:p>
    <w:p w14:paraId="2CC58EF3" w14:textId="77777777" w:rsidR="0023264C" w:rsidRPr="00770F09" w:rsidRDefault="0023264C" w:rsidP="00195E0E">
      <w:pPr>
        <w:jc w:val="both"/>
        <w:rPr>
          <w:bCs/>
        </w:rPr>
      </w:pPr>
    </w:p>
    <w:p w14:paraId="3209D8B2" w14:textId="77777777" w:rsidR="0023264C" w:rsidRPr="00770F09" w:rsidRDefault="00012A1C" w:rsidP="00195E0E">
      <w:pPr>
        <w:jc w:val="both"/>
        <w:rPr>
          <w:bCs/>
        </w:rPr>
      </w:pPr>
      <w:r w:rsidRPr="00770F09">
        <w:t>Rok upotrebe nakon prvog otvaranja lijeka: Upotrijebiti odmah.</w:t>
      </w:r>
    </w:p>
    <w:p w14:paraId="3ECAE507" w14:textId="77777777" w:rsidR="0023264C" w:rsidRPr="00770F09" w:rsidRDefault="0023264C" w:rsidP="00195E0E">
      <w:pPr>
        <w:tabs>
          <w:tab w:val="left" w:pos="567"/>
        </w:tabs>
        <w:jc w:val="both"/>
      </w:pPr>
    </w:p>
    <w:p w14:paraId="08C11882" w14:textId="77777777" w:rsidR="0023264C" w:rsidRPr="00770F09" w:rsidRDefault="00A012B1" w:rsidP="00195E0E">
      <w:pPr>
        <w:keepNext/>
        <w:tabs>
          <w:tab w:val="left" w:pos="567"/>
        </w:tabs>
        <w:jc w:val="both"/>
        <w:rPr>
          <w:u w:val="single"/>
        </w:rPr>
      </w:pPr>
      <w:r w:rsidRPr="00770F09">
        <w:rPr>
          <w:u w:val="single"/>
        </w:rPr>
        <w:t>Pripremljeni rastvor</w:t>
      </w:r>
    </w:p>
    <w:p w14:paraId="72D5FA55" w14:textId="77777777" w:rsidR="0023264C" w:rsidRPr="00770F09" w:rsidRDefault="0023264C" w:rsidP="00195E0E">
      <w:pPr>
        <w:keepNext/>
        <w:tabs>
          <w:tab w:val="left" w:pos="567"/>
        </w:tabs>
        <w:jc w:val="both"/>
      </w:pPr>
    </w:p>
    <w:p w14:paraId="15F1772F" w14:textId="0C34BD35" w:rsidR="0023264C" w:rsidRPr="00770F09" w:rsidRDefault="00A012B1" w:rsidP="00195E0E">
      <w:pPr>
        <w:tabs>
          <w:tab w:val="left" w:pos="567"/>
        </w:tabs>
        <w:jc w:val="both"/>
      </w:pPr>
      <w:r w:rsidRPr="00770F09">
        <w:t xml:space="preserve">Vectibix ne sadrži </w:t>
      </w:r>
      <w:r w:rsidR="005C28AF" w:rsidRPr="00770F09">
        <w:t xml:space="preserve">antimikrobne </w:t>
      </w:r>
      <w:r w:rsidRPr="00770F09">
        <w:t>konzervanse</w:t>
      </w:r>
      <w:r w:rsidR="005C28AF" w:rsidRPr="00770F09">
        <w:t>,</w:t>
      </w:r>
      <w:r w:rsidRPr="00770F09">
        <w:t xml:space="preserve"> niti bakteriostatska sredstva. </w:t>
      </w:r>
      <w:r w:rsidR="00806B4B" w:rsidRPr="00770F09">
        <w:t xml:space="preserve">Lijek </w:t>
      </w:r>
      <w:r w:rsidRPr="00770F09">
        <w:t xml:space="preserve">treba upotrijebiti odmah </w:t>
      </w:r>
      <w:r w:rsidR="00A06F75" w:rsidRPr="00770F09">
        <w:t xml:space="preserve">nakon </w:t>
      </w:r>
      <w:r w:rsidRPr="00770F09">
        <w:t>razblaž</w:t>
      </w:r>
      <w:r w:rsidR="00A06F75" w:rsidRPr="00770F09">
        <w:t>ivanja</w:t>
      </w:r>
      <w:r w:rsidRPr="00770F09">
        <w:t xml:space="preserve">. Ukoliko se ne upotrijebi odmah, vrijeme i uslovi čuvanja prije primjene </w:t>
      </w:r>
      <w:r w:rsidR="007864F2" w:rsidRPr="00770F09">
        <w:t xml:space="preserve">su </w:t>
      </w:r>
      <w:r w:rsidRPr="00770F09">
        <w:t xml:space="preserve">odgovornost korisnika i ne </w:t>
      </w:r>
      <w:r w:rsidR="007864F2" w:rsidRPr="00770F09">
        <w:t>smiju biti duži</w:t>
      </w:r>
      <w:r w:rsidRPr="00770F09">
        <w:t xml:space="preserve"> od 24 sata na temperaturi od 2°C - 8°C. Razblaženi </w:t>
      </w:r>
      <w:r w:rsidR="00770B01" w:rsidRPr="00770F09">
        <w:t xml:space="preserve">rastvor </w:t>
      </w:r>
      <w:r w:rsidRPr="00770F09">
        <w:t>se ne smije zamrzavati.</w:t>
      </w:r>
    </w:p>
    <w:p w14:paraId="6B75F38E" w14:textId="77777777" w:rsidR="0023264C" w:rsidRPr="00770F09" w:rsidRDefault="0023264C" w:rsidP="00195E0E">
      <w:pPr>
        <w:tabs>
          <w:tab w:val="left" w:pos="567"/>
        </w:tabs>
        <w:jc w:val="both"/>
      </w:pPr>
    </w:p>
    <w:p w14:paraId="270D723E" w14:textId="77777777" w:rsidR="0023264C" w:rsidRPr="00770F09" w:rsidRDefault="00EE3CE0" w:rsidP="00195E0E">
      <w:pPr>
        <w:pStyle w:val="11ptBold"/>
        <w:jc w:val="both"/>
      </w:pPr>
      <w:r w:rsidRPr="00770F09">
        <w:t>6.4.</w:t>
      </w:r>
      <w:r w:rsidRPr="00770F09">
        <w:tab/>
        <w:t>Posebne mjere upozorenja pri čuvanju lijeka</w:t>
      </w:r>
    </w:p>
    <w:p w14:paraId="49E47E7A" w14:textId="77777777" w:rsidR="0023264C" w:rsidRPr="00770F09" w:rsidRDefault="0023264C" w:rsidP="00195E0E">
      <w:pPr>
        <w:keepNext/>
        <w:tabs>
          <w:tab w:val="left" w:pos="567"/>
        </w:tabs>
        <w:jc w:val="both"/>
      </w:pPr>
    </w:p>
    <w:p w14:paraId="5DD4F2DF" w14:textId="77777777" w:rsidR="00B150E6" w:rsidRPr="00770F09" w:rsidRDefault="00EE3CE0" w:rsidP="00195E0E">
      <w:pPr>
        <w:tabs>
          <w:tab w:val="left" w:pos="567"/>
        </w:tabs>
        <w:jc w:val="both"/>
      </w:pPr>
      <w:r w:rsidRPr="00770F09">
        <w:t>Čuvati u frižideru (2°C - 8°C).</w:t>
      </w:r>
    </w:p>
    <w:p w14:paraId="4D764C13" w14:textId="77777777" w:rsidR="00B150E6" w:rsidRPr="00770F09" w:rsidRDefault="00EE3CE0" w:rsidP="00195E0E">
      <w:pPr>
        <w:tabs>
          <w:tab w:val="left" w:pos="567"/>
        </w:tabs>
        <w:jc w:val="both"/>
      </w:pPr>
      <w:r w:rsidRPr="00770F09">
        <w:t>Ne zamrzavati.</w:t>
      </w:r>
    </w:p>
    <w:p w14:paraId="4E51406E" w14:textId="77777777" w:rsidR="0023264C" w:rsidRPr="00770F09" w:rsidRDefault="00EE3CE0" w:rsidP="00195E0E">
      <w:pPr>
        <w:tabs>
          <w:tab w:val="left" w:pos="567"/>
        </w:tabs>
        <w:jc w:val="both"/>
      </w:pPr>
      <w:r w:rsidRPr="00770F09">
        <w:t>Čuvati u originalnom pakovanju radi zaštite od svjetlosti.</w:t>
      </w:r>
    </w:p>
    <w:p w14:paraId="1E219966" w14:textId="77777777" w:rsidR="0023264C" w:rsidRPr="00770F09" w:rsidRDefault="0023264C" w:rsidP="00195E0E">
      <w:pPr>
        <w:tabs>
          <w:tab w:val="left" w:pos="567"/>
        </w:tabs>
        <w:jc w:val="both"/>
      </w:pPr>
    </w:p>
    <w:p w14:paraId="0A06A4F1" w14:textId="658A46A5" w:rsidR="0023264C" w:rsidRPr="00770F09" w:rsidRDefault="00EE3CE0" w:rsidP="00195E0E">
      <w:pPr>
        <w:tabs>
          <w:tab w:val="left" w:pos="567"/>
        </w:tabs>
        <w:jc w:val="both"/>
      </w:pPr>
      <w:r w:rsidRPr="00770F09">
        <w:t>Uslovi čuvanja razblaženog lijeka navedeni su u</w:t>
      </w:r>
      <w:r w:rsidR="00822A75" w:rsidRPr="00770F09">
        <w:t xml:space="preserve"> </w:t>
      </w:r>
      <w:r w:rsidR="00C4278F" w:rsidRPr="00770F09">
        <w:t xml:space="preserve">dijelu </w:t>
      </w:r>
      <w:r w:rsidRPr="00770F09">
        <w:t> 6.3.</w:t>
      </w:r>
    </w:p>
    <w:p w14:paraId="3BF25E95" w14:textId="77777777" w:rsidR="0023264C" w:rsidRPr="00770F09" w:rsidRDefault="0023264C" w:rsidP="00195E0E">
      <w:pPr>
        <w:tabs>
          <w:tab w:val="left" w:pos="567"/>
        </w:tabs>
        <w:jc w:val="both"/>
      </w:pPr>
    </w:p>
    <w:p w14:paraId="5C235A56" w14:textId="77777777" w:rsidR="0023264C" w:rsidRPr="00770F09" w:rsidRDefault="00EE3CE0" w:rsidP="00195E0E">
      <w:pPr>
        <w:pStyle w:val="11ptBold"/>
        <w:jc w:val="both"/>
      </w:pPr>
      <w:r w:rsidRPr="00770F09">
        <w:lastRenderedPageBreak/>
        <w:t>6.5.</w:t>
      </w:r>
      <w:r w:rsidRPr="00770F09">
        <w:tab/>
        <w:t>Vrsta i sadržaj pakovanja</w:t>
      </w:r>
    </w:p>
    <w:p w14:paraId="534D77C6" w14:textId="77777777" w:rsidR="0023264C" w:rsidRPr="00770F09" w:rsidRDefault="0023264C" w:rsidP="00195E0E">
      <w:pPr>
        <w:keepNext/>
        <w:tabs>
          <w:tab w:val="left" w:pos="567"/>
        </w:tabs>
        <w:jc w:val="both"/>
      </w:pPr>
    </w:p>
    <w:p w14:paraId="5DF8BB4C" w14:textId="0BF17997" w:rsidR="0023264C" w:rsidRPr="00770F09" w:rsidRDefault="00490906" w:rsidP="00195E0E">
      <w:pPr>
        <w:tabs>
          <w:tab w:val="left" w:pos="567"/>
        </w:tabs>
        <w:jc w:val="both"/>
      </w:pPr>
      <w:r w:rsidRPr="00770F09">
        <w:t xml:space="preserve">Bočica od stakla tipa I sa elastomernim zatvaračem, aluminijumskim poklopcem i plastičnom </w:t>
      </w:r>
      <w:r w:rsidR="00806B4B" w:rsidRPr="00770F09">
        <w:rPr>
          <w:i/>
        </w:rPr>
        <w:t>flip</w:t>
      </w:r>
      <w:r w:rsidR="00806B4B" w:rsidRPr="00770F09">
        <w:rPr>
          <w:i/>
        </w:rPr>
        <w:noBreakHyphen/>
        <w:t>off</w:t>
      </w:r>
      <w:r w:rsidR="00806B4B" w:rsidRPr="00770F09">
        <w:t xml:space="preserve"> </w:t>
      </w:r>
      <w:r w:rsidRPr="00770F09">
        <w:t>kapicom.</w:t>
      </w:r>
    </w:p>
    <w:p w14:paraId="2A3640AE" w14:textId="49D2443C" w:rsidR="0023264C" w:rsidRPr="00770F09" w:rsidRDefault="00490906" w:rsidP="00195E0E">
      <w:pPr>
        <w:tabs>
          <w:tab w:val="left" w:pos="567"/>
        </w:tabs>
        <w:jc w:val="both"/>
      </w:pPr>
      <w:r w:rsidRPr="00770F09">
        <w:t>Jedna bočica sadrži 100 mg panitumumaba u 5 ml koncentrata za rastvor za infuziju.</w:t>
      </w:r>
    </w:p>
    <w:p w14:paraId="7E5C2687" w14:textId="77777777" w:rsidR="0023264C" w:rsidRPr="00770F09" w:rsidRDefault="0023264C" w:rsidP="00195E0E">
      <w:pPr>
        <w:tabs>
          <w:tab w:val="left" w:pos="567"/>
        </w:tabs>
        <w:jc w:val="both"/>
      </w:pPr>
    </w:p>
    <w:p w14:paraId="303F08A6" w14:textId="77777777" w:rsidR="0023264C" w:rsidRPr="00770F09" w:rsidRDefault="00490906" w:rsidP="00195E0E">
      <w:pPr>
        <w:tabs>
          <w:tab w:val="left" w:pos="567"/>
        </w:tabs>
        <w:jc w:val="both"/>
      </w:pPr>
      <w:r w:rsidRPr="00770F09">
        <w:t>Pakovanja sa jednom bočicom.</w:t>
      </w:r>
    </w:p>
    <w:p w14:paraId="7D3B88AA" w14:textId="77777777" w:rsidR="0023264C" w:rsidRPr="00770F09" w:rsidRDefault="0023264C" w:rsidP="00195E0E">
      <w:pPr>
        <w:tabs>
          <w:tab w:val="left" w:pos="567"/>
        </w:tabs>
        <w:jc w:val="both"/>
      </w:pPr>
    </w:p>
    <w:p w14:paraId="6FF6E315" w14:textId="5263A48E" w:rsidR="0023264C" w:rsidRPr="00770F09" w:rsidRDefault="00CC4815" w:rsidP="00195E0E">
      <w:pPr>
        <w:pStyle w:val="11ptBold"/>
        <w:jc w:val="both"/>
      </w:pPr>
      <w:r w:rsidRPr="00770F09">
        <w:t>6.6.</w:t>
      </w:r>
      <w:r w:rsidRPr="00770F09">
        <w:tab/>
        <w:t>Posebne mjere opreza pri odlaganju materijala koji treba odbaciti nakon primjene lijeka (i druga uputstva za rukovanje lijekom)</w:t>
      </w:r>
    </w:p>
    <w:p w14:paraId="6D728A3F" w14:textId="77777777" w:rsidR="0023264C" w:rsidRPr="00770F09" w:rsidRDefault="0023264C" w:rsidP="00195E0E">
      <w:pPr>
        <w:keepNext/>
        <w:tabs>
          <w:tab w:val="left" w:pos="567"/>
        </w:tabs>
        <w:jc w:val="both"/>
      </w:pPr>
    </w:p>
    <w:p w14:paraId="5E2E8932" w14:textId="20CAC10D" w:rsidR="0023264C" w:rsidRPr="00770F09" w:rsidRDefault="00CC4815" w:rsidP="00195E0E">
      <w:pPr>
        <w:jc w:val="both"/>
      </w:pPr>
      <w:r w:rsidRPr="00770F09">
        <w:t xml:space="preserve">Vectibix je namijenjen samo za jednokratnu upotrebu. Vectibix treba da razblaži zdravstveni radnik </w:t>
      </w:r>
      <w:r w:rsidR="00510C9B" w:rsidRPr="00770F09">
        <w:t xml:space="preserve">sa </w:t>
      </w:r>
      <w:r w:rsidRPr="00770F09">
        <w:t>9 mg/ml (0,9%) rastvor</w:t>
      </w:r>
      <w:r w:rsidR="00510C9B" w:rsidRPr="00770F09">
        <w:t>om</w:t>
      </w:r>
      <w:r w:rsidRPr="00770F09">
        <w:t xml:space="preserve"> natrijum hlorida za injekcije</w:t>
      </w:r>
      <w:r w:rsidR="00510C9B" w:rsidRPr="00770F09">
        <w:t>,</w:t>
      </w:r>
      <w:r w:rsidRPr="00770F09">
        <w:t xml:space="preserve"> primjenom aseptične tehnike. </w:t>
      </w:r>
      <w:r w:rsidRPr="00770F09">
        <w:rPr>
          <w:u w:val="single"/>
        </w:rPr>
        <w:t>Bočicu nemojte tresti, niti snažno mućkati</w:t>
      </w:r>
      <w:r w:rsidRPr="00770F09">
        <w:t xml:space="preserve">. Vectibix treba vizuelno pregledati prije primjene. Rastvor treba da bude bezbojan i može da sadrži vidljive providne do bijele amorfne proteinske čestice (koje će se ukloniti tokom </w:t>
      </w:r>
      <w:r w:rsidRPr="00770F09">
        <w:rPr>
          <w:i/>
        </w:rPr>
        <w:t>in</w:t>
      </w:r>
      <w:r w:rsidRPr="00770F09">
        <w:rPr>
          <w:i/>
        </w:rPr>
        <w:noBreakHyphen/>
        <w:t>line</w:t>
      </w:r>
      <w:r w:rsidRPr="00770F09">
        <w:t xml:space="preserve"> filtracije). Nemojte da primjenjujete Vectibix ukoliko ne izgleda kao što je opisano iznad. Koristeći samo hipodermalnu iglu promjera 21 G ili manjeg, izvucite potrebnu količinu lijeka Vectibix za dozu od 6 mg/kg. Ne koristite sredstva koja ne sadrže igle (npr. adaptere za bočice) za izvlačenje sadržaja bočice. Razblažite u ukupnoj zapremini od 100 ml. Finalna koncentracija ne treba da pređe 10 mg/ml. Doze veće od 1000 mg treba razblažiti u 150 ml 9 mg/ml (0,9%) rastvora natrijum hlorida za injekcije (vidjeti </w:t>
      </w:r>
      <w:r w:rsidR="00B93013" w:rsidRPr="00770F09">
        <w:t xml:space="preserve">dio </w:t>
      </w:r>
      <w:r w:rsidRPr="00770F09">
        <w:t>4.2). Razblaženi rastvor treba promiješati nježnim okretanjem bočice, ne treba je mućkati.</w:t>
      </w:r>
    </w:p>
    <w:p w14:paraId="1AE2222D" w14:textId="77777777" w:rsidR="0023264C" w:rsidRPr="00770F09" w:rsidRDefault="0023264C" w:rsidP="00195E0E">
      <w:pPr>
        <w:tabs>
          <w:tab w:val="left" w:pos="567"/>
        </w:tabs>
        <w:jc w:val="both"/>
      </w:pPr>
    </w:p>
    <w:p w14:paraId="3B964B02" w14:textId="2263F50B" w:rsidR="00E02BB7" w:rsidRPr="00770F09" w:rsidRDefault="00E02BB7" w:rsidP="00195E0E">
      <w:pPr>
        <w:jc w:val="both"/>
      </w:pPr>
      <w:r w:rsidRPr="00770F09">
        <w:t>Vectibix mora da se primjenjuje sa linijskim filterom promjera 0,2 ili 0,22 mikrometra koji slabo vezuje proteine, putem centralnog ili perifernog venskog katetera.</w:t>
      </w:r>
    </w:p>
    <w:p w14:paraId="5542892A" w14:textId="77777777" w:rsidR="00E02BB7" w:rsidRPr="00770F09" w:rsidRDefault="00E02BB7" w:rsidP="00195E0E">
      <w:pPr>
        <w:tabs>
          <w:tab w:val="left" w:pos="567"/>
        </w:tabs>
        <w:jc w:val="both"/>
      </w:pPr>
    </w:p>
    <w:p w14:paraId="7045E90B" w14:textId="768B3378" w:rsidR="00B150E6" w:rsidRPr="00770F09" w:rsidRDefault="00CC4815" w:rsidP="00195E0E">
      <w:pPr>
        <w:tabs>
          <w:tab w:val="left" w:pos="567"/>
        </w:tabs>
        <w:jc w:val="both"/>
      </w:pPr>
      <w:r w:rsidRPr="00770F09">
        <w:t>Nisu primjećene inkompatibilnosti između lijeka Vectibix i 9 mg/ml (0,9%) rastvora natrijum hlorida za injekcije u infuzionim kesama od polivinil hlorida ili poliolefina.</w:t>
      </w:r>
    </w:p>
    <w:p w14:paraId="6E445004" w14:textId="77777777" w:rsidR="00186272" w:rsidRPr="00770F09" w:rsidRDefault="00186272" w:rsidP="00195E0E">
      <w:pPr>
        <w:jc w:val="both"/>
      </w:pPr>
    </w:p>
    <w:p w14:paraId="4DBEA47C" w14:textId="77777777" w:rsidR="00186272" w:rsidRPr="00770F09" w:rsidRDefault="00186272" w:rsidP="00195E0E">
      <w:pPr>
        <w:jc w:val="both"/>
      </w:pPr>
      <w:r w:rsidRPr="00770F09">
        <w:t>Nakon jednokratne upotrebe odbaciti bočicu i preostalu količinu lijeka u bočici.</w:t>
      </w:r>
    </w:p>
    <w:p w14:paraId="450A3CE3" w14:textId="77777777" w:rsidR="0023264C" w:rsidRPr="00770F09" w:rsidRDefault="0023264C" w:rsidP="00195E0E">
      <w:pPr>
        <w:tabs>
          <w:tab w:val="left" w:pos="567"/>
        </w:tabs>
        <w:jc w:val="both"/>
      </w:pPr>
    </w:p>
    <w:p w14:paraId="34CEADE7" w14:textId="77777777" w:rsidR="0023264C" w:rsidRPr="00770F09" w:rsidRDefault="00CC4815" w:rsidP="00195E0E">
      <w:pPr>
        <w:tabs>
          <w:tab w:val="left" w:pos="567"/>
        </w:tabs>
        <w:jc w:val="both"/>
      </w:pPr>
      <w:r w:rsidRPr="00770F09">
        <w:t>Svaki neupotrijebljeni lijek ili neupotrijebljeni materijal se uništava u skladu sa lokalnim propisima.</w:t>
      </w:r>
    </w:p>
    <w:p w14:paraId="1637DC9E" w14:textId="77777777" w:rsidR="0023264C" w:rsidRPr="00770F09" w:rsidRDefault="0023264C" w:rsidP="00195E0E">
      <w:pPr>
        <w:pStyle w:val="lbltxt"/>
        <w:jc w:val="both"/>
        <w:rPr>
          <w:noProof w:val="0"/>
        </w:rPr>
      </w:pPr>
    </w:p>
    <w:p w14:paraId="7817617A" w14:textId="77777777" w:rsidR="0023264C" w:rsidRPr="00770F09" w:rsidRDefault="0023264C" w:rsidP="00195E0E">
      <w:pPr>
        <w:tabs>
          <w:tab w:val="left" w:pos="567"/>
        </w:tabs>
        <w:jc w:val="both"/>
      </w:pPr>
    </w:p>
    <w:p w14:paraId="34037B7C" w14:textId="77777777" w:rsidR="0023264C" w:rsidRPr="00770F09" w:rsidRDefault="00360C3A" w:rsidP="00195E0E">
      <w:pPr>
        <w:pStyle w:val="11ptBold"/>
        <w:jc w:val="both"/>
      </w:pPr>
      <w:r w:rsidRPr="00770F09">
        <w:t>7.</w:t>
      </w:r>
      <w:r w:rsidRPr="00770F09">
        <w:tab/>
        <w:t>NOSILAC DOZVOLE</w:t>
      </w:r>
    </w:p>
    <w:p w14:paraId="04A508C3" w14:textId="77777777" w:rsidR="0023264C" w:rsidRPr="00770F09" w:rsidRDefault="0023264C" w:rsidP="00195E0E">
      <w:pPr>
        <w:keepNext/>
        <w:tabs>
          <w:tab w:val="left" w:pos="567"/>
        </w:tabs>
        <w:jc w:val="both"/>
      </w:pPr>
    </w:p>
    <w:p w14:paraId="4A4DC39B" w14:textId="3032130C" w:rsidR="0023264C" w:rsidRPr="00770F09" w:rsidRDefault="00360C3A" w:rsidP="00195E0E">
      <w:pPr>
        <w:keepNext/>
        <w:tabs>
          <w:tab w:val="left" w:pos="567"/>
        </w:tabs>
        <w:jc w:val="both"/>
      </w:pPr>
      <w:r w:rsidRPr="00770F09">
        <w:t>Amicus Pharma d.o.o. Podgorica</w:t>
      </w:r>
      <w:r w:rsidR="002D2983" w:rsidRPr="00770F09">
        <w:t>,</w:t>
      </w:r>
    </w:p>
    <w:p w14:paraId="10C8CFDB" w14:textId="38CC8091" w:rsidR="0023264C" w:rsidRPr="00770F09" w:rsidRDefault="00007A1D" w:rsidP="00195E0E">
      <w:pPr>
        <w:keepNext/>
        <w:tabs>
          <w:tab w:val="left" w:pos="567"/>
        </w:tabs>
        <w:jc w:val="both"/>
      </w:pPr>
      <w:r w:rsidRPr="00770F09">
        <w:t>Bulevar Džordža Vašingtona 51</w:t>
      </w:r>
      <w:r w:rsidR="002D2983" w:rsidRPr="00770F09">
        <w:t xml:space="preserve">, </w:t>
      </w:r>
      <w:r w:rsidR="00360C3A" w:rsidRPr="00770F09">
        <w:t>Podgorica, Crna Gora</w:t>
      </w:r>
    </w:p>
    <w:p w14:paraId="02DACBF8" w14:textId="77777777" w:rsidR="0023264C" w:rsidRPr="00770F09" w:rsidRDefault="0023264C" w:rsidP="00195E0E">
      <w:pPr>
        <w:tabs>
          <w:tab w:val="left" w:pos="567"/>
        </w:tabs>
        <w:jc w:val="both"/>
      </w:pPr>
    </w:p>
    <w:p w14:paraId="1ECFA08B" w14:textId="77777777" w:rsidR="0023264C" w:rsidRPr="00770F09" w:rsidRDefault="0023264C" w:rsidP="00195E0E">
      <w:pPr>
        <w:tabs>
          <w:tab w:val="left" w:pos="567"/>
        </w:tabs>
        <w:jc w:val="both"/>
      </w:pPr>
    </w:p>
    <w:p w14:paraId="1E4EB7DD" w14:textId="133BEDF3" w:rsidR="0023264C" w:rsidRPr="00770F09" w:rsidRDefault="00360C3A" w:rsidP="00195E0E">
      <w:pPr>
        <w:pStyle w:val="11ptBold"/>
        <w:jc w:val="both"/>
      </w:pPr>
      <w:r w:rsidRPr="00770F09">
        <w:t>8.</w:t>
      </w:r>
      <w:r w:rsidRPr="00770F09">
        <w:tab/>
        <w:t>BROJ DOZVOLE ZA STAVLJANJE LIJEKA U PROMET</w:t>
      </w:r>
    </w:p>
    <w:p w14:paraId="39226D7F" w14:textId="0AEA2B01" w:rsidR="00B150E6" w:rsidRPr="00770F09" w:rsidRDefault="00B150E6" w:rsidP="00195E0E">
      <w:pPr>
        <w:keepNext/>
        <w:tabs>
          <w:tab w:val="left" w:pos="567"/>
        </w:tabs>
        <w:jc w:val="both"/>
      </w:pPr>
    </w:p>
    <w:p w14:paraId="78CF72E1" w14:textId="3E552B4C" w:rsidR="0023264C" w:rsidRPr="00F33D43" w:rsidRDefault="00770F09" w:rsidP="00195E0E">
      <w:pPr>
        <w:keepNext/>
        <w:tabs>
          <w:tab w:val="left" w:pos="567"/>
        </w:tabs>
        <w:jc w:val="both"/>
      </w:pPr>
      <w:r w:rsidRPr="00F33D43">
        <w:rPr>
          <w:rFonts w:eastAsia="Times New Roman"/>
          <w:lang w:eastAsia="en-US"/>
        </w:rPr>
        <w:t>2030/25/1502 – 1428</w:t>
      </w:r>
    </w:p>
    <w:p w14:paraId="49772876" w14:textId="4AE07C1E" w:rsidR="0023264C" w:rsidRPr="00770F09" w:rsidRDefault="0023264C" w:rsidP="00195E0E">
      <w:pPr>
        <w:tabs>
          <w:tab w:val="left" w:pos="567"/>
        </w:tabs>
        <w:jc w:val="both"/>
      </w:pPr>
    </w:p>
    <w:p w14:paraId="21067706" w14:textId="77777777" w:rsidR="00770F09" w:rsidRPr="00770F09" w:rsidRDefault="00770F09" w:rsidP="00195E0E">
      <w:pPr>
        <w:tabs>
          <w:tab w:val="left" w:pos="567"/>
        </w:tabs>
        <w:jc w:val="both"/>
      </w:pPr>
    </w:p>
    <w:p w14:paraId="7B58011E" w14:textId="77777777" w:rsidR="0023264C" w:rsidRPr="00770F09" w:rsidRDefault="00360C3A" w:rsidP="00195E0E">
      <w:pPr>
        <w:pStyle w:val="11ptBold"/>
        <w:jc w:val="both"/>
      </w:pPr>
      <w:r w:rsidRPr="00770F09">
        <w:t>9.</w:t>
      </w:r>
      <w:r w:rsidRPr="00770F09">
        <w:tab/>
        <w:t>DATUM PRVE DOZVOLE/OBNOVE DOZVOLE ZA STAVLJANJE LIJEKA U PROMET</w:t>
      </w:r>
    </w:p>
    <w:p w14:paraId="7A2FDC53" w14:textId="77777777" w:rsidR="0023264C" w:rsidRPr="00770F09" w:rsidRDefault="0023264C" w:rsidP="00195E0E">
      <w:pPr>
        <w:keepNext/>
        <w:tabs>
          <w:tab w:val="left" w:pos="567"/>
        </w:tabs>
        <w:jc w:val="both"/>
      </w:pPr>
    </w:p>
    <w:p w14:paraId="192442E2" w14:textId="54807F0F" w:rsidR="00B150E6" w:rsidRPr="00770F09" w:rsidRDefault="00DC44E2" w:rsidP="00195E0E">
      <w:pPr>
        <w:keepNext/>
        <w:tabs>
          <w:tab w:val="left" w:pos="567"/>
        </w:tabs>
        <w:jc w:val="both"/>
      </w:pPr>
      <w:r w:rsidRPr="00770F09">
        <w:t>Datum prve dozvole</w:t>
      </w:r>
      <w:r w:rsidR="00A8758B" w:rsidRPr="00770F09">
        <w:t>: 06.12.2017. godine</w:t>
      </w:r>
    </w:p>
    <w:p w14:paraId="1F268CC7" w14:textId="4E1BC5A3" w:rsidR="0023264C" w:rsidRPr="00770F09" w:rsidRDefault="00DC44E2" w:rsidP="00195E0E">
      <w:pPr>
        <w:keepNext/>
        <w:tabs>
          <w:tab w:val="left" w:pos="567"/>
        </w:tabs>
        <w:jc w:val="both"/>
      </w:pPr>
      <w:r w:rsidRPr="00770F09">
        <w:t>Datum posljednje obnove dozv</w:t>
      </w:r>
      <w:r w:rsidRPr="00D9532C">
        <w:t>ole:</w:t>
      </w:r>
      <w:r w:rsidR="00770F09" w:rsidRPr="00D9532C">
        <w:t xml:space="preserve"> </w:t>
      </w:r>
      <w:r w:rsidR="00D9532C" w:rsidRPr="005B752A">
        <w:rPr>
          <w:rFonts w:eastAsia="Times New Roman"/>
          <w:lang w:eastAsia="en-US"/>
        </w:rPr>
        <w:t>01.07.2025. godine</w:t>
      </w:r>
    </w:p>
    <w:p w14:paraId="24F37C5F" w14:textId="79953909" w:rsidR="0023264C" w:rsidRPr="00770F09" w:rsidRDefault="0023264C" w:rsidP="00195E0E">
      <w:pPr>
        <w:tabs>
          <w:tab w:val="left" w:pos="567"/>
        </w:tabs>
        <w:jc w:val="both"/>
      </w:pPr>
    </w:p>
    <w:p w14:paraId="6CBA130A" w14:textId="77777777" w:rsidR="00BD0A37" w:rsidRPr="00770F09" w:rsidRDefault="00BD0A37" w:rsidP="00195E0E">
      <w:pPr>
        <w:tabs>
          <w:tab w:val="left" w:pos="567"/>
        </w:tabs>
        <w:jc w:val="both"/>
      </w:pPr>
    </w:p>
    <w:p w14:paraId="2BF70654" w14:textId="7D243D58" w:rsidR="0023264C" w:rsidRPr="00770F09" w:rsidRDefault="00360C3A" w:rsidP="00195E0E">
      <w:pPr>
        <w:pStyle w:val="11ptBold"/>
        <w:jc w:val="both"/>
      </w:pPr>
      <w:r w:rsidRPr="00770F09">
        <w:t>10.</w:t>
      </w:r>
      <w:r w:rsidRPr="00770F09">
        <w:tab/>
        <w:t>DATUM REVIZIJE TEKSTA</w:t>
      </w:r>
    </w:p>
    <w:p w14:paraId="16DFD485" w14:textId="2B6DBB09" w:rsidR="006E38BB" w:rsidRPr="00770F09" w:rsidRDefault="006E38BB" w:rsidP="00195E0E">
      <w:pPr>
        <w:tabs>
          <w:tab w:val="left" w:pos="567"/>
        </w:tabs>
        <w:jc w:val="both"/>
      </w:pPr>
    </w:p>
    <w:p w14:paraId="2BAD0470" w14:textId="1A79E17F" w:rsidR="00770F09" w:rsidRPr="00770F09" w:rsidRDefault="00770F09" w:rsidP="00195E0E">
      <w:pPr>
        <w:tabs>
          <w:tab w:val="left" w:pos="567"/>
        </w:tabs>
        <w:jc w:val="both"/>
      </w:pPr>
      <w:r w:rsidRPr="00770F09">
        <w:t>Ju</w:t>
      </w:r>
      <w:r w:rsidR="00D9532C">
        <w:t>l</w:t>
      </w:r>
      <w:r w:rsidRPr="00770F09">
        <w:t>, 2025. godine</w:t>
      </w:r>
    </w:p>
    <w:sectPr w:rsidR="00770F09" w:rsidRPr="00770F09" w:rsidSect="00167204">
      <w:headerReference w:type="default" r:id="rId15"/>
      <w:footerReference w:type="default" r:id="rId16"/>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55DFA" w14:textId="77777777" w:rsidR="00B75890" w:rsidRDefault="00B75890">
      <w:r>
        <w:separator/>
      </w:r>
    </w:p>
  </w:endnote>
  <w:endnote w:type="continuationSeparator" w:id="0">
    <w:p w14:paraId="16777316" w14:textId="77777777" w:rsidR="00B75890" w:rsidRDefault="00B7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20FF4" w14:textId="5B74F439" w:rsidR="00380CFC" w:rsidRPr="00F838EC" w:rsidRDefault="00380CFC" w:rsidP="00F838EC">
    <w:pPr>
      <w:pStyle w:val="Footer"/>
    </w:pPr>
    <w:r w:rsidRPr="00F838EC">
      <w:fldChar w:fldCharType="begin"/>
    </w:r>
    <w:r w:rsidRPr="00F838EC">
      <w:instrText xml:space="preserve"> PAGE </w:instrText>
    </w:r>
    <w:r w:rsidRPr="00F838EC">
      <w:fldChar w:fldCharType="separate"/>
    </w:r>
    <w:r w:rsidR="005B752A">
      <w:rPr>
        <w:noProof/>
      </w:rPr>
      <w:t>18</w:t>
    </w:r>
    <w:r w:rsidRPr="00F838EC">
      <w:fldChar w:fldCharType="end"/>
    </w:r>
    <w:r>
      <w:t xml:space="preserve"> / </w:t>
    </w:r>
    <w:r>
      <w:fldChar w:fldCharType="begin"/>
    </w:r>
    <w:r>
      <w:instrText xml:space="preserve"> NUMPAGES  </w:instrText>
    </w:r>
    <w:r>
      <w:fldChar w:fldCharType="separate"/>
    </w:r>
    <w:r w:rsidR="005B752A">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76FFD" w14:textId="77777777" w:rsidR="00B75890" w:rsidRDefault="00B75890">
      <w:r>
        <w:separator/>
      </w:r>
    </w:p>
  </w:footnote>
  <w:footnote w:type="continuationSeparator" w:id="0">
    <w:p w14:paraId="23714AD2" w14:textId="77777777" w:rsidR="00B75890" w:rsidRDefault="00B7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1BC08" w14:textId="604C6BBE" w:rsidR="00380CFC" w:rsidRPr="00551D94" w:rsidRDefault="00380CFC" w:rsidP="003F4B0F">
    <w:pPr>
      <w:pStyle w:val="Header"/>
      <w:pBdr>
        <w:bottom w:val="none" w:sz="0" w:space="0" w:color="auto"/>
      </w:pBdr>
      <w:tabs>
        <w:tab w:val="clear" w:pos="8640"/>
        <w:tab w:val="right" w:pos="907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306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AAF5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80DA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F58B7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66A57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2AE9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F661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C6435A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C68B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C209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E4101A"/>
    <w:multiLevelType w:val="singleLevel"/>
    <w:tmpl w:val="21B0C21C"/>
    <w:lvl w:ilvl="0">
      <w:start w:val="1"/>
      <w:numFmt w:val="bullet"/>
      <w:pStyle w:val="TextDash"/>
      <w:lvlText w:val=""/>
      <w:lvlJc w:val="left"/>
      <w:pPr>
        <w:tabs>
          <w:tab w:val="num" w:pos="720"/>
        </w:tabs>
        <w:ind w:left="720" w:hanging="360"/>
      </w:pPr>
      <w:rPr>
        <w:rFonts w:ascii="Symbol" w:hAnsi="Symbol" w:hint="default"/>
      </w:rPr>
    </w:lvl>
  </w:abstractNum>
  <w:abstractNum w:abstractNumId="12" w15:restartNumberingAfterBreak="0">
    <w:nsid w:val="03C6007F"/>
    <w:multiLevelType w:val="singleLevel"/>
    <w:tmpl w:val="5D306C7C"/>
    <w:lvl w:ilvl="0">
      <w:start w:val="1"/>
      <w:numFmt w:val="decimal"/>
      <w:lvlText w:val="%1."/>
      <w:legacy w:legacy="1" w:legacySpace="0" w:legacyIndent="360"/>
      <w:lvlJc w:val="left"/>
      <w:pPr>
        <w:ind w:left="360" w:hanging="360"/>
      </w:pPr>
    </w:lvl>
  </w:abstractNum>
  <w:abstractNum w:abstractNumId="13" w15:restartNumberingAfterBreak="0">
    <w:nsid w:val="048F0690"/>
    <w:multiLevelType w:val="hybridMultilevel"/>
    <w:tmpl w:val="C36810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9606954"/>
    <w:multiLevelType w:val="singleLevel"/>
    <w:tmpl w:val="49CA3058"/>
    <w:lvl w:ilvl="0">
      <w:start w:val="1"/>
      <w:numFmt w:val="decimal"/>
      <w:lvlText w:val="%1."/>
      <w:legacy w:legacy="1" w:legacySpace="0" w:legacyIndent="360"/>
      <w:lvlJc w:val="left"/>
      <w:pPr>
        <w:ind w:left="360" w:hanging="360"/>
      </w:pPr>
    </w:lvl>
  </w:abstractNum>
  <w:abstractNum w:abstractNumId="15" w15:restartNumberingAfterBreak="0">
    <w:nsid w:val="0C9D1FA5"/>
    <w:multiLevelType w:val="singleLevel"/>
    <w:tmpl w:val="5D306C7C"/>
    <w:lvl w:ilvl="0">
      <w:start w:val="1"/>
      <w:numFmt w:val="decimal"/>
      <w:lvlText w:val="%1."/>
      <w:legacy w:legacy="1" w:legacySpace="0" w:legacyIndent="360"/>
      <w:lvlJc w:val="left"/>
      <w:pPr>
        <w:ind w:left="360" w:hanging="360"/>
      </w:pPr>
    </w:lvl>
  </w:abstractNum>
  <w:abstractNum w:abstractNumId="16" w15:restartNumberingAfterBreak="0">
    <w:nsid w:val="0D2B49AA"/>
    <w:multiLevelType w:val="singleLevel"/>
    <w:tmpl w:val="5D306C7C"/>
    <w:lvl w:ilvl="0">
      <w:start w:val="1"/>
      <w:numFmt w:val="decimal"/>
      <w:lvlText w:val="%1."/>
      <w:legacy w:legacy="1" w:legacySpace="0" w:legacyIndent="360"/>
      <w:lvlJc w:val="left"/>
      <w:pPr>
        <w:ind w:left="360" w:hanging="360"/>
      </w:pPr>
    </w:lvl>
  </w:abstractNum>
  <w:abstractNum w:abstractNumId="17" w15:restartNumberingAfterBreak="0">
    <w:nsid w:val="0D2F7DFC"/>
    <w:multiLevelType w:val="singleLevel"/>
    <w:tmpl w:val="5D306C7C"/>
    <w:lvl w:ilvl="0">
      <w:start w:val="1"/>
      <w:numFmt w:val="decimal"/>
      <w:lvlText w:val="%1."/>
      <w:legacy w:legacy="1" w:legacySpace="0" w:legacyIndent="360"/>
      <w:lvlJc w:val="left"/>
      <w:pPr>
        <w:ind w:left="360" w:hanging="360"/>
      </w:pPr>
    </w:lvl>
  </w:abstractNum>
  <w:abstractNum w:abstractNumId="18" w15:restartNumberingAfterBreak="0">
    <w:nsid w:val="0DE54CF0"/>
    <w:multiLevelType w:val="singleLevel"/>
    <w:tmpl w:val="5D306C7C"/>
    <w:lvl w:ilvl="0">
      <w:start w:val="1"/>
      <w:numFmt w:val="decimal"/>
      <w:lvlText w:val="%1."/>
      <w:legacy w:legacy="1" w:legacySpace="0" w:legacyIndent="360"/>
      <w:lvlJc w:val="left"/>
      <w:pPr>
        <w:ind w:left="360" w:hanging="360"/>
      </w:pPr>
    </w:lvl>
  </w:abstractNum>
  <w:abstractNum w:abstractNumId="19" w15:restartNumberingAfterBreak="0">
    <w:nsid w:val="188D0F3F"/>
    <w:multiLevelType w:val="singleLevel"/>
    <w:tmpl w:val="5D306C7C"/>
    <w:lvl w:ilvl="0">
      <w:start w:val="1"/>
      <w:numFmt w:val="decimal"/>
      <w:lvlText w:val="%1."/>
      <w:legacy w:legacy="1" w:legacySpace="0" w:legacyIndent="360"/>
      <w:lvlJc w:val="left"/>
      <w:pPr>
        <w:ind w:left="360" w:hanging="360"/>
      </w:pPr>
    </w:lvl>
  </w:abstractNum>
  <w:abstractNum w:abstractNumId="20" w15:restartNumberingAfterBreak="0">
    <w:nsid w:val="1A0C6FE7"/>
    <w:multiLevelType w:val="multilevel"/>
    <w:tmpl w:val="B11E566C"/>
    <w:lvl w:ilvl="0">
      <w:start w:val="1"/>
      <w:numFmt w:val="decimal"/>
      <w:pStyle w:val="NumberRestart"/>
      <w:lvlText w:val=""/>
      <w:lvlJc w:val="left"/>
      <w:pPr>
        <w:tabs>
          <w:tab w:val="num" w:pos="1440"/>
        </w:tabs>
        <w:ind w:left="1440" w:hanging="1440"/>
      </w:pPr>
    </w:lvl>
    <w:lvl w:ilvl="1">
      <w:start w:val="1"/>
      <w:numFmt w:val="decimal"/>
      <w:lvlText w:val="Part %1."/>
      <w:lvlJc w:val="left"/>
      <w:pPr>
        <w:tabs>
          <w:tab w:val="num" w:pos="1440"/>
        </w:tabs>
        <w:ind w:left="1440" w:hanging="1440"/>
      </w:pPr>
    </w:lvl>
    <w:lvl w:ilvl="2">
      <w:start w:val="1"/>
      <w:numFmt w:val="decimal"/>
      <w:lvlText w:val="Part %1.%2"/>
      <w:lvlJc w:val="left"/>
      <w:pPr>
        <w:tabs>
          <w:tab w:val="num" w:pos="1440"/>
        </w:tabs>
        <w:ind w:left="1440" w:hanging="1440"/>
      </w:pPr>
    </w:lvl>
    <w:lvl w:ilvl="3">
      <w:start w:val="1"/>
      <w:numFmt w:val="decimal"/>
      <w:lvlText w:val="%1.%2.%3"/>
      <w:lvlJc w:val="left"/>
      <w:pPr>
        <w:tabs>
          <w:tab w:val="num" w:pos="1440"/>
        </w:tabs>
        <w:ind w:left="1440" w:hanging="1440"/>
      </w:pPr>
    </w:lvl>
    <w:lvl w:ilvl="4">
      <w:start w:val="1"/>
      <w:numFmt w:val="decimal"/>
      <w:lvlText w:val="%1.%2.%3.%4"/>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lowerLetter"/>
      <w:lvlText w:val="%8."/>
      <w:lvlJc w:val="left"/>
      <w:pPr>
        <w:tabs>
          <w:tab w:val="num" w:pos="2880"/>
        </w:tabs>
        <w:ind w:left="2880" w:hanging="360"/>
      </w:pPr>
    </w:lvl>
    <w:lvl w:ilvl="8">
      <w:start w:val="1"/>
      <w:numFmt w:val="decimal"/>
      <w:lvlText w:val="%1.%2.%3.%4.%5.%6.%7.%8"/>
      <w:lvlJc w:val="left"/>
      <w:pPr>
        <w:tabs>
          <w:tab w:val="num" w:pos="1440"/>
        </w:tabs>
        <w:ind w:left="1440" w:hanging="1440"/>
      </w:pPr>
    </w:lvl>
  </w:abstractNum>
  <w:abstractNum w:abstractNumId="21" w15:restartNumberingAfterBreak="0">
    <w:nsid w:val="223D2CFC"/>
    <w:multiLevelType w:val="singleLevel"/>
    <w:tmpl w:val="5D306C7C"/>
    <w:lvl w:ilvl="0">
      <w:start w:val="1"/>
      <w:numFmt w:val="decimal"/>
      <w:lvlText w:val="%1."/>
      <w:legacy w:legacy="1" w:legacySpace="0" w:legacyIndent="360"/>
      <w:lvlJc w:val="left"/>
      <w:pPr>
        <w:ind w:left="360" w:hanging="360"/>
      </w:pPr>
    </w:lvl>
  </w:abstractNum>
  <w:abstractNum w:abstractNumId="22"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3" w15:restartNumberingAfterBreak="0">
    <w:nsid w:val="2E721263"/>
    <w:multiLevelType w:val="singleLevel"/>
    <w:tmpl w:val="49CA3058"/>
    <w:lvl w:ilvl="0">
      <w:start w:val="1"/>
      <w:numFmt w:val="decimal"/>
      <w:lvlText w:val="%1."/>
      <w:legacy w:legacy="1" w:legacySpace="0" w:legacyIndent="360"/>
      <w:lvlJc w:val="left"/>
      <w:pPr>
        <w:ind w:left="360" w:hanging="360"/>
      </w:pPr>
    </w:lvl>
  </w:abstractNum>
  <w:abstractNum w:abstractNumId="24" w15:restartNumberingAfterBreak="0">
    <w:nsid w:val="36801CC6"/>
    <w:multiLevelType w:val="hybridMultilevel"/>
    <w:tmpl w:val="DCC4FC90"/>
    <w:lvl w:ilvl="0" w:tplc="04090001">
      <w:start w:val="1"/>
      <w:numFmt w:val="bullet"/>
      <w:lvlText w:val=""/>
      <w:lvlJc w:val="left"/>
      <w:pPr>
        <w:ind w:left="720" w:hanging="360"/>
      </w:pPr>
      <w:rPr>
        <w:rFonts w:ascii="Symbol" w:hAnsi="Symbol" w:hint="default"/>
      </w:rPr>
    </w:lvl>
    <w:lvl w:ilvl="1" w:tplc="66506F8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0273A6"/>
    <w:multiLevelType w:val="multilevel"/>
    <w:tmpl w:val="49CA3058"/>
    <w:lvl w:ilvl="0">
      <w:start w:val="1"/>
      <w:numFmt w:val="decimal"/>
      <w:pStyle w:val="Heading1"/>
      <w:lvlText w:val="%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1440"/>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800"/>
        </w:tabs>
        <w:ind w:left="1440" w:hanging="1440"/>
      </w:pPr>
      <w:rPr>
        <w:rFonts w:hint="default"/>
      </w:rPr>
    </w:lvl>
  </w:abstractNum>
  <w:abstractNum w:abstractNumId="26" w15:restartNumberingAfterBreak="0">
    <w:nsid w:val="5F2E3330"/>
    <w:multiLevelType w:val="singleLevel"/>
    <w:tmpl w:val="5D306C7C"/>
    <w:lvl w:ilvl="0">
      <w:start w:val="1"/>
      <w:numFmt w:val="decimal"/>
      <w:lvlText w:val="%1."/>
      <w:legacy w:legacy="1" w:legacySpace="0" w:legacyIndent="360"/>
      <w:lvlJc w:val="left"/>
      <w:pPr>
        <w:ind w:left="360" w:hanging="360"/>
      </w:pPr>
    </w:lvl>
  </w:abstractNum>
  <w:abstractNum w:abstractNumId="27" w15:restartNumberingAfterBreak="0">
    <w:nsid w:val="602F2899"/>
    <w:multiLevelType w:val="singleLevel"/>
    <w:tmpl w:val="E174A072"/>
    <w:lvl w:ilvl="0">
      <w:start w:val="1"/>
      <w:numFmt w:val="decimal"/>
      <w:lvlText w:val="%1."/>
      <w:legacy w:legacy="1" w:legacySpace="0" w:legacyIndent="360"/>
      <w:lvlJc w:val="left"/>
      <w:pPr>
        <w:ind w:left="360" w:hanging="360"/>
      </w:pPr>
    </w:lvl>
  </w:abstractNum>
  <w:abstractNum w:abstractNumId="28" w15:restartNumberingAfterBreak="0">
    <w:nsid w:val="74D85AD8"/>
    <w:multiLevelType w:val="singleLevel"/>
    <w:tmpl w:val="5D306C7C"/>
    <w:lvl w:ilvl="0">
      <w:start w:val="1"/>
      <w:numFmt w:val="decimal"/>
      <w:lvlText w:val="%1."/>
      <w:legacy w:legacy="1" w:legacySpace="0" w:legacyIndent="360"/>
      <w:lvlJc w:val="left"/>
      <w:pPr>
        <w:ind w:left="360" w:hanging="360"/>
      </w:pPr>
    </w:lvl>
  </w:abstractNum>
  <w:abstractNum w:abstractNumId="29" w15:restartNumberingAfterBreak="0">
    <w:nsid w:val="7619014F"/>
    <w:multiLevelType w:val="singleLevel"/>
    <w:tmpl w:val="5D306C7C"/>
    <w:lvl w:ilvl="0">
      <w:start w:val="1"/>
      <w:numFmt w:val="decimal"/>
      <w:lvlText w:val="%1."/>
      <w:legacy w:legacy="1" w:legacySpace="0" w:legacyIndent="360"/>
      <w:lvlJc w:val="left"/>
      <w:pPr>
        <w:ind w:left="360" w:hanging="360"/>
      </w:pPr>
    </w:lvl>
  </w:abstractNum>
  <w:abstractNum w:abstractNumId="30" w15:restartNumberingAfterBreak="0">
    <w:nsid w:val="77512CAC"/>
    <w:multiLevelType w:val="singleLevel"/>
    <w:tmpl w:val="E174A072"/>
    <w:lvl w:ilvl="0">
      <w:start w:val="1"/>
      <w:numFmt w:val="decimal"/>
      <w:lvlText w:val="%1."/>
      <w:legacy w:legacy="1" w:legacySpace="0" w:legacyIndent="360"/>
      <w:lvlJc w:val="left"/>
      <w:pPr>
        <w:ind w:left="360" w:hanging="360"/>
      </w:pPr>
    </w:lvl>
  </w:abstractNum>
  <w:num w:numId="1">
    <w:abstractNumId w:val="11"/>
  </w:num>
  <w:num w:numId="2">
    <w:abstractNumId w:val="22"/>
  </w:num>
  <w:num w:numId="3">
    <w:abstractNumId w:val="20"/>
  </w:num>
  <w:num w:numId="4">
    <w:abstractNumId w:val="25"/>
  </w:num>
  <w:num w:numId="5">
    <w:abstractNumId w:val="24"/>
  </w:num>
  <w:num w:numId="6">
    <w:abstractNumId w:val="13"/>
  </w:num>
  <w:num w:numId="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10"/>
    <w:lvlOverride w:ilvl="0">
      <w:lvl w:ilvl="0">
        <w:start w:val="1"/>
        <w:numFmt w:val="bullet"/>
        <w:lvlText w:val=""/>
        <w:legacy w:legacy="1" w:legacySpace="0" w:legacyIndent="360"/>
        <w:lvlJc w:val="left"/>
        <w:pPr>
          <w:ind w:left="720" w:hanging="360"/>
        </w:pPr>
        <w:rPr>
          <w:rFonts w:ascii="Symbol" w:hAnsi="Symbol" w:hint="default"/>
        </w:rPr>
      </w:lvl>
    </w:lvlOverride>
  </w:num>
  <w:num w:numId="9">
    <w:abstractNumId w:val="30"/>
  </w:num>
  <w:num w:numId="10">
    <w:abstractNumId w:val="27"/>
  </w:num>
  <w:num w:numId="11">
    <w:abstractNumId w:val="14"/>
  </w:num>
  <w:num w:numId="12">
    <w:abstractNumId w:val="2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8"/>
  </w:num>
  <w:num w:numId="25">
    <w:abstractNumId w:val="16"/>
  </w:num>
  <w:num w:numId="26">
    <w:abstractNumId w:val="28"/>
  </w:num>
  <w:num w:numId="27">
    <w:abstractNumId w:val="21"/>
  </w:num>
  <w:num w:numId="28">
    <w:abstractNumId w:val="12"/>
  </w:num>
  <w:num w:numId="29">
    <w:abstractNumId w:val="17"/>
  </w:num>
  <w:num w:numId="30">
    <w:abstractNumId w:val="29"/>
  </w:num>
  <w:num w:numId="31">
    <w:abstractNumId w:val="19"/>
  </w:num>
  <w:num w:numId="32">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B5D"/>
    <w:rsid w:val="00002991"/>
    <w:rsid w:val="00002C32"/>
    <w:rsid w:val="00003129"/>
    <w:rsid w:val="00006D46"/>
    <w:rsid w:val="00007A1D"/>
    <w:rsid w:val="00012A1C"/>
    <w:rsid w:val="000141CE"/>
    <w:rsid w:val="0001427D"/>
    <w:rsid w:val="00014364"/>
    <w:rsid w:val="00016F19"/>
    <w:rsid w:val="000171D3"/>
    <w:rsid w:val="000174AE"/>
    <w:rsid w:val="00021FF7"/>
    <w:rsid w:val="00022F2A"/>
    <w:rsid w:val="00023AC6"/>
    <w:rsid w:val="0003310D"/>
    <w:rsid w:val="00037B5D"/>
    <w:rsid w:val="00040394"/>
    <w:rsid w:val="0004118B"/>
    <w:rsid w:val="000412D6"/>
    <w:rsid w:val="00041EE9"/>
    <w:rsid w:val="00044DA4"/>
    <w:rsid w:val="00045BC4"/>
    <w:rsid w:val="00046472"/>
    <w:rsid w:val="00047CD1"/>
    <w:rsid w:val="000526AE"/>
    <w:rsid w:val="00053281"/>
    <w:rsid w:val="00053C56"/>
    <w:rsid w:val="0005526C"/>
    <w:rsid w:val="00056040"/>
    <w:rsid w:val="000574EC"/>
    <w:rsid w:val="00060324"/>
    <w:rsid w:val="00060405"/>
    <w:rsid w:val="000615E7"/>
    <w:rsid w:val="0006709A"/>
    <w:rsid w:val="00067D42"/>
    <w:rsid w:val="0007061D"/>
    <w:rsid w:val="0007310D"/>
    <w:rsid w:val="00082651"/>
    <w:rsid w:val="00084B30"/>
    <w:rsid w:val="00084D73"/>
    <w:rsid w:val="00087DC0"/>
    <w:rsid w:val="00091009"/>
    <w:rsid w:val="000910BF"/>
    <w:rsid w:val="000935F8"/>
    <w:rsid w:val="00093DF2"/>
    <w:rsid w:val="00095804"/>
    <w:rsid w:val="000A2C7B"/>
    <w:rsid w:val="000A4B8E"/>
    <w:rsid w:val="000B2D67"/>
    <w:rsid w:val="000C0CB0"/>
    <w:rsid w:val="000C476F"/>
    <w:rsid w:val="000C5DE0"/>
    <w:rsid w:val="000D09C4"/>
    <w:rsid w:val="000D0EEF"/>
    <w:rsid w:val="000D1D57"/>
    <w:rsid w:val="000D216F"/>
    <w:rsid w:val="000D3992"/>
    <w:rsid w:val="000D721C"/>
    <w:rsid w:val="000E07B3"/>
    <w:rsid w:val="000E20C7"/>
    <w:rsid w:val="000E24B0"/>
    <w:rsid w:val="000E325A"/>
    <w:rsid w:val="000F2C0D"/>
    <w:rsid w:val="000F466D"/>
    <w:rsid w:val="000F5FC0"/>
    <w:rsid w:val="000F68D3"/>
    <w:rsid w:val="001008F5"/>
    <w:rsid w:val="00100B12"/>
    <w:rsid w:val="001012B2"/>
    <w:rsid w:val="00101AC7"/>
    <w:rsid w:val="00104984"/>
    <w:rsid w:val="001052C0"/>
    <w:rsid w:val="00105D29"/>
    <w:rsid w:val="0011079E"/>
    <w:rsid w:val="00112247"/>
    <w:rsid w:val="00122244"/>
    <w:rsid w:val="00122311"/>
    <w:rsid w:val="0012299E"/>
    <w:rsid w:val="001261F3"/>
    <w:rsid w:val="001303AB"/>
    <w:rsid w:val="00133863"/>
    <w:rsid w:val="00134537"/>
    <w:rsid w:val="0014203A"/>
    <w:rsid w:val="001473F1"/>
    <w:rsid w:val="00150ABC"/>
    <w:rsid w:val="0016085F"/>
    <w:rsid w:val="00164FD3"/>
    <w:rsid w:val="00164FE2"/>
    <w:rsid w:val="001651C3"/>
    <w:rsid w:val="00165CBD"/>
    <w:rsid w:val="00167204"/>
    <w:rsid w:val="00167870"/>
    <w:rsid w:val="00171A5D"/>
    <w:rsid w:val="00171C31"/>
    <w:rsid w:val="00177C96"/>
    <w:rsid w:val="001801FA"/>
    <w:rsid w:val="001811D7"/>
    <w:rsid w:val="00182B22"/>
    <w:rsid w:val="00182CD2"/>
    <w:rsid w:val="00184090"/>
    <w:rsid w:val="00186272"/>
    <w:rsid w:val="00191B5E"/>
    <w:rsid w:val="00192887"/>
    <w:rsid w:val="00194D49"/>
    <w:rsid w:val="00195E0E"/>
    <w:rsid w:val="00197560"/>
    <w:rsid w:val="001A5172"/>
    <w:rsid w:val="001A5297"/>
    <w:rsid w:val="001A63DC"/>
    <w:rsid w:val="001A75CD"/>
    <w:rsid w:val="001B2A5D"/>
    <w:rsid w:val="001B2A9E"/>
    <w:rsid w:val="001B3B29"/>
    <w:rsid w:val="001B3CBE"/>
    <w:rsid w:val="001B6CB1"/>
    <w:rsid w:val="001B77EA"/>
    <w:rsid w:val="001C0A02"/>
    <w:rsid w:val="001C3A71"/>
    <w:rsid w:val="001C3FB2"/>
    <w:rsid w:val="001C7005"/>
    <w:rsid w:val="001C766E"/>
    <w:rsid w:val="001C7794"/>
    <w:rsid w:val="001E27E2"/>
    <w:rsid w:val="001E6B7A"/>
    <w:rsid w:val="001E71F7"/>
    <w:rsid w:val="001F2019"/>
    <w:rsid w:val="001F43E6"/>
    <w:rsid w:val="001F4733"/>
    <w:rsid w:val="001F5855"/>
    <w:rsid w:val="001F5B3E"/>
    <w:rsid w:val="001F5FC3"/>
    <w:rsid w:val="001F794C"/>
    <w:rsid w:val="002009B2"/>
    <w:rsid w:val="0020276A"/>
    <w:rsid w:val="00203E99"/>
    <w:rsid w:val="00205480"/>
    <w:rsid w:val="00210FD6"/>
    <w:rsid w:val="00211BCD"/>
    <w:rsid w:val="00214597"/>
    <w:rsid w:val="00220AF1"/>
    <w:rsid w:val="002227E0"/>
    <w:rsid w:val="00222DC2"/>
    <w:rsid w:val="002316ED"/>
    <w:rsid w:val="002325FC"/>
    <w:rsid w:val="0023264C"/>
    <w:rsid w:val="002333B3"/>
    <w:rsid w:val="002339C6"/>
    <w:rsid w:val="002405E2"/>
    <w:rsid w:val="00243FB9"/>
    <w:rsid w:val="00243FFB"/>
    <w:rsid w:val="00251D39"/>
    <w:rsid w:val="00253E35"/>
    <w:rsid w:val="00255F2A"/>
    <w:rsid w:val="00257447"/>
    <w:rsid w:val="00264ACE"/>
    <w:rsid w:val="00272521"/>
    <w:rsid w:val="0027295D"/>
    <w:rsid w:val="00275809"/>
    <w:rsid w:val="00276212"/>
    <w:rsid w:val="00277A8D"/>
    <w:rsid w:val="00280B2A"/>
    <w:rsid w:val="00280E55"/>
    <w:rsid w:val="00281F76"/>
    <w:rsid w:val="00282E41"/>
    <w:rsid w:val="00284169"/>
    <w:rsid w:val="002926C2"/>
    <w:rsid w:val="00294653"/>
    <w:rsid w:val="00297231"/>
    <w:rsid w:val="00297587"/>
    <w:rsid w:val="002A1C57"/>
    <w:rsid w:val="002A294C"/>
    <w:rsid w:val="002A4A0C"/>
    <w:rsid w:val="002A57A1"/>
    <w:rsid w:val="002A655E"/>
    <w:rsid w:val="002B1C2F"/>
    <w:rsid w:val="002B212B"/>
    <w:rsid w:val="002B374E"/>
    <w:rsid w:val="002B3AFD"/>
    <w:rsid w:val="002C1579"/>
    <w:rsid w:val="002C1896"/>
    <w:rsid w:val="002C2748"/>
    <w:rsid w:val="002D2010"/>
    <w:rsid w:val="002D2983"/>
    <w:rsid w:val="002D4603"/>
    <w:rsid w:val="002E72B2"/>
    <w:rsid w:val="002F15DD"/>
    <w:rsid w:val="002F4B06"/>
    <w:rsid w:val="002F4D7D"/>
    <w:rsid w:val="003018EC"/>
    <w:rsid w:val="00304015"/>
    <w:rsid w:val="00304ECC"/>
    <w:rsid w:val="00304F88"/>
    <w:rsid w:val="00306804"/>
    <w:rsid w:val="00312FCB"/>
    <w:rsid w:val="00313D32"/>
    <w:rsid w:val="00316FDC"/>
    <w:rsid w:val="0031732F"/>
    <w:rsid w:val="0032517B"/>
    <w:rsid w:val="00325320"/>
    <w:rsid w:val="0033182F"/>
    <w:rsid w:val="00333D2F"/>
    <w:rsid w:val="00333F6D"/>
    <w:rsid w:val="00334567"/>
    <w:rsid w:val="00334CB7"/>
    <w:rsid w:val="00337243"/>
    <w:rsid w:val="00341BBA"/>
    <w:rsid w:val="00341C2B"/>
    <w:rsid w:val="003439D5"/>
    <w:rsid w:val="00345532"/>
    <w:rsid w:val="003455FD"/>
    <w:rsid w:val="00345CAD"/>
    <w:rsid w:val="00346839"/>
    <w:rsid w:val="0035040A"/>
    <w:rsid w:val="00350713"/>
    <w:rsid w:val="00350727"/>
    <w:rsid w:val="00353CF2"/>
    <w:rsid w:val="00355337"/>
    <w:rsid w:val="003578C4"/>
    <w:rsid w:val="0036007D"/>
    <w:rsid w:val="00360C3A"/>
    <w:rsid w:val="003639B5"/>
    <w:rsid w:val="00364D55"/>
    <w:rsid w:val="00366004"/>
    <w:rsid w:val="00366B94"/>
    <w:rsid w:val="0036732C"/>
    <w:rsid w:val="00370764"/>
    <w:rsid w:val="0037498D"/>
    <w:rsid w:val="00380390"/>
    <w:rsid w:val="00380CFC"/>
    <w:rsid w:val="003814E0"/>
    <w:rsid w:val="00383FAA"/>
    <w:rsid w:val="00387C10"/>
    <w:rsid w:val="003921B4"/>
    <w:rsid w:val="003928D8"/>
    <w:rsid w:val="00394299"/>
    <w:rsid w:val="003A0552"/>
    <w:rsid w:val="003A17C1"/>
    <w:rsid w:val="003A3C8D"/>
    <w:rsid w:val="003A44C9"/>
    <w:rsid w:val="003A456D"/>
    <w:rsid w:val="003A5FAB"/>
    <w:rsid w:val="003A69C4"/>
    <w:rsid w:val="003B1261"/>
    <w:rsid w:val="003C3B21"/>
    <w:rsid w:val="003C49B1"/>
    <w:rsid w:val="003C5CA6"/>
    <w:rsid w:val="003C6143"/>
    <w:rsid w:val="003C6650"/>
    <w:rsid w:val="003D045E"/>
    <w:rsid w:val="003D256B"/>
    <w:rsid w:val="003D3610"/>
    <w:rsid w:val="003D71CD"/>
    <w:rsid w:val="003D7870"/>
    <w:rsid w:val="003D7A0C"/>
    <w:rsid w:val="003E183D"/>
    <w:rsid w:val="003E29CC"/>
    <w:rsid w:val="003E3030"/>
    <w:rsid w:val="003E3248"/>
    <w:rsid w:val="003E385C"/>
    <w:rsid w:val="003E54D5"/>
    <w:rsid w:val="003F4B0F"/>
    <w:rsid w:val="003F5584"/>
    <w:rsid w:val="004012BE"/>
    <w:rsid w:val="0040356B"/>
    <w:rsid w:val="00411C65"/>
    <w:rsid w:val="004174CC"/>
    <w:rsid w:val="0041797F"/>
    <w:rsid w:val="004234BE"/>
    <w:rsid w:val="0042695E"/>
    <w:rsid w:val="004324B4"/>
    <w:rsid w:val="00434DB9"/>
    <w:rsid w:val="004350BC"/>
    <w:rsid w:val="00435288"/>
    <w:rsid w:val="004376F9"/>
    <w:rsid w:val="004417DF"/>
    <w:rsid w:val="0044380F"/>
    <w:rsid w:val="00444D81"/>
    <w:rsid w:val="00445912"/>
    <w:rsid w:val="0044605C"/>
    <w:rsid w:val="00447379"/>
    <w:rsid w:val="004501F0"/>
    <w:rsid w:val="004559A3"/>
    <w:rsid w:val="004604C5"/>
    <w:rsid w:val="00462157"/>
    <w:rsid w:val="00462DF4"/>
    <w:rsid w:val="0046348D"/>
    <w:rsid w:val="0046468E"/>
    <w:rsid w:val="00465A69"/>
    <w:rsid w:val="0046697B"/>
    <w:rsid w:val="00466DFA"/>
    <w:rsid w:val="0047417A"/>
    <w:rsid w:val="00481049"/>
    <w:rsid w:val="00483AF7"/>
    <w:rsid w:val="00483CF8"/>
    <w:rsid w:val="00484D75"/>
    <w:rsid w:val="00490906"/>
    <w:rsid w:val="00492DD0"/>
    <w:rsid w:val="00494EAD"/>
    <w:rsid w:val="00496953"/>
    <w:rsid w:val="00496B51"/>
    <w:rsid w:val="00497A62"/>
    <w:rsid w:val="004A356B"/>
    <w:rsid w:val="004A3DFA"/>
    <w:rsid w:val="004B25B8"/>
    <w:rsid w:val="004B34B7"/>
    <w:rsid w:val="004B3D47"/>
    <w:rsid w:val="004B5317"/>
    <w:rsid w:val="004B63D0"/>
    <w:rsid w:val="004B7C41"/>
    <w:rsid w:val="004C1E8A"/>
    <w:rsid w:val="004C202B"/>
    <w:rsid w:val="004C453E"/>
    <w:rsid w:val="004C69FE"/>
    <w:rsid w:val="004D0170"/>
    <w:rsid w:val="004D1083"/>
    <w:rsid w:val="004D1B40"/>
    <w:rsid w:val="004D346A"/>
    <w:rsid w:val="004D3B49"/>
    <w:rsid w:val="004D3FD4"/>
    <w:rsid w:val="004D424B"/>
    <w:rsid w:val="004D686C"/>
    <w:rsid w:val="004E045B"/>
    <w:rsid w:val="004E3401"/>
    <w:rsid w:val="004E7C7F"/>
    <w:rsid w:val="004F14F6"/>
    <w:rsid w:val="004F333A"/>
    <w:rsid w:val="004F338F"/>
    <w:rsid w:val="004F42B9"/>
    <w:rsid w:val="004F6B6F"/>
    <w:rsid w:val="00500FC0"/>
    <w:rsid w:val="00501A56"/>
    <w:rsid w:val="005020DD"/>
    <w:rsid w:val="0050531A"/>
    <w:rsid w:val="005061EF"/>
    <w:rsid w:val="005063C9"/>
    <w:rsid w:val="00510C9B"/>
    <w:rsid w:val="0051255B"/>
    <w:rsid w:val="00513F24"/>
    <w:rsid w:val="005209F1"/>
    <w:rsid w:val="00525489"/>
    <w:rsid w:val="00525AA1"/>
    <w:rsid w:val="00532893"/>
    <w:rsid w:val="00532D4C"/>
    <w:rsid w:val="00535300"/>
    <w:rsid w:val="00537A99"/>
    <w:rsid w:val="005422BA"/>
    <w:rsid w:val="00545E6A"/>
    <w:rsid w:val="005507BC"/>
    <w:rsid w:val="00551429"/>
    <w:rsid w:val="00551D94"/>
    <w:rsid w:val="00553C4A"/>
    <w:rsid w:val="00553E28"/>
    <w:rsid w:val="0055433D"/>
    <w:rsid w:val="00554FBA"/>
    <w:rsid w:val="00560ACE"/>
    <w:rsid w:val="00560DB7"/>
    <w:rsid w:val="005625C2"/>
    <w:rsid w:val="00564EDA"/>
    <w:rsid w:val="005664CD"/>
    <w:rsid w:val="00566C62"/>
    <w:rsid w:val="0057225B"/>
    <w:rsid w:val="005731A3"/>
    <w:rsid w:val="0057569C"/>
    <w:rsid w:val="0057729F"/>
    <w:rsid w:val="00577480"/>
    <w:rsid w:val="005810BA"/>
    <w:rsid w:val="0058315D"/>
    <w:rsid w:val="005924FA"/>
    <w:rsid w:val="0059782A"/>
    <w:rsid w:val="005A0744"/>
    <w:rsid w:val="005A2D00"/>
    <w:rsid w:val="005B2B29"/>
    <w:rsid w:val="005B752A"/>
    <w:rsid w:val="005C28AF"/>
    <w:rsid w:val="005C5AF9"/>
    <w:rsid w:val="005C6048"/>
    <w:rsid w:val="005C6CA4"/>
    <w:rsid w:val="005E22C8"/>
    <w:rsid w:val="005E2E56"/>
    <w:rsid w:val="005E3B9E"/>
    <w:rsid w:val="005E467C"/>
    <w:rsid w:val="005F2A8A"/>
    <w:rsid w:val="005F668B"/>
    <w:rsid w:val="005F74CE"/>
    <w:rsid w:val="005F7565"/>
    <w:rsid w:val="0060055D"/>
    <w:rsid w:val="006025D1"/>
    <w:rsid w:val="00602C49"/>
    <w:rsid w:val="0061061F"/>
    <w:rsid w:val="006132AC"/>
    <w:rsid w:val="006141DF"/>
    <w:rsid w:val="00614711"/>
    <w:rsid w:val="00616B9A"/>
    <w:rsid w:val="00617611"/>
    <w:rsid w:val="00617937"/>
    <w:rsid w:val="00621E90"/>
    <w:rsid w:val="006239D3"/>
    <w:rsid w:val="006247C5"/>
    <w:rsid w:val="0062511B"/>
    <w:rsid w:val="0062537F"/>
    <w:rsid w:val="006266BB"/>
    <w:rsid w:val="006300CB"/>
    <w:rsid w:val="00632293"/>
    <w:rsid w:val="00634CED"/>
    <w:rsid w:val="0064034C"/>
    <w:rsid w:val="00640A40"/>
    <w:rsid w:val="00640F45"/>
    <w:rsid w:val="006448D0"/>
    <w:rsid w:val="00644F2A"/>
    <w:rsid w:val="00645D18"/>
    <w:rsid w:val="00647F1F"/>
    <w:rsid w:val="006535C0"/>
    <w:rsid w:val="006571D6"/>
    <w:rsid w:val="0065730A"/>
    <w:rsid w:val="00660619"/>
    <w:rsid w:val="0066078C"/>
    <w:rsid w:val="00662058"/>
    <w:rsid w:val="00662D75"/>
    <w:rsid w:val="006631E7"/>
    <w:rsid w:val="006637CD"/>
    <w:rsid w:val="006658FD"/>
    <w:rsid w:val="0066597F"/>
    <w:rsid w:val="00665E8B"/>
    <w:rsid w:val="00667F82"/>
    <w:rsid w:val="00671B97"/>
    <w:rsid w:val="00681AA8"/>
    <w:rsid w:val="00692A5D"/>
    <w:rsid w:val="006A12EF"/>
    <w:rsid w:val="006A2C74"/>
    <w:rsid w:val="006A4FDE"/>
    <w:rsid w:val="006A59D3"/>
    <w:rsid w:val="006A79B7"/>
    <w:rsid w:val="006B2369"/>
    <w:rsid w:val="006B62B7"/>
    <w:rsid w:val="006C17A0"/>
    <w:rsid w:val="006C1B10"/>
    <w:rsid w:val="006C1ED3"/>
    <w:rsid w:val="006C35D7"/>
    <w:rsid w:val="006C55DC"/>
    <w:rsid w:val="006C7102"/>
    <w:rsid w:val="006D263B"/>
    <w:rsid w:val="006D2CAA"/>
    <w:rsid w:val="006D3292"/>
    <w:rsid w:val="006D70E9"/>
    <w:rsid w:val="006E078F"/>
    <w:rsid w:val="006E0BB6"/>
    <w:rsid w:val="006E3005"/>
    <w:rsid w:val="006E38BB"/>
    <w:rsid w:val="006E6162"/>
    <w:rsid w:val="006F1C4A"/>
    <w:rsid w:val="006F2E18"/>
    <w:rsid w:val="006F5E52"/>
    <w:rsid w:val="00702C74"/>
    <w:rsid w:val="00703B03"/>
    <w:rsid w:val="00703E6D"/>
    <w:rsid w:val="00704320"/>
    <w:rsid w:val="00704C19"/>
    <w:rsid w:val="00717778"/>
    <w:rsid w:val="00720129"/>
    <w:rsid w:val="00721975"/>
    <w:rsid w:val="00721BB6"/>
    <w:rsid w:val="0072258D"/>
    <w:rsid w:val="00722950"/>
    <w:rsid w:val="00722B83"/>
    <w:rsid w:val="00724F29"/>
    <w:rsid w:val="00726F21"/>
    <w:rsid w:val="00727570"/>
    <w:rsid w:val="00732A49"/>
    <w:rsid w:val="007336D9"/>
    <w:rsid w:val="00736AF4"/>
    <w:rsid w:val="00736C3B"/>
    <w:rsid w:val="007471E3"/>
    <w:rsid w:val="00752C35"/>
    <w:rsid w:val="0075544D"/>
    <w:rsid w:val="00760B9F"/>
    <w:rsid w:val="00761F68"/>
    <w:rsid w:val="007621DC"/>
    <w:rsid w:val="007634C5"/>
    <w:rsid w:val="00763ACA"/>
    <w:rsid w:val="00767DBF"/>
    <w:rsid w:val="007700F3"/>
    <w:rsid w:val="00770B01"/>
    <w:rsid w:val="00770F09"/>
    <w:rsid w:val="00773812"/>
    <w:rsid w:val="00773C21"/>
    <w:rsid w:val="00776444"/>
    <w:rsid w:val="00777A18"/>
    <w:rsid w:val="00782885"/>
    <w:rsid w:val="007864F2"/>
    <w:rsid w:val="00786A86"/>
    <w:rsid w:val="00786CBA"/>
    <w:rsid w:val="00787127"/>
    <w:rsid w:val="0079036A"/>
    <w:rsid w:val="00790D20"/>
    <w:rsid w:val="0079155F"/>
    <w:rsid w:val="00793547"/>
    <w:rsid w:val="00796A95"/>
    <w:rsid w:val="007A21D8"/>
    <w:rsid w:val="007A5768"/>
    <w:rsid w:val="007A7ED3"/>
    <w:rsid w:val="007B0F90"/>
    <w:rsid w:val="007B3FD6"/>
    <w:rsid w:val="007B4024"/>
    <w:rsid w:val="007B61E9"/>
    <w:rsid w:val="007B70A6"/>
    <w:rsid w:val="007B7F6C"/>
    <w:rsid w:val="007C1CC6"/>
    <w:rsid w:val="007C6870"/>
    <w:rsid w:val="007D10C0"/>
    <w:rsid w:val="007E40C3"/>
    <w:rsid w:val="007E6ED7"/>
    <w:rsid w:val="007F0632"/>
    <w:rsid w:val="007F08A5"/>
    <w:rsid w:val="007F13B7"/>
    <w:rsid w:val="007F1721"/>
    <w:rsid w:val="007F1E4E"/>
    <w:rsid w:val="007F4E86"/>
    <w:rsid w:val="007F577E"/>
    <w:rsid w:val="007F603F"/>
    <w:rsid w:val="007F7534"/>
    <w:rsid w:val="007F7AAD"/>
    <w:rsid w:val="0080160C"/>
    <w:rsid w:val="00801ED7"/>
    <w:rsid w:val="00802DCA"/>
    <w:rsid w:val="008032BF"/>
    <w:rsid w:val="00803915"/>
    <w:rsid w:val="00805B6A"/>
    <w:rsid w:val="00806B4B"/>
    <w:rsid w:val="00810C09"/>
    <w:rsid w:val="0081441A"/>
    <w:rsid w:val="00815CBC"/>
    <w:rsid w:val="00816FF4"/>
    <w:rsid w:val="00817505"/>
    <w:rsid w:val="00820BBE"/>
    <w:rsid w:val="00821818"/>
    <w:rsid w:val="00822A75"/>
    <w:rsid w:val="00826F76"/>
    <w:rsid w:val="00827723"/>
    <w:rsid w:val="008334D0"/>
    <w:rsid w:val="0084303E"/>
    <w:rsid w:val="008443FE"/>
    <w:rsid w:val="008454C1"/>
    <w:rsid w:val="0085065D"/>
    <w:rsid w:val="00853B32"/>
    <w:rsid w:val="008546AE"/>
    <w:rsid w:val="00854D8F"/>
    <w:rsid w:val="008564D4"/>
    <w:rsid w:val="00856691"/>
    <w:rsid w:val="008608C8"/>
    <w:rsid w:val="0087106F"/>
    <w:rsid w:val="00873332"/>
    <w:rsid w:val="0087628E"/>
    <w:rsid w:val="00877A88"/>
    <w:rsid w:val="00880C63"/>
    <w:rsid w:val="0088249B"/>
    <w:rsid w:val="008900EC"/>
    <w:rsid w:val="008920CC"/>
    <w:rsid w:val="00894DD6"/>
    <w:rsid w:val="00895ADC"/>
    <w:rsid w:val="00897449"/>
    <w:rsid w:val="00897EAB"/>
    <w:rsid w:val="008A1BD0"/>
    <w:rsid w:val="008A2A32"/>
    <w:rsid w:val="008A2D76"/>
    <w:rsid w:val="008A3D8F"/>
    <w:rsid w:val="008A455C"/>
    <w:rsid w:val="008B4883"/>
    <w:rsid w:val="008B5916"/>
    <w:rsid w:val="008B74D7"/>
    <w:rsid w:val="008B78F0"/>
    <w:rsid w:val="008C62B1"/>
    <w:rsid w:val="008C6DF0"/>
    <w:rsid w:val="008C73D3"/>
    <w:rsid w:val="008E0533"/>
    <w:rsid w:val="008E1E02"/>
    <w:rsid w:val="008E22DE"/>
    <w:rsid w:val="008E2DDC"/>
    <w:rsid w:val="008E4815"/>
    <w:rsid w:val="008E5B85"/>
    <w:rsid w:val="008E649B"/>
    <w:rsid w:val="008E6C82"/>
    <w:rsid w:val="008E7F6A"/>
    <w:rsid w:val="008F0AE8"/>
    <w:rsid w:val="008F40B9"/>
    <w:rsid w:val="008F6798"/>
    <w:rsid w:val="00902FE5"/>
    <w:rsid w:val="00904B6F"/>
    <w:rsid w:val="00907245"/>
    <w:rsid w:val="0091495A"/>
    <w:rsid w:val="00915B8B"/>
    <w:rsid w:val="009178ED"/>
    <w:rsid w:val="00921DDA"/>
    <w:rsid w:val="00922CE2"/>
    <w:rsid w:val="009230E6"/>
    <w:rsid w:val="009236F0"/>
    <w:rsid w:val="009237E0"/>
    <w:rsid w:val="00923CA2"/>
    <w:rsid w:val="00924BE5"/>
    <w:rsid w:val="0092766A"/>
    <w:rsid w:val="009311BD"/>
    <w:rsid w:val="009333BA"/>
    <w:rsid w:val="0093341D"/>
    <w:rsid w:val="009346DB"/>
    <w:rsid w:val="0093774A"/>
    <w:rsid w:val="00940984"/>
    <w:rsid w:val="00940D23"/>
    <w:rsid w:val="0094112D"/>
    <w:rsid w:val="00941BCC"/>
    <w:rsid w:val="00947E9E"/>
    <w:rsid w:val="00951830"/>
    <w:rsid w:val="009535AF"/>
    <w:rsid w:val="009548D8"/>
    <w:rsid w:val="00957739"/>
    <w:rsid w:val="00957B24"/>
    <w:rsid w:val="00965F8C"/>
    <w:rsid w:val="00967B98"/>
    <w:rsid w:val="00971541"/>
    <w:rsid w:val="00972F76"/>
    <w:rsid w:val="00982AE6"/>
    <w:rsid w:val="00982E51"/>
    <w:rsid w:val="00986AA7"/>
    <w:rsid w:val="0098787C"/>
    <w:rsid w:val="0099078E"/>
    <w:rsid w:val="0099468C"/>
    <w:rsid w:val="00994E42"/>
    <w:rsid w:val="009979AF"/>
    <w:rsid w:val="009A1FD6"/>
    <w:rsid w:val="009A3E92"/>
    <w:rsid w:val="009A53E3"/>
    <w:rsid w:val="009A77B3"/>
    <w:rsid w:val="009B5063"/>
    <w:rsid w:val="009C04E5"/>
    <w:rsid w:val="009C2F9C"/>
    <w:rsid w:val="009C35F1"/>
    <w:rsid w:val="009C3DB4"/>
    <w:rsid w:val="009C55A0"/>
    <w:rsid w:val="009C6151"/>
    <w:rsid w:val="009C76C4"/>
    <w:rsid w:val="009C7EE2"/>
    <w:rsid w:val="009D05A1"/>
    <w:rsid w:val="009D19C0"/>
    <w:rsid w:val="009D2F25"/>
    <w:rsid w:val="009D63E7"/>
    <w:rsid w:val="009D6589"/>
    <w:rsid w:val="009D6E88"/>
    <w:rsid w:val="009D78E0"/>
    <w:rsid w:val="009E045B"/>
    <w:rsid w:val="009E09FD"/>
    <w:rsid w:val="009E0F9A"/>
    <w:rsid w:val="009E1A8A"/>
    <w:rsid w:val="009E1CF8"/>
    <w:rsid w:val="009E2C40"/>
    <w:rsid w:val="009E574E"/>
    <w:rsid w:val="009E5A0E"/>
    <w:rsid w:val="009F136A"/>
    <w:rsid w:val="009F3708"/>
    <w:rsid w:val="009F3747"/>
    <w:rsid w:val="009F45A2"/>
    <w:rsid w:val="00A012B1"/>
    <w:rsid w:val="00A01362"/>
    <w:rsid w:val="00A039B4"/>
    <w:rsid w:val="00A0503E"/>
    <w:rsid w:val="00A064F3"/>
    <w:rsid w:val="00A06F75"/>
    <w:rsid w:val="00A0749E"/>
    <w:rsid w:val="00A11E8F"/>
    <w:rsid w:val="00A13189"/>
    <w:rsid w:val="00A14130"/>
    <w:rsid w:val="00A147FE"/>
    <w:rsid w:val="00A15091"/>
    <w:rsid w:val="00A15654"/>
    <w:rsid w:val="00A171BC"/>
    <w:rsid w:val="00A17EFF"/>
    <w:rsid w:val="00A237B7"/>
    <w:rsid w:val="00A24E75"/>
    <w:rsid w:val="00A250C1"/>
    <w:rsid w:val="00A2593B"/>
    <w:rsid w:val="00A30779"/>
    <w:rsid w:val="00A354E9"/>
    <w:rsid w:val="00A45F37"/>
    <w:rsid w:val="00A47EB2"/>
    <w:rsid w:val="00A50185"/>
    <w:rsid w:val="00A529BC"/>
    <w:rsid w:val="00A57145"/>
    <w:rsid w:val="00A578B5"/>
    <w:rsid w:val="00A617C2"/>
    <w:rsid w:val="00A63ECA"/>
    <w:rsid w:val="00A64574"/>
    <w:rsid w:val="00A672B2"/>
    <w:rsid w:val="00A705F7"/>
    <w:rsid w:val="00A714E7"/>
    <w:rsid w:val="00A715F9"/>
    <w:rsid w:val="00A753C7"/>
    <w:rsid w:val="00A77A41"/>
    <w:rsid w:val="00A82127"/>
    <w:rsid w:val="00A86D4A"/>
    <w:rsid w:val="00A8758B"/>
    <w:rsid w:val="00A879B9"/>
    <w:rsid w:val="00A90344"/>
    <w:rsid w:val="00A9159C"/>
    <w:rsid w:val="00A927AA"/>
    <w:rsid w:val="00A94A5A"/>
    <w:rsid w:val="00A95240"/>
    <w:rsid w:val="00A959A4"/>
    <w:rsid w:val="00A966D3"/>
    <w:rsid w:val="00AA05F4"/>
    <w:rsid w:val="00AA77D0"/>
    <w:rsid w:val="00AB0339"/>
    <w:rsid w:val="00AB1BC2"/>
    <w:rsid w:val="00AB3254"/>
    <w:rsid w:val="00AB5F9A"/>
    <w:rsid w:val="00AC0780"/>
    <w:rsid w:val="00AC0F13"/>
    <w:rsid w:val="00AC1F92"/>
    <w:rsid w:val="00AC2B54"/>
    <w:rsid w:val="00AD1ACF"/>
    <w:rsid w:val="00AD31AB"/>
    <w:rsid w:val="00AD5229"/>
    <w:rsid w:val="00AD5ED5"/>
    <w:rsid w:val="00AD6701"/>
    <w:rsid w:val="00AE05F5"/>
    <w:rsid w:val="00AE456A"/>
    <w:rsid w:val="00AE4E72"/>
    <w:rsid w:val="00AE5FD1"/>
    <w:rsid w:val="00AF5A30"/>
    <w:rsid w:val="00B000AC"/>
    <w:rsid w:val="00B044AA"/>
    <w:rsid w:val="00B0679B"/>
    <w:rsid w:val="00B131D2"/>
    <w:rsid w:val="00B13A42"/>
    <w:rsid w:val="00B14DCD"/>
    <w:rsid w:val="00B150E6"/>
    <w:rsid w:val="00B1742B"/>
    <w:rsid w:val="00B201EE"/>
    <w:rsid w:val="00B23ADA"/>
    <w:rsid w:val="00B249BA"/>
    <w:rsid w:val="00B26972"/>
    <w:rsid w:val="00B26FA2"/>
    <w:rsid w:val="00B27662"/>
    <w:rsid w:val="00B31AAF"/>
    <w:rsid w:val="00B35A33"/>
    <w:rsid w:val="00B401B4"/>
    <w:rsid w:val="00B53EC2"/>
    <w:rsid w:val="00B540C2"/>
    <w:rsid w:val="00B541E0"/>
    <w:rsid w:val="00B55D03"/>
    <w:rsid w:val="00B55D4C"/>
    <w:rsid w:val="00B61145"/>
    <w:rsid w:val="00B62B59"/>
    <w:rsid w:val="00B6542B"/>
    <w:rsid w:val="00B657F1"/>
    <w:rsid w:val="00B6671D"/>
    <w:rsid w:val="00B73FF0"/>
    <w:rsid w:val="00B751F2"/>
    <w:rsid w:val="00B75890"/>
    <w:rsid w:val="00B760CC"/>
    <w:rsid w:val="00B76400"/>
    <w:rsid w:val="00B8052F"/>
    <w:rsid w:val="00B81181"/>
    <w:rsid w:val="00B824EB"/>
    <w:rsid w:val="00B9210F"/>
    <w:rsid w:val="00B92A1F"/>
    <w:rsid w:val="00B93013"/>
    <w:rsid w:val="00B930D8"/>
    <w:rsid w:val="00B9649B"/>
    <w:rsid w:val="00BA6424"/>
    <w:rsid w:val="00BA7089"/>
    <w:rsid w:val="00BB09D0"/>
    <w:rsid w:val="00BB44B1"/>
    <w:rsid w:val="00BB44C6"/>
    <w:rsid w:val="00BB741F"/>
    <w:rsid w:val="00BC2509"/>
    <w:rsid w:val="00BC4B9F"/>
    <w:rsid w:val="00BC5274"/>
    <w:rsid w:val="00BC7FA1"/>
    <w:rsid w:val="00BD0A37"/>
    <w:rsid w:val="00BD0BFE"/>
    <w:rsid w:val="00BD7770"/>
    <w:rsid w:val="00BE2E06"/>
    <w:rsid w:val="00BE5E67"/>
    <w:rsid w:val="00BE6F7B"/>
    <w:rsid w:val="00BF220D"/>
    <w:rsid w:val="00BF2E1A"/>
    <w:rsid w:val="00BF4D05"/>
    <w:rsid w:val="00C05AC0"/>
    <w:rsid w:val="00C05F15"/>
    <w:rsid w:val="00C07E5A"/>
    <w:rsid w:val="00C20FEC"/>
    <w:rsid w:val="00C215F9"/>
    <w:rsid w:val="00C225C3"/>
    <w:rsid w:val="00C23F45"/>
    <w:rsid w:val="00C26283"/>
    <w:rsid w:val="00C30DFD"/>
    <w:rsid w:val="00C334C8"/>
    <w:rsid w:val="00C34B74"/>
    <w:rsid w:val="00C35E32"/>
    <w:rsid w:val="00C369FA"/>
    <w:rsid w:val="00C36A02"/>
    <w:rsid w:val="00C36CD4"/>
    <w:rsid w:val="00C372CA"/>
    <w:rsid w:val="00C37B74"/>
    <w:rsid w:val="00C41434"/>
    <w:rsid w:val="00C4278F"/>
    <w:rsid w:val="00C43896"/>
    <w:rsid w:val="00C50DC6"/>
    <w:rsid w:val="00C512B5"/>
    <w:rsid w:val="00C56C2B"/>
    <w:rsid w:val="00C6090D"/>
    <w:rsid w:val="00C60B41"/>
    <w:rsid w:val="00C65EEA"/>
    <w:rsid w:val="00C665B9"/>
    <w:rsid w:val="00C66D84"/>
    <w:rsid w:val="00C71B5A"/>
    <w:rsid w:val="00C7385D"/>
    <w:rsid w:val="00C73DAC"/>
    <w:rsid w:val="00C74A14"/>
    <w:rsid w:val="00C82E4B"/>
    <w:rsid w:val="00C83609"/>
    <w:rsid w:val="00C84FE1"/>
    <w:rsid w:val="00C85528"/>
    <w:rsid w:val="00C87077"/>
    <w:rsid w:val="00C90518"/>
    <w:rsid w:val="00C91650"/>
    <w:rsid w:val="00C9561C"/>
    <w:rsid w:val="00C97CC7"/>
    <w:rsid w:val="00CA012F"/>
    <w:rsid w:val="00CA208D"/>
    <w:rsid w:val="00CA380E"/>
    <w:rsid w:val="00CB0559"/>
    <w:rsid w:val="00CB07A6"/>
    <w:rsid w:val="00CB24BC"/>
    <w:rsid w:val="00CB24E7"/>
    <w:rsid w:val="00CB2987"/>
    <w:rsid w:val="00CB39D5"/>
    <w:rsid w:val="00CB47F0"/>
    <w:rsid w:val="00CB5755"/>
    <w:rsid w:val="00CB6587"/>
    <w:rsid w:val="00CC0A40"/>
    <w:rsid w:val="00CC2204"/>
    <w:rsid w:val="00CC447A"/>
    <w:rsid w:val="00CC4815"/>
    <w:rsid w:val="00CC561E"/>
    <w:rsid w:val="00CC7726"/>
    <w:rsid w:val="00CC797A"/>
    <w:rsid w:val="00CD59AF"/>
    <w:rsid w:val="00CE02F7"/>
    <w:rsid w:val="00CE0508"/>
    <w:rsid w:val="00CE0ADB"/>
    <w:rsid w:val="00CE140C"/>
    <w:rsid w:val="00CE1B30"/>
    <w:rsid w:val="00CE2C91"/>
    <w:rsid w:val="00CE3592"/>
    <w:rsid w:val="00CE55FF"/>
    <w:rsid w:val="00CE5A96"/>
    <w:rsid w:val="00CF067B"/>
    <w:rsid w:val="00D01E95"/>
    <w:rsid w:val="00D06726"/>
    <w:rsid w:val="00D07779"/>
    <w:rsid w:val="00D20AA5"/>
    <w:rsid w:val="00D238BD"/>
    <w:rsid w:val="00D26957"/>
    <w:rsid w:val="00D27293"/>
    <w:rsid w:val="00D33F56"/>
    <w:rsid w:val="00D405DA"/>
    <w:rsid w:val="00D41F58"/>
    <w:rsid w:val="00D4356D"/>
    <w:rsid w:val="00D43DA7"/>
    <w:rsid w:val="00D44675"/>
    <w:rsid w:val="00D449CB"/>
    <w:rsid w:val="00D47CBB"/>
    <w:rsid w:val="00D511D5"/>
    <w:rsid w:val="00D56040"/>
    <w:rsid w:val="00D56C9A"/>
    <w:rsid w:val="00D56D61"/>
    <w:rsid w:val="00D657BF"/>
    <w:rsid w:val="00D70448"/>
    <w:rsid w:val="00D724CC"/>
    <w:rsid w:val="00D74ECF"/>
    <w:rsid w:val="00D75824"/>
    <w:rsid w:val="00D77CDE"/>
    <w:rsid w:val="00D80C74"/>
    <w:rsid w:val="00D83402"/>
    <w:rsid w:val="00D85CBE"/>
    <w:rsid w:val="00D86495"/>
    <w:rsid w:val="00D86669"/>
    <w:rsid w:val="00D9532C"/>
    <w:rsid w:val="00D963C3"/>
    <w:rsid w:val="00D96430"/>
    <w:rsid w:val="00D9681F"/>
    <w:rsid w:val="00D97990"/>
    <w:rsid w:val="00DA19CB"/>
    <w:rsid w:val="00DA1E77"/>
    <w:rsid w:val="00DA5BCC"/>
    <w:rsid w:val="00DA729F"/>
    <w:rsid w:val="00DB1826"/>
    <w:rsid w:val="00DB6503"/>
    <w:rsid w:val="00DC44E2"/>
    <w:rsid w:val="00DC5A4E"/>
    <w:rsid w:val="00DC6C10"/>
    <w:rsid w:val="00DC6F03"/>
    <w:rsid w:val="00DD0565"/>
    <w:rsid w:val="00DD0DC0"/>
    <w:rsid w:val="00DD3AA8"/>
    <w:rsid w:val="00DD5E72"/>
    <w:rsid w:val="00DE02F9"/>
    <w:rsid w:val="00DE43FF"/>
    <w:rsid w:val="00DE6A87"/>
    <w:rsid w:val="00DE7007"/>
    <w:rsid w:val="00DF0157"/>
    <w:rsid w:val="00DF0827"/>
    <w:rsid w:val="00DF22BF"/>
    <w:rsid w:val="00DF2589"/>
    <w:rsid w:val="00DF614E"/>
    <w:rsid w:val="00E00C83"/>
    <w:rsid w:val="00E01536"/>
    <w:rsid w:val="00E02BB7"/>
    <w:rsid w:val="00E03C80"/>
    <w:rsid w:val="00E04316"/>
    <w:rsid w:val="00E05AC9"/>
    <w:rsid w:val="00E12050"/>
    <w:rsid w:val="00E12E84"/>
    <w:rsid w:val="00E13915"/>
    <w:rsid w:val="00E1599F"/>
    <w:rsid w:val="00E168FD"/>
    <w:rsid w:val="00E179D8"/>
    <w:rsid w:val="00E17A4F"/>
    <w:rsid w:val="00E27CB0"/>
    <w:rsid w:val="00E3621A"/>
    <w:rsid w:val="00E37BDF"/>
    <w:rsid w:val="00E445BD"/>
    <w:rsid w:val="00E460A5"/>
    <w:rsid w:val="00E46222"/>
    <w:rsid w:val="00E46BE4"/>
    <w:rsid w:val="00E500F7"/>
    <w:rsid w:val="00E503BE"/>
    <w:rsid w:val="00E516DB"/>
    <w:rsid w:val="00E5374F"/>
    <w:rsid w:val="00E53A84"/>
    <w:rsid w:val="00E57659"/>
    <w:rsid w:val="00E57B71"/>
    <w:rsid w:val="00E71965"/>
    <w:rsid w:val="00E778F1"/>
    <w:rsid w:val="00E834CE"/>
    <w:rsid w:val="00E8507A"/>
    <w:rsid w:val="00E851D2"/>
    <w:rsid w:val="00E917DD"/>
    <w:rsid w:val="00E927EA"/>
    <w:rsid w:val="00E93222"/>
    <w:rsid w:val="00E9672E"/>
    <w:rsid w:val="00EA083D"/>
    <w:rsid w:val="00EA0B64"/>
    <w:rsid w:val="00EA3033"/>
    <w:rsid w:val="00EA4266"/>
    <w:rsid w:val="00EA7B73"/>
    <w:rsid w:val="00EA7CC8"/>
    <w:rsid w:val="00EB1023"/>
    <w:rsid w:val="00EB1F7C"/>
    <w:rsid w:val="00EB7635"/>
    <w:rsid w:val="00EC238E"/>
    <w:rsid w:val="00EC5CF6"/>
    <w:rsid w:val="00EC6F8E"/>
    <w:rsid w:val="00EC7295"/>
    <w:rsid w:val="00EC739E"/>
    <w:rsid w:val="00EC797C"/>
    <w:rsid w:val="00ED3594"/>
    <w:rsid w:val="00ED42E8"/>
    <w:rsid w:val="00ED42EC"/>
    <w:rsid w:val="00ED48FB"/>
    <w:rsid w:val="00EE0C43"/>
    <w:rsid w:val="00EE0E2A"/>
    <w:rsid w:val="00EE1DFF"/>
    <w:rsid w:val="00EE2723"/>
    <w:rsid w:val="00EE3CE0"/>
    <w:rsid w:val="00EE4187"/>
    <w:rsid w:val="00EE4F9E"/>
    <w:rsid w:val="00EE51E2"/>
    <w:rsid w:val="00EE528E"/>
    <w:rsid w:val="00EF2A95"/>
    <w:rsid w:val="00EF3E41"/>
    <w:rsid w:val="00EF4BCD"/>
    <w:rsid w:val="00EF588C"/>
    <w:rsid w:val="00EF7D5D"/>
    <w:rsid w:val="00EF7FFE"/>
    <w:rsid w:val="00F01072"/>
    <w:rsid w:val="00F021E6"/>
    <w:rsid w:val="00F04BC7"/>
    <w:rsid w:val="00F04DC0"/>
    <w:rsid w:val="00F14EDF"/>
    <w:rsid w:val="00F15287"/>
    <w:rsid w:val="00F16A2F"/>
    <w:rsid w:val="00F1722C"/>
    <w:rsid w:val="00F17A6C"/>
    <w:rsid w:val="00F2705C"/>
    <w:rsid w:val="00F2789A"/>
    <w:rsid w:val="00F32AC3"/>
    <w:rsid w:val="00F33D43"/>
    <w:rsid w:val="00F42F36"/>
    <w:rsid w:val="00F44174"/>
    <w:rsid w:val="00F44830"/>
    <w:rsid w:val="00F46BA8"/>
    <w:rsid w:val="00F56CF2"/>
    <w:rsid w:val="00F57275"/>
    <w:rsid w:val="00F6068E"/>
    <w:rsid w:val="00F6338E"/>
    <w:rsid w:val="00F64076"/>
    <w:rsid w:val="00F65663"/>
    <w:rsid w:val="00F6623D"/>
    <w:rsid w:val="00F701B1"/>
    <w:rsid w:val="00F70898"/>
    <w:rsid w:val="00F75F7C"/>
    <w:rsid w:val="00F802AB"/>
    <w:rsid w:val="00F838EC"/>
    <w:rsid w:val="00F8507A"/>
    <w:rsid w:val="00F90C78"/>
    <w:rsid w:val="00F97507"/>
    <w:rsid w:val="00FA1A61"/>
    <w:rsid w:val="00FA356B"/>
    <w:rsid w:val="00FA45DA"/>
    <w:rsid w:val="00FA50CA"/>
    <w:rsid w:val="00FB65EF"/>
    <w:rsid w:val="00FC2FCE"/>
    <w:rsid w:val="00FC3081"/>
    <w:rsid w:val="00FD5AC8"/>
    <w:rsid w:val="00FD79A9"/>
    <w:rsid w:val="00FD7CF1"/>
    <w:rsid w:val="00FE45C5"/>
    <w:rsid w:val="00FE728E"/>
    <w:rsid w:val="00FE7625"/>
    <w:rsid w:val="00FF12D8"/>
    <w:rsid w:val="00FF4087"/>
    <w:rsid w:val="00FF575B"/>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C07079"/>
  <w15:chartTrackingRefBased/>
  <w15:docId w15:val="{45E3ABC5-9E93-41C5-A1A5-0F2F5ED3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A56"/>
    <w:rPr>
      <w:rFonts w:eastAsia="SimSun"/>
      <w:sz w:val="22"/>
      <w:szCs w:val="22"/>
      <w:lang w:val="sr-Latn-ME" w:eastAsia="zh-CN"/>
    </w:rPr>
  </w:style>
  <w:style w:type="paragraph" w:styleId="Heading1">
    <w:name w:val="heading 1"/>
    <w:basedOn w:val="Normal"/>
    <w:next w:val="Text"/>
    <w:qFormat/>
    <w:rsid w:val="00164FE2"/>
    <w:pPr>
      <w:keepNext/>
      <w:numPr>
        <w:numId w:val="4"/>
      </w:numPr>
      <w:spacing w:before="120" w:after="120"/>
      <w:outlineLvl w:val="0"/>
    </w:pPr>
    <w:rPr>
      <w:b/>
    </w:rPr>
  </w:style>
  <w:style w:type="paragraph" w:styleId="Heading2">
    <w:name w:val="heading 2"/>
    <w:basedOn w:val="Heading1"/>
    <w:next w:val="Text"/>
    <w:qFormat/>
    <w:rsid w:val="00164FE2"/>
    <w:pPr>
      <w:numPr>
        <w:ilvl w:val="1"/>
      </w:numPr>
      <w:outlineLvl w:val="1"/>
    </w:pPr>
  </w:style>
  <w:style w:type="paragraph" w:styleId="Heading3">
    <w:name w:val="heading 3"/>
    <w:basedOn w:val="Heading2"/>
    <w:next w:val="Text"/>
    <w:qFormat/>
    <w:rsid w:val="00164FE2"/>
    <w:pPr>
      <w:numPr>
        <w:ilvl w:val="2"/>
      </w:numPr>
      <w:outlineLvl w:val="2"/>
    </w:pPr>
  </w:style>
  <w:style w:type="paragraph" w:styleId="Heading4">
    <w:name w:val="heading 4"/>
    <w:basedOn w:val="Heading2"/>
    <w:next w:val="Text"/>
    <w:qFormat/>
    <w:rsid w:val="00164FE2"/>
    <w:pPr>
      <w:numPr>
        <w:ilvl w:val="3"/>
      </w:numPr>
      <w:outlineLvl w:val="3"/>
    </w:pPr>
  </w:style>
  <w:style w:type="paragraph" w:styleId="Heading5">
    <w:name w:val="heading 5"/>
    <w:basedOn w:val="Heading2"/>
    <w:next w:val="Text"/>
    <w:qFormat/>
    <w:rsid w:val="00164FE2"/>
    <w:pPr>
      <w:numPr>
        <w:ilvl w:val="4"/>
      </w:numPr>
      <w:outlineLvl w:val="4"/>
    </w:pPr>
  </w:style>
  <w:style w:type="paragraph" w:styleId="Heading6">
    <w:name w:val="heading 6"/>
    <w:basedOn w:val="Heading2"/>
    <w:next w:val="Text"/>
    <w:qFormat/>
    <w:rsid w:val="00164FE2"/>
    <w:pPr>
      <w:numPr>
        <w:ilvl w:val="5"/>
      </w:numPr>
      <w:outlineLvl w:val="5"/>
    </w:pPr>
  </w:style>
  <w:style w:type="paragraph" w:styleId="Heading7">
    <w:name w:val="heading 7"/>
    <w:basedOn w:val="Heading2"/>
    <w:next w:val="Text"/>
    <w:qFormat/>
    <w:rsid w:val="00164FE2"/>
    <w:pPr>
      <w:numPr>
        <w:ilvl w:val="6"/>
      </w:numPr>
      <w:outlineLvl w:val="6"/>
    </w:pPr>
  </w:style>
  <w:style w:type="paragraph" w:styleId="Heading8">
    <w:name w:val="heading 8"/>
    <w:basedOn w:val="Heading2"/>
    <w:next w:val="Text"/>
    <w:qFormat/>
    <w:rsid w:val="00164FE2"/>
    <w:pPr>
      <w:numPr>
        <w:ilvl w:val="7"/>
      </w:numPr>
      <w:outlineLvl w:val="7"/>
    </w:pPr>
  </w:style>
  <w:style w:type="paragraph" w:styleId="Heading9">
    <w:name w:val="heading 9"/>
    <w:basedOn w:val="Heading2"/>
    <w:next w:val="Text"/>
    <w:qFormat/>
    <w:rsid w:val="00164FE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4FE2"/>
    <w:pPr>
      <w:keepLines/>
      <w:pBdr>
        <w:bottom w:val="single" w:sz="12" w:space="6" w:color="auto"/>
      </w:pBdr>
      <w:tabs>
        <w:tab w:val="right" w:pos="8640"/>
      </w:tabs>
      <w:spacing w:line="200" w:lineRule="atLeast"/>
    </w:pPr>
    <w:rPr>
      <w:b/>
      <w:sz w:val="20"/>
    </w:rPr>
  </w:style>
  <w:style w:type="paragraph" w:styleId="Footer">
    <w:name w:val="footer"/>
    <w:basedOn w:val="Normal"/>
    <w:link w:val="FooterChar"/>
    <w:rsid w:val="00F838EC"/>
    <w:pPr>
      <w:widowControl w:val="0"/>
      <w:jc w:val="center"/>
    </w:pPr>
  </w:style>
  <w:style w:type="paragraph" w:customStyle="1" w:styleId="TableHeading">
    <w:name w:val="Table Heading"/>
    <w:basedOn w:val="TOCHeading"/>
    <w:pPr>
      <w:spacing w:after="60"/>
    </w:pPr>
    <w:rPr>
      <w:sz w:val="24"/>
    </w:rPr>
  </w:style>
  <w:style w:type="paragraph" w:customStyle="1" w:styleId="TOCHeading">
    <w:name w:val="TOCHeading"/>
    <w:basedOn w:val="Normal"/>
    <w:next w:val="Normal"/>
    <w:rPr>
      <w:b/>
      <w:sz w:val="28"/>
    </w:rPr>
  </w:style>
  <w:style w:type="paragraph" w:styleId="TOC1">
    <w:name w:val="toc 1"/>
    <w:basedOn w:val="Text"/>
    <w:next w:val="Text"/>
    <w:autoRedefine/>
    <w:rsid w:val="00164FE2"/>
    <w:pPr>
      <w:keepLines/>
      <w:tabs>
        <w:tab w:val="right" w:leader="dot" w:pos="8640"/>
      </w:tabs>
      <w:spacing w:before="200" w:after="0" w:line="240" w:lineRule="auto"/>
      <w:ind w:left="547" w:right="1080" w:hanging="547"/>
    </w:pPr>
    <w:rPr>
      <w:noProof/>
      <w:color w:val="0000FF"/>
    </w:rPr>
  </w:style>
  <w:style w:type="paragraph" w:customStyle="1" w:styleId="FigureHeading">
    <w:name w:val="Figure Heading"/>
    <w:basedOn w:val="TOCHeading"/>
    <w:pPr>
      <w:spacing w:after="60"/>
    </w:pPr>
    <w:rPr>
      <w:sz w:val="24"/>
    </w:rPr>
  </w:style>
  <w:style w:type="paragraph" w:customStyle="1" w:styleId="PortraitHeader">
    <w:name w:val="Portrait Header"/>
    <w:basedOn w:val="LandscapeHeader"/>
    <w:pPr>
      <w:tabs>
        <w:tab w:val="clear" w:pos="6480"/>
        <w:tab w:val="clear" w:pos="12960"/>
        <w:tab w:val="center" w:pos="4320"/>
        <w:tab w:val="right" w:pos="8784"/>
      </w:tabs>
    </w:pPr>
  </w:style>
  <w:style w:type="paragraph" w:customStyle="1" w:styleId="LandscapeHeader">
    <w:name w:val="Landscape Header"/>
    <w:basedOn w:val="Normal"/>
    <w:pPr>
      <w:pBdr>
        <w:bottom w:val="single" w:sz="4" w:space="1" w:color="auto"/>
      </w:pBdr>
      <w:tabs>
        <w:tab w:val="center" w:pos="6480"/>
        <w:tab w:val="right" w:pos="12960"/>
      </w:tabs>
    </w:pPr>
    <w:rPr>
      <w:sz w:val="20"/>
    </w:rPr>
  </w:style>
  <w:style w:type="paragraph" w:styleId="TOC2">
    <w:name w:val="toc 2"/>
    <w:basedOn w:val="TOC1"/>
    <w:next w:val="Text"/>
    <w:autoRedefine/>
    <w:rsid w:val="00164FE2"/>
    <w:pPr>
      <w:tabs>
        <w:tab w:val="left" w:pos="1267"/>
      </w:tabs>
      <w:spacing w:before="60"/>
      <w:ind w:left="1267" w:hanging="720"/>
    </w:pPr>
  </w:style>
  <w:style w:type="paragraph" w:styleId="TOC3">
    <w:name w:val="toc 3"/>
    <w:basedOn w:val="TOC2"/>
    <w:next w:val="Text"/>
    <w:autoRedefine/>
    <w:rsid w:val="00164FE2"/>
    <w:pPr>
      <w:tabs>
        <w:tab w:val="clear" w:pos="1267"/>
        <w:tab w:val="left" w:pos="2246"/>
      </w:tabs>
      <w:ind w:left="2261" w:hanging="994"/>
    </w:pPr>
  </w:style>
  <w:style w:type="paragraph" w:styleId="TOC4">
    <w:name w:val="toc 4"/>
    <w:basedOn w:val="TOC3"/>
    <w:next w:val="Text"/>
    <w:autoRedefine/>
    <w:semiHidden/>
    <w:rsid w:val="00164FE2"/>
    <w:pPr>
      <w:ind w:left="3384" w:hanging="1123"/>
    </w:pPr>
  </w:style>
  <w:style w:type="paragraph" w:styleId="TOC5">
    <w:name w:val="toc 5"/>
    <w:basedOn w:val="TOC2"/>
    <w:next w:val="Text"/>
    <w:autoRedefine/>
    <w:semiHidden/>
    <w:rsid w:val="00164FE2"/>
  </w:style>
  <w:style w:type="paragraph" w:styleId="TOC6">
    <w:name w:val="toc 6"/>
    <w:basedOn w:val="TOC2"/>
    <w:next w:val="Text"/>
    <w:autoRedefine/>
    <w:semiHidden/>
    <w:rsid w:val="00164FE2"/>
  </w:style>
  <w:style w:type="paragraph" w:styleId="TOC7">
    <w:name w:val="toc 7"/>
    <w:basedOn w:val="Normal"/>
    <w:next w:val="Normal"/>
    <w:autoRedefine/>
    <w:semiHidden/>
    <w:rsid w:val="00164FE2"/>
    <w:pPr>
      <w:tabs>
        <w:tab w:val="right" w:leader="dot" w:pos="8640"/>
      </w:tabs>
      <w:ind w:left="1320"/>
    </w:pPr>
  </w:style>
  <w:style w:type="paragraph" w:styleId="TOC8">
    <w:name w:val="toc 8"/>
    <w:basedOn w:val="Normal"/>
    <w:next w:val="Normal"/>
    <w:autoRedefine/>
    <w:semiHidden/>
    <w:rsid w:val="00164FE2"/>
    <w:pPr>
      <w:tabs>
        <w:tab w:val="right" w:leader="dot" w:pos="8640"/>
      </w:tabs>
      <w:ind w:left="1540"/>
    </w:pPr>
  </w:style>
  <w:style w:type="paragraph" w:styleId="TOC9">
    <w:name w:val="toc 9"/>
    <w:basedOn w:val="Normal"/>
    <w:next w:val="Normal"/>
    <w:autoRedefine/>
    <w:semiHidden/>
    <w:rsid w:val="00164FE2"/>
    <w:pPr>
      <w:tabs>
        <w:tab w:val="right" w:leader="dot" w:pos="8640"/>
      </w:tabs>
      <w:ind w:left="1760"/>
    </w:pPr>
  </w:style>
  <w:style w:type="paragraph" w:styleId="TableofFigures">
    <w:name w:val="table of figures"/>
    <w:basedOn w:val="Text"/>
    <w:next w:val="Text"/>
    <w:rsid w:val="00164FE2"/>
    <w:pPr>
      <w:keepLines/>
      <w:tabs>
        <w:tab w:val="right" w:leader="dot" w:pos="8640"/>
      </w:tabs>
      <w:spacing w:before="0" w:line="240" w:lineRule="auto"/>
      <w:ind w:left="1426" w:right="1080" w:hanging="1426"/>
    </w:pPr>
    <w:rPr>
      <w:color w:val="0000FF"/>
    </w:rPr>
  </w:style>
  <w:style w:type="paragraph" w:customStyle="1" w:styleId="Text">
    <w:name w:val="Text"/>
    <w:basedOn w:val="Normal"/>
    <w:rsid w:val="00164FE2"/>
    <w:pPr>
      <w:spacing w:before="120" w:after="120" w:line="360" w:lineRule="auto"/>
    </w:pPr>
  </w:style>
  <w:style w:type="paragraph" w:styleId="Caption">
    <w:name w:val="caption"/>
    <w:basedOn w:val="Normal"/>
    <w:next w:val="Text"/>
    <w:qFormat/>
    <w:rsid w:val="00164FE2"/>
    <w:pPr>
      <w:keepNext/>
      <w:spacing w:before="300" w:after="100"/>
      <w:jc w:val="center"/>
    </w:pPr>
    <w:rPr>
      <w:b/>
    </w:rPr>
  </w:style>
  <w:style w:type="paragraph" w:styleId="Title">
    <w:name w:val="Title"/>
    <w:basedOn w:val="Normal"/>
    <w:link w:val="TitleChar"/>
    <w:qFormat/>
    <w:rsid w:val="00164FE2"/>
    <w:pPr>
      <w:spacing w:before="240" w:after="60"/>
      <w:jc w:val="center"/>
      <w:outlineLvl w:val="0"/>
    </w:pPr>
    <w:rPr>
      <w:b/>
      <w:kern w:val="28"/>
      <w:sz w:val="32"/>
    </w:rPr>
  </w:style>
  <w:style w:type="character" w:customStyle="1" w:styleId="TitleChar">
    <w:name w:val="Title Char"/>
    <w:link w:val="Title"/>
    <w:rsid w:val="00037B5D"/>
    <w:rPr>
      <w:rFonts w:ascii="Arial" w:hAnsi="Arial"/>
      <w:b/>
      <w:kern w:val="28"/>
      <w:sz w:val="32"/>
      <w:lang w:val="sr-Latn-ME" w:eastAsia="en-US"/>
    </w:rPr>
  </w:style>
  <w:style w:type="paragraph" w:customStyle="1" w:styleId="Heading7Bold">
    <w:name w:val="Heading 7Bold"/>
    <w:basedOn w:val="Normal"/>
    <w:next w:val="Text"/>
    <w:rsid w:val="00164FE2"/>
    <w:pPr>
      <w:keepNext/>
      <w:spacing w:before="120" w:after="120"/>
    </w:pPr>
    <w:rPr>
      <w:b/>
    </w:rPr>
  </w:style>
  <w:style w:type="paragraph" w:customStyle="1" w:styleId="Heading8BoldItalic">
    <w:name w:val="Heading 8BoldItalic"/>
    <w:basedOn w:val="Normal"/>
    <w:next w:val="Text"/>
    <w:rsid w:val="00164FE2"/>
    <w:pPr>
      <w:keepNext/>
      <w:spacing w:before="120" w:after="120"/>
    </w:pPr>
    <w:rPr>
      <w:b/>
      <w:i/>
    </w:rPr>
  </w:style>
  <w:style w:type="paragraph" w:customStyle="1" w:styleId="Heading9Italic">
    <w:name w:val="Heading 9Italic"/>
    <w:basedOn w:val="Normal"/>
    <w:next w:val="Text"/>
    <w:rsid w:val="00164FE2"/>
    <w:pPr>
      <w:keepNext/>
      <w:spacing w:before="120" w:after="120"/>
    </w:pPr>
    <w:rPr>
      <w:i/>
    </w:rPr>
  </w:style>
  <w:style w:type="paragraph" w:customStyle="1" w:styleId="CenterBold">
    <w:name w:val="CenterBold"/>
    <w:basedOn w:val="Normal"/>
    <w:next w:val="Normal"/>
    <w:rsid w:val="00164FE2"/>
    <w:pPr>
      <w:keepNext/>
      <w:keepLines/>
      <w:spacing w:before="300" w:after="120"/>
      <w:jc w:val="center"/>
    </w:pPr>
    <w:rPr>
      <w:b/>
    </w:rPr>
  </w:style>
  <w:style w:type="paragraph" w:customStyle="1" w:styleId="Confidential">
    <w:name w:val="Confidential"/>
    <w:basedOn w:val="Normal"/>
    <w:semiHidden/>
    <w:rsid w:val="00164FE2"/>
    <w:pPr>
      <w:keepLines/>
      <w:framePr w:w="5760" w:hSpace="187" w:vSpace="144" w:wrap="notBeside" w:vAnchor="page" w:hAnchor="text" w:xAlign="center" w:yAlign="center"/>
      <w:pBdr>
        <w:top w:val="single" w:sz="6" w:space="3" w:color="auto"/>
        <w:left w:val="single" w:sz="6" w:space="3" w:color="auto"/>
        <w:bottom w:val="single" w:sz="6" w:space="3" w:color="auto"/>
        <w:right w:val="single" w:sz="6" w:space="3" w:color="auto"/>
      </w:pBdr>
      <w:spacing w:after="200" w:line="300" w:lineRule="atLeast"/>
      <w:jc w:val="center"/>
    </w:pPr>
  </w:style>
  <w:style w:type="paragraph" w:customStyle="1" w:styleId="CoverPage">
    <w:name w:val="CoverPage"/>
    <w:basedOn w:val="CenterBold"/>
    <w:semiHidden/>
    <w:rsid w:val="00164FE2"/>
    <w:pPr>
      <w:spacing w:before="400" w:after="400"/>
    </w:pPr>
    <w:rPr>
      <w:sz w:val="24"/>
    </w:rPr>
  </w:style>
  <w:style w:type="paragraph" w:customStyle="1" w:styleId="FigureLegend">
    <w:name w:val="FigureLegend"/>
    <w:basedOn w:val="Text"/>
    <w:rsid w:val="00164FE2"/>
    <w:pPr>
      <w:keepLines/>
      <w:spacing w:after="0" w:line="240" w:lineRule="auto"/>
    </w:pPr>
    <w:rPr>
      <w:sz w:val="18"/>
    </w:rPr>
  </w:style>
  <w:style w:type="paragraph" w:customStyle="1" w:styleId="FlushLeftBold">
    <w:name w:val="FlushLeftBold"/>
    <w:basedOn w:val="Normal"/>
    <w:next w:val="Text"/>
    <w:rsid w:val="00164FE2"/>
    <w:pPr>
      <w:keepNext/>
      <w:keepLines/>
      <w:spacing w:before="120" w:after="120"/>
    </w:pPr>
    <w:rPr>
      <w:b/>
    </w:rPr>
  </w:style>
  <w:style w:type="paragraph" w:customStyle="1" w:styleId="FootnoteLine">
    <w:name w:val="FootnoteLine"/>
    <w:basedOn w:val="Normal"/>
    <w:next w:val="Normal"/>
    <w:semiHidden/>
    <w:rsid w:val="00164FE2"/>
    <w:pPr>
      <w:pBdr>
        <w:bottom w:val="single" w:sz="6" w:space="6" w:color="auto"/>
      </w:pBdr>
      <w:spacing w:line="160" w:lineRule="atLeast"/>
    </w:pPr>
    <w:rPr>
      <w:sz w:val="16"/>
    </w:rPr>
  </w:style>
  <w:style w:type="paragraph" w:customStyle="1" w:styleId="FootnoteText">
    <w:name w:val="FootnoteText"/>
    <w:basedOn w:val="TableLeftAlign"/>
    <w:next w:val="Text"/>
    <w:rsid w:val="00164FE2"/>
    <w:pPr>
      <w:keepLines/>
      <w:spacing w:before="0" w:after="0" w:line="240" w:lineRule="auto"/>
      <w:ind w:left="144" w:hanging="144"/>
    </w:pPr>
    <w:rPr>
      <w:sz w:val="18"/>
    </w:rPr>
  </w:style>
  <w:style w:type="paragraph" w:customStyle="1" w:styleId="TableLeftAlign">
    <w:name w:val="TableLeftAlign"/>
    <w:basedOn w:val="Normal"/>
    <w:rsid w:val="00164FE2"/>
    <w:pPr>
      <w:spacing w:before="60" w:after="60" w:line="240" w:lineRule="atLeast"/>
    </w:pPr>
  </w:style>
  <w:style w:type="paragraph" w:customStyle="1" w:styleId="Insert">
    <w:name w:val="Insert"/>
    <w:basedOn w:val="Normal"/>
    <w:rsid w:val="00164FE2"/>
    <w:pPr>
      <w:spacing w:before="100" w:after="100"/>
      <w:jc w:val="center"/>
    </w:pPr>
  </w:style>
  <w:style w:type="character" w:styleId="PageNumber">
    <w:name w:val="page number"/>
    <w:semiHidden/>
    <w:rsid w:val="00164FE2"/>
  </w:style>
  <w:style w:type="paragraph" w:customStyle="1" w:styleId="TextList">
    <w:name w:val="TextList"/>
    <w:basedOn w:val="Text"/>
    <w:rsid w:val="00164FE2"/>
    <w:pPr>
      <w:spacing w:after="100" w:line="280" w:lineRule="atLeast"/>
      <w:ind w:left="360" w:hanging="360"/>
    </w:pPr>
  </w:style>
  <w:style w:type="paragraph" w:customStyle="1" w:styleId="RefList">
    <w:name w:val="RefList#"/>
    <w:basedOn w:val="TextList"/>
    <w:rsid w:val="00164FE2"/>
    <w:pPr>
      <w:keepLines/>
      <w:spacing w:after="0" w:line="240" w:lineRule="auto"/>
    </w:pPr>
  </w:style>
  <w:style w:type="paragraph" w:customStyle="1" w:styleId="RefListAlpha">
    <w:name w:val="RefListAlpha"/>
    <w:basedOn w:val="Text"/>
    <w:rsid w:val="00164FE2"/>
    <w:pPr>
      <w:keepLines/>
      <w:spacing w:line="240" w:lineRule="auto"/>
    </w:pPr>
  </w:style>
  <w:style w:type="paragraph" w:customStyle="1" w:styleId="RightTabBold">
    <w:name w:val="RightTabBold"/>
    <w:basedOn w:val="Normal"/>
    <w:semiHidden/>
    <w:rsid w:val="00164FE2"/>
    <w:pPr>
      <w:tabs>
        <w:tab w:val="right" w:pos="8640"/>
      </w:tabs>
      <w:spacing w:before="100" w:after="100"/>
    </w:pPr>
    <w:rPr>
      <w:b/>
    </w:rPr>
  </w:style>
  <w:style w:type="paragraph" w:customStyle="1" w:styleId="SectionBreak">
    <w:name w:val="SectionBreak"/>
    <w:basedOn w:val="Normal"/>
    <w:next w:val="Text"/>
    <w:semiHidden/>
    <w:rsid w:val="00164FE2"/>
  </w:style>
  <w:style w:type="paragraph" w:customStyle="1" w:styleId="TableCenterAlign">
    <w:name w:val="TableCenterAlign"/>
    <w:basedOn w:val="Normal"/>
    <w:rsid w:val="00164FE2"/>
    <w:pPr>
      <w:spacing w:before="60" w:after="60" w:line="240" w:lineRule="atLeast"/>
      <w:jc w:val="center"/>
    </w:pPr>
  </w:style>
  <w:style w:type="paragraph" w:customStyle="1" w:styleId="TextBullet">
    <w:name w:val="TextBullet"/>
    <w:basedOn w:val="Normal"/>
    <w:rsid w:val="00164FE2"/>
    <w:pPr>
      <w:numPr>
        <w:numId w:val="2"/>
      </w:numPr>
      <w:spacing w:after="100"/>
    </w:pPr>
  </w:style>
  <w:style w:type="paragraph" w:customStyle="1" w:styleId="TextDash">
    <w:name w:val="TextDash"/>
    <w:basedOn w:val="TextBullet"/>
    <w:rsid w:val="00164FE2"/>
    <w:pPr>
      <w:numPr>
        <w:numId w:val="1"/>
      </w:numPr>
    </w:pPr>
  </w:style>
  <w:style w:type="paragraph" w:customStyle="1" w:styleId="TextIndent">
    <w:name w:val="TextIndent"/>
    <w:basedOn w:val="Text"/>
    <w:rsid w:val="00164FE2"/>
    <w:pPr>
      <w:spacing w:line="280" w:lineRule="atLeast"/>
      <w:ind w:left="360"/>
    </w:pPr>
  </w:style>
  <w:style w:type="paragraph" w:customStyle="1" w:styleId="TextSingleSpace">
    <w:name w:val="TextSingleSpace"/>
    <w:basedOn w:val="Text"/>
    <w:rsid w:val="00164FE2"/>
    <w:pPr>
      <w:spacing w:line="240" w:lineRule="auto"/>
    </w:pPr>
  </w:style>
  <w:style w:type="paragraph" w:customStyle="1" w:styleId="Heading0">
    <w:name w:val="Heading 0"/>
    <w:basedOn w:val="Normal"/>
    <w:next w:val="Text"/>
    <w:rsid w:val="00164FE2"/>
    <w:pPr>
      <w:keepNext/>
      <w:pageBreakBefore/>
      <w:spacing w:before="120" w:after="120"/>
      <w:ind w:left="1440" w:hanging="1440"/>
    </w:pPr>
    <w:rPr>
      <w:b/>
    </w:rPr>
  </w:style>
  <w:style w:type="paragraph" w:customStyle="1" w:styleId="NumberRestart">
    <w:name w:val="NumberRestart"/>
    <w:basedOn w:val="Text"/>
    <w:semiHidden/>
    <w:rsid w:val="00164FE2"/>
    <w:pPr>
      <w:numPr>
        <w:numId w:val="3"/>
      </w:numPr>
      <w:outlineLvl w:val="0"/>
    </w:pPr>
  </w:style>
  <w:style w:type="paragraph" w:styleId="DocumentMap">
    <w:name w:val="Document Map"/>
    <w:basedOn w:val="Normal"/>
    <w:link w:val="DocumentMapChar"/>
    <w:semiHidden/>
    <w:rsid w:val="00164FE2"/>
    <w:pPr>
      <w:shd w:val="clear" w:color="auto" w:fill="000080"/>
    </w:pPr>
    <w:rPr>
      <w:rFonts w:ascii="Tahoma" w:hAnsi="Tahoma" w:cs="Tahoma"/>
    </w:rPr>
  </w:style>
  <w:style w:type="character" w:customStyle="1" w:styleId="DocumentMapChar">
    <w:name w:val="Document Map Char"/>
    <w:link w:val="DocumentMap"/>
    <w:semiHidden/>
    <w:rsid w:val="00037B5D"/>
    <w:rPr>
      <w:rFonts w:ascii="Tahoma" w:hAnsi="Tahoma" w:cs="Tahoma"/>
      <w:sz w:val="22"/>
      <w:shd w:val="clear" w:color="auto" w:fill="000080"/>
      <w:lang w:val="sr-Latn-ME" w:eastAsia="en-US"/>
    </w:rPr>
  </w:style>
  <w:style w:type="character" w:styleId="Hyperlink">
    <w:name w:val="Hyperlink"/>
    <w:rsid w:val="00164FE2"/>
    <w:rPr>
      <w:color w:val="0000FF"/>
      <w:u w:val="single"/>
    </w:rPr>
  </w:style>
  <w:style w:type="paragraph" w:customStyle="1" w:styleId="TablePageNumber">
    <w:name w:val="TablePageNumber"/>
    <w:basedOn w:val="Normal"/>
    <w:next w:val="Text"/>
    <w:rsid w:val="00164FE2"/>
    <w:pPr>
      <w:spacing w:line="240" w:lineRule="atLeast"/>
      <w:jc w:val="right"/>
    </w:pPr>
    <w:rPr>
      <w:sz w:val="20"/>
    </w:rPr>
  </w:style>
  <w:style w:type="paragraph" w:customStyle="1" w:styleId="lbltxt">
    <w:name w:val="lbltxt"/>
    <w:rsid w:val="00CC561E"/>
    <w:pPr>
      <w:tabs>
        <w:tab w:val="left" w:pos="567"/>
      </w:tabs>
    </w:pPr>
    <w:rPr>
      <w:noProof/>
      <w:sz w:val="22"/>
      <w:lang w:val="sr-Latn-ME"/>
    </w:rPr>
  </w:style>
  <w:style w:type="character" w:customStyle="1" w:styleId="UnresolvedMention1">
    <w:name w:val="Unresolved Mention1"/>
    <w:uiPriority w:val="99"/>
    <w:semiHidden/>
    <w:unhideWhenUsed/>
    <w:rsid w:val="006571D6"/>
    <w:rPr>
      <w:color w:val="808080"/>
      <w:shd w:val="clear" w:color="auto" w:fill="E6E6E6"/>
    </w:rPr>
  </w:style>
  <w:style w:type="character" w:styleId="CommentReference">
    <w:name w:val="annotation reference"/>
    <w:uiPriority w:val="99"/>
    <w:semiHidden/>
    <w:unhideWhenUsed/>
    <w:rsid w:val="007F1721"/>
    <w:rPr>
      <w:sz w:val="16"/>
      <w:szCs w:val="16"/>
    </w:rPr>
  </w:style>
  <w:style w:type="paragraph" w:styleId="CommentText">
    <w:name w:val="annotation text"/>
    <w:basedOn w:val="Normal"/>
    <w:link w:val="CommentTextChar"/>
    <w:uiPriority w:val="99"/>
    <w:unhideWhenUsed/>
    <w:rsid w:val="007F1721"/>
    <w:rPr>
      <w:sz w:val="20"/>
    </w:rPr>
  </w:style>
  <w:style w:type="character" w:customStyle="1" w:styleId="CommentTextChar">
    <w:name w:val="Comment Text Char"/>
    <w:link w:val="CommentText"/>
    <w:uiPriority w:val="99"/>
    <w:rsid w:val="007F1721"/>
    <w:rPr>
      <w:rFonts w:ascii="Arial" w:hAnsi="Arial"/>
      <w:lang w:val="sr-Latn-ME" w:eastAsia="en-US"/>
    </w:rPr>
  </w:style>
  <w:style w:type="paragraph" w:styleId="CommentSubject">
    <w:name w:val="annotation subject"/>
    <w:basedOn w:val="CommentText"/>
    <w:next w:val="CommentText"/>
    <w:link w:val="CommentSubjectChar"/>
    <w:uiPriority w:val="99"/>
    <w:semiHidden/>
    <w:unhideWhenUsed/>
    <w:rsid w:val="007F1721"/>
    <w:rPr>
      <w:b/>
      <w:bCs/>
    </w:rPr>
  </w:style>
  <w:style w:type="character" w:customStyle="1" w:styleId="CommentSubjectChar">
    <w:name w:val="Comment Subject Char"/>
    <w:link w:val="CommentSubject"/>
    <w:uiPriority w:val="99"/>
    <w:semiHidden/>
    <w:rsid w:val="007F1721"/>
    <w:rPr>
      <w:rFonts w:ascii="Arial" w:hAnsi="Arial"/>
      <w:b/>
      <w:bCs/>
      <w:lang w:val="sr-Latn-ME" w:eastAsia="en-US"/>
    </w:rPr>
  </w:style>
  <w:style w:type="paragraph" w:styleId="BalloonText">
    <w:name w:val="Balloon Text"/>
    <w:basedOn w:val="Normal"/>
    <w:link w:val="BalloonTextChar"/>
    <w:uiPriority w:val="99"/>
    <w:semiHidden/>
    <w:unhideWhenUsed/>
    <w:rsid w:val="007F1721"/>
    <w:rPr>
      <w:rFonts w:ascii="Segoe UI" w:hAnsi="Segoe UI" w:cs="Segoe UI"/>
      <w:sz w:val="18"/>
      <w:szCs w:val="18"/>
    </w:rPr>
  </w:style>
  <w:style w:type="character" w:customStyle="1" w:styleId="BalloonTextChar">
    <w:name w:val="Balloon Text Char"/>
    <w:link w:val="BalloonText"/>
    <w:uiPriority w:val="99"/>
    <w:semiHidden/>
    <w:rsid w:val="007F1721"/>
    <w:rPr>
      <w:rFonts w:ascii="Segoe UI" w:hAnsi="Segoe UI" w:cs="Segoe UI"/>
      <w:sz w:val="18"/>
      <w:szCs w:val="18"/>
      <w:lang w:val="sr-Latn-ME" w:eastAsia="en-US"/>
    </w:rPr>
  </w:style>
  <w:style w:type="paragraph" w:styleId="BodyText">
    <w:name w:val="Body Text"/>
    <w:basedOn w:val="Normal"/>
    <w:link w:val="BodyTextChar"/>
    <w:rsid w:val="00B657F1"/>
    <w:pPr>
      <w:spacing w:after="120"/>
    </w:pPr>
  </w:style>
  <w:style w:type="character" w:customStyle="1" w:styleId="BodyTextChar">
    <w:name w:val="Body Text Char"/>
    <w:link w:val="BodyText"/>
    <w:rsid w:val="00B657F1"/>
    <w:rPr>
      <w:sz w:val="22"/>
      <w:lang w:val="sr-Latn-ME" w:eastAsia="en-US"/>
    </w:rPr>
  </w:style>
  <w:style w:type="paragraph" w:styleId="BodyText3">
    <w:name w:val="Body Text 3"/>
    <w:basedOn w:val="Normal"/>
    <w:link w:val="BodyText3Char"/>
    <w:uiPriority w:val="99"/>
    <w:semiHidden/>
    <w:unhideWhenUsed/>
    <w:rsid w:val="003D256B"/>
    <w:pPr>
      <w:spacing w:after="120"/>
    </w:pPr>
    <w:rPr>
      <w:sz w:val="16"/>
      <w:szCs w:val="16"/>
    </w:rPr>
  </w:style>
  <w:style w:type="character" w:customStyle="1" w:styleId="BodyText3Char">
    <w:name w:val="Body Text 3 Char"/>
    <w:link w:val="BodyText3"/>
    <w:uiPriority w:val="99"/>
    <w:semiHidden/>
    <w:rsid w:val="003D256B"/>
    <w:rPr>
      <w:rFonts w:ascii="Arial" w:hAnsi="Arial"/>
      <w:sz w:val="16"/>
      <w:szCs w:val="16"/>
      <w:lang w:val="sr-Latn-ME" w:eastAsia="en-US"/>
    </w:rPr>
  </w:style>
  <w:style w:type="paragraph" w:styleId="Revision">
    <w:name w:val="Revision"/>
    <w:hidden/>
    <w:uiPriority w:val="99"/>
    <w:semiHidden/>
    <w:rsid w:val="0099468C"/>
    <w:rPr>
      <w:rFonts w:ascii="Arial" w:hAnsi="Arial"/>
      <w:sz w:val="22"/>
      <w:lang w:val="sr-Latn-ME"/>
    </w:rPr>
  </w:style>
  <w:style w:type="character" w:customStyle="1" w:styleId="FooterChar">
    <w:name w:val="Footer Char"/>
    <w:link w:val="Footer"/>
    <w:rsid w:val="00F838EC"/>
    <w:rPr>
      <w:rFonts w:eastAsia="SimSun"/>
      <w:sz w:val="22"/>
      <w:szCs w:val="22"/>
      <w:lang w:val="sr-Latn-ME" w:eastAsia="zh-CN"/>
    </w:rPr>
  </w:style>
  <w:style w:type="paragraph" w:customStyle="1" w:styleId="11ptBold">
    <w:name w:val="_11pt Bold"/>
    <w:basedOn w:val="Normal"/>
    <w:qFormat/>
    <w:rsid w:val="00A01362"/>
    <w:pPr>
      <w:keepNext/>
      <w:ind w:left="567" w:hanging="567"/>
    </w:pPr>
    <w:rPr>
      <w:b/>
      <w:bCs/>
    </w:rPr>
  </w:style>
  <w:style w:type="paragraph" w:customStyle="1" w:styleId="11ptUnderline">
    <w:name w:val="_11pt Underline"/>
    <w:basedOn w:val="Normal"/>
    <w:qFormat/>
    <w:rsid w:val="00A24E75"/>
    <w:pPr>
      <w:keepNext/>
      <w:tabs>
        <w:tab w:val="left" w:pos="567"/>
      </w:tabs>
    </w:pPr>
    <w:rPr>
      <w:u w:val="single"/>
    </w:rPr>
  </w:style>
  <w:style w:type="paragraph" w:styleId="Date">
    <w:name w:val="Date"/>
    <w:basedOn w:val="Normal"/>
    <w:next w:val="Normal"/>
    <w:link w:val="DateChar"/>
    <w:uiPriority w:val="99"/>
    <w:rsid w:val="007F13B7"/>
    <w:rPr>
      <w:rFonts w:eastAsia="Times New Roman"/>
      <w:szCs w:val="20"/>
      <w:lang w:eastAsia="en-US"/>
    </w:rPr>
  </w:style>
  <w:style w:type="character" w:customStyle="1" w:styleId="DateChar">
    <w:name w:val="Date Char"/>
    <w:link w:val="Date"/>
    <w:uiPriority w:val="99"/>
    <w:rsid w:val="007F13B7"/>
    <w:rPr>
      <w:sz w:val="22"/>
      <w:lang w:val="sr-Latn-ME" w:eastAsia="en-US"/>
    </w:rPr>
  </w:style>
  <w:style w:type="paragraph" w:customStyle="1" w:styleId="Style10tablenotes">
    <w:name w:val="_Style 10 table notes"/>
    <w:basedOn w:val="Normal"/>
    <w:qFormat/>
    <w:rsid w:val="007F13B7"/>
    <w:pPr>
      <w:ind w:right="-1"/>
    </w:pPr>
    <w:rPr>
      <w:rFonts w:eastAsia="Times New Roman"/>
      <w:sz w:val="20"/>
      <w:szCs w:val="20"/>
      <w:lang w:eastAsia="en-US"/>
    </w:rPr>
  </w:style>
  <w:style w:type="paragraph" w:customStyle="1" w:styleId="Style11">
    <w:name w:val="_Style 11"/>
    <w:basedOn w:val="Normal"/>
    <w:qFormat/>
    <w:rsid w:val="0079155F"/>
    <w:rPr>
      <w:rFonts w:eastAsia="Times New Roman"/>
      <w:szCs w:val="20"/>
      <w:lang w:eastAsia="en-US"/>
    </w:rPr>
  </w:style>
  <w:style w:type="paragraph" w:customStyle="1" w:styleId="Style11ptBoldC">
    <w:name w:val="_Style 11pt Bold C"/>
    <w:basedOn w:val="Normal"/>
    <w:qFormat/>
    <w:rsid w:val="00E168FD"/>
    <w:pPr>
      <w:keepNext/>
      <w:jc w:val="center"/>
    </w:pPr>
    <w:rPr>
      <w:rFonts w:eastAsia="MS Mincho" w:cs="Arial"/>
      <w:b/>
      <w:lang w:eastAsia="ja-JP"/>
    </w:rPr>
  </w:style>
  <w:style w:type="paragraph" w:customStyle="1" w:styleId="Style11Underlined">
    <w:name w:val="Style 11 Underlined"/>
    <w:basedOn w:val="Normal"/>
    <w:qFormat/>
    <w:rsid w:val="007A21D8"/>
    <w:pPr>
      <w:keepNext/>
    </w:pPr>
    <w:rPr>
      <w:noProof/>
      <w:u w:val="single"/>
    </w:rPr>
  </w:style>
  <w:style w:type="paragraph" w:customStyle="1" w:styleId="Style10Tablenotes0">
    <w:name w:val="Style 10 Table notes"/>
    <w:basedOn w:val="Normal"/>
    <w:qFormat/>
    <w:rsid w:val="004559A3"/>
    <w:pPr>
      <w:tabs>
        <w:tab w:val="left" w:pos="567"/>
      </w:tabs>
    </w:pPr>
    <w:rPr>
      <w:sz w:val="20"/>
      <w:szCs w:val="20"/>
    </w:rPr>
  </w:style>
  <w:style w:type="paragraph" w:customStyle="1" w:styleId="11ptBoldUnderlinedCenter">
    <w:name w:val="_11pt Bold Underlined Center"/>
    <w:basedOn w:val="Normal"/>
    <w:qFormat/>
    <w:rsid w:val="00B1742B"/>
    <w:pPr>
      <w:jc w:val="center"/>
    </w:pPr>
    <w:rPr>
      <w:b/>
      <w:u w:val="single"/>
    </w:rPr>
  </w:style>
  <w:style w:type="paragraph" w:customStyle="1" w:styleId="11ptBoldCenter">
    <w:name w:val="_11pt Bold Center"/>
    <w:basedOn w:val="Normal"/>
    <w:qFormat/>
    <w:rsid w:val="00B1742B"/>
    <w:pPr>
      <w:spacing w:after="40"/>
      <w:jc w:val="center"/>
    </w:pPr>
    <w:rPr>
      <w:b/>
      <w:bCs/>
    </w:rPr>
  </w:style>
  <w:style w:type="paragraph" w:styleId="NoSpacing">
    <w:name w:val="No Spacing"/>
    <w:uiPriority w:val="1"/>
    <w:qFormat/>
    <w:rsid w:val="003928D8"/>
    <w:rPr>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2693">
      <w:bodyDiv w:val="1"/>
      <w:marLeft w:val="0"/>
      <w:marRight w:val="0"/>
      <w:marTop w:val="0"/>
      <w:marBottom w:val="0"/>
      <w:divBdr>
        <w:top w:val="none" w:sz="0" w:space="0" w:color="auto"/>
        <w:left w:val="none" w:sz="0" w:space="0" w:color="auto"/>
        <w:bottom w:val="none" w:sz="0" w:space="0" w:color="auto"/>
        <w:right w:val="none" w:sz="0" w:space="0" w:color="auto"/>
      </w:divBdr>
    </w:div>
    <w:div w:id="1146626737">
      <w:bodyDiv w:val="1"/>
      <w:marLeft w:val="0"/>
      <w:marRight w:val="0"/>
      <w:marTop w:val="0"/>
      <w:marBottom w:val="0"/>
      <w:divBdr>
        <w:top w:val="none" w:sz="0" w:space="0" w:color="auto"/>
        <w:left w:val="none" w:sz="0" w:space="0" w:color="auto"/>
        <w:bottom w:val="none" w:sz="0" w:space="0" w:color="auto"/>
        <w:right w:val="none" w:sz="0" w:space="0" w:color="auto"/>
      </w:divBdr>
    </w:div>
    <w:div w:id="155766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DD34E7172DC544ADF8E8D61C09FCEF" ma:contentTypeVersion="13" ma:contentTypeDescription="Create a new document." ma:contentTypeScope="" ma:versionID="0df6fec802cf34f8faf3aa9528d3867b">
  <xsd:schema xmlns:xsd="http://www.w3.org/2001/XMLSchema" xmlns:xs="http://www.w3.org/2001/XMLSchema" xmlns:p="http://schemas.microsoft.com/office/2006/metadata/properties" xmlns:ns2="a66c84b6-b7a9-4250-821d-dda0c63ded1e" xmlns:ns3="8f96859e-f3a0-4936-81df-0bd394b63648" targetNamespace="http://schemas.microsoft.com/office/2006/metadata/properties" ma:root="true" ma:fieldsID="e2b9807b2277c54455da0de413138d53" ns2:_="" ns3:_="">
    <xsd:import namespace="a66c84b6-b7a9-4250-821d-dda0c63ded1e"/>
    <xsd:import namespace="8f96859e-f3a0-4936-81df-0bd394b6364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3:SharedWithUsers" minOccurs="0"/>
                <xsd:element ref="ns3:SharedWithDetails" minOccurs="0"/>
                <xsd:element ref="ns2:MediaServiceDateTaken" minOccurs="0"/>
                <xsd:element ref="ns2:MediaServiceAutoTag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c84b6-b7a9-4250-821d-dda0c63ded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6859e-f3a0-4936-81df-0bd394b636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66c84b6-b7a9-4250-821d-dda0c63ded1e" xsi:nil="true"/>
  </documentManagement>
</p:properties>
</file>

<file path=customXml/item4.xml><?xml version="1.0" encoding="utf-8"?>
<sisl xmlns:xsi="http://www.w3.org/2001/XMLSchema-instance" xmlns:xsd="http://www.w3.org/2001/XMLSchema" xmlns="http://www.boldonjames.com/2008/01/sie/internal/label" sislVersion="0" policy="82ad3a63-90ad-4a46-a3cb-757f4658e205" origin="userSelected">
  <element uid="9036a7a1-5a4f-48d3-b24b-dfdab053dac9" value=""/>
  <element uid="03e9b10b-a1f9-4a88-9630-476473f62285" value=""/>
  <element uid="7349a702-6462-4442-88eb-c64cd513835c" value=""/>
</sisl>
</file>

<file path=customXml/itemProps1.xml><?xml version="1.0" encoding="utf-8"?>
<ds:datastoreItem xmlns:ds="http://schemas.openxmlformats.org/officeDocument/2006/customXml" ds:itemID="{FE313CD4-29E5-4B74-BE92-06069B1ED078}">
  <ds:schemaRefs>
    <ds:schemaRef ds:uri="http://schemas.microsoft.com/sharepoint/v3/contenttype/forms"/>
  </ds:schemaRefs>
</ds:datastoreItem>
</file>

<file path=customXml/itemProps2.xml><?xml version="1.0" encoding="utf-8"?>
<ds:datastoreItem xmlns:ds="http://schemas.openxmlformats.org/officeDocument/2006/customXml" ds:itemID="{8BA886EC-2F40-49E2-9F51-7C8FABB33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c84b6-b7a9-4250-821d-dda0c63ded1e"/>
    <ds:schemaRef ds:uri="8f96859e-f3a0-4936-81df-0bd394b63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E990D-03A9-4AD0-82B3-01DD6E86860A}">
  <ds:schemaRefs>
    <ds:schemaRef ds:uri="http://schemas.microsoft.com/office/2006/metadata/properties"/>
    <ds:schemaRef ds:uri="http://schemas.microsoft.com/office/infopath/2007/PartnerControls"/>
    <ds:schemaRef ds:uri="a66c84b6-b7a9-4250-821d-dda0c63ded1e"/>
  </ds:schemaRefs>
</ds:datastoreItem>
</file>

<file path=customXml/itemProps4.xml><?xml version="1.0" encoding="utf-8"?>
<ds:datastoreItem xmlns:ds="http://schemas.openxmlformats.org/officeDocument/2006/customXml" ds:itemID="{504FC67D-8938-45C4-A708-05B42F59331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7800</Words>
  <Characters>44465</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Regulatory MS Word template</vt:lpstr>
    </vt:vector>
  </TitlesOfParts>
  <Company>FCG</Company>
  <LinksUpToDate>false</LinksUpToDate>
  <CharactersWithSpaces>52161</CharactersWithSpaces>
  <SharedDoc>false</SharedDoc>
  <HLinks>
    <vt:vector size="12" baseType="variant">
      <vt:variant>
        <vt:i4>6422626</vt:i4>
      </vt:variant>
      <vt:variant>
        <vt:i4>3</vt:i4>
      </vt:variant>
      <vt:variant>
        <vt:i4>0</vt:i4>
      </vt:variant>
      <vt:variant>
        <vt:i4>5</vt:i4>
      </vt:variant>
      <vt:variant>
        <vt:lpwstr>C:\Users\vvadde\Documentum\Checkout\nezeljenadejstva@calims.me</vt:lpwstr>
      </vt:variant>
      <vt:variant>
        <vt:lpwstr/>
      </vt:variant>
      <vt:variant>
        <vt:i4>1769572</vt:i4>
      </vt:variant>
      <vt:variant>
        <vt:i4>0</vt:i4>
      </vt:variant>
      <vt:variant>
        <vt:i4>0</vt:i4>
      </vt:variant>
      <vt:variant>
        <vt:i4>5</vt:i4>
      </vt:variant>
      <vt:variant>
        <vt:lpwstr>C:\Users\vvadde\Documentum\Checkout\www.calims.me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MS Word template</dc:title>
  <dc:subject/>
  <dc:creator>bkline</dc:creator>
  <cp:keywords>*$%IU-*$%GenBus</cp:keywords>
  <dc:description/>
  <cp:lastModifiedBy>Aleksandra Jonić-Popović</cp:lastModifiedBy>
  <cp:revision>2</cp:revision>
  <cp:lastPrinted>1999-06-02T12:09:00Z</cp:lastPrinted>
  <dcterms:created xsi:type="dcterms:W3CDTF">2025-07-01T06:32:00Z</dcterms:created>
  <dcterms:modified xsi:type="dcterms:W3CDTF">2025-07-01T06:32:00Z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7bce80ae-395e-4e67-8bf5-b026895e3d44</vt:lpwstr>
  </property>
  <property fmtid="{D5CDD505-2E9C-101B-9397-08002B2CF9AE}" pid="3" name="bjSaver">
    <vt:lpwstr>rlrsP+1Wd/UsA92jKNPrRV8SnfGZPlyx</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uid="9036a7a1-5a4f-48d3-b24b-dfdab053dac9" value="" /&gt;&lt;element uid="03e9b10b-a1f9-4a88-9630-476473f62285" value="" /&gt;&lt;element uid="7349a702-6462-4442-88eb-c64cd513835c" value="" /&gt;&lt;/sisl&gt;</vt:lpwstr>
  </property>
  <property fmtid="{D5CDD505-2E9C-101B-9397-08002B2CF9AE}" pid="6" name="bjDocumentSecurityLabel">
    <vt:lpwstr>Internal Use Only - General Business</vt:lpwstr>
  </property>
  <property fmtid="{D5CDD505-2E9C-101B-9397-08002B2CF9AE}" pid="7" name="ContentTypeId">
    <vt:lpwstr>0x01010010DD34E7172DC544ADF8E8D61C09FCEF</vt:lpwstr>
  </property>
  <property fmtid="{D5CDD505-2E9C-101B-9397-08002B2CF9AE}" pid="8" name="MSIP_Label_acf213f2-4125-4925-823d-f30baca066c9_Enabled">
    <vt:lpwstr>true</vt:lpwstr>
  </property>
  <property fmtid="{D5CDD505-2E9C-101B-9397-08002B2CF9AE}" pid="9" name="MSIP_Label_acf213f2-4125-4925-823d-f30baca066c9_SetDate">
    <vt:lpwstr>2021-12-24T10:54:54Z</vt:lpwstr>
  </property>
  <property fmtid="{D5CDD505-2E9C-101B-9397-08002B2CF9AE}" pid="10" name="MSIP_Label_acf213f2-4125-4925-823d-f30baca066c9_Method">
    <vt:lpwstr>Privileged</vt:lpwstr>
  </property>
  <property fmtid="{D5CDD505-2E9C-101B-9397-08002B2CF9AE}" pid="11" name="MSIP_Label_acf213f2-4125-4925-823d-f30baca066c9_Name">
    <vt:lpwstr>Internal Use Only_</vt:lpwstr>
  </property>
  <property fmtid="{D5CDD505-2E9C-101B-9397-08002B2CF9AE}" pid="12" name="MSIP_Label_acf213f2-4125-4925-823d-f30baca066c9_SiteId">
    <vt:lpwstr>4b4266a6-1368-41af-ad5a-59eb634f7ad8</vt:lpwstr>
  </property>
  <property fmtid="{D5CDD505-2E9C-101B-9397-08002B2CF9AE}" pid="13" name="MSIP_Label_acf213f2-4125-4925-823d-f30baca066c9_ActionId">
    <vt:lpwstr>7b8dfcaf-d386-4ee9-8576-f30369906877</vt:lpwstr>
  </property>
  <property fmtid="{D5CDD505-2E9C-101B-9397-08002B2CF9AE}" pid="14" name="MSIP_Label_acf213f2-4125-4925-823d-f30baca066c9_ContentBits">
    <vt:lpwstr>0</vt:lpwstr>
  </property>
</Properties>
</file>