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2E09" w14:textId="77777777" w:rsidR="001A5518" w:rsidRPr="009C58C4" w:rsidRDefault="001A5518" w:rsidP="001A5518">
      <w:pPr>
        <w:rPr>
          <w:b/>
          <w:bCs/>
          <w:i/>
          <w:iCs/>
          <w:sz w:val="22"/>
          <w:szCs w:val="22"/>
          <w:u w:val="single"/>
          <w:lang w:val="sr-Latn-ME"/>
        </w:rPr>
      </w:pPr>
    </w:p>
    <w:p w14:paraId="05A5F507" w14:textId="77777777" w:rsidR="00F91C7B" w:rsidRPr="009C58C4" w:rsidRDefault="00F91C7B" w:rsidP="001A5518">
      <w:pPr>
        <w:rPr>
          <w:b/>
          <w:bCs/>
          <w:i/>
          <w:iCs/>
          <w:sz w:val="22"/>
          <w:szCs w:val="22"/>
          <w:u w:val="single"/>
          <w:lang w:val="sr-Latn-ME"/>
        </w:rPr>
      </w:pPr>
    </w:p>
    <w:p w14:paraId="4AB5B46E" w14:textId="77777777" w:rsidR="002510A5" w:rsidRPr="009C58C4" w:rsidRDefault="002510A5" w:rsidP="002510A5">
      <w:pPr>
        <w:jc w:val="center"/>
        <w:rPr>
          <w:b/>
          <w:bCs/>
          <w:iCs/>
          <w:sz w:val="22"/>
          <w:szCs w:val="22"/>
          <w:u w:val="single"/>
          <w:lang w:val="sr-Latn-ME"/>
        </w:rPr>
      </w:pPr>
      <w:r w:rsidRPr="009C58C4">
        <w:rPr>
          <w:b/>
          <w:bCs/>
          <w:iCs/>
          <w:sz w:val="22"/>
          <w:szCs w:val="22"/>
          <w:u w:val="single"/>
          <w:lang w:val="sr-Latn-ME"/>
        </w:rPr>
        <w:t>SAŽETAK KARAKTERISTIKA LIJEKA</w:t>
      </w:r>
    </w:p>
    <w:p w14:paraId="6B8F4D2A" w14:textId="77777777" w:rsidR="003C17AB" w:rsidRPr="009C58C4" w:rsidRDefault="003C17AB" w:rsidP="00CA1FEB">
      <w:pPr>
        <w:rPr>
          <w:sz w:val="22"/>
          <w:szCs w:val="22"/>
          <w:lang w:val="sr-Latn-ME"/>
        </w:rPr>
      </w:pPr>
    </w:p>
    <w:p w14:paraId="00F290CB" w14:textId="3E947AD5" w:rsidR="003C17AB" w:rsidRPr="009C58C4" w:rsidRDefault="003C17AB" w:rsidP="00CA0C50">
      <w:pPr>
        <w:tabs>
          <w:tab w:val="left" w:pos="540"/>
          <w:tab w:val="left" w:pos="569"/>
        </w:tabs>
        <w:jc w:val="both"/>
        <w:rPr>
          <w:noProof/>
          <w:sz w:val="22"/>
          <w:szCs w:val="22"/>
          <w:lang w:val="sr-Latn-ME"/>
        </w:rPr>
      </w:pPr>
      <w:r w:rsidRPr="009C58C4">
        <w:rPr>
          <w:noProof/>
          <w:sz w:val="22"/>
          <w:szCs w:val="22"/>
          <w:lang w:val="sr-Latn-ME"/>
        </w:rPr>
        <w:t xml:space="preserve"> </w:t>
      </w:r>
    </w:p>
    <w:p w14:paraId="74A96A6C" w14:textId="77777777" w:rsidR="00C37FD7" w:rsidRPr="009C58C4" w:rsidRDefault="00C37FD7" w:rsidP="00F5167F">
      <w:pPr>
        <w:tabs>
          <w:tab w:val="left" w:pos="540"/>
          <w:tab w:val="left" w:pos="569"/>
        </w:tabs>
        <w:rPr>
          <w:bCs/>
          <w:sz w:val="22"/>
          <w:szCs w:val="22"/>
          <w:lang w:val="sr-Latn-ME"/>
        </w:rPr>
      </w:pPr>
    </w:p>
    <w:p w14:paraId="2264B7A9"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1.</w:t>
      </w:r>
      <w:r w:rsidR="00F5167F" w:rsidRPr="009C58C4">
        <w:rPr>
          <w:b/>
          <w:bCs/>
          <w:sz w:val="22"/>
          <w:szCs w:val="22"/>
          <w:lang w:val="sr-Latn-ME"/>
        </w:rPr>
        <w:tab/>
      </w:r>
      <w:r w:rsidR="002846DB" w:rsidRPr="009C58C4">
        <w:rPr>
          <w:b/>
          <w:bCs/>
          <w:sz w:val="22"/>
          <w:szCs w:val="22"/>
          <w:lang w:val="sr-Latn-ME"/>
        </w:rPr>
        <w:t xml:space="preserve">NAZIV </w:t>
      </w:r>
      <w:r w:rsidRPr="009C58C4">
        <w:rPr>
          <w:b/>
          <w:bCs/>
          <w:sz w:val="22"/>
          <w:szCs w:val="22"/>
          <w:lang w:val="sr-Latn-ME"/>
        </w:rPr>
        <w:t>LIJEKA</w:t>
      </w:r>
    </w:p>
    <w:p w14:paraId="0CE6882B" w14:textId="77777777" w:rsidR="00EC2532" w:rsidRPr="009C58C4" w:rsidRDefault="00EC2532" w:rsidP="00226369">
      <w:pPr>
        <w:jc w:val="both"/>
        <w:rPr>
          <w:sz w:val="22"/>
          <w:szCs w:val="22"/>
          <w:lang w:val="sr-Latn-ME"/>
        </w:rPr>
      </w:pPr>
    </w:p>
    <w:p w14:paraId="0B0D6209" w14:textId="557E9707" w:rsidR="00CA0C50" w:rsidRPr="009C58C4" w:rsidRDefault="00CA0C50" w:rsidP="00226369">
      <w:pPr>
        <w:jc w:val="both"/>
        <w:rPr>
          <w:sz w:val="22"/>
          <w:szCs w:val="22"/>
          <w:lang w:val="sr-Latn-ME"/>
        </w:rPr>
      </w:pPr>
      <w:bookmarkStart w:id="0" w:name="_GoBack"/>
      <w:r w:rsidRPr="009C58C4">
        <w:rPr>
          <w:sz w:val="22"/>
          <w:szCs w:val="22"/>
          <w:lang w:val="sr-Latn-ME"/>
        </w:rPr>
        <w:t>Spexotras</w:t>
      </w:r>
      <w:bookmarkEnd w:id="0"/>
      <w:r w:rsidR="00304534" w:rsidRPr="009C58C4">
        <w:rPr>
          <w:sz w:val="22"/>
          <w:szCs w:val="22"/>
          <w:lang w:val="sr-Latn-ME"/>
        </w:rPr>
        <w:t>,</w:t>
      </w:r>
      <w:r w:rsidRPr="009C58C4">
        <w:rPr>
          <w:sz w:val="22"/>
          <w:szCs w:val="22"/>
          <w:lang w:val="sr-Latn-ME"/>
        </w:rPr>
        <w:t xml:space="preserve"> 0,05 mg/m</w:t>
      </w:r>
      <w:r w:rsidR="006656BE" w:rsidRPr="009C58C4">
        <w:rPr>
          <w:sz w:val="22"/>
          <w:szCs w:val="22"/>
          <w:lang w:val="sr-Latn-ME"/>
        </w:rPr>
        <w:t>l</w:t>
      </w:r>
      <w:r w:rsidRPr="009C58C4">
        <w:rPr>
          <w:sz w:val="22"/>
          <w:szCs w:val="22"/>
          <w:lang w:val="sr-Latn-ME"/>
        </w:rPr>
        <w:t>, prašak za oralni rastvor</w:t>
      </w:r>
    </w:p>
    <w:p w14:paraId="142DE6C8" w14:textId="77777777" w:rsidR="000D425A" w:rsidRPr="009C58C4" w:rsidRDefault="000D425A" w:rsidP="00226369">
      <w:pPr>
        <w:jc w:val="both"/>
        <w:rPr>
          <w:bCs/>
          <w:sz w:val="22"/>
          <w:szCs w:val="22"/>
          <w:lang w:val="sr-Latn-ME"/>
        </w:rPr>
      </w:pPr>
    </w:p>
    <w:p w14:paraId="26EBD0C2" w14:textId="38A500BC" w:rsidR="006D20A5" w:rsidRPr="009C58C4" w:rsidRDefault="006D20A5" w:rsidP="00226369">
      <w:pPr>
        <w:jc w:val="both"/>
        <w:rPr>
          <w:bCs/>
          <w:sz w:val="22"/>
          <w:szCs w:val="22"/>
          <w:lang w:val="sr-Latn-ME"/>
        </w:rPr>
      </w:pPr>
      <w:r w:rsidRPr="009C58C4">
        <w:rPr>
          <w:sz w:val="22"/>
          <w:szCs w:val="22"/>
          <w:lang w:val="sr-Latn-ME"/>
        </w:rPr>
        <w:t>INN:</w:t>
      </w:r>
      <w:r w:rsidR="00CA0C50" w:rsidRPr="009C58C4">
        <w:rPr>
          <w:sz w:val="22"/>
          <w:szCs w:val="22"/>
          <w:lang w:val="sr-Latn-ME"/>
        </w:rPr>
        <w:t xml:space="preserve"> trametinib</w:t>
      </w:r>
    </w:p>
    <w:p w14:paraId="3FB460E4" w14:textId="27483B01" w:rsidR="00530BD7" w:rsidRPr="009C58C4" w:rsidRDefault="00530BD7" w:rsidP="00226369">
      <w:pPr>
        <w:jc w:val="both"/>
        <w:rPr>
          <w:bCs/>
          <w:sz w:val="22"/>
          <w:szCs w:val="22"/>
          <w:lang w:val="sr-Latn-ME"/>
        </w:rPr>
      </w:pPr>
    </w:p>
    <w:p w14:paraId="190C6C0F" w14:textId="77777777" w:rsidR="00304534" w:rsidRPr="009C58C4" w:rsidRDefault="00304534" w:rsidP="00226369">
      <w:pPr>
        <w:jc w:val="both"/>
        <w:rPr>
          <w:bCs/>
          <w:sz w:val="22"/>
          <w:szCs w:val="22"/>
          <w:lang w:val="sr-Latn-ME"/>
        </w:rPr>
      </w:pPr>
    </w:p>
    <w:p w14:paraId="05F5F06F"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 xml:space="preserve">2. </w:t>
      </w:r>
      <w:r w:rsidR="00F5167F" w:rsidRPr="009C58C4">
        <w:rPr>
          <w:b/>
          <w:bCs/>
          <w:sz w:val="22"/>
          <w:szCs w:val="22"/>
          <w:lang w:val="sr-Latn-ME"/>
        </w:rPr>
        <w:tab/>
      </w:r>
      <w:r w:rsidRPr="009C58C4">
        <w:rPr>
          <w:b/>
          <w:bCs/>
          <w:sz w:val="22"/>
          <w:szCs w:val="22"/>
          <w:lang w:val="sr-Latn-ME"/>
        </w:rPr>
        <w:t>KVALITATIVNI I KVANTITATIVNI SASTAV</w:t>
      </w:r>
    </w:p>
    <w:p w14:paraId="4715917D" w14:textId="77777777" w:rsidR="005A0B2E" w:rsidRPr="009C58C4" w:rsidRDefault="005A0B2E" w:rsidP="00226369">
      <w:pPr>
        <w:jc w:val="both"/>
        <w:rPr>
          <w:sz w:val="22"/>
          <w:szCs w:val="22"/>
          <w:lang w:val="sr-Latn-ME"/>
        </w:rPr>
      </w:pPr>
    </w:p>
    <w:p w14:paraId="32FD9610" w14:textId="76EC1F5D" w:rsidR="00CA0C50" w:rsidRPr="009C58C4" w:rsidRDefault="00CA0C50" w:rsidP="00226369">
      <w:pPr>
        <w:jc w:val="both"/>
        <w:rPr>
          <w:sz w:val="22"/>
          <w:szCs w:val="22"/>
          <w:lang w:val="sr-Latn-ME"/>
        </w:rPr>
      </w:pPr>
      <w:r w:rsidRPr="009C58C4">
        <w:rPr>
          <w:sz w:val="22"/>
          <w:szCs w:val="22"/>
          <w:lang w:val="sr-Latn-ME"/>
        </w:rPr>
        <w:t>Jedna bočica sadrži 4,7 mg trametiniba u obliku trametinib dimetil</w:t>
      </w:r>
      <w:r w:rsidR="00304534" w:rsidRPr="009C58C4">
        <w:rPr>
          <w:sz w:val="22"/>
          <w:szCs w:val="22"/>
          <w:lang w:val="sr-Latn-ME"/>
        </w:rPr>
        <w:t xml:space="preserve"> </w:t>
      </w:r>
      <w:r w:rsidRPr="009C58C4">
        <w:rPr>
          <w:sz w:val="22"/>
          <w:szCs w:val="22"/>
          <w:lang w:val="sr-Latn-ME"/>
        </w:rPr>
        <w:t>sulfoksida.</w:t>
      </w:r>
    </w:p>
    <w:p w14:paraId="4572C0A6" w14:textId="77777777" w:rsidR="00CA0C50" w:rsidRPr="009C58C4" w:rsidRDefault="00CA0C50" w:rsidP="00226369">
      <w:pPr>
        <w:jc w:val="both"/>
        <w:rPr>
          <w:sz w:val="22"/>
          <w:szCs w:val="22"/>
          <w:lang w:val="sr-Latn-ME"/>
        </w:rPr>
      </w:pPr>
    </w:p>
    <w:p w14:paraId="5E557C2A" w14:textId="300453B0" w:rsidR="00CA0C50" w:rsidRPr="009C58C4" w:rsidRDefault="00CA0C50" w:rsidP="00226369">
      <w:pPr>
        <w:jc w:val="both"/>
        <w:rPr>
          <w:sz w:val="22"/>
          <w:szCs w:val="22"/>
          <w:lang w:val="sr-Latn-ME"/>
        </w:rPr>
      </w:pPr>
      <w:r w:rsidRPr="009C58C4">
        <w:rPr>
          <w:sz w:val="22"/>
          <w:szCs w:val="22"/>
          <w:lang w:val="sr-Latn-ME"/>
        </w:rPr>
        <w:t>Jedan m</w:t>
      </w:r>
      <w:r w:rsidR="00304534" w:rsidRPr="009C58C4">
        <w:rPr>
          <w:sz w:val="22"/>
          <w:szCs w:val="22"/>
          <w:lang w:val="sr-Latn-ME"/>
        </w:rPr>
        <w:t>l</w:t>
      </w:r>
      <w:r w:rsidRPr="009C58C4">
        <w:rPr>
          <w:sz w:val="22"/>
          <w:szCs w:val="22"/>
          <w:lang w:val="sr-Latn-ME"/>
        </w:rPr>
        <w:t xml:space="preserve"> rekonstituisanog rastvora sadrži 0,05 mg trametiniba.</w:t>
      </w:r>
    </w:p>
    <w:p w14:paraId="10894BA0" w14:textId="77777777" w:rsidR="00CA0C50" w:rsidRPr="009C58C4" w:rsidRDefault="00CA0C50" w:rsidP="00226369">
      <w:pPr>
        <w:jc w:val="both"/>
        <w:rPr>
          <w:sz w:val="22"/>
          <w:szCs w:val="22"/>
          <w:lang w:val="sr-Latn-ME"/>
        </w:rPr>
      </w:pPr>
    </w:p>
    <w:p w14:paraId="7E26EFF8" w14:textId="310B4641" w:rsidR="00CA0C50" w:rsidRPr="009C58C4" w:rsidRDefault="00CA0C50" w:rsidP="00226369">
      <w:pPr>
        <w:jc w:val="both"/>
        <w:rPr>
          <w:sz w:val="22"/>
          <w:szCs w:val="22"/>
          <w:lang w:val="sr-Latn-ME"/>
        </w:rPr>
      </w:pPr>
      <w:r w:rsidRPr="009C58C4">
        <w:rPr>
          <w:sz w:val="22"/>
          <w:szCs w:val="22"/>
          <w:u w:val="single"/>
          <w:lang w:val="sr-Latn-ME"/>
        </w:rPr>
        <w:t>Pomoćne supstance</w:t>
      </w:r>
      <w:r w:rsidR="007F2563" w:rsidRPr="009C58C4">
        <w:rPr>
          <w:sz w:val="22"/>
          <w:szCs w:val="22"/>
          <w:u w:val="single"/>
          <w:lang w:val="sr-Latn-ME"/>
        </w:rPr>
        <w:t xml:space="preserve"> </w:t>
      </w:r>
      <w:r w:rsidRPr="009C58C4">
        <w:rPr>
          <w:sz w:val="22"/>
          <w:szCs w:val="22"/>
          <w:u w:val="single"/>
          <w:lang w:val="sr-Latn-ME"/>
        </w:rPr>
        <w:t>sa po</w:t>
      </w:r>
      <w:r w:rsidR="00304534" w:rsidRPr="009C58C4">
        <w:rPr>
          <w:sz w:val="22"/>
          <w:szCs w:val="22"/>
          <w:u w:val="single"/>
          <w:lang w:val="sr-Latn-ME"/>
        </w:rPr>
        <w:t>tvrđenim</w:t>
      </w:r>
      <w:r w:rsidRPr="009C58C4">
        <w:rPr>
          <w:sz w:val="22"/>
          <w:szCs w:val="22"/>
          <w:u w:val="single"/>
          <w:lang w:val="sr-Latn-ME"/>
        </w:rPr>
        <w:t xml:space="preserve"> dejstvom</w:t>
      </w:r>
      <w:r w:rsidR="00304534" w:rsidRPr="009C58C4">
        <w:rPr>
          <w:sz w:val="22"/>
          <w:szCs w:val="22"/>
          <w:lang w:val="sr-Latn-ME"/>
        </w:rPr>
        <w:t>:</w:t>
      </w:r>
    </w:p>
    <w:p w14:paraId="3019B3EC" w14:textId="549D91EE" w:rsidR="00CA0C50" w:rsidRPr="009C58C4" w:rsidRDefault="00CA0C50" w:rsidP="00226369">
      <w:pPr>
        <w:jc w:val="both"/>
        <w:rPr>
          <w:sz w:val="22"/>
          <w:szCs w:val="22"/>
          <w:lang w:val="sr-Latn-ME"/>
        </w:rPr>
      </w:pPr>
      <w:r w:rsidRPr="009C58C4">
        <w:rPr>
          <w:sz w:val="22"/>
          <w:szCs w:val="22"/>
          <w:lang w:val="sr-Latn-ME"/>
        </w:rPr>
        <w:t>Jedan m</w:t>
      </w:r>
      <w:r w:rsidR="00304534" w:rsidRPr="009C58C4">
        <w:rPr>
          <w:sz w:val="22"/>
          <w:szCs w:val="22"/>
          <w:lang w:val="sr-Latn-ME"/>
        </w:rPr>
        <w:t>l</w:t>
      </w:r>
      <w:r w:rsidRPr="009C58C4">
        <w:rPr>
          <w:sz w:val="22"/>
          <w:szCs w:val="22"/>
          <w:lang w:val="sr-Latn-ME"/>
        </w:rPr>
        <w:t xml:space="preserve"> rekonstituisanog rastvora sadrži 100 mg sulfobutilbetadeks</w:t>
      </w:r>
      <w:r w:rsidR="00304534" w:rsidRPr="009C58C4">
        <w:rPr>
          <w:sz w:val="22"/>
          <w:szCs w:val="22"/>
          <w:lang w:val="sr-Latn-ME"/>
        </w:rPr>
        <w:t xml:space="preserve"> </w:t>
      </w:r>
      <w:r w:rsidRPr="009C58C4">
        <w:rPr>
          <w:sz w:val="22"/>
          <w:szCs w:val="22"/>
          <w:lang w:val="sr-Latn-ME"/>
        </w:rPr>
        <w:t>natrijuma, 0,8 mg metil</w:t>
      </w:r>
      <w:r w:rsidR="00304534" w:rsidRPr="009C58C4">
        <w:rPr>
          <w:sz w:val="22"/>
          <w:szCs w:val="22"/>
          <w:lang w:val="sr-Latn-ME"/>
        </w:rPr>
        <w:t xml:space="preserve"> </w:t>
      </w:r>
      <w:r w:rsidRPr="009C58C4">
        <w:rPr>
          <w:sz w:val="22"/>
          <w:szCs w:val="22"/>
          <w:lang w:val="sr-Latn-ME"/>
        </w:rPr>
        <w:t>parahidroksibenzoata i 1,98 mg natrijuma.</w:t>
      </w:r>
    </w:p>
    <w:p w14:paraId="6B25E19A" w14:textId="77777777" w:rsidR="00CA0C50" w:rsidRPr="009C58C4" w:rsidRDefault="00CA0C50" w:rsidP="00226369">
      <w:pPr>
        <w:jc w:val="both"/>
        <w:rPr>
          <w:sz w:val="22"/>
          <w:szCs w:val="22"/>
          <w:lang w:val="sr-Latn-ME"/>
        </w:rPr>
      </w:pPr>
    </w:p>
    <w:p w14:paraId="115E7AC7" w14:textId="6471A9ED" w:rsidR="0003793F" w:rsidRPr="009C58C4" w:rsidRDefault="0003793F" w:rsidP="00226369">
      <w:pPr>
        <w:jc w:val="both"/>
        <w:rPr>
          <w:sz w:val="22"/>
          <w:szCs w:val="22"/>
          <w:lang w:val="sr-Latn-ME"/>
        </w:rPr>
      </w:pPr>
      <w:r w:rsidRPr="009C58C4">
        <w:rPr>
          <w:sz w:val="22"/>
          <w:szCs w:val="22"/>
          <w:lang w:val="sr-Latn-ME"/>
        </w:rPr>
        <w:t>Za spisak svih ekscipijenasa, pogledati dio 6.1.</w:t>
      </w:r>
    </w:p>
    <w:p w14:paraId="7098E03C" w14:textId="3B1A6E49" w:rsidR="00C37FD7" w:rsidRPr="009C58C4" w:rsidRDefault="00C37FD7" w:rsidP="00226369">
      <w:pPr>
        <w:jc w:val="both"/>
        <w:rPr>
          <w:sz w:val="22"/>
          <w:szCs w:val="22"/>
          <w:lang w:val="sr-Latn-ME"/>
        </w:rPr>
      </w:pPr>
    </w:p>
    <w:p w14:paraId="0005BC77" w14:textId="77777777" w:rsidR="00304534" w:rsidRPr="009C58C4" w:rsidRDefault="00304534" w:rsidP="00226369">
      <w:pPr>
        <w:jc w:val="both"/>
        <w:rPr>
          <w:sz w:val="22"/>
          <w:szCs w:val="22"/>
          <w:lang w:val="sr-Latn-ME"/>
        </w:rPr>
      </w:pPr>
    </w:p>
    <w:p w14:paraId="33DF43A0"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 xml:space="preserve">3. </w:t>
      </w:r>
      <w:r w:rsidR="00F5167F" w:rsidRPr="009C58C4">
        <w:rPr>
          <w:b/>
          <w:bCs/>
          <w:sz w:val="22"/>
          <w:szCs w:val="22"/>
          <w:lang w:val="sr-Latn-ME"/>
        </w:rPr>
        <w:tab/>
      </w:r>
      <w:r w:rsidRPr="009C58C4">
        <w:rPr>
          <w:b/>
          <w:bCs/>
          <w:sz w:val="22"/>
          <w:szCs w:val="22"/>
          <w:lang w:val="sr-Latn-ME"/>
        </w:rPr>
        <w:t>FARMACEUTSKI OBLIK</w:t>
      </w:r>
      <w:r w:rsidR="009F2D23" w:rsidRPr="009C58C4">
        <w:rPr>
          <w:b/>
          <w:bCs/>
          <w:sz w:val="22"/>
          <w:szCs w:val="22"/>
          <w:lang w:val="sr-Latn-ME"/>
        </w:rPr>
        <w:t xml:space="preserve"> </w:t>
      </w:r>
    </w:p>
    <w:p w14:paraId="7F92F20D" w14:textId="77777777" w:rsidR="00CA0C50" w:rsidRPr="009C58C4" w:rsidRDefault="00CA0C50" w:rsidP="00226369">
      <w:pPr>
        <w:autoSpaceDE w:val="0"/>
        <w:autoSpaceDN w:val="0"/>
        <w:adjustRightInd w:val="0"/>
        <w:jc w:val="both"/>
        <w:rPr>
          <w:sz w:val="22"/>
          <w:szCs w:val="22"/>
          <w:lang w:val="sr-Latn-ME"/>
        </w:rPr>
      </w:pPr>
    </w:p>
    <w:p w14:paraId="4E90D37B" w14:textId="15D74C33" w:rsidR="00CA0C50" w:rsidRPr="009C58C4" w:rsidRDefault="00CA0C50" w:rsidP="00226369">
      <w:pPr>
        <w:autoSpaceDE w:val="0"/>
        <w:autoSpaceDN w:val="0"/>
        <w:adjustRightInd w:val="0"/>
        <w:jc w:val="both"/>
        <w:rPr>
          <w:sz w:val="22"/>
          <w:szCs w:val="22"/>
          <w:lang w:val="sr-Latn-ME"/>
        </w:rPr>
      </w:pPr>
      <w:r w:rsidRPr="009C58C4">
        <w:rPr>
          <w:sz w:val="22"/>
          <w:szCs w:val="22"/>
          <w:lang w:val="sr-Latn-ME"/>
        </w:rPr>
        <w:t>Prašak za oralni rastvor.</w:t>
      </w:r>
    </w:p>
    <w:p w14:paraId="250DFC56" w14:textId="77777777" w:rsidR="00CA0C50" w:rsidRPr="009C58C4" w:rsidRDefault="00CA0C50" w:rsidP="00226369">
      <w:pPr>
        <w:autoSpaceDE w:val="0"/>
        <w:autoSpaceDN w:val="0"/>
        <w:adjustRightInd w:val="0"/>
        <w:jc w:val="both"/>
        <w:rPr>
          <w:sz w:val="22"/>
          <w:szCs w:val="22"/>
          <w:lang w:val="sr-Latn-ME"/>
        </w:rPr>
      </w:pPr>
    </w:p>
    <w:p w14:paraId="17322546" w14:textId="5F2413B2" w:rsidR="00411B4B" w:rsidRPr="009C58C4" w:rsidRDefault="00CA0C50" w:rsidP="00226369">
      <w:pPr>
        <w:autoSpaceDE w:val="0"/>
        <w:autoSpaceDN w:val="0"/>
        <w:adjustRightInd w:val="0"/>
        <w:jc w:val="both"/>
        <w:rPr>
          <w:sz w:val="22"/>
          <w:szCs w:val="22"/>
          <w:lang w:val="sr-Latn-ME"/>
        </w:rPr>
      </w:pPr>
      <w:r w:rsidRPr="009C58C4">
        <w:rPr>
          <w:sz w:val="22"/>
          <w:szCs w:val="22"/>
          <w:lang w:val="sr-Latn-ME"/>
        </w:rPr>
        <w:t>B</w:t>
      </w:r>
      <w:r w:rsidR="007F2563" w:rsidRPr="009C58C4">
        <w:rPr>
          <w:sz w:val="22"/>
          <w:szCs w:val="22"/>
          <w:lang w:val="sr-Latn-ME"/>
        </w:rPr>
        <w:t>ij</w:t>
      </w:r>
      <w:r w:rsidRPr="009C58C4">
        <w:rPr>
          <w:sz w:val="22"/>
          <w:szCs w:val="22"/>
          <w:lang w:val="sr-Latn-ME"/>
        </w:rPr>
        <w:t>eli ili gotovo b</w:t>
      </w:r>
      <w:r w:rsidR="007F2563" w:rsidRPr="009C58C4">
        <w:rPr>
          <w:sz w:val="22"/>
          <w:szCs w:val="22"/>
          <w:lang w:val="sr-Latn-ME"/>
        </w:rPr>
        <w:t>ij</w:t>
      </w:r>
      <w:r w:rsidRPr="009C58C4">
        <w:rPr>
          <w:sz w:val="22"/>
          <w:szCs w:val="22"/>
          <w:lang w:val="sr-Latn-ME"/>
        </w:rPr>
        <w:t>eli prašak.</w:t>
      </w:r>
    </w:p>
    <w:p w14:paraId="79CCA13A" w14:textId="77C4412E" w:rsidR="00EC2532" w:rsidRPr="009C58C4" w:rsidRDefault="00EC2532" w:rsidP="00226369">
      <w:pPr>
        <w:jc w:val="both"/>
        <w:rPr>
          <w:bCs/>
          <w:sz w:val="22"/>
          <w:szCs w:val="22"/>
          <w:lang w:val="sr-Latn-ME"/>
        </w:rPr>
      </w:pPr>
    </w:p>
    <w:p w14:paraId="3F057314" w14:textId="77777777" w:rsidR="00304534" w:rsidRPr="009C58C4" w:rsidRDefault="00304534" w:rsidP="00226369">
      <w:pPr>
        <w:jc w:val="both"/>
        <w:rPr>
          <w:bCs/>
          <w:sz w:val="22"/>
          <w:szCs w:val="22"/>
          <w:lang w:val="sr-Latn-ME"/>
        </w:rPr>
      </w:pPr>
    </w:p>
    <w:p w14:paraId="3A52341E"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 xml:space="preserve">4. </w:t>
      </w:r>
      <w:r w:rsidR="00480FB1" w:rsidRPr="009C58C4">
        <w:rPr>
          <w:b/>
          <w:bCs/>
          <w:sz w:val="22"/>
          <w:szCs w:val="22"/>
          <w:lang w:val="sr-Latn-ME"/>
        </w:rPr>
        <w:tab/>
      </w:r>
      <w:r w:rsidRPr="009C58C4">
        <w:rPr>
          <w:b/>
          <w:bCs/>
          <w:sz w:val="22"/>
          <w:szCs w:val="22"/>
          <w:lang w:val="sr-Latn-ME"/>
        </w:rPr>
        <w:t>KLINIČKI PODACI</w:t>
      </w:r>
    </w:p>
    <w:p w14:paraId="7EA63B16" w14:textId="77777777" w:rsidR="00CD6F02" w:rsidRPr="009C58C4" w:rsidRDefault="00CD6F02" w:rsidP="00226369">
      <w:pPr>
        <w:tabs>
          <w:tab w:val="left" w:pos="540"/>
          <w:tab w:val="left" w:pos="569"/>
        </w:tabs>
        <w:jc w:val="both"/>
        <w:rPr>
          <w:bCs/>
          <w:sz w:val="22"/>
          <w:szCs w:val="22"/>
          <w:lang w:val="sr-Latn-ME"/>
        </w:rPr>
      </w:pPr>
    </w:p>
    <w:p w14:paraId="4A35B32D"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 xml:space="preserve">4.1. </w:t>
      </w:r>
      <w:r w:rsidR="00480FB1" w:rsidRPr="009C58C4">
        <w:rPr>
          <w:b/>
          <w:bCs/>
          <w:sz w:val="22"/>
          <w:szCs w:val="22"/>
          <w:lang w:val="sr-Latn-ME"/>
        </w:rPr>
        <w:tab/>
      </w:r>
      <w:r w:rsidRPr="009C58C4">
        <w:rPr>
          <w:b/>
          <w:bCs/>
          <w:sz w:val="22"/>
          <w:szCs w:val="22"/>
          <w:lang w:val="sr-Latn-ME"/>
        </w:rPr>
        <w:t>Terapijske indikacije</w:t>
      </w:r>
    </w:p>
    <w:p w14:paraId="43BC8E4E" w14:textId="77777777" w:rsidR="00CA0C50" w:rsidRPr="009C58C4" w:rsidRDefault="00CA0C50" w:rsidP="00226369">
      <w:pPr>
        <w:jc w:val="both"/>
        <w:rPr>
          <w:sz w:val="22"/>
          <w:szCs w:val="22"/>
          <w:u w:val="single"/>
          <w:lang w:val="sr-Latn-ME"/>
        </w:rPr>
      </w:pPr>
    </w:p>
    <w:p w14:paraId="248D0A84" w14:textId="10E53204" w:rsidR="00CA0C50" w:rsidRPr="009C58C4" w:rsidRDefault="00CA0C50" w:rsidP="00226369">
      <w:pPr>
        <w:jc w:val="both"/>
        <w:rPr>
          <w:sz w:val="22"/>
          <w:szCs w:val="22"/>
          <w:u w:val="single"/>
          <w:lang w:val="sr-Latn-ME"/>
        </w:rPr>
      </w:pPr>
      <w:r w:rsidRPr="009C58C4">
        <w:rPr>
          <w:sz w:val="22"/>
          <w:szCs w:val="22"/>
          <w:u w:val="single"/>
          <w:lang w:val="sr-Latn-ME"/>
        </w:rPr>
        <w:t>Gliom niskog gradusa</w:t>
      </w:r>
    </w:p>
    <w:p w14:paraId="51D9242C" w14:textId="77777777" w:rsidR="00CA0C50" w:rsidRPr="009C58C4" w:rsidRDefault="00CA0C50" w:rsidP="00226369">
      <w:pPr>
        <w:jc w:val="both"/>
        <w:rPr>
          <w:sz w:val="22"/>
          <w:szCs w:val="22"/>
          <w:lang w:val="sr-Latn-ME"/>
        </w:rPr>
      </w:pPr>
    </w:p>
    <w:p w14:paraId="124D8AFF" w14:textId="020F0304" w:rsidR="00CA0C50" w:rsidRPr="009C58C4" w:rsidRDefault="00CA0C50" w:rsidP="00226369">
      <w:pPr>
        <w:jc w:val="both"/>
        <w:rPr>
          <w:sz w:val="22"/>
          <w:szCs w:val="22"/>
          <w:lang w:val="sr-Latn-ME"/>
        </w:rPr>
      </w:pPr>
      <w:r w:rsidRPr="009C58C4">
        <w:rPr>
          <w:sz w:val="22"/>
          <w:szCs w:val="22"/>
          <w:lang w:val="sr-Latn-ME"/>
        </w:rPr>
        <w:t>L</w:t>
      </w:r>
      <w:r w:rsidR="007F2563" w:rsidRPr="009C58C4">
        <w:rPr>
          <w:sz w:val="22"/>
          <w:szCs w:val="22"/>
          <w:lang w:val="sr-Latn-ME"/>
        </w:rPr>
        <w:t>ij</w:t>
      </w:r>
      <w:r w:rsidRPr="009C58C4">
        <w:rPr>
          <w:sz w:val="22"/>
          <w:szCs w:val="22"/>
          <w:lang w:val="sr-Latn-ME"/>
        </w:rPr>
        <w:t xml:space="preserve">ek Spexotras u kombinaciji sa dabrafenibom je indikovan za </w:t>
      </w:r>
      <w:r w:rsidR="007F2563" w:rsidRPr="009C58C4">
        <w:rPr>
          <w:sz w:val="22"/>
          <w:szCs w:val="22"/>
          <w:lang w:val="sr-Latn-ME"/>
        </w:rPr>
        <w:t>liječ</w:t>
      </w:r>
      <w:r w:rsidRPr="009C58C4">
        <w:rPr>
          <w:sz w:val="22"/>
          <w:szCs w:val="22"/>
          <w:lang w:val="sr-Latn-ME"/>
        </w:rPr>
        <w:t>enje pedijatrijskih pacijenata uzrasta od 1 godine i starijih sa gliomom niskog gradusa (</w:t>
      </w:r>
      <w:r w:rsidRPr="009C58C4">
        <w:rPr>
          <w:i/>
          <w:iCs/>
          <w:sz w:val="22"/>
          <w:szCs w:val="22"/>
          <w:lang w:val="sr-Latn-ME"/>
        </w:rPr>
        <w:t>engl. low-grade glioma</w:t>
      </w:r>
      <w:r w:rsidRPr="009C58C4">
        <w:rPr>
          <w:sz w:val="22"/>
          <w:szCs w:val="22"/>
          <w:lang w:val="sr-Latn-ME"/>
        </w:rPr>
        <w:t>, LGG) sa BRAF V600E mutacijom koja zaht</w:t>
      </w:r>
      <w:r w:rsidR="007F2563" w:rsidRPr="009C58C4">
        <w:rPr>
          <w:sz w:val="22"/>
          <w:szCs w:val="22"/>
          <w:lang w:val="sr-Latn-ME"/>
        </w:rPr>
        <w:t>ij</w:t>
      </w:r>
      <w:r w:rsidRPr="009C58C4">
        <w:rPr>
          <w:sz w:val="22"/>
          <w:szCs w:val="22"/>
          <w:lang w:val="sr-Latn-ME"/>
        </w:rPr>
        <w:t xml:space="preserve">eva sistemsko </w:t>
      </w:r>
      <w:r w:rsidR="007F2563" w:rsidRPr="009C58C4">
        <w:rPr>
          <w:sz w:val="22"/>
          <w:szCs w:val="22"/>
          <w:lang w:val="sr-Latn-ME"/>
        </w:rPr>
        <w:t>liječ</w:t>
      </w:r>
      <w:r w:rsidRPr="009C58C4">
        <w:rPr>
          <w:sz w:val="22"/>
          <w:szCs w:val="22"/>
          <w:lang w:val="sr-Latn-ME"/>
        </w:rPr>
        <w:t>enje.</w:t>
      </w:r>
    </w:p>
    <w:p w14:paraId="43DA1867" w14:textId="77777777" w:rsidR="00CA0C50" w:rsidRPr="009C58C4" w:rsidRDefault="00CA0C50" w:rsidP="00226369">
      <w:pPr>
        <w:jc w:val="both"/>
        <w:rPr>
          <w:sz w:val="22"/>
          <w:szCs w:val="22"/>
          <w:lang w:val="sr-Latn-ME"/>
        </w:rPr>
      </w:pPr>
    </w:p>
    <w:p w14:paraId="20E6F100" w14:textId="77777777" w:rsidR="00CA0C50" w:rsidRPr="009C58C4" w:rsidRDefault="00CA0C50" w:rsidP="00226369">
      <w:pPr>
        <w:jc w:val="both"/>
        <w:rPr>
          <w:sz w:val="22"/>
          <w:szCs w:val="22"/>
          <w:u w:val="single"/>
          <w:lang w:val="sr-Latn-ME"/>
        </w:rPr>
      </w:pPr>
      <w:r w:rsidRPr="009C58C4">
        <w:rPr>
          <w:sz w:val="22"/>
          <w:szCs w:val="22"/>
          <w:u w:val="single"/>
          <w:lang w:val="sr-Latn-ME"/>
        </w:rPr>
        <w:t>Gliom visokog gradusa</w:t>
      </w:r>
    </w:p>
    <w:p w14:paraId="56B84EB6" w14:textId="77777777" w:rsidR="00CA0C50" w:rsidRPr="009C58C4" w:rsidRDefault="00CA0C50" w:rsidP="00226369">
      <w:pPr>
        <w:jc w:val="both"/>
        <w:rPr>
          <w:sz w:val="22"/>
          <w:szCs w:val="22"/>
          <w:lang w:val="sr-Latn-ME"/>
        </w:rPr>
      </w:pPr>
    </w:p>
    <w:p w14:paraId="77B0816B" w14:textId="17A5E735" w:rsidR="00CA0C50" w:rsidRPr="009C58C4" w:rsidRDefault="007F2563" w:rsidP="00226369">
      <w:pPr>
        <w:jc w:val="both"/>
        <w:rPr>
          <w:sz w:val="22"/>
          <w:szCs w:val="22"/>
          <w:lang w:val="sr-Latn-ME"/>
        </w:rPr>
      </w:pPr>
      <w:r w:rsidRPr="009C58C4">
        <w:rPr>
          <w:sz w:val="22"/>
          <w:szCs w:val="22"/>
          <w:lang w:val="sr-Latn-ME"/>
        </w:rPr>
        <w:t>Lijek</w:t>
      </w:r>
      <w:r w:rsidR="00CA0C50" w:rsidRPr="009C58C4">
        <w:rPr>
          <w:sz w:val="22"/>
          <w:szCs w:val="22"/>
          <w:lang w:val="sr-Latn-ME"/>
        </w:rPr>
        <w:t xml:space="preserve"> Spexotras u kombinaciji sa dabrafenibom je indikovan za </w:t>
      </w:r>
      <w:r w:rsidRPr="009C58C4">
        <w:rPr>
          <w:sz w:val="22"/>
          <w:szCs w:val="22"/>
          <w:lang w:val="sr-Latn-ME"/>
        </w:rPr>
        <w:t>liječ</w:t>
      </w:r>
      <w:r w:rsidR="00CA0C50" w:rsidRPr="009C58C4">
        <w:rPr>
          <w:sz w:val="22"/>
          <w:szCs w:val="22"/>
          <w:lang w:val="sr-Latn-ME"/>
        </w:rPr>
        <w:t>enje pedijatrijskih pacijenata uzrasta od 1 godine i starijih sa gliomom visokog gradusa (</w:t>
      </w:r>
      <w:r w:rsidR="00CA0C50" w:rsidRPr="009C58C4">
        <w:rPr>
          <w:i/>
          <w:iCs/>
          <w:sz w:val="22"/>
          <w:szCs w:val="22"/>
          <w:lang w:val="sr-Latn-ME"/>
        </w:rPr>
        <w:t>engl. high-grade glioma</w:t>
      </w:r>
      <w:r w:rsidR="00CA0C50" w:rsidRPr="009C58C4">
        <w:rPr>
          <w:sz w:val="22"/>
          <w:szCs w:val="22"/>
          <w:lang w:val="sr-Latn-ME"/>
        </w:rPr>
        <w:t>, HGG) sa BRAF V600E mutacijom koji su primili najmanje jednu prethodnu terapiju zračenjem i/ili hemoterapijom.</w:t>
      </w:r>
    </w:p>
    <w:p w14:paraId="0927ACAD" w14:textId="77777777" w:rsidR="00411B4B" w:rsidRPr="009C58C4" w:rsidRDefault="00411B4B" w:rsidP="00226369">
      <w:pPr>
        <w:tabs>
          <w:tab w:val="left" w:pos="540"/>
          <w:tab w:val="left" w:pos="569"/>
        </w:tabs>
        <w:jc w:val="both"/>
        <w:rPr>
          <w:bCs/>
          <w:sz w:val="22"/>
          <w:szCs w:val="22"/>
          <w:lang w:val="sr-Latn-ME"/>
        </w:rPr>
      </w:pPr>
    </w:p>
    <w:p w14:paraId="52182ED4"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 xml:space="preserve">4.2. </w:t>
      </w:r>
      <w:r w:rsidR="00480FB1" w:rsidRPr="009C58C4">
        <w:rPr>
          <w:b/>
          <w:bCs/>
          <w:sz w:val="22"/>
          <w:szCs w:val="22"/>
          <w:lang w:val="sr-Latn-ME"/>
        </w:rPr>
        <w:tab/>
      </w:r>
      <w:r w:rsidRPr="009C58C4">
        <w:rPr>
          <w:b/>
          <w:bCs/>
          <w:sz w:val="22"/>
          <w:szCs w:val="22"/>
          <w:lang w:val="sr-Latn-ME"/>
        </w:rPr>
        <w:t>Doziranje i način primjene</w:t>
      </w:r>
    </w:p>
    <w:p w14:paraId="04C96DE2" w14:textId="77777777" w:rsidR="0072020E" w:rsidRPr="009C58C4" w:rsidRDefault="0072020E" w:rsidP="00226369">
      <w:pPr>
        <w:tabs>
          <w:tab w:val="left" w:pos="540"/>
          <w:tab w:val="left" w:pos="569"/>
        </w:tabs>
        <w:jc w:val="both"/>
        <w:rPr>
          <w:bCs/>
          <w:sz w:val="22"/>
          <w:szCs w:val="22"/>
          <w:lang w:val="sr-Latn-ME"/>
        </w:rPr>
      </w:pPr>
    </w:p>
    <w:p w14:paraId="5CCC35D4" w14:textId="5886F08C" w:rsidR="00CA0C50" w:rsidRPr="009C58C4" w:rsidRDefault="007F2563" w:rsidP="00226369">
      <w:pPr>
        <w:jc w:val="both"/>
        <w:rPr>
          <w:sz w:val="22"/>
          <w:szCs w:val="22"/>
          <w:lang w:val="sr-Latn-ME"/>
        </w:rPr>
      </w:pPr>
      <w:r w:rsidRPr="009C58C4">
        <w:rPr>
          <w:sz w:val="22"/>
          <w:szCs w:val="22"/>
          <w:lang w:val="sr-Latn-ME"/>
        </w:rPr>
        <w:t>Liječ</w:t>
      </w:r>
      <w:r w:rsidR="00CA0C50" w:rsidRPr="009C58C4">
        <w:rPr>
          <w:sz w:val="22"/>
          <w:szCs w:val="22"/>
          <w:lang w:val="sr-Latn-ME"/>
        </w:rPr>
        <w:t xml:space="preserve">enje </w:t>
      </w:r>
      <w:r w:rsidRPr="009C58C4">
        <w:rPr>
          <w:sz w:val="22"/>
          <w:szCs w:val="22"/>
          <w:lang w:val="sr-Latn-ME"/>
        </w:rPr>
        <w:t>lijek</w:t>
      </w:r>
      <w:r w:rsidR="00CA0C50" w:rsidRPr="009C58C4">
        <w:rPr>
          <w:sz w:val="22"/>
          <w:szCs w:val="22"/>
          <w:lang w:val="sr-Latn-ME"/>
        </w:rPr>
        <w:t xml:space="preserve">om Spexotras treba da započne i prati kvalifikovani </w:t>
      </w:r>
      <w:r w:rsidRPr="009C58C4">
        <w:rPr>
          <w:sz w:val="22"/>
          <w:szCs w:val="22"/>
          <w:lang w:val="sr-Latn-ME"/>
        </w:rPr>
        <w:t>ljek</w:t>
      </w:r>
      <w:r w:rsidR="00CA0C50" w:rsidRPr="009C58C4">
        <w:rPr>
          <w:sz w:val="22"/>
          <w:szCs w:val="22"/>
          <w:lang w:val="sr-Latn-ME"/>
        </w:rPr>
        <w:t xml:space="preserve">ar koji ima iskustva u </w:t>
      </w:r>
      <w:r w:rsidRPr="009C58C4">
        <w:rPr>
          <w:sz w:val="22"/>
          <w:szCs w:val="22"/>
          <w:lang w:val="sr-Latn-ME"/>
        </w:rPr>
        <w:t>primjen</w:t>
      </w:r>
      <w:r w:rsidR="00CA0C50" w:rsidRPr="009C58C4">
        <w:rPr>
          <w:sz w:val="22"/>
          <w:szCs w:val="22"/>
          <w:lang w:val="sr-Latn-ME"/>
        </w:rPr>
        <w:t xml:space="preserve">i antitumorskih </w:t>
      </w:r>
      <w:r w:rsidRPr="009C58C4">
        <w:rPr>
          <w:sz w:val="22"/>
          <w:szCs w:val="22"/>
          <w:lang w:val="sr-Latn-ME"/>
        </w:rPr>
        <w:t>ljek</w:t>
      </w:r>
      <w:r w:rsidR="00CA0C50" w:rsidRPr="009C58C4">
        <w:rPr>
          <w:sz w:val="22"/>
          <w:szCs w:val="22"/>
          <w:lang w:val="sr-Latn-ME"/>
        </w:rPr>
        <w:t>ova.</w:t>
      </w:r>
    </w:p>
    <w:p w14:paraId="2139E0C2" w14:textId="77777777" w:rsidR="00CA0C50" w:rsidRPr="009C58C4" w:rsidRDefault="00CA0C50" w:rsidP="00226369">
      <w:pPr>
        <w:jc w:val="both"/>
        <w:rPr>
          <w:sz w:val="22"/>
          <w:szCs w:val="22"/>
          <w:lang w:val="sr-Latn-ME"/>
        </w:rPr>
      </w:pPr>
    </w:p>
    <w:p w14:paraId="447024AE" w14:textId="2E180A88" w:rsidR="00CA0C50" w:rsidRPr="009C58C4" w:rsidRDefault="00CA0C50" w:rsidP="00226369">
      <w:pPr>
        <w:jc w:val="both"/>
        <w:rPr>
          <w:sz w:val="22"/>
          <w:szCs w:val="22"/>
          <w:lang w:val="sr-Latn-ME"/>
        </w:rPr>
      </w:pPr>
      <w:r w:rsidRPr="009C58C4">
        <w:rPr>
          <w:sz w:val="22"/>
          <w:szCs w:val="22"/>
          <w:lang w:val="sr-Latn-ME"/>
        </w:rPr>
        <w:t>Pr</w:t>
      </w:r>
      <w:r w:rsidR="007F2563" w:rsidRPr="009C58C4">
        <w:rPr>
          <w:sz w:val="22"/>
          <w:szCs w:val="22"/>
          <w:lang w:val="sr-Latn-ME"/>
        </w:rPr>
        <w:t>ij</w:t>
      </w:r>
      <w:r w:rsidRPr="009C58C4">
        <w:rPr>
          <w:sz w:val="22"/>
          <w:szCs w:val="22"/>
          <w:lang w:val="sr-Latn-ME"/>
        </w:rPr>
        <w:t xml:space="preserve">e </w:t>
      </w:r>
      <w:r w:rsidR="007F2563" w:rsidRPr="009C58C4">
        <w:rPr>
          <w:sz w:val="22"/>
          <w:szCs w:val="22"/>
          <w:lang w:val="sr-Latn-ME"/>
        </w:rPr>
        <w:t>primjene</w:t>
      </w:r>
      <w:r w:rsidRPr="009C58C4">
        <w:rPr>
          <w:sz w:val="22"/>
          <w:szCs w:val="22"/>
          <w:lang w:val="sr-Latn-ME"/>
        </w:rPr>
        <w:t xml:space="preserve"> </w:t>
      </w:r>
      <w:r w:rsidR="007F2563" w:rsidRPr="009C58C4">
        <w:rPr>
          <w:sz w:val="22"/>
          <w:szCs w:val="22"/>
          <w:lang w:val="sr-Latn-ME"/>
        </w:rPr>
        <w:t>lijek</w:t>
      </w:r>
      <w:r w:rsidRPr="009C58C4">
        <w:rPr>
          <w:sz w:val="22"/>
          <w:szCs w:val="22"/>
          <w:lang w:val="sr-Latn-ME"/>
        </w:rPr>
        <w:t xml:space="preserve">a Spexotras, pacijenti moraju imati BRAF V600E mutaciju potvrđenu </w:t>
      </w:r>
      <w:r w:rsidRPr="009C58C4">
        <w:rPr>
          <w:i/>
          <w:iCs/>
          <w:sz w:val="22"/>
          <w:szCs w:val="22"/>
          <w:lang w:val="sr-Latn-ME"/>
        </w:rPr>
        <w:t>in vitro</w:t>
      </w:r>
      <w:r w:rsidRPr="009C58C4">
        <w:rPr>
          <w:sz w:val="22"/>
          <w:szCs w:val="22"/>
          <w:lang w:val="sr-Latn-ME"/>
        </w:rPr>
        <w:t xml:space="preserve"> dijagnostičkim (IVD) medicinskim </w:t>
      </w:r>
      <w:r w:rsidR="00226369" w:rsidRPr="009C58C4">
        <w:rPr>
          <w:sz w:val="22"/>
          <w:szCs w:val="22"/>
          <w:lang w:val="sr-Latn-ME"/>
        </w:rPr>
        <w:t>sredstvom</w:t>
      </w:r>
      <w:r w:rsidRPr="009C58C4">
        <w:rPr>
          <w:sz w:val="22"/>
          <w:szCs w:val="22"/>
          <w:lang w:val="sr-Latn-ME"/>
        </w:rPr>
        <w:t xml:space="preserve"> označenim CE oznakom i odgovarajuće predviđene </w:t>
      </w:r>
      <w:r w:rsidRPr="009C58C4">
        <w:rPr>
          <w:sz w:val="22"/>
          <w:szCs w:val="22"/>
          <w:lang w:val="sr-Latn-ME"/>
        </w:rPr>
        <w:lastRenderedPageBreak/>
        <w:t>nam</w:t>
      </w:r>
      <w:r w:rsidR="007F2563" w:rsidRPr="009C58C4">
        <w:rPr>
          <w:sz w:val="22"/>
          <w:szCs w:val="22"/>
          <w:lang w:val="sr-Latn-ME"/>
        </w:rPr>
        <w:t>j</w:t>
      </w:r>
      <w:r w:rsidRPr="009C58C4">
        <w:rPr>
          <w:sz w:val="22"/>
          <w:szCs w:val="22"/>
          <w:lang w:val="sr-Latn-ME"/>
        </w:rPr>
        <w:t>ene. Ako IVD sa CE oznakom nije dostupan, potvrdu BRAF V600E mutacije treba proc</w:t>
      </w:r>
      <w:r w:rsidR="007F2563" w:rsidRPr="009C58C4">
        <w:rPr>
          <w:sz w:val="22"/>
          <w:szCs w:val="22"/>
          <w:lang w:val="sr-Latn-ME"/>
        </w:rPr>
        <w:t>ij</w:t>
      </w:r>
      <w:r w:rsidRPr="009C58C4">
        <w:rPr>
          <w:sz w:val="22"/>
          <w:szCs w:val="22"/>
          <w:lang w:val="sr-Latn-ME"/>
        </w:rPr>
        <w:t>eniti drugim validiranim testom.</w:t>
      </w:r>
    </w:p>
    <w:p w14:paraId="1D3BF583" w14:textId="77777777" w:rsidR="00CA0C50" w:rsidRPr="009C58C4" w:rsidRDefault="00CA0C50" w:rsidP="00226369">
      <w:pPr>
        <w:jc w:val="both"/>
        <w:rPr>
          <w:sz w:val="22"/>
          <w:szCs w:val="22"/>
          <w:lang w:val="sr-Latn-ME"/>
        </w:rPr>
      </w:pPr>
    </w:p>
    <w:p w14:paraId="20467550" w14:textId="34A9DC29" w:rsidR="00CA0C50" w:rsidRPr="009C58C4" w:rsidRDefault="007F2563" w:rsidP="00226369">
      <w:pPr>
        <w:jc w:val="both"/>
        <w:rPr>
          <w:sz w:val="22"/>
          <w:szCs w:val="22"/>
          <w:lang w:val="sr-Latn-ME"/>
        </w:rPr>
      </w:pPr>
      <w:r w:rsidRPr="009C58C4">
        <w:rPr>
          <w:sz w:val="22"/>
          <w:szCs w:val="22"/>
          <w:lang w:val="sr-Latn-ME"/>
        </w:rPr>
        <w:t>Lijek</w:t>
      </w:r>
      <w:r w:rsidR="00CA0C50" w:rsidRPr="009C58C4">
        <w:rPr>
          <w:sz w:val="22"/>
          <w:szCs w:val="22"/>
          <w:lang w:val="sr-Latn-ME"/>
        </w:rPr>
        <w:t xml:space="preserve"> Spexotras se primjenjuje u kombinaciji s</w:t>
      </w:r>
      <w:r w:rsidR="00226369" w:rsidRPr="009C58C4">
        <w:rPr>
          <w:sz w:val="22"/>
          <w:szCs w:val="22"/>
          <w:lang w:val="sr-Latn-ME"/>
        </w:rPr>
        <w:t>a</w:t>
      </w:r>
      <w:r w:rsidR="00CA0C50" w:rsidRPr="009C58C4">
        <w:rPr>
          <w:sz w:val="22"/>
          <w:szCs w:val="22"/>
          <w:lang w:val="sr-Latn-ME"/>
        </w:rPr>
        <w:t xml:space="preserve"> dabrafenib tabletama za oralnu suspenziju. Pogledati Sažetak karakteristika </w:t>
      </w:r>
      <w:r w:rsidRPr="009C58C4">
        <w:rPr>
          <w:sz w:val="22"/>
          <w:szCs w:val="22"/>
          <w:lang w:val="sr-Latn-ME"/>
        </w:rPr>
        <w:t>lijek</w:t>
      </w:r>
      <w:r w:rsidR="00CA0C50" w:rsidRPr="009C58C4">
        <w:rPr>
          <w:sz w:val="22"/>
          <w:szCs w:val="22"/>
          <w:lang w:val="sr-Latn-ME"/>
        </w:rPr>
        <w:t>a za doziranje dabrafenib tableta za oralnu suspenziju.</w:t>
      </w:r>
    </w:p>
    <w:p w14:paraId="7BE2726F" w14:textId="77777777" w:rsidR="00CA0C50" w:rsidRPr="009C58C4" w:rsidRDefault="00CA0C50" w:rsidP="00226369">
      <w:pPr>
        <w:tabs>
          <w:tab w:val="left" w:pos="540"/>
          <w:tab w:val="left" w:pos="569"/>
        </w:tabs>
        <w:jc w:val="both"/>
        <w:rPr>
          <w:bCs/>
          <w:sz w:val="22"/>
          <w:szCs w:val="22"/>
          <w:u w:val="single"/>
          <w:lang w:val="sr-Latn-ME"/>
        </w:rPr>
      </w:pPr>
    </w:p>
    <w:p w14:paraId="3E893C09" w14:textId="23367991" w:rsidR="00452E9D" w:rsidRPr="009C58C4" w:rsidRDefault="00452E9D" w:rsidP="00226369">
      <w:pPr>
        <w:tabs>
          <w:tab w:val="left" w:pos="540"/>
          <w:tab w:val="left" w:pos="569"/>
        </w:tabs>
        <w:jc w:val="both"/>
        <w:rPr>
          <w:bCs/>
          <w:sz w:val="22"/>
          <w:szCs w:val="22"/>
          <w:u w:val="single"/>
          <w:lang w:val="sr-Latn-ME"/>
        </w:rPr>
      </w:pPr>
      <w:r w:rsidRPr="009C58C4">
        <w:rPr>
          <w:bCs/>
          <w:sz w:val="22"/>
          <w:szCs w:val="22"/>
          <w:u w:val="single"/>
          <w:lang w:val="sr-Latn-ME"/>
        </w:rPr>
        <w:t>Doziranje</w:t>
      </w:r>
    </w:p>
    <w:p w14:paraId="71CA9A82" w14:textId="77777777" w:rsidR="00CA0C50" w:rsidRPr="009C58C4" w:rsidRDefault="00CA0C50" w:rsidP="00226369">
      <w:pPr>
        <w:tabs>
          <w:tab w:val="left" w:pos="540"/>
          <w:tab w:val="left" w:pos="569"/>
        </w:tabs>
        <w:jc w:val="both"/>
        <w:rPr>
          <w:bCs/>
          <w:sz w:val="22"/>
          <w:szCs w:val="22"/>
          <w:u w:val="single"/>
          <w:lang w:val="sr-Latn-ME"/>
        </w:rPr>
      </w:pPr>
    </w:p>
    <w:p w14:paraId="4CD6D1CB" w14:textId="003C03B8" w:rsidR="00CA0C50" w:rsidRPr="009C58C4" w:rsidRDefault="00CA0C50" w:rsidP="00226369">
      <w:pPr>
        <w:autoSpaceDE w:val="0"/>
        <w:autoSpaceDN w:val="0"/>
        <w:adjustRightInd w:val="0"/>
        <w:jc w:val="both"/>
        <w:rPr>
          <w:sz w:val="22"/>
          <w:szCs w:val="22"/>
          <w:lang w:val="sr-Latn-ME"/>
        </w:rPr>
      </w:pPr>
      <w:r w:rsidRPr="009C58C4">
        <w:rPr>
          <w:sz w:val="22"/>
          <w:szCs w:val="22"/>
          <w:lang w:val="sr-Latn-ME"/>
        </w:rPr>
        <w:t xml:space="preserve">Preporučena doza </w:t>
      </w:r>
      <w:r w:rsidR="007F2563" w:rsidRPr="009C58C4">
        <w:rPr>
          <w:sz w:val="22"/>
          <w:szCs w:val="22"/>
          <w:lang w:val="sr-Latn-ME"/>
        </w:rPr>
        <w:t>lijek</w:t>
      </w:r>
      <w:r w:rsidRPr="009C58C4">
        <w:rPr>
          <w:sz w:val="22"/>
          <w:szCs w:val="22"/>
          <w:lang w:val="sr-Latn-ME"/>
        </w:rPr>
        <w:t xml:space="preserve">a Spexotras koja se </w:t>
      </w:r>
      <w:r w:rsidR="007F2563" w:rsidRPr="009C58C4">
        <w:rPr>
          <w:sz w:val="22"/>
          <w:szCs w:val="22"/>
          <w:lang w:val="sr-Latn-ME"/>
        </w:rPr>
        <w:t>primjen</w:t>
      </w:r>
      <w:r w:rsidRPr="009C58C4">
        <w:rPr>
          <w:sz w:val="22"/>
          <w:szCs w:val="22"/>
          <w:lang w:val="sr-Latn-ME"/>
        </w:rPr>
        <w:t>juje jedanput dnevno je određena prema t</w:t>
      </w:r>
      <w:r w:rsidR="00F46CDF" w:rsidRPr="009C58C4">
        <w:rPr>
          <w:sz w:val="22"/>
          <w:szCs w:val="22"/>
          <w:lang w:val="sr-Latn-ME"/>
        </w:rPr>
        <w:t>j</w:t>
      </w:r>
      <w:r w:rsidRPr="009C58C4">
        <w:rPr>
          <w:sz w:val="22"/>
          <w:szCs w:val="22"/>
          <w:lang w:val="sr-Latn-ME"/>
        </w:rPr>
        <w:t>elesnoj masi (Tabela 1).</w:t>
      </w:r>
    </w:p>
    <w:p w14:paraId="683B2DDD" w14:textId="77777777" w:rsidR="00CA0C50" w:rsidRPr="009C58C4" w:rsidRDefault="00CA0C50" w:rsidP="00226369">
      <w:pPr>
        <w:autoSpaceDE w:val="0"/>
        <w:autoSpaceDN w:val="0"/>
        <w:adjustRightInd w:val="0"/>
        <w:jc w:val="both"/>
        <w:rPr>
          <w:sz w:val="22"/>
          <w:szCs w:val="22"/>
          <w:lang w:val="sr-Latn-ME"/>
        </w:rPr>
      </w:pPr>
    </w:p>
    <w:p w14:paraId="415B5E50" w14:textId="5DBF8BE6" w:rsidR="00CA0C50" w:rsidRPr="009C58C4" w:rsidRDefault="00CA0C50" w:rsidP="00226369">
      <w:pPr>
        <w:keepNext/>
        <w:autoSpaceDE w:val="0"/>
        <w:autoSpaceDN w:val="0"/>
        <w:adjustRightInd w:val="0"/>
        <w:jc w:val="both"/>
        <w:rPr>
          <w:b/>
          <w:sz w:val="22"/>
          <w:szCs w:val="22"/>
          <w:lang w:val="sr-Latn-ME"/>
        </w:rPr>
      </w:pPr>
      <w:r w:rsidRPr="009C58C4">
        <w:rPr>
          <w:b/>
          <w:sz w:val="22"/>
          <w:szCs w:val="22"/>
          <w:lang w:val="sr-Latn-ME"/>
        </w:rPr>
        <w:t>Tabela 1</w:t>
      </w:r>
      <w:r w:rsidRPr="009C58C4">
        <w:rPr>
          <w:b/>
          <w:sz w:val="22"/>
          <w:szCs w:val="22"/>
          <w:lang w:val="sr-Latn-ME"/>
        </w:rPr>
        <w:tab/>
        <w:t xml:space="preserve">Režim doziranja prema </w:t>
      </w:r>
      <w:r w:rsidR="00F46CDF" w:rsidRPr="009C58C4">
        <w:rPr>
          <w:b/>
          <w:sz w:val="22"/>
          <w:szCs w:val="22"/>
          <w:lang w:val="sr-Latn-ME"/>
        </w:rPr>
        <w:t>tjeles</w:t>
      </w:r>
      <w:r w:rsidRPr="009C58C4">
        <w:rPr>
          <w:b/>
          <w:sz w:val="22"/>
          <w:szCs w:val="22"/>
          <w:lang w:val="sr-Latn-ME"/>
        </w:rPr>
        <w:t>noj masi</w:t>
      </w:r>
    </w:p>
    <w:p w14:paraId="693DF389" w14:textId="77777777" w:rsidR="00CA0C50" w:rsidRPr="009C58C4" w:rsidRDefault="00CA0C50" w:rsidP="00226369">
      <w:pPr>
        <w:keepNext/>
        <w:autoSpaceDE w:val="0"/>
        <w:autoSpaceDN w:val="0"/>
        <w:adjustRightInd w:val="0"/>
        <w:jc w:val="both"/>
        <w:rPr>
          <w:sz w:val="22"/>
          <w:szCs w:val="22"/>
          <w:lang w:val="sr-Latn-ME"/>
        </w:rPr>
      </w:pPr>
    </w:p>
    <w:tbl>
      <w:tblPr>
        <w:tblW w:w="0" w:type="auto"/>
        <w:tblCellMar>
          <w:left w:w="0" w:type="dxa"/>
          <w:right w:w="0" w:type="dxa"/>
        </w:tblCellMar>
        <w:tblLook w:val="04A0" w:firstRow="1" w:lastRow="0" w:firstColumn="1" w:lastColumn="0" w:noHBand="0" w:noVBand="1"/>
      </w:tblPr>
      <w:tblGrid>
        <w:gridCol w:w="1833"/>
        <w:gridCol w:w="4092"/>
        <w:gridCol w:w="3127"/>
      </w:tblGrid>
      <w:tr w:rsidR="00CA0C50" w:rsidRPr="009C58C4" w14:paraId="7C197AC3" w14:textId="77777777" w:rsidTr="00C87F6C">
        <w:trPr>
          <w:cantSplit/>
        </w:trPr>
        <w:tc>
          <w:tcPr>
            <w:tcW w:w="1833"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8B4ABC2" w14:textId="3CFEF139" w:rsidR="00CA0C50" w:rsidRPr="009C58C4" w:rsidRDefault="00F46CDF" w:rsidP="00226369">
            <w:pPr>
              <w:keepNext/>
              <w:widowControl w:val="0"/>
              <w:jc w:val="both"/>
              <w:rPr>
                <w:rFonts w:eastAsia="Calibri"/>
                <w:b/>
                <w:sz w:val="22"/>
                <w:szCs w:val="22"/>
                <w:lang w:val="sr-Latn-ME"/>
              </w:rPr>
            </w:pPr>
            <w:r w:rsidRPr="009C58C4">
              <w:rPr>
                <w:rFonts w:eastAsia="Calibri"/>
                <w:b/>
                <w:sz w:val="22"/>
                <w:szCs w:val="22"/>
                <w:lang w:val="sr-Latn-ME"/>
              </w:rPr>
              <w:t>Tjeles</w:t>
            </w:r>
            <w:r w:rsidR="00CA0C50" w:rsidRPr="009C58C4">
              <w:rPr>
                <w:rFonts w:eastAsia="Calibri"/>
                <w:b/>
                <w:sz w:val="22"/>
                <w:szCs w:val="22"/>
                <w:lang w:val="sr-Latn-ME"/>
              </w:rPr>
              <w:t>na masa</w:t>
            </w:r>
            <w:r w:rsidR="00CA0C50" w:rsidRPr="009C58C4">
              <w:rPr>
                <w:sz w:val="22"/>
                <w:szCs w:val="22"/>
                <w:lang w:val="sr-Latn-ME"/>
              </w:rPr>
              <w:t>*</w:t>
            </w:r>
          </w:p>
        </w:tc>
        <w:tc>
          <w:tcPr>
            <w:tcW w:w="7219" w:type="dxa"/>
            <w:gridSpan w:val="2"/>
            <w:tcBorders>
              <w:top w:val="single" w:sz="4" w:space="0" w:color="auto"/>
              <w:left w:val="single" w:sz="8" w:space="0" w:color="auto"/>
              <w:bottom w:val="single" w:sz="4" w:space="0" w:color="auto"/>
              <w:right w:val="single" w:sz="8" w:space="0" w:color="auto"/>
            </w:tcBorders>
            <w:vAlign w:val="center"/>
          </w:tcPr>
          <w:p w14:paraId="162DF4EA" w14:textId="77777777" w:rsidR="00CA0C50" w:rsidRPr="009C58C4" w:rsidRDefault="00CA0C50" w:rsidP="00226369">
            <w:pPr>
              <w:keepNext/>
              <w:widowControl w:val="0"/>
              <w:jc w:val="both"/>
              <w:rPr>
                <w:rFonts w:eastAsia="Calibri"/>
                <w:b/>
                <w:sz w:val="22"/>
                <w:szCs w:val="22"/>
                <w:lang w:val="sr-Latn-ME"/>
              </w:rPr>
            </w:pPr>
            <w:r w:rsidRPr="009C58C4">
              <w:rPr>
                <w:rFonts w:eastAsia="Calibri"/>
                <w:b/>
                <w:sz w:val="22"/>
                <w:szCs w:val="22"/>
                <w:lang w:val="sr-Latn-ME"/>
              </w:rPr>
              <w:t>Preporučena doza</w:t>
            </w:r>
          </w:p>
        </w:tc>
      </w:tr>
      <w:tr w:rsidR="00CA0C50" w:rsidRPr="009C58C4" w14:paraId="4579799E" w14:textId="77777777" w:rsidTr="00C87F6C">
        <w:trPr>
          <w:cantSplit/>
        </w:trPr>
        <w:tc>
          <w:tcPr>
            <w:tcW w:w="183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8878F29" w14:textId="77777777" w:rsidR="00CA0C50" w:rsidRPr="009C58C4" w:rsidRDefault="00CA0C50" w:rsidP="00226369">
            <w:pPr>
              <w:keepNext/>
              <w:widowControl w:val="0"/>
              <w:jc w:val="both"/>
              <w:rPr>
                <w:rFonts w:eastAsia="Calibri"/>
                <w:b/>
                <w:sz w:val="22"/>
                <w:szCs w:val="22"/>
                <w:lang w:val="sr-Latn-ME"/>
              </w:rPr>
            </w:pPr>
          </w:p>
        </w:tc>
        <w:tc>
          <w:tcPr>
            <w:tcW w:w="4092" w:type="dxa"/>
            <w:tcBorders>
              <w:top w:val="single" w:sz="4" w:space="0" w:color="auto"/>
              <w:left w:val="single" w:sz="8" w:space="0" w:color="auto"/>
              <w:bottom w:val="single" w:sz="4" w:space="0" w:color="auto"/>
              <w:right w:val="single" w:sz="8" w:space="0" w:color="auto"/>
            </w:tcBorders>
            <w:vAlign w:val="center"/>
          </w:tcPr>
          <w:p w14:paraId="038C0FB5" w14:textId="295BF79D" w:rsidR="00CA0C50" w:rsidRPr="009C58C4" w:rsidRDefault="00226369" w:rsidP="00226369">
            <w:pPr>
              <w:keepNext/>
              <w:widowControl w:val="0"/>
              <w:jc w:val="both"/>
              <w:rPr>
                <w:rFonts w:eastAsia="Calibri"/>
                <w:b/>
                <w:bCs/>
                <w:sz w:val="22"/>
                <w:szCs w:val="22"/>
                <w:lang w:val="sr-Latn-ME"/>
              </w:rPr>
            </w:pPr>
            <w:r w:rsidRPr="009C58C4">
              <w:rPr>
                <w:rFonts w:eastAsia="Calibri"/>
                <w:b/>
                <w:bCs/>
                <w:sz w:val="22"/>
                <w:szCs w:val="22"/>
                <w:lang w:val="sr-Latn-ME"/>
              </w:rPr>
              <w:t>Zapremina</w:t>
            </w:r>
            <w:r w:rsidR="00CA0C50" w:rsidRPr="009C58C4">
              <w:rPr>
                <w:rFonts w:eastAsia="Calibri"/>
                <w:b/>
                <w:bCs/>
                <w:sz w:val="22"/>
                <w:szCs w:val="22"/>
                <w:lang w:val="sr-Latn-ME"/>
              </w:rPr>
              <w:t xml:space="preserve"> oralnog rastvora (m</w:t>
            </w:r>
            <w:r w:rsidR="00B63F16" w:rsidRPr="009C58C4">
              <w:rPr>
                <w:rFonts w:eastAsia="Calibri"/>
                <w:b/>
                <w:bCs/>
                <w:sz w:val="22"/>
                <w:szCs w:val="22"/>
                <w:lang w:val="sr-Latn-ME"/>
              </w:rPr>
              <w:t>l</w:t>
            </w:r>
            <w:r w:rsidR="00CA0C50" w:rsidRPr="009C58C4">
              <w:rPr>
                <w:rFonts w:eastAsia="Calibri"/>
                <w:b/>
                <w:bCs/>
                <w:sz w:val="22"/>
                <w:szCs w:val="22"/>
                <w:lang w:val="sr-Latn-ME"/>
              </w:rPr>
              <w:t>) jedanput dnevno</w:t>
            </w:r>
          </w:p>
        </w:tc>
        <w:tc>
          <w:tcPr>
            <w:tcW w:w="3127" w:type="dxa"/>
            <w:tcBorders>
              <w:top w:val="single" w:sz="4" w:space="0" w:color="auto"/>
              <w:left w:val="single" w:sz="8" w:space="0" w:color="auto"/>
              <w:bottom w:val="single" w:sz="4" w:space="0" w:color="auto"/>
              <w:right w:val="single" w:sz="8" w:space="0" w:color="auto"/>
            </w:tcBorders>
            <w:vAlign w:val="center"/>
          </w:tcPr>
          <w:p w14:paraId="2F435751" w14:textId="77777777" w:rsidR="00CA0C50" w:rsidRPr="009C58C4" w:rsidRDefault="00CA0C50" w:rsidP="00226369">
            <w:pPr>
              <w:keepNext/>
              <w:widowControl w:val="0"/>
              <w:jc w:val="both"/>
              <w:rPr>
                <w:rFonts w:eastAsia="Calibri"/>
                <w:b/>
                <w:bCs/>
                <w:sz w:val="22"/>
                <w:szCs w:val="22"/>
                <w:lang w:val="sr-Latn-ME"/>
              </w:rPr>
            </w:pPr>
            <w:r w:rsidRPr="009C58C4">
              <w:rPr>
                <w:rFonts w:eastAsia="Calibri"/>
                <w:b/>
                <w:bCs/>
                <w:sz w:val="22"/>
                <w:szCs w:val="22"/>
                <w:lang w:val="sr-Latn-ME"/>
              </w:rPr>
              <w:t>odgovara mg trametiniba</w:t>
            </w:r>
          </w:p>
        </w:tc>
      </w:tr>
      <w:tr w:rsidR="00CA0C50" w:rsidRPr="009C58C4" w14:paraId="3864E44C"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03B8F45"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8 kg</w:t>
            </w:r>
          </w:p>
        </w:tc>
        <w:tc>
          <w:tcPr>
            <w:tcW w:w="4092" w:type="dxa"/>
            <w:tcBorders>
              <w:top w:val="single" w:sz="4" w:space="0" w:color="auto"/>
              <w:left w:val="single" w:sz="8" w:space="0" w:color="auto"/>
              <w:bottom w:val="single" w:sz="4" w:space="0" w:color="auto"/>
              <w:right w:val="single" w:sz="8" w:space="0" w:color="auto"/>
            </w:tcBorders>
            <w:vAlign w:val="center"/>
          </w:tcPr>
          <w:p w14:paraId="67F420FB" w14:textId="48D7543D" w:rsidR="00CA0C50" w:rsidRPr="009C58C4" w:rsidRDefault="00CA0C50" w:rsidP="00226369">
            <w:pPr>
              <w:keepNext/>
              <w:widowControl w:val="0"/>
              <w:jc w:val="both"/>
              <w:rPr>
                <w:sz w:val="22"/>
                <w:szCs w:val="22"/>
                <w:lang w:val="sr-Latn-ME"/>
              </w:rPr>
            </w:pPr>
            <w:r w:rsidRPr="009C58C4">
              <w:rPr>
                <w:sz w:val="22"/>
                <w:szCs w:val="22"/>
                <w:lang w:val="sr-Latn-ME"/>
              </w:rPr>
              <w:t>6 m</w:t>
            </w:r>
            <w:r w:rsidR="00B63F16" w:rsidRPr="009C58C4">
              <w:rPr>
                <w:sz w:val="22"/>
                <w:szCs w:val="22"/>
                <w:lang w:val="sr-Latn-ME"/>
              </w:rPr>
              <w:t>l</w:t>
            </w:r>
          </w:p>
        </w:tc>
        <w:tc>
          <w:tcPr>
            <w:tcW w:w="3127" w:type="dxa"/>
            <w:tcBorders>
              <w:top w:val="single" w:sz="4" w:space="0" w:color="auto"/>
              <w:left w:val="single" w:sz="8" w:space="0" w:color="auto"/>
              <w:bottom w:val="single" w:sz="4" w:space="0" w:color="auto"/>
              <w:right w:val="single" w:sz="8" w:space="0" w:color="auto"/>
            </w:tcBorders>
            <w:vAlign w:val="center"/>
          </w:tcPr>
          <w:p w14:paraId="1BA23200" w14:textId="77777777" w:rsidR="00CA0C50" w:rsidRPr="009C58C4" w:rsidRDefault="00CA0C50" w:rsidP="00226369">
            <w:pPr>
              <w:keepNext/>
              <w:widowControl w:val="0"/>
              <w:jc w:val="both"/>
              <w:rPr>
                <w:sz w:val="22"/>
                <w:szCs w:val="22"/>
                <w:lang w:val="sr-Latn-ME"/>
              </w:rPr>
            </w:pPr>
            <w:r w:rsidRPr="009C58C4">
              <w:rPr>
                <w:sz w:val="22"/>
                <w:szCs w:val="22"/>
                <w:lang w:val="sr-Latn-ME"/>
              </w:rPr>
              <w:t>0,30 mg</w:t>
            </w:r>
          </w:p>
        </w:tc>
      </w:tr>
      <w:tr w:rsidR="00CA0C50" w:rsidRPr="009C58C4" w14:paraId="7735C3E0"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196F73A"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9 do 10 kg</w:t>
            </w:r>
          </w:p>
        </w:tc>
        <w:tc>
          <w:tcPr>
            <w:tcW w:w="4092" w:type="dxa"/>
            <w:tcBorders>
              <w:top w:val="single" w:sz="4" w:space="0" w:color="auto"/>
              <w:left w:val="single" w:sz="8" w:space="0" w:color="auto"/>
              <w:bottom w:val="single" w:sz="4" w:space="0" w:color="auto"/>
              <w:right w:val="single" w:sz="8" w:space="0" w:color="auto"/>
            </w:tcBorders>
            <w:vAlign w:val="center"/>
          </w:tcPr>
          <w:p w14:paraId="679727B6" w14:textId="094968E7" w:rsidR="00CA0C50" w:rsidRPr="009C58C4" w:rsidRDefault="00CA0C50" w:rsidP="00226369">
            <w:pPr>
              <w:keepNext/>
              <w:widowControl w:val="0"/>
              <w:jc w:val="both"/>
              <w:rPr>
                <w:sz w:val="22"/>
                <w:szCs w:val="22"/>
                <w:lang w:val="sr-Latn-ME"/>
              </w:rPr>
            </w:pPr>
            <w:r w:rsidRPr="009C58C4">
              <w:rPr>
                <w:sz w:val="22"/>
                <w:szCs w:val="22"/>
                <w:lang w:val="sr-Latn-ME"/>
              </w:rPr>
              <w:t>7 m</w:t>
            </w:r>
            <w:r w:rsidR="00B63F16" w:rsidRPr="009C58C4">
              <w:rPr>
                <w:sz w:val="22"/>
                <w:szCs w:val="22"/>
                <w:lang w:val="sr-Latn-ME"/>
              </w:rPr>
              <w:t>l</w:t>
            </w:r>
          </w:p>
        </w:tc>
        <w:tc>
          <w:tcPr>
            <w:tcW w:w="3127" w:type="dxa"/>
            <w:tcBorders>
              <w:top w:val="single" w:sz="4" w:space="0" w:color="auto"/>
              <w:left w:val="single" w:sz="8" w:space="0" w:color="auto"/>
              <w:bottom w:val="single" w:sz="4" w:space="0" w:color="auto"/>
              <w:right w:val="single" w:sz="8" w:space="0" w:color="auto"/>
            </w:tcBorders>
            <w:vAlign w:val="center"/>
          </w:tcPr>
          <w:p w14:paraId="2CDB6170" w14:textId="77777777" w:rsidR="00CA0C50" w:rsidRPr="009C58C4" w:rsidRDefault="00CA0C50" w:rsidP="00226369">
            <w:pPr>
              <w:keepNext/>
              <w:widowControl w:val="0"/>
              <w:jc w:val="both"/>
              <w:rPr>
                <w:sz w:val="22"/>
                <w:szCs w:val="22"/>
                <w:lang w:val="sr-Latn-ME"/>
              </w:rPr>
            </w:pPr>
            <w:r w:rsidRPr="009C58C4">
              <w:rPr>
                <w:sz w:val="22"/>
                <w:szCs w:val="22"/>
                <w:lang w:val="sr-Latn-ME"/>
              </w:rPr>
              <w:t>0,35 mg</w:t>
            </w:r>
          </w:p>
        </w:tc>
      </w:tr>
      <w:tr w:rsidR="00CA0C50" w:rsidRPr="009C58C4" w14:paraId="5D0F17A4"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4A85F6F"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11 kg</w:t>
            </w:r>
          </w:p>
        </w:tc>
        <w:tc>
          <w:tcPr>
            <w:tcW w:w="4092" w:type="dxa"/>
            <w:tcBorders>
              <w:top w:val="single" w:sz="4" w:space="0" w:color="auto"/>
              <w:left w:val="single" w:sz="8" w:space="0" w:color="auto"/>
              <w:bottom w:val="single" w:sz="4" w:space="0" w:color="auto"/>
              <w:right w:val="single" w:sz="8" w:space="0" w:color="auto"/>
            </w:tcBorders>
            <w:vAlign w:val="center"/>
          </w:tcPr>
          <w:p w14:paraId="2A62174B" w14:textId="1743F7C7" w:rsidR="00CA0C50" w:rsidRPr="009C58C4" w:rsidRDefault="00CA0C50" w:rsidP="00226369">
            <w:pPr>
              <w:keepNext/>
              <w:widowControl w:val="0"/>
              <w:jc w:val="both"/>
              <w:rPr>
                <w:sz w:val="22"/>
                <w:szCs w:val="22"/>
                <w:lang w:val="sr-Latn-ME"/>
              </w:rPr>
            </w:pPr>
            <w:r w:rsidRPr="009C58C4">
              <w:rPr>
                <w:sz w:val="22"/>
                <w:szCs w:val="22"/>
                <w:lang w:val="sr-Latn-ME"/>
              </w:rPr>
              <w:t>8 m</w:t>
            </w:r>
            <w:r w:rsidR="00B63F16" w:rsidRPr="009C58C4">
              <w:rPr>
                <w:sz w:val="22"/>
                <w:szCs w:val="22"/>
                <w:lang w:val="sr-Latn-ME"/>
              </w:rPr>
              <w:t>l</w:t>
            </w:r>
          </w:p>
        </w:tc>
        <w:tc>
          <w:tcPr>
            <w:tcW w:w="3127" w:type="dxa"/>
            <w:tcBorders>
              <w:top w:val="single" w:sz="4" w:space="0" w:color="auto"/>
              <w:left w:val="single" w:sz="8" w:space="0" w:color="auto"/>
              <w:bottom w:val="single" w:sz="4" w:space="0" w:color="auto"/>
              <w:right w:val="single" w:sz="8" w:space="0" w:color="auto"/>
            </w:tcBorders>
            <w:vAlign w:val="center"/>
          </w:tcPr>
          <w:p w14:paraId="1024564A" w14:textId="77777777" w:rsidR="00CA0C50" w:rsidRPr="009C58C4" w:rsidRDefault="00CA0C50" w:rsidP="00226369">
            <w:pPr>
              <w:keepNext/>
              <w:widowControl w:val="0"/>
              <w:jc w:val="both"/>
              <w:rPr>
                <w:sz w:val="22"/>
                <w:szCs w:val="22"/>
                <w:lang w:val="sr-Latn-ME"/>
              </w:rPr>
            </w:pPr>
            <w:r w:rsidRPr="009C58C4">
              <w:rPr>
                <w:sz w:val="22"/>
                <w:szCs w:val="22"/>
                <w:lang w:val="sr-Latn-ME"/>
              </w:rPr>
              <w:t>0,40 mg</w:t>
            </w:r>
          </w:p>
        </w:tc>
      </w:tr>
      <w:tr w:rsidR="00CA0C50" w:rsidRPr="009C58C4" w14:paraId="47A2C515"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0AE8B7"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12 do 13 kg</w:t>
            </w:r>
          </w:p>
        </w:tc>
        <w:tc>
          <w:tcPr>
            <w:tcW w:w="4092" w:type="dxa"/>
            <w:tcBorders>
              <w:top w:val="single" w:sz="4" w:space="0" w:color="auto"/>
              <w:left w:val="single" w:sz="8" w:space="0" w:color="auto"/>
              <w:bottom w:val="single" w:sz="4" w:space="0" w:color="auto"/>
              <w:right w:val="single" w:sz="8" w:space="0" w:color="auto"/>
            </w:tcBorders>
            <w:vAlign w:val="center"/>
          </w:tcPr>
          <w:p w14:paraId="688E6ACD" w14:textId="51DB4F54" w:rsidR="00CA0C50" w:rsidRPr="009C58C4" w:rsidRDefault="00CA0C50" w:rsidP="00226369">
            <w:pPr>
              <w:keepNext/>
              <w:widowControl w:val="0"/>
              <w:jc w:val="both"/>
              <w:rPr>
                <w:sz w:val="22"/>
                <w:szCs w:val="22"/>
                <w:lang w:val="sr-Latn-ME"/>
              </w:rPr>
            </w:pPr>
            <w:r w:rsidRPr="009C58C4">
              <w:rPr>
                <w:sz w:val="22"/>
                <w:szCs w:val="22"/>
                <w:lang w:val="sr-Latn-ME"/>
              </w:rPr>
              <w:t>9 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3AA42EC3" w14:textId="77777777" w:rsidR="00CA0C50" w:rsidRPr="009C58C4" w:rsidRDefault="00CA0C50" w:rsidP="00226369">
            <w:pPr>
              <w:keepNext/>
              <w:widowControl w:val="0"/>
              <w:jc w:val="both"/>
              <w:rPr>
                <w:sz w:val="22"/>
                <w:szCs w:val="22"/>
                <w:lang w:val="sr-Latn-ME"/>
              </w:rPr>
            </w:pPr>
            <w:r w:rsidRPr="009C58C4">
              <w:rPr>
                <w:sz w:val="22"/>
                <w:szCs w:val="22"/>
                <w:lang w:val="sr-Latn-ME"/>
              </w:rPr>
              <w:t>0,45 mg</w:t>
            </w:r>
          </w:p>
        </w:tc>
      </w:tr>
      <w:tr w:rsidR="00CA0C50" w:rsidRPr="009C58C4" w14:paraId="198FC50B"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A6F9317"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14 do 17 kg</w:t>
            </w:r>
          </w:p>
        </w:tc>
        <w:tc>
          <w:tcPr>
            <w:tcW w:w="4092" w:type="dxa"/>
            <w:tcBorders>
              <w:top w:val="single" w:sz="4" w:space="0" w:color="auto"/>
              <w:left w:val="single" w:sz="8" w:space="0" w:color="auto"/>
              <w:bottom w:val="single" w:sz="4" w:space="0" w:color="auto"/>
              <w:right w:val="single" w:sz="8" w:space="0" w:color="auto"/>
            </w:tcBorders>
            <w:vAlign w:val="center"/>
          </w:tcPr>
          <w:p w14:paraId="356AB8BD" w14:textId="587C573D" w:rsidR="00CA0C50" w:rsidRPr="009C58C4" w:rsidRDefault="00CA0C50" w:rsidP="00226369">
            <w:pPr>
              <w:keepNext/>
              <w:widowControl w:val="0"/>
              <w:jc w:val="both"/>
              <w:rPr>
                <w:sz w:val="22"/>
                <w:szCs w:val="22"/>
                <w:lang w:val="sr-Latn-ME"/>
              </w:rPr>
            </w:pPr>
            <w:r w:rsidRPr="009C58C4">
              <w:rPr>
                <w:sz w:val="22"/>
                <w:szCs w:val="22"/>
                <w:lang w:val="sr-Latn-ME"/>
              </w:rPr>
              <w:t>11 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5A3E0D44" w14:textId="77777777" w:rsidR="00CA0C50" w:rsidRPr="009C58C4" w:rsidRDefault="00CA0C50" w:rsidP="00226369">
            <w:pPr>
              <w:keepNext/>
              <w:widowControl w:val="0"/>
              <w:jc w:val="both"/>
              <w:rPr>
                <w:sz w:val="22"/>
                <w:szCs w:val="22"/>
                <w:lang w:val="sr-Latn-ME"/>
              </w:rPr>
            </w:pPr>
            <w:r w:rsidRPr="009C58C4">
              <w:rPr>
                <w:sz w:val="22"/>
                <w:szCs w:val="22"/>
                <w:lang w:val="sr-Latn-ME"/>
              </w:rPr>
              <w:t>0,55 mg</w:t>
            </w:r>
          </w:p>
        </w:tc>
      </w:tr>
      <w:tr w:rsidR="00CA0C50" w:rsidRPr="009C58C4" w14:paraId="19D0B390"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B86FA95"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18 do 21 kg</w:t>
            </w:r>
          </w:p>
        </w:tc>
        <w:tc>
          <w:tcPr>
            <w:tcW w:w="4092" w:type="dxa"/>
            <w:tcBorders>
              <w:top w:val="single" w:sz="4" w:space="0" w:color="auto"/>
              <w:left w:val="single" w:sz="8" w:space="0" w:color="auto"/>
              <w:bottom w:val="single" w:sz="4" w:space="0" w:color="auto"/>
              <w:right w:val="single" w:sz="8" w:space="0" w:color="auto"/>
            </w:tcBorders>
            <w:vAlign w:val="center"/>
          </w:tcPr>
          <w:p w14:paraId="4447F9D3" w14:textId="67C12254" w:rsidR="00CA0C50" w:rsidRPr="009C58C4" w:rsidRDefault="00CA0C50" w:rsidP="00226369">
            <w:pPr>
              <w:keepNext/>
              <w:widowControl w:val="0"/>
              <w:jc w:val="both"/>
              <w:rPr>
                <w:sz w:val="22"/>
                <w:szCs w:val="22"/>
                <w:lang w:val="sr-Latn-ME"/>
              </w:rPr>
            </w:pPr>
            <w:r w:rsidRPr="009C58C4">
              <w:rPr>
                <w:sz w:val="22"/>
                <w:szCs w:val="22"/>
                <w:lang w:val="sr-Latn-ME"/>
              </w:rPr>
              <w:t>14 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1847E960" w14:textId="77777777" w:rsidR="00CA0C50" w:rsidRPr="009C58C4" w:rsidRDefault="00CA0C50" w:rsidP="00226369">
            <w:pPr>
              <w:keepNext/>
              <w:widowControl w:val="0"/>
              <w:jc w:val="both"/>
              <w:rPr>
                <w:sz w:val="22"/>
                <w:szCs w:val="22"/>
                <w:lang w:val="sr-Latn-ME"/>
              </w:rPr>
            </w:pPr>
            <w:r w:rsidRPr="009C58C4">
              <w:rPr>
                <w:sz w:val="22"/>
                <w:szCs w:val="22"/>
                <w:lang w:val="sr-Latn-ME"/>
              </w:rPr>
              <w:t>0,70 mg</w:t>
            </w:r>
          </w:p>
        </w:tc>
      </w:tr>
      <w:tr w:rsidR="00CA0C50" w:rsidRPr="009C58C4" w14:paraId="0609DAC0"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6854AD0"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22 do 25 kg</w:t>
            </w:r>
          </w:p>
        </w:tc>
        <w:tc>
          <w:tcPr>
            <w:tcW w:w="4092" w:type="dxa"/>
            <w:tcBorders>
              <w:top w:val="single" w:sz="4" w:space="0" w:color="auto"/>
              <w:left w:val="single" w:sz="8" w:space="0" w:color="auto"/>
              <w:bottom w:val="single" w:sz="4" w:space="0" w:color="auto"/>
              <w:right w:val="single" w:sz="8" w:space="0" w:color="auto"/>
            </w:tcBorders>
            <w:vAlign w:val="center"/>
          </w:tcPr>
          <w:p w14:paraId="729413E8" w14:textId="29534194" w:rsidR="00CA0C50" w:rsidRPr="009C58C4" w:rsidRDefault="00CA0C50" w:rsidP="00226369">
            <w:pPr>
              <w:keepNext/>
              <w:widowControl w:val="0"/>
              <w:jc w:val="both"/>
              <w:rPr>
                <w:sz w:val="22"/>
                <w:szCs w:val="22"/>
                <w:lang w:val="sr-Latn-ME"/>
              </w:rPr>
            </w:pPr>
            <w:r w:rsidRPr="009C58C4">
              <w:rPr>
                <w:sz w:val="22"/>
                <w:szCs w:val="22"/>
                <w:lang w:val="sr-Latn-ME"/>
              </w:rPr>
              <w:t>17 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35CC9F59" w14:textId="77777777" w:rsidR="00CA0C50" w:rsidRPr="009C58C4" w:rsidRDefault="00CA0C50" w:rsidP="00226369">
            <w:pPr>
              <w:keepNext/>
              <w:widowControl w:val="0"/>
              <w:jc w:val="both"/>
              <w:rPr>
                <w:sz w:val="22"/>
                <w:szCs w:val="22"/>
                <w:lang w:val="sr-Latn-ME"/>
              </w:rPr>
            </w:pPr>
            <w:r w:rsidRPr="009C58C4">
              <w:rPr>
                <w:sz w:val="22"/>
                <w:szCs w:val="22"/>
                <w:lang w:val="sr-Latn-ME"/>
              </w:rPr>
              <w:t>0,85 mg</w:t>
            </w:r>
          </w:p>
        </w:tc>
      </w:tr>
      <w:tr w:rsidR="00CA0C50" w:rsidRPr="009C58C4" w14:paraId="39F84754"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3199AD1"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26 do 29 kg</w:t>
            </w:r>
          </w:p>
        </w:tc>
        <w:tc>
          <w:tcPr>
            <w:tcW w:w="4092" w:type="dxa"/>
            <w:tcBorders>
              <w:top w:val="single" w:sz="4" w:space="0" w:color="auto"/>
              <w:left w:val="single" w:sz="8" w:space="0" w:color="auto"/>
              <w:bottom w:val="single" w:sz="4" w:space="0" w:color="auto"/>
              <w:right w:val="single" w:sz="8" w:space="0" w:color="auto"/>
            </w:tcBorders>
            <w:vAlign w:val="center"/>
          </w:tcPr>
          <w:p w14:paraId="48551E10" w14:textId="1156EA97" w:rsidR="00CA0C50" w:rsidRPr="009C58C4" w:rsidRDefault="00CA0C50" w:rsidP="00226369">
            <w:pPr>
              <w:keepNext/>
              <w:widowControl w:val="0"/>
              <w:jc w:val="both"/>
              <w:rPr>
                <w:sz w:val="22"/>
                <w:szCs w:val="22"/>
                <w:lang w:val="sr-Latn-ME"/>
              </w:rPr>
            </w:pPr>
            <w:r w:rsidRPr="009C58C4">
              <w:rPr>
                <w:sz w:val="22"/>
                <w:szCs w:val="22"/>
                <w:lang w:val="sr-Latn-ME"/>
              </w:rPr>
              <w:t>18 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046F395D" w14:textId="77777777" w:rsidR="00CA0C50" w:rsidRPr="009C58C4" w:rsidRDefault="00CA0C50" w:rsidP="00226369">
            <w:pPr>
              <w:keepNext/>
              <w:widowControl w:val="0"/>
              <w:jc w:val="both"/>
              <w:rPr>
                <w:sz w:val="22"/>
                <w:szCs w:val="22"/>
                <w:lang w:val="sr-Latn-ME"/>
              </w:rPr>
            </w:pPr>
            <w:r w:rsidRPr="009C58C4">
              <w:rPr>
                <w:sz w:val="22"/>
                <w:szCs w:val="22"/>
                <w:lang w:val="sr-Latn-ME"/>
              </w:rPr>
              <w:t>0,90 mg</w:t>
            </w:r>
          </w:p>
        </w:tc>
      </w:tr>
      <w:tr w:rsidR="00CA0C50" w:rsidRPr="009C58C4" w14:paraId="77793101"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4D5313E"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30 do 33 kg</w:t>
            </w:r>
          </w:p>
        </w:tc>
        <w:tc>
          <w:tcPr>
            <w:tcW w:w="4092" w:type="dxa"/>
            <w:tcBorders>
              <w:top w:val="single" w:sz="4" w:space="0" w:color="auto"/>
              <w:left w:val="single" w:sz="8" w:space="0" w:color="auto"/>
              <w:bottom w:val="single" w:sz="4" w:space="0" w:color="auto"/>
              <w:right w:val="single" w:sz="8" w:space="0" w:color="auto"/>
            </w:tcBorders>
            <w:vAlign w:val="center"/>
          </w:tcPr>
          <w:p w14:paraId="01CED532" w14:textId="123BDA01" w:rsidR="00CA0C50" w:rsidRPr="009C58C4" w:rsidRDefault="00CA0C50" w:rsidP="00226369">
            <w:pPr>
              <w:keepNext/>
              <w:widowControl w:val="0"/>
              <w:jc w:val="both"/>
              <w:rPr>
                <w:sz w:val="22"/>
                <w:szCs w:val="22"/>
                <w:lang w:val="sr-Latn-ME"/>
              </w:rPr>
            </w:pPr>
            <w:r w:rsidRPr="009C58C4">
              <w:rPr>
                <w:sz w:val="22"/>
                <w:szCs w:val="22"/>
                <w:lang w:val="sr-Latn-ME"/>
              </w:rPr>
              <w:t>20 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76D57F15" w14:textId="77777777" w:rsidR="00CA0C50" w:rsidRPr="009C58C4" w:rsidRDefault="00CA0C50" w:rsidP="00226369">
            <w:pPr>
              <w:keepNext/>
              <w:widowControl w:val="0"/>
              <w:jc w:val="both"/>
              <w:rPr>
                <w:sz w:val="22"/>
                <w:szCs w:val="22"/>
                <w:lang w:val="sr-Latn-ME"/>
              </w:rPr>
            </w:pPr>
            <w:r w:rsidRPr="009C58C4">
              <w:rPr>
                <w:sz w:val="22"/>
                <w:szCs w:val="22"/>
                <w:lang w:val="sr-Latn-ME"/>
              </w:rPr>
              <w:t>1 mg</w:t>
            </w:r>
          </w:p>
        </w:tc>
      </w:tr>
      <w:tr w:rsidR="00CA0C50" w:rsidRPr="009C58C4" w14:paraId="1AC86844"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F59E52D"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34 do 37 kg</w:t>
            </w:r>
          </w:p>
        </w:tc>
        <w:tc>
          <w:tcPr>
            <w:tcW w:w="4092" w:type="dxa"/>
            <w:tcBorders>
              <w:top w:val="single" w:sz="4" w:space="0" w:color="auto"/>
              <w:left w:val="single" w:sz="8" w:space="0" w:color="auto"/>
              <w:bottom w:val="single" w:sz="4" w:space="0" w:color="auto"/>
              <w:right w:val="single" w:sz="8" w:space="0" w:color="auto"/>
            </w:tcBorders>
            <w:vAlign w:val="center"/>
          </w:tcPr>
          <w:p w14:paraId="36B9EC41" w14:textId="7EE9BE2B" w:rsidR="00CA0C50" w:rsidRPr="009C58C4" w:rsidRDefault="00CA0C50" w:rsidP="00226369">
            <w:pPr>
              <w:keepNext/>
              <w:widowControl w:val="0"/>
              <w:jc w:val="both"/>
              <w:rPr>
                <w:sz w:val="22"/>
                <w:szCs w:val="22"/>
                <w:lang w:val="sr-Latn-ME"/>
              </w:rPr>
            </w:pPr>
            <w:r w:rsidRPr="009C58C4">
              <w:rPr>
                <w:sz w:val="22"/>
                <w:szCs w:val="22"/>
                <w:lang w:val="sr-Latn-ME"/>
              </w:rPr>
              <w:t>23 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15A94BAA" w14:textId="77777777" w:rsidR="00CA0C50" w:rsidRPr="009C58C4" w:rsidRDefault="00CA0C50" w:rsidP="00226369">
            <w:pPr>
              <w:keepNext/>
              <w:widowControl w:val="0"/>
              <w:jc w:val="both"/>
              <w:rPr>
                <w:sz w:val="22"/>
                <w:szCs w:val="22"/>
                <w:lang w:val="sr-Latn-ME"/>
              </w:rPr>
            </w:pPr>
            <w:r w:rsidRPr="009C58C4">
              <w:rPr>
                <w:sz w:val="22"/>
                <w:szCs w:val="22"/>
                <w:lang w:val="sr-Latn-ME"/>
              </w:rPr>
              <w:t>1,15 mg</w:t>
            </w:r>
          </w:p>
        </w:tc>
      </w:tr>
      <w:tr w:rsidR="00CA0C50" w:rsidRPr="009C58C4" w14:paraId="07B43934"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54B253"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38 do 41 kg</w:t>
            </w:r>
          </w:p>
        </w:tc>
        <w:tc>
          <w:tcPr>
            <w:tcW w:w="4092" w:type="dxa"/>
            <w:tcBorders>
              <w:top w:val="single" w:sz="4" w:space="0" w:color="auto"/>
              <w:left w:val="single" w:sz="8" w:space="0" w:color="auto"/>
              <w:bottom w:val="single" w:sz="4" w:space="0" w:color="auto"/>
              <w:right w:val="single" w:sz="8" w:space="0" w:color="auto"/>
            </w:tcBorders>
            <w:vAlign w:val="center"/>
          </w:tcPr>
          <w:p w14:paraId="6D49E7C7" w14:textId="4DD71F80" w:rsidR="00CA0C50" w:rsidRPr="009C58C4" w:rsidRDefault="00CA0C50" w:rsidP="00226369">
            <w:pPr>
              <w:keepNext/>
              <w:widowControl w:val="0"/>
              <w:jc w:val="both"/>
              <w:rPr>
                <w:sz w:val="22"/>
                <w:szCs w:val="22"/>
                <w:lang w:val="sr-Latn-ME"/>
              </w:rPr>
            </w:pPr>
            <w:r w:rsidRPr="009C58C4">
              <w:rPr>
                <w:sz w:val="22"/>
                <w:szCs w:val="22"/>
                <w:lang w:val="sr-Latn-ME"/>
              </w:rPr>
              <w:t>25 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474D9E06" w14:textId="77777777" w:rsidR="00CA0C50" w:rsidRPr="009C58C4" w:rsidRDefault="00CA0C50" w:rsidP="00226369">
            <w:pPr>
              <w:keepNext/>
              <w:widowControl w:val="0"/>
              <w:jc w:val="both"/>
              <w:rPr>
                <w:sz w:val="22"/>
                <w:szCs w:val="22"/>
                <w:lang w:val="sr-Latn-ME"/>
              </w:rPr>
            </w:pPr>
            <w:r w:rsidRPr="009C58C4">
              <w:rPr>
                <w:sz w:val="22"/>
                <w:szCs w:val="22"/>
                <w:lang w:val="sr-Latn-ME"/>
              </w:rPr>
              <w:t>1,25 mg</w:t>
            </w:r>
          </w:p>
        </w:tc>
      </w:tr>
      <w:tr w:rsidR="00CA0C50" w:rsidRPr="009C58C4" w14:paraId="41AABA3E"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8033E62"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42 do 45 kg</w:t>
            </w:r>
          </w:p>
        </w:tc>
        <w:tc>
          <w:tcPr>
            <w:tcW w:w="4092" w:type="dxa"/>
            <w:tcBorders>
              <w:top w:val="single" w:sz="4" w:space="0" w:color="auto"/>
              <w:left w:val="single" w:sz="8" w:space="0" w:color="auto"/>
              <w:bottom w:val="single" w:sz="4" w:space="0" w:color="auto"/>
              <w:right w:val="single" w:sz="8" w:space="0" w:color="auto"/>
            </w:tcBorders>
            <w:vAlign w:val="center"/>
          </w:tcPr>
          <w:p w14:paraId="1F7CFBD0" w14:textId="495DA744" w:rsidR="00CA0C50" w:rsidRPr="009C58C4" w:rsidRDefault="00CA0C50" w:rsidP="00226369">
            <w:pPr>
              <w:keepNext/>
              <w:widowControl w:val="0"/>
              <w:jc w:val="both"/>
              <w:rPr>
                <w:sz w:val="22"/>
                <w:szCs w:val="22"/>
                <w:lang w:val="sr-Latn-ME"/>
              </w:rPr>
            </w:pPr>
            <w:r w:rsidRPr="009C58C4">
              <w:rPr>
                <w:sz w:val="22"/>
                <w:szCs w:val="22"/>
                <w:lang w:val="sr-Latn-ME"/>
              </w:rPr>
              <w:t>28 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18D5159C" w14:textId="77777777" w:rsidR="00CA0C50" w:rsidRPr="009C58C4" w:rsidRDefault="00CA0C50" w:rsidP="00226369">
            <w:pPr>
              <w:keepNext/>
              <w:widowControl w:val="0"/>
              <w:jc w:val="both"/>
              <w:rPr>
                <w:sz w:val="22"/>
                <w:szCs w:val="22"/>
                <w:lang w:val="sr-Latn-ME"/>
              </w:rPr>
            </w:pPr>
            <w:r w:rsidRPr="009C58C4">
              <w:rPr>
                <w:sz w:val="22"/>
                <w:szCs w:val="22"/>
                <w:lang w:val="sr-Latn-ME"/>
              </w:rPr>
              <w:t>1,40 mg</w:t>
            </w:r>
          </w:p>
        </w:tc>
      </w:tr>
      <w:tr w:rsidR="00CA0C50" w:rsidRPr="009C58C4" w14:paraId="760DB1CF"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7BBAF"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46 do 50 kg</w:t>
            </w:r>
          </w:p>
        </w:tc>
        <w:tc>
          <w:tcPr>
            <w:tcW w:w="4092" w:type="dxa"/>
            <w:tcBorders>
              <w:top w:val="single" w:sz="4" w:space="0" w:color="auto"/>
              <w:left w:val="single" w:sz="8" w:space="0" w:color="auto"/>
              <w:bottom w:val="single" w:sz="4" w:space="0" w:color="auto"/>
              <w:right w:val="single" w:sz="8" w:space="0" w:color="auto"/>
            </w:tcBorders>
            <w:vAlign w:val="center"/>
          </w:tcPr>
          <w:p w14:paraId="1CA7F647" w14:textId="36F1BA1B" w:rsidR="00CA0C50" w:rsidRPr="009C58C4" w:rsidRDefault="00CA0C50" w:rsidP="00226369">
            <w:pPr>
              <w:keepNext/>
              <w:widowControl w:val="0"/>
              <w:jc w:val="both"/>
              <w:rPr>
                <w:sz w:val="22"/>
                <w:szCs w:val="22"/>
                <w:lang w:val="sr-Latn-ME"/>
              </w:rPr>
            </w:pPr>
            <w:r w:rsidRPr="009C58C4">
              <w:rPr>
                <w:sz w:val="22"/>
                <w:szCs w:val="22"/>
                <w:lang w:val="sr-Latn-ME"/>
              </w:rPr>
              <w:t>32 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729FC321" w14:textId="77777777" w:rsidR="00CA0C50" w:rsidRPr="009C58C4" w:rsidRDefault="00CA0C50" w:rsidP="00226369">
            <w:pPr>
              <w:keepNext/>
              <w:widowControl w:val="0"/>
              <w:jc w:val="both"/>
              <w:rPr>
                <w:sz w:val="22"/>
                <w:szCs w:val="22"/>
                <w:lang w:val="sr-Latn-ME"/>
              </w:rPr>
            </w:pPr>
            <w:r w:rsidRPr="009C58C4">
              <w:rPr>
                <w:sz w:val="22"/>
                <w:szCs w:val="22"/>
                <w:lang w:val="sr-Latn-ME"/>
              </w:rPr>
              <w:t>1,60 mg</w:t>
            </w:r>
          </w:p>
        </w:tc>
      </w:tr>
      <w:tr w:rsidR="00CA0C50" w:rsidRPr="009C58C4" w14:paraId="41B485AB" w14:textId="77777777" w:rsidTr="00C87F6C">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66B56E7" w14:textId="77777777" w:rsidR="00CA0C50" w:rsidRPr="009C58C4" w:rsidRDefault="00CA0C50" w:rsidP="00226369">
            <w:pPr>
              <w:keepNext/>
              <w:widowControl w:val="0"/>
              <w:jc w:val="both"/>
              <w:rPr>
                <w:rFonts w:eastAsia="Calibri"/>
                <w:sz w:val="22"/>
                <w:szCs w:val="22"/>
                <w:lang w:val="sr-Latn-ME"/>
              </w:rPr>
            </w:pPr>
            <w:r w:rsidRPr="009C58C4">
              <w:rPr>
                <w:rFonts w:eastAsia="Calibri"/>
                <w:sz w:val="22"/>
                <w:szCs w:val="22"/>
                <w:lang w:val="sr-Latn-ME"/>
              </w:rPr>
              <w:t>≥ 51 kg</w:t>
            </w:r>
          </w:p>
        </w:tc>
        <w:tc>
          <w:tcPr>
            <w:tcW w:w="4092" w:type="dxa"/>
            <w:tcBorders>
              <w:top w:val="single" w:sz="4" w:space="0" w:color="auto"/>
              <w:left w:val="single" w:sz="8" w:space="0" w:color="auto"/>
              <w:bottom w:val="single" w:sz="4" w:space="0" w:color="auto"/>
              <w:right w:val="single" w:sz="8" w:space="0" w:color="auto"/>
            </w:tcBorders>
            <w:vAlign w:val="center"/>
          </w:tcPr>
          <w:p w14:paraId="5EF18367" w14:textId="533003CB" w:rsidR="00CA0C50" w:rsidRPr="009C58C4" w:rsidRDefault="00CA0C50" w:rsidP="00226369">
            <w:pPr>
              <w:keepNext/>
              <w:widowControl w:val="0"/>
              <w:jc w:val="both"/>
              <w:rPr>
                <w:sz w:val="22"/>
                <w:szCs w:val="22"/>
                <w:lang w:val="sr-Latn-ME"/>
              </w:rPr>
            </w:pPr>
            <w:r w:rsidRPr="009C58C4">
              <w:rPr>
                <w:sz w:val="22"/>
                <w:szCs w:val="22"/>
                <w:lang w:val="sr-Latn-ME"/>
              </w:rPr>
              <w:t>40 </w:t>
            </w:r>
            <w:r w:rsidR="006656BE" w:rsidRPr="009C58C4">
              <w:rPr>
                <w:sz w:val="22"/>
                <w:szCs w:val="22"/>
                <w:lang w:val="sr-Latn-ME"/>
              </w:rPr>
              <w:t>ml</w:t>
            </w:r>
          </w:p>
        </w:tc>
        <w:tc>
          <w:tcPr>
            <w:tcW w:w="3127" w:type="dxa"/>
            <w:tcBorders>
              <w:top w:val="single" w:sz="4" w:space="0" w:color="auto"/>
              <w:left w:val="single" w:sz="8" w:space="0" w:color="auto"/>
              <w:bottom w:val="single" w:sz="4" w:space="0" w:color="auto"/>
              <w:right w:val="single" w:sz="8" w:space="0" w:color="auto"/>
            </w:tcBorders>
            <w:vAlign w:val="center"/>
          </w:tcPr>
          <w:p w14:paraId="724AFC0D" w14:textId="77777777" w:rsidR="00CA0C50" w:rsidRPr="009C58C4" w:rsidRDefault="00CA0C50" w:rsidP="00226369">
            <w:pPr>
              <w:keepNext/>
              <w:widowControl w:val="0"/>
              <w:jc w:val="both"/>
              <w:rPr>
                <w:sz w:val="22"/>
                <w:szCs w:val="22"/>
                <w:lang w:val="sr-Latn-ME"/>
              </w:rPr>
            </w:pPr>
            <w:r w:rsidRPr="009C58C4">
              <w:rPr>
                <w:sz w:val="22"/>
                <w:szCs w:val="22"/>
                <w:lang w:val="sr-Latn-ME"/>
              </w:rPr>
              <w:t>2 mg</w:t>
            </w:r>
          </w:p>
        </w:tc>
      </w:tr>
      <w:tr w:rsidR="00CA0C50" w:rsidRPr="009C58C4" w14:paraId="47B95099" w14:textId="77777777" w:rsidTr="00C87F6C">
        <w:trPr>
          <w:cantSplit/>
        </w:trPr>
        <w:tc>
          <w:tcPr>
            <w:tcW w:w="9052"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578D035" w14:textId="425BB99F" w:rsidR="00CA0C50" w:rsidRPr="009C58C4" w:rsidRDefault="00CA0C50" w:rsidP="00226369">
            <w:pPr>
              <w:keepNext/>
              <w:tabs>
                <w:tab w:val="left" w:pos="-30"/>
                <w:tab w:val="left" w:pos="0"/>
              </w:tabs>
              <w:ind w:hanging="118"/>
              <w:jc w:val="both"/>
              <w:rPr>
                <w:rFonts w:eastAsia="Calibri"/>
                <w:sz w:val="22"/>
                <w:szCs w:val="22"/>
                <w:lang w:val="sr-Latn-ME"/>
              </w:rPr>
            </w:pPr>
            <w:bookmarkStart w:id="1" w:name="_Hlk126862878"/>
            <w:r w:rsidRPr="009C58C4">
              <w:rPr>
                <w:sz w:val="22"/>
                <w:szCs w:val="22"/>
                <w:lang w:val="sr-Latn-ME"/>
              </w:rPr>
              <w:t xml:space="preserve">*Zaokružite </w:t>
            </w:r>
            <w:r w:rsidR="00F46CDF" w:rsidRPr="009C58C4">
              <w:rPr>
                <w:sz w:val="22"/>
                <w:szCs w:val="22"/>
                <w:lang w:val="sr-Latn-ME"/>
              </w:rPr>
              <w:t>tjeles</w:t>
            </w:r>
            <w:r w:rsidRPr="009C58C4">
              <w:rPr>
                <w:sz w:val="22"/>
                <w:szCs w:val="22"/>
                <w:lang w:val="sr-Latn-ME"/>
              </w:rPr>
              <w:t xml:space="preserve">nu masu na najbližu </w:t>
            </w:r>
            <w:r w:rsidR="00F46CDF" w:rsidRPr="009C58C4">
              <w:rPr>
                <w:sz w:val="22"/>
                <w:szCs w:val="22"/>
                <w:lang w:val="sr-Latn-ME"/>
              </w:rPr>
              <w:t>vrijednost</w:t>
            </w:r>
            <w:r w:rsidRPr="009C58C4">
              <w:rPr>
                <w:sz w:val="22"/>
                <w:szCs w:val="22"/>
                <w:lang w:val="sr-Latn-ME"/>
              </w:rPr>
              <w:t xml:space="preserve"> kg, po potrebi.</w:t>
            </w:r>
          </w:p>
          <w:p w14:paraId="46D847FC" w14:textId="2EB0163D" w:rsidR="00CA0C50" w:rsidRPr="009C58C4" w:rsidRDefault="00CA0C50" w:rsidP="00226369">
            <w:pPr>
              <w:widowControl w:val="0"/>
              <w:jc w:val="both"/>
              <w:rPr>
                <w:sz w:val="22"/>
                <w:szCs w:val="22"/>
                <w:lang w:val="sr-Latn-ME"/>
              </w:rPr>
            </w:pPr>
            <w:r w:rsidRPr="009C58C4">
              <w:rPr>
                <w:sz w:val="22"/>
                <w:szCs w:val="22"/>
                <w:lang w:val="sr-Latn-ME"/>
              </w:rPr>
              <w:t xml:space="preserve">Preporučena doza za pacijenata </w:t>
            </w:r>
            <w:r w:rsidR="00F46CDF" w:rsidRPr="009C58C4">
              <w:rPr>
                <w:sz w:val="22"/>
                <w:szCs w:val="22"/>
                <w:lang w:val="sr-Latn-ME"/>
              </w:rPr>
              <w:t>tjeles</w:t>
            </w:r>
            <w:r w:rsidRPr="009C58C4">
              <w:rPr>
                <w:sz w:val="22"/>
                <w:szCs w:val="22"/>
                <w:lang w:val="sr-Latn-ME"/>
              </w:rPr>
              <w:t>ne mase manje od 8 kg nije ustanovljena.</w:t>
            </w:r>
          </w:p>
          <w:p w14:paraId="724E7A5E" w14:textId="27697847" w:rsidR="00CA0C50" w:rsidRPr="009C58C4" w:rsidRDefault="00CA0C50" w:rsidP="00226369">
            <w:pPr>
              <w:widowControl w:val="0"/>
              <w:jc w:val="both"/>
              <w:rPr>
                <w:sz w:val="22"/>
                <w:szCs w:val="22"/>
                <w:lang w:val="sr-Latn-ME"/>
              </w:rPr>
            </w:pPr>
            <w:r w:rsidRPr="009C58C4">
              <w:rPr>
                <w:sz w:val="22"/>
                <w:szCs w:val="22"/>
                <w:lang w:val="sr-Latn-ME"/>
              </w:rPr>
              <w:t xml:space="preserve">Za informaciju o doziranju za </w:t>
            </w:r>
            <w:r w:rsidR="007F2563" w:rsidRPr="009C58C4">
              <w:rPr>
                <w:sz w:val="22"/>
                <w:szCs w:val="22"/>
                <w:lang w:val="sr-Latn-ME"/>
              </w:rPr>
              <w:t>liječ</w:t>
            </w:r>
            <w:r w:rsidRPr="009C58C4">
              <w:rPr>
                <w:sz w:val="22"/>
                <w:szCs w:val="22"/>
                <w:lang w:val="sr-Latn-ME"/>
              </w:rPr>
              <w:t>enje dabrafenibom u kombinaciji s</w:t>
            </w:r>
            <w:r w:rsidR="00C97935" w:rsidRPr="009C58C4">
              <w:rPr>
                <w:sz w:val="22"/>
                <w:szCs w:val="22"/>
                <w:lang w:val="sr-Latn-ME"/>
              </w:rPr>
              <w:t>a</w:t>
            </w:r>
            <w:r w:rsidRPr="009C58C4">
              <w:rPr>
                <w:sz w:val="22"/>
                <w:szCs w:val="22"/>
                <w:lang w:val="sr-Latn-ME"/>
              </w:rPr>
              <w:t xml:space="preserve"> </w:t>
            </w:r>
            <w:r w:rsidR="007F2563" w:rsidRPr="009C58C4">
              <w:rPr>
                <w:sz w:val="22"/>
                <w:szCs w:val="22"/>
                <w:lang w:val="sr-Latn-ME"/>
              </w:rPr>
              <w:t>lijek</w:t>
            </w:r>
            <w:r w:rsidRPr="009C58C4">
              <w:rPr>
                <w:sz w:val="22"/>
                <w:szCs w:val="22"/>
                <w:lang w:val="sr-Latn-ME"/>
              </w:rPr>
              <w:t xml:space="preserve">om Spexotras, pogledati Sažetak karakteristika </w:t>
            </w:r>
            <w:r w:rsidR="007F2563" w:rsidRPr="009C58C4">
              <w:rPr>
                <w:sz w:val="22"/>
                <w:szCs w:val="22"/>
                <w:lang w:val="sr-Latn-ME"/>
              </w:rPr>
              <w:t>lijek</w:t>
            </w:r>
            <w:r w:rsidRPr="009C58C4">
              <w:rPr>
                <w:sz w:val="22"/>
                <w:szCs w:val="22"/>
                <w:lang w:val="sr-Latn-ME"/>
              </w:rPr>
              <w:t>a za dabrafenib tablete za oralnu suspenziju</w:t>
            </w:r>
            <w:r w:rsidR="00C87F6C" w:rsidRPr="009C58C4">
              <w:rPr>
                <w:sz w:val="22"/>
                <w:szCs w:val="22"/>
                <w:lang w:val="sr-Latn-ME"/>
              </w:rPr>
              <w:t>dijelovi</w:t>
            </w:r>
            <w:r w:rsidRPr="009C58C4">
              <w:rPr>
                <w:sz w:val="22"/>
                <w:szCs w:val="22"/>
                <w:lang w:val="sr-Latn-ME"/>
              </w:rPr>
              <w:t xml:space="preserve"> „Doziranje” i „Način </w:t>
            </w:r>
            <w:r w:rsidR="007F2563" w:rsidRPr="009C58C4">
              <w:rPr>
                <w:sz w:val="22"/>
                <w:szCs w:val="22"/>
                <w:lang w:val="sr-Latn-ME"/>
              </w:rPr>
              <w:t>primjen</w:t>
            </w:r>
            <w:r w:rsidRPr="009C58C4">
              <w:rPr>
                <w:sz w:val="22"/>
                <w:szCs w:val="22"/>
                <w:lang w:val="sr-Latn-ME"/>
              </w:rPr>
              <w:t>e”</w:t>
            </w:r>
          </w:p>
        </w:tc>
      </w:tr>
      <w:bookmarkEnd w:id="1"/>
    </w:tbl>
    <w:p w14:paraId="2B55DF84" w14:textId="77777777" w:rsidR="00CA0C50" w:rsidRPr="009C58C4" w:rsidRDefault="00CA0C50" w:rsidP="00226369">
      <w:pPr>
        <w:autoSpaceDE w:val="0"/>
        <w:autoSpaceDN w:val="0"/>
        <w:adjustRightInd w:val="0"/>
        <w:jc w:val="both"/>
        <w:rPr>
          <w:sz w:val="22"/>
          <w:szCs w:val="22"/>
          <w:lang w:val="sr-Latn-ME"/>
        </w:rPr>
      </w:pPr>
    </w:p>
    <w:p w14:paraId="186C8DF1" w14:textId="2354A208" w:rsidR="00CA0C50" w:rsidRPr="009C58C4" w:rsidRDefault="00CA0C50" w:rsidP="00226369">
      <w:pPr>
        <w:keepNext/>
        <w:jc w:val="both"/>
        <w:rPr>
          <w:i/>
          <w:sz w:val="22"/>
          <w:szCs w:val="22"/>
          <w:u w:val="single"/>
          <w:lang w:val="sr-Latn-ME"/>
        </w:rPr>
      </w:pPr>
      <w:r w:rsidRPr="009C58C4">
        <w:rPr>
          <w:i/>
          <w:iCs/>
          <w:sz w:val="22"/>
          <w:szCs w:val="22"/>
          <w:u w:val="single"/>
          <w:lang w:val="sr-Latn-ME"/>
        </w:rPr>
        <w:t xml:space="preserve">Dužina trajanja </w:t>
      </w:r>
      <w:r w:rsidR="007F2563" w:rsidRPr="009C58C4">
        <w:rPr>
          <w:i/>
          <w:iCs/>
          <w:sz w:val="22"/>
          <w:szCs w:val="22"/>
          <w:u w:val="single"/>
          <w:lang w:val="sr-Latn-ME"/>
        </w:rPr>
        <w:t>liječ</w:t>
      </w:r>
      <w:r w:rsidRPr="009C58C4">
        <w:rPr>
          <w:i/>
          <w:iCs/>
          <w:sz w:val="22"/>
          <w:szCs w:val="22"/>
          <w:u w:val="single"/>
          <w:lang w:val="sr-Latn-ME"/>
        </w:rPr>
        <w:t>enja</w:t>
      </w:r>
    </w:p>
    <w:p w14:paraId="178E18DD" w14:textId="40E92132" w:rsidR="00CA0C50" w:rsidRPr="009C58C4" w:rsidRDefault="007F2563" w:rsidP="00226369">
      <w:pPr>
        <w:jc w:val="both"/>
        <w:rPr>
          <w:sz w:val="22"/>
          <w:szCs w:val="22"/>
          <w:lang w:val="sr-Latn-ME"/>
        </w:rPr>
      </w:pPr>
      <w:r w:rsidRPr="009C58C4">
        <w:rPr>
          <w:sz w:val="22"/>
          <w:szCs w:val="22"/>
          <w:lang w:val="sr-Latn-ME"/>
        </w:rPr>
        <w:t>Liječ</w:t>
      </w:r>
      <w:r w:rsidR="00CA0C50" w:rsidRPr="009C58C4">
        <w:rPr>
          <w:sz w:val="22"/>
          <w:szCs w:val="22"/>
          <w:lang w:val="sr-Latn-ME"/>
        </w:rPr>
        <w:t xml:space="preserve">enje </w:t>
      </w:r>
      <w:r w:rsidRPr="009C58C4">
        <w:rPr>
          <w:sz w:val="22"/>
          <w:szCs w:val="22"/>
          <w:lang w:val="sr-Latn-ME"/>
        </w:rPr>
        <w:t>lijek</w:t>
      </w:r>
      <w:r w:rsidR="00CA0C50" w:rsidRPr="009C58C4">
        <w:rPr>
          <w:sz w:val="22"/>
          <w:szCs w:val="22"/>
          <w:lang w:val="sr-Latn-ME"/>
        </w:rPr>
        <w:t xml:space="preserve">om Spexotras treba nastaviti sve do progresije bolesti ili do razvoja neprihvatljive toksičnosti. Podaci o pacijentima starijim od 18 godina koji imaju gliom su ograničeni, zato </w:t>
      </w:r>
      <w:bookmarkStart w:id="2" w:name="_Hlk134439844"/>
      <w:r w:rsidR="00CA0C50" w:rsidRPr="009C58C4">
        <w:rPr>
          <w:sz w:val="22"/>
          <w:szCs w:val="22"/>
          <w:lang w:val="sr-Latn-ME"/>
        </w:rPr>
        <w:t xml:space="preserve">nastavak </w:t>
      </w:r>
      <w:r w:rsidRPr="009C58C4">
        <w:rPr>
          <w:sz w:val="22"/>
          <w:szCs w:val="22"/>
          <w:lang w:val="sr-Latn-ME"/>
        </w:rPr>
        <w:t>liječ</w:t>
      </w:r>
      <w:r w:rsidR="00CA0C50" w:rsidRPr="009C58C4">
        <w:rPr>
          <w:sz w:val="22"/>
          <w:szCs w:val="22"/>
          <w:lang w:val="sr-Latn-ME"/>
        </w:rPr>
        <w:t xml:space="preserve">enja u odraslom dobu treba da se zasniva na koristima i rizicima za pojedinačnog pacijenta prema </w:t>
      </w:r>
      <w:r w:rsidRPr="009C58C4">
        <w:rPr>
          <w:sz w:val="22"/>
          <w:szCs w:val="22"/>
          <w:lang w:val="sr-Latn-ME"/>
        </w:rPr>
        <w:t>procjen</w:t>
      </w:r>
      <w:r w:rsidR="00CA0C50" w:rsidRPr="009C58C4">
        <w:rPr>
          <w:sz w:val="22"/>
          <w:szCs w:val="22"/>
          <w:lang w:val="sr-Latn-ME"/>
        </w:rPr>
        <w:t xml:space="preserve">i </w:t>
      </w:r>
      <w:r w:rsidRPr="009C58C4">
        <w:rPr>
          <w:sz w:val="22"/>
          <w:szCs w:val="22"/>
          <w:lang w:val="sr-Latn-ME"/>
        </w:rPr>
        <w:t>ljek</w:t>
      </w:r>
      <w:r w:rsidR="00CA0C50" w:rsidRPr="009C58C4">
        <w:rPr>
          <w:sz w:val="22"/>
          <w:szCs w:val="22"/>
          <w:lang w:val="sr-Latn-ME"/>
        </w:rPr>
        <w:t>ara.</w:t>
      </w:r>
      <w:bookmarkEnd w:id="2"/>
    </w:p>
    <w:p w14:paraId="415CA69C" w14:textId="77777777" w:rsidR="00CA0C50" w:rsidRPr="009C58C4" w:rsidRDefault="00CA0C50" w:rsidP="00226369">
      <w:pPr>
        <w:jc w:val="both"/>
        <w:rPr>
          <w:iCs/>
          <w:sz w:val="22"/>
          <w:szCs w:val="22"/>
          <w:lang w:val="sr-Latn-ME"/>
        </w:rPr>
      </w:pPr>
    </w:p>
    <w:p w14:paraId="1A707DB9" w14:textId="77777777" w:rsidR="00CA0C50" w:rsidRPr="009C58C4" w:rsidRDefault="00CA0C50" w:rsidP="00226369">
      <w:pPr>
        <w:keepNext/>
        <w:jc w:val="both"/>
        <w:rPr>
          <w:i/>
          <w:sz w:val="22"/>
          <w:szCs w:val="22"/>
          <w:u w:val="single"/>
          <w:lang w:val="sr-Latn-ME"/>
        </w:rPr>
      </w:pPr>
      <w:bookmarkStart w:id="3" w:name="_Hlk134461677"/>
      <w:r w:rsidRPr="009C58C4">
        <w:rPr>
          <w:i/>
          <w:sz w:val="22"/>
          <w:szCs w:val="22"/>
          <w:u w:val="single"/>
          <w:lang w:val="sr-Latn-ME"/>
        </w:rPr>
        <w:t>Propuštene ili odložene doze</w:t>
      </w:r>
    </w:p>
    <w:bookmarkEnd w:id="3"/>
    <w:p w14:paraId="6893EDE2" w14:textId="7697465D" w:rsidR="00CA0C50" w:rsidRPr="009C58C4" w:rsidDel="005F1604" w:rsidRDefault="00CA0C50" w:rsidP="00226369">
      <w:pPr>
        <w:jc w:val="both"/>
        <w:rPr>
          <w:sz w:val="22"/>
          <w:szCs w:val="22"/>
          <w:lang w:val="sr-Latn-ME"/>
        </w:rPr>
      </w:pPr>
      <w:r w:rsidRPr="009C58C4">
        <w:rPr>
          <w:sz w:val="22"/>
          <w:szCs w:val="22"/>
          <w:lang w:val="sr-Latn-ME"/>
        </w:rPr>
        <w:t xml:space="preserve">Ako se propusti doza </w:t>
      </w:r>
      <w:r w:rsidR="007F2563" w:rsidRPr="009C58C4">
        <w:rPr>
          <w:sz w:val="22"/>
          <w:szCs w:val="22"/>
          <w:lang w:val="sr-Latn-ME"/>
        </w:rPr>
        <w:t>lijek</w:t>
      </w:r>
      <w:r w:rsidRPr="009C58C4">
        <w:rPr>
          <w:sz w:val="22"/>
          <w:szCs w:val="22"/>
          <w:lang w:val="sr-Latn-ME"/>
        </w:rPr>
        <w:t xml:space="preserve">a Spexotras, treba je uzeti samo ako je do </w:t>
      </w:r>
      <w:r w:rsidR="00F46CDF" w:rsidRPr="009C58C4">
        <w:rPr>
          <w:sz w:val="22"/>
          <w:szCs w:val="22"/>
          <w:lang w:val="sr-Latn-ME"/>
        </w:rPr>
        <w:t>sljedeć</w:t>
      </w:r>
      <w:r w:rsidRPr="009C58C4">
        <w:rPr>
          <w:sz w:val="22"/>
          <w:szCs w:val="22"/>
          <w:lang w:val="sr-Latn-ME"/>
        </w:rPr>
        <w:t xml:space="preserve">e planirane doze ostalo više od 12 sati. Ako dođe do povraćanja nakon </w:t>
      </w:r>
      <w:r w:rsidR="007F2563" w:rsidRPr="009C58C4">
        <w:rPr>
          <w:sz w:val="22"/>
          <w:szCs w:val="22"/>
          <w:lang w:val="sr-Latn-ME"/>
        </w:rPr>
        <w:t>primjen</w:t>
      </w:r>
      <w:r w:rsidRPr="009C58C4">
        <w:rPr>
          <w:sz w:val="22"/>
          <w:szCs w:val="22"/>
          <w:lang w:val="sr-Latn-ME"/>
        </w:rPr>
        <w:t xml:space="preserve">e </w:t>
      </w:r>
      <w:r w:rsidR="007F2563" w:rsidRPr="009C58C4">
        <w:rPr>
          <w:sz w:val="22"/>
          <w:szCs w:val="22"/>
          <w:lang w:val="sr-Latn-ME"/>
        </w:rPr>
        <w:t>lijek</w:t>
      </w:r>
      <w:r w:rsidRPr="009C58C4">
        <w:rPr>
          <w:sz w:val="22"/>
          <w:szCs w:val="22"/>
          <w:lang w:val="sr-Latn-ME"/>
        </w:rPr>
        <w:t>a Spexotras, ne sm</w:t>
      </w:r>
      <w:r w:rsidR="00F46CDF" w:rsidRPr="009C58C4">
        <w:rPr>
          <w:sz w:val="22"/>
          <w:szCs w:val="22"/>
          <w:lang w:val="sr-Latn-ME"/>
        </w:rPr>
        <w:t>ij</w:t>
      </w:r>
      <w:r w:rsidRPr="009C58C4">
        <w:rPr>
          <w:sz w:val="22"/>
          <w:szCs w:val="22"/>
          <w:lang w:val="sr-Latn-ME"/>
        </w:rPr>
        <w:t xml:space="preserve">e se </w:t>
      </w:r>
      <w:r w:rsidR="007F2563" w:rsidRPr="009C58C4">
        <w:rPr>
          <w:sz w:val="22"/>
          <w:szCs w:val="22"/>
          <w:lang w:val="sr-Latn-ME"/>
        </w:rPr>
        <w:t>primijen</w:t>
      </w:r>
      <w:r w:rsidRPr="009C58C4">
        <w:rPr>
          <w:sz w:val="22"/>
          <w:szCs w:val="22"/>
          <w:lang w:val="sr-Latn-ME"/>
        </w:rPr>
        <w:t>iti dodatna doza, već sl</w:t>
      </w:r>
      <w:r w:rsidR="00F46CDF" w:rsidRPr="009C58C4">
        <w:rPr>
          <w:sz w:val="22"/>
          <w:szCs w:val="22"/>
          <w:lang w:val="sr-Latn-ME"/>
        </w:rPr>
        <w:t>j</w:t>
      </w:r>
      <w:r w:rsidRPr="009C58C4">
        <w:rPr>
          <w:sz w:val="22"/>
          <w:szCs w:val="22"/>
          <w:lang w:val="sr-Latn-ME"/>
        </w:rPr>
        <w:t>edeću dozu treba uzeti u sl</w:t>
      </w:r>
      <w:r w:rsidR="00F46CDF" w:rsidRPr="009C58C4">
        <w:rPr>
          <w:sz w:val="22"/>
          <w:szCs w:val="22"/>
          <w:lang w:val="sr-Latn-ME"/>
        </w:rPr>
        <w:t>j</w:t>
      </w:r>
      <w:r w:rsidRPr="009C58C4">
        <w:rPr>
          <w:sz w:val="22"/>
          <w:szCs w:val="22"/>
          <w:lang w:val="sr-Latn-ME"/>
        </w:rPr>
        <w:t>edeće planirano vr</w:t>
      </w:r>
      <w:r w:rsidR="00F46CDF" w:rsidRPr="009C58C4">
        <w:rPr>
          <w:sz w:val="22"/>
          <w:szCs w:val="22"/>
          <w:lang w:val="sr-Latn-ME"/>
        </w:rPr>
        <w:t>ij</w:t>
      </w:r>
      <w:r w:rsidRPr="009C58C4">
        <w:rPr>
          <w:sz w:val="22"/>
          <w:szCs w:val="22"/>
          <w:lang w:val="sr-Latn-ME"/>
        </w:rPr>
        <w:t>eme.</w:t>
      </w:r>
    </w:p>
    <w:p w14:paraId="0E19E27A" w14:textId="77777777" w:rsidR="00CA0C50" w:rsidRPr="009C58C4" w:rsidRDefault="00CA0C50" w:rsidP="00226369">
      <w:pPr>
        <w:jc w:val="both"/>
        <w:rPr>
          <w:bCs/>
          <w:iCs/>
          <w:sz w:val="22"/>
          <w:szCs w:val="22"/>
          <w:lang w:val="sr-Latn-ME"/>
        </w:rPr>
      </w:pPr>
    </w:p>
    <w:p w14:paraId="121220F7" w14:textId="77777777" w:rsidR="00CA0C50" w:rsidRPr="009C58C4" w:rsidRDefault="00CA0C50" w:rsidP="00226369">
      <w:pPr>
        <w:keepNext/>
        <w:jc w:val="both"/>
        <w:rPr>
          <w:i/>
          <w:iCs/>
          <w:sz w:val="22"/>
          <w:szCs w:val="22"/>
          <w:u w:val="single"/>
          <w:lang w:val="sr-Latn-ME"/>
        </w:rPr>
      </w:pPr>
      <w:r w:rsidRPr="009C58C4">
        <w:rPr>
          <w:i/>
          <w:iCs/>
          <w:sz w:val="22"/>
          <w:szCs w:val="22"/>
          <w:u w:val="single"/>
          <w:lang w:val="sr-Latn-ME"/>
        </w:rPr>
        <w:t>Prilagođavanje doze</w:t>
      </w:r>
    </w:p>
    <w:p w14:paraId="5C875183" w14:textId="7A0EB776" w:rsidR="00CA0C50" w:rsidRPr="009C58C4" w:rsidRDefault="00CA0C50" w:rsidP="00226369">
      <w:pPr>
        <w:jc w:val="both"/>
        <w:rPr>
          <w:sz w:val="22"/>
          <w:szCs w:val="22"/>
          <w:lang w:val="sr-Latn-ME"/>
        </w:rPr>
      </w:pPr>
      <w:r w:rsidRPr="009C58C4">
        <w:rPr>
          <w:sz w:val="22"/>
          <w:szCs w:val="22"/>
          <w:lang w:val="sr-Latn-ME"/>
        </w:rPr>
        <w:t xml:space="preserve">Možda će biti potrebno smanjiti dozu, privremeno ili trajno prekinuti </w:t>
      </w:r>
      <w:r w:rsidR="007F2563" w:rsidRPr="009C58C4">
        <w:rPr>
          <w:sz w:val="22"/>
          <w:szCs w:val="22"/>
          <w:lang w:val="sr-Latn-ME"/>
        </w:rPr>
        <w:t>liječ</w:t>
      </w:r>
      <w:r w:rsidRPr="009C58C4">
        <w:rPr>
          <w:sz w:val="22"/>
          <w:szCs w:val="22"/>
          <w:lang w:val="sr-Latn-ME"/>
        </w:rPr>
        <w:t>enje (</w:t>
      </w:r>
      <w:r w:rsidR="00F46CDF" w:rsidRPr="009C58C4">
        <w:rPr>
          <w:sz w:val="22"/>
          <w:szCs w:val="22"/>
          <w:lang w:val="sr-Latn-ME"/>
        </w:rPr>
        <w:t>vidjet</w:t>
      </w:r>
      <w:r w:rsidRPr="009C58C4">
        <w:rPr>
          <w:sz w:val="22"/>
          <w:szCs w:val="22"/>
          <w:lang w:val="sr-Latn-ME"/>
        </w:rPr>
        <w:t>i Tabele 2 i 3), zbog neželjenih reakcija.</w:t>
      </w:r>
    </w:p>
    <w:p w14:paraId="4E4EE7C1" w14:textId="77777777" w:rsidR="00CA0C50" w:rsidRPr="009C58C4" w:rsidRDefault="00CA0C50" w:rsidP="00226369">
      <w:pPr>
        <w:jc w:val="both"/>
        <w:rPr>
          <w:sz w:val="22"/>
          <w:szCs w:val="22"/>
          <w:lang w:val="sr-Latn-ME"/>
        </w:rPr>
      </w:pPr>
    </w:p>
    <w:p w14:paraId="441DB6CC" w14:textId="615E084A" w:rsidR="00CA0C50" w:rsidRPr="009C58C4" w:rsidRDefault="00CA0C50" w:rsidP="00226369">
      <w:pPr>
        <w:autoSpaceDE w:val="0"/>
        <w:autoSpaceDN w:val="0"/>
        <w:adjustRightInd w:val="0"/>
        <w:jc w:val="both"/>
        <w:rPr>
          <w:sz w:val="22"/>
          <w:szCs w:val="22"/>
          <w:lang w:val="sr-Latn-ME"/>
        </w:rPr>
      </w:pPr>
      <w:r w:rsidRPr="009C58C4">
        <w:rPr>
          <w:sz w:val="22"/>
          <w:szCs w:val="22"/>
          <w:lang w:val="sr-Latn-ME"/>
        </w:rPr>
        <w:t>Ako se pojavi toksičnost povezana s</w:t>
      </w:r>
      <w:r w:rsidR="00C97935" w:rsidRPr="009C58C4">
        <w:rPr>
          <w:sz w:val="22"/>
          <w:szCs w:val="22"/>
          <w:lang w:val="sr-Latn-ME"/>
        </w:rPr>
        <w:t>a</w:t>
      </w:r>
      <w:r w:rsidRPr="009C58C4">
        <w:rPr>
          <w:sz w:val="22"/>
          <w:szCs w:val="22"/>
          <w:lang w:val="sr-Latn-ME"/>
        </w:rPr>
        <w:t xml:space="preserve"> terapijom, i za trametinib i za dabrafenib potrebno je istovremeno smanjiti dozu, privremeno je prekinuti ili trajno obustaviti. Izuzeci, kada je prilagođavanje doze potrebno samo za jednu od dv</w:t>
      </w:r>
      <w:r w:rsidR="00F46CDF" w:rsidRPr="009C58C4">
        <w:rPr>
          <w:sz w:val="22"/>
          <w:szCs w:val="22"/>
          <w:lang w:val="sr-Latn-ME"/>
        </w:rPr>
        <w:t>ij</w:t>
      </w:r>
      <w:r w:rsidRPr="009C58C4">
        <w:rPr>
          <w:sz w:val="22"/>
          <w:szCs w:val="22"/>
          <w:lang w:val="sr-Latn-ME"/>
        </w:rPr>
        <w:t>e terapije, su navedeni u nastavku za uveitis, maligne bolesti pozitivne na RAS mutaciju koje ne zahvataju kožu (u prvom redu povezano sa dabrafenibom), smanjenje ejekcione frakcije l</w:t>
      </w:r>
      <w:r w:rsidR="00F46CDF" w:rsidRPr="009C58C4">
        <w:rPr>
          <w:sz w:val="22"/>
          <w:szCs w:val="22"/>
          <w:lang w:val="sr-Latn-ME"/>
        </w:rPr>
        <w:t>ij</w:t>
      </w:r>
      <w:r w:rsidRPr="009C58C4">
        <w:rPr>
          <w:sz w:val="22"/>
          <w:szCs w:val="22"/>
          <w:lang w:val="sr-Latn-ME"/>
        </w:rPr>
        <w:t xml:space="preserve">eve komore (engl. </w:t>
      </w:r>
      <w:r w:rsidRPr="009C58C4">
        <w:rPr>
          <w:i/>
          <w:sz w:val="22"/>
          <w:szCs w:val="22"/>
          <w:lang w:val="sr-Latn-ME"/>
        </w:rPr>
        <w:t>left ventricular ejection fraction</w:t>
      </w:r>
      <w:r w:rsidRPr="009C58C4">
        <w:rPr>
          <w:sz w:val="22"/>
          <w:szCs w:val="22"/>
          <w:lang w:val="sr-Latn-ME"/>
        </w:rPr>
        <w:t xml:space="preserve">, LVEF), okluziju retinalne vene </w:t>
      </w:r>
      <w:r w:rsidRPr="009C58C4">
        <w:rPr>
          <w:sz w:val="22"/>
          <w:szCs w:val="22"/>
          <w:lang w:val="sr-Latn-ME"/>
        </w:rPr>
        <w:lastRenderedPageBreak/>
        <w:t xml:space="preserve">(engl. </w:t>
      </w:r>
      <w:r w:rsidRPr="009C58C4">
        <w:rPr>
          <w:i/>
          <w:sz w:val="22"/>
          <w:szCs w:val="22"/>
          <w:lang w:val="sr-Latn-ME"/>
        </w:rPr>
        <w:t>retinal vein occlusion</w:t>
      </w:r>
      <w:r w:rsidRPr="009C58C4">
        <w:rPr>
          <w:sz w:val="22"/>
          <w:szCs w:val="22"/>
          <w:lang w:val="sr-Latn-ME"/>
        </w:rPr>
        <w:t xml:space="preserve">, RVO), odvajanje pigmentnog epitela retine (engl. </w:t>
      </w:r>
      <w:r w:rsidRPr="009C58C4">
        <w:rPr>
          <w:i/>
          <w:sz w:val="22"/>
          <w:szCs w:val="22"/>
          <w:lang w:val="sr-Latn-ME"/>
        </w:rPr>
        <w:t>retinal pigment epithelial detachment</w:t>
      </w:r>
      <w:r w:rsidRPr="009C58C4">
        <w:rPr>
          <w:sz w:val="22"/>
          <w:szCs w:val="22"/>
          <w:lang w:val="sr-Latn-ME"/>
        </w:rPr>
        <w:t>, RPED) i intersticijalnu bolest pluća (IBP)/pneumonitis (u prvom redu povezano sa trametinibom).</w:t>
      </w:r>
    </w:p>
    <w:p w14:paraId="2048E3ED" w14:textId="77777777" w:rsidR="00CA0C50" w:rsidRPr="009C58C4" w:rsidRDefault="00CA0C50" w:rsidP="00226369">
      <w:pPr>
        <w:jc w:val="both"/>
        <w:rPr>
          <w:sz w:val="22"/>
          <w:szCs w:val="22"/>
          <w:lang w:val="sr-Latn-ME"/>
        </w:rPr>
      </w:pPr>
    </w:p>
    <w:p w14:paraId="275CC02F" w14:textId="349CD6C5" w:rsidR="00CA0C50" w:rsidRPr="009C58C4" w:rsidRDefault="00CA0C50" w:rsidP="00226369">
      <w:pPr>
        <w:jc w:val="both"/>
        <w:rPr>
          <w:sz w:val="22"/>
          <w:szCs w:val="22"/>
          <w:lang w:val="sr-Latn-ME"/>
        </w:rPr>
      </w:pPr>
      <w:bookmarkStart w:id="4" w:name="_Hlk134461834"/>
      <w:r w:rsidRPr="009C58C4">
        <w:rPr>
          <w:sz w:val="22"/>
          <w:szCs w:val="22"/>
          <w:lang w:val="sr-Latn-ME"/>
        </w:rPr>
        <w:t>Prilagođavanje doze ili privremeni prekid terapije se ne preporučuju kod neželjenih reakcija u vidu malignih bolesti</w:t>
      </w:r>
      <w:bookmarkEnd w:id="4"/>
      <w:r w:rsidRPr="009C58C4">
        <w:rPr>
          <w:sz w:val="22"/>
          <w:szCs w:val="22"/>
          <w:lang w:val="sr-Latn-ME"/>
        </w:rPr>
        <w:t xml:space="preserve"> kože (</w:t>
      </w:r>
      <w:r w:rsidR="00F46CDF" w:rsidRPr="009C58C4">
        <w:rPr>
          <w:sz w:val="22"/>
          <w:szCs w:val="22"/>
          <w:lang w:val="sr-Latn-ME"/>
        </w:rPr>
        <w:t>vidjet</w:t>
      </w:r>
      <w:r w:rsidRPr="009C58C4">
        <w:rPr>
          <w:sz w:val="22"/>
          <w:szCs w:val="22"/>
          <w:lang w:val="sr-Latn-ME"/>
        </w:rPr>
        <w:t>i</w:t>
      </w:r>
      <w:r w:rsidR="00226369" w:rsidRPr="009C58C4">
        <w:rPr>
          <w:sz w:val="22"/>
          <w:szCs w:val="22"/>
          <w:lang w:val="sr-Latn-ME"/>
        </w:rPr>
        <w:t xml:space="preserve"> </w:t>
      </w:r>
      <w:r w:rsidR="00C87F6C" w:rsidRPr="009C58C4">
        <w:rPr>
          <w:sz w:val="22"/>
          <w:szCs w:val="22"/>
          <w:lang w:val="sr-Latn-ME"/>
        </w:rPr>
        <w:t>dio</w:t>
      </w:r>
      <w:r w:rsidRPr="009C58C4">
        <w:rPr>
          <w:sz w:val="22"/>
          <w:szCs w:val="22"/>
          <w:lang w:val="sr-Latn-ME"/>
        </w:rPr>
        <w:t> 4.4).</w:t>
      </w:r>
    </w:p>
    <w:p w14:paraId="2C4590AF" w14:textId="77777777" w:rsidR="00CA0C50" w:rsidRPr="009C58C4" w:rsidRDefault="00CA0C50" w:rsidP="00226369">
      <w:pPr>
        <w:jc w:val="both"/>
        <w:rPr>
          <w:sz w:val="22"/>
          <w:szCs w:val="22"/>
          <w:lang w:val="sr-Latn-ME"/>
        </w:rPr>
      </w:pPr>
    </w:p>
    <w:p w14:paraId="03CC599A" w14:textId="77777777" w:rsidR="00CA0C50" w:rsidRPr="009C58C4" w:rsidRDefault="00CA0C50" w:rsidP="00226369">
      <w:pPr>
        <w:keepNext/>
        <w:keepLines/>
        <w:ind w:left="1134" w:hanging="1134"/>
        <w:jc w:val="both"/>
        <w:rPr>
          <w:b/>
          <w:sz w:val="22"/>
          <w:szCs w:val="22"/>
          <w:lang w:val="sr-Latn-ME"/>
        </w:rPr>
      </w:pPr>
      <w:r w:rsidRPr="009C58C4">
        <w:rPr>
          <w:b/>
          <w:sz w:val="22"/>
          <w:szCs w:val="22"/>
          <w:lang w:val="sr-Latn-ME"/>
        </w:rPr>
        <w:t>Tabela 2</w:t>
      </w:r>
      <w:r w:rsidRPr="009C58C4">
        <w:rPr>
          <w:b/>
          <w:sz w:val="22"/>
          <w:szCs w:val="22"/>
          <w:lang w:val="sr-Latn-ME"/>
        </w:rPr>
        <w:tab/>
      </w:r>
      <w:bookmarkStart w:id="5" w:name="_Hlk134461883"/>
      <w:r w:rsidRPr="009C58C4">
        <w:rPr>
          <w:b/>
          <w:iCs/>
          <w:sz w:val="22"/>
          <w:szCs w:val="22"/>
          <w:lang w:val="sr-Latn-ME"/>
        </w:rPr>
        <w:t>Raspored prilagođavanja doze prema gradusu bilo koje</w:t>
      </w:r>
      <w:r w:rsidRPr="009C58C4">
        <w:rPr>
          <w:b/>
          <w:sz w:val="22"/>
          <w:szCs w:val="22"/>
          <w:lang w:val="sr-Latn-ME"/>
        </w:rPr>
        <w:t xml:space="preserve"> neželjene reakcije (</w:t>
      </w:r>
      <w:r w:rsidRPr="009C58C4">
        <w:rPr>
          <w:b/>
          <w:iCs/>
          <w:sz w:val="22"/>
          <w:szCs w:val="22"/>
          <w:lang w:val="sr-Latn-ME"/>
        </w:rPr>
        <w:t>isključujući pireksiju</w:t>
      </w:r>
      <w:r w:rsidRPr="009C58C4">
        <w:rPr>
          <w:b/>
          <w:sz w:val="22"/>
          <w:szCs w:val="22"/>
          <w:lang w:val="sr-Latn-ME"/>
        </w:rPr>
        <w:t>)</w:t>
      </w:r>
      <w:bookmarkEnd w:id="5"/>
    </w:p>
    <w:p w14:paraId="51961C1F" w14:textId="77777777" w:rsidR="00CA0C50" w:rsidRPr="009C58C4" w:rsidRDefault="00CA0C50" w:rsidP="00226369">
      <w:pPr>
        <w:keepNext/>
        <w:keepLines/>
        <w:widowControl w:val="0"/>
        <w:ind w:left="1134" w:hanging="1134"/>
        <w:jc w:val="both"/>
        <w:rPr>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48"/>
        <w:gridCol w:w="5805"/>
      </w:tblGrid>
      <w:tr w:rsidR="00CA0C50" w:rsidRPr="009C58C4" w14:paraId="2422E8E7" w14:textId="77777777" w:rsidTr="00C87F6C">
        <w:trPr>
          <w:cantSplit/>
        </w:trPr>
        <w:tc>
          <w:tcPr>
            <w:tcW w:w="3148" w:type="dxa"/>
            <w:shd w:val="clear" w:color="auto" w:fill="FFFFFF"/>
            <w:tcMar>
              <w:top w:w="0" w:type="dxa"/>
              <w:left w:w="108" w:type="dxa"/>
              <w:bottom w:w="0" w:type="dxa"/>
              <w:right w:w="108" w:type="dxa"/>
            </w:tcMar>
          </w:tcPr>
          <w:p w14:paraId="06C1AD6D" w14:textId="77777777" w:rsidR="00CA0C50" w:rsidRPr="009C58C4" w:rsidRDefault="00CA0C50" w:rsidP="00226369">
            <w:pPr>
              <w:keepNext/>
              <w:widowControl w:val="0"/>
              <w:jc w:val="both"/>
              <w:rPr>
                <w:b/>
                <w:sz w:val="22"/>
                <w:szCs w:val="22"/>
                <w:lang w:val="sr-Latn-ME"/>
              </w:rPr>
            </w:pPr>
            <w:r w:rsidRPr="009C58C4">
              <w:rPr>
                <w:b/>
                <w:sz w:val="22"/>
                <w:szCs w:val="22"/>
                <w:lang w:val="sr-Latn-ME"/>
              </w:rPr>
              <w:t>Gradus (CTCAE)</w:t>
            </w:r>
            <w:r w:rsidRPr="009C58C4">
              <w:rPr>
                <w:sz w:val="22"/>
                <w:szCs w:val="22"/>
                <w:lang w:val="sr-Latn-ME"/>
              </w:rPr>
              <w:t>*</w:t>
            </w:r>
          </w:p>
        </w:tc>
        <w:tc>
          <w:tcPr>
            <w:tcW w:w="5805" w:type="dxa"/>
            <w:shd w:val="clear" w:color="auto" w:fill="FFFFFF"/>
            <w:tcMar>
              <w:top w:w="0" w:type="dxa"/>
              <w:left w:w="108" w:type="dxa"/>
              <w:bottom w:w="0" w:type="dxa"/>
              <w:right w:w="108" w:type="dxa"/>
            </w:tcMar>
          </w:tcPr>
          <w:p w14:paraId="4F26F21C" w14:textId="77777777" w:rsidR="00CA0C50" w:rsidRPr="009C58C4" w:rsidRDefault="00CA0C50" w:rsidP="00226369">
            <w:pPr>
              <w:keepNext/>
              <w:widowControl w:val="0"/>
              <w:jc w:val="both"/>
              <w:rPr>
                <w:b/>
                <w:sz w:val="22"/>
                <w:szCs w:val="22"/>
                <w:lang w:val="sr-Latn-ME"/>
              </w:rPr>
            </w:pPr>
            <w:r w:rsidRPr="009C58C4">
              <w:rPr>
                <w:b/>
                <w:bCs/>
                <w:sz w:val="22"/>
                <w:szCs w:val="22"/>
                <w:lang w:val="sr-Latn-ME"/>
              </w:rPr>
              <w:t xml:space="preserve">Preporučeno prilagođavanje doze </w:t>
            </w:r>
            <w:r w:rsidRPr="009C58C4">
              <w:rPr>
                <w:b/>
                <w:sz w:val="22"/>
                <w:szCs w:val="22"/>
                <w:lang w:val="sr-Latn-ME"/>
              </w:rPr>
              <w:t>trametiniba</w:t>
            </w:r>
          </w:p>
        </w:tc>
      </w:tr>
      <w:tr w:rsidR="00CA0C50" w:rsidRPr="009C58C4" w14:paraId="025C8E2E" w14:textId="77777777" w:rsidTr="00C87F6C">
        <w:trPr>
          <w:cantSplit/>
        </w:trPr>
        <w:tc>
          <w:tcPr>
            <w:tcW w:w="3148" w:type="dxa"/>
            <w:shd w:val="clear" w:color="auto" w:fill="FFFFFF"/>
            <w:tcMar>
              <w:top w:w="0" w:type="dxa"/>
              <w:left w:w="108" w:type="dxa"/>
              <w:bottom w:w="0" w:type="dxa"/>
              <w:right w:w="108" w:type="dxa"/>
            </w:tcMar>
          </w:tcPr>
          <w:p w14:paraId="6A4D9964" w14:textId="77777777" w:rsidR="00CA0C50" w:rsidRPr="009C58C4" w:rsidRDefault="00CA0C50" w:rsidP="00226369">
            <w:pPr>
              <w:keepNext/>
              <w:widowControl w:val="0"/>
              <w:jc w:val="both"/>
              <w:rPr>
                <w:sz w:val="22"/>
                <w:szCs w:val="22"/>
                <w:lang w:val="sr-Latn-ME"/>
              </w:rPr>
            </w:pPr>
            <w:r w:rsidRPr="009C58C4">
              <w:rPr>
                <w:sz w:val="22"/>
                <w:szCs w:val="22"/>
                <w:lang w:val="sr-Latn-ME"/>
              </w:rPr>
              <w:t>Gradus 1 ili gradus 2 (podnošljiv)</w:t>
            </w:r>
          </w:p>
        </w:tc>
        <w:tc>
          <w:tcPr>
            <w:tcW w:w="5805" w:type="dxa"/>
            <w:shd w:val="clear" w:color="auto" w:fill="FFFFFF"/>
            <w:tcMar>
              <w:top w:w="0" w:type="dxa"/>
              <w:left w:w="108" w:type="dxa"/>
              <w:bottom w:w="0" w:type="dxa"/>
              <w:right w:w="108" w:type="dxa"/>
            </w:tcMar>
          </w:tcPr>
          <w:p w14:paraId="3E02895D" w14:textId="43F2039B" w:rsidR="00CA0C50" w:rsidRPr="009C58C4" w:rsidRDefault="00CA0C50" w:rsidP="00226369">
            <w:pPr>
              <w:keepNext/>
              <w:widowControl w:val="0"/>
              <w:jc w:val="both"/>
              <w:rPr>
                <w:sz w:val="22"/>
                <w:szCs w:val="22"/>
                <w:lang w:val="sr-Latn-ME"/>
              </w:rPr>
            </w:pPr>
            <w:r w:rsidRPr="009C58C4">
              <w:rPr>
                <w:sz w:val="22"/>
                <w:szCs w:val="22"/>
                <w:lang w:val="sr-Latn-ME"/>
              </w:rPr>
              <w:t>Nastaviti s</w:t>
            </w:r>
            <w:r w:rsidR="00226369" w:rsidRPr="009C58C4">
              <w:rPr>
                <w:sz w:val="22"/>
                <w:szCs w:val="22"/>
                <w:lang w:val="sr-Latn-ME"/>
              </w:rPr>
              <w:t>a</w:t>
            </w:r>
            <w:r w:rsidRPr="009C58C4">
              <w:rPr>
                <w:sz w:val="22"/>
                <w:szCs w:val="22"/>
                <w:lang w:val="sr-Latn-ME"/>
              </w:rPr>
              <w:t xml:space="preserve"> </w:t>
            </w:r>
            <w:r w:rsidR="007F2563" w:rsidRPr="009C58C4">
              <w:rPr>
                <w:sz w:val="22"/>
                <w:szCs w:val="22"/>
                <w:lang w:val="sr-Latn-ME"/>
              </w:rPr>
              <w:t>liječ</w:t>
            </w:r>
            <w:r w:rsidRPr="009C58C4">
              <w:rPr>
                <w:sz w:val="22"/>
                <w:szCs w:val="22"/>
                <w:lang w:val="sr-Latn-ME"/>
              </w:rPr>
              <w:t>enjem i pratiti prema kliničkoj indikaciji.</w:t>
            </w:r>
          </w:p>
        </w:tc>
      </w:tr>
      <w:tr w:rsidR="00CA0C50" w:rsidRPr="009C58C4" w14:paraId="4AF48B7B" w14:textId="77777777" w:rsidTr="00C87F6C">
        <w:trPr>
          <w:cantSplit/>
        </w:trPr>
        <w:tc>
          <w:tcPr>
            <w:tcW w:w="3148" w:type="dxa"/>
            <w:shd w:val="clear" w:color="auto" w:fill="FFFFFF"/>
            <w:tcMar>
              <w:top w:w="0" w:type="dxa"/>
              <w:left w:w="108" w:type="dxa"/>
              <w:bottom w:w="0" w:type="dxa"/>
              <w:right w:w="108" w:type="dxa"/>
            </w:tcMar>
          </w:tcPr>
          <w:p w14:paraId="33C72293" w14:textId="77777777" w:rsidR="00CA0C50" w:rsidRPr="009C58C4" w:rsidRDefault="00CA0C50" w:rsidP="00226369">
            <w:pPr>
              <w:keepNext/>
              <w:widowControl w:val="0"/>
              <w:jc w:val="both"/>
              <w:rPr>
                <w:sz w:val="22"/>
                <w:szCs w:val="22"/>
                <w:lang w:val="sr-Latn-ME"/>
              </w:rPr>
            </w:pPr>
            <w:r w:rsidRPr="009C58C4">
              <w:rPr>
                <w:sz w:val="22"/>
                <w:szCs w:val="22"/>
                <w:lang w:val="sr-Latn-ME"/>
              </w:rPr>
              <w:t>Gradus 2 (nepodnošljiv) ili gradus 3</w:t>
            </w:r>
          </w:p>
        </w:tc>
        <w:tc>
          <w:tcPr>
            <w:tcW w:w="5805" w:type="dxa"/>
            <w:shd w:val="clear" w:color="auto" w:fill="FFFFFF"/>
            <w:tcMar>
              <w:top w:w="0" w:type="dxa"/>
              <w:left w:w="108" w:type="dxa"/>
              <w:bottom w:w="0" w:type="dxa"/>
              <w:right w:w="108" w:type="dxa"/>
            </w:tcMar>
          </w:tcPr>
          <w:p w14:paraId="79862D27" w14:textId="77777777" w:rsidR="00CA0C50" w:rsidRPr="009C58C4" w:rsidRDefault="00CA0C50" w:rsidP="00226369">
            <w:pPr>
              <w:keepNext/>
              <w:widowControl w:val="0"/>
              <w:jc w:val="both"/>
              <w:rPr>
                <w:sz w:val="22"/>
                <w:szCs w:val="22"/>
                <w:lang w:val="sr-Latn-ME"/>
              </w:rPr>
            </w:pPr>
            <w:r w:rsidRPr="009C58C4">
              <w:rPr>
                <w:sz w:val="22"/>
                <w:szCs w:val="22"/>
                <w:lang w:val="sr-Latn-ME"/>
              </w:rPr>
              <w:t>Privremeno prekinuti sa terapijom dok nivo toksičnosti ne bude 0 ili gradusa 1, a pri nastavljanju terapije dozu smanjiti za jedan nivo.</w:t>
            </w:r>
          </w:p>
          <w:p w14:paraId="2B7F3A83" w14:textId="5385440D" w:rsidR="00CA0C50" w:rsidRPr="009C58C4" w:rsidRDefault="00F46CDF" w:rsidP="00226369">
            <w:pPr>
              <w:keepNext/>
              <w:widowControl w:val="0"/>
              <w:jc w:val="both"/>
              <w:rPr>
                <w:sz w:val="22"/>
                <w:szCs w:val="22"/>
                <w:lang w:val="sr-Latn-ME"/>
              </w:rPr>
            </w:pPr>
            <w:r w:rsidRPr="009C58C4">
              <w:rPr>
                <w:sz w:val="22"/>
                <w:szCs w:val="22"/>
                <w:lang w:val="sr-Latn-ME"/>
              </w:rPr>
              <w:t>Vidjet</w:t>
            </w:r>
            <w:r w:rsidR="00CA0C50" w:rsidRPr="009C58C4">
              <w:rPr>
                <w:sz w:val="22"/>
                <w:szCs w:val="22"/>
                <w:lang w:val="sr-Latn-ME"/>
              </w:rPr>
              <w:t>i tabelu 3 za uputstvo o prilagođavanju doze.</w:t>
            </w:r>
          </w:p>
        </w:tc>
      </w:tr>
      <w:tr w:rsidR="00CA0C50" w:rsidRPr="009C58C4" w14:paraId="3F4D27E9" w14:textId="77777777" w:rsidTr="00C87F6C">
        <w:trPr>
          <w:cantSplit/>
        </w:trPr>
        <w:tc>
          <w:tcPr>
            <w:tcW w:w="3148" w:type="dxa"/>
            <w:shd w:val="clear" w:color="auto" w:fill="FFFFFF"/>
            <w:tcMar>
              <w:top w:w="0" w:type="dxa"/>
              <w:left w:w="108" w:type="dxa"/>
              <w:bottom w:w="0" w:type="dxa"/>
              <w:right w:w="108" w:type="dxa"/>
            </w:tcMar>
          </w:tcPr>
          <w:p w14:paraId="2297C9FF" w14:textId="77777777" w:rsidR="00CA0C50" w:rsidRPr="009C58C4" w:rsidRDefault="00CA0C50" w:rsidP="00226369">
            <w:pPr>
              <w:keepNext/>
              <w:widowControl w:val="0"/>
              <w:jc w:val="both"/>
              <w:rPr>
                <w:sz w:val="22"/>
                <w:szCs w:val="22"/>
                <w:lang w:val="sr-Latn-ME"/>
              </w:rPr>
            </w:pPr>
            <w:r w:rsidRPr="009C58C4">
              <w:rPr>
                <w:sz w:val="22"/>
                <w:szCs w:val="22"/>
                <w:lang w:val="sr-Latn-ME"/>
              </w:rPr>
              <w:t>Gradus 4</w:t>
            </w:r>
          </w:p>
        </w:tc>
        <w:tc>
          <w:tcPr>
            <w:tcW w:w="5805" w:type="dxa"/>
            <w:shd w:val="clear" w:color="auto" w:fill="FFFFFF"/>
            <w:tcMar>
              <w:top w:w="0" w:type="dxa"/>
              <w:left w:w="108" w:type="dxa"/>
              <w:bottom w:w="0" w:type="dxa"/>
              <w:right w:w="108" w:type="dxa"/>
            </w:tcMar>
          </w:tcPr>
          <w:p w14:paraId="342D0D16" w14:textId="77777777" w:rsidR="00CA0C50" w:rsidRPr="009C58C4" w:rsidRDefault="00CA0C50" w:rsidP="00226369">
            <w:pPr>
              <w:keepNext/>
              <w:widowControl w:val="0"/>
              <w:jc w:val="both"/>
              <w:rPr>
                <w:sz w:val="22"/>
                <w:szCs w:val="22"/>
                <w:lang w:val="sr-Latn-ME"/>
              </w:rPr>
            </w:pPr>
            <w:r w:rsidRPr="009C58C4">
              <w:rPr>
                <w:sz w:val="22"/>
                <w:szCs w:val="22"/>
                <w:lang w:val="sr-Latn-ME"/>
              </w:rPr>
              <w:t>Trajno obustaviti, ili prekinuti terapiju dok se ne postigne 0 ili  gradus 1, a zatim nastaviti terapiju dozom smanjenom za jedan nivo.</w:t>
            </w:r>
          </w:p>
          <w:p w14:paraId="3F5BC97A" w14:textId="583E7C57" w:rsidR="00CA0C50" w:rsidRPr="009C58C4" w:rsidRDefault="00F46CDF" w:rsidP="00226369">
            <w:pPr>
              <w:keepNext/>
              <w:widowControl w:val="0"/>
              <w:jc w:val="both"/>
              <w:rPr>
                <w:sz w:val="22"/>
                <w:szCs w:val="22"/>
                <w:lang w:val="sr-Latn-ME"/>
              </w:rPr>
            </w:pPr>
            <w:r w:rsidRPr="009C58C4">
              <w:rPr>
                <w:sz w:val="22"/>
                <w:szCs w:val="22"/>
                <w:lang w:val="sr-Latn-ME"/>
              </w:rPr>
              <w:t>Vidjet</w:t>
            </w:r>
            <w:r w:rsidR="00CA0C50" w:rsidRPr="009C58C4">
              <w:rPr>
                <w:sz w:val="22"/>
                <w:szCs w:val="22"/>
                <w:lang w:val="sr-Latn-ME"/>
              </w:rPr>
              <w:t>i tabelu 3 za uputstvo o prilagođavanju doze.</w:t>
            </w:r>
          </w:p>
        </w:tc>
      </w:tr>
      <w:tr w:rsidR="00CA0C50" w:rsidRPr="009C58C4" w14:paraId="52A8B3F9" w14:textId="77777777" w:rsidTr="00C87F6C">
        <w:trPr>
          <w:cantSplit/>
        </w:trPr>
        <w:tc>
          <w:tcPr>
            <w:tcW w:w="8953" w:type="dxa"/>
            <w:gridSpan w:val="2"/>
            <w:shd w:val="clear" w:color="auto" w:fill="FFFFFF"/>
            <w:tcMar>
              <w:top w:w="0" w:type="dxa"/>
              <w:left w:w="108" w:type="dxa"/>
              <w:bottom w:w="0" w:type="dxa"/>
              <w:right w:w="108" w:type="dxa"/>
            </w:tcMar>
          </w:tcPr>
          <w:p w14:paraId="0E00E047" w14:textId="29649EFC" w:rsidR="00CA0C50" w:rsidRPr="009C58C4" w:rsidRDefault="00CA0C50" w:rsidP="00226369">
            <w:pPr>
              <w:widowControl w:val="0"/>
              <w:jc w:val="both"/>
              <w:rPr>
                <w:sz w:val="22"/>
                <w:szCs w:val="22"/>
                <w:lang w:val="sr-Latn-ME"/>
              </w:rPr>
            </w:pPr>
            <w:r w:rsidRPr="009C58C4">
              <w:rPr>
                <w:sz w:val="22"/>
                <w:szCs w:val="22"/>
                <w:lang w:val="sr-Latn-ME"/>
              </w:rPr>
              <w:t xml:space="preserve">* Intenzitet kliničkih neželjenih reakcija </w:t>
            </w:r>
            <w:r w:rsidR="007F2563" w:rsidRPr="009C58C4">
              <w:rPr>
                <w:sz w:val="22"/>
                <w:szCs w:val="22"/>
                <w:lang w:val="sr-Latn-ME"/>
              </w:rPr>
              <w:t>procjen</w:t>
            </w:r>
            <w:r w:rsidRPr="009C58C4">
              <w:rPr>
                <w:sz w:val="22"/>
                <w:szCs w:val="22"/>
                <w:lang w:val="sr-Latn-ME"/>
              </w:rPr>
              <w:t xml:space="preserve">jivan prema zajedničkim terminološkim kriterijumima za neželjene reakcije (engl. </w:t>
            </w:r>
            <w:r w:rsidRPr="009C58C4">
              <w:rPr>
                <w:i/>
                <w:sz w:val="22"/>
                <w:szCs w:val="22"/>
                <w:lang w:val="sr-Latn-ME"/>
              </w:rPr>
              <w:t>Common Terminology Criteria for Adverse Events</w:t>
            </w:r>
            <w:r w:rsidRPr="009C58C4">
              <w:rPr>
                <w:sz w:val="22"/>
                <w:szCs w:val="22"/>
                <w:lang w:val="sr-Latn-ME"/>
              </w:rPr>
              <w:t>, CTCAE)</w:t>
            </w:r>
          </w:p>
        </w:tc>
      </w:tr>
    </w:tbl>
    <w:p w14:paraId="2D0D296E" w14:textId="77777777" w:rsidR="00CA0C50" w:rsidRPr="009C58C4" w:rsidRDefault="00CA0C50" w:rsidP="00226369">
      <w:pPr>
        <w:autoSpaceDE w:val="0"/>
        <w:autoSpaceDN w:val="0"/>
        <w:adjustRightInd w:val="0"/>
        <w:jc w:val="both"/>
        <w:rPr>
          <w:bCs/>
          <w:sz w:val="22"/>
          <w:szCs w:val="22"/>
          <w:lang w:val="sr-Latn-ME"/>
        </w:rPr>
      </w:pPr>
    </w:p>
    <w:p w14:paraId="6CFB2FDC" w14:textId="77777777" w:rsidR="00CA0C50" w:rsidRPr="009C58C4" w:rsidRDefault="00CA0C50" w:rsidP="00226369">
      <w:pPr>
        <w:autoSpaceDE w:val="0"/>
        <w:autoSpaceDN w:val="0"/>
        <w:adjustRightInd w:val="0"/>
        <w:jc w:val="both"/>
        <w:rPr>
          <w:sz w:val="22"/>
          <w:szCs w:val="22"/>
          <w:lang w:val="sr-Latn-ME"/>
        </w:rPr>
      </w:pPr>
      <w:bookmarkStart w:id="6" w:name="_Hlk129609348"/>
      <w:r w:rsidRPr="009C58C4">
        <w:rPr>
          <w:sz w:val="22"/>
          <w:szCs w:val="22"/>
          <w:lang w:val="sr-Latn-ME"/>
        </w:rPr>
        <w:t>Preporučeno smanjenje doze na otprilike 75 % preporučene doze (prvi nivo smanjenja doze) i na otprilike 50 % preporučene doze (drugi nivo smanjenja doze) su prikazani u tabeli 3.</w:t>
      </w:r>
    </w:p>
    <w:bookmarkEnd w:id="6"/>
    <w:p w14:paraId="7B67EF06" w14:textId="77777777" w:rsidR="00CA0C50" w:rsidRPr="009C58C4" w:rsidRDefault="00CA0C50" w:rsidP="00226369">
      <w:pPr>
        <w:autoSpaceDE w:val="0"/>
        <w:autoSpaceDN w:val="0"/>
        <w:adjustRightInd w:val="0"/>
        <w:jc w:val="both"/>
        <w:rPr>
          <w:bCs/>
          <w:sz w:val="22"/>
          <w:szCs w:val="22"/>
          <w:lang w:val="sr-Latn-ME"/>
        </w:rPr>
      </w:pPr>
    </w:p>
    <w:p w14:paraId="5D49ACCB" w14:textId="77777777" w:rsidR="00CA0C50" w:rsidRPr="009C58C4" w:rsidRDefault="00CA0C50" w:rsidP="00226369">
      <w:pPr>
        <w:keepNext/>
        <w:autoSpaceDE w:val="0"/>
        <w:autoSpaceDN w:val="0"/>
        <w:adjustRightInd w:val="0"/>
        <w:jc w:val="both"/>
        <w:rPr>
          <w:b/>
          <w:sz w:val="22"/>
          <w:szCs w:val="22"/>
          <w:lang w:val="sr-Latn-ME"/>
        </w:rPr>
      </w:pPr>
      <w:bookmarkStart w:id="7" w:name="_Hlk126860984"/>
      <w:r w:rsidRPr="009C58C4">
        <w:rPr>
          <w:b/>
          <w:sz w:val="22"/>
          <w:szCs w:val="22"/>
          <w:lang w:val="sr-Latn-ME"/>
        </w:rPr>
        <w:t>Tabela 3</w:t>
      </w:r>
      <w:r w:rsidRPr="009C58C4">
        <w:rPr>
          <w:b/>
          <w:sz w:val="22"/>
          <w:szCs w:val="22"/>
          <w:lang w:val="sr-Latn-ME"/>
        </w:rPr>
        <w:tab/>
      </w:r>
      <w:bookmarkStart w:id="8" w:name="_Hlk134462177"/>
      <w:r w:rsidRPr="009C58C4">
        <w:rPr>
          <w:b/>
          <w:sz w:val="22"/>
          <w:szCs w:val="22"/>
          <w:lang w:val="sr-Latn-ME"/>
        </w:rPr>
        <w:t xml:space="preserve">Preporučeno prilagođavanje doze kod </w:t>
      </w:r>
      <w:bookmarkEnd w:id="8"/>
      <w:r w:rsidRPr="009C58C4">
        <w:rPr>
          <w:b/>
          <w:sz w:val="22"/>
          <w:szCs w:val="22"/>
          <w:lang w:val="sr-Latn-ME"/>
        </w:rPr>
        <w:t>neželjenih reakcija</w:t>
      </w:r>
    </w:p>
    <w:p w14:paraId="6E76CC13" w14:textId="77777777" w:rsidR="00CA0C50" w:rsidRPr="009C58C4" w:rsidRDefault="00CA0C50" w:rsidP="00226369">
      <w:pPr>
        <w:keepNext/>
        <w:autoSpaceDE w:val="0"/>
        <w:autoSpaceDN w:val="0"/>
        <w:adjustRightInd w:val="0"/>
        <w:jc w:val="both"/>
        <w:rPr>
          <w:sz w:val="22"/>
          <w:szCs w:val="22"/>
          <w:lang w:val="sr-Latn-ME"/>
        </w:rPr>
      </w:pPr>
    </w:p>
    <w:tbl>
      <w:tblPr>
        <w:tblW w:w="0" w:type="auto"/>
        <w:tblCellMar>
          <w:left w:w="0" w:type="dxa"/>
          <w:right w:w="0" w:type="dxa"/>
        </w:tblCellMar>
        <w:tblLook w:val="04A0" w:firstRow="1" w:lastRow="0" w:firstColumn="1" w:lastColumn="0" w:noHBand="0" w:noVBand="1"/>
      </w:tblPr>
      <w:tblGrid>
        <w:gridCol w:w="1880"/>
        <w:gridCol w:w="2788"/>
        <w:gridCol w:w="1887"/>
        <w:gridCol w:w="1940"/>
      </w:tblGrid>
      <w:tr w:rsidR="00CA0C50" w:rsidRPr="009C58C4" w14:paraId="216E4F9A" w14:textId="77777777" w:rsidTr="00C87F6C">
        <w:trPr>
          <w:cantSplit/>
        </w:trPr>
        <w:tc>
          <w:tcPr>
            <w:tcW w:w="1880"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bookmarkEnd w:id="7"/>
          <w:p w14:paraId="5E7FD70F" w14:textId="310EBB4D" w:rsidR="00CA0C50" w:rsidRPr="009C58C4" w:rsidRDefault="00F46CDF" w:rsidP="00226369">
            <w:pPr>
              <w:keepNext/>
              <w:keepLines/>
              <w:widowControl w:val="0"/>
              <w:jc w:val="both"/>
              <w:rPr>
                <w:rFonts w:eastAsia="Calibri"/>
                <w:b/>
                <w:sz w:val="22"/>
                <w:szCs w:val="22"/>
                <w:lang w:val="sr-Latn-ME"/>
              </w:rPr>
            </w:pPr>
            <w:r w:rsidRPr="009C58C4">
              <w:rPr>
                <w:b/>
                <w:bCs/>
                <w:sz w:val="22"/>
                <w:szCs w:val="22"/>
                <w:lang w:val="sr-Latn-ME"/>
              </w:rPr>
              <w:t>Tjeles</w:t>
            </w:r>
            <w:r w:rsidR="00CA0C50" w:rsidRPr="009C58C4">
              <w:rPr>
                <w:b/>
                <w:bCs/>
                <w:sz w:val="22"/>
                <w:szCs w:val="22"/>
                <w:lang w:val="sr-Latn-ME"/>
              </w:rPr>
              <w:t>na masa</w:t>
            </w:r>
          </w:p>
        </w:tc>
        <w:tc>
          <w:tcPr>
            <w:tcW w:w="2788" w:type="dxa"/>
            <w:tcBorders>
              <w:top w:val="single" w:sz="4" w:space="0" w:color="auto"/>
              <w:left w:val="single" w:sz="8" w:space="0" w:color="auto"/>
              <w:bottom w:val="single" w:sz="4" w:space="0" w:color="auto"/>
              <w:right w:val="single" w:sz="8" w:space="0" w:color="auto"/>
            </w:tcBorders>
            <w:vAlign w:val="center"/>
          </w:tcPr>
          <w:p w14:paraId="696A327D" w14:textId="77777777" w:rsidR="00CA0C50" w:rsidRPr="009C58C4" w:rsidRDefault="00CA0C50" w:rsidP="00226369">
            <w:pPr>
              <w:keepNext/>
              <w:keepLines/>
              <w:widowControl w:val="0"/>
              <w:jc w:val="both"/>
              <w:rPr>
                <w:rFonts w:eastAsia="Calibri"/>
                <w:b/>
                <w:sz w:val="22"/>
                <w:szCs w:val="22"/>
                <w:lang w:val="sr-Latn-ME"/>
              </w:rPr>
            </w:pPr>
            <w:r w:rsidRPr="009C58C4">
              <w:rPr>
                <w:rFonts w:eastAsia="Calibri"/>
                <w:b/>
                <w:sz w:val="22"/>
                <w:szCs w:val="22"/>
                <w:lang w:val="sr-Latn-ME"/>
              </w:rPr>
              <w:t>Preporučena doza</w:t>
            </w:r>
          </w:p>
        </w:tc>
        <w:tc>
          <w:tcPr>
            <w:tcW w:w="3827" w:type="dxa"/>
            <w:gridSpan w:val="2"/>
            <w:tcBorders>
              <w:top w:val="single" w:sz="4" w:space="0" w:color="auto"/>
              <w:left w:val="single" w:sz="8" w:space="0" w:color="auto"/>
              <w:bottom w:val="single" w:sz="4" w:space="0" w:color="auto"/>
              <w:right w:val="single" w:sz="8" w:space="0" w:color="auto"/>
            </w:tcBorders>
            <w:vAlign w:val="center"/>
          </w:tcPr>
          <w:p w14:paraId="2A1FCFA9" w14:textId="77777777" w:rsidR="00CA0C50" w:rsidRPr="009C58C4" w:rsidRDefault="00CA0C50" w:rsidP="00226369">
            <w:pPr>
              <w:keepNext/>
              <w:keepLines/>
              <w:widowControl w:val="0"/>
              <w:jc w:val="both"/>
              <w:rPr>
                <w:rFonts w:eastAsia="Calibri"/>
                <w:b/>
                <w:sz w:val="22"/>
                <w:szCs w:val="22"/>
                <w:lang w:val="sr-Latn-ME"/>
              </w:rPr>
            </w:pPr>
            <w:r w:rsidRPr="009C58C4">
              <w:rPr>
                <w:rFonts w:eastAsia="Calibri"/>
                <w:b/>
                <w:sz w:val="22"/>
                <w:szCs w:val="22"/>
                <w:lang w:val="sr-Latn-ME"/>
              </w:rPr>
              <w:t>Smanjena doza</w:t>
            </w:r>
          </w:p>
        </w:tc>
      </w:tr>
      <w:tr w:rsidR="00CA0C50" w:rsidRPr="009C58C4" w14:paraId="3140F33F" w14:textId="77777777" w:rsidTr="00C87F6C">
        <w:trPr>
          <w:cantSplit/>
        </w:trPr>
        <w:tc>
          <w:tcPr>
            <w:tcW w:w="1880"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FF08C2E" w14:textId="77777777" w:rsidR="00CA0C50" w:rsidRPr="009C58C4" w:rsidRDefault="00CA0C50" w:rsidP="00226369">
            <w:pPr>
              <w:keepNext/>
              <w:keepLines/>
              <w:widowControl w:val="0"/>
              <w:jc w:val="both"/>
              <w:rPr>
                <w:rFonts w:eastAsia="Calibri"/>
                <w:b/>
                <w:sz w:val="22"/>
                <w:szCs w:val="22"/>
                <w:lang w:val="sr-Latn-ME"/>
              </w:rPr>
            </w:pPr>
          </w:p>
        </w:tc>
        <w:tc>
          <w:tcPr>
            <w:tcW w:w="2788" w:type="dxa"/>
            <w:tcBorders>
              <w:top w:val="single" w:sz="4" w:space="0" w:color="auto"/>
              <w:left w:val="single" w:sz="8" w:space="0" w:color="auto"/>
              <w:bottom w:val="single" w:sz="4" w:space="0" w:color="auto"/>
              <w:right w:val="single" w:sz="8" w:space="0" w:color="auto"/>
            </w:tcBorders>
            <w:vAlign w:val="center"/>
          </w:tcPr>
          <w:p w14:paraId="6A3E9441" w14:textId="6819601B" w:rsidR="00CA0C50" w:rsidRPr="009C58C4" w:rsidRDefault="006656BE" w:rsidP="00226369">
            <w:pPr>
              <w:keepNext/>
              <w:keepLines/>
              <w:widowControl w:val="0"/>
              <w:jc w:val="both"/>
              <w:rPr>
                <w:rFonts w:eastAsia="Calibri"/>
                <w:b/>
                <w:bCs/>
                <w:sz w:val="22"/>
                <w:szCs w:val="22"/>
                <w:lang w:val="sr-Latn-ME"/>
              </w:rPr>
            </w:pPr>
            <w:r w:rsidRPr="009C58C4">
              <w:rPr>
                <w:rFonts w:eastAsia="Calibri"/>
                <w:b/>
                <w:bCs/>
                <w:sz w:val="22"/>
                <w:szCs w:val="22"/>
                <w:lang w:val="sr-Latn-ME"/>
              </w:rPr>
              <w:t>ml</w:t>
            </w:r>
            <w:r w:rsidR="00CA0C50" w:rsidRPr="009C58C4">
              <w:rPr>
                <w:rFonts w:eastAsia="Calibri"/>
                <w:b/>
                <w:bCs/>
                <w:sz w:val="22"/>
                <w:szCs w:val="22"/>
                <w:lang w:val="sr-Latn-ME"/>
              </w:rPr>
              <w:t xml:space="preserve"> rastvora (mg trametiniba)</w:t>
            </w:r>
          </w:p>
          <w:p w14:paraId="7DCA6FC1" w14:textId="77777777" w:rsidR="00CA0C50" w:rsidRPr="009C58C4" w:rsidRDefault="00CA0C50" w:rsidP="00226369">
            <w:pPr>
              <w:keepNext/>
              <w:keepLines/>
              <w:widowControl w:val="0"/>
              <w:jc w:val="both"/>
              <w:rPr>
                <w:rFonts w:eastAsia="Calibri"/>
                <w:b/>
                <w:bCs/>
                <w:sz w:val="22"/>
                <w:szCs w:val="22"/>
                <w:lang w:val="sr-Latn-ME"/>
              </w:rPr>
            </w:pPr>
            <w:r w:rsidRPr="009C58C4">
              <w:rPr>
                <w:rFonts w:eastAsia="Calibri"/>
                <w:b/>
                <w:bCs/>
                <w:sz w:val="22"/>
                <w:szCs w:val="22"/>
                <w:lang w:val="sr-Latn-ME"/>
              </w:rPr>
              <w:t>(jedanput dnevno)</w:t>
            </w:r>
          </w:p>
        </w:tc>
        <w:tc>
          <w:tcPr>
            <w:tcW w:w="1887" w:type="dxa"/>
            <w:tcBorders>
              <w:top w:val="single" w:sz="4" w:space="0" w:color="auto"/>
              <w:left w:val="single" w:sz="8" w:space="0" w:color="auto"/>
              <w:bottom w:val="single" w:sz="4" w:space="0" w:color="auto"/>
              <w:right w:val="single" w:sz="8" w:space="0" w:color="auto"/>
            </w:tcBorders>
            <w:vAlign w:val="center"/>
          </w:tcPr>
          <w:p w14:paraId="5A2E3FC4" w14:textId="77777777" w:rsidR="00CA0C50" w:rsidRPr="009C58C4" w:rsidRDefault="00CA0C50" w:rsidP="00226369">
            <w:pPr>
              <w:keepNext/>
              <w:keepLines/>
              <w:widowControl w:val="0"/>
              <w:jc w:val="both"/>
              <w:rPr>
                <w:rFonts w:eastAsia="Calibri"/>
                <w:b/>
                <w:bCs/>
                <w:sz w:val="22"/>
                <w:szCs w:val="22"/>
                <w:lang w:val="sr-Latn-ME"/>
              </w:rPr>
            </w:pPr>
            <w:r w:rsidRPr="009C58C4">
              <w:rPr>
                <w:rFonts w:eastAsia="Calibri"/>
                <w:b/>
                <w:bCs/>
                <w:sz w:val="22"/>
                <w:szCs w:val="22"/>
                <w:lang w:val="sr-Latn-ME"/>
              </w:rPr>
              <w:t>Doza nakon prvog smanjenja</w:t>
            </w:r>
          </w:p>
          <w:p w14:paraId="3B511766" w14:textId="77777777" w:rsidR="00CA0C50" w:rsidRPr="009C58C4" w:rsidRDefault="00CA0C50" w:rsidP="00226369">
            <w:pPr>
              <w:keepNext/>
              <w:keepLines/>
              <w:widowControl w:val="0"/>
              <w:jc w:val="both"/>
              <w:rPr>
                <w:rFonts w:eastAsia="Calibri"/>
                <w:b/>
                <w:bCs/>
                <w:sz w:val="22"/>
                <w:szCs w:val="22"/>
                <w:lang w:val="sr-Latn-ME"/>
              </w:rPr>
            </w:pPr>
            <w:r w:rsidRPr="009C58C4">
              <w:rPr>
                <w:rFonts w:eastAsia="Calibri"/>
                <w:b/>
                <w:bCs/>
                <w:sz w:val="22"/>
                <w:szCs w:val="22"/>
                <w:lang w:val="sr-Latn-ME"/>
              </w:rPr>
              <w:t>(jedanput dnevno)</w:t>
            </w:r>
          </w:p>
        </w:tc>
        <w:tc>
          <w:tcPr>
            <w:tcW w:w="1940" w:type="dxa"/>
            <w:tcBorders>
              <w:top w:val="single" w:sz="4" w:space="0" w:color="auto"/>
              <w:left w:val="single" w:sz="8" w:space="0" w:color="auto"/>
              <w:bottom w:val="single" w:sz="4" w:space="0" w:color="auto"/>
              <w:right w:val="single" w:sz="8" w:space="0" w:color="auto"/>
            </w:tcBorders>
            <w:vAlign w:val="center"/>
          </w:tcPr>
          <w:p w14:paraId="30FB6BB0" w14:textId="77777777" w:rsidR="00CA0C50" w:rsidRPr="009C58C4" w:rsidRDefault="00CA0C50" w:rsidP="00226369">
            <w:pPr>
              <w:keepNext/>
              <w:keepLines/>
              <w:widowControl w:val="0"/>
              <w:jc w:val="both"/>
              <w:rPr>
                <w:rFonts w:eastAsia="Calibri"/>
                <w:b/>
                <w:bCs/>
                <w:sz w:val="22"/>
                <w:szCs w:val="22"/>
                <w:lang w:val="sr-Latn-ME"/>
              </w:rPr>
            </w:pPr>
            <w:r w:rsidRPr="009C58C4">
              <w:rPr>
                <w:rFonts w:eastAsia="Calibri"/>
                <w:b/>
                <w:bCs/>
                <w:sz w:val="22"/>
                <w:szCs w:val="22"/>
                <w:lang w:val="sr-Latn-ME"/>
              </w:rPr>
              <w:t>Doza nakon drugog smanjenja</w:t>
            </w:r>
          </w:p>
          <w:p w14:paraId="385F0B4A" w14:textId="77777777" w:rsidR="00CA0C50" w:rsidRPr="009C58C4" w:rsidRDefault="00CA0C50" w:rsidP="00226369">
            <w:pPr>
              <w:keepNext/>
              <w:keepLines/>
              <w:widowControl w:val="0"/>
              <w:jc w:val="both"/>
              <w:rPr>
                <w:rFonts w:eastAsia="Calibri"/>
                <w:b/>
                <w:bCs/>
                <w:sz w:val="22"/>
                <w:szCs w:val="22"/>
                <w:lang w:val="sr-Latn-ME"/>
              </w:rPr>
            </w:pPr>
            <w:r w:rsidRPr="009C58C4">
              <w:rPr>
                <w:rFonts w:eastAsia="Calibri"/>
                <w:b/>
                <w:bCs/>
                <w:sz w:val="22"/>
                <w:szCs w:val="22"/>
                <w:lang w:val="sr-Latn-ME"/>
              </w:rPr>
              <w:t>(jedanput dnevno)</w:t>
            </w:r>
          </w:p>
        </w:tc>
      </w:tr>
      <w:tr w:rsidR="00CA0C50" w:rsidRPr="009C58C4" w14:paraId="5A0A07E0"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3C077CD"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8 kg</w:t>
            </w:r>
          </w:p>
        </w:tc>
        <w:tc>
          <w:tcPr>
            <w:tcW w:w="2788" w:type="dxa"/>
            <w:tcBorders>
              <w:top w:val="single" w:sz="4" w:space="0" w:color="auto"/>
              <w:left w:val="single" w:sz="8" w:space="0" w:color="auto"/>
              <w:bottom w:val="single" w:sz="4" w:space="0" w:color="auto"/>
              <w:right w:val="single" w:sz="8" w:space="0" w:color="auto"/>
            </w:tcBorders>
            <w:vAlign w:val="center"/>
          </w:tcPr>
          <w:p w14:paraId="29C0CAFE" w14:textId="0FDE803F" w:rsidR="00CA0C50" w:rsidRPr="009C58C4" w:rsidRDefault="00CA0C50" w:rsidP="00226369">
            <w:pPr>
              <w:keepNext/>
              <w:keepLines/>
              <w:widowControl w:val="0"/>
              <w:jc w:val="both"/>
              <w:rPr>
                <w:sz w:val="22"/>
                <w:szCs w:val="22"/>
                <w:lang w:val="sr-Latn-ME"/>
              </w:rPr>
            </w:pPr>
            <w:r w:rsidRPr="009C58C4">
              <w:rPr>
                <w:sz w:val="22"/>
                <w:szCs w:val="22"/>
                <w:lang w:val="sr-Latn-ME"/>
              </w:rPr>
              <w:t>6 </w:t>
            </w:r>
            <w:r w:rsidR="006656BE" w:rsidRPr="009C58C4">
              <w:rPr>
                <w:sz w:val="22"/>
                <w:szCs w:val="22"/>
                <w:lang w:val="sr-Latn-ME"/>
              </w:rPr>
              <w:t>ml</w:t>
            </w:r>
            <w:r w:rsidRPr="009C58C4">
              <w:rPr>
                <w:sz w:val="22"/>
                <w:szCs w:val="22"/>
                <w:lang w:val="sr-Latn-ME"/>
              </w:rPr>
              <w:t xml:space="preserve"> (0,30 mg)</w:t>
            </w:r>
          </w:p>
        </w:tc>
        <w:tc>
          <w:tcPr>
            <w:tcW w:w="1887" w:type="dxa"/>
            <w:tcBorders>
              <w:top w:val="single" w:sz="4" w:space="0" w:color="auto"/>
              <w:left w:val="single" w:sz="8" w:space="0" w:color="auto"/>
              <w:bottom w:val="single" w:sz="4" w:space="0" w:color="auto"/>
              <w:right w:val="single" w:sz="8" w:space="0" w:color="auto"/>
            </w:tcBorders>
            <w:vAlign w:val="center"/>
          </w:tcPr>
          <w:p w14:paraId="64382BBE" w14:textId="78E67077" w:rsidR="00CA0C50" w:rsidRPr="009C58C4" w:rsidRDefault="00CA0C50" w:rsidP="00226369">
            <w:pPr>
              <w:keepNext/>
              <w:keepLines/>
              <w:widowControl w:val="0"/>
              <w:jc w:val="both"/>
              <w:rPr>
                <w:sz w:val="22"/>
                <w:szCs w:val="22"/>
                <w:lang w:val="sr-Latn-ME"/>
              </w:rPr>
            </w:pPr>
            <w:r w:rsidRPr="009C58C4">
              <w:rPr>
                <w:sz w:val="22"/>
                <w:szCs w:val="22"/>
                <w:lang w:val="sr-Latn-ME"/>
              </w:rPr>
              <w:t>5 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59F2FE13" w14:textId="2813B37C" w:rsidR="00CA0C50" w:rsidRPr="009C58C4" w:rsidRDefault="00CA0C50" w:rsidP="00226369">
            <w:pPr>
              <w:keepNext/>
              <w:keepLines/>
              <w:widowControl w:val="0"/>
              <w:jc w:val="both"/>
              <w:rPr>
                <w:sz w:val="22"/>
                <w:szCs w:val="22"/>
                <w:lang w:val="sr-Latn-ME"/>
              </w:rPr>
            </w:pPr>
            <w:r w:rsidRPr="009C58C4">
              <w:rPr>
                <w:sz w:val="22"/>
                <w:szCs w:val="22"/>
                <w:lang w:val="sr-Latn-ME"/>
              </w:rPr>
              <w:t>3 </w:t>
            </w:r>
            <w:r w:rsidR="006656BE" w:rsidRPr="009C58C4">
              <w:rPr>
                <w:sz w:val="22"/>
                <w:szCs w:val="22"/>
                <w:lang w:val="sr-Latn-ME"/>
              </w:rPr>
              <w:t>ml</w:t>
            </w:r>
          </w:p>
        </w:tc>
      </w:tr>
      <w:tr w:rsidR="00CA0C50" w:rsidRPr="009C58C4" w14:paraId="7B179000"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DD0892"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9 do 10 kg</w:t>
            </w:r>
          </w:p>
        </w:tc>
        <w:tc>
          <w:tcPr>
            <w:tcW w:w="2788" w:type="dxa"/>
            <w:tcBorders>
              <w:top w:val="single" w:sz="4" w:space="0" w:color="auto"/>
              <w:left w:val="single" w:sz="8" w:space="0" w:color="auto"/>
              <w:bottom w:val="single" w:sz="4" w:space="0" w:color="auto"/>
              <w:right w:val="single" w:sz="8" w:space="0" w:color="auto"/>
            </w:tcBorders>
            <w:vAlign w:val="center"/>
          </w:tcPr>
          <w:p w14:paraId="339EADF8" w14:textId="2D05943D" w:rsidR="00CA0C50" w:rsidRPr="009C58C4" w:rsidRDefault="00CA0C50" w:rsidP="00226369">
            <w:pPr>
              <w:keepNext/>
              <w:keepLines/>
              <w:widowControl w:val="0"/>
              <w:jc w:val="both"/>
              <w:rPr>
                <w:sz w:val="22"/>
                <w:szCs w:val="22"/>
                <w:lang w:val="sr-Latn-ME"/>
              </w:rPr>
            </w:pPr>
            <w:r w:rsidRPr="009C58C4">
              <w:rPr>
                <w:sz w:val="22"/>
                <w:szCs w:val="22"/>
                <w:lang w:val="sr-Latn-ME"/>
              </w:rPr>
              <w:t>7 </w:t>
            </w:r>
            <w:r w:rsidR="006656BE" w:rsidRPr="009C58C4">
              <w:rPr>
                <w:sz w:val="22"/>
                <w:szCs w:val="22"/>
                <w:lang w:val="sr-Latn-ME"/>
              </w:rPr>
              <w:t>ml</w:t>
            </w:r>
            <w:r w:rsidRPr="009C58C4">
              <w:rPr>
                <w:sz w:val="22"/>
                <w:szCs w:val="22"/>
                <w:lang w:val="sr-Latn-ME"/>
              </w:rPr>
              <w:t xml:space="preserve"> (0,35 mg)</w:t>
            </w:r>
          </w:p>
        </w:tc>
        <w:tc>
          <w:tcPr>
            <w:tcW w:w="1887" w:type="dxa"/>
            <w:tcBorders>
              <w:top w:val="single" w:sz="4" w:space="0" w:color="auto"/>
              <w:left w:val="single" w:sz="8" w:space="0" w:color="auto"/>
              <w:bottom w:val="single" w:sz="4" w:space="0" w:color="auto"/>
              <w:right w:val="single" w:sz="8" w:space="0" w:color="auto"/>
            </w:tcBorders>
            <w:vAlign w:val="center"/>
          </w:tcPr>
          <w:p w14:paraId="6984D045" w14:textId="148C636A" w:rsidR="00CA0C50" w:rsidRPr="009C58C4" w:rsidRDefault="00CA0C50" w:rsidP="00226369">
            <w:pPr>
              <w:keepNext/>
              <w:keepLines/>
              <w:widowControl w:val="0"/>
              <w:jc w:val="both"/>
              <w:rPr>
                <w:sz w:val="22"/>
                <w:szCs w:val="22"/>
                <w:lang w:val="sr-Latn-ME"/>
              </w:rPr>
            </w:pPr>
            <w:r w:rsidRPr="009C58C4">
              <w:rPr>
                <w:sz w:val="22"/>
                <w:szCs w:val="22"/>
                <w:lang w:val="sr-Latn-ME"/>
              </w:rPr>
              <w:t>5 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2736C45B" w14:textId="58A9FE35" w:rsidR="00CA0C50" w:rsidRPr="009C58C4" w:rsidRDefault="00CA0C50" w:rsidP="00226369">
            <w:pPr>
              <w:keepNext/>
              <w:keepLines/>
              <w:widowControl w:val="0"/>
              <w:jc w:val="both"/>
              <w:rPr>
                <w:sz w:val="22"/>
                <w:szCs w:val="22"/>
                <w:lang w:val="sr-Latn-ME"/>
              </w:rPr>
            </w:pPr>
            <w:r w:rsidRPr="009C58C4">
              <w:rPr>
                <w:sz w:val="22"/>
                <w:szCs w:val="22"/>
                <w:lang w:val="sr-Latn-ME"/>
              </w:rPr>
              <w:t>4 </w:t>
            </w:r>
            <w:r w:rsidR="006656BE" w:rsidRPr="009C58C4">
              <w:rPr>
                <w:sz w:val="22"/>
                <w:szCs w:val="22"/>
                <w:lang w:val="sr-Latn-ME"/>
              </w:rPr>
              <w:t>ml</w:t>
            </w:r>
          </w:p>
        </w:tc>
      </w:tr>
      <w:tr w:rsidR="00CA0C50" w:rsidRPr="009C58C4" w14:paraId="36773636"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1FC5200"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11 kg</w:t>
            </w:r>
          </w:p>
        </w:tc>
        <w:tc>
          <w:tcPr>
            <w:tcW w:w="2788" w:type="dxa"/>
            <w:tcBorders>
              <w:top w:val="single" w:sz="4" w:space="0" w:color="auto"/>
              <w:left w:val="single" w:sz="8" w:space="0" w:color="auto"/>
              <w:bottom w:val="single" w:sz="4" w:space="0" w:color="auto"/>
              <w:right w:val="single" w:sz="8" w:space="0" w:color="auto"/>
            </w:tcBorders>
            <w:vAlign w:val="center"/>
          </w:tcPr>
          <w:p w14:paraId="57E2A988" w14:textId="28E0EA55" w:rsidR="00CA0C50" w:rsidRPr="009C58C4" w:rsidRDefault="00CA0C50" w:rsidP="00226369">
            <w:pPr>
              <w:keepNext/>
              <w:keepLines/>
              <w:widowControl w:val="0"/>
              <w:jc w:val="both"/>
              <w:rPr>
                <w:sz w:val="22"/>
                <w:szCs w:val="22"/>
                <w:lang w:val="sr-Latn-ME"/>
              </w:rPr>
            </w:pPr>
            <w:r w:rsidRPr="009C58C4">
              <w:rPr>
                <w:sz w:val="22"/>
                <w:szCs w:val="22"/>
                <w:lang w:val="sr-Latn-ME"/>
              </w:rPr>
              <w:t>8 </w:t>
            </w:r>
            <w:r w:rsidR="006656BE" w:rsidRPr="009C58C4">
              <w:rPr>
                <w:sz w:val="22"/>
                <w:szCs w:val="22"/>
                <w:lang w:val="sr-Latn-ME"/>
              </w:rPr>
              <w:t>ml</w:t>
            </w:r>
            <w:r w:rsidRPr="009C58C4">
              <w:rPr>
                <w:sz w:val="22"/>
                <w:szCs w:val="22"/>
                <w:lang w:val="sr-Latn-ME"/>
              </w:rPr>
              <w:t xml:space="preserve"> (0,40 mg)</w:t>
            </w:r>
          </w:p>
        </w:tc>
        <w:tc>
          <w:tcPr>
            <w:tcW w:w="1887" w:type="dxa"/>
            <w:tcBorders>
              <w:top w:val="single" w:sz="4" w:space="0" w:color="auto"/>
              <w:left w:val="single" w:sz="8" w:space="0" w:color="auto"/>
              <w:bottom w:val="single" w:sz="4" w:space="0" w:color="auto"/>
              <w:right w:val="single" w:sz="8" w:space="0" w:color="auto"/>
            </w:tcBorders>
            <w:vAlign w:val="center"/>
          </w:tcPr>
          <w:p w14:paraId="2D8EB6F3" w14:textId="761DF58C" w:rsidR="00CA0C50" w:rsidRPr="009C58C4" w:rsidRDefault="00CA0C50" w:rsidP="00226369">
            <w:pPr>
              <w:keepNext/>
              <w:keepLines/>
              <w:widowControl w:val="0"/>
              <w:jc w:val="both"/>
              <w:rPr>
                <w:sz w:val="22"/>
                <w:szCs w:val="22"/>
                <w:lang w:val="sr-Latn-ME"/>
              </w:rPr>
            </w:pPr>
            <w:r w:rsidRPr="009C58C4">
              <w:rPr>
                <w:sz w:val="22"/>
                <w:szCs w:val="22"/>
                <w:lang w:val="sr-Latn-ME"/>
              </w:rPr>
              <w:t>6 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570D5B5F" w14:textId="2463CDC7" w:rsidR="00CA0C50" w:rsidRPr="009C58C4" w:rsidRDefault="00CA0C50" w:rsidP="00226369">
            <w:pPr>
              <w:keepNext/>
              <w:keepLines/>
              <w:widowControl w:val="0"/>
              <w:jc w:val="both"/>
              <w:rPr>
                <w:sz w:val="22"/>
                <w:szCs w:val="22"/>
                <w:lang w:val="sr-Latn-ME"/>
              </w:rPr>
            </w:pPr>
            <w:r w:rsidRPr="009C58C4">
              <w:rPr>
                <w:sz w:val="22"/>
                <w:szCs w:val="22"/>
                <w:lang w:val="sr-Latn-ME"/>
              </w:rPr>
              <w:t>4 </w:t>
            </w:r>
            <w:r w:rsidR="006656BE" w:rsidRPr="009C58C4">
              <w:rPr>
                <w:sz w:val="22"/>
                <w:szCs w:val="22"/>
                <w:lang w:val="sr-Latn-ME"/>
              </w:rPr>
              <w:t>ml</w:t>
            </w:r>
          </w:p>
        </w:tc>
      </w:tr>
      <w:tr w:rsidR="00CA0C50" w:rsidRPr="009C58C4" w14:paraId="28246F47"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6678246"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12 do 13 kg</w:t>
            </w:r>
          </w:p>
        </w:tc>
        <w:tc>
          <w:tcPr>
            <w:tcW w:w="2788" w:type="dxa"/>
            <w:tcBorders>
              <w:top w:val="single" w:sz="4" w:space="0" w:color="auto"/>
              <w:left w:val="single" w:sz="8" w:space="0" w:color="auto"/>
              <w:bottom w:val="single" w:sz="4" w:space="0" w:color="auto"/>
              <w:right w:val="single" w:sz="8" w:space="0" w:color="auto"/>
            </w:tcBorders>
            <w:vAlign w:val="center"/>
          </w:tcPr>
          <w:p w14:paraId="1BFD63F1" w14:textId="7DBC157A" w:rsidR="00CA0C50" w:rsidRPr="009C58C4" w:rsidRDefault="00CA0C50" w:rsidP="00226369">
            <w:pPr>
              <w:keepNext/>
              <w:keepLines/>
              <w:widowControl w:val="0"/>
              <w:jc w:val="both"/>
              <w:rPr>
                <w:sz w:val="22"/>
                <w:szCs w:val="22"/>
                <w:lang w:val="sr-Latn-ME"/>
              </w:rPr>
            </w:pPr>
            <w:r w:rsidRPr="009C58C4">
              <w:rPr>
                <w:sz w:val="22"/>
                <w:szCs w:val="22"/>
                <w:lang w:val="sr-Latn-ME"/>
              </w:rPr>
              <w:t>9 </w:t>
            </w:r>
            <w:r w:rsidR="006656BE" w:rsidRPr="009C58C4">
              <w:rPr>
                <w:sz w:val="22"/>
                <w:szCs w:val="22"/>
                <w:lang w:val="sr-Latn-ME"/>
              </w:rPr>
              <w:t>ml</w:t>
            </w:r>
            <w:r w:rsidRPr="009C58C4">
              <w:rPr>
                <w:sz w:val="22"/>
                <w:szCs w:val="22"/>
                <w:lang w:val="sr-Latn-ME"/>
              </w:rPr>
              <w:t xml:space="preserve"> (0,45 mg)</w:t>
            </w:r>
          </w:p>
        </w:tc>
        <w:tc>
          <w:tcPr>
            <w:tcW w:w="1887" w:type="dxa"/>
            <w:tcBorders>
              <w:top w:val="single" w:sz="4" w:space="0" w:color="auto"/>
              <w:left w:val="single" w:sz="8" w:space="0" w:color="auto"/>
              <w:bottom w:val="single" w:sz="4" w:space="0" w:color="auto"/>
              <w:right w:val="single" w:sz="8" w:space="0" w:color="auto"/>
            </w:tcBorders>
            <w:vAlign w:val="center"/>
          </w:tcPr>
          <w:p w14:paraId="62EFC3FB" w14:textId="56BAE9B0" w:rsidR="00CA0C50" w:rsidRPr="009C58C4" w:rsidRDefault="00CA0C50" w:rsidP="00226369">
            <w:pPr>
              <w:keepNext/>
              <w:keepLines/>
              <w:widowControl w:val="0"/>
              <w:jc w:val="both"/>
              <w:rPr>
                <w:sz w:val="22"/>
                <w:szCs w:val="22"/>
                <w:lang w:val="sr-Latn-ME"/>
              </w:rPr>
            </w:pPr>
            <w:r w:rsidRPr="009C58C4">
              <w:rPr>
                <w:sz w:val="22"/>
                <w:szCs w:val="22"/>
                <w:lang w:val="sr-Latn-ME"/>
              </w:rPr>
              <w:t>7 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233E4D33" w14:textId="3A6995A9" w:rsidR="00CA0C50" w:rsidRPr="009C58C4" w:rsidRDefault="00CA0C50" w:rsidP="00226369">
            <w:pPr>
              <w:keepNext/>
              <w:keepLines/>
              <w:widowControl w:val="0"/>
              <w:jc w:val="both"/>
              <w:rPr>
                <w:sz w:val="22"/>
                <w:szCs w:val="22"/>
                <w:lang w:val="sr-Latn-ME"/>
              </w:rPr>
            </w:pPr>
            <w:r w:rsidRPr="009C58C4">
              <w:rPr>
                <w:sz w:val="22"/>
                <w:szCs w:val="22"/>
                <w:lang w:val="sr-Latn-ME"/>
              </w:rPr>
              <w:t>5 </w:t>
            </w:r>
            <w:r w:rsidR="006656BE" w:rsidRPr="009C58C4">
              <w:rPr>
                <w:sz w:val="22"/>
                <w:szCs w:val="22"/>
                <w:lang w:val="sr-Latn-ME"/>
              </w:rPr>
              <w:t>ml</w:t>
            </w:r>
          </w:p>
        </w:tc>
      </w:tr>
      <w:tr w:rsidR="00CA0C50" w:rsidRPr="009C58C4" w14:paraId="43874523"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8CDB0CA"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14 do 17 kg</w:t>
            </w:r>
          </w:p>
        </w:tc>
        <w:tc>
          <w:tcPr>
            <w:tcW w:w="2788" w:type="dxa"/>
            <w:tcBorders>
              <w:top w:val="single" w:sz="4" w:space="0" w:color="auto"/>
              <w:left w:val="single" w:sz="8" w:space="0" w:color="auto"/>
              <w:bottom w:val="single" w:sz="4" w:space="0" w:color="auto"/>
              <w:right w:val="single" w:sz="8" w:space="0" w:color="auto"/>
            </w:tcBorders>
            <w:vAlign w:val="center"/>
          </w:tcPr>
          <w:p w14:paraId="2603FF7D" w14:textId="1E3E3D53" w:rsidR="00CA0C50" w:rsidRPr="009C58C4" w:rsidRDefault="00CA0C50" w:rsidP="00226369">
            <w:pPr>
              <w:keepNext/>
              <w:keepLines/>
              <w:widowControl w:val="0"/>
              <w:jc w:val="both"/>
              <w:rPr>
                <w:sz w:val="22"/>
                <w:szCs w:val="22"/>
                <w:lang w:val="sr-Latn-ME"/>
              </w:rPr>
            </w:pPr>
            <w:r w:rsidRPr="009C58C4">
              <w:rPr>
                <w:sz w:val="22"/>
                <w:szCs w:val="22"/>
                <w:lang w:val="sr-Latn-ME"/>
              </w:rPr>
              <w:t>11 </w:t>
            </w:r>
            <w:r w:rsidR="006656BE" w:rsidRPr="009C58C4">
              <w:rPr>
                <w:sz w:val="22"/>
                <w:szCs w:val="22"/>
                <w:lang w:val="sr-Latn-ME"/>
              </w:rPr>
              <w:t>ml</w:t>
            </w:r>
            <w:r w:rsidRPr="009C58C4">
              <w:rPr>
                <w:sz w:val="22"/>
                <w:szCs w:val="22"/>
                <w:lang w:val="sr-Latn-ME"/>
              </w:rPr>
              <w:t xml:space="preserve"> (0,55 mg)</w:t>
            </w:r>
          </w:p>
        </w:tc>
        <w:tc>
          <w:tcPr>
            <w:tcW w:w="1887" w:type="dxa"/>
            <w:tcBorders>
              <w:top w:val="single" w:sz="4" w:space="0" w:color="auto"/>
              <w:left w:val="single" w:sz="8" w:space="0" w:color="auto"/>
              <w:bottom w:val="single" w:sz="4" w:space="0" w:color="auto"/>
              <w:right w:val="single" w:sz="8" w:space="0" w:color="auto"/>
            </w:tcBorders>
            <w:vAlign w:val="center"/>
          </w:tcPr>
          <w:p w14:paraId="026D2A8B" w14:textId="64A73F6A" w:rsidR="00CA0C50" w:rsidRPr="009C58C4" w:rsidRDefault="00CA0C50" w:rsidP="00226369">
            <w:pPr>
              <w:keepNext/>
              <w:keepLines/>
              <w:widowControl w:val="0"/>
              <w:jc w:val="both"/>
              <w:rPr>
                <w:sz w:val="22"/>
                <w:szCs w:val="22"/>
                <w:lang w:val="sr-Latn-ME"/>
              </w:rPr>
            </w:pPr>
            <w:r w:rsidRPr="009C58C4">
              <w:rPr>
                <w:sz w:val="22"/>
                <w:szCs w:val="22"/>
                <w:lang w:val="sr-Latn-ME"/>
              </w:rPr>
              <w:t>8 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3105B897" w14:textId="3E8A39DC" w:rsidR="00CA0C50" w:rsidRPr="009C58C4" w:rsidRDefault="00CA0C50" w:rsidP="00226369">
            <w:pPr>
              <w:keepNext/>
              <w:keepLines/>
              <w:widowControl w:val="0"/>
              <w:jc w:val="both"/>
              <w:rPr>
                <w:sz w:val="22"/>
                <w:szCs w:val="22"/>
                <w:lang w:val="sr-Latn-ME"/>
              </w:rPr>
            </w:pPr>
            <w:r w:rsidRPr="009C58C4">
              <w:rPr>
                <w:sz w:val="22"/>
                <w:szCs w:val="22"/>
                <w:lang w:val="sr-Latn-ME"/>
              </w:rPr>
              <w:t>6 </w:t>
            </w:r>
            <w:r w:rsidR="006656BE" w:rsidRPr="009C58C4">
              <w:rPr>
                <w:sz w:val="22"/>
                <w:szCs w:val="22"/>
                <w:lang w:val="sr-Latn-ME"/>
              </w:rPr>
              <w:t>ml</w:t>
            </w:r>
          </w:p>
        </w:tc>
      </w:tr>
      <w:tr w:rsidR="00CA0C50" w:rsidRPr="009C58C4" w14:paraId="6BF4F3C0"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7416BF"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18 do 21 kg</w:t>
            </w:r>
          </w:p>
        </w:tc>
        <w:tc>
          <w:tcPr>
            <w:tcW w:w="2788" w:type="dxa"/>
            <w:tcBorders>
              <w:top w:val="single" w:sz="4" w:space="0" w:color="auto"/>
              <w:left w:val="single" w:sz="8" w:space="0" w:color="auto"/>
              <w:bottom w:val="single" w:sz="4" w:space="0" w:color="auto"/>
              <w:right w:val="single" w:sz="8" w:space="0" w:color="auto"/>
            </w:tcBorders>
            <w:vAlign w:val="center"/>
          </w:tcPr>
          <w:p w14:paraId="7B997EB7" w14:textId="766DAD21" w:rsidR="00CA0C50" w:rsidRPr="009C58C4" w:rsidRDefault="00CA0C50" w:rsidP="00226369">
            <w:pPr>
              <w:keepNext/>
              <w:keepLines/>
              <w:widowControl w:val="0"/>
              <w:jc w:val="both"/>
              <w:rPr>
                <w:sz w:val="22"/>
                <w:szCs w:val="22"/>
                <w:lang w:val="sr-Latn-ME"/>
              </w:rPr>
            </w:pPr>
            <w:r w:rsidRPr="009C58C4">
              <w:rPr>
                <w:sz w:val="22"/>
                <w:szCs w:val="22"/>
                <w:lang w:val="sr-Latn-ME"/>
              </w:rPr>
              <w:t>14 </w:t>
            </w:r>
            <w:r w:rsidR="006656BE" w:rsidRPr="009C58C4">
              <w:rPr>
                <w:sz w:val="22"/>
                <w:szCs w:val="22"/>
                <w:lang w:val="sr-Latn-ME"/>
              </w:rPr>
              <w:t>ml</w:t>
            </w:r>
            <w:r w:rsidRPr="009C58C4">
              <w:rPr>
                <w:sz w:val="22"/>
                <w:szCs w:val="22"/>
                <w:lang w:val="sr-Latn-ME"/>
              </w:rPr>
              <w:t xml:space="preserve"> (0,70 mg)</w:t>
            </w:r>
          </w:p>
        </w:tc>
        <w:tc>
          <w:tcPr>
            <w:tcW w:w="1887" w:type="dxa"/>
            <w:tcBorders>
              <w:top w:val="single" w:sz="4" w:space="0" w:color="auto"/>
              <w:left w:val="single" w:sz="8" w:space="0" w:color="auto"/>
              <w:bottom w:val="single" w:sz="4" w:space="0" w:color="auto"/>
              <w:right w:val="single" w:sz="8" w:space="0" w:color="auto"/>
            </w:tcBorders>
            <w:vAlign w:val="center"/>
          </w:tcPr>
          <w:p w14:paraId="4A9F30CF" w14:textId="1FAEC754" w:rsidR="00CA0C50" w:rsidRPr="009C58C4" w:rsidRDefault="00CA0C50" w:rsidP="00226369">
            <w:pPr>
              <w:keepNext/>
              <w:keepLines/>
              <w:widowControl w:val="0"/>
              <w:jc w:val="both"/>
              <w:rPr>
                <w:sz w:val="22"/>
                <w:szCs w:val="22"/>
                <w:lang w:val="sr-Latn-ME"/>
              </w:rPr>
            </w:pPr>
            <w:r w:rsidRPr="009C58C4">
              <w:rPr>
                <w:sz w:val="22"/>
                <w:szCs w:val="22"/>
                <w:lang w:val="sr-Latn-ME"/>
              </w:rPr>
              <w:t>11 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582058A1" w14:textId="1A995531" w:rsidR="00CA0C50" w:rsidRPr="009C58C4" w:rsidRDefault="00CA0C50" w:rsidP="00226369">
            <w:pPr>
              <w:keepNext/>
              <w:keepLines/>
              <w:widowControl w:val="0"/>
              <w:jc w:val="both"/>
              <w:rPr>
                <w:sz w:val="22"/>
                <w:szCs w:val="22"/>
                <w:lang w:val="sr-Latn-ME"/>
              </w:rPr>
            </w:pPr>
            <w:r w:rsidRPr="009C58C4">
              <w:rPr>
                <w:sz w:val="22"/>
                <w:szCs w:val="22"/>
                <w:lang w:val="sr-Latn-ME"/>
              </w:rPr>
              <w:t>7 </w:t>
            </w:r>
            <w:r w:rsidR="006656BE" w:rsidRPr="009C58C4">
              <w:rPr>
                <w:sz w:val="22"/>
                <w:szCs w:val="22"/>
                <w:lang w:val="sr-Latn-ME"/>
              </w:rPr>
              <w:t>ml</w:t>
            </w:r>
          </w:p>
        </w:tc>
      </w:tr>
      <w:tr w:rsidR="00CA0C50" w:rsidRPr="009C58C4" w14:paraId="1D114433"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F37EFBB"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22 do 25 kg</w:t>
            </w:r>
          </w:p>
        </w:tc>
        <w:tc>
          <w:tcPr>
            <w:tcW w:w="2788" w:type="dxa"/>
            <w:tcBorders>
              <w:top w:val="single" w:sz="4" w:space="0" w:color="auto"/>
              <w:left w:val="single" w:sz="8" w:space="0" w:color="auto"/>
              <w:bottom w:val="single" w:sz="4" w:space="0" w:color="auto"/>
              <w:right w:val="single" w:sz="8" w:space="0" w:color="auto"/>
            </w:tcBorders>
            <w:vAlign w:val="center"/>
          </w:tcPr>
          <w:p w14:paraId="0FF4B0D4" w14:textId="6EF7B100" w:rsidR="00CA0C50" w:rsidRPr="009C58C4" w:rsidRDefault="00CA0C50" w:rsidP="00226369">
            <w:pPr>
              <w:keepNext/>
              <w:keepLines/>
              <w:widowControl w:val="0"/>
              <w:jc w:val="both"/>
              <w:rPr>
                <w:sz w:val="22"/>
                <w:szCs w:val="22"/>
                <w:lang w:val="sr-Latn-ME"/>
              </w:rPr>
            </w:pPr>
            <w:r w:rsidRPr="009C58C4">
              <w:rPr>
                <w:sz w:val="22"/>
                <w:szCs w:val="22"/>
                <w:lang w:val="sr-Latn-ME"/>
              </w:rPr>
              <w:t>17 </w:t>
            </w:r>
            <w:r w:rsidR="006656BE" w:rsidRPr="009C58C4">
              <w:rPr>
                <w:sz w:val="22"/>
                <w:szCs w:val="22"/>
                <w:lang w:val="sr-Latn-ME"/>
              </w:rPr>
              <w:t>ml</w:t>
            </w:r>
            <w:r w:rsidRPr="009C58C4">
              <w:rPr>
                <w:sz w:val="22"/>
                <w:szCs w:val="22"/>
                <w:lang w:val="sr-Latn-ME"/>
              </w:rPr>
              <w:t xml:space="preserve"> (0,85 mg)</w:t>
            </w:r>
          </w:p>
        </w:tc>
        <w:tc>
          <w:tcPr>
            <w:tcW w:w="1887" w:type="dxa"/>
            <w:tcBorders>
              <w:top w:val="single" w:sz="4" w:space="0" w:color="auto"/>
              <w:left w:val="single" w:sz="8" w:space="0" w:color="auto"/>
              <w:bottom w:val="single" w:sz="4" w:space="0" w:color="auto"/>
              <w:right w:val="single" w:sz="8" w:space="0" w:color="auto"/>
            </w:tcBorders>
            <w:vAlign w:val="center"/>
          </w:tcPr>
          <w:p w14:paraId="39306AF7" w14:textId="6A19F3E1" w:rsidR="00CA0C50" w:rsidRPr="009C58C4" w:rsidRDefault="00CA0C50" w:rsidP="00226369">
            <w:pPr>
              <w:keepNext/>
              <w:keepLines/>
              <w:widowControl w:val="0"/>
              <w:jc w:val="both"/>
              <w:rPr>
                <w:sz w:val="22"/>
                <w:szCs w:val="22"/>
                <w:lang w:val="sr-Latn-ME"/>
              </w:rPr>
            </w:pPr>
            <w:r w:rsidRPr="009C58C4">
              <w:rPr>
                <w:sz w:val="22"/>
                <w:szCs w:val="22"/>
                <w:lang w:val="sr-Latn-ME"/>
              </w:rPr>
              <w:t>13 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1184572E" w14:textId="2BC17041" w:rsidR="00CA0C50" w:rsidRPr="009C58C4" w:rsidRDefault="00CA0C50" w:rsidP="00226369">
            <w:pPr>
              <w:keepNext/>
              <w:keepLines/>
              <w:widowControl w:val="0"/>
              <w:jc w:val="both"/>
              <w:rPr>
                <w:sz w:val="22"/>
                <w:szCs w:val="22"/>
                <w:lang w:val="sr-Latn-ME"/>
              </w:rPr>
            </w:pPr>
            <w:r w:rsidRPr="009C58C4">
              <w:rPr>
                <w:sz w:val="22"/>
                <w:szCs w:val="22"/>
                <w:lang w:val="sr-Latn-ME"/>
              </w:rPr>
              <w:t>9 </w:t>
            </w:r>
            <w:r w:rsidR="006656BE" w:rsidRPr="009C58C4">
              <w:rPr>
                <w:sz w:val="22"/>
                <w:szCs w:val="22"/>
                <w:lang w:val="sr-Latn-ME"/>
              </w:rPr>
              <w:t>ml</w:t>
            </w:r>
          </w:p>
        </w:tc>
      </w:tr>
      <w:tr w:rsidR="00CA0C50" w:rsidRPr="009C58C4" w14:paraId="152CEC35"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A720CC1"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26 do 29 kg</w:t>
            </w:r>
          </w:p>
        </w:tc>
        <w:tc>
          <w:tcPr>
            <w:tcW w:w="2788" w:type="dxa"/>
            <w:tcBorders>
              <w:top w:val="single" w:sz="4" w:space="0" w:color="auto"/>
              <w:left w:val="single" w:sz="8" w:space="0" w:color="auto"/>
              <w:bottom w:val="single" w:sz="4" w:space="0" w:color="auto"/>
              <w:right w:val="single" w:sz="8" w:space="0" w:color="auto"/>
            </w:tcBorders>
            <w:vAlign w:val="center"/>
          </w:tcPr>
          <w:p w14:paraId="446012BE" w14:textId="04150F6F" w:rsidR="00CA0C50" w:rsidRPr="009C58C4" w:rsidRDefault="00CA0C50" w:rsidP="00226369">
            <w:pPr>
              <w:keepNext/>
              <w:keepLines/>
              <w:widowControl w:val="0"/>
              <w:jc w:val="both"/>
              <w:rPr>
                <w:sz w:val="22"/>
                <w:szCs w:val="22"/>
                <w:lang w:val="sr-Latn-ME"/>
              </w:rPr>
            </w:pPr>
            <w:r w:rsidRPr="009C58C4">
              <w:rPr>
                <w:sz w:val="22"/>
                <w:szCs w:val="22"/>
                <w:lang w:val="sr-Latn-ME"/>
              </w:rPr>
              <w:t>18 </w:t>
            </w:r>
            <w:r w:rsidR="006656BE" w:rsidRPr="009C58C4">
              <w:rPr>
                <w:sz w:val="22"/>
                <w:szCs w:val="22"/>
                <w:lang w:val="sr-Latn-ME"/>
              </w:rPr>
              <w:t>ml</w:t>
            </w:r>
            <w:r w:rsidRPr="009C58C4">
              <w:rPr>
                <w:sz w:val="22"/>
                <w:szCs w:val="22"/>
                <w:lang w:val="sr-Latn-ME"/>
              </w:rPr>
              <w:t xml:space="preserve"> (0,90 mg)</w:t>
            </w:r>
          </w:p>
        </w:tc>
        <w:tc>
          <w:tcPr>
            <w:tcW w:w="1887" w:type="dxa"/>
            <w:tcBorders>
              <w:top w:val="single" w:sz="4" w:space="0" w:color="auto"/>
              <w:left w:val="single" w:sz="8" w:space="0" w:color="auto"/>
              <w:bottom w:val="single" w:sz="4" w:space="0" w:color="auto"/>
              <w:right w:val="single" w:sz="8" w:space="0" w:color="auto"/>
            </w:tcBorders>
            <w:vAlign w:val="center"/>
          </w:tcPr>
          <w:p w14:paraId="34BBD991" w14:textId="423544D3" w:rsidR="00CA0C50" w:rsidRPr="009C58C4" w:rsidRDefault="00CA0C50" w:rsidP="00226369">
            <w:pPr>
              <w:keepNext/>
              <w:keepLines/>
              <w:widowControl w:val="0"/>
              <w:jc w:val="both"/>
              <w:rPr>
                <w:sz w:val="22"/>
                <w:szCs w:val="22"/>
                <w:lang w:val="sr-Latn-ME"/>
              </w:rPr>
            </w:pPr>
            <w:r w:rsidRPr="009C58C4">
              <w:rPr>
                <w:sz w:val="22"/>
                <w:szCs w:val="22"/>
                <w:lang w:val="sr-Latn-ME"/>
              </w:rPr>
              <w:t>14 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259661A6" w14:textId="1EAD947E" w:rsidR="00CA0C50" w:rsidRPr="009C58C4" w:rsidRDefault="00CA0C50" w:rsidP="00226369">
            <w:pPr>
              <w:keepNext/>
              <w:keepLines/>
              <w:widowControl w:val="0"/>
              <w:jc w:val="both"/>
              <w:rPr>
                <w:sz w:val="22"/>
                <w:szCs w:val="22"/>
                <w:lang w:val="sr-Latn-ME"/>
              </w:rPr>
            </w:pPr>
            <w:r w:rsidRPr="009C58C4">
              <w:rPr>
                <w:sz w:val="22"/>
                <w:szCs w:val="22"/>
                <w:lang w:val="sr-Latn-ME"/>
              </w:rPr>
              <w:t>9 </w:t>
            </w:r>
            <w:r w:rsidR="006656BE" w:rsidRPr="009C58C4">
              <w:rPr>
                <w:sz w:val="22"/>
                <w:szCs w:val="22"/>
                <w:lang w:val="sr-Latn-ME"/>
              </w:rPr>
              <w:t>ml</w:t>
            </w:r>
          </w:p>
        </w:tc>
      </w:tr>
      <w:tr w:rsidR="00CA0C50" w:rsidRPr="009C58C4" w14:paraId="01962FF6"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76E6AFE"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30 do 33 kg</w:t>
            </w:r>
          </w:p>
        </w:tc>
        <w:tc>
          <w:tcPr>
            <w:tcW w:w="2788" w:type="dxa"/>
            <w:tcBorders>
              <w:top w:val="single" w:sz="4" w:space="0" w:color="auto"/>
              <w:left w:val="single" w:sz="8" w:space="0" w:color="auto"/>
              <w:bottom w:val="single" w:sz="4" w:space="0" w:color="auto"/>
              <w:right w:val="single" w:sz="8" w:space="0" w:color="auto"/>
            </w:tcBorders>
            <w:vAlign w:val="center"/>
          </w:tcPr>
          <w:p w14:paraId="620B85E3" w14:textId="4F405227" w:rsidR="00CA0C50" w:rsidRPr="009C58C4" w:rsidRDefault="00CA0C50" w:rsidP="00226369">
            <w:pPr>
              <w:keepNext/>
              <w:keepLines/>
              <w:widowControl w:val="0"/>
              <w:jc w:val="both"/>
              <w:rPr>
                <w:sz w:val="22"/>
                <w:szCs w:val="22"/>
                <w:lang w:val="sr-Latn-ME"/>
              </w:rPr>
            </w:pPr>
            <w:r w:rsidRPr="009C58C4">
              <w:rPr>
                <w:sz w:val="22"/>
                <w:szCs w:val="22"/>
                <w:lang w:val="sr-Latn-ME"/>
              </w:rPr>
              <w:t>20 </w:t>
            </w:r>
            <w:r w:rsidR="006656BE" w:rsidRPr="009C58C4">
              <w:rPr>
                <w:sz w:val="22"/>
                <w:szCs w:val="22"/>
                <w:lang w:val="sr-Latn-ME"/>
              </w:rPr>
              <w:t>ml</w:t>
            </w:r>
            <w:r w:rsidRPr="009C58C4">
              <w:rPr>
                <w:sz w:val="22"/>
                <w:szCs w:val="22"/>
                <w:lang w:val="sr-Latn-ME"/>
              </w:rPr>
              <w:t xml:space="preserve"> (1 mg)</w:t>
            </w:r>
          </w:p>
        </w:tc>
        <w:tc>
          <w:tcPr>
            <w:tcW w:w="1887" w:type="dxa"/>
            <w:tcBorders>
              <w:top w:val="single" w:sz="4" w:space="0" w:color="auto"/>
              <w:left w:val="single" w:sz="8" w:space="0" w:color="auto"/>
              <w:bottom w:val="single" w:sz="4" w:space="0" w:color="auto"/>
              <w:right w:val="single" w:sz="8" w:space="0" w:color="auto"/>
            </w:tcBorders>
            <w:vAlign w:val="center"/>
          </w:tcPr>
          <w:p w14:paraId="6F1C39CB" w14:textId="1C877C4E" w:rsidR="00CA0C50" w:rsidRPr="009C58C4" w:rsidRDefault="00CA0C50" w:rsidP="00226369">
            <w:pPr>
              <w:keepNext/>
              <w:keepLines/>
              <w:widowControl w:val="0"/>
              <w:jc w:val="both"/>
              <w:rPr>
                <w:sz w:val="22"/>
                <w:szCs w:val="22"/>
                <w:lang w:val="sr-Latn-ME"/>
              </w:rPr>
            </w:pPr>
            <w:r w:rsidRPr="009C58C4">
              <w:rPr>
                <w:sz w:val="22"/>
                <w:szCs w:val="22"/>
                <w:lang w:val="sr-Latn-ME"/>
              </w:rPr>
              <w:t>15 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28E202E7" w14:textId="04443D9E" w:rsidR="00CA0C50" w:rsidRPr="009C58C4" w:rsidRDefault="00CA0C50" w:rsidP="00226369">
            <w:pPr>
              <w:keepNext/>
              <w:keepLines/>
              <w:widowControl w:val="0"/>
              <w:jc w:val="both"/>
              <w:rPr>
                <w:sz w:val="22"/>
                <w:szCs w:val="22"/>
                <w:lang w:val="sr-Latn-ME"/>
              </w:rPr>
            </w:pPr>
            <w:r w:rsidRPr="009C58C4">
              <w:rPr>
                <w:sz w:val="22"/>
                <w:szCs w:val="22"/>
                <w:lang w:val="sr-Latn-ME"/>
              </w:rPr>
              <w:t>10 </w:t>
            </w:r>
            <w:r w:rsidR="006656BE" w:rsidRPr="009C58C4">
              <w:rPr>
                <w:sz w:val="22"/>
                <w:szCs w:val="22"/>
                <w:lang w:val="sr-Latn-ME"/>
              </w:rPr>
              <w:t>ml</w:t>
            </w:r>
          </w:p>
        </w:tc>
      </w:tr>
      <w:tr w:rsidR="00CA0C50" w:rsidRPr="009C58C4" w14:paraId="30DA54E8"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9BAB440"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34 do 37 kg</w:t>
            </w:r>
          </w:p>
        </w:tc>
        <w:tc>
          <w:tcPr>
            <w:tcW w:w="2788" w:type="dxa"/>
            <w:tcBorders>
              <w:top w:val="single" w:sz="4" w:space="0" w:color="auto"/>
              <w:left w:val="single" w:sz="8" w:space="0" w:color="auto"/>
              <w:bottom w:val="single" w:sz="4" w:space="0" w:color="auto"/>
              <w:right w:val="single" w:sz="8" w:space="0" w:color="auto"/>
            </w:tcBorders>
            <w:vAlign w:val="center"/>
          </w:tcPr>
          <w:p w14:paraId="0AA1EAD3" w14:textId="187F07DD" w:rsidR="00CA0C50" w:rsidRPr="009C58C4" w:rsidRDefault="00CA0C50" w:rsidP="00226369">
            <w:pPr>
              <w:keepNext/>
              <w:keepLines/>
              <w:widowControl w:val="0"/>
              <w:jc w:val="both"/>
              <w:rPr>
                <w:sz w:val="22"/>
                <w:szCs w:val="22"/>
                <w:lang w:val="sr-Latn-ME"/>
              </w:rPr>
            </w:pPr>
            <w:r w:rsidRPr="009C58C4">
              <w:rPr>
                <w:sz w:val="22"/>
                <w:szCs w:val="22"/>
                <w:lang w:val="sr-Latn-ME"/>
              </w:rPr>
              <w:t>23 </w:t>
            </w:r>
            <w:r w:rsidR="006656BE" w:rsidRPr="009C58C4">
              <w:rPr>
                <w:sz w:val="22"/>
                <w:szCs w:val="22"/>
                <w:lang w:val="sr-Latn-ME"/>
              </w:rPr>
              <w:t>ml</w:t>
            </w:r>
            <w:r w:rsidRPr="009C58C4">
              <w:rPr>
                <w:sz w:val="22"/>
                <w:szCs w:val="22"/>
                <w:lang w:val="sr-Latn-ME"/>
              </w:rPr>
              <w:t xml:space="preserve"> (1,15 mg)</w:t>
            </w:r>
          </w:p>
        </w:tc>
        <w:tc>
          <w:tcPr>
            <w:tcW w:w="1887" w:type="dxa"/>
            <w:tcBorders>
              <w:top w:val="single" w:sz="4" w:space="0" w:color="auto"/>
              <w:left w:val="single" w:sz="8" w:space="0" w:color="auto"/>
              <w:bottom w:val="single" w:sz="4" w:space="0" w:color="auto"/>
              <w:right w:val="single" w:sz="8" w:space="0" w:color="auto"/>
            </w:tcBorders>
            <w:vAlign w:val="center"/>
          </w:tcPr>
          <w:p w14:paraId="00BA4B24" w14:textId="071DDB19" w:rsidR="00CA0C50" w:rsidRPr="009C58C4" w:rsidRDefault="00CA0C50" w:rsidP="00226369">
            <w:pPr>
              <w:keepNext/>
              <w:keepLines/>
              <w:widowControl w:val="0"/>
              <w:jc w:val="both"/>
              <w:rPr>
                <w:sz w:val="22"/>
                <w:szCs w:val="22"/>
                <w:lang w:val="sr-Latn-ME"/>
              </w:rPr>
            </w:pPr>
            <w:r w:rsidRPr="009C58C4">
              <w:rPr>
                <w:sz w:val="22"/>
                <w:szCs w:val="22"/>
                <w:lang w:val="sr-Latn-ME"/>
              </w:rPr>
              <w:t>17 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05E1572F" w14:textId="6863CE65" w:rsidR="00CA0C50" w:rsidRPr="009C58C4" w:rsidRDefault="00CA0C50" w:rsidP="00226369">
            <w:pPr>
              <w:keepNext/>
              <w:keepLines/>
              <w:widowControl w:val="0"/>
              <w:jc w:val="both"/>
              <w:rPr>
                <w:sz w:val="22"/>
                <w:szCs w:val="22"/>
                <w:lang w:val="sr-Latn-ME"/>
              </w:rPr>
            </w:pPr>
            <w:r w:rsidRPr="009C58C4">
              <w:rPr>
                <w:sz w:val="22"/>
                <w:szCs w:val="22"/>
                <w:lang w:val="sr-Latn-ME"/>
              </w:rPr>
              <w:t>12 </w:t>
            </w:r>
            <w:r w:rsidR="006656BE" w:rsidRPr="009C58C4">
              <w:rPr>
                <w:sz w:val="22"/>
                <w:szCs w:val="22"/>
                <w:lang w:val="sr-Latn-ME"/>
              </w:rPr>
              <w:t>ml</w:t>
            </w:r>
          </w:p>
        </w:tc>
      </w:tr>
      <w:tr w:rsidR="00CA0C50" w:rsidRPr="009C58C4" w14:paraId="5AE22FED"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F81B69"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38 do 41 kg</w:t>
            </w:r>
          </w:p>
        </w:tc>
        <w:tc>
          <w:tcPr>
            <w:tcW w:w="2788" w:type="dxa"/>
            <w:tcBorders>
              <w:top w:val="single" w:sz="4" w:space="0" w:color="auto"/>
              <w:left w:val="single" w:sz="8" w:space="0" w:color="auto"/>
              <w:bottom w:val="single" w:sz="4" w:space="0" w:color="auto"/>
              <w:right w:val="single" w:sz="8" w:space="0" w:color="auto"/>
            </w:tcBorders>
            <w:vAlign w:val="center"/>
          </w:tcPr>
          <w:p w14:paraId="43405E81" w14:textId="742371B2" w:rsidR="00CA0C50" w:rsidRPr="009C58C4" w:rsidRDefault="00CA0C50" w:rsidP="00226369">
            <w:pPr>
              <w:keepNext/>
              <w:keepLines/>
              <w:widowControl w:val="0"/>
              <w:jc w:val="both"/>
              <w:rPr>
                <w:sz w:val="22"/>
                <w:szCs w:val="22"/>
                <w:lang w:val="sr-Latn-ME"/>
              </w:rPr>
            </w:pPr>
            <w:r w:rsidRPr="009C58C4">
              <w:rPr>
                <w:sz w:val="22"/>
                <w:szCs w:val="22"/>
                <w:lang w:val="sr-Latn-ME"/>
              </w:rPr>
              <w:t>25 </w:t>
            </w:r>
            <w:r w:rsidR="006656BE" w:rsidRPr="009C58C4">
              <w:rPr>
                <w:sz w:val="22"/>
                <w:szCs w:val="22"/>
                <w:lang w:val="sr-Latn-ME"/>
              </w:rPr>
              <w:t>ml</w:t>
            </w:r>
            <w:r w:rsidRPr="009C58C4">
              <w:rPr>
                <w:sz w:val="22"/>
                <w:szCs w:val="22"/>
                <w:lang w:val="sr-Latn-ME"/>
              </w:rPr>
              <w:t xml:space="preserve"> (1,25 mg)</w:t>
            </w:r>
          </w:p>
        </w:tc>
        <w:tc>
          <w:tcPr>
            <w:tcW w:w="1887" w:type="dxa"/>
            <w:tcBorders>
              <w:top w:val="single" w:sz="4" w:space="0" w:color="auto"/>
              <w:left w:val="single" w:sz="8" w:space="0" w:color="auto"/>
              <w:bottom w:val="single" w:sz="4" w:space="0" w:color="auto"/>
              <w:right w:val="single" w:sz="8" w:space="0" w:color="auto"/>
            </w:tcBorders>
            <w:vAlign w:val="center"/>
          </w:tcPr>
          <w:p w14:paraId="17764472" w14:textId="02B42A2E" w:rsidR="00CA0C50" w:rsidRPr="009C58C4" w:rsidRDefault="00CA0C50" w:rsidP="00226369">
            <w:pPr>
              <w:keepNext/>
              <w:keepLines/>
              <w:widowControl w:val="0"/>
              <w:jc w:val="both"/>
              <w:rPr>
                <w:sz w:val="22"/>
                <w:szCs w:val="22"/>
                <w:lang w:val="sr-Latn-ME"/>
              </w:rPr>
            </w:pPr>
            <w:r w:rsidRPr="009C58C4">
              <w:rPr>
                <w:sz w:val="22"/>
                <w:szCs w:val="22"/>
                <w:lang w:val="sr-Latn-ME"/>
              </w:rPr>
              <w:t>19 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2F2C8B21" w14:textId="50B52692" w:rsidR="00CA0C50" w:rsidRPr="009C58C4" w:rsidRDefault="00CA0C50" w:rsidP="00226369">
            <w:pPr>
              <w:keepNext/>
              <w:keepLines/>
              <w:widowControl w:val="0"/>
              <w:jc w:val="both"/>
              <w:rPr>
                <w:sz w:val="22"/>
                <w:szCs w:val="22"/>
                <w:lang w:val="sr-Latn-ME"/>
              </w:rPr>
            </w:pPr>
            <w:r w:rsidRPr="009C58C4">
              <w:rPr>
                <w:sz w:val="22"/>
                <w:szCs w:val="22"/>
                <w:lang w:val="sr-Latn-ME"/>
              </w:rPr>
              <w:t>13 </w:t>
            </w:r>
            <w:r w:rsidR="006656BE" w:rsidRPr="009C58C4">
              <w:rPr>
                <w:sz w:val="22"/>
                <w:szCs w:val="22"/>
                <w:lang w:val="sr-Latn-ME"/>
              </w:rPr>
              <w:t>ml</w:t>
            </w:r>
          </w:p>
        </w:tc>
      </w:tr>
      <w:tr w:rsidR="00CA0C50" w:rsidRPr="009C58C4" w14:paraId="587F17DB"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255871E"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42 do 45 kg</w:t>
            </w:r>
          </w:p>
        </w:tc>
        <w:tc>
          <w:tcPr>
            <w:tcW w:w="2788" w:type="dxa"/>
            <w:tcBorders>
              <w:top w:val="single" w:sz="4" w:space="0" w:color="auto"/>
              <w:left w:val="single" w:sz="8" w:space="0" w:color="auto"/>
              <w:bottom w:val="single" w:sz="4" w:space="0" w:color="auto"/>
              <w:right w:val="single" w:sz="8" w:space="0" w:color="auto"/>
            </w:tcBorders>
            <w:vAlign w:val="center"/>
          </w:tcPr>
          <w:p w14:paraId="162D5295" w14:textId="14352B77" w:rsidR="00CA0C50" w:rsidRPr="009C58C4" w:rsidRDefault="00CA0C50" w:rsidP="00226369">
            <w:pPr>
              <w:keepNext/>
              <w:keepLines/>
              <w:widowControl w:val="0"/>
              <w:jc w:val="both"/>
              <w:rPr>
                <w:sz w:val="22"/>
                <w:szCs w:val="22"/>
                <w:lang w:val="sr-Latn-ME"/>
              </w:rPr>
            </w:pPr>
            <w:r w:rsidRPr="009C58C4">
              <w:rPr>
                <w:sz w:val="22"/>
                <w:szCs w:val="22"/>
                <w:lang w:val="sr-Latn-ME"/>
              </w:rPr>
              <w:t>28 </w:t>
            </w:r>
            <w:r w:rsidR="006656BE" w:rsidRPr="009C58C4">
              <w:rPr>
                <w:sz w:val="22"/>
                <w:szCs w:val="22"/>
                <w:lang w:val="sr-Latn-ME"/>
              </w:rPr>
              <w:t>ml</w:t>
            </w:r>
            <w:r w:rsidRPr="009C58C4">
              <w:rPr>
                <w:sz w:val="22"/>
                <w:szCs w:val="22"/>
                <w:lang w:val="sr-Latn-ME"/>
              </w:rPr>
              <w:t xml:space="preserve"> (1,40 mg)</w:t>
            </w:r>
          </w:p>
        </w:tc>
        <w:tc>
          <w:tcPr>
            <w:tcW w:w="1887" w:type="dxa"/>
            <w:tcBorders>
              <w:top w:val="single" w:sz="4" w:space="0" w:color="auto"/>
              <w:left w:val="single" w:sz="8" w:space="0" w:color="auto"/>
              <w:bottom w:val="single" w:sz="4" w:space="0" w:color="auto"/>
              <w:right w:val="single" w:sz="8" w:space="0" w:color="auto"/>
            </w:tcBorders>
            <w:vAlign w:val="center"/>
          </w:tcPr>
          <w:p w14:paraId="63C5D8F2" w14:textId="31321953" w:rsidR="00CA0C50" w:rsidRPr="009C58C4" w:rsidRDefault="00CA0C50" w:rsidP="00226369">
            <w:pPr>
              <w:keepNext/>
              <w:keepLines/>
              <w:widowControl w:val="0"/>
              <w:jc w:val="both"/>
              <w:rPr>
                <w:sz w:val="22"/>
                <w:szCs w:val="22"/>
                <w:lang w:val="sr-Latn-ME"/>
              </w:rPr>
            </w:pPr>
            <w:r w:rsidRPr="009C58C4">
              <w:rPr>
                <w:sz w:val="22"/>
                <w:szCs w:val="22"/>
                <w:lang w:val="sr-Latn-ME"/>
              </w:rPr>
              <w:t>21 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3820AC4F" w14:textId="749EEF00" w:rsidR="00CA0C50" w:rsidRPr="009C58C4" w:rsidRDefault="00CA0C50" w:rsidP="00226369">
            <w:pPr>
              <w:keepNext/>
              <w:keepLines/>
              <w:widowControl w:val="0"/>
              <w:jc w:val="both"/>
              <w:rPr>
                <w:sz w:val="22"/>
                <w:szCs w:val="22"/>
                <w:lang w:val="sr-Latn-ME"/>
              </w:rPr>
            </w:pPr>
            <w:r w:rsidRPr="009C58C4">
              <w:rPr>
                <w:sz w:val="22"/>
                <w:szCs w:val="22"/>
                <w:lang w:val="sr-Latn-ME"/>
              </w:rPr>
              <w:t>14 </w:t>
            </w:r>
            <w:r w:rsidR="006656BE" w:rsidRPr="009C58C4">
              <w:rPr>
                <w:sz w:val="22"/>
                <w:szCs w:val="22"/>
                <w:lang w:val="sr-Latn-ME"/>
              </w:rPr>
              <w:t>ml</w:t>
            </w:r>
          </w:p>
        </w:tc>
      </w:tr>
      <w:tr w:rsidR="00CA0C50" w:rsidRPr="009C58C4" w14:paraId="71596695"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EC31F80" w14:textId="77777777" w:rsidR="00CA0C50" w:rsidRPr="009C58C4" w:rsidRDefault="00CA0C50" w:rsidP="00226369">
            <w:pPr>
              <w:keepNext/>
              <w:keepLines/>
              <w:widowControl w:val="0"/>
              <w:jc w:val="both"/>
              <w:rPr>
                <w:rFonts w:eastAsia="Calibri"/>
                <w:sz w:val="22"/>
                <w:szCs w:val="22"/>
                <w:lang w:val="sr-Latn-ME"/>
              </w:rPr>
            </w:pPr>
            <w:r w:rsidRPr="009C58C4">
              <w:rPr>
                <w:sz w:val="22"/>
                <w:szCs w:val="22"/>
                <w:lang w:val="sr-Latn-ME"/>
              </w:rPr>
              <w:t>46 do 50 kg</w:t>
            </w:r>
          </w:p>
        </w:tc>
        <w:tc>
          <w:tcPr>
            <w:tcW w:w="2788" w:type="dxa"/>
            <w:tcBorders>
              <w:top w:val="single" w:sz="4" w:space="0" w:color="auto"/>
              <w:left w:val="single" w:sz="8" w:space="0" w:color="auto"/>
              <w:bottom w:val="single" w:sz="4" w:space="0" w:color="auto"/>
              <w:right w:val="single" w:sz="8" w:space="0" w:color="auto"/>
            </w:tcBorders>
            <w:vAlign w:val="center"/>
          </w:tcPr>
          <w:p w14:paraId="3E9C3D67" w14:textId="11C2E967" w:rsidR="00CA0C50" w:rsidRPr="009C58C4" w:rsidRDefault="00CA0C50" w:rsidP="00226369">
            <w:pPr>
              <w:keepNext/>
              <w:keepLines/>
              <w:widowControl w:val="0"/>
              <w:jc w:val="both"/>
              <w:rPr>
                <w:sz w:val="22"/>
                <w:szCs w:val="22"/>
                <w:lang w:val="sr-Latn-ME"/>
              </w:rPr>
            </w:pPr>
            <w:r w:rsidRPr="009C58C4">
              <w:rPr>
                <w:sz w:val="22"/>
                <w:szCs w:val="22"/>
                <w:lang w:val="sr-Latn-ME"/>
              </w:rPr>
              <w:t>32 </w:t>
            </w:r>
            <w:r w:rsidR="006656BE" w:rsidRPr="009C58C4">
              <w:rPr>
                <w:sz w:val="22"/>
                <w:szCs w:val="22"/>
                <w:lang w:val="sr-Latn-ME"/>
              </w:rPr>
              <w:t>ml</w:t>
            </w:r>
            <w:r w:rsidRPr="009C58C4">
              <w:rPr>
                <w:sz w:val="22"/>
                <w:szCs w:val="22"/>
                <w:lang w:val="sr-Latn-ME"/>
              </w:rPr>
              <w:t xml:space="preserve"> (1,60 mg)</w:t>
            </w:r>
          </w:p>
        </w:tc>
        <w:tc>
          <w:tcPr>
            <w:tcW w:w="1887" w:type="dxa"/>
            <w:tcBorders>
              <w:top w:val="single" w:sz="4" w:space="0" w:color="auto"/>
              <w:left w:val="single" w:sz="8" w:space="0" w:color="auto"/>
              <w:bottom w:val="single" w:sz="4" w:space="0" w:color="auto"/>
              <w:right w:val="single" w:sz="8" w:space="0" w:color="auto"/>
            </w:tcBorders>
            <w:vAlign w:val="center"/>
          </w:tcPr>
          <w:p w14:paraId="0AEC7256" w14:textId="5397EA4C" w:rsidR="00CA0C50" w:rsidRPr="009C58C4" w:rsidRDefault="00CA0C50" w:rsidP="00226369">
            <w:pPr>
              <w:keepNext/>
              <w:keepLines/>
              <w:widowControl w:val="0"/>
              <w:jc w:val="both"/>
              <w:rPr>
                <w:sz w:val="22"/>
                <w:szCs w:val="22"/>
                <w:lang w:val="sr-Latn-ME"/>
              </w:rPr>
            </w:pPr>
            <w:r w:rsidRPr="009C58C4">
              <w:rPr>
                <w:sz w:val="22"/>
                <w:szCs w:val="22"/>
                <w:lang w:val="sr-Latn-ME"/>
              </w:rPr>
              <w:t>24 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2BEAFF85" w14:textId="6E9812B4" w:rsidR="00CA0C50" w:rsidRPr="009C58C4" w:rsidRDefault="00CA0C50" w:rsidP="00226369">
            <w:pPr>
              <w:keepNext/>
              <w:keepLines/>
              <w:widowControl w:val="0"/>
              <w:jc w:val="both"/>
              <w:rPr>
                <w:sz w:val="22"/>
                <w:szCs w:val="22"/>
                <w:lang w:val="sr-Latn-ME"/>
              </w:rPr>
            </w:pPr>
            <w:r w:rsidRPr="009C58C4">
              <w:rPr>
                <w:sz w:val="22"/>
                <w:szCs w:val="22"/>
                <w:lang w:val="sr-Latn-ME"/>
              </w:rPr>
              <w:t>16 </w:t>
            </w:r>
            <w:r w:rsidR="006656BE" w:rsidRPr="009C58C4">
              <w:rPr>
                <w:sz w:val="22"/>
                <w:szCs w:val="22"/>
                <w:lang w:val="sr-Latn-ME"/>
              </w:rPr>
              <w:t>ml</w:t>
            </w:r>
          </w:p>
        </w:tc>
      </w:tr>
      <w:tr w:rsidR="00CA0C50" w:rsidRPr="009C58C4" w14:paraId="37F3E7F2" w14:textId="77777777" w:rsidTr="00C87F6C">
        <w:trPr>
          <w:cantSplit/>
        </w:trPr>
        <w:tc>
          <w:tcPr>
            <w:tcW w:w="18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DC15718" w14:textId="77777777" w:rsidR="00CA0C50" w:rsidRPr="009C58C4" w:rsidRDefault="00CA0C50" w:rsidP="00226369">
            <w:pPr>
              <w:keepNext/>
              <w:keepLines/>
              <w:widowControl w:val="0"/>
              <w:jc w:val="both"/>
              <w:rPr>
                <w:rFonts w:eastAsia="Calibri"/>
                <w:sz w:val="22"/>
                <w:szCs w:val="22"/>
                <w:lang w:val="sr-Latn-ME"/>
              </w:rPr>
            </w:pPr>
            <w:r w:rsidRPr="009C58C4">
              <w:rPr>
                <w:rFonts w:eastAsia="Calibri"/>
                <w:sz w:val="22"/>
                <w:szCs w:val="22"/>
                <w:lang w:val="sr-Latn-ME"/>
              </w:rPr>
              <w:t>≥ 51 kg</w:t>
            </w:r>
          </w:p>
        </w:tc>
        <w:tc>
          <w:tcPr>
            <w:tcW w:w="2788" w:type="dxa"/>
            <w:tcBorders>
              <w:top w:val="single" w:sz="4" w:space="0" w:color="auto"/>
              <w:left w:val="single" w:sz="8" w:space="0" w:color="auto"/>
              <w:bottom w:val="single" w:sz="4" w:space="0" w:color="auto"/>
              <w:right w:val="single" w:sz="8" w:space="0" w:color="auto"/>
            </w:tcBorders>
            <w:vAlign w:val="center"/>
          </w:tcPr>
          <w:p w14:paraId="4D36FC06" w14:textId="6C2D5F8E" w:rsidR="00CA0C50" w:rsidRPr="009C58C4" w:rsidRDefault="00CA0C50" w:rsidP="00226369">
            <w:pPr>
              <w:keepNext/>
              <w:keepLines/>
              <w:widowControl w:val="0"/>
              <w:jc w:val="both"/>
              <w:rPr>
                <w:sz w:val="22"/>
                <w:szCs w:val="22"/>
                <w:lang w:val="sr-Latn-ME"/>
              </w:rPr>
            </w:pPr>
            <w:r w:rsidRPr="009C58C4">
              <w:rPr>
                <w:sz w:val="22"/>
                <w:szCs w:val="22"/>
                <w:lang w:val="sr-Latn-ME"/>
              </w:rPr>
              <w:t>40 </w:t>
            </w:r>
            <w:r w:rsidR="006656BE" w:rsidRPr="009C58C4">
              <w:rPr>
                <w:sz w:val="22"/>
                <w:szCs w:val="22"/>
                <w:lang w:val="sr-Latn-ME"/>
              </w:rPr>
              <w:t>ml</w:t>
            </w:r>
            <w:r w:rsidRPr="009C58C4">
              <w:rPr>
                <w:sz w:val="22"/>
                <w:szCs w:val="22"/>
                <w:lang w:val="sr-Latn-ME"/>
              </w:rPr>
              <w:t xml:space="preserve"> (2 mg)</w:t>
            </w:r>
          </w:p>
        </w:tc>
        <w:tc>
          <w:tcPr>
            <w:tcW w:w="1887" w:type="dxa"/>
            <w:tcBorders>
              <w:top w:val="single" w:sz="4" w:space="0" w:color="auto"/>
              <w:left w:val="single" w:sz="8" w:space="0" w:color="auto"/>
              <w:bottom w:val="single" w:sz="4" w:space="0" w:color="auto"/>
              <w:right w:val="single" w:sz="8" w:space="0" w:color="auto"/>
            </w:tcBorders>
            <w:vAlign w:val="center"/>
          </w:tcPr>
          <w:p w14:paraId="516F56E2" w14:textId="5B33ACFD" w:rsidR="00CA0C50" w:rsidRPr="009C58C4" w:rsidRDefault="00CA0C50" w:rsidP="00226369">
            <w:pPr>
              <w:keepNext/>
              <w:keepLines/>
              <w:widowControl w:val="0"/>
              <w:jc w:val="both"/>
              <w:rPr>
                <w:sz w:val="22"/>
                <w:szCs w:val="22"/>
                <w:lang w:val="sr-Latn-ME"/>
              </w:rPr>
            </w:pPr>
            <w:r w:rsidRPr="009C58C4">
              <w:rPr>
                <w:sz w:val="22"/>
                <w:szCs w:val="22"/>
                <w:lang w:val="sr-Latn-ME"/>
              </w:rPr>
              <w:t>30 </w:t>
            </w:r>
            <w:r w:rsidR="006656BE" w:rsidRPr="009C58C4">
              <w:rPr>
                <w:sz w:val="22"/>
                <w:szCs w:val="22"/>
                <w:lang w:val="sr-Latn-ME"/>
              </w:rPr>
              <w:t>ml</w:t>
            </w:r>
          </w:p>
        </w:tc>
        <w:tc>
          <w:tcPr>
            <w:tcW w:w="1940" w:type="dxa"/>
            <w:tcBorders>
              <w:top w:val="single" w:sz="4" w:space="0" w:color="auto"/>
              <w:left w:val="single" w:sz="8" w:space="0" w:color="auto"/>
              <w:bottom w:val="single" w:sz="4" w:space="0" w:color="auto"/>
              <w:right w:val="single" w:sz="8" w:space="0" w:color="auto"/>
            </w:tcBorders>
            <w:vAlign w:val="center"/>
          </w:tcPr>
          <w:p w14:paraId="3764FABD" w14:textId="1FA0E64E" w:rsidR="00CA0C50" w:rsidRPr="009C58C4" w:rsidRDefault="00CA0C50" w:rsidP="00226369">
            <w:pPr>
              <w:keepNext/>
              <w:keepLines/>
              <w:widowControl w:val="0"/>
              <w:jc w:val="both"/>
              <w:rPr>
                <w:sz w:val="22"/>
                <w:szCs w:val="22"/>
                <w:lang w:val="sr-Latn-ME"/>
              </w:rPr>
            </w:pPr>
            <w:r w:rsidRPr="009C58C4">
              <w:rPr>
                <w:sz w:val="22"/>
                <w:szCs w:val="22"/>
                <w:lang w:val="sr-Latn-ME"/>
              </w:rPr>
              <w:t>20 </w:t>
            </w:r>
            <w:r w:rsidR="006656BE" w:rsidRPr="009C58C4">
              <w:rPr>
                <w:sz w:val="22"/>
                <w:szCs w:val="22"/>
                <w:lang w:val="sr-Latn-ME"/>
              </w:rPr>
              <w:t>ml</w:t>
            </w:r>
          </w:p>
        </w:tc>
      </w:tr>
      <w:tr w:rsidR="00CA0C50" w:rsidRPr="009C58C4" w14:paraId="20015E49" w14:textId="77777777" w:rsidTr="00C87F6C">
        <w:trPr>
          <w:cantSplit/>
        </w:trPr>
        <w:tc>
          <w:tcPr>
            <w:tcW w:w="8495"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3160D1A" w14:textId="71B38703" w:rsidR="00CA0C50" w:rsidRPr="009C58C4" w:rsidRDefault="00CA0C50" w:rsidP="00226369">
            <w:pPr>
              <w:widowControl w:val="0"/>
              <w:jc w:val="both"/>
              <w:rPr>
                <w:rFonts w:eastAsia="Calibri"/>
                <w:sz w:val="22"/>
                <w:szCs w:val="22"/>
                <w:lang w:val="sr-Latn-ME"/>
              </w:rPr>
            </w:pPr>
            <w:r w:rsidRPr="009C58C4">
              <w:rPr>
                <w:sz w:val="22"/>
                <w:szCs w:val="22"/>
                <w:lang w:val="sr-Latn-ME"/>
              </w:rPr>
              <w:t xml:space="preserve">Ne preporučuje se prilagođavanje doze </w:t>
            </w:r>
            <w:r w:rsidR="007F2563" w:rsidRPr="009C58C4">
              <w:rPr>
                <w:sz w:val="22"/>
                <w:szCs w:val="22"/>
                <w:lang w:val="sr-Latn-ME"/>
              </w:rPr>
              <w:t>lijek</w:t>
            </w:r>
            <w:r w:rsidRPr="009C58C4">
              <w:rPr>
                <w:sz w:val="22"/>
                <w:szCs w:val="22"/>
                <w:lang w:val="sr-Latn-ME"/>
              </w:rPr>
              <w:t>a Spexotras ispod 50 % preporučene doze.</w:t>
            </w:r>
          </w:p>
        </w:tc>
      </w:tr>
    </w:tbl>
    <w:p w14:paraId="6F8AE711" w14:textId="77777777" w:rsidR="00CA0C50" w:rsidRPr="009C58C4" w:rsidRDefault="00CA0C50" w:rsidP="00226369">
      <w:pPr>
        <w:jc w:val="both"/>
        <w:rPr>
          <w:sz w:val="22"/>
          <w:szCs w:val="22"/>
          <w:shd w:val="clear" w:color="auto" w:fill="FFFFFF"/>
          <w:lang w:val="sr-Latn-ME"/>
        </w:rPr>
      </w:pPr>
    </w:p>
    <w:p w14:paraId="3ECF5B21" w14:textId="2D209DC5" w:rsidR="00CA0C50" w:rsidRPr="009C58C4" w:rsidRDefault="00CA0C50" w:rsidP="00226369">
      <w:pPr>
        <w:jc w:val="both"/>
        <w:rPr>
          <w:sz w:val="22"/>
          <w:szCs w:val="22"/>
          <w:lang w:val="sr-Latn-ME"/>
        </w:rPr>
      </w:pPr>
      <w:r w:rsidRPr="009C58C4">
        <w:rPr>
          <w:sz w:val="22"/>
          <w:szCs w:val="22"/>
          <w:lang w:val="sr-Latn-ME"/>
        </w:rPr>
        <w:t xml:space="preserve">Ako se neželjene reakcije pacijenata uspešno </w:t>
      </w:r>
      <w:r w:rsidR="007F2563" w:rsidRPr="009C58C4">
        <w:rPr>
          <w:sz w:val="22"/>
          <w:szCs w:val="22"/>
          <w:lang w:val="sr-Latn-ME"/>
        </w:rPr>
        <w:t>liječ</w:t>
      </w:r>
      <w:r w:rsidRPr="009C58C4">
        <w:rPr>
          <w:sz w:val="22"/>
          <w:szCs w:val="22"/>
          <w:lang w:val="sr-Latn-ME"/>
        </w:rPr>
        <w:t>e, može se razmotriti povećanje doze prema istim koracima za doziranje kao i kod smanjenja. Doza trametiniba ne sm</w:t>
      </w:r>
      <w:r w:rsidR="00F46CDF" w:rsidRPr="009C58C4">
        <w:rPr>
          <w:sz w:val="22"/>
          <w:szCs w:val="22"/>
          <w:lang w:val="sr-Latn-ME"/>
        </w:rPr>
        <w:t>ij</w:t>
      </w:r>
      <w:r w:rsidRPr="009C58C4">
        <w:rPr>
          <w:sz w:val="22"/>
          <w:szCs w:val="22"/>
          <w:lang w:val="sr-Latn-ME"/>
        </w:rPr>
        <w:t>e biti viša od preporučene doze navedene u Tabeli 1.</w:t>
      </w:r>
    </w:p>
    <w:p w14:paraId="628EB3FE" w14:textId="54792E1A" w:rsidR="00CA0C50" w:rsidRPr="009C58C4" w:rsidRDefault="00CA0C50" w:rsidP="00226369">
      <w:pPr>
        <w:keepNext/>
        <w:keepLines/>
        <w:tabs>
          <w:tab w:val="left" w:pos="720"/>
        </w:tabs>
        <w:jc w:val="both"/>
        <w:rPr>
          <w:i/>
          <w:sz w:val="22"/>
          <w:szCs w:val="22"/>
          <w:u w:val="single"/>
          <w:shd w:val="clear" w:color="auto" w:fill="FFFFFF"/>
          <w:lang w:val="sr-Latn-ME"/>
        </w:rPr>
      </w:pPr>
      <w:bookmarkStart w:id="9" w:name="_Hlk134462363"/>
      <w:r w:rsidRPr="009C58C4">
        <w:rPr>
          <w:i/>
          <w:sz w:val="22"/>
          <w:szCs w:val="22"/>
          <w:u w:val="single"/>
          <w:shd w:val="clear" w:color="auto" w:fill="FFFFFF"/>
          <w:lang w:val="sr-Latn-ME"/>
        </w:rPr>
        <w:lastRenderedPageBreak/>
        <w:t>Prilagođavanje doze za odabrane neželjene reakcije</w:t>
      </w:r>
    </w:p>
    <w:bookmarkEnd w:id="9"/>
    <w:p w14:paraId="15FD4F6C" w14:textId="77777777" w:rsidR="00304534" w:rsidRPr="009C58C4" w:rsidRDefault="00304534" w:rsidP="00226369">
      <w:pPr>
        <w:keepNext/>
        <w:jc w:val="both"/>
        <w:rPr>
          <w:i/>
          <w:sz w:val="22"/>
          <w:szCs w:val="22"/>
          <w:shd w:val="clear" w:color="auto" w:fill="FFFFFF"/>
          <w:lang w:val="sr-Latn-ME"/>
        </w:rPr>
      </w:pPr>
    </w:p>
    <w:p w14:paraId="179C0FD6" w14:textId="43545994" w:rsidR="00CA0C50" w:rsidRPr="009C58C4" w:rsidRDefault="00CA0C50" w:rsidP="00226369">
      <w:pPr>
        <w:keepNext/>
        <w:jc w:val="both"/>
        <w:rPr>
          <w:i/>
          <w:sz w:val="22"/>
          <w:szCs w:val="22"/>
          <w:shd w:val="clear" w:color="auto" w:fill="FFFFFF"/>
          <w:lang w:val="sr-Latn-ME"/>
        </w:rPr>
      </w:pPr>
      <w:r w:rsidRPr="009C58C4">
        <w:rPr>
          <w:i/>
          <w:sz w:val="22"/>
          <w:szCs w:val="22"/>
          <w:shd w:val="clear" w:color="auto" w:fill="FFFFFF"/>
          <w:lang w:val="sr-Latn-ME"/>
        </w:rPr>
        <w:t>Pireksija</w:t>
      </w:r>
    </w:p>
    <w:p w14:paraId="5918422F" w14:textId="6BA67996" w:rsidR="00CA0C50" w:rsidRPr="009C58C4" w:rsidRDefault="00CA0C50" w:rsidP="00226369">
      <w:pPr>
        <w:jc w:val="both"/>
        <w:rPr>
          <w:sz w:val="22"/>
          <w:szCs w:val="22"/>
          <w:lang w:val="sr-Latn-ME"/>
        </w:rPr>
      </w:pPr>
      <w:r w:rsidRPr="009C58C4">
        <w:rPr>
          <w:sz w:val="22"/>
          <w:szCs w:val="22"/>
          <w:lang w:val="sr-Latn-ME"/>
        </w:rPr>
        <w:t xml:space="preserve">U slučaju porasta </w:t>
      </w:r>
      <w:r w:rsidR="00F46CDF" w:rsidRPr="009C58C4">
        <w:rPr>
          <w:sz w:val="22"/>
          <w:szCs w:val="22"/>
          <w:lang w:val="sr-Latn-ME"/>
        </w:rPr>
        <w:t>tjeles</w:t>
      </w:r>
      <w:r w:rsidRPr="009C58C4">
        <w:rPr>
          <w:sz w:val="22"/>
          <w:szCs w:val="22"/>
          <w:lang w:val="sr-Latn-ME"/>
        </w:rPr>
        <w:t xml:space="preserve">ne temperature pacijenta na ≥ 38ºC, potrebno je privremeno prekinuti terapiju trametinibom i dabrafenibom. U slučaju recidiva, terapija se takođe može privremeno prekinuti kod prvog simptoma pireksije. Potrebno je započeti terapiju antipireticima kao što je ibuprofen ili paracetamol. Potrebno je razmotriti </w:t>
      </w:r>
      <w:r w:rsidR="007F2563" w:rsidRPr="009C58C4">
        <w:rPr>
          <w:sz w:val="22"/>
          <w:szCs w:val="22"/>
          <w:lang w:val="sr-Latn-ME"/>
        </w:rPr>
        <w:t>primjen</w:t>
      </w:r>
      <w:r w:rsidRPr="009C58C4">
        <w:rPr>
          <w:sz w:val="22"/>
          <w:szCs w:val="22"/>
          <w:lang w:val="sr-Latn-ME"/>
        </w:rPr>
        <w:t xml:space="preserve">u oralnih kortikosteroida u slučajevima u kojima su antipiretici nedovoljni. Pacijente je potrebno </w:t>
      </w:r>
      <w:r w:rsidR="007F2563" w:rsidRPr="009C58C4">
        <w:rPr>
          <w:sz w:val="22"/>
          <w:szCs w:val="22"/>
          <w:lang w:val="sr-Latn-ME"/>
        </w:rPr>
        <w:t>procijen</w:t>
      </w:r>
      <w:r w:rsidRPr="009C58C4">
        <w:rPr>
          <w:sz w:val="22"/>
          <w:szCs w:val="22"/>
          <w:lang w:val="sr-Latn-ME"/>
        </w:rPr>
        <w:t xml:space="preserve">iti zbog znakova i simptoma infekcije i ako je potrebno </w:t>
      </w:r>
      <w:r w:rsidR="007F2563" w:rsidRPr="009C58C4">
        <w:rPr>
          <w:sz w:val="22"/>
          <w:szCs w:val="22"/>
          <w:lang w:val="sr-Latn-ME"/>
        </w:rPr>
        <w:t>liječ</w:t>
      </w:r>
      <w:r w:rsidRPr="009C58C4">
        <w:rPr>
          <w:sz w:val="22"/>
          <w:szCs w:val="22"/>
          <w:lang w:val="sr-Latn-ME"/>
        </w:rPr>
        <w:t>iti u skladu sa lokalnom praksom (</w:t>
      </w:r>
      <w:r w:rsidR="00F46CDF" w:rsidRPr="009C58C4">
        <w:rPr>
          <w:sz w:val="22"/>
          <w:szCs w:val="22"/>
          <w:lang w:val="sr-Latn-ME"/>
        </w:rPr>
        <w:t>vidjet</w:t>
      </w:r>
      <w:r w:rsidRPr="009C58C4">
        <w:rPr>
          <w:sz w:val="22"/>
          <w:szCs w:val="22"/>
          <w:lang w:val="sr-Latn-ME"/>
        </w:rPr>
        <w:t>i</w:t>
      </w:r>
      <w:r w:rsidR="00C97935" w:rsidRPr="009C58C4">
        <w:rPr>
          <w:sz w:val="22"/>
          <w:szCs w:val="22"/>
          <w:lang w:val="sr-Latn-ME"/>
        </w:rPr>
        <w:t xml:space="preserve"> </w:t>
      </w:r>
      <w:r w:rsidR="00C87F6C" w:rsidRPr="009C58C4">
        <w:rPr>
          <w:sz w:val="22"/>
          <w:szCs w:val="22"/>
          <w:lang w:val="sr-Latn-ME"/>
        </w:rPr>
        <w:t>dio</w:t>
      </w:r>
      <w:r w:rsidRPr="009C58C4">
        <w:rPr>
          <w:sz w:val="22"/>
          <w:szCs w:val="22"/>
          <w:lang w:val="sr-Latn-ME"/>
        </w:rPr>
        <w:t xml:space="preserve"> 4.4). Potrebno je ponovo započeti </w:t>
      </w:r>
      <w:r w:rsidR="007F2563" w:rsidRPr="009C58C4">
        <w:rPr>
          <w:sz w:val="22"/>
          <w:szCs w:val="22"/>
          <w:lang w:val="sr-Latn-ME"/>
        </w:rPr>
        <w:t>primjen</w:t>
      </w:r>
      <w:r w:rsidRPr="009C58C4">
        <w:rPr>
          <w:sz w:val="22"/>
          <w:szCs w:val="22"/>
          <w:lang w:val="sr-Latn-ME"/>
        </w:rPr>
        <w:t>u ako je pacijent bez simptoma najmanje 24 sata, ili (1) sa istim nivoom doze, ili (2) u dozi smanjenoj za jedan nivo ako je pireksija rekurentna i/ili je praćena drugim teškim simptomima uključujući dehidraciju, hipotenziju ili bubrežnu insuficijenciju.</w:t>
      </w:r>
    </w:p>
    <w:p w14:paraId="12AFDCD1" w14:textId="77777777" w:rsidR="00CA0C50" w:rsidRPr="009C58C4" w:rsidRDefault="00CA0C50" w:rsidP="00226369">
      <w:pPr>
        <w:jc w:val="both"/>
        <w:rPr>
          <w:sz w:val="22"/>
          <w:szCs w:val="22"/>
          <w:shd w:val="clear" w:color="auto" w:fill="FFFFFF"/>
          <w:lang w:val="sr-Latn-ME"/>
        </w:rPr>
      </w:pPr>
    </w:p>
    <w:p w14:paraId="7FB70C4C" w14:textId="19FDABEC" w:rsidR="00CA0C50" w:rsidRPr="009C58C4" w:rsidRDefault="00CA0C50" w:rsidP="00226369">
      <w:pPr>
        <w:keepNext/>
        <w:keepLines/>
        <w:jc w:val="both"/>
        <w:rPr>
          <w:i/>
          <w:sz w:val="22"/>
          <w:szCs w:val="22"/>
          <w:u w:val="single"/>
          <w:shd w:val="clear" w:color="auto" w:fill="FFFFFF"/>
          <w:lang w:val="sr-Latn-ME"/>
        </w:rPr>
      </w:pPr>
      <w:bookmarkStart w:id="10" w:name="_Hlk134470678"/>
      <w:bookmarkStart w:id="11" w:name="_Hlk134385119"/>
      <w:r w:rsidRPr="009C58C4">
        <w:rPr>
          <w:i/>
          <w:sz w:val="22"/>
          <w:szCs w:val="22"/>
          <w:u w:val="single"/>
          <w:shd w:val="clear" w:color="auto" w:fill="FFFFFF"/>
          <w:lang w:val="sr-Latn-ME"/>
        </w:rPr>
        <w:t>Izuzeci u prilagođavanju doze (kada se smanjuje doza samo jedne od dv</w:t>
      </w:r>
      <w:r w:rsidR="00F46CDF" w:rsidRPr="009C58C4">
        <w:rPr>
          <w:i/>
          <w:sz w:val="22"/>
          <w:szCs w:val="22"/>
          <w:u w:val="single"/>
          <w:shd w:val="clear" w:color="auto" w:fill="FFFFFF"/>
          <w:lang w:val="sr-Latn-ME"/>
        </w:rPr>
        <w:t>ij</w:t>
      </w:r>
      <w:r w:rsidRPr="009C58C4">
        <w:rPr>
          <w:i/>
          <w:sz w:val="22"/>
          <w:szCs w:val="22"/>
          <w:u w:val="single"/>
          <w:shd w:val="clear" w:color="auto" w:fill="FFFFFF"/>
          <w:lang w:val="sr-Latn-ME"/>
        </w:rPr>
        <w:t>e terapije) za odabrane neželjene reakcije</w:t>
      </w:r>
    </w:p>
    <w:p w14:paraId="33B949FD" w14:textId="77777777" w:rsidR="00304534" w:rsidRPr="009C58C4" w:rsidRDefault="00304534" w:rsidP="00226369">
      <w:pPr>
        <w:keepNext/>
        <w:keepLines/>
        <w:jc w:val="both"/>
        <w:rPr>
          <w:i/>
          <w:sz w:val="22"/>
          <w:szCs w:val="22"/>
          <w:u w:val="single"/>
          <w:shd w:val="clear" w:color="auto" w:fill="FFFFFF"/>
          <w:lang w:val="sr-Latn-ME"/>
        </w:rPr>
      </w:pPr>
    </w:p>
    <w:bookmarkEnd w:id="10"/>
    <w:p w14:paraId="2C5FBFAA" w14:textId="1238BE4C" w:rsidR="00CA0C50" w:rsidRPr="009C58C4" w:rsidRDefault="00CA0C50" w:rsidP="00226369">
      <w:pPr>
        <w:keepNext/>
        <w:jc w:val="both"/>
        <w:rPr>
          <w:i/>
          <w:sz w:val="22"/>
          <w:szCs w:val="22"/>
          <w:lang w:val="sr-Latn-ME"/>
        </w:rPr>
      </w:pPr>
      <w:r w:rsidRPr="009C58C4">
        <w:rPr>
          <w:i/>
          <w:sz w:val="22"/>
          <w:szCs w:val="22"/>
          <w:lang w:val="sr-Latn-ME"/>
        </w:rPr>
        <w:t>Smanjenje ejekcione frakcije leve komore (LVEF)/disfunkcija l</w:t>
      </w:r>
      <w:r w:rsidR="00F46CDF" w:rsidRPr="009C58C4">
        <w:rPr>
          <w:i/>
          <w:sz w:val="22"/>
          <w:szCs w:val="22"/>
          <w:lang w:val="sr-Latn-ME"/>
        </w:rPr>
        <w:t>ij</w:t>
      </w:r>
      <w:r w:rsidRPr="009C58C4">
        <w:rPr>
          <w:i/>
          <w:sz w:val="22"/>
          <w:szCs w:val="22"/>
          <w:lang w:val="sr-Latn-ME"/>
        </w:rPr>
        <w:t>eve komore</w:t>
      </w:r>
      <w:bookmarkEnd w:id="11"/>
    </w:p>
    <w:p w14:paraId="7048A091" w14:textId="6F93FBD2" w:rsidR="00CA0C50" w:rsidRPr="009C58C4" w:rsidRDefault="007F2563" w:rsidP="00226369">
      <w:pPr>
        <w:jc w:val="both"/>
        <w:rPr>
          <w:sz w:val="22"/>
          <w:szCs w:val="22"/>
          <w:lang w:val="sr-Latn-ME"/>
        </w:rPr>
      </w:pPr>
      <w:r w:rsidRPr="009C58C4">
        <w:rPr>
          <w:sz w:val="22"/>
          <w:szCs w:val="22"/>
          <w:lang w:val="sr-Latn-ME"/>
        </w:rPr>
        <w:t>Liječ</w:t>
      </w:r>
      <w:r w:rsidR="00CA0C50" w:rsidRPr="009C58C4">
        <w:rPr>
          <w:sz w:val="22"/>
          <w:szCs w:val="22"/>
          <w:lang w:val="sr-Latn-ME"/>
        </w:rPr>
        <w:t>enje trametinibom treba prekinuti kod pacijenata koji imaju asimptomatsko, apsolutno smanjenje ejekcione frakcije l</w:t>
      </w:r>
      <w:r w:rsidR="00F46CDF" w:rsidRPr="009C58C4">
        <w:rPr>
          <w:sz w:val="22"/>
          <w:szCs w:val="22"/>
          <w:lang w:val="sr-Latn-ME"/>
        </w:rPr>
        <w:t>ij</w:t>
      </w:r>
      <w:r w:rsidR="00CA0C50" w:rsidRPr="009C58C4">
        <w:rPr>
          <w:sz w:val="22"/>
          <w:szCs w:val="22"/>
          <w:lang w:val="sr-Latn-ME"/>
        </w:rPr>
        <w:t xml:space="preserve">eve komore (engl. </w:t>
      </w:r>
      <w:r w:rsidR="00CA0C50" w:rsidRPr="009C58C4">
        <w:rPr>
          <w:i/>
          <w:sz w:val="22"/>
          <w:szCs w:val="22"/>
          <w:lang w:val="sr-Latn-ME"/>
        </w:rPr>
        <w:t>left ventricular ejection fraction</w:t>
      </w:r>
      <w:r w:rsidR="00CA0C50" w:rsidRPr="009C58C4">
        <w:rPr>
          <w:sz w:val="22"/>
          <w:szCs w:val="22"/>
          <w:lang w:val="sr-Latn-ME"/>
        </w:rPr>
        <w:t xml:space="preserve">, LVEF) za &gt; 10 % u odnosu na početnu </w:t>
      </w:r>
      <w:r w:rsidR="00F46CDF" w:rsidRPr="009C58C4">
        <w:rPr>
          <w:sz w:val="22"/>
          <w:szCs w:val="22"/>
          <w:lang w:val="sr-Latn-ME"/>
        </w:rPr>
        <w:t>vrijednost</w:t>
      </w:r>
      <w:r w:rsidR="00CA0C50" w:rsidRPr="009C58C4">
        <w:rPr>
          <w:sz w:val="22"/>
          <w:szCs w:val="22"/>
          <w:lang w:val="sr-Latn-ME"/>
        </w:rPr>
        <w:t xml:space="preserve">, gde je </w:t>
      </w:r>
      <w:r w:rsidR="00F46CDF" w:rsidRPr="009C58C4">
        <w:rPr>
          <w:sz w:val="22"/>
          <w:szCs w:val="22"/>
          <w:lang w:val="sr-Latn-ME"/>
        </w:rPr>
        <w:t>vrijednost</w:t>
      </w:r>
      <w:r w:rsidR="00CA0C50" w:rsidRPr="009C58C4">
        <w:rPr>
          <w:sz w:val="22"/>
          <w:szCs w:val="22"/>
          <w:lang w:val="sr-Latn-ME"/>
        </w:rPr>
        <w:t xml:space="preserve"> ejekcione frakcije ispod donje granice normale (DGN) za određenu ustanovu (</w:t>
      </w:r>
      <w:r w:rsidR="00F46CDF" w:rsidRPr="009C58C4">
        <w:rPr>
          <w:sz w:val="22"/>
          <w:szCs w:val="22"/>
          <w:lang w:val="sr-Latn-ME"/>
        </w:rPr>
        <w:t>vidjet</w:t>
      </w:r>
      <w:r w:rsidR="00CA0C50" w:rsidRPr="009C58C4">
        <w:rPr>
          <w:sz w:val="22"/>
          <w:szCs w:val="22"/>
          <w:lang w:val="sr-Latn-ME"/>
        </w:rPr>
        <w:t>i</w:t>
      </w:r>
      <w:r w:rsidR="00226369" w:rsidRPr="009C58C4">
        <w:rPr>
          <w:sz w:val="22"/>
          <w:szCs w:val="22"/>
          <w:lang w:val="sr-Latn-ME"/>
        </w:rPr>
        <w:t xml:space="preserve"> </w:t>
      </w:r>
      <w:r w:rsidR="00C87F6C" w:rsidRPr="009C58C4">
        <w:rPr>
          <w:sz w:val="22"/>
          <w:szCs w:val="22"/>
          <w:lang w:val="sr-Latn-ME"/>
        </w:rPr>
        <w:t>dio</w:t>
      </w:r>
      <w:r w:rsidR="00CA0C50" w:rsidRPr="009C58C4">
        <w:rPr>
          <w:sz w:val="22"/>
          <w:szCs w:val="22"/>
          <w:lang w:val="sr-Latn-ME"/>
        </w:rPr>
        <w:t> 4.4). Nije potrebno prilagođavanje doze dabrafeniba kada se uzima u kombinaciji s</w:t>
      </w:r>
      <w:r w:rsidR="00C97935" w:rsidRPr="009C58C4">
        <w:rPr>
          <w:sz w:val="22"/>
          <w:szCs w:val="22"/>
          <w:lang w:val="sr-Latn-ME"/>
        </w:rPr>
        <w:t>a</w:t>
      </w:r>
      <w:r w:rsidR="00CA0C50" w:rsidRPr="009C58C4">
        <w:rPr>
          <w:sz w:val="22"/>
          <w:szCs w:val="22"/>
          <w:lang w:val="sr-Latn-ME"/>
        </w:rPr>
        <w:t xml:space="preserve"> trametinibom.</w:t>
      </w:r>
      <w:r w:rsidR="00CA0C50" w:rsidRPr="009C58C4" w:rsidDel="00EC2E99">
        <w:rPr>
          <w:sz w:val="22"/>
          <w:szCs w:val="22"/>
          <w:lang w:val="sr-Latn-ME"/>
        </w:rPr>
        <w:t xml:space="preserve"> </w:t>
      </w:r>
      <w:r w:rsidR="00CA0C50" w:rsidRPr="009C58C4">
        <w:rPr>
          <w:sz w:val="22"/>
          <w:szCs w:val="22"/>
          <w:lang w:val="sr-Latn-ME"/>
        </w:rPr>
        <w:t xml:space="preserve">Ako se LVEF oporavi, </w:t>
      </w:r>
      <w:r w:rsidRPr="009C58C4">
        <w:rPr>
          <w:sz w:val="22"/>
          <w:szCs w:val="22"/>
          <w:lang w:val="sr-Latn-ME"/>
        </w:rPr>
        <w:t>liječ</w:t>
      </w:r>
      <w:r w:rsidR="00CA0C50" w:rsidRPr="009C58C4">
        <w:rPr>
          <w:sz w:val="22"/>
          <w:szCs w:val="22"/>
          <w:lang w:val="sr-Latn-ME"/>
        </w:rPr>
        <w:t>enje trametinibom može se ponovo započeti, ali je potrebno smanjiti dozu za jedan nivo, a pacijenta pomno nadzirati (</w:t>
      </w:r>
      <w:r w:rsidR="00F46CDF" w:rsidRPr="009C58C4">
        <w:rPr>
          <w:sz w:val="22"/>
          <w:szCs w:val="22"/>
          <w:lang w:val="sr-Latn-ME"/>
        </w:rPr>
        <w:t>vidjet</w:t>
      </w:r>
      <w:r w:rsidR="00CA0C50" w:rsidRPr="009C58C4">
        <w:rPr>
          <w:sz w:val="22"/>
          <w:szCs w:val="22"/>
          <w:lang w:val="sr-Latn-ME"/>
        </w:rPr>
        <w:t>i</w:t>
      </w:r>
      <w:r w:rsidR="00226369" w:rsidRPr="009C58C4">
        <w:rPr>
          <w:sz w:val="22"/>
          <w:szCs w:val="22"/>
          <w:lang w:val="sr-Latn-ME"/>
        </w:rPr>
        <w:t xml:space="preserve"> </w:t>
      </w:r>
      <w:r w:rsidR="00C87F6C" w:rsidRPr="009C58C4">
        <w:rPr>
          <w:sz w:val="22"/>
          <w:szCs w:val="22"/>
          <w:lang w:val="sr-Latn-ME"/>
        </w:rPr>
        <w:t>dio</w:t>
      </w:r>
      <w:r w:rsidR="00CA0C50" w:rsidRPr="009C58C4">
        <w:rPr>
          <w:sz w:val="22"/>
          <w:szCs w:val="22"/>
          <w:lang w:val="sr-Latn-ME"/>
        </w:rPr>
        <w:t> 4.4).</w:t>
      </w:r>
    </w:p>
    <w:p w14:paraId="2D44C347" w14:textId="77777777" w:rsidR="00CA0C50" w:rsidRPr="009C58C4" w:rsidRDefault="00CA0C50" w:rsidP="00226369">
      <w:pPr>
        <w:jc w:val="both"/>
        <w:rPr>
          <w:sz w:val="22"/>
          <w:szCs w:val="22"/>
          <w:lang w:val="sr-Latn-ME"/>
        </w:rPr>
      </w:pPr>
    </w:p>
    <w:p w14:paraId="42044426" w14:textId="08512C8B" w:rsidR="00CA0C50" w:rsidRPr="009C58C4" w:rsidRDefault="007F2563" w:rsidP="00226369">
      <w:pPr>
        <w:jc w:val="both"/>
        <w:rPr>
          <w:sz w:val="22"/>
          <w:szCs w:val="22"/>
          <w:lang w:val="sr-Latn-ME"/>
        </w:rPr>
      </w:pPr>
      <w:r w:rsidRPr="009C58C4">
        <w:rPr>
          <w:sz w:val="22"/>
          <w:szCs w:val="22"/>
          <w:lang w:val="sr-Latn-ME"/>
        </w:rPr>
        <w:t>Liječ</w:t>
      </w:r>
      <w:r w:rsidR="00CA0C50" w:rsidRPr="009C58C4">
        <w:rPr>
          <w:sz w:val="22"/>
          <w:szCs w:val="22"/>
          <w:lang w:val="sr-Latn-ME"/>
        </w:rPr>
        <w:t>enje trametinibom treba trajno prekinuti kod pacijenata koji imaju disfunkciju l</w:t>
      </w:r>
      <w:r w:rsidR="00F46CDF" w:rsidRPr="009C58C4">
        <w:rPr>
          <w:sz w:val="22"/>
          <w:szCs w:val="22"/>
          <w:lang w:val="sr-Latn-ME"/>
        </w:rPr>
        <w:t>ij</w:t>
      </w:r>
      <w:r w:rsidR="00CA0C50" w:rsidRPr="009C58C4">
        <w:rPr>
          <w:sz w:val="22"/>
          <w:szCs w:val="22"/>
          <w:lang w:val="sr-Latn-ME"/>
        </w:rPr>
        <w:t>eve komore gradusa 3 ili 4 ili ako imaju klinički značajno smanjen LVEF koji se ne oporavi unutar 4 ned</w:t>
      </w:r>
      <w:r w:rsidR="00F46CDF" w:rsidRPr="009C58C4">
        <w:rPr>
          <w:sz w:val="22"/>
          <w:szCs w:val="22"/>
          <w:lang w:val="sr-Latn-ME"/>
        </w:rPr>
        <w:t>j</w:t>
      </w:r>
      <w:r w:rsidR="00CA0C50" w:rsidRPr="009C58C4">
        <w:rPr>
          <w:sz w:val="22"/>
          <w:szCs w:val="22"/>
          <w:lang w:val="sr-Latn-ME"/>
        </w:rPr>
        <w:t>elje (</w:t>
      </w:r>
      <w:r w:rsidR="00F46CDF" w:rsidRPr="009C58C4">
        <w:rPr>
          <w:sz w:val="22"/>
          <w:szCs w:val="22"/>
          <w:lang w:val="sr-Latn-ME"/>
        </w:rPr>
        <w:t>vidjet</w:t>
      </w:r>
      <w:r w:rsidR="00CA0C50" w:rsidRPr="009C58C4">
        <w:rPr>
          <w:sz w:val="22"/>
          <w:szCs w:val="22"/>
          <w:lang w:val="sr-Latn-ME"/>
        </w:rPr>
        <w:t>i</w:t>
      </w:r>
      <w:r w:rsidR="00226369" w:rsidRPr="009C58C4">
        <w:rPr>
          <w:sz w:val="22"/>
          <w:szCs w:val="22"/>
          <w:lang w:val="sr-Latn-ME"/>
        </w:rPr>
        <w:t xml:space="preserve"> </w:t>
      </w:r>
      <w:r w:rsidR="00C87F6C" w:rsidRPr="009C58C4">
        <w:rPr>
          <w:sz w:val="22"/>
          <w:szCs w:val="22"/>
          <w:lang w:val="sr-Latn-ME"/>
        </w:rPr>
        <w:t>dio</w:t>
      </w:r>
      <w:r w:rsidR="00CA0C50" w:rsidRPr="009C58C4">
        <w:rPr>
          <w:sz w:val="22"/>
          <w:szCs w:val="22"/>
          <w:lang w:val="sr-Latn-ME"/>
        </w:rPr>
        <w:t> 4.4).</w:t>
      </w:r>
    </w:p>
    <w:p w14:paraId="38B738FA" w14:textId="77777777" w:rsidR="00CA0C50" w:rsidRPr="009C58C4" w:rsidRDefault="00CA0C50" w:rsidP="00226369">
      <w:pPr>
        <w:jc w:val="both"/>
        <w:rPr>
          <w:sz w:val="22"/>
          <w:szCs w:val="22"/>
          <w:lang w:val="sr-Latn-ME"/>
        </w:rPr>
      </w:pPr>
    </w:p>
    <w:p w14:paraId="68119A1F" w14:textId="77777777" w:rsidR="00CA0C50" w:rsidRPr="009C58C4" w:rsidRDefault="00CA0C50" w:rsidP="00226369">
      <w:pPr>
        <w:keepNext/>
        <w:jc w:val="both"/>
        <w:rPr>
          <w:i/>
          <w:sz w:val="22"/>
          <w:szCs w:val="22"/>
          <w:lang w:val="sr-Latn-ME"/>
        </w:rPr>
      </w:pPr>
      <w:r w:rsidRPr="009C58C4">
        <w:rPr>
          <w:i/>
          <w:sz w:val="22"/>
          <w:szCs w:val="22"/>
          <w:lang w:val="sr-Latn-ME"/>
        </w:rPr>
        <w:t>Okluzija retinalne vene (RVO) i odvajanje pigmentnog epitela retine (RPED)</w:t>
      </w:r>
    </w:p>
    <w:p w14:paraId="06528629" w14:textId="4198DDDF" w:rsidR="00CA0C50" w:rsidRPr="009C58C4" w:rsidRDefault="00CA0C50" w:rsidP="00226369">
      <w:pPr>
        <w:jc w:val="both"/>
        <w:rPr>
          <w:sz w:val="22"/>
          <w:szCs w:val="22"/>
          <w:lang w:val="sr-Latn-ME"/>
        </w:rPr>
      </w:pPr>
      <w:r w:rsidRPr="009C58C4">
        <w:rPr>
          <w:sz w:val="22"/>
          <w:szCs w:val="22"/>
          <w:lang w:val="sr-Latn-ME"/>
        </w:rPr>
        <w:t xml:space="preserve">Ako pacijenti u bilo kom trenutku tokom kombinovane terapije trametinibom i dabrafenibom prijave novonastale smetnje vida poput slabljenja centralnoga vida, zamagljenja vida ili gubitka vida, preporučuje se da se odmah uradi oftalmološki pregled. Kod pacijenata kojima se dijagnostikuje okluzija retinalne vene (engl. </w:t>
      </w:r>
      <w:r w:rsidRPr="009C58C4">
        <w:rPr>
          <w:i/>
          <w:sz w:val="22"/>
          <w:szCs w:val="22"/>
          <w:lang w:val="sr-Latn-ME"/>
        </w:rPr>
        <w:t>retinal vein occlusion</w:t>
      </w:r>
      <w:r w:rsidRPr="009C58C4">
        <w:rPr>
          <w:sz w:val="22"/>
          <w:szCs w:val="22"/>
          <w:lang w:val="sr-Latn-ME"/>
        </w:rPr>
        <w:t xml:space="preserve">, RVO), </w:t>
      </w:r>
      <w:r w:rsidR="007F2563" w:rsidRPr="009C58C4">
        <w:rPr>
          <w:sz w:val="22"/>
          <w:szCs w:val="22"/>
          <w:lang w:val="sr-Latn-ME"/>
        </w:rPr>
        <w:t>liječ</w:t>
      </w:r>
      <w:r w:rsidRPr="009C58C4">
        <w:rPr>
          <w:sz w:val="22"/>
          <w:szCs w:val="22"/>
          <w:lang w:val="sr-Latn-ME"/>
        </w:rPr>
        <w:t xml:space="preserve">enje trametinibom je potrebno trajno prekinuti. Ako se dijagnostikuje odvajanje pigmentnog epitela retine (engl. </w:t>
      </w:r>
      <w:r w:rsidRPr="009C58C4">
        <w:rPr>
          <w:i/>
          <w:sz w:val="22"/>
          <w:szCs w:val="22"/>
          <w:lang w:val="sr-Latn-ME"/>
        </w:rPr>
        <w:t>retinal pigment epithelial detachment</w:t>
      </w:r>
      <w:r w:rsidRPr="009C58C4">
        <w:rPr>
          <w:sz w:val="22"/>
          <w:szCs w:val="22"/>
          <w:lang w:val="sr-Latn-ME"/>
        </w:rPr>
        <w:t>, RPED), potrebno je sl</w:t>
      </w:r>
      <w:r w:rsidR="00F46CDF" w:rsidRPr="009C58C4">
        <w:rPr>
          <w:sz w:val="22"/>
          <w:szCs w:val="22"/>
          <w:lang w:val="sr-Latn-ME"/>
        </w:rPr>
        <w:t>ij</w:t>
      </w:r>
      <w:r w:rsidRPr="009C58C4">
        <w:rPr>
          <w:sz w:val="22"/>
          <w:szCs w:val="22"/>
          <w:lang w:val="sr-Latn-ME"/>
        </w:rPr>
        <w:t>editi korake za prilagođavanje doze trametiniba navedene u tabeli 4 (</w:t>
      </w:r>
      <w:r w:rsidR="00F46CDF" w:rsidRPr="009C58C4">
        <w:rPr>
          <w:sz w:val="22"/>
          <w:szCs w:val="22"/>
          <w:lang w:val="sr-Latn-ME"/>
        </w:rPr>
        <w:t>vidjet</w:t>
      </w:r>
      <w:r w:rsidRPr="009C58C4">
        <w:rPr>
          <w:sz w:val="22"/>
          <w:szCs w:val="22"/>
          <w:lang w:val="sr-Latn-ME"/>
        </w:rPr>
        <w:t>i</w:t>
      </w:r>
      <w:r w:rsidR="00226369" w:rsidRPr="009C58C4">
        <w:rPr>
          <w:sz w:val="22"/>
          <w:szCs w:val="22"/>
          <w:lang w:val="sr-Latn-ME"/>
        </w:rPr>
        <w:t xml:space="preserve"> </w:t>
      </w:r>
      <w:r w:rsidR="00C87F6C" w:rsidRPr="009C58C4">
        <w:rPr>
          <w:sz w:val="22"/>
          <w:szCs w:val="22"/>
          <w:lang w:val="sr-Latn-ME"/>
        </w:rPr>
        <w:t xml:space="preserve">dio </w:t>
      </w:r>
      <w:r w:rsidRPr="009C58C4">
        <w:rPr>
          <w:sz w:val="22"/>
          <w:szCs w:val="22"/>
          <w:lang w:val="sr-Latn-ME"/>
        </w:rPr>
        <w:t xml:space="preserve">4.4). </w:t>
      </w:r>
      <w:bookmarkStart w:id="12" w:name="_Hlk134471253"/>
      <w:r w:rsidRPr="009C58C4">
        <w:rPr>
          <w:sz w:val="22"/>
          <w:szCs w:val="22"/>
          <w:lang w:val="sr-Latn-ME"/>
        </w:rPr>
        <w:t xml:space="preserve">Nije potrebno prilagođavanje doze dabrafeniba kada se uzima u kombinaciji sa trametinibom kod pacijenata sa potvrđenom dijagnozom okluzije retinalne vene (engl. </w:t>
      </w:r>
      <w:r w:rsidRPr="009C58C4">
        <w:rPr>
          <w:i/>
          <w:sz w:val="22"/>
          <w:szCs w:val="22"/>
          <w:lang w:val="sr-Latn-ME"/>
        </w:rPr>
        <w:t>retinal vein occlusion</w:t>
      </w:r>
      <w:r w:rsidRPr="009C58C4">
        <w:rPr>
          <w:sz w:val="22"/>
          <w:szCs w:val="22"/>
          <w:lang w:val="sr-Latn-ME"/>
        </w:rPr>
        <w:t xml:space="preserve">, RVO) ili odvajanja pigmentnog epitela retine (engl. </w:t>
      </w:r>
      <w:r w:rsidRPr="009C58C4">
        <w:rPr>
          <w:i/>
          <w:sz w:val="22"/>
          <w:szCs w:val="22"/>
          <w:lang w:val="sr-Latn-ME"/>
        </w:rPr>
        <w:t>retinal pigment epithelial detachment</w:t>
      </w:r>
      <w:r w:rsidRPr="009C58C4">
        <w:rPr>
          <w:sz w:val="22"/>
          <w:szCs w:val="22"/>
          <w:lang w:val="sr-Latn-ME"/>
        </w:rPr>
        <w:t>, RPED)</w:t>
      </w:r>
      <w:r w:rsidRPr="009C58C4">
        <w:rPr>
          <w:noProof/>
          <w:sz w:val="22"/>
          <w:szCs w:val="22"/>
          <w:lang w:val="sr-Latn-ME"/>
        </w:rPr>
        <w:t>.</w:t>
      </w:r>
    </w:p>
    <w:bookmarkEnd w:id="12"/>
    <w:p w14:paraId="26F17FC7" w14:textId="77777777" w:rsidR="00CA0C50" w:rsidRPr="009C58C4" w:rsidRDefault="00CA0C50" w:rsidP="00226369">
      <w:pPr>
        <w:jc w:val="both"/>
        <w:rPr>
          <w:bCs/>
          <w:sz w:val="22"/>
          <w:szCs w:val="22"/>
          <w:lang w:val="sr-Latn-ME"/>
        </w:rPr>
      </w:pPr>
    </w:p>
    <w:p w14:paraId="19BFC791" w14:textId="77777777" w:rsidR="00CA0C50" w:rsidRPr="009C58C4" w:rsidRDefault="00CA0C50" w:rsidP="00226369">
      <w:pPr>
        <w:keepNext/>
        <w:keepLines/>
        <w:widowControl w:val="0"/>
        <w:ind w:left="1134" w:hanging="1134"/>
        <w:jc w:val="both"/>
        <w:rPr>
          <w:b/>
          <w:sz w:val="22"/>
          <w:szCs w:val="22"/>
          <w:lang w:val="sr-Latn-ME"/>
        </w:rPr>
      </w:pPr>
      <w:r w:rsidRPr="009C58C4">
        <w:rPr>
          <w:b/>
          <w:sz w:val="22"/>
          <w:szCs w:val="22"/>
          <w:lang w:val="sr-Latn-ME"/>
        </w:rPr>
        <w:t>Tabela 4</w:t>
      </w:r>
      <w:r w:rsidRPr="009C58C4">
        <w:rPr>
          <w:b/>
          <w:sz w:val="22"/>
          <w:szCs w:val="22"/>
          <w:lang w:val="sr-Latn-ME"/>
        </w:rPr>
        <w:tab/>
      </w:r>
      <w:r w:rsidRPr="009C58C4">
        <w:rPr>
          <w:b/>
          <w:bCs/>
          <w:sz w:val="22"/>
          <w:szCs w:val="22"/>
          <w:lang w:val="sr-Latn-ME"/>
        </w:rPr>
        <w:t>Preporučeno prilagođavanje doze trametiniba u slučaju RPED-a</w:t>
      </w:r>
    </w:p>
    <w:p w14:paraId="6D57CA15" w14:textId="77777777" w:rsidR="00CA0C50" w:rsidRPr="009C58C4" w:rsidRDefault="00CA0C50" w:rsidP="00226369">
      <w:pPr>
        <w:keepNext/>
        <w:keepLines/>
        <w:widowControl w:val="0"/>
        <w:jc w:val="both"/>
        <w:rPr>
          <w:sz w:val="22"/>
          <w:szCs w:val="22"/>
          <w:lang w:val="sr-Latn-M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5496"/>
      </w:tblGrid>
      <w:tr w:rsidR="00CA0C50" w:rsidRPr="009C58C4" w14:paraId="5A0E1F30" w14:textId="77777777" w:rsidTr="00C87F6C">
        <w:trPr>
          <w:cantSplit/>
        </w:trPr>
        <w:tc>
          <w:tcPr>
            <w:tcW w:w="3463" w:type="dxa"/>
          </w:tcPr>
          <w:p w14:paraId="5BF0819C" w14:textId="77777777" w:rsidR="00CA0C50" w:rsidRPr="009C58C4" w:rsidRDefault="00CA0C50" w:rsidP="00226369">
            <w:pPr>
              <w:keepNext/>
              <w:widowControl w:val="0"/>
              <w:jc w:val="both"/>
              <w:rPr>
                <w:sz w:val="22"/>
                <w:szCs w:val="22"/>
                <w:lang w:val="sr-Latn-ME"/>
              </w:rPr>
            </w:pPr>
            <w:r w:rsidRPr="009C58C4">
              <w:rPr>
                <w:sz w:val="22"/>
                <w:szCs w:val="22"/>
                <w:lang w:val="sr-Latn-ME"/>
              </w:rPr>
              <w:t>RPED  gradusa 1</w:t>
            </w:r>
          </w:p>
        </w:tc>
        <w:tc>
          <w:tcPr>
            <w:tcW w:w="5491" w:type="dxa"/>
          </w:tcPr>
          <w:p w14:paraId="34A932C9" w14:textId="724CF8FB" w:rsidR="00CA0C50" w:rsidRPr="009C58C4" w:rsidRDefault="00CA0C50" w:rsidP="00226369">
            <w:pPr>
              <w:keepNext/>
              <w:widowControl w:val="0"/>
              <w:jc w:val="both"/>
              <w:rPr>
                <w:sz w:val="22"/>
                <w:szCs w:val="22"/>
                <w:lang w:val="sr-Latn-ME"/>
              </w:rPr>
            </w:pPr>
            <w:r w:rsidRPr="009C58C4">
              <w:rPr>
                <w:sz w:val="22"/>
                <w:szCs w:val="22"/>
                <w:lang w:val="sr-Latn-ME"/>
              </w:rPr>
              <w:t xml:space="preserve">Nastaviti </w:t>
            </w:r>
            <w:r w:rsidR="007F2563" w:rsidRPr="009C58C4">
              <w:rPr>
                <w:sz w:val="22"/>
                <w:szCs w:val="22"/>
                <w:lang w:val="sr-Latn-ME"/>
              </w:rPr>
              <w:t>liječ</w:t>
            </w:r>
            <w:r w:rsidRPr="009C58C4">
              <w:rPr>
                <w:sz w:val="22"/>
                <w:szCs w:val="22"/>
                <w:lang w:val="sr-Latn-ME"/>
              </w:rPr>
              <w:t>enje uz m</w:t>
            </w:r>
            <w:r w:rsidR="00F46CDF" w:rsidRPr="009C58C4">
              <w:rPr>
                <w:sz w:val="22"/>
                <w:szCs w:val="22"/>
                <w:lang w:val="sr-Latn-ME"/>
              </w:rPr>
              <w:t>j</w:t>
            </w:r>
            <w:r w:rsidRPr="009C58C4">
              <w:rPr>
                <w:sz w:val="22"/>
                <w:szCs w:val="22"/>
                <w:lang w:val="sr-Latn-ME"/>
              </w:rPr>
              <w:t xml:space="preserve">esečne preglede retine do povlačenja RPED-a. Ako se RPED pogorša, slediti uputstva u nastavku i odložiti </w:t>
            </w:r>
            <w:r w:rsidR="007F2563" w:rsidRPr="009C58C4">
              <w:rPr>
                <w:sz w:val="22"/>
                <w:szCs w:val="22"/>
                <w:lang w:val="sr-Latn-ME"/>
              </w:rPr>
              <w:t>primjen</w:t>
            </w:r>
            <w:r w:rsidRPr="009C58C4">
              <w:rPr>
                <w:sz w:val="22"/>
                <w:szCs w:val="22"/>
                <w:lang w:val="sr-Latn-ME"/>
              </w:rPr>
              <w:t>u trametiniba sve do 3 </w:t>
            </w:r>
            <w:r w:rsidR="00F46CDF" w:rsidRPr="009C58C4">
              <w:rPr>
                <w:sz w:val="22"/>
                <w:szCs w:val="22"/>
                <w:lang w:val="sr-Latn-ME"/>
              </w:rPr>
              <w:t>nedjelj</w:t>
            </w:r>
            <w:r w:rsidRPr="009C58C4">
              <w:rPr>
                <w:sz w:val="22"/>
                <w:szCs w:val="22"/>
                <w:lang w:val="sr-Latn-ME"/>
              </w:rPr>
              <w:t>e.</w:t>
            </w:r>
          </w:p>
        </w:tc>
      </w:tr>
      <w:tr w:rsidR="00CA0C50" w:rsidRPr="009C58C4" w14:paraId="0D686FF7" w14:textId="77777777" w:rsidTr="00C87F6C">
        <w:trPr>
          <w:cantSplit/>
        </w:trPr>
        <w:tc>
          <w:tcPr>
            <w:tcW w:w="3463" w:type="dxa"/>
          </w:tcPr>
          <w:p w14:paraId="6ACF49EE" w14:textId="77777777" w:rsidR="00CA0C50" w:rsidRPr="009C58C4" w:rsidRDefault="00CA0C50" w:rsidP="00226369">
            <w:pPr>
              <w:keepNext/>
              <w:widowControl w:val="0"/>
              <w:jc w:val="both"/>
              <w:rPr>
                <w:rFonts w:eastAsia="Calibri"/>
                <w:sz w:val="22"/>
                <w:szCs w:val="22"/>
                <w:lang w:val="sr-Latn-ME"/>
              </w:rPr>
            </w:pPr>
            <w:r w:rsidRPr="009C58C4">
              <w:rPr>
                <w:sz w:val="22"/>
                <w:szCs w:val="22"/>
                <w:lang w:val="sr-Latn-ME"/>
              </w:rPr>
              <w:t>RPED  gradusa 2 ili 3</w:t>
            </w:r>
          </w:p>
        </w:tc>
        <w:tc>
          <w:tcPr>
            <w:tcW w:w="5496" w:type="dxa"/>
          </w:tcPr>
          <w:p w14:paraId="2D5412F8" w14:textId="1BF132B1" w:rsidR="00CA0C50" w:rsidRPr="009C58C4" w:rsidRDefault="00CA0C50" w:rsidP="00226369">
            <w:pPr>
              <w:keepNext/>
              <w:widowControl w:val="0"/>
              <w:jc w:val="both"/>
              <w:rPr>
                <w:rFonts w:eastAsia="Calibri"/>
                <w:sz w:val="22"/>
                <w:szCs w:val="22"/>
                <w:lang w:val="sr-Latn-ME"/>
              </w:rPr>
            </w:pPr>
            <w:r w:rsidRPr="009C58C4">
              <w:rPr>
                <w:rFonts w:eastAsia="Calibri"/>
                <w:sz w:val="22"/>
                <w:szCs w:val="22"/>
                <w:lang w:val="sr-Latn-ME"/>
              </w:rPr>
              <w:t xml:space="preserve">Odložiti </w:t>
            </w:r>
            <w:r w:rsidR="007F2563" w:rsidRPr="009C58C4">
              <w:rPr>
                <w:rFonts w:eastAsia="Calibri"/>
                <w:sz w:val="22"/>
                <w:szCs w:val="22"/>
                <w:lang w:val="sr-Latn-ME"/>
              </w:rPr>
              <w:t>primjen</w:t>
            </w:r>
            <w:r w:rsidRPr="009C58C4">
              <w:rPr>
                <w:rFonts w:eastAsia="Calibri"/>
                <w:sz w:val="22"/>
                <w:szCs w:val="22"/>
                <w:lang w:val="sr-Latn-ME"/>
              </w:rPr>
              <w:t>u trametiniba sve do 3 ned</w:t>
            </w:r>
            <w:r w:rsidR="00F46CDF" w:rsidRPr="009C58C4">
              <w:rPr>
                <w:rFonts w:eastAsia="Calibri"/>
                <w:sz w:val="22"/>
                <w:szCs w:val="22"/>
                <w:lang w:val="sr-Latn-ME"/>
              </w:rPr>
              <w:t>j</w:t>
            </w:r>
            <w:r w:rsidRPr="009C58C4">
              <w:rPr>
                <w:rFonts w:eastAsia="Calibri"/>
                <w:sz w:val="22"/>
                <w:szCs w:val="22"/>
                <w:lang w:val="sr-Latn-ME"/>
              </w:rPr>
              <w:t>elje.</w:t>
            </w:r>
          </w:p>
        </w:tc>
      </w:tr>
      <w:tr w:rsidR="00CA0C50" w:rsidRPr="009C58C4" w14:paraId="50DA683C" w14:textId="77777777" w:rsidTr="00C87F6C">
        <w:trPr>
          <w:cantSplit/>
        </w:trPr>
        <w:tc>
          <w:tcPr>
            <w:tcW w:w="3463" w:type="dxa"/>
          </w:tcPr>
          <w:p w14:paraId="7A9C0F39" w14:textId="1EBF91B6" w:rsidR="00CA0C50" w:rsidRPr="009C58C4" w:rsidRDefault="00CA0C50" w:rsidP="00226369">
            <w:pPr>
              <w:keepNext/>
              <w:widowControl w:val="0"/>
              <w:jc w:val="both"/>
              <w:rPr>
                <w:sz w:val="22"/>
                <w:szCs w:val="22"/>
                <w:lang w:val="sr-Latn-ME"/>
              </w:rPr>
            </w:pPr>
            <w:r w:rsidRPr="009C58C4">
              <w:rPr>
                <w:sz w:val="22"/>
                <w:szCs w:val="22"/>
                <w:lang w:val="sr-Latn-ME"/>
              </w:rPr>
              <w:t>RPED  gradusa 2 ili 3 koji se poboljša na  gradus 0 ili 1  unutar 3 </w:t>
            </w:r>
            <w:r w:rsidR="00F46CDF" w:rsidRPr="009C58C4">
              <w:rPr>
                <w:sz w:val="22"/>
                <w:szCs w:val="22"/>
                <w:lang w:val="sr-Latn-ME"/>
              </w:rPr>
              <w:t>nedjelj</w:t>
            </w:r>
            <w:r w:rsidRPr="009C58C4">
              <w:rPr>
                <w:sz w:val="22"/>
                <w:szCs w:val="22"/>
                <w:lang w:val="sr-Latn-ME"/>
              </w:rPr>
              <w:t>e</w:t>
            </w:r>
          </w:p>
        </w:tc>
        <w:tc>
          <w:tcPr>
            <w:tcW w:w="5496" w:type="dxa"/>
          </w:tcPr>
          <w:p w14:paraId="5000FC43" w14:textId="077B2A81" w:rsidR="00CA0C50" w:rsidRPr="009C58C4" w:rsidRDefault="00CA0C50" w:rsidP="00226369">
            <w:pPr>
              <w:keepNext/>
              <w:widowControl w:val="0"/>
              <w:jc w:val="both"/>
              <w:rPr>
                <w:rFonts w:eastAsia="Calibri"/>
                <w:sz w:val="22"/>
                <w:szCs w:val="22"/>
                <w:lang w:val="sr-Latn-ME"/>
              </w:rPr>
            </w:pPr>
            <w:r w:rsidRPr="009C58C4">
              <w:rPr>
                <w:rFonts w:eastAsia="Calibri"/>
                <w:sz w:val="22"/>
                <w:szCs w:val="22"/>
                <w:lang w:val="sr-Latn-ME"/>
              </w:rPr>
              <w:t xml:space="preserve">Nastaviti </w:t>
            </w:r>
            <w:r w:rsidR="007F2563" w:rsidRPr="009C58C4">
              <w:rPr>
                <w:rFonts w:eastAsia="Calibri"/>
                <w:sz w:val="22"/>
                <w:szCs w:val="22"/>
                <w:lang w:val="sr-Latn-ME"/>
              </w:rPr>
              <w:t>liječ</w:t>
            </w:r>
            <w:r w:rsidRPr="009C58C4">
              <w:rPr>
                <w:rFonts w:eastAsia="Calibri"/>
                <w:sz w:val="22"/>
                <w:szCs w:val="22"/>
                <w:lang w:val="sr-Latn-ME"/>
              </w:rPr>
              <w:t>enje trametinibom pri nižem nivou doze (</w:t>
            </w:r>
            <w:r w:rsidR="00F46CDF" w:rsidRPr="009C58C4">
              <w:rPr>
                <w:rFonts w:eastAsia="Calibri"/>
                <w:sz w:val="22"/>
                <w:szCs w:val="22"/>
                <w:lang w:val="sr-Latn-ME"/>
              </w:rPr>
              <w:t>vidjet</w:t>
            </w:r>
            <w:r w:rsidRPr="009C58C4">
              <w:rPr>
                <w:rFonts w:eastAsia="Calibri"/>
                <w:sz w:val="22"/>
                <w:szCs w:val="22"/>
                <w:lang w:val="sr-Latn-ME"/>
              </w:rPr>
              <w:t xml:space="preserve">i tabelu 3) ili prekinuti </w:t>
            </w:r>
            <w:r w:rsidR="007F2563" w:rsidRPr="009C58C4">
              <w:rPr>
                <w:rFonts w:eastAsia="Calibri"/>
                <w:sz w:val="22"/>
                <w:szCs w:val="22"/>
                <w:lang w:val="sr-Latn-ME"/>
              </w:rPr>
              <w:t>primjen</w:t>
            </w:r>
            <w:r w:rsidRPr="009C58C4">
              <w:rPr>
                <w:rFonts w:eastAsia="Calibri"/>
                <w:sz w:val="22"/>
                <w:szCs w:val="22"/>
                <w:lang w:val="sr-Latn-ME"/>
              </w:rPr>
              <w:t>u trametiniba kod pacijenata na najnižem nivou doze.</w:t>
            </w:r>
          </w:p>
        </w:tc>
      </w:tr>
      <w:tr w:rsidR="00CA0C50" w:rsidRPr="009C58C4" w14:paraId="14E3E383" w14:textId="77777777" w:rsidTr="00C87F6C">
        <w:trPr>
          <w:cantSplit/>
        </w:trPr>
        <w:tc>
          <w:tcPr>
            <w:tcW w:w="3463" w:type="dxa"/>
          </w:tcPr>
          <w:p w14:paraId="65DDB417" w14:textId="77777777" w:rsidR="00CA0C50" w:rsidRPr="009C58C4" w:rsidRDefault="00CA0C50" w:rsidP="00226369">
            <w:pPr>
              <w:widowControl w:val="0"/>
              <w:jc w:val="both"/>
              <w:rPr>
                <w:sz w:val="22"/>
                <w:szCs w:val="22"/>
                <w:lang w:val="sr-Latn-ME"/>
              </w:rPr>
            </w:pPr>
            <w:r w:rsidRPr="009C58C4">
              <w:rPr>
                <w:sz w:val="22"/>
                <w:szCs w:val="22"/>
                <w:lang w:val="sr-Latn-ME"/>
              </w:rPr>
              <w:t>RPED  gradusa 2 ili 3 koji se ne</w:t>
            </w:r>
          </w:p>
          <w:p w14:paraId="0552BE96" w14:textId="77777777" w:rsidR="00CA0C50" w:rsidRPr="009C58C4" w:rsidRDefault="00CA0C50" w:rsidP="00226369">
            <w:pPr>
              <w:widowControl w:val="0"/>
              <w:jc w:val="both"/>
              <w:rPr>
                <w:sz w:val="22"/>
                <w:szCs w:val="22"/>
                <w:lang w:val="sr-Latn-ME"/>
              </w:rPr>
            </w:pPr>
            <w:r w:rsidRPr="009C58C4">
              <w:rPr>
                <w:sz w:val="22"/>
                <w:szCs w:val="22"/>
                <w:lang w:val="sr-Latn-ME"/>
              </w:rPr>
              <w:t>poboljša barem na  gradus 1 unutar</w:t>
            </w:r>
          </w:p>
          <w:p w14:paraId="52662701" w14:textId="2D39972C" w:rsidR="00CA0C50" w:rsidRPr="009C58C4" w:rsidRDefault="00CA0C50" w:rsidP="00226369">
            <w:pPr>
              <w:widowControl w:val="0"/>
              <w:jc w:val="both"/>
              <w:rPr>
                <w:rFonts w:eastAsia="Calibri"/>
                <w:sz w:val="22"/>
                <w:szCs w:val="22"/>
                <w:lang w:val="sr-Latn-ME"/>
              </w:rPr>
            </w:pPr>
            <w:r w:rsidRPr="009C58C4">
              <w:rPr>
                <w:rFonts w:eastAsia="SimSun"/>
                <w:sz w:val="22"/>
                <w:szCs w:val="22"/>
                <w:lang w:val="sr-Latn-ME"/>
              </w:rPr>
              <w:t>3</w:t>
            </w:r>
            <w:r w:rsidRPr="009C58C4">
              <w:rPr>
                <w:sz w:val="22"/>
                <w:szCs w:val="22"/>
                <w:lang w:val="sr-Latn-ME"/>
              </w:rPr>
              <w:t> </w:t>
            </w:r>
            <w:r w:rsidR="00F46CDF" w:rsidRPr="009C58C4">
              <w:rPr>
                <w:sz w:val="22"/>
                <w:szCs w:val="22"/>
                <w:lang w:val="sr-Latn-ME"/>
              </w:rPr>
              <w:t>nedjelj</w:t>
            </w:r>
            <w:r w:rsidRPr="009C58C4">
              <w:rPr>
                <w:sz w:val="22"/>
                <w:szCs w:val="22"/>
                <w:lang w:val="sr-Latn-ME"/>
              </w:rPr>
              <w:t>e</w:t>
            </w:r>
          </w:p>
        </w:tc>
        <w:tc>
          <w:tcPr>
            <w:tcW w:w="5496" w:type="dxa"/>
          </w:tcPr>
          <w:p w14:paraId="33F33924" w14:textId="1671AC33" w:rsidR="00CA0C50" w:rsidRPr="009C58C4" w:rsidRDefault="00CA0C50" w:rsidP="00226369">
            <w:pPr>
              <w:widowControl w:val="0"/>
              <w:jc w:val="both"/>
              <w:rPr>
                <w:rFonts w:eastAsia="Calibri"/>
                <w:sz w:val="22"/>
                <w:szCs w:val="22"/>
                <w:lang w:val="sr-Latn-ME"/>
              </w:rPr>
            </w:pPr>
            <w:r w:rsidRPr="009C58C4">
              <w:rPr>
                <w:rFonts w:eastAsia="SimSun"/>
                <w:sz w:val="22"/>
                <w:szCs w:val="22"/>
                <w:lang w:val="sr-Latn-ME"/>
              </w:rPr>
              <w:t xml:space="preserve">Trajno prekinuti </w:t>
            </w:r>
            <w:r w:rsidR="007F2563" w:rsidRPr="009C58C4">
              <w:rPr>
                <w:rFonts w:eastAsia="SimSun"/>
                <w:sz w:val="22"/>
                <w:szCs w:val="22"/>
                <w:lang w:val="sr-Latn-ME"/>
              </w:rPr>
              <w:t>primjen</w:t>
            </w:r>
            <w:r w:rsidRPr="009C58C4">
              <w:rPr>
                <w:rFonts w:eastAsia="SimSun"/>
                <w:sz w:val="22"/>
                <w:szCs w:val="22"/>
                <w:lang w:val="sr-Latn-ME"/>
              </w:rPr>
              <w:t>u trametiniba.</w:t>
            </w:r>
          </w:p>
        </w:tc>
      </w:tr>
    </w:tbl>
    <w:p w14:paraId="059BCC5F" w14:textId="77777777" w:rsidR="00CA0C50" w:rsidRPr="009C58C4" w:rsidRDefault="00CA0C50" w:rsidP="00226369">
      <w:pPr>
        <w:widowControl w:val="0"/>
        <w:jc w:val="both"/>
        <w:rPr>
          <w:sz w:val="22"/>
          <w:szCs w:val="22"/>
          <w:lang w:val="sr-Latn-ME"/>
        </w:rPr>
      </w:pPr>
    </w:p>
    <w:p w14:paraId="44FBF955" w14:textId="77777777" w:rsidR="00CA0C50" w:rsidRPr="009C58C4" w:rsidRDefault="00CA0C50" w:rsidP="00226369">
      <w:pPr>
        <w:keepNext/>
        <w:jc w:val="both"/>
        <w:rPr>
          <w:i/>
          <w:sz w:val="22"/>
          <w:szCs w:val="22"/>
          <w:lang w:val="sr-Latn-ME"/>
        </w:rPr>
      </w:pPr>
      <w:r w:rsidRPr="009C58C4">
        <w:rPr>
          <w:i/>
          <w:sz w:val="22"/>
          <w:szCs w:val="22"/>
          <w:lang w:val="sr-Latn-ME"/>
        </w:rPr>
        <w:t>Intersticijalna bolest pluća (IBP)/pneumonitis</w:t>
      </w:r>
    </w:p>
    <w:p w14:paraId="1198FACA" w14:textId="7E290B95" w:rsidR="00CA0C50" w:rsidRPr="009C58C4" w:rsidRDefault="007F2563" w:rsidP="00226369">
      <w:pPr>
        <w:jc w:val="both"/>
        <w:rPr>
          <w:color w:val="000000"/>
          <w:sz w:val="22"/>
          <w:szCs w:val="22"/>
          <w:lang w:val="sr-Latn-ME"/>
        </w:rPr>
      </w:pPr>
      <w:r w:rsidRPr="009C58C4">
        <w:rPr>
          <w:color w:val="000000"/>
          <w:sz w:val="22"/>
          <w:szCs w:val="22"/>
          <w:lang w:val="sr-Latn-ME"/>
        </w:rPr>
        <w:t>Primjen</w:t>
      </w:r>
      <w:r w:rsidR="00CA0C50" w:rsidRPr="009C58C4">
        <w:rPr>
          <w:color w:val="000000"/>
          <w:sz w:val="22"/>
          <w:szCs w:val="22"/>
          <w:lang w:val="sr-Latn-ME"/>
        </w:rPr>
        <w:t xml:space="preserve">a trametiniba se mora odložiti kod pacijenata kod kojih se sumnja na IBP ili pneumonitis, uključujući pacijente kod kojih se pojave novi ili progrediraju postojeći plućni simptomi i nalazi uključujući kašalj, dispneju, hipoksiju, pleuralni izliv ili infiltrate, sve dok se ne sprovedu klinička ispitivanja. </w:t>
      </w:r>
      <w:r w:rsidRPr="009C58C4">
        <w:rPr>
          <w:color w:val="000000"/>
          <w:sz w:val="22"/>
          <w:szCs w:val="22"/>
          <w:lang w:val="sr-Latn-ME"/>
        </w:rPr>
        <w:t>Primjen</w:t>
      </w:r>
      <w:r w:rsidR="00CA0C50" w:rsidRPr="009C58C4">
        <w:rPr>
          <w:color w:val="000000"/>
          <w:sz w:val="22"/>
          <w:szCs w:val="22"/>
          <w:lang w:val="sr-Latn-ME"/>
        </w:rPr>
        <w:t xml:space="preserve">a trametiniba mora se trajno prekinuti kod pacijenata kojima se dijagnostikuju IBP </w:t>
      </w:r>
      <w:r w:rsidR="00CA0C50" w:rsidRPr="009C58C4">
        <w:rPr>
          <w:color w:val="000000"/>
          <w:sz w:val="22"/>
          <w:szCs w:val="22"/>
          <w:lang w:val="sr-Latn-ME"/>
        </w:rPr>
        <w:lastRenderedPageBreak/>
        <w:t>ili pneumonitis povezani s</w:t>
      </w:r>
      <w:r w:rsidR="00C97935" w:rsidRPr="009C58C4">
        <w:rPr>
          <w:color w:val="000000"/>
          <w:sz w:val="22"/>
          <w:szCs w:val="22"/>
          <w:lang w:val="sr-Latn-ME"/>
        </w:rPr>
        <w:t>a</w:t>
      </w:r>
      <w:r w:rsidR="00CA0C50" w:rsidRPr="009C58C4">
        <w:rPr>
          <w:color w:val="000000"/>
          <w:sz w:val="22"/>
          <w:szCs w:val="22"/>
          <w:lang w:val="sr-Latn-ME"/>
        </w:rPr>
        <w:t xml:space="preserve"> </w:t>
      </w:r>
      <w:r w:rsidRPr="009C58C4">
        <w:rPr>
          <w:color w:val="000000"/>
          <w:sz w:val="22"/>
          <w:szCs w:val="22"/>
          <w:lang w:val="sr-Latn-ME"/>
        </w:rPr>
        <w:t>liječ</w:t>
      </w:r>
      <w:r w:rsidR="00CA0C50" w:rsidRPr="009C58C4">
        <w:rPr>
          <w:color w:val="000000"/>
          <w:sz w:val="22"/>
          <w:szCs w:val="22"/>
          <w:lang w:val="sr-Latn-ME"/>
        </w:rPr>
        <w:t xml:space="preserve">enjem. </w:t>
      </w:r>
      <w:r w:rsidR="00CA0C50" w:rsidRPr="009C58C4">
        <w:rPr>
          <w:sz w:val="22"/>
          <w:szCs w:val="22"/>
          <w:lang w:val="sr-Latn-ME"/>
        </w:rPr>
        <w:t>Nije potrebno prilagođavanje doze dabrafeniba kada se uzima u kombinaciji s</w:t>
      </w:r>
      <w:r w:rsidR="00A67A87" w:rsidRPr="009C58C4">
        <w:rPr>
          <w:sz w:val="22"/>
          <w:szCs w:val="22"/>
          <w:lang w:val="sr-Latn-ME"/>
        </w:rPr>
        <w:t>a</w:t>
      </w:r>
      <w:r w:rsidR="00CA0C50" w:rsidRPr="009C58C4">
        <w:rPr>
          <w:sz w:val="22"/>
          <w:szCs w:val="22"/>
          <w:lang w:val="sr-Latn-ME"/>
        </w:rPr>
        <w:t xml:space="preserve"> trametinibom za slučajeve IBP-a ili pneumonitisa.</w:t>
      </w:r>
    </w:p>
    <w:p w14:paraId="34D9C0BF" w14:textId="77777777" w:rsidR="00CA0C50" w:rsidRPr="009C58C4" w:rsidRDefault="00CA0C50" w:rsidP="00226369">
      <w:pPr>
        <w:jc w:val="both"/>
        <w:rPr>
          <w:i/>
          <w:sz w:val="22"/>
          <w:szCs w:val="22"/>
          <w:lang w:val="sr-Latn-ME"/>
        </w:rPr>
      </w:pPr>
    </w:p>
    <w:p w14:paraId="20C41D0E" w14:textId="77777777" w:rsidR="00CA0C50" w:rsidRPr="009C58C4" w:rsidRDefault="00CA0C50" w:rsidP="00226369">
      <w:pPr>
        <w:keepNext/>
        <w:jc w:val="both"/>
        <w:rPr>
          <w:i/>
          <w:sz w:val="22"/>
          <w:szCs w:val="22"/>
          <w:lang w:val="sr-Latn-ME"/>
        </w:rPr>
      </w:pPr>
      <w:r w:rsidRPr="009C58C4">
        <w:rPr>
          <w:i/>
          <w:sz w:val="22"/>
          <w:szCs w:val="22"/>
          <w:lang w:val="sr-Latn-ME"/>
        </w:rPr>
        <w:t>Uveitis</w:t>
      </w:r>
    </w:p>
    <w:p w14:paraId="1E9B685F" w14:textId="4A987117" w:rsidR="00CA0C50" w:rsidRPr="009C58C4" w:rsidRDefault="00CA0C50" w:rsidP="00226369">
      <w:pPr>
        <w:jc w:val="both"/>
        <w:rPr>
          <w:sz w:val="22"/>
          <w:szCs w:val="22"/>
          <w:lang w:val="sr-Latn-ME"/>
        </w:rPr>
      </w:pPr>
      <w:bookmarkStart w:id="13" w:name="_Hlk134471807"/>
      <w:r w:rsidRPr="009C58C4">
        <w:rPr>
          <w:sz w:val="22"/>
          <w:szCs w:val="22"/>
          <w:lang w:val="sr-Latn-ME"/>
        </w:rPr>
        <w:t>Nije potrebno prilagođavanje doze zbog uveitisa dok god se upala oka može kontrolisati efikasnom lokalnom terapijom. Ako uveitis ne reaguje na lokalnu terapiju za oko, potrebno je obustaviti dabrafenib dok se upala oka ne r</w:t>
      </w:r>
      <w:r w:rsidR="00F46CDF" w:rsidRPr="009C58C4">
        <w:rPr>
          <w:sz w:val="22"/>
          <w:szCs w:val="22"/>
          <w:lang w:val="sr-Latn-ME"/>
        </w:rPr>
        <w:t>ij</w:t>
      </w:r>
      <w:r w:rsidRPr="009C58C4">
        <w:rPr>
          <w:sz w:val="22"/>
          <w:szCs w:val="22"/>
          <w:lang w:val="sr-Latn-ME"/>
        </w:rPr>
        <w:t xml:space="preserve">eši, a zatim ponovno uvesti dabrafenib u dozi smanjenoj za jedan nivo. Nije potrebno prilagođavanje doze trametiniba </w:t>
      </w:r>
      <w:bookmarkStart w:id="14" w:name="_Hlk145662709"/>
      <w:r w:rsidRPr="009C58C4">
        <w:rPr>
          <w:sz w:val="22"/>
          <w:szCs w:val="22"/>
          <w:lang w:val="sr-Latn-ME"/>
        </w:rPr>
        <w:t xml:space="preserve">kada se uzima u kombinaciji sa dabrafenibom </w:t>
      </w:r>
      <w:bookmarkEnd w:id="14"/>
      <w:r w:rsidRPr="009C58C4">
        <w:rPr>
          <w:sz w:val="22"/>
          <w:szCs w:val="22"/>
          <w:lang w:val="sr-Latn-ME"/>
        </w:rPr>
        <w:t>(</w:t>
      </w:r>
      <w:r w:rsidR="00F46CDF" w:rsidRPr="009C58C4">
        <w:rPr>
          <w:sz w:val="22"/>
          <w:szCs w:val="22"/>
          <w:lang w:val="sr-Latn-ME"/>
        </w:rPr>
        <w:t>vidjet</w:t>
      </w:r>
      <w:r w:rsidRPr="009C58C4">
        <w:rPr>
          <w:sz w:val="22"/>
          <w:szCs w:val="22"/>
          <w:lang w:val="sr-Latn-ME"/>
        </w:rPr>
        <w:t>i</w:t>
      </w:r>
      <w:r w:rsidR="00A67A87" w:rsidRPr="009C58C4">
        <w:rPr>
          <w:sz w:val="22"/>
          <w:szCs w:val="22"/>
          <w:lang w:val="sr-Latn-ME"/>
        </w:rPr>
        <w:t xml:space="preserve"> </w:t>
      </w:r>
      <w:r w:rsidR="00C87F6C" w:rsidRPr="009C58C4">
        <w:rPr>
          <w:sz w:val="22"/>
          <w:szCs w:val="22"/>
          <w:lang w:val="sr-Latn-ME"/>
        </w:rPr>
        <w:t xml:space="preserve">dio </w:t>
      </w:r>
      <w:r w:rsidRPr="009C58C4">
        <w:rPr>
          <w:sz w:val="22"/>
          <w:szCs w:val="22"/>
          <w:lang w:val="sr-Latn-ME"/>
        </w:rPr>
        <w:t>4.4).</w:t>
      </w:r>
    </w:p>
    <w:bookmarkEnd w:id="13"/>
    <w:p w14:paraId="4AFFC686" w14:textId="77777777" w:rsidR="00CA0C50" w:rsidRPr="009C58C4" w:rsidRDefault="00CA0C50" w:rsidP="00226369">
      <w:pPr>
        <w:jc w:val="both"/>
        <w:rPr>
          <w:sz w:val="22"/>
          <w:szCs w:val="22"/>
          <w:lang w:val="sr-Latn-ME"/>
        </w:rPr>
      </w:pPr>
    </w:p>
    <w:p w14:paraId="516FDD7E" w14:textId="77777777" w:rsidR="00CA0C50" w:rsidRPr="009C58C4" w:rsidRDefault="00CA0C50" w:rsidP="00226369">
      <w:pPr>
        <w:keepNext/>
        <w:jc w:val="both"/>
        <w:rPr>
          <w:i/>
          <w:sz w:val="22"/>
          <w:szCs w:val="22"/>
          <w:lang w:val="sr-Latn-ME"/>
        </w:rPr>
      </w:pPr>
      <w:r w:rsidRPr="009C58C4">
        <w:rPr>
          <w:i/>
          <w:sz w:val="22"/>
          <w:szCs w:val="22"/>
          <w:lang w:val="sr-Latn-ME"/>
        </w:rPr>
        <w:t>Maligne bolesti pozitivne na RAS mutaciju koje ne zahvataju kožu</w:t>
      </w:r>
    </w:p>
    <w:p w14:paraId="4B910A4E" w14:textId="5B17BBF2" w:rsidR="00CA0C50" w:rsidRPr="009C58C4" w:rsidRDefault="00CA0C50" w:rsidP="00226369">
      <w:pPr>
        <w:jc w:val="both"/>
        <w:rPr>
          <w:sz w:val="22"/>
          <w:szCs w:val="22"/>
          <w:lang w:val="sr-Latn-ME"/>
        </w:rPr>
      </w:pPr>
      <w:r w:rsidRPr="009C58C4">
        <w:rPr>
          <w:sz w:val="22"/>
          <w:szCs w:val="22"/>
          <w:lang w:val="sr-Latn-ME"/>
        </w:rPr>
        <w:t>Moraju se razmotriti koristi i rizici pr</w:t>
      </w:r>
      <w:r w:rsidR="00F46CDF" w:rsidRPr="009C58C4">
        <w:rPr>
          <w:sz w:val="22"/>
          <w:szCs w:val="22"/>
          <w:lang w:val="sr-Latn-ME"/>
        </w:rPr>
        <w:t>ij</w:t>
      </w:r>
      <w:r w:rsidRPr="009C58C4">
        <w:rPr>
          <w:sz w:val="22"/>
          <w:szCs w:val="22"/>
          <w:lang w:val="sr-Latn-ME"/>
        </w:rPr>
        <w:t xml:space="preserve">e nastavka </w:t>
      </w:r>
      <w:r w:rsidR="007F2563" w:rsidRPr="009C58C4">
        <w:rPr>
          <w:sz w:val="22"/>
          <w:szCs w:val="22"/>
          <w:lang w:val="sr-Latn-ME"/>
        </w:rPr>
        <w:t>liječ</w:t>
      </w:r>
      <w:r w:rsidRPr="009C58C4">
        <w:rPr>
          <w:sz w:val="22"/>
          <w:szCs w:val="22"/>
          <w:lang w:val="sr-Latn-ME"/>
        </w:rPr>
        <w:t>enja dabrafenibom kod pacijenata sa malignom bolešću sa RAS mutacijom koja nije zahvatila kožu. Nije potrebno prilagođavanje doze trametiniba kada se uzima u kombinaciji sa dabrafenibom (</w:t>
      </w:r>
      <w:r w:rsidR="00F46CDF" w:rsidRPr="009C58C4">
        <w:rPr>
          <w:sz w:val="22"/>
          <w:szCs w:val="22"/>
          <w:lang w:val="sr-Latn-ME"/>
        </w:rPr>
        <w:t>vidjet</w:t>
      </w:r>
      <w:r w:rsidRPr="009C58C4">
        <w:rPr>
          <w:sz w:val="22"/>
          <w:szCs w:val="22"/>
          <w:lang w:val="sr-Latn-ME"/>
        </w:rPr>
        <w:t xml:space="preserve">i </w:t>
      </w:r>
      <w:r w:rsidR="00C87F6C" w:rsidRPr="009C58C4">
        <w:rPr>
          <w:sz w:val="22"/>
          <w:szCs w:val="22"/>
          <w:lang w:val="sr-Latn-ME"/>
        </w:rPr>
        <w:t xml:space="preserve">dio </w:t>
      </w:r>
      <w:r w:rsidRPr="009C58C4">
        <w:rPr>
          <w:sz w:val="22"/>
          <w:szCs w:val="22"/>
          <w:lang w:val="sr-Latn-ME"/>
        </w:rPr>
        <w:t>4.4).</w:t>
      </w:r>
    </w:p>
    <w:p w14:paraId="164542E2" w14:textId="77777777" w:rsidR="00CA0C50" w:rsidRPr="009C58C4" w:rsidRDefault="00CA0C50" w:rsidP="00226369">
      <w:pPr>
        <w:jc w:val="both"/>
        <w:rPr>
          <w:sz w:val="22"/>
          <w:szCs w:val="22"/>
          <w:lang w:val="sr-Latn-ME"/>
        </w:rPr>
      </w:pPr>
    </w:p>
    <w:p w14:paraId="7A2384D5" w14:textId="77777777" w:rsidR="00CA0C50" w:rsidRPr="009C58C4" w:rsidRDefault="00CA0C50" w:rsidP="00226369">
      <w:pPr>
        <w:keepNext/>
        <w:jc w:val="both"/>
        <w:rPr>
          <w:i/>
          <w:iCs/>
          <w:sz w:val="22"/>
          <w:szCs w:val="22"/>
          <w:u w:val="single"/>
          <w:lang w:val="sr-Latn-ME"/>
        </w:rPr>
      </w:pPr>
      <w:r w:rsidRPr="009C58C4">
        <w:rPr>
          <w:i/>
          <w:iCs/>
          <w:sz w:val="22"/>
          <w:szCs w:val="22"/>
          <w:u w:val="single"/>
          <w:lang w:val="sr-Latn-ME"/>
        </w:rPr>
        <w:t>Posebne populacije</w:t>
      </w:r>
    </w:p>
    <w:p w14:paraId="3FABCA14" w14:textId="77777777" w:rsidR="00CA0C50" w:rsidRPr="009C58C4" w:rsidRDefault="00CA0C50" w:rsidP="00226369">
      <w:pPr>
        <w:keepNext/>
        <w:jc w:val="both"/>
        <w:rPr>
          <w:i/>
          <w:iCs/>
          <w:sz w:val="22"/>
          <w:szCs w:val="22"/>
          <w:lang w:val="sr-Latn-ME"/>
        </w:rPr>
      </w:pPr>
      <w:r w:rsidRPr="009C58C4">
        <w:rPr>
          <w:i/>
          <w:iCs/>
          <w:sz w:val="22"/>
          <w:szCs w:val="22"/>
          <w:lang w:val="sr-Latn-ME"/>
        </w:rPr>
        <w:t>Oštećenje funkcije jetre</w:t>
      </w:r>
    </w:p>
    <w:p w14:paraId="3C742DEB" w14:textId="74B3E7B4" w:rsidR="00CA0C50" w:rsidRPr="009C58C4" w:rsidRDefault="00CA0C50" w:rsidP="00226369">
      <w:pPr>
        <w:jc w:val="both"/>
        <w:rPr>
          <w:sz w:val="22"/>
          <w:szCs w:val="22"/>
          <w:lang w:val="sr-Latn-ME"/>
        </w:rPr>
      </w:pPr>
      <w:r w:rsidRPr="009C58C4">
        <w:rPr>
          <w:sz w:val="22"/>
          <w:szCs w:val="22"/>
          <w:lang w:val="sr-Latn-ME"/>
        </w:rPr>
        <w:t>Kod pacijenata sa blagim oštećenjem funkcije jetre nije potrebno prilagođavanje doze. Podaci dostupni iz kliničkog farmakološkog ispitivanja pokazuju da um</w:t>
      </w:r>
      <w:r w:rsidR="00F46CDF" w:rsidRPr="009C58C4">
        <w:rPr>
          <w:sz w:val="22"/>
          <w:szCs w:val="22"/>
          <w:lang w:val="sr-Latn-ME"/>
        </w:rPr>
        <w:t>j</w:t>
      </w:r>
      <w:r w:rsidRPr="009C58C4">
        <w:rPr>
          <w:sz w:val="22"/>
          <w:szCs w:val="22"/>
          <w:lang w:val="sr-Latn-ME"/>
        </w:rPr>
        <w:t>ereno do teško oštećenje funkcije jetre ima ograničen uticaj na izloženost trametinibu (</w:t>
      </w:r>
      <w:r w:rsidR="00F46CDF" w:rsidRPr="009C58C4">
        <w:rPr>
          <w:sz w:val="22"/>
          <w:szCs w:val="22"/>
          <w:lang w:val="sr-Latn-ME"/>
        </w:rPr>
        <w:t>vidjet</w:t>
      </w:r>
      <w:r w:rsidRPr="009C58C4">
        <w:rPr>
          <w:sz w:val="22"/>
          <w:szCs w:val="22"/>
          <w:lang w:val="sr-Latn-ME"/>
        </w:rPr>
        <w:t>i</w:t>
      </w:r>
      <w:r w:rsidR="00A67A87" w:rsidRPr="009C58C4">
        <w:rPr>
          <w:sz w:val="22"/>
          <w:szCs w:val="22"/>
          <w:lang w:val="sr-Latn-ME"/>
        </w:rPr>
        <w:t xml:space="preserve"> </w:t>
      </w:r>
      <w:r w:rsidR="00C87F6C" w:rsidRPr="009C58C4">
        <w:rPr>
          <w:sz w:val="22"/>
          <w:szCs w:val="22"/>
          <w:lang w:val="sr-Latn-ME"/>
        </w:rPr>
        <w:t xml:space="preserve">dio </w:t>
      </w:r>
      <w:r w:rsidRPr="009C58C4">
        <w:rPr>
          <w:sz w:val="22"/>
          <w:szCs w:val="22"/>
          <w:lang w:val="sr-Latn-ME"/>
        </w:rPr>
        <w:t xml:space="preserve">5.2). Potreban je oprez prilikom </w:t>
      </w:r>
      <w:r w:rsidR="007F2563" w:rsidRPr="009C58C4">
        <w:rPr>
          <w:sz w:val="22"/>
          <w:szCs w:val="22"/>
          <w:lang w:val="sr-Latn-ME"/>
        </w:rPr>
        <w:t>primjen</w:t>
      </w:r>
      <w:r w:rsidRPr="009C58C4">
        <w:rPr>
          <w:sz w:val="22"/>
          <w:szCs w:val="22"/>
          <w:lang w:val="sr-Latn-ME"/>
        </w:rPr>
        <w:t>e trametiniba kod pacijenata sa um</w:t>
      </w:r>
      <w:r w:rsidR="00F46CDF" w:rsidRPr="009C58C4">
        <w:rPr>
          <w:sz w:val="22"/>
          <w:szCs w:val="22"/>
          <w:lang w:val="sr-Latn-ME"/>
        </w:rPr>
        <w:t>j</w:t>
      </w:r>
      <w:r w:rsidRPr="009C58C4">
        <w:rPr>
          <w:sz w:val="22"/>
          <w:szCs w:val="22"/>
          <w:lang w:val="sr-Latn-ME"/>
        </w:rPr>
        <w:t>erenim do teškim oštećenjem funkcije jetre.</w:t>
      </w:r>
    </w:p>
    <w:p w14:paraId="5012633E" w14:textId="77777777" w:rsidR="00CA0C50" w:rsidRPr="009C58C4" w:rsidRDefault="00CA0C50" w:rsidP="00226369">
      <w:pPr>
        <w:jc w:val="both"/>
        <w:rPr>
          <w:i/>
          <w:sz w:val="22"/>
          <w:szCs w:val="22"/>
          <w:lang w:val="sr-Latn-ME"/>
        </w:rPr>
      </w:pPr>
    </w:p>
    <w:p w14:paraId="6C761750" w14:textId="77777777" w:rsidR="00CA0C50" w:rsidRPr="009C58C4" w:rsidRDefault="00CA0C50" w:rsidP="00226369">
      <w:pPr>
        <w:keepNext/>
        <w:jc w:val="both"/>
        <w:rPr>
          <w:i/>
          <w:iCs/>
          <w:sz w:val="22"/>
          <w:szCs w:val="22"/>
          <w:lang w:val="sr-Latn-ME"/>
        </w:rPr>
      </w:pPr>
      <w:r w:rsidRPr="009C58C4">
        <w:rPr>
          <w:i/>
          <w:iCs/>
          <w:sz w:val="22"/>
          <w:szCs w:val="22"/>
          <w:lang w:val="sr-Latn-ME"/>
        </w:rPr>
        <w:t>Oštećenje funkcije bubrega</w:t>
      </w:r>
    </w:p>
    <w:p w14:paraId="09695772" w14:textId="649D0684" w:rsidR="00CA0C50" w:rsidRPr="009C58C4" w:rsidRDefault="00CA0C50" w:rsidP="00226369">
      <w:pPr>
        <w:jc w:val="both"/>
        <w:rPr>
          <w:sz w:val="22"/>
          <w:szCs w:val="22"/>
          <w:lang w:val="sr-Latn-ME"/>
        </w:rPr>
      </w:pPr>
      <w:r w:rsidRPr="009C58C4">
        <w:rPr>
          <w:sz w:val="22"/>
          <w:szCs w:val="22"/>
          <w:lang w:val="sr-Latn-ME"/>
        </w:rPr>
        <w:t>Nije potrebno prilagođavanje doze, kod pacijenata sa blagim ili um</w:t>
      </w:r>
      <w:r w:rsidR="00F46CDF" w:rsidRPr="009C58C4">
        <w:rPr>
          <w:sz w:val="22"/>
          <w:szCs w:val="22"/>
          <w:lang w:val="sr-Latn-ME"/>
        </w:rPr>
        <w:t>j</w:t>
      </w:r>
      <w:r w:rsidRPr="009C58C4">
        <w:rPr>
          <w:sz w:val="22"/>
          <w:szCs w:val="22"/>
          <w:lang w:val="sr-Latn-ME"/>
        </w:rPr>
        <w:t xml:space="preserve">erenim oštećenjem funkcije bubrega. Ne postoje klinički podaci </w:t>
      </w:r>
      <w:r w:rsidR="007F2563" w:rsidRPr="009C58C4">
        <w:rPr>
          <w:sz w:val="22"/>
          <w:szCs w:val="22"/>
          <w:lang w:val="sr-Latn-ME"/>
        </w:rPr>
        <w:t>primjen</w:t>
      </w:r>
      <w:r w:rsidRPr="009C58C4">
        <w:rPr>
          <w:sz w:val="22"/>
          <w:szCs w:val="22"/>
          <w:lang w:val="sr-Latn-ME"/>
        </w:rPr>
        <w:t>e trametiniba kod pacijenata sa teškim oštećenjem funkcije bubrega, pa se moguća potreba za prilagođavanjem doze ne može utvrditi (</w:t>
      </w:r>
      <w:r w:rsidR="00F46CDF" w:rsidRPr="009C58C4">
        <w:rPr>
          <w:sz w:val="22"/>
          <w:szCs w:val="22"/>
          <w:lang w:val="sr-Latn-ME"/>
        </w:rPr>
        <w:t>vidjet</w:t>
      </w:r>
      <w:r w:rsidRPr="009C58C4">
        <w:rPr>
          <w:sz w:val="22"/>
          <w:szCs w:val="22"/>
          <w:lang w:val="sr-Latn-ME"/>
        </w:rPr>
        <w:t>i</w:t>
      </w:r>
      <w:r w:rsidR="00A67A87" w:rsidRPr="009C58C4">
        <w:rPr>
          <w:sz w:val="22"/>
          <w:szCs w:val="22"/>
          <w:lang w:val="sr-Latn-ME"/>
        </w:rPr>
        <w:t xml:space="preserve"> </w:t>
      </w:r>
      <w:r w:rsidR="00C87F6C" w:rsidRPr="009C58C4">
        <w:rPr>
          <w:sz w:val="22"/>
          <w:szCs w:val="22"/>
          <w:lang w:val="sr-Latn-ME"/>
        </w:rPr>
        <w:t xml:space="preserve">dio </w:t>
      </w:r>
      <w:r w:rsidRPr="009C58C4">
        <w:rPr>
          <w:sz w:val="22"/>
          <w:szCs w:val="22"/>
          <w:lang w:val="sr-Latn-ME"/>
        </w:rPr>
        <w:t xml:space="preserve">5.2). Potreban je oprez prilikom </w:t>
      </w:r>
      <w:r w:rsidR="007F2563" w:rsidRPr="009C58C4">
        <w:rPr>
          <w:sz w:val="22"/>
          <w:szCs w:val="22"/>
          <w:lang w:val="sr-Latn-ME"/>
        </w:rPr>
        <w:t>primjen</w:t>
      </w:r>
      <w:r w:rsidRPr="009C58C4">
        <w:rPr>
          <w:sz w:val="22"/>
          <w:szCs w:val="22"/>
          <w:lang w:val="sr-Latn-ME"/>
        </w:rPr>
        <w:t>e trametiniba kod pacijenata sa teškim oštećenjem funkcije bubrega.</w:t>
      </w:r>
    </w:p>
    <w:p w14:paraId="294C5BCD" w14:textId="77777777" w:rsidR="00CA0C50" w:rsidRPr="009C58C4" w:rsidRDefault="00CA0C50" w:rsidP="00226369">
      <w:pPr>
        <w:jc w:val="both"/>
        <w:rPr>
          <w:color w:val="000000"/>
          <w:sz w:val="22"/>
          <w:szCs w:val="22"/>
          <w:lang w:val="sr-Latn-ME"/>
        </w:rPr>
      </w:pPr>
    </w:p>
    <w:p w14:paraId="716A8177" w14:textId="77777777" w:rsidR="00CA0C50" w:rsidRPr="009C58C4" w:rsidRDefault="00CA0C50" w:rsidP="00226369">
      <w:pPr>
        <w:keepNext/>
        <w:jc w:val="both"/>
        <w:rPr>
          <w:i/>
          <w:iCs/>
          <w:sz w:val="22"/>
          <w:szCs w:val="22"/>
          <w:lang w:val="sr-Latn-ME"/>
        </w:rPr>
      </w:pPr>
      <w:r w:rsidRPr="009C58C4">
        <w:rPr>
          <w:i/>
          <w:iCs/>
          <w:sz w:val="22"/>
          <w:szCs w:val="22"/>
          <w:lang w:val="sr-Latn-ME"/>
        </w:rPr>
        <w:t>Pedijatrijska populacija</w:t>
      </w:r>
    </w:p>
    <w:p w14:paraId="1DF5A2B3" w14:textId="37B5F883" w:rsidR="00CA0C50" w:rsidRPr="009C58C4" w:rsidRDefault="00F46CDF" w:rsidP="00226369">
      <w:pPr>
        <w:jc w:val="both"/>
        <w:rPr>
          <w:sz w:val="22"/>
          <w:szCs w:val="22"/>
          <w:lang w:val="sr-Latn-ME"/>
        </w:rPr>
      </w:pPr>
      <w:r w:rsidRPr="009C58C4">
        <w:rPr>
          <w:sz w:val="22"/>
          <w:szCs w:val="22"/>
          <w:lang w:val="sr-Latn-ME"/>
        </w:rPr>
        <w:t>Bezbjed</w:t>
      </w:r>
      <w:r w:rsidR="00CA0C50" w:rsidRPr="009C58C4">
        <w:rPr>
          <w:sz w:val="22"/>
          <w:szCs w:val="22"/>
          <w:lang w:val="sr-Latn-ME"/>
        </w:rPr>
        <w:t>nost i efikasnost kombinovane terapije dabrafenibom i trametinibom kod d</w:t>
      </w:r>
      <w:r w:rsidRPr="009C58C4">
        <w:rPr>
          <w:sz w:val="22"/>
          <w:szCs w:val="22"/>
          <w:lang w:val="sr-Latn-ME"/>
        </w:rPr>
        <w:t>j</w:t>
      </w:r>
      <w:r w:rsidR="00CA0C50" w:rsidRPr="009C58C4">
        <w:rPr>
          <w:sz w:val="22"/>
          <w:szCs w:val="22"/>
          <w:lang w:val="sr-Latn-ME"/>
        </w:rPr>
        <w:t>ece uzrasta ispod 1 godine još nisu ustanovljene. Nema dostupnih podataka. Ispitivanja sprovedena na juvenilnim životinjama su pokazala efekte dabrafeniba koji nisu prim</w:t>
      </w:r>
      <w:r w:rsidRPr="009C58C4">
        <w:rPr>
          <w:sz w:val="22"/>
          <w:szCs w:val="22"/>
          <w:lang w:val="sr-Latn-ME"/>
        </w:rPr>
        <w:t>ij</w:t>
      </w:r>
      <w:r w:rsidR="00CA0C50" w:rsidRPr="009C58C4">
        <w:rPr>
          <w:sz w:val="22"/>
          <w:szCs w:val="22"/>
          <w:lang w:val="sr-Latn-ME"/>
        </w:rPr>
        <w:t>ećeni kod odraslih životinja (</w:t>
      </w:r>
      <w:r w:rsidRPr="009C58C4">
        <w:rPr>
          <w:sz w:val="22"/>
          <w:szCs w:val="22"/>
          <w:lang w:val="sr-Latn-ME"/>
        </w:rPr>
        <w:t>vidjet</w:t>
      </w:r>
      <w:r w:rsidR="00CA0C50" w:rsidRPr="009C58C4">
        <w:rPr>
          <w:sz w:val="22"/>
          <w:szCs w:val="22"/>
          <w:lang w:val="sr-Latn-ME"/>
        </w:rPr>
        <w:t>i</w:t>
      </w:r>
      <w:r w:rsidR="00A67A87" w:rsidRPr="009C58C4">
        <w:rPr>
          <w:sz w:val="22"/>
          <w:szCs w:val="22"/>
          <w:lang w:val="sr-Latn-ME"/>
        </w:rPr>
        <w:t xml:space="preserve"> </w:t>
      </w:r>
      <w:r w:rsidR="00C87F6C" w:rsidRPr="009C58C4">
        <w:rPr>
          <w:sz w:val="22"/>
          <w:szCs w:val="22"/>
          <w:lang w:val="sr-Latn-ME"/>
        </w:rPr>
        <w:t>dio</w:t>
      </w:r>
      <w:r w:rsidR="00CA0C50" w:rsidRPr="009C58C4">
        <w:rPr>
          <w:sz w:val="22"/>
          <w:szCs w:val="22"/>
          <w:lang w:val="sr-Latn-ME"/>
        </w:rPr>
        <w:t xml:space="preserve"> 5.3). Dugoročni podaci o </w:t>
      </w:r>
      <w:r w:rsidRPr="009C58C4">
        <w:rPr>
          <w:sz w:val="22"/>
          <w:szCs w:val="22"/>
          <w:lang w:val="sr-Latn-ME"/>
        </w:rPr>
        <w:t>bezbjed</w:t>
      </w:r>
      <w:r w:rsidR="00CA0C50" w:rsidRPr="009C58C4">
        <w:rPr>
          <w:sz w:val="22"/>
          <w:szCs w:val="22"/>
          <w:lang w:val="sr-Latn-ME"/>
        </w:rPr>
        <w:t>nosti kod pedijatrijskih pacijenata su trenutno ograničeni.</w:t>
      </w:r>
    </w:p>
    <w:p w14:paraId="31D1034E" w14:textId="77777777" w:rsidR="00452E9D" w:rsidRPr="009C58C4" w:rsidRDefault="00452E9D" w:rsidP="00226369">
      <w:pPr>
        <w:tabs>
          <w:tab w:val="left" w:pos="540"/>
          <w:tab w:val="left" w:pos="569"/>
        </w:tabs>
        <w:jc w:val="both"/>
        <w:rPr>
          <w:bCs/>
          <w:sz w:val="22"/>
          <w:szCs w:val="22"/>
          <w:u w:val="single"/>
          <w:lang w:val="sr-Latn-ME"/>
        </w:rPr>
      </w:pPr>
    </w:p>
    <w:p w14:paraId="3A789F9A" w14:textId="77777777" w:rsidR="00452E9D" w:rsidRPr="009C58C4" w:rsidRDefault="00452E9D" w:rsidP="00226369">
      <w:pPr>
        <w:tabs>
          <w:tab w:val="left" w:pos="540"/>
          <w:tab w:val="left" w:pos="569"/>
        </w:tabs>
        <w:jc w:val="both"/>
        <w:rPr>
          <w:bCs/>
          <w:sz w:val="22"/>
          <w:szCs w:val="22"/>
          <w:u w:val="single"/>
          <w:lang w:val="sr-Latn-ME"/>
        </w:rPr>
      </w:pPr>
      <w:r w:rsidRPr="009C58C4">
        <w:rPr>
          <w:bCs/>
          <w:sz w:val="22"/>
          <w:szCs w:val="22"/>
          <w:u w:val="single"/>
          <w:lang w:val="sr-Latn-ME"/>
        </w:rPr>
        <w:t>Način primjene</w:t>
      </w:r>
    </w:p>
    <w:p w14:paraId="5BCEBA87" w14:textId="77777777" w:rsidR="00CA0C50" w:rsidRPr="009C58C4" w:rsidRDefault="00CA0C50" w:rsidP="00226369">
      <w:pPr>
        <w:tabs>
          <w:tab w:val="left" w:pos="540"/>
          <w:tab w:val="left" w:pos="569"/>
        </w:tabs>
        <w:jc w:val="both"/>
        <w:rPr>
          <w:bCs/>
          <w:sz w:val="22"/>
          <w:szCs w:val="22"/>
          <w:u w:val="single"/>
          <w:lang w:val="sr-Latn-ME"/>
        </w:rPr>
      </w:pPr>
    </w:p>
    <w:p w14:paraId="490207D5" w14:textId="6EE3E236" w:rsidR="00CA0C50" w:rsidRPr="009C58C4" w:rsidRDefault="007F2563" w:rsidP="00226369">
      <w:pPr>
        <w:jc w:val="both"/>
        <w:rPr>
          <w:sz w:val="22"/>
          <w:szCs w:val="22"/>
          <w:lang w:val="sr-Latn-ME"/>
        </w:rPr>
      </w:pPr>
      <w:r w:rsidRPr="009C58C4">
        <w:rPr>
          <w:sz w:val="22"/>
          <w:szCs w:val="22"/>
          <w:lang w:val="sr-Latn-ME"/>
        </w:rPr>
        <w:t>Lijek</w:t>
      </w:r>
      <w:r w:rsidR="00CA0C50" w:rsidRPr="009C58C4">
        <w:rPr>
          <w:sz w:val="22"/>
          <w:szCs w:val="22"/>
          <w:lang w:val="sr-Latn-ME"/>
        </w:rPr>
        <w:t xml:space="preserve"> Spexotras je nam</w:t>
      </w:r>
      <w:r w:rsidR="00F46CDF" w:rsidRPr="009C58C4">
        <w:rPr>
          <w:sz w:val="22"/>
          <w:szCs w:val="22"/>
          <w:lang w:val="sr-Latn-ME"/>
        </w:rPr>
        <w:t>ij</w:t>
      </w:r>
      <w:r w:rsidR="00CA0C50" w:rsidRPr="009C58C4">
        <w:rPr>
          <w:sz w:val="22"/>
          <w:szCs w:val="22"/>
          <w:lang w:val="sr-Latn-ME"/>
        </w:rPr>
        <w:t xml:space="preserve">enjen za peroralnu </w:t>
      </w:r>
      <w:r w:rsidRPr="009C58C4">
        <w:rPr>
          <w:sz w:val="22"/>
          <w:szCs w:val="22"/>
          <w:lang w:val="sr-Latn-ME"/>
        </w:rPr>
        <w:t>primjen</w:t>
      </w:r>
      <w:r w:rsidR="00CA0C50" w:rsidRPr="009C58C4">
        <w:rPr>
          <w:sz w:val="22"/>
          <w:szCs w:val="22"/>
          <w:lang w:val="sr-Latn-ME"/>
        </w:rPr>
        <w:t>u.</w:t>
      </w:r>
    </w:p>
    <w:p w14:paraId="6DF35563" w14:textId="77777777" w:rsidR="00CA0C50" w:rsidRPr="009C58C4" w:rsidRDefault="00CA0C50" w:rsidP="00226369">
      <w:pPr>
        <w:jc w:val="both"/>
        <w:rPr>
          <w:sz w:val="22"/>
          <w:szCs w:val="22"/>
          <w:lang w:val="sr-Latn-ME"/>
        </w:rPr>
      </w:pPr>
    </w:p>
    <w:p w14:paraId="2B1F9D18" w14:textId="33141229" w:rsidR="00CA0C50" w:rsidRPr="009C58C4" w:rsidRDefault="00CA0C50" w:rsidP="00226369">
      <w:pPr>
        <w:jc w:val="both"/>
        <w:rPr>
          <w:sz w:val="22"/>
          <w:szCs w:val="22"/>
          <w:lang w:val="sr-Latn-ME"/>
        </w:rPr>
      </w:pPr>
      <w:r w:rsidRPr="009C58C4">
        <w:rPr>
          <w:sz w:val="22"/>
          <w:szCs w:val="22"/>
          <w:lang w:val="sr-Latn-ME"/>
        </w:rPr>
        <w:t xml:space="preserve">Farmaceut mora rekonstituisati </w:t>
      </w:r>
      <w:r w:rsidR="007F2563" w:rsidRPr="009C58C4">
        <w:rPr>
          <w:sz w:val="22"/>
          <w:szCs w:val="22"/>
          <w:lang w:val="sr-Latn-ME"/>
        </w:rPr>
        <w:t>lijek</w:t>
      </w:r>
      <w:r w:rsidRPr="009C58C4">
        <w:rPr>
          <w:sz w:val="22"/>
          <w:szCs w:val="22"/>
          <w:lang w:val="sr-Latn-ME"/>
        </w:rPr>
        <w:t xml:space="preserve"> Spexotras prašak u oralni rastvor pr</w:t>
      </w:r>
      <w:r w:rsidR="00F46CDF" w:rsidRPr="009C58C4">
        <w:rPr>
          <w:sz w:val="22"/>
          <w:szCs w:val="22"/>
          <w:lang w:val="sr-Latn-ME"/>
        </w:rPr>
        <w:t>ij</w:t>
      </w:r>
      <w:r w:rsidRPr="009C58C4">
        <w:rPr>
          <w:sz w:val="22"/>
          <w:szCs w:val="22"/>
          <w:lang w:val="sr-Latn-ME"/>
        </w:rPr>
        <w:t>e izdavanja. Preporučuje se da pr</w:t>
      </w:r>
      <w:r w:rsidR="00F46CDF" w:rsidRPr="009C58C4">
        <w:rPr>
          <w:sz w:val="22"/>
          <w:szCs w:val="22"/>
          <w:lang w:val="sr-Latn-ME"/>
        </w:rPr>
        <w:t>ij</w:t>
      </w:r>
      <w:r w:rsidRPr="009C58C4">
        <w:rPr>
          <w:sz w:val="22"/>
          <w:szCs w:val="22"/>
          <w:lang w:val="sr-Latn-ME"/>
        </w:rPr>
        <w:t xml:space="preserve">e </w:t>
      </w:r>
      <w:r w:rsidR="007F2563" w:rsidRPr="009C58C4">
        <w:rPr>
          <w:sz w:val="22"/>
          <w:szCs w:val="22"/>
          <w:lang w:val="sr-Latn-ME"/>
        </w:rPr>
        <w:t>primjen</w:t>
      </w:r>
      <w:r w:rsidRPr="009C58C4">
        <w:rPr>
          <w:sz w:val="22"/>
          <w:szCs w:val="22"/>
          <w:lang w:val="sr-Latn-ME"/>
        </w:rPr>
        <w:t>e prve doze zdravstveni radnik razgovara s</w:t>
      </w:r>
      <w:r w:rsidR="00A67A87" w:rsidRPr="009C58C4">
        <w:rPr>
          <w:sz w:val="22"/>
          <w:szCs w:val="22"/>
          <w:lang w:val="sr-Latn-ME"/>
        </w:rPr>
        <w:t>a</w:t>
      </w:r>
      <w:r w:rsidRPr="009C58C4">
        <w:rPr>
          <w:sz w:val="22"/>
          <w:szCs w:val="22"/>
          <w:lang w:val="sr-Latn-ME"/>
        </w:rPr>
        <w:t xml:space="preserve"> pacijentom ili n</w:t>
      </w:r>
      <w:r w:rsidR="00F46CDF" w:rsidRPr="009C58C4">
        <w:rPr>
          <w:sz w:val="22"/>
          <w:szCs w:val="22"/>
          <w:lang w:val="sr-Latn-ME"/>
        </w:rPr>
        <w:t>j</w:t>
      </w:r>
      <w:r w:rsidRPr="009C58C4">
        <w:rPr>
          <w:sz w:val="22"/>
          <w:szCs w:val="22"/>
          <w:lang w:val="sr-Latn-ME"/>
        </w:rPr>
        <w:t xml:space="preserve">egovateljem o tome kako </w:t>
      </w:r>
      <w:r w:rsidR="007F2563" w:rsidRPr="009C58C4">
        <w:rPr>
          <w:sz w:val="22"/>
          <w:szCs w:val="22"/>
          <w:lang w:val="sr-Latn-ME"/>
        </w:rPr>
        <w:t>primijen</w:t>
      </w:r>
      <w:r w:rsidRPr="009C58C4">
        <w:rPr>
          <w:sz w:val="22"/>
          <w:szCs w:val="22"/>
          <w:lang w:val="sr-Latn-ME"/>
        </w:rPr>
        <w:t>iti propisanu dnevnu dozu oralnog rastvora.</w:t>
      </w:r>
    </w:p>
    <w:p w14:paraId="76DA6B5F" w14:textId="77777777" w:rsidR="00CA0C50" w:rsidRPr="009C58C4" w:rsidRDefault="00CA0C50" w:rsidP="00226369">
      <w:pPr>
        <w:jc w:val="both"/>
        <w:rPr>
          <w:sz w:val="22"/>
          <w:szCs w:val="22"/>
          <w:lang w:val="sr-Latn-ME"/>
        </w:rPr>
      </w:pPr>
    </w:p>
    <w:p w14:paraId="34560A8E" w14:textId="02D86ECC" w:rsidR="00CA0C50" w:rsidRPr="009C58C4" w:rsidRDefault="007F2563" w:rsidP="00226369">
      <w:pPr>
        <w:jc w:val="both"/>
        <w:rPr>
          <w:sz w:val="22"/>
          <w:szCs w:val="22"/>
          <w:lang w:val="sr-Latn-ME"/>
        </w:rPr>
      </w:pPr>
      <w:r w:rsidRPr="009C58C4">
        <w:rPr>
          <w:sz w:val="22"/>
          <w:szCs w:val="22"/>
          <w:lang w:val="sr-Latn-ME"/>
        </w:rPr>
        <w:t>Lijek</w:t>
      </w:r>
      <w:r w:rsidR="00CA0C50" w:rsidRPr="009C58C4">
        <w:rPr>
          <w:sz w:val="22"/>
          <w:szCs w:val="22"/>
          <w:lang w:val="sr-Latn-ME"/>
        </w:rPr>
        <w:t xml:space="preserve"> Spexotras se mora uzeti bez hrane, najmanje jedan sat pr</w:t>
      </w:r>
      <w:r w:rsidR="00F46CDF" w:rsidRPr="009C58C4">
        <w:rPr>
          <w:sz w:val="22"/>
          <w:szCs w:val="22"/>
          <w:lang w:val="sr-Latn-ME"/>
        </w:rPr>
        <w:t>ij</w:t>
      </w:r>
      <w:r w:rsidR="00CA0C50" w:rsidRPr="009C58C4">
        <w:rPr>
          <w:sz w:val="22"/>
          <w:szCs w:val="22"/>
          <w:lang w:val="sr-Latn-ME"/>
        </w:rPr>
        <w:t>e ili dva sata nakon obroka (</w:t>
      </w:r>
      <w:r w:rsidR="00F46CDF" w:rsidRPr="009C58C4">
        <w:rPr>
          <w:sz w:val="22"/>
          <w:szCs w:val="22"/>
          <w:lang w:val="sr-Latn-ME"/>
        </w:rPr>
        <w:t>vidjet</w:t>
      </w:r>
      <w:r w:rsidR="00CA0C50" w:rsidRPr="009C58C4">
        <w:rPr>
          <w:sz w:val="22"/>
          <w:szCs w:val="22"/>
          <w:lang w:val="sr-Latn-ME"/>
        </w:rPr>
        <w:t>i</w:t>
      </w:r>
      <w:r w:rsidR="00C97935" w:rsidRPr="009C58C4">
        <w:rPr>
          <w:sz w:val="22"/>
          <w:szCs w:val="22"/>
          <w:lang w:val="sr-Latn-ME"/>
        </w:rPr>
        <w:t xml:space="preserve"> </w:t>
      </w:r>
      <w:r w:rsidR="00C87F6C" w:rsidRPr="009C58C4">
        <w:rPr>
          <w:sz w:val="22"/>
          <w:szCs w:val="22"/>
          <w:lang w:val="sr-Latn-ME"/>
        </w:rPr>
        <w:t>dio</w:t>
      </w:r>
      <w:r w:rsidR="00CA0C50" w:rsidRPr="009C58C4">
        <w:rPr>
          <w:sz w:val="22"/>
          <w:szCs w:val="22"/>
          <w:lang w:val="sr-Latn-ME"/>
        </w:rPr>
        <w:t xml:space="preserve"> 5.2). Majčino </w:t>
      </w:r>
      <w:r w:rsidR="006656BE" w:rsidRPr="009C58C4">
        <w:rPr>
          <w:sz w:val="22"/>
          <w:szCs w:val="22"/>
          <w:lang w:val="sr-Latn-ME"/>
        </w:rPr>
        <w:t>m</w:t>
      </w:r>
      <w:r w:rsidRPr="009C58C4">
        <w:rPr>
          <w:sz w:val="22"/>
          <w:szCs w:val="22"/>
          <w:lang w:val="sr-Latn-ME"/>
        </w:rPr>
        <w:t>lijek</w:t>
      </w:r>
      <w:r w:rsidR="00CA0C50" w:rsidRPr="009C58C4">
        <w:rPr>
          <w:sz w:val="22"/>
          <w:szCs w:val="22"/>
          <w:lang w:val="sr-Latn-ME"/>
        </w:rPr>
        <w:t>o i/ili dečija hrana se može dati na zahtev ukoliko pacijent ne može da izdrži stanje posta.</w:t>
      </w:r>
    </w:p>
    <w:p w14:paraId="63DFCAEA" w14:textId="77777777" w:rsidR="00CA0C50" w:rsidRPr="009C58C4" w:rsidRDefault="00CA0C50" w:rsidP="00226369">
      <w:pPr>
        <w:jc w:val="both"/>
        <w:rPr>
          <w:sz w:val="22"/>
          <w:szCs w:val="22"/>
          <w:lang w:val="sr-Latn-ME"/>
        </w:rPr>
      </w:pPr>
    </w:p>
    <w:p w14:paraId="1B787157" w14:textId="554E8678" w:rsidR="00CA0C50" w:rsidRPr="009C58C4" w:rsidRDefault="00CA0C50" w:rsidP="00226369">
      <w:pPr>
        <w:widowControl w:val="0"/>
        <w:jc w:val="both"/>
        <w:rPr>
          <w:sz w:val="22"/>
          <w:szCs w:val="22"/>
          <w:lang w:val="sr-Latn-ME"/>
        </w:rPr>
      </w:pPr>
      <w:r w:rsidRPr="009C58C4">
        <w:rPr>
          <w:sz w:val="22"/>
          <w:szCs w:val="22"/>
          <w:lang w:val="sr-Latn-ME"/>
        </w:rPr>
        <w:t xml:space="preserve">Preporučuje se </w:t>
      </w:r>
      <w:r w:rsidR="007F2563" w:rsidRPr="009C58C4">
        <w:rPr>
          <w:sz w:val="22"/>
          <w:szCs w:val="22"/>
          <w:lang w:val="sr-Latn-ME"/>
        </w:rPr>
        <w:t>primjen</w:t>
      </w:r>
      <w:r w:rsidRPr="009C58C4">
        <w:rPr>
          <w:sz w:val="22"/>
          <w:szCs w:val="22"/>
          <w:lang w:val="sr-Latn-ME"/>
        </w:rPr>
        <w:t xml:space="preserve">a doze </w:t>
      </w:r>
      <w:r w:rsidR="007F2563" w:rsidRPr="009C58C4">
        <w:rPr>
          <w:sz w:val="22"/>
          <w:szCs w:val="22"/>
          <w:lang w:val="sr-Latn-ME"/>
        </w:rPr>
        <w:t>lijek</w:t>
      </w:r>
      <w:r w:rsidRPr="009C58C4">
        <w:rPr>
          <w:sz w:val="22"/>
          <w:szCs w:val="22"/>
          <w:lang w:val="sr-Latn-ME"/>
        </w:rPr>
        <w:t>a Spexotras svakoga dana u približno isto vr</w:t>
      </w:r>
      <w:r w:rsidR="0091092E" w:rsidRPr="009C58C4">
        <w:rPr>
          <w:sz w:val="22"/>
          <w:szCs w:val="22"/>
          <w:lang w:val="sr-Latn-ME"/>
        </w:rPr>
        <w:t>ij</w:t>
      </w:r>
      <w:r w:rsidRPr="009C58C4">
        <w:rPr>
          <w:sz w:val="22"/>
          <w:szCs w:val="22"/>
          <w:lang w:val="sr-Latn-ME"/>
        </w:rPr>
        <w:t xml:space="preserve">eme, koristeći priloženi špric za usta za višekratnu </w:t>
      </w:r>
      <w:r w:rsidR="007F2563" w:rsidRPr="009C58C4">
        <w:rPr>
          <w:sz w:val="22"/>
          <w:szCs w:val="22"/>
          <w:lang w:val="sr-Latn-ME"/>
        </w:rPr>
        <w:t>primjen</w:t>
      </w:r>
      <w:r w:rsidRPr="009C58C4">
        <w:rPr>
          <w:sz w:val="22"/>
          <w:szCs w:val="22"/>
          <w:lang w:val="sr-Latn-ME"/>
        </w:rPr>
        <w:t xml:space="preserve">u. Potrebno je uzeti dozu </w:t>
      </w:r>
      <w:r w:rsidR="007F2563" w:rsidRPr="009C58C4">
        <w:rPr>
          <w:sz w:val="22"/>
          <w:szCs w:val="22"/>
          <w:lang w:val="sr-Latn-ME"/>
        </w:rPr>
        <w:t>lijek</w:t>
      </w:r>
      <w:r w:rsidRPr="009C58C4">
        <w:rPr>
          <w:sz w:val="22"/>
          <w:szCs w:val="22"/>
          <w:lang w:val="sr-Latn-ME"/>
        </w:rPr>
        <w:t>a Spexotras jednom dnevno u isto vr</w:t>
      </w:r>
      <w:r w:rsidR="0091092E" w:rsidRPr="009C58C4">
        <w:rPr>
          <w:sz w:val="22"/>
          <w:szCs w:val="22"/>
          <w:lang w:val="sr-Latn-ME"/>
        </w:rPr>
        <w:t>ij</w:t>
      </w:r>
      <w:r w:rsidRPr="009C58C4">
        <w:rPr>
          <w:sz w:val="22"/>
          <w:szCs w:val="22"/>
          <w:lang w:val="sr-Latn-ME"/>
        </w:rPr>
        <w:t>eme svakoga dana, bilo sa jutarnjom ili večernjom dozom dabrafeniba.</w:t>
      </w:r>
    </w:p>
    <w:p w14:paraId="76A0D385" w14:textId="77777777" w:rsidR="00CA0C50" w:rsidRPr="009C58C4" w:rsidRDefault="00CA0C50" w:rsidP="00226369">
      <w:pPr>
        <w:jc w:val="both"/>
        <w:rPr>
          <w:sz w:val="22"/>
          <w:szCs w:val="22"/>
          <w:lang w:val="sr-Latn-ME"/>
        </w:rPr>
      </w:pPr>
    </w:p>
    <w:p w14:paraId="12DF8902" w14:textId="57086C74" w:rsidR="00CA0C50" w:rsidRPr="009C58C4" w:rsidRDefault="00CA0C50" w:rsidP="00226369">
      <w:pPr>
        <w:jc w:val="both"/>
        <w:rPr>
          <w:sz w:val="22"/>
          <w:szCs w:val="22"/>
          <w:lang w:val="sr-Latn-ME"/>
        </w:rPr>
      </w:pPr>
      <w:r w:rsidRPr="009C58C4">
        <w:rPr>
          <w:sz w:val="22"/>
          <w:szCs w:val="22"/>
          <w:lang w:val="sr-Latn-ME"/>
        </w:rPr>
        <w:t xml:space="preserve">Ako pacijent ne može da guta i ima nazogastričnu sondu </w:t>
      </w:r>
      <w:r w:rsidRPr="009C58C4">
        <w:rPr>
          <w:i/>
          <w:sz w:val="22"/>
          <w:szCs w:val="22"/>
          <w:lang w:val="sr-Latn-ME"/>
        </w:rPr>
        <w:t>in situ</w:t>
      </w:r>
      <w:r w:rsidRPr="009C58C4">
        <w:rPr>
          <w:sz w:val="22"/>
          <w:szCs w:val="22"/>
          <w:lang w:val="sr-Latn-ME"/>
        </w:rPr>
        <w:t xml:space="preserve">, </w:t>
      </w:r>
      <w:r w:rsidR="007F2563" w:rsidRPr="009C58C4">
        <w:rPr>
          <w:sz w:val="22"/>
          <w:szCs w:val="22"/>
          <w:lang w:val="sr-Latn-ME"/>
        </w:rPr>
        <w:t>lijek</w:t>
      </w:r>
      <w:r w:rsidRPr="009C58C4">
        <w:rPr>
          <w:sz w:val="22"/>
          <w:szCs w:val="22"/>
          <w:lang w:val="sr-Latn-ME"/>
        </w:rPr>
        <w:t xml:space="preserve"> Spexotras oralni rastvor se može </w:t>
      </w:r>
      <w:r w:rsidR="007F2563" w:rsidRPr="009C58C4">
        <w:rPr>
          <w:sz w:val="22"/>
          <w:szCs w:val="22"/>
          <w:lang w:val="sr-Latn-ME"/>
        </w:rPr>
        <w:t>primijen</w:t>
      </w:r>
      <w:r w:rsidRPr="009C58C4">
        <w:rPr>
          <w:sz w:val="22"/>
          <w:szCs w:val="22"/>
          <w:lang w:val="sr-Latn-ME"/>
        </w:rPr>
        <w:t>iti putem sonde.</w:t>
      </w:r>
    </w:p>
    <w:p w14:paraId="2497D696" w14:textId="77777777" w:rsidR="00CA0C50" w:rsidRPr="009C58C4" w:rsidRDefault="00CA0C50" w:rsidP="00226369">
      <w:pPr>
        <w:jc w:val="both"/>
        <w:rPr>
          <w:sz w:val="22"/>
          <w:szCs w:val="22"/>
          <w:lang w:val="sr-Latn-ME"/>
        </w:rPr>
      </w:pPr>
    </w:p>
    <w:p w14:paraId="5DC0D040" w14:textId="4E2E9E5A" w:rsidR="00CA0C50" w:rsidRPr="009C58C4" w:rsidRDefault="00CA0C50" w:rsidP="00226369">
      <w:pPr>
        <w:jc w:val="both"/>
        <w:rPr>
          <w:sz w:val="22"/>
          <w:szCs w:val="22"/>
          <w:lang w:val="sr-Latn-ME"/>
        </w:rPr>
      </w:pPr>
      <w:r w:rsidRPr="009C58C4">
        <w:rPr>
          <w:sz w:val="22"/>
          <w:szCs w:val="22"/>
          <w:lang w:val="sr-Latn-ME"/>
        </w:rPr>
        <w:t xml:space="preserve">Uputstva za pripremu i </w:t>
      </w:r>
      <w:r w:rsidR="007F2563" w:rsidRPr="009C58C4">
        <w:rPr>
          <w:sz w:val="22"/>
          <w:szCs w:val="22"/>
          <w:lang w:val="sr-Latn-ME"/>
        </w:rPr>
        <w:t>primjen</w:t>
      </w:r>
      <w:r w:rsidRPr="009C58C4">
        <w:rPr>
          <w:sz w:val="22"/>
          <w:szCs w:val="22"/>
          <w:lang w:val="sr-Latn-ME"/>
        </w:rPr>
        <w:t xml:space="preserve">u su navedeni u </w:t>
      </w:r>
      <w:r w:rsidR="00C87F6C" w:rsidRPr="009C58C4">
        <w:rPr>
          <w:sz w:val="22"/>
          <w:szCs w:val="22"/>
          <w:lang w:val="sr-Latn-ME"/>
        </w:rPr>
        <w:t xml:space="preserve">dijelu </w:t>
      </w:r>
      <w:r w:rsidRPr="009C58C4">
        <w:rPr>
          <w:sz w:val="22"/>
          <w:szCs w:val="22"/>
          <w:lang w:val="sr-Latn-ME"/>
        </w:rPr>
        <w:t>6.6.</w:t>
      </w:r>
    </w:p>
    <w:p w14:paraId="408FAFBC" w14:textId="387861AE" w:rsidR="00452E9D" w:rsidRPr="009C58C4" w:rsidRDefault="00452E9D" w:rsidP="00226369">
      <w:pPr>
        <w:tabs>
          <w:tab w:val="left" w:pos="540"/>
          <w:tab w:val="left" w:pos="569"/>
        </w:tabs>
        <w:jc w:val="both"/>
        <w:rPr>
          <w:bCs/>
          <w:sz w:val="22"/>
          <w:szCs w:val="22"/>
          <w:lang w:val="sr-Latn-ME"/>
        </w:rPr>
      </w:pPr>
    </w:p>
    <w:p w14:paraId="3898D602" w14:textId="77777777" w:rsidR="009C58C4" w:rsidRDefault="009C58C4" w:rsidP="00226369">
      <w:pPr>
        <w:tabs>
          <w:tab w:val="left" w:pos="540"/>
          <w:tab w:val="left" w:pos="569"/>
        </w:tabs>
        <w:jc w:val="both"/>
        <w:rPr>
          <w:b/>
          <w:bCs/>
          <w:sz w:val="22"/>
          <w:szCs w:val="22"/>
          <w:lang w:val="sr-Latn-ME"/>
        </w:rPr>
      </w:pPr>
    </w:p>
    <w:p w14:paraId="6D385EDE" w14:textId="77777777" w:rsidR="009C58C4" w:rsidRDefault="009C58C4" w:rsidP="00226369">
      <w:pPr>
        <w:tabs>
          <w:tab w:val="left" w:pos="540"/>
          <w:tab w:val="left" w:pos="569"/>
        </w:tabs>
        <w:jc w:val="both"/>
        <w:rPr>
          <w:b/>
          <w:bCs/>
          <w:sz w:val="22"/>
          <w:szCs w:val="22"/>
          <w:lang w:val="sr-Latn-ME"/>
        </w:rPr>
      </w:pPr>
    </w:p>
    <w:p w14:paraId="6355A280" w14:textId="4EAD663F"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lastRenderedPageBreak/>
        <w:t xml:space="preserve">4.3. </w:t>
      </w:r>
      <w:r w:rsidR="00480FB1" w:rsidRPr="009C58C4">
        <w:rPr>
          <w:b/>
          <w:bCs/>
          <w:sz w:val="22"/>
          <w:szCs w:val="22"/>
          <w:lang w:val="sr-Latn-ME"/>
        </w:rPr>
        <w:tab/>
      </w:r>
      <w:r w:rsidRPr="009C58C4">
        <w:rPr>
          <w:b/>
          <w:bCs/>
          <w:sz w:val="22"/>
          <w:szCs w:val="22"/>
          <w:lang w:val="sr-Latn-ME"/>
        </w:rPr>
        <w:t>Kontraindikacije</w:t>
      </w:r>
    </w:p>
    <w:p w14:paraId="68076D54" w14:textId="77777777" w:rsidR="00CA0C50" w:rsidRPr="009C58C4" w:rsidRDefault="00CA0C50" w:rsidP="00226369">
      <w:pPr>
        <w:jc w:val="both"/>
        <w:rPr>
          <w:sz w:val="22"/>
          <w:szCs w:val="22"/>
          <w:lang w:val="sr-Latn-ME"/>
        </w:rPr>
      </w:pPr>
    </w:p>
    <w:p w14:paraId="1B0CBEA7" w14:textId="0F208998" w:rsidR="00CA0C50" w:rsidRPr="009C58C4" w:rsidRDefault="00CA0C50" w:rsidP="00226369">
      <w:pPr>
        <w:jc w:val="both"/>
        <w:rPr>
          <w:sz w:val="22"/>
          <w:szCs w:val="22"/>
          <w:lang w:val="sr-Latn-ME"/>
        </w:rPr>
      </w:pPr>
      <w:r w:rsidRPr="009C58C4">
        <w:rPr>
          <w:sz w:val="22"/>
          <w:szCs w:val="22"/>
          <w:lang w:val="sr-Latn-ME"/>
        </w:rPr>
        <w:t>Preos</w:t>
      </w:r>
      <w:r w:rsidR="0091092E" w:rsidRPr="009C58C4">
        <w:rPr>
          <w:sz w:val="22"/>
          <w:szCs w:val="22"/>
          <w:lang w:val="sr-Latn-ME"/>
        </w:rPr>
        <w:t>j</w:t>
      </w:r>
      <w:r w:rsidRPr="009C58C4">
        <w:rPr>
          <w:sz w:val="22"/>
          <w:szCs w:val="22"/>
          <w:lang w:val="sr-Latn-ME"/>
        </w:rPr>
        <w:t xml:space="preserve">etljivost na aktivnu supstancu ili na bilo koju od pomoćnih supstanci navedenih u </w:t>
      </w:r>
      <w:r w:rsidR="00C87F6C" w:rsidRPr="009C58C4">
        <w:rPr>
          <w:sz w:val="22"/>
          <w:szCs w:val="22"/>
          <w:lang w:val="sr-Latn-ME"/>
        </w:rPr>
        <w:t xml:space="preserve">dijelu </w:t>
      </w:r>
      <w:r w:rsidRPr="009C58C4">
        <w:rPr>
          <w:sz w:val="22"/>
          <w:szCs w:val="22"/>
          <w:lang w:val="sr-Latn-ME"/>
        </w:rPr>
        <w:t>6.1.</w:t>
      </w:r>
    </w:p>
    <w:p w14:paraId="6747F538" w14:textId="77777777" w:rsidR="0072020E" w:rsidRPr="009C58C4" w:rsidRDefault="0072020E" w:rsidP="00226369">
      <w:pPr>
        <w:tabs>
          <w:tab w:val="left" w:pos="540"/>
          <w:tab w:val="left" w:pos="569"/>
        </w:tabs>
        <w:jc w:val="both"/>
        <w:rPr>
          <w:bCs/>
          <w:sz w:val="22"/>
          <w:szCs w:val="22"/>
          <w:lang w:val="sr-Latn-ME"/>
        </w:rPr>
      </w:pPr>
    </w:p>
    <w:p w14:paraId="4E9754B0"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 xml:space="preserve">4.4. </w:t>
      </w:r>
      <w:r w:rsidR="00480FB1" w:rsidRPr="009C58C4">
        <w:rPr>
          <w:b/>
          <w:bCs/>
          <w:sz w:val="22"/>
          <w:szCs w:val="22"/>
          <w:lang w:val="sr-Latn-ME"/>
        </w:rPr>
        <w:tab/>
      </w:r>
      <w:r w:rsidRPr="009C58C4">
        <w:rPr>
          <w:b/>
          <w:bCs/>
          <w:sz w:val="22"/>
          <w:szCs w:val="22"/>
          <w:lang w:val="sr-Latn-ME"/>
        </w:rPr>
        <w:t>Posebna upozorenja i mjere opreza pri upotrebi lijeka</w:t>
      </w:r>
    </w:p>
    <w:p w14:paraId="1E98BAA2" w14:textId="77777777" w:rsidR="0072020E" w:rsidRPr="009C58C4" w:rsidRDefault="0072020E" w:rsidP="00226369">
      <w:pPr>
        <w:tabs>
          <w:tab w:val="left" w:pos="540"/>
          <w:tab w:val="left" w:pos="569"/>
        </w:tabs>
        <w:jc w:val="both"/>
        <w:rPr>
          <w:bCs/>
          <w:sz w:val="22"/>
          <w:szCs w:val="22"/>
          <w:lang w:val="sr-Latn-ME"/>
        </w:rPr>
      </w:pPr>
    </w:p>
    <w:p w14:paraId="71EC025B" w14:textId="037CD88B" w:rsidR="00C455E5" w:rsidRPr="009C58C4" w:rsidRDefault="007F2563" w:rsidP="00226369">
      <w:pPr>
        <w:autoSpaceDE w:val="0"/>
        <w:autoSpaceDN w:val="0"/>
        <w:adjustRightInd w:val="0"/>
        <w:jc w:val="both"/>
        <w:rPr>
          <w:sz w:val="22"/>
          <w:szCs w:val="22"/>
          <w:lang w:val="sr-Latn-ME"/>
        </w:rPr>
      </w:pPr>
      <w:r w:rsidRPr="009C58C4">
        <w:rPr>
          <w:sz w:val="22"/>
          <w:szCs w:val="22"/>
          <w:lang w:val="sr-Latn-ME"/>
        </w:rPr>
        <w:t>Lijek</w:t>
      </w:r>
      <w:r w:rsidR="00C455E5" w:rsidRPr="009C58C4">
        <w:rPr>
          <w:sz w:val="22"/>
          <w:szCs w:val="22"/>
          <w:lang w:val="sr-Latn-ME"/>
        </w:rPr>
        <w:t xml:space="preserve"> Spexotras je nam</w:t>
      </w:r>
      <w:r w:rsidR="0091092E" w:rsidRPr="009C58C4">
        <w:rPr>
          <w:sz w:val="22"/>
          <w:szCs w:val="22"/>
          <w:lang w:val="sr-Latn-ME"/>
        </w:rPr>
        <w:t>ij</w:t>
      </w:r>
      <w:r w:rsidR="00C455E5" w:rsidRPr="009C58C4">
        <w:rPr>
          <w:sz w:val="22"/>
          <w:szCs w:val="22"/>
          <w:lang w:val="sr-Latn-ME"/>
        </w:rPr>
        <w:t xml:space="preserve">enjen za </w:t>
      </w:r>
      <w:r w:rsidRPr="009C58C4">
        <w:rPr>
          <w:sz w:val="22"/>
          <w:szCs w:val="22"/>
          <w:lang w:val="sr-Latn-ME"/>
        </w:rPr>
        <w:t>primjen</w:t>
      </w:r>
      <w:r w:rsidR="00C455E5" w:rsidRPr="009C58C4">
        <w:rPr>
          <w:sz w:val="22"/>
          <w:szCs w:val="22"/>
          <w:lang w:val="sr-Latn-ME"/>
        </w:rPr>
        <w:t>u u kombinaciji s</w:t>
      </w:r>
      <w:r w:rsidR="00A67A87" w:rsidRPr="009C58C4">
        <w:rPr>
          <w:sz w:val="22"/>
          <w:szCs w:val="22"/>
          <w:lang w:val="sr-Latn-ME"/>
        </w:rPr>
        <w:t>a</w:t>
      </w:r>
      <w:r w:rsidR="00C455E5" w:rsidRPr="009C58C4">
        <w:rPr>
          <w:sz w:val="22"/>
          <w:szCs w:val="22"/>
          <w:lang w:val="sr-Latn-ME"/>
        </w:rPr>
        <w:t xml:space="preserve"> dabrafenib tabletama za oralnu suspenziju rastvor jer postoje ograničeni podaci o efikasnosti monoterapije trametinibom i monoterapije dabrafenibom kod glioma pozitivnih na BRAF V600 mutaciju. Pr</w:t>
      </w:r>
      <w:r w:rsidR="0091092E" w:rsidRPr="009C58C4">
        <w:rPr>
          <w:sz w:val="22"/>
          <w:szCs w:val="22"/>
          <w:lang w:val="sr-Latn-ME"/>
        </w:rPr>
        <w:t>ij</w:t>
      </w:r>
      <w:r w:rsidR="00C455E5" w:rsidRPr="009C58C4">
        <w:rPr>
          <w:sz w:val="22"/>
          <w:szCs w:val="22"/>
          <w:lang w:val="sr-Latn-ME"/>
        </w:rPr>
        <w:t xml:space="preserve">e započinjanja </w:t>
      </w:r>
      <w:r w:rsidRPr="009C58C4">
        <w:rPr>
          <w:sz w:val="22"/>
          <w:szCs w:val="22"/>
          <w:lang w:val="sr-Latn-ME"/>
        </w:rPr>
        <w:t>liječ</w:t>
      </w:r>
      <w:r w:rsidR="00C455E5" w:rsidRPr="009C58C4">
        <w:rPr>
          <w:sz w:val="22"/>
          <w:szCs w:val="22"/>
          <w:lang w:val="sr-Latn-ME"/>
        </w:rPr>
        <w:t xml:space="preserve">enja se mora pročitati Sažetak karakteristika </w:t>
      </w:r>
      <w:r w:rsidRPr="009C58C4">
        <w:rPr>
          <w:sz w:val="22"/>
          <w:szCs w:val="22"/>
          <w:lang w:val="sr-Latn-ME"/>
        </w:rPr>
        <w:t>lijek</w:t>
      </w:r>
      <w:r w:rsidR="00C455E5" w:rsidRPr="009C58C4">
        <w:rPr>
          <w:sz w:val="22"/>
          <w:szCs w:val="22"/>
          <w:lang w:val="sr-Latn-ME"/>
        </w:rPr>
        <w:t>a za dabrafenib tablete za oralnu suspenziju. Za dodatne informacije o upozorenjima i m</w:t>
      </w:r>
      <w:r w:rsidR="0091092E" w:rsidRPr="009C58C4">
        <w:rPr>
          <w:sz w:val="22"/>
          <w:szCs w:val="22"/>
          <w:lang w:val="sr-Latn-ME"/>
        </w:rPr>
        <w:t>j</w:t>
      </w:r>
      <w:r w:rsidR="00C455E5" w:rsidRPr="009C58C4">
        <w:rPr>
          <w:sz w:val="22"/>
          <w:szCs w:val="22"/>
          <w:lang w:val="sr-Latn-ME"/>
        </w:rPr>
        <w:t xml:space="preserve">erama opreza povezanim sa </w:t>
      </w:r>
      <w:r w:rsidRPr="009C58C4">
        <w:rPr>
          <w:sz w:val="22"/>
          <w:szCs w:val="22"/>
          <w:lang w:val="sr-Latn-ME"/>
        </w:rPr>
        <w:t>liječ</w:t>
      </w:r>
      <w:r w:rsidR="00C455E5" w:rsidRPr="009C58C4">
        <w:rPr>
          <w:sz w:val="22"/>
          <w:szCs w:val="22"/>
          <w:lang w:val="sr-Latn-ME"/>
        </w:rPr>
        <w:t xml:space="preserve">enjem dabrafenibom, pogledajte Sažetak karakteristika </w:t>
      </w:r>
      <w:r w:rsidRPr="009C58C4">
        <w:rPr>
          <w:sz w:val="22"/>
          <w:szCs w:val="22"/>
          <w:lang w:val="sr-Latn-ME"/>
        </w:rPr>
        <w:t>lijek</w:t>
      </w:r>
      <w:r w:rsidR="00C455E5" w:rsidRPr="009C58C4">
        <w:rPr>
          <w:sz w:val="22"/>
          <w:szCs w:val="22"/>
          <w:lang w:val="sr-Latn-ME"/>
        </w:rPr>
        <w:t>a za dabrafenib tablete za oralnu suspenziju.</w:t>
      </w:r>
    </w:p>
    <w:p w14:paraId="06234044" w14:textId="77777777" w:rsidR="00C455E5" w:rsidRPr="009C58C4" w:rsidRDefault="00C455E5" w:rsidP="00226369">
      <w:pPr>
        <w:jc w:val="both"/>
        <w:rPr>
          <w:sz w:val="22"/>
          <w:szCs w:val="22"/>
          <w:lang w:val="sr-Latn-ME"/>
        </w:rPr>
      </w:pPr>
    </w:p>
    <w:p w14:paraId="11653710" w14:textId="77777777" w:rsidR="00C455E5" w:rsidRPr="009C58C4" w:rsidRDefault="00C455E5" w:rsidP="00226369">
      <w:pPr>
        <w:keepNext/>
        <w:jc w:val="both"/>
        <w:rPr>
          <w:sz w:val="22"/>
          <w:szCs w:val="22"/>
          <w:u w:val="single"/>
          <w:lang w:val="sr-Latn-ME"/>
        </w:rPr>
      </w:pPr>
      <w:r w:rsidRPr="009C58C4">
        <w:rPr>
          <w:sz w:val="22"/>
          <w:szCs w:val="22"/>
          <w:u w:val="single"/>
          <w:lang w:val="sr-Latn-ME"/>
        </w:rPr>
        <w:t>Testiranje na BRAF V600E</w:t>
      </w:r>
    </w:p>
    <w:p w14:paraId="72FE29CA" w14:textId="77777777" w:rsidR="00C455E5" w:rsidRPr="009C58C4" w:rsidRDefault="00C455E5" w:rsidP="00226369">
      <w:pPr>
        <w:keepNext/>
        <w:jc w:val="both"/>
        <w:rPr>
          <w:sz w:val="22"/>
          <w:szCs w:val="22"/>
          <w:lang w:val="sr-Latn-ME"/>
        </w:rPr>
      </w:pPr>
    </w:p>
    <w:p w14:paraId="1B962771" w14:textId="1B0E968B" w:rsidR="00C455E5" w:rsidRPr="009C58C4" w:rsidRDefault="00C455E5" w:rsidP="00226369">
      <w:pPr>
        <w:jc w:val="both"/>
        <w:rPr>
          <w:sz w:val="22"/>
          <w:szCs w:val="22"/>
          <w:lang w:val="sr-Latn-ME"/>
        </w:rPr>
      </w:pPr>
      <w:r w:rsidRPr="009C58C4">
        <w:rPr>
          <w:sz w:val="22"/>
          <w:szCs w:val="22"/>
          <w:lang w:val="sr-Latn-ME"/>
        </w:rPr>
        <w:t xml:space="preserve">Efikasnost i </w:t>
      </w:r>
      <w:r w:rsidR="00F46CDF" w:rsidRPr="009C58C4">
        <w:rPr>
          <w:sz w:val="22"/>
          <w:szCs w:val="22"/>
          <w:lang w:val="sr-Latn-ME"/>
        </w:rPr>
        <w:t>bezbjed</w:t>
      </w:r>
      <w:r w:rsidRPr="009C58C4">
        <w:rPr>
          <w:sz w:val="22"/>
          <w:szCs w:val="22"/>
          <w:lang w:val="sr-Latn-ME"/>
        </w:rPr>
        <w:t>nost trametiniba u kombinaciji s</w:t>
      </w:r>
      <w:r w:rsidR="00A67A87" w:rsidRPr="009C58C4">
        <w:rPr>
          <w:sz w:val="22"/>
          <w:szCs w:val="22"/>
          <w:lang w:val="sr-Latn-ME"/>
        </w:rPr>
        <w:t>a</w:t>
      </w:r>
      <w:r w:rsidRPr="009C58C4">
        <w:rPr>
          <w:sz w:val="22"/>
          <w:szCs w:val="22"/>
          <w:lang w:val="sr-Latn-ME"/>
        </w:rPr>
        <w:t xml:space="preserve"> dabrafenibom nisu ustanovljeni kod pacijenata sa gliomom negativnim na mutaciju BRAF V600E.</w:t>
      </w:r>
    </w:p>
    <w:p w14:paraId="6A73D3AB" w14:textId="77777777" w:rsidR="00C455E5" w:rsidRPr="009C58C4" w:rsidRDefault="00C455E5" w:rsidP="00226369">
      <w:pPr>
        <w:autoSpaceDE w:val="0"/>
        <w:autoSpaceDN w:val="0"/>
        <w:adjustRightInd w:val="0"/>
        <w:jc w:val="both"/>
        <w:rPr>
          <w:sz w:val="22"/>
          <w:szCs w:val="22"/>
          <w:lang w:val="sr-Latn-ME"/>
        </w:rPr>
      </w:pPr>
    </w:p>
    <w:p w14:paraId="788C3B1B" w14:textId="77777777" w:rsidR="00C455E5" w:rsidRPr="009C58C4" w:rsidRDefault="00C455E5" w:rsidP="00226369">
      <w:pPr>
        <w:keepNext/>
        <w:jc w:val="both"/>
        <w:rPr>
          <w:sz w:val="22"/>
          <w:szCs w:val="22"/>
          <w:u w:val="single"/>
          <w:lang w:val="sr-Latn-ME"/>
        </w:rPr>
      </w:pPr>
      <w:r w:rsidRPr="009C58C4">
        <w:rPr>
          <w:sz w:val="22"/>
          <w:szCs w:val="22"/>
          <w:u w:val="single"/>
          <w:lang w:val="sr-Latn-ME"/>
        </w:rPr>
        <w:t>Novonastale maligne bolesti</w:t>
      </w:r>
    </w:p>
    <w:p w14:paraId="36C481E8" w14:textId="77777777" w:rsidR="00C455E5" w:rsidRPr="009C58C4" w:rsidRDefault="00C455E5" w:rsidP="00226369">
      <w:pPr>
        <w:keepNext/>
        <w:jc w:val="both"/>
        <w:rPr>
          <w:sz w:val="22"/>
          <w:szCs w:val="22"/>
          <w:lang w:val="sr-Latn-ME"/>
        </w:rPr>
      </w:pPr>
    </w:p>
    <w:p w14:paraId="2BB867F1" w14:textId="27BFD38F" w:rsidR="00C455E5" w:rsidRPr="009C58C4" w:rsidRDefault="00C455E5" w:rsidP="00226369">
      <w:pPr>
        <w:jc w:val="both"/>
        <w:rPr>
          <w:sz w:val="22"/>
          <w:szCs w:val="22"/>
          <w:lang w:val="sr-Latn-ME"/>
        </w:rPr>
      </w:pPr>
      <w:r w:rsidRPr="009C58C4">
        <w:rPr>
          <w:sz w:val="22"/>
          <w:szCs w:val="22"/>
          <w:lang w:val="sr-Latn-ME"/>
        </w:rPr>
        <w:t xml:space="preserve">Novonastale maligne bolesti, kože i one koje ne zahvataju kožu, se mogu pojaviti kada se trametinib </w:t>
      </w:r>
      <w:r w:rsidR="007F2563" w:rsidRPr="009C58C4">
        <w:rPr>
          <w:sz w:val="22"/>
          <w:szCs w:val="22"/>
          <w:lang w:val="sr-Latn-ME"/>
        </w:rPr>
        <w:t>primjen</w:t>
      </w:r>
      <w:r w:rsidRPr="009C58C4">
        <w:rPr>
          <w:sz w:val="22"/>
          <w:szCs w:val="22"/>
          <w:lang w:val="sr-Latn-ME"/>
        </w:rPr>
        <w:t>juje u kombinaciji s</w:t>
      </w:r>
      <w:r w:rsidR="00C97935" w:rsidRPr="009C58C4">
        <w:rPr>
          <w:sz w:val="22"/>
          <w:szCs w:val="22"/>
          <w:lang w:val="sr-Latn-ME"/>
        </w:rPr>
        <w:t>a</w:t>
      </w:r>
      <w:r w:rsidRPr="009C58C4">
        <w:rPr>
          <w:sz w:val="22"/>
          <w:szCs w:val="22"/>
          <w:lang w:val="sr-Latn-ME"/>
        </w:rPr>
        <w:t xml:space="preserve"> dabrafenibom.</w:t>
      </w:r>
    </w:p>
    <w:p w14:paraId="5C78470A" w14:textId="77777777" w:rsidR="00C455E5" w:rsidRPr="009C58C4" w:rsidRDefault="00C455E5" w:rsidP="00226369">
      <w:pPr>
        <w:jc w:val="both"/>
        <w:rPr>
          <w:sz w:val="22"/>
          <w:szCs w:val="22"/>
          <w:shd w:val="clear" w:color="auto" w:fill="CCCCCC"/>
          <w:lang w:val="sr-Latn-ME"/>
        </w:rPr>
      </w:pPr>
    </w:p>
    <w:p w14:paraId="0D4A3735" w14:textId="77777777" w:rsidR="00C455E5" w:rsidRPr="009C58C4" w:rsidRDefault="00C455E5" w:rsidP="00226369">
      <w:pPr>
        <w:keepNext/>
        <w:jc w:val="both"/>
        <w:rPr>
          <w:noProof/>
          <w:color w:val="000000"/>
          <w:sz w:val="22"/>
          <w:szCs w:val="22"/>
          <w:lang w:val="sr-Latn-ME"/>
        </w:rPr>
      </w:pPr>
      <w:r w:rsidRPr="009C58C4">
        <w:rPr>
          <w:i/>
          <w:iCs/>
          <w:noProof/>
          <w:color w:val="000000"/>
          <w:sz w:val="22"/>
          <w:szCs w:val="22"/>
          <w:u w:val="single"/>
          <w:lang w:val="sr-Latn-ME"/>
        </w:rPr>
        <w:t>Maligne bolesti kože</w:t>
      </w:r>
    </w:p>
    <w:p w14:paraId="7334A74B" w14:textId="0E0BE1CD" w:rsidR="00C455E5" w:rsidRPr="009C58C4" w:rsidRDefault="00C455E5" w:rsidP="00226369">
      <w:pPr>
        <w:jc w:val="both"/>
        <w:rPr>
          <w:sz w:val="22"/>
          <w:szCs w:val="22"/>
          <w:lang w:val="sr-Latn-ME"/>
        </w:rPr>
      </w:pPr>
      <w:r w:rsidRPr="009C58C4">
        <w:rPr>
          <w:sz w:val="22"/>
          <w:szCs w:val="22"/>
          <w:lang w:val="sr-Latn-ME"/>
        </w:rPr>
        <w:t xml:space="preserve">Maligne bolesti kože kao što je planocelularni karcinom kože (engl. </w:t>
      </w:r>
      <w:r w:rsidRPr="009C58C4">
        <w:rPr>
          <w:i/>
          <w:sz w:val="22"/>
          <w:szCs w:val="22"/>
          <w:lang w:val="sr-Latn-ME"/>
        </w:rPr>
        <w:t>cutaneous squamous cell carcinoma</w:t>
      </w:r>
      <w:r w:rsidRPr="009C58C4">
        <w:rPr>
          <w:sz w:val="22"/>
          <w:szCs w:val="22"/>
          <w:lang w:val="sr-Latn-ME"/>
        </w:rPr>
        <w:t>, cuSCC) uključujući keratoakantom i novi primarni melanom su zab</w:t>
      </w:r>
      <w:r w:rsidR="0091092E" w:rsidRPr="009C58C4">
        <w:rPr>
          <w:sz w:val="22"/>
          <w:szCs w:val="22"/>
          <w:lang w:val="sr-Latn-ME"/>
        </w:rPr>
        <w:t>ilj</w:t>
      </w:r>
      <w:r w:rsidRPr="009C58C4">
        <w:rPr>
          <w:sz w:val="22"/>
          <w:szCs w:val="22"/>
          <w:lang w:val="sr-Latn-ME"/>
        </w:rPr>
        <w:t xml:space="preserve">eženi kod odraslih pacijenata </w:t>
      </w:r>
      <w:r w:rsidR="007F2563" w:rsidRPr="009C58C4">
        <w:rPr>
          <w:sz w:val="22"/>
          <w:szCs w:val="22"/>
          <w:lang w:val="sr-Latn-ME"/>
        </w:rPr>
        <w:t>liječ</w:t>
      </w:r>
      <w:r w:rsidRPr="009C58C4">
        <w:rPr>
          <w:sz w:val="22"/>
          <w:szCs w:val="22"/>
          <w:lang w:val="sr-Latn-ME"/>
        </w:rPr>
        <w:t>enih trametinibom u kombinaciji s</w:t>
      </w:r>
      <w:r w:rsidR="00A67A87" w:rsidRPr="009C58C4">
        <w:rPr>
          <w:sz w:val="22"/>
          <w:szCs w:val="22"/>
          <w:lang w:val="sr-Latn-ME"/>
        </w:rPr>
        <w:t>a</w:t>
      </w:r>
      <w:r w:rsidRPr="009C58C4">
        <w:rPr>
          <w:sz w:val="22"/>
          <w:szCs w:val="22"/>
          <w:lang w:val="sr-Latn-ME"/>
        </w:rPr>
        <w:t xml:space="preserve"> dabrafenibom (</w:t>
      </w:r>
      <w:r w:rsidR="00F46CDF" w:rsidRPr="009C58C4">
        <w:rPr>
          <w:sz w:val="22"/>
          <w:szCs w:val="22"/>
          <w:lang w:val="sr-Latn-ME"/>
        </w:rPr>
        <w:t>vidjet</w:t>
      </w:r>
      <w:r w:rsidRPr="009C58C4">
        <w:rPr>
          <w:sz w:val="22"/>
          <w:szCs w:val="22"/>
          <w:lang w:val="sr-Latn-ME"/>
        </w:rPr>
        <w:t>i</w:t>
      </w:r>
      <w:r w:rsidR="00C97935" w:rsidRPr="009C58C4">
        <w:rPr>
          <w:sz w:val="22"/>
          <w:szCs w:val="22"/>
          <w:lang w:val="sr-Latn-ME"/>
        </w:rPr>
        <w:t xml:space="preserve"> </w:t>
      </w:r>
      <w:r w:rsidR="00C87F6C" w:rsidRPr="009C58C4">
        <w:rPr>
          <w:sz w:val="22"/>
          <w:szCs w:val="22"/>
          <w:lang w:val="sr-Latn-ME"/>
        </w:rPr>
        <w:t xml:space="preserve">dio </w:t>
      </w:r>
      <w:r w:rsidRPr="009C58C4">
        <w:rPr>
          <w:sz w:val="22"/>
          <w:szCs w:val="22"/>
          <w:lang w:val="sr-Latn-ME"/>
        </w:rPr>
        <w:t xml:space="preserve">4.8). </w:t>
      </w:r>
      <w:bookmarkStart w:id="15" w:name="_Hlk129777796"/>
      <w:r w:rsidRPr="009C58C4">
        <w:rPr>
          <w:sz w:val="22"/>
          <w:szCs w:val="22"/>
          <w:lang w:val="sr-Latn-ME"/>
        </w:rPr>
        <w:t>Pr</w:t>
      </w:r>
      <w:r w:rsidR="0091092E" w:rsidRPr="009C58C4">
        <w:rPr>
          <w:sz w:val="22"/>
          <w:szCs w:val="22"/>
          <w:lang w:val="sr-Latn-ME"/>
        </w:rPr>
        <w:t>ij</w:t>
      </w:r>
      <w:r w:rsidRPr="009C58C4">
        <w:rPr>
          <w:sz w:val="22"/>
          <w:szCs w:val="22"/>
          <w:lang w:val="sr-Latn-ME"/>
        </w:rPr>
        <w:t xml:space="preserve">e započinjanja terapije trametinibom preporučuje se pregled kože, a tokom </w:t>
      </w:r>
      <w:r w:rsidR="007F2563" w:rsidRPr="009C58C4">
        <w:rPr>
          <w:sz w:val="22"/>
          <w:szCs w:val="22"/>
          <w:lang w:val="sr-Latn-ME"/>
        </w:rPr>
        <w:t>liječ</w:t>
      </w:r>
      <w:r w:rsidRPr="009C58C4">
        <w:rPr>
          <w:sz w:val="22"/>
          <w:szCs w:val="22"/>
          <w:lang w:val="sr-Latn-ME"/>
        </w:rPr>
        <w:t>enja kao i tokom perioda do šest m</w:t>
      </w:r>
      <w:r w:rsidR="0091092E" w:rsidRPr="009C58C4">
        <w:rPr>
          <w:sz w:val="22"/>
          <w:szCs w:val="22"/>
          <w:lang w:val="sr-Latn-ME"/>
        </w:rPr>
        <w:t>j</w:t>
      </w:r>
      <w:r w:rsidRPr="009C58C4">
        <w:rPr>
          <w:sz w:val="22"/>
          <w:szCs w:val="22"/>
          <w:lang w:val="sr-Latn-ME"/>
        </w:rPr>
        <w:t xml:space="preserve">eseci nakon završetka </w:t>
      </w:r>
      <w:r w:rsidR="007F2563" w:rsidRPr="009C58C4">
        <w:rPr>
          <w:sz w:val="22"/>
          <w:szCs w:val="22"/>
          <w:lang w:val="sr-Latn-ME"/>
        </w:rPr>
        <w:t>liječ</w:t>
      </w:r>
      <w:r w:rsidRPr="009C58C4">
        <w:rPr>
          <w:sz w:val="22"/>
          <w:szCs w:val="22"/>
          <w:lang w:val="sr-Latn-ME"/>
        </w:rPr>
        <w:t xml:space="preserve">enja preporučuju se redovni </w:t>
      </w:r>
      <w:r w:rsidR="00F46CDF" w:rsidRPr="009C58C4">
        <w:rPr>
          <w:sz w:val="22"/>
          <w:szCs w:val="22"/>
          <w:lang w:val="sr-Latn-ME"/>
        </w:rPr>
        <w:t>mjeseč</w:t>
      </w:r>
      <w:r w:rsidRPr="009C58C4">
        <w:rPr>
          <w:sz w:val="22"/>
          <w:szCs w:val="22"/>
          <w:lang w:val="sr-Latn-ME"/>
        </w:rPr>
        <w:t>ni pregledi. Praćenje nakon prekida terapije trametinibom treba nastaviti tokom 6 m</w:t>
      </w:r>
      <w:r w:rsidR="0091092E" w:rsidRPr="009C58C4">
        <w:rPr>
          <w:sz w:val="22"/>
          <w:szCs w:val="22"/>
          <w:lang w:val="sr-Latn-ME"/>
        </w:rPr>
        <w:t>j</w:t>
      </w:r>
      <w:r w:rsidRPr="009C58C4">
        <w:rPr>
          <w:sz w:val="22"/>
          <w:szCs w:val="22"/>
          <w:lang w:val="sr-Latn-ME"/>
        </w:rPr>
        <w:t xml:space="preserve">eseci ili do započinjanja terapije drugim antitumorskim </w:t>
      </w:r>
      <w:r w:rsidR="007F2563" w:rsidRPr="009C58C4">
        <w:rPr>
          <w:sz w:val="22"/>
          <w:szCs w:val="22"/>
          <w:lang w:val="sr-Latn-ME"/>
        </w:rPr>
        <w:t>lijek</w:t>
      </w:r>
      <w:r w:rsidRPr="009C58C4">
        <w:rPr>
          <w:sz w:val="22"/>
          <w:szCs w:val="22"/>
          <w:lang w:val="sr-Latn-ME"/>
        </w:rPr>
        <w:t>om.</w:t>
      </w:r>
      <w:bookmarkEnd w:id="15"/>
    </w:p>
    <w:p w14:paraId="4602ED8B" w14:textId="77777777" w:rsidR="00C455E5" w:rsidRPr="009C58C4" w:rsidRDefault="00C455E5" w:rsidP="00226369">
      <w:pPr>
        <w:jc w:val="both"/>
        <w:rPr>
          <w:sz w:val="22"/>
          <w:szCs w:val="22"/>
          <w:lang w:val="sr-Latn-ME"/>
        </w:rPr>
      </w:pPr>
    </w:p>
    <w:p w14:paraId="795FCCBA" w14:textId="053282C5" w:rsidR="00C455E5" w:rsidRPr="009C58C4" w:rsidRDefault="00C455E5" w:rsidP="00226369">
      <w:pPr>
        <w:autoSpaceDE w:val="0"/>
        <w:autoSpaceDN w:val="0"/>
        <w:adjustRightInd w:val="0"/>
        <w:jc w:val="both"/>
        <w:rPr>
          <w:sz w:val="22"/>
          <w:szCs w:val="22"/>
          <w:lang w:val="sr-Latn-ME"/>
        </w:rPr>
      </w:pPr>
      <w:r w:rsidRPr="009C58C4">
        <w:rPr>
          <w:sz w:val="22"/>
          <w:szCs w:val="22"/>
          <w:lang w:val="sr-Latn-ME"/>
        </w:rPr>
        <w:t>Sumnjive kožne lezije se moraju ukloniti kožnom ekscizijom i ne zaht</w:t>
      </w:r>
      <w:r w:rsidR="0091092E" w:rsidRPr="009C58C4">
        <w:rPr>
          <w:sz w:val="22"/>
          <w:szCs w:val="22"/>
          <w:lang w:val="sr-Latn-ME"/>
        </w:rPr>
        <w:t>ij</w:t>
      </w:r>
      <w:r w:rsidRPr="009C58C4">
        <w:rPr>
          <w:sz w:val="22"/>
          <w:szCs w:val="22"/>
          <w:lang w:val="sr-Latn-ME"/>
        </w:rPr>
        <w:t>evaju prilagođavanje doze. Pacijente treba sav</w:t>
      </w:r>
      <w:r w:rsidR="0091092E" w:rsidRPr="009C58C4">
        <w:rPr>
          <w:sz w:val="22"/>
          <w:szCs w:val="22"/>
          <w:lang w:val="sr-Latn-ME"/>
        </w:rPr>
        <w:t>j</w:t>
      </w:r>
      <w:r w:rsidRPr="009C58C4">
        <w:rPr>
          <w:sz w:val="22"/>
          <w:szCs w:val="22"/>
          <w:lang w:val="sr-Latn-ME"/>
        </w:rPr>
        <w:t xml:space="preserve">etovati da odmah obaveste svog </w:t>
      </w:r>
      <w:r w:rsidR="007F2563" w:rsidRPr="009C58C4">
        <w:rPr>
          <w:sz w:val="22"/>
          <w:szCs w:val="22"/>
          <w:lang w:val="sr-Latn-ME"/>
        </w:rPr>
        <w:t>ljek</w:t>
      </w:r>
      <w:r w:rsidRPr="009C58C4">
        <w:rPr>
          <w:sz w:val="22"/>
          <w:szCs w:val="22"/>
          <w:lang w:val="sr-Latn-ME"/>
        </w:rPr>
        <w:t>ara o pojavi novih lezija.</w:t>
      </w:r>
    </w:p>
    <w:p w14:paraId="6B3DF69A" w14:textId="77777777" w:rsidR="00C455E5" w:rsidRPr="009C58C4" w:rsidRDefault="00C455E5" w:rsidP="00226369">
      <w:pPr>
        <w:autoSpaceDE w:val="0"/>
        <w:autoSpaceDN w:val="0"/>
        <w:adjustRightInd w:val="0"/>
        <w:jc w:val="both"/>
        <w:rPr>
          <w:rFonts w:eastAsia="SimSun"/>
          <w:sz w:val="22"/>
          <w:szCs w:val="22"/>
          <w:lang w:val="sr-Latn-ME" w:eastAsia="en-GB"/>
        </w:rPr>
      </w:pPr>
    </w:p>
    <w:p w14:paraId="432A55AD" w14:textId="77777777" w:rsidR="00C455E5" w:rsidRPr="009C58C4" w:rsidRDefault="00C455E5" w:rsidP="00226369">
      <w:pPr>
        <w:keepNext/>
        <w:jc w:val="both"/>
        <w:rPr>
          <w:i/>
          <w:iCs/>
          <w:noProof/>
          <w:sz w:val="22"/>
          <w:szCs w:val="22"/>
          <w:u w:val="single"/>
          <w:lang w:val="sr-Latn-ME"/>
        </w:rPr>
      </w:pPr>
      <w:r w:rsidRPr="009C58C4">
        <w:rPr>
          <w:i/>
          <w:iCs/>
          <w:noProof/>
          <w:sz w:val="22"/>
          <w:szCs w:val="22"/>
          <w:u w:val="single"/>
          <w:lang w:val="sr-Latn-ME"/>
        </w:rPr>
        <w:t>Maligni tumori koji ne zahvataju kožu</w:t>
      </w:r>
    </w:p>
    <w:p w14:paraId="4A259EB2" w14:textId="61C9C960" w:rsidR="00C455E5" w:rsidRPr="009C58C4" w:rsidRDefault="00C455E5" w:rsidP="00226369">
      <w:pPr>
        <w:jc w:val="both"/>
        <w:rPr>
          <w:sz w:val="22"/>
          <w:szCs w:val="22"/>
          <w:lang w:val="sr-Latn-ME"/>
        </w:rPr>
      </w:pPr>
      <w:r w:rsidRPr="009C58C4">
        <w:rPr>
          <w:sz w:val="22"/>
          <w:szCs w:val="22"/>
          <w:lang w:val="sr-Latn-ME"/>
        </w:rPr>
        <w:t xml:space="preserve">Na osnovu svog mehanizma dejstva, dabrafenib može povećati rizik od malignih bolesti koje ne zahvataju kožu, kada su prisutne RAS mutacije. </w:t>
      </w:r>
      <w:r w:rsidR="00F46CDF" w:rsidRPr="009C58C4">
        <w:rPr>
          <w:sz w:val="22"/>
          <w:szCs w:val="22"/>
          <w:lang w:val="sr-Latn-ME"/>
        </w:rPr>
        <w:t>Vidjet</w:t>
      </w:r>
      <w:r w:rsidRPr="009C58C4">
        <w:rPr>
          <w:sz w:val="22"/>
          <w:szCs w:val="22"/>
          <w:lang w:val="sr-Latn-ME"/>
        </w:rPr>
        <w:t xml:space="preserve">i Sažetak karakteristika </w:t>
      </w:r>
      <w:r w:rsidR="007F2563" w:rsidRPr="009C58C4">
        <w:rPr>
          <w:sz w:val="22"/>
          <w:szCs w:val="22"/>
          <w:lang w:val="sr-Latn-ME"/>
        </w:rPr>
        <w:t>lijek</w:t>
      </w:r>
      <w:r w:rsidRPr="009C58C4">
        <w:rPr>
          <w:sz w:val="22"/>
          <w:szCs w:val="22"/>
          <w:lang w:val="sr-Latn-ME"/>
        </w:rPr>
        <w:t>a za dabrafenib tablete za oralnu suspenziju (</w:t>
      </w:r>
      <w:r w:rsidR="00C87F6C" w:rsidRPr="009C58C4">
        <w:rPr>
          <w:sz w:val="22"/>
          <w:szCs w:val="22"/>
          <w:lang w:val="sr-Latn-ME"/>
        </w:rPr>
        <w:t>dio</w:t>
      </w:r>
      <w:r w:rsidRPr="009C58C4">
        <w:rPr>
          <w:sz w:val="22"/>
          <w:szCs w:val="22"/>
          <w:lang w:val="sr-Latn-ME"/>
        </w:rPr>
        <w:t> 4.4). Nije potrebno prilagođavanje doze trametiniba kod malignih bolesti s</w:t>
      </w:r>
      <w:r w:rsidR="00A67A87" w:rsidRPr="009C58C4">
        <w:rPr>
          <w:sz w:val="22"/>
          <w:szCs w:val="22"/>
          <w:lang w:val="sr-Latn-ME"/>
        </w:rPr>
        <w:t>a</w:t>
      </w:r>
      <w:r w:rsidRPr="009C58C4">
        <w:rPr>
          <w:sz w:val="22"/>
          <w:szCs w:val="22"/>
          <w:lang w:val="sr-Latn-ME"/>
        </w:rPr>
        <w:t xml:space="preserve"> pozitivnom RAS mutacijom kada se uzima u kombinaciji s</w:t>
      </w:r>
      <w:r w:rsidR="00A67A87" w:rsidRPr="009C58C4">
        <w:rPr>
          <w:sz w:val="22"/>
          <w:szCs w:val="22"/>
          <w:lang w:val="sr-Latn-ME"/>
        </w:rPr>
        <w:t>a</w:t>
      </w:r>
      <w:r w:rsidRPr="009C58C4">
        <w:rPr>
          <w:sz w:val="22"/>
          <w:szCs w:val="22"/>
          <w:lang w:val="sr-Latn-ME"/>
        </w:rPr>
        <w:t xml:space="preserve"> dabrafenibom.</w:t>
      </w:r>
    </w:p>
    <w:p w14:paraId="2045EC21" w14:textId="77777777" w:rsidR="00C455E5" w:rsidRPr="009C58C4" w:rsidRDefault="00C455E5" w:rsidP="00226369">
      <w:pPr>
        <w:jc w:val="both"/>
        <w:rPr>
          <w:sz w:val="22"/>
          <w:szCs w:val="22"/>
          <w:u w:val="single"/>
          <w:lang w:val="sr-Latn-ME"/>
        </w:rPr>
      </w:pPr>
    </w:p>
    <w:p w14:paraId="3580832F" w14:textId="77777777" w:rsidR="00C455E5" w:rsidRPr="009C58C4" w:rsidRDefault="00C455E5" w:rsidP="00226369">
      <w:pPr>
        <w:keepNext/>
        <w:jc w:val="both"/>
        <w:rPr>
          <w:sz w:val="22"/>
          <w:szCs w:val="22"/>
          <w:u w:val="single"/>
          <w:lang w:val="sr-Latn-ME"/>
        </w:rPr>
      </w:pPr>
      <w:r w:rsidRPr="009C58C4">
        <w:rPr>
          <w:sz w:val="22"/>
          <w:szCs w:val="22"/>
          <w:u w:val="single"/>
          <w:lang w:val="sr-Latn-ME"/>
        </w:rPr>
        <w:t>Krvarenje</w:t>
      </w:r>
    </w:p>
    <w:p w14:paraId="1E3569B5" w14:textId="77777777" w:rsidR="00C455E5" w:rsidRPr="009C58C4" w:rsidRDefault="00C455E5" w:rsidP="00226369">
      <w:pPr>
        <w:keepNext/>
        <w:jc w:val="both"/>
        <w:rPr>
          <w:sz w:val="22"/>
          <w:szCs w:val="22"/>
          <w:lang w:val="sr-Latn-ME"/>
        </w:rPr>
      </w:pPr>
    </w:p>
    <w:p w14:paraId="0225111C" w14:textId="21F4FB0C" w:rsidR="00C455E5" w:rsidRPr="009C58C4" w:rsidRDefault="00C455E5" w:rsidP="00226369">
      <w:pPr>
        <w:jc w:val="both"/>
        <w:rPr>
          <w:sz w:val="22"/>
          <w:szCs w:val="22"/>
          <w:lang w:val="sr-Latn-ME"/>
        </w:rPr>
      </w:pPr>
      <w:r w:rsidRPr="009C58C4">
        <w:rPr>
          <w:sz w:val="22"/>
          <w:szCs w:val="22"/>
          <w:lang w:val="sr-Latn-ME"/>
        </w:rPr>
        <w:t>Slučajevi krvarenja su zab</w:t>
      </w:r>
      <w:r w:rsidR="0091092E" w:rsidRPr="009C58C4">
        <w:rPr>
          <w:sz w:val="22"/>
          <w:szCs w:val="22"/>
          <w:lang w:val="sr-Latn-ME"/>
        </w:rPr>
        <w:t>ilje</w:t>
      </w:r>
      <w:r w:rsidRPr="009C58C4">
        <w:rPr>
          <w:sz w:val="22"/>
          <w:szCs w:val="22"/>
          <w:lang w:val="sr-Latn-ME"/>
        </w:rPr>
        <w:t xml:space="preserve">ženi kod odraslih i pedijatrijskih pacijenata koji su </w:t>
      </w:r>
      <w:r w:rsidR="007F2563" w:rsidRPr="009C58C4">
        <w:rPr>
          <w:sz w:val="22"/>
          <w:szCs w:val="22"/>
          <w:lang w:val="sr-Latn-ME"/>
        </w:rPr>
        <w:t>primjen</w:t>
      </w:r>
      <w:r w:rsidRPr="009C58C4">
        <w:rPr>
          <w:sz w:val="22"/>
          <w:szCs w:val="22"/>
          <w:lang w:val="sr-Latn-ME"/>
        </w:rPr>
        <w:t>jivali trametinib u kombinaciji s</w:t>
      </w:r>
      <w:r w:rsidR="00A67A87" w:rsidRPr="009C58C4">
        <w:rPr>
          <w:sz w:val="22"/>
          <w:szCs w:val="22"/>
          <w:lang w:val="sr-Latn-ME"/>
        </w:rPr>
        <w:t>a</w:t>
      </w:r>
      <w:r w:rsidRPr="009C58C4">
        <w:rPr>
          <w:sz w:val="22"/>
          <w:szCs w:val="22"/>
          <w:lang w:val="sr-Latn-ME"/>
        </w:rPr>
        <w:t xml:space="preserve"> dabrafenibom (</w:t>
      </w:r>
      <w:r w:rsidR="00F46CDF" w:rsidRPr="009C58C4">
        <w:rPr>
          <w:sz w:val="22"/>
          <w:szCs w:val="22"/>
          <w:lang w:val="sr-Latn-ME"/>
        </w:rPr>
        <w:t>vidjet</w:t>
      </w:r>
      <w:r w:rsidRPr="009C58C4">
        <w:rPr>
          <w:sz w:val="22"/>
          <w:szCs w:val="22"/>
          <w:lang w:val="sr-Latn-ME"/>
        </w:rPr>
        <w:t>i</w:t>
      </w:r>
      <w:r w:rsidR="00C97935" w:rsidRPr="009C58C4">
        <w:rPr>
          <w:sz w:val="22"/>
          <w:szCs w:val="22"/>
          <w:lang w:val="sr-Latn-ME"/>
        </w:rPr>
        <w:t xml:space="preserve"> </w:t>
      </w:r>
      <w:r w:rsidR="00022D46" w:rsidRPr="009C58C4">
        <w:rPr>
          <w:sz w:val="22"/>
          <w:szCs w:val="22"/>
          <w:lang w:val="sr-Latn-ME"/>
        </w:rPr>
        <w:t>dio</w:t>
      </w:r>
      <w:r w:rsidRPr="009C58C4">
        <w:rPr>
          <w:sz w:val="22"/>
          <w:szCs w:val="22"/>
          <w:lang w:val="sr-Latn-ME"/>
        </w:rPr>
        <w:t xml:space="preserve"> 4.8). Veliki događaji krvarenja i krvarenja sa smrtnim ishodom su se pojavila kod odraslih pacijenata koji su </w:t>
      </w:r>
      <w:r w:rsidR="007F2563" w:rsidRPr="009C58C4">
        <w:rPr>
          <w:sz w:val="22"/>
          <w:szCs w:val="22"/>
          <w:lang w:val="sr-Latn-ME"/>
        </w:rPr>
        <w:t>primjen</w:t>
      </w:r>
      <w:r w:rsidRPr="009C58C4">
        <w:rPr>
          <w:sz w:val="22"/>
          <w:szCs w:val="22"/>
          <w:lang w:val="sr-Latn-ME"/>
        </w:rPr>
        <w:t>jivali trametinib u kombinaciji s</w:t>
      </w:r>
      <w:r w:rsidR="00A67A87" w:rsidRPr="009C58C4">
        <w:rPr>
          <w:sz w:val="22"/>
          <w:szCs w:val="22"/>
          <w:lang w:val="sr-Latn-ME"/>
        </w:rPr>
        <w:t>a</w:t>
      </w:r>
      <w:r w:rsidRPr="009C58C4">
        <w:rPr>
          <w:sz w:val="22"/>
          <w:szCs w:val="22"/>
          <w:lang w:val="sr-Latn-ME"/>
        </w:rPr>
        <w:t xml:space="preserve"> dabrafenibom. Potencijal za te događaje kod pacijenata sa niskim nivoom trombocita (&lt;75 000/mm3) nije utvrđen budući da su takvi pacijenti bili isključeni iz kliničkih ispitivanja. Rizik od krvarenja može biti povećan uz istovremenu </w:t>
      </w:r>
      <w:r w:rsidR="007F2563" w:rsidRPr="009C58C4">
        <w:rPr>
          <w:sz w:val="22"/>
          <w:szCs w:val="22"/>
          <w:lang w:val="sr-Latn-ME"/>
        </w:rPr>
        <w:t>primjen</w:t>
      </w:r>
      <w:r w:rsidRPr="009C58C4">
        <w:rPr>
          <w:sz w:val="22"/>
          <w:szCs w:val="22"/>
          <w:lang w:val="sr-Latn-ME"/>
        </w:rPr>
        <w:t xml:space="preserve">u antitrombocitne ili antikoagulacione terapije. Ukoliko nastupi krvarenje, pacijent se mora </w:t>
      </w:r>
      <w:r w:rsidR="007F2563" w:rsidRPr="009C58C4">
        <w:rPr>
          <w:sz w:val="22"/>
          <w:szCs w:val="22"/>
          <w:lang w:val="sr-Latn-ME"/>
        </w:rPr>
        <w:t>liječ</w:t>
      </w:r>
      <w:r w:rsidRPr="009C58C4">
        <w:rPr>
          <w:sz w:val="22"/>
          <w:szCs w:val="22"/>
          <w:lang w:val="sr-Latn-ME"/>
        </w:rPr>
        <w:t>iti u skladu sa kliničkom slikom.</w:t>
      </w:r>
    </w:p>
    <w:p w14:paraId="630E162B" w14:textId="77777777" w:rsidR="00C455E5" w:rsidRPr="009C58C4" w:rsidRDefault="00C455E5" w:rsidP="00226369">
      <w:pPr>
        <w:jc w:val="both"/>
        <w:rPr>
          <w:sz w:val="22"/>
          <w:szCs w:val="22"/>
          <w:shd w:val="clear" w:color="auto" w:fill="CCCCCC"/>
          <w:lang w:val="sr-Latn-ME"/>
        </w:rPr>
      </w:pPr>
    </w:p>
    <w:p w14:paraId="2E7555E7" w14:textId="2C57D952" w:rsidR="00C455E5" w:rsidRPr="009C58C4" w:rsidRDefault="00C455E5" w:rsidP="00226369">
      <w:pPr>
        <w:keepNext/>
        <w:autoSpaceDE w:val="0"/>
        <w:autoSpaceDN w:val="0"/>
        <w:adjustRightInd w:val="0"/>
        <w:jc w:val="both"/>
        <w:rPr>
          <w:noProof/>
          <w:sz w:val="22"/>
          <w:szCs w:val="22"/>
          <w:u w:val="single"/>
          <w:lang w:val="sr-Latn-ME"/>
        </w:rPr>
      </w:pPr>
      <w:r w:rsidRPr="009C58C4">
        <w:rPr>
          <w:sz w:val="22"/>
          <w:szCs w:val="22"/>
          <w:u w:val="single"/>
          <w:lang w:val="sr-Latn-ME"/>
        </w:rPr>
        <w:t>Smanjenje ejekcione frakcije l</w:t>
      </w:r>
      <w:r w:rsidR="0091092E" w:rsidRPr="009C58C4">
        <w:rPr>
          <w:sz w:val="22"/>
          <w:szCs w:val="22"/>
          <w:u w:val="single"/>
          <w:lang w:val="sr-Latn-ME"/>
        </w:rPr>
        <w:t>ij</w:t>
      </w:r>
      <w:r w:rsidRPr="009C58C4">
        <w:rPr>
          <w:sz w:val="22"/>
          <w:szCs w:val="22"/>
          <w:u w:val="single"/>
          <w:lang w:val="sr-Latn-ME"/>
        </w:rPr>
        <w:t xml:space="preserve">eve komore </w:t>
      </w:r>
      <w:r w:rsidRPr="009C58C4">
        <w:rPr>
          <w:noProof/>
          <w:sz w:val="22"/>
          <w:szCs w:val="22"/>
          <w:u w:val="single"/>
          <w:lang w:val="sr-Latn-ME"/>
        </w:rPr>
        <w:t>(LVEF)/disfunkcija l</w:t>
      </w:r>
      <w:r w:rsidR="0091092E" w:rsidRPr="009C58C4">
        <w:rPr>
          <w:noProof/>
          <w:sz w:val="22"/>
          <w:szCs w:val="22"/>
          <w:u w:val="single"/>
          <w:lang w:val="sr-Latn-ME"/>
        </w:rPr>
        <w:t>ij</w:t>
      </w:r>
      <w:r w:rsidRPr="009C58C4">
        <w:rPr>
          <w:noProof/>
          <w:sz w:val="22"/>
          <w:szCs w:val="22"/>
          <w:u w:val="single"/>
          <w:lang w:val="sr-Latn-ME"/>
        </w:rPr>
        <w:t>eve komore</w:t>
      </w:r>
    </w:p>
    <w:p w14:paraId="666D4712" w14:textId="77777777" w:rsidR="00C455E5" w:rsidRPr="009C58C4" w:rsidRDefault="00C455E5" w:rsidP="00226369">
      <w:pPr>
        <w:keepNext/>
        <w:jc w:val="both"/>
        <w:rPr>
          <w:sz w:val="22"/>
          <w:szCs w:val="22"/>
          <w:lang w:val="sr-Latn-ME"/>
        </w:rPr>
      </w:pPr>
    </w:p>
    <w:p w14:paraId="094C7AAC" w14:textId="4E445A85" w:rsidR="00C455E5" w:rsidRPr="009C58C4" w:rsidRDefault="00C455E5" w:rsidP="00226369">
      <w:pPr>
        <w:jc w:val="both"/>
        <w:rPr>
          <w:sz w:val="22"/>
          <w:szCs w:val="22"/>
          <w:lang w:val="sr-Latn-ME"/>
        </w:rPr>
      </w:pPr>
      <w:r w:rsidRPr="009C58C4">
        <w:rPr>
          <w:sz w:val="22"/>
          <w:szCs w:val="22"/>
          <w:lang w:val="sr-Latn-ME"/>
        </w:rPr>
        <w:t>Prijavljeno je da trametinib u kombinaciji s</w:t>
      </w:r>
      <w:r w:rsidR="00C97935" w:rsidRPr="009C58C4">
        <w:rPr>
          <w:sz w:val="22"/>
          <w:szCs w:val="22"/>
          <w:lang w:val="sr-Latn-ME"/>
        </w:rPr>
        <w:t>a</w:t>
      </w:r>
      <w:r w:rsidRPr="009C58C4">
        <w:rPr>
          <w:sz w:val="22"/>
          <w:szCs w:val="22"/>
          <w:lang w:val="sr-Latn-ME"/>
        </w:rPr>
        <w:t xml:space="preserve"> dabrafenibom smanjuje LVEF i kod odraslih i kod pedijatrijskih pacijenata (</w:t>
      </w:r>
      <w:r w:rsidR="00F46CDF" w:rsidRPr="009C58C4">
        <w:rPr>
          <w:sz w:val="22"/>
          <w:szCs w:val="22"/>
          <w:lang w:val="sr-Latn-ME"/>
        </w:rPr>
        <w:t>vidjet</w:t>
      </w:r>
      <w:r w:rsidRPr="009C58C4">
        <w:rPr>
          <w:sz w:val="22"/>
          <w:szCs w:val="22"/>
          <w:lang w:val="sr-Latn-ME"/>
        </w:rPr>
        <w:t xml:space="preserve">i </w:t>
      </w:r>
      <w:r w:rsidR="00C87F6C" w:rsidRPr="009C58C4">
        <w:rPr>
          <w:sz w:val="22"/>
          <w:szCs w:val="22"/>
          <w:lang w:val="sr-Latn-ME"/>
        </w:rPr>
        <w:t xml:space="preserve">dio </w:t>
      </w:r>
      <w:r w:rsidRPr="009C58C4">
        <w:rPr>
          <w:sz w:val="22"/>
          <w:szCs w:val="22"/>
          <w:lang w:val="sr-Latn-ME"/>
        </w:rPr>
        <w:t>4.8). U kliničkim ispitivanjima sprovedenim na pedijatrijskim pacijentima, medijana vremena do prve pojave smanjenja LVEF je bila oko m</w:t>
      </w:r>
      <w:r w:rsidR="0091092E" w:rsidRPr="009C58C4">
        <w:rPr>
          <w:sz w:val="22"/>
          <w:szCs w:val="22"/>
          <w:lang w:val="sr-Latn-ME"/>
        </w:rPr>
        <w:t>j</w:t>
      </w:r>
      <w:r w:rsidRPr="009C58C4">
        <w:rPr>
          <w:sz w:val="22"/>
          <w:szCs w:val="22"/>
          <w:lang w:val="sr-Latn-ME"/>
        </w:rPr>
        <w:t xml:space="preserve">esec dana. U kliničkim ispitivanjima na odraslim pacijentima, medijana vremena do prve pojave disfunkcije leve komore, srčane insuficijencije i smanjenja LVEF je bila između 2 i 5 </w:t>
      </w:r>
      <w:r w:rsidR="0091092E" w:rsidRPr="009C58C4">
        <w:rPr>
          <w:sz w:val="22"/>
          <w:szCs w:val="22"/>
          <w:lang w:val="sr-Latn-ME"/>
        </w:rPr>
        <w:t>mjesec</w:t>
      </w:r>
      <w:r w:rsidRPr="009C58C4">
        <w:rPr>
          <w:sz w:val="22"/>
          <w:szCs w:val="22"/>
          <w:lang w:val="sr-Latn-ME"/>
        </w:rPr>
        <w:t>i.</w:t>
      </w:r>
    </w:p>
    <w:p w14:paraId="79339788" w14:textId="170DF368" w:rsidR="00C455E5" w:rsidRPr="009C58C4" w:rsidRDefault="00C455E5" w:rsidP="00226369">
      <w:pPr>
        <w:jc w:val="both"/>
        <w:rPr>
          <w:sz w:val="22"/>
          <w:szCs w:val="22"/>
          <w:lang w:val="sr-Latn-ME"/>
        </w:rPr>
      </w:pPr>
      <w:r w:rsidRPr="009C58C4">
        <w:rPr>
          <w:sz w:val="22"/>
          <w:szCs w:val="22"/>
          <w:lang w:val="sr-Latn-ME"/>
        </w:rPr>
        <w:lastRenderedPageBreak/>
        <w:t xml:space="preserve">Trametinib treba </w:t>
      </w:r>
      <w:r w:rsidR="007F2563" w:rsidRPr="009C58C4">
        <w:rPr>
          <w:sz w:val="22"/>
          <w:szCs w:val="22"/>
          <w:lang w:val="sr-Latn-ME"/>
        </w:rPr>
        <w:t>primjen</w:t>
      </w:r>
      <w:r w:rsidRPr="009C58C4">
        <w:rPr>
          <w:sz w:val="22"/>
          <w:szCs w:val="22"/>
          <w:lang w:val="sr-Latn-ME"/>
        </w:rPr>
        <w:t>jivati uz oprez kod pacijenata s</w:t>
      </w:r>
      <w:r w:rsidR="00C97935" w:rsidRPr="009C58C4">
        <w:rPr>
          <w:sz w:val="22"/>
          <w:szCs w:val="22"/>
          <w:lang w:val="sr-Latn-ME"/>
        </w:rPr>
        <w:t>a</w:t>
      </w:r>
      <w:r w:rsidRPr="009C58C4">
        <w:rPr>
          <w:sz w:val="22"/>
          <w:szCs w:val="22"/>
          <w:lang w:val="sr-Latn-ME"/>
        </w:rPr>
        <w:t xml:space="preserve"> narušenom funkcijom leve komore. U klinička ispitivanja nisu bili uključeni pacijenti s</w:t>
      </w:r>
      <w:r w:rsidR="00C97935" w:rsidRPr="009C58C4">
        <w:rPr>
          <w:sz w:val="22"/>
          <w:szCs w:val="22"/>
          <w:lang w:val="sr-Latn-ME"/>
        </w:rPr>
        <w:t>a</w:t>
      </w:r>
      <w:r w:rsidRPr="009C58C4">
        <w:rPr>
          <w:sz w:val="22"/>
          <w:szCs w:val="22"/>
          <w:lang w:val="sr-Latn-ME"/>
        </w:rPr>
        <w:t xml:space="preserve"> disfunkcijom leve komore, insuficijencijom srca II, III ili IV klase prema klasifikaciji NYHA (engl. </w:t>
      </w:r>
      <w:r w:rsidRPr="009C58C4">
        <w:rPr>
          <w:i/>
          <w:iCs/>
          <w:sz w:val="22"/>
          <w:szCs w:val="22"/>
          <w:lang w:val="sr-Latn-ME"/>
        </w:rPr>
        <w:t>New York Heart Association</w:t>
      </w:r>
      <w:r w:rsidRPr="009C58C4">
        <w:rPr>
          <w:sz w:val="22"/>
          <w:szCs w:val="22"/>
          <w:lang w:val="sr-Latn-ME"/>
        </w:rPr>
        <w:t>, NYHA), akutnim koronarnim sindromom unutar prethodnih 6 </w:t>
      </w:r>
      <w:r w:rsidR="0091092E" w:rsidRPr="009C58C4">
        <w:rPr>
          <w:sz w:val="22"/>
          <w:szCs w:val="22"/>
          <w:lang w:val="sr-Latn-ME"/>
        </w:rPr>
        <w:t>mjesec</w:t>
      </w:r>
      <w:r w:rsidRPr="009C58C4">
        <w:rPr>
          <w:sz w:val="22"/>
          <w:szCs w:val="22"/>
          <w:lang w:val="sr-Latn-ME"/>
        </w:rPr>
        <w:t xml:space="preserve">i, klinički značajnim nekontrolisanim aritmijama i nekontrolisanom hipertenzijom; zbog toga nije poznata </w:t>
      </w:r>
      <w:r w:rsidR="00A67A87" w:rsidRPr="009C58C4">
        <w:rPr>
          <w:sz w:val="22"/>
          <w:szCs w:val="22"/>
          <w:lang w:val="sr-Latn-ME"/>
        </w:rPr>
        <w:t>bezbednost</w:t>
      </w:r>
      <w:r w:rsidRPr="009C58C4">
        <w:rPr>
          <w:sz w:val="22"/>
          <w:szCs w:val="22"/>
          <w:lang w:val="sr-Latn-ME"/>
        </w:rPr>
        <w:t xml:space="preserve"> </w:t>
      </w:r>
      <w:r w:rsidR="007F2563" w:rsidRPr="009C58C4">
        <w:rPr>
          <w:sz w:val="22"/>
          <w:szCs w:val="22"/>
          <w:lang w:val="sr-Latn-ME"/>
        </w:rPr>
        <w:t>primjen</w:t>
      </w:r>
      <w:r w:rsidRPr="009C58C4">
        <w:rPr>
          <w:sz w:val="22"/>
          <w:szCs w:val="22"/>
          <w:lang w:val="sr-Latn-ME"/>
        </w:rPr>
        <w:t xml:space="preserve">e u toj populaciji. LVEF je potrebno </w:t>
      </w:r>
      <w:r w:rsidR="007F2563" w:rsidRPr="009C58C4">
        <w:rPr>
          <w:sz w:val="22"/>
          <w:szCs w:val="22"/>
          <w:lang w:val="sr-Latn-ME"/>
        </w:rPr>
        <w:t>procijen</w:t>
      </w:r>
      <w:r w:rsidRPr="009C58C4">
        <w:rPr>
          <w:sz w:val="22"/>
          <w:szCs w:val="22"/>
          <w:lang w:val="sr-Latn-ME"/>
        </w:rPr>
        <w:t xml:space="preserve">iti kod svih pacijenata pre početka </w:t>
      </w:r>
      <w:r w:rsidR="007F2563" w:rsidRPr="009C58C4">
        <w:rPr>
          <w:sz w:val="22"/>
          <w:szCs w:val="22"/>
          <w:lang w:val="sr-Latn-ME"/>
        </w:rPr>
        <w:t>liječ</w:t>
      </w:r>
      <w:r w:rsidRPr="009C58C4">
        <w:rPr>
          <w:sz w:val="22"/>
          <w:szCs w:val="22"/>
          <w:lang w:val="sr-Latn-ME"/>
        </w:rPr>
        <w:t xml:space="preserve">enja trametinibom, jedan </w:t>
      </w:r>
      <w:r w:rsidR="0091092E" w:rsidRPr="009C58C4">
        <w:rPr>
          <w:sz w:val="22"/>
          <w:szCs w:val="22"/>
          <w:lang w:val="sr-Latn-ME"/>
        </w:rPr>
        <w:t>mjesec</w:t>
      </w:r>
      <w:r w:rsidRPr="009C58C4">
        <w:rPr>
          <w:sz w:val="22"/>
          <w:szCs w:val="22"/>
          <w:lang w:val="sr-Latn-ME"/>
        </w:rPr>
        <w:t xml:space="preserve"> nakon početka </w:t>
      </w:r>
      <w:r w:rsidR="007F2563" w:rsidRPr="009C58C4">
        <w:rPr>
          <w:sz w:val="22"/>
          <w:szCs w:val="22"/>
          <w:lang w:val="sr-Latn-ME"/>
        </w:rPr>
        <w:t>liječ</w:t>
      </w:r>
      <w:r w:rsidRPr="009C58C4">
        <w:rPr>
          <w:sz w:val="22"/>
          <w:szCs w:val="22"/>
          <w:lang w:val="sr-Latn-ME"/>
        </w:rPr>
        <w:t>enja, a zatim u intervalima od približno 3 </w:t>
      </w:r>
      <w:r w:rsidR="0091092E" w:rsidRPr="009C58C4">
        <w:rPr>
          <w:sz w:val="22"/>
          <w:szCs w:val="22"/>
          <w:lang w:val="sr-Latn-ME"/>
        </w:rPr>
        <w:t>mjesec</w:t>
      </w:r>
      <w:r w:rsidRPr="009C58C4">
        <w:rPr>
          <w:sz w:val="22"/>
          <w:szCs w:val="22"/>
          <w:lang w:val="sr-Latn-ME"/>
        </w:rPr>
        <w:t xml:space="preserve">a tokom </w:t>
      </w:r>
      <w:r w:rsidR="007F2563" w:rsidRPr="009C58C4">
        <w:rPr>
          <w:sz w:val="22"/>
          <w:szCs w:val="22"/>
          <w:lang w:val="sr-Latn-ME"/>
        </w:rPr>
        <w:t>liječ</w:t>
      </w:r>
      <w:r w:rsidRPr="009C58C4">
        <w:rPr>
          <w:sz w:val="22"/>
          <w:szCs w:val="22"/>
          <w:lang w:val="sr-Latn-ME"/>
        </w:rPr>
        <w:t>enja (</w:t>
      </w:r>
      <w:r w:rsidR="00F46CDF" w:rsidRPr="009C58C4">
        <w:rPr>
          <w:sz w:val="22"/>
          <w:szCs w:val="22"/>
          <w:lang w:val="sr-Latn-ME"/>
        </w:rPr>
        <w:t>vidjet</w:t>
      </w:r>
      <w:r w:rsidRPr="009C58C4">
        <w:rPr>
          <w:sz w:val="22"/>
          <w:szCs w:val="22"/>
          <w:lang w:val="sr-Latn-ME"/>
        </w:rPr>
        <w:t>i deo o prilagođavanju doze u</w:t>
      </w:r>
      <w:r w:rsidR="00C87F6C" w:rsidRPr="009C58C4">
        <w:rPr>
          <w:sz w:val="22"/>
          <w:szCs w:val="22"/>
          <w:lang w:val="sr-Latn-ME"/>
        </w:rPr>
        <w:t>dijelu</w:t>
      </w:r>
      <w:r w:rsidRPr="009C58C4">
        <w:rPr>
          <w:sz w:val="22"/>
          <w:szCs w:val="22"/>
          <w:lang w:val="sr-Latn-ME"/>
        </w:rPr>
        <w:t> 4.2).</w:t>
      </w:r>
    </w:p>
    <w:p w14:paraId="4B4947FF" w14:textId="77777777" w:rsidR="00C455E5" w:rsidRPr="009C58C4" w:rsidRDefault="00C455E5" w:rsidP="00226369">
      <w:pPr>
        <w:jc w:val="both"/>
        <w:rPr>
          <w:sz w:val="22"/>
          <w:szCs w:val="22"/>
          <w:lang w:val="sr-Latn-ME"/>
        </w:rPr>
      </w:pPr>
    </w:p>
    <w:p w14:paraId="555BEAC3" w14:textId="7E949D28" w:rsidR="00C455E5" w:rsidRPr="009C58C4" w:rsidRDefault="00C455E5" w:rsidP="00226369">
      <w:pPr>
        <w:jc w:val="both"/>
        <w:rPr>
          <w:noProof/>
          <w:color w:val="000000"/>
          <w:sz w:val="22"/>
          <w:szCs w:val="22"/>
          <w:shd w:val="clear" w:color="auto" w:fill="FFFFFF"/>
          <w:lang w:val="sr-Latn-ME"/>
        </w:rPr>
      </w:pPr>
      <w:r w:rsidRPr="009C58C4">
        <w:rPr>
          <w:sz w:val="22"/>
          <w:szCs w:val="22"/>
          <w:lang w:val="sr-Latn-ME"/>
        </w:rPr>
        <w:t xml:space="preserve">Kod pacijenata koji su </w:t>
      </w:r>
      <w:r w:rsidR="007F2563" w:rsidRPr="009C58C4">
        <w:rPr>
          <w:sz w:val="22"/>
          <w:szCs w:val="22"/>
          <w:lang w:val="sr-Latn-ME"/>
        </w:rPr>
        <w:t>primjen</w:t>
      </w:r>
      <w:r w:rsidRPr="009C58C4">
        <w:rPr>
          <w:sz w:val="22"/>
          <w:szCs w:val="22"/>
          <w:lang w:val="sr-Latn-ME"/>
        </w:rPr>
        <w:t>jivali trametinib u kombinaciji s</w:t>
      </w:r>
      <w:r w:rsidR="00A67A87" w:rsidRPr="009C58C4">
        <w:rPr>
          <w:sz w:val="22"/>
          <w:szCs w:val="22"/>
          <w:lang w:val="sr-Latn-ME"/>
        </w:rPr>
        <w:t>a</w:t>
      </w:r>
      <w:r w:rsidRPr="009C58C4">
        <w:rPr>
          <w:sz w:val="22"/>
          <w:szCs w:val="22"/>
          <w:lang w:val="sr-Latn-ME"/>
        </w:rPr>
        <w:t xml:space="preserve"> dabrafenibom bilo je </w:t>
      </w:r>
      <w:r w:rsidRPr="009C58C4">
        <w:rPr>
          <w:noProof/>
          <w:color w:val="000000"/>
          <w:sz w:val="22"/>
          <w:szCs w:val="22"/>
          <w:shd w:val="clear" w:color="auto" w:fill="FFFFFF"/>
          <w:lang w:val="sr-Latn-ME"/>
        </w:rPr>
        <w:t xml:space="preserve">povremenih prijava akutne, teške disfunkcije leve komore zbog miokarditisa. Potpuni oporavak je zapažen kod prekida </w:t>
      </w:r>
      <w:r w:rsidR="007F2563" w:rsidRPr="009C58C4">
        <w:rPr>
          <w:noProof/>
          <w:color w:val="000000"/>
          <w:sz w:val="22"/>
          <w:szCs w:val="22"/>
          <w:shd w:val="clear" w:color="auto" w:fill="FFFFFF"/>
          <w:lang w:val="sr-Latn-ME"/>
        </w:rPr>
        <w:t>liječ</w:t>
      </w:r>
      <w:r w:rsidRPr="009C58C4">
        <w:rPr>
          <w:noProof/>
          <w:color w:val="000000"/>
          <w:sz w:val="22"/>
          <w:szCs w:val="22"/>
          <w:shd w:val="clear" w:color="auto" w:fill="FFFFFF"/>
          <w:lang w:val="sr-Latn-ME"/>
        </w:rPr>
        <w:t xml:space="preserve">enja. </w:t>
      </w:r>
      <w:r w:rsidR="007F2563" w:rsidRPr="009C58C4">
        <w:rPr>
          <w:noProof/>
          <w:color w:val="000000"/>
          <w:sz w:val="22"/>
          <w:szCs w:val="22"/>
          <w:shd w:val="clear" w:color="auto" w:fill="FFFFFF"/>
          <w:lang w:val="sr-Latn-ME"/>
        </w:rPr>
        <w:t>Ljek</w:t>
      </w:r>
      <w:r w:rsidRPr="009C58C4">
        <w:rPr>
          <w:noProof/>
          <w:color w:val="000000"/>
          <w:sz w:val="22"/>
          <w:szCs w:val="22"/>
          <w:shd w:val="clear" w:color="auto" w:fill="FFFFFF"/>
          <w:lang w:val="sr-Latn-ME"/>
        </w:rPr>
        <w:t>ari treba da obrate pažnju na mogućnost pojave miokarditisa kod pacijenata koji su razvili nove ili im se pogoršavaju postojeći srčani znaci ili simptomi</w:t>
      </w:r>
    </w:p>
    <w:p w14:paraId="424A0E9C" w14:textId="77777777" w:rsidR="00C455E5" w:rsidRPr="009C58C4" w:rsidRDefault="00C455E5" w:rsidP="00226369">
      <w:pPr>
        <w:jc w:val="both"/>
        <w:rPr>
          <w:sz w:val="22"/>
          <w:szCs w:val="22"/>
          <w:lang w:val="sr-Latn-ME"/>
        </w:rPr>
      </w:pPr>
    </w:p>
    <w:p w14:paraId="2E1F535C" w14:textId="77777777" w:rsidR="00C455E5" w:rsidRPr="009C58C4" w:rsidRDefault="00C455E5" w:rsidP="00226369">
      <w:pPr>
        <w:keepNext/>
        <w:jc w:val="both"/>
        <w:rPr>
          <w:sz w:val="22"/>
          <w:szCs w:val="22"/>
          <w:lang w:val="sr-Latn-ME"/>
        </w:rPr>
      </w:pPr>
      <w:r w:rsidRPr="009C58C4">
        <w:rPr>
          <w:sz w:val="22"/>
          <w:szCs w:val="22"/>
          <w:u w:val="single"/>
          <w:lang w:val="sr-Latn-ME"/>
        </w:rPr>
        <w:t>Pireksija</w:t>
      </w:r>
    </w:p>
    <w:p w14:paraId="02CDBE5A" w14:textId="77777777" w:rsidR="00C455E5" w:rsidRPr="009C58C4" w:rsidRDefault="00C455E5" w:rsidP="00226369">
      <w:pPr>
        <w:keepNext/>
        <w:jc w:val="both"/>
        <w:rPr>
          <w:sz w:val="22"/>
          <w:szCs w:val="22"/>
          <w:lang w:val="sr-Latn-ME"/>
        </w:rPr>
      </w:pPr>
    </w:p>
    <w:p w14:paraId="2A0C3293" w14:textId="211E1C5A" w:rsidR="00C455E5" w:rsidRPr="009C58C4" w:rsidRDefault="00C455E5" w:rsidP="00226369">
      <w:pPr>
        <w:jc w:val="both"/>
        <w:rPr>
          <w:sz w:val="22"/>
          <w:szCs w:val="22"/>
          <w:lang w:val="sr-Latn-ME"/>
        </w:rPr>
      </w:pPr>
      <w:r w:rsidRPr="009C58C4">
        <w:rPr>
          <w:sz w:val="22"/>
          <w:szCs w:val="22"/>
          <w:lang w:val="sr-Latn-ME"/>
        </w:rPr>
        <w:t xml:space="preserve">Povišena </w:t>
      </w:r>
      <w:r w:rsidR="00F46CDF" w:rsidRPr="009C58C4">
        <w:rPr>
          <w:sz w:val="22"/>
          <w:szCs w:val="22"/>
          <w:lang w:val="sr-Latn-ME"/>
        </w:rPr>
        <w:t>tjeles</w:t>
      </w:r>
      <w:r w:rsidRPr="009C58C4">
        <w:rPr>
          <w:sz w:val="22"/>
          <w:szCs w:val="22"/>
          <w:lang w:val="sr-Latn-ME"/>
        </w:rPr>
        <w:t>na temperatura je zabe</w:t>
      </w:r>
      <w:r w:rsidR="00A67A87" w:rsidRPr="009C58C4">
        <w:rPr>
          <w:sz w:val="22"/>
          <w:szCs w:val="22"/>
          <w:lang w:val="sr-Latn-ME"/>
        </w:rPr>
        <w:t>le</w:t>
      </w:r>
      <w:r w:rsidRPr="009C58C4">
        <w:rPr>
          <w:sz w:val="22"/>
          <w:szCs w:val="22"/>
          <w:lang w:val="sr-Latn-ME"/>
        </w:rPr>
        <w:t>žena kod odraslih i pedijatrijskih pacijenata u kliničkim ispitivanjima sa trametinibom (</w:t>
      </w:r>
      <w:r w:rsidR="00F46CDF" w:rsidRPr="009C58C4">
        <w:rPr>
          <w:sz w:val="22"/>
          <w:szCs w:val="22"/>
          <w:lang w:val="sr-Latn-ME"/>
        </w:rPr>
        <w:t>vidjet</w:t>
      </w:r>
      <w:r w:rsidRPr="009C58C4">
        <w:rPr>
          <w:sz w:val="22"/>
          <w:szCs w:val="22"/>
          <w:lang w:val="sr-Latn-ME"/>
        </w:rPr>
        <w:t xml:space="preserve">i </w:t>
      </w:r>
      <w:r w:rsidR="00C87F6C" w:rsidRPr="009C58C4">
        <w:rPr>
          <w:sz w:val="22"/>
          <w:szCs w:val="22"/>
          <w:lang w:val="sr-Latn-ME"/>
        </w:rPr>
        <w:t>dio</w:t>
      </w:r>
      <w:r w:rsidRPr="009C58C4">
        <w:rPr>
          <w:sz w:val="22"/>
          <w:szCs w:val="22"/>
          <w:lang w:val="sr-Latn-ME"/>
        </w:rPr>
        <w:t> 4.8). Incidencija i težina pireksije povećavaju se s</w:t>
      </w:r>
      <w:r w:rsidR="00A67A87" w:rsidRPr="009C58C4">
        <w:rPr>
          <w:sz w:val="22"/>
          <w:szCs w:val="22"/>
          <w:lang w:val="sr-Latn-ME"/>
        </w:rPr>
        <w:t>a</w:t>
      </w:r>
      <w:r w:rsidRPr="009C58C4">
        <w:rPr>
          <w:sz w:val="22"/>
          <w:szCs w:val="22"/>
          <w:lang w:val="sr-Latn-ME"/>
        </w:rPr>
        <w:t xml:space="preserve"> kombinovanom terapijom (</w:t>
      </w:r>
      <w:r w:rsidR="00F46CDF" w:rsidRPr="009C58C4">
        <w:rPr>
          <w:sz w:val="22"/>
          <w:szCs w:val="22"/>
          <w:lang w:val="sr-Latn-ME"/>
        </w:rPr>
        <w:t>vidjet</w:t>
      </w:r>
      <w:r w:rsidRPr="009C58C4">
        <w:rPr>
          <w:sz w:val="22"/>
          <w:szCs w:val="22"/>
          <w:lang w:val="sr-Latn-ME"/>
        </w:rPr>
        <w:t>i</w:t>
      </w:r>
      <w:r w:rsidR="00A67A87" w:rsidRPr="009C58C4">
        <w:rPr>
          <w:sz w:val="22"/>
          <w:szCs w:val="22"/>
          <w:lang w:val="sr-Latn-ME"/>
        </w:rPr>
        <w:t xml:space="preserve"> </w:t>
      </w:r>
      <w:r w:rsidR="00022D46" w:rsidRPr="009C58C4">
        <w:rPr>
          <w:sz w:val="22"/>
          <w:szCs w:val="22"/>
          <w:lang w:val="sr-Latn-ME"/>
        </w:rPr>
        <w:t>dio</w:t>
      </w:r>
      <w:r w:rsidRPr="009C58C4">
        <w:rPr>
          <w:sz w:val="22"/>
          <w:szCs w:val="22"/>
          <w:lang w:val="sr-Latn-ME"/>
        </w:rPr>
        <w:t xml:space="preserve"> 4.4 u Sažetku karakteristika </w:t>
      </w:r>
      <w:r w:rsidR="007F2563" w:rsidRPr="009C58C4">
        <w:rPr>
          <w:sz w:val="22"/>
          <w:szCs w:val="22"/>
          <w:lang w:val="sr-Latn-ME"/>
        </w:rPr>
        <w:t>lijek</w:t>
      </w:r>
      <w:r w:rsidRPr="009C58C4">
        <w:rPr>
          <w:sz w:val="22"/>
          <w:szCs w:val="22"/>
          <w:lang w:val="sr-Latn-ME"/>
        </w:rPr>
        <w:t>a za dabrafenib tablete za oralnu suspenziju). Kod pacijenata koji primaju trametinib u kombinaciji s</w:t>
      </w:r>
      <w:r w:rsidR="00A67A87" w:rsidRPr="009C58C4">
        <w:rPr>
          <w:sz w:val="22"/>
          <w:szCs w:val="22"/>
          <w:lang w:val="sr-Latn-ME"/>
        </w:rPr>
        <w:t>a</w:t>
      </w:r>
      <w:r w:rsidRPr="009C58C4">
        <w:rPr>
          <w:sz w:val="22"/>
          <w:szCs w:val="22"/>
          <w:lang w:val="sr-Latn-ME"/>
        </w:rPr>
        <w:t xml:space="preserve"> dabrafenibom pireksija može biti praćena jakom drhtavicom, dehidracijom i hipotenzijom koja u nekim slučajevima može dovesti do akutne bubrežne insuficijencije. Kod pedijatrijskih pacijenata koji su </w:t>
      </w:r>
      <w:r w:rsidR="007F2563" w:rsidRPr="009C58C4">
        <w:rPr>
          <w:sz w:val="22"/>
          <w:szCs w:val="22"/>
          <w:lang w:val="sr-Latn-ME"/>
        </w:rPr>
        <w:t>primjen</w:t>
      </w:r>
      <w:r w:rsidRPr="009C58C4">
        <w:rPr>
          <w:sz w:val="22"/>
          <w:szCs w:val="22"/>
          <w:lang w:val="sr-Latn-ME"/>
        </w:rPr>
        <w:t>jivali trametinib u kombinaciji s</w:t>
      </w:r>
      <w:r w:rsidR="00A67A87" w:rsidRPr="009C58C4">
        <w:rPr>
          <w:sz w:val="22"/>
          <w:szCs w:val="22"/>
          <w:lang w:val="sr-Latn-ME"/>
        </w:rPr>
        <w:t>a</w:t>
      </w:r>
      <w:r w:rsidRPr="009C58C4">
        <w:rPr>
          <w:sz w:val="22"/>
          <w:szCs w:val="22"/>
          <w:lang w:val="sr-Latn-ME"/>
        </w:rPr>
        <w:t xml:space="preserve"> dabrafenibom, </w:t>
      </w:r>
      <w:bookmarkStart w:id="16" w:name="_Hlk134384279"/>
      <w:r w:rsidRPr="009C58C4">
        <w:rPr>
          <w:sz w:val="22"/>
          <w:szCs w:val="22"/>
          <w:lang w:val="sr-Latn-ME"/>
        </w:rPr>
        <w:t>medijana vremena do prve pojave</w:t>
      </w:r>
      <w:bookmarkEnd w:id="16"/>
      <w:r w:rsidRPr="009C58C4">
        <w:rPr>
          <w:sz w:val="22"/>
          <w:szCs w:val="22"/>
          <w:lang w:val="sr-Latn-ME"/>
        </w:rPr>
        <w:t xml:space="preserve"> pireksije je iznosi</w:t>
      </w:r>
      <w:r w:rsidR="00A67A87" w:rsidRPr="009C58C4">
        <w:rPr>
          <w:sz w:val="22"/>
          <w:szCs w:val="22"/>
          <w:lang w:val="sr-Latn-ME"/>
        </w:rPr>
        <w:t>la</w:t>
      </w:r>
      <w:r w:rsidRPr="009C58C4">
        <w:rPr>
          <w:sz w:val="22"/>
          <w:szCs w:val="22"/>
          <w:lang w:val="sr-Latn-ME"/>
        </w:rPr>
        <w:t xml:space="preserve"> 1,5 </w:t>
      </w:r>
      <w:r w:rsidR="0091092E" w:rsidRPr="009C58C4">
        <w:rPr>
          <w:sz w:val="22"/>
          <w:szCs w:val="22"/>
          <w:lang w:val="sr-Latn-ME"/>
        </w:rPr>
        <w:t>mjesec</w:t>
      </w:r>
      <w:r w:rsidRPr="009C58C4">
        <w:rPr>
          <w:sz w:val="22"/>
          <w:szCs w:val="22"/>
          <w:lang w:val="sr-Latn-ME"/>
        </w:rPr>
        <w:t>i.</w:t>
      </w:r>
    </w:p>
    <w:p w14:paraId="30FD0DDE" w14:textId="77777777" w:rsidR="00C455E5" w:rsidRPr="009C58C4" w:rsidRDefault="00C455E5" w:rsidP="00226369">
      <w:pPr>
        <w:jc w:val="both"/>
        <w:rPr>
          <w:sz w:val="22"/>
          <w:szCs w:val="22"/>
          <w:lang w:val="sr-Latn-ME"/>
        </w:rPr>
      </w:pPr>
    </w:p>
    <w:p w14:paraId="7709CDAB" w14:textId="344BEB8E" w:rsidR="00C455E5" w:rsidRPr="009C58C4" w:rsidRDefault="007F2563" w:rsidP="00226369">
      <w:pPr>
        <w:jc w:val="both"/>
        <w:rPr>
          <w:sz w:val="22"/>
          <w:szCs w:val="22"/>
          <w:lang w:val="sr-Latn-ME"/>
        </w:rPr>
      </w:pPr>
      <w:r w:rsidRPr="009C58C4">
        <w:rPr>
          <w:sz w:val="22"/>
          <w:szCs w:val="22"/>
          <w:lang w:val="sr-Latn-ME"/>
        </w:rPr>
        <w:t>Liječ</w:t>
      </w:r>
      <w:r w:rsidR="00C455E5" w:rsidRPr="009C58C4">
        <w:rPr>
          <w:sz w:val="22"/>
          <w:szCs w:val="22"/>
          <w:lang w:val="sr-Latn-ME"/>
        </w:rPr>
        <w:t xml:space="preserve">enje trametinibom i dabrafenibom treba privremeno prekinuti u slučaju porasta </w:t>
      </w:r>
      <w:r w:rsidR="00F46CDF" w:rsidRPr="009C58C4">
        <w:rPr>
          <w:sz w:val="22"/>
          <w:szCs w:val="22"/>
          <w:lang w:val="sr-Latn-ME"/>
        </w:rPr>
        <w:t>tjeles</w:t>
      </w:r>
      <w:r w:rsidR="00C455E5" w:rsidRPr="009C58C4">
        <w:rPr>
          <w:sz w:val="22"/>
          <w:szCs w:val="22"/>
          <w:lang w:val="sr-Latn-ME"/>
        </w:rPr>
        <w:t>ne temperature pacijenata na ≥ 38°C (</w:t>
      </w:r>
      <w:r w:rsidR="00F46CDF" w:rsidRPr="009C58C4">
        <w:rPr>
          <w:sz w:val="22"/>
          <w:szCs w:val="22"/>
          <w:lang w:val="sr-Latn-ME"/>
        </w:rPr>
        <w:t>vidjet</w:t>
      </w:r>
      <w:r w:rsidR="00C455E5" w:rsidRPr="009C58C4">
        <w:rPr>
          <w:sz w:val="22"/>
          <w:szCs w:val="22"/>
          <w:lang w:val="sr-Latn-ME"/>
        </w:rPr>
        <w:t xml:space="preserve">i </w:t>
      </w:r>
      <w:r w:rsidR="00C87F6C" w:rsidRPr="009C58C4">
        <w:rPr>
          <w:sz w:val="22"/>
          <w:szCs w:val="22"/>
          <w:lang w:val="sr-Latn-ME"/>
        </w:rPr>
        <w:t xml:space="preserve">dio </w:t>
      </w:r>
      <w:r w:rsidR="00C455E5" w:rsidRPr="009C58C4">
        <w:rPr>
          <w:sz w:val="22"/>
          <w:szCs w:val="22"/>
          <w:lang w:val="sr-Latn-ME"/>
        </w:rPr>
        <w:t xml:space="preserve">5.1). U slučaju recidiva, terapija se takođe može privremeno prekinuti kod prvog simptoma pireksije. Potrebno je započeti terapiju antipireticima kao što je ibuprofen ili paracetamol. Potrebno je razmotriti </w:t>
      </w:r>
      <w:r w:rsidRPr="009C58C4">
        <w:rPr>
          <w:sz w:val="22"/>
          <w:szCs w:val="22"/>
          <w:lang w:val="sr-Latn-ME"/>
        </w:rPr>
        <w:t>primjen</w:t>
      </w:r>
      <w:r w:rsidR="00C455E5" w:rsidRPr="009C58C4">
        <w:rPr>
          <w:sz w:val="22"/>
          <w:szCs w:val="22"/>
          <w:lang w:val="sr-Latn-ME"/>
        </w:rPr>
        <w:t xml:space="preserve">u oralnih kortikosteroida u slučajevima u kojima antipiretici nisu dovoljni. Pacijente treba </w:t>
      </w:r>
      <w:r w:rsidRPr="009C58C4">
        <w:rPr>
          <w:sz w:val="22"/>
          <w:szCs w:val="22"/>
          <w:lang w:val="sr-Latn-ME"/>
        </w:rPr>
        <w:t>procijen</w:t>
      </w:r>
      <w:r w:rsidR="00C455E5" w:rsidRPr="009C58C4">
        <w:rPr>
          <w:sz w:val="22"/>
          <w:szCs w:val="22"/>
          <w:lang w:val="sr-Latn-ME"/>
        </w:rPr>
        <w:t>iti zbog znakova i simptoma infekcije. Nakon što se groznica povuče, terapija se može ponovno uvesti. Ako je groznica povezana sa drugim teškim znacima ili simptomima, nakon njenog povlačenja i prema kliničkoj indikaciji, terapiju treba ponovno započeti u sniženoj dozi (</w:t>
      </w:r>
      <w:r w:rsidR="00F46CDF" w:rsidRPr="009C58C4">
        <w:rPr>
          <w:sz w:val="22"/>
          <w:szCs w:val="22"/>
          <w:lang w:val="sr-Latn-ME"/>
        </w:rPr>
        <w:t>vidjet</w:t>
      </w:r>
      <w:r w:rsidR="00C455E5" w:rsidRPr="009C58C4">
        <w:rPr>
          <w:sz w:val="22"/>
          <w:szCs w:val="22"/>
          <w:lang w:val="sr-Latn-ME"/>
        </w:rPr>
        <w:t xml:space="preserve">i </w:t>
      </w:r>
      <w:r w:rsidR="00C87F6C" w:rsidRPr="009C58C4">
        <w:rPr>
          <w:sz w:val="22"/>
          <w:szCs w:val="22"/>
          <w:lang w:val="sr-Latn-ME"/>
        </w:rPr>
        <w:t xml:space="preserve">dio </w:t>
      </w:r>
      <w:r w:rsidR="00C455E5" w:rsidRPr="009C58C4">
        <w:rPr>
          <w:sz w:val="22"/>
          <w:szCs w:val="22"/>
          <w:lang w:val="sr-Latn-ME"/>
        </w:rPr>
        <w:t>4.2).</w:t>
      </w:r>
    </w:p>
    <w:p w14:paraId="4E241906" w14:textId="77777777" w:rsidR="00C455E5" w:rsidRPr="009C58C4" w:rsidRDefault="00C455E5" w:rsidP="00226369">
      <w:pPr>
        <w:jc w:val="both"/>
        <w:rPr>
          <w:sz w:val="22"/>
          <w:szCs w:val="22"/>
          <w:lang w:val="sr-Latn-ME"/>
        </w:rPr>
      </w:pPr>
    </w:p>
    <w:p w14:paraId="59E0D76A" w14:textId="77777777" w:rsidR="00C455E5" w:rsidRPr="009C58C4" w:rsidRDefault="00C455E5" w:rsidP="00226369">
      <w:pPr>
        <w:keepNext/>
        <w:autoSpaceDE w:val="0"/>
        <w:autoSpaceDN w:val="0"/>
        <w:jc w:val="both"/>
        <w:rPr>
          <w:rFonts w:eastAsia="Calibri"/>
          <w:sz w:val="22"/>
          <w:szCs w:val="22"/>
          <w:u w:val="single"/>
          <w:lang w:val="sr-Latn-ME" w:eastAsia="en-GB"/>
        </w:rPr>
      </w:pPr>
      <w:r w:rsidRPr="009C58C4">
        <w:rPr>
          <w:rFonts w:eastAsia="Calibri"/>
          <w:sz w:val="22"/>
          <w:szCs w:val="22"/>
          <w:u w:val="single"/>
          <w:lang w:val="sr-Latn-ME" w:eastAsia="en-GB"/>
        </w:rPr>
        <w:t>Hipertenzija</w:t>
      </w:r>
    </w:p>
    <w:p w14:paraId="21B4EE5A" w14:textId="77777777" w:rsidR="00C455E5" w:rsidRPr="009C58C4" w:rsidRDefault="00C455E5" w:rsidP="00226369">
      <w:pPr>
        <w:keepNext/>
        <w:autoSpaceDE w:val="0"/>
        <w:autoSpaceDN w:val="0"/>
        <w:adjustRightInd w:val="0"/>
        <w:jc w:val="both"/>
        <w:rPr>
          <w:sz w:val="22"/>
          <w:szCs w:val="22"/>
          <w:lang w:val="sr-Latn-ME"/>
        </w:rPr>
      </w:pPr>
    </w:p>
    <w:p w14:paraId="3528BB4D" w14:textId="6DAC8432" w:rsidR="00C455E5" w:rsidRPr="009C58C4" w:rsidRDefault="00C455E5" w:rsidP="00226369">
      <w:pPr>
        <w:autoSpaceDE w:val="0"/>
        <w:autoSpaceDN w:val="0"/>
        <w:adjustRightInd w:val="0"/>
        <w:jc w:val="both"/>
        <w:rPr>
          <w:sz w:val="22"/>
          <w:szCs w:val="22"/>
          <w:lang w:val="sr-Latn-ME"/>
        </w:rPr>
      </w:pPr>
      <w:r w:rsidRPr="009C58C4">
        <w:rPr>
          <w:sz w:val="22"/>
          <w:szCs w:val="22"/>
          <w:lang w:val="sr-Latn-ME"/>
        </w:rPr>
        <w:t>Hipertenzija i hipotenzija su prijavljene kod pacijenata u kliničkim ispitivanjima trametiniba u kombinaciji sa dabrafenibom (</w:t>
      </w:r>
      <w:r w:rsidR="00F46CDF" w:rsidRPr="009C58C4">
        <w:rPr>
          <w:sz w:val="22"/>
          <w:szCs w:val="22"/>
          <w:lang w:val="sr-Latn-ME"/>
        </w:rPr>
        <w:t>vidjet</w:t>
      </w:r>
      <w:r w:rsidRPr="009C58C4">
        <w:rPr>
          <w:sz w:val="22"/>
          <w:szCs w:val="22"/>
          <w:lang w:val="sr-Latn-ME"/>
        </w:rPr>
        <w:t>i</w:t>
      </w:r>
      <w:r w:rsidR="00204063" w:rsidRPr="009C58C4">
        <w:rPr>
          <w:sz w:val="22"/>
          <w:szCs w:val="22"/>
          <w:lang w:val="sr-Latn-ME"/>
        </w:rPr>
        <w:t xml:space="preserve"> </w:t>
      </w:r>
      <w:r w:rsidR="00C87F6C" w:rsidRPr="009C58C4">
        <w:rPr>
          <w:sz w:val="22"/>
          <w:szCs w:val="22"/>
          <w:lang w:val="sr-Latn-ME"/>
        </w:rPr>
        <w:t xml:space="preserve">dio </w:t>
      </w:r>
      <w:r w:rsidRPr="009C58C4">
        <w:rPr>
          <w:sz w:val="22"/>
          <w:szCs w:val="22"/>
          <w:lang w:val="sr-Latn-ME"/>
        </w:rPr>
        <w:t xml:space="preserve">4.8). Krvni pritisak treba meriti na početku i pratiti tokom </w:t>
      </w:r>
      <w:r w:rsidR="007F2563" w:rsidRPr="009C58C4">
        <w:rPr>
          <w:sz w:val="22"/>
          <w:szCs w:val="22"/>
          <w:lang w:val="sr-Latn-ME"/>
        </w:rPr>
        <w:t>liječ</w:t>
      </w:r>
      <w:r w:rsidRPr="009C58C4">
        <w:rPr>
          <w:sz w:val="22"/>
          <w:szCs w:val="22"/>
          <w:lang w:val="sr-Latn-ME"/>
        </w:rPr>
        <w:t>enja, uz kontrolu hipertenzije uz standardnu terapiju prema potrebi.</w:t>
      </w:r>
    </w:p>
    <w:p w14:paraId="76A6532F" w14:textId="77777777" w:rsidR="00C455E5" w:rsidRPr="009C58C4" w:rsidRDefault="00C455E5" w:rsidP="00226369">
      <w:pPr>
        <w:jc w:val="both"/>
        <w:rPr>
          <w:sz w:val="22"/>
          <w:szCs w:val="22"/>
          <w:lang w:val="sr-Latn-ME"/>
        </w:rPr>
      </w:pPr>
    </w:p>
    <w:p w14:paraId="65D22696" w14:textId="77777777" w:rsidR="00C455E5" w:rsidRPr="009C58C4" w:rsidRDefault="00C455E5" w:rsidP="00226369">
      <w:pPr>
        <w:keepNext/>
        <w:autoSpaceDE w:val="0"/>
        <w:autoSpaceDN w:val="0"/>
        <w:adjustRightInd w:val="0"/>
        <w:jc w:val="both"/>
        <w:rPr>
          <w:rFonts w:eastAsia="SimSun"/>
          <w:sz w:val="22"/>
          <w:szCs w:val="22"/>
          <w:u w:val="single"/>
          <w:lang w:val="sr-Latn-ME" w:eastAsia="en-GB"/>
        </w:rPr>
      </w:pPr>
      <w:r w:rsidRPr="009C58C4">
        <w:rPr>
          <w:rFonts w:eastAsia="SimSun"/>
          <w:sz w:val="22"/>
          <w:szCs w:val="22"/>
          <w:u w:val="single"/>
          <w:lang w:val="sr-Latn-ME" w:eastAsia="en-GB"/>
        </w:rPr>
        <w:t>Intersticijska bolest pluća (IBP)/pneumonitis</w:t>
      </w:r>
    </w:p>
    <w:p w14:paraId="4A1F33B7" w14:textId="77777777" w:rsidR="00C455E5" w:rsidRPr="009C58C4" w:rsidRDefault="00C455E5" w:rsidP="00226369">
      <w:pPr>
        <w:keepNext/>
        <w:autoSpaceDE w:val="0"/>
        <w:autoSpaceDN w:val="0"/>
        <w:adjustRightInd w:val="0"/>
        <w:jc w:val="both"/>
        <w:rPr>
          <w:rFonts w:eastAsia="SimSun"/>
          <w:sz w:val="22"/>
          <w:szCs w:val="22"/>
          <w:lang w:val="sr-Latn-ME" w:eastAsia="en-GB"/>
        </w:rPr>
      </w:pPr>
    </w:p>
    <w:p w14:paraId="2A0FCA8C" w14:textId="318E5C65" w:rsidR="00C455E5" w:rsidRPr="009C58C4" w:rsidRDefault="00C455E5" w:rsidP="00226369">
      <w:pPr>
        <w:contextualSpacing/>
        <w:jc w:val="both"/>
        <w:rPr>
          <w:color w:val="000000"/>
          <w:sz w:val="22"/>
          <w:szCs w:val="22"/>
          <w:lang w:val="sr-Latn-ME"/>
        </w:rPr>
      </w:pPr>
      <w:r w:rsidRPr="009C58C4">
        <w:rPr>
          <w:color w:val="000000"/>
          <w:sz w:val="22"/>
          <w:szCs w:val="22"/>
          <w:lang w:val="sr-Latn-ME"/>
        </w:rPr>
        <w:t xml:space="preserve">U ispitivanju faze III kod odraslih pacijenata, kod njih 2,4 % (5/211) </w:t>
      </w:r>
      <w:r w:rsidR="007F2563" w:rsidRPr="009C58C4">
        <w:rPr>
          <w:color w:val="000000"/>
          <w:sz w:val="22"/>
          <w:szCs w:val="22"/>
          <w:lang w:val="sr-Latn-ME"/>
        </w:rPr>
        <w:t>liječ</w:t>
      </w:r>
      <w:r w:rsidRPr="009C58C4">
        <w:rPr>
          <w:color w:val="000000"/>
          <w:sz w:val="22"/>
          <w:szCs w:val="22"/>
          <w:lang w:val="sr-Latn-ME"/>
        </w:rPr>
        <w:t xml:space="preserve">enih monoterapijom trametinibom razvio se IBP ili pneumonitis; svih pet pacijenata moralo je biti hospitalizovano. Medijana vremena do prvog nastupa IBP-a ili pneumonitisa iznosila je 160 dana (raspon: od 60 do 172 dana). U dva ispitivanja kod odraslih pacijenata </w:t>
      </w:r>
      <w:r w:rsidR="007F2563" w:rsidRPr="009C58C4">
        <w:rPr>
          <w:color w:val="000000"/>
          <w:sz w:val="22"/>
          <w:szCs w:val="22"/>
          <w:lang w:val="sr-Latn-ME"/>
        </w:rPr>
        <w:t>liječ</w:t>
      </w:r>
      <w:r w:rsidRPr="009C58C4">
        <w:rPr>
          <w:color w:val="000000"/>
          <w:sz w:val="22"/>
          <w:szCs w:val="22"/>
          <w:lang w:val="sr-Latn-ME"/>
        </w:rPr>
        <w:t>enih trametinibom u kombinaciji s</w:t>
      </w:r>
      <w:r w:rsidR="00204063" w:rsidRPr="009C58C4">
        <w:rPr>
          <w:color w:val="000000"/>
          <w:sz w:val="22"/>
          <w:szCs w:val="22"/>
          <w:lang w:val="sr-Latn-ME"/>
        </w:rPr>
        <w:t>a</w:t>
      </w:r>
      <w:r w:rsidRPr="009C58C4">
        <w:rPr>
          <w:color w:val="000000"/>
          <w:sz w:val="22"/>
          <w:szCs w:val="22"/>
          <w:lang w:val="sr-Latn-ME"/>
        </w:rPr>
        <w:t xml:space="preserve"> dabrafenibom, kod 1 % pacijenata razvio se pneumonitis ili IBP (</w:t>
      </w:r>
      <w:r w:rsidR="00F46CDF" w:rsidRPr="009C58C4">
        <w:rPr>
          <w:color w:val="000000"/>
          <w:sz w:val="22"/>
          <w:szCs w:val="22"/>
          <w:lang w:val="sr-Latn-ME"/>
        </w:rPr>
        <w:t>vidjet</w:t>
      </w:r>
      <w:r w:rsidRPr="009C58C4">
        <w:rPr>
          <w:color w:val="000000"/>
          <w:sz w:val="22"/>
          <w:szCs w:val="22"/>
          <w:lang w:val="sr-Latn-ME"/>
        </w:rPr>
        <w:t>i</w:t>
      </w:r>
      <w:r w:rsidR="00204063" w:rsidRPr="009C58C4">
        <w:rPr>
          <w:color w:val="000000"/>
          <w:sz w:val="22"/>
          <w:szCs w:val="22"/>
          <w:lang w:val="sr-Latn-ME"/>
        </w:rPr>
        <w:t xml:space="preserve"> </w:t>
      </w:r>
      <w:r w:rsidR="00C87F6C" w:rsidRPr="009C58C4">
        <w:rPr>
          <w:color w:val="000000"/>
          <w:sz w:val="22"/>
          <w:szCs w:val="22"/>
          <w:lang w:val="sr-Latn-ME"/>
        </w:rPr>
        <w:t xml:space="preserve">dio </w:t>
      </w:r>
      <w:r w:rsidRPr="009C58C4">
        <w:rPr>
          <w:color w:val="000000"/>
          <w:sz w:val="22"/>
          <w:szCs w:val="22"/>
          <w:lang w:val="sr-Latn-ME"/>
        </w:rPr>
        <w:t>4.8).</w:t>
      </w:r>
    </w:p>
    <w:p w14:paraId="3ADA393F" w14:textId="77777777" w:rsidR="00C455E5" w:rsidRPr="009C58C4" w:rsidRDefault="00C455E5" w:rsidP="00226369">
      <w:pPr>
        <w:contextualSpacing/>
        <w:jc w:val="both"/>
        <w:rPr>
          <w:color w:val="000000"/>
          <w:sz w:val="22"/>
          <w:szCs w:val="22"/>
          <w:lang w:val="sr-Latn-ME"/>
        </w:rPr>
      </w:pPr>
    </w:p>
    <w:p w14:paraId="60D2FE4D" w14:textId="1F133770" w:rsidR="00C455E5" w:rsidRPr="009C58C4" w:rsidRDefault="007F2563" w:rsidP="00226369">
      <w:pPr>
        <w:contextualSpacing/>
        <w:jc w:val="both"/>
        <w:rPr>
          <w:color w:val="000000"/>
          <w:sz w:val="22"/>
          <w:szCs w:val="22"/>
          <w:lang w:val="sr-Latn-ME"/>
        </w:rPr>
      </w:pPr>
      <w:r w:rsidRPr="009C58C4">
        <w:rPr>
          <w:color w:val="000000"/>
          <w:sz w:val="22"/>
          <w:szCs w:val="22"/>
          <w:lang w:val="sr-Latn-ME"/>
        </w:rPr>
        <w:t>Primjen</w:t>
      </w:r>
      <w:r w:rsidR="00C455E5" w:rsidRPr="009C58C4">
        <w:rPr>
          <w:color w:val="000000"/>
          <w:sz w:val="22"/>
          <w:szCs w:val="22"/>
          <w:lang w:val="sr-Latn-ME"/>
        </w:rPr>
        <w:t xml:space="preserve">a trametiniba mora se odložiti kod pacijenata kod kojih se sumnja na IBP ili pneumonitis, uključujući pacijente kod kojih se pojave novi ili progrediraju postojeći plućni simptomi i nalazi, uključujući kašalj, dispneju, hipoksiju, pleuralni izliv ili infiltrate, sve dok se ne sprovedu kliničke provere. Potrebno je trajno prekinuti </w:t>
      </w:r>
      <w:r w:rsidRPr="009C58C4">
        <w:rPr>
          <w:color w:val="000000"/>
          <w:sz w:val="22"/>
          <w:szCs w:val="22"/>
          <w:lang w:val="sr-Latn-ME"/>
        </w:rPr>
        <w:t>primjen</w:t>
      </w:r>
      <w:r w:rsidR="00C455E5" w:rsidRPr="009C58C4">
        <w:rPr>
          <w:color w:val="000000"/>
          <w:sz w:val="22"/>
          <w:szCs w:val="22"/>
          <w:lang w:val="sr-Latn-ME"/>
        </w:rPr>
        <w:t xml:space="preserve">u trametiniba kod pacijenata kojima se dijagnostikuje IBP ili pneumonitis povezani sa </w:t>
      </w:r>
      <w:r w:rsidRPr="009C58C4">
        <w:rPr>
          <w:color w:val="000000"/>
          <w:sz w:val="22"/>
          <w:szCs w:val="22"/>
          <w:lang w:val="sr-Latn-ME"/>
        </w:rPr>
        <w:t>liječ</w:t>
      </w:r>
      <w:r w:rsidR="00C455E5" w:rsidRPr="009C58C4">
        <w:rPr>
          <w:color w:val="000000"/>
          <w:sz w:val="22"/>
          <w:szCs w:val="22"/>
          <w:lang w:val="sr-Latn-ME"/>
        </w:rPr>
        <w:t>enjem (</w:t>
      </w:r>
      <w:r w:rsidR="00F46CDF" w:rsidRPr="009C58C4">
        <w:rPr>
          <w:color w:val="000000"/>
          <w:sz w:val="22"/>
          <w:szCs w:val="22"/>
          <w:lang w:val="sr-Latn-ME"/>
        </w:rPr>
        <w:t>vidjet</w:t>
      </w:r>
      <w:r w:rsidR="00C455E5" w:rsidRPr="009C58C4">
        <w:rPr>
          <w:color w:val="000000"/>
          <w:sz w:val="22"/>
          <w:szCs w:val="22"/>
          <w:lang w:val="sr-Latn-ME"/>
        </w:rPr>
        <w:t>i</w:t>
      </w:r>
      <w:r w:rsidR="00204063" w:rsidRPr="009C58C4">
        <w:rPr>
          <w:color w:val="000000"/>
          <w:sz w:val="22"/>
          <w:szCs w:val="22"/>
          <w:lang w:val="sr-Latn-ME"/>
        </w:rPr>
        <w:t xml:space="preserve"> </w:t>
      </w:r>
      <w:r w:rsidR="00C87F6C" w:rsidRPr="009C58C4">
        <w:rPr>
          <w:color w:val="000000"/>
          <w:sz w:val="22"/>
          <w:szCs w:val="22"/>
          <w:lang w:val="sr-Latn-ME"/>
        </w:rPr>
        <w:t xml:space="preserve">dio </w:t>
      </w:r>
      <w:r w:rsidR="00C455E5" w:rsidRPr="009C58C4">
        <w:rPr>
          <w:color w:val="000000"/>
          <w:sz w:val="22"/>
          <w:szCs w:val="22"/>
          <w:lang w:val="sr-Latn-ME"/>
        </w:rPr>
        <w:t>4.2). Terapija dabrafenibom može se nastaviti u istoj dozi.</w:t>
      </w:r>
    </w:p>
    <w:p w14:paraId="1972B6B4" w14:textId="77777777" w:rsidR="00C455E5" w:rsidRPr="009C58C4" w:rsidRDefault="00C455E5" w:rsidP="00226369">
      <w:pPr>
        <w:jc w:val="both"/>
        <w:rPr>
          <w:sz w:val="22"/>
          <w:szCs w:val="22"/>
          <w:lang w:val="sr-Latn-ME"/>
        </w:rPr>
      </w:pPr>
    </w:p>
    <w:p w14:paraId="60D7CBFD" w14:textId="77777777" w:rsidR="00C455E5" w:rsidRPr="009C58C4" w:rsidRDefault="00C455E5" w:rsidP="00226369">
      <w:pPr>
        <w:keepNext/>
        <w:jc w:val="both"/>
        <w:rPr>
          <w:sz w:val="22"/>
          <w:szCs w:val="22"/>
          <w:lang w:val="sr-Latn-ME"/>
        </w:rPr>
      </w:pPr>
      <w:r w:rsidRPr="009C58C4">
        <w:rPr>
          <w:sz w:val="22"/>
          <w:szCs w:val="22"/>
          <w:u w:val="single"/>
          <w:lang w:val="sr-Latn-ME"/>
        </w:rPr>
        <w:lastRenderedPageBreak/>
        <w:t>Oštećenje vida</w:t>
      </w:r>
    </w:p>
    <w:p w14:paraId="51B99661" w14:textId="77777777" w:rsidR="00C455E5" w:rsidRPr="009C58C4" w:rsidRDefault="00C455E5" w:rsidP="00226369">
      <w:pPr>
        <w:keepNext/>
        <w:jc w:val="both"/>
        <w:rPr>
          <w:sz w:val="22"/>
          <w:szCs w:val="22"/>
          <w:lang w:val="sr-Latn-ME"/>
        </w:rPr>
      </w:pPr>
    </w:p>
    <w:p w14:paraId="57CAEF8A" w14:textId="74CD96A3" w:rsidR="00C455E5" w:rsidRPr="009C58C4" w:rsidRDefault="00C455E5" w:rsidP="00226369">
      <w:pPr>
        <w:jc w:val="both"/>
        <w:rPr>
          <w:sz w:val="22"/>
          <w:szCs w:val="22"/>
          <w:lang w:val="sr-Latn-ME"/>
        </w:rPr>
      </w:pPr>
      <w:r w:rsidRPr="009C58C4">
        <w:rPr>
          <w:sz w:val="22"/>
          <w:szCs w:val="22"/>
          <w:lang w:val="sr-Latn-ME"/>
        </w:rPr>
        <w:t xml:space="preserve">Poremećaji povezani sa smetnjama vida, uključujući RPED i RVO, mogu se pojaviti kod </w:t>
      </w:r>
      <w:r w:rsidR="007F2563" w:rsidRPr="009C58C4">
        <w:rPr>
          <w:sz w:val="22"/>
          <w:szCs w:val="22"/>
          <w:lang w:val="sr-Latn-ME"/>
        </w:rPr>
        <w:t>liječ</w:t>
      </w:r>
      <w:r w:rsidRPr="009C58C4">
        <w:rPr>
          <w:sz w:val="22"/>
          <w:szCs w:val="22"/>
          <w:lang w:val="sr-Latn-ME"/>
        </w:rPr>
        <w:t>enja trametinibom, u nekim slučajevima s</w:t>
      </w:r>
      <w:r w:rsidR="00204063" w:rsidRPr="009C58C4">
        <w:rPr>
          <w:sz w:val="22"/>
          <w:szCs w:val="22"/>
          <w:lang w:val="sr-Latn-ME"/>
        </w:rPr>
        <w:t>a</w:t>
      </w:r>
      <w:r w:rsidRPr="009C58C4">
        <w:rPr>
          <w:sz w:val="22"/>
          <w:szCs w:val="22"/>
          <w:lang w:val="sr-Latn-ME"/>
        </w:rPr>
        <w:t xml:space="preserve"> vremenskim razmakom od nekoliko </w:t>
      </w:r>
      <w:r w:rsidR="0091092E" w:rsidRPr="009C58C4">
        <w:rPr>
          <w:sz w:val="22"/>
          <w:szCs w:val="22"/>
          <w:lang w:val="sr-Latn-ME"/>
        </w:rPr>
        <w:t>mjesec</w:t>
      </w:r>
      <w:r w:rsidRPr="009C58C4">
        <w:rPr>
          <w:sz w:val="22"/>
          <w:szCs w:val="22"/>
          <w:lang w:val="sr-Latn-ME"/>
        </w:rPr>
        <w:t>i. U kliničkim ispitivanjima trametiniba kod odraslih pacijenata prijavljeni su simptomi poput zamagljenja vida, smanjene oštrine vida i drugih vizuelnih fenomena</w:t>
      </w:r>
      <w:r w:rsidRPr="009C58C4">
        <w:rPr>
          <w:color w:val="000000"/>
          <w:sz w:val="22"/>
          <w:szCs w:val="22"/>
          <w:lang w:val="sr-Latn-ME"/>
        </w:rPr>
        <w:t xml:space="preserve">. U kliničkim ispitivanjima zabeleženi su uveitis i iridociklitis kod odraslih i pedijatrijskih pacijenata </w:t>
      </w:r>
      <w:r w:rsidR="007F2563" w:rsidRPr="009C58C4">
        <w:rPr>
          <w:color w:val="000000"/>
          <w:sz w:val="22"/>
          <w:szCs w:val="22"/>
          <w:lang w:val="sr-Latn-ME"/>
        </w:rPr>
        <w:t>liječ</w:t>
      </w:r>
      <w:r w:rsidRPr="009C58C4">
        <w:rPr>
          <w:color w:val="000000"/>
          <w:sz w:val="22"/>
          <w:szCs w:val="22"/>
          <w:lang w:val="sr-Latn-ME"/>
        </w:rPr>
        <w:t>enih trametinibom u kombinaciji s</w:t>
      </w:r>
      <w:r w:rsidR="00204063" w:rsidRPr="009C58C4">
        <w:rPr>
          <w:color w:val="000000"/>
          <w:sz w:val="22"/>
          <w:szCs w:val="22"/>
          <w:lang w:val="sr-Latn-ME"/>
        </w:rPr>
        <w:t>a</w:t>
      </w:r>
      <w:r w:rsidRPr="009C58C4">
        <w:rPr>
          <w:color w:val="000000"/>
          <w:sz w:val="22"/>
          <w:szCs w:val="22"/>
          <w:lang w:val="sr-Latn-ME"/>
        </w:rPr>
        <w:t xml:space="preserve"> dabrafenibom.</w:t>
      </w:r>
    </w:p>
    <w:p w14:paraId="1F5454FB" w14:textId="77777777" w:rsidR="00C455E5" w:rsidRPr="009C58C4" w:rsidRDefault="00C455E5" w:rsidP="00226369">
      <w:pPr>
        <w:jc w:val="both"/>
        <w:rPr>
          <w:color w:val="000000"/>
          <w:sz w:val="22"/>
          <w:szCs w:val="22"/>
          <w:lang w:val="sr-Latn-ME"/>
        </w:rPr>
      </w:pPr>
    </w:p>
    <w:p w14:paraId="014CDE7B" w14:textId="1D2B2088" w:rsidR="00C455E5" w:rsidRPr="009C58C4" w:rsidRDefault="00C455E5" w:rsidP="00226369">
      <w:pPr>
        <w:jc w:val="both"/>
        <w:rPr>
          <w:color w:val="000000"/>
          <w:sz w:val="22"/>
          <w:szCs w:val="22"/>
          <w:lang w:val="sr-Latn-ME"/>
        </w:rPr>
      </w:pPr>
      <w:r w:rsidRPr="009C58C4">
        <w:rPr>
          <w:color w:val="000000"/>
          <w:sz w:val="22"/>
          <w:szCs w:val="22"/>
          <w:lang w:val="sr-Latn-ME"/>
        </w:rPr>
        <w:t>Trametinib se ne preporučuje kod pacijenata s</w:t>
      </w:r>
      <w:r w:rsidR="00C97935" w:rsidRPr="009C58C4">
        <w:rPr>
          <w:color w:val="000000"/>
          <w:sz w:val="22"/>
          <w:szCs w:val="22"/>
          <w:lang w:val="sr-Latn-ME"/>
        </w:rPr>
        <w:t>a</w:t>
      </w:r>
      <w:r w:rsidRPr="009C58C4">
        <w:rPr>
          <w:color w:val="000000"/>
          <w:sz w:val="22"/>
          <w:szCs w:val="22"/>
          <w:lang w:val="sr-Latn-ME"/>
        </w:rPr>
        <w:t xml:space="preserve"> RVO-om u anamnezi. Nije ustanovljena </w:t>
      </w:r>
      <w:r w:rsidR="00F46CDF" w:rsidRPr="009C58C4">
        <w:rPr>
          <w:color w:val="000000"/>
          <w:sz w:val="22"/>
          <w:szCs w:val="22"/>
          <w:lang w:val="sr-Latn-ME"/>
        </w:rPr>
        <w:t>bezbjed</w:t>
      </w:r>
      <w:r w:rsidRPr="009C58C4">
        <w:rPr>
          <w:color w:val="000000"/>
          <w:sz w:val="22"/>
          <w:szCs w:val="22"/>
          <w:lang w:val="sr-Latn-ME"/>
        </w:rPr>
        <w:t>nost trametiniba kod ispitanika s</w:t>
      </w:r>
      <w:r w:rsidR="00204063" w:rsidRPr="009C58C4">
        <w:rPr>
          <w:color w:val="000000"/>
          <w:sz w:val="22"/>
          <w:szCs w:val="22"/>
          <w:lang w:val="sr-Latn-ME"/>
        </w:rPr>
        <w:t>a</w:t>
      </w:r>
      <w:r w:rsidRPr="009C58C4">
        <w:rPr>
          <w:color w:val="000000"/>
          <w:sz w:val="22"/>
          <w:szCs w:val="22"/>
          <w:lang w:val="sr-Latn-ME"/>
        </w:rPr>
        <w:t xml:space="preserve"> predisponirajućim faktorima za RVO, uključujući nekontrolisani glaukom ili očnu hipertenziju, nekontrolisanu hipertenziju, nekontrolisanu šećernu bolest ili sindrome hiperviskoznosti ili hiperkoagulabilnosti u anamnezi.</w:t>
      </w:r>
    </w:p>
    <w:p w14:paraId="7CFFB81F" w14:textId="77777777" w:rsidR="00C455E5" w:rsidRPr="009C58C4" w:rsidRDefault="00C455E5" w:rsidP="00226369">
      <w:pPr>
        <w:jc w:val="both"/>
        <w:rPr>
          <w:sz w:val="22"/>
          <w:szCs w:val="22"/>
          <w:lang w:val="sr-Latn-ME"/>
        </w:rPr>
      </w:pPr>
    </w:p>
    <w:p w14:paraId="79477A3D" w14:textId="02E5CBEA" w:rsidR="00C455E5" w:rsidRPr="009C58C4" w:rsidRDefault="00C455E5" w:rsidP="00226369">
      <w:pPr>
        <w:jc w:val="both"/>
        <w:rPr>
          <w:color w:val="000000"/>
          <w:sz w:val="22"/>
          <w:szCs w:val="22"/>
          <w:lang w:val="sr-Latn-ME"/>
        </w:rPr>
      </w:pPr>
      <w:r w:rsidRPr="009C58C4">
        <w:rPr>
          <w:color w:val="000000"/>
          <w:sz w:val="22"/>
          <w:szCs w:val="22"/>
          <w:lang w:val="sr-Latn-ME"/>
        </w:rPr>
        <w:t xml:space="preserve">Ako pacijenti u bilo kom trenutku tokom </w:t>
      </w:r>
      <w:r w:rsidR="007F2563" w:rsidRPr="009C58C4">
        <w:rPr>
          <w:color w:val="000000"/>
          <w:sz w:val="22"/>
          <w:szCs w:val="22"/>
          <w:lang w:val="sr-Latn-ME"/>
        </w:rPr>
        <w:t>liječ</w:t>
      </w:r>
      <w:r w:rsidRPr="009C58C4">
        <w:rPr>
          <w:color w:val="000000"/>
          <w:sz w:val="22"/>
          <w:szCs w:val="22"/>
          <w:lang w:val="sr-Latn-ME"/>
        </w:rPr>
        <w:t>enja trametinibom prijave novonastale smetnje vida poput slabljenja centralnoga vida, zamagljenja vida ili gubitka vida, preporučuje se da se odmah uradi oftalmološki pregled. Ako se dijagnostikuje RPED, potrebno je slediti korake za prilagođavanje doze navedene u tabeli 4 (</w:t>
      </w:r>
      <w:r w:rsidR="00F46CDF" w:rsidRPr="009C58C4">
        <w:rPr>
          <w:color w:val="000000"/>
          <w:sz w:val="22"/>
          <w:szCs w:val="22"/>
          <w:lang w:val="sr-Latn-ME"/>
        </w:rPr>
        <w:t>vidjet</w:t>
      </w:r>
      <w:r w:rsidRPr="009C58C4">
        <w:rPr>
          <w:color w:val="000000"/>
          <w:sz w:val="22"/>
          <w:szCs w:val="22"/>
          <w:lang w:val="sr-Latn-ME"/>
        </w:rPr>
        <w:t>i</w:t>
      </w:r>
      <w:r w:rsidR="00204063" w:rsidRPr="009C58C4">
        <w:rPr>
          <w:color w:val="000000"/>
          <w:sz w:val="22"/>
          <w:szCs w:val="22"/>
          <w:lang w:val="sr-Latn-ME"/>
        </w:rPr>
        <w:t xml:space="preserve"> </w:t>
      </w:r>
      <w:r w:rsidR="00C87F6C" w:rsidRPr="009C58C4">
        <w:rPr>
          <w:color w:val="000000"/>
          <w:sz w:val="22"/>
          <w:szCs w:val="22"/>
          <w:lang w:val="sr-Latn-ME"/>
        </w:rPr>
        <w:t xml:space="preserve">dio </w:t>
      </w:r>
      <w:r w:rsidRPr="009C58C4">
        <w:rPr>
          <w:color w:val="000000"/>
          <w:sz w:val="22"/>
          <w:szCs w:val="22"/>
          <w:lang w:val="sr-Latn-ME"/>
        </w:rPr>
        <w:t xml:space="preserve">4.2); ako se dijagnostikuje uveitis, pogledajte Sažetak karakteristika </w:t>
      </w:r>
      <w:r w:rsidR="007F2563" w:rsidRPr="009C58C4">
        <w:rPr>
          <w:color w:val="000000"/>
          <w:sz w:val="22"/>
          <w:szCs w:val="22"/>
          <w:lang w:val="sr-Latn-ME"/>
        </w:rPr>
        <w:t>lijek</w:t>
      </w:r>
      <w:r w:rsidRPr="009C58C4">
        <w:rPr>
          <w:color w:val="000000"/>
          <w:sz w:val="22"/>
          <w:szCs w:val="22"/>
          <w:lang w:val="sr-Latn-ME"/>
        </w:rPr>
        <w:t>a za dabrafenib tablete za oralnu suspenziju (</w:t>
      </w:r>
      <w:r w:rsidR="00C87F6C" w:rsidRPr="009C58C4">
        <w:rPr>
          <w:color w:val="000000"/>
          <w:sz w:val="22"/>
          <w:szCs w:val="22"/>
          <w:lang w:val="sr-Latn-ME"/>
        </w:rPr>
        <w:t>dio</w:t>
      </w:r>
      <w:r w:rsidRPr="009C58C4">
        <w:rPr>
          <w:color w:val="000000"/>
          <w:sz w:val="22"/>
          <w:szCs w:val="22"/>
          <w:lang w:val="sr-Latn-ME"/>
        </w:rPr>
        <w:t xml:space="preserve"> 4.4). Kod pacijenata kojima se dijagnostkuje RVO, </w:t>
      </w:r>
      <w:r w:rsidR="007F2563" w:rsidRPr="009C58C4">
        <w:rPr>
          <w:color w:val="000000"/>
          <w:sz w:val="22"/>
          <w:szCs w:val="22"/>
          <w:lang w:val="sr-Latn-ME"/>
        </w:rPr>
        <w:t>liječ</w:t>
      </w:r>
      <w:r w:rsidRPr="009C58C4">
        <w:rPr>
          <w:color w:val="000000"/>
          <w:sz w:val="22"/>
          <w:szCs w:val="22"/>
          <w:lang w:val="sr-Latn-ME"/>
        </w:rPr>
        <w:t>enje trametinibom se mora trajno prekinuti.</w:t>
      </w:r>
    </w:p>
    <w:p w14:paraId="46298101" w14:textId="77777777" w:rsidR="00C455E5" w:rsidRPr="009C58C4" w:rsidRDefault="00C455E5" w:rsidP="00226369">
      <w:pPr>
        <w:jc w:val="both"/>
        <w:rPr>
          <w:color w:val="000000"/>
          <w:sz w:val="22"/>
          <w:szCs w:val="22"/>
          <w:lang w:val="sr-Latn-ME"/>
        </w:rPr>
      </w:pPr>
    </w:p>
    <w:p w14:paraId="4146CD2B" w14:textId="4EABBEED" w:rsidR="00C455E5" w:rsidRPr="009C58C4" w:rsidRDefault="00C455E5" w:rsidP="00226369">
      <w:pPr>
        <w:jc w:val="both"/>
        <w:rPr>
          <w:color w:val="000000"/>
          <w:sz w:val="22"/>
          <w:szCs w:val="22"/>
          <w:lang w:val="sr-Latn-ME"/>
        </w:rPr>
      </w:pPr>
      <w:r w:rsidRPr="009C58C4">
        <w:rPr>
          <w:color w:val="000000"/>
          <w:sz w:val="22"/>
          <w:szCs w:val="22"/>
          <w:lang w:val="sr-Latn-ME"/>
        </w:rPr>
        <w:t>Nije potrebno prilagođavanje doze dabrafeniba kada se uzima u kombinaciji s</w:t>
      </w:r>
      <w:r w:rsidR="00204063" w:rsidRPr="009C58C4">
        <w:rPr>
          <w:color w:val="000000"/>
          <w:sz w:val="22"/>
          <w:szCs w:val="22"/>
          <w:lang w:val="sr-Latn-ME"/>
        </w:rPr>
        <w:t>a</w:t>
      </w:r>
      <w:r w:rsidRPr="009C58C4">
        <w:rPr>
          <w:color w:val="000000"/>
          <w:sz w:val="22"/>
          <w:szCs w:val="22"/>
          <w:lang w:val="sr-Latn-ME"/>
        </w:rPr>
        <w:t xml:space="preserve"> trametinibom nakon dijagnostikovanja RVO-a ili RPED-a. Nije potrebno prilagođavanje doze trametiniba kada se uzima u kombinaciji s</w:t>
      </w:r>
      <w:r w:rsidR="00204063" w:rsidRPr="009C58C4">
        <w:rPr>
          <w:color w:val="000000"/>
          <w:sz w:val="22"/>
          <w:szCs w:val="22"/>
          <w:lang w:val="sr-Latn-ME"/>
        </w:rPr>
        <w:t>a</w:t>
      </w:r>
      <w:r w:rsidRPr="009C58C4">
        <w:rPr>
          <w:color w:val="000000"/>
          <w:sz w:val="22"/>
          <w:szCs w:val="22"/>
          <w:lang w:val="sr-Latn-ME"/>
        </w:rPr>
        <w:t xml:space="preserve"> dabrafenibom nakon dijagnostikovanja uveitisa.</w:t>
      </w:r>
    </w:p>
    <w:p w14:paraId="5439C13D" w14:textId="77777777" w:rsidR="00C455E5" w:rsidRPr="009C58C4" w:rsidRDefault="00C455E5" w:rsidP="00226369">
      <w:pPr>
        <w:jc w:val="both"/>
        <w:rPr>
          <w:sz w:val="22"/>
          <w:szCs w:val="22"/>
          <w:lang w:val="sr-Latn-ME"/>
        </w:rPr>
      </w:pPr>
    </w:p>
    <w:p w14:paraId="46B71A1A" w14:textId="77777777" w:rsidR="00C455E5" w:rsidRPr="009C58C4" w:rsidRDefault="00C455E5" w:rsidP="00226369">
      <w:pPr>
        <w:keepNext/>
        <w:jc w:val="both"/>
        <w:rPr>
          <w:sz w:val="22"/>
          <w:szCs w:val="22"/>
          <w:u w:val="single"/>
          <w:lang w:val="sr-Latn-ME"/>
        </w:rPr>
      </w:pPr>
      <w:r w:rsidRPr="009C58C4">
        <w:rPr>
          <w:sz w:val="22"/>
          <w:szCs w:val="22"/>
          <w:u w:val="single"/>
          <w:lang w:val="sr-Latn-ME"/>
        </w:rPr>
        <w:t>Osip</w:t>
      </w:r>
    </w:p>
    <w:p w14:paraId="79712238" w14:textId="77777777" w:rsidR="00C455E5" w:rsidRPr="009C58C4" w:rsidRDefault="00C455E5" w:rsidP="00226369">
      <w:pPr>
        <w:keepNext/>
        <w:jc w:val="both"/>
        <w:rPr>
          <w:sz w:val="22"/>
          <w:szCs w:val="22"/>
          <w:lang w:val="sr-Latn-ME"/>
        </w:rPr>
      </w:pPr>
    </w:p>
    <w:p w14:paraId="043AC931" w14:textId="06FEF0BB" w:rsidR="00C455E5" w:rsidRPr="009C58C4" w:rsidRDefault="00C455E5" w:rsidP="00226369">
      <w:pPr>
        <w:jc w:val="both"/>
        <w:rPr>
          <w:sz w:val="22"/>
          <w:szCs w:val="22"/>
          <w:lang w:val="sr-Latn-ME"/>
        </w:rPr>
      </w:pPr>
      <w:r w:rsidRPr="009C58C4">
        <w:rPr>
          <w:sz w:val="22"/>
          <w:szCs w:val="22"/>
          <w:lang w:val="sr-Latn-ME"/>
        </w:rPr>
        <w:t xml:space="preserve">Osip je zabeležen kod 49% pedijatrijskih pacijenata u kliničkim ispitivanjima kada je trametinib </w:t>
      </w:r>
      <w:r w:rsidR="007F2563" w:rsidRPr="009C58C4">
        <w:rPr>
          <w:sz w:val="22"/>
          <w:szCs w:val="22"/>
          <w:lang w:val="sr-Latn-ME"/>
        </w:rPr>
        <w:t>primijen</w:t>
      </w:r>
      <w:r w:rsidRPr="009C58C4">
        <w:rPr>
          <w:sz w:val="22"/>
          <w:szCs w:val="22"/>
          <w:lang w:val="sr-Latn-ME"/>
        </w:rPr>
        <w:t>jen u kombinaciji s</w:t>
      </w:r>
      <w:r w:rsidR="00204063" w:rsidRPr="009C58C4">
        <w:rPr>
          <w:sz w:val="22"/>
          <w:szCs w:val="22"/>
          <w:lang w:val="sr-Latn-ME"/>
        </w:rPr>
        <w:t>a</w:t>
      </w:r>
      <w:r w:rsidRPr="009C58C4">
        <w:rPr>
          <w:sz w:val="22"/>
          <w:szCs w:val="22"/>
          <w:lang w:val="sr-Latn-ME"/>
        </w:rPr>
        <w:t xml:space="preserve"> dabrafenibom (</w:t>
      </w:r>
      <w:r w:rsidR="00F46CDF" w:rsidRPr="009C58C4">
        <w:rPr>
          <w:sz w:val="22"/>
          <w:szCs w:val="22"/>
          <w:lang w:val="sr-Latn-ME"/>
        </w:rPr>
        <w:t>vidjet</w:t>
      </w:r>
      <w:r w:rsidRPr="009C58C4">
        <w:rPr>
          <w:sz w:val="22"/>
          <w:szCs w:val="22"/>
          <w:lang w:val="sr-Latn-ME"/>
        </w:rPr>
        <w:t>i</w:t>
      </w:r>
      <w:r w:rsidR="00C97935" w:rsidRPr="009C58C4">
        <w:rPr>
          <w:sz w:val="22"/>
          <w:szCs w:val="22"/>
          <w:lang w:val="sr-Latn-ME"/>
        </w:rPr>
        <w:t xml:space="preserve"> </w:t>
      </w:r>
      <w:r w:rsidR="00C87F6C" w:rsidRPr="009C58C4">
        <w:rPr>
          <w:sz w:val="22"/>
          <w:szCs w:val="22"/>
          <w:lang w:val="sr-Latn-ME"/>
        </w:rPr>
        <w:t>dio</w:t>
      </w:r>
      <w:r w:rsidRPr="009C58C4">
        <w:rPr>
          <w:sz w:val="22"/>
          <w:szCs w:val="22"/>
          <w:lang w:val="sr-Latn-ME"/>
        </w:rPr>
        <w:t xml:space="preserve"> 4.8). Većina tih slučajeva bila je gradusa 1 ili 2 i nije zahtevala privremeni prekid </w:t>
      </w:r>
      <w:r w:rsidR="007F2563" w:rsidRPr="009C58C4">
        <w:rPr>
          <w:sz w:val="22"/>
          <w:szCs w:val="22"/>
          <w:lang w:val="sr-Latn-ME"/>
        </w:rPr>
        <w:t>primjen</w:t>
      </w:r>
      <w:r w:rsidRPr="009C58C4">
        <w:rPr>
          <w:sz w:val="22"/>
          <w:szCs w:val="22"/>
          <w:lang w:val="sr-Latn-ME"/>
        </w:rPr>
        <w:t>e niti smanjenje doze.</w:t>
      </w:r>
    </w:p>
    <w:p w14:paraId="5E45003E" w14:textId="77777777" w:rsidR="00C455E5" w:rsidRPr="009C58C4" w:rsidRDefault="00C455E5" w:rsidP="00226369">
      <w:pPr>
        <w:jc w:val="both"/>
        <w:rPr>
          <w:sz w:val="22"/>
          <w:szCs w:val="22"/>
          <w:lang w:val="sr-Latn-ME"/>
        </w:rPr>
      </w:pPr>
    </w:p>
    <w:p w14:paraId="18272125" w14:textId="77777777" w:rsidR="00C455E5" w:rsidRPr="009C58C4" w:rsidRDefault="00C455E5" w:rsidP="00226369">
      <w:pPr>
        <w:widowControl w:val="0"/>
        <w:jc w:val="both"/>
        <w:rPr>
          <w:sz w:val="22"/>
          <w:szCs w:val="22"/>
          <w:u w:val="single"/>
          <w:lang w:val="sr-Latn-ME"/>
        </w:rPr>
      </w:pPr>
      <w:r w:rsidRPr="009C58C4">
        <w:rPr>
          <w:sz w:val="22"/>
          <w:szCs w:val="22"/>
          <w:u w:val="single"/>
          <w:lang w:val="sr-Latn-ME"/>
        </w:rPr>
        <w:t>Teške neželjene reakcije na koži</w:t>
      </w:r>
    </w:p>
    <w:p w14:paraId="302F3B05" w14:textId="77777777" w:rsidR="00C455E5" w:rsidRPr="009C58C4" w:rsidRDefault="00C455E5" w:rsidP="00226369">
      <w:pPr>
        <w:keepNext/>
        <w:tabs>
          <w:tab w:val="left" w:pos="720"/>
        </w:tabs>
        <w:jc w:val="both"/>
        <w:rPr>
          <w:sz w:val="22"/>
          <w:szCs w:val="22"/>
          <w:lang w:val="sr-Latn-ME"/>
        </w:rPr>
      </w:pPr>
    </w:p>
    <w:p w14:paraId="1EF7F999" w14:textId="1C0FAC91" w:rsidR="00C455E5" w:rsidRPr="009C58C4" w:rsidRDefault="00C455E5" w:rsidP="00B177C5">
      <w:pPr>
        <w:jc w:val="both"/>
        <w:rPr>
          <w:sz w:val="22"/>
          <w:szCs w:val="22"/>
          <w:lang w:val="sr-Latn-ME"/>
        </w:rPr>
      </w:pPr>
      <w:r w:rsidRPr="009C58C4">
        <w:rPr>
          <w:sz w:val="22"/>
          <w:szCs w:val="22"/>
          <w:lang w:val="sr-Latn-ME"/>
        </w:rPr>
        <w:t xml:space="preserve">Prijavljeni su slučajevi teških neželjenih reakcija na koži (engl. </w:t>
      </w:r>
      <w:r w:rsidRPr="009C58C4">
        <w:rPr>
          <w:i/>
          <w:sz w:val="22"/>
          <w:szCs w:val="22"/>
          <w:lang w:val="sr-Latn-ME"/>
        </w:rPr>
        <w:t>severe cutaneous adverse reactions,</w:t>
      </w:r>
      <w:r w:rsidRPr="009C58C4">
        <w:rPr>
          <w:sz w:val="22"/>
          <w:szCs w:val="22"/>
          <w:lang w:val="sr-Latn-ME"/>
        </w:rPr>
        <w:t xml:space="preserve"> SCARs), uključujući </w:t>
      </w:r>
      <w:r w:rsidRPr="009C58C4">
        <w:rPr>
          <w:i/>
          <w:sz w:val="22"/>
          <w:szCs w:val="22"/>
          <w:lang w:val="sr-Latn-ME"/>
        </w:rPr>
        <w:t>Stevens-Johnson</w:t>
      </w:r>
      <w:r w:rsidRPr="009C58C4">
        <w:rPr>
          <w:sz w:val="22"/>
          <w:szCs w:val="22"/>
          <w:lang w:val="sr-Latn-ME"/>
        </w:rPr>
        <w:t xml:space="preserve">-ov sindrom i reakcije na </w:t>
      </w:r>
      <w:r w:rsidR="007F2563" w:rsidRPr="009C58C4">
        <w:rPr>
          <w:sz w:val="22"/>
          <w:szCs w:val="22"/>
          <w:lang w:val="sr-Latn-ME"/>
        </w:rPr>
        <w:t>lijek</w:t>
      </w:r>
      <w:r w:rsidRPr="009C58C4">
        <w:rPr>
          <w:sz w:val="22"/>
          <w:szCs w:val="22"/>
          <w:lang w:val="sr-Latn-ME"/>
        </w:rPr>
        <w:t xml:space="preserve"> sa eozinofilijom i sistemskim simptomima (engl</w:t>
      </w:r>
      <w:r w:rsidRPr="009C58C4">
        <w:rPr>
          <w:i/>
          <w:sz w:val="22"/>
          <w:szCs w:val="22"/>
          <w:lang w:val="sr-Latn-ME"/>
        </w:rPr>
        <w:t>. drug reaction with eosinophilia and systemic symptoms</w:t>
      </w:r>
      <w:r w:rsidRPr="009C58C4">
        <w:rPr>
          <w:sz w:val="22"/>
          <w:szCs w:val="22"/>
          <w:lang w:val="sr-Latn-ME"/>
        </w:rPr>
        <w:t xml:space="preserve">, DRESS), koje mogu biti životno ugrožavajuće ili smrtonosne, tokom kombinovane terapije </w:t>
      </w:r>
      <w:r w:rsidR="007F2563" w:rsidRPr="009C58C4">
        <w:rPr>
          <w:sz w:val="22"/>
          <w:szCs w:val="22"/>
          <w:lang w:val="sr-Latn-ME"/>
        </w:rPr>
        <w:t>ljek</w:t>
      </w:r>
      <w:r w:rsidRPr="009C58C4">
        <w:rPr>
          <w:sz w:val="22"/>
          <w:szCs w:val="22"/>
          <w:lang w:val="sr-Latn-ME"/>
        </w:rPr>
        <w:t xml:space="preserve">ovima trametinibom/dabrafenibom kod odraslih pacijenata. Pre započinjanja </w:t>
      </w:r>
      <w:r w:rsidR="007F2563" w:rsidRPr="009C58C4">
        <w:rPr>
          <w:sz w:val="22"/>
          <w:szCs w:val="22"/>
          <w:lang w:val="sr-Latn-ME"/>
        </w:rPr>
        <w:t>liječ</w:t>
      </w:r>
      <w:r w:rsidRPr="009C58C4">
        <w:rPr>
          <w:sz w:val="22"/>
          <w:szCs w:val="22"/>
          <w:lang w:val="sr-Latn-ME"/>
        </w:rPr>
        <w:t>enja, pacijenta treba po</w:t>
      </w:r>
      <w:r w:rsidR="0091092E" w:rsidRPr="009C58C4">
        <w:rPr>
          <w:sz w:val="22"/>
          <w:szCs w:val="22"/>
          <w:lang w:val="sr-Latn-ME"/>
        </w:rPr>
        <w:t>savjet</w:t>
      </w:r>
      <w:r w:rsidRPr="009C58C4">
        <w:rPr>
          <w:sz w:val="22"/>
          <w:szCs w:val="22"/>
          <w:lang w:val="sr-Latn-ME"/>
        </w:rPr>
        <w:t xml:space="preserve">ovati na znake i simptome i pažljivo pratiti reakcije na koži. Ukoliko znaci i simptomi ukazuju na SCARs, potrebno je prekinuti </w:t>
      </w:r>
      <w:r w:rsidR="007F2563" w:rsidRPr="009C58C4">
        <w:rPr>
          <w:sz w:val="22"/>
          <w:szCs w:val="22"/>
          <w:lang w:val="sr-Latn-ME"/>
        </w:rPr>
        <w:t>liječ</w:t>
      </w:r>
      <w:r w:rsidRPr="009C58C4">
        <w:rPr>
          <w:sz w:val="22"/>
          <w:szCs w:val="22"/>
          <w:lang w:val="sr-Latn-ME"/>
        </w:rPr>
        <w:t>enje.</w:t>
      </w:r>
    </w:p>
    <w:p w14:paraId="2A2F20B3" w14:textId="77777777" w:rsidR="00C455E5" w:rsidRPr="009C58C4" w:rsidRDefault="00C455E5" w:rsidP="00226369">
      <w:pPr>
        <w:jc w:val="both"/>
        <w:rPr>
          <w:sz w:val="22"/>
          <w:szCs w:val="22"/>
          <w:lang w:val="sr-Latn-ME"/>
        </w:rPr>
      </w:pPr>
    </w:p>
    <w:p w14:paraId="6D063CC1" w14:textId="77777777" w:rsidR="00C455E5" w:rsidRPr="009C58C4" w:rsidRDefault="00C455E5" w:rsidP="00226369">
      <w:pPr>
        <w:keepNext/>
        <w:jc w:val="both"/>
        <w:rPr>
          <w:sz w:val="22"/>
          <w:szCs w:val="22"/>
          <w:u w:val="single"/>
          <w:lang w:val="sr-Latn-ME"/>
        </w:rPr>
      </w:pPr>
      <w:r w:rsidRPr="009C58C4">
        <w:rPr>
          <w:sz w:val="22"/>
          <w:szCs w:val="22"/>
          <w:u w:val="single"/>
          <w:lang w:val="sr-Latn-ME"/>
        </w:rPr>
        <w:t>Rabdomioliza</w:t>
      </w:r>
    </w:p>
    <w:p w14:paraId="2355AE21" w14:textId="77777777" w:rsidR="00C455E5" w:rsidRPr="009C58C4" w:rsidRDefault="00C455E5" w:rsidP="00226369">
      <w:pPr>
        <w:keepNext/>
        <w:jc w:val="both"/>
        <w:rPr>
          <w:sz w:val="22"/>
          <w:szCs w:val="22"/>
          <w:lang w:val="sr-Latn-ME"/>
        </w:rPr>
      </w:pPr>
    </w:p>
    <w:p w14:paraId="2905DEC3" w14:textId="7819153C" w:rsidR="00C455E5" w:rsidRPr="009C58C4" w:rsidRDefault="00C455E5" w:rsidP="00226369">
      <w:pPr>
        <w:jc w:val="both"/>
        <w:rPr>
          <w:sz w:val="22"/>
          <w:szCs w:val="22"/>
          <w:lang w:val="sr-Latn-ME"/>
        </w:rPr>
      </w:pPr>
      <w:r w:rsidRPr="009C58C4">
        <w:rPr>
          <w:sz w:val="22"/>
          <w:szCs w:val="22"/>
          <w:lang w:val="sr-Latn-ME"/>
        </w:rPr>
        <w:t>Rabdomioliza je prijavljena kod odraslih pacijenata koji su uzimali trametinib.</w:t>
      </w:r>
      <w:bookmarkStart w:id="17" w:name="_Hlk129614114"/>
      <w:r w:rsidRPr="009C58C4">
        <w:rPr>
          <w:sz w:val="22"/>
          <w:szCs w:val="22"/>
          <w:lang w:val="sr-Latn-ME"/>
        </w:rPr>
        <w:t xml:space="preserve"> U nekim slučajevima pacijenti su mogli nastaviti </w:t>
      </w:r>
      <w:r w:rsidR="007F2563" w:rsidRPr="009C58C4">
        <w:rPr>
          <w:sz w:val="22"/>
          <w:szCs w:val="22"/>
          <w:lang w:val="sr-Latn-ME"/>
        </w:rPr>
        <w:t>liječ</w:t>
      </w:r>
      <w:r w:rsidRPr="009C58C4">
        <w:rPr>
          <w:sz w:val="22"/>
          <w:szCs w:val="22"/>
          <w:lang w:val="sr-Latn-ME"/>
        </w:rPr>
        <w:t>enje trametinibom. U težim slučajevima, bila je potrebna hospitalizacija, privremeni ili trajni prekid terapije.</w:t>
      </w:r>
      <w:bookmarkEnd w:id="17"/>
      <w:r w:rsidRPr="009C58C4">
        <w:rPr>
          <w:sz w:val="22"/>
          <w:szCs w:val="22"/>
          <w:lang w:val="sr-Latn-ME"/>
        </w:rPr>
        <w:t xml:space="preserve"> Znakovi ili simptomi rabdomiolize moraju se odgovarajuće klinički </w:t>
      </w:r>
      <w:r w:rsidR="007F2563" w:rsidRPr="009C58C4">
        <w:rPr>
          <w:sz w:val="22"/>
          <w:szCs w:val="22"/>
          <w:lang w:val="sr-Latn-ME"/>
        </w:rPr>
        <w:t>procijen</w:t>
      </w:r>
      <w:r w:rsidRPr="009C58C4">
        <w:rPr>
          <w:sz w:val="22"/>
          <w:szCs w:val="22"/>
          <w:lang w:val="sr-Latn-ME"/>
        </w:rPr>
        <w:t xml:space="preserve">iti i </w:t>
      </w:r>
      <w:r w:rsidR="007F2563" w:rsidRPr="009C58C4">
        <w:rPr>
          <w:sz w:val="22"/>
          <w:szCs w:val="22"/>
          <w:lang w:val="sr-Latn-ME"/>
        </w:rPr>
        <w:t>liječ</w:t>
      </w:r>
      <w:r w:rsidRPr="009C58C4">
        <w:rPr>
          <w:sz w:val="22"/>
          <w:szCs w:val="22"/>
          <w:lang w:val="sr-Latn-ME"/>
        </w:rPr>
        <w:t>iti kako je indikovano.</w:t>
      </w:r>
    </w:p>
    <w:p w14:paraId="613FB036" w14:textId="77777777" w:rsidR="00C455E5" w:rsidRPr="009C58C4" w:rsidRDefault="00C455E5" w:rsidP="00226369">
      <w:pPr>
        <w:autoSpaceDE w:val="0"/>
        <w:autoSpaceDN w:val="0"/>
        <w:adjustRightInd w:val="0"/>
        <w:jc w:val="both"/>
        <w:rPr>
          <w:rFonts w:eastAsia="SimSun"/>
          <w:sz w:val="22"/>
          <w:szCs w:val="22"/>
          <w:lang w:val="sr-Latn-ME" w:eastAsia="en-GB"/>
        </w:rPr>
      </w:pPr>
    </w:p>
    <w:p w14:paraId="6357EB7F" w14:textId="77777777" w:rsidR="00C455E5" w:rsidRPr="009C58C4" w:rsidRDefault="00C455E5" w:rsidP="00226369">
      <w:pPr>
        <w:keepNext/>
        <w:jc w:val="both"/>
        <w:rPr>
          <w:rFonts w:eastAsia="SimSun"/>
          <w:sz w:val="22"/>
          <w:szCs w:val="22"/>
          <w:u w:val="single"/>
          <w:lang w:val="sr-Latn-ME" w:eastAsia="en-GB"/>
        </w:rPr>
      </w:pPr>
      <w:r w:rsidRPr="009C58C4">
        <w:rPr>
          <w:rFonts w:eastAsia="SimSun"/>
          <w:sz w:val="22"/>
          <w:szCs w:val="22"/>
          <w:u w:val="single"/>
          <w:lang w:val="sr-Latn-ME" w:eastAsia="en-GB"/>
        </w:rPr>
        <w:t>Pankreatitis</w:t>
      </w:r>
    </w:p>
    <w:p w14:paraId="3EF245D9" w14:textId="77777777" w:rsidR="00C455E5" w:rsidRPr="009C58C4" w:rsidRDefault="00C455E5" w:rsidP="00226369">
      <w:pPr>
        <w:keepNext/>
        <w:jc w:val="both"/>
        <w:rPr>
          <w:rFonts w:eastAsia="SimSun"/>
          <w:sz w:val="22"/>
          <w:szCs w:val="22"/>
          <w:lang w:val="sr-Latn-ME" w:eastAsia="en-GB"/>
        </w:rPr>
      </w:pPr>
    </w:p>
    <w:p w14:paraId="6F6E6015" w14:textId="54281895" w:rsidR="00C455E5" w:rsidRPr="009C58C4" w:rsidRDefault="00C455E5" w:rsidP="00226369">
      <w:pPr>
        <w:autoSpaceDE w:val="0"/>
        <w:autoSpaceDN w:val="0"/>
        <w:adjustRightInd w:val="0"/>
        <w:jc w:val="both"/>
        <w:rPr>
          <w:rFonts w:eastAsia="SimSun"/>
          <w:sz w:val="22"/>
          <w:szCs w:val="22"/>
          <w:lang w:val="sr-Latn-ME" w:eastAsia="en-GB"/>
        </w:rPr>
      </w:pPr>
      <w:r w:rsidRPr="009C58C4">
        <w:rPr>
          <w:rFonts w:eastAsia="SimSun"/>
          <w:sz w:val="22"/>
          <w:szCs w:val="22"/>
          <w:lang w:val="sr-Latn-ME" w:eastAsia="en-GB"/>
        </w:rPr>
        <w:t xml:space="preserve">Pankreatitis je zabeležen kod odraslih i pedijatrijskih pacijenata </w:t>
      </w:r>
      <w:r w:rsidR="007F2563" w:rsidRPr="009C58C4">
        <w:rPr>
          <w:rFonts w:eastAsia="SimSun"/>
          <w:sz w:val="22"/>
          <w:szCs w:val="22"/>
          <w:lang w:val="sr-Latn-ME" w:eastAsia="en-GB"/>
        </w:rPr>
        <w:t>liječ</w:t>
      </w:r>
      <w:r w:rsidRPr="009C58C4">
        <w:rPr>
          <w:rFonts w:eastAsia="SimSun"/>
          <w:sz w:val="22"/>
          <w:szCs w:val="22"/>
          <w:lang w:val="sr-Latn-ME" w:eastAsia="en-GB"/>
        </w:rPr>
        <w:t>enih trametinibom u kombinaciji s</w:t>
      </w:r>
      <w:r w:rsidR="00204063" w:rsidRPr="009C58C4">
        <w:rPr>
          <w:rFonts w:eastAsia="SimSun"/>
          <w:sz w:val="22"/>
          <w:szCs w:val="22"/>
          <w:lang w:val="sr-Latn-ME" w:eastAsia="en-GB"/>
        </w:rPr>
        <w:t>a</w:t>
      </w:r>
      <w:r w:rsidRPr="009C58C4">
        <w:rPr>
          <w:rFonts w:eastAsia="SimSun"/>
          <w:sz w:val="22"/>
          <w:szCs w:val="22"/>
          <w:lang w:val="sr-Latn-ME" w:eastAsia="en-GB"/>
        </w:rPr>
        <w:t xml:space="preserve"> dabrafenibom u kliničkim ispitivanjima (</w:t>
      </w:r>
      <w:r w:rsidR="00F46CDF" w:rsidRPr="009C58C4">
        <w:rPr>
          <w:rFonts w:eastAsia="SimSun"/>
          <w:sz w:val="22"/>
          <w:szCs w:val="22"/>
          <w:lang w:val="sr-Latn-ME" w:eastAsia="en-GB"/>
        </w:rPr>
        <w:t>vidjet</w:t>
      </w:r>
      <w:r w:rsidRPr="009C58C4">
        <w:rPr>
          <w:rFonts w:eastAsia="SimSun"/>
          <w:sz w:val="22"/>
          <w:szCs w:val="22"/>
          <w:lang w:val="sr-Latn-ME" w:eastAsia="en-GB"/>
        </w:rPr>
        <w:t>i</w:t>
      </w:r>
      <w:r w:rsidR="00204063" w:rsidRPr="009C58C4">
        <w:rPr>
          <w:rFonts w:eastAsia="SimSun"/>
          <w:sz w:val="22"/>
          <w:szCs w:val="22"/>
          <w:lang w:val="sr-Latn-ME" w:eastAsia="en-GB"/>
        </w:rPr>
        <w:t xml:space="preserve"> </w:t>
      </w:r>
      <w:r w:rsidR="00C87F6C" w:rsidRPr="009C58C4">
        <w:rPr>
          <w:rFonts w:eastAsia="SimSun"/>
          <w:sz w:val="22"/>
          <w:szCs w:val="22"/>
          <w:lang w:val="sr-Latn-ME" w:eastAsia="en-GB"/>
        </w:rPr>
        <w:t>dio</w:t>
      </w:r>
      <w:r w:rsidRPr="009C58C4">
        <w:rPr>
          <w:rFonts w:eastAsia="SimSun"/>
          <w:sz w:val="22"/>
          <w:szCs w:val="22"/>
          <w:lang w:val="sr-Latn-ME" w:eastAsia="en-GB"/>
        </w:rPr>
        <w:t> 4.8). Neobjašnjive bolove u abdomenu potrebno je hitno ispitati</w:t>
      </w:r>
      <w:r w:rsidRPr="009C58C4">
        <w:rPr>
          <w:sz w:val="22"/>
          <w:szCs w:val="22"/>
          <w:lang w:val="sr-Latn-ME"/>
        </w:rPr>
        <w:t>, a ispitivanja treba da uključe merenje amilaza i lipaza u serumu</w:t>
      </w:r>
      <w:r w:rsidRPr="009C58C4">
        <w:rPr>
          <w:rFonts w:eastAsia="SimSun"/>
          <w:sz w:val="22"/>
          <w:szCs w:val="22"/>
          <w:lang w:val="sr-Latn-ME" w:eastAsia="en-GB"/>
        </w:rPr>
        <w:t xml:space="preserve">. Nakon epizode pankreatitisa, </w:t>
      </w:r>
      <w:r w:rsidRPr="009C58C4">
        <w:rPr>
          <w:sz w:val="22"/>
          <w:szCs w:val="22"/>
          <w:lang w:val="sr-Latn-ME"/>
        </w:rPr>
        <w:t xml:space="preserve">pacijente treba pažljivo pratiti pri ponovnom započinjenju </w:t>
      </w:r>
      <w:r w:rsidR="007F2563" w:rsidRPr="009C58C4">
        <w:rPr>
          <w:sz w:val="22"/>
          <w:szCs w:val="22"/>
          <w:lang w:val="sr-Latn-ME"/>
        </w:rPr>
        <w:t>liječ</w:t>
      </w:r>
      <w:r w:rsidRPr="009C58C4">
        <w:rPr>
          <w:sz w:val="22"/>
          <w:szCs w:val="22"/>
          <w:lang w:val="sr-Latn-ME"/>
        </w:rPr>
        <w:t>enja</w:t>
      </w:r>
      <w:r w:rsidRPr="009C58C4">
        <w:rPr>
          <w:rFonts w:eastAsia="SimSun"/>
          <w:sz w:val="22"/>
          <w:szCs w:val="22"/>
          <w:lang w:val="sr-Latn-ME" w:eastAsia="en-GB"/>
        </w:rPr>
        <w:t>.</w:t>
      </w:r>
    </w:p>
    <w:p w14:paraId="7869060E" w14:textId="77777777" w:rsidR="00C455E5" w:rsidRPr="009C58C4" w:rsidRDefault="00C455E5" w:rsidP="00226369">
      <w:pPr>
        <w:autoSpaceDE w:val="0"/>
        <w:autoSpaceDN w:val="0"/>
        <w:adjustRightInd w:val="0"/>
        <w:jc w:val="both"/>
        <w:rPr>
          <w:rFonts w:eastAsia="Calibri"/>
          <w:bCs/>
          <w:sz w:val="22"/>
          <w:szCs w:val="22"/>
          <w:lang w:val="sr-Latn-ME"/>
        </w:rPr>
      </w:pPr>
    </w:p>
    <w:p w14:paraId="701A2DCF" w14:textId="77777777" w:rsidR="00C455E5" w:rsidRPr="009C58C4" w:rsidRDefault="00C455E5" w:rsidP="00226369">
      <w:pPr>
        <w:keepNext/>
        <w:jc w:val="both"/>
        <w:rPr>
          <w:sz w:val="22"/>
          <w:szCs w:val="22"/>
          <w:u w:val="single"/>
          <w:lang w:val="sr-Latn-ME"/>
        </w:rPr>
      </w:pPr>
      <w:r w:rsidRPr="009C58C4">
        <w:rPr>
          <w:sz w:val="22"/>
          <w:szCs w:val="22"/>
          <w:u w:val="single"/>
          <w:lang w:val="sr-Latn-ME"/>
        </w:rPr>
        <w:lastRenderedPageBreak/>
        <w:t>Bubrežna insuficijencija</w:t>
      </w:r>
    </w:p>
    <w:p w14:paraId="375C5F9A" w14:textId="77777777" w:rsidR="00C455E5" w:rsidRPr="009C58C4" w:rsidRDefault="00C455E5" w:rsidP="00226369">
      <w:pPr>
        <w:keepNext/>
        <w:jc w:val="both"/>
        <w:rPr>
          <w:rFonts w:eastAsia="SimSun"/>
          <w:sz w:val="22"/>
          <w:szCs w:val="22"/>
          <w:lang w:val="sr-Latn-ME" w:eastAsia="en-GB"/>
        </w:rPr>
      </w:pPr>
    </w:p>
    <w:p w14:paraId="6DCC6518" w14:textId="153C66EA" w:rsidR="00C455E5" w:rsidRPr="009C58C4" w:rsidRDefault="00C455E5" w:rsidP="00226369">
      <w:pPr>
        <w:jc w:val="both"/>
        <w:rPr>
          <w:sz w:val="22"/>
          <w:szCs w:val="22"/>
          <w:lang w:val="sr-Latn-ME"/>
        </w:rPr>
      </w:pPr>
      <w:r w:rsidRPr="009C58C4">
        <w:rPr>
          <w:sz w:val="22"/>
          <w:szCs w:val="22"/>
          <w:lang w:val="sr-Latn-ME"/>
        </w:rPr>
        <w:t xml:space="preserve">Bubrežna insuficijencija je ustanovljena kod ≤1% odraslih pacijenata </w:t>
      </w:r>
      <w:r w:rsidR="007F2563" w:rsidRPr="009C58C4">
        <w:rPr>
          <w:sz w:val="22"/>
          <w:szCs w:val="22"/>
          <w:lang w:val="sr-Latn-ME"/>
        </w:rPr>
        <w:t>liječ</w:t>
      </w:r>
      <w:r w:rsidRPr="009C58C4">
        <w:rPr>
          <w:sz w:val="22"/>
          <w:szCs w:val="22"/>
          <w:lang w:val="sr-Latn-ME"/>
        </w:rPr>
        <w:t xml:space="preserve">enih trametinibom u kombinaciji sa dabrafenibom. Primećeni slučajevi kod odraslih pacijenata su bili povezani sa pireksijom i dehidracijom, i dobro su reagovali na privremeni prekid doziranja i opšte suportivne mere. Granulomatozni nefritis je takođe prijavljen kod odraslih pacijenata. Tokom </w:t>
      </w:r>
      <w:r w:rsidR="007F2563" w:rsidRPr="009C58C4">
        <w:rPr>
          <w:sz w:val="22"/>
          <w:szCs w:val="22"/>
          <w:lang w:val="sr-Latn-ME"/>
        </w:rPr>
        <w:t>liječ</w:t>
      </w:r>
      <w:r w:rsidRPr="009C58C4">
        <w:rPr>
          <w:sz w:val="22"/>
          <w:szCs w:val="22"/>
          <w:lang w:val="sr-Latn-ME"/>
        </w:rPr>
        <w:t xml:space="preserve">enja, pacijentima je potrebno redovno kontrolisati kreatinin u serumu. U slučaju porasta serumskog kreatinina, možda će biti potrebno privremeno prekinuti </w:t>
      </w:r>
      <w:r w:rsidR="007F2563" w:rsidRPr="009C58C4">
        <w:rPr>
          <w:sz w:val="22"/>
          <w:szCs w:val="22"/>
          <w:lang w:val="sr-Latn-ME"/>
        </w:rPr>
        <w:t>liječ</w:t>
      </w:r>
      <w:r w:rsidRPr="009C58C4">
        <w:rPr>
          <w:sz w:val="22"/>
          <w:szCs w:val="22"/>
          <w:lang w:val="sr-Latn-ME"/>
        </w:rPr>
        <w:t>enje ako je to klinički indikovano. Trametinib nije ispitivan kod pacijenata s</w:t>
      </w:r>
      <w:r w:rsidR="00204063" w:rsidRPr="009C58C4">
        <w:rPr>
          <w:sz w:val="22"/>
          <w:szCs w:val="22"/>
          <w:lang w:val="sr-Latn-ME"/>
        </w:rPr>
        <w:t>a</w:t>
      </w:r>
      <w:r w:rsidRPr="009C58C4">
        <w:rPr>
          <w:sz w:val="22"/>
          <w:szCs w:val="22"/>
          <w:lang w:val="sr-Latn-ME"/>
        </w:rPr>
        <w:t xml:space="preserve"> bubrežnom insuficijencijom (definisana kao kreatinin &gt;1,5 x GGN-gornja granica normalne </w:t>
      </w:r>
      <w:r w:rsidR="00F46CDF" w:rsidRPr="009C58C4">
        <w:rPr>
          <w:sz w:val="22"/>
          <w:szCs w:val="22"/>
          <w:lang w:val="sr-Latn-ME"/>
        </w:rPr>
        <w:t>vrijednost</w:t>
      </w:r>
      <w:r w:rsidRPr="009C58C4">
        <w:rPr>
          <w:sz w:val="22"/>
          <w:szCs w:val="22"/>
          <w:lang w:val="sr-Latn-ME"/>
        </w:rPr>
        <w:t>i), zbog čega je potreban oprez u ovakvim slučajevima (</w:t>
      </w:r>
      <w:r w:rsidR="00F46CDF" w:rsidRPr="009C58C4">
        <w:rPr>
          <w:sz w:val="22"/>
          <w:szCs w:val="22"/>
          <w:lang w:val="sr-Latn-ME"/>
        </w:rPr>
        <w:t>vidjet</w:t>
      </w:r>
      <w:r w:rsidRPr="009C58C4">
        <w:rPr>
          <w:sz w:val="22"/>
          <w:szCs w:val="22"/>
          <w:lang w:val="sr-Latn-ME"/>
        </w:rPr>
        <w:t>i</w:t>
      </w:r>
      <w:r w:rsidR="00204063" w:rsidRPr="009C58C4">
        <w:rPr>
          <w:sz w:val="22"/>
          <w:szCs w:val="22"/>
          <w:lang w:val="sr-Latn-ME"/>
        </w:rPr>
        <w:t xml:space="preserve"> </w:t>
      </w:r>
      <w:r w:rsidR="00C87F6C" w:rsidRPr="009C58C4">
        <w:rPr>
          <w:sz w:val="22"/>
          <w:szCs w:val="22"/>
          <w:lang w:val="sr-Latn-ME"/>
        </w:rPr>
        <w:t>dio</w:t>
      </w:r>
      <w:r w:rsidRPr="009C58C4">
        <w:rPr>
          <w:sz w:val="22"/>
          <w:szCs w:val="22"/>
          <w:lang w:val="sr-Latn-ME"/>
        </w:rPr>
        <w:t> 5.2).</w:t>
      </w:r>
    </w:p>
    <w:p w14:paraId="554F34DE" w14:textId="77777777" w:rsidR="00C455E5" w:rsidRPr="009C58C4" w:rsidRDefault="00C455E5" w:rsidP="00226369">
      <w:pPr>
        <w:jc w:val="both"/>
        <w:rPr>
          <w:sz w:val="22"/>
          <w:szCs w:val="22"/>
          <w:lang w:val="sr-Latn-ME"/>
        </w:rPr>
      </w:pPr>
    </w:p>
    <w:p w14:paraId="5AABF8E5" w14:textId="77777777" w:rsidR="00C455E5" w:rsidRPr="009C58C4" w:rsidRDefault="00C455E5" w:rsidP="00226369">
      <w:pPr>
        <w:widowControl w:val="0"/>
        <w:jc w:val="both"/>
        <w:rPr>
          <w:sz w:val="22"/>
          <w:szCs w:val="22"/>
          <w:u w:val="single"/>
          <w:lang w:val="sr-Latn-ME"/>
        </w:rPr>
      </w:pPr>
      <w:r w:rsidRPr="009C58C4">
        <w:rPr>
          <w:sz w:val="22"/>
          <w:szCs w:val="22"/>
          <w:u w:val="single"/>
          <w:lang w:val="sr-Latn-ME"/>
        </w:rPr>
        <w:t>Događaji na nivou jetre</w:t>
      </w:r>
    </w:p>
    <w:p w14:paraId="127857A4" w14:textId="77777777" w:rsidR="00C455E5" w:rsidRPr="009C58C4" w:rsidRDefault="00C455E5" w:rsidP="00226369">
      <w:pPr>
        <w:keepNext/>
        <w:contextualSpacing/>
        <w:jc w:val="both"/>
        <w:rPr>
          <w:sz w:val="22"/>
          <w:szCs w:val="22"/>
          <w:lang w:val="sr-Latn-ME"/>
        </w:rPr>
      </w:pPr>
    </w:p>
    <w:p w14:paraId="2DC6D804" w14:textId="466DEE39" w:rsidR="00C455E5" w:rsidRPr="009C58C4" w:rsidRDefault="00C455E5" w:rsidP="00226369">
      <w:pPr>
        <w:contextualSpacing/>
        <w:jc w:val="both"/>
        <w:rPr>
          <w:sz w:val="22"/>
          <w:szCs w:val="22"/>
          <w:lang w:val="sr-Latn-ME"/>
        </w:rPr>
      </w:pPr>
      <w:r w:rsidRPr="009C58C4">
        <w:rPr>
          <w:sz w:val="22"/>
          <w:szCs w:val="22"/>
          <w:lang w:val="sr-Latn-ME"/>
        </w:rPr>
        <w:t xml:space="preserve">Neželjene reakcije na nivou jetre su prijavljene u kliničkim ispitivanjima kod odraslih i pedijatrijskih pacijenata </w:t>
      </w:r>
      <w:r w:rsidR="007F2563" w:rsidRPr="009C58C4">
        <w:rPr>
          <w:sz w:val="22"/>
          <w:szCs w:val="22"/>
          <w:lang w:val="sr-Latn-ME"/>
        </w:rPr>
        <w:t>liječ</w:t>
      </w:r>
      <w:r w:rsidRPr="009C58C4">
        <w:rPr>
          <w:sz w:val="22"/>
          <w:szCs w:val="22"/>
          <w:lang w:val="sr-Latn-ME"/>
        </w:rPr>
        <w:t>enih kombinacijom trametiniba i dabrafeniba (</w:t>
      </w:r>
      <w:r w:rsidR="00F46CDF" w:rsidRPr="009C58C4">
        <w:rPr>
          <w:sz w:val="22"/>
          <w:szCs w:val="22"/>
          <w:lang w:val="sr-Latn-ME"/>
        </w:rPr>
        <w:t>vidjet</w:t>
      </w:r>
      <w:r w:rsidRPr="009C58C4">
        <w:rPr>
          <w:sz w:val="22"/>
          <w:szCs w:val="22"/>
          <w:lang w:val="sr-Latn-ME"/>
        </w:rPr>
        <w:t xml:space="preserve">i </w:t>
      </w:r>
      <w:r w:rsidR="00C87F6C" w:rsidRPr="009C58C4">
        <w:rPr>
          <w:sz w:val="22"/>
          <w:szCs w:val="22"/>
          <w:lang w:val="sr-Latn-ME"/>
        </w:rPr>
        <w:t xml:space="preserve">dio </w:t>
      </w:r>
      <w:r w:rsidRPr="009C58C4">
        <w:rPr>
          <w:sz w:val="22"/>
          <w:szCs w:val="22"/>
          <w:lang w:val="sr-Latn-ME"/>
        </w:rPr>
        <w:t xml:space="preserve">4.8). Preporučuje se da se pacijentima prati funkcija jetre svake četiri </w:t>
      </w:r>
      <w:r w:rsidR="00F46CDF" w:rsidRPr="009C58C4">
        <w:rPr>
          <w:sz w:val="22"/>
          <w:szCs w:val="22"/>
          <w:lang w:val="sr-Latn-ME"/>
        </w:rPr>
        <w:t>nedjelj</w:t>
      </w:r>
      <w:r w:rsidRPr="009C58C4">
        <w:rPr>
          <w:sz w:val="22"/>
          <w:szCs w:val="22"/>
          <w:lang w:val="sr-Latn-ME"/>
        </w:rPr>
        <w:t>e tokom 6 </w:t>
      </w:r>
      <w:r w:rsidR="0091092E" w:rsidRPr="009C58C4">
        <w:rPr>
          <w:sz w:val="22"/>
          <w:szCs w:val="22"/>
          <w:lang w:val="sr-Latn-ME"/>
        </w:rPr>
        <w:t>mjesec</w:t>
      </w:r>
      <w:r w:rsidRPr="009C58C4">
        <w:rPr>
          <w:sz w:val="22"/>
          <w:szCs w:val="22"/>
          <w:lang w:val="sr-Latn-ME"/>
        </w:rPr>
        <w:t xml:space="preserve">i nakon početka </w:t>
      </w:r>
      <w:r w:rsidR="007F2563" w:rsidRPr="009C58C4">
        <w:rPr>
          <w:sz w:val="22"/>
          <w:szCs w:val="22"/>
          <w:lang w:val="sr-Latn-ME"/>
        </w:rPr>
        <w:t>liječ</w:t>
      </w:r>
      <w:r w:rsidRPr="009C58C4">
        <w:rPr>
          <w:sz w:val="22"/>
          <w:szCs w:val="22"/>
          <w:lang w:val="sr-Latn-ME"/>
        </w:rPr>
        <w:t>enja. Nakon toga se praćenje funkcije jetre može nastaviti ukoliko je klinički indikovano.</w:t>
      </w:r>
    </w:p>
    <w:p w14:paraId="4059D616" w14:textId="77777777" w:rsidR="00C455E5" w:rsidRPr="009C58C4" w:rsidRDefault="00C455E5" w:rsidP="00226369">
      <w:pPr>
        <w:jc w:val="both"/>
        <w:rPr>
          <w:sz w:val="22"/>
          <w:szCs w:val="22"/>
          <w:lang w:val="sr-Latn-ME"/>
        </w:rPr>
      </w:pPr>
    </w:p>
    <w:p w14:paraId="5176F284" w14:textId="77777777" w:rsidR="00C455E5" w:rsidRPr="009C58C4" w:rsidRDefault="00C455E5" w:rsidP="00226369">
      <w:pPr>
        <w:keepNext/>
        <w:jc w:val="both"/>
        <w:rPr>
          <w:sz w:val="22"/>
          <w:szCs w:val="22"/>
          <w:u w:val="single"/>
          <w:lang w:val="sr-Latn-ME"/>
        </w:rPr>
      </w:pPr>
      <w:r w:rsidRPr="009C58C4">
        <w:rPr>
          <w:sz w:val="22"/>
          <w:szCs w:val="22"/>
          <w:u w:val="single"/>
          <w:lang w:val="sr-Latn-ME"/>
        </w:rPr>
        <w:t>Oštećenje funkcije jetre</w:t>
      </w:r>
    </w:p>
    <w:p w14:paraId="5B429AB4" w14:textId="77777777" w:rsidR="00C455E5" w:rsidRPr="009C58C4" w:rsidRDefault="00C455E5" w:rsidP="00226369">
      <w:pPr>
        <w:keepNext/>
        <w:jc w:val="both"/>
        <w:rPr>
          <w:sz w:val="22"/>
          <w:szCs w:val="22"/>
          <w:lang w:val="sr-Latn-ME"/>
        </w:rPr>
      </w:pPr>
    </w:p>
    <w:p w14:paraId="2535C2AF" w14:textId="6BCB799D" w:rsidR="00C455E5" w:rsidRPr="009C58C4" w:rsidRDefault="00C455E5" w:rsidP="00226369">
      <w:pPr>
        <w:jc w:val="both"/>
        <w:rPr>
          <w:sz w:val="22"/>
          <w:szCs w:val="22"/>
          <w:lang w:val="sr-Latn-ME"/>
        </w:rPr>
      </w:pPr>
      <w:r w:rsidRPr="009C58C4">
        <w:rPr>
          <w:sz w:val="22"/>
          <w:szCs w:val="22"/>
          <w:lang w:val="sr-Latn-ME"/>
        </w:rPr>
        <w:t>Budući da su metabolizam i izlučivanje putem žuči primarni putovi eliminacije trametiniba, trametinib je potrebno primjenjivati uz oprez kod pacijenata s</w:t>
      </w:r>
      <w:r w:rsidR="00204063" w:rsidRPr="009C58C4">
        <w:rPr>
          <w:sz w:val="22"/>
          <w:szCs w:val="22"/>
          <w:lang w:val="sr-Latn-ME"/>
        </w:rPr>
        <w:t>a</w:t>
      </w:r>
      <w:r w:rsidRPr="009C58C4">
        <w:rPr>
          <w:sz w:val="22"/>
          <w:szCs w:val="22"/>
          <w:lang w:val="sr-Latn-ME"/>
        </w:rPr>
        <w:t xml:space="preserve"> </w:t>
      </w:r>
      <w:r w:rsidR="00F46CDF" w:rsidRPr="009C58C4">
        <w:rPr>
          <w:sz w:val="22"/>
          <w:szCs w:val="22"/>
          <w:lang w:val="sr-Latn-ME"/>
        </w:rPr>
        <w:t>umjer</w:t>
      </w:r>
      <w:r w:rsidRPr="009C58C4">
        <w:rPr>
          <w:sz w:val="22"/>
          <w:szCs w:val="22"/>
          <w:lang w:val="sr-Latn-ME"/>
        </w:rPr>
        <w:t>enim do teškim oštećenjem funkcije jetre (</w:t>
      </w:r>
      <w:r w:rsidR="00F46CDF" w:rsidRPr="009C58C4">
        <w:rPr>
          <w:sz w:val="22"/>
          <w:szCs w:val="22"/>
          <w:lang w:val="sr-Latn-ME"/>
        </w:rPr>
        <w:t>vidjet</w:t>
      </w:r>
      <w:r w:rsidRPr="009C58C4">
        <w:rPr>
          <w:sz w:val="22"/>
          <w:szCs w:val="22"/>
          <w:lang w:val="sr-Latn-ME"/>
        </w:rPr>
        <w:t>i</w:t>
      </w:r>
      <w:r w:rsidR="00204063" w:rsidRPr="009C58C4">
        <w:rPr>
          <w:sz w:val="22"/>
          <w:szCs w:val="22"/>
          <w:lang w:val="sr-Latn-ME"/>
        </w:rPr>
        <w:t xml:space="preserve"> </w:t>
      </w:r>
      <w:r w:rsidR="00C87F6C" w:rsidRPr="009C58C4">
        <w:rPr>
          <w:sz w:val="22"/>
          <w:szCs w:val="22"/>
          <w:lang w:val="sr-Latn-ME"/>
        </w:rPr>
        <w:t>dijelove</w:t>
      </w:r>
      <w:r w:rsidRPr="009C58C4">
        <w:rPr>
          <w:sz w:val="22"/>
          <w:szCs w:val="22"/>
          <w:lang w:val="sr-Latn-ME"/>
        </w:rPr>
        <w:t> 4.2 i 5.2).</w:t>
      </w:r>
    </w:p>
    <w:p w14:paraId="1A7A7E81" w14:textId="77777777" w:rsidR="00C455E5" w:rsidRPr="009C58C4" w:rsidRDefault="00C455E5" w:rsidP="00226369">
      <w:pPr>
        <w:jc w:val="both"/>
        <w:rPr>
          <w:sz w:val="22"/>
          <w:szCs w:val="22"/>
          <w:lang w:val="sr-Latn-ME"/>
        </w:rPr>
      </w:pPr>
    </w:p>
    <w:p w14:paraId="6853E6EA" w14:textId="77777777" w:rsidR="00C455E5" w:rsidRPr="009C58C4" w:rsidRDefault="00C455E5" w:rsidP="00226369">
      <w:pPr>
        <w:keepNext/>
        <w:jc w:val="both"/>
        <w:rPr>
          <w:sz w:val="22"/>
          <w:szCs w:val="22"/>
          <w:u w:val="single"/>
          <w:lang w:val="sr-Latn-ME"/>
        </w:rPr>
      </w:pPr>
      <w:r w:rsidRPr="009C58C4">
        <w:rPr>
          <w:sz w:val="22"/>
          <w:szCs w:val="22"/>
          <w:u w:val="single"/>
          <w:lang w:val="sr-Latn-ME"/>
        </w:rPr>
        <w:t>Tromboza dubokih vena/embolija pluća</w:t>
      </w:r>
    </w:p>
    <w:p w14:paraId="75CE86DB" w14:textId="77777777" w:rsidR="00C455E5" w:rsidRPr="009C58C4" w:rsidRDefault="00C455E5" w:rsidP="00226369">
      <w:pPr>
        <w:keepNext/>
        <w:jc w:val="both"/>
        <w:rPr>
          <w:sz w:val="22"/>
          <w:szCs w:val="22"/>
          <w:lang w:val="sr-Latn-ME"/>
        </w:rPr>
      </w:pPr>
    </w:p>
    <w:p w14:paraId="0F187653" w14:textId="01F44937" w:rsidR="00C455E5" w:rsidRPr="009C58C4" w:rsidRDefault="00C455E5" w:rsidP="00226369">
      <w:pPr>
        <w:widowControl w:val="0"/>
        <w:jc w:val="both"/>
        <w:rPr>
          <w:sz w:val="22"/>
          <w:szCs w:val="22"/>
          <w:lang w:val="sr-Latn-ME"/>
        </w:rPr>
      </w:pPr>
      <w:r w:rsidRPr="009C58C4">
        <w:rPr>
          <w:sz w:val="22"/>
          <w:szCs w:val="22"/>
          <w:lang w:val="sr-Latn-ME"/>
        </w:rPr>
        <w:t xml:space="preserve">Embolija pluća ili tromboza dubokih vena se mogu pojaviti. Ako se kod pacijenta razviju simptomi embolije pluća ili tromboze dubokih vena kao što je nedostatak vazduha, bol u grudima, oticanje ekstremiteta, treba odmah da potraže medicinsku pomoć.  Potrebno je trajno prekinuti </w:t>
      </w:r>
      <w:r w:rsidR="007F2563" w:rsidRPr="009C58C4">
        <w:rPr>
          <w:sz w:val="22"/>
          <w:szCs w:val="22"/>
          <w:lang w:val="sr-Latn-ME"/>
        </w:rPr>
        <w:t>liječ</w:t>
      </w:r>
      <w:r w:rsidRPr="009C58C4">
        <w:rPr>
          <w:sz w:val="22"/>
          <w:szCs w:val="22"/>
          <w:lang w:val="sr-Latn-ME"/>
        </w:rPr>
        <w:t xml:space="preserve">enje kod životno ugrožavajuće embolije pluća. </w:t>
      </w:r>
    </w:p>
    <w:p w14:paraId="387FFDE2" w14:textId="77777777" w:rsidR="00C455E5" w:rsidRPr="009C58C4" w:rsidRDefault="00C455E5" w:rsidP="00226369">
      <w:pPr>
        <w:jc w:val="both"/>
        <w:rPr>
          <w:sz w:val="22"/>
          <w:szCs w:val="22"/>
          <w:lang w:val="sr-Latn-ME"/>
        </w:rPr>
      </w:pPr>
    </w:p>
    <w:p w14:paraId="213B95A1" w14:textId="77777777" w:rsidR="00C455E5" w:rsidRPr="009C58C4" w:rsidRDefault="00C455E5" w:rsidP="00226369">
      <w:pPr>
        <w:widowControl w:val="0"/>
        <w:jc w:val="both"/>
        <w:rPr>
          <w:sz w:val="22"/>
          <w:szCs w:val="22"/>
          <w:u w:val="single"/>
          <w:lang w:val="sr-Latn-ME"/>
        </w:rPr>
      </w:pPr>
      <w:r w:rsidRPr="009C58C4">
        <w:rPr>
          <w:sz w:val="22"/>
          <w:szCs w:val="22"/>
          <w:u w:val="single"/>
          <w:lang w:val="sr-Latn-ME"/>
        </w:rPr>
        <w:t>Gastrointestinalni poremećaji</w:t>
      </w:r>
    </w:p>
    <w:p w14:paraId="05E802C1" w14:textId="77777777" w:rsidR="00C455E5" w:rsidRPr="009C58C4" w:rsidRDefault="00C455E5" w:rsidP="00226369">
      <w:pPr>
        <w:keepNext/>
        <w:shd w:val="clear" w:color="auto" w:fill="FFFFFF"/>
        <w:jc w:val="both"/>
        <w:rPr>
          <w:sz w:val="22"/>
          <w:szCs w:val="22"/>
          <w:lang w:val="sr-Latn-ME"/>
        </w:rPr>
      </w:pPr>
    </w:p>
    <w:p w14:paraId="30BE619C" w14:textId="3E04C737" w:rsidR="00C455E5" w:rsidRPr="009C58C4" w:rsidRDefault="00C455E5" w:rsidP="00226369">
      <w:pPr>
        <w:autoSpaceDE w:val="0"/>
        <w:autoSpaceDN w:val="0"/>
        <w:adjustRightInd w:val="0"/>
        <w:jc w:val="both"/>
        <w:rPr>
          <w:color w:val="000000"/>
          <w:sz w:val="22"/>
          <w:szCs w:val="22"/>
          <w:lang w:val="sr-Latn-ME"/>
        </w:rPr>
      </w:pPr>
      <w:r w:rsidRPr="009C58C4">
        <w:rPr>
          <w:color w:val="000000"/>
          <w:sz w:val="22"/>
          <w:szCs w:val="22"/>
          <w:lang w:val="sr-Latn-ME"/>
        </w:rPr>
        <w:t xml:space="preserve">Kolitis i enterokolitis su prijavljeni kod pedijatrijskih pacijenata </w:t>
      </w:r>
      <w:r w:rsidR="007F2563" w:rsidRPr="009C58C4">
        <w:rPr>
          <w:color w:val="000000"/>
          <w:sz w:val="22"/>
          <w:szCs w:val="22"/>
          <w:lang w:val="sr-Latn-ME"/>
        </w:rPr>
        <w:t>liječ</w:t>
      </w:r>
      <w:r w:rsidRPr="009C58C4">
        <w:rPr>
          <w:color w:val="000000"/>
          <w:sz w:val="22"/>
          <w:szCs w:val="22"/>
          <w:lang w:val="sr-Latn-ME"/>
        </w:rPr>
        <w:t>enih trametinibom u kombinaciji sa dabrafenibom (</w:t>
      </w:r>
      <w:r w:rsidR="00F46CDF" w:rsidRPr="009C58C4">
        <w:rPr>
          <w:color w:val="000000"/>
          <w:sz w:val="22"/>
          <w:szCs w:val="22"/>
          <w:lang w:val="sr-Latn-ME"/>
        </w:rPr>
        <w:t>vidjet</w:t>
      </w:r>
      <w:r w:rsidRPr="009C58C4">
        <w:rPr>
          <w:color w:val="000000"/>
          <w:sz w:val="22"/>
          <w:szCs w:val="22"/>
          <w:lang w:val="sr-Latn-ME"/>
        </w:rPr>
        <w:t>i</w:t>
      </w:r>
      <w:r w:rsidR="00204063" w:rsidRPr="009C58C4">
        <w:rPr>
          <w:color w:val="000000"/>
          <w:sz w:val="22"/>
          <w:szCs w:val="22"/>
          <w:lang w:val="sr-Latn-ME"/>
        </w:rPr>
        <w:t xml:space="preserve"> </w:t>
      </w:r>
      <w:r w:rsidR="00C87F6C" w:rsidRPr="009C58C4">
        <w:rPr>
          <w:color w:val="000000"/>
          <w:sz w:val="22"/>
          <w:szCs w:val="22"/>
          <w:lang w:val="sr-Latn-ME"/>
        </w:rPr>
        <w:t>dio</w:t>
      </w:r>
      <w:r w:rsidRPr="009C58C4">
        <w:rPr>
          <w:color w:val="000000"/>
          <w:sz w:val="22"/>
          <w:szCs w:val="22"/>
          <w:lang w:val="sr-Latn-ME"/>
        </w:rPr>
        <w:t xml:space="preserve"> 4.8). Kolitis i gastrointestinalna perforacija, uključujući smrtni ishod, prijavljeni su kod odraslih pacijenata. Trametinib je potrebno </w:t>
      </w:r>
      <w:r w:rsidR="007F2563" w:rsidRPr="009C58C4">
        <w:rPr>
          <w:color w:val="000000"/>
          <w:sz w:val="22"/>
          <w:szCs w:val="22"/>
          <w:lang w:val="sr-Latn-ME"/>
        </w:rPr>
        <w:t>primjen</w:t>
      </w:r>
      <w:r w:rsidRPr="009C58C4">
        <w:rPr>
          <w:color w:val="000000"/>
          <w:sz w:val="22"/>
          <w:szCs w:val="22"/>
          <w:lang w:val="sr-Latn-ME"/>
        </w:rPr>
        <w:t>jivati uz oprez kod pacijenata s</w:t>
      </w:r>
      <w:r w:rsidR="00204063" w:rsidRPr="009C58C4">
        <w:rPr>
          <w:color w:val="000000"/>
          <w:sz w:val="22"/>
          <w:szCs w:val="22"/>
          <w:lang w:val="sr-Latn-ME"/>
        </w:rPr>
        <w:t>a</w:t>
      </w:r>
      <w:r w:rsidRPr="009C58C4">
        <w:rPr>
          <w:color w:val="000000"/>
          <w:sz w:val="22"/>
          <w:szCs w:val="22"/>
          <w:lang w:val="sr-Latn-ME"/>
        </w:rPr>
        <w:t xml:space="preserve"> rizičnim faktorima za gastrointestinalnu perforaciju, uključujući divertikulitis u anamnezi, metastaze u gastrointestinalnom sistemu i istovremenu </w:t>
      </w:r>
      <w:r w:rsidR="007F2563" w:rsidRPr="009C58C4">
        <w:rPr>
          <w:color w:val="000000"/>
          <w:sz w:val="22"/>
          <w:szCs w:val="22"/>
          <w:lang w:val="sr-Latn-ME"/>
        </w:rPr>
        <w:t>primjen</w:t>
      </w:r>
      <w:r w:rsidRPr="009C58C4">
        <w:rPr>
          <w:color w:val="000000"/>
          <w:sz w:val="22"/>
          <w:szCs w:val="22"/>
          <w:lang w:val="sr-Latn-ME"/>
        </w:rPr>
        <w:t xml:space="preserve">u </w:t>
      </w:r>
      <w:r w:rsidR="007F2563" w:rsidRPr="009C58C4">
        <w:rPr>
          <w:color w:val="000000"/>
          <w:sz w:val="22"/>
          <w:szCs w:val="22"/>
          <w:lang w:val="sr-Latn-ME"/>
        </w:rPr>
        <w:t>ljek</w:t>
      </w:r>
      <w:r w:rsidRPr="009C58C4">
        <w:rPr>
          <w:color w:val="000000"/>
          <w:sz w:val="22"/>
          <w:szCs w:val="22"/>
          <w:lang w:val="sr-Latn-ME"/>
        </w:rPr>
        <w:t>ova s</w:t>
      </w:r>
      <w:r w:rsidR="00C97935" w:rsidRPr="009C58C4">
        <w:rPr>
          <w:color w:val="000000"/>
          <w:sz w:val="22"/>
          <w:szCs w:val="22"/>
          <w:lang w:val="sr-Latn-ME"/>
        </w:rPr>
        <w:t>a</w:t>
      </w:r>
      <w:r w:rsidRPr="009C58C4">
        <w:rPr>
          <w:color w:val="000000"/>
          <w:sz w:val="22"/>
          <w:szCs w:val="22"/>
          <w:lang w:val="sr-Latn-ME"/>
        </w:rPr>
        <w:t xml:space="preserve"> prepoznatim rizikom od gastrointestinalne perforacije.</w:t>
      </w:r>
    </w:p>
    <w:p w14:paraId="12B359B1" w14:textId="77777777" w:rsidR="00C455E5" w:rsidRPr="009C58C4" w:rsidRDefault="00C455E5" w:rsidP="00226369">
      <w:pPr>
        <w:autoSpaceDE w:val="0"/>
        <w:autoSpaceDN w:val="0"/>
        <w:adjustRightInd w:val="0"/>
        <w:jc w:val="both"/>
        <w:rPr>
          <w:color w:val="000000"/>
          <w:sz w:val="22"/>
          <w:szCs w:val="22"/>
          <w:lang w:val="sr-Latn-ME"/>
        </w:rPr>
      </w:pPr>
    </w:p>
    <w:p w14:paraId="0584A1BD" w14:textId="77777777" w:rsidR="00C455E5" w:rsidRPr="009C58C4" w:rsidRDefault="00C455E5" w:rsidP="00226369">
      <w:pPr>
        <w:keepNext/>
        <w:widowControl w:val="0"/>
        <w:jc w:val="both"/>
        <w:rPr>
          <w:color w:val="000000"/>
          <w:sz w:val="22"/>
          <w:szCs w:val="22"/>
          <w:u w:val="single"/>
          <w:lang w:val="sr-Latn-ME"/>
        </w:rPr>
      </w:pPr>
      <w:r w:rsidRPr="009C58C4">
        <w:rPr>
          <w:color w:val="000000"/>
          <w:sz w:val="22"/>
          <w:szCs w:val="22"/>
          <w:u w:val="single"/>
          <w:lang w:val="sr-Latn-ME"/>
        </w:rPr>
        <w:t>Sarkoidoza</w:t>
      </w:r>
    </w:p>
    <w:p w14:paraId="4C3D793F" w14:textId="77777777" w:rsidR="00C455E5" w:rsidRPr="009C58C4" w:rsidRDefault="00C455E5" w:rsidP="00226369">
      <w:pPr>
        <w:keepNext/>
        <w:widowControl w:val="0"/>
        <w:jc w:val="both"/>
        <w:rPr>
          <w:color w:val="000000"/>
          <w:sz w:val="22"/>
          <w:szCs w:val="22"/>
          <w:lang w:val="sr-Latn-ME"/>
        </w:rPr>
      </w:pPr>
    </w:p>
    <w:p w14:paraId="6D613875" w14:textId="7F598124" w:rsidR="00C455E5" w:rsidRPr="009C58C4" w:rsidRDefault="00C455E5" w:rsidP="00C87F6C">
      <w:pPr>
        <w:rPr>
          <w:color w:val="000000"/>
          <w:sz w:val="22"/>
          <w:szCs w:val="22"/>
          <w:lang w:val="sr-Latn-ME"/>
        </w:rPr>
      </w:pPr>
      <w:r w:rsidRPr="009C58C4">
        <w:rPr>
          <w:color w:val="000000"/>
          <w:sz w:val="22"/>
          <w:szCs w:val="22"/>
          <w:lang w:val="sr-Latn-ME"/>
        </w:rPr>
        <w:t xml:space="preserve">Kod odraslih pacijenata </w:t>
      </w:r>
      <w:r w:rsidR="007F2563" w:rsidRPr="009C58C4">
        <w:rPr>
          <w:color w:val="000000"/>
          <w:sz w:val="22"/>
          <w:szCs w:val="22"/>
          <w:lang w:val="sr-Latn-ME"/>
        </w:rPr>
        <w:t>liječ</w:t>
      </w:r>
      <w:r w:rsidRPr="009C58C4">
        <w:rPr>
          <w:color w:val="000000"/>
          <w:sz w:val="22"/>
          <w:szCs w:val="22"/>
          <w:lang w:val="sr-Latn-ME"/>
        </w:rPr>
        <w:t>enih trametinibom u kombinaciji s</w:t>
      </w:r>
      <w:r w:rsidR="00C97935" w:rsidRPr="009C58C4">
        <w:rPr>
          <w:color w:val="000000"/>
          <w:sz w:val="22"/>
          <w:szCs w:val="22"/>
          <w:lang w:val="sr-Latn-ME"/>
        </w:rPr>
        <w:t>a</w:t>
      </w:r>
      <w:r w:rsidRPr="009C58C4">
        <w:rPr>
          <w:color w:val="000000"/>
          <w:sz w:val="22"/>
          <w:szCs w:val="22"/>
          <w:lang w:val="sr-Latn-ME"/>
        </w:rPr>
        <w:t xml:space="preserve"> dabrafenibom prijavljeni su slučajevi sarkoidoze, koja uglavnom zahvata kožu, pluća, oči i limfne čvorove. U većini slučajeva je nastavljeno </w:t>
      </w:r>
      <w:r w:rsidR="007F2563" w:rsidRPr="009C58C4">
        <w:rPr>
          <w:color w:val="000000"/>
          <w:sz w:val="22"/>
          <w:szCs w:val="22"/>
          <w:lang w:val="sr-Latn-ME"/>
        </w:rPr>
        <w:t>liječ</w:t>
      </w:r>
      <w:r w:rsidRPr="009C58C4">
        <w:rPr>
          <w:color w:val="000000"/>
          <w:sz w:val="22"/>
          <w:szCs w:val="22"/>
          <w:lang w:val="sr-Latn-ME"/>
        </w:rPr>
        <w:t xml:space="preserve">enje trametinibom i dabrafenibom. Ako je dijagnostifikovana sarkoidoza, treba razmotriti odgovarajuće </w:t>
      </w:r>
      <w:r w:rsidR="007F2563" w:rsidRPr="009C58C4">
        <w:rPr>
          <w:color w:val="000000"/>
          <w:sz w:val="22"/>
          <w:szCs w:val="22"/>
          <w:lang w:val="sr-Latn-ME"/>
        </w:rPr>
        <w:t>liječ</w:t>
      </w:r>
      <w:r w:rsidRPr="009C58C4">
        <w:rPr>
          <w:color w:val="000000"/>
          <w:sz w:val="22"/>
          <w:szCs w:val="22"/>
          <w:lang w:val="sr-Latn-ME"/>
        </w:rPr>
        <w:t>enje</w:t>
      </w:r>
    </w:p>
    <w:p w14:paraId="45BFC0C9" w14:textId="77777777" w:rsidR="00C455E5" w:rsidRPr="009C58C4" w:rsidRDefault="00C455E5" w:rsidP="00226369">
      <w:pPr>
        <w:jc w:val="both"/>
        <w:rPr>
          <w:rFonts w:eastAsia="Verdana"/>
          <w:color w:val="000000"/>
          <w:sz w:val="22"/>
          <w:szCs w:val="22"/>
          <w:u w:val="single"/>
          <w:lang w:val="sr-Latn-ME" w:eastAsia="en-GB"/>
        </w:rPr>
      </w:pPr>
    </w:p>
    <w:p w14:paraId="6853C897" w14:textId="77777777" w:rsidR="00C455E5" w:rsidRPr="009C58C4" w:rsidRDefault="00C455E5" w:rsidP="00226369">
      <w:pPr>
        <w:keepNext/>
        <w:jc w:val="both"/>
        <w:rPr>
          <w:rFonts w:eastAsia="Verdana"/>
          <w:color w:val="000000"/>
          <w:sz w:val="22"/>
          <w:szCs w:val="22"/>
          <w:u w:val="single"/>
          <w:lang w:val="sr-Latn-ME" w:eastAsia="en-GB"/>
        </w:rPr>
      </w:pPr>
      <w:r w:rsidRPr="009C58C4">
        <w:rPr>
          <w:rFonts w:eastAsia="Verdana"/>
          <w:color w:val="000000"/>
          <w:sz w:val="22"/>
          <w:szCs w:val="22"/>
          <w:u w:val="single"/>
          <w:lang w:val="sr-Latn-ME" w:eastAsia="en-GB"/>
        </w:rPr>
        <w:t>Žene u reproduktivnom periodu/Plodnost kod muškaraca</w:t>
      </w:r>
    </w:p>
    <w:p w14:paraId="7143466F" w14:textId="77777777" w:rsidR="00C455E5" w:rsidRPr="009C58C4" w:rsidRDefault="00C455E5" w:rsidP="00226369">
      <w:pPr>
        <w:keepNext/>
        <w:jc w:val="both"/>
        <w:rPr>
          <w:color w:val="000000"/>
          <w:sz w:val="22"/>
          <w:szCs w:val="22"/>
          <w:lang w:val="sr-Latn-ME"/>
        </w:rPr>
      </w:pPr>
    </w:p>
    <w:p w14:paraId="3CF1FAA6" w14:textId="69FAF85F" w:rsidR="00C455E5" w:rsidRPr="009C58C4" w:rsidRDefault="00C455E5" w:rsidP="00226369">
      <w:pPr>
        <w:jc w:val="both"/>
        <w:rPr>
          <w:rFonts w:eastAsia="Verdana"/>
          <w:sz w:val="22"/>
          <w:szCs w:val="22"/>
          <w:u w:val="single"/>
          <w:lang w:val="sr-Latn-ME" w:eastAsia="en-GB"/>
        </w:rPr>
      </w:pPr>
      <w:r w:rsidRPr="009C58C4">
        <w:rPr>
          <w:color w:val="000000"/>
          <w:sz w:val="22"/>
          <w:szCs w:val="22"/>
          <w:lang w:val="sr-Latn-ME"/>
        </w:rPr>
        <w:t xml:space="preserve">Pre započinjanja </w:t>
      </w:r>
      <w:r w:rsidR="007F2563" w:rsidRPr="009C58C4">
        <w:rPr>
          <w:color w:val="000000"/>
          <w:sz w:val="22"/>
          <w:szCs w:val="22"/>
          <w:lang w:val="sr-Latn-ME"/>
        </w:rPr>
        <w:t>liječ</w:t>
      </w:r>
      <w:r w:rsidRPr="009C58C4">
        <w:rPr>
          <w:color w:val="000000"/>
          <w:sz w:val="22"/>
          <w:szCs w:val="22"/>
          <w:lang w:val="sr-Latn-ME"/>
        </w:rPr>
        <w:t xml:space="preserve">enja kod žena u reproduktivnom periodu, treba pružiti odgovarajuće </w:t>
      </w:r>
      <w:r w:rsidR="0091092E" w:rsidRPr="009C58C4">
        <w:rPr>
          <w:color w:val="000000"/>
          <w:sz w:val="22"/>
          <w:szCs w:val="22"/>
          <w:lang w:val="sr-Latn-ME"/>
        </w:rPr>
        <w:t>savjet</w:t>
      </w:r>
      <w:r w:rsidRPr="009C58C4">
        <w:rPr>
          <w:color w:val="000000"/>
          <w:sz w:val="22"/>
          <w:szCs w:val="22"/>
          <w:lang w:val="sr-Latn-ME"/>
        </w:rPr>
        <w:t>e o efikasnim metodama kontracepcije. Žene u reproduktivnom periodu moraju da koriste efikasne metode kontracepcije tokom terapije i tokom 16 </w:t>
      </w:r>
      <w:r w:rsidR="00F46CDF" w:rsidRPr="009C58C4">
        <w:rPr>
          <w:color w:val="000000"/>
          <w:sz w:val="22"/>
          <w:szCs w:val="22"/>
          <w:lang w:val="sr-Latn-ME"/>
        </w:rPr>
        <w:t>nedjelj</w:t>
      </w:r>
      <w:r w:rsidRPr="009C58C4">
        <w:rPr>
          <w:color w:val="000000"/>
          <w:sz w:val="22"/>
          <w:szCs w:val="22"/>
          <w:lang w:val="sr-Latn-ME"/>
        </w:rPr>
        <w:t xml:space="preserve">a nakon poslednje doze </w:t>
      </w:r>
      <w:r w:rsidR="007F2563" w:rsidRPr="009C58C4">
        <w:rPr>
          <w:color w:val="000000"/>
          <w:sz w:val="22"/>
          <w:szCs w:val="22"/>
          <w:lang w:val="sr-Latn-ME"/>
        </w:rPr>
        <w:t>lijek</w:t>
      </w:r>
      <w:r w:rsidRPr="009C58C4">
        <w:rPr>
          <w:color w:val="000000"/>
          <w:sz w:val="22"/>
          <w:szCs w:val="22"/>
          <w:lang w:val="sr-Latn-ME"/>
        </w:rPr>
        <w:t xml:space="preserve">a Spexotras. Muške pacijente koji </w:t>
      </w:r>
      <w:r w:rsidR="007F2563" w:rsidRPr="009C58C4">
        <w:rPr>
          <w:color w:val="000000"/>
          <w:sz w:val="22"/>
          <w:szCs w:val="22"/>
          <w:lang w:val="sr-Latn-ME"/>
        </w:rPr>
        <w:t>primjen</w:t>
      </w:r>
      <w:r w:rsidRPr="009C58C4">
        <w:rPr>
          <w:color w:val="000000"/>
          <w:sz w:val="22"/>
          <w:szCs w:val="22"/>
          <w:lang w:val="sr-Latn-ME"/>
        </w:rPr>
        <w:t>juju trametinib u kombinaciji sa dabrafenibom treba obavestiti o mogućem riziku od smanjene spermatogeneze, koja može biti ireverzibilna (</w:t>
      </w:r>
      <w:r w:rsidR="00F46CDF" w:rsidRPr="009C58C4">
        <w:rPr>
          <w:color w:val="000000"/>
          <w:sz w:val="22"/>
          <w:szCs w:val="22"/>
          <w:lang w:val="sr-Latn-ME"/>
        </w:rPr>
        <w:t>vidjet</w:t>
      </w:r>
      <w:r w:rsidRPr="009C58C4">
        <w:rPr>
          <w:color w:val="000000"/>
          <w:sz w:val="22"/>
          <w:szCs w:val="22"/>
          <w:lang w:val="sr-Latn-ME"/>
        </w:rPr>
        <w:t>i</w:t>
      </w:r>
      <w:r w:rsidR="00C97935" w:rsidRPr="009C58C4">
        <w:rPr>
          <w:color w:val="000000"/>
          <w:sz w:val="22"/>
          <w:szCs w:val="22"/>
          <w:lang w:val="sr-Latn-ME"/>
        </w:rPr>
        <w:t xml:space="preserve"> </w:t>
      </w:r>
      <w:r w:rsidR="00C87F6C" w:rsidRPr="009C58C4">
        <w:rPr>
          <w:color w:val="000000"/>
          <w:sz w:val="22"/>
          <w:szCs w:val="22"/>
          <w:lang w:val="sr-Latn-ME"/>
        </w:rPr>
        <w:t>dio</w:t>
      </w:r>
      <w:r w:rsidRPr="009C58C4">
        <w:rPr>
          <w:color w:val="000000"/>
          <w:sz w:val="22"/>
          <w:szCs w:val="22"/>
          <w:lang w:val="sr-Latn-ME"/>
        </w:rPr>
        <w:t> 4.6).</w:t>
      </w:r>
    </w:p>
    <w:p w14:paraId="2A29828E" w14:textId="77777777" w:rsidR="00C455E5" w:rsidRPr="009C58C4" w:rsidRDefault="00C455E5" w:rsidP="00226369">
      <w:pPr>
        <w:keepNext/>
        <w:jc w:val="both"/>
        <w:rPr>
          <w:rFonts w:eastAsia="Verdana"/>
          <w:sz w:val="22"/>
          <w:szCs w:val="22"/>
          <w:u w:val="single"/>
          <w:lang w:val="sr-Latn-ME" w:eastAsia="en-GB"/>
        </w:rPr>
      </w:pPr>
      <w:r w:rsidRPr="009C58C4">
        <w:rPr>
          <w:rFonts w:eastAsia="Verdana"/>
          <w:sz w:val="22"/>
          <w:szCs w:val="22"/>
          <w:u w:val="single"/>
          <w:lang w:val="sr-Latn-ME" w:eastAsia="en-GB"/>
        </w:rPr>
        <w:lastRenderedPageBreak/>
        <w:t>Hemofagocitna limfohistiocitoza</w:t>
      </w:r>
    </w:p>
    <w:p w14:paraId="158249AB" w14:textId="77777777" w:rsidR="00C455E5" w:rsidRPr="009C58C4" w:rsidRDefault="00C455E5" w:rsidP="00226369">
      <w:pPr>
        <w:keepNext/>
        <w:jc w:val="both"/>
        <w:rPr>
          <w:rFonts w:eastAsia="Verdana"/>
          <w:sz w:val="22"/>
          <w:szCs w:val="22"/>
          <w:u w:val="single"/>
          <w:lang w:val="sr-Latn-ME" w:eastAsia="en-GB"/>
        </w:rPr>
      </w:pPr>
    </w:p>
    <w:p w14:paraId="4250F4EB" w14:textId="7F82C1F8" w:rsidR="00C455E5" w:rsidRPr="009C58C4" w:rsidRDefault="00C455E5" w:rsidP="00226369">
      <w:pPr>
        <w:jc w:val="both"/>
        <w:rPr>
          <w:rFonts w:eastAsia="Verdana"/>
          <w:sz w:val="22"/>
          <w:szCs w:val="22"/>
          <w:lang w:val="sr-Latn-ME" w:eastAsia="en-GB"/>
        </w:rPr>
      </w:pPr>
      <w:r w:rsidRPr="009C58C4">
        <w:rPr>
          <w:rFonts w:eastAsia="Verdana"/>
          <w:sz w:val="22"/>
          <w:szCs w:val="22"/>
          <w:lang w:val="sr-Latn-ME" w:eastAsia="en-GB"/>
        </w:rPr>
        <w:t xml:space="preserve">U postmarketinškom periodu je zabeležena hemofagocitna limfohistiocitoza (HLH) kod odraslih pacijenta </w:t>
      </w:r>
      <w:r w:rsidR="007F2563" w:rsidRPr="009C58C4">
        <w:rPr>
          <w:rFonts w:eastAsia="Verdana"/>
          <w:sz w:val="22"/>
          <w:szCs w:val="22"/>
          <w:lang w:val="sr-Latn-ME" w:eastAsia="en-GB"/>
        </w:rPr>
        <w:t>liječ</w:t>
      </w:r>
      <w:r w:rsidRPr="009C58C4">
        <w:rPr>
          <w:rFonts w:eastAsia="Verdana"/>
          <w:sz w:val="22"/>
          <w:szCs w:val="22"/>
          <w:lang w:val="sr-Latn-ME" w:eastAsia="en-GB"/>
        </w:rPr>
        <w:t xml:space="preserve">enih trametinibom u kombinaciji sa dabrafenibom. Potreban je oprez kod </w:t>
      </w:r>
      <w:r w:rsidR="007F2563" w:rsidRPr="009C58C4">
        <w:rPr>
          <w:rFonts w:eastAsia="Verdana"/>
          <w:sz w:val="22"/>
          <w:szCs w:val="22"/>
          <w:lang w:val="sr-Latn-ME" w:eastAsia="en-GB"/>
        </w:rPr>
        <w:t>primjen</w:t>
      </w:r>
      <w:r w:rsidRPr="009C58C4">
        <w:rPr>
          <w:rFonts w:eastAsia="Verdana"/>
          <w:sz w:val="22"/>
          <w:szCs w:val="22"/>
          <w:lang w:val="sr-Latn-ME" w:eastAsia="en-GB"/>
        </w:rPr>
        <w:t xml:space="preserve">e trametiniba u kombinaciji sa dabrafenibom. Ako se potvrdi HLH, potrebno je prekinuti terapiju trametinibom i dabrafenibom i započeti </w:t>
      </w:r>
      <w:r w:rsidR="007F2563" w:rsidRPr="009C58C4">
        <w:rPr>
          <w:rFonts w:eastAsia="Verdana"/>
          <w:sz w:val="22"/>
          <w:szCs w:val="22"/>
          <w:lang w:val="sr-Latn-ME" w:eastAsia="en-GB"/>
        </w:rPr>
        <w:t>liječ</w:t>
      </w:r>
      <w:r w:rsidRPr="009C58C4">
        <w:rPr>
          <w:rFonts w:eastAsia="Verdana"/>
          <w:sz w:val="22"/>
          <w:szCs w:val="22"/>
          <w:lang w:val="sr-Latn-ME" w:eastAsia="en-GB"/>
        </w:rPr>
        <w:t>enje HLH-a.</w:t>
      </w:r>
    </w:p>
    <w:p w14:paraId="36D0C65F" w14:textId="77777777" w:rsidR="00C455E5" w:rsidRPr="009C58C4" w:rsidRDefault="00C455E5" w:rsidP="00226369">
      <w:pPr>
        <w:jc w:val="both"/>
        <w:rPr>
          <w:rFonts w:eastAsia="Verdana"/>
          <w:sz w:val="22"/>
          <w:szCs w:val="22"/>
          <w:lang w:val="sr-Latn-ME" w:eastAsia="en-GB"/>
        </w:rPr>
      </w:pPr>
    </w:p>
    <w:p w14:paraId="0256ECAD" w14:textId="77777777" w:rsidR="00C455E5" w:rsidRPr="009C58C4" w:rsidRDefault="00C455E5" w:rsidP="00226369">
      <w:pPr>
        <w:keepNext/>
        <w:widowControl w:val="0"/>
        <w:jc w:val="both"/>
        <w:rPr>
          <w:sz w:val="22"/>
          <w:szCs w:val="22"/>
          <w:u w:val="single"/>
          <w:lang w:val="sr-Latn-ME"/>
        </w:rPr>
      </w:pPr>
      <w:r w:rsidRPr="009C58C4">
        <w:rPr>
          <w:sz w:val="22"/>
          <w:szCs w:val="22"/>
          <w:u w:val="single"/>
          <w:lang w:val="sr-Latn-ME"/>
        </w:rPr>
        <w:t>Sindrom lize tumora (SLT)</w:t>
      </w:r>
    </w:p>
    <w:p w14:paraId="5BC26B3C" w14:textId="77777777" w:rsidR="00C455E5" w:rsidRPr="009C58C4" w:rsidRDefault="00C455E5" w:rsidP="00226369">
      <w:pPr>
        <w:keepNext/>
        <w:widowControl w:val="0"/>
        <w:jc w:val="both"/>
        <w:rPr>
          <w:sz w:val="22"/>
          <w:szCs w:val="22"/>
          <w:lang w:val="sr-Latn-ME"/>
        </w:rPr>
      </w:pPr>
    </w:p>
    <w:p w14:paraId="4C98B417" w14:textId="4339E03F" w:rsidR="00C455E5" w:rsidRPr="009C58C4" w:rsidRDefault="00C455E5" w:rsidP="00226369">
      <w:pPr>
        <w:widowControl w:val="0"/>
        <w:jc w:val="both"/>
        <w:rPr>
          <w:sz w:val="22"/>
          <w:szCs w:val="22"/>
          <w:lang w:val="sr-Latn-ME"/>
        </w:rPr>
      </w:pPr>
      <w:r w:rsidRPr="009C58C4">
        <w:rPr>
          <w:sz w:val="22"/>
          <w:szCs w:val="22"/>
          <w:lang w:val="sr-Latn-ME"/>
        </w:rPr>
        <w:t>Pojava SLT</w:t>
      </w:r>
      <w:r w:rsidRPr="009C58C4">
        <w:rPr>
          <w:sz w:val="22"/>
          <w:szCs w:val="22"/>
          <w:lang w:val="sr-Latn-ME"/>
        </w:rPr>
        <w:noBreakHyphen/>
        <w:t>a, koji može biti smrtonosan, povezana je s</w:t>
      </w:r>
      <w:r w:rsidR="00C97935" w:rsidRPr="009C58C4">
        <w:rPr>
          <w:sz w:val="22"/>
          <w:szCs w:val="22"/>
          <w:lang w:val="sr-Latn-ME"/>
        </w:rPr>
        <w:t>a</w:t>
      </w:r>
      <w:r w:rsidRPr="009C58C4">
        <w:rPr>
          <w:sz w:val="22"/>
          <w:szCs w:val="22"/>
          <w:lang w:val="sr-Latn-ME"/>
        </w:rPr>
        <w:t xml:space="preserve"> </w:t>
      </w:r>
      <w:r w:rsidR="007F2563" w:rsidRPr="009C58C4">
        <w:rPr>
          <w:sz w:val="22"/>
          <w:szCs w:val="22"/>
          <w:lang w:val="sr-Latn-ME"/>
        </w:rPr>
        <w:t>primjen</w:t>
      </w:r>
      <w:r w:rsidRPr="009C58C4">
        <w:rPr>
          <w:sz w:val="22"/>
          <w:szCs w:val="22"/>
          <w:lang w:val="sr-Latn-ME"/>
        </w:rPr>
        <w:t>om trametiniba u kombinaciji s</w:t>
      </w:r>
      <w:r w:rsidR="00C97935" w:rsidRPr="009C58C4">
        <w:rPr>
          <w:sz w:val="22"/>
          <w:szCs w:val="22"/>
          <w:lang w:val="sr-Latn-ME"/>
        </w:rPr>
        <w:t>a</w:t>
      </w:r>
      <w:r w:rsidRPr="009C58C4">
        <w:rPr>
          <w:sz w:val="22"/>
          <w:szCs w:val="22"/>
          <w:lang w:val="sr-Latn-ME"/>
        </w:rPr>
        <w:t xml:space="preserve"> dabrafenibom (</w:t>
      </w:r>
      <w:r w:rsidR="00F46CDF" w:rsidRPr="009C58C4">
        <w:rPr>
          <w:sz w:val="22"/>
          <w:szCs w:val="22"/>
          <w:lang w:val="sr-Latn-ME"/>
        </w:rPr>
        <w:t>vidjet</w:t>
      </w:r>
      <w:r w:rsidRPr="009C58C4">
        <w:rPr>
          <w:sz w:val="22"/>
          <w:szCs w:val="22"/>
          <w:lang w:val="sr-Latn-ME"/>
        </w:rPr>
        <w:t>i</w:t>
      </w:r>
      <w:r w:rsidR="00204063" w:rsidRPr="009C58C4">
        <w:rPr>
          <w:sz w:val="22"/>
          <w:szCs w:val="22"/>
          <w:lang w:val="sr-Latn-ME"/>
        </w:rPr>
        <w:t xml:space="preserve"> </w:t>
      </w:r>
      <w:r w:rsidR="00C87F6C" w:rsidRPr="009C58C4">
        <w:rPr>
          <w:sz w:val="22"/>
          <w:szCs w:val="22"/>
          <w:lang w:val="sr-Latn-ME"/>
        </w:rPr>
        <w:t>dio</w:t>
      </w:r>
      <w:r w:rsidRPr="009C58C4">
        <w:rPr>
          <w:sz w:val="22"/>
          <w:szCs w:val="22"/>
          <w:lang w:val="sr-Latn-ME"/>
        </w:rPr>
        <w:t> 4.8). Rizični faktori za SLT uključuju visoko tumorsko opterećenje, prethodno postojeću hroničnu bubrežnu insuficijenciju, oliguriju, dehidrataciju, hipotenziju i zakiseljenu mokraću. Pacijente s</w:t>
      </w:r>
      <w:r w:rsidR="00C97935" w:rsidRPr="009C58C4">
        <w:rPr>
          <w:sz w:val="22"/>
          <w:szCs w:val="22"/>
          <w:lang w:val="sr-Latn-ME"/>
        </w:rPr>
        <w:t>a</w:t>
      </w:r>
      <w:r w:rsidRPr="009C58C4">
        <w:rPr>
          <w:sz w:val="22"/>
          <w:szCs w:val="22"/>
          <w:lang w:val="sr-Latn-ME"/>
        </w:rPr>
        <w:t xml:space="preserve"> faktorima rizika za SLT je potrebno pomno pratiti i potrebno je razmotriti profilaktičku hidrataciju. SLT je potrebno </w:t>
      </w:r>
      <w:r w:rsidR="007F2563" w:rsidRPr="009C58C4">
        <w:rPr>
          <w:sz w:val="22"/>
          <w:szCs w:val="22"/>
          <w:lang w:val="sr-Latn-ME"/>
        </w:rPr>
        <w:t>liječ</w:t>
      </w:r>
      <w:r w:rsidRPr="009C58C4">
        <w:rPr>
          <w:sz w:val="22"/>
          <w:szCs w:val="22"/>
          <w:lang w:val="sr-Latn-ME"/>
        </w:rPr>
        <w:t>iti tačno onako kako je klinički indikovano.</w:t>
      </w:r>
    </w:p>
    <w:p w14:paraId="1941B84A" w14:textId="77777777" w:rsidR="00C455E5" w:rsidRPr="009C58C4" w:rsidRDefault="00C455E5" w:rsidP="00226369">
      <w:pPr>
        <w:autoSpaceDE w:val="0"/>
        <w:autoSpaceDN w:val="0"/>
        <w:adjustRightInd w:val="0"/>
        <w:jc w:val="both"/>
        <w:rPr>
          <w:color w:val="000000"/>
          <w:sz w:val="22"/>
          <w:szCs w:val="22"/>
          <w:lang w:val="sr-Latn-ME"/>
        </w:rPr>
      </w:pPr>
    </w:p>
    <w:p w14:paraId="0947B1DF" w14:textId="77777777" w:rsidR="00C455E5" w:rsidRPr="009C58C4" w:rsidRDefault="00C455E5" w:rsidP="00226369">
      <w:pPr>
        <w:keepNext/>
        <w:autoSpaceDE w:val="0"/>
        <w:autoSpaceDN w:val="0"/>
        <w:adjustRightInd w:val="0"/>
        <w:jc w:val="both"/>
        <w:rPr>
          <w:sz w:val="22"/>
          <w:szCs w:val="22"/>
          <w:lang w:val="sr-Latn-ME"/>
        </w:rPr>
      </w:pPr>
      <w:r w:rsidRPr="009C58C4">
        <w:rPr>
          <w:color w:val="000000"/>
          <w:sz w:val="22"/>
          <w:szCs w:val="22"/>
          <w:u w:val="single"/>
          <w:lang w:val="sr-Latn-ME"/>
        </w:rPr>
        <w:t>Pomoćne supstance</w:t>
      </w:r>
    </w:p>
    <w:p w14:paraId="1E7F7A53" w14:textId="77777777" w:rsidR="00C455E5" w:rsidRPr="009C58C4" w:rsidRDefault="00C455E5" w:rsidP="00226369">
      <w:pPr>
        <w:keepNext/>
        <w:autoSpaceDE w:val="0"/>
        <w:autoSpaceDN w:val="0"/>
        <w:adjustRightInd w:val="0"/>
        <w:jc w:val="both"/>
        <w:rPr>
          <w:color w:val="000000"/>
          <w:sz w:val="22"/>
          <w:szCs w:val="22"/>
          <w:lang w:val="sr-Latn-ME"/>
        </w:rPr>
      </w:pPr>
    </w:p>
    <w:p w14:paraId="1B84927A" w14:textId="77777777" w:rsidR="00C455E5" w:rsidRPr="009C58C4" w:rsidRDefault="00C455E5" w:rsidP="00226369">
      <w:pPr>
        <w:jc w:val="both"/>
        <w:rPr>
          <w:i/>
          <w:iCs/>
          <w:sz w:val="22"/>
          <w:szCs w:val="22"/>
          <w:u w:val="single"/>
          <w:lang w:val="sr-Latn-ME"/>
        </w:rPr>
      </w:pPr>
      <w:r w:rsidRPr="009C58C4">
        <w:rPr>
          <w:i/>
          <w:iCs/>
          <w:sz w:val="22"/>
          <w:szCs w:val="22"/>
          <w:u w:val="single"/>
          <w:lang w:val="sr-Latn-ME"/>
        </w:rPr>
        <w:t>Sulfobutilbetadeksnatrijum</w:t>
      </w:r>
    </w:p>
    <w:p w14:paraId="47F4215F" w14:textId="2CE0F5FA" w:rsidR="00C455E5" w:rsidRPr="009C58C4" w:rsidRDefault="007F2563" w:rsidP="00226369">
      <w:pPr>
        <w:jc w:val="both"/>
        <w:rPr>
          <w:iCs/>
          <w:sz w:val="22"/>
          <w:szCs w:val="22"/>
          <w:lang w:val="sr-Latn-ME"/>
        </w:rPr>
      </w:pPr>
      <w:r w:rsidRPr="009C58C4">
        <w:rPr>
          <w:sz w:val="22"/>
          <w:szCs w:val="22"/>
          <w:lang w:val="sr-Latn-ME"/>
        </w:rPr>
        <w:t>Lijek</w:t>
      </w:r>
      <w:r w:rsidR="00C455E5" w:rsidRPr="009C58C4">
        <w:rPr>
          <w:sz w:val="22"/>
          <w:szCs w:val="22"/>
          <w:lang w:val="sr-Latn-ME"/>
        </w:rPr>
        <w:t xml:space="preserve"> </w:t>
      </w:r>
      <w:r w:rsidR="00C455E5" w:rsidRPr="009C58C4">
        <w:rPr>
          <w:color w:val="000000"/>
          <w:sz w:val="22"/>
          <w:szCs w:val="22"/>
          <w:lang w:val="sr-Latn-ME"/>
        </w:rPr>
        <w:t>Spexotras oralni rastvor sadrži ciklodekstrin sulfobutilbetadeksnatrijum (100 mg/</w:t>
      </w:r>
      <w:r w:rsidR="006656BE" w:rsidRPr="009C58C4">
        <w:rPr>
          <w:color w:val="000000"/>
          <w:sz w:val="22"/>
          <w:szCs w:val="22"/>
          <w:lang w:val="sr-Latn-ME"/>
        </w:rPr>
        <w:t>ml</w:t>
      </w:r>
      <w:r w:rsidR="00C455E5" w:rsidRPr="009C58C4">
        <w:rPr>
          <w:color w:val="000000"/>
          <w:sz w:val="22"/>
          <w:szCs w:val="22"/>
          <w:lang w:val="sr-Latn-ME"/>
        </w:rPr>
        <w:t>).</w:t>
      </w:r>
      <w:r w:rsidR="00C455E5" w:rsidRPr="009C58C4">
        <w:rPr>
          <w:iCs/>
          <w:sz w:val="22"/>
          <w:szCs w:val="22"/>
          <w:lang w:val="sr-Latn-ME"/>
        </w:rPr>
        <w:t xml:space="preserve"> Ciklodekstrini su pomoćne supstance koje mogu uticati na svojstva aktivne supstance i drugih </w:t>
      </w:r>
      <w:r w:rsidRPr="009C58C4">
        <w:rPr>
          <w:iCs/>
          <w:sz w:val="22"/>
          <w:szCs w:val="22"/>
          <w:lang w:val="sr-Latn-ME"/>
        </w:rPr>
        <w:t>ljek</w:t>
      </w:r>
      <w:r w:rsidR="00C455E5" w:rsidRPr="009C58C4">
        <w:rPr>
          <w:iCs/>
          <w:sz w:val="22"/>
          <w:szCs w:val="22"/>
          <w:lang w:val="sr-Latn-ME"/>
        </w:rPr>
        <w:t xml:space="preserve">ova. U nekliničkim ispitivanjima na životinjama kojima su ciklodekstrini </w:t>
      </w:r>
      <w:r w:rsidRPr="009C58C4">
        <w:rPr>
          <w:iCs/>
          <w:sz w:val="22"/>
          <w:szCs w:val="22"/>
          <w:lang w:val="sr-Latn-ME"/>
        </w:rPr>
        <w:t>primijen</w:t>
      </w:r>
      <w:r w:rsidR="00C455E5" w:rsidRPr="009C58C4">
        <w:rPr>
          <w:iCs/>
          <w:sz w:val="22"/>
          <w:szCs w:val="22"/>
          <w:lang w:val="sr-Latn-ME"/>
        </w:rPr>
        <w:t xml:space="preserve">jeni intravenski, uočena je renalna toksičnost i ototoksičnost. Sa aspekta </w:t>
      </w:r>
      <w:r w:rsidR="00F46CDF" w:rsidRPr="009C58C4">
        <w:rPr>
          <w:iCs/>
          <w:sz w:val="22"/>
          <w:szCs w:val="22"/>
          <w:lang w:val="sr-Latn-ME"/>
        </w:rPr>
        <w:t>bezbjed</w:t>
      </w:r>
      <w:r w:rsidR="00C455E5" w:rsidRPr="009C58C4">
        <w:rPr>
          <w:iCs/>
          <w:sz w:val="22"/>
          <w:szCs w:val="22"/>
          <w:lang w:val="sr-Latn-ME"/>
        </w:rPr>
        <w:t xml:space="preserve">nosti ciklodekstrini su razmatrani tokom razvoja i </w:t>
      </w:r>
      <w:r w:rsidRPr="009C58C4">
        <w:rPr>
          <w:iCs/>
          <w:sz w:val="22"/>
          <w:szCs w:val="22"/>
          <w:lang w:val="sr-Latn-ME"/>
        </w:rPr>
        <w:t>procjen</w:t>
      </w:r>
      <w:r w:rsidR="00C455E5" w:rsidRPr="009C58C4">
        <w:rPr>
          <w:iCs/>
          <w:sz w:val="22"/>
          <w:szCs w:val="22"/>
          <w:lang w:val="sr-Latn-ME"/>
        </w:rPr>
        <w:t xml:space="preserve">e </w:t>
      </w:r>
      <w:r w:rsidR="00F46CDF" w:rsidRPr="009C58C4">
        <w:rPr>
          <w:iCs/>
          <w:sz w:val="22"/>
          <w:szCs w:val="22"/>
          <w:lang w:val="sr-Latn-ME"/>
        </w:rPr>
        <w:t>bezbjed</w:t>
      </w:r>
      <w:r w:rsidR="00C455E5" w:rsidRPr="009C58C4">
        <w:rPr>
          <w:iCs/>
          <w:sz w:val="22"/>
          <w:szCs w:val="22"/>
          <w:lang w:val="sr-Latn-ME"/>
        </w:rPr>
        <w:t xml:space="preserve">nosti </w:t>
      </w:r>
      <w:r w:rsidRPr="009C58C4">
        <w:rPr>
          <w:iCs/>
          <w:sz w:val="22"/>
          <w:szCs w:val="22"/>
          <w:lang w:val="sr-Latn-ME"/>
        </w:rPr>
        <w:t>primjen</w:t>
      </w:r>
      <w:r w:rsidR="00C455E5" w:rsidRPr="009C58C4">
        <w:rPr>
          <w:iCs/>
          <w:sz w:val="22"/>
          <w:szCs w:val="22"/>
          <w:lang w:val="sr-Latn-ME"/>
        </w:rPr>
        <w:t xml:space="preserve">e </w:t>
      </w:r>
      <w:r w:rsidRPr="009C58C4">
        <w:rPr>
          <w:iCs/>
          <w:sz w:val="22"/>
          <w:szCs w:val="22"/>
          <w:lang w:val="sr-Latn-ME"/>
        </w:rPr>
        <w:t>lijek</w:t>
      </w:r>
      <w:r w:rsidR="00C455E5" w:rsidRPr="009C58C4">
        <w:rPr>
          <w:iCs/>
          <w:sz w:val="22"/>
          <w:szCs w:val="22"/>
          <w:lang w:val="sr-Latn-ME"/>
        </w:rPr>
        <w:t xml:space="preserve">a. Postoje ograničeni podaci o </w:t>
      </w:r>
      <w:r w:rsidR="00F46CDF" w:rsidRPr="009C58C4">
        <w:rPr>
          <w:iCs/>
          <w:sz w:val="22"/>
          <w:szCs w:val="22"/>
          <w:lang w:val="sr-Latn-ME"/>
        </w:rPr>
        <w:t>bezbjed</w:t>
      </w:r>
      <w:r w:rsidR="00C455E5" w:rsidRPr="009C58C4">
        <w:rPr>
          <w:iCs/>
          <w:sz w:val="22"/>
          <w:szCs w:val="22"/>
          <w:lang w:val="sr-Latn-ME"/>
        </w:rPr>
        <w:t>nosnim efektima ciklodekstrina kod dece &lt; 2 godine.</w:t>
      </w:r>
    </w:p>
    <w:p w14:paraId="7BB10530" w14:textId="77777777" w:rsidR="00C455E5" w:rsidRPr="009C58C4" w:rsidRDefault="00C455E5" w:rsidP="00226369">
      <w:pPr>
        <w:jc w:val="both"/>
        <w:rPr>
          <w:iCs/>
          <w:sz w:val="22"/>
          <w:szCs w:val="22"/>
          <w:lang w:val="sr-Latn-ME"/>
        </w:rPr>
      </w:pPr>
    </w:p>
    <w:p w14:paraId="5120EDCF" w14:textId="77777777" w:rsidR="00C455E5" w:rsidRPr="009C58C4" w:rsidRDefault="00C455E5" w:rsidP="00226369">
      <w:pPr>
        <w:keepNext/>
        <w:widowControl w:val="0"/>
        <w:jc w:val="both"/>
        <w:rPr>
          <w:i/>
          <w:iCs/>
          <w:sz w:val="22"/>
          <w:szCs w:val="22"/>
          <w:u w:val="single"/>
          <w:lang w:val="sr-Latn-ME"/>
        </w:rPr>
      </w:pPr>
      <w:bookmarkStart w:id="18" w:name="_Hlk134511067"/>
      <w:r w:rsidRPr="009C58C4">
        <w:rPr>
          <w:rFonts w:eastAsia="SimSun"/>
          <w:i/>
          <w:iCs/>
          <w:sz w:val="22"/>
          <w:szCs w:val="22"/>
          <w:u w:val="single"/>
          <w:lang w:val="sr-Latn-ME"/>
        </w:rPr>
        <w:t>M</w:t>
      </w:r>
      <w:r w:rsidRPr="009C58C4">
        <w:rPr>
          <w:i/>
          <w:iCs/>
          <w:sz w:val="22"/>
          <w:szCs w:val="22"/>
          <w:u w:val="single"/>
          <w:lang w:val="sr-Latn-ME"/>
        </w:rPr>
        <w:t>etilparahidroksibenzoat</w:t>
      </w:r>
    </w:p>
    <w:bookmarkEnd w:id="18"/>
    <w:p w14:paraId="77500346" w14:textId="537B317E" w:rsidR="00C455E5" w:rsidRPr="009C58C4" w:rsidRDefault="00C455E5" w:rsidP="00226369">
      <w:pPr>
        <w:autoSpaceDE w:val="0"/>
        <w:autoSpaceDN w:val="0"/>
        <w:adjustRightInd w:val="0"/>
        <w:jc w:val="both"/>
        <w:rPr>
          <w:sz w:val="22"/>
          <w:szCs w:val="22"/>
          <w:lang w:val="sr-Latn-ME"/>
        </w:rPr>
      </w:pPr>
      <w:r w:rsidRPr="009C58C4">
        <w:rPr>
          <w:sz w:val="22"/>
          <w:szCs w:val="22"/>
          <w:lang w:val="sr-Latn-ME"/>
        </w:rPr>
        <w:t xml:space="preserve">Ovaj </w:t>
      </w:r>
      <w:r w:rsidR="007F2563" w:rsidRPr="009C58C4">
        <w:rPr>
          <w:sz w:val="22"/>
          <w:szCs w:val="22"/>
          <w:lang w:val="sr-Latn-ME"/>
        </w:rPr>
        <w:t>lijek</w:t>
      </w:r>
      <w:r w:rsidRPr="009C58C4">
        <w:rPr>
          <w:sz w:val="22"/>
          <w:szCs w:val="22"/>
          <w:lang w:val="sr-Latn-ME"/>
        </w:rPr>
        <w:t xml:space="preserve"> sadrži metilparahidroksibenzoat, koji može uzrokovati alergijske reakcije (moguće i odložene).</w:t>
      </w:r>
    </w:p>
    <w:p w14:paraId="539A95E8" w14:textId="77777777" w:rsidR="00C455E5" w:rsidRPr="009C58C4" w:rsidRDefault="00C455E5" w:rsidP="00226369">
      <w:pPr>
        <w:widowControl w:val="0"/>
        <w:jc w:val="both"/>
        <w:rPr>
          <w:sz w:val="22"/>
          <w:szCs w:val="22"/>
          <w:lang w:val="sr-Latn-ME"/>
        </w:rPr>
      </w:pPr>
    </w:p>
    <w:p w14:paraId="6C75BA53" w14:textId="77777777" w:rsidR="00C455E5" w:rsidRPr="009C58C4" w:rsidRDefault="00C455E5" w:rsidP="00226369">
      <w:pPr>
        <w:keepNext/>
        <w:widowControl w:val="0"/>
        <w:jc w:val="both"/>
        <w:rPr>
          <w:i/>
          <w:iCs/>
          <w:sz w:val="22"/>
          <w:szCs w:val="22"/>
          <w:u w:val="single"/>
          <w:lang w:val="sr-Latn-ME"/>
        </w:rPr>
      </w:pPr>
      <w:r w:rsidRPr="009C58C4">
        <w:rPr>
          <w:i/>
          <w:iCs/>
          <w:sz w:val="22"/>
          <w:szCs w:val="22"/>
          <w:u w:val="single"/>
          <w:lang w:val="sr-Latn-ME"/>
        </w:rPr>
        <w:t>Natrijum</w:t>
      </w:r>
    </w:p>
    <w:p w14:paraId="7B79E235" w14:textId="3A4DD575" w:rsidR="00C455E5" w:rsidRPr="009C58C4" w:rsidRDefault="00C455E5" w:rsidP="00226369">
      <w:pPr>
        <w:autoSpaceDE w:val="0"/>
        <w:autoSpaceDN w:val="0"/>
        <w:adjustRightInd w:val="0"/>
        <w:jc w:val="both"/>
        <w:rPr>
          <w:sz w:val="22"/>
          <w:szCs w:val="22"/>
          <w:lang w:val="sr-Latn-ME"/>
        </w:rPr>
      </w:pPr>
      <w:r w:rsidRPr="009C58C4">
        <w:rPr>
          <w:sz w:val="22"/>
          <w:szCs w:val="22"/>
          <w:lang w:val="sr-Latn-ME"/>
        </w:rPr>
        <w:t xml:space="preserve">Ovaj </w:t>
      </w:r>
      <w:r w:rsidR="007F2563" w:rsidRPr="009C58C4">
        <w:rPr>
          <w:sz w:val="22"/>
          <w:szCs w:val="22"/>
          <w:lang w:val="sr-Latn-ME"/>
        </w:rPr>
        <w:t>lijek</w:t>
      </w:r>
      <w:r w:rsidRPr="009C58C4">
        <w:rPr>
          <w:sz w:val="22"/>
          <w:szCs w:val="22"/>
          <w:lang w:val="sr-Latn-ME"/>
        </w:rPr>
        <w:t xml:space="preserve"> sadrži 1,98 mg natrijuma po </w:t>
      </w:r>
      <w:r w:rsidR="006656BE" w:rsidRPr="009C58C4">
        <w:rPr>
          <w:sz w:val="22"/>
          <w:szCs w:val="22"/>
          <w:lang w:val="sr-Latn-ME"/>
        </w:rPr>
        <w:t>ml</w:t>
      </w:r>
      <w:r w:rsidRPr="009C58C4">
        <w:rPr>
          <w:sz w:val="22"/>
          <w:szCs w:val="22"/>
          <w:lang w:val="sr-Latn-ME"/>
        </w:rPr>
        <w:t xml:space="preserve"> Spexotras oralnog rastvora, što odgovara 4 % maksimalnog dnevnog unosa od 2 g natrijuma prema preporukama SZO za odraslu osobu pri najvećoj dnevnoj dozi trametiniba od 2 mg (40 </w:t>
      </w:r>
      <w:r w:rsidR="006656BE" w:rsidRPr="009C58C4">
        <w:rPr>
          <w:sz w:val="22"/>
          <w:szCs w:val="22"/>
          <w:lang w:val="sr-Latn-ME"/>
        </w:rPr>
        <w:t>ml</w:t>
      </w:r>
      <w:r w:rsidRPr="009C58C4">
        <w:rPr>
          <w:sz w:val="22"/>
          <w:szCs w:val="22"/>
          <w:lang w:val="sr-Latn-ME"/>
        </w:rPr>
        <w:t>).</w:t>
      </w:r>
    </w:p>
    <w:p w14:paraId="0DE8065D" w14:textId="77777777" w:rsidR="00C455E5" w:rsidRPr="009C58C4" w:rsidRDefault="00C455E5" w:rsidP="00226369">
      <w:pPr>
        <w:widowControl w:val="0"/>
        <w:jc w:val="both"/>
        <w:rPr>
          <w:sz w:val="22"/>
          <w:szCs w:val="22"/>
          <w:lang w:val="sr-Latn-ME"/>
        </w:rPr>
      </w:pPr>
    </w:p>
    <w:p w14:paraId="1948E20C" w14:textId="77777777" w:rsidR="00C455E5" w:rsidRPr="009C58C4" w:rsidRDefault="00C455E5" w:rsidP="00226369">
      <w:pPr>
        <w:keepNext/>
        <w:widowControl w:val="0"/>
        <w:jc w:val="both"/>
        <w:rPr>
          <w:i/>
          <w:iCs/>
          <w:sz w:val="22"/>
          <w:szCs w:val="22"/>
          <w:u w:val="single"/>
          <w:lang w:val="sr-Latn-ME"/>
        </w:rPr>
      </w:pPr>
      <w:r w:rsidRPr="009C58C4">
        <w:rPr>
          <w:i/>
          <w:iCs/>
          <w:sz w:val="22"/>
          <w:szCs w:val="22"/>
          <w:u w:val="single"/>
          <w:lang w:val="sr-Latn-ME"/>
        </w:rPr>
        <w:t>Kalijum</w:t>
      </w:r>
    </w:p>
    <w:p w14:paraId="1C14AC0C" w14:textId="1DFED04F" w:rsidR="00C455E5" w:rsidRPr="009C58C4" w:rsidRDefault="00C455E5" w:rsidP="00226369">
      <w:pPr>
        <w:autoSpaceDE w:val="0"/>
        <w:autoSpaceDN w:val="0"/>
        <w:adjustRightInd w:val="0"/>
        <w:jc w:val="both"/>
        <w:rPr>
          <w:sz w:val="22"/>
          <w:szCs w:val="22"/>
          <w:lang w:val="sr-Latn-ME"/>
        </w:rPr>
      </w:pPr>
      <w:r w:rsidRPr="009C58C4">
        <w:rPr>
          <w:sz w:val="22"/>
          <w:szCs w:val="22"/>
          <w:lang w:val="sr-Latn-ME"/>
        </w:rPr>
        <w:t xml:space="preserve">Ovaj </w:t>
      </w:r>
      <w:r w:rsidR="007F2563" w:rsidRPr="009C58C4">
        <w:rPr>
          <w:sz w:val="22"/>
          <w:szCs w:val="22"/>
          <w:lang w:val="sr-Latn-ME"/>
        </w:rPr>
        <w:t>lijek</w:t>
      </w:r>
      <w:r w:rsidRPr="009C58C4">
        <w:rPr>
          <w:sz w:val="22"/>
          <w:szCs w:val="22"/>
          <w:lang w:val="sr-Latn-ME"/>
        </w:rPr>
        <w:t xml:space="preserve"> sadrži kalijum, manje od 1 mmol (39 mg) po najvećoj dnevnoj dozi, tj. zanemarive količine kalijuma.</w:t>
      </w:r>
    </w:p>
    <w:p w14:paraId="02C919B7" w14:textId="77777777" w:rsidR="00057E35" w:rsidRPr="009C58C4" w:rsidRDefault="00057E35" w:rsidP="00226369">
      <w:pPr>
        <w:tabs>
          <w:tab w:val="left" w:pos="540"/>
          <w:tab w:val="left" w:pos="569"/>
        </w:tabs>
        <w:jc w:val="both"/>
        <w:rPr>
          <w:bCs/>
          <w:sz w:val="22"/>
          <w:szCs w:val="22"/>
          <w:lang w:val="sr-Latn-ME"/>
        </w:rPr>
      </w:pPr>
    </w:p>
    <w:p w14:paraId="77EC3FF8" w14:textId="77777777" w:rsidR="00411B4B" w:rsidRPr="009C58C4" w:rsidRDefault="00411B4B" w:rsidP="00226369">
      <w:pPr>
        <w:tabs>
          <w:tab w:val="left" w:pos="540"/>
          <w:tab w:val="left" w:pos="569"/>
        </w:tabs>
        <w:jc w:val="both"/>
        <w:rPr>
          <w:b/>
          <w:bCs/>
          <w:sz w:val="22"/>
          <w:szCs w:val="22"/>
          <w:lang w:val="sr-Latn-ME"/>
        </w:rPr>
      </w:pPr>
      <w:r w:rsidRPr="009C58C4">
        <w:rPr>
          <w:b/>
          <w:bCs/>
          <w:sz w:val="22"/>
          <w:szCs w:val="22"/>
          <w:lang w:val="sr-Latn-ME"/>
        </w:rPr>
        <w:t>4.5.</w:t>
      </w:r>
      <w:r w:rsidR="000D60CC" w:rsidRPr="009C58C4">
        <w:rPr>
          <w:b/>
          <w:bCs/>
          <w:sz w:val="22"/>
          <w:szCs w:val="22"/>
          <w:lang w:val="sr-Latn-ME"/>
        </w:rPr>
        <w:tab/>
      </w:r>
      <w:r w:rsidRPr="009C58C4">
        <w:rPr>
          <w:b/>
          <w:bCs/>
          <w:sz w:val="22"/>
          <w:szCs w:val="22"/>
          <w:lang w:val="sr-Latn-ME"/>
        </w:rPr>
        <w:t>Interakcije sa drugim ljekovima i druge vrste interakcija</w:t>
      </w:r>
    </w:p>
    <w:p w14:paraId="141A2B44" w14:textId="77777777" w:rsidR="00C455E5" w:rsidRPr="009C58C4" w:rsidRDefault="00C455E5" w:rsidP="00226369">
      <w:pPr>
        <w:jc w:val="both"/>
        <w:rPr>
          <w:sz w:val="22"/>
          <w:szCs w:val="22"/>
          <w:lang w:val="sr-Latn-ME"/>
        </w:rPr>
      </w:pPr>
    </w:p>
    <w:p w14:paraId="06CE69C9" w14:textId="7985910A" w:rsidR="00C455E5" w:rsidRPr="009C58C4" w:rsidRDefault="00C455E5" w:rsidP="00226369">
      <w:pPr>
        <w:jc w:val="both"/>
        <w:rPr>
          <w:sz w:val="22"/>
          <w:szCs w:val="22"/>
          <w:lang w:val="sr-Latn-ME"/>
        </w:rPr>
      </w:pPr>
      <w:r w:rsidRPr="009C58C4">
        <w:rPr>
          <w:sz w:val="22"/>
          <w:szCs w:val="22"/>
          <w:lang w:val="sr-Latn-ME"/>
        </w:rPr>
        <w:t>Ispitivanja interakcija sprovedena su samo kod odraslih.</w:t>
      </w:r>
    </w:p>
    <w:p w14:paraId="37BCFE51" w14:textId="77777777" w:rsidR="00C455E5" w:rsidRPr="009C58C4" w:rsidRDefault="00C455E5" w:rsidP="00226369">
      <w:pPr>
        <w:jc w:val="both"/>
        <w:rPr>
          <w:sz w:val="22"/>
          <w:szCs w:val="22"/>
          <w:lang w:val="sr-Latn-ME"/>
        </w:rPr>
      </w:pPr>
    </w:p>
    <w:p w14:paraId="6875290A" w14:textId="052B5A6B" w:rsidR="00C455E5" w:rsidRPr="009C58C4" w:rsidRDefault="00C455E5" w:rsidP="00226369">
      <w:pPr>
        <w:keepNext/>
        <w:jc w:val="both"/>
        <w:rPr>
          <w:sz w:val="22"/>
          <w:szCs w:val="22"/>
          <w:u w:val="single"/>
          <w:lang w:val="sr-Latn-ME"/>
        </w:rPr>
      </w:pPr>
      <w:r w:rsidRPr="009C58C4">
        <w:rPr>
          <w:noProof/>
          <w:sz w:val="22"/>
          <w:szCs w:val="22"/>
          <w:u w:val="single"/>
          <w:lang w:val="sr-Latn-ME"/>
        </w:rPr>
        <w:t xml:space="preserve">Efekat drugih </w:t>
      </w:r>
      <w:r w:rsidR="007F2563" w:rsidRPr="009C58C4">
        <w:rPr>
          <w:noProof/>
          <w:sz w:val="22"/>
          <w:szCs w:val="22"/>
          <w:u w:val="single"/>
          <w:lang w:val="sr-Latn-ME"/>
        </w:rPr>
        <w:t>ljek</w:t>
      </w:r>
      <w:r w:rsidRPr="009C58C4">
        <w:rPr>
          <w:noProof/>
          <w:sz w:val="22"/>
          <w:szCs w:val="22"/>
          <w:u w:val="single"/>
          <w:lang w:val="sr-Latn-ME"/>
        </w:rPr>
        <w:t xml:space="preserve">ova na </w:t>
      </w:r>
      <w:r w:rsidRPr="009C58C4">
        <w:rPr>
          <w:sz w:val="22"/>
          <w:szCs w:val="22"/>
          <w:u w:val="single"/>
          <w:lang w:val="sr-Latn-ME"/>
        </w:rPr>
        <w:t>trametinib</w:t>
      </w:r>
    </w:p>
    <w:p w14:paraId="71B446A3" w14:textId="77777777" w:rsidR="00C455E5" w:rsidRPr="009C58C4" w:rsidRDefault="00C455E5" w:rsidP="00226369">
      <w:pPr>
        <w:keepNext/>
        <w:jc w:val="both"/>
        <w:rPr>
          <w:sz w:val="22"/>
          <w:szCs w:val="22"/>
          <w:lang w:val="sr-Latn-ME"/>
        </w:rPr>
      </w:pPr>
    </w:p>
    <w:p w14:paraId="2C06CB89" w14:textId="62263A88" w:rsidR="00C455E5" w:rsidRPr="009C58C4" w:rsidRDefault="00C455E5" w:rsidP="00226369">
      <w:pPr>
        <w:jc w:val="both"/>
        <w:rPr>
          <w:sz w:val="22"/>
          <w:szCs w:val="22"/>
          <w:lang w:val="sr-Latn-ME"/>
        </w:rPr>
      </w:pPr>
      <w:r w:rsidRPr="009C58C4">
        <w:rPr>
          <w:sz w:val="22"/>
          <w:szCs w:val="22"/>
          <w:lang w:val="sr-Latn-ME"/>
        </w:rPr>
        <w:t xml:space="preserve">S obzirom da se trametinib metabolizuje prvenstveno deacetilacijom u kojoj posreduju hidrolitički enzimi (npr. karboksilesteraze), nije verovatno da bi drugi </w:t>
      </w:r>
      <w:r w:rsidR="007F2563" w:rsidRPr="009C58C4">
        <w:rPr>
          <w:sz w:val="22"/>
          <w:szCs w:val="22"/>
          <w:lang w:val="sr-Latn-ME"/>
        </w:rPr>
        <w:t>ljek</w:t>
      </w:r>
      <w:r w:rsidRPr="009C58C4">
        <w:rPr>
          <w:sz w:val="22"/>
          <w:szCs w:val="22"/>
          <w:lang w:val="sr-Latn-ME"/>
        </w:rPr>
        <w:t>ovi mogli uticati na njegovu farmakokinetiku putem metaboličkih interakcija (</w:t>
      </w:r>
      <w:r w:rsidR="00F46CDF" w:rsidRPr="009C58C4">
        <w:rPr>
          <w:sz w:val="22"/>
          <w:szCs w:val="22"/>
          <w:lang w:val="sr-Latn-ME"/>
        </w:rPr>
        <w:t>vidjet</w:t>
      </w:r>
      <w:r w:rsidRPr="009C58C4">
        <w:rPr>
          <w:sz w:val="22"/>
          <w:szCs w:val="22"/>
          <w:lang w:val="sr-Latn-ME"/>
        </w:rPr>
        <w:t xml:space="preserve">i </w:t>
      </w:r>
      <w:r w:rsidR="00022D46" w:rsidRPr="009C58C4">
        <w:rPr>
          <w:sz w:val="22"/>
          <w:szCs w:val="22"/>
          <w:lang w:val="sr-Latn-ME"/>
        </w:rPr>
        <w:t xml:space="preserve">dio </w:t>
      </w:r>
      <w:r w:rsidRPr="009C58C4">
        <w:rPr>
          <w:sz w:val="22"/>
          <w:szCs w:val="22"/>
          <w:lang w:val="sr-Latn-ME"/>
        </w:rPr>
        <w:t xml:space="preserve">5.2). Interakcije između </w:t>
      </w:r>
      <w:r w:rsidR="007F2563" w:rsidRPr="009C58C4">
        <w:rPr>
          <w:sz w:val="22"/>
          <w:szCs w:val="22"/>
          <w:lang w:val="sr-Latn-ME"/>
        </w:rPr>
        <w:t>ljek</w:t>
      </w:r>
      <w:r w:rsidRPr="009C58C4">
        <w:rPr>
          <w:sz w:val="22"/>
          <w:szCs w:val="22"/>
          <w:lang w:val="sr-Latn-ME"/>
        </w:rPr>
        <w:t>ova posredovane spomenutim hidrolitičkim enzimima ne mogu se isključiti te mogu uticati na izloženost trametinibu.</w:t>
      </w:r>
    </w:p>
    <w:p w14:paraId="1BBB050A" w14:textId="77777777" w:rsidR="00C455E5" w:rsidRPr="009C58C4" w:rsidRDefault="00C455E5" w:rsidP="00226369">
      <w:pPr>
        <w:jc w:val="both"/>
        <w:rPr>
          <w:sz w:val="22"/>
          <w:szCs w:val="22"/>
          <w:lang w:val="sr-Latn-ME"/>
        </w:rPr>
      </w:pPr>
    </w:p>
    <w:p w14:paraId="70BD01EF" w14:textId="086F387A" w:rsidR="00C455E5" w:rsidRPr="009C58C4" w:rsidRDefault="00C455E5" w:rsidP="00226369">
      <w:pPr>
        <w:jc w:val="both"/>
        <w:rPr>
          <w:sz w:val="22"/>
          <w:szCs w:val="22"/>
          <w:lang w:val="sr-Latn-ME"/>
        </w:rPr>
      </w:pPr>
      <w:r w:rsidRPr="009C58C4">
        <w:rPr>
          <w:sz w:val="22"/>
          <w:szCs w:val="22"/>
          <w:lang w:val="sr-Latn-ME"/>
        </w:rPr>
        <w:t xml:space="preserve">Trametinib je </w:t>
      </w:r>
      <w:r w:rsidRPr="009C58C4">
        <w:rPr>
          <w:i/>
          <w:iCs/>
          <w:sz w:val="22"/>
          <w:szCs w:val="22"/>
          <w:lang w:val="sr-Latn-ME"/>
        </w:rPr>
        <w:t xml:space="preserve">in vitro </w:t>
      </w:r>
      <w:r w:rsidRPr="009C58C4">
        <w:rPr>
          <w:sz w:val="22"/>
          <w:szCs w:val="22"/>
          <w:lang w:val="sr-Latn-ME"/>
        </w:rPr>
        <w:t xml:space="preserve">supstrat efluksnog transportera P-gp-a. Kako se ne može isključiti da jaka inhibicija hepatičnog P-gp-a može rezultirati povećanim nivoima trametiniba, preporučuje se oprez kad se trametinib </w:t>
      </w:r>
      <w:r w:rsidR="007F2563" w:rsidRPr="009C58C4">
        <w:rPr>
          <w:sz w:val="22"/>
          <w:szCs w:val="22"/>
          <w:lang w:val="sr-Latn-ME"/>
        </w:rPr>
        <w:t>primjen</w:t>
      </w:r>
      <w:r w:rsidRPr="009C58C4">
        <w:rPr>
          <w:sz w:val="22"/>
          <w:szCs w:val="22"/>
          <w:lang w:val="sr-Latn-ME"/>
        </w:rPr>
        <w:t xml:space="preserve">juje istovremeno sa </w:t>
      </w:r>
      <w:r w:rsidR="007F2563" w:rsidRPr="009C58C4">
        <w:rPr>
          <w:sz w:val="22"/>
          <w:szCs w:val="22"/>
          <w:lang w:val="sr-Latn-ME"/>
        </w:rPr>
        <w:t>ljek</w:t>
      </w:r>
      <w:r w:rsidRPr="009C58C4">
        <w:rPr>
          <w:sz w:val="22"/>
          <w:szCs w:val="22"/>
          <w:lang w:val="sr-Latn-ME"/>
        </w:rPr>
        <w:t>ovima koji su jaki inhibitori P-gp-a (npr. verapamil, ciklosporin, ritonavir, kinidin, itrakonazol).</w:t>
      </w:r>
    </w:p>
    <w:p w14:paraId="1E001B99" w14:textId="77777777" w:rsidR="00C455E5" w:rsidRPr="009C58C4" w:rsidRDefault="00C455E5" w:rsidP="00226369">
      <w:pPr>
        <w:jc w:val="both"/>
        <w:rPr>
          <w:sz w:val="22"/>
          <w:szCs w:val="22"/>
          <w:lang w:val="sr-Latn-ME"/>
        </w:rPr>
      </w:pPr>
    </w:p>
    <w:p w14:paraId="052F741C" w14:textId="45258DE2" w:rsidR="00C455E5" w:rsidRPr="009C58C4" w:rsidRDefault="00C455E5" w:rsidP="00226369">
      <w:pPr>
        <w:keepNext/>
        <w:jc w:val="both"/>
        <w:rPr>
          <w:sz w:val="22"/>
          <w:szCs w:val="22"/>
          <w:u w:val="single"/>
          <w:lang w:val="sr-Latn-ME"/>
        </w:rPr>
      </w:pPr>
      <w:r w:rsidRPr="009C58C4">
        <w:rPr>
          <w:sz w:val="22"/>
          <w:szCs w:val="22"/>
          <w:u w:val="single"/>
          <w:lang w:val="sr-Latn-ME"/>
        </w:rPr>
        <w:lastRenderedPageBreak/>
        <w:t xml:space="preserve">Efekat trametiniba na druge </w:t>
      </w:r>
      <w:r w:rsidR="007F2563" w:rsidRPr="009C58C4">
        <w:rPr>
          <w:sz w:val="22"/>
          <w:szCs w:val="22"/>
          <w:u w:val="single"/>
          <w:lang w:val="sr-Latn-ME"/>
        </w:rPr>
        <w:t>ljek</w:t>
      </w:r>
      <w:r w:rsidRPr="009C58C4">
        <w:rPr>
          <w:sz w:val="22"/>
          <w:szCs w:val="22"/>
          <w:u w:val="single"/>
          <w:lang w:val="sr-Latn-ME"/>
        </w:rPr>
        <w:t>ove</w:t>
      </w:r>
    </w:p>
    <w:p w14:paraId="0885FA24" w14:textId="77777777" w:rsidR="00C455E5" w:rsidRPr="009C58C4" w:rsidRDefault="00C455E5" w:rsidP="00226369">
      <w:pPr>
        <w:keepNext/>
        <w:jc w:val="both"/>
        <w:rPr>
          <w:sz w:val="22"/>
          <w:szCs w:val="22"/>
          <w:lang w:val="sr-Latn-ME"/>
        </w:rPr>
      </w:pPr>
    </w:p>
    <w:p w14:paraId="16D9F1C0" w14:textId="0A5B8299" w:rsidR="00C455E5" w:rsidRPr="009C58C4" w:rsidRDefault="00C455E5" w:rsidP="00226369">
      <w:pPr>
        <w:jc w:val="both"/>
        <w:rPr>
          <w:sz w:val="22"/>
          <w:szCs w:val="22"/>
          <w:lang w:val="sr-Latn-ME"/>
        </w:rPr>
      </w:pPr>
      <w:r w:rsidRPr="009C58C4">
        <w:rPr>
          <w:iCs/>
          <w:sz w:val="22"/>
          <w:szCs w:val="22"/>
          <w:lang w:val="sr-Latn-ME"/>
        </w:rPr>
        <w:t>Zasnovano na</w:t>
      </w:r>
      <w:r w:rsidRPr="009C58C4">
        <w:rPr>
          <w:i/>
          <w:iCs/>
          <w:sz w:val="22"/>
          <w:szCs w:val="22"/>
          <w:lang w:val="sr-Latn-ME"/>
        </w:rPr>
        <w:t xml:space="preserve"> in vitro </w:t>
      </w:r>
      <w:r w:rsidRPr="009C58C4">
        <w:rPr>
          <w:sz w:val="22"/>
          <w:szCs w:val="22"/>
          <w:lang w:val="sr-Latn-ME"/>
        </w:rPr>
        <w:t xml:space="preserve">i </w:t>
      </w:r>
      <w:r w:rsidRPr="009C58C4">
        <w:rPr>
          <w:i/>
          <w:iCs/>
          <w:sz w:val="22"/>
          <w:szCs w:val="22"/>
          <w:lang w:val="sr-Latn-ME"/>
        </w:rPr>
        <w:t xml:space="preserve">in vivo </w:t>
      </w:r>
      <w:r w:rsidRPr="009C58C4">
        <w:rPr>
          <w:sz w:val="22"/>
          <w:szCs w:val="22"/>
          <w:lang w:val="sr-Latn-ME"/>
        </w:rPr>
        <w:t xml:space="preserve">podacima, malo je verovatno da će trametinib značajno uticati na farmakokinetiku drugih </w:t>
      </w:r>
      <w:r w:rsidR="007F2563" w:rsidRPr="009C58C4">
        <w:rPr>
          <w:sz w:val="22"/>
          <w:szCs w:val="22"/>
          <w:lang w:val="sr-Latn-ME"/>
        </w:rPr>
        <w:t>ljek</w:t>
      </w:r>
      <w:r w:rsidRPr="009C58C4">
        <w:rPr>
          <w:sz w:val="22"/>
          <w:szCs w:val="22"/>
          <w:lang w:val="sr-Latn-ME"/>
        </w:rPr>
        <w:t>ova putem interakcija s</w:t>
      </w:r>
      <w:r w:rsidR="00C97935" w:rsidRPr="009C58C4">
        <w:rPr>
          <w:sz w:val="22"/>
          <w:szCs w:val="22"/>
          <w:lang w:val="sr-Latn-ME"/>
        </w:rPr>
        <w:t>a</w:t>
      </w:r>
      <w:r w:rsidRPr="009C58C4">
        <w:rPr>
          <w:sz w:val="22"/>
          <w:szCs w:val="22"/>
          <w:lang w:val="sr-Latn-ME"/>
        </w:rPr>
        <w:t xml:space="preserve"> CYP enzimima ili transporterima (</w:t>
      </w:r>
      <w:r w:rsidR="00F46CDF" w:rsidRPr="009C58C4">
        <w:rPr>
          <w:sz w:val="22"/>
          <w:szCs w:val="22"/>
          <w:lang w:val="sr-Latn-ME"/>
        </w:rPr>
        <w:t>vidjet</w:t>
      </w:r>
      <w:r w:rsidRPr="009C58C4">
        <w:rPr>
          <w:sz w:val="22"/>
          <w:szCs w:val="22"/>
          <w:lang w:val="sr-Latn-ME"/>
        </w:rPr>
        <w:t>i</w:t>
      </w:r>
      <w:r w:rsidR="00C97935" w:rsidRPr="009C58C4">
        <w:rPr>
          <w:sz w:val="22"/>
          <w:szCs w:val="22"/>
          <w:lang w:val="sr-Latn-ME"/>
        </w:rPr>
        <w:t xml:space="preserve"> </w:t>
      </w:r>
      <w:r w:rsidR="00022D46" w:rsidRPr="009C58C4">
        <w:rPr>
          <w:sz w:val="22"/>
          <w:szCs w:val="22"/>
          <w:lang w:val="sr-Latn-ME"/>
        </w:rPr>
        <w:t>dio</w:t>
      </w:r>
      <w:r w:rsidRPr="009C58C4">
        <w:rPr>
          <w:sz w:val="22"/>
          <w:szCs w:val="22"/>
          <w:lang w:val="sr-Latn-ME"/>
        </w:rPr>
        <w:t xml:space="preserve"> 5.2). Trametinib može uzrokovati prolaznu inhibiciju supstrata proteina rezistencije raka dojke (engl. </w:t>
      </w:r>
      <w:r w:rsidRPr="009C58C4">
        <w:rPr>
          <w:i/>
          <w:iCs/>
          <w:sz w:val="22"/>
          <w:szCs w:val="22"/>
          <w:lang w:val="sr-Latn-ME"/>
        </w:rPr>
        <w:t>breast cancer resistance protein</w:t>
      </w:r>
      <w:r w:rsidRPr="009C58C4">
        <w:rPr>
          <w:sz w:val="22"/>
          <w:szCs w:val="22"/>
          <w:lang w:val="sr-Latn-ME"/>
        </w:rPr>
        <w:t xml:space="preserve">, BCRP) (npr. pitavastatin) u crevima, što se može minimizirati odvojenom </w:t>
      </w:r>
      <w:r w:rsidR="007F2563" w:rsidRPr="009C58C4">
        <w:rPr>
          <w:sz w:val="22"/>
          <w:szCs w:val="22"/>
          <w:lang w:val="sr-Latn-ME"/>
        </w:rPr>
        <w:t>primjen</w:t>
      </w:r>
      <w:r w:rsidRPr="009C58C4">
        <w:rPr>
          <w:sz w:val="22"/>
          <w:szCs w:val="22"/>
          <w:lang w:val="sr-Latn-ME"/>
        </w:rPr>
        <w:t xml:space="preserve">om tih </w:t>
      </w:r>
      <w:r w:rsidR="007F2563" w:rsidRPr="009C58C4">
        <w:rPr>
          <w:sz w:val="22"/>
          <w:szCs w:val="22"/>
          <w:lang w:val="sr-Latn-ME"/>
        </w:rPr>
        <w:t>ljek</w:t>
      </w:r>
      <w:r w:rsidRPr="009C58C4">
        <w:rPr>
          <w:sz w:val="22"/>
          <w:szCs w:val="22"/>
          <w:lang w:val="sr-Latn-ME"/>
        </w:rPr>
        <w:t>ova i trametiniba (s</w:t>
      </w:r>
      <w:r w:rsidR="00204063" w:rsidRPr="009C58C4">
        <w:rPr>
          <w:sz w:val="22"/>
          <w:szCs w:val="22"/>
          <w:lang w:val="sr-Latn-ME"/>
        </w:rPr>
        <w:t>a</w:t>
      </w:r>
      <w:r w:rsidRPr="009C58C4">
        <w:rPr>
          <w:sz w:val="22"/>
          <w:szCs w:val="22"/>
          <w:lang w:val="sr-Latn-ME"/>
        </w:rPr>
        <w:t xml:space="preserve"> razmakom od 2 sata).</w:t>
      </w:r>
    </w:p>
    <w:p w14:paraId="421C0ED8" w14:textId="77777777" w:rsidR="00C455E5" w:rsidRPr="009C58C4" w:rsidRDefault="00C455E5" w:rsidP="00226369">
      <w:pPr>
        <w:jc w:val="both"/>
        <w:rPr>
          <w:sz w:val="22"/>
          <w:szCs w:val="22"/>
          <w:lang w:val="sr-Latn-ME"/>
        </w:rPr>
      </w:pPr>
    </w:p>
    <w:p w14:paraId="497241DF" w14:textId="25D5E6B8" w:rsidR="00C455E5" w:rsidRPr="009C58C4" w:rsidRDefault="00C455E5" w:rsidP="00226369">
      <w:pPr>
        <w:jc w:val="both"/>
        <w:rPr>
          <w:sz w:val="22"/>
          <w:szCs w:val="22"/>
          <w:lang w:val="sr-Latn-ME"/>
        </w:rPr>
      </w:pPr>
      <w:r w:rsidRPr="009C58C4">
        <w:rPr>
          <w:sz w:val="22"/>
          <w:szCs w:val="22"/>
          <w:lang w:val="sr-Latn-ME"/>
        </w:rPr>
        <w:t xml:space="preserve">Na osnovu kliničkih podataka, ne očekuje se gubitak efikasnosti hormonskih kontraceptiva kad se </w:t>
      </w:r>
      <w:r w:rsidR="007F2563" w:rsidRPr="009C58C4">
        <w:rPr>
          <w:sz w:val="22"/>
          <w:szCs w:val="22"/>
          <w:lang w:val="sr-Latn-ME"/>
        </w:rPr>
        <w:t>primjen</w:t>
      </w:r>
      <w:r w:rsidRPr="009C58C4">
        <w:rPr>
          <w:sz w:val="22"/>
          <w:szCs w:val="22"/>
          <w:lang w:val="sr-Latn-ME"/>
        </w:rPr>
        <w:t>juju istovremeno sa trametinibom (</w:t>
      </w:r>
      <w:r w:rsidR="00F46CDF" w:rsidRPr="009C58C4">
        <w:rPr>
          <w:sz w:val="22"/>
          <w:szCs w:val="22"/>
          <w:lang w:val="sr-Latn-ME"/>
        </w:rPr>
        <w:t>vidjet</w:t>
      </w:r>
      <w:r w:rsidRPr="009C58C4">
        <w:rPr>
          <w:sz w:val="22"/>
          <w:szCs w:val="22"/>
          <w:lang w:val="sr-Latn-ME"/>
        </w:rPr>
        <w:t>i</w:t>
      </w:r>
      <w:r w:rsidR="003C5D11" w:rsidRPr="009C58C4">
        <w:rPr>
          <w:sz w:val="22"/>
          <w:szCs w:val="22"/>
          <w:lang w:val="sr-Latn-ME"/>
        </w:rPr>
        <w:t xml:space="preserve"> </w:t>
      </w:r>
      <w:r w:rsidR="00022D46" w:rsidRPr="009C58C4">
        <w:rPr>
          <w:sz w:val="22"/>
          <w:szCs w:val="22"/>
          <w:lang w:val="sr-Latn-ME"/>
        </w:rPr>
        <w:t>dio</w:t>
      </w:r>
      <w:r w:rsidRPr="009C58C4">
        <w:rPr>
          <w:sz w:val="22"/>
          <w:szCs w:val="22"/>
          <w:lang w:val="sr-Latn-ME"/>
        </w:rPr>
        <w:t xml:space="preserve"> 5.2). Međutim, </w:t>
      </w:r>
      <w:r w:rsidR="007F2563" w:rsidRPr="009C58C4">
        <w:rPr>
          <w:sz w:val="22"/>
          <w:szCs w:val="22"/>
          <w:lang w:val="sr-Latn-ME"/>
        </w:rPr>
        <w:t>primjen</w:t>
      </w:r>
      <w:r w:rsidRPr="009C58C4">
        <w:rPr>
          <w:sz w:val="22"/>
          <w:szCs w:val="22"/>
          <w:lang w:val="sr-Latn-ME"/>
        </w:rPr>
        <w:t>a sa dabrafenibom može učiniti hormonske kontraceptive manje efikasnim.</w:t>
      </w:r>
    </w:p>
    <w:p w14:paraId="3F55D3D7" w14:textId="77777777" w:rsidR="00C455E5" w:rsidRPr="009C58C4" w:rsidRDefault="00C455E5" w:rsidP="00226369">
      <w:pPr>
        <w:jc w:val="both"/>
        <w:rPr>
          <w:sz w:val="22"/>
          <w:szCs w:val="22"/>
          <w:lang w:val="sr-Latn-ME"/>
        </w:rPr>
      </w:pPr>
    </w:p>
    <w:p w14:paraId="5AACB20D" w14:textId="6BA8AB6C" w:rsidR="00C455E5" w:rsidRPr="009C58C4" w:rsidRDefault="00C455E5" w:rsidP="00226369">
      <w:pPr>
        <w:keepNext/>
        <w:jc w:val="both"/>
        <w:rPr>
          <w:sz w:val="22"/>
          <w:szCs w:val="22"/>
          <w:u w:val="single"/>
          <w:lang w:val="sr-Latn-ME"/>
        </w:rPr>
      </w:pPr>
      <w:r w:rsidRPr="009C58C4">
        <w:rPr>
          <w:sz w:val="22"/>
          <w:szCs w:val="22"/>
          <w:u w:val="single"/>
          <w:lang w:val="sr-Latn-ME"/>
        </w:rPr>
        <w:t xml:space="preserve">Efekat pomoćne supstance sulfobutilbetadeksnatrijuma na druge oralne </w:t>
      </w:r>
      <w:r w:rsidR="007F2563" w:rsidRPr="009C58C4">
        <w:rPr>
          <w:sz w:val="22"/>
          <w:szCs w:val="22"/>
          <w:u w:val="single"/>
          <w:lang w:val="sr-Latn-ME"/>
        </w:rPr>
        <w:t>ljek</w:t>
      </w:r>
      <w:r w:rsidRPr="009C58C4">
        <w:rPr>
          <w:sz w:val="22"/>
          <w:szCs w:val="22"/>
          <w:u w:val="single"/>
          <w:lang w:val="sr-Latn-ME"/>
        </w:rPr>
        <w:t>ove niske bioraspoloživosti i uskog terapijskog indeksa</w:t>
      </w:r>
    </w:p>
    <w:p w14:paraId="2E37797C" w14:textId="77777777" w:rsidR="00C455E5" w:rsidRPr="009C58C4" w:rsidRDefault="00C455E5" w:rsidP="00226369">
      <w:pPr>
        <w:keepNext/>
        <w:jc w:val="both"/>
        <w:rPr>
          <w:sz w:val="22"/>
          <w:szCs w:val="22"/>
          <w:lang w:val="sr-Latn-ME"/>
        </w:rPr>
      </w:pPr>
    </w:p>
    <w:p w14:paraId="213C5EF1" w14:textId="1651FBF7" w:rsidR="00C455E5" w:rsidRPr="009C58C4" w:rsidRDefault="00C455E5" w:rsidP="00226369">
      <w:pPr>
        <w:jc w:val="both"/>
        <w:rPr>
          <w:sz w:val="22"/>
          <w:szCs w:val="22"/>
          <w:lang w:val="sr-Latn-ME"/>
        </w:rPr>
      </w:pPr>
      <w:r w:rsidRPr="009C58C4">
        <w:rPr>
          <w:sz w:val="22"/>
          <w:szCs w:val="22"/>
          <w:lang w:val="sr-Latn-ME"/>
        </w:rPr>
        <w:t>Oralni rastvor trametiniba sadrži 100 mg/</w:t>
      </w:r>
      <w:r w:rsidR="006656BE" w:rsidRPr="009C58C4">
        <w:rPr>
          <w:sz w:val="22"/>
          <w:szCs w:val="22"/>
          <w:lang w:val="sr-Latn-ME"/>
        </w:rPr>
        <w:t>ml</w:t>
      </w:r>
      <w:r w:rsidRPr="009C58C4">
        <w:rPr>
          <w:sz w:val="22"/>
          <w:szCs w:val="22"/>
          <w:lang w:val="sr-Latn-ME"/>
        </w:rPr>
        <w:t xml:space="preserve"> sulfobutilbetadeksnatrijuma koji bi mogao uticati na rastvorljivost i bioraspoloživost drugih oralnih </w:t>
      </w:r>
      <w:r w:rsidR="007F2563" w:rsidRPr="009C58C4">
        <w:rPr>
          <w:sz w:val="22"/>
          <w:szCs w:val="22"/>
          <w:lang w:val="sr-Latn-ME"/>
        </w:rPr>
        <w:t>ljek</w:t>
      </w:r>
      <w:r w:rsidRPr="009C58C4">
        <w:rPr>
          <w:sz w:val="22"/>
          <w:szCs w:val="22"/>
          <w:lang w:val="sr-Latn-ME"/>
        </w:rPr>
        <w:t xml:space="preserve">ova. Potreban je oprez kada se oralni rastvor trametiniba </w:t>
      </w:r>
      <w:r w:rsidR="007F2563" w:rsidRPr="009C58C4">
        <w:rPr>
          <w:sz w:val="22"/>
          <w:szCs w:val="22"/>
          <w:lang w:val="sr-Latn-ME"/>
        </w:rPr>
        <w:t>primjen</w:t>
      </w:r>
      <w:r w:rsidRPr="009C58C4">
        <w:rPr>
          <w:sz w:val="22"/>
          <w:szCs w:val="22"/>
          <w:lang w:val="sr-Latn-ME"/>
        </w:rPr>
        <w:t xml:space="preserve">juje sa oralnim </w:t>
      </w:r>
      <w:r w:rsidR="007F2563" w:rsidRPr="009C58C4">
        <w:rPr>
          <w:sz w:val="22"/>
          <w:szCs w:val="22"/>
          <w:lang w:val="sr-Latn-ME"/>
        </w:rPr>
        <w:t>ljek</w:t>
      </w:r>
      <w:r w:rsidRPr="009C58C4">
        <w:rPr>
          <w:sz w:val="22"/>
          <w:szCs w:val="22"/>
          <w:lang w:val="sr-Latn-ME"/>
        </w:rPr>
        <w:t>ovima koji imaju nisku bioraspoloživost i uzak terapijski indeks (npr. imipramin, dezipramin).</w:t>
      </w:r>
    </w:p>
    <w:p w14:paraId="241315AD" w14:textId="77777777" w:rsidR="00C455E5" w:rsidRPr="009C58C4" w:rsidRDefault="00C455E5" w:rsidP="00226369">
      <w:pPr>
        <w:jc w:val="both"/>
        <w:rPr>
          <w:sz w:val="22"/>
          <w:szCs w:val="22"/>
          <w:lang w:val="sr-Latn-ME"/>
        </w:rPr>
      </w:pPr>
    </w:p>
    <w:p w14:paraId="48D0D9A7" w14:textId="7CE2932A" w:rsidR="00C455E5" w:rsidRPr="009C58C4" w:rsidRDefault="00C455E5" w:rsidP="00226369">
      <w:pPr>
        <w:jc w:val="both"/>
        <w:rPr>
          <w:sz w:val="22"/>
          <w:szCs w:val="22"/>
          <w:lang w:val="sr-Latn-ME"/>
        </w:rPr>
      </w:pPr>
      <w:r w:rsidRPr="009C58C4">
        <w:rPr>
          <w:sz w:val="22"/>
          <w:szCs w:val="22"/>
          <w:lang w:val="sr-Latn-ME"/>
        </w:rPr>
        <w:t xml:space="preserve">Takođe, za uputstvo o interakcijama dabrafeniba </w:t>
      </w:r>
      <w:r w:rsidR="00F46CDF" w:rsidRPr="009C58C4">
        <w:rPr>
          <w:sz w:val="22"/>
          <w:szCs w:val="22"/>
          <w:lang w:val="sr-Latn-ME"/>
        </w:rPr>
        <w:t>vidjet</w:t>
      </w:r>
      <w:r w:rsidRPr="009C58C4">
        <w:rPr>
          <w:sz w:val="22"/>
          <w:szCs w:val="22"/>
          <w:lang w:val="sr-Latn-ME"/>
        </w:rPr>
        <w:t xml:space="preserve">i </w:t>
      </w:r>
      <w:r w:rsidR="00022D46" w:rsidRPr="009C58C4">
        <w:rPr>
          <w:sz w:val="22"/>
          <w:szCs w:val="22"/>
          <w:lang w:val="sr-Latn-ME"/>
        </w:rPr>
        <w:t xml:space="preserve">dijelove </w:t>
      </w:r>
      <w:r w:rsidRPr="009C58C4">
        <w:rPr>
          <w:sz w:val="22"/>
          <w:szCs w:val="22"/>
          <w:lang w:val="sr-Latn-ME"/>
        </w:rPr>
        <w:t xml:space="preserve">4.4 i 4.5 Sažetka karakteristika </w:t>
      </w:r>
      <w:r w:rsidR="007F2563" w:rsidRPr="009C58C4">
        <w:rPr>
          <w:sz w:val="22"/>
          <w:szCs w:val="22"/>
          <w:lang w:val="sr-Latn-ME"/>
        </w:rPr>
        <w:t>lijek</w:t>
      </w:r>
      <w:r w:rsidRPr="009C58C4">
        <w:rPr>
          <w:sz w:val="22"/>
          <w:szCs w:val="22"/>
          <w:lang w:val="sr-Latn-ME"/>
        </w:rPr>
        <w:t>a dabrafenib tableta za oralnu suspenziju.</w:t>
      </w:r>
    </w:p>
    <w:p w14:paraId="3D5EF9AB" w14:textId="77777777" w:rsidR="0072020E" w:rsidRPr="009C58C4" w:rsidRDefault="0072020E" w:rsidP="00226369">
      <w:pPr>
        <w:tabs>
          <w:tab w:val="left" w:pos="540"/>
          <w:tab w:val="left" w:pos="569"/>
        </w:tabs>
        <w:jc w:val="both"/>
        <w:rPr>
          <w:bCs/>
          <w:sz w:val="22"/>
          <w:szCs w:val="22"/>
          <w:lang w:val="sr-Latn-ME"/>
        </w:rPr>
      </w:pPr>
    </w:p>
    <w:p w14:paraId="7F9CE72A" w14:textId="77777777" w:rsidR="0072020E" w:rsidRPr="009C58C4" w:rsidRDefault="0072020E" w:rsidP="00226369">
      <w:pPr>
        <w:tabs>
          <w:tab w:val="left" w:pos="540"/>
          <w:tab w:val="left" w:pos="569"/>
        </w:tabs>
        <w:jc w:val="both"/>
        <w:rPr>
          <w:b/>
          <w:sz w:val="22"/>
          <w:szCs w:val="22"/>
          <w:lang w:val="sr-Latn-ME"/>
        </w:rPr>
      </w:pPr>
      <w:r w:rsidRPr="009C58C4">
        <w:rPr>
          <w:b/>
          <w:bCs/>
          <w:sz w:val="22"/>
          <w:szCs w:val="22"/>
          <w:lang w:val="sr-Latn-ME"/>
        </w:rPr>
        <w:t xml:space="preserve">4.6. </w:t>
      </w:r>
      <w:r w:rsidR="00480FB1" w:rsidRPr="009C58C4">
        <w:rPr>
          <w:b/>
          <w:bCs/>
          <w:sz w:val="22"/>
          <w:szCs w:val="22"/>
          <w:lang w:val="sr-Latn-ME"/>
        </w:rPr>
        <w:tab/>
      </w:r>
      <w:r w:rsidR="006D20A5" w:rsidRPr="009C58C4">
        <w:rPr>
          <w:b/>
          <w:sz w:val="22"/>
          <w:szCs w:val="22"/>
          <w:lang w:val="sr-Latn-ME"/>
        </w:rPr>
        <w:t>Plodnost, trudnoća i dojenje</w:t>
      </w:r>
    </w:p>
    <w:p w14:paraId="415D327D" w14:textId="77777777" w:rsidR="002031B3" w:rsidRPr="009C58C4" w:rsidRDefault="002031B3" w:rsidP="00226369">
      <w:pPr>
        <w:tabs>
          <w:tab w:val="left" w:pos="540"/>
          <w:tab w:val="left" w:pos="569"/>
        </w:tabs>
        <w:jc w:val="both"/>
        <w:rPr>
          <w:sz w:val="22"/>
          <w:szCs w:val="22"/>
          <w:u w:val="single"/>
          <w:lang w:val="sr-Latn-ME"/>
        </w:rPr>
      </w:pPr>
    </w:p>
    <w:p w14:paraId="40DCC3D3" w14:textId="77777777" w:rsidR="00C455E5" w:rsidRPr="009C58C4" w:rsidRDefault="00C455E5" w:rsidP="00226369">
      <w:pPr>
        <w:widowControl w:val="0"/>
        <w:jc w:val="both"/>
        <w:rPr>
          <w:sz w:val="22"/>
          <w:szCs w:val="22"/>
          <w:u w:val="single"/>
          <w:lang w:val="sr-Latn-ME"/>
        </w:rPr>
      </w:pPr>
      <w:r w:rsidRPr="009C58C4">
        <w:rPr>
          <w:sz w:val="22"/>
          <w:szCs w:val="22"/>
          <w:u w:val="single"/>
          <w:lang w:val="sr-Latn-ME"/>
        </w:rPr>
        <w:t>Žene u reproduktivnom periodu/kontracepcija kod žena</w:t>
      </w:r>
    </w:p>
    <w:p w14:paraId="70513A95" w14:textId="77777777" w:rsidR="00C455E5" w:rsidRPr="009C58C4" w:rsidRDefault="00C455E5" w:rsidP="00226369">
      <w:pPr>
        <w:keepNext/>
        <w:jc w:val="both"/>
        <w:rPr>
          <w:sz w:val="22"/>
          <w:szCs w:val="22"/>
          <w:lang w:val="sr-Latn-ME"/>
        </w:rPr>
      </w:pPr>
    </w:p>
    <w:p w14:paraId="77416A86" w14:textId="21A800A7" w:rsidR="00C455E5" w:rsidRPr="009C58C4" w:rsidRDefault="00C455E5" w:rsidP="00226369">
      <w:pPr>
        <w:autoSpaceDE w:val="0"/>
        <w:autoSpaceDN w:val="0"/>
        <w:adjustRightInd w:val="0"/>
        <w:jc w:val="both"/>
        <w:rPr>
          <w:sz w:val="22"/>
          <w:szCs w:val="22"/>
          <w:lang w:val="sr-Latn-ME"/>
        </w:rPr>
      </w:pPr>
      <w:r w:rsidRPr="009C58C4">
        <w:rPr>
          <w:sz w:val="22"/>
          <w:szCs w:val="22"/>
          <w:lang w:val="sr-Latn-ME"/>
        </w:rPr>
        <w:t>Žene u reproduktivnom periodu</w:t>
      </w:r>
      <w:r w:rsidRPr="009C58C4" w:rsidDel="00E52D89">
        <w:rPr>
          <w:sz w:val="22"/>
          <w:szCs w:val="22"/>
          <w:lang w:val="sr-Latn-ME"/>
        </w:rPr>
        <w:t xml:space="preserve"> </w:t>
      </w:r>
      <w:r w:rsidRPr="009C58C4">
        <w:rPr>
          <w:sz w:val="22"/>
          <w:szCs w:val="22"/>
          <w:lang w:val="sr-Latn-ME"/>
        </w:rPr>
        <w:t>moraju da koriste efikasne metode kontracepcije u toku terapije trametinibom i još 16 </w:t>
      </w:r>
      <w:r w:rsidR="00F46CDF" w:rsidRPr="009C58C4">
        <w:rPr>
          <w:sz w:val="22"/>
          <w:szCs w:val="22"/>
          <w:lang w:val="sr-Latn-ME"/>
        </w:rPr>
        <w:t>nedjelj</w:t>
      </w:r>
      <w:r w:rsidRPr="009C58C4">
        <w:rPr>
          <w:sz w:val="22"/>
          <w:szCs w:val="22"/>
          <w:lang w:val="sr-Latn-ME"/>
        </w:rPr>
        <w:t xml:space="preserve">a nakon prestanka </w:t>
      </w:r>
      <w:r w:rsidR="007F2563" w:rsidRPr="009C58C4">
        <w:rPr>
          <w:sz w:val="22"/>
          <w:szCs w:val="22"/>
          <w:lang w:val="sr-Latn-ME"/>
        </w:rPr>
        <w:t>liječ</w:t>
      </w:r>
      <w:r w:rsidRPr="009C58C4">
        <w:rPr>
          <w:sz w:val="22"/>
          <w:szCs w:val="22"/>
          <w:lang w:val="sr-Latn-ME"/>
        </w:rPr>
        <w:t>enja.</w:t>
      </w:r>
    </w:p>
    <w:p w14:paraId="23A09563" w14:textId="77777777" w:rsidR="00C455E5" w:rsidRPr="009C58C4" w:rsidRDefault="00C455E5" w:rsidP="00226369">
      <w:pPr>
        <w:autoSpaceDE w:val="0"/>
        <w:autoSpaceDN w:val="0"/>
        <w:adjustRightInd w:val="0"/>
        <w:jc w:val="both"/>
        <w:rPr>
          <w:sz w:val="22"/>
          <w:szCs w:val="22"/>
          <w:lang w:val="sr-Latn-ME"/>
        </w:rPr>
      </w:pPr>
    </w:p>
    <w:p w14:paraId="628FB06F" w14:textId="278610E0" w:rsidR="00C455E5" w:rsidRPr="009C58C4" w:rsidRDefault="007F2563" w:rsidP="00226369">
      <w:pPr>
        <w:autoSpaceDE w:val="0"/>
        <w:autoSpaceDN w:val="0"/>
        <w:adjustRightInd w:val="0"/>
        <w:jc w:val="both"/>
        <w:rPr>
          <w:sz w:val="22"/>
          <w:szCs w:val="22"/>
          <w:lang w:val="sr-Latn-ME"/>
        </w:rPr>
      </w:pPr>
      <w:r w:rsidRPr="009C58C4">
        <w:rPr>
          <w:sz w:val="22"/>
          <w:szCs w:val="22"/>
          <w:lang w:val="sr-Latn-ME"/>
        </w:rPr>
        <w:t>Primjen</w:t>
      </w:r>
      <w:r w:rsidR="00C455E5" w:rsidRPr="009C58C4">
        <w:rPr>
          <w:sz w:val="22"/>
          <w:szCs w:val="22"/>
          <w:lang w:val="sr-Latn-ME"/>
        </w:rPr>
        <w:t xml:space="preserve">a sa dabrafenibom može smanjiti efikasnost oralnih ili bilo kojih drugih sistemskih hormonskih kontraceptiva pa je tokom kombinovanog </w:t>
      </w:r>
      <w:r w:rsidRPr="009C58C4">
        <w:rPr>
          <w:sz w:val="22"/>
          <w:szCs w:val="22"/>
          <w:lang w:val="sr-Latn-ME"/>
        </w:rPr>
        <w:t>liječ</w:t>
      </w:r>
      <w:r w:rsidR="00C455E5" w:rsidRPr="009C58C4">
        <w:rPr>
          <w:sz w:val="22"/>
          <w:szCs w:val="22"/>
          <w:lang w:val="sr-Latn-ME"/>
        </w:rPr>
        <w:t xml:space="preserve">enja trametinibom i dabrafenibom potrebno koristiti efikasnu alternativnu metodu kontracepcije poput barijerne metode. </w:t>
      </w:r>
      <w:r w:rsidR="00F46CDF" w:rsidRPr="009C58C4">
        <w:rPr>
          <w:sz w:val="22"/>
          <w:szCs w:val="22"/>
          <w:lang w:val="sr-Latn-ME"/>
        </w:rPr>
        <w:t>Vidjet</w:t>
      </w:r>
      <w:r w:rsidR="00C455E5" w:rsidRPr="009C58C4">
        <w:rPr>
          <w:sz w:val="22"/>
          <w:szCs w:val="22"/>
          <w:lang w:val="sr-Latn-ME"/>
        </w:rPr>
        <w:t xml:space="preserve">i Sažetak karakteristika </w:t>
      </w:r>
      <w:r w:rsidRPr="009C58C4">
        <w:rPr>
          <w:sz w:val="22"/>
          <w:szCs w:val="22"/>
          <w:lang w:val="sr-Latn-ME"/>
        </w:rPr>
        <w:t>lijek</w:t>
      </w:r>
      <w:r w:rsidR="00C455E5" w:rsidRPr="009C58C4">
        <w:rPr>
          <w:sz w:val="22"/>
          <w:szCs w:val="22"/>
          <w:lang w:val="sr-Latn-ME"/>
        </w:rPr>
        <w:t>a za dabrafenib tablete za oralnu suspenziju za dodatne informacije.</w:t>
      </w:r>
    </w:p>
    <w:p w14:paraId="3D707861" w14:textId="77777777" w:rsidR="00C455E5" w:rsidRPr="009C58C4" w:rsidRDefault="00C455E5" w:rsidP="00226369">
      <w:pPr>
        <w:jc w:val="both"/>
        <w:rPr>
          <w:sz w:val="22"/>
          <w:szCs w:val="22"/>
          <w:lang w:val="sr-Latn-ME"/>
        </w:rPr>
      </w:pPr>
    </w:p>
    <w:p w14:paraId="1EC6E3DA" w14:textId="77777777" w:rsidR="00C455E5" w:rsidRPr="009C58C4" w:rsidRDefault="00C455E5" w:rsidP="00226369">
      <w:pPr>
        <w:keepNext/>
        <w:jc w:val="both"/>
        <w:rPr>
          <w:sz w:val="22"/>
          <w:szCs w:val="22"/>
          <w:lang w:val="sr-Latn-ME"/>
        </w:rPr>
      </w:pPr>
      <w:r w:rsidRPr="009C58C4">
        <w:rPr>
          <w:sz w:val="22"/>
          <w:szCs w:val="22"/>
          <w:u w:val="single"/>
          <w:lang w:val="sr-Latn-ME"/>
        </w:rPr>
        <w:t>Trudnoća</w:t>
      </w:r>
    </w:p>
    <w:p w14:paraId="4F1FE807" w14:textId="77777777" w:rsidR="00C455E5" w:rsidRPr="009C58C4" w:rsidRDefault="00C455E5" w:rsidP="00226369">
      <w:pPr>
        <w:keepNext/>
        <w:jc w:val="both"/>
        <w:rPr>
          <w:color w:val="000000"/>
          <w:sz w:val="22"/>
          <w:szCs w:val="22"/>
          <w:shd w:val="clear" w:color="auto" w:fill="CCCCCC"/>
          <w:lang w:val="sr-Latn-ME" w:eastAsia="en-GB"/>
        </w:rPr>
      </w:pPr>
    </w:p>
    <w:p w14:paraId="16153979" w14:textId="28AF832C" w:rsidR="00C455E5" w:rsidRPr="009C58C4" w:rsidRDefault="00C455E5" w:rsidP="00226369">
      <w:pPr>
        <w:jc w:val="both"/>
        <w:rPr>
          <w:sz w:val="22"/>
          <w:szCs w:val="22"/>
          <w:lang w:val="sr-Latn-ME"/>
        </w:rPr>
      </w:pPr>
      <w:r w:rsidRPr="009C58C4">
        <w:rPr>
          <w:sz w:val="22"/>
          <w:szCs w:val="22"/>
          <w:lang w:val="sr-Latn-ME"/>
        </w:rPr>
        <w:t>Nema podataka o upotrebi trametiniba kod trudnica. Ispitivanja sprovedena na životinjama pokazala su reproduktivnu toksičnost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xml:space="preserve"> 5.3). Trametinib se ne treba </w:t>
      </w:r>
      <w:r w:rsidR="007F2563" w:rsidRPr="009C58C4">
        <w:rPr>
          <w:sz w:val="22"/>
          <w:szCs w:val="22"/>
          <w:lang w:val="sr-Latn-ME"/>
        </w:rPr>
        <w:t>primjen</w:t>
      </w:r>
      <w:r w:rsidRPr="009C58C4">
        <w:rPr>
          <w:sz w:val="22"/>
          <w:szCs w:val="22"/>
          <w:lang w:val="sr-Latn-ME"/>
        </w:rPr>
        <w:t xml:space="preserve">jivati kod trudnica osim ukoliko potencijalna korist za majku prevazilazi mogući rizik za fetus. Ako se trametinib </w:t>
      </w:r>
      <w:r w:rsidR="007F2563" w:rsidRPr="009C58C4">
        <w:rPr>
          <w:sz w:val="22"/>
          <w:szCs w:val="22"/>
          <w:lang w:val="sr-Latn-ME"/>
        </w:rPr>
        <w:t>primjen</w:t>
      </w:r>
      <w:r w:rsidRPr="009C58C4">
        <w:rPr>
          <w:sz w:val="22"/>
          <w:szCs w:val="22"/>
          <w:lang w:val="sr-Latn-ME"/>
        </w:rPr>
        <w:t>juje tokom trudnoće ili ako pacijentkinja ostane trudna tokom primanja terapije trametinibom, pacijentkinju treba obavestiti o mogućim štetnim dejstvima na fetus.</w:t>
      </w:r>
    </w:p>
    <w:p w14:paraId="474AA422" w14:textId="77777777" w:rsidR="00C455E5" w:rsidRPr="009C58C4" w:rsidRDefault="00C455E5" w:rsidP="00226369">
      <w:pPr>
        <w:jc w:val="both"/>
        <w:rPr>
          <w:sz w:val="22"/>
          <w:szCs w:val="22"/>
          <w:lang w:val="sr-Latn-ME"/>
        </w:rPr>
      </w:pPr>
    </w:p>
    <w:p w14:paraId="158789A4" w14:textId="77777777" w:rsidR="00C455E5" w:rsidRPr="009C58C4" w:rsidRDefault="00C455E5" w:rsidP="00226369">
      <w:pPr>
        <w:keepNext/>
        <w:jc w:val="both"/>
        <w:rPr>
          <w:sz w:val="22"/>
          <w:szCs w:val="22"/>
          <w:lang w:val="sr-Latn-ME"/>
        </w:rPr>
      </w:pPr>
      <w:r w:rsidRPr="009C58C4">
        <w:rPr>
          <w:sz w:val="22"/>
          <w:szCs w:val="22"/>
          <w:u w:val="single"/>
          <w:lang w:val="sr-Latn-ME"/>
        </w:rPr>
        <w:t>Dojenje</w:t>
      </w:r>
    </w:p>
    <w:p w14:paraId="0BB81187" w14:textId="77777777" w:rsidR="00C455E5" w:rsidRPr="009C58C4" w:rsidRDefault="00C455E5" w:rsidP="00226369">
      <w:pPr>
        <w:keepNext/>
        <w:jc w:val="both"/>
        <w:rPr>
          <w:sz w:val="22"/>
          <w:szCs w:val="22"/>
          <w:lang w:val="sr-Latn-ME"/>
        </w:rPr>
      </w:pPr>
    </w:p>
    <w:p w14:paraId="2F851D51" w14:textId="0ABD51CF" w:rsidR="00C455E5" w:rsidRPr="009C58C4" w:rsidRDefault="00C455E5" w:rsidP="00226369">
      <w:pPr>
        <w:widowControl w:val="0"/>
        <w:jc w:val="both"/>
        <w:rPr>
          <w:sz w:val="22"/>
          <w:szCs w:val="22"/>
          <w:lang w:val="sr-Latn-ME"/>
        </w:rPr>
      </w:pPr>
      <w:r w:rsidRPr="009C58C4">
        <w:rPr>
          <w:sz w:val="22"/>
          <w:szCs w:val="22"/>
          <w:lang w:val="sr-Latn-ME"/>
        </w:rPr>
        <w:t xml:space="preserve">Nije poznato da li se trametinib izlučuje u majčino </w:t>
      </w:r>
      <w:r w:rsidR="006656BE" w:rsidRPr="009C58C4">
        <w:rPr>
          <w:sz w:val="22"/>
          <w:szCs w:val="22"/>
          <w:lang w:val="sr-Latn-ME"/>
        </w:rPr>
        <w:t>m</w:t>
      </w:r>
      <w:r w:rsidR="007F2563" w:rsidRPr="009C58C4">
        <w:rPr>
          <w:sz w:val="22"/>
          <w:szCs w:val="22"/>
          <w:lang w:val="sr-Latn-ME"/>
        </w:rPr>
        <w:t>lijek</w:t>
      </w:r>
      <w:r w:rsidRPr="009C58C4">
        <w:rPr>
          <w:sz w:val="22"/>
          <w:szCs w:val="22"/>
          <w:lang w:val="sr-Latn-ME"/>
        </w:rPr>
        <w:t xml:space="preserve">o. Ne može se isključiti rizik za odojče. Trametinib se ne treba davati majkama koje doje. Odluka o tome da li da se prekine sa dojenjem ili da se prekine terapija trametinibom se mora doneti uzimajući u obzir korist od dojenja za dete i korist od terapije za ženu. </w:t>
      </w:r>
    </w:p>
    <w:p w14:paraId="20C28BE3" w14:textId="77777777" w:rsidR="00C455E5" w:rsidRPr="009C58C4" w:rsidRDefault="00C455E5" w:rsidP="00226369">
      <w:pPr>
        <w:jc w:val="both"/>
        <w:rPr>
          <w:sz w:val="22"/>
          <w:szCs w:val="22"/>
          <w:lang w:val="sr-Latn-ME"/>
        </w:rPr>
      </w:pPr>
    </w:p>
    <w:p w14:paraId="627D46AC" w14:textId="77777777" w:rsidR="00C455E5" w:rsidRPr="009C58C4" w:rsidRDefault="00C455E5" w:rsidP="00226369">
      <w:pPr>
        <w:keepNext/>
        <w:jc w:val="both"/>
        <w:rPr>
          <w:sz w:val="22"/>
          <w:szCs w:val="22"/>
          <w:lang w:val="sr-Latn-ME"/>
        </w:rPr>
      </w:pPr>
      <w:r w:rsidRPr="009C58C4">
        <w:rPr>
          <w:sz w:val="22"/>
          <w:szCs w:val="22"/>
          <w:u w:val="single"/>
          <w:lang w:val="sr-Latn-ME"/>
        </w:rPr>
        <w:t>Plodnost</w:t>
      </w:r>
    </w:p>
    <w:p w14:paraId="7B0D3210" w14:textId="77777777" w:rsidR="00C455E5" w:rsidRPr="009C58C4" w:rsidRDefault="00C455E5" w:rsidP="00226369">
      <w:pPr>
        <w:keepNext/>
        <w:jc w:val="both"/>
        <w:rPr>
          <w:sz w:val="22"/>
          <w:szCs w:val="22"/>
          <w:lang w:val="sr-Latn-ME"/>
        </w:rPr>
      </w:pPr>
    </w:p>
    <w:p w14:paraId="44467A23" w14:textId="6C9793C2" w:rsidR="00C455E5" w:rsidRPr="009C58C4" w:rsidRDefault="00C455E5" w:rsidP="00226369">
      <w:pPr>
        <w:jc w:val="both"/>
        <w:rPr>
          <w:sz w:val="22"/>
          <w:szCs w:val="22"/>
          <w:lang w:val="sr-Latn-ME"/>
        </w:rPr>
      </w:pPr>
      <w:r w:rsidRPr="009C58C4">
        <w:rPr>
          <w:sz w:val="22"/>
          <w:szCs w:val="22"/>
          <w:lang w:val="sr-Latn-ME"/>
        </w:rPr>
        <w:t xml:space="preserve">Nema podataka o uticaju trametiniba na </w:t>
      </w:r>
      <w:r w:rsidRPr="009C58C4">
        <w:rPr>
          <w:noProof/>
          <w:sz w:val="22"/>
          <w:szCs w:val="22"/>
          <w:lang w:val="sr-Latn-ME"/>
        </w:rPr>
        <w:t>ljude</w:t>
      </w:r>
      <w:r w:rsidRPr="009C58C4">
        <w:rPr>
          <w:sz w:val="22"/>
          <w:szCs w:val="22"/>
          <w:lang w:val="sr-Latn-ME"/>
        </w:rPr>
        <w:t>. Nisu sprovedena ispitivanja plodnosti na životinjama, ali su primećeni efekti na reproduktivne organe ženki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5.3). Trametinib može uticati na plodnost kod ljudi.</w:t>
      </w:r>
    </w:p>
    <w:p w14:paraId="5EC860F6" w14:textId="77777777" w:rsidR="00C455E5" w:rsidRPr="009C58C4" w:rsidRDefault="00C455E5" w:rsidP="00226369">
      <w:pPr>
        <w:jc w:val="both"/>
        <w:rPr>
          <w:sz w:val="22"/>
          <w:szCs w:val="22"/>
          <w:lang w:val="sr-Latn-ME"/>
        </w:rPr>
      </w:pPr>
    </w:p>
    <w:p w14:paraId="483CABD0" w14:textId="222C0241" w:rsidR="00C455E5" w:rsidRPr="009C58C4" w:rsidRDefault="00C455E5" w:rsidP="00226369">
      <w:pPr>
        <w:keepNext/>
        <w:jc w:val="both"/>
        <w:rPr>
          <w:sz w:val="22"/>
          <w:szCs w:val="22"/>
          <w:u w:val="single"/>
          <w:lang w:val="sr-Latn-ME"/>
        </w:rPr>
      </w:pPr>
      <w:r w:rsidRPr="009C58C4">
        <w:rPr>
          <w:i/>
          <w:iCs/>
          <w:sz w:val="22"/>
          <w:szCs w:val="22"/>
          <w:u w:val="single"/>
          <w:lang w:val="sr-Latn-ME"/>
        </w:rPr>
        <w:lastRenderedPageBreak/>
        <w:t>Muškarci koji uzimaju trametinib u kombinaciji s</w:t>
      </w:r>
      <w:r w:rsidR="00C97935" w:rsidRPr="009C58C4">
        <w:rPr>
          <w:i/>
          <w:iCs/>
          <w:sz w:val="22"/>
          <w:szCs w:val="22"/>
          <w:u w:val="single"/>
          <w:lang w:val="sr-Latn-ME"/>
        </w:rPr>
        <w:t>a</w:t>
      </w:r>
      <w:r w:rsidRPr="009C58C4">
        <w:rPr>
          <w:i/>
          <w:iCs/>
          <w:sz w:val="22"/>
          <w:szCs w:val="22"/>
          <w:u w:val="single"/>
          <w:lang w:val="sr-Latn-ME"/>
        </w:rPr>
        <w:t xml:space="preserve"> dabrafenibom</w:t>
      </w:r>
    </w:p>
    <w:p w14:paraId="5A981A5C" w14:textId="3C5588B2" w:rsidR="00C455E5" w:rsidRPr="009C58C4" w:rsidRDefault="00C455E5" w:rsidP="00226369">
      <w:pPr>
        <w:jc w:val="both"/>
        <w:rPr>
          <w:sz w:val="22"/>
          <w:szCs w:val="22"/>
          <w:lang w:val="sr-Latn-ME"/>
        </w:rPr>
      </w:pPr>
      <w:r w:rsidRPr="009C58C4">
        <w:rPr>
          <w:sz w:val="22"/>
          <w:szCs w:val="22"/>
          <w:lang w:val="sr-Latn-ME"/>
        </w:rPr>
        <w:t>Efekti na spermatogenezu uočeni su kod životinja koje su dobijale dabrafenib. Muški pacijenti koji uzimaju trametinib u kombinaciji s</w:t>
      </w:r>
      <w:r w:rsidR="00615BBD" w:rsidRPr="009C58C4">
        <w:rPr>
          <w:sz w:val="22"/>
          <w:szCs w:val="22"/>
          <w:lang w:val="sr-Latn-ME"/>
        </w:rPr>
        <w:t>a</w:t>
      </w:r>
      <w:r w:rsidRPr="009C58C4">
        <w:rPr>
          <w:sz w:val="22"/>
          <w:szCs w:val="22"/>
          <w:lang w:val="sr-Latn-ME"/>
        </w:rPr>
        <w:t xml:space="preserve"> dabrafenibom trebaju biti informisani o potencijalnom riziku od narušene spermatogeneze, koja bi mogla biti ireverzibilna. </w:t>
      </w:r>
      <w:r w:rsidR="00F46CDF" w:rsidRPr="009C58C4">
        <w:rPr>
          <w:sz w:val="22"/>
          <w:szCs w:val="22"/>
          <w:lang w:val="sr-Latn-ME"/>
        </w:rPr>
        <w:t>Vidjet</w:t>
      </w:r>
      <w:r w:rsidRPr="009C58C4">
        <w:rPr>
          <w:sz w:val="22"/>
          <w:szCs w:val="22"/>
          <w:lang w:val="sr-Latn-ME"/>
        </w:rPr>
        <w:t xml:space="preserve">i Sažetak karakteristika </w:t>
      </w:r>
      <w:r w:rsidR="007F2563" w:rsidRPr="009C58C4">
        <w:rPr>
          <w:sz w:val="22"/>
          <w:szCs w:val="22"/>
          <w:lang w:val="sr-Latn-ME"/>
        </w:rPr>
        <w:t>lijek</w:t>
      </w:r>
      <w:r w:rsidRPr="009C58C4">
        <w:rPr>
          <w:sz w:val="22"/>
          <w:szCs w:val="22"/>
          <w:lang w:val="sr-Latn-ME"/>
        </w:rPr>
        <w:t>a za dabrafenib tablete za oralnu suspenziju za dodatne informacije.</w:t>
      </w:r>
    </w:p>
    <w:p w14:paraId="32FBF766" w14:textId="77777777" w:rsidR="00227BDB" w:rsidRPr="009C58C4" w:rsidRDefault="00227BDB" w:rsidP="00226369">
      <w:pPr>
        <w:tabs>
          <w:tab w:val="left" w:pos="540"/>
          <w:tab w:val="left" w:pos="569"/>
        </w:tabs>
        <w:ind w:left="540" w:hanging="540"/>
        <w:jc w:val="both"/>
        <w:rPr>
          <w:b/>
          <w:bCs/>
          <w:sz w:val="22"/>
          <w:szCs w:val="22"/>
          <w:lang w:val="sr-Latn-ME"/>
        </w:rPr>
      </w:pPr>
    </w:p>
    <w:p w14:paraId="074EC279" w14:textId="77777777" w:rsidR="0072020E" w:rsidRPr="009C58C4" w:rsidRDefault="0072020E" w:rsidP="00226369">
      <w:pPr>
        <w:tabs>
          <w:tab w:val="left" w:pos="540"/>
          <w:tab w:val="left" w:pos="569"/>
        </w:tabs>
        <w:ind w:left="540" w:hanging="540"/>
        <w:jc w:val="both"/>
        <w:rPr>
          <w:b/>
          <w:bCs/>
          <w:sz w:val="22"/>
          <w:szCs w:val="22"/>
          <w:lang w:val="sr-Latn-ME"/>
        </w:rPr>
      </w:pPr>
      <w:r w:rsidRPr="009C58C4">
        <w:rPr>
          <w:b/>
          <w:bCs/>
          <w:sz w:val="22"/>
          <w:szCs w:val="22"/>
          <w:lang w:val="sr-Latn-ME"/>
        </w:rPr>
        <w:t xml:space="preserve">4.7. </w:t>
      </w:r>
      <w:r w:rsidR="00480FB1" w:rsidRPr="009C58C4">
        <w:rPr>
          <w:b/>
          <w:bCs/>
          <w:sz w:val="22"/>
          <w:szCs w:val="22"/>
          <w:lang w:val="sr-Latn-ME"/>
        </w:rPr>
        <w:tab/>
      </w:r>
      <w:r w:rsidRPr="009C58C4">
        <w:rPr>
          <w:b/>
          <w:bCs/>
          <w:sz w:val="22"/>
          <w:szCs w:val="22"/>
          <w:lang w:val="sr-Latn-ME"/>
        </w:rPr>
        <w:t xml:space="preserve">Uticaj na </w:t>
      </w:r>
      <w:r w:rsidR="002031B3" w:rsidRPr="009C58C4">
        <w:rPr>
          <w:b/>
          <w:bCs/>
          <w:sz w:val="22"/>
          <w:szCs w:val="22"/>
          <w:lang w:val="sr-Latn-ME"/>
        </w:rPr>
        <w:t xml:space="preserve">sposobnost </w:t>
      </w:r>
      <w:r w:rsidR="00F34554" w:rsidRPr="009C58C4">
        <w:rPr>
          <w:b/>
          <w:bCs/>
          <w:sz w:val="22"/>
          <w:szCs w:val="22"/>
          <w:lang w:val="sr-Latn-ME"/>
        </w:rPr>
        <w:t>upravljanja vozili</w:t>
      </w:r>
      <w:r w:rsidRPr="009C58C4">
        <w:rPr>
          <w:b/>
          <w:bCs/>
          <w:sz w:val="22"/>
          <w:szCs w:val="22"/>
          <w:lang w:val="sr-Latn-ME"/>
        </w:rPr>
        <w:t>m</w:t>
      </w:r>
      <w:r w:rsidR="00F34554" w:rsidRPr="009C58C4">
        <w:rPr>
          <w:b/>
          <w:bCs/>
          <w:sz w:val="22"/>
          <w:szCs w:val="22"/>
          <w:lang w:val="sr-Latn-ME"/>
        </w:rPr>
        <w:t>a</w:t>
      </w:r>
      <w:r w:rsidRPr="009C58C4">
        <w:rPr>
          <w:b/>
          <w:bCs/>
          <w:sz w:val="22"/>
          <w:szCs w:val="22"/>
          <w:lang w:val="sr-Latn-ME"/>
        </w:rPr>
        <w:t xml:space="preserve"> i </w:t>
      </w:r>
      <w:r w:rsidR="000D3449" w:rsidRPr="009C58C4">
        <w:rPr>
          <w:b/>
          <w:bCs/>
          <w:sz w:val="22"/>
          <w:szCs w:val="22"/>
          <w:lang w:val="sr-Latn-ME"/>
        </w:rPr>
        <w:t xml:space="preserve">rukovanje </w:t>
      </w:r>
      <w:r w:rsidRPr="009C58C4">
        <w:rPr>
          <w:b/>
          <w:bCs/>
          <w:sz w:val="22"/>
          <w:szCs w:val="22"/>
          <w:lang w:val="sr-Latn-ME"/>
        </w:rPr>
        <w:t>mašinama</w:t>
      </w:r>
    </w:p>
    <w:p w14:paraId="0B37CB62" w14:textId="77777777" w:rsidR="00C455E5" w:rsidRPr="009C58C4" w:rsidRDefault="00C455E5" w:rsidP="00226369">
      <w:pPr>
        <w:jc w:val="both"/>
        <w:rPr>
          <w:sz w:val="22"/>
          <w:szCs w:val="22"/>
          <w:lang w:val="sr-Latn-ME"/>
        </w:rPr>
      </w:pPr>
    </w:p>
    <w:p w14:paraId="2A0E98FC" w14:textId="507748FC" w:rsidR="00C455E5" w:rsidRPr="009C58C4" w:rsidRDefault="00C455E5" w:rsidP="00226369">
      <w:pPr>
        <w:jc w:val="both"/>
        <w:rPr>
          <w:sz w:val="22"/>
          <w:szCs w:val="22"/>
          <w:lang w:val="sr-Latn-ME"/>
        </w:rPr>
      </w:pPr>
      <w:r w:rsidRPr="009C58C4">
        <w:rPr>
          <w:sz w:val="22"/>
          <w:szCs w:val="22"/>
          <w:lang w:val="sr-Latn-ME"/>
        </w:rPr>
        <w:t>Trametinib ima neznatan uticaj na sposobnost upravljanja vozilima i rukovanja mašinama. Pri razmatranju mogućnosti pacijenta za izvođenje zadataka pri kojima je potrebno rasuđivanje, motorne ili kognitivne veštine, treba imati na umu klinički status pacijenta kao i profil neželjenih dejstava trametiniba. Pacijente treba obavestiti o mogućem zamoru i poteškoćama sa očima koji mogu da utiču na navedene aktivnosti.</w:t>
      </w:r>
    </w:p>
    <w:p w14:paraId="7B36B5DB" w14:textId="77777777" w:rsidR="00C455E5" w:rsidRPr="009C58C4" w:rsidRDefault="00C455E5" w:rsidP="00226369">
      <w:pPr>
        <w:jc w:val="both"/>
        <w:rPr>
          <w:sz w:val="22"/>
          <w:szCs w:val="22"/>
          <w:lang w:val="sr-Latn-ME"/>
        </w:rPr>
      </w:pPr>
    </w:p>
    <w:p w14:paraId="2AC272B2"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4.8. </w:t>
      </w:r>
      <w:r w:rsidR="00480FB1" w:rsidRPr="009C58C4">
        <w:rPr>
          <w:b/>
          <w:bCs/>
          <w:sz w:val="22"/>
          <w:szCs w:val="22"/>
          <w:lang w:val="sr-Latn-ME"/>
        </w:rPr>
        <w:tab/>
      </w:r>
      <w:r w:rsidRPr="009C58C4">
        <w:rPr>
          <w:b/>
          <w:bCs/>
          <w:sz w:val="22"/>
          <w:szCs w:val="22"/>
          <w:lang w:val="sr-Latn-ME"/>
        </w:rPr>
        <w:t>Neželjena dejstva</w:t>
      </w:r>
    </w:p>
    <w:p w14:paraId="00B6CEF0" w14:textId="77777777" w:rsidR="004E70AD" w:rsidRPr="009C58C4" w:rsidRDefault="004E70AD" w:rsidP="00226369">
      <w:pPr>
        <w:tabs>
          <w:tab w:val="left" w:pos="540"/>
          <w:tab w:val="left" w:pos="569"/>
        </w:tabs>
        <w:jc w:val="both"/>
        <w:rPr>
          <w:b/>
          <w:bCs/>
          <w:sz w:val="22"/>
          <w:szCs w:val="22"/>
          <w:lang w:val="sr-Latn-ME"/>
        </w:rPr>
      </w:pPr>
    </w:p>
    <w:p w14:paraId="649EECE4" w14:textId="0EA0EB29" w:rsidR="00C455E5" w:rsidRPr="009C58C4" w:rsidRDefault="00C455E5" w:rsidP="00226369">
      <w:pPr>
        <w:keepNext/>
        <w:jc w:val="both"/>
        <w:rPr>
          <w:sz w:val="22"/>
          <w:szCs w:val="22"/>
          <w:u w:val="single"/>
          <w:lang w:val="sr-Latn-ME"/>
        </w:rPr>
      </w:pPr>
      <w:r w:rsidRPr="009C58C4">
        <w:rPr>
          <w:sz w:val="22"/>
          <w:szCs w:val="22"/>
          <w:u w:val="single"/>
          <w:lang w:val="sr-Latn-ME"/>
        </w:rPr>
        <w:t xml:space="preserve">Sažetak </w:t>
      </w:r>
      <w:r w:rsidR="00F46CDF" w:rsidRPr="009C58C4">
        <w:rPr>
          <w:sz w:val="22"/>
          <w:szCs w:val="22"/>
          <w:u w:val="single"/>
          <w:lang w:val="sr-Latn-ME"/>
        </w:rPr>
        <w:t>bezbjed</w:t>
      </w:r>
      <w:r w:rsidRPr="009C58C4">
        <w:rPr>
          <w:sz w:val="22"/>
          <w:szCs w:val="22"/>
          <w:u w:val="single"/>
          <w:lang w:val="sr-Latn-ME"/>
        </w:rPr>
        <w:t>nosnog profila</w:t>
      </w:r>
    </w:p>
    <w:p w14:paraId="3FF2C636" w14:textId="77777777" w:rsidR="00C455E5" w:rsidRPr="009C58C4" w:rsidRDefault="00C455E5" w:rsidP="00226369">
      <w:pPr>
        <w:keepNext/>
        <w:jc w:val="both"/>
        <w:rPr>
          <w:sz w:val="22"/>
          <w:szCs w:val="22"/>
          <w:u w:val="single"/>
          <w:lang w:val="sr-Latn-ME"/>
        </w:rPr>
      </w:pPr>
    </w:p>
    <w:p w14:paraId="5FAAE839" w14:textId="6FF83786" w:rsidR="00C455E5" w:rsidRPr="009C58C4" w:rsidRDefault="00C455E5" w:rsidP="00226369">
      <w:pPr>
        <w:keepNext/>
        <w:shd w:val="clear" w:color="auto" w:fill="FFFFFF" w:themeFill="background1"/>
        <w:autoSpaceDE w:val="0"/>
        <w:autoSpaceDN w:val="0"/>
        <w:adjustRightInd w:val="0"/>
        <w:jc w:val="both"/>
        <w:rPr>
          <w:sz w:val="22"/>
          <w:szCs w:val="22"/>
          <w:lang w:val="sr-Latn-ME"/>
        </w:rPr>
      </w:pPr>
      <w:r w:rsidRPr="009C58C4">
        <w:rPr>
          <w:sz w:val="22"/>
          <w:szCs w:val="22"/>
          <w:lang w:val="sr-Latn-ME"/>
        </w:rPr>
        <w:t xml:space="preserve">U kliničkim ispitivanjima sprovedenim kod pedijatrijskih pacijenata </w:t>
      </w:r>
      <w:r w:rsidR="007F2563" w:rsidRPr="009C58C4">
        <w:rPr>
          <w:sz w:val="22"/>
          <w:szCs w:val="22"/>
          <w:lang w:val="sr-Latn-ME"/>
        </w:rPr>
        <w:t>liječ</w:t>
      </w:r>
      <w:r w:rsidRPr="009C58C4">
        <w:rPr>
          <w:sz w:val="22"/>
          <w:szCs w:val="22"/>
          <w:lang w:val="sr-Latn-ME"/>
        </w:rPr>
        <w:t>enih trametinibom u kombinaciji sa trametinibom, najčešće neželjene reakcije (prijavljene sa učestalošću ≥20%) su bile: pireksija (70%), osip (49%), glavobolja (47%), povraćanje (40%), umor (36%), suva koža (35%), proliv (34%), krvarenje (34%), mučnina (29%), akneiformni dermatitis (29%), bol u abdomenu (28%), neutropenija (26%), kašalj (24%) i povećani nivoi transaminaza (22%). Najčešće prijavljene teške neželjene reakcije (gradus 3/4) su bile: neutropenija (15%), pireksija (11%), povećani nivo transaminaza (6%) i povećanje težine (5%).</w:t>
      </w:r>
    </w:p>
    <w:p w14:paraId="3A9BAE0C" w14:textId="77777777" w:rsidR="00C455E5" w:rsidRPr="009C58C4" w:rsidRDefault="00C455E5" w:rsidP="00226369">
      <w:pPr>
        <w:keepNext/>
        <w:shd w:val="clear" w:color="auto" w:fill="FFFFFF" w:themeFill="background1"/>
        <w:autoSpaceDE w:val="0"/>
        <w:autoSpaceDN w:val="0"/>
        <w:adjustRightInd w:val="0"/>
        <w:jc w:val="both"/>
        <w:rPr>
          <w:sz w:val="22"/>
          <w:szCs w:val="22"/>
          <w:lang w:val="sr-Latn-ME"/>
        </w:rPr>
      </w:pPr>
    </w:p>
    <w:p w14:paraId="0170C5F3" w14:textId="17AF2FCB" w:rsidR="00C455E5" w:rsidRPr="009C58C4" w:rsidRDefault="00C455E5" w:rsidP="00226369">
      <w:pPr>
        <w:jc w:val="both"/>
        <w:rPr>
          <w:sz w:val="22"/>
          <w:szCs w:val="22"/>
          <w:lang w:val="sr-Latn-ME"/>
        </w:rPr>
      </w:pPr>
      <w:bookmarkStart w:id="19" w:name="_Hlk142597021"/>
      <w:r w:rsidRPr="009C58C4">
        <w:rPr>
          <w:sz w:val="22"/>
          <w:szCs w:val="22"/>
          <w:lang w:val="sr-Latn-ME"/>
        </w:rPr>
        <w:t>Dugoročni podaci o rastu i sazrevanju kosti kod pedijatrijskih pacijenata su trenutno ograničeni (</w:t>
      </w:r>
      <w:r w:rsidR="00F46CDF" w:rsidRPr="009C58C4">
        <w:rPr>
          <w:sz w:val="22"/>
          <w:szCs w:val="22"/>
          <w:lang w:val="sr-Latn-ME"/>
        </w:rPr>
        <w:t>vidjet</w:t>
      </w:r>
      <w:r w:rsidRPr="009C58C4">
        <w:rPr>
          <w:sz w:val="22"/>
          <w:szCs w:val="22"/>
          <w:lang w:val="sr-Latn-ME"/>
        </w:rPr>
        <w:t xml:space="preserve">i </w:t>
      </w:r>
      <w:r w:rsidR="00F46CDF" w:rsidRPr="009C58C4">
        <w:rPr>
          <w:sz w:val="22"/>
          <w:szCs w:val="22"/>
          <w:lang w:val="sr-Latn-ME"/>
        </w:rPr>
        <w:t>odjelj</w:t>
      </w:r>
      <w:r w:rsidRPr="009C58C4">
        <w:rPr>
          <w:sz w:val="22"/>
          <w:szCs w:val="22"/>
          <w:lang w:val="sr-Latn-ME"/>
        </w:rPr>
        <w:t>ak 5.3)</w:t>
      </w:r>
      <w:bookmarkEnd w:id="19"/>
      <w:r w:rsidRPr="009C58C4">
        <w:rPr>
          <w:sz w:val="22"/>
          <w:szCs w:val="22"/>
          <w:lang w:val="sr-Latn-ME"/>
        </w:rPr>
        <w:t>.</w:t>
      </w:r>
    </w:p>
    <w:p w14:paraId="5E66A89C" w14:textId="77777777" w:rsidR="00C455E5" w:rsidRPr="009C58C4" w:rsidRDefault="00C455E5" w:rsidP="00226369">
      <w:pPr>
        <w:jc w:val="both"/>
        <w:rPr>
          <w:sz w:val="22"/>
          <w:szCs w:val="22"/>
          <w:lang w:val="sr-Latn-ME"/>
        </w:rPr>
      </w:pPr>
    </w:p>
    <w:p w14:paraId="235F3E65" w14:textId="4E93F69D" w:rsidR="00C455E5" w:rsidRPr="009C58C4" w:rsidRDefault="00F46CDF" w:rsidP="00226369">
      <w:pPr>
        <w:jc w:val="both"/>
        <w:rPr>
          <w:sz w:val="22"/>
          <w:szCs w:val="22"/>
          <w:lang w:val="sr-Latn-ME"/>
        </w:rPr>
      </w:pPr>
      <w:r w:rsidRPr="009C58C4">
        <w:rPr>
          <w:sz w:val="22"/>
          <w:szCs w:val="22"/>
          <w:lang w:val="sr-Latn-ME"/>
        </w:rPr>
        <w:t>Bezbjed</w:t>
      </w:r>
      <w:r w:rsidR="00C455E5" w:rsidRPr="009C58C4">
        <w:rPr>
          <w:sz w:val="22"/>
          <w:szCs w:val="22"/>
          <w:lang w:val="sr-Latn-ME"/>
        </w:rPr>
        <w:t xml:space="preserve">nosni profil kod pedijatrijskih pacijenata je uglavnom konzistentan sa ranije ustanovljenim </w:t>
      </w:r>
      <w:r w:rsidRPr="009C58C4">
        <w:rPr>
          <w:sz w:val="22"/>
          <w:szCs w:val="22"/>
          <w:lang w:val="sr-Latn-ME"/>
        </w:rPr>
        <w:t>bezbjed</w:t>
      </w:r>
      <w:r w:rsidR="00C455E5" w:rsidRPr="009C58C4">
        <w:rPr>
          <w:sz w:val="22"/>
          <w:szCs w:val="22"/>
          <w:lang w:val="sr-Latn-ME"/>
        </w:rPr>
        <w:t xml:space="preserve">nosnim profilom kod odraslih pacijenata. </w:t>
      </w:r>
      <w:r w:rsidRPr="009C58C4">
        <w:rPr>
          <w:sz w:val="22"/>
          <w:szCs w:val="22"/>
          <w:lang w:val="sr-Latn-ME"/>
        </w:rPr>
        <w:t>Sljedeć</w:t>
      </w:r>
      <w:r w:rsidR="00C455E5" w:rsidRPr="009C58C4">
        <w:rPr>
          <w:sz w:val="22"/>
          <w:szCs w:val="22"/>
          <w:lang w:val="sr-Latn-ME"/>
        </w:rPr>
        <w:t xml:space="preserve">e dodatne neželjene reakcije su bile prijavljene kod odraslih pacijenata </w:t>
      </w:r>
      <w:r w:rsidR="007F2563" w:rsidRPr="009C58C4">
        <w:rPr>
          <w:sz w:val="22"/>
          <w:szCs w:val="22"/>
          <w:lang w:val="sr-Latn-ME"/>
        </w:rPr>
        <w:t>liječ</w:t>
      </w:r>
      <w:r w:rsidR="00C455E5" w:rsidRPr="009C58C4">
        <w:rPr>
          <w:sz w:val="22"/>
          <w:szCs w:val="22"/>
          <w:lang w:val="sr-Latn-ME"/>
        </w:rPr>
        <w:t xml:space="preserve">enih trametinib tabletama i dabrafenib kapsulama: planocelularni karcinom kože, seboroična keratoza, periferna neuropatija (uključujući senzornu i motornu neuropatiju), limfedem, suva usta, aktinička keratoza, bubrežna insuficijencija (često), melanom, akrokordon, sarkoidoza, horioretinopatija, pneumonitis, akutna bubrežna insuficijencija, nefritis, </w:t>
      </w:r>
      <w:bookmarkStart w:id="20" w:name="_Hlk142597101"/>
      <w:r w:rsidR="00C455E5" w:rsidRPr="009C58C4">
        <w:rPr>
          <w:sz w:val="22"/>
          <w:szCs w:val="22"/>
          <w:lang w:val="sr-Latn-ME"/>
        </w:rPr>
        <w:t xml:space="preserve">srčana insuficijencija, disfunkcija leve komore, intersticijalna bolest pluća, rabdomioliza </w:t>
      </w:r>
      <w:bookmarkEnd w:id="20"/>
      <w:r w:rsidR="00C455E5" w:rsidRPr="009C58C4">
        <w:rPr>
          <w:sz w:val="22"/>
          <w:szCs w:val="22"/>
          <w:lang w:val="sr-Latn-ME"/>
        </w:rPr>
        <w:t xml:space="preserve">(manje često), gastrointestinalna perforacija, hemofagocitna limfohisticitoza (retko), sindrom lize tumora, miokarditis, </w:t>
      </w:r>
      <w:r w:rsidR="00C455E5" w:rsidRPr="009C58C4">
        <w:rPr>
          <w:i/>
          <w:iCs/>
          <w:sz w:val="22"/>
          <w:szCs w:val="22"/>
          <w:lang w:val="sr-Latn-ME"/>
        </w:rPr>
        <w:t>Stevens</w:t>
      </w:r>
      <w:r w:rsidR="00C455E5" w:rsidRPr="009C58C4">
        <w:rPr>
          <w:i/>
          <w:iCs/>
          <w:sz w:val="22"/>
          <w:szCs w:val="22"/>
          <w:lang w:val="sr-Latn-ME"/>
        </w:rPr>
        <w:noBreakHyphen/>
        <w:t>Johnsonov</w:t>
      </w:r>
      <w:r w:rsidR="00C455E5" w:rsidRPr="009C58C4">
        <w:rPr>
          <w:sz w:val="22"/>
          <w:szCs w:val="22"/>
          <w:lang w:val="sr-Latn-ME"/>
        </w:rPr>
        <w:t xml:space="preserve"> sindrom, reakcija na </w:t>
      </w:r>
      <w:r w:rsidR="007F2563" w:rsidRPr="009C58C4">
        <w:rPr>
          <w:sz w:val="22"/>
          <w:szCs w:val="22"/>
          <w:lang w:val="sr-Latn-ME"/>
        </w:rPr>
        <w:t>lijek</w:t>
      </w:r>
      <w:r w:rsidR="00C455E5" w:rsidRPr="009C58C4">
        <w:rPr>
          <w:sz w:val="22"/>
          <w:szCs w:val="22"/>
          <w:lang w:val="sr-Latn-ME"/>
        </w:rPr>
        <w:t xml:space="preserve"> sa eozinofilijom i sistemskim simptomima (nepoznata učestalost).</w:t>
      </w:r>
    </w:p>
    <w:p w14:paraId="17E95FD7" w14:textId="77777777" w:rsidR="00C455E5" w:rsidRPr="009C58C4" w:rsidRDefault="00C455E5" w:rsidP="00226369">
      <w:pPr>
        <w:autoSpaceDE w:val="0"/>
        <w:autoSpaceDN w:val="0"/>
        <w:adjustRightInd w:val="0"/>
        <w:jc w:val="both"/>
        <w:rPr>
          <w:rFonts w:eastAsia="SimSun"/>
          <w:sz w:val="22"/>
          <w:szCs w:val="22"/>
          <w:lang w:val="sr-Latn-ME"/>
        </w:rPr>
      </w:pPr>
    </w:p>
    <w:p w14:paraId="6F0E88F4" w14:textId="77777777" w:rsidR="00C455E5" w:rsidRPr="009C58C4" w:rsidRDefault="00C455E5" w:rsidP="00226369">
      <w:pPr>
        <w:jc w:val="both"/>
        <w:rPr>
          <w:sz w:val="22"/>
          <w:szCs w:val="22"/>
          <w:lang w:val="sr-Latn-ME"/>
        </w:rPr>
      </w:pPr>
      <w:r w:rsidRPr="009C58C4">
        <w:rPr>
          <w:sz w:val="22"/>
          <w:szCs w:val="22"/>
          <w:u w:val="single"/>
          <w:lang w:val="sr-Latn-ME"/>
        </w:rPr>
        <w:t>Tabelarni prikaz neželjenih reakcija</w:t>
      </w:r>
    </w:p>
    <w:p w14:paraId="1BA8EE48" w14:textId="77777777" w:rsidR="00C455E5" w:rsidRPr="009C58C4" w:rsidRDefault="00C455E5" w:rsidP="00226369">
      <w:pPr>
        <w:keepNext/>
        <w:jc w:val="both"/>
        <w:rPr>
          <w:sz w:val="22"/>
          <w:szCs w:val="22"/>
          <w:lang w:val="sr-Latn-ME"/>
        </w:rPr>
      </w:pPr>
    </w:p>
    <w:p w14:paraId="3AC9FA87" w14:textId="5928B7AB" w:rsidR="00C455E5" w:rsidRPr="009C58C4" w:rsidDel="000A5775" w:rsidRDefault="00F46CDF" w:rsidP="00226369">
      <w:pPr>
        <w:shd w:val="clear" w:color="auto" w:fill="FFFFFF"/>
        <w:jc w:val="both"/>
        <w:rPr>
          <w:sz w:val="22"/>
          <w:szCs w:val="22"/>
          <w:lang w:val="sr-Latn-ME"/>
        </w:rPr>
      </w:pPr>
      <w:r w:rsidRPr="009C58C4">
        <w:rPr>
          <w:sz w:val="22"/>
          <w:szCs w:val="22"/>
          <w:lang w:val="sr-Latn-ME"/>
        </w:rPr>
        <w:t>Bezbjed</w:t>
      </w:r>
      <w:r w:rsidR="00C455E5" w:rsidRPr="009C58C4">
        <w:rPr>
          <w:sz w:val="22"/>
          <w:szCs w:val="22"/>
          <w:lang w:val="sr-Latn-ME"/>
        </w:rPr>
        <w:t>nost</w:t>
      </w:r>
      <w:r w:rsidR="00C455E5" w:rsidRPr="009C58C4" w:rsidDel="000A5775">
        <w:rPr>
          <w:sz w:val="22"/>
          <w:szCs w:val="22"/>
          <w:lang w:val="sr-Latn-ME"/>
        </w:rPr>
        <w:t xml:space="preserve"> </w:t>
      </w:r>
      <w:r w:rsidR="00C455E5" w:rsidRPr="009C58C4">
        <w:rPr>
          <w:sz w:val="22"/>
          <w:szCs w:val="22"/>
          <w:lang w:val="sr-Latn-ME"/>
        </w:rPr>
        <w:t>trametiniba u kombinaciji s</w:t>
      </w:r>
      <w:r w:rsidR="00615BBD" w:rsidRPr="009C58C4">
        <w:rPr>
          <w:sz w:val="22"/>
          <w:szCs w:val="22"/>
          <w:lang w:val="sr-Latn-ME"/>
        </w:rPr>
        <w:t>a</w:t>
      </w:r>
      <w:r w:rsidR="00C455E5" w:rsidRPr="009C58C4">
        <w:rPr>
          <w:sz w:val="22"/>
          <w:szCs w:val="22"/>
          <w:lang w:val="sr-Latn-ME"/>
        </w:rPr>
        <w:t xml:space="preserve"> dabrafenibom</w:t>
      </w:r>
      <w:r w:rsidR="00C455E5" w:rsidRPr="009C58C4" w:rsidDel="000A5775">
        <w:rPr>
          <w:sz w:val="22"/>
          <w:szCs w:val="22"/>
          <w:lang w:val="sr-Latn-ME"/>
        </w:rPr>
        <w:t xml:space="preserve"> </w:t>
      </w:r>
      <w:r w:rsidR="00C455E5" w:rsidRPr="009C58C4">
        <w:rPr>
          <w:sz w:val="22"/>
          <w:szCs w:val="22"/>
          <w:lang w:val="sr-Latn-ME"/>
        </w:rPr>
        <w:t xml:space="preserve">je </w:t>
      </w:r>
      <w:r w:rsidR="007F2563" w:rsidRPr="009C58C4">
        <w:rPr>
          <w:sz w:val="22"/>
          <w:szCs w:val="22"/>
          <w:lang w:val="sr-Latn-ME"/>
        </w:rPr>
        <w:t>procijen</w:t>
      </w:r>
      <w:r w:rsidR="00C455E5" w:rsidRPr="009C58C4">
        <w:rPr>
          <w:sz w:val="22"/>
          <w:szCs w:val="22"/>
          <w:lang w:val="sr-Latn-ME"/>
        </w:rPr>
        <w:t xml:space="preserve">jena je u objedinjenom </w:t>
      </w:r>
      <w:r w:rsidRPr="009C58C4">
        <w:rPr>
          <w:sz w:val="22"/>
          <w:szCs w:val="22"/>
          <w:lang w:val="sr-Latn-ME"/>
        </w:rPr>
        <w:t>bezbjed</w:t>
      </w:r>
      <w:r w:rsidR="00C455E5" w:rsidRPr="009C58C4">
        <w:rPr>
          <w:sz w:val="22"/>
          <w:szCs w:val="22"/>
          <w:lang w:val="sr-Latn-ME"/>
        </w:rPr>
        <w:t>nosnom setu kojeg je činio</w:t>
      </w:r>
      <w:r w:rsidR="00C455E5" w:rsidRPr="009C58C4" w:rsidDel="000A5775">
        <w:rPr>
          <w:sz w:val="22"/>
          <w:szCs w:val="22"/>
          <w:lang w:val="sr-Latn-ME"/>
        </w:rPr>
        <w:t xml:space="preserve"> 171</w:t>
      </w:r>
      <w:r w:rsidR="00C455E5" w:rsidRPr="009C58C4">
        <w:rPr>
          <w:sz w:val="22"/>
          <w:szCs w:val="22"/>
          <w:lang w:val="sr-Latn-ME"/>
        </w:rPr>
        <w:t> pedijatrijski pacijent</w:t>
      </w:r>
      <w:r w:rsidR="00C455E5" w:rsidRPr="009C58C4" w:rsidDel="000A5775">
        <w:rPr>
          <w:sz w:val="22"/>
          <w:szCs w:val="22"/>
          <w:lang w:val="sr-Latn-ME"/>
        </w:rPr>
        <w:t xml:space="preserve"> </w:t>
      </w:r>
      <w:r w:rsidR="00C455E5" w:rsidRPr="009C58C4">
        <w:rPr>
          <w:sz w:val="22"/>
          <w:szCs w:val="22"/>
          <w:lang w:val="sr-Latn-ME"/>
        </w:rPr>
        <w:t>u dva ispitivanja sa pacijentima sa uznapredovalim solidnim tumorima pozitivnim na</w:t>
      </w:r>
      <w:r w:rsidR="00C455E5" w:rsidRPr="009C58C4" w:rsidDel="000A5775">
        <w:rPr>
          <w:sz w:val="22"/>
          <w:szCs w:val="22"/>
          <w:lang w:val="sr-Latn-ME"/>
        </w:rPr>
        <w:t xml:space="preserve"> BRAF V600 muta</w:t>
      </w:r>
      <w:r w:rsidR="00C455E5" w:rsidRPr="009C58C4">
        <w:rPr>
          <w:sz w:val="22"/>
          <w:szCs w:val="22"/>
          <w:lang w:val="sr-Latn-ME"/>
        </w:rPr>
        <w:t xml:space="preserve">ciju. Četiri (2,3%) pacijenta su bila uzrasta 1 do &lt;2 godine, 39 (22,8%) pacijenata je bilo uzrasta 2 do &lt;6 godina, 54 (31,6%) pacijenata je bilo uzrasta 6 do &lt;12 godina i 74 (43,3%) pacijenta je bilo uzrasta 12 do &lt;18 godina pri uključivanju. Srednja </w:t>
      </w:r>
      <w:r w:rsidRPr="009C58C4">
        <w:rPr>
          <w:sz w:val="22"/>
          <w:szCs w:val="22"/>
          <w:lang w:val="sr-Latn-ME"/>
        </w:rPr>
        <w:t>vrijednost</w:t>
      </w:r>
      <w:r w:rsidR="00C455E5" w:rsidRPr="009C58C4">
        <w:rPr>
          <w:sz w:val="22"/>
          <w:szCs w:val="22"/>
          <w:lang w:val="sr-Latn-ME"/>
        </w:rPr>
        <w:t xml:space="preserve"> trajanja </w:t>
      </w:r>
      <w:r w:rsidR="007F2563" w:rsidRPr="009C58C4">
        <w:rPr>
          <w:sz w:val="22"/>
          <w:szCs w:val="22"/>
          <w:lang w:val="sr-Latn-ME"/>
        </w:rPr>
        <w:t>liječ</w:t>
      </w:r>
      <w:r w:rsidR="00C455E5" w:rsidRPr="009C58C4">
        <w:rPr>
          <w:sz w:val="22"/>
          <w:szCs w:val="22"/>
          <w:lang w:val="sr-Latn-ME"/>
        </w:rPr>
        <w:t>enja je bila 2,3 godine.</w:t>
      </w:r>
    </w:p>
    <w:p w14:paraId="719CD39F" w14:textId="77777777" w:rsidR="00C455E5" w:rsidRPr="009C58C4" w:rsidRDefault="00C455E5" w:rsidP="00226369">
      <w:pPr>
        <w:shd w:val="clear" w:color="auto" w:fill="FFFFFF"/>
        <w:jc w:val="both"/>
        <w:rPr>
          <w:sz w:val="22"/>
          <w:szCs w:val="22"/>
          <w:lang w:val="sr-Latn-ME"/>
        </w:rPr>
      </w:pPr>
    </w:p>
    <w:p w14:paraId="286F7F03" w14:textId="6940DEBD" w:rsidR="00C455E5" w:rsidRPr="009C58C4" w:rsidRDefault="00C455E5" w:rsidP="00226369">
      <w:pPr>
        <w:jc w:val="both"/>
        <w:rPr>
          <w:sz w:val="22"/>
          <w:szCs w:val="22"/>
          <w:lang w:val="sr-Latn-ME"/>
        </w:rPr>
      </w:pPr>
      <w:r w:rsidRPr="009C58C4">
        <w:rPr>
          <w:sz w:val="22"/>
          <w:szCs w:val="22"/>
          <w:lang w:val="sr-Latn-ME"/>
        </w:rPr>
        <w:t xml:space="preserve">Neželjene reakcije (Tabela 5) su navedene u nastavku prema MedDRA klasi sistema organa i rangirana su prema učestalosti </w:t>
      </w:r>
      <w:r w:rsidR="007F2563" w:rsidRPr="009C58C4">
        <w:rPr>
          <w:sz w:val="22"/>
          <w:szCs w:val="22"/>
          <w:lang w:val="sr-Latn-ME"/>
        </w:rPr>
        <w:t>primjen</w:t>
      </w:r>
      <w:r w:rsidRPr="009C58C4">
        <w:rPr>
          <w:sz w:val="22"/>
          <w:szCs w:val="22"/>
          <w:lang w:val="sr-Latn-ME"/>
        </w:rPr>
        <w:t xml:space="preserve">om </w:t>
      </w:r>
      <w:r w:rsidR="00F46CDF" w:rsidRPr="009C58C4">
        <w:rPr>
          <w:sz w:val="22"/>
          <w:szCs w:val="22"/>
          <w:lang w:val="sr-Latn-ME"/>
        </w:rPr>
        <w:t>sljedeć</w:t>
      </w:r>
      <w:r w:rsidRPr="009C58C4">
        <w:rPr>
          <w:sz w:val="22"/>
          <w:szCs w:val="22"/>
          <w:lang w:val="sr-Latn-ME"/>
        </w:rPr>
        <w:t xml:space="preserve">e konvencije: veoma često (≥1/10), često (≥1/100 do &lt;1/10), povremeno (≥1/1000 do &lt;1/100), retko (≥1/10000 do &lt;1/1000), veoma retko (&lt;1/10000) i nepoznato (ne može se </w:t>
      </w:r>
      <w:r w:rsidR="007F2563" w:rsidRPr="009C58C4">
        <w:rPr>
          <w:sz w:val="22"/>
          <w:szCs w:val="22"/>
          <w:lang w:val="sr-Latn-ME"/>
        </w:rPr>
        <w:t>procijen</w:t>
      </w:r>
      <w:r w:rsidRPr="009C58C4">
        <w:rPr>
          <w:sz w:val="22"/>
          <w:szCs w:val="22"/>
          <w:lang w:val="sr-Latn-ME"/>
        </w:rPr>
        <w:t>iti na osnovu dostupnih podataka). U okviru svake grupe učestalosti, neželjene reakcije su prikazane po opadajućem stepenu ozbiljnosti.</w:t>
      </w:r>
    </w:p>
    <w:p w14:paraId="5868607E" w14:textId="77777777" w:rsidR="00C455E5" w:rsidRPr="009C58C4" w:rsidRDefault="00C455E5" w:rsidP="00226369">
      <w:pPr>
        <w:jc w:val="both"/>
        <w:rPr>
          <w:color w:val="000000"/>
          <w:sz w:val="22"/>
          <w:szCs w:val="22"/>
          <w:lang w:val="sr-Latn-ME"/>
        </w:rPr>
      </w:pPr>
    </w:p>
    <w:p w14:paraId="374AA9C6" w14:textId="77777777" w:rsidR="00C455E5" w:rsidRPr="009C58C4" w:rsidRDefault="00C455E5" w:rsidP="00226369">
      <w:pPr>
        <w:keepNext/>
        <w:keepLines/>
        <w:ind w:left="1134" w:hanging="1134"/>
        <w:jc w:val="both"/>
        <w:rPr>
          <w:b/>
          <w:sz w:val="22"/>
          <w:szCs w:val="22"/>
          <w:lang w:val="sr-Latn-ME"/>
        </w:rPr>
      </w:pPr>
      <w:r w:rsidRPr="009C58C4">
        <w:rPr>
          <w:b/>
          <w:sz w:val="22"/>
          <w:szCs w:val="22"/>
          <w:lang w:val="sr-Latn-ME"/>
        </w:rPr>
        <w:lastRenderedPageBreak/>
        <w:t>Tabela 5</w:t>
      </w:r>
      <w:r w:rsidRPr="009C58C4">
        <w:rPr>
          <w:sz w:val="22"/>
          <w:szCs w:val="22"/>
          <w:lang w:val="sr-Latn-ME"/>
        </w:rPr>
        <w:tab/>
      </w:r>
      <w:r w:rsidRPr="009C58C4">
        <w:rPr>
          <w:b/>
          <w:sz w:val="22"/>
          <w:szCs w:val="22"/>
          <w:lang w:val="sr-Latn-ME"/>
        </w:rPr>
        <w:t xml:space="preserve">Neželjene reakcije </w:t>
      </w:r>
      <w:r w:rsidRPr="009C58C4">
        <w:rPr>
          <w:b/>
          <w:noProof/>
          <w:sz w:val="22"/>
          <w:szCs w:val="22"/>
          <w:lang w:val="sr-Latn-ME"/>
        </w:rPr>
        <w:t>dabrafeniba u kombinaciji sa</w:t>
      </w:r>
      <w:r w:rsidRPr="009C58C4">
        <w:rPr>
          <w:b/>
          <w:sz w:val="22"/>
          <w:szCs w:val="22"/>
          <w:lang w:val="sr-Latn-ME"/>
        </w:rPr>
        <w:t xml:space="preserve"> dabrafenibom </w:t>
      </w:r>
    </w:p>
    <w:p w14:paraId="465FEF44" w14:textId="77777777" w:rsidR="00C455E5" w:rsidRPr="009C58C4" w:rsidRDefault="00C455E5" w:rsidP="00226369">
      <w:pPr>
        <w:keepNext/>
        <w:keepLines/>
        <w:ind w:left="1134" w:hanging="1134"/>
        <w:jc w:val="both"/>
        <w:rPr>
          <w:bCs/>
          <w:sz w:val="22"/>
          <w:szCs w:val="22"/>
          <w:lang w:val="sr-Latn-ME"/>
        </w:rPr>
      </w:pPr>
    </w:p>
    <w:tbl>
      <w:tblPr>
        <w:tblW w:w="93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7489"/>
      </w:tblGrid>
      <w:tr w:rsidR="00C455E5" w:rsidRPr="009C58C4" w14:paraId="41F323FD" w14:textId="77777777" w:rsidTr="00C87F6C">
        <w:trPr>
          <w:cantSplit/>
        </w:trPr>
        <w:tc>
          <w:tcPr>
            <w:tcW w:w="9322" w:type="dxa"/>
            <w:gridSpan w:val="2"/>
            <w:tcMar>
              <w:top w:w="0" w:type="dxa"/>
              <w:left w:w="108" w:type="dxa"/>
              <w:bottom w:w="0" w:type="dxa"/>
              <w:right w:w="108" w:type="dxa"/>
            </w:tcMar>
            <w:vAlign w:val="center"/>
          </w:tcPr>
          <w:p w14:paraId="696AD17A" w14:textId="77777777" w:rsidR="00C455E5" w:rsidRPr="009C58C4" w:rsidRDefault="00C455E5" w:rsidP="00226369">
            <w:pPr>
              <w:keepNext/>
              <w:keepLines/>
              <w:jc w:val="both"/>
              <w:rPr>
                <w:b/>
                <w:sz w:val="22"/>
                <w:szCs w:val="22"/>
                <w:lang w:val="sr-Latn-ME"/>
              </w:rPr>
            </w:pPr>
            <w:bookmarkStart w:id="21" w:name="_Hlk111824151"/>
            <w:r w:rsidRPr="009C58C4">
              <w:rPr>
                <w:b/>
                <w:sz w:val="22"/>
                <w:szCs w:val="22"/>
                <w:lang w:val="sr-Latn-ME"/>
              </w:rPr>
              <w:t>Infekcije i infestacije</w:t>
            </w:r>
          </w:p>
        </w:tc>
      </w:tr>
      <w:tr w:rsidR="00C455E5" w:rsidRPr="009C58C4" w14:paraId="036EA7C6" w14:textId="77777777" w:rsidTr="00C87F6C">
        <w:trPr>
          <w:cantSplit/>
        </w:trPr>
        <w:tc>
          <w:tcPr>
            <w:tcW w:w="1833" w:type="dxa"/>
            <w:tcMar>
              <w:top w:w="0" w:type="dxa"/>
              <w:left w:w="108" w:type="dxa"/>
              <w:bottom w:w="0" w:type="dxa"/>
              <w:right w:w="108" w:type="dxa"/>
            </w:tcMar>
            <w:vAlign w:val="center"/>
          </w:tcPr>
          <w:p w14:paraId="27B8859E" w14:textId="77777777" w:rsidR="00C455E5" w:rsidRPr="009C58C4" w:rsidRDefault="00C455E5" w:rsidP="00226369">
            <w:pPr>
              <w:keepNext/>
              <w:keepLines/>
              <w:jc w:val="both"/>
              <w:rPr>
                <w:sz w:val="22"/>
                <w:szCs w:val="22"/>
                <w:lang w:val="sr-Latn-ME"/>
              </w:rPr>
            </w:pPr>
            <w:r w:rsidRPr="009C58C4">
              <w:rPr>
                <w:sz w:val="22"/>
                <w:szCs w:val="22"/>
                <w:lang w:val="sr-Latn-ME"/>
              </w:rPr>
              <w:t>Veoma</w:t>
            </w:r>
            <w:r w:rsidRPr="009C58C4" w:rsidDel="00881E73">
              <w:rPr>
                <w:sz w:val="22"/>
                <w:szCs w:val="22"/>
                <w:lang w:val="sr-Latn-ME"/>
              </w:rPr>
              <w:t xml:space="preserve"> </w:t>
            </w:r>
            <w:r w:rsidRPr="009C58C4">
              <w:rPr>
                <w:sz w:val="22"/>
                <w:szCs w:val="22"/>
                <w:lang w:val="sr-Latn-ME"/>
              </w:rPr>
              <w:t>često</w:t>
            </w:r>
          </w:p>
        </w:tc>
        <w:tc>
          <w:tcPr>
            <w:tcW w:w="7489" w:type="dxa"/>
            <w:tcMar>
              <w:top w:w="0" w:type="dxa"/>
              <w:left w:w="108" w:type="dxa"/>
              <w:bottom w:w="0" w:type="dxa"/>
              <w:right w:w="108" w:type="dxa"/>
            </w:tcMar>
            <w:vAlign w:val="center"/>
          </w:tcPr>
          <w:p w14:paraId="6CEAB6AB" w14:textId="77777777" w:rsidR="00C455E5" w:rsidRPr="009C58C4" w:rsidRDefault="00C455E5" w:rsidP="00226369">
            <w:pPr>
              <w:keepNext/>
              <w:keepLines/>
              <w:jc w:val="both"/>
              <w:rPr>
                <w:bCs/>
                <w:sz w:val="22"/>
                <w:szCs w:val="22"/>
                <w:vertAlign w:val="superscript"/>
                <w:lang w:val="sr-Latn-ME"/>
              </w:rPr>
            </w:pPr>
            <w:r w:rsidRPr="009C58C4">
              <w:rPr>
                <w:bCs/>
                <w:sz w:val="22"/>
                <w:szCs w:val="22"/>
                <w:lang w:val="sr-Latn-ME"/>
              </w:rPr>
              <w:t xml:space="preserve">Paronihija, </w:t>
            </w:r>
            <w:r w:rsidRPr="009C58C4">
              <w:rPr>
                <w:sz w:val="22"/>
                <w:szCs w:val="22"/>
                <w:lang w:val="sr-Latn-ME"/>
              </w:rPr>
              <w:t>nazofaringitis*</w:t>
            </w:r>
            <w:r w:rsidRPr="009C58C4">
              <w:rPr>
                <w:sz w:val="22"/>
                <w:szCs w:val="22"/>
                <w:vertAlign w:val="superscript"/>
                <w:lang w:val="sr-Latn-ME"/>
              </w:rPr>
              <w:t>1</w:t>
            </w:r>
          </w:p>
        </w:tc>
      </w:tr>
      <w:tr w:rsidR="00C455E5" w:rsidRPr="009C58C4" w14:paraId="2A4351F9" w14:textId="77777777" w:rsidTr="00C87F6C">
        <w:trPr>
          <w:cantSplit/>
        </w:trPr>
        <w:tc>
          <w:tcPr>
            <w:tcW w:w="1833" w:type="dxa"/>
            <w:tcMar>
              <w:top w:w="0" w:type="dxa"/>
              <w:left w:w="108" w:type="dxa"/>
              <w:bottom w:w="0" w:type="dxa"/>
              <w:right w:w="108" w:type="dxa"/>
            </w:tcMar>
            <w:vAlign w:val="center"/>
          </w:tcPr>
          <w:p w14:paraId="47270EE7" w14:textId="77777777" w:rsidR="00C455E5" w:rsidRPr="009C58C4" w:rsidRDefault="00C455E5" w:rsidP="00226369">
            <w:pPr>
              <w:keepNext/>
              <w:keepLines/>
              <w:jc w:val="both"/>
              <w:rPr>
                <w:sz w:val="22"/>
                <w:szCs w:val="22"/>
                <w:lang w:val="sr-Latn-ME"/>
              </w:rPr>
            </w:pPr>
            <w:r w:rsidRPr="009C58C4">
              <w:rPr>
                <w:sz w:val="22"/>
                <w:szCs w:val="22"/>
                <w:lang w:val="sr-Latn-ME"/>
              </w:rPr>
              <w:t>Često</w:t>
            </w:r>
          </w:p>
        </w:tc>
        <w:tc>
          <w:tcPr>
            <w:tcW w:w="7489" w:type="dxa"/>
            <w:tcMar>
              <w:top w:w="0" w:type="dxa"/>
              <w:left w:w="108" w:type="dxa"/>
              <w:bottom w:w="0" w:type="dxa"/>
              <w:right w:w="108" w:type="dxa"/>
            </w:tcMar>
            <w:vAlign w:val="center"/>
          </w:tcPr>
          <w:p w14:paraId="407381B2" w14:textId="77777777" w:rsidR="00C455E5" w:rsidRPr="009C58C4" w:rsidRDefault="00C455E5" w:rsidP="00226369">
            <w:pPr>
              <w:keepNext/>
              <w:keepLines/>
              <w:jc w:val="both"/>
              <w:rPr>
                <w:sz w:val="22"/>
                <w:szCs w:val="22"/>
                <w:vertAlign w:val="superscript"/>
                <w:lang w:val="sr-Latn-ME"/>
              </w:rPr>
            </w:pPr>
            <w:r w:rsidRPr="009C58C4">
              <w:rPr>
                <w:sz w:val="22"/>
                <w:szCs w:val="22"/>
                <w:lang w:val="sr-Latn-ME"/>
              </w:rPr>
              <w:t>Infekcija mokraćnog sistema, celulitis</w:t>
            </w:r>
          </w:p>
        </w:tc>
      </w:tr>
      <w:tr w:rsidR="00C455E5" w:rsidRPr="009C58C4" w14:paraId="3B161FBF" w14:textId="77777777" w:rsidTr="00C87F6C">
        <w:trPr>
          <w:cantSplit/>
        </w:trPr>
        <w:tc>
          <w:tcPr>
            <w:tcW w:w="9322" w:type="dxa"/>
            <w:gridSpan w:val="2"/>
            <w:tcMar>
              <w:top w:w="0" w:type="dxa"/>
              <w:left w:w="108" w:type="dxa"/>
              <w:bottom w:w="0" w:type="dxa"/>
              <w:right w:w="108" w:type="dxa"/>
            </w:tcMar>
            <w:vAlign w:val="center"/>
          </w:tcPr>
          <w:p w14:paraId="73AC7BCB" w14:textId="77777777" w:rsidR="00C455E5" w:rsidRPr="009C58C4" w:rsidRDefault="00C455E5" w:rsidP="00226369">
            <w:pPr>
              <w:keepNext/>
              <w:keepLines/>
              <w:jc w:val="both"/>
              <w:rPr>
                <w:sz w:val="22"/>
                <w:szCs w:val="22"/>
                <w:lang w:val="sr-Latn-ME"/>
              </w:rPr>
            </w:pPr>
            <w:r w:rsidRPr="009C58C4">
              <w:rPr>
                <w:b/>
                <w:bCs/>
                <w:sz w:val="22"/>
                <w:szCs w:val="22"/>
                <w:lang w:val="sr-Latn-ME"/>
              </w:rPr>
              <w:t>Benigne, maligne i neodređene neoplazne (uključujući ciste i polipe)</w:t>
            </w:r>
          </w:p>
        </w:tc>
      </w:tr>
      <w:tr w:rsidR="00C455E5" w:rsidRPr="009C58C4" w14:paraId="1E4D1137" w14:textId="77777777" w:rsidTr="00C87F6C">
        <w:trPr>
          <w:cantSplit/>
        </w:trPr>
        <w:tc>
          <w:tcPr>
            <w:tcW w:w="1833" w:type="dxa"/>
            <w:tcMar>
              <w:top w:w="0" w:type="dxa"/>
              <w:left w:w="108" w:type="dxa"/>
              <w:bottom w:w="0" w:type="dxa"/>
              <w:right w:w="108" w:type="dxa"/>
            </w:tcMar>
            <w:vAlign w:val="center"/>
          </w:tcPr>
          <w:p w14:paraId="5ACCA5BF" w14:textId="77777777" w:rsidR="00C455E5" w:rsidRPr="009C58C4" w:rsidRDefault="00C455E5" w:rsidP="00226369">
            <w:pPr>
              <w:jc w:val="both"/>
              <w:rPr>
                <w:sz w:val="22"/>
                <w:szCs w:val="22"/>
                <w:lang w:val="sr-Latn-ME"/>
              </w:rPr>
            </w:pPr>
            <w:r w:rsidRPr="009C58C4">
              <w:rPr>
                <w:sz w:val="22"/>
                <w:szCs w:val="22"/>
                <w:lang w:val="sr-Latn-ME"/>
              </w:rPr>
              <w:t>Veoma često</w:t>
            </w:r>
          </w:p>
        </w:tc>
        <w:tc>
          <w:tcPr>
            <w:tcW w:w="7489" w:type="dxa"/>
            <w:tcMar>
              <w:top w:w="0" w:type="dxa"/>
              <w:left w:w="108" w:type="dxa"/>
              <w:bottom w:w="0" w:type="dxa"/>
              <w:right w:w="108" w:type="dxa"/>
            </w:tcMar>
            <w:vAlign w:val="center"/>
          </w:tcPr>
          <w:p w14:paraId="77FF7589" w14:textId="77777777" w:rsidR="00C455E5" w:rsidRPr="009C58C4" w:rsidRDefault="00C455E5" w:rsidP="00226369">
            <w:pPr>
              <w:jc w:val="both"/>
              <w:rPr>
                <w:bCs/>
                <w:sz w:val="22"/>
                <w:szCs w:val="22"/>
                <w:lang w:val="sr-Latn-ME"/>
              </w:rPr>
            </w:pPr>
            <w:r w:rsidRPr="009C58C4">
              <w:rPr>
                <w:bCs/>
                <w:sz w:val="22"/>
                <w:szCs w:val="22"/>
                <w:lang w:val="sr-Latn-ME"/>
              </w:rPr>
              <w:t>Kožni papilom</w:t>
            </w:r>
          </w:p>
        </w:tc>
      </w:tr>
      <w:tr w:rsidR="00C455E5" w:rsidRPr="009C58C4" w14:paraId="70FBCD38" w14:textId="77777777" w:rsidTr="00C87F6C">
        <w:trPr>
          <w:cantSplit/>
        </w:trPr>
        <w:tc>
          <w:tcPr>
            <w:tcW w:w="9322" w:type="dxa"/>
            <w:gridSpan w:val="2"/>
            <w:tcMar>
              <w:top w:w="0" w:type="dxa"/>
              <w:left w:w="108" w:type="dxa"/>
              <w:bottom w:w="0" w:type="dxa"/>
              <w:right w:w="108" w:type="dxa"/>
            </w:tcMar>
            <w:vAlign w:val="center"/>
          </w:tcPr>
          <w:p w14:paraId="0D9A3BFB" w14:textId="77777777" w:rsidR="00C455E5" w:rsidRPr="009C58C4" w:rsidRDefault="00C455E5" w:rsidP="00226369">
            <w:pPr>
              <w:keepNext/>
              <w:keepLines/>
              <w:jc w:val="both"/>
              <w:rPr>
                <w:bCs/>
                <w:sz w:val="22"/>
                <w:szCs w:val="22"/>
                <w:lang w:val="sr-Latn-ME"/>
              </w:rPr>
            </w:pPr>
            <w:r w:rsidRPr="009C58C4">
              <w:rPr>
                <w:b/>
                <w:bCs/>
                <w:sz w:val="22"/>
                <w:szCs w:val="22"/>
                <w:lang w:val="sr-Latn-ME"/>
              </w:rPr>
              <w:t>Poremećaji krvi i limfnog sistema</w:t>
            </w:r>
          </w:p>
        </w:tc>
      </w:tr>
      <w:tr w:rsidR="00C455E5" w:rsidRPr="009C58C4" w14:paraId="72169678" w14:textId="77777777" w:rsidTr="00C87F6C">
        <w:trPr>
          <w:cantSplit/>
        </w:trPr>
        <w:tc>
          <w:tcPr>
            <w:tcW w:w="1833" w:type="dxa"/>
            <w:tcMar>
              <w:top w:w="0" w:type="dxa"/>
              <w:left w:w="108" w:type="dxa"/>
              <w:bottom w:w="0" w:type="dxa"/>
              <w:right w:w="108" w:type="dxa"/>
            </w:tcMar>
            <w:vAlign w:val="center"/>
          </w:tcPr>
          <w:p w14:paraId="06FCD0AA" w14:textId="77777777" w:rsidR="00C455E5" w:rsidRPr="009C58C4" w:rsidRDefault="00C455E5" w:rsidP="00226369">
            <w:pPr>
              <w:keepNext/>
              <w:jc w:val="both"/>
              <w:rPr>
                <w:sz w:val="22"/>
                <w:szCs w:val="22"/>
                <w:lang w:val="sr-Latn-ME"/>
              </w:rPr>
            </w:pPr>
            <w:r w:rsidRPr="009C58C4">
              <w:rPr>
                <w:sz w:val="22"/>
                <w:szCs w:val="22"/>
                <w:lang w:val="sr-Latn-ME"/>
              </w:rPr>
              <w:t>Veoma</w:t>
            </w:r>
            <w:r w:rsidRPr="009C58C4" w:rsidDel="00881E73">
              <w:rPr>
                <w:sz w:val="22"/>
                <w:szCs w:val="22"/>
                <w:lang w:val="sr-Latn-ME"/>
              </w:rPr>
              <w:t xml:space="preserve"> </w:t>
            </w:r>
            <w:r w:rsidRPr="009C58C4">
              <w:rPr>
                <w:sz w:val="22"/>
                <w:szCs w:val="22"/>
                <w:lang w:val="sr-Latn-ME"/>
              </w:rPr>
              <w:t>često</w:t>
            </w:r>
          </w:p>
        </w:tc>
        <w:tc>
          <w:tcPr>
            <w:tcW w:w="7489" w:type="dxa"/>
            <w:tcMar>
              <w:top w:w="0" w:type="dxa"/>
              <w:left w:w="108" w:type="dxa"/>
              <w:bottom w:w="0" w:type="dxa"/>
              <w:right w:w="108" w:type="dxa"/>
            </w:tcMar>
            <w:vAlign w:val="center"/>
          </w:tcPr>
          <w:p w14:paraId="2BDDABDA" w14:textId="77777777" w:rsidR="00C455E5" w:rsidRPr="009C58C4" w:rsidRDefault="00C455E5" w:rsidP="00226369">
            <w:pPr>
              <w:keepNext/>
              <w:jc w:val="both"/>
              <w:rPr>
                <w:bCs/>
                <w:sz w:val="22"/>
                <w:szCs w:val="22"/>
                <w:vertAlign w:val="superscript"/>
                <w:lang w:val="sr-Latn-ME"/>
              </w:rPr>
            </w:pPr>
            <w:r w:rsidRPr="009C58C4">
              <w:rPr>
                <w:bCs/>
                <w:sz w:val="22"/>
                <w:szCs w:val="22"/>
                <w:lang w:val="sr-Latn-ME"/>
              </w:rPr>
              <w:t>Neutropenija*</w:t>
            </w:r>
            <w:r w:rsidRPr="009C58C4">
              <w:rPr>
                <w:bCs/>
                <w:sz w:val="22"/>
                <w:szCs w:val="22"/>
                <w:vertAlign w:val="superscript"/>
                <w:lang w:val="sr-Latn-ME"/>
              </w:rPr>
              <w:t>2</w:t>
            </w:r>
            <w:r w:rsidRPr="009C58C4">
              <w:rPr>
                <w:bCs/>
                <w:sz w:val="22"/>
                <w:szCs w:val="22"/>
                <w:lang w:val="sr-Latn-ME"/>
              </w:rPr>
              <w:t>, anemija, leukopenija*</w:t>
            </w:r>
          </w:p>
        </w:tc>
      </w:tr>
      <w:tr w:rsidR="00C455E5" w:rsidRPr="009C58C4" w14:paraId="0B3EA2F3" w14:textId="77777777" w:rsidTr="00C87F6C">
        <w:trPr>
          <w:cantSplit/>
        </w:trPr>
        <w:tc>
          <w:tcPr>
            <w:tcW w:w="1833" w:type="dxa"/>
            <w:tcMar>
              <w:top w:w="0" w:type="dxa"/>
              <w:left w:w="108" w:type="dxa"/>
              <w:bottom w:w="0" w:type="dxa"/>
              <w:right w:w="108" w:type="dxa"/>
            </w:tcMar>
            <w:vAlign w:val="center"/>
          </w:tcPr>
          <w:p w14:paraId="67977659" w14:textId="77777777" w:rsidR="00C455E5" w:rsidRPr="009C58C4" w:rsidRDefault="00C455E5" w:rsidP="00226369">
            <w:pPr>
              <w:jc w:val="both"/>
              <w:rPr>
                <w:sz w:val="22"/>
                <w:szCs w:val="22"/>
                <w:lang w:val="sr-Latn-ME"/>
              </w:rPr>
            </w:pPr>
            <w:r w:rsidRPr="009C58C4">
              <w:rPr>
                <w:sz w:val="22"/>
                <w:szCs w:val="22"/>
                <w:lang w:val="sr-Latn-ME"/>
              </w:rPr>
              <w:t>Često</w:t>
            </w:r>
          </w:p>
        </w:tc>
        <w:tc>
          <w:tcPr>
            <w:tcW w:w="7489" w:type="dxa"/>
            <w:tcMar>
              <w:top w:w="0" w:type="dxa"/>
              <w:left w:w="108" w:type="dxa"/>
              <w:bottom w:w="0" w:type="dxa"/>
              <w:right w:w="108" w:type="dxa"/>
            </w:tcMar>
            <w:vAlign w:val="center"/>
          </w:tcPr>
          <w:p w14:paraId="38A41ECE" w14:textId="77777777" w:rsidR="00C455E5" w:rsidRPr="009C58C4" w:rsidRDefault="00C455E5" w:rsidP="00226369">
            <w:pPr>
              <w:jc w:val="both"/>
              <w:rPr>
                <w:bCs/>
                <w:sz w:val="22"/>
                <w:szCs w:val="22"/>
                <w:vertAlign w:val="superscript"/>
                <w:lang w:val="sr-Latn-ME"/>
              </w:rPr>
            </w:pPr>
            <w:r w:rsidRPr="009C58C4">
              <w:rPr>
                <w:bCs/>
                <w:sz w:val="22"/>
                <w:szCs w:val="22"/>
                <w:lang w:val="sr-Latn-ME"/>
              </w:rPr>
              <w:t>Trombocitopenija*</w:t>
            </w:r>
          </w:p>
        </w:tc>
      </w:tr>
      <w:tr w:rsidR="00C455E5" w:rsidRPr="009C58C4" w14:paraId="36E56F79" w14:textId="77777777" w:rsidTr="00C87F6C">
        <w:trPr>
          <w:cantSplit/>
        </w:trPr>
        <w:tc>
          <w:tcPr>
            <w:tcW w:w="9322" w:type="dxa"/>
            <w:gridSpan w:val="2"/>
            <w:tcMar>
              <w:top w:w="0" w:type="dxa"/>
              <w:left w:w="108" w:type="dxa"/>
              <w:bottom w:w="0" w:type="dxa"/>
              <w:right w:w="108" w:type="dxa"/>
            </w:tcMar>
            <w:vAlign w:val="center"/>
          </w:tcPr>
          <w:p w14:paraId="7CFDFD25" w14:textId="77777777" w:rsidR="00C455E5" w:rsidRPr="009C58C4" w:rsidRDefault="00C455E5" w:rsidP="00226369">
            <w:pPr>
              <w:keepNext/>
              <w:keepLines/>
              <w:jc w:val="both"/>
              <w:rPr>
                <w:bCs/>
                <w:sz w:val="22"/>
                <w:szCs w:val="22"/>
                <w:lang w:val="sr-Latn-ME"/>
              </w:rPr>
            </w:pPr>
            <w:r w:rsidRPr="009C58C4">
              <w:rPr>
                <w:b/>
                <w:bCs/>
                <w:sz w:val="22"/>
                <w:szCs w:val="22"/>
                <w:lang w:val="sr-Latn-ME"/>
              </w:rPr>
              <w:t>Poremećaji imunskog sistema</w:t>
            </w:r>
          </w:p>
        </w:tc>
      </w:tr>
      <w:tr w:rsidR="00C455E5" w:rsidRPr="009C58C4" w14:paraId="04C3A09E" w14:textId="77777777" w:rsidTr="00C87F6C">
        <w:trPr>
          <w:cantSplit/>
        </w:trPr>
        <w:tc>
          <w:tcPr>
            <w:tcW w:w="1833" w:type="dxa"/>
            <w:tcMar>
              <w:top w:w="0" w:type="dxa"/>
              <w:left w:w="108" w:type="dxa"/>
              <w:bottom w:w="0" w:type="dxa"/>
              <w:right w:w="108" w:type="dxa"/>
            </w:tcMar>
            <w:vAlign w:val="center"/>
          </w:tcPr>
          <w:p w14:paraId="1AF258B0" w14:textId="77777777" w:rsidR="00C455E5" w:rsidRPr="009C58C4" w:rsidRDefault="00C455E5" w:rsidP="00226369">
            <w:pPr>
              <w:jc w:val="both"/>
              <w:rPr>
                <w:sz w:val="22"/>
                <w:szCs w:val="22"/>
                <w:lang w:val="sr-Latn-ME"/>
              </w:rPr>
            </w:pPr>
            <w:r w:rsidRPr="009C58C4">
              <w:rPr>
                <w:sz w:val="22"/>
                <w:szCs w:val="22"/>
                <w:lang w:val="sr-Latn-ME"/>
              </w:rPr>
              <w:t>Često</w:t>
            </w:r>
          </w:p>
        </w:tc>
        <w:tc>
          <w:tcPr>
            <w:tcW w:w="7489" w:type="dxa"/>
            <w:tcMar>
              <w:top w:w="0" w:type="dxa"/>
              <w:left w:w="108" w:type="dxa"/>
              <w:bottom w:w="0" w:type="dxa"/>
              <w:right w:w="108" w:type="dxa"/>
            </w:tcMar>
            <w:vAlign w:val="center"/>
          </w:tcPr>
          <w:p w14:paraId="5E4128B5" w14:textId="77777777" w:rsidR="00C455E5" w:rsidRPr="009C58C4" w:rsidRDefault="00C455E5" w:rsidP="00226369">
            <w:pPr>
              <w:jc w:val="both"/>
              <w:rPr>
                <w:bCs/>
                <w:sz w:val="22"/>
                <w:szCs w:val="22"/>
                <w:lang w:val="sr-Latn-ME"/>
              </w:rPr>
            </w:pPr>
            <w:r w:rsidRPr="009C58C4">
              <w:rPr>
                <w:bCs/>
                <w:sz w:val="22"/>
                <w:szCs w:val="22"/>
                <w:lang w:val="sr-Latn-ME"/>
              </w:rPr>
              <w:t>Preosetljivost</w:t>
            </w:r>
          </w:p>
        </w:tc>
      </w:tr>
      <w:tr w:rsidR="00C455E5" w:rsidRPr="009C58C4" w14:paraId="6849C3F3" w14:textId="77777777" w:rsidTr="00C87F6C">
        <w:trPr>
          <w:cantSplit/>
        </w:trPr>
        <w:tc>
          <w:tcPr>
            <w:tcW w:w="9322" w:type="dxa"/>
            <w:gridSpan w:val="2"/>
            <w:tcMar>
              <w:top w:w="0" w:type="dxa"/>
              <w:left w:w="108" w:type="dxa"/>
              <w:bottom w:w="0" w:type="dxa"/>
              <w:right w:w="108" w:type="dxa"/>
            </w:tcMar>
            <w:vAlign w:val="center"/>
          </w:tcPr>
          <w:p w14:paraId="5FF58059" w14:textId="77777777" w:rsidR="00C455E5" w:rsidRPr="009C58C4" w:rsidRDefault="00C455E5" w:rsidP="00226369">
            <w:pPr>
              <w:keepNext/>
              <w:keepLines/>
              <w:jc w:val="both"/>
              <w:rPr>
                <w:b/>
                <w:sz w:val="22"/>
                <w:szCs w:val="22"/>
                <w:lang w:val="sr-Latn-ME"/>
              </w:rPr>
            </w:pPr>
            <w:r w:rsidRPr="009C58C4">
              <w:rPr>
                <w:b/>
                <w:sz w:val="22"/>
                <w:szCs w:val="22"/>
                <w:lang w:val="sr-Latn-ME"/>
              </w:rPr>
              <w:t>Poremećaji metabolizma i prehrane</w:t>
            </w:r>
          </w:p>
        </w:tc>
      </w:tr>
      <w:tr w:rsidR="00C455E5" w:rsidRPr="009C58C4" w14:paraId="1C36C211" w14:textId="77777777" w:rsidTr="00C87F6C">
        <w:trPr>
          <w:cantSplit/>
        </w:trPr>
        <w:tc>
          <w:tcPr>
            <w:tcW w:w="1833" w:type="dxa"/>
            <w:tcMar>
              <w:top w:w="0" w:type="dxa"/>
              <w:left w:w="108" w:type="dxa"/>
              <w:bottom w:w="0" w:type="dxa"/>
              <w:right w:w="108" w:type="dxa"/>
            </w:tcMar>
            <w:vAlign w:val="center"/>
          </w:tcPr>
          <w:p w14:paraId="70EF3783" w14:textId="77777777" w:rsidR="00C455E5" w:rsidRPr="009C58C4" w:rsidRDefault="00C455E5" w:rsidP="00226369">
            <w:pPr>
              <w:jc w:val="both"/>
              <w:rPr>
                <w:sz w:val="22"/>
                <w:szCs w:val="22"/>
                <w:lang w:val="sr-Latn-ME"/>
              </w:rPr>
            </w:pPr>
            <w:r w:rsidRPr="009C58C4">
              <w:rPr>
                <w:sz w:val="22"/>
                <w:szCs w:val="22"/>
                <w:lang w:val="sr-Latn-ME"/>
              </w:rPr>
              <w:t>Često</w:t>
            </w:r>
          </w:p>
        </w:tc>
        <w:tc>
          <w:tcPr>
            <w:tcW w:w="7489" w:type="dxa"/>
            <w:tcMar>
              <w:top w:w="0" w:type="dxa"/>
              <w:left w:w="108" w:type="dxa"/>
              <w:bottom w:w="0" w:type="dxa"/>
              <w:right w:w="108" w:type="dxa"/>
            </w:tcMar>
            <w:vAlign w:val="center"/>
          </w:tcPr>
          <w:p w14:paraId="24318E8F" w14:textId="77777777" w:rsidR="00C455E5" w:rsidRPr="009C58C4" w:rsidRDefault="00C455E5" w:rsidP="00226369">
            <w:pPr>
              <w:jc w:val="both"/>
              <w:rPr>
                <w:bCs/>
                <w:sz w:val="22"/>
                <w:szCs w:val="22"/>
                <w:lang w:val="sr-Latn-ME"/>
              </w:rPr>
            </w:pPr>
            <w:r w:rsidRPr="009C58C4">
              <w:rPr>
                <w:bCs/>
                <w:sz w:val="22"/>
                <w:szCs w:val="22"/>
                <w:lang w:val="sr-Latn-ME"/>
              </w:rPr>
              <w:t>Dehidracija, smanjeni apetit</w:t>
            </w:r>
          </w:p>
        </w:tc>
      </w:tr>
      <w:tr w:rsidR="00C455E5" w:rsidRPr="009C58C4" w14:paraId="0897C6EF" w14:textId="77777777" w:rsidTr="00C87F6C">
        <w:trPr>
          <w:cantSplit/>
        </w:trPr>
        <w:tc>
          <w:tcPr>
            <w:tcW w:w="9322" w:type="dxa"/>
            <w:gridSpan w:val="2"/>
            <w:tcMar>
              <w:top w:w="0" w:type="dxa"/>
              <w:left w:w="108" w:type="dxa"/>
              <w:bottom w:w="0" w:type="dxa"/>
              <w:right w:w="108" w:type="dxa"/>
            </w:tcMar>
            <w:vAlign w:val="center"/>
          </w:tcPr>
          <w:p w14:paraId="7BBFCFE7" w14:textId="77777777" w:rsidR="00C455E5" w:rsidRPr="009C58C4" w:rsidRDefault="00C455E5" w:rsidP="00226369">
            <w:pPr>
              <w:keepNext/>
              <w:keepLines/>
              <w:jc w:val="both"/>
              <w:rPr>
                <w:b/>
                <w:sz w:val="22"/>
                <w:szCs w:val="22"/>
                <w:lang w:val="sr-Latn-ME"/>
              </w:rPr>
            </w:pPr>
            <w:r w:rsidRPr="009C58C4">
              <w:rPr>
                <w:b/>
                <w:sz w:val="22"/>
                <w:szCs w:val="22"/>
                <w:lang w:val="sr-Latn-ME"/>
              </w:rPr>
              <w:t>Poremećaji nervnog sistema</w:t>
            </w:r>
          </w:p>
        </w:tc>
      </w:tr>
      <w:tr w:rsidR="00C455E5" w:rsidRPr="009C58C4" w14:paraId="1ACD5786" w14:textId="77777777" w:rsidTr="00C87F6C">
        <w:trPr>
          <w:cantSplit/>
        </w:trPr>
        <w:tc>
          <w:tcPr>
            <w:tcW w:w="1833" w:type="dxa"/>
            <w:tcMar>
              <w:top w:w="0" w:type="dxa"/>
              <w:left w:w="108" w:type="dxa"/>
              <w:bottom w:w="0" w:type="dxa"/>
              <w:right w:w="108" w:type="dxa"/>
            </w:tcMar>
            <w:vAlign w:val="center"/>
          </w:tcPr>
          <w:p w14:paraId="41B77599" w14:textId="77777777" w:rsidR="00C455E5" w:rsidRPr="009C58C4" w:rsidRDefault="00C455E5" w:rsidP="00226369">
            <w:pPr>
              <w:jc w:val="both"/>
              <w:rPr>
                <w:sz w:val="22"/>
                <w:szCs w:val="22"/>
                <w:lang w:val="sr-Latn-ME"/>
              </w:rPr>
            </w:pPr>
            <w:r w:rsidRPr="009C58C4">
              <w:rPr>
                <w:sz w:val="22"/>
                <w:szCs w:val="22"/>
                <w:lang w:val="sr-Latn-ME"/>
              </w:rPr>
              <w:t>Veoma</w:t>
            </w:r>
            <w:r w:rsidRPr="009C58C4" w:rsidDel="00881E73">
              <w:rPr>
                <w:sz w:val="22"/>
                <w:szCs w:val="22"/>
                <w:lang w:val="sr-Latn-ME"/>
              </w:rPr>
              <w:t xml:space="preserve"> </w:t>
            </w:r>
            <w:r w:rsidRPr="009C58C4">
              <w:rPr>
                <w:sz w:val="22"/>
                <w:szCs w:val="22"/>
                <w:lang w:val="sr-Latn-ME"/>
              </w:rPr>
              <w:t>često</w:t>
            </w:r>
          </w:p>
        </w:tc>
        <w:tc>
          <w:tcPr>
            <w:tcW w:w="7489" w:type="dxa"/>
            <w:tcMar>
              <w:top w:w="0" w:type="dxa"/>
              <w:left w:w="108" w:type="dxa"/>
              <w:bottom w:w="0" w:type="dxa"/>
              <w:right w:w="108" w:type="dxa"/>
            </w:tcMar>
            <w:vAlign w:val="center"/>
          </w:tcPr>
          <w:p w14:paraId="36273FF5" w14:textId="77777777" w:rsidR="00C455E5" w:rsidRPr="009C58C4" w:rsidRDefault="00C455E5" w:rsidP="00226369">
            <w:pPr>
              <w:jc w:val="both"/>
              <w:rPr>
                <w:bCs/>
                <w:sz w:val="22"/>
                <w:szCs w:val="22"/>
                <w:vertAlign w:val="superscript"/>
                <w:lang w:val="sr-Latn-ME"/>
              </w:rPr>
            </w:pPr>
            <w:r w:rsidRPr="009C58C4">
              <w:rPr>
                <w:bCs/>
                <w:sz w:val="22"/>
                <w:szCs w:val="22"/>
                <w:lang w:val="sr-Latn-ME"/>
              </w:rPr>
              <w:t>Glavobolja, vrtoglavica</w:t>
            </w:r>
            <w:r w:rsidRPr="009C58C4">
              <w:rPr>
                <w:sz w:val="22"/>
                <w:szCs w:val="22"/>
                <w:lang w:val="sr-Latn-ME"/>
              </w:rPr>
              <w:t>*</w:t>
            </w:r>
            <w:r w:rsidRPr="009C58C4">
              <w:rPr>
                <w:bCs/>
                <w:sz w:val="22"/>
                <w:szCs w:val="22"/>
                <w:vertAlign w:val="superscript"/>
                <w:lang w:val="sr-Latn-ME"/>
              </w:rPr>
              <w:t>3</w:t>
            </w:r>
          </w:p>
        </w:tc>
      </w:tr>
      <w:tr w:rsidR="00C455E5" w:rsidRPr="009C58C4" w14:paraId="61DA9ECC" w14:textId="77777777" w:rsidTr="00C87F6C">
        <w:trPr>
          <w:cantSplit/>
        </w:trPr>
        <w:tc>
          <w:tcPr>
            <w:tcW w:w="9322" w:type="dxa"/>
            <w:gridSpan w:val="2"/>
            <w:tcMar>
              <w:top w:w="0" w:type="dxa"/>
              <w:left w:w="108" w:type="dxa"/>
              <w:bottom w:w="0" w:type="dxa"/>
              <w:right w:w="108" w:type="dxa"/>
            </w:tcMar>
            <w:vAlign w:val="center"/>
          </w:tcPr>
          <w:p w14:paraId="52A36806" w14:textId="77777777" w:rsidR="00C455E5" w:rsidRPr="009C58C4" w:rsidRDefault="00C455E5" w:rsidP="00226369">
            <w:pPr>
              <w:keepNext/>
              <w:keepLines/>
              <w:jc w:val="both"/>
              <w:rPr>
                <w:b/>
                <w:bCs/>
                <w:sz w:val="22"/>
                <w:szCs w:val="22"/>
                <w:lang w:val="sr-Latn-ME"/>
              </w:rPr>
            </w:pPr>
            <w:r w:rsidRPr="009C58C4">
              <w:rPr>
                <w:b/>
                <w:sz w:val="22"/>
                <w:szCs w:val="22"/>
                <w:lang w:val="sr-Latn-ME"/>
              </w:rPr>
              <w:t>Poremećaji oka</w:t>
            </w:r>
          </w:p>
        </w:tc>
      </w:tr>
      <w:tr w:rsidR="00C455E5" w:rsidRPr="009C58C4" w14:paraId="3C740957" w14:textId="77777777" w:rsidTr="00C87F6C">
        <w:trPr>
          <w:cantSplit/>
        </w:trPr>
        <w:tc>
          <w:tcPr>
            <w:tcW w:w="1833" w:type="dxa"/>
            <w:tcMar>
              <w:top w:w="0" w:type="dxa"/>
              <w:left w:w="108" w:type="dxa"/>
              <w:bottom w:w="0" w:type="dxa"/>
              <w:right w:w="108" w:type="dxa"/>
            </w:tcMar>
            <w:vAlign w:val="center"/>
          </w:tcPr>
          <w:p w14:paraId="1B0AD22D" w14:textId="77777777" w:rsidR="00C455E5" w:rsidRPr="009C58C4" w:rsidRDefault="00C455E5" w:rsidP="00226369">
            <w:pPr>
              <w:keepNext/>
              <w:keepLines/>
              <w:jc w:val="both"/>
              <w:rPr>
                <w:sz w:val="22"/>
                <w:szCs w:val="22"/>
                <w:lang w:val="sr-Latn-ME"/>
              </w:rPr>
            </w:pPr>
            <w:r w:rsidRPr="009C58C4">
              <w:rPr>
                <w:sz w:val="22"/>
                <w:szCs w:val="22"/>
                <w:lang w:val="sr-Latn-ME"/>
              </w:rPr>
              <w:t>Često</w:t>
            </w:r>
          </w:p>
        </w:tc>
        <w:tc>
          <w:tcPr>
            <w:tcW w:w="7489" w:type="dxa"/>
            <w:tcMar>
              <w:top w:w="0" w:type="dxa"/>
              <w:left w:w="108" w:type="dxa"/>
              <w:bottom w:w="0" w:type="dxa"/>
              <w:right w:w="108" w:type="dxa"/>
            </w:tcMar>
            <w:vAlign w:val="center"/>
          </w:tcPr>
          <w:p w14:paraId="092DC891" w14:textId="77777777" w:rsidR="00C455E5" w:rsidRPr="009C58C4" w:rsidRDefault="00C455E5" w:rsidP="00226369">
            <w:pPr>
              <w:keepNext/>
              <w:keepLines/>
              <w:jc w:val="both"/>
              <w:rPr>
                <w:bCs/>
                <w:sz w:val="22"/>
                <w:szCs w:val="22"/>
                <w:vertAlign w:val="superscript"/>
                <w:lang w:val="sr-Latn-ME"/>
              </w:rPr>
            </w:pPr>
            <w:r w:rsidRPr="009C58C4">
              <w:rPr>
                <w:bCs/>
                <w:sz w:val="22"/>
                <w:szCs w:val="22"/>
                <w:lang w:val="sr-Latn-ME"/>
              </w:rPr>
              <w:t>Zamagljeni vid, oštećenje vida, uveitis*</w:t>
            </w:r>
            <w:r w:rsidRPr="009C58C4">
              <w:rPr>
                <w:bCs/>
                <w:sz w:val="22"/>
                <w:szCs w:val="22"/>
                <w:vertAlign w:val="superscript"/>
                <w:lang w:val="sr-Latn-ME"/>
              </w:rPr>
              <w:t>4</w:t>
            </w:r>
          </w:p>
        </w:tc>
      </w:tr>
      <w:tr w:rsidR="00C455E5" w:rsidRPr="009C58C4" w14:paraId="17EB8FB1" w14:textId="77777777" w:rsidTr="00C87F6C">
        <w:trPr>
          <w:cantSplit/>
        </w:trPr>
        <w:tc>
          <w:tcPr>
            <w:tcW w:w="1833" w:type="dxa"/>
            <w:tcMar>
              <w:top w:w="0" w:type="dxa"/>
              <w:left w:w="108" w:type="dxa"/>
              <w:bottom w:w="0" w:type="dxa"/>
              <w:right w:w="108" w:type="dxa"/>
            </w:tcMar>
            <w:vAlign w:val="center"/>
          </w:tcPr>
          <w:p w14:paraId="4A971DF4" w14:textId="77777777" w:rsidR="00C455E5" w:rsidRPr="009C58C4" w:rsidRDefault="00C455E5" w:rsidP="00226369">
            <w:pPr>
              <w:jc w:val="both"/>
              <w:rPr>
                <w:sz w:val="22"/>
                <w:szCs w:val="22"/>
                <w:lang w:val="sr-Latn-ME"/>
              </w:rPr>
            </w:pPr>
            <w:r w:rsidRPr="009C58C4">
              <w:rPr>
                <w:sz w:val="22"/>
                <w:szCs w:val="22"/>
                <w:lang w:val="sr-Latn-ME"/>
              </w:rPr>
              <w:t>Povremeno</w:t>
            </w:r>
          </w:p>
        </w:tc>
        <w:tc>
          <w:tcPr>
            <w:tcW w:w="7489" w:type="dxa"/>
            <w:tcMar>
              <w:top w:w="0" w:type="dxa"/>
              <w:left w:w="108" w:type="dxa"/>
              <w:bottom w:w="0" w:type="dxa"/>
              <w:right w:w="108" w:type="dxa"/>
            </w:tcMar>
            <w:vAlign w:val="center"/>
          </w:tcPr>
          <w:p w14:paraId="22650132" w14:textId="77777777" w:rsidR="00C455E5" w:rsidRPr="009C58C4" w:rsidRDefault="00C455E5" w:rsidP="00226369">
            <w:pPr>
              <w:jc w:val="both"/>
              <w:rPr>
                <w:bCs/>
                <w:sz w:val="22"/>
                <w:szCs w:val="22"/>
                <w:lang w:val="sr-Latn-ME"/>
              </w:rPr>
            </w:pPr>
            <w:r w:rsidRPr="009C58C4">
              <w:rPr>
                <w:bCs/>
                <w:sz w:val="22"/>
                <w:szCs w:val="22"/>
                <w:lang w:val="sr-Latn-ME"/>
              </w:rPr>
              <w:t>Odvajanje retine, periorbitalni edem</w:t>
            </w:r>
          </w:p>
        </w:tc>
      </w:tr>
      <w:tr w:rsidR="00C455E5" w:rsidRPr="009C58C4" w14:paraId="2E4C6A1C" w14:textId="77777777" w:rsidTr="00C87F6C">
        <w:trPr>
          <w:cantSplit/>
        </w:trPr>
        <w:tc>
          <w:tcPr>
            <w:tcW w:w="9322" w:type="dxa"/>
            <w:gridSpan w:val="2"/>
            <w:tcMar>
              <w:top w:w="0" w:type="dxa"/>
              <w:left w:w="108" w:type="dxa"/>
              <w:bottom w:w="0" w:type="dxa"/>
              <w:right w:w="108" w:type="dxa"/>
            </w:tcMar>
            <w:vAlign w:val="center"/>
          </w:tcPr>
          <w:p w14:paraId="42F43971" w14:textId="77777777" w:rsidR="00C455E5" w:rsidRPr="009C58C4" w:rsidRDefault="00C455E5" w:rsidP="00226369">
            <w:pPr>
              <w:keepNext/>
              <w:keepLines/>
              <w:jc w:val="both"/>
              <w:rPr>
                <w:b/>
                <w:bCs/>
                <w:sz w:val="22"/>
                <w:szCs w:val="22"/>
                <w:lang w:val="sr-Latn-ME"/>
              </w:rPr>
            </w:pPr>
            <w:r w:rsidRPr="009C58C4">
              <w:rPr>
                <w:b/>
                <w:sz w:val="22"/>
                <w:szCs w:val="22"/>
                <w:lang w:val="sr-Latn-ME"/>
              </w:rPr>
              <w:t>Poremećaji srca</w:t>
            </w:r>
          </w:p>
        </w:tc>
      </w:tr>
      <w:tr w:rsidR="00C455E5" w:rsidRPr="009C58C4" w14:paraId="0C3F1B87" w14:textId="77777777" w:rsidTr="00C87F6C">
        <w:trPr>
          <w:cantSplit/>
        </w:trPr>
        <w:tc>
          <w:tcPr>
            <w:tcW w:w="1833" w:type="dxa"/>
            <w:tcMar>
              <w:top w:w="0" w:type="dxa"/>
              <w:left w:w="108" w:type="dxa"/>
              <w:bottom w:w="0" w:type="dxa"/>
              <w:right w:w="108" w:type="dxa"/>
            </w:tcMar>
            <w:vAlign w:val="center"/>
          </w:tcPr>
          <w:p w14:paraId="448F87A4" w14:textId="77777777" w:rsidR="00C455E5" w:rsidRPr="009C58C4" w:rsidRDefault="00C455E5" w:rsidP="00226369">
            <w:pPr>
              <w:jc w:val="both"/>
              <w:rPr>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515385C1" w14:textId="77777777" w:rsidR="00C455E5" w:rsidRPr="009C58C4" w:rsidRDefault="00C455E5" w:rsidP="00226369">
            <w:pPr>
              <w:jc w:val="both"/>
              <w:rPr>
                <w:bCs/>
                <w:sz w:val="22"/>
                <w:szCs w:val="22"/>
                <w:vertAlign w:val="superscript"/>
                <w:lang w:val="sr-Latn-ME"/>
              </w:rPr>
            </w:pPr>
            <w:r w:rsidRPr="009C58C4">
              <w:rPr>
                <w:sz w:val="22"/>
                <w:szCs w:val="22"/>
                <w:lang w:val="sr-Latn-ME"/>
              </w:rPr>
              <w:t>Smanjena ejekciona frakcija, bradikardija</w:t>
            </w:r>
            <w:r w:rsidRPr="009C58C4">
              <w:rPr>
                <w:bCs/>
                <w:sz w:val="22"/>
                <w:szCs w:val="22"/>
                <w:lang w:val="sr-Latn-ME"/>
              </w:rPr>
              <w:t>*</w:t>
            </w:r>
          </w:p>
        </w:tc>
      </w:tr>
      <w:tr w:rsidR="00C455E5" w:rsidRPr="009C58C4" w14:paraId="01A26AE3" w14:textId="77777777" w:rsidTr="00C87F6C">
        <w:trPr>
          <w:cantSplit/>
        </w:trPr>
        <w:tc>
          <w:tcPr>
            <w:tcW w:w="1833" w:type="dxa"/>
            <w:tcMar>
              <w:top w:w="0" w:type="dxa"/>
              <w:left w:w="108" w:type="dxa"/>
              <w:bottom w:w="0" w:type="dxa"/>
              <w:right w:w="108" w:type="dxa"/>
            </w:tcMar>
            <w:vAlign w:val="center"/>
          </w:tcPr>
          <w:p w14:paraId="6C0FB86C" w14:textId="77777777" w:rsidR="00C455E5" w:rsidRPr="009C58C4" w:rsidRDefault="00C455E5" w:rsidP="00226369">
            <w:pPr>
              <w:jc w:val="both"/>
              <w:rPr>
                <w:bCs/>
                <w:sz w:val="22"/>
                <w:szCs w:val="22"/>
                <w:lang w:val="sr-Latn-ME"/>
              </w:rPr>
            </w:pPr>
            <w:r w:rsidRPr="009C58C4">
              <w:rPr>
                <w:bCs/>
                <w:sz w:val="22"/>
                <w:szCs w:val="22"/>
                <w:lang w:val="sr-Latn-ME"/>
              </w:rPr>
              <w:t>Povremeno</w:t>
            </w:r>
          </w:p>
        </w:tc>
        <w:tc>
          <w:tcPr>
            <w:tcW w:w="7489" w:type="dxa"/>
            <w:tcMar>
              <w:top w:w="0" w:type="dxa"/>
              <w:left w:w="108" w:type="dxa"/>
              <w:bottom w:w="0" w:type="dxa"/>
              <w:right w:w="108" w:type="dxa"/>
            </w:tcMar>
            <w:vAlign w:val="center"/>
          </w:tcPr>
          <w:p w14:paraId="3222F1C9" w14:textId="77777777" w:rsidR="00C455E5" w:rsidRPr="009C58C4" w:rsidRDefault="00C455E5" w:rsidP="00226369">
            <w:pPr>
              <w:jc w:val="both"/>
              <w:rPr>
                <w:sz w:val="22"/>
                <w:szCs w:val="22"/>
                <w:lang w:val="sr-Latn-ME"/>
              </w:rPr>
            </w:pPr>
            <w:r w:rsidRPr="009C58C4">
              <w:rPr>
                <w:sz w:val="22"/>
                <w:szCs w:val="22"/>
                <w:lang w:val="sr-Latn-ME"/>
              </w:rPr>
              <w:t>Atrioventrikularni blok</w:t>
            </w:r>
            <w:r w:rsidRPr="009C58C4">
              <w:rPr>
                <w:sz w:val="22"/>
                <w:szCs w:val="22"/>
                <w:vertAlign w:val="superscript"/>
                <w:lang w:val="sr-Latn-ME"/>
              </w:rPr>
              <w:t>5</w:t>
            </w:r>
          </w:p>
        </w:tc>
      </w:tr>
      <w:tr w:rsidR="00C455E5" w:rsidRPr="009C58C4" w14:paraId="336229F9" w14:textId="77777777" w:rsidTr="00C87F6C">
        <w:trPr>
          <w:cantSplit/>
        </w:trPr>
        <w:tc>
          <w:tcPr>
            <w:tcW w:w="9322" w:type="dxa"/>
            <w:gridSpan w:val="2"/>
            <w:tcMar>
              <w:top w:w="0" w:type="dxa"/>
              <w:left w:w="108" w:type="dxa"/>
              <w:bottom w:w="0" w:type="dxa"/>
              <w:right w:w="108" w:type="dxa"/>
            </w:tcMar>
          </w:tcPr>
          <w:p w14:paraId="4EEB4927" w14:textId="77777777" w:rsidR="00C455E5" w:rsidRPr="009C58C4" w:rsidRDefault="00C455E5" w:rsidP="00226369">
            <w:pPr>
              <w:keepNext/>
              <w:keepLines/>
              <w:jc w:val="both"/>
              <w:rPr>
                <w:bCs/>
                <w:sz w:val="22"/>
                <w:szCs w:val="22"/>
                <w:lang w:val="sr-Latn-ME"/>
              </w:rPr>
            </w:pPr>
            <w:r w:rsidRPr="009C58C4">
              <w:rPr>
                <w:b/>
                <w:sz w:val="22"/>
                <w:szCs w:val="22"/>
                <w:lang w:val="sr-Latn-ME"/>
              </w:rPr>
              <w:t>Vaskularni poremećaji</w:t>
            </w:r>
          </w:p>
        </w:tc>
      </w:tr>
      <w:tr w:rsidR="00C455E5" w:rsidRPr="009C58C4" w14:paraId="2AEEA4A2" w14:textId="77777777" w:rsidTr="00C87F6C">
        <w:trPr>
          <w:cantSplit/>
        </w:trPr>
        <w:tc>
          <w:tcPr>
            <w:tcW w:w="1833" w:type="dxa"/>
            <w:tcMar>
              <w:top w:w="0" w:type="dxa"/>
              <w:left w:w="108" w:type="dxa"/>
              <w:bottom w:w="0" w:type="dxa"/>
              <w:right w:w="108" w:type="dxa"/>
            </w:tcMar>
          </w:tcPr>
          <w:p w14:paraId="57F0FB5D" w14:textId="77777777" w:rsidR="00C455E5" w:rsidRPr="009C58C4" w:rsidRDefault="00C455E5" w:rsidP="00226369">
            <w:pPr>
              <w:keepNext/>
              <w:keepLines/>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52E80AAE" w14:textId="77777777" w:rsidR="00C455E5" w:rsidRPr="009C58C4" w:rsidRDefault="00C455E5" w:rsidP="00226369">
            <w:pPr>
              <w:keepNext/>
              <w:keepLines/>
              <w:jc w:val="both"/>
              <w:rPr>
                <w:sz w:val="22"/>
                <w:szCs w:val="22"/>
                <w:lang w:val="sr-Latn-ME"/>
              </w:rPr>
            </w:pPr>
            <w:r w:rsidRPr="009C58C4">
              <w:rPr>
                <w:bCs/>
                <w:sz w:val="22"/>
                <w:szCs w:val="22"/>
                <w:lang w:val="sr-Latn-ME"/>
              </w:rPr>
              <w:t>Krvarenje*</w:t>
            </w:r>
            <w:r w:rsidRPr="009C58C4">
              <w:rPr>
                <w:bCs/>
                <w:sz w:val="22"/>
                <w:szCs w:val="22"/>
                <w:vertAlign w:val="superscript"/>
                <w:lang w:val="sr-Latn-ME"/>
              </w:rPr>
              <w:t>6</w:t>
            </w:r>
          </w:p>
        </w:tc>
      </w:tr>
      <w:tr w:rsidR="00C455E5" w:rsidRPr="009C58C4" w14:paraId="46296940" w14:textId="77777777" w:rsidTr="00C87F6C">
        <w:trPr>
          <w:cantSplit/>
        </w:trPr>
        <w:tc>
          <w:tcPr>
            <w:tcW w:w="1833" w:type="dxa"/>
            <w:tcMar>
              <w:top w:w="0" w:type="dxa"/>
              <w:left w:w="108" w:type="dxa"/>
              <w:bottom w:w="0" w:type="dxa"/>
              <w:right w:w="108" w:type="dxa"/>
            </w:tcMar>
          </w:tcPr>
          <w:p w14:paraId="202E9227" w14:textId="77777777" w:rsidR="00C455E5" w:rsidRPr="009C58C4" w:rsidRDefault="00C455E5" w:rsidP="00226369">
            <w:pPr>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35A99798" w14:textId="77777777" w:rsidR="00C455E5" w:rsidRPr="009C58C4" w:rsidRDefault="00C455E5" w:rsidP="00226369">
            <w:pPr>
              <w:jc w:val="both"/>
              <w:rPr>
                <w:sz w:val="22"/>
                <w:szCs w:val="22"/>
                <w:lang w:val="sr-Latn-ME"/>
              </w:rPr>
            </w:pPr>
            <w:r w:rsidRPr="009C58C4">
              <w:rPr>
                <w:bCs/>
                <w:sz w:val="22"/>
                <w:szCs w:val="22"/>
                <w:lang w:val="sr-Latn-ME"/>
              </w:rPr>
              <w:t>Hipertenzija, hipotenzija</w:t>
            </w:r>
          </w:p>
        </w:tc>
      </w:tr>
      <w:tr w:rsidR="00C455E5" w:rsidRPr="009C58C4" w14:paraId="48253518" w14:textId="77777777" w:rsidTr="00C87F6C">
        <w:trPr>
          <w:cantSplit/>
        </w:trPr>
        <w:tc>
          <w:tcPr>
            <w:tcW w:w="9322" w:type="dxa"/>
            <w:gridSpan w:val="2"/>
            <w:tcMar>
              <w:top w:w="0" w:type="dxa"/>
              <w:left w:w="108" w:type="dxa"/>
              <w:bottom w:w="0" w:type="dxa"/>
              <w:right w:w="108" w:type="dxa"/>
            </w:tcMar>
          </w:tcPr>
          <w:p w14:paraId="3DB79D95" w14:textId="77777777" w:rsidR="00C455E5" w:rsidRPr="009C58C4" w:rsidRDefault="00C455E5" w:rsidP="00226369">
            <w:pPr>
              <w:keepNext/>
              <w:keepLines/>
              <w:jc w:val="both"/>
              <w:rPr>
                <w:sz w:val="22"/>
                <w:szCs w:val="22"/>
                <w:lang w:val="sr-Latn-ME"/>
              </w:rPr>
            </w:pPr>
            <w:r w:rsidRPr="009C58C4">
              <w:rPr>
                <w:b/>
                <w:sz w:val="22"/>
                <w:szCs w:val="22"/>
                <w:lang w:val="sr-Latn-ME"/>
              </w:rPr>
              <w:t>Respiratorni, torakalni i medijastinalni poremećaji</w:t>
            </w:r>
          </w:p>
        </w:tc>
      </w:tr>
      <w:tr w:rsidR="00C455E5" w:rsidRPr="009C58C4" w14:paraId="6DCD395F" w14:textId="77777777" w:rsidTr="00C87F6C">
        <w:trPr>
          <w:cantSplit/>
        </w:trPr>
        <w:tc>
          <w:tcPr>
            <w:tcW w:w="1833" w:type="dxa"/>
            <w:tcMar>
              <w:top w:w="0" w:type="dxa"/>
              <w:left w:w="108" w:type="dxa"/>
              <w:bottom w:w="0" w:type="dxa"/>
              <w:right w:w="108" w:type="dxa"/>
            </w:tcMar>
          </w:tcPr>
          <w:p w14:paraId="5672BCFF" w14:textId="77777777" w:rsidR="00C455E5" w:rsidRPr="009C58C4" w:rsidRDefault="00C455E5" w:rsidP="00226369">
            <w:pPr>
              <w:keepNext/>
              <w:keepLines/>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0AC97654" w14:textId="77777777" w:rsidR="00C455E5" w:rsidRPr="009C58C4" w:rsidRDefault="00C455E5" w:rsidP="00226369">
            <w:pPr>
              <w:keepNext/>
              <w:keepLines/>
              <w:jc w:val="both"/>
              <w:rPr>
                <w:sz w:val="22"/>
                <w:szCs w:val="22"/>
                <w:vertAlign w:val="superscript"/>
                <w:lang w:val="sr-Latn-ME"/>
              </w:rPr>
            </w:pPr>
            <w:r w:rsidRPr="009C58C4">
              <w:rPr>
                <w:bCs/>
                <w:sz w:val="22"/>
                <w:szCs w:val="22"/>
                <w:lang w:val="sr-Latn-ME"/>
              </w:rPr>
              <w:t>Kašalj*</w:t>
            </w:r>
          </w:p>
        </w:tc>
      </w:tr>
      <w:tr w:rsidR="00C455E5" w:rsidRPr="009C58C4" w14:paraId="1DF5E26C" w14:textId="77777777" w:rsidTr="00C87F6C">
        <w:trPr>
          <w:cantSplit/>
        </w:trPr>
        <w:tc>
          <w:tcPr>
            <w:tcW w:w="1833" w:type="dxa"/>
            <w:tcMar>
              <w:top w:w="0" w:type="dxa"/>
              <w:left w:w="108" w:type="dxa"/>
              <w:bottom w:w="0" w:type="dxa"/>
              <w:right w:w="108" w:type="dxa"/>
            </w:tcMar>
            <w:vAlign w:val="center"/>
          </w:tcPr>
          <w:p w14:paraId="751EEEF0" w14:textId="77777777" w:rsidR="00C455E5" w:rsidRPr="009C58C4" w:rsidRDefault="00C455E5" w:rsidP="00226369">
            <w:pPr>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3EC17016" w14:textId="77777777" w:rsidR="00C455E5" w:rsidRPr="009C58C4" w:rsidRDefault="00C455E5" w:rsidP="00226369">
            <w:pPr>
              <w:jc w:val="both"/>
              <w:rPr>
                <w:sz w:val="22"/>
                <w:szCs w:val="22"/>
                <w:lang w:val="sr-Latn-ME"/>
              </w:rPr>
            </w:pPr>
            <w:r w:rsidRPr="009C58C4">
              <w:rPr>
                <w:bCs/>
                <w:sz w:val="22"/>
                <w:szCs w:val="22"/>
                <w:lang w:val="sr-Latn-ME"/>
              </w:rPr>
              <w:t>Dispnea</w:t>
            </w:r>
          </w:p>
        </w:tc>
      </w:tr>
      <w:tr w:rsidR="00C455E5" w:rsidRPr="009C58C4" w14:paraId="6BD82FBE" w14:textId="77777777" w:rsidTr="00C87F6C">
        <w:trPr>
          <w:cantSplit/>
        </w:trPr>
        <w:tc>
          <w:tcPr>
            <w:tcW w:w="9322" w:type="dxa"/>
            <w:gridSpan w:val="2"/>
            <w:tcMar>
              <w:top w:w="0" w:type="dxa"/>
              <w:left w:w="108" w:type="dxa"/>
              <w:bottom w:w="0" w:type="dxa"/>
              <w:right w:w="108" w:type="dxa"/>
            </w:tcMar>
          </w:tcPr>
          <w:p w14:paraId="7CFC0852" w14:textId="77777777" w:rsidR="00C455E5" w:rsidRPr="009C58C4" w:rsidRDefault="00C455E5" w:rsidP="00226369">
            <w:pPr>
              <w:keepNext/>
              <w:keepLines/>
              <w:jc w:val="both"/>
              <w:rPr>
                <w:bCs/>
                <w:sz w:val="22"/>
                <w:szCs w:val="22"/>
                <w:lang w:val="sr-Latn-ME"/>
              </w:rPr>
            </w:pPr>
            <w:r w:rsidRPr="009C58C4">
              <w:rPr>
                <w:b/>
                <w:sz w:val="22"/>
                <w:szCs w:val="22"/>
                <w:lang w:val="sr-Latn-ME"/>
              </w:rPr>
              <w:t>Gastrointestinalni poremećaji</w:t>
            </w:r>
          </w:p>
        </w:tc>
      </w:tr>
      <w:tr w:rsidR="00C455E5" w:rsidRPr="009C58C4" w14:paraId="0026893E" w14:textId="77777777" w:rsidTr="00C87F6C">
        <w:trPr>
          <w:cantSplit/>
        </w:trPr>
        <w:tc>
          <w:tcPr>
            <w:tcW w:w="1833" w:type="dxa"/>
            <w:tcMar>
              <w:top w:w="0" w:type="dxa"/>
              <w:left w:w="108" w:type="dxa"/>
              <w:bottom w:w="0" w:type="dxa"/>
              <w:right w:w="108" w:type="dxa"/>
            </w:tcMar>
          </w:tcPr>
          <w:p w14:paraId="5FAC72E6" w14:textId="77777777" w:rsidR="00C455E5" w:rsidRPr="009C58C4" w:rsidRDefault="00C455E5" w:rsidP="00226369">
            <w:pPr>
              <w:keepNext/>
              <w:keepLines/>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75C0CA87" w14:textId="77777777" w:rsidR="00C455E5" w:rsidRPr="009C58C4" w:rsidRDefault="00C455E5" w:rsidP="00226369">
            <w:pPr>
              <w:keepNext/>
              <w:keepLines/>
              <w:jc w:val="both"/>
              <w:rPr>
                <w:sz w:val="22"/>
                <w:szCs w:val="22"/>
                <w:lang w:val="sr-Latn-ME"/>
              </w:rPr>
            </w:pPr>
            <w:r w:rsidRPr="009C58C4">
              <w:rPr>
                <w:bCs/>
                <w:sz w:val="22"/>
                <w:szCs w:val="22"/>
                <w:lang w:val="sr-Latn-ME"/>
              </w:rPr>
              <w:t>Bol u abdomenu*, konstipacija, proliv, mučnina, povraćanje</w:t>
            </w:r>
          </w:p>
        </w:tc>
      </w:tr>
      <w:tr w:rsidR="00C455E5" w:rsidRPr="009C58C4" w14:paraId="201CEE15" w14:textId="77777777" w:rsidTr="00C87F6C">
        <w:trPr>
          <w:cantSplit/>
        </w:trPr>
        <w:tc>
          <w:tcPr>
            <w:tcW w:w="1833" w:type="dxa"/>
            <w:tcMar>
              <w:top w:w="0" w:type="dxa"/>
              <w:left w:w="108" w:type="dxa"/>
              <w:bottom w:w="0" w:type="dxa"/>
              <w:right w:w="108" w:type="dxa"/>
            </w:tcMar>
          </w:tcPr>
          <w:p w14:paraId="616BCE16" w14:textId="77777777" w:rsidR="00C455E5" w:rsidRPr="009C58C4" w:rsidRDefault="00C455E5" w:rsidP="00226369">
            <w:pPr>
              <w:keepNext/>
              <w:keepLines/>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7FCE1588" w14:textId="77777777" w:rsidR="00C455E5" w:rsidRPr="009C58C4" w:rsidRDefault="00C455E5" w:rsidP="00226369">
            <w:pPr>
              <w:keepNext/>
              <w:keepLines/>
              <w:jc w:val="both"/>
              <w:rPr>
                <w:sz w:val="22"/>
                <w:szCs w:val="22"/>
                <w:lang w:val="sr-Latn-ME"/>
              </w:rPr>
            </w:pPr>
            <w:r w:rsidRPr="009C58C4">
              <w:rPr>
                <w:bCs/>
                <w:sz w:val="22"/>
                <w:szCs w:val="22"/>
                <w:lang w:val="sr-Latn-ME"/>
              </w:rPr>
              <w:t>Pankreatitis, stomatitis</w:t>
            </w:r>
          </w:p>
        </w:tc>
      </w:tr>
      <w:tr w:rsidR="00C455E5" w:rsidRPr="009C58C4" w14:paraId="7DF4BAFA" w14:textId="77777777" w:rsidTr="00C87F6C">
        <w:trPr>
          <w:cantSplit/>
        </w:trPr>
        <w:tc>
          <w:tcPr>
            <w:tcW w:w="1833" w:type="dxa"/>
            <w:tcMar>
              <w:top w:w="0" w:type="dxa"/>
              <w:left w:w="108" w:type="dxa"/>
              <w:bottom w:w="0" w:type="dxa"/>
              <w:right w:w="108" w:type="dxa"/>
            </w:tcMar>
          </w:tcPr>
          <w:p w14:paraId="10E64FDB" w14:textId="77777777" w:rsidR="00C455E5" w:rsidRPr="009C58C4" w:rsidRDefault="00C455E5" w:rsidP="00226369">
            <w:pPr>
              <w:jc w:val="both"/>
              <w:rPr>
                <w:bCs/>
                <w:sz w:val="22"/>
                <w:szCs w:val="22"/>
                <w:lang w:val="sr-Latn-ME"/>
              </w:rPr>
            </w:pPr>
            <w:r w:rsidRPr="009C58C4">
              <w:rPr>
                <w:bCs/>
                <w:sz w:val="22"/>
                <w:szCs w:val="22"/>
                <w:lang w:val="sr-Latn-ME"/>
              </w:rPr>
              <w:t>Povremeno</w:t>
            </w:r>
          </w:p>
        </w:tc>
        <w:tc>
          <w:tcPr>
            <w:tcW w:w="7489" w:type="dxa"/>
            <w:tcMar>
              <w:top w:w="0" w:type="dxa"/>
              <w:left w:w="108" w:type="dxa"/>
              <w:bottom w:w="0" w:type="dxa"/>
              <w:right w:w="108" w:type="dxa"/>
            </w:tcMar>
            <w:vAlign w:val="center"/>
          </w:tcPr>
          <w:p w14:paraId="6E924F2F" w14:textId="77777777" w:rsidR="00C455E5" w:rsidRPr="009C58C4" w:rsidRDefault="00C455E5" w:rsidP="00226369">
            <w:pPr>
              <w:jc w:val="both"/>
              <w:rPr>
                <w:sz w:val="22"/>
                <w:szCs w:val="22"/>
                <w:vertAlign w:val="superscript"/>
                <w:lang w:val="sr-Latn-ME"/>
              </w:rPr>
            </w:pPr>
            <w:r w:rsidRPr="009C58C4">
              <w:rPr>
                <w:sz w:val="22"/>
                <w:szCs w:val="22"/>
                <w:lang w:val="sr-Latn-ME"/>
              </w:rPr>
              <w:t>Kolitis</w:t>
            </w:r>
            <w:r w:rsidRPr="009C58C4">
              <w:rPr>
                <w:bCs/>
                <w:sz w:val="22"/>
                <w:szCs w:val="22"/>
                <w:lang w:val="sr-Latn-ME"/>
              </w:rPr>
              <w:t>*</w:t>
            </w:r>
          </w:p>
        </w:tc>
      </w:tr>
      <w:tr w:rsidR="00C455E5" w:rsidRPr="009C58C4" w14:paraId="515A0A60" w14:textId="77777777" w:rsidTr="00C87F6C">
        <w:trPr>
          <w:cantSplit/>
        </w:trPr>
        <w:tc>
          <w:tcPr>
            <w:tcW w:w="9322" w:type="dxa"/>
            <w:gridSpan w:val="2"/>
            <w:tcMar>
              <w:top w:w="0" w:type="dxa"/>
              <w:left w:w="108" w:type="dxa"/>
              <w:bottom w:w="0" w:type="dxa"/>
              <w:right w:w="108" w:type="dxa"/>
            </w:tcMar>
          </w:tcPr>
          <w:p w14:paraId="30B6013B" w14:textId="77777777" w:rsidR="00C455E5" w:rsidRPr="009C58C4" w:rsidRDefault="00C455E5" w:rsidP="00226369">
            <w:pPr>
              <w:keepNext/>
              <w:keepLines/>
              <w:jc w:val="both"/>
              <w:rPr>
                <w:bCs/>
                <w:sz w:val="22"/>
                <w:szCs w:val="22"/>
                <w:lang w:val="sr-Latn-ME"/>
              </w:rPr>
            </w:pPr>
            <w:r w:rsidRPr="009C58C4">
              <w:rPr>
                <w:b/>
                <w:bCs/>
                <w:sz w:val="22"/>
                <w:szCs w:val="22"/>
                <w:lang w:val="sr-Latn-ME"/>
              </w:rPr>
              <w:t>Poremećaji kože i potkožnog tkiva</w:t>
            </w:r>
          </w:p>
        </w:tc>
      </w:tr>
      <w:tr w:rsidR="00C455E5" w:rsidRPr="009C58C4" w14:paraId="2847E86D" w14:textId="77777777" w:rsidTr="00C87F6C">
        <w:trPr>
          <w:cantSplit/>
        </w:trPr>
        <w:tc>
          <w:tcPr>
            <w:tcW w:w="1833" w:type="dxa"/>
            <w:tcMar>
              <w:top w:w="0" w:type="dxa"/>
              <w:left w:w="108" w:type="dxa"/>
              <w:bottom w:w="0" w:type="dxa"/>
              <w:right w:w="108" w:type="dxa"/>
            </w:tcMar>
          </w:tcPr>
          <w:p w14:paraId="064CEBD5" w14:textId="77777777" w:rsidR="00C455E5" w:rsidRPr="009C58C4" w:rsidRDefault="00C455E5" w:rsidP="00226369">
            <w:pPr>
              <w:keepNext/>
              <w:keepLines/>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4FFFED85" w14:textId="77777777" w:rsidR="00C455E5" w:rsidRPr="009C58C4" w:rsidRDefault="00C455E5" w:rsidP="00226369">
            <w:pPr>
              <w:keepNext/>
              <w:keepLines/>
              <w:jc w:val="both"/>
              <w:rPr>
                <w:sz w:val="22"/>
                <w:szCs w:val="22"/>
                <w:lang w:val="sr-Latn-ME"/>
              </w:rPr>
            </w:pPr>
            <w:r w:rsidRPr="009C58C4">
              <w:rPr>
                <w:bCs/>
                <w:sz w:val="22"/>
                <w:szCs w:val="22"/>
                <w:lang w:val="sr-Latn-ME"/>
              </w:rPr>
              <w:t>Akneiformni dermatitis*</w:t>
            </w:r>
            <w:r w:rsidRPr="009C58C4">
              <w:rPr>
                <w:bCs/>
                <w:sz w:val="22"/>
                <w:szCs w:val="22"/>
                <w:vertAlign w:val="superscript"/>
                <w:lang w:val="sr-Latn-ME"/>
              </w:rPr>
              <w:t>7</w:t>
            </w:r>
            <w:r w:rsidRPr="009C58C4">
              <w:rPr>
                <w:bCs/>
                <w:sz w:val="22"/>
                <w:szCs w:val="22"/>
                <w:lang w:val="sr-Latn-ME"/>
              </w:rPr>
              <w:t>, suva koža*</w:t>
            </w:r>
            <w:r w:rsidRPr="009C58C4">
              <w:rPr>
                <w:bCs/>
                <w:sz w:val="22"/>
                <w:szCs w:val="22"/>
                <w:vertAlign w:val="superscript"/>
                <w:lang w:val="sr-Latn-ME"/>
              </w:rPr>
              <w:t>8</w:t>
            </w:r>
            <w:r w:rsidRPr="009C58C4">
              <w:rPr>
                <w:bCs/>
                <w:sz w:val="22"/>
                <w:szCs w:val="22"/>
                <w:lang w:val="sr-Latn-ME"/>
              </w:rPr>
              <w:t>, pruritus, osip*</w:t>
            </w:r>
            <w:r w:rsidRPr="009C58C4">
              <w:rPr>
                <w:bCs/>
                <w:sz w:val="22"/>
                <w:szCs w:val="22"/>
                <w:vertAlign w:val="superscript"/>
                <w:lang w:val="sr-Latn-ME"/>
              </w:rPr>
              <w:t>9</w:t>
            </w:r>
            <w:r w:rsidRPr="009C58C4">
              <w:rPr>
                <w:bCs/>
                <w:sz w:val="22"/>
                <w:szCs w:val="22"/>
                <w:lang w:val="sr-Latn-ME"/>
              </w:rPr>
              <w:t>, eritem</w:t>
            </w:r>
          </w:p>
        </w:tc>
      </w:tr>
      <w:tr w:rsidR="00C455E5" w:rsidRPr="009C58C4" w14:paraId="7B5E450C" w14:textId="77777777" w:rsidTr="00C87F6C">
        <w:trPr>
          <w:cantSplit/>
        </w:trPr>
        <w:tc>
          <w:tcPr>
            <w:tcW w:w="1833" w:type="dxa"/>
            <w:tcMar>
              <w:top w:w="0" w:type="dxa"/>
              <w:left w:w="108" w:type="dxa"/>
              <w:bottom w:w="0" w:type="dxa"/>
              <w:right w:w="108" w:type="dxa"/>
            </w:tcMar>
          </w:tcPr>
          <w:p w14:paraId="69AC60A8" w14:textId="77777777" w:rsidR="00C455E5" w:rsidRPr="009C58C4" w:rsidRDefault="00C455E5" w:rsidP="00226369">
            <w:pPr>
              <w:keepNext/>
              <w:keepLines/>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1504FCAD" w14:textId="77777777" w:rsidR="00C455E5" w:rsidRPr="009C58C4" w:rsidRDefault="00C455E5" w:rsidP="00226369">
            <w:pPr>
              <w:keepNext/>
              <w:keepLines/>
              <w:jc w:val="both"/>
              <w:rPr>
                <w:sz w:val="22"/>
                <w:szCs w:val="22"/>
                <w:lang w:val="sr-Latn-ME"/>
              </w:rPr>
            </w:pPr>
            <w:r w:rsidRPr="009C58C4">
              <w:rPr>
                <w:sz w:val="22"/>
                <w:szCs w:val="22"/>
                <w:lang w:val="sr-Latn-ME"/>
              </w:rPr>
              <w:t>Generalizovani eksfolijativni dermatitis*</w:t>
            </w:r>
            <w:r w:rsidRPr="009C58C4">
              <w:rPr>
                <w:sz w:val="22"/>
                <w:szCs w:val="22"/>
                <w:vertAlign w:val="superscript"/>
                <w:lang w:val="sr-Latn-ME"/>
              </w:rPr>
              <w:t>10</w:t>
            </w:r>
            <w:r w:rsidRPr="009C58C4">
              <w:rPr>
                <w:sz w:val="22"/>
                <w:szCs w:val="22"/>
                <w:lang w:val="sr-Latn-ME"/>
              </w:rPr>
              <w:t>, alopecija, sindrom palmarno-plantarne eritrodizestezije, folikulitis, kožna lezija, panikulitis, hiperkeratoza, fotosenzibilnost*</w:t>
            </w:r>
            <w:r w:rsidRPr="009C58C4">
              <w:rPr>
                <w:sz w:val="22"/>
                <w:szCs w:val="22"/>
                <w:vertAlign w:val="superscript"/>
                <w:lang w:val="sr-Latn-ME"/>
              </w:rPr>
              <w:t>11</w:t>
            </w:r>
          </w:p>
        </w:tc>
      </w:tr>
      <w:tr w:rsidR="00C455E5" w:rsidRPr="009C58C4" w14:paraId="7E6D5421" w14:textId="77777777" w:rsidTr="00C87F6C">
        <w:trPr>
          <w:cantSplit/>
        </w:trPr>
        <w:tc>
          <w:tcPr>
            <w:tcW w:w="1833" w:type="dxa"/>
            <w:tcMar>
              <w:top w:w="0" w:type="dxa"/>
              <w:left w:w="108" w:type="dxa"/>
              <w:bottom w:w="0" w:type="dxa"/>
              <w:right w:w="108" w:type="dxa"/>
            </w:tcMar>
          </w:tcPr>
          <w:p w14:paraId="6A8BD325" w14:textId="77777777" w:rsidR="00C455E5" w:rsidRPr="009C58C4" w:rsidRDefault="00C455E5" w:rsidP="00226369">
            <w:pPr>
              <w:jc w:val="both"/>
              <w:rPr>
                <w:bCs/>
                <w:sz w:val="22"/>
                <w:szCs w:val="22"/>
                <w:lang w:val="sr-Latn-ME"/>
              </w:rPr>
            </w:pPr>
            <w:r w:rsidRPr="009C58C4">
              <w:rPr>
                <w:bCs/>
                <w:sz w:val="22"/>
                <w:szCs w:val="22"/>
                <w:lang w:val="sr-Latn-ME"/>
              </w:rPr>
              <w:t>Povremeno</w:t>
            </w:r>
          </w:p>
        </w:tc>
        <w:tc>
          <w:tcPr>
            <w:tcW w:w="7489" w:type="dxa"/>
            <w:tcMar>
              <w:top w:w="0" w:type="dxa"/>
              <w:left w:w="108" w:type="dxa"/>
              <w:bottom w:w="0" w:type="dxa"/>
              <w:right w:w="108" w:type="dxa"/>
            </w:tcMar>
            <w:vAlign w:val="center"/>
          </w:tcPr>
          <w:p w14:paraId="113020F7" w14:textId="77777777" w:rsidR="00C455E5" w:rsidRPr="009C58C4" w:rsidRDefault="00C455E5" w:rsidP="00226369">
            <w:pPr>
              <w:jc w:val="both"/>
              <w:rPr>
                <w:bCs/>
                <w:sz w:val="22"/>
                <w:szCs w:val="22"/>
                <w:lang w:val="sr-Latn-ME"/>
              </w:rPr>
            </w:pPr>
            <w:r w:rsidRPr="009C58C4">
              <w:rPr>
                <w:bCs/>
                <w:sz w:val="22"/>
                <w:szCs w:val="22"/>
                <w:lang w:val="sr-Latn-ME"/>
              </w:rPr>
              <w:t>Akutna febrilna neutrofilna dermatoza, kožne fisure, noćno znojenje, hiperhidroza</w:t>
            </w:r>
          </w:p>
        </w:tc>
      </w:tr>
      <w:tr w:rsidR="00C455E5" w:rsidRPr="009C58C4" w14:paraId="4354310C" w14:textId="77777777" w:rsidTr="00C87F6C">
        <w:trPr>
          <w:cantSplit/>
        </w:trPr>
        <w:tc>
          <w:tcPr>
            <w:tcW w:w="9322" w:type="dxa"/>
            <w:gridSpan w:val="2"/>
            <w:tcMar>
              <w:top w:w="0" w:type="dxa"/>
              <w:left w:w="108" w:type="dxa"/>
              <w:bottom w:w="0" w:type="dxa"/>
              <w:right w:w="108" w:type="dxa"/>
            </w:tcMar>
          </w:tcPr>
          <w:p w14:paraId="4341833A" w14:textId="77777777" w:rsidR="00C455E5" w:rsidRPr="009C58C4" w:rsidRDefault="00C455E5" w:rsidP="00226369">
            <w:pPr>
              <w:keepNext/>
              <w:keepLines/>
              <w:jc w:val="both"/>
              <w:rPr>
                <w:sz w:val="22"/>
                <w:szCs w:val="22"/>
                <w:lang w:val="sr-Latn-ME"/>
              </w:rPr>
            </w:pPr>
            <w:r w:rsidRPr="009C58C4">
              <w:rPr>
                <w:b/>
                <w:bCs/>
                <w:sz w:val="22"/>
                <w:szCs w:val="22"/>
                <w:lang w:val="sr-Latn-ME"/>
              </w:rPr>
              <w:t>Poremećaji mišićno-koštanog sistema i vezivnog tkiva</w:t>
            </w:r>
          </w:p>
        </w:tc>
      </w:tr>
      <w:tr w:rsidR="00C455E5" w:rsidRPr="009C58C4" w14:paraId="5A92361C" w14:textId="77777777" w:rsidTr="00C87F6C">
        <w:trPr>
          <w:cantSplit/>
        </w:trPr>
        <w:tc>
          <w:tcPr>
            <w:tcW w:w="1833" w:type="dxa"/>
            <w:tcMar>
              <w:top w:w="0" w:type="dxa"/>
              <w:left w:w="108" w:type="dxa"/>
              <w:bottom w:w="0" w:type="dxa"/>
              <w:right w:w="108" w:type="dxa"/>
            </w:tcMar>
          </w:tcPr>
          <w:p w14:paraId="0FEA5F32" w14:textId="77777777" w:rsidR="00C455E5" w:rsidRPr="009C58C4" w:rsidRDefault="00C455E5" w:rsidP="00226369">
            <w:pPr>
              <w:keepNext/>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2D52BFBB" w14:textId="77777777" w:rsidR="00C455E5" w:rsidRPr="009C58C4" w:rsidRDefault="00C455E5" w:rsidP="00226369">
            <w:pPr>
              <w:keepNext/>
              <w:jc w:val="both"/>
              <w:rPr>
                <w:sz w:val="22"/>
                <w:szCs w:val="22"/>
                <w:lang w:val="sr-Latn-ME"/>
              </w:rPr>
            </w:pPr>
            <w:r w:rsidRPr="009C58C4">
              <w:rPr>
                <w:bCs/>
                <w:sz w:val="22"/>
                <w:szCs w:val="22"/>
                <w:lang w:val="sr-Latn-ME"/>
              </w:rPr>
              <w:t>Artralgija, bol u ekstremitetu</w:t>
            </w:r>
          </w:p>
        </w:tc>
      </w:tr>
      <w:tr w:rsidR="00C455E5" w:rsidRPr="009C58C4" w14:paraId="03044734" w14:textId="77777777" w:rsidTr="00C87F6C">
        <w:trPr>
          <w:cantSplit/>
        </w:trPr>
        <w:tc>
          <w:tcPr>
            <w:tcW w:w="1833" w:type="dxa"/>
            <w:tcMar>
              <w:top w:w="0" w:type="dxa"/>
              <w:left w:w="108" w:type="dxa"/>
              <w:bottom w:w="0" w:type="dxa"/>
              <w:right w:w="108" w:type="dxa"/>
            </w:tcMar>
          </w:tcPr>
          <w:p w14:paraId="3632AD75" w14:textId="77777777" w:rsidR="00C455E5" w:rsidRPr="009C58C4" w:rsidRDefault="00C455E5" w:rsidP="00226369">
            <w:pPr>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513540D0" w14:textId="77777777" w:rsidR="00C455E5" w:rsidRPr="009C58C4" w:rsidRDefault="00C455E5" w:rsidP="00226369">
            <w:pPr>
              <w:jc w:val="both"/>
              <w:rPr>
                <w:bCs/>
                <w:sz w:val="22"/>
                <w:szCs w:val="22"/>
                <w:lang w:val="sr-Latn-ME"/>
              </w:rPr>
            </w:pPr>
            <w:r w:rsidRPr="009C58C4">
              <w:rPr>
                <w:bCs/>
                <w:sz w:val="22"/>
                <w:szCs w:val="22"/>
                <w:lang w:val="sr-Latn-ME"/>
              </w:rPr>
              <w:t>Mijalgija*, spazam mišića*</w:t>
            </w:r>
            <w:r w:rsidRPr="009C58C4">
              <w:rPr>
                <w:bCs/>
                <w:sz w:val="22"/>
                <w:szCs w:val="22"/>
                <w:vertAlign w:val="superscript"/>
                <w:lang w:val="sr-Latn-ME"/>
              </w:rPr>
              <w:t>12</w:t>
            </w:r>
          </w:p>
        </w:tc>
      </w:tr>
      <w:tr w:rsidR="00C455E5" w:rsidRPr="009C58C4" w14:paraId="7CDF031F" w14:textId="77777777" w:rsidTr="00C87F6C">
        <w:trPr>
          <w:cantSplit/>
        </w:trPr>
        <w:tc>
          <w:tcPr>
            <w:tcW w:w="9322" w:type="dxa"/>
            <w:gridSpan w:val="2"/>
            <w:tcMar>
              <w:top w:w="0" w:type="dxa"/>
              <w:left w:w="108" w:type="dxa"/>
              <w:bottom w:w="0" w:type="dxa"/>
              <w:right w:w="108" w:type="dxa"/>
            </w:tcMar>
          </w:tcPr>
          <w:p w14:paraId="562C4EFC" w14:textId="4C21936F" w:rsidR="00C455E5" w:rsidRPr="009C58C4" w:rsidRDefault="00C455E5" w:rsidP="00226369">
            <w:pPr>
              <w:keepNext/>
              <w:keepLines/>
              <w:jc w:val="both"/>
              <w:rPr>
                <w:bCs/>
                <w:sz w:val="22"/>
                <w:szCs w:val="22"/>
                <w:lang w:val="sr-Latn-ME"/>
              </w:rPr>
            </w:pPr>
            <w:r w:rsidRPr="009C58C4">
              <w:rPr>
                <w:b/>
                <w:bCs/>
                <w:sz w:val="22"/>
                <w:szCs w:val="22"/>
                <w:lang w:val="sr-Latn-ME"/>
              </w:rPr>
              <w:t xml:space="preserve">Opšti poremećaji i reakcije na mestu </w:t>
            </w:r>
            <w:r w:rsidR="007F2563" w:rsidRPr="009C58C4">
              <w:rPr>
                <w:b/>
                <w:bCs/>
                <w:sz w:val="22"/>
                <w:szCs w:val="22"/>
                <w:lang w:val="sr-Latn-ME"/>
              </w:rPr>
              <w:t>primjen</w:t>
            </w:r>
            <w:r w:rsidRPr="009C58C4">
              <w:rPr>
                <w:b/>
                <w:bCs/>
                <w:sz w:val="22"/>
                <w:szCs w:val="22"/>
                <w:lang w:val="sr-Latn-ME"/>
              </w:rPr>
              <w:t>e</w:t>
            </w:r>
          </w:p>
        </w:tc>
      </w:tr>
      <w:tr w:rsidR="00C455E5" w:rsidRPr="009C58C4" w14:paraId="2653FB6C" w14:textId="77777777" w:rsidTr="00C87F6C">
        <w:trPr>
          <w:cantSplit/>
        </w:trPr>
        <w:tc>
          <w:tcPr>
            <w:tcW w:w="1833" w:type="dxa"/>
            <w:tcMar>
              <w:top w:w="0" w:type="dxa"/>
              <w:left w:w="108" w:type="dxa"/>
              <w:bottom w:w="0" w:type="dxa"/>
              <w:right w:w="108" w:type="dxa"/>
            </w:tcMar>
          </w:tcPr>
          <w:p w14:paraId="1287AA7C" w14:textId="77777777" w:rsidR="00C455E5" w:rsidRPr="009C58C4" w:rsidRDefault="00C455E5" w:rsidP="00226369">
            <w:pPr>
              <w:keepNext/>
              <w:keepLines/>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79A41203" w14:textId="77777777" w:rsidR="00C455E5" w:rsidRPr="009C58C4" w:rsidRDefault="00C455E5" w:rsidP="00226369">
            <w:pPr>
              <w:keepNext/>
              <w:keepLines/>
              <w:jc w:val="both"/>
              <w:rPr>
                <w:sz w:val="22"/>
                <w:szCs w:val="22"/>
                <w:lang w:val="sr-Latn-ME"/>
              </w:rPr>
            </w:pPr>
            <w:r w:rsidRPr="009C58C4">
              <w:rPr>
                <w:bCs/>
                <w:sz w:val="22"/>
                <w:szCs w:val="22"/>
                <w:lang w:val="sr-Latn-ME"/>
              </w:rPr>
              <w:t>Pireksija*, umor*</w:t>
            </w:r>
            <w:r w:rsidRPr="009C58C4">
              <w:rPr>
                <w:bCs/>
                <w:sz w:val="22"/>
                <w:szCs w:val="22"/>
                <w:vertAlign w:val="superscript"/>
                <w:lang w:val="sr-Latn-ME"/>
              </w:rPr>
              <w:t>13</w:t>
            </w:r>
            <w:r w:rsidRPr="009C58C4">
              <w:rPr>
                <w:bCs/>
                <w:sz w:val="22"/>
                <w:szCs w:val="22"/>
                <w:lang w:val="sr-Latn-ME"/>
              </w:rPr>
              <w:t>, povećanje težine</w:t>
            </w:r>
          </w:p>
        </w:tc>
      </w:tr>
      <w:tr w:rsidR="00C455E5" w:rsidRPr="009C58C4" w14:paraId="069DC4EE" w14:textId="77777777" w:rsidTr="00C87F6C">
        <w:trPr>
          <w:cantSplit/>
        </w:trPr>
        <w:tc>
          <w:tcPr>
            <w:tcW w:w="1833" w:type="dxa"/>
            <w:tcMar>
              <w:top w:w="0" w:type="dxa"/>
              <w:left w:w="108" w:type="dxa"/>
              <w:bottom w:w="0" w:type="dxa"/>
              <w:right w:w="108" w:type="dxa"/>
            </w:tcMar>
          </w:tcPr>
          <w:p w14:paraId="7EE11B4C" w14:textId="77777777" w:rsidR="00C455E5" w:rsidRPr="009C58C4" w:rsidRDefault="00C455E5" w:rsidP="00226369">
            <w:pPr>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1CE1343D" w14:textId="77777777" w:rsidR="00C455E5" w:rsidRPr="009C58C4" w:rsidRDefault="00C455E5" w:rsidP="00226369">
            <w:pPr>
              <w:jc w:val="both"/>
              <w:rPr>
                <w:sz w:val="22"/>
                <w:szCs w:val="22"/>
                <w:vertAlign w:val="superscript"/>
                <w:lang w:val="sr-Latn-ME"/>
              </w:rPr>
            </w:pPr>
            <w:r w:rsidRPr="009C58C4">
              <w:rPr>
                <w:bCs/>
                <w:sz w:val="22"/>
                <w:szCs w:val="22"/>
                <w:lang w:val="sr-Latn-ME"/>
              </w:rPr>
              <w:t>Zapaljenje sluznice, edem lica*, jeza, periferni edem, bolest slična gripu</w:t>
            </w:r>
          </w:p>
        </w:tc>
      </w:tr>
      <w:tr w:rsidR="00C455E5" w:rsidRPr="009C58C4" w14:paraId="12EC814D" w14:textId="77777777" w:rsidTr="00C87F6C">
        <w:trPr>
          <w:cantSplit/>
        </w:trPr>
        <w:tc>
          <w:tcPr>
            <w:tcW w:w="9322" w:type="dxa"/>
            <w:gridSpan w:val="2"/>
            <w:tcMar>
              <w:top w:w="0" w:type="dxa"/>
              <w:left w:w="108" w:type="dxa"/>
              <w:bottom w:w="0" w:type="dxa"/>
              <w:right w:w="108" w:type="dxa"/>
            </w:tcMar>
          </w:tcPr>
          <w:p w14:paraId="6D989DD9" w14:textId="77777777" w:rsidR="00C455E5" w:rsidRPr="009C58C4" w:rsidRDefault="00C455E5" w:rsidP="00226369">
            <w:pPr>
              <w:keepNext/>
              <w:keepLines/>
              <w:jc w:val="both"/>
              <w:rPr>
                <w:bCs/>
                <w:sz w:val="22"/>
                <w:szCs w:val="22"/>
                <w:lang w:val="sr-Latn-ME"/>
              </w:rPr>
            </w:pPr>
            <w:r w:rsidRPr="009C58C4">
              <w:rPr>
                <w:b/>
                <w:bCs/>
                <w:sz w:val="22"/>
                <w:szCs w:val="22"/>
                <w:lang w:val="sr-Latn-ME"/>
              </w:rPr>
              <w:lastRenderedPageBreak/>
              <w:t>Ispitivanja</w:t>
            </w:r>
          </w:p>
        </w:tc>
      </w:tr>
      <w:tr w:rsidR="00C455E5" w:rsidRPr="009C58C4" w14:paraId="3EC73132" w14:textId="77777777" w:rsidTr="00C87F6C">
        <w:trPr>
          <w:cantSplit/>
        </w:trPr>
        <w:tc>
          <w:tcPr>
            <w:tcW w:w="1833" w:type="dxa"/>
            <w:tcMar>
              <w:top w:w="0" w:type="dxa"/>
              <w:left w:w="108" w:type="dxa"/>
              <w:bottom w:w="0" w:type="dxa"/>
              <w:right w:w="108" w:type="dxa"/>
            </w:tcMar>
          </w:tcPr>
          <w:p w14:paraId="16291701" w14:textId="77777777" w:rsidR="00C455E5" w:rsidRPr="009C58C4" w:rsidRDefault="00C455E5" w:rsidP="00226369">
            <w:pPr>
              <w:keepNext/>
              <w:keepLines/>
              <w:jc w:val="both"/>
              <w:rPr>
                <w:bCs/>
                <w:sz w:val="22"/>
                <w:szCs w:val="22"/>
                <w:lang w:val="sr-Latn-ME"/>
              </w:rPr>
            </w:pPr>
            <w:r w:rsidRPr="009C58C4">
              <w:rPr>
                <w:sz w:val="22"/>
                <w:szCs w:val="22"/>
                <w:lang w:val="sr-Latn-ME"/>
              </w:rPr>
              <w:t>Veoma</w:t>
            </w:r>
            <w:r w:rsidRPr="009C58C4" w:rsidDel="00881E73">
              <w:rPr>
                <w:bCs/>
                <w:sz w:val="22"/>
                <w:szCs w:val="22"/>
                <w:lang w:val="sr-Latn-ME"/>
              </w:rPr>
              <w:t xml:space="preserve"> </w:t>
            </w:r>
            <w:r w:rsidRPr="009C58C4">
              <w:rPr>
                <w:bCs/>
                <w:sz w:val="22"/>
                <w:szCs w:val="22"/>
                <w:lang w:val="sr-Latn-ME"/>
              </w:rPr>
              <w:t>često</w:t>
            </w:r>
          </w:p>
        </w:tc>
        <w:tc>
          <w:tcPr>
            <w:tcW w:w="7489" w:type="dxa"/>
            <w:tcMar>
              <w:top w:w="0" w:type="dxa"/>
              <w:left w:w="108" w:type="dxa"/>
              <w:bottom w:w="0" w:type="dxa"/>
              <w:right w:w="108" w:type="dxa"/>
            </w:tcMar>
            <w:vAlign w:val="center"/>
          </w:tcPr>
          <w:p w14:paraId="41644566" w14:textId="77777777" w:rsidR="00C455E5" w:rsidRPr="009C58C4" w:rsidRDefault="00C455E5" w:rsidP="00226369">
            <w:pPr>
              <w:keepNext/>
              <w:keepLines/>
              <w:jc w:val="both"/>
              <w:rPr>
                <w:sz w:val="22"/>
                <w:szCs w:val="22"/>
                <w:vertAlign w:val="superscript"/>
                <w:lang w:val="sr-Latn-ME"/>
              </w:rPr>
            </w:pPr>
            <w:r w:rsidRPr="009C58C4">
              <w:rPr>
                <w:bCs/>
                <w:sz w:val="22"/>
                <w:szCs w:val="22"/>
                <w:lang w:val="sr-Latn-ME"/>
              </w:rPr>
              <w:t>Povišene transaminaze*</w:t>
            </w:r>
            <w:r w:rsidRPr="009C58C4">
              <w:rPr>
                <w:bCs/>
                <w:sz w:val="22"/>
                <w:szCs w:val="22"/>
                <w:vertAlign w:val="superscript"/>
                <w:lang w:val="sr-Latn-ME"/>
              </w:rPr>
              <w:t>14</w:t>
            </w:r>
          </w:p>
        </w:tc>
      </w:tr>
      <w:tr w:rsidR="00C455E5" w:rsidRPr="009C58C4" w14:paraId="3B9FDFD9" w14:textId="77777777" w:rsidTr="00C87F6C">
        <w:trPr>
          <w:cantSplit/>
        </w:trPr>
        <w:tc>
          <w:tcPr>
            <w:tcW w:w="1833" w:type="dxa"/>
            <w:tcMar>
              <w:top w:w="0" w:type="dxa"/>
              <w:left w:w="108" w:type="dxa"/>
              <w:bottom w:w="0" w:type="dxa"/>
              <w:right w:w="108" w:type="dxa"/>
            </w:tcMar>
          </w:tcPr>
          <w:p w14:paraId="7AB72E84" w14:textId="77777777" w:rsidR="00C455E5" w:rsidRPr="009C58C4" w:rsidRDefault="00C455E5" w:rsidP="00226369">
            <w:pPr>
              <w:keepNext/>
              <w:keepLines/>
              <w:jc w:val="both"/>
              <w:rPr>
                <w:bCs/>
                <w:sz w:val="22"/>
                <w:szCs w:val="22"/>
                <w:lang w:val="sr-Latn-ME"/>
              </w:rPr>
            </w:pPr>
            <w:r w:rsidRPr="009C58C4">
              <w:rPr>
                <w:bCs/>
                <w:sz w:val="22"/>
                <w:szCs w:val="22"/>
                <w:lang w:val="sr-Latn-ME"/>
              </w:rPr>
              <w:t>Često</w:t>
            </w:r>
          </w:p>
        </w:tc>
        <w:tc>
          <w:tcPr>
            <w:tcW w:w="7489" w:type="dxa"/>
            <w:tcMar>
              <w:top w:w="0" w:type="dxa"/>
              <w:left w:w="108" w:type="dxa"/>
              <w:bottom w:w="0" w:type="dxa"/>
              <w:right w:w="108" w:type="dxa"/>
            </w:tcMar>
            <w:vAlign w:val="center"/>
          </w:tcPr>
          <w:p w14:paraId="6080789C" w14:textId="77777777" w:rsidR="00C455E5" w:rsidRPr="009C58C4" w:rsidRDefault="00C455E5" w:rsidP="00226369">
            <w:pPr>
              <w:keepNext/>
              <w:keepLines/>
              <w:jc w:val="both"/>
              <w:rPr>
                <w:sz w:val="22"/>
                <w:szCs w:val="22"/>
                <w:lang w:val="sr-Latn-ME"/>
              </w:rPr>
            </w:pPr>
            <w:r w:rsidRPr="009C58C4">
              <w:rPr>
                <w:sz w:val="22"/>
                <w:szCs w:val="22"/>
                <w:lang w:val="sr-Latn-ME"/>
              </w:rPr>
              <w:t>Hiponatremija, hipofosfatemija, hiperglikemija, povišena alkalna fosfataza u krvi, povišena gama-glutamiltransferaza, povišena kreatin fosfokinaza u krvi</w:t>
            </w:r>
          </w:p>
        </w:tc>
      </w:tr>
      <w:tr w:rsidR="00C455E5" w:rsidRPr="009C58C4" w14:paraId="37AD3AAE" w14:textId="77777777" w:rsidTr="00C87F6C">
        <w:trPr>
          <w:cantSplit/>
        </w:trPr>
        <w:tc>
          <w:tcPr>
            <w:tcW w:w="9322" w:type="dxa"/>
            <w:gridSpan w:val="2"/>
            <w:tcMar>
              <w:top w:w="0" w:type="dxa"/>
              <w:left w:w="108" w:type="dxa"/>
              <w:bottom w:w="0" w:type="dxa"/>
              <w:right w:w="108" w:type="dxa"/>
            </w:tcMar>
          </w:tcPr>
          <w:p w14:paraId="7F5B663D" w14:textId="77777777" w:rsidR="00C455E5" w:rsidRPr="009C58C4" w:rsidRDefault="00C455E5" w:rsidP="00226369">
            <w:pPr>
              <w:ind w:left="150" w:hanging="239"/>
              <w:jc w:val="both"/>
              <w:rPr>
                <w:sz w:val="22"/>
                <w:szCs w:val="22"/>
                <w:lang w:val="sr-Latn-ME"/>
              </w:rPr>
            </w:pPr>
            <w:r w:rsidRPr="009C58C4">
              <w:rPr>
                <w:sz w:val="22"/>
                <w:szCs w:val="22"/>
                <w:lang w:val="sr-Latn-ME"/>
              </w:rPr>
              <w:t>*Označava skup od dva ili više MedDRA preporučena pojma koji se smatraju klinički sličnim</w:t>
            </w:r>
          </w:p>
          <w:p w14:paraId="706E2D44" w14:textId="0D383D23" w:rsidR="00C455E5" w:rsidRPr="009C58C4" w:rsidRDefault="00C455E5" w:rsidP="00226369">
            <w:pPr>
              <w:ind w:firstLine="1"/>
              <w:jc w:val="both"/>
              <w:rPr>
                <w:sz w:val="22"/>
                <w:szCs w:val="22"/>
                <w:lang w:val="sr-Latn-ME"/>
              </w:rPr>
            </w:pPr>
            <w:r w:rsidRPr="009C58C4">
              <w:rPr>
                <w:sz w:val="22"/>
                <w:szCs w:val="22"/>
                <w:vertAlign w:val="superscript"/>
                <w:lang w:val="sr-Latn-ME"/>
              </w:rPr>
              <w:t>1</w:t>
            </w:r>
            <w:r w:rsidR="006B3D19" w:rsidRPr="009C58C4">
              <w:rPr>
                <w:sz w:val="22"/>
                <w:szCs w:val="22"/>
                <w:vertAlign w:val="superscript"/>
                <w:lang w:val="sr-Latn-ME"/>
              </w:rPr>
              <w:t xml:space="preserve"> </w:t>
            </w:r>
            <w:r w:rsidRPr="009C58C4">
              <w:rPr>
                <w:sz w:val="22"/>
                <w:szCs w:val="22"/>
                <w:lang w:val="sr-Latn-ME"/>
              </w:rPr>
              <w:t>nazofaringitis uključuje faringitis</w:t>
            </w:r>
          </w:p>
          <w:p w14:paraId="4DCB7453" w14:textId="0438C298" w:rsidR="00C455E5" w:rsidRPr="009C58C4" w:rsidRDefault="00C455E5" w:rsidP="00226369">
            <w:pPr>
              <w:ind w:firstLine="1"/>
              <w:jc w:val="both"/>
              <w:rPr>
                <w:sz w:val="22"/>
                <w:szCs w:val="22"/>
                <w:lang w:val="sr-Latn-ME"/>
              </w:rPr>
            </w:pPr>
            <w:r w:rsidRPr="009C58C4">
              <w:rPr>
                <w:sz w:val="22"/>
                <w:szCs w:val="22"/>
                <w:vertAlign w:val="superscript"/>
                <w:lang w:val="sr-Latn-ME"/>
              </w:rPr>
              <w:t>2</w:t>
            </w:r>
            <w:r w:rsidR="006B3D19" w:rsidRPr="009C58C4">
              <w:rPr>
                <w:sz w:val="22"/>
                <w:szCs w:val="22"/>
                <w:vertAlign w:val="superscript"/>
                <w:lang w:val="sr-Latn-ME"/>
              </w:rPr>
              <w:t xml:space="preserve"> </w:t>
            </w:r>
            <w:r w:rsidRPr="009C58C4">
              <w:rPr>
                <w:sz w:val="22"/>
                <w:szCs w:val="22"/>
                <w:lang w:val="sr-Latn-ME"/>
              </w:rPr>
              <w:t>neutropenija uključuje sniženi broj neutrofila i febrilnu neutropeniju</w:t>
            </w:r>
          </w:p>
          <w:p w14:paraId="113A8047" w14:textId="2EA3DCD9" w:rsidR="00C455E5" w:rsidRPr="009C58C4" w:rsidRDefault="00C455E5" w:rsidP="00226369">
            <w:pPr>
              <w:ind w:firstLine="1"/>
              <w:jc w:val="both"/>
              <w:rPr>
                <w:sz w:val="22"/>
                <w:szCs w:val="22"/>
                <w:lang w:val="sr-Latn-ME"/>
              </w:rPr>
            </w:pPr>
            <w:r w:rsidRPr="009C58C4">
              <w:rPr>
                <w:sz w:val="22"/>
                <w:szCs w:val="22"/>
                <w:vertAlign w:val="superscript"/>
                <w:lang w:val="sr-Latn-ME"/>
              </w:rPr>
              <w:t>3</w:t>
            </w:r>
            <w:r w:rsidR="006B3D19" w:rsidRPr="009C58C4">
              <w:rPr>
                <w:sz w:val="22"/>
                <w:szCs w:val="22"/>
                <w:vertAlign w:val="superscript"/>
                <w:lang w:val="sr-Latn-ME"/>
              </w:rPr>
              <w:t xml:space="preserve"> </w:t>
            </w:r>
            <w:r w:rsidRPr="009C58C4">
              <w:rPr>
                <w:sz w:val="22"/>
                <w:szCs w:val="22"/>
                <w:lang w:val="sr-Latn-ME"/>
              </w:rPr>
              <w:t>nesvestica uključuje vrtoglavicu</w:t>
            </w:r>
          </w:p>
          <w:p w14:paraId="0C57DB65" w14:textId="72B7D982" w:rsidR="00C455E5" w:rsidRPr="009C58C4" w:rsidRDefault="00C455E5" w:rsidP="00226369">
            <w:pPr>
              <w:ind w:firstLine="1"/>
              <w:jc w:val="both"/>
              <w:rPr>
                <w:sz w:val="22"/>
                <w:szCs w:val="22"/>
                <w:lang w:val="sr-Latn-ME"/>
              </w:rPr>
            </w:pPr>
            <w:r w:rsidRPr="009C58C4">
              <w:rPr>
                <w:sz w:val="22"/>
                <w:szCs w:val="22"/>
                <w:vertAlign w:val="superscript"/>
                <w:lang w:val="sr-Latn-ME"/>
              </w:rPr>
              <w:t>4</w:t>
            </w:r>
            <w:r w:rsidR="006B3D19" w:rsidRPr="009C58C4">
              <w:rPr>
                <w:sz w:val="22"/>
                <w:szCs w:val="22"/>
                <w:vertAlign w:val="superscript"/>
                <w:lang w:val="sr-Latn-ME"/>
              </w:rPr>
              <w:t xml:space="preserve"> </w:t>
            </w:r>
            <w:r w:rsidRPr="009C58C4">
              <w:rPr>
                <w:sz w:val="22"/>
                <w:szCs w:val="22"/>
                <w:lang w:val="sr-Latn-ME"/>
              </w:rPr>
              <w:t>uveitis uključuje iridociklitis</w:t>
            </w:r>
          </w:p>
          <w:p w14:paraId="21885CA1" w14:textId="41E433F6" w:rsidR="00C455E5" w:rsidRPr="009C58C4" w:rsidRDefault="00C455E5" w:rsidP="00226369">
            <w:pPr>
              <w:ind w:firstLine="1"/>
              <w:jc w:val="both"/>
              <w:rPr>
                <w:sz w:val="22"/>
                <w:szCs w:val="22"/>
                <w:lang w:val="sr-Latn-ME"/>
              </w:rPr>
            </w:pPr>
            <w:r w:rsidRPr="009C58C4">
              <w:rPr>
                <w:sz w:val="22"/>
                <w:szCs w:val="22"/>
                <w:vertAlign w:val="superscript"/>
                <w:lang w:val="sr-Latn-ME"/>
              </w:rPr>
              <w:t>5</w:t>
            </w:r>
            <w:r w:rsidR="006B3D19" w:rsidRPr="009C58C4">
              <w:rPr>
                <w:sz w:val="22"/>
                <w:szCs w:val="22"/>
                <w:vertAlign w:val="superscript"/>
                <w:lang w:val="sr-Latn-ME"/>
              </w:rPr>
              <w:t xml:space="preserve"> </w:t>
            </w:r>
            <w:r w:rsidRPr="009C58C4">
              <w:rPr>
                <w:sz w:val="22"/>
                <w:szCs w:val="22"/>
                <w:lang w:val="sr-Latn-ME"/>
              </w:rPr>
              <w:t>atrioventrikularni blok uključuje atrioventrikularni blok prvog stepena</w:t>
            </w:r>
          </w:p>
          <w:p w14:paraId="496BCC13" w14:textId="77777777" w:rsidR="006B3D19" w:rsidRPr="009C58C4" w:rsidRDefault="00C455E5" w:rsidP="00226369">
            <w:pPr>
              <w:ind w:left="583" w:hanging="582"/>
              <w:jc w:val="both"/>
              <w:rPr>
                <w:sz w:val="22"/>
                <w:szCs w:val="22"/>
                <w:lang w:val="sr-Latn-ME"/>
              </w:rPr>
            </w:pPr>
            <w:r w:rsidRPr="009C58C4">
              <w:rPr>
                <w:sz w:val="22"/>
                <w:szCs w:val="22"/>
                <w:vertAlign w:val="superscript"/>
                <w:lang w:val="sr-Latn-ME"/>
              </w:rPr>
              <w:t>6</w:t>
            </w:r>
            <w:r w:rsidR="006B3D19" w:rsidRPr="009C58C4">
              <w:rPr>
                <w:sz w:val="22"/>
                <w:szCs w:val="22"/>
                <w:vertAlign w:val="superscript"/>
                <w:lang w:val="sr-Latn-ME"/>
              </w:rPr>
              <w:t xml:space="preserve"> </w:t>
            </w:r>
            <w:r w:rsidRPr="009C58C4">
              <w:rPr>
                <w:sz w:val="22"/>
                <w:szCs w:val="22"/>
                <w:lang w:val="sr-Latn-ME"/>
              </w:rPr>
              <w:t xml:space="preserve">krvarenje uključuje epistaksu, hematuriju, kontuziju, hematom, povišeni internacionalni normirajući opseg, </w:t>
            </w:r>
          </w:p>
          <w:p w14:paraId="3206F207" w14:textId="77777777" w:rsidR="006B3D19" w:rsidRPr="009C58C4" w:rsidRDefault="00C455E5" w:rsidP="00226369">
            <w:pPr>
              <w:ind w:left="583" w:hanging="582"/>
              <w:jc w:val="both"/>
              <w:rPr>
                <w:sz w:val="22"/>
                <w:szCs w:val="22"/>
                <w:lang w:val="sr-Latn-ME"/>
              </w:rPr>
            </w:pPr>
            <w:r w:rsidRPr="009C58C4">
              <w:rPr>
                <w:sz w:val="22"/>
                <w:szCs w:val="22"/>
                <w:lang w:val="sr-Latn-ME"/>
              </w:rPr>
              <w:t xml:space="preserve">analno krvarenje, krvarenje na mestu katetera, cerebralno krvarenje, ekhimoza, ekstraduralni hematom, </w:t>
            </w:r>
          </w:p>
          <w:p w14:paraId="71DDBA23" w14:textId="77777777" w:rsidR="006B3D19" w:rsidRPr="009C58C4" w:rsidRDefault="00C455E5" w:rsidP="00226369">
            <w:pPr>
              <w:ind w:left="583" w:hanging="582"/>
              <w:jc w:val="both"/>
              <w:rPr>
                <w:sz w:val="22"/>
                <w:szCs w:val="22"/>
                <w:lang w:val="sr-Latn-ME"/>
              </w:rPr>
            </w:pPr>
            <w:r w:rsidRPr="009C58C4">
              <w:rPr>
                <w:sz w:val="22"/>
                <w:szCs w:val="22"/>
                <w:lang w:val="sr-Latn-ME"/>
              </w:rPr>
              <w:t>gastrointestinalno krvarenje, hematohezija, petehije, post</w:t>
            </w:r>
            <w:r w:rsidRPr="009C58C4">
              <w:rPr>
                <w:sz w:val="22"/>
                <w:szCs w:val="22"/>
                <w:lang w:val="sr-Latn-ME"/>
              </w:rPr>
              <w:noBreakHyphen/>
              <w:t xml:space="preserve">proceduralno krvarenje, rektalno krvarenje, snižen broj </w:t>
            </w:r>
          </w:p>
          <w:p w14:paraId="050BDD85" w14:textId="05C6B5EB" w:rsidR="006B3D19" w:rsidRPr="009C58C4" w:rsidRDefault="00C455E5" w:rsidP="00226369">
            <w:pPr>
              <w:ind w:left="583" w:hanging="582"/>
              <w:jc w:val="both"/>
              <w:rPr>
                <w:sz w:val="22"/>
                <w:szCs w:val="22"/>
                <w:lang w:val="sr-Latn-ME"/>
              </w:rPr>
            </w:pPr>
            <w:r w:rsidRPr="009C58C4">
              <w:rPr>
                <w:sz w:val="22"/>
                <w:szCs w:val="22"/>
                <w:lang w:val="sr-Latn-ME"/>
              </w:rPr>
              <w:t xml:space="preserve">eritrocita, krvarenje iz gornjeg gastrointestinalnodg sistema i krvarenje materice, obilno menstrualno krvarenje i </w:t>
            </w:r>
          </w:p>
          <w:p w14:paraId="0756430A" w14:textId="623ACE5E" w:rsidR="00C455E5" w:rsidRPr="009C58C4" w:rsidRDefault="00C455E5" w:rsidP="00226369">
            <w:pPr>
              <w:ind w:left="583" w:hanging="582"/>
              <w:jc w:val="both"/>
              <w:rPr>
                <w:sz w:val="22"/>
                <w:szCs w:val="22"/>
                <w:lang w:val="sr-Latn-ME"/>
              </w:rPr>
            </w:pPr>
            <w:r w:rsidRPr="009C58C4">
              <w:rPr>
                <w:sz w:val="22"/>
                <w:szCs w:val="22"/>
                <w:lang w:val="sr-Latn-ME"/>
              </w:rPr>
              <w:t>purpuru</w:t>
            </w:r>
          </w:p>
          <w:p w14:paraId="1356931A" w14:textId="685FAB2F" w:rsidR="00C455E5" w:rsidRPr="009C58C4" w:rsidRDefault="00C455E5" w:rsidP="00226369">
            <w:pPr>
              <w:ind w:firstLine="1"/>
              <w:jc w:val="both"/>
              <w:rPr>
                <w:sz w:val="22"/>
                <w:szCs w:val="22"/>
                <w:lang w:val="sr-Latn-ME"/>
              </w:rPr>
            </w:pPr>
            <w:r w:rsidRPr="009C58C4">
              <w:rPr>
                <w:sz w:val="22"/>
                <w:szCs w:val="22"/>
                <w:vertAlign w:val="superscript"/>
                <w:lang w:val="sr-Latn-ME"/>
              </w:rPr>
              <w:t>7</w:t>
            </w:r>
            <w:r w:rsidR="006B3D19" w:rsidRPr="009C58C4">
              <w:rPr>
                <w:sz w:val="22"/>
                <w:szCs w:val="22"/>
                <w:vertAlign w:val="superscript"/>
                <w:lang w:val="sr-Latn-ME"/>
              </w:rPr>
              <w:t xml:space="preserve"> </w:t>
            </w:r>
            <w:r w:rsidRPr="009C58C4">
              <w:rPr>
                <w:sz w:val="22"/>
                <w:szCs w:val="22"/>
                <w:lang w:val="sr-Latn-ME"/>
              </w:rPr>
              <w:t>akneiformni dermatitis uključuje akne i pustularne akne</w:t>
            </w:r>
          </w:p>
          <w:p w14:paraId="7B561652" w14:textId="1301E71E" w:rsidR="00C455E5" w:rsidRPr="009C58C4" w:rsidRDefault="00C455E5" w:rsidP="00226369">
            <w:pPr>
              <w:ind w:firstLine="1"/>
              <w:jc w:val="both"/>
              <w:rPr>
                <w:sz w:val="22"/>
                <w:szCs w:val="22"/>
                <w:lang w:val="sr-Latn-ME"/>
              </w:rPr>
            </w:pPr>
            <w:r w:rsidRPr="009C58C4">
              <w:rPr>
                <w:sz w:val="22"/>
                <w:szCs w:val="22"/>
                <w:vertAlign w:val="superscript"/>
                <w:lang w:val="sr-Latn-ME"/>
              </w:rPr>
              <w:t>8</w:t>
            </w:r>
            <w:r w:rsidR="006B3D19" w:rsidRPr="009C58C4">
              <w:rPr>
                <w:sz w:val="22"/>
                <w:szCs w:val="22"/>
                <w:vertAlign w:val="superscript"/>
                <w:lang w:val="sr-Latn-ME"/>
              </w:rPr>
              <w:t xml:space="preserve"> </w:t>
            </w:r>
            <w:r w:rsidRPr="009C58C4">
              <w:rPr>
                <w:sz w:val="22"/>
                <w:szCs w:val="22"/>
                <w:lang w:val="sr-Latn-ME"/>
              </w:rPr>
              <w:t>suva koža uključuje kserozu i kserodermu</w:t>
            </w:r>
          </w:p>
          <w:p w14:paraId="30A34BBD" w14:textId="2ABB9E74" w:rsidR="00C455E5" w:rsidRPr="009C58C4" w:rsidRDefault="00C455E5" w:rsidP="00226369">
            <w:pPr>
              <w:ind w:firstLine="1"/>
              <w:jc w:val="both"/>
              <w:rPr>
                <w:sz w:val="22"/>
                <w:szCs w:val="22"/>
                <w:lang w:val="sr-Latn-ME"/>
              </w:rPr>
            </w:pPr>
            <w:r w:rsidRPr="009C58C4">
              <w:rPr>
                <w:sz w:val="22"/>
                <w:szCs w:val="22"/>
                <w:vertAlign w:val="superscript"/>
                <w:lang w:val="sr-Latn-ME"/>
              </w:rPr>
              <w:t>9</w:t>
            </w:r>
            <w:r w:rsidR="006B3D19" w:rsidRPr="009C58C4">
              <w:rPr>
                <w:sz w:val="22"/>
                <w:szCs w:val="22"/>
                <w:vertAlign w:val="superscript"/>
                <w:lang w:val="sr-Latn-ME"/>
              </w:rPr>
              <w:t xml:space="preserve"> </w:t>
            </w:r>
            <w:r w:rsidRPr="009C58C4">
              <w:rPr>
                <w:sz w:val="22"/>
                <w:szCs w:val="22"/>
                <w:lang w:val="sr-Latn-ME"/>
              </w:rPr>
              <w:t>osip uključuje makulo-papularni osip, pustularni osip, eritematozni osip, papularni osip, makularni osip</w:t>
            </w:r>
          </w:p>
          <w:p w14:paraId="039D668F" w14:textId="79D481A1" w:rsidR="00C455E5" w:rsidRPr="009C58C4" w:rsidRDefault="00C455E5" w:rsidP="00226369">
            <w:pPr>
              <w:ind w:firstLine="1"/>
              <w:jc w:val="both"/>
              <w:rPr>
                <w:sz w:val="22"/>
                <w:szCs w:val="22"/>
                <w:lang w:val="sr-Latn-ME"/>
              </w:rPr>
            </w:pPr>
            <w:r w:rsidRPr="009C58C4">
              <w:rPr>
                <w:sz w:val="22"/>
                <w:szCs w:val="22"/>
                <w:vertAlign w:val="superscript"/>
                <w:lang w:val="sr-Latn-ME"/>
              </w:rPr>
              <w:t>10</w:t>
            </w:r>
            <w:r w:rsidR="00A13DB3" w:rsidRPr="009C58C4">
              <w:rPr>
                <w:sz w:val="22"/>
                <w:szCs w:val="22"/>
                <w:vertAlign w:val="superscript"/>
                <w:lang w:val="sr-Latn-ME"/>
              </w:rPr>
              <w:t xml:space="preserve"> </w:t>
            </w:r>
            <w:r w:rsidRPr="009C58C4">
              <w:rPr>
                <w:sz w:val="22"/>
                <w:szCs w:val="22"/>
                <w:lang w:val="sr-Latn-ME"/>
              </w:rPr>
              <w:t>generalizirani eksfolijativni dermatitis uključuje ljuštenje kože i eksfolijativni dermatitis</w:t>
            </w:r>
          </w:p>
          <w:p w14:paraId="487427B5" w14:textId="4593F460" w:rsidR="00C455E5" w:rsidRPr="009C58C4" w:rsidRDefault="00C455E5" w:rsidP="00226369">
            <w:pPr>
              <w:ind w:left="584" w:hanging="584"/>
              <w:jc w:val="both"/>
              <w:rPr>
                <w:sz w:val="22"/>
                <w:szCs w:val="22"/>
                <w:lang w:val="sr-Latn-ME"/>
              </w:rPr>
            </w:pPr>
            <w:r w:rsidRPr="009C58C4">
              <w:rPr>
                <w:sz w:val="22"/>
                <w:szCs w:val="22"/>
                <w:vertAlign w:val="superscript"/>
                <w:lang w:val="sr-Latn-ME"/>
              </w:rPr>
              <w:t>11</w:t>
            </w:r>
            <w:r w:rsidR="00A13DB3" w:rsidRPr="009C58C4">
              <w:rPr>
                <w:sz w:val="22"/>
                <w:szCs w:val="22"/>
                <w:vertAlign w:val="superscript"/>
                <w:lang w:val="sr-Latn-ME"/>
              </w:rPr>
              <w:t xml:space="preserve"> </w:t>
            </w:r>
            <w:r w:rsidRPr="009C58C4">
              <w:rPr>
                <w:sz w:val="22"/>
                <w:szCs w:val="22"/>
                <w:lang w:val="sr-Latn-ME"/>
              </w:rPr>
              <w:t>fotosenzibilnost uključuje fotosenzibilne reakcije i opekline od sunca</w:t>
            </w:r>
          </w:p>
          <w:p w14:paraId="2B242797" w14:textId="4A3A036A" w:rsidR="00C455E5" w:rsidRPr="009C58C4" w:rsidRDefault="00C455E5" w:rsidP="00226369">
            <w:pPr>
              <w:ind w:firstLine="1"/>
              <w:jc w:val="both"/>
              <w:rPr>
                <w:sz w:val="22"/>
                <w:szCs w:val="22"/>
                <w:lang w:val="sr-Latn-ME"/>
              </w:rPr>
            </w:pPr>
            <w:r w:rsidRPr="009C58C4">
              <w:rPr>
                <w:sz w:val="22"/>
                <w:szCs w:val="22"/>
                <w:vertAlign w:val="superscript"/>
                <w:lang w:val="sr-Latn-ME"/>
              </w:rPr>
              <w:t>12</w:t>
            </w:r>
            <w:r w:rsidR="00A13DB3" w:rsidRPr="009C58C4">
              <w:rPr>
                <w:sz w:val="22"/>
                <w:szCs w:val="22"/>
                <w:vertAlign w:val="superscript"/>
                <w:lang w:val="sr-Latn-ME"/>
              </w:rPr>
              <w:t xml:space="preserve"> </w:t>
            </w:r>
            <w:r w:rsidRPr="009C58C4">
              <w:rPr>
                <w:sz w:val="22"/>
                <w:szCs w:val="22"/>
                <w:lang w:val="sr-Latn-ME"/>
              </w:rPr>
              <w:t>spazam mišića uključuje mišićno-koštanu ukočenost</w:t>
            </w:r>
          </w:p>
          <w:p w14:paraId="250FA7B8" w14:textId="1097B61F" w:rsidR="00C455E5" w:rsidRPr="009C58C4" w:rsidRDefault="00C455E5" w:rsidP="00226369">
            <w:pPr>
              <w:ind w:firstLine="1"/>
              <w:jc w:val="both"/>
              <w:rPr>
                <w:sz w:val="22"/>
                <w:szCs w:val="22"/>
                <w:lang w:val="sr-Latn-ME"/>
              </w:rPr>
            </w:pPr>
            <w:r w:rsidRPr="009C58C4">
              <w:rPr>
                <w:sz w:val="22"/>
                <w:szCs w:val="22"/>
                <w:vertAlign w:val="superscript"/>
                <w:lang w:val="sr-Latn-ME"/>
              </w:rPr>
              <w:t>13</w:t>
            </w:r>
            <w:r w:rsidR="00A13DB3" w:rsidRPr="009C58C4">
              <w:rPr>
                <w:sz w:val="22"/>
                <w:szCs w:val="22"/>
                <w:vertAlign w:val="superscript"/>
                <w:lang w:val="sr-Latn-ME"/>
              </w:rPr>
              <w:t xml:space="preserve"> </w:t>
            </w:r>
            <w:r w:rsidRPr="009C58C4">
              <w:rPr>
                <w:sz w:val="22"/>
                <w:szCs w:val="22"/>
                <w:lang w:val="sr-Latn-ME"/>
              </w:rPr>
              <w:t>umor uključuje malaksalost i asteniju</w:t>
            </w:r>
          </w:p>
          <w:p w14:paraId="11E79A8C" w14:textId="77777777" w:rsidR="00A13DB3" w:rsidRPr="009C58C4" w:rsidRDefault="00C455E5" w:rsidP="00226369">
            <w:pPr>
              <w:ind w:left="583" w:hanging="582"/>
              <w:jc w:val="both"/>
              <w:rPr>
                <w:sz w:val="22"/>
                <w:szCs w:val="22"/>
                <w:lang w:val="sr-Latn-ME"/>
              </w:rPr>
            </w:pPr>
            <w:r w:rsidRPr="009C58C4">
              <w:rPr>
                <w:sz w:val="22"/>
                <w:szCs w:val="22"/>
                <w:vertAlign w:val="superscript"/>
                <w:lang w:val="sr-Latn-ME"/>
              </w:rPr>
              <w:t xml:space="preserve">14 </w:t>
            </w:r>
            <w:r w:rsidRPr="009C58C4">
              <w:rPr>
                <w:sz w:val="22"/>
                <w:szCs w:val="22"/>
                <w:lang w:val="sr-Latn-ME"/>
              </w:rPr>
              <w:t xml:space="preserve">  </w:t>
            </w:r>
            <w:r w:rsidR="00A13DB3" w:rsidRPr="009C58C4">
              <w:rPr>
                <w:sz w:val="22"/>
                <w:szCs w:val="22"/>
                <w:lang w:val="sr-Latn-ME"/>
              </w:rPr>
              <w:t xml:space="preserve"> </w:t>
            </w:r>
            <w:r w:rsidRPr="009C58C4">
              <w:rPr>
                <w:sz w:val="22"/>
                <w:szCs w:val="22"/>
                <w:lang w:val="sr-Latn-ME"/>
              </w:rPr>
              <w:t xml:space="preserve">povišene transaminaze uključuju povišenu aspartat aminotransferazu (AST) i povišenu alanin </w:t>
            </w:r>
          </w:p>
          <w:p w14:paraId="64A20BD8" w14:textId="518C6410" w:rsidR="00C455E5" w:rsidRPr="009C58C4" w:rsidRDefault="00C455E5" w:rsidP="00226369">
            <w:pPr>
              <w:ind w:left="583" w:hanging="582"/>
              <w:jc w:val="both"/>
              <w:rPr>
                <w:sz w:val="22"/>
                <w:szCs w:val="22"/>
                <w:lang w:val="sr-Latn-ME"/>
              </w:rPr>
            </w:pPr>
            <w:r w:rsidRPr="009C58C4">
              <w:rPr>
                <w:sz w:val="22"/>
                <w:szCs w:val="22"/>
                <w:lang w:val="sr-Latn-ME"/>
              </w:rPr>
              <w:t>aminotransferazu (ALT) i hipertransaminazemiju</w:t>
            </w:r>
          </w:p>
        </w:tc>
      </w:tr>
      <w:bookmarkEnd w:id="21"/>
    </w:tbl>
    <w:p w14:paraId="0BB0FD8E" w14:textId="77777777" w:rsidR="00C455E5" w:rsidRPr="009C58C4" w:rsidRDefault="00C455E5" w:rsidP="00226369">
      <w:pPr>
        <w:jc w:val="both"/>
        <w:rPr>
          <w:sz w:val="22"/>
          <w:szCs w:val="22"/>
          <w:lang w:val="sr-Latn-ME"/>
        </w:rPr>
      </w:pPr>
    </w:p>
    <w:p w14:paraId="1FFBE9FC" w14:textId="77777777" w:rsidR="00C455E5" w:rsidRPr="009C58C4" w:rsidRDefault="00C455E5" w:rsidP="00226369">
      <w:pPr>
        <w:keepNext/>
        <w:jc w:val="both"/>
        <w:rPr>
          <w:sz w:val="22"/>
          <w:szCs w:val="22"/>
          <w:u w:val="single"/>
          <w:lang w:val="sr-Latn-ME"/>
        </w:rPr>
      </w:pPr>
      <w:r w:rsidRPr="009C58C4">
        <w:rPr>
          <w:sz w:val="22"/>
          <w:szCs w:val="22"/>
          <w:u w:val="single"/>
          <w:lang w:val="sr-Latn-ME"/>
        </w:rPr>
        <w:t>Opis odabranih neželjenih reakcija</w:t>
      </w:r>
    </w:p>
    <w:p w14:paraId="1E4C2145" w14:textId="77777777" w:rsidR="00C455E5" w:rsidRPr="009C58C4" w:rsidRDefault="00C455E5" w:rsidP="00226369">
      <w:pPr>
        <w:keepNext/>
        <w:jc w:val="both"/>
        <w:rPr>
          <w:sz w:val="22"/>
          <w:szCs w:val="22"/>
          <w:lang w:val="sr-Latn-ME"/>
        </w:rPr>
      </w:pPr>
    </w:p>
    <w:p w14:paraId="69A51ACC" w14:textId="77777777" w:rsidR="00C455E5" w:rsidRPr="009C58C4" w:rsidRDefault="00C455E5" w:rsidP="00226369">
      <w:pPr>
        <w:keepNext/>
        <w:jc w:val="both"/>
        <w:rPr>
          <w:i/>
          <w:sz w:val="22"/>
          <w:szCs w:val="22"/>
          <w:u w:val="single"/>
          <w:lang w:val="sr-Latn-ME"/>
        </w:rPr>
      </w:pPr>
      <w:r w:rsidRPr="009C58C4">
        <w:rPr>
          <w:i/>
          <w:sz w:val="22"/>
          <w:szCs w:val="22"/>
          <w:u w:val="single"/>
          <w:lang w:val="sr-Latn-ME"/>
        </w:rPr>
        <w:t>Povećanje težine</w:t>
      </w:r>
    </w:p>
    <w:p w14:paraId="7E01EFED" w14:textId="76082006" w:rsidR="00C455E5" w:rsidRPr="009C58C4" w:rsidRDefault="00C455E5" w:rsidP="00226369">
      <w:pPr>
        <w:jc w:val="both"/>
        <w:rPr>
          <w:sz w:val="22"/>
          <w:szCs w:val="22"/>
          <w:lang w:val="sr-Latn-ME"/>
        </w:rPr>
      </w:pPr>
      <w:r w:rsidRPr="009C58C4">
        <w:rPr>
          <w:sz w:val="22"/>
          <w:szCs w:val="22"/>
          <w:lang w:val="sr-Latn-ME"/>
        </w:rPr>
        <w:t>Povećanje težine je prijavljeno jedino u pedijatrijskoj populaciji. Bilo je prijavljeno kao neželjena reakcija kod 16% pedijatrijskih pacijenata uključujući slučajeve  gradusa 3 kod 5% pacijenata uz stepen prekida u 0,6% pacijenata. Medijana vremena do prve pojave prijavljenog povećanja težine kod pedijatrijskih pacijenata koji su primali trametinib u kombinaciji s</w:t>
      </w:r>
      <w:r w:rsidR="00615BBD" w:rsidRPr="009C58C4">
        <w:rPr>
          <w:sz w:val="22"/>
          <w:szCs w:val="22"/>
          <w:lang w:val="sr-Latn-ME"/>
        </w:rPr>
        <w:t>a</w:t>
      </w:r>
      <w:r w:rsidRPr="009C58C4">
        <w:rPr>
          <w:sz w:val="22"/>
          <w:szCs w:val="22"/>
          <w:lang w:val="sr-Latn-ME"/>
        </w:rPr>
        <w:t xml:space="preserve"> dabrafenibom je bio 3,5 </w:t>
      </w:r>
      <w:r w:rsidR="0091092E" w:rsidRPr="009C58C4">
        <w:rPr>
          <w:sz w:val="22"/>
          <w:szCs w:val="22"/>
          <w:lang w:val="sr-Latn-ME"/>
        </w:rPr>
        <w:t>mjesec</w:t>
      </w:r>
      <w:r w:rsidRPr="009C58C4">
        <w:rPr>
          <w:sz w:val="22"/>
          <w:szCs w:val="22"/>
          <w:lang w:val="sr-Latn-ME"/>
        </w:rPr>
        <w:t xml:space="preserve">a. Povećanje </w:t>
      </w:r>
      <w:r w:rsidR="00F46CDF" w:rsidRPr="009C58C4">
        <w:rPr>
          <w:sz w:val="22"/>
          <w:szCs w:val="22"/>
          <w:lang w:val="sr-Latn-ME"/>
        </w:rPr>
        <w:t>tjeles</w:t>
      </w:r>
      <w:r w:rsidRPr="009C58C4">
        <w:rPr>
          <w:sz w:val="22"/>
          <w:szCs w:val="22"/>
          <w:lang w:val="sr-Latn-ME"/>
        </w:rPr>
        <w:t xml:space="preserve">ne težine u odnosu na početnu </w:t>
      </w:r>
      <w:r w:rsidR="00F46CDF" w:rsidRPr="009C58C4">
        <w:rPr>
          <w:sz w:val="22"/>
          <w:szCs w:val="22"/>
          <w:lang w:val="sr-Latn-ME"/>
        </w:rPr>
        <w:t>vrijednost</w:t>
      </w:r>
      <w:r w:rsidRPr="009C58C4">
        <w:rPr>
          <w:sz w:val="22"/>
          <w:szCs w:val="22"/>
          <w:lang w:val="sr-Latn-ME"/>
        </w:rPr>
        <w:t xml:space="preserve"> za ≥2 kategorije percentila BMI (indeks </w:t>
      </w:r>
      <w:r w:rsidR="00F46CDF" w:rsidRPr="009C58C4">
        <w:rPr>
          <w:sz w:val="22"/>
          <w:szCs w:val="22"/>
          <w:lang w:val="sr-Latn-ME"/>
        </w:rPr>
        <w:t>tjeles</w:t>
      </w:r>
      <w:r w:rsidRPr="009C58C4">
        <w:rPr>
          <w:sz w:val="22"/>
          <w:szCs w:val="22"/>
          <w:lang w:val="sr-Latn-ME"/>
        </w:rPr>
        <w:t>ne mase) za određeni uzrast je primećeno kod 36% pacijenata.</w:t>
      </w:r>
    </w:p>
    <w:p w14:paraId="2B5E65EA" w14:textId="77777777" w:rsidR="00C455E5" w:rsidRPr="009C58C4" w:rsidRDefault="00C455E5" w:rsidP="00226369">
      <w:pPr>
        <w:jc w:val="both"/>
        <w:rPr>
          <w:sz w:val="22"/>
          <w:szCs w:val="22"/>
          <w:lang w:val="sr-Latn-ME"/>
        </w:rPr>
      </w:pPr>
    </w:p>
    <w:p w14:paraId="5F787D93" w14:textId="77777777" w:rsidR="00C455E5" w:rsidRPr="009C58C4" w:rsidRDefault="00C455E5" w:rsidP="00226369">
      <w:pPr>
        <w:keepNext/>
        <w:jc w:val="both"/>
        <w:rPr>
          <w:i/>
          <w:sz w:val="22"/>
          <w:szCs w:val="22"/>
          <w:u w:val="single"/>
          <w:lang w:val="sr-Latn-ME"/>
        </w:rPr>
      </w:pPr>
      <w:r w:rsidRPr="009C58C4">
        <w:rPr>
          <w:i/>
          <w:sz w:val="22"/>
          <w:szCs w:val="22"/>
          <w:u w:val="single"/>
          <w:lang w:val="sr-Latn-ME"/>
        </w:rPr>
        <w:t>Krvarenje</w:t>
      </w:r>
    </w:p>
    <w:p w14:paraId="2C7659C1" w14:textId="548A6B79" w:rsidR="00C455E5" w:rsidRPr="009C58C4" w:rsidRDefault="00C455E5" w:rsidP="00226369">
      <w:pPr>
        <w:jc w:val="both"/>
        <w:rPr>
          <w:sz w:val="22"/>
          <w:szCs w:val="22"/>
          <w:lang w:val="sr-Latn-ME"/>
        </w:rPr>
      </w:pPr>
      <w:r w:rsidRPr="009C58C4">
        <w:rPr>
          <w:sz w:val="22"/>
          <w:szCs w:val="22"/>
          <w:lang w:val="sr-Latn-ME"/>
        </w:rPr>
        <w:t xml:space="preserve">Događaji krvarenja su primećeni kod 34% pedijatrijskih pacijenata, </w:t>
      </w:r>
      <w:bookmarkStart w:id="22" w:name="_Hlk142597312"/>
      <w:r w:rsidRPr="009C58C4">
        <w:rPr>
          <w:sz w:val="22"/>
          <w:szCs w:val="22"/>
          <w:lang w:val="sr-Latn-ME"/>
        </w:rPr>
        <w:t xml:space="preserve">sa događajima  gradusa 3 zabeleženih kod </w:t>
      </w:r>
      <w:r w:rsidRPr="009C58C4">
        <w:rPr>
          <w:rFonts w:eastAsia="MS Mincho"/>
          <w:sz w:val="22"/>
          <w:szCs w:val="22"/>
          <w:lang w:val="sr-Latn-ME" w:eastAsia="zh-CN"/>
        </w:rPr>
        <w:t>1,2% pacijenata</w:t>
      </w:r>
      <w:r w:rsidRPr="009C58C4">
        <w:rPr>
          <w:sz w:val="22"/>
          <w:szCs w:val="22"/>
          <w:lang w:val="sr-Latn-ME"/>
        </w:rPr>
        <w:t xml:space="preserve">. </w:t>
      </w:r>
      <w:bookmarkEnd w:id="22"/>
      <w:r w:rsidRPr="009C58C4">
        <w:rPr>
          <w:sz w:val="22"/>
          <w:szCs w:val="22"/>
          <w:lang w:val="sr-Latn-ME"/>
        </w:rPr>
        <w:t xml:space="preserve">Najčešći događaj krvarenja (epistaksa) je zabeležen kod 18% pedijatrijskih pacijenata. </w:t>
      </w:r>
      <w:bookmarkStart w:id="23" w:name="_Hlk134387899"/>
      <w:r w:rsidRPr="009C58C4">
        <w:rPr>
          <w:sz w:val="22"/>
          <w:szCs w:val="22"/>
          <w:lang w:val="sr-Latn-ME"/>
        </w:rPr>
        <w:t xml:space="preserve">Medijana vremena do prve pojave događaja </w:t>
      </w:r>
      <w:bookmarkEnd w:id="23"/>
      <w:r w:rsidRPr="009C58C4">
        <w:rPr>
          <w:sz w:val="22"/>
          <w:szCs w:val="22"/>
          <w:lang w:val="sr-Latn-ME"/>
        </w:rPr>
        <w:t>krvarenja kod pedijatrijskih pacijenata je bio 2,64 </w:t>
      </w:r>
      <w:r w:rsidR="0091092E" w:rsidRPr="009C58C4">
        <w:rPr>
          <w:sz w:val="22"/>
          <w:szCs w:val="22"/>
          <w:lang w:val="sr-Latn-ME"/>
        </w:rPr>
        <w:t>mjesec</w:t>
      </w:r>
      <w:r w:rsidRPr="009C58C4">
        <w:rPr>
          <w:sz w:val="22"/>
          <w:szCs w:val="22"/>
          <w:lang w:val="sr-Latn-ME"/>
        </w:rPr>
        <w:t xml:space="preserve">a. </w:t>
      </w:r>
      <w:r w:rsidRPr="009C58C4">
        <w:rPr>
          <w:iCs/>
          <w:sz w:val="22"/>
          <w:szCs w:val="22"/>
          <w:lang w:val="sr-Latn-ME"/>
        </w:rPr>
        <w:t xml:space="preserve">Kod odraslih pacijenata koji su uzimali </w:t>
      </w:r>
      <w:r w:rsidRPr="009C58C4">
        <w:rPr>
          <w:sz w:val="22"/>
          <w:szCs w:val="22"/>
          <w:lang w:val="sr-Latn-ME"/>
        </w:rPr>
        <w:t xml:space="preserve">kombinaciju trametiniba i dabrafeniba </w:t>
      </w:r>
      <w:r w:rsidRPr="009C58C4">
        <w:rPr>
          <w:iCs/>
          <w:sz w:val="22"/>
          <w:szCs w:val="22"/>
          <w:lang w:val="sr-Latn-ME"/>
        </w:rPr>
        <w:t>zabeleženi su hemoragijski događaji, uključujući obilne hemoragijske događaje i smrtonosna krvarenja.</w:t>
      </w:r>
    </w:p>
    <w:p w14:paraId="535E036D" w14:textId="77777777" w:rsidR="00C455E5" w:rsidRPr="009C58C4" w:rsidRDefault="00C455E5" w:rsidP="00226369">
      <w:pPr>
        <w:jc w:val="both"/>
        <w:rPr>
          <w:iCs/>
          <w:sz w:val="22"/>
          <w:szCs w:val="22"/>
          <w:lang w:val="sr-Latn-ME"/>
        </w:rPr>
      </w:pPr>
    </w:p>
    <w:p w14:paraId="58B63CEB" w14:textId="2F0674C7" w:rsidR="00C455E5" w:rsidRPr="009C58C4" w:rsidRDefault="00C455E5" w:rsidP="00226369">
      <w:pPr>
        <w:jc w:val="both"/>
        <w:rPr>
          <w:sz w:val="22"/>
          <w:szCs w:val="22"/>
          <w:lang w:val="sr-Latn-ME"/>
        </w:rPr>
      </w:pPr>
      <w:bookmarkStart w:id="24" w:name="_Hlk127442855"/>
      <w:r w:rsidRPr="009C58C4">
        <w:rPr>
          <w:sz w:val="22"/>
          <w:szCs w:val="22"/>
          <w:lang w:val="sr-Latn-ME"/>
        </w:rPr>
        <w:t xml:space="preserve">Rizik od krvarenja može biti povišen uz istovremenu </w:t>
      </w:r>
      <w:r w:rsidR="007F2563" w:rsidRPr="009C58C4">
        <w:rPr>
          <w:sz w:val="22"/>
          <w:szCs w:val="22"/>
          <w:lang w:val="sr-Latn-ME"/>
        </w:rPr>
        <w:t>primjen</w:t>
      </w:r>
      <w:r w:rsidRPr="009C58C4">
        <w:rPr>
          <w:sz w:val="22"/>
          <w:szCs w:val="22"/>
          <w:lang w:val="sr-Latn-ME"/>
        </w:rPr>
        <w:t>u antiagregacione ili antikoagulacione terapije.</w:t>
      </w:r>
      <w:bookmarkEnd w:id="24"/>
      <w:r w:rsidRPr="009C58C4">
        <w:rPr>
          <w:sz w:val="22"/>
          <w:szCs w:val="22"/>
          <w:lang w:val="sr-Latn-ME"/>
        </w:rPr>
        <w:t xml:space="preserve"> Ukoliko dođe do krvarenja, pacijent se mora </w:t>
      </w:r>
      <w:r w:rsidR="007F2563" w:rsidRPr="009C58C4">
        <w:rPr>
          <w:sz w:val="22"/>
          <w:szCs w:val="22"/>
          <w:lang w:val="sr-Latn-ME"/>
        </w:rPr>
        <w:t>liječ</w:t>
      </w:r>
      <w:r w:rsidRPr="009C58C4">
        <w:rPr>
          <w:sz w:val="22"/>
          <w:szCs w:val="22"/>
          <w:lang w:val="sr-Latn-ME"/>
        </w:rPr>
        <w:t>iti u skladu sa kliničkom slikom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p>
    <w:p w14:paraId="624BF8C8" w14:textId="77777777" w:rsidR="00C455E5" w:rsidRPr="009C58C4" w:rsidRDefault="00C455E5" w:rsidP="00226369">
      <w:pPr>
        <w:tabs>
          <w:tab w:val="left" w:pos="2685"/>
        </w:tabs>
        <w:autoSpaceDE w:val="0"/>
        <w:autoSpaceDN w:val="0"/>
        <w:jc w:val="both"/>
        <w:rPr>
          <w:bCs/>
          <w:iCs/>
          <w:sz w:val="22"/>
          <w:szCs w:val="22"/>
          <w:lang w:val="sr-Latn-ME"/>
        </w:rPr>
      </w:pPr>
    </w:p>
    <w:p w14:paraId="179402B3" w14:textId="77777777" w:rsidR="00C455E5" w:rsidRPr="009C58C4" w:rsidRDefault="00C455E5" w:rsidP="00226369">
      <w:pPr>
        <w:keepNext/>
        <w:jc w:val="both"/>
        <w:rPr>
          <w:i/>
          <w:sz w:val="22"/>
          <w:szCs w:val="22"/>
          <w:u w:val="single"/>
          <w:lang w:val="sr-Latn-ME"/>
        </w:rPr>
      </w:pPr>
      <w:r w:rsidRPr="009C58C4">
        <w:rPr>
          <w:bCs/>
          <w:i/>
          <w:iCs/>
          <w:sz w:val="22"/>
          <w:szCs w:val="22"/>
          <w:u w:val="single"/>
          <w:lang w:val="sr-Latn-ME"/>
        </w:rPr>
        <w:t>Smanjenje ejekcione frakcije leve komore (LVEF)/</w:t>
      </w:r>
      <w:bookmarkStart w:id="25" w:name="_Hlk142482639"/>
      <w:r w:rsidRPr="009C58C4">
        <w:rPr>
          <w:bCs/>
          <w:i/>
          <w:iCs/>
          <w:sz w:val="22"/>
          <w:szCs w:val="22"/>
          <w:u w:val="single"/>
          <w:lang w:val="sr-Latn-ME"/>
        </w:rPr>
        <w:t>disfunkcija l</w:t>
      </w:r>
      <w:bookmarkEnd w:id="25"/>
      <w:r w:rsidRPr="009C58C4">
        <w:rPr>
          <w:bCs/>
          <w:i/>
          <w:iCs/>
          <w:sz w:val="22"/>
          <w:szCs w:val="22"/>
          <w:u w:val="single"/>
          <w:lang w:val="sr-Latn-ME"/>
        </w:rPr>
        <w:t>eve komore</w:t>
      </w:r>
    </w:p>
    <w:p w14:paraId="2438520A" w14:textId="4B96D231" w:rsidR="00C455E5" w:rsidRPr="009C58C4" w:rsidRDefault="00C455E5" w:rsidP="00226369">
      <w:pPr>
        <w:jc w:val="both"/>
        <w:rPr>
          <w:noProof/>
          <w:color w:val="000000"/>
          <w:sz w:val="22"/>
          <w:szCs w:val="22"/>
          <w:shd w:val="clear" w:color="auto" w:fill="FFFFFF"/>
          <w:lang w:val="sr-Latn-ME"/>
        </w:rPr>
      </w:pPr>
      <w:r w:rsidRPr="009C58C4">
        <w:rPr>
          <w:sz w:val="22"/>
          <w:szCs w:val="22"/>
          <w:lang w:val="sr-Latn-ME"/>
        </w:rPr>
        <w:t xml:space="preserve">Smanjeni LVEF je zabeležen kod 5,3% pedijatrijskih pacijenata, sa događajima 3. gradusa zabeleženim kod </w:t>
      </w:r>
      <w:r w:rsidRPr="009C58C4">
        <w:rPr>
          <w:rFonts w:eastAsia="MS Mincho"/>
          <w:sz w:val="22"/>
          <w:szCs w:val="22"/>
          <w:lang w:val="sr-Latn-ME" w:eastAsia="zh-CN"/>
        </w:rPr>
        <w:t>&lt;1% pacijenata.</w:t>
      </w:r>
      <w:r w:rsidRPr="009C58C4">
        <w:rPr>
          <w:sz w:val="22"/>
          <w:szCs w:val="22"/>
          <w:lang w:val="sr-Latn-ME"/>
        </w:rPr>
        <w:t xml:space="preserve"> Medijana vremena do prve pojave smanjenja LVEF je bila oko </w:t>
      </w:r>
      <w:r w:rsidR="0091092E" w:rsidRPr="009C58C4">
        <w:rPr>
          <w:sz w:val="22"/>
          <w:szCs w:val="22"/>
          <w:lang w:val="sr-Latn-ME"/>
        </w:rPr>
        <w:t>mjesec</w:t>
      </w:r>
      <w:r w:rsidRPr="009C58C4">
        <w:rPr>
          <w:sz w:val="22"/>
          <w:szCs w:val="22"/>
          <w:lang w:val="sr-Latn-ME"/>
        </w:rPr>
        <w:t xml:space="preserve"> dana.</w:t>
      </w:r>
      <w:r w:rsidRPr="009C58C4">
        <w:rPr>
          <w:noProof/>
          <w:color w:val="000000"/>
          <w:sz w:val="22"/>
          <w:szCs w:val="22"/>
          <w:shd w:val="clear" w:color="auto" w:fill="FFFFFF"/>
          <w:lang w:val="sr-Latn-ME"/>
        </w:rPr>
        <w:t xml:space="preserve"> </w:t>
      </w:r>
      <w:r w:rsidRPr="009C58C4">
        <w:rPr>
          <w:color w:val="000000"/>
          <w:sz w:val="22"/>
          <w:szCs w:val="22"/>
          <w:shd w:val="clear" w:color="auto" w:fill="FFFFFF"/>
          <w:lang w:val="sr-Latn-ME"/>
        </w:rPr>
        <w:t>U kliničkim ispitivanjima kod odraslih pacijenata, medijana vremena do prve pojave disfunkcije leve komore, insuficijencije srca i smanjenja LVEF-a je iznosila 2 do 5 </w:t>
      </w:r>
      <w:r w:rsidR="0091092E" w:rsidRPr="009C58C4">
        <w:rPr>
          <w:color w:val="000000"/>
          <w:sz w:val="22"/>
          <w:szCs w:val="22"/>
          <w:shd w:val="clear" w:color="auto" w:fill="FFFFFF"/>
          <w:lang w:val="sr-Latn-ME"/>
        </w:rPr>
        <w:t>mjesec</w:t>
      </w:r>
      <w:r w:rsidRPr="009C58C4">
        <w:rPr>
          <w:color w:val="000000"/>
          <w:sz w:val="22"/>
          <w:szCs w:val="22"/>
          <w:shd w:val="clear" w:color="auto" w:fill="FFFFFF"/>
          <w:lang w:val="sr-Latn-ME"/>
        </w:rPr>
        <w:t>i.</w:t>
      </w:r>
    </w:p>
    <w:p w14:paraId="1FB00846" w14:textId="77777777" w:rsidR="00C455E5" w:rsidRPr="009C58C4" w:rsidRDefault="00C455E5" w:rsidP="00226369">
      <w:pPr>
        <w:jc w:val="both"/>
        <w:rPr>
          <w:sz w:val="22"/>
          <w:szCs w:val="22"/>
          <w:lang w:val="sr-Latn-ME"/>
        </w:rPr>
      </w:pPr>
    </w:p>
    <w:p w14:paraId="3F3A3993" w14:textId="5BEC7870" w:rsidR="00C455E5" w:rsidRPr="009C58C4" w:rsidRDefault="00C455E5" w:rsidP="00226369">
      <w:pPr>
        <w:jc w:val="both"/>
        <w:rPr>
          <w:sz w:val="22"/>
          <w:szCs w:val="22"/>
          <w:lang w:val="sr-Latn-ME"/>
        </w:rPr>
      </w:pPr>
      <w:r w:rsidRPr="009C58C4">
        <w:rPr>
          <w:sz w:val="22"/>
          <w:szCs w:val="22"/>
          <w:lang w:val="sr-Latn-ME"/>
        </w:rPr>
        <w:lastRenderedPageBreak/>
        <w:t xml:space="preserve">Pacijenti čija je </w:t>
      </w:r>
      <w:r w:rsidR="00F46CDF" w:rsidRPr="009C58C4">
        <w:rPr>
          <w:sz w:val="22"/>
          <w:szCs w:val="22"/>
          <w:lang w:val="sr-Latn-ME"/>
        </w:rPr>
        <w:t>vrijednost</w:t>
      </w:r>
      <w:r w:rsidRPr="009C58C4">
        <w:rPr>
          <w:sz w:val="22"/>
          <w:szCs w:val="22"/>
          <w:lang w:val="sr-Latn-ME"/>
        </w:rPr>
        <w:t xml:space="preserve"> LVEF-a bila niža od donje granice normalnih </w:t>
      </w:r>
      <w:r w:rsidR="00F46CDF" w:rsidRPr="009C58C4">
        <w:rPr>
          <w:sz w:val="22"/>
          <w:szCs w:val="22"/>
          <w:lang w:val="sr-Latn-ME"/>
        </w:rPr>
        <w:t>vrijednost</w:t>
      </w:r>
      <w:r w:rsidRPr="009C58C4">
        <w:rPr>
          <w:sz w:val="22"/>
          <w:szCs w:val="22"/>
          <w:lang w:val="sr-Latn-ME"/>
        </w:rPr>
        <w:t>i za ustanovu nisu bili uključivani u klinička ispitivanja s</w:t>
      </w:r>
      <w:r w:rsidR="00C97935" w:rsidRPr="009C58C4">
        <w:rPr>
          <w:sz w:val="22"/>
          <w:szCs w:val="22"/>
          <w:lang w:val="sr-Latn-ME"/>
        </w:rPr>
        <w:t>a</w:t>
      </w:r>
      <w:r w:rsidRPr="009C58C4">
        <w:rPr>
          <w:sz w:val="22"/>
          <w:szCs w:val="22"/>
          <w:lang w:val="sr-Latn-ME"/>
        </w:rPr>
        <w:t xml:space="preserve"> trametinibom. Trametinib u kombinaciji s</w:t>
      </w:r>
      <w:r w:rsidR="00615BBD" w:rsidRPr="009C58C4">
        <w:rPr>
          <w:sz w:val="22"/>
          <w:szCs w:val="22"/>
          <w:lang w:val="sr-Latn-ME"/>
        </w:rPr>
        <w:t>a</w:t>
      </w:r>
      <w:r w:rsidRPr="009C58C4">
        <w:rPr>
          <w:sz w:val="22"/>
          <w:szCs w:val="22"/>
          <w:lang w:val="sr-Latn-ME"/>
        </w:rPr>
        <w:t xml:space="preserve"> dabrafenibom treba </w:t>
      </w:r>
      <w:r w:rsidR="007F2563" w:rsidRPr="009C58C4">
        <w:rPr>
          <w:sz w:val="22"/>
          <w:szCs w:val="22"/>
          <w:lang w:val="sr-Latn-ME"/>
        </w:rPr>
        <w:t>primjen</w:t>
      </w:r>
      <w:r w:rsidRPr="009C58C4">
        <w:rPr>
          <w:sz w:val="22"/>
          <w:szCs w:val="22"/>
          <w:lang w:val="sr-Latn-ME"/>
        </w:rPr>
        <w:t>jivati s</w:t>
      </w:r>
      <w:r w:rsidR="00615BBD" w:rsidRPr="009C58C4">
        <w:rPr>
          <w:sz w:val="22"/>
          <w:szCs w:val="22"/>
          <w:lang w:val="sr-Latn-ME"/>
        </w:rPr>
        <w:t>a</w:t>
      </w:r>
      <w:r w:rsidRPr="009C58C4">
        <w:rPr>
          <w:sz w:val="22"/>
          <w:szCs w:val="22"/>
          <w:lang w:val="sr-Latn-ME"/>
        </w:rPr>
        <w:t xml:space="preserve"> oprezom kod pacijenata sa stanjima koja mogu oštetiti funkciju leve komore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dijelove</w:t>
      </w:r>
      <w:r w:rsidRPr="009C58C4">
        <w:rPr>
          <w:sz w:val="22"/>
          <w:szCs w:val="22"/>
          <w:lang w:val="sr-Latn-ME"/>
        </w:rPr>
        <w:t> 4.2 i 4.4).</w:t>
      </w:r>
    </w:p>
    <w:p w14:paraId="37BF9591" w14:textId="77777777" w:rsidR="00C455E5" w:rsidRPr="009C58C4" w:rsidRDefault="00C455E5" w:rsidP="00226369">
      <w:pPr>
        <w:jc w:val="both"/>
        <w:rPr>
          <w:sz w:val="22"/>
          <w:szCs w:val="22"/>
          <w:lang w:val="sr-Latn-ME"/>
        </w:rPr>
      </w:pPr>
    </w:p>
    <w:p w14:paraId="4BD9BB5C" w14:textId="77777777" w:rsidR="00C455E5" w:rsidRPr="009C58C4" w:rsidRDefault="00C455E5" w:rsidP="00226369">
      <w:pPr>
        <w:keepNext/>
        <w:jc w:val="both"/>
        <w:rPr>
          <w:bCs/>
          <w:i/>
          <w:iCs/>
          <w:sz w:val="22"/>
          <w:szCs w:val="22"/>
          <w:u w:val="single"/>
          <w:lang w:val="sr-Latn-ME"/>
        </w:rPr>
      </w:pPr>
      <w:r w:rsidRPr="009C58C4">
        <w:rPr>
          <w:bCs/>
          <w:i/>
          <w:iCs/>
          <w:sz w:val="22"/>
          <w:szCs w:val="22"/>
          <w:u w:val="single"/>
          <w:lang w:val="sr-Latn-ME"/>
        </w:rPr>
        <w:t>Pireksija</w:t>
      </w:r>
    </w:p>
    <w:p w14:paraId="7AF59089" w14:textId="72FD231E" w:rsidR="00C455E5" w:rsidRPr="009C58C4" w:rsidRDefault="00C455E5" w:rsidP="00226369">
      <w:pPr>
        <w:jc w:val="both"/>
        <w:rPr>
          <w:sz w:val="22"/>
          <w:szCs w:val="22"/>
          <w:lang w:val="sr-Latn-ME"/>
        </w:rPr>
      </w:pPr>
      <w:r w:rsidRPr="009C58C4">
        <w:rPr>
          <w:sz w:val="22"/>
          <w:szCs w:val="22"/>
          <w:lang w:val="sr-Latn-ME"/>
        </w:rPr>
        <w:t>Pireksija je zabeležena u kliničkim ispitivanjima sa trametinibom u monoterapiji i u kombinaciji sa dabrafenibom; međutim, incidenca i težina pireksije povećavaju se s</w:t>
      </w:r>
      <w:r w:rsidR="00615BBD" w:rsidRPr="009C58C4">
        <w:rPr>
          <w:sz w:val="22"/>
          <w:szCs w:val="22"/>
          <w:lang w:val="sr-Latn-ME"/>
        </w:rPr>
        <w:t>a</w:t>
      </w:r>
      <w:r w:rsidRPr="009C58C4">
        <w:rPr>
          <w:sz w:val="22"/>
          <w:szCs w:val="22"/>
          <w:lang w:val="sr-Latn-ME"/>
        </w:rPr>
        <w:t xml:space="preserve"> kombinovanom terapijom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4.4). Pireksija je zabeležena u 70 % pedijatrijskih pacijenata, uz pojavu događaja gradusa 3 u 11 % pacijenata.</w:t>
      </w:r>
      <w:r w:rsidRPr="009C58C4">
        <w:rPr>
          <w:rFonts w:eastAsia="SimSun"/>
          <w:sz w:val="22"/>
          <w:szCs w:val="22"/>
          <w:lang w:val="sr-Latn-ME"/>
        </w:rPr>
        <w:t xml:space="preserve"> </w:t>
      </w:r>
      <w:r w:rsidR="00F46CDF" w:rsidRPr="009C58C4">
        <w:rPr>
          <w:sz w:val="22"/>
          <w:szCs w:val="22"/>
          <w:lang w:val="sr-Latn-ME"/>
        </w:rPr>
        <w:t>Vidjet</w:t>
      </w:r>
      <w:r w:rsidRPr="009C58C4">
        <w:rPr>
          <w:sz w:val="22"/>
          <w:szCs w:val="22"/>
          <w:lang w:val="sr-Latn-ME"/>
        </w:rPr>
        <w:t xml:space="preserve">i Sažetak karakteristika </w:t>
      </w:r>
      <w:r w:rsidR="007F2563" w:rsidRPr="009C58C4">
        <w:rPr>
          <w:sz w:val="22"/>
          <w:szCs w:val="22"/>
          <w:lang w:val="sr-Latn-ME"/>
        </w:rPr>
        <w:t>lijek</w:t>
      </w:r>
      <w:r w:rsidRPr="009C58C4">
        <w:rPr>
          <w:sz w:val="22"/>
          <w:szCs w:val="22"/>
          <w:lang w:val="sr-Latn-ME"/>
        </w:rPr>
        <w:t>a za dabrafenib tablete za oralnu suspenziju.</w:t>
      </w:r>
    </w:p>
    <w:p w14:paraId="39B6C8FD" w14:textId="77777777" w:rsidR="00C455E5" w:rsidRPr="009C58C4" w:rsidRDefault="00C455E5" w:rsidP="00226369">
      <w:pPr>
        <w:jc w:val="both"/>
        <w:rPr>
          <w:sz w:val="22"/>
          <w:szCs w:val="22"/>
          <w:lang w:val="sr-Latn-ME"/>
        </w:rPr>
      </w:pPr>
    </w:p>
    <w:p w14:paraId="34495712" w14:textId="77777777" w:rsidR="00C455E5" w:rsidRPr="009C58C4" w:rsidRDefault="00C455E5" w:rsidP="00226369">
      <w:pPr>
        <w:widowControl w:val="0"/>
        <w:jc w:val="both"/>
        <w:rPr>
          <w:i/>
          <w:iCs/>
          <w:sz w:val="22"/>
          <w:szCs w:val="22"/>
          <w:u w:val="single"/>
          <w:lang w:val="sr-Latn-ME"/>
        </w:rPr>
      </w:pPr>
      <w:r w:rsidRPr="009C58C4">
        <w:rPr>
          <w:i/>
          <w:iCs/>
          <w:sz w:val="22"/>
          <w:szCs w:val="22"/>
          <w:u w:val="single"/>
          <w:lang w:val="sr-Latn-ME"/>
        </w:rPr>
        <w:t>Događaji na nivou jetre</w:t>
      </w:r>
    </w:p>
    <w:p w14:paraId="7C9E1A1D" w14:textId="58D8426B" w:rsidR="00C455E5" w:rsidRPr="009C58C4" w:rsidRDefault="00C455E5" w:rsidP="00226369">
      <w:pPr>
        <w:jc w:val="both"/>
        <w:rPr>
          <w:sz w:val="22"/>
          <w:szCs w:val="22"/>
          <w:lang w:val="sr-Latn-ME"/>
        </w:rPr>
      </w:pPr>
      <w:r w:rsidRPr="009C58C4">
        <w:rPr>
          <w:sz w:val="22"/>
          <w:szCs w:val="22"/>
          <w:lang w:val="sr-Latn-ME"/>
        </w:rPr>
        <w:t>Kod odraslih i pedijatrijskih pacijenata u kliničkim ispitivanjima trametiniba u kombinaciji s</w:t>
      </w:r>
      <w:r w:rsidR="00615BBD" w:rsidRPr="009C58C4">
        <w:rPr>
          <w:sz w:val="22"/>
          <w:szCs w:val="22"/>
          <w:lang w:val="sr-Latn-ME"/>
        </w:rPr>
        <w:t>a</w:t>
      </w:r>
      <w:r w:rsidRPr="009C58C4">
        <w:rPr>
          <w:sz w:val="22"/>
          <w:szCs w:val="22"/>
          <w:lang w:val="sr-Latn-ME"/>
        </w:rPr>
        <w:t xml:space="preserve"> dabrafenibom su prijavljene neželjene reakcije na nivou jetre. U pedijatrijskoj populaciji za </w:t>
      </w:r>
      <w:r w:rsidR="007F2563" w:rsidRPr="009C58C4">
        <w:rPr>
          <w:sz w:val="22"/>
          <w:szCs w:val="22"/>
          <w:lang w:val="sr-Latn-ME"/>
        </w:rPr>
        <w:t>procjen</w:t>
      </w:r>
      <w:r w:rsidRPr="009C58C4">
        <w:rPr>
          <w:sz w:val="22"/>
          <w:szCs w:val="22"/>
          <w:lang w:val="sr-Latn-ME"/>
        </w:rPr>
        <w:t xml:space="preserve">u </w:t>
      </w:r>
      <w:r w:rsidR="00F46CDF" w:rsidRPr="009C58C4">
        <w:rPr>
          <w:sz w:val="22"/>
          <w:szCs w:val="22"/>
          <w:lang w:val="sr-Latn-ME"/>
        </w:rPr>
        <w:t>bezbjed</w:t>
      </w:r>
      <w:r w:rsidRPr="009C58C4">
        <w:rPr>
          <w:sz w:val="22"/>
          <w:szCs w:val="22"/>
          <w:lang w:val="sr-Latn-ME"/>
        </w:rPr>
        <w:t xml:space="preserve">nosti, povišene </w:t>
      </w:r>
      <w:r w:rsidR="00F46CDF" w:rsidRPr="009C58C4">
        <w:rPr>
          <w:sz w:val="22"/>
          <w:szCs w:val="22"/>
          <w:lang w:val="sr-Latn-ME"/>
        </w:rPr>
        <w:t>vrijednost</w:t>
      </w:r>
      <w:r w:rsidRPr="009C58C4">
        <w:rPr>
          <w:sz w:val="22"/>
          <w:szCs w:val="22"/>
          <w:lang w:val="sr-Latn-ME"/>
        </w:rPr>
        <w:t>i ALT i AST su bile vrlo čest</w:t>
      </w:r>
      <w:bookmarkStart w:id="26" w:name="_Hlk142597569"/>
      <w:r w:rsidRPr="009C58C4">
        <w:rPr>
          <w:sz w:val="22"/>
          <w:szCs w:val="22"/>
          <w:lang w:val="sr-Latn-ME"/>
        </w:rPr>
        <w:t xml:space="preserve">e, prijavljene kod </w:t>
      </w:r>
      <w:bookmarkEnd w:id="26"/>
      <w:r w:rsidRPr="009C58C4">
        <w:rPr>
          <w:sz w:val="22"/>
          <w:szCs w:val="22"/>
          <w:lang w:val="sr-Latn-ME"/>
        </w:rPr>
        <w:t>13% i 16% pacijenata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r w:rsidRPr="009C58C4">
        <w:rPr>
          <w:rFonts w:eastAsia="MS Mincho"/>
          <w:sz w:val="22"/>
          <w:szCs w:val="22"/>
          <w:lang w:val="sr-Latn-ME"/>
        </w:rPr>
        <w:t xml:space="preserve"> </w:t>
      </w:r>
      <w:r w:rsidRPr="009C58C4">
        <w:rPr>
          <w:sz w:val="22"/>
          <w:szCs w:val="22"/>
          <w:lang w:val="sr-Latn-ME"/>
        </w:rPr>
        <w:t>Kod odraslih pacijenata najčešće neželjene reakcije povezane s</w:t>
      </w:r>
      <w:r w:rsidR="00615BBD" w:rsidRPr="009C58C4">
        <w:rPr>
          <w:sz w:val="22"/>
          <w:szCs w:val="22"/>
          <w:lang w:val="sr-Latn-ME"/>
        </w:rPr>
        <w:t>a</w:t>
      </w:r>
      <w:r w:rsidRPr="009C58C4">
        <w:rPr>
          <w:sz w:val="22"/>
          <w:szCs w:val="22"/>
          <w:lang w:val="sr-Latn-ME"/>
        </w:rPr>
        <w:t xml:space="preserve"> jetrom bile su povišene </w:t>
      </w:r>
      <w:r w:rsidR="00F46CDF" w:rsidRPr="009C58C4">
        <w:rPr>
          <w:sz w:val="22"/>
          <w:szCs w:val="22"/>
          <w:lang w:val="sr-Latn-ME"/>
        </w:rPr>
        <w:t>vrijednost</w:t>
      </w:r>
      <w:r w:rsidRPr="009C58C4">
        <w:rPr>
          <w:sz w:val="22"/>
          <w:szCs w:val="22"/>
          <w:lang w:val="sr-Latn-ME"/>
        </w:rPr>
        <w:t>i ALT-a i AST-a, koje su većinom bile  gradusa 1 ili 2. Kod monoterapije trametinibom se više od 90 % tih događaja na nivou jetre javilo unutar prvih 6 </w:t>
      </w:r>
      <w:r w:rsidR="0091092E" w:rsidRPr="009C58C4">
        <w:rPr>
          <w:sz w:val="22"/>
          <w:szCs w:val="22"/>
          <w:lang w:val="sr-Latn-ME"/>
        </w:rPr>
        <w:t>mjesec</w:t>
      </w:r>
      <w:r w:rsidRPr="009C58C4">
        <w:rPr>
          <w:sz w:val="22"/>
          <w:szCs w:val="22"/>
          <w:lang w:val="sr-Latn-ME"/>
        </w:rPr>
        <w:t xml:space="preserve">i </w:t>
      </w:r>
      <w:r w:rsidR="007F2563" w:rsidRPr="009C58C4">
        <w:rPr>
          <w:sz w:val="22"/>
          <w:szCs w:val="22"/>
          <w:lang w:val="sr-Latn-ME"/>
        </w:rPr>
        <w:t>liječ</w:t>
      </w:r>
      <w:r w:rsidRPr="009C58C4">
        <w:rPr>
          <w:sz w:val="22"/>
          <w:szCs w:val="22"/>
          <w:lang w:val="sr-Latn-ME"/>
        </w:rPr>
        <w:t xml:space="preserve">enja. Događaji na nivou jetre bili su uočeni u kliničkim ispitivanjima u kojima se kontrola sprovodila svake četiri </w:t>
      </w:r>
      <w:r w:rsidR="00F46CDF" w:rsidRPr="009C58C4">
        <w:rPr>
          <w:sz w:val="22"/>
          <w:szCs w:val="22"/>
          <w:lang w:val="sr-Latn-ME"/>
        </w:rPr>
        <w:t>nedjelj</w:t>
      </w:r>
      <w:r w:rsidRPr="009C58C4">
        <w:rPr>
          <w:sz w:val="22"/>
          <w:szCs w:val="22"/>
          <w:lang w:val="sr-Latn-ME"/>
        </w:rPr>
        <w:t xml:space="preserve">e. Kod pacijenata koji se </w:t>
      </w:r>
      <w:r w:rsidR="007F2563" w:rsidRPr="009C58C4">
        <w:rPr>
          <w:sz w:val="22"/>
          <w:szCs w:val="22"/>
          <w:lang w:val="sr-Latn-ME"/>
        </w:rPr>
        <w:t>liječ</w:t>
      </w:r>
      <w:r w:rsidRPr="009C58C4">
        <w:rPr>
          <w:sz w:val="22"/>
          <w:szCs w:val="22"/>
          <w:lang w:val="sr-Latn-ME"/>
        </w:rPr>
        <w:t xml:space="preserve">e trametinibom preporučuje se kontrolisati funkciju jetre svake četiri </w:t>
      </w:r>
      <w:r w:rsidR="00F46CDF" w:rsidRPr="009C58C4">
        <w:rPr>
          <w:sz w:val="22"/>
          <w:szCs w:val="22"/>
          <w:lang w:val="sr-Latn-ME"/>
        </w:rPr>
        <w:t>nedjelj</w:t>
      </w:r>
      <w:r w:rsidRPr="009C58C4">
        <w:rPr>
          <w:sz w:val="22"/>
          <w:szCs w:val="22"/>
          <w:lang w:val="sr-Latn-ME"/>
        </w:rPr>
        <w:t>e tokom 6 </w:t>
      </w:r>
      <w:r w:rsidR="0091092E" w:rsidRPr="009C58C4">
        <w:rPr>
          <w:sz w:val="22"/>
          <w:szCs w:val="22"/>
          <w:lang w:val="sr-Latn-ME"/>
        </w:rPr>
        <w:t>mjesec</w:t>
      </w:r>
      <w:r w:rsidRPr="009C58C4">
        <w:rPr>
          <w:sz w:val="22"/>
          <w:szCs w:val="22"/>
          <w:lang w:val="sr-Latn-ME"/>
        </w:rPr>
        <w:t>i. Nakon toga se praćenje funkcije jetre može nastaviti kako je klinički indikovano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p>
    <w:p w14:paraId="585CBCCD" w14:textId="77777777" w:rsidR="00C455E5" w:rsidRPr="009C58C4" w:rsidRDefault="00C455E5" w:rsidP="00226369">
      <w:pPr>
        <w:jc w:val="both"/>
        <w:rPr>
          <w:rFonts w:eastAsia="MS Mincho"/>
          <w:sz w:val="22"/>
          <w:szCs w:val="22"/>
          <w:lang w:val="sr-Latn-ME"/>
        </w:rPr>
      </w:pPr>
    </w:p>
    <w:p w14:paraId="78C3DE75" w14:textId="3A186007" w:rsidR="00C455E5" w:rsidRPr="009C58C4" w:rsidRDefault="00C455E5" w:rsidP="00226369">
      <w:pPr>
        <w:keepNext/>
        <w:autoSpaceDE w:val="0"/>
        <w:autoSpaceDN w:val="0"/>
        <w:jc w:val="both"/>
        <w:rPr>
          <w:rFonts w:eastAsia="Calibri"/>
          <w:i/>
          <w:sz w:val="22"/>
          <w:szCs w:val="22"/>
          <w:u w:val="single"/>
          <w:lang w:val="sr-Latn-ME" w:eastAsia="en-GB"/>
        </w:rPr>
      </w:pPr>
      <w:r w:rsidRPr="009C58C4">
        <w:rPr>
          <w:rFonts w:eastAsia="Calibri"/>
          <w:i/>
          <w:sz w:val="22"/>
          <w:szCs w:val="22"/>
          <w:u w:val="single"/>
          <w:lang w:val="sr-Latn-ME" w:eastAsia="en-GB"/>
        </w:rPr>
        <w:t>Prom</w:t>
      </w:r>
      <w:r w:rsidR="0091092E" w:rsidRPr="009C58C4">
        <w:rPr>
          <w:rFonts w:eastAsia="Calibri"/>
          <w:i/>
          <w:sz w:val="22"/>
          <w:szCs w:val="22"/>
          <w:u w:val="single"/>
          <w:lang w:val="sr-Latn-ME" w:eastAsia="en-GB"/>
        </w:rPr>
        <w:t>j</w:t>
      </w:r>
      <w:r w:rsidRPr="009C58C4">
        <w:rPr>
          <w:rFonts w:eastAsia="Calibri"/>
          <w:i/>
          <w:sz w:val="22"/>
          <w:szCs w:val="22"/>
          <w:u w:val="single"/>
          <w:lang w:val="sr-Latn-ME" w:eastAsia="en-GB"/>
        </w:rPr>
        <w:t xml:space="preserve">ene </w:t>
      </w:r>
      <w:r w:rsidR="00F46CDF" w:rsidRPr="009C58C4">
        <w:rPr>
          <w:rFonts w:eastAsia="Calibri"/>
          <w:i/>
          <w:sz w:val="22"/>
          <w:szCs w:val="22"/>
          <w:u w:val="single"/>
          <w:lang w:val="sr-Latn-ME" w:eastAsia="en-GB"/>
        </w:rPr>
        <w:t>vrijednost</w:t>
      </w:r>
      <w:r w:rsidRPr="009C58C4">
        <w:rPr>
          <w:rFonts w:eastAsia="Calibri"/>
          <w:i/>
          <w:sz w:val="22"/>
          <w:szCs w:val="22"/>
          <w:u w:val="single"/>
          <w:lang w:val="sr-Latn-ME" w:eastAsia="en-GB"/>
        </w:rPr>
        <w:t>i krvnog pritiska</w:t>
      </w:r>
    </w:p>
    <w:p w14:paraId="0D3A347B" w14:textId="19626CAC" w:rsidR="00C455E5" w:rsidRPr="009C58C4" w:rsidRDefault="00C455E5" w:rsidP="00226369">
      <w:pPr>
        <w:jc w:val="both"/>
        <w:rPr>
          <w:sz w:val="22"/>
          <w:szCs w:val="22"/>
          <w:lang w:val="sr-Latn-ME"/>
        </w:rPr>
      </w:pPr>
      <w:r w:rsidRPr="009C58C4">
        <w:rPr>
          <w:bCs/>
          <w:sz w:val="22"/>
          <w:szCs w:val="22"/>
          <w:lang w:val="sr-Latn-ME"/>
        </w:rPr>
        <w:t>Hipertenzija je zab</w:t>
      </w:r>
      <w:r w:rsidR="0091092E" w:rsidRPr="009C58C4">
        <w:rPr>
          <w:bCs/>
          <w:sz w:val="22"/>
          <w:szCs w:val="22"/>
          <w:lang w:val="sr-Latn-ME"/>
        </w:rPr>
        <w:t>ilj</w:t>
      </w:r>
      <w:r w:rsidRPr="009C58C4">
        <w:rPr>
          <w:bCs/>
          <w:sz w:val="22"/>
          <w:szCs w:val="22"/>
          <w:lang w:val="sr-Latn-ME"/>
        </w:rPr>
        <w:t>ežena kod 2,3% pedijatrijskih pacijenata, sa događajima težine gradusa 3 koji su se pojavili kod 1,2% pacijenata.</w:t>
      </w:r>
      <w:r w:rsidRPr="009C58C4">
        <w:rPr>
          <w:sz w:val="22"/>
          <w:szCs w:val="22"/>
          <w:lang w:val="sr-Latn-ME"/>
        </w:rPr>
        <w:t xml:space="preserve"> Medijana vremena do prve pojave hipertenzije kod pedijatrijskih pacijenata je bila 5,4 </w:t>
      </w:r>
      <w:r w:rsidR="0091092E" w:rsidRPr="009C58C4">
        <w:rPr>
          <w:sz w:val="22"/>
          <w:szCs w:val="22"/>
          <w:lang w:val="sr-Latn-ME"/>
        </w:rPr>
        <w:t>mjesec</w:t>
      </w:r>
      <w:r w:rsidRPr="009C58C4">
        <w:rPr>
          <w:sz w:val="22"/>
          <w:szCs w:val="22"/>
          <w:lang w:val="sr-Latn-ME"/>
        </w:rPr>
        <w:t>a.</w:t>
      </w:r>
    </w:p>
    <w:p w14:paraId="0CFBFD79" w14:textId="77777777" w:rsidR="00C455E5" w:rsidRPr="009C58C4" w:rsidRDefault="00C455E5" w:rsidP="00226369">
      <w:pPr>
        <w:autoSpaceDE w:val="0"/>
        <w:autoSpaceDN w:val="0"/>
        <w:adjustRightInd w:val="0"/>
        <w:jc w:val="both"/>
        <w:rPr>
          <w:sz w:val="22"/>
          <w:szCs w:val="22"/>
          <w:lang w:val="sr-Latn-ME"/>
        </w:rPr>
      </w:pPr>
    </w:p>
    <w:p w14:paraId="3A37B392" w14:textId="5E4EE86B" w:rsidR="00C455E5" w:rsidRPr="009C58C4" w:rsidRDefault="00C455E5" w:rsidP="00226369">
      <w:pPr>
        <w:jc w:val="both"/>
        <w:rPr>
          <w:bCs/>
          <w:sz w:val="22"/>
          <w:szCs w:val="22"/>
          <w:lang w:val="sr-Latn-ME"/>
        </w:rPr>
      </w:pPr>
      <w:r w:rsidRPr="009C58C4">
        <w:rPr>
          <w:bCs/>
          <w:sz w:val="22"/>
          <w:szCs w:val="22"/>
          <w:lang w:val="sr-Latn-ME"/>
        </w:rPr>
        <w:t>Hipotenzija je zab</w:t>
      </w:r>
      <w:r w:rsidR="0091092E" w:rsidRPr="009C58C4">
        <w:rPr>
          <w:bCs/>
          <w:sz w:val="22"/>
          <w:szCs w:val="22"/>
          <w:lang w:val="sr-Latn-ME"/>
        </w:rPr>
        <w:t>ilj</w:t>
      </w:r>
      <w:r w:rsidRPr="009C58C4">
        <w:rPr>
          <w:bCs/>
          <w:sz w:val="22"/>
          <w:szCs w:val="22"/>
          <w:lang w:val="sr-Latn-ME"/>
        </w:rPr>
        <w:t xml:space="preserve">ežena kod 4,1% pedijatrijskih pacijenata, sa pojavom događaja gradusa </w:t>
      </w:r>
      <w:r w:rsidRPr="009C58C4">
        <w:rPr>
          <w:sz w:val="22"/>
          <w:szCs w:val="22"/>
          <w:lang w:val="sr-Latn-ME"/>
        </w:rPr>
        <w:t>≥</w:t>
      </w:r>
      <w:r w:rsidRPr="009C58C4">
        <w:rPr>
          <w:bCs/>
          <w:sz w:val="22"/>
          <w:szCs w:val="22"/>
          <w:lang w:val="sr-Latn-ME"/>
        </w:rPr>
        <w:t> 3 kod 2,3% pacijenata. Medijana vremena do prve pojave hipotenzije kod pedijatrijskih pacijenata je bila 2,2 </w:t>
      </w:r>
      <w:r w:rsidR="0091092E" w:rsidRPr="009C58C4">
        <w:rPr>
          <w:bCs/>
          <w:sz w:val="22"/>
          <w:szCs w:val="22"/>
          <w:lang w:val="sr-Latn-ME"/>
        </w:rPr>
        <w:t>mjesec</w:t>
      </w:r>
      <w:r w:rsidRPr="009C58C4">
        <w:rPr>
          <w:bCs/>
          <w:sz w:val="22"/>
          <w:szCs w:val="22"/>
          <w:lang w:val="sr-Latn-ME"/>
        </w:rPr>
        <w:t>a.</w:t>
      </w:r>
    </w:p>
    <w:p w14:paraId="05F0ACC1" w14:textId="77777777" w:rsidR="00C455E5" w:rsidRPr="009C58C4" w:rsidRDefault="00C455E5" w:rsidP="00226369">
      <w:pPr>
        <w:autoSpaceDE w:val="0"/>
        <w:autoSpaceDN w:val="0"/>
        <w:adjustRightInd w:val="0"/>
        <w:jc w:val="both"/>
        <w:rPr>
          <w:sz w:val="22"/>
          <w:szCs w:val="22"/>
          <w:lang w:val="sr-Latn-ME"/>
        </w:rPr>
      </w:pPr>
    </w:p>
    <w:p w14:paraId="7D200AE0" w14:textId="3DFECD8C" w:rsidR="00C455E5" w:rsidRPr="009C58C4" w:rsidRDefault="00C455E5" w:rsidP="00226369">
      <w:pPr>
        <w:jc w:val="both"/>
        <w:rPr>
          <w:sz w:val="22"/>
          <w:szCs w:val="22"/>
          <w:lang w:val="sr-Latn-ME"/>
        </w:rPr>
      </w:pPr>
      <w:r w:rsidRPr="009C58C4">
        <w:rPr>
          <w:sz w:val="22"/>
          <w:szCs w:val="22"/>
          <w:lang w:val="sr-Latn-ME"/>
        </w:rPr>
        <w:t xml:space="preserve">Krvni pritisak se mora izmeriti na početku i pratiti tokom </w:t>
      </w:r>
      <w:r w:rsidR="007F2563" w:rsidRPr="009C58C4">
        <w:rPr>
          <w:sz w:val="22"/>
          <w:szCs w:val="22"/>
          <w:lang w:val="sr-Latn-ME"/>
        </w:rPr>
        <w:t>liječ</w:t>
      </w:r>
      <w:r w:rsidRPr="009C58C4">
        <w:rPr>
          <w:sz w:val="22"/>
          <w:szCs w:val="22"/>
          <w:lang w:val="sr-Latn-ME"/>
        </w:rPr>
        <w:t>enja, a hipertenziju po potrebi kontrolisati standardnom terapijom (</w:t>
      </w:r>
      <w:r w:rsidR="00F46CDF" w:rsidRPr="009C58C4">
        <w:rPr>
          <w:sz w:val="22"/>
          <w:szCs w:val="22"/>
          <w:lang w:val="sr-Latn-ME"/>
        </w:rPr>
        <w:t>vidjet</w:t>
      </w:r>
      <w:r w:rsidRPr="009C58C4">
        <w:rPr>
          <w:sz w:val="22"/>
          <w:szCs w:val="22"/>
          <w:lang w:val="sr-Latn-ME"/>
        </w:rPr>
        <w:t>i</w:t>
      </w:r>
      <w:r w:rsidR="00615BBD"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p>
    <w:p w14:paraId="514E3E5E" w14:textId="77777777" w:rsidR="00C455E5" w:rsidRPr="009C58C4" w:rsidRDefault="00C455E5" w:rsidP="00226369">
      <w:pPr>
        <w:jc w:val="both"/>
        <w:rPr>
          <w:sz w:val="22"/>
          <w:szCs w:val="22"/>
          <w:lang w:val="sr-Latn-ME"/>
        </w:rPr>
      </w:pPr>
    </w:p>
    <w:p w14:paraId="41BB73E4" w14:textId="77777777" w:rsidR="00C455E5" w:rsidRPr="009C58C4" w:rsidRDefault="00C455E5" w:rsidP="00226369">
      <w:pPr>
        <w:keepNext/>
        <w:contextualSpacing/>
        <w:jc w:val="both"/>
        <w:rPr>
          <w:i/>
          <w:iCs/>
          <w:sz w:val="22"/>
          <w:szCs w:val="22"/>
          <w:u w:val="single"/>
          <w:lang w:val="sr-Latn-ME"/>
        </w:rPr>
      </w:pPr>
      <w:r w:rsidRPr="009C58C4">
        <w:rPr>
          <w:i/>
          <w:iCs/>
          <w:sz w:val="22"/>
          <w:szCs w:val="22"/>
          <w:u w:val="single"/>
          <w:lang w:val="sr-Latn-ME"/>
        </w:rPr>
        <w:t>Intersticijska bolest pluća (IBP)/pneumonitis</w:t>
      </w:r>
    </w:p>
    <w:p w14:paraId="4F59C034" w14:textId="747219D0" w:rsidR="00C455E5" w:rsidRPr="009C58C4" w:rsidRDefault="00C455E5" w:rsidP="00226369">
      <w:pPr>
        <w:contextualSpacing/>
        <w:jc w:val="both"/>
        <w:rPr>
          <w:color w:val="000000"/>
          <w:sz w:val="22"/>
          <w:szCs w:val="22"/>
          <w:lang w:val="sr-Latn-ME"/>
        </w:rPr>
      </w:pPr>
      <w:r w:rsidRPr="009C58C4">
        <w:rPr>
          <w:color w:val="000000"/>
          <w:sz w:val="22"/>
          <w:szCs w:val="22"/>
          <w:lang w:val="sr-Latn-ME"/>
        </w:rPr>
        <w:t xml:space="preserve">Pacijenti </w:t>
      </w:r>
      <w:r w:rsidR="007F2563" w:rsidRPr="009C58C4">
        <w:rPr>
          <w:color w:val="000000"/>
          <w:sz w:val="22"/>
          <w:szCs w:val="22"/>
          <w:lang w:val="sr-Latn-ME"/>
        </w:rPr>
        <w:t>liječ</w:t>
      </w:r>
      <w:r w:rsidRPr="009C58C4">
        <w:rPr>
          <w:color w:val="000000"/>
          <w:sz w:val="22"/>
          <w:szCs w:val="22"/>
          <w:lang w:val="sr-Latn-ME"/>
        </w:rPr>
        <w:t xml:space="preserve">eni trametinibom mogu razviti IBP ili pneumonitis. </w:t>
      </w:r>
      <w:r w:rsidR="007F2563" w:rsidRPr="009C58C4">
        <w:rPr>
          <w:color w:val="000000"/>
          <w:sz w:val="22"/>
          <w:szCs w:val="22"/>
          <w:lang w:val="sr-Latn-ME"/>
        </w:rPr>
        <w:t>Primjen</w:t>
      </w:r>
      <w:r w:rsidRPr="009C58C4">
        <w:rPr>
          <w:color w:val="000000"/>
          <w:sz w:val="22"/>
          <w:szCs w:val="22"/>
          <w:lang w:val="sr-Latn-ME"/>
        </w:rPr>
        <w:t xml:space="preserve">u trametiniba je potrebno odložiti kod pacijenata kod kojih se sumnja na IBP ili pneumonitis, uključujući pacijente kod kojih se pojave novi ili progrediraju postojeći plućni simptomi i nalazi, uključujući kašalj, dispneju, hipoksiju, pleuralni izliv ili infiltrate, sve dok se ne sprovedu kliničke pretrage. </w:t>
      </w:r>
      <w:r w:rsidR="007F2563" w:rsidRPr="009C58C4">
        <w:rPr>
          <w:color w:val="000000"/>
          <w:sz w:val="22"/>
          <w:szCs w:val="22"/>
          <w:lang w:val="sr-Latn-ME"/>
        </w:rPr>
        <w:t>Primjen</w:t>
      </w:r>
      <w:r w:rsidRPr="009C58C4">
        <w:rPr>
          <w:color w:val="000000"/>
          <w:sz w:val="22"/>
          <w:szCs w:val="22"/>
          <w:lang w:val="sr-Latn-ME"/>
        </w:rPr>
        <w:t>u trametiniba je potrebno trajno prekinuti kod pacijenata kojima je dijagnostikovan IBP ili pneumonitis povezan s</w:t>
      </w:r>
      <w:r w:rsidR="00E34623" w:rsidRPr="009C58C4">
        <w:rPr>
          <w:color w:val="000000"/>
          <w:sz w:val="22"/>
          <w:szCs w:val="22"/>
          <w:lang w:val="sr-Latn-ME"/>
        </w:rPr>
        <w:t>a</w:t>
      </w:r>
      <w:r w:rsidRPr="009C58C4">
        <w:rPr>
          <w:color w:val="000000"/>
          <w:sz w:val="22"/>
          <w:szCs w:val="22"/>
          <w:lang w:val="sr-Latn-ME"/>
        </w:rPr>
        <w:t xml:space="preserve"> </w:t>
      </w:r>
      <w:r w:rsidR="007F2563" w:rsidRPr="009C58C4">
        <w:rPr>
          <w:color w:val="000000"/>
          <w:sz w:val="22"/>
          <w:szCs w:val="22"/>
          <w:lang w:val="sr-Latn-ME"/>
        </w:rPr>
        <w:t>liječ</w:t>
      </w:r>
      <w:r w:rsidRPr="009C58C4">
        <w:rPr>
          <w:color w:val="000000"/>
          <w:sz w:val="22"/>
          <w:szCs w:val="22"/>
          <w:lang w:val="sr-Latn-ME"/>
        </w:rPr>
        <w:t>enjem (</w:t>
      </w:r>
      <w:r w:rsidR="00F46CDF" w:rsidRPr="009C58C4">
        <w:rPr>
          <w:color w:val="000000"/>
          <w:sz w:val="22"/>
          <w:szCs w:val="22"/>
          <w:lang w:val="sr-Latn-ME"/>
        </w:rPr>
        <w:t>vidjet</w:t>
      </w:r>
      <w:r w:rsidRPr="009C58C4">
        <w:rPr>
          <w:color w:val="000000"/>
          <w:sz w:val="22"/>
          <w:szCs w:val="22"/>
          <w:lang w:val="sr-Latn-ME"/>
        </w:rPr>
        <w:t>i</w:t>
      </w:r>
      <w:r w:rsidR="00E34623" w:rsidRPr="009C58C4">
        <w:rPr>
          <w:color w:val="000000"/>
          <w:sz w:val="22"/>
          <w:szCs w:val="22"/>
          <w:lang w:val="sr-Latn-ME"/>
        </w:rPr>
        <w:t xml:space="preserve"> </w:t>
      </w:r>
      <w:r w:rsidR="00022D46" w:rsidRPr="009C58C4">
        <w:rPr>
          <w:color w:val="000000"/>
          <w:sz w:val="22"/>
          <w:szCs w:val="22"/>
          <w:lang w:val="sr-Latn-ME"/>
        </w:rPr>
        <w:t>dijelove</w:t>
      </w:r>
      <w:r w:rsidRPr="009C58C4">
        <w:rPr>
          <w:color w:val="000000"/>
          <w:sz w:val="22"/>
          <w:szCs w:val="22"/>
          <w:lang w:val="sr-Latn-ME"/>
        </w:rPr>
        <w:t> 4.2 i 4.4).</w:t>
      </w:r>
    </w:p>
    <w:p w14:paraId="412F6494" w14:textId="77777777" w:rsidR="00C455E5" w:rsidRPr="009C58C4" w:rsidRDefault="00C455E5" w:rsidP="00226369">
      <w:pPr>
        <w:contextualSpacing/>
        <w:jc w:val="both"/>
        <w:rPr>
          <w:color w:val="000000"/>
          <w:sz w:val="22"/>
          <w:szCs w:val="22"/>
          <w:lang w:val="sr-Latn-ME"/>
        </w:rPr>
      </w:pPr>
    </w:p>
    <w:p w14:paraId="52326BDD" w14:textId="77777777" w:rsidR="00C455E5" w:rsidRPr="009C58C4" w:rsidRDefault="00C455E5" w:rsidP="00226369">
      <w:pPr>
        <w:keepNext/>
        <w:jc w:val="both"/>
        <w:rPr>
          <w:i/>
          <w:iCs/>
          <w:sz w:val="22"/>
          <w:szCs w:val="22"/>
          <w:u w:val="single"/>
          <w:lang w:val="sr-Latn-ME"/>
        </w:rPr>
      </w:pPr>
      <w:r w:rsidRPr="009C58C4">
        <w:rPr>
          <w:i/>
          <w:iCs/>
          <w:sz w:val="22"/>
          <w:szCs w:val="22"/>
          <w:u w:val="single"/>
          <w:lang w:val="sr-Latn-ME"/>
        </w:rPr>
        <w:t>Poremećaj vida</w:t>
      </w:r>
    </w:p>
    <w:p w14:paraId="7360DEEA" w14:textId="7C34F667" w:rsidR="00C455E5" w:rsidRPr="009C58C4" w:rsidRDefault="00C455E5" w:rsidP="00226369">
      <w:pPr>
        <w:jc w:val="both"/>
        <w:rPr>
          <w:sz w:val="22"/>
          <w:szCs w:val="22"/>
          <w:lang w:val="sr-Latn-ME"/>
        </w:rPr>
      </w:pPr>
      <w:r w:rsidRPr="009C58C4">
        <w:rPr>
          <w:sz w:val="22"/>
          <w:szCs w:val="22"/>
          <w:lang w:val="sr-Latn-ME"/>
        </w:rPr>
        <w:t xml:space="preserve">Kod pedijatrijskih pacijenata </w:t>
      </w:r>
      <w:r w:rsidR="007F2563" w:rsidRPr="009C58C4">
        <w:rPr>
          <w:sz w:val="22"/>
          <w:szCs w:val="22"/>
          <w:lang w:val="sr-Latn-ME"/>
        </w:rPr>
        <w:t>liječ</w:t>
      </w:r>
      <w:r w:rsidRPr="009C58C4">
        <w:rPr>
          <w:sz w:val="22"/>
          <w:szCs w:val="22"/>
          <w:lang w:val="sr-Latn-ME"/>
        </w:rPr>
        <w:t>enih trametinibom u kombinaciji s</w:t>
      </w:r>
      <w:r w:rsidR="00E34623" w:rsidRPr="009C58C4">
        <w:rPr>
          <w:sz w:val="22"/>
          <w:szCs w:val="22"/>
          <w:lang w:val="sr-Latn-ME"/>
        </w:rPr>
        <w:t>a</w:t>
      </w:r>
      <w:r w:rsidRPr="009C58C4">
        <w:rPr>
          <w:sz w:val="22"/>
          <w:szCs w:val="22"/>
          <w:lang w:val="sr-Latn-ME"/>
        </w:rPr>
        <w:t xml:space="preserve"> dabrafenibom, zab</w:t>
      </w:r>
      <w:r w:rsidR="0091092E" w:rsidRPr="009C58C4">
        <w:rPr>
          <w:sz w:val="22"/>
          <w:szCs w:val="22"/>
          <w:lang w:val="sr-Latn-ME"/>
        </w:rPr>
        <w:t>ilj</w:t>
      </w:r>
      <w:r w:rsidRPr="009C58C4">
        <w:rPr>
          <w:sz w:val="22"/>
          <w:szCs w:val="22"/>
          <w:lang w:val="sr-Latn-ME"/>
        </w:rPr>
        <w:t xml:space="preserve">ežene su oftalmološke reakcije, uključujući uveitis 3,5 % i iridociklitis 1,8 %. Uveitis gradusa 3 se pojavio kod 1,8 % pedijatrijskih pacijenata. Odvajanje pigmentnog epitela retine (RPED) se pojavilo kod &lt; 1 % pedijatrijskih pacijenata. Kod </w:t>
      </w:r>
      <w:r w:rsidR="007F2563" w:rsidRPr="009C58C4">
        <w:rPr>
          <w:sz w:val="22"/>
          <w:szCs w:val="22"/>
          <w:lang w:val="sr-Latn-ME"/>
        </w:rPr>
        <w:t>liječ</w:t>
      </w:r>
      <w:r w:rsidRPr="009C58C4">
        <w:rPr>
          <w:sz w:val="22"/>
          <w:szCs w:val="22"/>
          <w:lang w:val="sr-Latn-ME"/>
        </w:rPr>
        <w:t>enja trametinibom kod odraslih pacijenata prim</w:t>
      </w:r>
      <w:r w:rsidR="0091092E" w:rsidRPr="009C58C4">
        <w:rPr>
          <w:sz w:val="22"/>
          <w:szCs w:val="22"/>
          <w:lang w:val="sr-Latn-ME"/>
        </w:rPr>
        <w:t>ij</w:t>
      </w:r>
      <w:r w:rsidRPr="009C58C4">
        <w:rPr>
          <w:sz w:val="22"/>
          <w:szCs w:val="22"/>
          <w:lang w:val="sr-Latn-ME"/>
        </w:rPr>
        <w:t>ećeni su poremećaji povezani sa smetnjama vida, uključujući RPED i RVO. U kliničkim ispitivanjima trametiniba kod odraslih prijavljeni su simptomi poput zamagljenja vida, smanjene oštrine vida i drugih smetnji vida (</w:t>
      </w:r>
      <w:r w:rsidR="00F46CDF" w:rsidRPr="009C58C4">
        <w:rPr>
          <w:sz w:val="22"/>
          <w:szCs w:val="22"/>
          <w:lang w:val="sr-Latn-ME"/>
        </w:rPr>
        <w:t>vidjet</w:t>
      </w:r>
      <w:r w:rsidRPr="009C58C4">
        <w:rPr>
          <w:sz w:val="22"/>
          <w:szCs w:val="22"/>
          <w:lang w:val="sr-Latn-ME"/>
        </w:rPr>
        <w:t>i</w:t>
      </w:r>
      <w:r w:rsidR="00E34623" w:rsidRPr="009C58C4">
        <w:rPr>
          <w:sz w:val="22"/>
          <w:szCs w:val="22"/>
          <w:lang w:val="sr-Latn-ME"/>
        </w:rPr>
        <w:t xml:space="preserve"> </w:t>
      </w:r>
      <w:r w:rsidR="00022D46" w:rsidRPr="009C58C4">
        <w:rPr>
          <w:sz w:val="22"/>
          <w:szCs w:val="22"/>
          <w:lang w:val="sr-Latn-ME"/>
        </w:rPr>
        <w:t>dijelove</w:t>
      </w:r>
      <w:r w:rsidRPr="009C58C4">
        <w:rPr>
          <w:sz w:val="22"/>
          <w:szCs w:val="22"/>
          <w:lang w:val="sr-Latn-ME"/>
        </w:rPr>
        <w:t> 4.2 i 4.4).</w:t>
      </w:r>
    </w:p>
    <w:p w14:paraId="6654AAD8" w14:textId="77777777" w:rsidR="00C455E5" w:rsidRPr="009C58C4" w:rsidRDefault="00C455E5" w:rsidP="00226369">
      <w:pPr>
        <w:jc w:val="both"/>
        <w:rPr>
          <w:sz w:val="22"/>
          <w:szCs w:val="22"/>
          <w:lang w:val="sr-Latn-ME"/>
        </w:rPr>
      </w:pPr>
    </w:p>
    <w:p w14:paraId="592B19C7" w14:textId="77777777" w:rsidR="00C455E5" w:rsidRPr="009C58C4" w:rsidRDefault="00C455E5" w:rsidP="00226369">
      <w:pPr>
        <w:keepNext/>
        <w:jc w:val="both"/>
        <w:rPr>
          <w:i/>
          <w:iCs/>
          <w:sz w:val="22"/>
          <w:szCs w:val="22"/>
          <w:u w:val="single"/>
          <w:lang w:val="sr-Latn-ME"/>
        </w:rPr>
      </w:pPr>
      <w:r w:rsidRPr="009C58C4">
        <w:rPr>
          <w:i/>
          <w:iCs/>
          <w:sz w:val="22"/>
          <w:szCs w:val="22"/>
          <w:u w:val="single"/>
          <w:lang w:val="sr-Latn-ME"/>
        </w:rPr>
        <w:t>Osip</w:t>
      </w:r>
    </w:p>
    <w:p w14:paraId="6588C40D" w14:textId="4BAAE49A" w:rsidR="00C455E5" w:rsidRPr="009C58C4" w:rsidRDefault="00C455E5" w:rsidP="00226369">
      <w:pPr>
        <w:jc w:val="both"/>
        <w:rPr>
          <w:sz w:val="22"/>
          <w:szCs w:val="22"/>
          <w:lang w:val="sr-Latn-ME"/>
        </w:rPr>
      </w:pPr>
      <w:r w:rsidRPr="009C58C4">
        <w:rPr>
          <w:sz w:val="22"/>
          <w:szCs w:val="22"/>
          <w:lang w:val="sr-Latn-ME"/>
        </w:rPr>
        <w:t>Osip je prim</w:t>
      </w:r>
      <w:r w:rsidR="00E32D08" w:rsidRPr="009C58C4">
        <w:rPr>
          <w:sz w:val="22"/>
          <w:szCs w:val="22"/>
          <w:lang w:val="sr-Latn-ME"/>
        </w:rPr>
        <w:t>ij</w:t>
      </w:r>
      <w:r w:rsidRPr="009C58C4">
        <w:rPr>
          <w:sz w:val="22"/>
          <w:szCs w:val="22"/>
          <w:lang w:val="sr-Latn-ME"/>
        </w:rPr>
        <w:t xml:space="preserve">ećen kod 49 % pedijatrijskih pacijenata </w:t>
      </w:r>
      <w:r w:rsidR="007F2563" w:rsidRPr="009C58C4">
        <w:rPr>
          <w:sz w:val="22"/>
          <w:szCs w:val="22"/>
          <w:lang w:val="sr-Latn-ME"/>
        </w:rPr>
        <w:t>liječ</w:t>
      </w:r>
      <w:r w:rsidRPr="009C58C4">
        <w:rPr>
          <w:sz w:val="22"/>
          <w:szCs w:val="22"/>
          <w:lang w:val="sr-Latn-ME"/>
        </w:rPr>
        <w:t xml:space="preserve">enih kombinacijom trametiniba i dabrafeniba u objedinjenoj populaciji u kojoj se ispitivala </w:t>
      </w:r>
      <w:r w:rsidR="00F46CDF" w:rsidRPr="009C58C4">
        <w:rPr>
          <w:sz w:val="22"/>
          <w:szCs w:val="22"/>
          <w:lang w:val="sr-Latn-ME"/>
        </w:rPr>
        <w:t>bezbjed</w:t>
      </w:r>
      <w:r w:rsidRPr="009C58C4">
        <w:rPr>
          <w:sz w:val="22"/>
          <w:szCs w:val="22"/>
          <w:lang w:val="sr-Latn-ME"/>
        </w:rPr>
        <w:t>nost. Većina tih slučajeva bila je gradusa 1 ili 2 i nije zaht</w:t>
      </w:r>
      <w:r w:rsidR="00E32D08" w:rsidRPr="009C58C4">
        <w:rPr>
          <w:sz w:val="22"/>
          <w:szCs w:val="22"/>
          <w:lang w:val="sr-Latn-ME"/>
        </w:rPr>
        <w:t>ij</w:t>
      </w:r>
      <w:r w:rsidRPr="009C58C4">
        <w:rPr>
          <w:sz w:val="22"/>
          <w:szCs w:val="22"/>
          <w:lang w:val="sr-Latn-ME"/>
        </w:rPr>
        <w:t xml:space="preserve">evala privremene prekide </w:t>
      </w:r>
      <w:r w:rsidR="007F2563" w:rsidRPr="009C58C4">
        <w:rPr>
          <w:sz w:val="22"/>
          <w:szCs w:val="22"/>
          <w:lang w:val="sr-Latn-ME"/>
        </w:rPr>
        <w:t>primjen</w:t>
      </w:r>
      <w:r w:rsidRPr="009C58C4">
        <w:rPr>
          <w:sz w:val="22"/>
          <w:szCs w:val="22"/>
          <w:lang w:val="sr-Latn-ME"/>
        </w:rPr>
        <w:t>e niti smanjenja doze (</w:t>
      </w:r>
      <w:r w:rsidR="00F46CDF" w:rsidRPr="009C58C4">
        <w:rPr>
          <w:sz w:val="22"/>
          <w:szCs w:val="22"/>
          <w:lang w:val="sr-Latn-ME"/>
        </w:rPr>
        <w:t>vidjet</w:t>
      </w:r>
      <w:r w:rsidRPr="009C58C4">
        <w:rPr>
          <w:sz w:val="22"/>
          <w:szCs w:val="22"/>
          <w:lang w:val="sr-Latn-ME"/>
        </w:rPr>
        <w:t>i</w:t>
      </w:r>
      <w:r w:rsidR="00E34623" w:rsidRPr="009C58C4">
        <w:rPr>
          <w:sz w:val="22"/>
          <w:szCs w:val="22"/>
          <w:lang w:val="sr-Latn-ME"/>
        </w:rPr>
        <w:t xml:space="preserve"> </w:t>
      </w:r>
      <w:r w:rsidR="00022D46" w:rsidRPr="009C58C4">
        <w:rPr>
          <w:sz w:val="22"/>
          <w:szCs w:val="22"/>
          <w:lang w:val="sr-Latn-ME"/>
        </w:rPr>
        <w:t xml:space="preserve">dijelove </w:t>
      </w:r>
      <w:r w:rsidRPr="009C58C4">
        <w:rPr>
          <w:sz w:val="22"/>
          <w:szCs w:val="22"/>
          <w:lang w:val="sr-Latn-ME"/>
        </w:rPr>
        <w:t>4.2 i 4.4).</w:t>
      </w:r>
    </w:p>
    <w:p w14:paraId="4AD621FB" w14:textId="77777777" w:rsidR="00C455E5" w:rsidRPr="009C58C4" w:rsidRDefault="00C455E5" w:rsidP="00226369">
      <w:pPr>
        <w:jc w:val="both"/>
        <w:rPr>
          <w:sz w:val="22"/>
          <w:szCs w:val="22"/>
          <w:lang w:val="sr-Latn-ME"/>
        </w:rPr>
      </w:pPr>
    </w:p>
    <w:p w14:paraId="13E26C4F" w14:textId="77777777" w:rsidR="00C455E5" w:rsidRPr="009C58C4" w:rsidRDefault="00C455E5" w:rsidP="00226369">
      <w:pPr>
        <w:keepNext/>
        <w:jc w:val="both"/>
        <w:rPr>
          <w:i/>
          <w:sz w:val="22"/>
          <w:szCs w:val="22"/>
          <w:u w:val="single"/>
          <w:lang w:val="sr-Latn-ME"/>
        </w:rPr>
      </w:pPr>
      <w:r w:rsidRPr="009C58C4">
        <w:rPr>
          <w:i/>
          <w:iCs/>
          <w:sz w:val="22"/>
          <w:szCs w:val="22"/>
          <w:u w:val="single"/>
          <w:lang w:val="sr-Latn-ME"/>
        </w:rPr>
        <w:lastRenderedPageBreak/>
        <w:t>Rabdomioliza</w:t>
      </w:r>
    </w:p>
    <w:p w14:paraId="7061C92B" w14:textId="3FF2973B" w:rsidR="00C455E5" w:rsidRPr="009C58C4" w:rsidRDefault="00C455E5" w:rsidP="00226369">
      <w:pPr>
        <w:jc w:val="both"/>
        <w:rPr>
          <w:sz w:val="22"/>
          <w:szCs w:val="22"/>
          <w:lang w:val="sr-Latn-ME"/>
        </w:rPr>
      </w:pPr>
      <w:r w:rsidRPr="009C58C4">
        <w:rPr>
          <w:sz w:val="22"/>
          <w:szCs w:val="22"/>
          <w:lang w:val="sr-Latn-ME"/>
        </w:rPr>
        <w:t xml:space="preserve">Rabdomioliza je prijavljena kod odraslih pacijenata koji su uzimali trametinib. Znakovi ili simptomi </w:t>
      </w:r>
      <w:r w:rsidR="00E34623" w:rsidRPr="009C58C4">
        <w:rPr>
          <w:sz w:val="22"/>
          <w:szCs w:val="22"/>
          <w:lang w:val="sr-Latn-ME"/>
        </w:rPr>
        <w:t xml:space="preserve"> </w:t>
      </w:r>
      <w:r w:rsidRPr="009C58C4">
        <w:rPr>
          <w:sz w:val="22"/>
          <w:szCs w:val="22"/>
          <w:lang w:val="sr-Latn-ME"/>
        </w:rPr>
        <w:t>rabdomiolize zaht</w:t>
      </w:r>
      <w:r w:rsidR="00E32D08" w:rsidRPr="009C58C4">
        <w:rPr>
          <w:sz w:val="22"/>
          <w:szCs w:val="22"/>
          <w:lang w:val="sr-Latn-ME"/>
        </w:rPr>
        <w:t>ij</w:t>
      </w:r>
      <w:r w:rsidRPr="009C58C4">
        <w:rPr>
          <w:sz w:val="22"/>
          <w:szCs w:val="22"/>
          <w:lang w:val="sr-Latn-ME"/>
        </w:rPr>
        <w:t xml:space="preserve">evaju odgovarajuću kliničku </w:t>
      </w:r>
      <w:r w:rsidR="007F2563" w:rsidRPr="009C58C4">
        <w:rPr>
          <w:sz w:val="22"/>
          <w:szCs w:val="22"/>
          <w:lang w:val="sr-Latn-ME"/>
        </w:rPr>
        <w:t>procjen</w:t>
      </w:r>
      <w:r w:rsidRPr="009C58C4">
        <w:rPr>
          <w:sz w:val="22"/>
          <w:szCs w:val="22"/>
          <w:lang w:val="sr-Latn-ME"/>
        </w:rPr>
        <w:t xml:space="preserve">u i </w:t>
      </w:r>
      <w:r w:rsidR="007F2563" w:rsidRPr="009C58C4">
        <w:rPr>
          <w:sz w:val="22"/>
          <w:szCs w:val="22"/>
          <w:lang w:val="sr-Latn-ME"/>
        </w:rPr>
        <w:t>liječ</w:t>
      </w:r>
      <w:r w:rsidRPr="009C58C4">
        <w:rPr>
          <w:sz w:val="22"/>
          <w:szCs w:val="22"/>
          <w:lang w:val="sr-Latn-ME"/>
        </w:rPr>
        <w:t>enje kako je indikovano (</w:t>
      </w:r>
      <w:r w:rsidR="00F46CDF" w:rsidRPr="009C58C4">
        <w:rPr>
          <w:sz w:val="22"/>
          <w:szCs w:val="22"/>
          <w:lang w:val="sr-Latn-ME"/>
        </w:rPr>
        <w:t>vidjet</w:t>
      </w:r>
      <w:r w:rsidRPr="009C58C4">
        <w:rPr>
          <w:sz w:val="22"/>
          <w:szCs w:val="22"/>
          <w:lang w:val="sr-Latn-ME"/>
        </w:rPr>
        <w:t>i</w:t>
      </w:r>
      <w:r w:rsidR="00E34623"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r w:rsidR="00E34623" w:rsidRPr="009C58C4">
        <w:rPr>
          <w:sz w:val="22"/>
          <w:szCs w:val="22"/>
          <w:lang w:val="sr-Latn-ME"/>
        </w:rPr>
        <w:t xml:space="preserve"> </w:t>
      </w:r>
    </w:p>
    <w:p w14:paraId="726F78D8" w14:textId="77777777" w:rsidR="00C455E5" w:rsidRPr="009C58C4" w:rsidRDefault="00C455E5" w:rsidP="00226369">
      <w:pPr>
        <w:jc w:val="both"/>
        <w:rPr>
          <w:sz w:val="22"/>
          <w:szCs w:val="22"/>
          <w:lang w:val="sr-Latn-ME"/>
        </w:rPr>
      </w:pPr>
    </w:p>
    <w:p w14:paraId="397BEAFC" w14:textId="77777777" w:rsidR="00C455E5" w:rsidRPr="009C58C4" w:rsidRDefault="00C455E5" w:rsidP="00226369">
      <w:pPr>
        <w:keepNext/>
        <w:jc w:val="both"/>
        <w:rPr>
          <w:i/>
          <w:sz w:val="22"/>
          <w:szCs w:val="22"/>
          <w:u w:val="single"/>
          <w:lang w:val="sr-Latn-ME"/>
        </w:rPr>
      </w:pPr>
      <w:r w:rsidRPr="009C58C4">
        <w:rPr>
          <w:i/>
          <w:sz w:val="22"/>
          <w:szCs w:val="22"/>
          <w:u w:val="single"/>
          <w:lang w:val="sr-Latn-ME"/>
        </w:rPr>
        <w:t>Pankreatitis</w:t>
      </w:r>
    </w:p>
    <w:p w14:paraId="61F28A67" w14:textId="7EB6AA57" w:rsidR="00C455E5" w:rsidRPr="009C58C4" w:rsidRDefault="00C455E5" w:rsidP="00226369">
      <w:pPr>
        <w:jc w:val="both"/>
        <w:rPr>
          <w:sz w:val="22"/>
          <w:szCs w:val="22"/>
          <w:lang w:val="sr-Latn-ME"/>
        </w:rPr>
      </w:pPr>
      <w:r w:rsidRPr="009C58C4">
        <w:rPr>
          <w:sz w:val="22"/>
          <w:szCs w:val="22"/>
          <w:lang w:val="sr-Latn-ME"/>
        </w:rPr>
        <w:t>Pankreatitis je prijavljen kod 1,2% pedijatrijskih pacijenata, sa &lt;1% pacijenata sa gradusom 3 težine. Neobjašnjive bolove u abdomenu treba hitno ispitati, a pregledi treba da obuhvataju m</w:t>
      </w:r>
      <w:r w:rsidR="00E32D08" w:rsidRPr="009C58C4">
        <w:rPr>
          <w:sz w:val="22"/>
          <w:szCs w:val="22"/>
          <w:lang w:val="sr-Latn-ME"/>
        </w:rPr>
        <w:t>j</w:t>
      </w:r>
      <w:r w:rsidRPr="009C58C4">
        <w:rPr>
          <w:sz w:val="22"/>
          <w:szCs w:val="22"/>
          <w:lang w:val="sr-Latn-ME"/>
        </w:rPr>
        <w:t>erenje amilaza i lipaza u serumu. Posl</w:t>
      </w:r>
      <w:r w:rsidR="00E32D08" w:rsidRPr="009C58C4">
        <w:rPr>
          <w:sz w:val="22"/>
          <w:szCs w:val="22"/>
          <w:lang w:val="sr-Latn-ME"/>
        </w:rPr>
        <w:t>ij</w:t>
      </w:r>
      <w:r w:rsidRPr="009C58C4">
        <w:rPr>
          <w:sz w:val="22"/>
          <w:szCs w:val="22"/>
          <w:lang w:val="sr-Latn-ME"/>
        </w:rPr>
        <w:t>e epizode pankreatitisa, pacijente treba pažljivo pratiti pri ponovnom uvođenju dabrafeniba (</w:t>
      </w:r>
      <w:r w:rsidR="00F46CDF" w:rsidRPr="009C58C4">
        <w:rPr>
          <w:sz w:val="22"/>
          <w:szCs w:val="22"/>
          <w:lang w:val="sr-Latn-ME"/>
        </w:rPr>
        <w:t>vidjet</w:t>
      </w:r>
      <w:r w:rsidRPr="009C58C4">
        <w:rPr>
          <w:sz w:val="22"/>
          <w:szCs w:val="22"/>
          <w:lang w:val="sr-Latn-ME"/>
        </w:rPr>
        <w:t>i</w:t>
      </w:r>
      <w:r w:rsidR="00E34623"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p>
    <w:p w14:paraId="7F6ACEF0" w14:textId="77777777" w:rsidR="0091092E" w:rsidRPr="009C58C4" w:rsidRDefault="0091092E" w:rsidP="00226369">
      <w:pPr>
        <w:jc w:val="both"/>
        <w:rPr>
          <w:sz w:val="22"/>
          <w:szCs w:val="22"/>
          <w:lang w:val="sr-Latn-ME"/>
        </w:rPr>
      </w:pPr>
    </w:p>
    <w:p w14:paraId="30B48ED9" w14:textId="77777777" w:rsidR="00C455E5" w:rsidRPr="009C58C4" w:rsidRDefault="00C455E5" w:rsidP="00226369">
      <w:pPr>
        <w:keepNext/>
        <w:jc w:val="both"/>
        <w:rPr>
          <w:i/>
          <w:sz w:val="22"/>
          <w:szCs w:val="22"/>
          <w:u w:val="single"/>
          <w:lang w:val="sr-Latn-ME"/>
        </w:rPr>
      </w:pPr>
      <w:r w:rsidRPr="009C58C4">
        <w:rPr>
          <w:rFonts w:eastAsia="SimSun"/>
          <w:i/>
          <w:iCs/>
          <w:sz w:val="22"/>
          <w:szCs w:val="22"/>
          <w:u w:val="single"/>
          <w:lang w:val="sr-Latn-ME" w:eastAsia="en-GB"/>
        </w:rPr>
        <w:t>Bubrežna insuficijencija</w:t>
      </w:r>
    </w:p>
    <w:p w14:paraId="5F056263" w14:textId="72C27ABB" w:rsidR="00C455E5" w:rsidRPr="009C58C4" w:rsidRDefault="00C455E5" w:rsidP="00226369">
      <w:pPr>
        <w:jc w:val="both"/>
        <w:rPr>
          <w:sz w:val="22"/>
          <w:szCs w:val="22"/>
          <w:lang w:val="sr-Latn-ME"/>
        </w:rPr>
      </w:pPr>
      <w:r w:rsidRPr="009C58C4">
        <w:rPr>
          <w:sz w:val="22"/>
          <w:szCs w:val="22"/>
          <w:lang w:val="sr-Latn-ME"/>
        </w:rPr>
        <w:t>Bubrežna insuficijencija je zab</w:t>
      </w:r>
      <w:r w:rsidR="0091092E" w:rsidRPr="009C58C4">
        <w:rPr>
          <w:sz w:val="22"/>
          <w:szCs w:val="22"/>
          <w:lang w:val="sr-Latn-ME"/>
        </w:rPr>
        <w:t>ilj</w:t>
      </w:r>
      <w:r w:rsidRPr="009C58C4">
        <w:rPr>
          <w:sz w:val="22"/>
          <w:szCs w:val="22"/>
          <w:lang w:val="sr-Latn-ME"/>
        </w:rPr>
        <w:t xml:space="preserve">ežena kod </w:t>
      </w:r>
      <w:r w:rsidR="007F2563" w:rsidRPr="009C58C4">
        <w:rPr>
          <w:sz w:val="22"/>
          <w:szCs w:val="22"/>
          <w:lang w:val="sr-Latn-ME"/>
        </w:rPr>
        <w:t>primjen</w:t>
      </w:r>
      <w:r w:rsidRPr="009C58C4">
        <w:rPr>
          <w:sz w:val="22"/>
          <w:szCs w:val="22"/>
          <w:lang w:val="sr-Latn-ME"/>
        </w:rPr>
        <w:t>e trametiniba u kombinaciji s</w:t>
      </w:r>
      <w:r w:rsidR="00E34623" w:rsidRPr="009C58C4">
        <w:rPr>
          <w:sz w:val="22"/>
          <w:szCs w:val="22"/>
          <w:lang w:val="sr-Latn-ME"/>
        </w:rPr>
        <w:t>a</w:t>
      </w:r>
      <w:r w:rsidRPr="009C58C4">
        <w:rPr>
          <w:sz w:val="22"/>
          <w:szCs w:val="22"/>
          <w:lang w:val="sr-Latn-ME"/>
        </w:rPr>
        <w:t xml:space="preserve"> dabrafenibom. Bubrežna insuficijencija zbog prerenalne azotemije povezane sa pireksijom ili granulomatoznim nefritisom je bila manje česta kod odraslih pacijenata; međutim, trametinib nije ispitivan kod pacijenata sa bubrežnom insuficijencijom (definisana kao kreatinin &gt;1,5 x GGN). U takvim slučajevima je potreban oprez (</w:t>
      </w:r>
      <w:r w:rsidR="00F46CDF" w:rsidRPr="009C58C4">
        <w:rPr>
          <w:sz w:val="22"/>
          <w:szCs w:val="22"/>
          <w:lang w:val="sr-Latn-ME"/>
        </w:rPr>
        <w:t>vidjet</w:t>
      </w:r>
      <w:r w:rsidRPr="009C58C4">
        <w:rPr>
          <w:sz w:val="22"/>
          <w:szCs w:val="22"/>
          <w:lang w:val="sr-Latn-ME"/>
        </w:rPr>
        <w:t>i</w:t>
      </w:r>
      <w:r w:rsidR="00E34623" w:rsidRPr="009C58C4">
        <w:rPr>
          <w:sz w:val="22"/>
          <w:szCs w:val="22"/>
          <w:lang w:val="sr-Latn-ME"/>
        </w:rPr>
        <w:t xml:space="preserve"> </w:t>
      </w:r>
      <w:r w:rsidR="00022D46" w:rsidRPr="009C58C4">
        <w:rPr>
          <w:sz w:val="22"/>
          <w:szCs w:val="22"/>
          <w:lang w:val="sr-Latn-ME"/>
        </w:rPr>
        <w:t>dio</w:t>
      </w:r>
      <w:r w:rsidRPr="009C58C4">
        <w:rPr>
          <w:sz w:val="22"/>
          <w:szCs w:val="22"/>
          <w:lang w:val="sr-Latn-ME"/>
        </w:rPr>
        <w:t> 4.4).</w:t>
      </w:r>
    </w:p>
    <w:p w14:paraId="36B6BFE5" w14:textId="77777777" w:rsidR="00A13DB3" w:rsidRPr="009C58C4" w:rsidRDefault="00A13DB3" w:rsidP="00226369">
      <w:pPr>
        <w:jc w:val="both"/>
        <w:rPr>
          <w:rFonts w:eastAsia="Calibri"/>
          <w:sz w:val="22"/>
          <w:szCs w:val="22"/>
          <w:u w:val="single"/>
          <w:lang w:val="sr-Latn-ME"/>
        </w:rPr>
      </w:pPr>
    </w:p>
    <w:p w14:paraId="002D907A" w14:textId="39A3E142" w:rsidR="005A23D2" w:rsidRPr="009C58C4" w:rsidRDefault="005A23D2" w:rsidP="00226369">
      <w:pPr>
        <w:spacing w:after="200" w:line="276" w:lineRule="auto"/>
        <w:jc w:val="both"/>
        <w:rPr>
          <w:rFonts w:eastAsia="Calibri"/>
          <w:sz w:val="22"/>
          <w:szCs w:val="22"/>
          <w:u w:val="single"/>
          <w:lang w:val="sr-Latn-ME"/>
        </w:rPr>
      </w:pPr>
      <w:r w:rsidRPr="009C58C4">
        <w:rPr>
          <w:rFonts w:eastAsia="Calibri"/>
          <w:sz w:val="22"/>
          <w:szCs w:val="22"/>
          <w:u w:val="single"/>
          <w:lang w:val="sr-Latn-ME"/>
        </w:rPr>
        <w:t>Prijavljivanje sumnji na neželjena dejstva</w:t>
      </w:r>
    </w:p>
    <w:p w14:paraId="6F0C5024" w14:textId="77777777" w:rsidR="005A23D2" w:rsidRPr="009C58C4" w:rsidRDefault="005A23D2" w:rsidP="00C87F6C">
      <w:pPr>
        <w:spacing w:after="200"/>
        <w:jc w:val="both"/>
        <w:rPr>
          <w:rFonts w:eastAsia="Calibri"/>
          <w:sz w:val="22"/>
          <w:szCs w:val="22"/>
          <w:lang w:val="sr-Latn-ME"/>
        </w:rPr>
      </w:pPr>
      <w:r w:rsidRPr="009C58C4">
        <w:rPr>
          <w:rFonts w:eastAsia="Calibri"/>
          <w:sz w:val="22"/>
          <w:szCs w:val="22"/>
          <w:lang w:val="sr-Latn-ME"/>
        </w:rPr>
        <w:t>Prijavljivanje neželjenih dejstava nakon dobijanja dozvole je od velikog značaja jer obezbjeđuje kont</w:t>
      </w:r>
      <w:r w:rsidR="00EA5765" w:rsidRPr="009C58C4">
        <w:rPr>
          <w:rFonts w:eastAsia="Calibri"/>
          <w:sz w:val="22"/>
          <w:szCs w:val="22"/>
          <w:lang w:val="sr-Latn-ME"/>
        </w:rPr>
        <w:t>inuirano praćenje odnosa korist</w:t>
      </w:r>
      <w:r w:rsidRPr="009C58C4">
        <w:rPr>
          <w:rFonts w:eastAsia="Calibri"/>
          <w:sz w:val="22"/>
          <w:szCs w:val="22"/>
          <w:lang w:val="sr-Latn-ME"/>
        </w:rPr>
        <w:t>/rizik primjene lijeka. Zdravstveni radnici treba da prijave svaku sumnju na neželjeno</w:t>
      </w:r>
      <w:r w:rsidR="009B062A" w:rsidRPr="009C58C4">
        <w:rPr>
          <w:rFonts w:eastAsia="Calibri"/>
          <w:sz w:val="22"/>
          <w:szCs w:val="22"/>
          <w:lang w:val="sr-Latn-ME"/>
        </w:rPr>
        <w:t xml:space="preserve"> </w:t>
      </w:r>
      <w:r w:rsidRPr="009C58C4">
        <w:rPr>
          <w:rFonts w:eastAsia="Calibri"/>
          <w:sz w:val="22"/>
          <w:szCs w:val="22"/>
          <w:lang w:val="sr-Latn-ME"/>
        </w:rPr>
        <w:t xml:space="preserve">dejstvo ovog lijeka </w:t>
      </w:r>
      <w:r w:rsidR="004E70AD" w:rsidRPr="009C58C4">
        <w:rPr>
          <w:rFonts w:eastAsia="Calibri"/>
          <w:sz w:val="22"/>
          <w:szCs w:val="22"/>
          <w:lang w:val="sr-Latn-ME"/>
        </w:rPr>
        <w:t>Institutu</w:t>
      </w:r>
      <w:r w:rsidRPr="009C58C4">
        <w:rPr>
          <w:rFonts w:eastAsia="Calibri"/>
          <w:sz w:val="22"/>
          <w:szCs w:val="22"/>
          <w:lang w:val="sr-Latn-ME"/>
        </w:rPr>
        <w:t xml:space="preserve"> za ljekove i medicinska sredstva</w:t>
      </w:r>
      <w:r w:rsidR="004E70AD" w:rsidRPr="009C58C4">
        <w:rPr>
          <w:rFonts w:eastAsia="Calibri"/>
          <w:sz w:val="22"/>
          <w:szCs w:val="22"/>
          <w:lang w:val="sr-Latn-ME"/>
        </w:rPr>
        <w:t xml:space="preserve"> </w:t>
      </w:r>
      <w:r w:rsidRPr="009C58C4">
        <w:rPr>
          <w:rFonts w:eastAsia="Calibri"/>
          <w:sz w:val="22"/>
          <w:szCs w:val="22"/>
          <w:lang w:val="sr-Latn-ME"/>
        </w:rPr>
        <w:t>(</w:t>
      </w:r>
      <w:r w:rsidR="004E70AD" w:rsidRPr="009C58C4">
        <w:rPr>
          <w:rFonts w:eastAsia="Calibri"/>
          <w:sz w:val="22"/>
          <w:szCs w:val="22"/>
          <w:lang w:val="sr-Latn-ME"/>
        </w:rPr>
        <w:t>CInMED</w:t>
      </w:r>
      <w:r w:rsidRPr="009C58C4">
        <w:rPr>
          <w:rFonts w:eastAsia="Calibri"/>
          <w:sz w:val="22"/>
          <w:szCs w:val="22"/>
          <w:lang w:val="sr-Latn-ME"/>
        </w:rPr>
        <w:t>):</w:t>
      </w:r>
    </w:p>
    <w:p w14:paraId="466B66C8" w14:textId="77777777" w:rsidR="005A23D2" w:rsidRPr="009C58C4" w:rsidRDefault="004E70AD" w:rsidP="00C87F6C">
      <w:pPr>
        <w:pStyle w:val="NoSpacing"/>
        <w:jc w:val="both"/>
        <w:rPr>
          <w:rFonts w:eastAsia="Calibri"/>
          <w:sz w:val="22"/>
          <w:szCs w:val="22"/>
          <w:lang w:val="sr-Latn-ME"/>
        </w:rPr>
      </w:pPr>
      <w:r w:rsidRPr="009C58C4">
        <w:rPr>
          <w:rFonts w:eastAsia="Calibri"/>
          <w:sz w:val="22"/>
          <w:szCs w:val="22"/>
          <w:lang w:val="sr-Latn-ME"/>
        </w:rPr>
        <w:t xml:space="preserve">Institut </w:t>
      </w:r>
      <w:r w:rsidR="005A23D2" w:rsidRPr="009C58C4">
        <w:rPr>
          <w:rFonts w:eastAsia="Calibri"/>
          <w:sz w:val="22"/>
          <w:szCs w:val="22"/>
          <w:lang w:val="sr-Latn-ME"/>
        </w:rPr>
        <w:t xml:space="preserve">za ljekove i medicinska sredstva </w:t>
      </w:r>
    </w:p>
    <w:p w14:paraId="2152D1D0" w14:textId="77777777" w:rsidR="005A23D2" w:rsidRPr="009C58C4" w:rsidRDefault="005A23D2" w:rsidP="00022D46">
      <w:pPr>
        <w:pStyle w:val="NoSpacing"/>
        <w:jc w:val="both"/>
        <w:rPr>
          <w:rFonts w:eastAsia="Calibri"/>
          <w:sz w:val="22"/>
          <w:szCs w:val="22"/>
          <w:lang w:val="sr-Latn-ME"/>
        </w:rPr>
      </w:pPr>
      <w:r w:rsidRPr="009C58C4">
        <w:rPr>
          <w:rFonts w:eastAsia="Calibri"/>
          <w:sz w:val="22"/>
          <w:szCs w:val="22"/>
          <w:lang w:val="sr-Latn-ME"/>
        </w:rPr>
        <w:t>Odjeljenje za farmakovigilancu</w:t>
      </w:r>
    </w:p>
    <w:p w14:paraId="0147D329" w14:textId="77777777" w:rsidR="00EA5765" w:rsidRPr="009C58C4" w:rsidRDefault="005A23D2">
      <w:pPr>
        <w:pStyle w:val="NoSpacing"/>
        <w:jc w:val="both"/>
        <w:rPr>
          <w:rFonts w:eastAsia="Calibri"/>
          <w:sz w:val="22"/>
          <w:szCs w:val="22"/>
          <w:lang w:val="sr-Latn-ME"/>
        </w:rPr>
      </w:pPr>
      <w:r w:rsidRPr="009C58C4">
        <w:rPr>
          <w:rFonts w:eastAsia="Calibri"/>
          <w:sz w:val="22"/>
          <w:szCs w:val="22"/>
          <w:lang w:val="sr-Latn-ME"/>
        </w:rPr>
        <w:t>Bulevar Ivana Crnojevića 64a, 81000 Podgorica</w:t>
      </w:r>
    </w:p>
    <w:p w14:paraId="3B7C8105" w14:textId="77777777" w:rsidR="00EA5765" w:rsidRPr="009C58C4" w:rsidRDefault="00EA5765" w:rsidP="00226369">
      <w:pPr>
        <w:pStyle w:val="NoSpacing"/>
        <w:jc w:val="both"/>
        <w:rPr>
          <w:rFonts w:eastAsia="Calibri"/>
          <w:sz w:val="22"/>
          <w:szCs w:val="22"/>
          <w:lang w:val="sr-Latn-ME"/>
        </w:rPr>
      </w:pPr>
    </w:p>
    <w:p w14:paraId="326E6E57" w14:textId="77777777" w:rsidR="005A23D2" w:rsidRPr="009C58C4" w:rsidRDefault="005A23D2" w:rsidP="00C87F6C">
      <w:pPr>
        <w:pStyle w:val="NoSpacing"/>
        <w:jc w:val="both"/>
        <w:rPr>
          <w:rFonts w:eastAsia="Calibri"/>
          <w:sz w:val="22"/>
          <w:szCs w:val="22"/>
          <w:lang w:val="sr-Latn-ME"/>
        </w:rPr>
      </w:pPr>
      <w:r w:rsidRPr="009C58C4">
        <w:rPr>
          <w:rFonts w:eastAsia="Calibri"/>
          <w:sz w:val="22"/>
          <w:szCs w:val="22"/>
          <w:lang w:val="sr-Latn-ME"/>
        </w:rPr>
        <w:t>tel: +382 (0) 20 310 280</w:t>
      </w:r>
    </w:p>
    <w:p w14:paraId="518BD686" w14:textId="77777777" w:rsidR="00EA5765" w:rsidRPr="009C58C4" w:rsidRDefault="005A23D2" w:rsidP="00C87F6C">
      <w:pPr>
        <w:pStyle w:val="NoSpacing"/>
        <w:tabs>
          <w:tab w:val="left" w:pos="6720"/>
        </w:tabs>
        <w:jc w:val="both"/>
        <w:rPr>
          <w:rFonts w:eastAsia="Calibri"/>
          <w:sz w:val="22"/>
          <w:szCs w:val="22"/>
          <w:lang w:val="sr-Latn-ME"/>
        </w:rPr>
      </w:pPr>
      <w:r w:rsidRPr="009C58C4">
        <w:rPr>
          <w:rFonts w:eastAsia="Calibri"/>
          <w:sz w:val="22"/>
          <w:szCs w:val="22"/>
          <w:lang w:val="sr-Latn-ME"/>
        </w:rPr>
        <w:t>fax:</w:t>
      </w:r>
      <w:r w:rsidR="00EA5765" w:rsidRPr="009C58C4">
        <w:rPr>
          <w:rFonts w:eastAsia="Calibri"/>
          <w:sz w:val="22"/>
          <w:szCs w:val="22"/>
          <w:lang w:val="sr-Latn-ME"/>
        </w:rPr>
        <w:t xml:space="preserve"> </w:t>
      </w:r>
      <w:r w:rsidRPr="009C58C4">
        <w:rPr>
          <w:rFonts w:eastAsia="Calibri"/>
          <w:sz w:val="22"/>
          <w:szCs w:val="22"/>
          <w:lang w:val="sr-Latn-ME"/>
        </w:rPr>
        <w:t>+382 (0) 20 310 581</w:t>
      </w:r>
      <w:r w:rsidR="00FF3EDF" w:rsidRPr="009C58C4">
        <w:rPr>
          <w:rFonts w:eastAsia="Calibri"/>
          <w:sz w:val="22"/>
          <w:szCs w:val="22"/>
          <w:lang w:val="sr-Latn-ME"/>
        </w:rPr>
        <w:tab/>
      </w:r>
    </w:p>
    <w:p w14:paraId="7CB1A120" w14:textId="77777777" w:rsidR="005A23D2" w:rsidRPr="009C58C4" w:rsidRDefault="00B177C5" w:rsidP="00022D46">
      <w:pPr>
        <w:pStyle w:val="NoSpacing"/>
        <w:jc w:val="both"/>
        <w:rPr>
          <w:rFonts w:eastAsia="Calibri"/>
          <w:sz w:val="22"/>
          <w:szCs w:val="22"/>
          <w:lang w:val="sr-Latn-ME"/>
        </w:rPr>
      </w:pPr>
      <w:hyperlink r:id="rId8" w:history="1">
        <w:r w:rsidR="004E70AD" w:rsidRPr="009C58C4">
          <w:rPr>
            <w:rStyle w:val="Hyperlink"/>
            <w:rFonts w:eastAsia="Calibri"/>
            <w:sz w:val="22"/>
            <w:szCs w:val="22"/>
            <w:lang w:val="sr-Latn-ME"/>
          </w:rPr>
          <w:t>www.cinmed.me</w:t>
        </w:r>
      </w:hyperlink>
    </w:p>
    <w:p w14:paraId="457F4FA5" w14:textId="77777777" w:rsidR="00EA5765" w:rsidRPr="009C58C4" w:rsidRDefault="00B177C5">
      <w:pPr>
        <w:pStyle w:val="NoSpacing"/>
        <w:jc w:val="both"/>
        <w:rPr>
          <w:rFonts w:eastAsia="Calibri"/>
          <w:color w:val="0000FF"/>
          <w:sz w:val="22"/>
          <w:szCs w:val="22"/>
          <w:u w:val="single"/>
          <w:lang w:val="sr-Latn-ME"/>
        </w:rPr>
      </w:pPr>
      <w:hyperlink r:id="rId9" w:history="1">
        <w:r w:rsidR="004E70AD" w:rsidRPr="009C58C4">
          <w:rPr>
            <w:rStyle w:val="Hyperlink"/>
            <w:rFonts w:eastAsia="Calibri"/>
            <w:sz w:val="22"/>
            <w:szCs w:val="22"/>
            <w:lang w:val="sr-Latn-ME"/>
          </w:rPr>
          <w:t>nezeljenadejstva@cinmed.me</w:t>
        </w:r>
      </w:hyperlink>
    </w:p>
    <w:p w14:paraId="401F5312" w14:textId="77777777" w:rsidR="005A23D2" w:rsidRPr="009C58C4" w:rsidRDefault="005A23D2">
      <w:pPr>
        <w:pStyle w:val="NoSpacing"/>
        <w:jc w:val="both"/>
        <w:rPr>
          <w:rFonts w:eastAsia="Calibri"/>
          <w:sz w:val="22"/>
          <w:szCs w:val="22"/>
          <w:lang w:val="sr-Latn-ME"/>
        </w:rPr>
      </w:pPr>
      <w:r w:rsidRPr="009C58C4">
        <w:rPr>
          <w:rFonts w:eastAsia="Calibri"/>
          <w:sz w:val="22"/>
          <w:szCs w:val="22"/>
          <w:lang w:val="sr-Latn-ME"/>
        </w:rPr>
        <w:t>putem IS zdravstvene zaštite</w:t>
      </w:r>
    </w:p>
    <w:p w14:paraId="0CC2A31F" w14:textId="77777777" w:rsidR="007E31E9" w:rsidRPr="009C58C4" w:rsidRDefault="007E31E9">
      <w:pPr>
        <w:pStyle w:val="NoSpacing"/>
        <w:jc w:val="both"/>
        <w:rPr>
          <w:rFonts w:eastAsia="Calibri"/>
          <w:sz w:val="22"/>
          <w:szCs w:val="22"/>
          <w:lang w:val="sr-Latn-ME"/>
        </w:rPr>
      </w:pPr>
      <w:r w:rsidRPr="009C58C4">
        <w:rPr>
          <w:rFonts w:eastAsia="Calibri"/>
          <w:sz w:val="22"/>
          <w:szCs w:val="22"/>
          <w:lang w:val="sr-Latn-ME"/>
        </w:rPr>
        <w:t>QR kod za online prijavu</w:t>
      </w:r>
      <w:r w:rsidR="00D74CD2" w:rsidRPr="009C58C4">
        <w:rPr>
          <w:rFonts w:eastAsia="Calibri"/>
          <w:sz w:val="22"/>
          <w:szCs w:val="22"/>
          <w:lang w:val="sr-Latn-ME"/>
        </w:rPr>
        <w:t xml:space="preserve"> sumnje na neželjeno dejstvo lijeka</w:t>
      </w:r>
      <w:r w:rsidRPr="009C58C4">
        <w:rPr>
          <w:rFonts w:eastAsia="Calibri"/>
          <w:sz w:val="22"/>
          <w:szCs w:val="22"/>
          <w:lang w:val="sr-Latn-ME"/>
        </w:rPr>
        <w:t>:</w:t>
      </w:r>
    </w:p>
    <w:p w14:paraId="21F89DFA" w14:textId="77777777" w:rsidR="004F17E2" w:rsidRPr="009C58C4" w:rsidRDefault="004F17E2" w:rsidP="00226369">
      <w:pPr>
        <w:pStyle w:val="NoSpacing"/>
        <w:jc w:val="both"/>
        <w:rPr>
          <w:rFonts w:eastAsia="Calibri"/>
          <w:sz w:val="22"/>
          <w:szCs w:val="22"/>
          <w:lang w:val="sr-Latn-ME"/>
        </w:rPr>
      </w:pPr>
    </w:p>
    <w:p w14:paraId="59D13EC2" w14:textId="77777777" w:rsidR="00836B35" w:rsidRPr="009C58C4" w:rsidRDefault="007F661E" w:rsidP="00226369">
      <w:pPr>
        <w:tabs>
          <w:tab w:val="left" w:pos="540"/>
          <w:tab w:val="left" w:pos="569"/>
        </w:tabs>
        <w:jc w:val="both"/>
        <w:rPr>
          <w:b/>
          <w:bCs/>
          <w:sz w:val="22"/>
          <w:szCs w:val="22"/>
          <w:lang w:val="sr-Latn-ME"/>
        </w:rPr>
      </w:pPr>
      <w:r w:rsidRPr="009C58C4">
        <w:rPr>
          <w:b/>
          <w:bCs/>
          <w:noProof/>
          <w:sz w:val="22"/>
          <w:szCs w:val="22"/>
          <w:lang w:val="sr-Latn-ME"/>
        </w:rPr>
        <w:drawing>
          <wp:inline distT="0" distB="0" distL="0" distR="0" wp14:anchorId="3DB504E6" wp14:editId="184759F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B61887E" w14:textId="77777777" w:rsidR="007F661E" w:rsidRPr="009C58C4" w:rsidRDefault="007F661E" w:rsidP="00226369">
      <w:pPr>
        <w:tabs>
          <w:tab w:val="left" w:pos="540"/>
          <w:tab w:val="left" w:pos="569"/>
        </w:tabs>
        <w:jc w:val="both"/>
        <w:rPr>
          <w:b/>
          <w:bCs/>
          <w:sz w:val="22"/>
          <w:szCs w:val="22"/>
          <w:lang w:val="sr-Latn-ME"/>
        </w:rPr>
      </w:pPr>
    </w:p>
    <w:p w14:paraId="77BE38D0" w14:textId="77777777" w:rsidR="00CD6F02"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4.9. </w:t>
      </w:r>
      <w:r w:rsidR="00480FB1" w:rsidRPr="009C58C4">
        <w:rPr>
          <w:b/>
          <w:bCs/>
          <w:sz w:val="22"/>
          <w:szCs w:val="22"/>
          <w:lang w:val="sr-Latn-ME"/>
        </w:rPr>
        <w:tab/>
      </w:r>
      <w:r w:rsidRPr="009C58C4">
        <w:rPr>
          <w:b/>
          <w:bCs/>
          <w:sz w:val="22"/>
          <w:szCs w:val="22"/>
          <w:lang w:val="sr-Latn-ME"/>
        </w:rPr>
        <w:t>Predoziranje</w:t>
      </w:r>
      <w:r w:rsidR="002846DB" w:rsidRPr="009C58C4">
        <w:rPr>
          <w:b/>
          <w:bCs/>
          <w:sz w:val="22"/>
          <w:szCs w:val="22"/>
          <w:lang w:val="sr-Latn-ME"/>
        </w:rPr>
        <w:t xml:space="preserve"> </w:t>
      </w:r>
    </w:p>
    <w:p w14:paraId="67A586C9" w14:textId="77777777" w:rsidR="009C58C4" w:rsidRDefault="009C58C4" w:rsidP="00226369">
      <w:pPr>
        <w:jc w:val="both"/>
        <w:rPr>
          <w:sz w:val="22"/>
          <w:szCs w:val="22"/>
          <w:lang w:val="sr-Latn-ME"/>
        </w:rPr>
      </w:pPr>
    </w:p>
    <w:p w14:paraId="57968B1B" w14:textId="01063ED8" w:rsidR="00CD6F02" w:rsidRPr="009C58C4" w:rsidRDefault="00C455E5" w:rsidP="00226369">
      <w:pPr>
        <w:jc w:val="both"/>
        <w:rPr>
          <w:b/>
          <w:bCs/>
          <w:sz w:val="22"/>
          <w:szCs w:val="22"/>
          <w:lang w:val="sr-Latn-ME"/>
        </w:rPr>
      </w:pPr>
      <w:r w:rsidRPr="009C58C4">
        <w:rPr>
          <w:sz w:val="22"/>
          <w:szCs w:val="22"/>
          <w:lang w:val="sr-Latn-ME"/>
        </w:rPr>
        <w:t>Nisu prijavljeni akutni simptomi predoziranja kod pedijatrijskih pacijenata koji su primali trametinib u kombinaciji s</w:t>
      </w:r>
      <w:r w:rsidR="00E34623" w:rsidRPr="009C58C4">
        <w:rPr>
          <w:sz w:val="22"/>
          <w:szCs w:val="22"/>
          <w:lang w:val="sr-Latn-ME"/>
        </w:rPr>
        <w:t>a</w:t>
      </w:r>
      <w:r w:rsidRPr="009C58C4">
        <w:rPr>
          <w:sz w:val="22"/>
          <w:szCs w:val="22"/>
          <w:lang w:val="sr-Latn-ME"/>
        </w:rPr>
        <w:t xml:space="preserve"> dabrafenibom u kliničkim ispitivanjima. Perzistentno predoziranje trametinibom može rezultirati pojačanim osipom, smanjenim LVEF-om ili abnormalnostima retine. </w:t>
      </w:r>
      <w:r w:rsidRPr="009C58C4">
        <w:rPr>
          <w:noProof/>
          <w:sz w:val="22"/>
          <w:szCs w:val="22"/>
          <w:lang w:val="sr-Latn-ME"/>
        </w:rPr>
        <w:t>Ne postoji specifična terapija u slučaju predoziranja. Ako dođe do predoziranja, pacijentu treba pružiti suportivnu negu uz odgovarajući nadzor ako se ukaže potreba.</w:t>
      </w:r>
    </w:p>
    <w:p w14:paraId="45637B47" w14:textId="1D81C73C" w:rsidR="00227BDB" w:rsidRPr="009C58C4" w:rsidRDefault="00227BDB" w:rsidP="00226369">
      <w:pPr>
        <w:tabs>
          <w:tab w:val="left" w:pos="540"/>
          <w:tab w:val="left" w:pos="569"/>
        </w:tabs>
        <w:jc w:val="both"/>
        <w:rPr>
          <w:b/>
          <w:bCs/>
          <w:sz w:val="22"/>
          <w:szCs w:val="22"/>
          <w:lang w:val="sr-Latn-ME"/>
        </w:rPr>
      </w:pPr>
    </w:p>
    <w:p w14:paraId="16C5196C" w14:textId="77777777" w:rsidR="00304534" w:rsidRPr="009C58C4" w:rsidRDefault="00304534" w:rsidP="00226369">
      <w:pPr>
        <w:tabs>
          <w:tab w:val="left" w:pos="540"/>
          <w:tab w:val="left" w:pos="569"/>
        </w:tabs>
        <w:jc w:val="both"/>
        <w:rPr>
          <w:b/>
          <w:bCs/>
          <w:sz w:val="22"/>
          <w:szCs w:val="22"/>
          <w:lang w:val="sr-Latn-ME"/>
        </w:rPr>
      </w:pPr>
    </w:p>
    <w:p w14:paraId="147D1EEC"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5. </w:t>
      </w:r>
      <w:r w:rsidR="00480FB1" w:rsidRPr="009C58C4">
        <w:rPr>
          <w:b/>
          <w:bCs/>
          <w:sz w:val="22"/>
          <w:szCs w:val="22"/>
          <w:lang w:val="sr-Latn-ME"/>
        </w:rPr>
        <w:tab/>
      </w:r>
      <w:r w:rsidRPr="009C58C4">
        <w:rPr>
          <w:b/>
          <w:bCs/>
          <w:sz w:val="22"/>
          <w:szCs w:val="22"/>
          <w:lang w:val="sr-Latn-ME"/>
        </w:rPr>
        <w:t>FARMAKOLOŠK</w:t>
      </w:r>
      <w:r w:rsidR="000D425A" w:rsidRPr="009C58C4">
        <w:rPr>
          <w:b/>
          <w:bCs/>
          <w:sz w:val="22"/>
          <w:szCs w:val="22"/>
          <w:lang w:val="sr-Latn-ME"/>
        </w:rPr>
        <w:t>I</w:t>
      </w:r>
      <w:r w:rsidRPr="009C58C4">
        <w:rPr>
          <w:b/>
          <w:bCs/>
          <w:sz w:val="22"/>
          <w:szCs w:val="22"/>
          <w:lang w:val="sr-Latn-ME"/>
        </w:rPr>
        <w:t xml:space="preserve"> PODACI</w:t>
      </w:r>
    </w:p>
    <w:p w14:paraId="1F180C31" w14:textId="77777777" w:rsidR="0072020E" w:rsidRPr="009C58C4" w:rsidRDefault="0072020E" w:rsidP="00226369">
      <w:pPr>
        <w:tabs>
          <w:tab w:val="left" w:pos="540"/>
          <w:tab w:val="left" w:pos="569"/>
        </w:tabs>
        <w:jc w:val="both"/>
        <w:rPr>
          <w:b/>
          <w:bCs/>
          <w:sz w:val="22"/>
          <w:szCs w:val="22"/>
          <w:lang w:val="sr-Latn-ME"/>
        </w:rPr>
      </w:pPr>
    </w:p>
    <w:p w14:paraId="78988013"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5.1. </w:t>
      </w:r>
      <w:r w:rsidR="00480FB1" w:rsidRPr="009C58C4">
        <w:rPr>
          <w:b/>
          <w:bCs/>
          <w:sz w:val="22"/>
          <w:szCs w:val="22"/>
          <w:lang w:val="sr-Latn-ME"/>
        </w:rPr>
        <w:tab/>
      </w:r>
      <w:r w:rsidRPr="009C58C4">
        <w:rPr>
          <w:b/>
          <w:bCs/>
          <w:sz w:val="22"/>
          <w:szCs w:val="22"/>
          <w:lang w:val="sr-Latn-ME"/>
        </w:rPr>
        <w:t>Farmakodinamski podaci</w:t>
      </w:r>
      <w:r w:rsidR="003A7059" w:rsidRPr="009C58C4">
        <w:rPr>
          <w:b/>
          <w:bCs/>
          <w:sz w:val="22"/>
          <w:szCs w:val="22"/>
          <w:lang w:val="sr-Latn-ME"/>
        </w:rPr>
        <w:t xml:space="preserve"> </w:t>
      </w:r>
    </w:p>
    <w:p w14:paraId="0D7655A9" w14:textId="77777777" w:rsidR="00F45F77" w:rsidRPr="009C58C4" w:rsidRDefault="00F45F77" w:rsidP="00226369">
      <w:pPr>
        <w:tabs>
          <w:tab w:val="left" w:pos="540"/>
          <w:tab w:val="left" w:pos="569"/>
        </w:tabs>
        <w:jc w:val="both"/>
        <w:rPr>
          <w:b/>
          <w:bCs/>
          <w:sz w:val="22"/>
          <w:szCs w:val="22"/>
          <w:lang w:val="sr-Latn-ME"/>
        </w:rPr>
      </w:pPr>
    </w:p>
    <w:p w14:paraId="0FC0F882" w14:textId="3249AEA4" w:rsidR="0072020E" w:rsidRPr="009C58C4" w:rsidRDefault="0072020E" w:rsidP="00226369">
      <w:pPr>
        <w:tabs>
          <w:tab w:val="left" w:pos="540"/>
          <w:tab w:val="left" w:pos="569"/>
        </w:tabs>
        <w:jc w:val="both"/>
        <w:rPr>
          <w:bCs/>
          <w:sz w:val="22"/>
          <w:szCs w:val="22"/>
          <w:lang w:val="sr-Latn-ME"/>
        </w:rPr>
      </w:pPr>
      <w:r w:rsidRPr="009C58C4">
        <w:rPr>
          <w:bCs/>
          <w:sz w:val="22"/>
          <w:szCs w:val="22"/>
          <w:lang w:val="sr-Latn-ME"/>
        </w:rPr>
        <w:t>Farmakoterapijska grupa:</w:t>
      </w:r>
      <w:r w:rsidR="00C455E5" w:rsidRPr="009C58C4">
        <w:rPr>
          <w:sz w:val="22"/>
          <w:szCs w:val="22"/>
          <w:lang w:val="sr-Latn-ME"/>
        </w:rPr>
        <w:t xml:space="preserve"> Antineoplastici, inhibitori protein-kinaze, inhibitori mitogenom aktivirane protein-kinaze (MEK)</w:t>
      </w:r>
    </w:p>
    <w:p w14:paraId="790A4AF8" w14:textId="77777777" w:rsidR="0072020E" w:rsidRPr="009C58C4" w:rsidRDefault="0072020E" w:rsidP="00226369">
      <w:pPr>
        <w:tabs>
          <w:tab w:val="left" w:pos="540"/>
          <w:tab w:val="left" w:pos="569"/>
        </w:tabs>
        <w:jc w:val="both"/>
        <w:rPr>
          <w:bCs/>
          <w:sz w:val="22"/>
          <w:szCs w:val="22"/>
          <w:lang w:val="sr-Latn-ME"/>
        </w:rPr>
      </w:pPr>
    </w:p>
    <w:p w14:paraId="7ADE6765" w14:textId="24B020DB" w:rsidR="00C455E5" w:rsidRPr="009C58C4" w:rsidRDefault="0072020E" w:rsidP="00226369">
      <w:pPr>
        <w:jc w:val="both"/>
        <w:outlineLvl w:val="0"/>
        <w:rPr>
          <w:sz w:val="22"/>
          <w:szCs w:val="22"/>
          <w:lang w:val="sr-Latn-ME"/>
        </w:rPr>
      </w:pPr>
      <w:r w:rsidRPr="009C58C4">
        <w:rPr>
          <w:bCs/>
          <w:sz w:val="22"/>
          <w:szCs w:val="22"/>
          <w:lang w:val="sr-Latn-ME"/>
        </w:rPr>
        <w:lastRenderedPageBreak/>
        <w:t>ATC kod:</w:t>
      </w:r>
      <w:r w:rsidR="00C455E5" w:rsidRPr="009C58C4">
        <w:rPr>
          <w:sz w:val="22"/>
          <w:szCs w:val="22"/>
          <w:lang w:val="sr-Latn-ME"/>
        </w:rPr>
        <w:t xml:space="preserve"> L01EE01</w:t>
      </w:r>
    </w:p>
    <w:p w14:paraId="37786576" w14:textId="77777777" w:rsidR="00F118BB" w:rsidRPr="009C58C4" w:rsidRDefault="00F118BB" w:rsidP="00226369">
      <w:pPr>
        <w:jc w:val="both"/>
        <w:outlineLvl w:val="0"/>
        <w:rPr>
          <w:sz w:val="22"/>
          <w:szCs w:val="22"/>
          <w:lang w:val="sr-Latn-ME"/>
        </w:rPr>
      </w:pPr>
    </w:p>
    <w:p w14:paraId="4513C5AC" w14:textId="77777777" w:rsidR="007F1BE3" w:rsidRPr="009C58C4" w:rsidRDefault="007F1BE3" w:rsidP="00226369">
      <w:pPr>
        <w:keepNext/>
        <w:autoSpaceDE w:val="0"/>
        <w:autoSpaceDN w:val="0"/>
        <w:adjustRightInd w:val="0"/>
        <w:jc w:val="both"/>
        <w:rPr>
          <w:sz w:val="22"/>
          <w:szCs w:val="22"/>
          <w:u w:val="single"/>
          <w:lang w:val="sr-Latn-ME"/>
        </w:rPr>
      </w:pPr>
      <w:r w:rsidRPr="009C58C4">
        <w:rPr>
          <w:sz w:val="22"/>
          <w:szCs w:val="22"/>
          <w:u w:val="single"/>
          <w:lang w:val="sr-Latn-ME"/>
        </w:rPr>
        <w:t>Mehanizam dejstva</w:t>
      </w:r>
    </w:p>
    <w:p w14:paraId="22934315" w14:textId="77777777" w:rsidR="007F1BE3" w:rsidRPr="009C58C4" w:rsidRDefault="007F1BE3" w:rsidP="00226369">
      <w:pPr>
        <w:keepNext/>
        <w:autoSpaceDE w:val="0"/>
        <w:autoSpaceDN w:val="0"/>
        <w:adjustRightInd w:val="0"/>
        <w:jc w:val="both"/>
        <w:rPr>
          <w:sz w:val="22"/>
          <w:szCs w:val="22"/>
          <w:lang w:val="sr-Latn-ME"/>
        </w:rPr>
      </w:pPr>
    </w:p>
    <w:p w14:paraId="0681502E" w14:textId="178F70CC" w:rsidR="007F1BE3" w:rsidRPr="009C58C4" w:rsidRDefault="007F1BE3" w:rsidP="00226369">
      <w:pPr>
        <w:jc w:val="both"/>
        <w:rPr>
          <w:color w:val="000000"/>
          <w:sz w:val="22"/>
          <w:szCs w:val="22"/>
          <w:lang w:val="sr-Latn-ME" w:eastAsia="en-GB"/>
        </w:rPr>
      </w:pPr>
      <w:r w:rsidRPr="009C58C4">
        <w:rPr>
          <w:color w:val="000000"/>
          <w:sz w:val="22"/>
          <w:szCs w:val="22"/>
          <w:lang w:val="sr-Latn-ME" w:eastAsia="en-GB"/>
        </w:rPr>
        <w:t xml:space="preserve">Trametinib je reverzibilan, visoko selektivan, alosterički inhibitor aktivacije mitogenom aktivirane kinaze 1 regulisane ekstracelularnim signalima (engl. </w:t>
      </w:r>
      <w:r w:rsidRPr="009C58C4">
        <w:rPr>
          <w:i/>
          <w:iCs/>
          <w:color w:val="000000"/>
          <w:sz w:val="22"/>
          <w:szCs w:val="22"/>
          <w:lang w:val="sr-Latn-ME" w:eastAsia="en-GB"/>
        </w:rPr>
        <w:t>mitogen-activated extracellular signal regulated kinase 1</w:t>
      </w:r>
      <w:r w:rsidRPr="009C58C4">
        <w:rPr>
          <w:color w:val="000000"/>
          <w:sz w:val="22"/>
          <w:szCs w:val="22"/>
          <w:lang w:val="sr-Latn-ME" w:eastAsia="en-GB"/>
        </w:rPr>
        <w:t>, MEK1) i MEK2 kao i inhibitor aktivnosti MEK kinaze. MEK proteini su sastavni d</w:t>
      </w:r>
      <w:r w:rsidR="0091092E" w:rsidRPr="009C58C4">
        <w:rPr>
          <w:color w:val="000000"/>
          <w:sz w:val="22"/>
          <w:szCs w:val="22"/>
          <w:lang w:val="sr-Latn-ME" w:eastAsia="en-GB"/>
        </w:rPr>
        <w:t>j</w:t>
      </w:r>
      <w:r w:rsidRPr="009C58C4">
        <w:rPr>
          <w:color w:val="000000"/>
          <w:sz w:val="22"/>
          <w:szCs w:val="22"/>
          <w:lang w:val="sr-Latn-ME" w:eastAsia="en-GB"/>
        </w:rPr>
        <w:t xml:space="preserve">elovi signalnog puta kinaze regulisane ekstracelularnim signalima (engl. </w:t>
      </w:r>
      <w:r w:rsidRPr="009C58C4">
        <w:rPr>
          <w:i/>
          <w:iCs/>
          <w:color w:val="000000"/>
          <w:sz w:val="22"/>
          <w:szCs w:val="22"/>
          <w:lang w:val="sr-Latn-ME" w:eastAsia="en-GB"/>
        </w:rPr>
        <w:t>extracellular signal-regulated kinase</w:t>
      </w:r>
      <w:r w:rsidRPr="009C58C4">
        <w:rPr>
          <w:color w:val="000000"/>
          <w:sz w:val="22"/>
          <w:szCs w:val="22"/>
          <w:lang w:val="sr-Latn-ME" w:eastAsia="en-GB"/>
        </w:rPr>
        <w:t xml:space="preserve">, ERK). Kod raka </w:t>
      </w:r>
      <w:r w:rsidRPr="009C58C4">
        <w:rPr>
          <w:sz w:val="22"/>
          <w:szCs w:val="22"/>
          <w:lang w:val="sr-Latn-ME"/>
        </w:rPr>
        <w:t>kod ljudi</w:t>
      </w:r>
      <w:r w:rsidRPr="009C58C4">
        <w:rPr>
          <w:color w:val="000000"/>
          <w:sz w:val="22"/>
          <w:szCs w:val="22"/>
          <w:lang w:val="sr-Latn-ME" w:eastAsia="en-GB"/>
        </w:rPr>
        <w:t>, spomenuti signalni put često aktiviraju mutirani oblici BRAF proteina, koji aktivira MEK. Trametinib inhibira aktivaciju MEK proteina koju uzrokuje BRAF protein te inhibira aktivnost MEK kinaze.</w:t>
      </w:r>
    </w:p>
    <w:p w14:paraId="29ED9621" w14:textId="77777777" w:rsidR="007F1BE3" w:rsidRPr="009C58C4" w:rsidRDefault="007F1BE3" w:rsidP="00226369">
      <w:pPr>
        <w:jc w:val="both"/>
        <w:rPr>
          <w:color w:val="000000"/>
          <w:sz w:val="22"/>
          <w:szCs w:val="22"/>
          <w:lang w:val="sr-Latn-ME" w:eastAsia="en-GB"/>
        </w:rPr>
      </w:pPr>
    </w:p>
    <w:p w14:paraId="1AA54A48" w14:textId="2677906A" w:rsidR="007F1BE3" w:rsidRPr="009C58C4" w:rsidRDefault="007F1BE3" w:rsidP="00226369">
      <w:pPr>
        <w:keepNext/>
        <w:autoSpaceDE w:val="0"/>
        <w:autoSpaceDN w:val="0"/>
        <w:adjustRightInd w:val="0"/>
        <w:jc w:val="both"/>
        <w:rPr>
          <w:i/>
          <w:iCs/>
          <w:sz w:val="22"/>
          <w:szCs w:val="22"/>
          <w:u w:val="single"/>
          <w:lang w:val="sr-Latn-ME"/>
        </w:rPr>
      </w:pPr>
      <w:r w:rsidRPr="009C58C4">
        <w:rPr>
          <w:i/>
          <w:iCs/>
          <w:sz w:val="22"/>
          <w:szCs w:val="22"/>
          <w:u w:val="single"/>
          <w:lang w:val="sr-Latn-ME"/>
        </w:rPr>
        <w:t>Kombinacija s</w:t>
      </w:r>
      <w:r w:rsidR="00E16F1B" w:rsidRPr="009C58C4">
        <w:rPr>
          <w:i/>
          <w:iCs/>
          <w:sz w:val="22"/>
          <w:szCs w:val="22"/>
          <w:u w:val="single"/>
          <w:lang w:val="sr-Latn-ME"/>
        </w:rPr>
        <w:t>a</w:t>
      </w:r>
      <w:r w:rsidRPr="009C58C4">
        <w:rPr>
          <w:i/>
          <w:iCs/>
          <w:sz w:val="22"/>
          <w:szCs w:val="22"/>
          <w:u w:val="single"/>
          <w:lang w:val="sr-Latn-ME"/>
        </w:rPr>
        <w:t xml:space="preserve"> dabrafenibom</w:t>
      </w:r>
    </w:p>
    <w:p w14:paraId="521F5AE9" w14:textId="77777777" w:rsidR="007F1BE3" w:rsidRPr="009C58C4" w:rsidRDefault="007F1BE3" w:rsidP="00226369">
      <w:pPr>
        <w:jc w:val="both"/>
        <w:rPr>
          <w:sz w:val="22"/>
          <w:szCs w:val="22"/>
          <w:lang w:val="sr-Latn-ME" w:eastAsia="en-GB"/>
        </w:rPr>
      </w:pPr>
      <w:r w:rsidRPr="009C58C4">
        <w:rPr>
          <w:sz w:val="22"/>
          <w:szCs w:val="22"/>
          <w:lang w:val="sr-Latn-ME" w:eastAsia="en-GB"/>
        </w:rPr>
        <w:t xml:space="preserve">Dabrafenib je inhibitor RAF kinaza. Onkogene mutacije u </w:t>
      </w:r>
      <w:r w:rsidRPr="009C58C4">
        <w:rPr>
          <w:i/>
          <w:sz w:val="22"/>
          <w:szCs w:val="22"/>
          <w:lang w:val="sr-Latn-ME" w:eastAsia="en-GB"/>
        </w:rPr>
        <w:t>BRAF</w:t>
      </w:r>
      <w:r w:rsidRPr="009C58C4">
        <w:rPr>
          <w:sz w:val="22"/>
          <w:szCs w:val="22"/>
          <w:lang w:val="sr-Latn-ME" w:eastAsia="en-GB"/>
        </w:rPr>
        <w:t xml:space="preserve"> genu dovode do konstitutivne aktivacije RAS/RAF/MEK/ERK puta.</w:t>
      </w:r>
    </w:p>
    <w:p w14:paraId="17EF83AC" w14:textId="77777777" w:rsidR="007F1BE3" w:rsidRPr="009C58C4" w:rsidRDefault="007F1BE3" w:rsidP="00226369">
      <w:pPr>
        <w:jc w:val="both"/>
        <w:rPr>
          <w:sz w:val="22"/>
          <w:szCs w:val="22"/>
          <w:lang w:val="sr-Latn-ME" w:eastAsia="en-GB"/>
        </w:rPr>
      </w:pPr>
    </w:p>
    <w:p w14:paraId="5A9B2DF5" w14:textId="12526D76" w:rsidR="007F1BE3" w:rsidRPr="009C58C4" w:rsidRDefault="007F1BE3" w:rsidP="00226369">
      <w:pPr>
        <w:jc w:val="both"/>
        <w:rPr>
          <w:sz w:val="22"/>
          <w:szCs w:val="22"/>
          <w:lang w:val="sr-Latn-ME" w:eastAsia="en-GB"/>
        </w:rPr>
      </w:pPr>
      <w:r w:rsidRPr="009C58C4">
        <w:rPr>
          <w:sz w:val="22"/>
          <w:szCs w:val="22"/>
          <w:lang w:val="sr-Latn-ME" w:eastAsia="en-GB"/>
        </w:rPr>
        <w:t>Prema tome, trametinib i dabrafenib inhibiraju dv</w:t>
      </w:r>
      <w:r w:rsidR="00E32D08" w:rsidRPr="009C58C4">
        <w:rPr>
          <w:sz w:val="22"/>
          <w:szCs w:val="22"/>
          <w:lang w:val="sr-Latn-ME" w:eastAsia="en-GB"/>
        </w:rPr>
        <w:t>ij</w:t>
      </w:r>
      <w:r w:rsidRPr="009C58C4">
        <w:rPr>
          <w:sz w:val="22"/>
          <w:szCs w:val="22"/>
          <w:lang w:val="sr-Latn-ME" w:eastAsia="en-GB"/>
        </w:rPr>
        <w:t>e kinaze u ovom putu, MEK i RAF, pa zato kombinacija omogućuje istovremenu inhibiciju puta. Kombinacija trametiniba s</w:t>
      </w:r>
      <w:r w:rsidR="00E16F1B" w:rsidRPr="009C58C4">
        <w:rPr>
          <w:sz w:val="22"/>
          <w:szCs w:val="22"/>
          <w:lang w:val="sr-Latn-ME" w:eastAsia="en-GB"/>
        </w:rPr>
        <w:t>a</w:t>
      </w:r>
      <w:r w:rsidRPr="009C58C4">
        <w:rPr>
          <w:sz w:val="22"/>
          <w:szCs w:val="22"/>
          <w:lang w:val="sr-Latn-ME" w:eastAsia="en-GB"/>
        </w:rPr>
        <w:t xml:space="preserve"> dabrafenibom je pokazala antitumorsku aktivnost u ćelijskim linijama raka pozitivnog na mutaciju BRAF V600 </w:t>
      </w:r>
      <w:r w:rsidRPr="009C58C4">
        <w:rPr>
          <w:i/>
          <w:iCs/>
          <w:sz w:val="22"/>
          <w:szCs w:val="22"/>
          <w:lang w:val="sr-Latn-ME" w:eastAsia="en-GB"/>
        </w:rPr>
        <w:t xml:space="preserve">in vitro </w:t>
      </w:r>
      <w:r w:rsidRPr="009C58C4">
        <w:rPr>
          <w:sz w:val="22"/>
          <w:szCs w:val="22"/>
          <w:lang w:val="sr-Latn-ME" w:eastAsia="en-GB"/>
        </w:rPr>
        <w:t xml:space="preserve">i odlaže pojavu rezistencije u ksenograftima pozitivnim na mutaciju BRAF V600 </w:t>
      </w:r>
      <w:r w:rsidRPr="009C58C4">
        <w:rPr>
          <w:i/>
          <w:iCs/>
          <w:sz w:val="22"/>
          <w:szCs w:val="22"/>
          <w:lang w:val="sr-Latn-ME" w:eastAsia="en-GB"/>
        </w:rPr>
        <w:t>in vivo</w:t>
      </w:r>
      <w:r w:rsidRPr="009C58C4">
        <w:rPr>
          <w:sz w:val="22"/>
          <w:szCs w:val="22"/>
          <w:lang w:val="sr-Latn-ME" w:eastAsia="en-GB"/>
        </w:rPr>
        <w:t>.</w:t>
      </w:r>
    </w:p>
    <w:p w14:paraId="0E3EECFE" w14:textId="77777777" w:rsidR="007F1BE3" w:rsidRPr="009C58C4" w:rsidRDefault="007F1BE3" w:rsidP="00226369">
      <w:pPr>
        <w:jc w:val="both"/>
        <w:rPr>
          <w:color w:val="000000"/>
          <w:sz w:val="22"/>
          <w:szCs w:val="22"/>
          <w:lang w:val="sr-Latn-ME" w:eastAsia="en-GB"/>
        </w:rPr>
      </w:pPr>
    </w:p>
    <w:p w14:paraId="1F168FB6" w14:textId="3C2651B1" w:rsidR="007F1BE3" w:rsidRPr="009C58C4" w:rsidRDefault="007F1BE3" w:rsidP="00226369">
      <w:pPr>
        <w:keepNext/>
        <w:autoSpaceDE w:val="0"/>
        <w:autoSpaceDN w:val="0"/>
        <w:adjustRightInd w:val="0"/>
        <w:jc w:val="both"/>
        <w:rPr>
          <w:sz w:val="22"/>
          <w:szCs w:val="22"/>
          <w:u w:val="single"/>
          <w:lang w:val="sr-Latn-ME"/>
        </w:rPr>
      </w:pPr>
      <w:r w:rsidRPr="009C58C4">
        <w:rPr>
          <w:sz w:val="22"/>
          <w:szCs w:val="22"/>
          <w:u w:val="single"/>
          <w:lang w:val="sr-Latn-ME"/>
        </w:rPr>
        <w:t xml:space="preserve">Klinička efikasnost i </w:t>
      </w:r>
      <w:r w:rsidR="00F46CDF" w:rsidRPr="009C58C4">
        <w:rPr>
          <w:sz w:val="22"/>
          <w:szCs w:val="22"/>
          <w:u w:val="single"/>
          <w:lang w:val="sr-Latn-ME"/>
        </w:rPr>
        <w:t>bezbjed</w:t>
      </w:r>
      <w:r w:rsidRPr="009C58C4">
        <w:rPr>
          <w:sz w:val="22"/>
          <w:szCs w:val="22"/>
          <w:u w:val="single"/>
          <w:lang w:val="sr-Latn-ME"/>
        </w:rPr>
        <w:t>nost</w:t>
      </w:r>
    </w:p>
    <w:p w14:paraId="3F93FEE0" w14:textId="77777777" w:rsidR="007F1BE3" w:rsidRPr="009C58C4" w:rsidRDefault="007F1BE3" w:rsidP="00226369">
      <w:pPr>
        <w:keepNext/>
        <w:autoSpaceDE w:val="0"/>
        <w:autoSpaceDN w:val="0"/>
        <w:adjustRightInd w:val="0"/>
        <w:jc w:val="both"/>
        <w:rPr>
          <w:sz w:val="22"/>
          <w:szCs w:val="22"/>
          <w:lang w:val="sr-Latn-ME"/>
        </w:rPr>
      </w:pPr>
    </w:p>
    <w:p w14:paraId="2BA5B556" w14:textId="77777777" w:rsidR="007F1BE3" w:rsidRPr="009C58C4" w:rsidRDefault="007F1BE3" w:rsidP="00226369">
      <w:pPr>
        <w:keepNext/>
        <w:autoSpaceDE w:val="0"/>
        <w:autoSpaceDN w:val="0"/>
        <w:adjustRightInd w:val="0"/>
        <w:jc w:val="both"/>
        <w:rPr>
          <w:i/>
          <w:sz w:val="22"/>
          <w:szCs w:val="22"/>
          <w:u w:val="single"/>
          <w:lang w:val="sr-Latn-ME"/>
        </w:rPr>
      </w:pPr>
      <w:r w:rsidRPr="009C58C4">
        <w:rPr>
          <w:i/>
          <w:sz w:val="22"/>
          <w:szCs w:val="22"/>
          <w:u w:val="single"/>
          <w:lang w:val="sr-Latn-ME"/>
        </w:rPr>
        <w:t>Pedijatrijska populacija</w:t>
      </w:r>
    </w:p>
    <w:p w14:paraId="0F2A758B" w14:textId="38B02EDE" w:rsidR="007F1BE3" w:rsidRPr="009C58C4" w:rsidRDefault="007F1BE3" w:rsidP="00226369">
      <w:pPr>
        <w:jc w:val="both"/>
        <w:rPr>
          <w:sz w:val="22"/>
          <w:szCs w:val="22"/>
          <w:lang w:val="sr-Latn-ME"/>
        </w:rPr>
      </w:pPr>
      <w:r w:rsidRPr="009C58C4">
        <w:rPr>
          <w:sz w:val="22"/>
          <w:szCs w:val="22"/>
          <w:lang w:val="sr-Latn-ME"/>
        </w:rPr>
        <w:t xml:space="preserve">Klinička efikasnost i </w:t>
      </w:r>
      <w:r w:rsidR="00F46CDF" w:rsidRPr="009C58C4">
        <w:rPr>
          <w:sz w:val="22"/>
          <w:szCs w:val="22"/>
          <w:lang w:val="sr-Latn-ME"/>
        </w:rPr>
        <w:t>bezbjed</w:t>
      </w:r>
      <w:r w:rsidRPr="009C58C4">
        <w:rPr>
          <w:sz w:val="22"/>
          <w:szCs w:val="22"/>
          <w:lang w:val="sr-Latn-ME"/>
        </w:rPr>
        <w:t xml:space="preserve">nost kombinacije dabrafeniba i trametiniba za </w:t>
      </w:r>
      <w:r w:rsidR="007F2563" w:rsidRPr="009C58C4">
        <w:rPr>
          <w:sz w:val="22"/>
          <w:szCs w:val="22"/>
          <w:lang w:val="sr-Latn-ME"/>
        </w:rPr>
        <w:t>liječ</w:t>
      </w:r>
      <w:r w:rsidRPr="009C58C4">
        <w:rPr>
          <w:sz w:val="22"/>
          <w:szCs w:val="22"/>
          <w:lang w:val="sr-Latn-ME"/>
        </w:rPr>
        <w:t xml:space="preserve">enje pedijatrijskih pacijenata uzrasta od 1 do &lt;18 godina sa gliomom pozitivnim na BRAF V600 mutaciju je </w:t>
      </w:r>
      <w:r w:rsidR="007F2563" w:rsidRPr="009C58C4">
        <w:rPr>
          <w:sz w:val="22"/>
          <w:szCs w:val="22"/>
          <w:lang w:val="sr-Latn-ME"/>
        </w:rPr>
        <w:t>procijen</w:t>
      </w:r>
      <w:r w:rsidRPr="009C58C4">
        <w:rPr>
          <w:sz w:val="22"/>
          <w:szCs w:val="22"/>
          <w:lang w:val="sr-Latn-ME"/>
        </w:rPr>
        <w:t xml:space="preserve">jena u multicentričnom otvorenom kliničkom ispitivanju faze II (EudraCT 2015-004015-20). Pacijenti sa gliomom niskog gradusa </w:t>
      </w:r>
      <w:bookmarkStart w:id="27" w:name="_Hlk134392967"/>
      <w:r w:rsidRPr="009C58C4">
        <w:rPr>
          <w:sz w:val="22"/>
          <w:szCs w:val="22"/>
          <w:lang w:val="sr-Latn-ME"/>
        </w:rPr>
        <w:t xml:space="preserve">(WHO 2016 gradus 1 i 2) </w:t>
      </w:r>
      <w:bookmarkEnd w:id="27"/>
      <w:r w:rsidRPr="009C58C4">
        <w:rPr>
          <w:sz w:val="22"/>
          <w:szCs w:val="22"/>
          <w:lang w:val="sr-Latn-ME"/>
        </w:rPr>
        <w:t>koji su zaht</w:t>
      </w:r>
      <w:r w:rsidR="00E32D08" w:rsidRPr="009C58C4">
        <w:rPr>
          <w:sz w:val="22"/>
          <w:szCs w:val="22"/>
          <w:lang w:val="sr-Latn-ME"/>
        </w:rPr>
        <w:t>ij</w:t>
      </w:r>
      <w:r w:rsidRPr="009C58C4">
        <w:rPr>
          <w:sz w:val="22"/>
          <w:szCs w:val="22"/>
          <w:lang w:val="sr-Latn-ME"/>
        </w:rPr>
        <w:t>evali prvu sistemsku terapiju su bili randomizovani u odnosu 2:1 na kombinaciju dabrafeniba sa trametinibom ili kombinaciju karboplatina sa vinkristinom, a pacijenti sa relapsnim ili refraktornim gliomom visokog gradusa (WHO 2016 gradus 3 i 4) su bili uključeni u kohortu sa jednom granom sa kombinacijom dabrafeniba i trametiniba.</w:t>
      </w:r>
    </w:p>
    <w:p w14:paraId="6AEC0C0B" w14:textId="77777777" w:rsidR="007F1BE3" w:rsidRPr="009C58C4" w:rsidRDefault="007F1BE3" w:rsidP="00226369">
      <w:pPr>
        <w:jc w:val="both"/>
        <w:rPr>
          <w:sz w:val="22"/>
          <w:szCs w:val="22"/>
          <w:lang w:val="sr-Latn-ME"/>
        </w:rPr>
      </w:pPr>
    </w:p>
    <w:p w14:paraId="7C96E4D3" w14:textId="77777777" w:rsidR="007F1BE3" w:rsidRPr="009C58C4" w:rsidRDefault="007F1BE3" w:rsidP="00226369">
      <w:pPr>
        <w:jc w:val="both"/>
        <w:rPr>
          <w:sz w:val="22"/>
          <w:szCs w:val="22"/>
          <w:lang w:val="sr-Latn-ME"/>
        </w:rPr>
      </w:pPr>
      <w:r w:rsidRPr="009C58C4">
        <w:rPr>
          <w:sz w:val="22"/>
          <w:szCs w:val="22"/>
          <w:lang w:val="sr-Latn-ME"/>
        </w:rPr>
        <w:t xml:space="preserve">Status BRAF mutacije je identifikovan prospektivno putem lokalnog testa ili centralnog laboratorijskog testa lančane reakcije polimerazom (engl. </w:t>
      </w:r>
      <w:r w:rsidRPr="009C58C4">
        <w:rPr>
          <w:i/>
          <w:iCs/>
          <w:sz w:val="22"/>
          <w:szCs w:val="22"/>
          <w:lang w:val="sr-Latn-ME"/>
        </w:rPr>
        <w:t>polymerase chain reaction</w:t>
      </w:r>
      <w:r w:rsidRPr="009C58C4">
        <w:rPr>
          <w:iCs/>
          <w:sz w:val="22"/>
          <w:szCs w:val="22"/>
          <w:lang w:val="sr-Latn-ME"/>
        </w:rPr>
        <w:t>,</w:t>
      </w:r>
      <w:r w:rsidRPr="009C58C4">
        <w:rPr>
          <w:sz w:val="22"/>
          <w:szCs w:val="22"/>
          <w:lang w:val="sr-Latn-ME"/>
        </w:rPr>
        <w:t xml:space="preserve"> PCR) u stvarnom vremenu kada lokalni test nije bio dostupan. Osim toga, izvršeno je retrospektivno testiranje dostupnih uzoraka tumora u centralnoj laboratoriji kako bi se potvrdila BRAF mutacija V600E.</w:t>
      </w:r>
    </w:p>
    <w:p w14:paraId="43D562F8" w14:textId="77777777" w:rsidR="007F1BE3" w:rsidRPr="009C58C4" w:rsidRDefault="007F1BE3" w:rsidP="00226369">
      <w:pPr>
        <w:jc w:val="both"/>
        <w:rPr>
          <w:sz w:val="22"/>
          <w:szCs w:val="22"/>
          <w:lang w:val="sr-Latn-ME"/>
        </w:rPr>
      </w:pPr>
    </w:p>
    <w:p w14:paraId="6C42A8B8" w14:textId="5A02C234" w:rsidR="007F1BE3" w:rsidRPr="009C58C4" w:rsidRDefault="007F1BE3" w:rsidP="00226369">
      <w:pPr>
        <w:jc w:val="both"/>
        <w:rPr>
          <w:sz w:val="22"/>
          <w:szCs w:val="22"/>
          <w:lang w:val="sr-Latn-ME"/>
        </w:rPr>
      </w:pPr>
      <w:r w:rsidRPr="009C58C4">
        <w:rPr>
          <w:sz w:val="22"/>
          <w:szCs w:val="22"/>
          <w:lang w:val="sr-Latn-ME"/>
        </w:rPr>
        <w:t xml:space="preserve">Doziranje dabrafeniba i trametiniba u kliničkom ispitivanju je zavisilo je od uzrasta i težine, sa dabrafenibom koji se oralno dozirao u dozi od 2,625 mg/kg dvaput dnevno za uzrast &lt;12 godina i 2,25 mg/kg dvaput dnevno za uzrast od 12 godina i starije; trametinib je doziran oralno u dozi od 0,032 mg/kg jednom dnevno za uzrast &lt;6 godina i 0,025 mg/kg jednom dnevno za uzrast od 6 godina i starije. Doze dabrafeniba su bile ograničene na 150 mg dvaput dnevno, a doze trametiniba na 2 mg jednom dnevno. Karboplatin i vinkristin su dozirani na osnovu uzrasta i </w:t>
      </w:r>
      <w:r w:rsidR="00F46CDF" w:rsidRPr="009C58C4">
        <w:rPr>
          <w:sz w:val="22"/>
          <w:szCs w:val="22"/>
          <w:lang w:val="sr-Latn-ME"/>
        </w:rPr>
        <w:t>tjeles</w:t>
      </w:r>
      <w:r w:rsidRPr="009C58C4">
        <w:rPr>
          <w:sz w:val="22"/>
          <w:szCs w:val="22"/>
          <w:lang w:val="sr-Latn-ME"/>
        </w:rPr>
        <w:t>ne površine u dozama od 175 mg/m</w:t>
      </w:r>
      <w:r w:rsidRPr="009C58C4">
        <w:rPr>
          <w:sz w:val="22"/>
          <w:szCs w:val="22"/>
          <w:vertAlign w:val="superscript"/>
          <w:lang w:val="sr-Latn-ME"/>
        </w:rPr>
        <w:t>2</w:t>
      </w:r>
      <w:r w:rsidRPr="009C58C4">
        <w:rPr>
          <w:sz w:val="22"/>
          <w:szCs w:val="22"/>
          <w:lang w:val="sr-Latn-ME"/>
        </w:rPr>
        <w:t xml:space="preserve"> odnosno 1,5 mg/m</w:t>
      </w:r>
      <w:r w:rsidRPr="009C58C4">
        <w:rPr>
          <w:sz w:val="22"/>
          <w:szCs w:val="22"/>
          <w:vertAlign w:val="superscript"/>
          <w:lang w:val="sr-Latn-ME"/>
        </w:rPr>
        <w:t>2</w:t>
      </w:r>
      <w:r w:rsidRPr="009C58C4">
        <w:rPr>
          <w:sz w:val="22"/>
          <w:szCs w:val="22"/>
          <w:lang w:val="sr-Latn-ME"/>
        </w:rPr>
        <w:t xml:space="preserve">, kao infuzije jednom </w:t>
      </w:r>
      <w:r w:rsidR="00F46CDF" w:rsidRPr="009C58C4">
        <w:rPr>
          <w:sz w:val="22"/>
          <w:szCs w:val="22"/>
          <w:lang w:val="sr-Latn-ME"/>
        </w:rPr>
        <w:t>nedjelj</w:t>
      </w:r>
      <w:r w:rsidRPr="009C58C4">
        <w:rPr>
          <w:sz w:val="22"/>
          <w:szCs w:val="22"/>
          <w:lang w:val="sr-Latn-ME"/>
        </w:rPr>
        <w:t xml:space="preserve">no. Karboplatin i vinkristin su </w:t>
      </w:r>
      <w:r w:rsidR="007F2563" w:rsidRPr="009C58C4">
        <w:rPr>
          <w:sz w:val="22"/>
          <w:szCs w:val="22"/>
          <w:lang w:val="sr-Latn-ME"/>
        </w:rPr>
        <w:t>primijen</w:t>
      </w:r>
      <w:r w:rsidRPr="009C58C4">
        <w:rPr>
          <w:sz w:val="22"/>
          <w:szCs w:val="22"/>
          <w:lang w:val="sr-Latn-ME"/>
        </w:rPr>
        <w:t>jeni u jednom uvodnom ciklusu od 10 </w:t>
      </w:r>
      <w:r w:rsidR="00F46CDF" w:rsidRPr="009C58C4">
        <w:rPr>
          <w:sz w:val="22"/>
          <w:szCs w:val="22"/>
          <w:lang w:val="sr-Latn-ME"/>
        </w:rPr>
        <w:t>nedjelj</w:t>
      </w:r>
      <w:r w:rsidRPr="009C58C4">
        <w:rPr>
          <w:sz w:val="22"/>
          <w:szCs w:val="22"/>
          <w:lang w:val="sr-Latn-ME"/>
        </w:rPr>
        <w:t>a nakon koga je sl</w:t>
      </w:r>
      <w:r w:rsidR="00E32D08" w:rsidRPr="009C58C4">
        <w:rPr>
          <w:sz w:val="22"/>
          <w:szCs w:val="22"/>
          <w:lang w:val="sr-Latn-ME"/>
        </w:rPr>
        <w:t>k</w:t>
      </w:r>
      <w:r w:rsidRPr="009C58C4">
        <w:rPr>
          <w:sz w:val="22"/>
          <w:szCs w:val="22"/>
          <w:lang w:val="sr-Latn-ME"/>
        </w:rPr>
        <w:t>edilo osam ciklusa od 6 </w:t>
      </w:r>
      <w:r w:rsidR="00F46CDF" w:rsidRPr="009C58C4">
        <w:rPr>
          <w:sz w:val="22"/>
          <w:szCs w:val="22"/>
          <w:lang w:val="sr-Latn-ME"/>
        </w:rPr>
        <w:t>nedjelj</w:t>
      </w:r>
      <w:r w:rsidRPr="009C58C4">
        <w:rPr>
          <w:sz w:val="22"/>
          <w:szCs w:val="22"/>
          <w:lang w:val="sr-Latn-ME"/>
        </w:rPr>
        <w:t>a terapije održavanja.</w:t>
      </w:r>
    </w:p>
    <w:p w14:paraId="544F98DF" w14:textId="77777777" w:rsidR="007F1BE3" w:rsidRPr="009C58C4" w:rsidRDefault="007F1BE3" w:rsidP="00226369">
      <w:pPr>
        <w:jc w:val="both"/>
        <w:rPr>
          <w:sz w:val="22"/>
          <w:szCs w:val="22"/>
          <w:lang w:val="sr-Latn-ME"/>
        </w:rPr>
      </w:pPr>
    </w:p>
    <w:p w14:paraId="0CA890EF" w14:textId="6E84B38E" w:rsidR="007F1BE3" w:rsidRPr="009C58C4" w:rsidRDefault="007F1BE3" w:rsidP="00226369">
      <w:pPr>
        <w:jc w:val="both"/>
        <w:rPr>
          <w:sz w:val="22"/>
          <w:szCs w:val="22"/>
          <w:lang w:val="sr-Latn-ME"/>
        </w:rPr>
      </w:pPr>
      <w:r w:rsidRPr="009C58C4">
        <w:rPr>
          <w:sz w:val="22"/>
          <w:szCs w:val="22"/>
          <w:lang w:val="sr-Latn-ME"/>
        </w:rPr>
        <w:t>Primarna m</w:t>
      </w:r>
      <w:r w:rsidR="00E32D08" w:rsidRPr="009C58C4">
        <w:rPr>
          <w:sz w:val="22"/>
          <w:szCs w:val="22"/>
          <w:lang w:val="sr-Latn-ME"/>
        </w:rPr>
        <w:t>j</w:t>
      </w:r>
      <w:r w:rsidRPr="009C58C4">
        <w:rPr>
          <w:sz w:val="22"/>
          <w:szCs w:val="22"/>
          <w:lang w:val="sr-Latn-ME"/>
        </w:rPr>
        <w:t xml:space="preserve">era ishoda efikasnosti u obe grupe je bila ukupan stepen odgovora (engl. </w:t>
      </w:r>
      <w:r w:rsidRPr="009C58C4">
        <w:rPr>
          <w:i/>
          <w:iCs/>
          <w:sz w:val="22"/>
          <w:szCs w:val="22"/>
          <w:lang w:val="sr-Latn-ME"/>
        </w:rPr>
        <w:t>overall response rate</w:t>
      </w:r>
      <w:r w:rsidRPr="009C58C4">
        <w:rPr>
          <w:sz w:val="22"/>
          <w:szCs w:val="22"/>
          <w:lang w:val="sr-Latn-ME"/>
        </w:rPr>
        <w:t xml:space="preserve"> (ORR), zbir potvrđenih potpunih (engl. </w:t>
      </w:r>
      <w:r w:rsidRPr="009C58C4">
        <w:rPr>
          <w:i/>
          <w:iCs/>
          <w:sz w:val="22"/>
          <w:szCs w:val="22"/>
          <w:lang w:val="sr-Latn-ME"/>
        </w:rPr>
        <w:t>Complete Response</w:t>
      </w:r>
      <w:r w:rsidRPr="009C58C4">
        <w:rPr>
          <w:iCs/>
          <w:sz w:val="22"/>
          <w:szCs w:val="22"/>
          <w:lang w:val="sr-Latn-ME"/>
        </w:rPr>
        <w:t>, CR</w:t>
      </w:r>
      <w:r w:rsidRPr="009C58C4">
        <w:rPr>
          <w:sz w:val="22"/>
          <w:szCs w:val="22"/>
          <w:lang w:val="sr-Latn-ME"/>
        </w:rPr>
        <w:t>) i d</w:t>
      </w:r>
      <w:r w:rsidR="00E32D08" w:rsidRPr="009C58C4">
        <w:rPr>
          <w:sz w:val="22"/>
          <w:szCs w:val="22"/>
          <w:lang w:val="sr-Latn-ME"/>
        </w:rPr>
        <w:t>j</w:t>
      </w:r>
      <w:r w:rsidRPr="009C58C4">
        <w:rPr>
          <w:sz w:val="22"/>
          <w:szCs w:val="22"/>
          <w:lang w:val="sr-Latn-ME"/>
        </w:rPr>
        <w:t xml:space="preserve">elimičnih odgovora (engl. </w:t>
      </w:r>
      <w:r w:rsidRPr="009C58C4">
        <w:rPr>
          <w:i/>
          <w:iCs/>
          <w:sz w:val="22"/>
          <w:szCs w:val="22"/>
          <w:lang w:val="sr-Latn-ME"/>
        </w:rPr>
        <w:t>Partial Response</w:t>
      </w:r>
      <w:r w:rsidRPr="009C58C4">
        <w:rPr>
          <w:iCs/>
          <w:sz w:val="22"/>
          <w:szCs w:val="22"/>
          <w:lang w:val="sr-Latn-ME"/>
        </w:rPr>
        <w:t>, PR</w:t>
      </w:r>
      <w:r w:rsidRPr="009C58C4">
        <w:rPr>
          <w:sz w:val="22"/>
          <w:szCs w:val="22"/>
          <w:lang w:val="sr-Latn-ME"/>
        </w:rPr>
        <w:t>)) nezavisnim pregledom na osnovu RANO (2017) kriterijima za LGG kohortu i RANO (2010) kriterijima za HGG kohortu. Primarna analiza je sprovedena kada su svi pacijenti u ob</w:t>
      </w:r>
      <w:r w:rsidR="00E32D08" w:rsidRPr="009C58C4">
        <w:rPr>
          <w:sz w:val="22"/>
          <w:szCs w:val="22"/>
          <w:lang w:val="sr-Latn-ME"/>
        </w:rPr>
        <w:t>j</w:t>
      </w:r>
      <w:r w:rsidRPr="009C58C4">
        <w:rPr>
          <w:sz w:val="22"/>
          <w:szCs w:val="22"/>
          <w:lang w:val="sr-Latn-ME"/>
        </w:rPr>
        <w:t>e grupe završili terapiju od najmanje 32 </w:t>
      </w:r>
      <w:r w:rsidR="00F46CDF" w:rsidRPr="009C58C4">
        <w:rPr>
          <w:sz w:val="22"/>
          <w:szCs w:val="22"/>
          <w:lang w:val="sr-Latn-ME"/>
        </w:rPr>
        <w:t>nedjelj</w:t>
      </w:r>
      <w:r w:rsidRPr="009C58C4">
        <w:rPr>
          <w:sz w:val="22"/>
          <w:szCs w:val="22"/>
          <w:lang w:val="sr-Latn-ME"/>
        </w:rPr>
        <w:t>e. Završna analiza sprovedena je 2 godine nakon završetka uključivanja u obe kohorte.</w:t>
      </w:r>
    </w:p>
    <w:p w14:paraId="39CCE635" w14:textId="77777777" w:rsidR="007F1BE3" w:rsidRPr="009C58C4" w:rsidRDefault="007F1BE3" w:rsidP="00226369">
      <w:pPr>
        <w:jc w:val="both"/>
        <w:rPr>
          <w:sz w:val="22"/>
          <w:szCs w:val="22"/>
          <w:lang w:val="sr-Latn-ME"/>
        </w:rPr>
      </w:pPr>
    </w:p>
    <w:p w14:paraId="04A860BD" w14:textId="77777777" w:rsidR="007F1BE3" w:rsidRPr="009C58C4" w:rsidRDefault="007F1BE3" w:rsidP="00226369">
      <w:pPr>
        <w:keepNext/>
        <w:jc w:val="both"/>
        <w:rPr>
          <w:i/>
          <w:sz w:val="22"/>
          <w:szCs w:val="22"/>
          <w:lang w:val="sr-Latn-ME"/>
        </w:rPr>
      </w:pPr>
      <w:r w:rsidRPr="009C58C4">
        <w:rPr>
          <w:i/>
          <w:sz w:val="22"/>
          <w:szCs w:val="22"/>
          <w:lang w:val="sr-Latn-ME"/>
        </w:rPr>
        <w:t>Pedijatrijski gliom niskog gradusa sa pozitivnom BRAF mutacijom (WHO  gradus 1 i 2)</w:t>
      </w:r>
    </w:p>
    <w:p w14:paraId="4A93F233" w14:textId="441DECAF" w:rsidR="007F1BE3" w:rsidRPr="009C58C4" w:rsidRDefault="007F1BE3" w:rsidP="00226369">
      <w:pPr>
        <w:jc w:val="both"/>
        <w:rPr>
          <w:iCs/>
          <w:sz w:val="22"/>
          <w:szCs w:val="22"/>
          <w:lang w:val="sr-Latn-ME"/>
        </w:rPr>
      </w:pPr>
      <w:r w:rsidRPr="009C58C4">
        <w:rPr>
          <w:iCs/>
          <w:sz w:val="22"/>
          <w:szCs w:val="22"/>
          <w:lang w:val="sr-Latn-ME"/>
        </w:rPr>
        <w:t xml:space="preserve">U kohorti glioma niskog gradusa, 110 pacijenata je randomizovano na dabrafenib i trametinib (n=73) ili karboplatin i vinkristin (n=37). Medijana uzrasta je bila 9,5 godina, sa 34 pacijenta (30,9%) uzrasta od </w:t>
      </w:r>
      <w:r w:rsidRPr="009C58C4">
        <w:rPr>
          <w:iCs/>
          <w:sz w:val="22"/>
          <w:szCs w:val="22"/>
          <w:lang w:val="sr-Latn-ME"/>
        </w:rPr>
        <w:lastRenderedPageBreak/>
        <w:t>12 </w:t>
      </w:r>
      <w:r w:rsidR="0091092E" w:rsidRPr="009C58C4">
        <w:rPr>
          <w:iCs/>
          <w:sz w:val="22"/>
          <w:szCs w:val="22"/>
          <w:lang w:val="sr-Latn-ME"/>
        </w:rPr>
        <w:t>mjesec</w:t>
      </w:r>
      <w:r w:rsidRPr="009C58C4">
        <w:rPr>
          <w:iCs/>
          <w:sz w:val="22"/>
          <w:szCs w:val="22"/>
          <w:lang w:val="sr-Latn-ME"/>
        </w:rPr>
        <w:t>i do &lt;6 godina, 36 pacijenata (32,7%) uzrasta od 6 do &lt;</w:t>
      </w:r>
      <w:r w:rsidRPr="009C58C4">
        <w:rPr>
          <w:sz w:val="22"/>
          <w:szCs w:val="22"/>
          <w:lang w:val="sr-Latn-ME"/>
        </w:rPr>
        <w:t>12 godina</w:t>
      </w:r>
      <w:r w:rsidRPr="009C58C4">
        <w:rPr>
          <w:iCs/>
          <w:sz w:val="22"/>
          <w:szCs w:val="22"/>
          <w:lang w:val="sr-Latn-ME"/>
        </w:rPr>
        <w:t xml:space="preserve"> i 40 pacijenata (36,4%) uzrasta od 12 do &lt;18 godina; 60% su bile žene. Većina pacijenata (80%) je imala gliom  gradusa 1 pri početnoj dijagnozi. Najčešće patologije su bile pilocitični astrocitom (30,9%), gangliogliom (27,3%) i nespecifični LGG (18,2%). Metastaze su bile prisutna kod 9 pacijenata (8,2%). Prethodna hirurška procedura je zab</w:t>
      </w:r>
      <w:r w:rsidR="00E32D08" w:rsidRPr="009C58C4">
        <w:rPr>
          <w:iCs/>
          <w:sz w:val="22"/>
          <w:szCs w:val="22"/>
          <w:lang w:val="sr-Latn-ME"/>
        </w:rPr>
        <w:t>ilj</w:t>
      </w:r>
      <w:r w:rsidRPr="009C58C4">
        <w:rPr>
          <w:iCs/>
          <w:sz w:val="22"/>
          <w:szCs w:val="22"/>
          <w:lang w:val="sr-Latn-ME"/>
        </w:rPr>
        <w:t xml:space="preserve">ežena kod 91 pacijenta (82,7%), i među tim pacijentima procedura na poslednjoj  hirurškoj intervenciji kod </w:t>
      </w:r>
      <w:r w:rsidRPr="009C58C4">
        <w:rPr>
          <w:sz w:val="22"/>
          <w:szCs w:val="22"/>
          <w:lang w:val="sr-Latn-ME"/>
        </w:rPr>
        <w:t>28 pacijenata</w:t>
      </w:r>
      <w:r w:rsidRPr="009C58C4">
        <w:rPr>
          <w:iCs/>
          <w:sz w:val="22"/>
          <w:szCs w:val="22"/>
          <w:lang w:val="sr-Latn-ME"/>
        </w:rPr>
        <w:t xml:space="preserve"> (25,5%) je bila resekcija. Sistemska </w:t>
      </w:r>
      <w:r w:rsidR="007F2563" w:rsidRPr="009C58C4">
        <w:rPr>
          <w:iCs/>
          <w:sz w:val="22"/>
          <w:szCs w:val="22"/>
          <w:lang w:val="sr-Latn-ME"/>
        </w:rPr>
        <w:t>primjen</w:t>
      </w:r>
      <w:r w:rsidRPr="009C58C4">
        <w:rPr>
          <w:iCs/>
          <w:sz w:val="22"/>
          <w:szCs w:val="22"/>
          <w:lang w:val="sr-Latn-ME"/>
        </w:rPr>
        <w:t>a kortikosteroida je zab</w:t>
      </w:r>
      <w:r w:rsidR="00E32D08" w:rsidRPr="009C58C4">
        <w:rPr>
          <w:iCs/>
          <w:sz w:val="22"/>
          <w:szCs w:val="22"/>
          <w:lang w:val="sr-Latn-ME"/>
        </w:rPr>
        <w:t>ilj</w:t>
      </w:r>
      <w:r w:rsidRPr="009C58C4">
        <w:rPr>
          <w:iCs/>
          <w:sz w:val="22"/>
          <w:szCs w:val="22"/>
          <w:lang w:val="sr-Latn-ME"/>
        </w:rPr>
        <w:t>ežena kod 44 pacijenata (41,5%).</w:t>
      </w:r>
    </w:p>
    <w:p w14:paraId="28BF6991" w14:textId="77777777" w:rsidR="007F1BE3" w:rsidRPr="009C58C4" w:rsidRDefault="007F1BE3" w:rsidP="00226369">
      <w:pPr>
        <w:jc w:val="both"/>
        <w:rPr>
          <w:sz w:val="22"/>
          <w:szCs w:val="22"/>
          <w:lang w:val="sr-Latn-ME"/>
        </w:rPr>
      </w:pPr>
    </w:p>
    <w:p w14:paraId="5241ADC0" w14:textId="77777777" w:rsidR="007F1BE3" w:rsidRPr="009C58C4" w:rsidRDefault="007F1BE3" w:rsidP="00226369">
      <w:pPr>
        <w:jc w:val="both"/>
        <w:rPr>
          <w:sz w:val="22"/>
          <w:szCs w:val="22"/>
          <w:lang w:val="sr-Latn-ME"/>
        </w:rPr>
      </w:pPr>
      <w:r w:rsidRPr="009C58C4">
        <w:rPr>
          <w:sz w:val="22"/>
          <w:szCs w:val="22"/>
          <w:lang w:val="sr-Latn-ME"/>
        </w:rPr>
        <w:t xml:space="preserve">U vreme primarne analize, ORR je u grupi koja je primala dabrafenib i trametinib pokazao statistički značajno poboljšanje u odnosu na karboplatin i vinkristin. Naknadno hijerarhijsko testiranje je takođe pokazalo statistički značajno poboljšanje u preživljavanju bez progresije bolesti (engl. </w:t>
      </w:r>
      <w:r w:rsidRPr="009C58C4">
        <w:rPr>
          <w:i/>
          <w:iCs/>
          <w:sz w:val="22"/>
          <w:szCs w:val="22"/>
          <w:lang w:val="sr-Latn-ME"/>
        </w:rPr>
        <w:t>Progression-Free Survival</w:t>
      </w:r>
      <w:r w:rsidRPr="009C58C4">
        <w:rPr>
          <w:iCs/>
          <w:sz w:val="22"/>
          <w:szCs w:val="22"/>
          <w:lang w:val="sr-Latn-ME"/>
        </w:rPr>
        <w:t>,</w:t>
      </w:r>
      <w:r w:rsidRPr="009C58C4">
        <w:rPr>
          <w:sz w:val="22"/>
          <w:szCs w:val="22"/>
          <w:lang w:val="sr-Latn-ME"/>
        </w:rPr>
        <w:t xml:space="preserve"> PFS) u odnosu na hemoterapiju (Tabela 6).</w:t>
      </w:r>
    </w:p>
    <w:p w14:paraId="3CB382EE" w14:textId="77777777" w:rsidR="007F1BE3" w:rsidRPr="009C58C4" w:rsidRDefault="007F1BE3" w:rsidP="00226369">
      <w:pPr>
        <w:jc w:val="both"/>
        <w:rPr>
          <w:sz w:val="22"/>
          <w:szCs w:val="22"/>
          <w:lang w:val="sr-Latn-ME"/>
        </w:rPr>
      </w:pPr>
    </w:p>
    <w:p w14:paraId="4DB2B8AE" w14:textId="7CF05DA5" w:rsidR="007F1BE3" w:rsidRPr="009C58C4" w:rsidRDefault="007F1BE3" w:rsidP="00226369">
      <w:pPr>
        <w:jc w:val="both"/>
        <w:rPr>
          <w:color w:val="000000"/>
          <w:sz w:val="22"/>
          <w:szCs w:val="22"/>
          <w:lang w:val="sr-Latn-ME"/>
        </w:rPr>
      </w:pPr>
      <w:r w:rsidRPr="009C58C4">
        <w:rPr>
          <w:color w:val="000000"/>
          <w:sz w:val="22"/>
          <w:szCs w:val="22"/>
          <w:lang w:val="sr-Latn-ME"/>
        </w:rPr>
        <w:t>U vreme primarne analize, sprovedene nakon što su svi pacijenti završili najmanje 32 </w:t>
      </w:r>
      <w:r w:rsidR="00F46CDF" w:rsidRPr="009C58C4">
        <w:rPr>
          <w:color w:val="000000"/>
          <w:sz w:val="22"/>
          <w:szCs w:val="22"/>
          <w:lang w:val="sr-Latn-ME"/>
        </w:rPr>
        <w:t>nedjelj</w:t>
      </w:r>
      <w:r w:rsidRPr="009C58C4">
        <w:rPr>
          <w:color w:val="000000"/>
          <w:sz w:val="22"/>
          <w:szCs w:val="22"/>
          <w:lang w:val="sr-Latn-ME"/>
        </w:rPr>
        <w:t xml:space="preserve">e </w:t>
      </w:r>
      <w:r w:rsidR="007F2563" w:rsidRPr="009C58C4">
        <w:rPr>
          <w:color w:val="000000"/>
          <w:sz w:val="22"/>
          <w:szCs w:val="22"/>
          <w:lang w:val="sr-Latn-ME"/>
        </w:rPr>
        <w:t>liječ</w:t>
      </w:r>
      <w:r w:rsidRPr="009C58C4">
        <w:rPr>
          <w:color w:val="000000"/>
          <w:sz w:val="22"/>
          <w:szCs w:val="22"/>
          <w:lang w:val="sr-Latn-ME"/>
        </w:rPr>
        <w:t xml:space="preserve">enja ili su ranije prekinuli, podaci o ukupnom preživljavanju (engl. </w:t>
      </w:r>
      <w:r w:rsidRPr="009C58C4">
        <w:rPr>
          <w:i/>
          <w:iCs/>
          <w:color w:val="000000"/>
          <w:sz w:val="22"/>
          <w:szCs w:val="22"/>
          <w:lang w:val="sr-Latn-ME"/>
        </w:rPr>
        <w:t>Overall Survival</w:t>
      </w:r>
      <w:r w:rsidRPr="009C58C4">
        <w:rPr>
          <w:iCs/>
          <w:color w:val="000000"/>
          <w:sz w:val="22"/>
          <w:szCs w:val="22"/>
          <w:lang w:val="sr-Latn-ME"/>
        </w:rPr>
        <w:t>,</w:t>
      </w:r>
      <w:r w:rsidRPr="009C58C4">
        <w:rPr>
          <w:color w:val="000000"/>
          <w:sz w:val="22"/>
          <w:szCs w:val="22"/>
          <w:lang w:val="sr-Latn-ME"/>
        </w:rPr>
        <w:t xml:space="preserve"> OS) su još bili nezreli (jedan smrtni slučaj prijavljen je u grupi koja je primala kombinaciju karboplatina i vinkristina).</w:t>
      </w:r>
    </w:p>
    <w:p w14:paraId="5C63CB58" w14:textId="77777777" w:rsidR="007F1BE3" w:rsidRPr="009C58C4" w:rsidRDefault="007F1BE3" w:rsidP="00226369">
      <w:pPr>
        <w:jc w:val="both"/>
        <w:rPr>
          <w:sz w:val="22"/>
          <w:szCs w:val="22"/>
          <w:lang w:val="sr-Latn-ME"/>
        </w:rPr>
      </w:pPr>
    </w:p>
    <w:p w14:paraId="7B7CCA87" w14:textId="77777777" w:rsidR="007F1BE3" w:rsidRPr="009C58C4" w:rsidRDefault="007F1BE3" w:rsidP="00226369">
      <w:pPr>
        <w:keepNext/>
        <w:ind w:left="1134" w:hanging="1134"/>
        <w:jc w:val="both"/>
        <w:rPr>
          <w:b/>
          <w:sz w:val="22"/>
          <w:szCs w:val="22"/>
          <w:lang w:val="sr-Latn-ME"/>
        </w:rPr>
      </w:pPr>
      <w:r w:rsidRPr="009C58C4">
        <w:rPr>
          <w:b/>
          <w:sz w:val="22"/>
          <w:szCs w:val="22"/>
          <w:lang w:val="sr-Latn-ME"/>
        </w:rPr>
        <w:t>Tabela 6</w:t>
      </w:r>
      <w:r w:rsidRPr="009C58C4">
        <w:rPr>
          <w:b/>
          <w:sz w:val="22"/>
          <w:szCs w:val="22"/>
          <w:lang w:val="sr-Latn-ME"/>
        </w:rPr>
        <w:tab/>
        <w:t>Odgovor i preživljavanje bez progresije bolesti na osnovu nezavisne recenzije u pivotalnom ispitivanju</w:t>
      </w:r>
      <w:r w:rsidRPr="009C58C4">
        <w:rPr>
          <w:sz w:val="22"/>
          <w:szCs w:val="22"/>
          <w:lang w:val="sr-Latn-ME"/>
        </w:rPr>
        <w:t xml:space="preserve"> </w:t>
      </w:r>
      <w:r w:rsidRPr="009C58C4">
        <w:rPr>
          <w:b/>
          <w:sz w:val="22"/>
          <w:szCs w:val="22"/>
          <w:lang w:val="sr-Latn-ME"/>
        </w:rPr>
        <w:t>G2201 (LGG kohorta, primarna analiza)</w:t>
      </w:r>
    </w:p>
    <w:p w14:paraId="7D729BE5" w14:textId="77777777" w:rsidR="007F1BE3" w:rsidRPr="009C58C4" w:rsidRDefault="007F1BE3" w:rsidP="00226369">
      <w:pPr>
        <w:keepNext/>
        <w:ind w:left="1134" w:hanging="1134"/>
        <w:jc w:val="both"/>
        <w:rPr>
          <w:bCs/>
          <w:sz w:val="22"/>
          <w:szCs w:val="22"/>
          <w:lang w:val="sr-Latn-ME"/>
        </w:rPr>
      </w:pPr>
    </w:p>
    <w:tbl>
      <w:tblPr>
        <w:tblStyle w:val="TableGrid"/>
        <w:tblW w:w="9616" w:type="dxa"/>
        <w:tblLook w:val="04A0" w:firstRow="1" w:lastRow="0" w:firstColumn="1" w:lastColumn="0" w:noHBand="0" w:noVBand="1"/>
      </w:tblPr>
      <w:tblGrid>
        <w:gridCol w:w="3681"/>
        <w:gridCol w:w="2835"/>
        <w:gridCol w:w="3100"/>
      </w:tblGrid>
      <w:tr w:rsidR="007F1BE3" w:rsidRPr="009C58C4" w14:paraId="6352F5A2" w14:textId="77777777" w:rsidTr="00C87F6C">
        <w:trPr>
          <w:cantSplit/>
        </w:trPr>
        <w:tc>
          <w:tcPr>
            <w:tcW w:w="3681" w:type="dxa"/>
            <w:vAlign w:val="center"/>
          </w:tcPr>
          <w:p w14:paraId="30D38DF6" w14:textId="77777777" w:rsidR="007F1BE3" w:rsidRPr="009C58C4" w:rsidRDefault="007F1BE3" w:rsidP="00226369">
            <w:pPr>
              <w:keepNext/>
              <w:jc w:val="both"/>
              <w:rPr>
                <w:sz w:val="22"/>
                <w:szCs w:val="22"/>
                <w:lang w:val="sr-Latn-ME"/>
              </w:rPr>
            </w:pPr>
          </w:p>
        </w:tc>
        <w:tc>
          <w:tcPr>
            <w:tcW w:w="2835" w:type="dxa"/>
          </w:tcPr>
          <w:p w14:paraId="3EF9F441" w14:textId="77777777" w:rsidR="007F1BE3" w:rsidRPr="009C58C4" w:rsidRDefault="007F1BE3" w:rsidP="00226369">
            <w:pPr>
              <w:keepNext/>
              <w:jc w:val="both"/>
              <w:rPr>
                <w:b/>
                <w:sz w:val="22"/>
                <w:szCs w:val="22"/>
                <w:lang w:val="sr-Latn-ME"/>
              </w:rPr>
            </w:pPr>
            <w:r w:rsidRPr="009C58C4">
              <w:rPr>
                <w:b/>
                <w:sz w:val="22"/>
                <w:szCs w:val="22"/>
                <w:lang w:val="sr-Latn-ME"/>
              </w:rPr>
              <w:t>Dabrafenib + Trametinib</w:t>
            </w:r>
          </w:p>
          <w:p w14:paraId="161C2BF2" w14:textId="77777777" w:rsidR="007F1BE3" w:rsidRPr="009C58C4" w:rsidRDefault="007F1BE3" w:rsidP="00226369">
            <w:pPr>
              <w:keepNext/>
              <w:jc w:val="both"/>
              <w:rPr>
                <w:b/>
                <w:sz w:val="22"/>
                <w:szCs w:val="22"/>
                <w:lang w:val="sr-Latn-ME"/>
              </w:rPr>
            </w:pPr>
            <w:r w:rsidRPr="009C58C4">
              <w:rPr>
                <w:b/>
                <w:sz w:val="22"/>
                <w:szCs w:val="22"/>
                <w:lang w:val="sr-Latn-ME"/>
              </w:rPr>
              <w:t>(D+T)</w:t>
            </w:r>
          </w:p>
          <w:p w14:paraId="51CE9D95" w14:textId="77777777" w:rsidR="007F1BE3" w:rsidRPr="009C58C4" w:rsidRDefault="007F1BE3" w:rsidP="00226369">
            <w:pPr>
              <w:keepNext/>
              <w:jc w:val="both"/>
              <w:rPr>
                <w:b/>
                <w:sz w:val="22"/>
                <w:szCs w:val="22"/>
                <w:lang w:val="sr-Latn-ME"/>
              </w:rPr>
            </w:pPr>
            <w:r w:rsidRPr="009C58C4">
              <w:rPr>
                <w:b/>
                <w:sz w:val="22"/>
                <w:szCs w:val="22"/>
                <w:lang w:val="sr-Latn-ME"/>
              </w:rPr>
              <w:t>N=73</w:t>
            </w:r>
          </w:p>
        </w:tc>
        <w:tc>
          <w:tcPr>
            <w:tcW w:w="3094" w:type="dxa"/>
          </w:tcPr>
          <w:p w14:paraId="7E803F95" w14:textId="77777777" w:rsidR="007F1BE3" w:rsidRPr="009C58C4" w:rsidRDefault="007F1BE3" w:rsidP="00226369">
            <w:pPr>
              <w:keepNext/>
              <w:jc w:val="both"/>
              <w:rPr>
                <w:b/>
                <w:sz w:val="22"/>
                <w:szCs w:val="22"/>
                <w:lang w:val="sr-Latn-ME"/>
              </w:rPr>
            </w:pPr>
            <w:r w:rsidRPr="009C58C4">
              <w:rPr>
                <w:b/>
                <w:sz w:val="22"/>
                <w:szCs w:val="22"/>
                <w:lang w:val="sr-Latn-ME"/>
              </w:rPr>
              <w:t>Karboplatin + Vinkristin</w:t>
            </w:r>
          </w:p>
          <w:p w14:paraId="19142AE5" w14:textId="77777777" w:rsidR="007F1BE3" w:rsidRPr="009C58C4" w:rsidRDefault="007F1BE3" w:rsidP="00226369">
            <w:pPr>
              <w:keepNext/>
              <w:jc w:val="both"/>
              <w:rPr>
                <w:b/>
                <w:sz w:val="22"/>
                <w:szCs w:val="22"/>
                <w:lang w:val="sr-Latn-ME"/>
              </w:rPr>
            </w:pPr>
            <w:r w:rsidRPr="009C58C4">
              <w:rPr>
                <w:b/>
                <w:sz w:val="22"/>
                <w:szCs w:val="22"/>
                <w:lang w:val="sr-Latn-ME"/>
              </w:rPr>
              <w:t>(C+V)</w:t>
            </w:r>
          </w:p>
          <w:p w14:paraId="35BE5F18" w14:textId="77777777" w:rsidR="007F1BE3" w:rsidRPr="009C58C4" w:rsidRDefault="007F1BE3" w:rsidP="00226369">
            <w:pPr>
              <w:keepNext/>
              <w:jc w:val="both"/>
              <w:rPr>
                <w:b/>
                <w:sz w:val="22"/>
                <w:szCs w:val="22"/>
                <w:lang w:val="sr-Latn-ME"/>
              </w:rPr>
            </w:pPr>
            <w:r w:rsidRPr="009C58C4">
              <w:rPr>
                <w:b/>
                <w:sz w:val="22"/>
                <w:szCs w:val="22"/>
                <w:lang w:val="sr-Latn-ME"/>
              </w:rPr>
              <w:t>N=37</w:t>
            </w:r>
          </w:p>
        </w:tc>
      </w:tr>
      <w:tr w:rsidR="007F1BE3" w:rsidRPr="009C58C4" w14:paraId="7FDC344F" w14:textId="77777777" w:rsidTr="00C87F6C">
        <w:trPr>
          <w:cantSplit/>
        </w:trPr>
        <w:tc>
          <w:tcPr>
            <w:tcW w:w="3681" w:type="dxa"/>
            <w:vAlign w:val="center"/>
          </w:tcPr>
          <w:p w14:paraId="00A6207F" w14:textId="77777777" w:rsidR="007F1BE3" w:rsidRPr="009C58C4" w:rsidRDefault="007F1BE3" w:rsidP="00226369">
            <w:pPr>
              <w:keepNext/>
              <w:jc w:val="both"/>
              <w:rPr>
                <w:b/>
                <w:sz w:val="22"/>
                <w:szCs w:val="22"/>
                <w:lang w:val="sr-Latn-ME"/>
              </w:rPr>
            </w:pPr>
            <w:r w:rsidRPr="009C58C4">
              <w:rPr>
                <w:b/>
                <w:sz w:val="22"/>
                <w:szCs w:val="22"/>
                <w:lang w:val="sr-Latn-ME"/>
              </w:rPr>
              <w:t>Najbolji ukupni odgovor</w:t>
            </w:r>
          </w:p>
        </w:tc>
        <w:tc>
          <w:tcPr>
            <w:tcW w:w="2835" w:type="dxa"/>
          </w:tcPr>
          <w:p w14:paraId="0039570C" w14:textId="77777777" w:rsidR="007F1BE3" w:rsidRPr="009C58C4" w:rsidRDefault="007F1BE3" w:rsidP="00226369">
            <w:pPr>
              <w:keepNext/>
              <w:jc w:val="both"/>
              <w:rPr>
                <w:sz w:val="22"/>
                <w:szCs w:val="22"/>
                <w:lang w:val="sr-Latn-ME"/>
              </w:rPr>
            </w:pPr>
          </w:p>
        </w:tc>
        <w:tc>
          <w:tcPr>
            <w:tcW w:w="3094" w:type="dxa"/>
          </w:tcPr>
          <w:p w14:paraId="32CD0F99" w14:textId="77777777" w:rsidR="007F1BE3" w:rsidRPr="009C58C4" w:rsidRDefault="007F1BE3" w:rsidP="00226369">
            <w:pPr>
              <w:keepNext/>
              <w:jc w:val="both"/>
              <w:rPr>
                <w:sz w:val="22"/>
                <w:szCs w:val="22"/>
                <w:lang w:val="sr-Latn-ME"/>
              </w:rPr>
            </w:pPr>
          </w:p>
        </w:tc>
      </w:tr>
      <w:tr w:rsidR="007F1BE3" w:rsidRPr="009C58C4" w14:paraId="4CEF99A2" w14:textId="77777777" w:rsidTr="00C87F6C">
        <w:trPr>
          <w:cantSplit/>
        </w:trPr>
        <w:tc>
          <w:tcPr>
            <w:tcW w:w="3681" w:type="dxa"/>
          </w:tcPr>
          <w:p w14:paraId="3DCFB954" w14:textId="77777777" w:rsidR="007F1BE3" w:rsidRPr="009C58C4" w:rsidRDefault="007F1BE3" w:rsidP="00226369">
            <w:pPr>
              <w:keepNext/>
              <w:jc w:val="both"/>
              <w:rPr>
                <w:sz w:val="22"/>
                <w:szCs w:val="22"/>
                <w:lang w:val="sr-Latn-ME"/>
              </w:rPr>
            </w:pPr>
            <w:r w:rsidRPr="009C58C4">
              <w:rPr>
                <w:sz w:val="22"/>
                <w:szCs w:val="22"/>
                <w:lang w:val="sr-Latn-ME"/>
              </w:rPr>
              <w:tab/>
              <w:t>Potpuni odgovor (CR), n (%)</w:t>
            </w:r>
          </w:p>
        </w:tc>
        <w:tc>
          <w:tcPr>
            <w:tcW w:w="2835" w:type="dxa"/>
          </w:tcPr>
          <w:p w14:paraId="6505A474" w14:textId="77777777" w:rsidR="007F1BE3" w:rsidRPr="009C58C4" w:rsidRDefault="007F1BE3" w:rsidP="00226369">
            <w:pPr>
              <w:keepNext/>
              <w:jc w:val="both"/>
              <w:rPr>
                <w:sz w:val="22"/>
                <w:szCs w:val="22"/>
                <w:lang w:val="sr-Latn-ME"/>
              </w:rPr>
            </w:pPr>
            <w:r w:rsidRPr="009C58C4">
              <w:rPr>
                <w:sz w:val="22"/>
                <w:szCs w:val="22"/>
                <w:lang w:val="sr-Latn-ME"/>
              </w:rPr>
              <w:t>2 (2,7)</w:t>
            </w:r>
          </w:p>
        </w:tc>
        <w:tc>
          <w:tcPr>
            <w:tcW w:w="3094" w:type="dxa"/>
          </w:tcPr>
          <w:p w14:paraId="2482E749" w14:textId="77777777" w:rsidR="007F1BE3" w:rsidRPr="009C58C4" w:rsidRDefault="007F1BE3" w:rsidP="00226369">
            <w:pPr>
              <w:keepNext/>
              <w:jc w:val="both"/>
              <w:rPr>
                <w:sz w:val="22"/>
                <w:szCs w:val="22"/>
                <w:lang w:val="sr-Latn-ME"/>
              </w:rPr>
            </w:pPr>
            <w:r w:rsidRPr="009C58C4">
              <w:rPr>
                <w:sz w:val="22"/>
                <w:szCs w:val="22"/>
                <w:lang w:val="sr-Latn-ME"/>
              </w:rPr>
              <w:t>1 (2,7)</w:t>
            </w:r>
          </w:p>
        </w:tc>
      </w:tr>
      <w:tr w:rsidR="007F1BE3" w:rsidRPr="009C58C4" w14:paraId="47081C6E" w14:textId="77777777" w:rsidTr="00C87F6C">
        <w:trPr>
          <w:cantSplit/>
        </w:trPr>
        <w:tc>
          <w:tcPr>
            <w:tcW w:w="3681" w:type="dxa"/>
          </w:tcPr>
          <w:p w14:paraId="1EE5CBF2" w14:textId="6AEC91F3" w:rsidR="007F1BE3" w:rsidRPr="009C58C4" w:rsidRDefault="007F1BE3" w:rsidP="00226369">
            <w:pPr>
              <w:keepNext/>
              <w:jc w:val="both"/>
              <w:rPr>
                <w:sz w:val="22"/>
                <w:szCs w:val="22"/>
                <w:lang w:val="sr-Latn-ME"/>
              </w:rPr>
            </w:pPr>
            <w:r w:rsidRPr="009C58C4">
              <w:rPr>
                <w:sz w:val="22"/>
                <w:szCs w:val="22"/>
                <w:lang w:val="sr-Latn-ME"/>
              </w:rPr>
              <w:tab/>
              <w:t>D</w:t>
            </w:r>
            <w:r w:rsidR="00E32D08" w:rsidRPr="009C58C4">
              <w:rPr>
                <w:sz w:val="22"/>
                <w:szCs w:val="22"/>
                <w:lang w:val="sr-Latn-ME"/>
              </w:rPr>
              <w:t>j</w:t>
            </w:r>
            <w:r w:rsidRPr="009C58C4">
              <w:rPr>
                <w:sz w:val="22"/>
                <w:szCs w:val="22"/>
                <w:lang w:val="sr-Latn-ME"/>
              </w:rPr>
              <w:t>elimični odgovor (PR), n (%)</w:t>
            </w:r>
          </w:p>
        </w:tc>
        <w:tc>
          <w:tcPr>
            <w:tcW w:w="2835" w:type="dxa"/>
          </w:tcPr>
          <w:p w14:paraId="70CDD28F" w14:textId="77777777" w:rsidR="007F1BE3" w:rsidRPr="009C58C4" w:rsidRDefault="007F1BE3" w:rsidP="00226369">
            <w:pPr>
              <w:keepNext/>
              <w:jc w:val="both"/>
              <w:rPr>
                <w:sz w:val="22"/>
                <w:szCs w:val="22"/>
                <w:lang w:val="sr-Latn-ME"/>
              </w:rPr>
            </w:pPr>
            <w:r w:rsidRPr="009C58C4">
              <w:rPr>
                <w:sz w:val="22"/>
                <w:szCs w:val="22"/>
                <w:lang w:val="sr-Latn-ME"/>
              </w:rPr>
              <w:t>32 (43,8)</w:t>
            </w:r>
          </w:p>
        </w:tc>
        <w:tc>
          <w:tcPr>
            <w:tcW w:w="3094" w:type="dxa"/>
          </w:tcPr>
          <w:p w14:paraId="2313BB60" w14:textId="77777777" w:rsidR="007F1BE3" w:rsidRPr="009C58C4" w:rsidRDefault="007F1BE3" w:rsidP="00226369">
            <w:pPr>
              <w:keepNext/>
              <w:jc w:val="both"/>
              <w:rPr>
                <w:sz w:val="22"/>
                <w:szCs w:val="22"/>
                <w:lang w:val="sr-Latn-ME"/>
              </w:rPr>
            </w:pPr>
            <w:r w:rsidRPr="009C58C4">
              <w:rPr>
                <w:sz w:val="22"/>
                <w:szCs w:val="22"/>
                <w:lang w:val="sr-Latn-ME"/>
              </w:rPr>
              <w:t>3 (8,1)</w:t>
            </w:r>
          </w:p>
        </w:tc>
      </w:tr>
      <w:tr w:rsidR="007F1BE3" w:rsidRPr="009C58C4" w14:paraId="19CB00D4" w14:textId="77777777" w:rsidTr="00C87F6C">
        <w:trPr>
          <w:cantSplit/>
        </w:trPr>
        <w:tc>
          <w:tcPr>
            <w:tcW w:w="3681" w:type="dxa"/>
          </w:tcPr>
          <w:p w14:paraId="1D37778A" w14:textId="77777777" w:rsidR="007F1BE3" w:rsidRPr="009C58C4" w:rsidRDefault="007F1BE3" w:rsidP="00226369">
            <w:pPr>
              <w:keepNext/>
              <w:jc w:val="both"/>
              <w:rPr>
                <w:sz w:val="22"/>
                <w:szCs w:val="22"/>
                <w:lang w:val="sr-Latn-ME"/>
              </w:rPr>
            </w:pPr>
            <w:r w:rsidRPr="009C58C4">
              <w:rPr>
                <w:sz w:val="22"/>
                <w:szCs w:val="22"/>
                <w:lang w:val="sr-Latn-ME"/>
              </w:rPr>
              <w:tab/>
              <w:t>Stabilna bolest (SD), n (%)</w:t>
            </w:r>
          </w:p>
        </w:tc>
        <w:tc>
          <w:tcPr>
            <w:tcW w:w="2835" w:type="dxa"/>
          </w:tcPr>
          <w:p w14:paraId="73F198DC" w14:textId="77777777" w:rsidR="007F1BE3" w:rsidRPr="009C58C4" w:rsidRDefault="007F1BE3" w:rsidP="00226369">
            <w:pPr>
              <w:keepNext/>
              <w:jc w:val="both"/>
              <w:rPr>
                <w:sz w:val="22"/>
                <w:szCs w:val="22"/>
                <w:lang w:val="sr-Latn-ME"/>
              </w:rPr>
            </w:pPr>
            <w:r w:rsidRPr="009C58C4">
              <w:rPr>
                <w:sz w:val="22"/>
                <w:szCs w:val="22"/>
                <w:lang w:val="sr-Latn-ME"/>
              </w:rPr>
              <w:t>30 (41,1)</w:t>
            </w:r>
          </w:p>
        </w:tc>
        <w:tc>
          <w:tcPr>
            <w:tcW w:w="3094" w:type="dxa"/>
          </w:tcPr>
          <w:p w14:paraId="168224D0" w14:textId="77777777" w:rsidR="007F1BE3" w:rsidRPr="009C58C4" w:rsidRDefault="007F1BE3" w:rsidP="00226369">
            <w:pPr>
              <w:keepNext/>
              <w:jc w:val="both"/>
              <w:rPr>
                <w:sz w:val="22"/>
                <w:szCs w:val="22"/>
                <w:lang w:val="sr-Latn-ME"/>
              </w:rPr>
            </w:pPr>
            <w:r w:rsidRPr="009C58C4">
              <w:rPr>
                <w:sz w:val="22"/>
                <w:szCs w:val="22"/>
                <w:lang w:val="sr-Latn-ME"/>
              </w:rPr>
              <w:t>15 (40,5)</w:t>
            </w:r>
          </w:p>
        </w:tc>
      </w:tr>
      <w:tr w:rsidR="007F1BE3" w:rsidRPr="009C58C4" w14:paraId="70A88BC1" w14:textId="77777777" w:rsidTr="00C87F6C">
        <w:trPr>
          <w:cantSplit/>
        </w:trPr>
        <w:tc>
          <w:tcPr>
            <w:tcW w:w="3681" w:type="dxa"/>
          </w:tcPr>
          <w:p w14:paraId="1BEB8083" w14:textId="77777777" w:rsidR="007F1BE3" w:rsidRPr="009C58C4" w:rsidRDefault="007F1BE3" w:rsidP="00226369">
            <w:pPr>
              <w:keepNext/>
              <w:jc w:val="both"/>
              <w:rPr>
                <w:sz w:val="22"/>
                <w:szCs w:val="22"/>
                <w:lang w:val="sr-Latn-ME"/>
              </w:rPr>
            </w:pPr>
            <w:r w:rsidRPr="009C58C4">
              <w:rPr>
                <w:sz w:val="22"/>
                <w:szCs w:val="22"/>
                <w:lang w:val="sr-Latn-ME"/>
              </w:rPr>
              <w:tab/>
              <w:t>Progresivna bolest (PD), n (%)</w:t>
            </w:r>
          </w:p>
        </w:tc>
        <w:tc>
          <w:tcPr>
            <w:tcW w:w="2835" w:type="dxa"/>
          </w:tcPr>
          <w:p w14:paraId="34ADDD9C" w14:textId="77777777" w:rsidR="007F1BE3" w:rsidRPr="009C58C4" w:rsidRDefault="007F1BE3" w:rsidP="00226369">
            <w:pPr>
              <w:keepNext/>
              <w:jc w:val="both"/>
              <w:rPr>
                <w:sz w:val="22"/>
                <w:szCs w:val="22"/>
                <w:lang w:val="sr-Latn-ME"/>
              </w:rPr>
            </w:pPr>
            <w:r w:rsidRPr="009C58C4">
              <w:rPr>
                <w:sz w:val="22"/>
                <w:szCs w:val="22"/>
                <w:lang w:val="sr-Latn-ME"/>
              </w:rPr>
              <w:t>8 (11,0)</w:t>
            </w:r>
          </w:p>
        </w:tc>
        <w:tc>
          <w:tcPr>
            <w:tcW w:w="3094" w:type="dxa"/>
          </w:tcPr>
          <w:p w14:paraId="0D1B701C" w14:textId="77777777" w:rsidR="007F1BE3" w:rsidRPr="009C58C4" w:rsidRDefault="007F1BE3" w:rsidP="00226369">
            <w:pPr>
              <w:keepNext/>
              <w:jc w:val="both"/>
              <w:rPr>
                <w:sz w:val="22"/>
                <w:szCs w:val="22"/>
                <w:lang w:val="sr-Latn-ME"/>
              </w:rPr>
            </w:pPr>
            <w:r w:rsidRPr="009C58C4">
              <w:rPr>
                <w:sz w:val="22"/>
                <w:szCs w:val="22"/>
                <w:lang w:val="sr-Latn-ME"/>
              </w:rPr>
              <w:t>12 (32,4)</w:t>
            </w:r>
          </w:p>
        </w:tc>
      </w:tr>
      <w:tr w:rsidR="007F1BE3" w:rsidRPr="009C58C4" w14:paraId="778A0C4B" w14:textId="77777777" w:rsidTr="00C87F6C">
        <w:trPr>
          <w:cantSplit/>
        </w:trPr>
        <w:tc>
          <w:tcPr>
            <w:tcW w:w="3681" w:type="dxa"/>
          </w:tcPr>
          <w:p w14:paraId="0D06640D" w14:textId="77777777" w:rsidR="007F1BE3" w:rsidRPr="009C58C4" w:rsidRDefault="007F1BE3" w:rsidP="00226369">
            <w:pPr>
              <w:keepNext/>
              <w:jc w:val="both"/>
              <w:rPr>
                <w:sz w:val="22"/>
                <w:szCs w:val="22"/>
                <w:lang w:val="sr-Latn-ME"/>
              </w:rPr>
            </w:pPr>
            <w:r w:rsidRPr="009C58C4">
              <w:rPr>
                <w:sz w:val="22"/>
                <w:szCs w:val="22"/>
                <w:lang w:val="sr-Latn-ME"/>
              </w:rPr>
              <w:tab/>
              <w:t>Nepoznato, n (%)</w:t>
            </w:r>
          </w:p>
        </w:tc>
        <w:tc>
          <w:tcPr>
            <w:tcW w:w="2835" w:type="dxa"/>
          </w:tcPr>
          <w:p w14:paraId="493900CB" w14:textId="77777777" w:rsidR="007F1BE3" w:rsidRPr="009C58C4" w:rsidRDefault="007F1BE3" w:rsidP="00226369">
            <w:pPr>
              <w:keepNext/>
              <w:jc w:val="both"/>
              <w:rPr>
                <w:sz w:val="22"/>
                <w:szCs w:val="22"/>
                <w:lang w:val="sr-Latn-ME"/>
              </w:rPr>
            </w:pPr>
            <w:r w:rsidRPr="009C58C4">
              <w:rPr>
                <w:sz w:val="22"/>
                <w:szCs w:val="22"/>
                <w:lang w:val="sr-Latn-ME"/>
              </w:rPr>
              <w:t>1 (1,4)</w:t>
            </w:r>
          </w:p>
        </w:tc>
        <w:tc>
          <w:tcPr>
            <w:tcW w:w="3094" w:type="dxa"/>
          </w:tcPr>
          <w:p w14:paraId="2AE03CD2" w14:textId="77777777" w:rsidR="007F1BE3" w:rsidRPr="009C58C4" w:rsidRDefault="007F1BE3" w:rsidP="00226369">
            <w:pPr>
              <w:keepNext/>
              <w:jc w:val="both"/>
              <w:rPr>
                <w:sz w:val="22"/>
                <w:szCs w:val="22"/>
                <w:lang w:val="sr-Latn-ME"/>
              </w:rPr>
            </w:pPr>
            <w:r w:rsidRPr="009C58C4">
              <w:rPr>
                <w:sz w:val="22"/>
                <w:szCs w:val="22"/>
                <w:lang w:val="sr-Latn-ME"/>
              </w:rPr>
              <w:t>6 (16,2)</w:t>
            </w:r>
            <w:r w:rsidRPr="009C58C4">
              <w:rPr>
                <w:sz w:val="22"/>
                <w:szCs w:val="22"/>
                <w:vertAlign w:val="superscript"/>
                <w:lang w:val="sr-Latn-ME"/>
              </w:rPr>
              <w:t>1</w:t>
            </w:r>
          </w:p>
        </w:tc>
      </w:tr>
      <w:tr w:rsidR="007F1BE3" w:rsidRPr="009C58C4" w14:paraId="0D4DF4D2" w14:textId="77777777" w:rsidTr="00C87F6C">
        <w:trPr>
          <w:cantSplit/>
        </w:trPr>
        <w:tc>
          <w:tcPr>
            <w:tcW w:w="3681" w:type="dxa"/>
          </w:tcPr>
          <w:p w14:paraId="06068872" w14:textId="77777777" w:rsidR="007F1BE3" w:rsidRPr="009C58C4" w:rsidRDefault="007F1BE3" w:rsidP="00226369">
            <w:pPr>
              <w:keepNext/>
              <w:jc w:val="both"/>
              <w:rPr>
                <w:sz w:val="22"/>
                <w:szCs w:val="22"/>
                <w:lang w:val="sr-Latn-ME"/>
              </w:rPr>
            </w:pPr>
            <w:r w:rsidRPr="009C58C4">
              <w:rPr>
                <w:b/>
                <w:sz w:val="22"/>
                <w:szCs w:val="22"/>
                <w:lang w:val="sr-Latn-ME"/>
              </w:rPr>
              <w:t>Ukupan procenat odgovora</w:t>
            </w:r>
          </w:p>
        </w:tc>
        <w:tc>
          <w:tcPr>
            <w:tcW w:w="2835" w:type="dxa"/>
          </w:tcPr>
          <w:p w14:paraId="43AD1FCE" w14:textId="77777777" w:rsidR="007F1BE3" w:rsidRPr="009C58C4" w:rsidRDefault="007F1BE3" w:rsidP="00226369">
            <w:pPr>
              <w:keepNext/>
              <w:jc w:val="both"/>
              <w:rPr>
                <w:sz w:val="22"/>
                <w:szCs w:val="22"/>
                <w:lang w:val="sr-Latn-ME"/>
              </w:rPr>
            </w:pPr>
          </w:p>
        </w:tc>
        <w:tc>
          <w:tcPr>
            <w:tcW w:w="3094" w:type="dxa"/>
          </w:tcPr>
          <w:p w14:paraId="63AA09FC" w14:textId="77777777" w:rsidR="007F1BE3" w:rsidRPr="009C58C4" w:rsidRDefault="007F1BE3" w:rsidP="00226369">
            <w:pPr>
              <w:keepNext/>
              <w:jc w:val="both"/>
              <w:rPr>
                <w:sz w:val="22"/>
                <w:szCs w:val="22"/>
                <w:lang w:val="sr-Latn-ME"/>
              </w:rPr>
            </w:pPr>
          </w:p>
        </w:tc>
      </w:tr>
      <w:tr w:rsidR="007F1BE3" w:rsidRPr="009C58C4" w14:paraId="776F024B" w14:textId="77777777" w:rsidTr="00C87F6C">
        <w:trPr>
          <w:cantSplit/>
        </w:trPr>
        <w:tc>
          <w:tcPr>
            <w:tcW w:w="3681" w:type="dxa"/>
          </w:tcPr>
          <w:p w14:paraId="02B5E1D4" w14:textId="77777777" w:rsidR="007F1BE3" w:rsidRPr="009C58C4" w:rsidRDefault="007F1BE3" w:rsidP="00226369">
            <w:pPr>
              <w:keepNext/>
              <w:jc w:val="both"/>
              <w:rPr>
                <w:sz w:val="22"/>
                <w:szCs w:val="22"/>
                <w:lang w:val="sr-Latn-ME"/>
              </w:rPr>
            </w:pPr>
            <w:r w:rsidRPr="009C58C4">
              <w:rPr>
                <w:sz w:val="22"/>
                <w:szCs w:val="22"/>
                <w:lang w:val="sr-Latn-ME"/>
              </w:rPr>
              <w:tab/>
              <w:t>ORR (CR+PR), 95% CI</w:t>
            </w:r>
          </w:p>
        </w:tc>
        <w:tc>
          <w:tcPr>
            <w:tcW w:w="2835" w:type="dxa"/>
          </w:tcPr>
          <w:p w14:paraId="16A524B6" w14:textId="77777777" w:rsidR="007F1BE3" w:rsidRPr="009C58C4" w:rsidRDefault="007F1BE3" w:rsidP="00226369">
            <w:pPr>
              <w:keepNext/>
              <w:jc w:val="both"/>
              <w:rPr>
                <w:sz w:val="22"/>
                <w:szCs w:val="22"/>
                <w:lang w:val="sr-Latn-ME"/>
              </w:rPr>
            </w:pPr>
            <w:r w:rsidRPr="009C58C4">
              <w:rPr>
                <w:sz w:val="22"/>
                <w:szCs w:val="22"/>
                <w:lang w:val="sr-Latn-ME"/>
              </w:rPr>
              <w:t>46,6% (34,8 – 58,6%)</w:t>
            </w:r>
          </w:p>
        </w:tc>
        <w:tc>
          <w:tcPr>
            <w:tcW w:w="3094" w:type="dxa"/>
          </w:tcPr>
          <w:p w14:paraId="587E116A" w14:textId="77777777" w:rsidR="007F1BE3" w:rsidRPr="009C58C4" w:rsidRDefault="007F1BE3" w:rsidP="00226369">
            <w:pPr>
              <w:keepNext/>
              <w:jc w:val="both"/>
              <w:rPr>
                <w:sz w:val="22"/>
                <w:szCs w:val="22"/>
                <w:lang w:val="sr-Latn-ME"/>
              </w:rPr>
            </w:pPr>
            <w:r w:rsidRPr="009C58C4">
              <w:rPr>
                <w:sz w:val="22"/>
                <w:szCs w:val="22"/>
                <w:lang w:val="sr-Latn-ME"/>
              </w:rPr>
              <w:t>10,8% (3,0 – 25,4%)</w:t>
            </w:r>
          </w:p>
        </w:tc>
      </w:tr>
      <w:tr w:rsidR="007F1BE3" w:rsidRPr="009C58C4" w14:paraId="1C4785CF" w14:textId="77777777" w:rsidTr="00C87F6C">
        <w:trPr>
          <w:cantSplit/>
        </w:trPr>
        <w:tc>
          <w:tcPr>
            <w:tcW w:w="3681" w:type="dxa"/>
          </w:tcPr>
          <w:p w14:paraId="78B801EF" w14:textId="31029EB3" w:rsidR="007F1BE3" w:rsidRPr="009C58C4" w:rsidRDefault="007F1BE3" w:rsidP="00226369">
            <w:pPr>
              <w:keepNext/>
              <w:jc w:val="both"/>
              <w:rPr>
                <w:sz w:val="22"/>
                <w:szCs w:val="22"/>
                <w:lang w:val="sr-Latn-ME"/>
              </w:rPr>
            </w:pPr>
            <w:r w:rsidRPr="009C58C4">
              <w:rPr>
                <w:sz w:val="22"/>
                <w:szCs w:val="22"/>
                <w:lang w:val="sr-Latn-ME"/>
              </w:rPr>
              <w:tab/>
            </w:r>
            <w:r w:rsidRPr="009C58C4">
              <w:rPr>
                <w:i/>
                <w:iCs/>
                <w:sz w:val="22"/>
                <w:szCs w:val="22"/>
                <w:lang w:val="sr-Latn-ME"/>
              </w:rPr>
              <w:t>Hazard ratio</w:t>
            </w:r>
            <w:r w:rsidRPr="009C58C4">
              <w:rPr>
                <w:sz w:val="22"/>
                <w:szCs w:val="22"/>
                <w:vertAlign w:val="superscript"/>
                <w:lang w:val="sr-Latn-ME"/>
              </w:rPr>
              <w:t>2</w:t>
            </w:r>
            <w:r w:rsidRPr="009C58C4">
              <w:rPr>
                <w:sz w:val="22"/>
                <w:szCs w:val="22"/>
                <w:lang w:val="sr-Latn-ME"/>
              </w:rPr>
              <w:t>, p-</w:t>
            </w:r>
            <w:r w:rsidR="00F46CDF" w:rsidRPr="009C58C4">
              <w:rPr>
                <w:sz w:val="22"/>
                <w:szCs w:val="22"/>
                <w:lang w:val="sr-Latn-ME"/>
              </w:rPr>
              <w:t>vrijednost</w:t>
            </w:r>
          </w:p>
        </w:tc>
        <w:tc>
          <w:tcPr>
            <w:tcW w:w="5935" w:type="dxa"/>
            <w:gridSpan w:val="2"/>
          </w:tcPr>
          <w:p w14:paraId="462F366B" w14:textId="77777777" w:rsidR="007F1BE3" w:rsidRPr="009C58C4" w:rsidRDefault="007F1BE3" w:rsidP="00226369">
            <w:pPr>
              <w:keepNext/>
              <w:jc w:val="both"/>
              <w:rPr>
                <w:sz w:val="22"/>
                <w:szCs w:val="22"/>
                <w:lang w:val="sr-Latn-ME"/>
              </w:rPr>
            </w:pPr>
            <w:r w:rsidRPr="009C58C4">
              <w:rPr>
                <w:sz w:val="22"/>
                <w:szCs w:val="22"/>
                <w:lang w:val="sr-Latn-ME"/>
              </w:rPr>
              <w:t>7,19 (2,3 – 22,4), p&lt;0,001</w:t>
            </w:r>
          </w:p>
        </w:tc>
      </w:tr>
      <w:tr w:rsidR="007F1BE3" w:rsidRPr="009C58C4" w14:paraId="3E683D05" w14:textId="77777777" w:rsidTr="00C87F6C">
        <w:trPr>
          <w:cantSplit/>
        </w:trPr>
        <w:tc>
          <w:tcPr>
            <w:tcW w:w="3681" w:type="dxa"/>
          </w:tcPr>
          <w:p w14:paraId="7EE50EFE" w14:textId="77777777" w:rsidR="007F1BE3" w:rsidRPr="009C58C4" w:rsidRDefault="007F1BE3" w:rsidP="00226369">
            <w:pPr>
              <w:keepNext/>
              <w:ind w:left="562"/>
              <w:jc w:val="both"/>
              <w:rPr>
                <w:sz w:val="22"/>
                <w:szCs w:val="22"/>
                <w:lang w:val="sr-Latn-ME"/>
              </w:rPr>
            </w:pPr>
            <w:r w:rsidRPr="009C58C4">
              <w:rPr>
                <w:sz w:val="22"/>
                <w:szCs w:val="22"/>
                <w:lang w:val="sr-Latn-ME"/>
              </w:rPr>
              <w:t xml:space="preserve">   Razlika rizika</w:t>
            </w:r>
          </w:p>
        </w:tc>
        <w:tc>
          <w:tcPr>
            <w:tcW w:w="5935" w:type="dxa"/>
            <w:gridSpan w:val="2"/>
          </w:tcPr>
          <w:p w14:paraId="347D1A57" w14:textId="77777777" w:rsidR="007F1BE3" w:rsidRPr="009C58C4" w:rsidRDefault="007F1BE3" w:rsidP="00226369">
            <w:pPr>
              <w:keepNext/>
              <w:jc w:val="both"/>
              <w:rPr>
                <w:sz w:val="22"/>
                <w:szCs w:val="22"/>
                <w:lang w:val="sr-Latn-ME"/>
              </w:rPr>
            </w:pPr>
            <w:r w:rsidRPr="009C58C4">
              <w:rPr>
                <w:sz w:val="22"/>
                <w:szCs w:val="22"/>
                <w:lang w:val="sr-Latn-ME"/>
              </w:rPr>
              <w:t>35,8% (20,6 – 51,0)</w:t>
            </w:r>
          </w:p>
        </w:tc>
      </w:tr>
      <w:tr w:rsidR="007F1BE3" w:rsidRPr="009C58C4" w14:paraId="3450AC7A" w14:textId="77777777" w:rsidTr="00C87F6C">
        <w:trPr>
          <w:cantSplit/>
        </w:trPr>
        <w:tc>
          <w:tcPr>
            <w:tcW w:w="3681" w:type="dxa"/>
          </w:tcPr>
          <w:p w14:paraId="3FF9B23F" w14:textId="77777777" w:rsidR="007F1BE3" w:rsidRPr="009C58C4" w:rsidRDefault="007F1BE3" w:rsidP="00226369">
            <w:pPr>
              <w:keepNext/>
              <w:jc w:val="both"/>
              <w:rPr>
                <w:b/>
                <w:sz w:val="22"/>
                <w:szCs w:val="22"/>
                <w:lang w:val="sr-Latn-ME"/>
              </w:rPr>
            </w:pPr>
            <w:r w:rsidRPr="009C58C4">
              <w:rPr>
                <w:b/>
                <w:sz w:val="22"/>
                <w:szCs w:val="22"/>
                <w:lang w:val="sr-Latn-ME"/>
              </w:rPr>
              <w:t>Preživljavanje bez progresije (PFS)</w:t>
            </w:r>
          </w:p>
        </w:tc>
        <w:tc>
          <w:tcPr>
            <w:tcW w:w="2835" w:type="dxa"/>
          </w:tcPr>
          <w:p w14:paraId="6937F506" w14:textId="77777777" w:rsidR="007F1BE3" w:rsidRPr="009C58C4" w:rsidRDefault="007F1BE3" w:rsidP="00226369">
            <w:pPr>
              <w:keepNext/>
              <w:jc w:val="both"/>
              <w:rPr>
                <w:sz w:val="22"/>
                <w:szCs w:val="22"/>
                <w:lang w:val="sr-Latn-ME"/>
              </w:rPr>
            </w:pPr>
          </w:p>
        </w:tc>
        <w:tc>
          <w:tcPr>
            <w:tcW w:w="3094" w:type="dxa"/>
          </w:tcPr>
          <w:p w14:paraId="22BFD4BA" w14:textId="77777777" w:rsidR="007F1BE3" w:rsidRPr="009C58C4" w:rsidRDefault="007F1BE3" w:rsidP="00226369">
            <w:pPr>
              <w:keepNext/>
              <w:jc w:val="both"/>
              <w:rPr>
                <w:sz w:val="22"/>
                <w:szCs w:val="22"/>
                <w:lang w:val="sr-Latn-ME"/>
              </w:rPr>
            </w:pPr>
          </w:p>
        </w:tc>
      </w:tr>
      <w:tr w:rsidR="007F1BE3" w:rsidRPr="009C58C4" w14:paraId="32160F07" w14:textId="77777777" w:rsidTr="00C87F6C">
        <w:trPr>
          <w:cantSplit/>
        </w:trPr>
        <w:tc>
          <w:tcPr>
            <w:tcW w:w="3681" w:type="dxa"/>
          </w:tcPr>
          <w:p w14:paraId="15F5940C" w14:textId="44A5733C" w:rsidR="007F1BE3" w:rsidRPr="009C58C4" w:rsidRDefault="007F1BE3" w:rsidP="00226369">
            <w:pPr>
              <w:keepNext/>
              <w:jc w:val="both"/>
              <w:rPr>
                <w:b/>
                <w:bCs/>
                <w:sz w:val="22"/>
                <w:szCs w:val="22"/>
                <w:lang w:val="sr-Latn-ME"/>
              </w:rPr>
            </w:pPr>
            <w:r w:rsidRPr="009C58C4">
              <w:rPr>
                <w:sz w:val="22"/>
                <w:szCs w:val="22"/>
                <w:lang w:val="sr-Latn-ME"/>
              </w:rPr>
              <w:tab/>
              <w:t>Medijana (</w:t>
            </w:r>
            <w:r w:rsidR="0091092E" w:rsidRPr="009C58C4">
              <w:rPr>
                <w:sz w:val="22"/>
                <w:szCs w:val="22"/>
                <w:lang w:val="sr-Latn-ME"/>
              </w:rPr>
              <w:t>mjesec</w:t>
            </w:r>
            <w:r w:rsidRPr="009C58C4">
              <w:rPr>
                <w:sz w:val="22"/>
                <w:szCs w:val="22"/>
                <w:lang w:val="sr-Latn-ME"/>
              </w:rPr>
              <w:t>i), (95% CI)</w:t>
            </w:r>
          </w:p>
        </w:tc>
        <w:tc>
          <w:tcPr>
            <w:tcW w:w="2835" w:type="dxa"/>
          </w:tcPr>
          <w:p w14:paraId="093D4E07" w14:textId="77777777" w:rsidR="007F1BE3" w:rsidRPr="009C58C4" w:rsidRDefault="007F1BE3" w:rsidP="00226369">
            <w:pPr>
              <w:keepNext/>
              <w:jc w:val="both"/>
              <w:rPr>
                <w:sz w:val="22"/>
                <w:szCs w:val="22"/>
                <w:lang w:val="sr-Latn-ME"/>
              </w:rPr>
            </w:pPr>
            <w:r w:rsidRPr="009C58C4">
              <w:rPr>
                <w:sz w:val="22"/>
                <w:szCs w:val="22"/>
                <w:lang w:val="sr-Latn-ME"/>
              </w:rPr>
              <w:t>20,1 (12,8 - NP)</w:t>
            </w:r>
          </w:p>
        </w:tc>
        <w:tc>
          <w:tcPr>
            <w:tcW w:w="3094" w:type="dxa"/>
          </w:tcPr>
          <w:p w14:paraId="0FE728D4" w14:textId="77777777" w:rsidR="007F1BE3" w:rsidRPr="009C58C4" w:rsidRDefault="007F1BE3" w:rsidP="00226369">
            <w:pPr>
              <w:keepNext/>
              <w:jc w:val="both"/>
              <w:rPr>
                <w:sz w:val="22"/>
                <w:szCs w:val="22"/>
                <w:lang w:val="sr-Latn-ME"/>
              </w:rPr>
            </w:pPr>
            <w:r w:rsidRPr="009C58C4">
              <w:rPr>
                <w:sz w:val="22"/>
                <w:szCs w:val="22"/>
                <w:lang w:val="sr-Latn-ME"/>
              </w:rPr>
              <w:t>7,4 (3,6 – 11,8)</w:t>
            </w:r>
          </w:p>
        </w:tc>
      </w:tr>
      <w:tr w:rsidR="007F1BE3" w:rsidRPr="009C58C4" w14:paraId="50AC7566" w14:textId="77777777" w:rsidTr="00C87F6C">
        <w:trPr>
          <w:cantSplit/>
        </w:trPr>
        <w:tc>
          <w:tcPr>
            <w:tcW w:w="3681" w:type="dxa"/>
          </w:tcPr>
          <w:p w14:paraId="134B5A5C" w14:textId="246F8761" w:rsidR="007F1BE3" w:rsidRPr="009C58C4" w:rsidRDefault="007F1BE3" w:rsidP="00226369">
            <w:pPr>
              <w:keepNext/>
              <w:ind w:left="596" w:hanging="596"/>
              <w:jc w:val="both"/>
              <w:rPr>
                <w:sz w:val="22"/>
                <w:szCs w:val="22"/>
                <w:lang w:val="sr-Latn-ME"/>
              </w:rPr>
            </w:pPr>
            <w:r w:rsidRPr="009C58C4">
              <w:rPr>
                <w:sz w:val="22"/>
                <w:szCs w:val="22"/>
                <w:lang w:val="sr-Latn-ME"/>
              </w:rPr>
              <w:tab/>
              <w:t xml:space="preserve">  Hazard ratio (95% CI), p-</w:t>
            </w:r>
            <w:r w:rsidR="00F46CDF" w:rsidRPr="009C58C4">
              <w:rPr>
                <w:sz w:val="22"/>
                <w:szCs w:val="22"/>
                <w:lang w:val="sr-Latn-ME"/>
              </w:rPr>
              <w:t>vrijednost</w:t>
            </w:r>
          </w:p>
        </w:tc>
        <w:tc>
          <w:tcPr>
            <w:tcW w:w="5935" w:type="dxa"/>
            <w:gridSpan w:val="2"/>
          </w:tcPr>
          <w:p w14:paraId="4CD63497" w14:textId="77777777" w:rsidR="007F1BE3" w:rsidRPr="009C58C4" w:rsidRDefault="007F1BE3" w:rsidP="00226369">
            <w:pPr>
              <w:keepNext/>
              <w:jc w:val="both"/>
              <w:rPr>
                <w:sz w:val="22"/>
                <w:szCs w:val="22"/>
                <w:lang w:val="sr-Latn-ME"/>
              </w:rPr>
            </w:pPr>
            <w:r w:rsidRPr="009C58C4">
              <w:rPr>
                <w:sz w:val="22"/>
                <w:szCs w:val="22"/>
                <w:lang w:val="sr-Latn-ME"/>
              </w:rPr>
              <w:t>0,31 (0,17 – 0,55), p&lt;0,001</w:t>
            </w:r>
          </w:p>
        </w:tc>
      </w:tr>
      <w:tr w:rsidR="007F1BE3" w:rsidRPr="009C58C4" w14:paraId="0EC63BD5" w14:textId="77777777" w:rsidTr="00C87F6C">
        <w:trPr>
          <w:cantSplit/>
        </w:trPr>
        <w:tc>
          <w:tcPr>
            <w:tcW w:w="9616" w:type="dxa"/>
            <w:gridSpan w:val="3"/>
          </w:tcPr>
          <w:p w14:paraId="03209D27" w14:textId="1C8C0DEE" w:rsidR="007F1BE3" w:rsidRPr="009C58C4" w:rsidRDefault="007F1BE3" w:rsidP="00226369">
            <w:pPr>
              <w:jc w:val="both"/>
              <w:rPr>
                <w:sz w:val="22"/>
                <w:szCs w:val="22"/>
                <w:lang w:val="sr-Latn-ME"/>
              </w:rPr>
            </w:pPr>
            <w:r w:rsidRPr="009C58C4">
              <w:rPr>
                <w:sz w:val="22"/>
                <w:szCs w:val="22"/>
                <w:lang w:val="sr-Latn-ME"/>
              </w:rPr>
              <w:t xml:space="preserve">NP=nije moguće </w:t>
            </w:r>
            <w:r w:rsidR="007F2563" w:rsidRPr="009C58C4">
              <w:rPr>
                <w:sz w:val="22"/>
                <w:szCs w:val="22"/>
                <w:lang w:val="sr-Latn-ME"/>
              </w:rPr>
              <w:t>procijen</w:t>
            </w:r>
            <w:r w:rsidRPr="009C58C4">
              <w:rPr>
                <w:sz w:val="22"/>
                <w:szCs w:val="22"/>
                <w:lang w:val="sr-Latn-ME"/>
              </w:rPr>
              <w:t>iti</w:t>
            </w:r>
          </w:p>
          <w:p w14:paraId="1539A581" w14:textId="190FF8A9" w:rsidR="007F1BE3" w:rsidRPr="009C58C4" w:rsidRDefault="007F1BE3" w:rsidP="00226369">
            <w:pPr>
              <w:jc w:val="both"/>
              <w:rPr>
                <w:sz w:val="22"/>
                <w:szCs w:val="22"/>
                <w:lang w:val="sr-Latn-ME"/>
              </w:rPr>
            </w:pPr>
            <w:r w:rsidRPr="009C58C4">
              <w:rPr>
                <w:sz w:val="22"/>
                <w:szCs w:val="22"/>
                <w:vertAlign w:val="superscript"/>
                <w:lang w:val="sr-Latn-ME"/>
              </w:rPr>
              <w:t>1</w:t>
            </w:r>
            <w:r w:rsidRPr="009C58C4">
              <w:rPr>
                <w:sz w:val="22"/>
                <w:szCs w:val="22"/>
                <w:lang w:val="sr-Latn-ME"/>
              </w:rPr>
              <w:t xml:space="preserve"> 4 pacijenta randomizovanih na C+V izašlo je iz ispitivanja pr</w:t>
            </w:r>
            <w:r w:rsidR="00E32D08" w:rsidRPr="009C58C4">
              <w:rPr>
                <w:sz w:val="22"/>
                <w:szCs w:val="22"/>
                <w:lang w:val="sr-Latn-ME"/>
              </w:rPr>
              <w:t>ij</w:t>
            </w:r>
            <w:r w:rsidRPr="009C58C4">
              <w:rPr>
                <w:sz w:val="22"/>
                <w:szCs w:val="22"/>
                <w:lang w:val="sr-Latn-ME"/>
              </w:rPr>
              <w:t xml:space="preserve">e započinjanja </w:t>
            </w:r>
            <w:r w:rsidR="007F2563" w:rsidRPr="009C58C4">
              <w:rPr>
                <w:sz w:val="22"/>
                <w:szCs w:val="22"/>
                <w:lang w:val="sr-Latn-ME"/>
              </w:rPr>
              <w:t>liječ</w:t>
            </w:r>
            <w:r w:rsidRPr="009C58C4">
              <w:rPr>
                <w:sz w:val="22"/>
                <w:szCs w:val="22"/>
                <w:lang w:val="sr-Latn-ME"/>
              </w:rPr>
              <w:t>enja.</w:t>
            </w:r>
          </w:p>
          <w:p w14:paraId="5F8F1284" w14:textId="0B37302B" w:rsidR="007F1BE3" w:rsidRPr="009C58C4" w:rsidRDefault="007F1BE3" w:rsidP="00226369">
            <w:pPr>
              <w:jc w:val="both"/>
              <w:rPr>
                <w:sz w:val="22"/>
                <w:szCs w:val="22"/>
                <w:lang w:val="sr-Latn-ME"/>
              </w:rPr>
            </w:pPr>
            <w:r w:rsidRPr="009C58C4">
              <w:rPr>
                <w:sz w:val="22"/>
                <w:szCs w:val="22"/>
                <w:vertAlign w:val="superscript"/>
                <w:lang w:val="sr-Latn-ME" w:eastAsia="en-GB"/>
              </w:rPr>
              <w:t>2</w:t>
            </w:r>
            <w:r w:rsidRPr="009C58C4">
              <w:rPr>
                <w:sz w:val="22"/>
                <w:szCs w:val="22"/>
                <w:lang w:val="sr-Latn-ME" w:eastAsia="en-GB"/>
              </w:rPr>
              <w:t xml:space="preserve"> Odds ratio (D+T naspram C+V) i 95% CI su iz logističke regresije s</w:t>
            </w:r>
            <w:r w:rsidR="00EB19E9" w:rsidRPr="009C58C4">
              <w:rPr>
                <w:sz w:val="22"/>
                <w:szCs w:val="22"/>
                <w:lang w:val="sr-Latn-ME" w:eastAsia="en-GB"/>
              </w:rPr>
              <w:t>a</w:t>
            </w:r>
            <w:r w:rsidRPr="009C58C4">
              <w:rPr>
                <w:sz w:val="22"/>
                <w:szCs w:val="22"/>
                <w:lang w:val="sr-Latn-ME" w:eastAsia="en-GB"/>
              </w:rPr>
              <w:t xml:space="preserve"> </w:t>
            </w:r>
            <w:r w:rsidR="007F2563" w:rsidRPr="009C58C4">
              <w:rPr>
                <w:sz w:val="22"/>
                <w:szCs w:val="22"/>
                <w:lang w:val="sr-Latn-ME" w:eastAsia="en-GB"/>
              </w:rPr>
              <w:t>liječ</w:t>
            </w:r>
            <w:r w:rsidRPr="009C58C4">
              <w:rPr>
                <w:sz w:val="22"/>
                <w:szCs w:val="22"/>
                <w:lang w:val="sr-Latn-ME" w:eastAsia="en-GB"/>
              </w:rPr>
              <w:t>enjem kao jedinom kovarija</w:t>
            </w:r>
            <w:r w:rsidR="00E32D08" w:rsidRPr="009C58C4">
              <w:rPr>
                <w:sz w:val="22"/>
                <w:szCs w:val="22"/>
                <w:lang w:val="sr-Latn-ME" w:eastAsia="en-GB"/>
              </w:rPr>
              <w:t>n</w:t>
            </w:r>
            <w:r w:rsidRPr="009C58C4">
              <w:rPr>
                <w:sz w:val="22"/>
                <w:szCs w:val="22"/>
                <w:lang w:val="sr-Latn-ME" w:eastAsia="en-GB"/>
              </w:rPr>
              <w:t xml:space="preserve">tom, tj. to su izgledi za posmatranje odgovora u D+T grani u poređenju sa izgledima za posmatranje odgovora u C+V grani. Odnos izgleda &gt;1 daje prednost D+T. </w:t>
            </w:r>
          </w:p>
        </w:tc>
      </w:tr>
    </w:tbl>
    <w:p w14:paraId="65F200BD" w14:textId="77777777" w:rsidR="007F1BE3" w:rsidRPr="009C58C4" w:rsidRDefault="007F1BE3" w:rsidP="00226369">
      <w:pPr>
        <w:jc w:val="both"/>
        <w:rPr>
          <w:sz w:val="22"/>
          <w:szCs w:val="22"/>
          <w:lang w:val="sr-Latn-ME"/>
        </w:rPr>
      </w:pPr>
    </w:p>
    <w:p w14:paraId="101352DE" w14:textId="03C1F0DA" w:rsidR="007F1BE3" w:rsidRPr="009C58C4" w:rsidRDefault="007F1BE3" w:rsidP="00226369">
      <w:pPr>
        <w:jc w:val="both"/>
        <w:rPr>
          <w:sz w:val="22"/>
          <w:szCs w:val="22"/>
          <w:lang w:val="sr-Latn-ME"/>
        </w:rPr>
      </w:pPr>
      <w:r w:rsidRPr="009C58C4">
        <w:rPr>
          <w:sz w:val="22"/>
          <w:szCs w:val="22"/>
          <w:lang w:val="sr-Latn-ME"/>
        </w:rPr>
        <w:t>U vr</w:t>
      </w:r>
      <w:r w:rsidR="00E32D08" w:rsidRPr="009C58C4">
        <w:rPr>
          <w:sz w:val="22"/>
          <w:szCs w:val="22"/>
          <w:lang w:val="sr-Latn-ME"/>
        </w:rPr>
        <w:t>ij</w:t>
      </w:r>
      <w:r w:rsidRPr="009C58C4">
        <w:rPr>
          <w:sz w:val="22"/>
          <w:szCs w:val="22"/>
          <w:lang w:val="sr-Latn-ME"/>
        </w:rPr>
        <w:t xml:space="preserve">eme završne analize (medijana trajanja praćenja: 39,0 </w:t>
      </w:r>
      <w:r w:rsidR="0091092E" w:rsidRPr="009C58C4">
        <w:rPr>
          <w:sz w:val="22"/>
          <w:szCs w:val="22"/>
          <w:lang w:val="sr-Latn-ME"/>
        </w:rPr>
        <w:t>mjesec</w:t>
      </w:r>
      <w:r w:rsidRPr="009C58C4">
        <w:rPr>
          <w:sz w:val="22"/>
          <w:szCs w:val="22"/>
          <w:lang w:val="sr-Latn-ME"/>
        </w:rPr>
        <w:t>i), ORR zasnovan na nezavisnoj recenziji bio je 54,8 % u D+T grani i 16,2 % u C+V grani sa odnosom izgleda od 6,26. Analiza je takođe potvrdila poboljšan PFS u odnosu na hemoterapiju na osnovu nezavisne recenzije s</w:t>
      </w:r>
      <w:r w:rsidR="00EB19E9" w:rsidRPr="009C58C4">
        <w:rPr>
          <w:sz w:val="22"/>
          <w:szCs w:val="22"/>
          <w:lang w:val="sr-Latn-ME"/>
        </w:rPr>
        <w:t>a</w:t>
      </w:r>
      <w:r w:rsidRPr="009C58C4">
        <w:rPr>
          <w:sz w:val="22"/>
          <w:szCs w:val="22"/>
          <w:lang w:val="sr-Latn-ME"/>
        </w:rPr>
        <w:t xml:space="preserve"> </w:t>
      </w:r>
      <w:r w:rsidR="007F2563" w:rsidRPr="009C58C4">
        <w:rPr>
          <w:sz w:val="22"/>
          <w:szCs w:val="22"/>
          <w:lang w:val="sr-Latn-ME"/>
        </w:rPr>
        <w:t>procijen</w:t>
      </w:r>
      <w:r w:rsidRPr="009C58C4">
        <w:rPr>
          <w:sz w:val="22"/>
          <w:szCs w:val="22"/>
          <w:lang w:val="sr-Latn-ME"/>
        </w:rPr>
        <w:t>jenim smanjenjem rizika od progresije/smrti od 64 % (</w:t>
      </w:r>
      <w:r w:rsidRPr="009C58C4">
        <w:rPr>
          <w:i/>
          <w:iCs/>
          <w:sz w:val="22"/>
          <w:szCs w:val="22"/>
          <w:lang w:val="sr-Latn-ME"/>
        </w:rPr>
        <w:t>hazard ratio</w:t>
      </w:r>
      <w:r w:rsidRPr="009C58C4">
        <w:rPr>
          <w:sz w:val="22"/>
          <w:szCs w:val="22"/>
          <w:lang w:val="sr-Latn-ME"/>
        </w:rPr>
        <w:t xml:space="preserve"> 0,36). Medijana PFS-a bila je 24,9 </w:t>
      </w:r>
      <w:r w:rsidR="0091092E" w:rsidRPr="009C58C4">
        <w:rPr>
          <w:sz w:val="22"/>
          <w:szCs w:val="22"/>
          <w:lang w:val="sr-Latn-ME"/>
        </w:rPr>
        <w:t>mjesec</w:t>
      </w:r>
      <w:r w:rsidRPr="009C58C4">
        <w:rPr>
          <w:sz w:val="22"/>
          <w:szCs w:val="22"/>
          <w:lang w:val="sr-Latn-ME"/>
        </w:rPr>
        <w:t xml:space="preserve">i u D+T grani i 7,2 </w:t>
      </w:r>
      <w:r w:rsidR="0091092E" w:rsidRPr="009C58C4">
        <w:rPr>
          <w:sz w:val="22"/>
          <w:szCs w:val="22"/>
          <w:lang w:val="sr-Latn-ME"/>
        </w:rPr>
        <w:t>mjesec</w:t>
      </w:r>
      <w:r w:rsidRPr="009C58C4">
        <w:rPr>
          <w:sz w:val="22"/>
          <w:szCs w:val="22"/>
          <w:lang w:val="sr-Latn-ME"/>
        </w:rPr>
        <w:t>a u C+V grani. Nisu zab</w:t>
      </w:r>
      <w:r w:rsidR="00E32D08" w:rsidRPr="009C58C4">
        <w:rPr>
          <w:sz w:val="22"/>
          <w:szCs w:val="22"/>
          <w:lang w:val="sr-Latn-ME"/>
        </w:rPr>
        <w:t>ilj</w:t>
      </w:r>
      <w:r w:rsidRPr="009C58C4">
        <w:rPr>
          <w:sz w:val="22"/>
          <w:szCs w:val="22"/>
          <w:lang w:val="sr-Latn-ME"/>
        </w:rPr>
        <w:t>eženi dodatni smrtni slučajevi ni u jednom grani u vr</w:t>
      </w:r>
      <w:r w:rsidR="00E32D08" w:rsidRPr="009C58C4">
        <w:rPr>
          <w:sz w:val="22"/>
          <w:szCs w:val="22"/>
          <w:lang w:val="sr-Latn-ME"/>
        </w:rPr>
        <w:t>ij</w:t>
      </w:r>
      <w:r w:rsidRPr="009C58C4">
        <w:rPr>
          <w:sz w:val="22"/>
          <w:szCs w:val="22"/>
          <w:lang w:val="sr-Latn-ME"/>
        </w:rPr>
        <w:t>eme završne analize.</w:t>
      </w:r>
    </w:p>
    <w:p w14:paraId="5B42CF66" w14:textId="77777777" w:rsidR="00A13DB3" w:rsidRPr="009C58C4" w:rsidRDefault="00A13DB3" w:rsidP="00226369">
      <w:pPr>
        <w:keepNext/>
        <w:ind w:left="1134" w:hanging="1134"/>
        <w:jc w:val="both"/>
        <w:rPr>
          <w:b/>
          <w:sz w:val="22"/>
          <w:szCs w:val="22"/>
          <w:lang w:val="sr-Latn-ME"/>
        </w:rPr>
      </w:pPr>
    </w:p>
    <w:p w14:paraId="505EB9F5" w14:textId="1BEC81F8" w:rsidR="007F1BE3" w:rsidRPr="009C58C4" w:rsidRDefault="007F1BE3" w:rsidP="00226369">
      <w:pPr>
        <w:keepNext/>
        <w:ind w:left="1134" w:hanging="1134"/>
        <w:jc w:val="both"/>
        <w:rPr>
          <w:sz w:val="22"/>
          <w:szCs w:val="22"/>
          <w:lang w:val="sr-Latn-ME"/>
        </w:rPr>
      </w:pPr>
      <w:r w:rsidRPr="009C58C4">
        <w:rPr>
          <w:b/>
          <w:sz w:val="22"/>
          <w:szCs w:val="22"/>
          <w:lang w:val="sr-Latn-ME"/>
        </w:rPr>
        <w:t>Slika 1</w:t>
      </w:r>
      <w:r w:rsidRPr="009C58C4">
        <w:rPr>
          <w:b/>
          <w:sz w:val="22"/>
          <w:szCs w:val="22"/>
          <w:lang w:val="sr-Latn-ME"/>
        </w:rPr>
        <w:tab/>
        <w:t>Kaplan-Meierova kriva preživljavanja bez progresije na osnovu nezavisne recenzije u pivotalnom ispitivanju G2201 (LGG kohorta, završna analiza)</w:t>
      </w:r>
    </w:p>
    <w:p w14:paraId="5D10C564" w14:textId="77777777" w:rsidR="007F1BE3" w:rsidRPr="009C58C4" w:rsidRDefault="007F1BE3" w:rsidP="00226369">
      <w:pPr>
        <w:jc w:val="both"/>
        <w:rPr>
          <w:sz w:val="22"/>
          <w:szCs w:val="22"/>
          <w:lang w:val="sr-Latn-ME"/>
        </w:rPr>
      </w:pPr>
      <w:bookmarkStart w:id="28" w:name="IDX"/>
      <w:bookmarkStart w:id="29" w:name="_Hlk129598633"/>
      <w:bookmarkEnd w:id="28"/>
      <w:r w:rsidRPr="009C58C4">
        <w:rPr>
          <w:noProof/>
          <w:sz w:val="22"/>
          <w:szCs w:val="22"/>
          <w:lang w:val="sr-Latn-ME"/>
        </w:rPr>
        <mc:AlternateContent>
          <mc:Choice Requires="wps">
            <w:drawing>
              <wp:anchor distT="45720" distB="45720" distL="114300" distR="114300" simplePos="0" relativeHeight="251661312" behindDoc="1" locked="0" layoutInCell="1" allowOverlap="1" wp14:anchorId="6B0002A9" wp14:editId="7A72EE59">
                <wp:simplePos x="0" y="0"/>
                <wp:positionH relativeFrom="column">
                  <wp:posOffset>2536300</wp:posOffset>
                </wp:positionH>
                <wp:positionV relativeFrom="paragraph">
                  <wp:posOffset>2845270</wp:posOffset>
                </wp:positionV>
                <wp:extent cx="1189990" cy="1404620"/>
                <wp:effectExtent l="0" t="0" r="0" b="1270"/>
                <wp:wrapTight wrapText="bothSides">
                  <wp:wrapPolygon edited="0">
                    <wp:start x="0" y="0"/>
                    <wp:lineTo x="0" y="20153"/>
                    <wp:lineTo x="21093" y="20153"/>
                    <wp:lineTo x="21093"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solidFill>
                          <a:srgbClr val="FFFFFF"/>
                        </a:solidFill>
                        <a:ln w="9525">
                          <a:noFill/>
                          <a:miter lim="800000"/>
                          <a:headEnd/>
                          <a:tailEnd/>
                        </a:ln>
                      </wps:spPr>
                      <wps:txbx>
                        <w:txbxContent>
                          <w:p w14:paraId="0185C6C1" w14:textId="2C4BE43D" w:rsidR="00B177C5" w:rsidRPr="007E51DC" w:rsidRDefault="00B177C5" w:rsidP="007F1BE3">
                            <w:pPr>
                              <w:rPr>
                                <w:sz w:val="18"/>
                                <w:szCs w:val="18"/>
                              </w:rPr>
                            </w:pPr>
                            <w:r>
                              <w:rPr>
                                <w:sz w:val="18"/>
                                <w:szCs w:val="18"/>
                              </w:rPr>
                              <w:t>Vrijeme</w:t>
                            </w:r>
                            <w:r w:rsidRPr="007E51DC">
                              <w:rPr>
                                <w:sz w:val="18"/>
                                <w:szCs w:val="18"/>
                              </w:rPr>
                              <w:t xml:space="preserve"> (</w:t>
                            </w:r>
                            <w:r>
                              <w:rPr>
                                <w:sz w:val="18"/>
                                <w:szCs w:val="18"/>
                              </w:rPr>
                              <w:t>Mjeseci</w:t>
                            </w:r>
                            <w:r w:rsidRPr="007E51DC">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002A9" id="_x0000_t202" coordsize="21600,21600" o:spt="202" path="m,l,21600r21600,l21600,xe">
                <v:stroke joinstyle="miter"/>
                <v:path gradientshapeok="t" o:connecttype="rect"/>
              </v:shapetype>
              <v:shape id="Text Box 4" o:spid="_x0000_s1026" type="#_x0000_t202" style="position:absolute;left:0;text-align:left;margin-left:199.7pt;margin-top:224.05pt;width:93.7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" stroked="f">
                <v:textbox style="mso-fit-shape-to-text:t">
                  <w:txbxContent>
                    <w:p w14:paraId="0185C6C1" w14:textId="2C4BE43D" w:rsidR="00B177C5" w:rsidRPr="007E51DC" w:rsidRDefault="00B177C5" w:rsidP="007F1BE3">
                      <w:pPr>
                        <w:rPr>
                          <w:sz w:val="18"/>
                          <w:szCs w:val="18"/>
                        </w:rPr>
                      </w:pPr>
                      <w:r>
                        <w:rPr>
                          <w:sz w:val="18"/>
                          <w:szCs w:val="18"/>
                        </w:rPr>
                        <w:t>Vrijeme</w:t>
                      </w:r>
                      <w:r w:rsidRPr="007E51DC">
                        <w:rPr>
                          <w:sz w:val="18"/>
                          <w:szCs w:val="18"/>
                        </w:rPr>
                        <w:t xml:space="preserve"> (</w:t>
                      </w:r>
                      <w:r>
                        <w:rPr>
                          <w:sz w:val="18"/>
                          <w:szCs w:val="18"/>
                        </w:rPr>
                        <w:t>Mjeseci</w:t>
                      </w:r>
                      <w:r w:rsidRPr="007E51DC">
                        <w:rPr>
                          <w:sz w:val="18"/>
                          <w:szCs w:val="18"/>
                        </w:rPr>
                        <w:t>)</w:t>
                      </w:r>
                    </w:p>
                  </w:txbxContent>
                </v:textbox>
                <w10:wrap type="tight"/>
              </v:shape>
            </w:pict>
          </mc:Fallback>
        </mc:AlternateContent>
      </w:r>
      <w:r w:rsidRPr="009C58C4">
        <w:rPr>
          <w:noProof/>
          <w:sz w:val="22"/>
          <w:szCs w:val="22"/>
          <w:lang w:val="sr-Latn-ME"/>
        </w:rPr>
        <mc:AlternateContent>
          <mc:Choice Requires="wps">
            <w:drawing>
              <wp:anchor distT="0" distB="0" distL="114300" distR="114300" simplePos="0" relativeHeight="251660288" behindDoc="1" locked="0" layoutInCell="1" allowOverlap="1" wp14:anchorId="262ECE56" wp14:editId="6CAE7269">
                <wp:simplePos x="0" y="0"/>
                <wp:positionH relativeFrom="margin">
                  <wp:posOffset>-315595</wp:posOffset>
                </wp:positionH>
                <wp:positionV relativeFrom="paragraph">
                  <wp:posOffset>1202690</wp:posOffset>
                </wp:positionV>
                <wp:extent cx="1149350" cy="342900"/>
                <wp:effectExtent l="3175" t="0" r="0" b="0"/>
                <wp:wrapTight wrapText="bothSides">
                  <wp:wrapPolygon edited="0">
                    <wp:start x="21540" y="-200"/>
                    <wp:lineTo x="418" y="-200"/>
                    <wp:lineTo x="418" y="20200"/>
                    <wp:lineTo x="21540" y="20200"/>
                    <wp:lineTo x="21540" y="-200"/>
                  </wp:wrapPolygon>
                </wp:wrapTight>
                <wp:docPr id="6" name="Text Box 6"/>
                <wp:cNvGraphicFramePr/>
                <a:graphic xmlns:a="http://schemas.openxmlformats.org/drawingml/2006/main">
                  <a:graphicData uri="http://schemas.microsoft.com/office/word/2010/wordprocessingShape">
                    <wps:wsp>
                      <wps:cNvSpPr txBox="1"/>
                      <wps:spPr>
                        <a:xfrm rot="16200000">
                          <a:off x="0" y="0"/>
                          <a:ext cx="1149350" cy="342900"/>
                        </a:xfrm>
                        <a:prstGeom prst="rect">
                          <a:avLst/>
                        </a:prstGeom>
                        <a:solidFill>
                          <a:sysClr val="window" lastClr="FFFFFF"/>
                        </a:solidFill>
                        <a:ln w="6350">
                          <a:noFill/>
                        </a:ln>
                      </wps:spPr>
                      <wps:txbx>
                        <w:txbxContent>
                          <w:p w14:paraId="53696A2E" w14:textId="612BB86E" w:rsidR="00B177C5" w:rsidRPr="007E51DC" w:rsidRDefault="00B177C5" w:rsidP="007F1BE3">
                            <w:pPr>
                              <w:rPr>
                                <w:sz w:val="18"/>
                                <w:szCs w:val="18"/>
                                <w:lang w:val="de-CH"/>
                              </w:rPr>
                            </w:pPr>
                            <w:r>
                              <w:rPr>
                                <w:sz w:val="18"/>
                                <w:szCs w:val="18"/>
                                <w:lang w:val="de-CH"/>
                              </w:rPr>
                              <w:t>Vjerovatnoća</w:t>
                            </w:r>
                            <w:r w:rsidRPr="007E51DC">
                              <w:rPr>
                                <w:sz w:val="18"/>
                                <w:szCs w:val="18"/>
                                <w:lang w:val="de-CH"/>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CE56" id="Text Box 6" o:spid="_x0000_s1027" type="#_x0000_t202" style="position:absolute;left:0;text-align:left;margin-left:-24.85pt;margin-top:94.7pt;width:90.5pt;height:27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" fillcolor="window" stroked="f" strokeweight=".5pt">
                <v:textbox>
                  <w:txbxContent>
                    <w:p w14:paraId="53696A2E" w14:textId="612BB86E" w:rsidR="00B177C5" w:rsidRPr="007E51DC" w:rsidRDefault="00B177C5" w:rsidP="007F1BE3">
                      <w:pPr>
                        <w:rPr>
                          <w:sz w:val="18"/>
                          <w:szCs w:val="18"/>
                          <w:lang w:val="de-CH"/>
                        </w:rPr>
                      </w:pPr>
                      <w:r>
                        <w:rPr>
                          <w:sz w:val="18"/>
                          <w:szCs w:val="18"/>
                          <w:lang w:val="de-CH"/>
                        </w:rPr>
                        <w:t>Vjerovatnoća</w:t>
                      </w:r>
                      <w:r w:rsidRPr="007E51DC">
                        <w:rPr>
                          <w:sz w:val="18"/>
                          <w:szCs w:val="18"/>
                          <w:lang w:val="de-CH"/>
                        </w:rPr>
                        <w:t xml:space="preserve"> (%)</w:t>
                      </w:r>
                    </w:p>
                  </w:txbxContent>
                </v:textbox>
                <w10:wrap type="tight" anchorx="margin"/>
              </v:shape>
            </w:pict>
          </mc:Fallback>
        </mc:AlternateContent>
      </w:r>
      <w:r w:rsidRPr="009C58C4">
        <w:rPr>
          <w:noProof/>
          <w:sz w:val="22"/>
          <w:szCs w:val="22"/>
          <w:lang w:val="sr-Latn-ME"/>
        </w:rPr>
        <w:drawing>
          <wp:anchor distT="0" distB="0" distL="114300" distR="114300" simplePos="0" relativeHeight="251659264" behindDoc="1" locked="0" layoutInCell="1" allowOverlap="1" wp14:anchorId="7B6816AF" wp14:editId="633B312E">
            <wp:simplePos x="0" y="0"/>
            <wp:positionH relativeFrom="margin">
              <wp:posOffset>326390</wp:posOffset>
            </wp:positionH>
            <wp:positionV relativeFrom="paragraph">
              <wp:posOffset>165735</wp:posOffset>
            </wp:positionV>
            <wp:extent cx="5614670" cy="3194685"/>
            <wp:effectExtent l="0" t="0" r="5080" b="5715"/>
            <wp:wrapTight wrapText="bothSides">
              <wp:wrapPolygon edited="0">
                <wp:start x="0" y="0"/>
                <wp:lineTo x="0" y="21510"/>
                <wp:lineTo x="21546" y="21510"/>
                <wp:lineTo x="21546"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670" cy="31946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9"/>
    <w:p w14:paraId="677181EA" w14:textId="77777777" w:rsidR="007F1BE3" w:rsidRPr="009C58C4" w:rsidRDefault="007F1BE3" w:rsidP="00226369">
      <w:pPr>
        <w:jc w:val="both"/>
        <w:rPr>
          <w:sz w:val="22"/>
          <w:szCs w:val="22"/>
          <w:lang w:val="sr-Latn-ME"/>
        </w:rPr>
      </w:pPr>
    </w:p>
    <w:p w14:paraId="0891E021" w14:textId="77777777" w:rsidR="007F1BE3" w:rsidRPr="009C58C4" w:rsidRDefault="007F1BE3" w:rsidP="00226369">
      <w:pPr>
        <w:keepNext/>
        <w:jc w:val="both"/>
        <w:rPr>
          <w:i/>
          <w:iCs/>
          <w:sz w:val="22"/>
          <w:szCs w:val="22"/>
          <w:lang w:val="sr-Latn-ME"/>
        </w:rPr>
      </w:pPr>
      <w:r w:rsidRPr="009C58C4">
        <w:rPr>
          <w:i/>
          <w:iCs/>
          <w:sz w:val="22"/>
          <w:szCs w:val="22"/>
          <w:lang w:val="sr-Latn-ME"/>
        </w:rPr>
        <w:t>Pedijatrijski gliom visokog gradusa sa pozitivnom BRAF mutacijom (WHO  gradusa 3 i 4)</w:t>
      </w:r>
    </w:p>
    <w:p w14:paraId="5F4FF79A" w14:textId="3FF79DDE" w:rsidR="007F1BE3" w:rsidRPr="009C58C4" w:rsidRDefault="007F1BE3" w:rsidP="00226369">
      <w:pPr>
        <w:jc w:val="both"/>
        <w:rPr>
          <w:sz w:val="22"/>
          <w:szCs w:val="22"/>
          <w:lang w:val="sr-Latn-ME"/>
        </w:rPr>
      </w:pPr>
      <w:r w:rsidRPr="009C58C4">
        <w:rPr>
          <w:sz w:val="22"/>
          <w:szCs w:val="22"/>
          <w:lang w:val="sr-Latn-ME"/>
        </w:rPr>
        <w:t>U kohortu sa gliomom visokog gradusa sa jednom granom, 41 pacijent sa relapsom ili refraktornim HGG</w:t>
      </w:r>
      <w:r w:rsidRPr="009C58C4">
        <w:rPr>
          <w:sz w:val="22"/>
          <w:szCs w:val="22"/>
          <w:lang w:val="sr-Latn-ME"/>
        </w:rPr>
        <w:noBreakHyphen/>
        <w:t xml:space="preserve">om je bio uključen i </w:t>
      </w:r>
      <w:r w:rsidR="007F2563" w:rsidRPr="009C58C4">
        <w:rPr>
          <w:sz w:val="22"/>
          <w:szCs w:val="22"/>
          <w:lang w:val="sr-Latn-ME"/>
        </w:rPr>
        <w:t>liječ</w:t>
      </w:r>
      <w:r w:rsidRPr="009C58C4">
        <w:rPr>
          <w:sz w:val="22"/>
          <w:szCs w:val="22"/>
          <w:lang w:val="sr-Latn-ME"/>
        </w:rPr>
        <w:t>en dabrafenibom i trametinibom. Medijana uzrasta je bila 13,0 godina, sa 5 pacijenata (12,2%) uzrasta od 12 </w:t>
      </w:r>
      <w:r w:rsidR="0091092E" w:rsidRPr="009C58C4">
        <w:rPr>
          <w:sz w:val="22"/>
          <w:szCs w:val="22"/>
          <w:lang w:val="sr-Latn-ME"/>
        </w:rPr>
        <w:t>mjesec</w:t>
      </w:r>
      <w:r w:rsidRPr="009C58C4">
        <w:rPr>
          <w:sz w:val="22"/>
          <w:szCs w:val="22"/>
          <w:lang w:val="sr-Latn-ME"/>
        </w:rPr>
        <w:t>i do &lt;6 godina, 10 pacijenata (24,4%) uzrasta od 6 do &lt;12 godina i 26 pacijenata (63,4%) uzrasta od 12 do &lt;18 godina; 56% su bile žene. Histološki stepen pri početnoj dijagnozi je bio gradus 4 kod 20 pacijenata (48,8%),  gradus 3 kod 13 pacijenta (31,7%), gradus 2 kod 4 pacijenta (9,8%),  gradus 1</w:t>
      </w:r>
      <w:r w:rsidR="00EB19E9" w:rsidRPr="009C58C4">
        <w:rPr>
          <w:sz w:val="22"/>
          <w:szCs w:val="22"/>
          <w:lang w:val="sr-Latn-ME"/>
        </w:rPr>
        <w:t xml:space="preserve"> </w:t>
      </w:r>
      <w:r w:rsidRPr="009C58C4">
        <w:rPr>
          <w:sz w:val="22"/>
          <w:szCs w:val="22"/>
          <w:lang w:val="sr-Latn-ME"/>
        </w:rPr>
        <w:t>kod 3 pacijenta (7,3%) i nedostaje podatak za 1 pacijenta (2,4%). Najčešće patologije su bile multiformni glioblastom (31,7%), anaplastični pleomorfni ksantoastrocitom (14,6%), nespecificirani HGG (9,8%) i pleomorfni ksantoastrocitom (9,8%). Prethodni hirurški zahvat zab</w:t>
      </w:r>
      <w:r w:rsidR="00E32D08" w:rsidRPr="009C58C4">
        <w:rPr>
          <w:sz w:val="22"/>
          <w:szCs w:val="22"/>
          <w:lang w:val="sr-Latn-ME"/>
        </w:rPr>
        <w:t>ilj</w:t>
      </w:r>
      <w:r w:rsidRPr="009C58C4">
        <w:rPr>
          <w:sz w:val="22"/>
          <w:szCs w:val="22"/>
          <w:lang w:val="sr-Latn-ME"/>
        </w:rPr>
        <w:t xml:space="preserve">ežen je kod 40 pacijenata (97,6%), i među tim pacijentima procedura na poslednjem hirurškom zahvatu je bila resekcija kod 24 pacijenta (58,5%). Prethodna antineoplastična hemoterapija je prijavljena kod 33 pacijenta (80,5%). Prethodna radioterapija je prijavljena kod 37 pacijenta (90,2%). Sistemska </w:t>
      </w:r>
      <w:r w:rsidR="007F2563" w:rsidRPr="009C58C4">
        <w:rPr>
          <w:sz w:val="22"/>
          <w:szCs w:val="22"/>
          <w:lang w:val="sr-Latn-ME"/>
        </w:rPr>
        <w:t>primjen</w:t>
      </w:r>
      <w:r w:rsidRPr="009C58C4">
        <w:rPr>
          <w:sz w:val="22"/>
          <w:szCs w:val="22"/>
          <w:lang w:val="sr-Latn-ME"/>
        </w:rPr>
        <w:t xml:space="preserve">a kortikosteroida tokom </w:t>
      </w:r>
      <w:r w:rsidR="007F2563" w:rsidRPr="009C58C4">
        <w:rPr>
          <w:sz w:val="22"/>
          <w:szCs w:val="22"/>
          <w:lang w:val="sr-Latn-ME"/>
        </w:rPr>
        <w:t>liječ</w:t>
      </w:r>
      <w:r w:rsidRPr="009C58C4">
        <w:rPr>
          <w:sz w:val="22"/>
          <w:szCs w:val="22"/>
          <w:lang w:val="sr-Latn-ME"/>
        </w:rPr>
        <w:t>enja u ispitivanju je zab</w:t>
      </w:r>
      <w:r w:rsidR="00E32D08" w:rsidRPr="009C58C4">
        <w:rPr>
          <w:sz w:val="22"/>
          <w:szCs w:val="22"/>
          <w:lang w:val="sr-Latn-ME"/>
        </w:rPr>
        <w:t>ilj</w:t>
      </w:r>
      <w:r w:rsidRPr="009C58C4">
        <w:rPr>
          <w:sz w:val="22"/>
          <w:szCs w:val="22"/>
          <w:lang w:val="sr-Latn-ME"/>
        </w:rPr>
        <w:t>ežena kod 24 pacijenta (58,5%).</w:t>
      </w:r>
    </w:p>
    <w:p w14:paraId="19DAAFD5" w14:textId="77777777" w:rsidR="007F1BE3" w:rsidRPr="009C58C4" w:rsidRDefault="007F1BE3" w:rsidP="00226369">
      <w:pPr>
        <w:jc w:val="both"/>
        <w:rPr>
          <w:i/>
          <w:sz w:val="22"/>
          <w:szCs w:val="22"/>
          <w:lang w:val="sr-Latn-ME"/>
        </w:rPr>
      </w:pPr>
    </w:p>
    <w:p w14:paraId="75982C88" w14:textId="7D68E309" w:rsidR="007F1BE3" w:rsidRPr="009C58C4" w:rsidRDefault="007F1BE3" w:rsidP="00226369">
      <w:pPr>
        <w:jc w:val="both"/>
        <w:rPr>
          <w:sz w:val="22"/>
          <w:szCs w:val="22"/>
          <w:lang w:val="sr-Latn-ME"/>
        </w:rPr>
      </w:pPr>
      <w:r w:rsidRPr="009C58C4">
        <w:rPr>
          <w:sz w:val="22"/>
          <w:szCs w:val="22"/>
          <w:lang w:val="sr-Latn-ME"/>
        </w:rPr>
        <w:t>U vr</w:t>
      </w:r>
      <w:r w:rsidR="00E32D08" w:rsidRPr="009C58C4">
        <w:rPr>
          <w:sz w:val="22"/>
          <w:szCs w:val="22"/>
          <w:lang w:val="sr-Latn-ME"/>
        </w:rPr>
        <w:t>ij</w:t>
      </w:r>
      <w:r w:rsidRPr="009C58C4">
        <w:rPr>
          <w:sz w:val="22"/>
          <w:szCs w:val="22"/>
          <w:lang w:val="sr-Latn-ME"/>
        </w:rPr>
        <w:t xml:space="preserve">eme završne analize (medijana trajanja praćenja: 45,2 </w:t>
      </w:r>
      <w:r w:rsidR="0091092E" w:rsidRPr="009C58C4">
        <w:rPr>
          <w:sz w:val="22"/>
          <w:szCs w:val="22"/>
          <w:lang w:val="sr-Latn-ME"/>
        </w:rPr>
        <w:t>mjesec</w:t>
      </w:r>
      <w:r w:rsidRPr="009C58C4">
        <w:rPr>
          <w:sz w:val="22"/>
          <w:szCs w:val="22"/>
          <w:lang w:val="sr-Latn-ME"/>
        </w:rPr>
        <w:t xml:space="preserve">a), ORR na osnovu nezavisne recenzije bio je 56,1 % (23/41), (95 % CI: 39,7; 71,5): CR kod 14 pacijenata (34,1 %) i PR kod 9 pacijenata (22,0 %). Medijana trajanja odgovora (engl. </w:t>
      </w:r>
      <w:r w:rsidRPr="009C58C4">
        <w:rPr>
          <w:i/>
          <w:iCs/>
          <w:sz w:val="22"/>
          <w:szCs w:val="22"/>
          <w:lang w:val="sr-Latn-ME"/>
        </w:rPr>
        <w:t>duration of response</w:t>
      </w:r>
      <w:r w:rsidRPr="009C58C4">
        <w:rPr>
          <w:sz w:val="22"/>
          <w:szCs w:val="22"/>
          <w:lang w:val="sr-Latn-ME"/>
        </w:rPr>
        <w:t xml:space="preserve">, DOR) bila je 27,4 </w:t>
      </w:r>
      <w:r w:rsidR="0091092E" w:rsidRPr="009C58C4">
        <w:rPr>
          <w:sz w:val="22"/>
          <w:szCs w:val="22"/>
          <w:lang w:val="sr-Latn-ME"/>
        </w:rPr>
        <w:t>mjesec</w:t>
      </w:r>
      <w:r w:rsidRPr="009C58C4">
        <w:rPr>
          <w:sz w:val="22"/>
          <w:szCs w:val="22"/>
          <w:lang w:val="sr-Latn-ME"/>
        </w:rPr>
        <w:t>a (95 % CI: 9,2; NP)</w:t>
      </w:r>
    </w:p>
    <w:p w14:paraId="4712880B" w14:textId="41318B0C" w:rsidR="002E37A5" w:rsidRPr="009C58C4" w:rsidRDefault="002E37A5" w:rsidP="00226369">
      <w:pPr>
        <w:tabs>
          <w:tab w:val="left" w:pos="540"/>
          <w:tab w:val="left" w:pos="569"/>
        </w:tabs>
        <w:jc w:val="both"/>
        <w:rPr>
          <w:b/>
          <w:bCs/>
          <w:sz w:val="22"/>
          <w:szCs w:val="22"/>
          <w:lang w:val="sr-Latn-ME"/>
        </w:rPr>
      </w:pPr>
    </w:p>
    <w:p w14:paraId="2CF9F88C" w14:textId="39026411"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5.2. </w:t>
      </w:r>
      <w:r w:rsidR="00480FB1" w:rsidRPr="009C58C4">
        <w:rPr>
          <w:b/>
          <w:bCs/>
          <w:sz w:val="22"/>
          <w:szCs w:val="22"/>
          <w:lang w:val="sr-Latn-ME"/>
        </w:rPr>
        <w:tab/>
      </w:r>
      <w:r w:rsidRPr="009C58C4">
        <w:rPr>
          <w:b/>
          <w:bCs/>
          <w:sz w:val="22"/>
          <w:szCs w:val="22"/>
          <w:lang w:val="sr-Latn-ME"/>
        </w:rPr>
        <w:t>Farmakokinetički podaci</w:t>
      </w:r>
      <w:r w:rsidR="003A7059" w:rsidRPr="009C58C4">
        <w:rPr>
          <w:b/>
          <w:bCs/>
          <w:sz w:val="22"/>
          <w:szCs w:val="22"/>
          <w:lang w:val="sr-Latn-ME"/>
        </w:rPr>
        <w:t xml:space="preserve"> </w:t>
      </w:r>
    </w:p>
    <w:p w14:paraId="2BC5BF1D" w14:textId="77777777" w:rsidR="00304534" w:rsidRPr="009C58C4" w:rsidRDefault="00304534" w:rsidP="00226369">
      <w:pPr>
        <w:tabs>
          <w:tab w:val="left" w:pos="540"/>
          <w:tab w:val="left" w:pos="569"/>
        </w:tabs>
        <w:jc w:val="both"/>
        <w:rPr>
          <w:b/>
          <w:bCs/>
          <w:sz w:val="22"/>
          <w:szCs w:val="22"/>
          <w:lang w:val="sr-Latn-ME"/>
        </w:rPr>
      </w:pPr>
    </w:p>
    <w:p w14:paraId="1AA54C63" w14:textId="4FAF7B9D" w:rsidR="00F118BB" w:rsidRPr="009C58C4" w:rsidRDefault="00F118BB" w:rsidP="00226369">
      <w:pPr>
        <w:jc w:val="both"/>
        <w:rPr>
          <w:color w:val="000000"/>
          <w:sz w:val="22"/>
          <w:szCs w:val="22"/>
          <w:lang w:val="sr-Latn-ME"/>
        </w:rPr>
      </w:pPr>
      <w:r w:rsidRPr="009C58C4">
        <w:rPr>
          <w:color w:val="000000"/>
          <w:sz w:val="22"/>
          <w:szCs w:val="22"/>
          <w:lang w:val="sr-Latn-ME"/>
        </w:rPr>
        <w:t xml:space="preserve">Farmakokinetička svojstva trametiniba većinom su određena u odraslih pacijenata koji su koristili čvrstu formulaciju (tablete). Farmakokinetika trametiniba nakon jednokratnog ili ponovljenog doziranja prilagođenog </w:t>
      </w:r>
      <w:r w:rsidR="00F46CDF" w:rsidRPr="009C58C4">
        <w:rPr>
          <w:color w:val="000000"/>
          <w:sz w:val="22"/>
          <w:szCs w:val="22"/>
          <w:lang w:val="sr-Latn-ME"/>
        </w:rPr>
        <w:t>tjeles</w:t>
      </w:r>
      <w:r w:rsidRPr="009C58C4">
        <w:rPr>
          <w:color w:val="000000"/>
          <w:sz w:val="22"/>
          <w:szCs w:val="22"/>
          <w:lang w:val="sr-Latn-ME"/>
        </w:rPr>
        <w:t xml:space="preserve">noj masi takođe je </w:t>
      </w:r>
      <w:r w:rsidR="007F2563" w:rsidRPr="009C58C4">
        <w:rPr>
          <w:color w:val="000000"/>
          <w:sz w:val="22"/>
          <w:szCs w:val="22"/>
          <w:lang w:val="sr-Latn-ME"/>
        </w:rPr>
        <w:t>procijen</w:t>
      </w:r>
      <w:r w:rsidRPr="009C58C4">
        <w:rPr>
          <w:color w:val="000000"/>
          <w:sz w:val="22"/>
          <w:szCs w:val="22"/>
          <w:lang w:val="sr-Latn-ME"/>
        </w:rPr>
        <w:t xml:space="preserve">jena kod 244 pedijatrijska pacijenata. </w:t>
      </w:r>
      <w:r w:rsidRPr="009C58C4">
        <w:rPr>
          <w:sz w:val="22"/>
          <w:szCs w:val="22"/>
          <w:lang w:val="sr-Latn-ME"/>
        </w:rPr>
        <w:t xml:space="preserve">Farmakokinetičke karakteristike (stopa apsorpcije </w:t>
      </w:r>
      <w:r w:rsidR="007F2563" w:rsidRPr="009C58C4">
        <w:rPr>
          <w:sz w:val="22"/>
          <w:szCs w:val="22"/>
          <w:lang w:val="sr-Latn-ME"/>
        </w:rPr>
        <w:t>lijek</w:t>
      </w:r>
      <w:r w:rsidRPr="009C58C4">
        <w:rPr>
          <w:sz w:val="22"/>
          <w:szCs w:val="22"/>
          <w:lang w:val="sr-Latn-ME"/>
        </w:rPr>
        <w:t xml:space="preserve">a i klirens </w:t>
      </w:r>
      <w:r w:rsidR="007F2563" w:rsidRPr="009C58C4">
        <w:rPr>
          <w:sz w:val="22"/>
          <w:szCs w:val="22"/>
          <w:lang w:val="sr-Latn-ME"/>
        </w:rPr>
        <w:t>lijek</w:t>
      </w:r>
      <w:r w:rsidRPr="009C58C4">
        <w:rPr>
          <w:sz w:val="22"/>
          <w:szCs w:val="22"/>
          <w:lang w:val="sr-Latn-ME"/>
        </w:rPr>
        <w:t>a) trametiniba kod pedijatrijskih pacijenata bile su uporedive s</w:t>
      </w:r>
      <w:r w:rsidR="00C97935" w:rsidRPr="009C58C4">
        <w:rPr>
          <w:sz w:val="22"/>
          <w:szCs w:val="22"/>
          <w:lang w:val="sr-Latn-ME"/>
        </w:rPr>
        <w:t>a</w:t>
      </w:r>
      <w:r w:rsidRPr="009C58C4">
        <w:rPr>
          <w:sz w:val="22"/>
          <w:szCs w:val="22"/>
          <w:lang w:val="sr-Latn-ME"/>
        </w:rPr>
        <w:t xml:space="preserve"> onima kod odraslih. Utvrđeno je da težina utiče na peroralni klirens trametiniba, dok starost ne utiče. Farmakokinetička izloženost trametinibu pri preporučenoj dozi prilagođenoj </w:t>
      </w:r>
      <w:r w:rsidR="00F46CDF" w:rsidRPr="009C58C4">
        <w:rPr>
          <w:sz w:val="22"/>
          <w:szCs w:val="22"/>
          <w:lang w:val="sr-Latn-ME"/>
        </w:rPr>
        <w:t>tjeles</w:t>
      </w:r>
      <w:r w:rsidRPr="009C58C4">
        <w:rPr>
          <w:sz w:val="22"/>
          <w:szCs w:val="22"/>
          <w:lang w:val="sr-Latn-ME"/>
        </w:rPr>
        <w:t>noj masi kod pedijatrijskih pacijenata bila je unutar raspona onih zab</w:t>
      </w:r>
      <w:r w:rsidR="00E32D08" w:rsidRPr="009C58C4">
        <w:rPr>
          <w:sz w:val="22"/>
          <w:szCs w:val="22"/>
          <w:lang w:val="sr-Latn-ME"/>
        </w:rPr>
        <w:t>ilj</w:t>
      </w:r>
      <w:r w:rsidRPr="009C58C4">
        <w:rPr>
          <w:sz w:val="22"/>
          <w:szCs w:val="22"/>
          <w:lang w:val="sr-Latn-ME"/>
        </w:rPr>
        <w:t>eženih kod odraslih.</w:t>
      </w:r>
    </w:p>
    <w:p w14:paraId="527030C1" w14:textId="77777777" w:rsidR="00F118BB" w:rsidRPr="009C58C4" w:rsidRDefault="00F118BB" w:rsidP="00226369">
      <w:pPr>
        <w:ind w:left="567" w:hanging="567"/>
        <w:jc w:val="both"/>
        <w:rPr>
          <w:sz w:val="22"/>
          <w:szCs w:val="22"/>
          <w:lang w:val="sr-Latn-ME"/>
        </w:rPr>
      </w:pPr>
    </w:p>
    <w:p w14:paraId="350B3E32" w14:textId="2F0D3527" w:rsidR="00F118BB" w:rsidRPr="009C58C4" w:rsidRDefault="006240EB" w:rsidP="00226369">
      <w:pPr>
        <w:keepNext/>
        <w:numPr>
          <w:ilvl w:val="12"/>
          <w:numId w:val="0"/>
        </w:numPr>
        <w:jc w:val="both"/>
        <w:rPr>
          <w:iCs/>
          <w:sz w:val="22"/>
          <w:szCs w:val="22"/>
          <w:u w:val="single"/>
          <w:lang w:val="sr-Latn-ME"/>
        </w:rPr>
      </w:pPr>
      <w:r w:rsidRPr="009C58C4">
        <w:rPr>
          <w:iCs/>
          <w:sz w:val="22"/>
          <w:szCs w:val="22"/>
          <w:u w:val="single"/>
          <w:lang w:val="sr-Latn-ME"/>
        </w:rPr>
        <w:lastRenderedPageBreak/>
        <w:t>Re</w:t>
      </w:r>
      <w:r w:rsidR="00F118BB" w:rsidRPr="009C58C4">
        <w:rPr>
          <w:iCs/>
          <w:sz w:val="22"/>
          <w:szCs w:val="22"/>
          <w:u w:val="single"/>
          <w:lang w:val="sr-Latn-ME"/>
        </w:rPr>
        <w:t>sorpcija</w:t>
      </w:r>
    </w:p>
    <w:p w14:paraId="0B5DD517" w14:textId="77777777" w:rsidR="00F118BB" w:rsidRPr="009C58C4" w:rsidRDefault="00F118BB" w:rsidP="00226369">
      <w:pPr>
        <w:keepNext/>
        <w:numPr>
          <w:ilvl w:val="12"/>
          <w:numId w:val="0"/>
        </w:numPr>
        <w:jc w:val="both"/>
        <w:rPr>
          <w:iCs/>
          <w:sz w:val="22"/>
          <w:szCs w:val="22"/>
          <w:lang w:val="sr-Latn-ME"/>
        </w:rPr>
      </w:pPr>
    </w:p>
    <w:p w14:paraId="29C48D6D" w14:textId="4B3864AA" w:rsidR="00F118BB" w:rsidRPr="009C58C4" w:rsidRDefault="00F118BB" w:rsidP="00226369">
      <w:pPr>
        <w:jc w:val="both"/>
        <w:rPr>
          <w:sz w:val="22"/>
          <w:szCs w:val="22"/>
          <w:lang w:val="sr-Latn-ME"/>
        </w:rPr>
      </w:pPr>
      <w:r w:rsidRPr="009C58C4">
        <w:rPr>
          <w:sz w:val="22"/>
          <w:szCs w:val="22"/>
          <w:lang w:val="sr-Latn-ME"/>
        </w:rPr>
        <w:t>Trametinib oralni rastvor brzo se apsorbuje s</w:t>
      </w:r>
      <w:r w:rsidR="00EB19E9" w:rsidRPr="009C58C4">
        <w:rPr>
          <w:sz w:val="22"/>
          <w:szCs w:val="22"/>
          <w:lang w:val="sr-Latn-ME"/>
        </w:rPr>
        <w:t>a</w:t>
      </w:r>
      <w:r w:rsidRPr="009C58C4">
        <w:rPr>
          <w:sz w:val="22"/>
          <w:szCs w:val="22"/>
          <w:lang w:val="sr-Latn-ME"/>
        </w:rPr>
        <w:t xml:space="preserve"> medijanom vremena do postizanje maksimalne koncentracije u plazmi (T</w:t>
      </w:r>
      <w:r w:rsidRPr="009C58C4">
        <w:rPr>
          <w:sz w:val="22"/>
          <w:szCs w:val="22"/>
          <w:vertAlign w:val="subscript"/>
          <w:lang w:val="sr-Latn-ME"/>
        </w:rPr>
        <w:t>max</w:t>
      </w:r>
      <w:r w:rsidRPr="009C58C4">
        <w:rPr>
          <w:sz w:val="22"/>
          <w:szCs w:val="22"/>
          <w:lang w:val="sr-Latn-ME"/>
        </w:rPr>
        <w:t xml:space="preserve">) od 1 sata nakon uzimanja doze. Srednja </w:t>
      </w:r>
      <w:r w:rsidR="00F46CDF" w:rsidRPr="009C58C4">
        <w:rPr>
          <w:sz w:val="22"/>
          <w:szCs w:val="22"/>
          <w:lang w:val="sr-Latn-ME"/>
        </w:rPr>
        <w:t>vrijednost</w:t>
      </w:r>
      <w:r w:rsidRPr="009C58C4">
        <w:rPr>
          <w:sz w:val="22"/>
          <w:szCs w:val="22"/>
          <w:lang w:val="sr-Latn-ME"/>
        </w:rPr>
        <w:t xml:space="preserve"> apsolutne peroralne bioraspoloživosti trametinib tableta iznosila je 72 %. U ispitivanju relativne bioraspoloživosti u poređenju formulacije oralnog rastvora i formulacije tablete nakon </w:t>
      </w:r>
      <w:r w:rsidR="007F2563" w:rsidRPr="009C58C4">
        <w:rPr>
          <w:sz w:val="22"/>
          <w:szCs w:val="22"/>
          <w:lang w:val="sr-Latn-ME"/>
        </w:rPr>
        <w:t>primjen</w:t>
      </w:r>
      <w:r w:rsidRPr="009C58C4">
        <w:rPr>
          <w:sz w:val="22"/>
          <w:szCs w:val="22"/>
          <w:lang w:val="sr-Latn-ME"/>
        </w:rPr>
        <w:t xml:space="preserve">e jedne doze natašte kod odraslih, </w:t>
      </w:r>
      <w:r w:rsidR="007F2563" w:rsidRPr="009C58C4">
        <w:rPr>
          <w:sz w:val="22"/>
          <w:szCs w:val="22"/>
          <w:lang w:val="sr-Latn-ME"/>
        </w:rPr>
        <w:t>primjen</w:t>
      </w:r>
      <w:r w:rsidRPr="009C58C4">
        <w:rPr>
          <w:sz w:val="22"/>
          <w:szCs w:val="22"/>
          <w:lang w:val="sr-Latn-ME"/>
        </w:rPr>
        <w:t>a formulacije oralnog rastvora je rezultirala sa 12 % većim PIK</w:t>
      </w:r>
      <w:r w:rsidRPr="009C58C4">
        <w:rPr>
          <w:sz w:val="22"/>
          <w:szCs w:val="22"/>
          <w:vertAlign w:val="subscript"/>
          <w:lang w:val="sr-Latn-ME"/>
        </w:rPr>
        <w:t>(0-inf)</w:t>
      </w:r>
      <w:r w:rsidRPr="009C58C4">
        <w:rPr>
          <w:sz w:val="22"/>
          <w:szCs w:val="22"/>
          <w:lang w:val="sr-Latn-ME"/>
        </w:rPr>
        <w:t>, 10 % većim PIK</w:t>
      </w:r>
      <w:r w:rsidRPr="009C58C4">
        <w:rPr>
          <w:sz w:val="22"/>
          <w:szCs w:val="22"/>
          <w:vertAlign w:val="subscript"/>
          <w:lang w:val="sr-Latn-ME"/>
        </w:rPr>
        <w:t>(0-last)</w:t>
      </w:r>
      <w:r w:rsidRPr="009C58C4">
        <w:rPr>
          <w:sz w:val="22"/>
          <w:szCs w:val="22"/>
          <w:lang w:val="sr-Latn-ME"/>
        </w:rPr>
        <w:t xml:space="preserve"> i 71 % većim C</w:t>
      </w:r>
      <w:r w:rsidRPr="009C58C4">
        <w:rPr>
          <w:sz w:val="22"/>
          <w:szCs w:val="22"/>
          <w:vertAlign w:val="subscript"/>
          <w:lang w:val="sr-Latn-ME"/>
        </w:rPr>
        <w:t>max</w:t>
      </w:r>
      <w:r w:rsidRPr="009C58C4">
        <w:rPr>
          <w:sz w:val="22"/>
          <w:szCs w:val="22"/>
          <w:lang w:val="sr-Latn-ME"/>
        </w:rPr>
        <w:t xml:space="preserve"> u odnosu na formulaciju tablete.</w:t>
      </w:r>
    </w:p>
    <w:p w14:paraId="74725FAB" w14:textId="77777777" w:rsidR="00F118BB" w:rsidRPr="009C58C4" w:rsidRDefault="00F118BB" w:rsidP="00226369">
      <w:pPr>
        <w:jc w:val="both"/>
        <w:rPr>
          <w:sz w:val="22"/>
          <w:szCs w:val="22"/>
          <w:lang w:val="sr-Latn-ME"/>
        </w:rPr>
      </w:pPr>
    </w:p>
    <w:p w14:paraId="62CD117D" w14:textId="77777777" w:rsidR="00F118BB" w:rsidRPr="009C58C4" w:rsidRDefault="00F118BB" w:rsidP="00226369">
      <w:pPr>
        <w:jc w:val="both"/>
        <w:rPr>
          <w:sz w:val="22"/>
          <w:szCs w:val="22"/>
          <w:lang w:val="sr-Latn-ME"/>
        </w:rPr>
      </w:pPr>
      <w:r w:rsidRPr="009C58C4">
        <w:rPr>
          <w:sz w:val="22"/>
          <w:szCs w:val="22"/>
          <w:lang w:val="sr-Latn-ME"/>
        </w:rPr>
        <w:t>Izloženost trametinibu porasla je proporcionalno dozi za raspon doze između 0,125 mg i 4 mg nakon ponovljenog doziranja jedanput dnevno.</w:t>
      </w:r>
    </w:p>
    <w:p w14:paraId="7024D7AD" w14:textId="77777777" w:rsidR="00F118BB" w:rsidRPr="009C58C4" w:rsidRDefault="00F118BB" w:rsidP="00226369">
      <w:pPr>
        <w:jc w:val="both"/>
        <w:rPr>
          <w:sz w:val="22"/>
          <w:szCs w:val="22"/>
          <w:lang w:val="sr-Latn-ME"/>
        </w:rPr>
      </w:pPr>
    </w:p>
    <w:p w14:paraId="5072FDEF" w14:textId="53D379E5" w:rsidR="00F118BB" w:rsidRPr="009C58C4" w:rsidRDefault="00F118BB" w:rsidP="00226369">
      <w:pPr>
        <w:ind w:right="-2"/>
        <w:jc w:val="both"/>
        <w:rPr>
          <w:color w:val="000000"/>
          <w:sz w:val="22"/>
          <w:szCs w:val="22"/>
          <w:lang w:val="sr-Latn-ME"/>
        </w:rPr>
      </w:pPr>
      <w:bookmarkStart w:id="30" w:name="_Hlk134426313"/>
      <w:r w:rsidRPr="009C58C4">
        <w:rPr>
          <w:color w:val="000000"/>
          <w:sz w:val="22"/>
          <w:szCs w:val="22"/>
          <w:lang w:val="sr-Latn-ME"/>
        </w:rPr>
        <w:t>U pivotalnom pedijatrijskom ispitivanju, geometrijska srednja vrijednost (%CV) Cmax i PIK</w:t>
      </w:r>
      <w:r w:rsidRPr="009C58C4">
        <w:rPr>
          <w:color w:val="000000"/>
          <w:sz w:val="22"/>
          <w:szCs w:val="22"/>
          <w:vertAlign w:val="subscript"/>
          <w:lang w:val="sr-Latn-ME"/>
        </w:rPr>
        <w:t>tau</w:t>
      </w:r>
      <w:r w:rsidRPr="009C58C4" w:rsidDel="005122B7">
        <w:rPr>
          <w:color w:val="000000"/>
          <w:sz w:val="22"/>
          <w:szCs w:val="22"/>
          <w:vertAlign w:val="subscript"/>
          <w:lang w:val="sr-Latn-ME"/>
        </w:rPr>
        <w:t xml:space="preserve"> </w:t>
      </w:r>
      <w:r w:rsidRPr="009C58C4">
        <w:rPr>
          <w:color w:val="000000"/>
          <w:sz w:val="22"/>
          <w:szCs w:val="22"/>
          <w:lang w:val="sr-Latn-ME"/>
        </w:rPr>
        <w:t>u stanju dinamičke ravnoteže bila je 22,7 ng/</w:t>
      </w:r>
      <w:r w:rsidR="006656BE" w:rsidRPr="009C58C4">
        <w:rPr>
          <w:color w:val="000000"/>
          <w:sz w:val="22"/>
          <w:szCs w:val="22"/>
          <w:lang w:val="sr-Latn-ME"/>
        </w:rPr>
        <w:t>ml</w:t>
      </w:r>
      <w:r w:rsidRPr="009C58C4">
        <w:rPr>
          <w:color w:val="000000"/>
          <w:sz w:val="22"/>
          <w:szCs w:val="22"/>
          <w:lang w:val="sr-Latn-ME"/>
        </w:rPr>
        <w:t xml:space="preserve"> (41,1 %) i 339 ng*hr/</w:t>
      </w:r>
      <w:r w:rsidR="006656BE" w:rsidRPr="009C58C4">
        <w:rPr>
          <w:color w:val="000000"/>
          <w:sz w:val="22"/>
          <w:szCs w:val="22"/>
          <w:lang w:val="sr-Latn-ME"/>
        </w:rPr>
        <w:t>ml</w:t>
      </w:r>
      <w:r w:rsidRPr="009C58C4">
        <w:rPr>
          <w:color w:val="000000"/>
          <w:sz w:val="22"/>
          <w:szCs w:val="22"/>
          <w:lang w:val="sr-Latn-ME"/>
        </w:rPr>
        <w:t xml:space="preserve"> (22,2 %) u kohorti LGG odnosno 21,3 ng/</w:t>
      </w:r>
      <w:r w:rsidR="006656BE" w:rsidRPr="009C58C4">
        <w:rPr>
          <w:color w:val="000000"/>
          <w:sz w:val="22"/>
          <w:szCs w:val="22"/>
          <w:lang w:val="sr-Latn-ME"/>
        </w:rPr>
        <w:t>ml</w:t>
      </w:r>
      <w:r w:rsidRPr="009C58C4">
        <w:rPr>
          <w:color w:val="000000"/>
          <w:sz w:val="22"/>
          <w:szCs w:val="22"/>
          <w:lang w:val="sr-Latn-ME"/>
        </w:rPr>
        <w:t xml:space="preserve"> (36,3 %) i 307 ng*hr/</w:t>
      </w:r>
      <w:r w:rsidR="006656BE" w:rsidRPr="009C58C4">
        <w:rPr>
          <w:color w:val="000000"/>
          <w:sz w:val="22"/>
          <w:szCs w:val="22"/>
          <w:lang w:val="sr-Latn-ME"/>
        </w:rPr>
        <w:t>ml</w:t>
      </w:r>
      <w:r w:rsidRPr="009C58C4">
        <w:rPr>
          <w:color w:val="000000"/>
          <w:sz w:val="22"/>
          <w:szCs w:val="22"/>
          <w:lang w:val="sr-Latn-ME"/>
        </w:rPr>
        <w:t xml:space="preserve"> (22,8 %) u kohorti HGG.</w:t>
      </w:r>
    </w:p>
    <w:bookmarkEnd w:id="30"/>
    <w:p w14:paraId="66849DDA" w14:textId="77777777" w:rsidR="00F118BB" w:rsidRPr="009C58C4" w:rsidRDefault="00F118BB" w:rsidP="00226369">
      <w:pPr>
        <w:jc w:val="both"/>
        <w:rPr>
          <w:sz w:val="22"/>
          <w:szCs w:val="22"/>
          <w:lang w:val="sr-Latn-ME"/>
        </w:rPr>
      </w:pPr>
    </w:p>
    <w:p w14:paraId="08A8A0D8" w14:textId="17EC86C9" w:rsidR="00F118BB" w:rsidRPr="009C58C4" w:rsidRDefault="00F118BB" w:rsidP="00226369">
      <w:pPr>
        <w:jc w:val="both"/>
        <w:rPr>
          <w:sz w:val="22"/>
          <w:szCs w:val="22"/>
          <w:lang w:val="sr-Latn-ME"/>
        </w:rPr>
      </w:pPr>
      <w:r w:rsidRPr="009C58C4">
        <w:rPr>
          <w:sz w:val="22"/>
          <w:szCs w:val="22"/>
          <w:lang w:val="sr-Latn-ME"/>
        </w:rPr>
        <w:t xml:space="preserve">Trametinib se akumulira kod ponovljenog doziranja jedanput dnevno. Uočena je srednja </w:t>
      </w:r>
      <w:r w:rsidR="00F46CDF" w:rsidRPr="009C58C4">
        <w:rPr>
          <w:sz w:val="22"/>
          <w:szCs w:val="22"/>
          <w:lang w:val="sr-Latn-ME"/>
        </w:rPr>
        <w:t>vrijednost</w:t>
      </w:r>
      <w:r w:rsidRPr="009C58C4">
        <w:rPr>
          <w:sz w:val="22"/>
          <w:szCs w:val="22"/>
          <w:lang w:val="sr-Latn-ME"/>
        </w:rPr>
        <w:t xml:space="preserve"> akumulacije od 6,0 pri dozi od 2 mg jedanput dnevno za formulaciju tablete. Stanje dinamičke ravnoteže postignuto je do 15. dana.</w:t>
      </w:r>
    </w:p>
    <w:p w14:paraId="482F407B" w14:textId="77777777" w:rsidR="00F118BB" w:rsidRPr="009C58C4" w:rsidRDefault="00F118BB" w:rsidP="00226369">
      <w:pPr>
        <w:numPr>
          <w:ilvl w:val="12"/>
          <w:numId w:val="0"/>
        </w:numPr>
        <w:jc w:val="both"/>
        <w:rPr>
          <w:iCs/>
          <w:sz w:val="22"/>
          <w:szCs w:val="22"/>
          <w:lang w:val="sr-Latn-ME"/>
        </w:rPr>
      </w:pPr>
    </w:p>
    <w:p w14:paraId="57C9897F" w14:textId="77777777" w:rsidR="00F118BB" w:rsidRPr="009C58C4" w:rsidRDefault="00F118BB" w:rsidP="00226369">
      <w:pPr>
        <w:keepNext/>
        <w:jc w:val="both"/>
        <w:rPr>
          <w:rFonts w:eastAsia="Verdana"/>
          <w:i/>
          <w:iCs/>
          <w:sz w:val="22"/>
          <w:szCs w:val="22"/>
          <w:u w:val="single"/>
          <w:lang w:val="sr-Latn-ME" w:eastAsia="en-GB"/>
        </w:rPr>
      </w:pPr>
      <w:r w:rsidRPr="009C58C4">
        <w:rPr>
          <w:rFonts w:eastAsia="Verdana"/>
          <w:i/>
          <w:iCs/>
          <w:sz w:val="22"/>
          <w:szCs w:val="22"/>
          <w:u w:val="single"/>
          <w:lang w:val="sr-Latn-ME" w:eastAsia="en-GB"/>
        </w:rPr>
        <w:t>Uticaj hrane</w:t>
      </w:r>
    </w:p>
    <w:p w14:paraId="69ACACAB" w14:textId="44F06F7C" w:rsidR="00F118BB" w:rsidRPr="009C58C4" w:rsidRDefault="00F118BB" w:rsidP="00226369">
      <w:pPr>
        <w:jc w:val="both"/>
        <w:rPr>
          <w:sz w:val="22"/>
          <w:szCs w:val="22"/>
          <w:lang w:val="sr-Latn-ME"/>
        </w:rPr>
      </w:pPr>
      <w:r w:rsidRPr="009C58C4">
        <w:rPr>
          <w:sz w:val="22"/>
          <w:szCs w:val="22"/>
          <w:lang w:val="sr-Latn-ME"/>
        </w:rPr>
        <w:t xml:space="preserve">Uticaj hrane na farmakokinetiku rekonstituiranog oralnog rastvora nije ispitivan. </w:t>
      </w:r>
      <w:r w:rsidR="007F2563" w:rsidRPr="009C58C4">
        <w:rPr>
          <w:sz w:val="22"/>
          <w:szCs w:val="22"/>
          <w:lang w:val="sr-Latn-ME"/>
        </w:rPr>
        <w:t>Primjen</w:t>
      </w:r>
      <w:r w:rsidRPr="009C58C4">
        <w:rPr>
          <w:sz w:val="22"/>
          <w:szCs w:val="22"/>
          <w:lang w:val="sr-Latn-ME"/>
        </w:rPr>
        <w:t>a jedne doze trametiniba (u formulaciji tablete) uz visokokaloričan obrok s</w:t>
      </w:r>
      <w:r w:rsidR="00EB19E9" w:rsidRPr="009C58C4">
        <w:rPr>
          <w:sz w:val="22"/>
          <w:szCs w:val="22"/>
          <w:lang w:val="sr-Latn-ME"/>
        </w:rPr>
        <w:t>a</w:t>
      </w:r>
      <w:r w:rsidRPr="009C58C4">
        <w:rPr>
          <w:sz w:val="22"/>
          <w:szCs w:val="22"/>
          <w:lang w:val="sr-Latn-ME"/>
        </w:rPr>
        <w:t xml:space="preserve"> visokim ud</w:t>
      </w:r>
      <w:r w:rsidR="00E32D08" w:rsidRPr="009C58C4">
        <w:rPr>
          <w:sz w:val="22"/>
          <w:szCs w:val="22"/>
          <w:lang w:val="sr-Latn-ME"/>
        </w:rPr>
        <w:t>j</w:t>
      </w:r>
      <w:r w:rsidRPr="009C58C4">
        <w:rPr>
          <w:sz w:val="22"/>
          <w:szCs w:val="22"/>
          <w:lang w:val="sr-Latn-ME"/>
        </w:rPr>
        <w:t>elom masti rezultirala je smanjenjem C</w:t>
      </w:r>
      <w:r w:rsidRPr="009C58C4">
        <w:rPr>
          <w:sz w:val="22"/>
          <w:szCs w:val="22"/>
          <w:vertAlign w:val="subscript"/>
          <w:lang w:val="sr-Latn-ME"/>
        </w:rPr>
        <w:t>max</w:t>
      </w:r>
      <w:r w:rsidRPr="009C58C4">
        <w:rPr>
          <w:sz w:val="22"/>
          <w:szCs w:val="22"/>
          <w:lang w:val="sr-Latn-ME"/>
        </w:rPr>
        <w:t xml:space="preserve"> od 70 %, odnosno PIK-a od 10 % u poređenju sa uslovima natašte.</w:t>
      </w:r>
    </w:p>
    <w:p w14:paraId="20690CAA" w14:textId="77777777" w:rsidR="00F118BB" w:rsidRPr="009C58C4" w:rsidRDefault="00F118BB" w:rsidP="00226369">
      <w:pPr>
        <w:numPr>
          <w:ilvl w:val="12"/>
          <w:numId w:val="0"/>
        </w:numPr>
        <w:jc w:val="both"/>
        <w:rPr>
          <w:iCs/>
          <w:sz w:val="22"/>
          <w:szCs w:val="22"/>
          <w:lang w:val="sr-Latn-ME"/>
        </w:rPr>
      </w:pPr>
    </w:p>
    <w:p w14:paraId="7917A8DA" w14:textId="77777777" w:rsidR="00F118BB" w:rsidRPr="009C58C4" w:rsidRDefault="00F118BB" w:rsidP="00226369">
      <w:pPr>
        <w:keepNext/>
        <w:numPr>
          <w:ilvl w:val="12"/>
          <w:numId w:val="0"/>
        </w:numPr>
        <w:jc w:val="both"/>
        <w:rPr>
          <w:iCs/>
          <w:sz w:val="22"/>
          <w:szCs w:val="22"/>
          <w:u w:val="single"/>
          <w:lang w:val="sr-Latn-ME"/>
        </w:rPr>
      </w:pPr>
      <w:r w:rsidRPr="009C58C4">
        <w:rPr>
          <w:iCs/>
          <w:sz w:val="22"/>
          <w:szCs w:val="22"/>
          <w:u w:val="single"/>
          <w:lang w:val="sr-Latn-ME"/>
        </w:rPr>
        <w:t>Distribucija</w:t>
      </w:r>
    </w:p>
    <w:p w14:paraId="1BB59DE5" w14:textId="77777777" w:rsidR="00F118BB" w:rsidRPr="009C58C4" w:rsidRDefault="00F118BB" w:rsidP="00226369">
      <w:pPr>
        <w:keepNext/>
        <w:numPr>
          <w:ilvl w:val="12"/>
          <w:numId w:val="0"/>
        </w:numPr>
        <w:jc w:val="both"/>
        <w:rPr>
          <w:iCs/>
          <w:sz w:val="22"/>
          <w:szCs w:val="22"/>
          <w:lang w:val="sr-Latn-ME"/>
        </w:rPr>
      </w:pPr>
    </w:p>
    <w:p w14:paraId="217726D8" w14:textId="0BAC11F6" w:rsidR="00F118BB" w:rsidRPr="009C58C4" w:rsidRDefault="00F118BB" w:rsidP="00226369">
      <w:pPr>
        <w:numPr>
          <w:ilvl w:val="12"/>
          <w:numId w:val="0"/>
        </w:numPr>
        <w:jc w:val="both"/>
        <w:rPr>
          <w:iCs/>
          <w:sz w:val="22"/>
          <w:szCs w:val="22"/>
          <w:lang w:val="sr-Latn-ME"/>
        </w:rPr>
      </w:pPr>
      <w:r w:rsidRPr="009C58C4">
        <w:rPr>
          <w:iCs/>
          <w:sz w:val="22"/>
          <w:szCs w:val="22"/>
          <w:lang w:val="sr-Latn-ME"/>
        </w:rPr>
        <w:t>Vezanje trametiniba za proteine u ljudskoj plazmi iznosi 97,4 %. Volumen distribucije trametiniba iznosi približno 1200 L, što je izm</w:t>
      </w:r>
      <w:r w:rsidR="00E32D08" w:rsidRPr="009C58C4">
        <w:rPr>
          <w:iCs/>
          <w:sz w:val="22"/>
          <w:szCs w:val="22"/>
          <w:lang w:val="sr-Latn-ME"/>
        </w:rPr>
        <w:t>j</w:t>
      </w:r>
      <w:r w:rsidRPr="009C58C4">
        <w:rPr>
          <w:iCs/>
          <w:sz w:val="22"/>
          <w:szCs w:val="22"/>
          <w:lang w:val="sr-Latn-ME"/>
        </w:rPr>
        <w:t xml:space="preserve">ereno nakon </w:t>
      </w:r>
      <w:r w:rsidR="007F2563" w:rsidRPr="009C58C4">
        <w:rPr>
          <w:iCs/>
          <w:sz w:val="22"/>
          <w:szCs w:val="22"/>
          <w:lang w:val="sr-Latn-ME"/>
        </w:rPr>
        <w:t>primjen</w:t>
      </w:r>
      <w:r w:rsidRPr="009C58C4">
        <w:rPr>
          <w:iCs/>
          <w:sz w:val="22"/>
          <w:szCs w:val="22"/>
          <w:lang w:val="sr-Latn-ME"/>
        </w:rPr>
        <w:t>e intravenske mikrodoze od 5 μg.</w:t>
      </w:r>
    </w:p>
    <w:p w14:paraId="7319FF56" w14:textId="77777777" w:rsidR="00F118BB" w:rsidRPr="009C58C4" w:rsidRDefault="00F118BB" w:rsidP="00226369">
      <w:pPr>
        <w:numPr>
          <w:ilvl w:val="12"/>
          <w:numId w:val="0"/>
        </w:numPr>
        <w:jc w:val="both"/>
        <w:rPr>
          <w:iCs/>
          <w:sz w:val="22"/>
          <w:szCs w:val="22"/>
          <w:lang w:val="sr-Latn-ME"/>
        </w:rPr>
      </w:pPr>
    </w:p>
    <w:p w14:paraId="47658266" w14:textId="77777777" w:rsidR="00F118BB" w:rsidRPr="009C58C4" w:rsidRDefault="00F118BB" w:rsidP="00226369">
      <w:pPr>
        <w:keepNext/>
        <w:numPr>
          <w:ilvl w:val="12"/>
          <w:numId w:val="0"/>
        </w:numPr>
        <w:jc w:val="both"/>
        <w:rPr>
          <w:iCs/>
          <w:sz w:val="22"/>
          <w:szCs w:val="22"/>
          <w:u w:val="single"/>
          <w:lang w:val="sr-Latn-ME"/>
        </w:rPr>
      </w:pPr>
      <w:r w:rsidRPr="009C58C4">
        <w:rPr>
          <w:iCs/>
          <w:sz w:val="22"/>
          <w:szCs w:val="22"/>
          <w:u w:val="single"/>
          <w:lang w:val="sr-Latn-ME"/>
        </w:rPr>
        <w:t>Biotransformacija</w:t>
      </w:r>
    </w:p>
    <w:p w14:paraId="1C485C26" w14:textId="77777777" w:rsidR="00F118BB" w:rsidRPr="009C58C4" w:rsidRDefault="00F118BB" w:rsidP="00226369">
      <w:pPr>
        <w:keepNext/>
        <w:numPr>
          <w:ilvl w:val="12"/>
          <w:numId w:val="0"/>
        </w:numPr>
        <w:jc w:val="both"/>
        <w:rPr>
          <w:iCs/>
          <w:sz w:val="22"/>
          <w:szCs w:val="22"/>
          <w:lang w:val="sr-Latn-ME"/>
        </w:rPr>
      </w:pPr>
    </w:p>
    <w:p w14:paraId="1F03D029" w14:textId="0659B232" w:rsidR="00F118BB" w:rsidRPr="009C58C4" w:rsidRDefault="00F118BB" w:rsidP="00226369">
      <w:pPr>
        <w:numPr>
          <w:ilvl w:val="12"/>
          <w:numId w:val="0"/>
        </w:numPr>
        <w:jc w:val="both"/>
        <w:rPr>
          <w:sz w:val="22"/>
          <w:szCs w:val="22"/>
          <w:lang w:val="sr-Latn-ME"/>
        </w:rPr>
      </w:pPr>
      <w:r w:rsidRPr="009C58C4">
        <w:rPr>
          <w:sz w:val="22"/>
          <w:szCs w:val="22"/>
          <w:lang w:val="sr-Latn-ME"/>
        </w:rPr>
        <w:t xml:space="preserve">Ispitivanja </w:t>
      </w:r>
      <w:r w:rsidRPr="009C58C4">
        <w:rPr>
          <w:i/>
          <w:iCs/>
          <w:sz w:val="22"/>
          <w:szCs w:val="22"/>
          <w:lang w:val="sr-Latn-ME"/>
        </w:rPr>
        <w:t xml:space="preserve">in vitro </w:t>
      </w:r>
      <w:r w:rsidRPr="009C58C4">
        <w:rPr>
          <w:sz w:val="22"/>
          <w:szCs w:val="22"/>
          <w:lang w:val="sr-Latn-ME"/>
        </w:rPr>
        <w:t xml:space="preserve">i </w:t>
      </w:r>
      <w:r w:rsidRPr="009C58C4">
        <w:rPr>
          <w:i/>
          <w:iCs/>
          <w:sz w:val="22"/>
          <w:szCs w:val="22"/>
          <w:lang w:val="sr-Latn-ME"/>
        </w:rPr>
        <w:t xml:space="preserve">in vivo </w:t>
      </w:r>
      <w:r w:rsidRPr="009C58C4">
        <w:rPr>
          <w:sz w:val="22"/>
          <w:szCs w:val="22"/>
          <w:lang w:val="sr-Latn-ME"/>
        </w:rPr>
        <w:t>pokazala su da se trametinib prvenstveno metaboliše deacetilacijom, samom ili u kombinaciji uz monooksigenaciju. Deacetilirani metabolit je dalje metabolizovan glukuronidacijom. Oksidacija putem CYP3A4 smatra se sporednim metaboličkim putem. Deacetilacija je posredovana karboksilesterazama 1b, 1c i 2, s</w:t>
      </w:r>
      <w:r w:rsidR="00C97935" w:rsidRPr="009C58C4">
        <w:rPr>
          <w:sz w:val="22"/>
          <w:szCs w:val="22"/>
          <w:lang w:val="sr-Latn-ME"/>
        </w:rPr>
        <w:t>a</w:t>
      </w:r>
      <w:r w:rsidRPr="009C58C4">
        <w:rPr>
          <w:sz w:val="22"/>
          <w:szCs w:val="22"/>
          <w:lang w:val="sr-Latn-ME"/>
        </w:rPr>
        <w:t xml:space="preserve"> mogućim doprinosom drugih hidrolitičkih enzima.</w:t>
      </w:r>
    </w:p>
    <w:p w14:paraId="70556AC4" w14:textId="77777777" w:rsidR="00F118BB" w:rsidRPr="009C58C4" w:rsidRDefault="00F118BB" w:rsidP="00226369">
      <w:pPr>
        <w:numPr>
          <w:ilvl w:val="12"/>
          <w:numId w:val="0"/>
        </w:numPr>
        <w:jc w:val="both"/>
        <w:rPr>
          <w:iCs/>
          <w:sz w:val="22"/>
          <w:szCs w:val="22"/>
          <w:lang w:val="sr-Latn-ME"/>
        </w:rPr>
      </w:pPr>
    </w:p>
    <w:p w14:paraId="17EDD20C" w14:textId="77777777" w:rsidR="00F118BB" w:rsidRPr="009C58C4" w:rsidRDefault="00F118BB" w:rsidP="00226369">
      <w:pPr>
        <w:numPr>
          <w:ilvl w:val="12"/>
          <w:numId w:val="0"/>
        </w:numPr>
        <w:jc w:val="both"/>
        <w:rPr>
          <w:iCs/>
          <w:sz w:val="22"/>
          <w:szCs w:val="22"/>
          <w:lang w:val="sr-Latn-ME"/>
        </w:rPr>
      </w:pPr>
      <w:r w:rsidRPr="009C58C4">
        <w:rPr>
          <w:iCs/>
          <w:sz w:val="22"/>
          <w:szCs w:val="22"/>
          <w:lang w:val="sr-Latn-ME"/>
        </w:rPr>
        <w:t>Nakon jednokratnog i ponovljenog doziranja trametiniba, glavna cirkulišuća komponenta u plazmi je trametinib u neizmenjenom obliku.</w:t>
      </w:r>
    </w:p>
    <w:p w14:paraId="199FDF1E" w14:textId="77777777" w:rsidR="00F118BB" w:rsidRPr="009C58C4" w:rsidRDefault="00F118BB" w:rsidP="00226369">
      <w:pPr>
        <w:numPr>
          <w:ilvl w:val="12"/>
          <w:numId w:val="0"/>
        </w:numPr>
        <w:jc w:val="both"/>
        <w:rPr>
          <w:iCs/>
          <w:sz w:val="22"/>
          <w:szCs w:val="22"/>
          <w:lang w:val="sr-Latn-ME"/>
        </w:rPr>
      </w:pPr>
    </w:p>
    <w:p w14:paraId="253F43B0" w14:textId="77777777" w:rsidR="00F118BB" w:rsidRPr="009C58C4" w:rsidRDefault="00F118BB" w:rsidP="00226369">
      <w:pPr>
        <w:keepNext/>
        <w:jc w:val="both"/>
        <w:rPr>
          <w:sz w:val="22"/>
          <w:szCs w:val="22"/>
          <w:u w:val="single"/>
          <w:lang w:val="sr-Latn-ME"/>
        </w:rPr>
      </w:pPr>
      <w:r w:rsidRPr="009C58C4">
        <w:rPr>
          <w:sz w:val="22"/>
          <w:szCs w:val="22"/>
          <w:u w:val="single"/>
          <w:lang w:val="sr-Latn-ME"/>
        </w:rPr>
        <w:t>Eliminacija</w:t>
      </w:r>
    </w:p>
    <w:p w14:paraId="07147CD9" w14:textId="77777777" w:rsidR="00F118BB" w:rsidRPr="009C58C4" w:rsidRDefault="00F118BB" w:rsidP="00226369">
      <w:pPr>
        <w:keepNext/>
        <w:numPr>
          <w:ilvl w:val="12"/>
          <w:numId w:val="0"/>
        </w:numPr>
        <w:jc w:val="both"/>
        <w:rPr>
          <w:iCs/>
          <w:sz w:val="22"/>
          <w:szCs w:val="22"/>
          <w:lang w:val="sr-Latn-ME"/>
        </w:rPr>
      </w:pPr>
    </w:p>
    <w:p w14:paraId="3806565E" w14:textId="3A73F92A" w:rsidR="00F118BB" w:rsidRPr="009C58C4" w:rsidRDefault="00F118BB" w:rsidP="00226369">
      <w:pPr>
        <w:jc w:val="both"/>
        <w:rPr>
          <w:sz w:val="22"/>
          <w:szCs w:val="22"/>
          <w:lang w:val="sr-Latn-ME"/>
        </w:rPr>
      </w:pPr>
      <w:r w:rsidRPr="009C58C4">
        <w:rPr>
          <w:sz w:val="22"/>
          <w:szCs w:val="22"/>
          <w:lang w:val="sr-Latn-ME"/>
        </w:rPr>
        <w:t>Terminalno poluvr</w:t>
      </w:r>
      <w:r w:rsidR="00E32D08" w:rsidRPr="009C58C4">
        <w:rPr>
          <w:sz w:val="22"/>
          <w:szCs w:val="22"/>
          <w:lang w:val="sr-Latn-ME"/>
        </w:rPr>
        <w:t>ij</w:t>
      </w:r>
      <w:r w:rsidRPr="009C58C4">
        <w:rPr>
          <w:sz w:val="22"/>
          <w:szCs w:val="22"/>
          <w:lang w:val="sr-Latn-ME"/>
        </w:rPr>
        <w:t xml:space="preserve">eme eliminacije nakon </w:t>
      </w:r>
      <w:r w:rsidR="007F2563" w:rsidRPr="009C58C4">
        <w:rPr>
          <w:sz w:val="22"/>
          <w:szCs w:val="22"/>
          <w:lang w:val="sr-Latn-ME"/>
        </w:rPr>
        <w:t>primjen</w:t>
      </w:r>
      <w:r w:rsidRPr="009C58C4">
        <w:rPr>
          <w:sz w:val="22"/>
          <w:szCs w:val="22"/>
          <w:lang w:val="sr-Latn-ME"/>
        </w:rPr>
        <w:t xml:space="preserve">e jedne doze iznosi 127 sati (5,3 dana). Prividni klirens trametiniba kod pedijatrijskih pacijenata (medijana </w:t>
      </w:r>
      <w:r w:rsidR="00F46CDF" w:rsidRPr="009C58C4">
        <w:rPr>
          <w:sz w:val="22"/>
          <w:szCs w:val="22"/>
          <w:lang w:val="sr-Latn-ME"/>
        </w:rPr>
        <w:t>tjeles</w:t>
      </w:r>
      <w:r w:rsidRPr="009C58C4">
        <w:rPr>
          <w:sz w:val="22"/>
          <w:szCs w:val="22"/>
          <w:lang w:val="sr-Latn-ME"/>
        </w:rPr>
        <w:t>ne mase: 32,85 kg) bila je 3,44 L/h (CV od 20 %).</w:t>
      </w:r>
    </w:p>
    <w:p w14:paraId="662C1D34" w14:textId="77777777" w:rsidR="00F118BB" w:rsidRPr="009C58C4" w:rsidRDefault="00F118BB" w:rsidP="00226369">
      <w:pPr>
        <w:numPr>
          <w:ilvl w:val="12"/>
          <w:numId w:val="0"/>
        </w:numPr>
        <w:jc w:val="both"/>
        <w:rPr>
          <w:iCs/>
          <w:sz w:val="22"/>
          <w:szCs w:val="22"/>
          <w:lang w:val="sr-Latn-ME"/>
        </w:rPr>
      </w:pPr>
    </w:p>
    <w:p w14:paraId="4569318D" w14:textId="67167864" w:rsidR="00F118BB" w:rsidRPr="009C58C4" w:rsidRDefault="00F118BB" w:rsidP="00226369">
      <w:pPr>
        <w:numPr>
          <w:ilvl w:val="12"/>
          <w:numId w:val="0"/>
        </w:numPr>
        <w:jc w:val="both"/>
        <w:rPr>
          <w:iCs/>
          <w:sz w:val="22"/>
          <w:szCs w:val="22"/>
          <w:lang w:val="sr-Latn-ME"/>
        </w:rPr>
      </w:pPr>
      <w:r w:rsidRPr="009C58C4">
        <w:rPr>
          <w:iCs/>
          <w:sz w:val="22"/>
          <w:szCs w:val="22"/>
          <w:lang w:val="sr-Latn-ME"/>
        </w:rPr>
        <w:t xml:space="preserve">Nakon </w:t>
      </w:r>
      <w:r w:rsidR="007F2563" w:rsidRPr="009C58C4">
        <w:rPr>
          <w:iCs/>
          <w:sz w:val="22"/>
          <w:szCs w:val="22"/>
          <w:lang w:val="sr-Latn-ME"/>
        </w:rPr>
        <w:t>primjen</w:t>
      </w:r>
      <w:r w:rsidRPr="009C58C4">
        <w:rPr>
          <w:iCs/>
          <w:sz w:val="22"/>
          <w:szCs w:val="22"/>
          <w:lang w:val="sr-Latn-ME"/>
        </w:rPr>
        <w:t>e jedne radioaktivno označene doze trametiniba u obliku rastvora, pronađena je mala količina ukupne doze nakon 10-dnevnog razdoblja prikupljanja (&lt; 50 %), što je posl</w:t>
      </w:r>
      <w:r w:rsidR="00E32D08" w:rsidRPr="009C58C4">
        <w:rPr>
          <w:iCs/>
          <w:sz w:val="22"/>
          <w:szCs w:val="22"/>
          <w:lang w:val="sr-Latn-ME"/>
        </w:rPr>
        <w:t>j</w:t>
      </w:r>
      <w:r w:rsidRPr="009C58C4">
        <w:rPr>
          <w:iCs/>
          <w:sz w:val="22"/>
          <w:szCs w:val="22"/>
          <w:lang w:val="sr-Latn-ME"/>
        </w:rPr>
        <w:t>edica dugog poluvremena eliminacije. Jedinjenja koji potiču od trametiniba se pretežno izlučuju u stolicu (&gt; 80 % pronađene radioaktivnosti) i manjim d</w:t>
      </w:r>
      <w:r w:rsidR="00E32D08" w:rsidRPr="009C58C4">
        <w:rPr>
          <w:iCs/>
          <w:sz w:val="22"/>
          <w:szCs w:val="22"/>
          <w:lang w:val="sr-Latn-ME"/>
        </w:rPr>
        <w:t>ij</w:t>
      </w:r>
      <w:r w:rsidRPr="009C58C4">
        <w:rPr>
          <w:iCs/>
          <w:sz w:val="22"/>
          <w:szCs w:val="22"/>
          <w:lang w:val="sr-Latn-ME"/>
        </w:rPr>
        <w:t>elom u urin (&lt; 19 %). Manje od 0,1 % izlučene doze pronađeno je u neizm</w:t>
      </w:r>
      <w:r w:rsidR="00E32D08" w:rsidRPr="009C58C4">
        <w:rPr>
          <w:iCs/>
          <w:sz w:val="22"/>
          <w:szCs w:val="22"/>
          <w:lang w:val="sr-Latn-ME"/>
        </w:rPr>
        <w:t>ij</w:t>
      </w:r>
      <w:r w:rsidRPr="009C58C4">
        <w:rPr>
          <w:iCs/>
          <w:sz w:val="22"/>
          <w:szCs w:val="22"/>
          <w:lang w:val="sr-Latn-ME"/>
        </w:rPr>
        <w:t>enjenom obliku u mokraći.</w:t>
      </w:r>
    </w:p>
    <w:p w14:paraId="6F9ECA02" w14:textId="77777777" w:rsidR="00F118BB" w:rsidRPr="009C58C4" w:rsidRDefault="00F118BB" w:rsidP="00226369">
      <w:pPr>
        <w:numPr>
          <w:ilvl w:val="12"/>
          <w:numId w:val="0"/>
        </w:numPr>
        <w:jc w:val="both"/>
        <w:rPr>
          <w:iCs/>
          <w:sz w:val="22"/>
          <w:szCs w:val="22"/>
          <w:lang w:val="sr-Latn-ME"/>
        </w:rPr>
      </w:pPr>
    </w:p>
    <w:p w14:paraId="39B89C1F" w14:textId="4D341C94" w:rsidR="00F118BB" w:rsidRPr="009C58C4" w:rsidRDefault="00F118BB" w:rsidP="00226369">
      <w:pPr>
        <w:keepNext/>
        <w:jc w:val="both"/>
        <w:rPr>
          <w:sz w:val="22"/>
          <w:szCs w:val="22"/>
          <w:u w:val="single"/>
          <w:lang w:val="sr-Latn-ME"/>
        </w:rPr>
      </w:pPr>
      <w:r w:rsidRPr="009C58C4">
        <w:rPr>
          <w:sz w:val="22"/>
          <w:szCs w:val="22"/>
          <w:u w:val="single"/>
          <w:lang w:val="sr-Latn-ME"/>
        </w:rPr>
        <w:t xml:space="preserve">Interakcije </w:t>
      </w:r>
      <w:r w:rsidR="007F2563" w:rsidRPr="009C58C4">
        <w:rPr>
          <w:sz w:val="22"/>
          <w:szCs w:val="22"/>
          <w:u w:val="single"/>
          <w:lang w:val="sr-Latn-ME"/>
        </w:rPr>
        <w:t>ljek</w:t>
      </w:r>
      <w:r w:rsidRPr="009C58C4">
        <w:rPr>
          <w:sz w:val="22"/>
          <w:szCs w:val="22"/>
          <w:u w:val="single"/>
          <w:lang w:val="sr-Latn-ME"/>
        </w:rPr>
        <w:t>ova</w:t>
      </w:r>
    </w:p>
    <w:p w14:paraId="7A4A3297" w14:textId="77777777" w:rsidR="00F118BB" w:rsidRPr="009C58C4" w:rsidRDefault="00F118BB" w:rsidP="00226369">
      <w:pPr>
        <w:keepNext/>
        <w:jc w:val="both"/>
        <w:rPr>
          <w:bCs/>
          <w:sz w:val="22"/>
          <w:szCs w:val="22"/>
          <w:lang w:val="sr-Latn-ME"/>
        </w:rPr>
      </w:pPr>
    </w:p>
    <w:p w14:paraId="0B83C930" w14:textId="2626FFD8" w:rsidR="00F118BB" w:rsidRPr="009C58C4" w:rsidRDefault="00F118BB" w:rsidP="00226369">
      <w:pPr>
        <w:keepNext/>
        <w:keepLines/>
        <w:numPr>
          <w:ilvl w:val="12"/>
          <w:numId w:val="0"/>
        </w:numPr>
        <w:jc w:val="both"/>
        <w:rPr>
          <w:i/>
          <w:sz w:val="22"/>
          <w:szCs w:val="22"/>
          <w:u w:val="single"/>
          <w:lang w:val="sr-Latn-ME"/>
        </w:rPr>
      </w:pPr>
      <w:r w:rsidRPr="009C58C4">
        <w:rPr>
          <w:i/>
          <w:sz w:val="22"/>
          <w:szCs w:val="22"/>
          <w:u w:val="single"/>
          <w:lang w:val="sr-Latn-ME"/>
        </w:rPr>
        <w:t xml:space="preserve">Uticaj trametiniba na enzime i transportere koji metabolišu </w:t>
      </w:r>
      <w:r w:rsidR="007F2563" w:rsidRPr="009C58C4">
        <w:rPr>
          <w:i/>
          <w:sz w:val="22"/>
          <w:szCs w:val="22"/>
          <w:u w:val="single"/>
          <w:lang w:val="sr-Latn-ME"/>
        </w:rPr>
        <w:t>ljek</w:t>
      </w:r>
      <w:r w:rsidRPr="009C58C4">
        <w:rPr>
          <w:i/>
          <w:sz w:val="22"/>
          <w:szCs w:val="22"/>
          <w:u w:val="single"/>
          <w:lang w:val="sr-Latn-ME"/>
        </w:rPr>
        <w:t>ove</w:t>
      </w:r>
    </w:p>
    <w:p w14:paraId="59C9F381" w14:textId="57C47A8A" w:rsidR="00F118BB" w:rsidRPr="009C58C4" w:rsidRDefault="00F118BB" w:rsidP="00226369">
      <w:pPr>
        <w:numPr>
          <w:ilvl w:val="12"/>
          <w:numId w:val="0"/>
        </w:numPr>
        <w:jc w:val="both"/>
        <w:rPr>
          <w:iCs/>
          <w:sz w:val="22"/>
          <w:szCs w:val="22"/>
          <w:lang w:val="sr-Latn-ME"/>
        </w:rPr>
      </w:pPr>
      <w:r w:rsidRPr="009C58C4">
        <w:rPr>
          <w:i/>
          <w:iCs/>
          <w:sz w:val="22"/>
          <w:szCs w:val="22"/>
          <w:lang w:val="sr-Latn-ME"/>
        </w:rPr>
        <w:t xml:space="preserve">In vitro </w:t>
      </w:r>
      <w:r w:rsidRPr="009C58C4">
        <w:rPr>
          <w:iCs/>
          <w:sz w:val="22"/>
          <w:szCs w:val="22"/>
          <w:lang w:val="sr-Latn-ME"/>
        </w:rPr>
        <w:t xml:space="preserve">i </w:t>
      </w:r>
      <w:r w:rsidRPr="009C58C4">
        <w:rPr>
          <w:i/>
          <w:iCs/>
          <w:sz w:val="22"/>
          <w:szCs w:val="22"/>
          <w:lang w:val="sr-Latn-ME"/>
        </w:rPr>
        <w:t xml:space="preserve">in vivo </w:t>
      </w:r>
      <w:r w:rsidRPr="009C58C4">
        <w:rPr>
          <w:iCs/>
          <w:sz w:val="22"/>
          <w:szCs w:val="22"/>
          <w:lang w:val="sr-Latn-ME"/>
        </w:rPr>
        <w:t>podaci pokazuju da je malo v</w:t>
      </w:r>
      <w:r w:rsidR="00B15D7C" w:rsidRPr="009C58C4">
        <w:rPr>
          <w:iCs/>
          <w:sz w:val="22"/>
          <w:szCs w:val="22"/>
          <w:lang w:val="sr-Latn-ME"/>
        </w:rPr>
        <w:t>j</w:t>
      </w:r>
      <w:r w:rsidRPr="009C58C4">
        <w:rPr>
          <w:iCs/>
          <w:sz w:val="22"/>
          <w:szCs w:val="22"/>
          <w:lang w:val="sr-Latn-ME"/>
        </w:rPr>
        <w:t xml:space="preserve">erovatno da će trametinib uticati na farmakokinetiku drugih </w:t>
      </w:r>
      <w:r w:rsidR="007F2563" w:rsidRPr="009C58C4">
        <w:rPr>
          <w:iCs/>
          <w:sz w:val="22"/>
          <w:szCs w:val="22"/>
          <w:lang w:val="sr-Latn-ME"/>
        </w:rPr>
        <w:t>ljek</w:t>
      </w:r>
      <w:r w:rsidRPr="009C58C4">
        <w:rPr>
          <w:iCs/>
          <w:sz w:val="22"/>
          <w:szCs w:val="22"/>
          <w:lang w:val="sr-Latn-ME"/>
        </w:rPr>
        <w:t xml:space="preserve">ova. Zasnovano na </w:t>
      </w:r>
      <w:r w:rsidRPr="009C58C4">
        <w:rPr>
          <w:i/>
          <w:iCs/>
          <w:sz w:val="22"/>
          <w:szCs w:val="22"/>
          <w:lang w:val="sr-Latn-ME"/>
        </w:rPr>
        <w:t>in</w:t>
      </w:r>
      <w:r w:rsidRPr="009C58C4">
        <w:rPr>
          <w:iCs/>
          <w:sz w:val="22"/>
          <w:szCs w:val="22"/>
          <w:lang w:val="sr-Latn-ME"/>
        </w:rPr>
        <w:t> </w:t>
      </w:r>
      <w:r w:rsidRPr="009C58C4">
        <w:rPr>
          <w:i/>
          <w:iCs/>
          <w:sz w:val="22"/>
          <w:szCs w:val="22"/>
          <w:lang w:val="sr-Latn-ME"/>
        </w:rPr>
        <w:t xml:space="preserve">vitro </w:t>
      </w:r>
      <w:r w:rsidRPr="009C58C4">
        <w:rPr>
          <w:iCs/>
          <w:sz w:val="22"/>
          <w:szCs w:val="22"/>
          <w:lang w:val="sr-Latn-ME"/>
        </w:rPr>
        <w:t xml:space="preserve">ispitivanjima, trametinib nije inhibitor CYP1A2, CYP2A6, </w:t>
      </w:r>
      <w:r w:rsidRPr="009C58C4">
        <w:rPr>
          <w:iCs/>
          <w:sz w:val="22"/>
          <w:szCs w:val="22"/>
          <w:lang w:val="sr-Latn-ME"/>
        </w:rPr>
        <w:lastRenderedPageBreak/>
        <w:t xml:space="preserve">CYP2B6, CYP2D6 ni CYP3A4. Zasnovano na </w:t>
      </w:r>
      <w:r w:rsidRPr="009C58C4">
        <w:rPr>
          <w:i/>
          <w:sz w:val="22"/>
          <w:szCs w:val="22"/>
          <w:lang w:val="sr-Latn-ME"/>
        </w:rPr>
        <w:t>in vitro</w:t>
      </w:r>
      <w:r w:rsidRPr="009C58C4">
        <w:rPr>
          <w:iCs/>
          <w:sz w:val="22"/>
          <w:szCs w:val="22"/>
          <w:lang w:val="sr-Latn-ME"/>
        </w:rPr>
        <w:t xml:space="preserve"> ispitivanjima, trametinib </w:t>
      </w:r>
      <w:r w:rsidRPr="009C58C4">
        <w:rPr>
          <w:sz w:val="22"/>
          <w:szCs w:val="22"/>
          <w:lang w:val="sr-Latn-ME"/>
        </w:rPr>
        <w:t>je</w:t>
      </w:r>
      <w:r w:rsidRPr="009C58C4">
        <w:rPr>
          <w:iCs/>
          <w:sz w:val="22"/>
          <w:szCs w:val="22"/>
          <w:lang w:val="sr-Latn-ME"/>
        </w:rPr>
        <w:t xml:space="preserve"> inhibitor CYP2C8, CYP2C9 i CYP2C19, induktor CYP3A4 te inhibitor transportera OAT1, OAT3, OCT2, MATE1, OATP1B1, OATP1B3, P-gp-a i BCRP-a. Međutim, s obzirom na nisku dozu i nisku kliničku sistemsku izloženost u odnosu na potentnost inhibicijske ili indukcijske </w:t>
      </w:r>
      <w:r w:rsidR="00F46CDF" w:rsidRPr="009C58C4">
        <w:rPr>
          <w:iCs/>
          <w:sz w:val="22"/>
          <w:szCs w:val="22"/>
          <w:lang w:val="sr-Latn-ME"/>
        </w:rPr>
        <w:t>vrijednost</w:t>
      </w:r>
      <w:r w:rsidRPr="009C58C4">
        <w:rPr>
          <w:iCs/>
          <w:sz w:val="22"/>
          <w:szCs w:val="22"/>
          <w:lang w:val="sr-Latn-ME"/>
        </w:rPr>
        <w:t xml:space="preserve">i </w:t>
      </w:r>
      <w:r w:rsidRPr="009C58C4">
        <w:rPr>
          <w:i/>
          <w:iCs/>
          <w:sz w:val="22"/>
          <w:szCs w:val="22"/>
          <w:lang w:val="sr-Latn-ME"/>
        </w:rPr>
        <w:t>in vitro</w:t>
      </w:r>
      <w:r w:rsidRPr="009C58C4">
        <w:rPr>
          <w:iCs/>
          <w:sz w:val="22"/>
          <w:szCs w:val="22"/>
          <w:lang w:val="sr-Latn-ME"/>
        </w:rPr>
        <w:t xml:space="preserve">, smatra se da trametinib nije inhibitor niti induktor spomenutih enzima ili transportera </w:t>
      </w:r>
      <w:r w:rsidRPr="009C58C4">
        <w:rPr>
          <w:i/>
          <w:iCs/>
          <w:sz w:val="22"/>
          <w:szCs w:val="22"/>
          <w:lang w:val="sr-Latn-ME"/>
        </w:rPr>
        <w:t>in vivo</w:t>
      </w:r>
      <w:r w:rsidRPr="009C58C4">
        <w:rPr>
          <w:iCs/>
          <w:sz w:val="22"/>
          <w:szCs w:val="22"/>
          <w:lang w:val="sr-Latn-ME"/>
        </w:rPr>
        <w:t>, iako je moguća prolazna inhibicija supstrata BCRP-a u cr</w:t>
      </w:r>
      <w:r w:rsidR="00B15D7C" w:rsidRPr="009C58C4">
        <w:rPr>
          <w:iCs/>
          <w:sz w:val="22"/>
          <w:szCs w:val="22"/>
          <w:lang w:val="sr-Latn-ME"/>
        </w:rPr>
        <w:t>ij</w:t>
      </w:r>
      <w:r w:rsidRPr="009C58C4">
        <w:rPr>
          <w:iCs/>
          <w:sz w:val="22"/>
          <w:szCs w:val="22"/>
          <w:lang w:val="sr-Latn-ME"/>
        </w:rPr>
        <w:t>evu (</w:t>
      </w:r>
      <w:r w:rsidR="00F46CDF" w:rsidRPr="009C58C4">
        <w:rPr>
          <w:iCs/>
          <w:sz w:val="22"/>
          <w:szCs w:val="22"/>
          <w:lang w:val="sr-Latn-ME"/>
        </w:rPr>
        <w:t>vidjet</w:t>
      </w:r>
      <w:r w:rsidRPr="009C58C4">
        <w:rPr>
          <w:iCs/>
          <w:sz w:val="22"/>
          <w:szCs w:val="22"/>
          <w:lang w:val="sr-Latn-ME"/>
        </w:rPr>
        <w:t>i</w:t>
      </w:r>
      <w:r w:rsidR="00C97935" w:rsidRPr="009C58C4">
        <w:rPr>
          <w:iCs/>
          <w:sz w:val="22"/>
          <w:szCs w:val="22"/>
          <w:lang w:val="sr-Latn-ME"/>
        </w:rPr>
        <w:t xml:space="preserve"> </w:t>
      </w:r>
      <w:r w:rsidR="00022D46" w:rsidRPr="009C58C4">
        <w:rPr>
          <w:iCs/>
          <w:sz w:val="22"/>
          <w:szCs w:val="22"/>
          <w:lang w:val="sr-Latn-ME"/>
        </w:rPr>
        <w:t>dio</w:t>
      </w:r>
      <w:r w:rsidRPr="009C58C4">
        <w:rPr>
          <w:iCs/>
          <w:sz w:val="22"/>
          <w:szCs w:val="22"/>
          <w:lang w:val="sr-Latn-ME"/>
        </w:rPr>
        <w:t> 4.5).</w:t>
      </w:r>
    </w:p>
    <w:p w14:paraId="338F7721" w14:textId="77777777" w:rsidR="00F118BB" w:rsidRPr="009C58C4" w:rsidRDefault="00F118BB" w:rsidP="00226369">
      <w:pPr>
        <w:numPr>
          <w:ilvl w:val="12"/>
          <w:numId w:val="0"/>
        </w:numPr>
        <w:jc w:val="both"/>
        <w:rPr>
          <w:iCs/>
          <w:sz w:val="22"/>
          <w:szCs w:val="22"/>
          <w:lang w:val="sr-Latn-ME"/>
        </w:rPr>
      </w:pPr>
    </w:p>
    <w:p w14:paraId="21D9E99C" w14:textId="04AF3DA8" w:rsidR="00F118BB" w:rsidRPr="009C58C4" w:rsidRDefault="00F118BB" w:rsidP="00226369">
      <w:pPr>
        <w:keepNext/>
        <w:keepLines/>
        <w:numPr>
          <w:ilvl w:val="12"/>
          <w:numId w:val="0"/>
        </w:numPr>
        <w:jc w:val="both"/>
        <w:rPr>
          <w:i/>
          <w:sz w:val="22"/>
          <w:szCs w:val="22"/>
          <w:u w:val="single"/>
          <w:lang w:val="sr-Latn-ME"/>
        </w:rPr>
      </w:pPr>
      <w:r w:rsidRPr="009C58C4">
        <w:rPr>
          <w:i/>
          <w:iCs/>
          <w:sz w:val="22"/>
          <w:szCs w:val="22"/>
          <w:u w:val="single"/>
          <w:lang w:val="sr-Latn-ME"/>
        </w:rPr>
        <w:t xml:space="preserve">Uticaj drugih </w:t>
      </w:r>
      <w:r w:rsidR="007F2563" w:rsidRPr="009C58C4">
        <w:rPr>
          <w:i/>
          <w:iCs/>
          <w:sz w:val="22"/>
          <w:szCs w:val="22"/>
          <w:u w:val="single"/>
          <w:lang w:val="sr-Latn-ME"/>
        </w:rPr>
        <w:t>ljek</w:t>
      </w:r>
      <w:r w:rsidRPr="009C58C4">
        <w:rPr>
          <w:i/>
          <w:iCs/>
          <w:sz w:val="22"/>
          <w:szCs w:val="22"/>
          <w:u w:val="single"/>
          <w:lang w:val="sr-Latn-ME"/>
        </w:rPr>
        <w:t xml:space="preserve">ova na </w:t>
      </w:r>
      <w:r w:rsidRPr="009C58C4">
        <w:rPr>
          <w:i/>
          <w:sz w:val="22"/>
          <w:szCs w:val="22"/>
          <w:u w:val="single"/>
          <w:lang w:val="sr-Latn-ME"/>
        </w:rPr>
        <w:t>na trametinib</w:t>
      </w:r>
    </w:p>
    <w:p w14:paraId="3FE3B720" w14:textId="05218F77" w:rsidR="00F118BB" w:rsidRPr="009C58C4" w:rsidRDefault="00F118BB" w:rsidP="00226369">
      <w:pPr>
        <w:numPr>
          <w:ilvl w:val="12"/>
          <w:numId w:val="0"/>
        </w:numPr>
        <w:jc w:val="both"/>
        <w:rPr>
          <w:iCs/>
          <w:sz w:val="22"/>
          <w:szCs w:val="22"/>
          <w:lang w:val="sr-Latn-ME"/>
        </w:rPr>
      </w:pPr>
      <w:r w:rsidRPr="009C58C4">
        <w:rPr>
          <w:i/>
          <w:iCs/>
          <w:sz w:val="22"/>
          <w:szCs w:val="22"/>
          <w:lang w:val="sr-Latn-ME"/>
        </w:rPr>
        <w:t xml:space="preserve">In vivo </w:t>
      </w:r>
      <w:r w:rsidRPr="009C58C4">
        <w:rPr>
          <w:iCs/>
          <w:sz w:val="22"/>
          <w:szCs w:val="22"/>
          <w:lang w:val="sr-Latn-ME"/>
        </w:rPr>
        <w:t xml:space="preserve">i </w:t>
      </w:r>
      <w:r w:rsidRPr="009C58C4">
        <w:rPr>
          <w:i/>
          <w:iCs/>
          <w:sz w:val="22"/>
          <w:szCs w:val="22"/>
          <w:lang w:val="sr-Latn-ME"/>
        </w:rPr>
        <w:t xml:space="preserve">in vitro </w:t>
      </w:r>
      <w:r w:rsidRPr="009C58C4">
        <w:rPr>
          <w:iCs/>
          <w:sz w:val="22"/>
          <w:szCs w:val="22"/>
          <w:lang w:val="sr-Latn-ME"/>
        </w:rPr>
        <w:t>podaci pokazuju da je malo v</w:t>
      </w:r>
      <w:r w:rsidR="00B15D7C" w:rsidRPr="009C58C4">
        <w:rPr>
          <w:iCs/>
          <w:sz w:val="22"/>
          <w:szCs w:val="22"/>
          <w:lang w:val="sr-Latn-ME"/>
        </w:rPr>
        <w:t>j</w:t>
      </w:r>
      <w:r w:rsidRPr="009C58C4">
        <w:rPr>
          <w:iCs/>
          <w:sz w:val="22"/>
          <w:szCs w:val="22"/>
          <w:lang w:val="sr-Latn-ME"/>
        </w:rPr>
        <w:t xml:space="preserve">erovatno da će drugi </w:t>
      </w:r>
      <w:r w:rsidR="007F2563" w:rsidRPr="009C58C4">
        <w:rPr>
          <w:iCs/>
          <w:sz w:val="22"/>
          <w:szCs w:val="22"/>
          <w:lang w:val="sr-Latn-ME"/>
        </w:rPr>
        <w:t>ljek</w:t>
      </w:r>
      <w:r w:rsidRPr="009C58C4">
        <w:rPr>
          <w:iCs/>
          <w:sz w:val="22"/>
          <w:szCs w:val="22"/>
          <w:lang w:val="sr-Latn-ME"/>
        </w:rPr>
        <w:t xml:space="preserve">ovi uticati na farmakokinetiku trametiniba. Trametinib nije supstrat CYP enzima niti transportera BCRP, OATP1B1, OATP1B3, OATP2B1, OCT1, MRP2, i MATE1. Trametinib je </w:t>
      </w:r>
      <w:r w:rsidRPr="009C58C4">
        <w:rPr>
          <w:i/>
          <w:iCs/>
          <w:sz w:val="22"/>
          <w:szCs w:val="22"/>
          <w:lang w:val="sr-Latn-ME"/>
        </w:rPr>
        <w:t xml:space="preserve">in vitro </w:t>
      </w:r>
      <w:r w:rsidRPr="009C58C4">
        <w:rPr>
          <w:iCs/>
          <w:sz w:val="22"/>
          <w:szCs w:val="22"/>
          <w:lang w:val="sr-Latn-ME"/>
        </w:rPr>
        <w:t>supstrat BSEP-a i efluksnog transportera P-gp-a. Iako inhibicija BSEP-a v</w:t>
      </w:r>
      <w:r w:rsidR="00B15D7C" w:rsidRPr="009C58C4">
        <w:rPr>
          <w:iCs/>
          <w:sz w:val="22"/>
          <w:szCs w:val="22"/>
          <w:lang w:val="sr-Latn-ME"/>
        </w:rPr>
        <w:t>j</w:t>
      </w:r>
      <w:r w:rsidRPr="009C58C4">
        <w:rPr>
          <w:iCs/>
          <w:sz w:val="22"/>
          <w:szCs w:val="22"/>
          <w:lang w:val="sr-Latn-ME"/>
        </w:rPr>
        <w:t>erovatno neće uticati na izloženost trametinibu, povišeni nivoi trametiniba kod jake inhibicije hepatičnog P-gp-a ne mogu se isključiti (</w:t>
      </w:r>
      <w:r w:rsidR="00F46CDF" w:rsidRPr="009C58C4">
        <w:rPr>
          <w:iCs/>
          <w:sz w:val="22"/>
          <w:szCs w:val="22"/>
          <w:lang w:val="sr-Latn-ME"/>
        </w:rPr>
        <w:t>vidjet</w:t>
      </w:r>
      <w:r w:rsidRPr="009C58C4">
        <w:rPr>
          <w:iCs/>
          <w:sz w:val="22"/>
          <w:szCs w:val="22"/>
          <w:lang w:val="sr-Latn-ME"/>
        </w:rPr>
        <w:t>i</w:t>
      </w:r>
      <w:r w:rsidR="00C97935" w:rsidRPr="009C58C4">
        <w:rPr>
          <w:iCs/>
          <w:sz w:val="22"/>
          <w:szCs w:val="22"/>
          <w:lang w:val="sr-Latn-ME"/>
        </w:rPr>
        <w:t xml:space="preserve"> </w:t>
      </w:r>
      <w:r w:rsidR="00022D46" w:rsidRPr="009C58C4">
        <w:rPr>
          <w:iCs/>
          <w:sz w:val="22"/>
          <w:szCs w:val="22"/>
          <w:lang w:val="sr-Latn-ME"/>
        </w:rPr>
        <w:t>dio</w:t>
      </w:r>
      <w:r w:rsidRPr="009C58C4">
        <w:rPr>
          <w:iCs/>
          <w:sz w:val="22"/>
          <w:szCs w:val="22"/>
          <w:lang w:val="sr-Latn-ME"/>
        </w:rPr>
        <w:t> 4.5).</w:t>
      </w:r>
    </w:p>
    <w:p w14:paraId="1DF51BF9" w14:textId="77777777" w:rsidR="00F118BB" w:rsidRPr="009C58C4" w:rsidRDefault="00F118BB" w:rsidP="00226369">
      <w:pPr>
        <w:numPr>
          <w:ilvl w:val="12"/>
          <w:numId w:val="0"/>
        </w:numPr>
        <w:jc w:val="both"/>
        <w:rPr>
          <w:iCs/>
          <w:sz w:val="22"/>
          <w:szCs w:val="22"/>
          <w:lang w:val="sr-Latn-ME"/>
        </w:rPr>
      </w:pPr>
    </w:p>
    <w:p w14:paraId="5F3ECEA9" w14:textId="41ABC5B8" w:rsidR="00F118BB" w:rsidRPr="009C58C4" w:rsidRDefault="00F118BB" w:rsidP="00226369">
      <w:pPr>
        <w:keepNext/>
        <w:keepLines/>
        <w:numPr>
          <w:ilvl w:val="12"/>
          <w:numId w:val="0"/>
        </w:numPr>
        <w:jc w:val="both"/>
        <w:rPr>
          <w:i/>
          <w:sz w:val="22"/>
          <w:szCs w:val="22"/>
          <w:u w:val="single"/>
          <w:lang w:val="sr-Latn-ME"/>
        </w:rPr>
      </w:pPr>
      <w:r w:rsidRPr="009C58C4">
        <w:rPr>
          <w:i/>
          <w:sz w:val="22"/>
          <w:szCs w:val="22"/>
          <w:u w:val="single"/>
          <w:lang w:val="sr-Latn-ME"/>
        </w:rPr>
        <w:t xml:space="preserve">Uticaj trametiniba na druge </w:t>
      </w:r>
      <w:r w:rsidR="007F2563" w:rsidRPr="009C58C4">
        <w:rPr>
          <w:i/>
          <w:sz w:val="22"/>
          <w:szCs w:val="22"/>
          <w:u w:val="single"/>
          <w:lang w:val="sr-Latn-ME"/>
        </w:rPr>
        <w:t>ljek</w:t>
      </w:r>
      <w:r w:rsidRPr="009C58C4">
        <w:rPr>
          <w:i/>
          <w:sz w:val="22"/>
          <w:szCs w:val="22"/>
          <w:u w:val="single"/>
          <w:lang w:val="sr-Latn-ME"/>
        </w:rPr>
        <w:t>ove</w:t>
      </w:r>
    </w:p>
    <w:p w14:paraId="078B13DF" w14:textId="4DAF8B05" w:rsidR="00F118BB" w:rsidRPr="009C58C4" w:rsidRDefault="00F118BB" w:rsidP="00226369">
      <w:pPr>
        <w:numPr>
          <w:ilvl w:val="12"/>
          <w:numId w:val="0"/>
        </w:numPr>
        <w:jc w:val="both"/>
        <w:rPr>
          <w:iCs/>
          <w:sz w:val="22"/>
          <w:szCs w:val="22"/>
          <w:lang w:val="sr-Latn-ME"/>
        </w:rPr>
      </w:pPr>
      <w:r w:rsidRPr="009C58C4">
        <w:rPr>
          <w:iCs/>
          <w:sz w:val="22"/>
          <w:szCs w:val="22"/>
          <w:lang w:val="sr-Latn-ME"/>
        </w:rPr>
        <w:t>Efekat ponovljene doze trametiniba na farmakokinetiku kombinovanih oralnih kontraceptiva, noretindrona i etinilestradiola, u stanju dinamičke ravnoteže, oc</w:t>
      </w:r>
      <w:r w:rsidR="00B15D7C" w:rsidRPr="009C58C4">
        <w:rPr>
          <w:iCs/>
          <w:sz w:val="22"/>
          <w:szCs w:val="22"/>
          <w:lang w:val="sr-Latn-ME"/>
        </w:rPr>
        <w:t>ij</w:t>
      </w:r>
      <w:r w:rsidRPr="009C58C4">
        <w:rPr>
          <w:iCs/>
          <w:sz w:val="22"/>
          <w:szCs w:val="22"/>
          <w:lang w:val="sr-Latn-ME"/>
        </w:rPr>
        <w:t xml:space="preserve">enjen je u kliničkom ispitivanju koje se sastojalo od 19 pacijentkinja sa solidnim tumorima. Izloženost noretindronu povećala se za 20 %, a izloženost etinilestradiolu bila je slična prilikom istovremene </w:t>
      </w:r>
      <w:r w:rsidR="007F2563" w:rsidRPr="009C58C4">
        <w:rPr>
          <w:iCs/>
          <w:sz w:val="22"/>
          <w:szCs w:val="22"/>
          <w:lang w:val="sr-Latn-ME"/>
        </w:rPr>
        <w:t>primjen</w:t>
      </w:r>
      <w:r w:rsidRPr="009C58C4">
        <w:rPr>
          <w:iCs/>
          <w:sz w:val="22"/>
          <w:szCs w:val="22"/>
          <w:lang w:val="sr-Latn-ME"/>
        </w:rPr>
        <w:t>e s</w:t>
      </w:r>
      <w:r w:rsidR="00C97935" w:rsidRPr="009C58C4">
        <w:rPr>
          <w:iCs/>
          <w:sz w:val="22"/>
          <w:szCs w:val="22"/>
          <w:lang w:val="sr-Latn-ME"/>
        </w:rPr>
        <w:t>a</w:t>
      </w:r>
      <w:r w:rsidRPr="009C58C4">
        <w:rPr>
          <w:iCs/>
          <w:sz w:val="22"/>
          <w:szCs w:val="22"/>
          <w:lang w:val="sr-Latn-ME"/>
        </w:rPr>
        <w:t xml:space="preserve"> trametinibom. Na osnovu tih rezultata, ne očekuje se gubitak efikasnosti hormonskih kontraceptiva kad se primjenjuju istovremeno s</w:t>
      </w:r>
      <w:r w:rsidR="00C97935" w:rsidRPr="009C58C4">
        <w:rPr>
          <w:iCs/>
          <w:sz w:val="22"/>
          <w:szCs w:val="22"/>
          <w:lang w:val="sr-Latn-ME"/>
        </w:rPr>
        <w:t>a</w:t>
      </w:r>
      <w:r w:rsidRPr="009C58C4">
        <w:rPr>
          <w:iCs/>
          <w:sz w:val="22"/>
          <w:szCs w:val="22"/>
          <w:lang w:val="sr-Latn-ME"/>
        </w:rPr>
        <w:t xml:space="preserve"> trametinibom.</w:t>
      </w:r>
    </w:p>
    <w:p w14:paraId="7D8609C1" w14:textId="77777777" w:rsidR="00F118BB" w:rsidRPr="009C58C4" w:rsidRDefault="00F118BB" w:rsidP="00226369">
      <w:pPr>
        <w:numPr>
          <w:ilvl w:val="12"/>
          <w:numId w:val="0"/>
        </w:numPr>
        <w:jc w:val="both"/>
        <w:rPr>
          <w:iCs/>
          <w:sz w:val="22"/>
          <w:szCs w:val="22"/>
          <w:lang w:val="sr-Latn-ME"/>
        </w:rPr>
      </w:pPr>
    </w:p>
    <w:p w14:paraId="1A3136B7" w14:textId="77777777" w:rsidR="00F118BB" w:rsidRPr="009C58C4" w:rsidRDefault="00F118BB" w:rsidP="00226369">
      <w:pPr>
        <w:keepNext/>
        <w:jc w:val="both"/>
        <w:rPr>
          <w:sz w:val="22"/>
          <w:szCs w:val="22"/>
          <w:u w:val="single"/>
          <w:lang w:val="sr-Latn-ME"/>
        </w:rPr>
      </w:pPr>
      <w:r w:rsidRPr="009C58C4">
        <w:rPr>
          <w:sz w:val="22"/>
          <w:szCs w:val="22"/>
          <w:u w:val="single"/>
          <w:lang w:val="sr-Latn-ME"/>
        </w:rPr>
        <w:t>Posebne populacije pacijenata</w:t>
      </w:r>
    </w:p>
    <w:p w14:paraId="6D0CB8DC" w14:textId="77777777" w:rsidR="00F118BB" w:rsidRPr="009C58C4" w:rsidRDefault="00F118BB" w:rsidP="00226369">
      <w:pPr>
        <w:keepNext/>
        <w:jc w:val="both"/>
        <w:rPr>
          <w:sz w:val="22"/>
          <w:szCs w:val="22"/>
          <w:lang w:val="sr-Latn-ME"/>
        </w:rPr>
      </w:pPr>
    </w:p>
    <w:p w14:paraId="1C1CBA79" w14:textId="77777777" w:rsidR="00F118BB" w:rsidRPr="009C58C4" w:rsidRDefault="00F118BB" w:rsidP="00226369">
      <w:pPr>
        <w:keepNext/>
        <w:jc w:val="both"/>
        <w:rPr>
          <w:bCs/>
          <w:i/>
          <w:sz w:val="22"/>
          <w:szCs w:val="22"/>
          <w:u w:val="single"/>
          <w:lang w:val="sr-Latn-ME"/>
        </w:rPr>
      </w:pPr>
      <w:r w:rsidRPr="009C58C4">
        <w:rPr>
          <w:bCs/>
          <w:i/>
          <w:sz w:val="22"/>
          <w:szCs w:val="22"/>
          <w:u w:val="single"/>
          <w:lang w:val="sr-Latn-ME"/>
        </w:rPr>
        <w:t>Oštećenje funkcije jetre</w:t>
      </w:r>
    </w:p>
    <w:p w14:paraId="152A72D3" w14:textId="5BC382E3" w:rsidR="00F118BB" w:rsidRPr="009C58C4" w:rsidRDefault="00F118BB" w:rsidP="00226369">
      <w:pPr>
        <w:jc w:val="both"/>
        <w:rPr>
          <w:sz w:val="22"/>
          <w:szCs w:val="22"/>
          <w:lang w:val="sr-Latn-ME"/>
        </w:rPr>
      </w:pPr>
      <w:r w:rsidRPr="009C58C4">
        <w:rPr>
          <w:sz w:val="22"/>
          <w:szCs w:val="22"/>
          <w:lang w:val="sr-Latn-ME"/>
        </w:rPr>
        <w:t>Analiza populacijske farmakokinetike te podaci iz ispitivanja kliničke farmakologije kod odraslih pacijenata s</w:t>
      </w:r>
      <w:r w:rsidR="00C97935" w:rsidRPr="009C58C4">
        <w:rPr>
          <w:sz w:val="22"/>
          <w:szCs w:val="22"/>
          <w:lang w:val="sr-Latn-ME"/>
        </w:rPr>
        <w:t>a</w:t>
      </w:r>
      <w:r w:rsidRPr="009C58C4">
        <w:rPr>
          <w:sz w:val="22"/>
          <w:szCs w:val="22"/>
          <w:lang w:val="sr-Latn-ME"/>
        </w:rPr>
        <w:t xml:space="preserve"> normalnom funkcijom jetre ili s</w:t>
      </w:r>
      <w:r w:rsidR="00C97935" w:rsidRPr="009C58C4">
        <w:rPr>
          <w:sz w:val="22"/>
          <w:szCs w:val="22"/>
          <w:lang w:val="sr-Latn-ME"/>
        </w:rPr>
        <w:t>a</w:t>
      </w:r>
      <w:r w:rsidRPr="009C58C4">
        <w:rPr>
          <w:sz w:val="22"/>
          <w:szCs w:val="22"/>
          <w:lang w:val="sr-Latn-ME"/>
        </w:rPr>
        <w:t xml:space="preserve"> blagim, </w:t>
      </w:r>
      <w:r w:rsidR="00F46CDF" w:rsidRPr="009C58C4">
        <w:rPr>
          <w:sz w:val="22"/>
          <w:szCs w:val="22"/>
          <w:lang w:val="sr-Latn-ME"/>
        </w:rPr>
        <w:t>umjer</w:t>
      </w:r>
      <w:r w:rsidRPr="009C58C4">
        <w:rPr>
          <w:sz w:val="22"/>
          <w:szCs w:val="22"/>
          <w:lang w:val="sr-Latn-ME"/>
        </w:rPr>
        <w:t xml:space="preserve">enim ili teškim povišenjima bilirubina i/ili AST-a (prema klasifikaciji Nacionalnog instituta za rak [engl. </w:t>
      </w:r>
      <w:r w:rsidRPr="009C58C4">
        <w:rPr>
          <w:i/>
          <w:iCs/>
          <w:sz w:val="22"/>
          <w:szCs w:val="22"/>
          <w:lang w:val="sr-Latn-ME"/>
        </w:rPr>
        <w:t>National Cancer Institute</w:t>
      </w:r>
      <w:r w:rsidRPr="009C58C4">
        <w:rPr>
          <w:sz w:val="22"/>
          <w:szCs w:val="22"/>
          <w:lang w:val="sr-Latn-ME"/>
        </w:rPr>
        <w:t xml:space="preserve">, NCI]) pokazuju da funkcija jetre nema značajan uticaj na klirens trametiniba nakon peroralne </w:t>
      </w:r>
      <w:r w:rsidR="007F2563" w:rsidRPr="009C58C4">
        <w:rPr>
          <w:sz w:val="22"/>
          <w:szCs w:val="22"/>
          <w:lang w:val="sr-Latn-ME"/>
        </w:rPr>
        <w:t>primjen</w:t>
      </w:r>
      <w:r w:rsidRPr="009C58C4">
        <w:rPr>
          <w:sz w:val="22"/>
          <w:szCs w:val="22"/>
          <w:lang w:val="sr-Latn-ME"/>
        </w:rPr>
        <w:t>e.</w:t>
      </w:r>
    </w:p>
    <w:p w14:paraId="1883CB57" w14:textId="77777777" w:rsidR="00F118BB" w:rsidRPr="009C58C4" w:rsidRDefault="00F118BB" w:rsidP="00226369">
      <w:pPr>
        <w:jc w:val="both"/>
        <w:rPr>
          <w:sz w:val="22"/>
          <w:szCs w:val="22"/>
          <w:lang w:val="sr-Latn-ME"/>
        </w:rPr>
      </w:pPr>
    </w:p>
    <w:p w14:paraId="131C9569" w14:textId="77777777" w:rsidR="00F118BB" w:rsidRPr="009C58C4" w:rsidRDefault="00F118BB" w:rsidP="00226369">
      <w:pPr>
        <w:keepNext/>
        <w:jc w:val="both"/>
        <w:rPr>
          <w:bCs/>
          <w:i/>
          <w:sz w:val="22"/>
          <w:szCs w:val="22"/>
          <w:u w:val="single"/>
          <w:lang w:val="sr-Latn-ME"/>
        </w:rPr>
      </w:pPr>
      <w:r w:rsidRPr="009C58C4">
        <w:rPr>
          <w:bCs/>
          <w:i/>
          <w:sz w:val="22"/>
          <w:szCs w:val="22"/>
          <w:u w:val="single"/>
          <w:lang w:val="sr-Latn-ME"/>
        </w:rPr>
        <w:t>Oštećenje funkcije bubrega</w:t>
      </w:r>
    </w:p>
    <w:p w14:paraId="4A9C9797" w14:textId="58AEAB06" w:rsidR="00F118BB" w:rsidRPr="009C58C4" w:rsidRDefault="00F118BB" w:rsidP="00226369">
      <w:pPr>
        <w:jc w:val="both"/>
        <w:rPr>
          <w:sz w:val="22"/>
          <w:szCs w:val="22"/>
          <w:lang w:val="sr-Latn-ME"/>
        </w:rPr>
      </w:pPr>
      <w:r w:rsidRPr="009C58C4">
        <w:rPr>
          <w:sz w:val="22"/>
          <w:szCs w:val="22"/>
          <w:lang w:val="sr-Latn-ME"/>
        </w:rPr>
        <w:t>S obzirom na nizak nivo izlučivanja trametiniba putem bubrega, malo je v</w:t>
      </w:r>
      <w:r w:rsidR="00B15D7C" w:rsidRPr="009C58C4">
        <w:rPr>
          <w:sz w:val="22"/>
          <w:szCs w:val="22"/>
          <w:lang w:val="sr-Latn-ME"/>
        </w:rPr>
        <w:t>j</w:t>
      </w:r>
      <w:r w:rsidRPr="009C58C4">
        <w:rPr>
          <w:sz w:val="22"/>
          <w:szCs w:val="22"/>
          <w:lang w:val="sr-Latn-ME"/>
        </w:rPr>
        <w:t>erovatno da će oštećenje funkcije bubrega imati klinički značajan uticaj na farmakokinetiku trametiniba. Farmakokinetika trametiniba okarakterisana je na osnovu analize populacijske farmakokinetike kod 223 odrasla pacijenata s</w:t>
      </w:r>
      <w:r w:rsidR="00C97935" w:rsidRPr="009C58C4">
        <w:rPr>
          <w:sz w:val="22"/>
          <w:szCs w:val="22"/>
          <w:lang w:val="sr-Latn-ME"/>
        </w:rPr>
        <w:t>a</w:t>
      </w:r>
      <w:r w:rsidRPr="009C58C4">
        <w:rPr>
          <w:sz w:val="22"/>
          <w:szCs w:val="22"/>
          <w:lang w:val="sr-Latn-ME"/>
        </w:rPr>
        <w:t xml:space="preserve"> blagim i 35 odraslih pacijenata s</w:t>
      </w:r>
      <w:r w:rsidR="00C97935" w:rsidRPr="009C58C4">
        <w:rPr>
          <w:sz w:val="22"/>
          <w:szCs w:val="22"/>
          <w:lang w:val="sr-Latn-ME"/>
        </w:rPr>
        <w:t>a</w:t>
      </w:r>
      <w:r w:rsidRPr="009C58C4">
        <w:rPr>
          <w:sz w:val="22"/>
          <w:szCs w:val="22"/>
          <w:lang w:val="sr-Latn-ME"/>
        </w:rPr>
        <w:t xml:space="preserve"> </w:t>
      </w:r>
      <w:r w:rsidR="00F46CDF" w:rsidRPr="009C58C4">
        <w:rPr>
          <w:sz w:val="22"/>
          <w:szCs w:val="22"/>
          <w:lang w:val="sr-Latn-ME"/>
        </w:rPr>
        <w:t>umjer</w:t>
      </w:r>
      <w:r w:rsidRPr="009C58C4">
        <w:rPr>
          <w:sz w:val="22"/>
          <w:szCs w:val="22"/>
          <w:lang w:val="sr-Latn-ME"/>
        </w:rPr>
        <w:t xml:space="preserve">enim oštećenjem bubrežne funkcije uključenih u klinička ispitivanja trametiniba. Blago i </w:t>
      </w:r>
      <w:r w:rsidR="00F46CDF" w:rsidRPr="009C58C4">
        <w:rPr>
          <w:sz w:val="22"/>
          <w:szCs w:val="22"/>
          <w:lang w:val="sr-Latn-ME"/>
        </w:rPr>
        <w:t>umjer</w:t>
      </w:r>
      <w:r w:rsidRPr="009C58C4">
        <w:rPr>
          <w:sz w:val="22"/>
          <w:szCs w:val="22"/>
          <w:lang w:val="sr-Latn-ME"/>
        </w:rPr>
        <w:t>eno oštećenje bubrežne funkcije nije uticalo na izloženost trametinibu (&lt; 6 % u svakoj grupi). Nema dostupnih podataka o pacijentima s</w:t>
      </w:r>
      <w:r w:rsidR="00C97935" w:rsidRPr="009C58C4">
        <w:rPr>
          <w:sz w:val="22"/>
          <w:szCs w:val="22"/>
          <w:lang w:val="sr-Latn-ME"/>
        </w:rPr>
        <w:t>a</w:t>
      </w:r>
      <w:r w:rsidRPr="009C58C4">
        <w:rPr>
          <w:sz w:val="22"/>
          <w:szCs w:val="22"/>
          <w:lang w:val="sr-Latn-ME"/>
        </w:rPr>
        <w:t xml:space="preserve"> teškim oštećenjem bubrežne funkcije (</w:t>
      </w:r>
      <w:r w:rsidR="00F46CDF" w:rsidRPr="009C58C4">
        <w:rPr>
          <w:sz w:val="22"/>
          <w:szCs w:val="22"/>
          <w:lang w:val="sr-Latn-ME"/>
        </w:rPr>
        <w:t>vidjet</w:t>
      </w:r>
      <w:r w:rsidRPr="009C58C4">
        <w:rPr>
          <w:sz w:val="22"/>
          <w:szCs w:val="22"/>
          <w:lang w:val="sr-Latn-ME"/>
        </w:rPr>
        <w:t>i</w:t>
      </w:r>
      <w:r w:rsidR="00C97935" w:rsidRPr="009C58C4">
        <w:rPr>
          <w:sz w:val="22"/>
          <w:szCs w:val="22"/>
          <w:lang w:val="sr-Latn-ME"/>
        </w:rPr>
        <w:t xml:space="preserve"> </w:t>
      </w:r>
      <w:r w:rsidR="00022D46" w:rsidRPr="009C58C4">
        <w:rPr>
          <w:sz w:val="22"/>
          <w:szCs w:val="22"/>
          <w:lang w:val="sr-Latn-ME"/>
        </w:rPr>
        <w:t>dio</w:t>
      </w:r>
      <w:r w:rsidRPr="009C58C4">
        <w:rPr>
          <w:sz w:val="22"/>
          <w:szCs w:val="22"/>
          <w:lang w:val="sr-Latn-ME"/>
        </w:rPr>
        <w:t> 4.2).</w:t>
      </w:r>
    </w:p>
    <w:p w14:paraId="74704967" w14:textId="77777777" w:rsidR="00F118BB" w:rsidRPr="009C58C4" w:rsidRDefault="00F118BB" w:rsidP="00226369">
      <w:pPr>
        <w:jc w:val="both"/>
        <w:rPr>
          <w:sz w:val="22"/>
          <w:szCs w:val="22"/>
          <w:lang w:val="sr-Latn-ME"/>
        </w:rPr>
      </w:pPr>
    </w:p>
    <w:p w14:paraId="12BCF48C" w14:textId="77777777" w:rsidR="00F118BB" w:rsidRPr="009C58C4" w:rsidRDefault="00F118BB" w:rsidP="00226369">
      <w:pPr>
        <w:keepNext/>
        <w:jc w:val="both"/>
        <w:rPr>
          <w:bCs/>
          <w:i/>
          <w:sz w:val="22"/>
          <w:szCs w:val="22"/>
          <w:u w:val="single"/>
          <w:lang w:val="sr-Latn-ME"/>
        </w:rPr>
      </w:pPr>
      <w:r w:rsidRPr="009C58C4">
        <w:rPr>
          <w:bCs/>
          <w:i/>
          <w:sz w:val="22"/>
          <w:szCs w:val="22"/>
          <w:u w:val="single"/>
          <w:lang w:val="sr-Latn-ME"/>
        </w:rPr>
        <w:t>Rasa</w:t>
      </w:r>
    </w:p>
    <w:p w14:paraId="75FE69B6" w14:textId="0D8BB04C" w:rsidR="00F118BB" w:rsidRPr="009C58C4" w:rsidRDefault="00F118BB" w:rsidP="00226369">
      <w:pPr>
        <w:jc w:val="both"/>
        <w:rPr>
          <w:sz w:val="22"/>
          <w:szCs w:val="22"/>
          <w:lang w:val="sr-Latn-ME"/>
        </w:rPr>
      </w:pPr>
      <w:r w:rsidRPr="009C58C4">
        <w:rPr>
          <w:sz w:val="22"/>
          <w:szCs w:val="22"/>
          <w:lang w:val="sr-Latn-ME"/>
        </w:rPr>
        <w:t xml:space="preserve">Nema dovoljno podataka za </w:t>
      </w:r>
      <w:r w:rsidR="007F2563" w:rsidRPr="009C58C4">
        <w:rPr>
          <w:sz w:val="22"/>
          <w:szCs w:val="22"/>
          <w:lang w:val="sr-Latn-ME"/>
        </w:rPr>
        <w:t>procjen</w:t>
      </w:r>
      <w:r w:rsidRPr="009C58C4">
        <w:rPr>
          <w:sz w:val="22"/>
          <w:szCs w:val="22"/>
          <w:lang w:val="sr-Latn-ME"/>
        </w:rPr>
        <w:t>u mogućeg uticaja rase na farmakokinetiku trametiniba jer je kliničko iskustvo ograničeno na belu rasu.</w:t>
      </w:r>
    </w:p>
    <w:p w14:paraId="3C2A5691" w14:textId="77777777" w:rsidR="00F118BB" w:rsidRPr="009C58C4" w:rsidRDefault="00F118BB" w:rsidP="00226369">
      <w:pPr>
        <w:jc w:val="both"/>
        <w:rPr>
          <w:sz w:val="22"/>
          <w:szCs w:val="22"/>
          <w:lang w:val="sr-Latn-ME"/>
        </w:rPr>
      </w:pPr>
    </w:p>
    <w:p w14:paraId="3F47BE6F" w14:textId="77777777" w:rsidR="00F118BB" w:rsidRPr="009C58C4" w:rsidRDefault="00F118BB" w:rsidP="00226369">
      <w:pPr>
        <w:keepNext/>
        <w:jc w:val="both"/>
        <w:rPr>
          <w:bCs/>
          <w:i/>
          <w:sz w:val="22"/>
          <w:szCs w:val="22"/>
          <w:u w:val="single"/>
          <w:lang w:val="sr-Latn-ME"/>
        </w:rPr>
      </w:pPr>
      <w:r w:rsidRPr="009C58C4">
        <w:rPr>
          <w:bCs/>
          <w:i/>
          <w:sz w:val="22"/>
          <w:szCs w:val="22"/>
          <w:u w:val="single"/>
          <w:lang w:val="sr-Latn-ME"/>
        </w:rPr>
        <w:t>Pol</w:t>
      </w:r>
    </w:p>
    <w:p w14:paraId="3E618649" w14:textId="77777777" w:rsidR="00F118BB" w:rsidRPr="009C58C4" w:rsidRDefault="00F118BB" w:rsidP="00226369">
      <w:pPr>
        <w:jc w:val="both"/>
        <w:rPr>
          <w:sz w:val="22"/>
          <w:szCs w:val="22"/>
          <w:lang w:val="sr-Latn-ME"/>
        </w:rPr>
      </w:pPr>
      <w:r w:rsidRPr="009C58C4">
        <w:rPr>
          <w:bCs/>
          <w:sz w:val="22"/>
          <w:szCs w:val="22"/>
          <w:lang w:val="sr-Latn-ME"/>
        </w:rPr>
        <w:t>Na osnovu analize populacione farmakokinetike</w:t>
      </w:r>
      <w:r w:rsidRPr="009C58C4">
        <w:rPr>
          <w:sz w:val="22"/>
          <w:szCs w:val="22"/>
          <w:lang w:val="sr-Latn-ME"/>
        </w:rPr>
        <w:t xml:space="preserve"> kod odraslih i pedijatrijskih pacijenata, pokazano je da pol utiče na peroralni klirens trametiniba. Iako se predviđa da će izloženost biti veća kod pacijentkinja ženskog pola nego kod pacijenata muškog pola, malo je verovatno da bi te razlike mogle biti klinički značajne i zbog toga nije potrebno prilagođavati dozu.</w:t>
      </w:r>
    </w:p>
    <w:p w14:paraId="0CC0D194" w14:textId="77777777" w:rsidR="0072020E" w:rsidRPr="009C58C4" w:rsidRDefault="0072020E" w:rsidP="00226369">
      <w:pPr>
        <w:tabs>
          <w:tab w:val="left" w:pos="540"/>
          <w:tab w:val="left" w:pos="569"/>
        </w:tabs>
        <w:jc w:val="both"/>
        <w:rPr>
          <w:bCs/>
          <w:sz w:val="22"/>
          <w:szCs w:val="22"/>
          <w:lang w:val="sr-Latn-ME"/>
        </w:rPr>
      </w:pPr>
    </w:p>
    <w:p w14:paraId="5C34CF84" w14:textId="79F11270"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5.3. </w:t>
      </w:r>
      <w:r w:rsidR="00480FB1" w:rsidRPr="009C58C4">
        <w:rPr>
          <w:b/>
          <w:bCs/>
          <w:sz w:val="22"/>
          <w:szCs w:val="22"/>
          <w:lang w:val="sr-Latn-ME"/>
        </w:rPr>
        <w:tab/>
      </w:r>
      <w:r w:rsidRPr="009C58C4">
        <w:rPr>
          <w:b/>
          <w:bCs/>
          <w:sz w:val="22"/>
          <w:szCs w:val="22"/>
          <w:lang w:val="sr-Latn-ME"/>
        </w:rPr>
        <w:t xml:space="preserve">Pretklinički podaci o bezbjednosti </w:t>
      </w:r>
    </w:p>
    <w:p w14:paraId="305D4A20" w14:textId="77777777" w:rsidR="00304534" w:rsidRPr="009C58C4" w:rsidRDefault="00304534" w:rsidP="00226369">
      <w:pPr>
        <w:tabs>
          <w:tab w:val="left" w:pos="540"/>
          <w:tab w:val="left" w:pos="569"/>
        </w:tabs>
        <w:jc w:val="both"/>
        <w:rPr>
          <w:b/>
          <w:bCs/>
          <w:sz w:val="22"/>
          <w:szCs w:val="22"/>
          <w:lang w:val="sr-Latn-ME"/>
        </w:rPr>
      </w:pPr>
    </w:p>
    <w:p w14:paraId="4E2D9DD8" w14:textId="1D1F02E7" w:rsidR="00F118BB" w:rsidRPr="009C58C4" w:rsidRDefault="00F118BB" w:rsidP="00226369">
      <w:pPr>
        <w:jc w:val="both"/>
        <w:rPr>
          <w:sz w:val="22"/>
          <w:szCs w:val="22"/>
          <w:lang w:val="sr-Latn-ME"/>
        </w:rPr>
      </w:pPr>
      <w:r w:rsidRPr="009C58C4">
        <w:rPr>
          <w:sz w:val="22"/>
          <w:szCs w:val="22"/>
          <w:lang w:val="sr-Latn-ME"/>
        </w:rPr>
        <w:t xml:space="preserve">Nisu sprovedena ispitivanja karcinogenosti sa trametinibom. Trametinib nije bio genotoksičan u ispitivanjima u kojima su se </w:t>
      </w:r>
      <w:r w:rsidR="007F2563" w:rsidRPr="009C58C4">
        <w:rPr>
          <w:sz w:val="22"/>
          <w:szCs w:val="22"/>
          <w:lang w:val="sr-Latn-ME"/>
        </w:rPr>
        <w:t>procjen</w:t>
      </w:r>
      <w:r w:rsidRPr="009C58C4">
        <w:rPr>
          <w:sz w:val="22"/>
          <w:szCs w:val="22"/>
          <w:lang w:val="sr-Latn-ME"/>
        </w:rPr>
        <w:t>jivale reverzne mutacije bakterija, hromozomske aberacije u ćelijama sisara i mikronukleusi u koštanoj srži pacova.</w:t>
      </w:r>
    </w:p>
    <w:p w14:paraId="470D4F18" w14:textId="77777777" w:rsidR="00F118BB" w:rsidRPr="009C58C4" w:rsidRDefault="00F118BB" w:rsidP="00226369">
      <w:pPr>
        <w:jc w:val="both"/>
        <w:rPr>
          <w:sz w:val="22"/>
          <w:szCs w:val="22"/>
          <w:lang w:val="sr-Latn-ME"/>
        </w:rPr>
      </w:pPr>
    </w:p>
    <w:p w14:paraId="64A02D93" w14:textId="2CBBED42" w:rsidR="00F118BB" w:rsidRPr="009C58C4" w:rsidRDefault="00F118BB" w:rsidP="00226369">
      <w:pPr>
        <w:jc w:val="both"/>
        <w:rPr>
          <w:sz w:val="22"/>
          <w:szCs w:val="22"/>
          <w:lang w:val="sr-Latn-ME"/>
        </w:rPr>
      </w:pPr>
      <w:r w:rsidRPr="009C58C4">
        <w:rPr>
          <w:sz w:val="22"/>
          <w:szCs w:val="22"/>
          <w:lang w:val="sr-Latn-ME"/>
        </w:rPr>
        <w:lastRenderedPageBreak/>
        <w:t>Budući da je u ispitivanjima s</w:t>
      </w:r>
      <w:r w:rsidR="00C97935" w:rsidRPr="009C58C4">
        <w:rPr>
          <w:sz w:val="22"/>
          <w:szCs w:val="22"/>
          <w:lang w:val="sr-Latn-ME"/>
        </w:rPr>
        <w:t>a</w:t>
      </w:r>
      <w:r w:rsidRPr="009C58C4">
        <w:rPr>
          <w:sz w:val="22"/>
          <w:szCs w:val="22"/>
          <w:lang w:val="sr-Latn-ME"/>
        </w:rPr>
        <w:t xml:space="preserve"> </w:t>
      </w:r>
      <w:r w:rsidR="007F2563" w:rsidRPr="009C58C4">
        <w:rPr>
          <w:sz w:val="22"/>
          <w:szCs w:val="22"/>
          <w:lang w:val="sr-Latn-ME"/>
        </w:rPr>
        <w:t>primjen</w:t>
      </w:r>
      <w:r w:rsidRPr="009C58C4">
        <w:rPr>
          <w:sz w:val="22"/>
          <w:szCs w:val="22"/>
          <w:lang w:val="sr-Latn-ME"/>
        </w:rPr>
        <w:t>om ponovljenih doza prim</w:t>
      </w:r>
      <w:r w:rsidR="00B15D7C" w:rsidRPr="009C58C4">
        <w:rPr>
          <w:sz w:val="22"/>
          <w:szCs w:val="22"/>
          <w:lang w:val="sr-Latn-ME"/>
        </w:rPr>
        <w:t>ij</w:t>
      </w:r>
      <w:r w:rsidRPr="009C58C4">
        <w:rPr>
          <w:sz w:val="22"/>
          <w:szCs w:val="22"/>
          <w:lang w:val="sr-Latn-ME"/>
        </w:rPr>
        <w:t>ećeno povećanje broja cističnih folikula i smanjenje broja žutih tela kod ženki pacova pri izloženosti manjom od kliničke izloženosti kod ljudi na osnovu PIK-a, trametinib bi mogao štetno uticati na plodnost žena.</w:t>
      </w:r>
    </w:p>
    <w:p w14:paraId="700142C8" w14:textId="77777777" w:rsidR="00F118BB" w:rsidRPr="009C58C4" w:rsidRDefault="00F118BB" w:rsidP="00226369">
      <w:pPr>
        <w:jc w:val="both"/>
        <w:rPr>
          <w:sz w:val="22"/>
          <w:szCs w:val="22"/>
          <w:lang w:val="sr-Latn-ME"/>
        </w:rPr>
      </w:pPr>
    </w:p>
    <w:p w14:paraId="7B6BDF73" w14:textId="0004885E" w:rsidR="00F118BB" w:rsidRPr="009C58C4" w:rsidRDefault="00F118BB" w:rsidP="00226369">
      <w:pPr>
        <w:jc w:val="both"/>
        <w:rPr>
          <w:sz w:val="22"/>
          <w:szCs w:val="22"/>
          <w:lang w:val="sr-Latn-ME"/>
        </w:rPr>
      </w:pPr>
      <w:r w:rsidRPr="009C58C4">
        <w:rPr>
          <w:sz w:val="22"/>
          <w:szCs w:val="22"/>
          <w:lang w:val="sr-Latn-ME"/>
        </w:rPr>
        <w:t xml:space="preserve">Dodatno, kod </w:t>
      </w:r>
      <w:r w:rsidR="006656BE" w:rsidRPr="009C58C4">
        <w:rPr>
          <w:sz w:val="22"/>
          <w:szCs w:val="22"/>
          <w:lang w:val="sr-Latn-ME"/>
        </w:rPr>
        <w:t>ml</w:t>
      </w:r>
      <w:r w:rsidRPr="009C58C4">
        <w:rPr>
          <w:sz w:val="22"/>
          <w:szCs w:val="22"/>
          <w:lang w:val="sr-Latn-ME"/>
        </w:rPr>
        <w:t xml:space="preserve">adih pacova kojima je davan trametinib uočeno je smanjenje mase jajnika, blaga kašnjenja u pojavi karakteristika ženskog polnog sazrevanja (vaginalni otvor i povećana incidenca istaknutih terminalnih završetaka pupoljaka unutar </w:t>
      </w:r>
      <w:r w:rsidR="006656BE" w:rsidRPr="009C58C4">
        <w:rPr>
          <w:sz w:val="22"/>
          <w:szCs w:val="22"/>
          <w:lang w:val="sr-Latn-ME"/>
        </w:rPr>
        <w:t>m</w:t>
      </w:r>
      <w:r w:rsidR="007F2563" w:rsidRPr="009C58C4">
        <w:rPr>
          <w:sz w:val="22"/>
          <w:szCs w:val="22"/>
          <w:lang w:val="sr-Latn-ME"/>
        </w:rPr>
        <w:t>liječ</w:t>
      </w:r>
      <w:r w:rsidRPr="009C58C4">
        <w:rPr>
          <w:sz w:val="22"/>
          <w:szCs w:val="22"/>
          <w:lang w:val="sr-Latn-ME"/>
        </w:rPr>
        <w:t xml:space="preserve">ne žlezde) i blaga hipertrofija površine epitela maternice. Svi ovi učinci su bili reverzibilni nakon razdoblja bez </w:t>
      </w:r>
      <w:r w:rsidR="007F2563" w:rsidRPr="009C58C4">
        <w:rPr>
          <w:sz w:val="22"/>
          <w:szCs w:val="22"/>
          <w:lang w:val="sr-Latn-ME"/>
        </w:rPr>
        <w:t>liječ</w:t>
      </w:r>
      <w:r w:rsidRPr="009C58C4">
        <w:rPr>
          <w:sz w:val="22"/>
          <w:szCs w:val="22"/>
          <w:lang w:val="sr-Latn-ME"/>
        </w:rPr>
        <w:t xml:space="preserve">enja i mogli su se pripisati farmakološkom efektu </w:t>
      </w:r>
      <w:r w:rsidR="007F2563" w:rsidRPr="009C58C4">
        <w:rPr>
          <w:sz w:val="22"/>
          <w:szCs w:val="22"/>
          <w:lang w:val="sr-Latn-ME"/>
        </w:rPr>
        <w:t>lijek</w:t>
      </w:r>
      <w:r w:rsidRPr="009C58C4">
        <w:rPr>
          <w:sz w:val="22"/>
          <w:szCs w:val="22"/>
          <w:lang w:val="sr-Latn-ME"/>
        </w:rPr>
        <w:t>a. Međutim, u ispitivanjima toksičnosti na pacovima i psima u trajanju do 13 </w:t>
      </w:r>
      <w:r w:rsidR="00F46CDF" w:rsidRPr="009C58C4">
        <w:rPr>
          <w:sz w:val="22"/>
          <w:szCs w:val="22"/>
          <w:lang w:val="sr-Latn-ME"/>
        </w:rPr>
        <w:t>nedjelj</w:t>
      </w:r>
      <w:r w:rsidRPr="009C58C4">
        <w:rPr>
          <w:sz w:val="22"/>
          <w:szCs w:val="22"/>
          <w:lang w:val="sr-Latn-ME"/>
        </w:rPr>
        <w:t xml:space="preserve">a nisu primećeni efekti </w:t>
      </w:r>
      <w:r w:rsidR="007F2563" w:rsidRPr="009C58C4">
        <w:rPr>
          <w:sz w:val="22"/>
          <w:szCs w:val="22"/>
          <w:lang w:val="sr-Latn-ME"/>
        </w:rPr>
        <w:t>liječ</w:t>
      </w:r>
      <w:r w:rsidRPr="009C58C4">
        <w:rPr>
          <w:sz w:val="22"/>
          <w:szCs w:val="22"/>
          <w:lang w:val="sr-Latn-ME"/>
        </w:rPr>
        <w:t>enja na reproduktivna tkiva mužjaka.</w:t>
      </w:r>
    </w:p>
    <w:p w14:paraId="74683516" w14:textId="77777777" w:rsidR="00F118BB" w:rsidRPr="009C58C4" w:rsidRDefault="00F118BB" w:rsidP="00226369">
      <w:pPr>
        <w:jc w:val="both"/>
        <w:rPr>
          <w:sz w:val="22"/>
          <w:szCs w:val="22"/>
          <w:lang w:val="sr-Latn-ME"/>
        </w:rPr>
      </w:pPr>
    </w:p>
    <w:p w14:paraId="5CC98600" w14:textId="027C881B" w:rsidR="00F118BB" w:rsidRPr="009C58C4" w:rsidRDefault="00F118BB" w:rsidP="00226369">
      <w:pPr>
        <w:jc w:val="both"/>
        <w:rPr>
          <w:sz w:val="22"/>
          <w:szCs w:val="22"/>
          <w:lang w:val="sr-Latn-ME"/>
        </w:rPr>
      </w:pPr>
      <w:r w:rsidRPr="009C58C4">
        <w:rPr>
          <w:sz w:val="22"/>
          <w:szCs w:val="22"/>
          <w:lang w:val="sr-Latn-ME"/>
        </w:rPr>
        <w:t>U ispitivanjima embriofetalne razvojne toksičnosti na pacovima i kunićima trametinib je izazvao toksičnost za majku i razvojnu toksičnost. Kod pacova su prim</w:t>
      </w:r>
      <w:r w:rsidR="00B15D7C" w:rsidRPr="009C58C4">
        <w:rPr>
          <w:sz w:val="22"/>
          <w:szCs w:val="22"/>
          <w:lang w:val="sr-Latn-ME"/>
        </w:rPr>
        <w:t>ij</w:t>
      </w:r>
      <w:r w:rsidRPr="009C58C4">
        <w:rPr>
          <w:sz w:val="22"/>
          <w:szCs w:val="22"/>
          <w:lang w:val="sr-Latn-ME"/>
        </w:rPr>
        <w:t>ećeni smanjena težina ploda i povećan post-implantacijski gubitak pri izloženostima koje su bile manje ili blago veće od kliničke izloženosti kod ljudi na temelju PIK-a. U ispitivanju embriofetalne razvojne toksičnosti kod kunića prim</w:t>
      </w:r>
      <w:r w:rsidR="00B15D7C" w:rsidRPr="009C58C4">
        <w:rPr>
          <w:sz w:val="22"/>
          <w:szCs w:val="22"/>
          <w:lang w:val="sr-Latn-ME"/>
        </w:rPr>
        <w:t>ij</w:t>
      </w:r>
      <w:r w:rsidRPr="009C58C4">
        <w:rPr>
          <w:sz w:val="22"/>
          <w:szCs w:val="22"/>
          <w:lang w:val="sr-Latn-ME"/>
        </w:rPr>
        <w:t xml:space="preserve">ećeni su smanjena </w:t>
      </w:r>
      <w:r w:rsidR="00F46CDF" w:rsidRPr="009C58C4">
        <w:rPr>
          <w:sz w:val="22"/>
          <w:szCs w:val="22"/>
          <w:lang w:val="sr-Latn-ME"/>
        </w:rPr>
        <w:t>tjeles</w:t>
      </w:r>
      <w:r w:rsidRPr="009C58C4">
        <w:rPr>
          <w:sz w:val="22"/>
          <w:szCs w:val="22"/>
          <w:lang w:val="sr-Latn-ME"/>
        </w:rPr>
        <w:t>na masa ploda, povećan broj pobačaja, povećana incidenca nepotpunog okoštavanja i koštanih malformacija pri izloženostima koje su bile manje od kliničke izloženosti na temelju PIK-a.</w:t>
      </w:r>
    </w:p>
    <w:p w14:paraId="3A269554" w14:textId="77777777" w:rsidR="00F118BB" w:rsidRPr="009C58C4" w:rsidRDefault="00F118BB" w:rsidP="00226369">
      <w:pPr>
        <w:jc w:val="both"/>
        <w:rPr>
          <w:sz w:val="22"/>
          <w:szCs w:val="22"/>
          <w:lang w:val="sr-Latn-ME"/>
        </w:rPr>
      </w:pPr>
    </w:p>
    <w:p w14:paraId="753B7D7F" w14:textId="42A3B9A9" w:rsidR="00F118BB" w:rsidRPr="009C58C4" w:rsidRDefault="00F118BB" w:rsidP="00226369">
      <w:pPr>
        <w:jc w:val="both"/>
        <w:rPr>
          <w:sz w:val="22"/>
          <w:szCs w:val="22"/>
          <w:lang w:val="sr-Latn-ME"/>
        </w:rPr>
      </w:pPr>
      <w:r w:rsidRPr="009C58C4">
        <w:rPr>
          <w:sz w:val="22"/>
          <w:szCs w:val="22"/>
          <w:lang w:val="sr-Latn-ME"/>
        </w:rPr>
        <w:t>U ispitivanjima s</w:t>
      </w:r>
      <w:r w:rsidR="00C97935" w:rsidRPr="009C58C4">
        <w:rPr>
          <w:sz w:val="22"/>
          <w:szCs w:val="22"/>
          <w:lang w:val="sr-Latn-ME"/>
        </w:rPr>
        <w:t>a</w:t>
      </w:r>
      <w:r w:rsidRPr="009C58C4">
        <w:rPr>
          <w:sz w:val="22"/>
          <w:szCs w:val="22"/>
          <w:lang w:val="sr-Latn-ME"/>
        </w:rPr>
        <w:t xml:space="preserve"> </w:t>
      </w:r>
      <w:r w:rsidR="007F2563" w:rsidRPr="009C58C4">
        <w:rPr>
          <w:sz w:val="22"/>
          <w:szCs w:val="22"/>
          <w:lang w:val="sr-Latn-ME"/>
        </w:rPr>
        <w:t>primjen</w:t>
      </w:r>
      <w:r w:rsidRPr="009C58C4">
        <w:rPr>
          <w:sz w:val="22"/>
          <w:szCs w:val="22"/>
          <w:lang w:val="sr-Latn-ME"/>
        </w:rPr>
        <w:t>om ponovljenih doza, učinci koji nastaju kao posl</w:t>
      </w:r>
      <w:r w:rsidR="00B15D7C" w:rsidRPr="009C58C4">
        <w:rPr>
          <w:sz w:val="22"/>
          <w:szCs w:val="22"/>
          <w:lang w:val="sr-Latn-ME"/>
        </w:rPr>
        <w:t>j</w:t>
      </w:r>
      <w:r w:rsidRPr="009C58C4">
        <w:rPr>
          <w:sz w:val="22"/>
          <w:szCs w:val="22"/>
          <w:lang w:val="sr-Latn-ME"/>
        </w:rPr>
        <w:t>edica izloženosti trametinibu prim</w:t>
      </w:r>
      <w:r w:rsidR="00B15D7C" w:rsidRPr="009C58C4">
        <w:rPr>
          <w:sz w:val="22"/>
          <w:szCs w:val="22"/>
          <w:lang w:val="sr-Latn-ME"/>
        </w:rPr>
        <w:t>ij</w:t>
      </w:r>
      <w:r w:rsidRPr="009C58C4">
        <w:rPr>
          <w:sz w:val="22"/>
          <w:szCs w:val="22"/>
          <w:lang w:val="sr-Latn-ME"/>
        </w:rPr>
        <w:t xml:space="preserve">ećeni su uglavnom na koži, u gastrointestinalnom sistemu, hematološkom sistemu, na kostima i u jetri. Većina ovih nalaza bila je reverzibilna nakon oporavka bez </w:t>
      </w:r>
      <w:r w:rsidR="007F2563" w:rsidRPr="009C58C4">
        <w:rPr>
          <w:sz w:val="22"/>
          <w:szCs w:val="22"/>
          <w:lang w:val="sr-Latn-ME"/>
        </w:rPr>
        <w:t>primjen</w:t>
      </w:r>
      <w:r w:rsidRPr="009C58C4">
        <w:rPr>
          <w:sz w:val="22"/>
          <w:szCs w:val="22"/>
          <w:lang w:val="sr-Latn-ME"/>
        </w:rPr>
        <w:t xml:space="preserve">e </w:t>
      </w:r>
      <w:r w:rsidR="007F2563" w:rsidRPr="009C58C4">
        <w:rPr>
          <w:sz w:val="22"/>
          <w:szCs w:val="22"/>
          <w:lang w:val="sr-Latn-ME"/>
        </w:rPr>
        <w:t>lijek</w:t>
      </w:r>
      <w:r w:rsidRPr="009C58C4">
        <w:rPr>
          <w:sz w:val="22"/>
          <w:szCs w:val="22"/>
          <w:lang w:val="sr-Latn-ME"/>
        </w:rPr>
        <w:t>a. Kod pacova su prim</w:t>
      </w:r>
      <w:r w:rsidR="00B15D7C" w:rsidRPr="009C58C4">
        <w:rPr>
          <w:sz w:val="22"/>
          <w:szCs w:val="22"/>
          <w:lang w:val="sr-Latn-ME"/>
        </w:rPr>
        <w:t>ij</w:t>
      </w:r>
      <w:r w:rsidRPr="009C58C4">
        <w:rPr>
          <w:sz w:val="22"/>
          <w:szCs w:val="22"/>
          <w:lang w:val="sr-Latn-ME"/>
        </w:rPr>
        <w:t xml:space="preserve">ećene hepatocelularna nekroza i povišene </w:t>
      </w:r>
      <w:r w:rsidR="00F46CDF" w:rsidRPr="009C58C4">
        <w:rPr>
          <w:sz w:val="22"/>
          <w:szCs w:val="22"/>
          <w:lang w:val="sr-Latn-ME"/>
        </w:rPr>
        <w:t>vrijednost</w:t>
      </w:r>
      <w:r w:rsidRPr="009C58C4">
        <w:rPr>
          <w:sz w:val="22"/>
          <w:szCs w:val="22"/>
          <w:lang w:val="sr-Latn-ME"/>
        </w:rPr>
        <w:t>i transaminaza nakon 8 </w:t>
      </w:r>
      <w:r w:rsidR="00F46CDF" w:rsidRPr="009C58C4">
        <w:rPr>
          <w:sz w:val="22"/>
          <w:szCs w:val="22"/>
          <w:lang w:val="sr-Latn-ME"/>
        </w:rPr>
        <w:t>nedjelj</w:t>
      </w:r>
      <w:r w:rsidRPr="009C58C4">
        <w:rPr>
          <w:sz w:val="22"/>
          <w:szCs w:val="22"/>
          <w:lang w:val="sr-Latn-ME"/>
        </w:rPr>
        <w:t xml:space="preserve">a </w:t>
      </w:r>
      <w:r w:rsidR="007F2563" w:rsidRPr="009C58C4">
        <w:rPr>
          <w:sz w:val="22"/>
          <w:szCs w:val="22"/>
          <w:lang w:val="sr-Latn-ME"/>
        </w:rPr>
        <w:t>primjen</w:t>
      </w:r>
      <w:r w:rsidRPr="009C58C4">
        <w:rPr>
          <w:sz w:val="22"/>
          <w:szCs w:val="22"/>
          <w:lang w:val="sr-Latn-ME"/>
        </w:rPr>
        <w:t>e doze ≥ 0,062 mg/kg/dan (približno 0,8 puta kliničke izloženosti kod ljudi na osnovu PIK-a).</w:t>
      </w:r>
    </w:p>
    <w:p w14:paraId="064A6401" w14:textId="77777777" w:rsidR="00F118BB" w:rsidRPr="009C58C4" w:rsidRDefault="00F118BB" w:rsidP="00226369">
      <w:pPr>
        <w:jc w:val="both"/>
        <w:rPr>
          <w:sz w:val="22"/>
          <w:szCs w:val="22"/>
          <w:lang w:val="sr-Latn-ME"/>
        </w:rPr>
      </w:pPr>
    </w:p>
    <w:p w14:paraId="6EEB3F5F" w14:textId="241E4CB5" w:rsidR="00F118BB" w:rsidRPr="009C58C4" w:rsidRDefault="00F118BB" w:rsidP="00226369">
      <w:pPr>
        <w:jc w:val="both"/>
        <w:rPr>
          <w:sz w:val="22"/>
          <w:szCs w:val="22"/>
          <w:lang w:val="sr-Latn-ME"/>
        </w:rPr>
      </w:pPr>
      <w:r w:rsidRPr="009C58C4">
        <w:rPr>
          <w:sz w:val="22"/>
          <w:szCs w:val="22"/>
          <w:lang w:val="sr-Latn-ME"/>
        </w:rPr>
        <w:t>Kod miševa su nakon 3 </w:t>
      </w:r>
      <w:r w:rsidR="00F46CDF" w:rsidRPr="009C58C4">
        <w:rPr>
          <w:sz w:val="22"/>
          <w:szCs w:val="22"/>
          <w:lang w:val="sr-Latn-ME"/>
        </w:rPr>
        <w:t>nedjelj</w:t>
      </w:r>
      <w:r w:rsidRPr="009C58C4">
        <w:rPr>
          <w:sz w:val="22"/>
          <w:szCs w:val="22"/>
          <w:lang w:val="sr-Latn-ME"/>
        </w:rPr>
        <w:t xml:space="preserve">e </w:t>
      </w:r>
      <w:r w:rsidR="007F2563" w:rsidRPr="009C58C4">
        <w:rPr>
          <w:sz w:val="22"/>
          <w:szCs w:val="22"/>
          <w:lang w:val="sr-Latn-ME"/>
        </w:rPr>
        <w:t>primjen</w:t>
      </w:r>
      <w:r w:rsidRPr="009C58C4">
        <w:rPr>
          <w:sz w:val="22"/>
          <w:szCs w:val="22"/>
          <w:lang w:val="sr-Latn-ME"/>
        </w:rPr>
        <w:t>e trametiniba u dozi ≥ 0,25 mg/kg/dan (izloženost približno 3 puta veća od kliničke izloženosti kod ljudi na osnovu PIK-a) prim</w:t>
      </w:r>
      <w:r w:rsidR="00B15D7C" w:rsidRPr="009C58C4">
        <w:rPr>
          <w:sz w:val="22"/>
          <w:szCs w:val="22"/>
          <w:lang w:val="sr-Latn-ME"/>
        </w:rPr>
        <w:t>ij</w:t>
      </w:r>
      <w:r w:rsidRPr="009C58C4">
        <w:rPr>
          <w:sz w:val="22"/>
          <w:szCs w:val="22"/>
          <w:lang w:val="sr-Latn-ME"/>
        </w:rPr>
        <w:t>ećeni usporeni srčani otkucaji, smanjena težina srca i smanjena funkcija l</w:t>
      </w:r>
      <w:r w:rsidR="00B15D7C" w:rsidRPr="009C58C4">
        <w:rPr>
          <w:sz w:val="22"/>
          <w:szCs w:val="22"/>
          <w:lang w:val="sr-Latn-ME"/>
        </w:rPr>
        <w:t>ij</w:t>
      </w:r>
      <w:r w:rsidRPr="009C58C4">
        <w:rPr>
          <w:sz w:val="22"/>
          <w:szCs w:val="22"/>
          <w:lang w:val="sr-Latn-ME"/>
        </w:rPr>
        <w:t>eve komore bez histopatoloških promena na srcu, koji su trajali do 3 </w:t>
      </w:r>
      <w:r w:rsidR="00F46CDF" w:rsidRPr="009C58C4">
        <w:rPr>
          <w:sz w:val="22"/>
          <w:szCs w:val="22"/>
          <w:lang w:val="sr-Latn-ME"/>
        </w:rPr>
        <w:t>nedjelj</w:t>
      </w:r>
      <w:r w:rsidRPr="009C58C4">
        <w:rPr>
          <w:sz w:val="22"/>
          <w:szCs w:val="22"/>
          <w:lang w:val="sr-Latn-ME"/>
        </w:rPr>
        <w:t>e. Kod odraslih pacova se mineralizacija većeg broja organa povezivala s</w:t>
      </w:r>
      <w:r w:rsidR="00C97935" w:rsidRPr="009C58C4">
        <w:rPr>
          <w:sz w:val="22"/>
          <w:szCs w:val="22"/>
          <w:lang w:val="sr-Latn-ME"/>
        </w:rPr>
        <w:t>a</w:t>
      </w:r>
      <w:r w:rsidRPr="009C58C4">
        <w:rPr>
          <w:sz w:val="22"/>
          <w:szCs w:val="22"/>
          <w:lang w:val="sr-Latn-ME"/>
        </w:rPr>
        <w:t xml:space="preserve"> povećanjem koncentracije fosfora u serumu i bila je usko povezana s</w:t>
      </w:r>
      <w:r w:rsidR="00C97935" w:rsidRPr="009C58C4">
        <w:rPr>
          <w:sz w:val="22"/>
          <w:szCs w:val="22"/>
          <w:lang w:val="sr-Latn-ME"/>
        </w:rPr>
        <w:t>a</w:t>
      </w:r>
      <w:r w:rsidRPr="009C58C4">
        <w:rPr>
          <w:sz w:val="22"/>
          <w:szCs w:val="22"/>
          <w:lang w:val="sr-Latn-ME"/>
        </w:rPr>
        <w:t xml:space="preserve"> nekrozom srca, jetre i bubrega te plućnim krvarenjem pri izloženostima koje su bile uporedive s</w:t>
      </w:r>
      <w:r w:rsidR="00C97935" w:rsidRPr="009C58C4">
        <w:rPr>
          <w:sz w:val="22"/>
          <w:szCs w:val="22"/>
          <w:lang w:val="sr-Latn-ME"/>
        </w:rPr>
        <w:t>a</w:t>
      </w:r>
      <w:r w:rsidRPr="009C58C4">
        <w:rPr>
          <w:sz w:val="22"/>
          <w:szCs w:val="22"/>
          <w:lang w:val="sr-Latn-ME"/>
        </w:rPr>
        <w:t xml:space="preserve"> kliničkom izloženošću kod ljudi. Kod pacova su prim</w:t>
      </w:r>
      <w:r w:rsidR="00B15D7C" w:rsidRPr="009C58C4">
        <w:rPr>
          <w:sz w:val="22"/>
          <w:szCs w:val="22"/>
          <w:lang w:val="sr-Latn-ME"/>
        </w:rPr>
        <w:t>ij</w:t>
      </w:r>
      <w:r w:rsidRPr="009C58C4">
        <w:rPr>
          <w:sz w:val="22"/>
          <w:szCs w:val="22"/>
          <w:lang w:val="sr-Latn-ME"/>
        </w:rPr>
        <w:t>ećene hipertrofija epifizne ploče i povećanje koštane pregradnje. Kod pacova i pasa koji su primali trametinib u dozi jednakoj ili manjoj od kliničke izloženosti kod ljudi prim</w:t>
      </w:r>
      <w:r w:rsidR="00B15D7C" w:rsidRPr="009C58C4">
        <w:rPr>
          <w:sz w:val="22"/>
          <w:szCs w:val="22"/>
          <w:lang w:val="sr-Latn-ME"/>
        </w:rPr>
        <w:t>ij</w:t>
      </w:r>
      <w:r w:rsidRPr="009C58C4">
        <w:rPr>
          <w:sz w:val="22"/>
          <w:szCs w:val="22"/>
          <w:lang w:val="sr-Latn-ME"/>
        </w:rPr>
        <w:t xml:space="preserve">ećena je nekroza koštane srži, atrofija limfnog tkiva u timusu i limfnog tkiva pridruženog sluznici gastrointestinalnog sistema te nekroza limfnog tkiva u limfnim čvorovima, slezeni i timusu, sve navedene pojave mogu oštetiti imunološku funkciju. Kod </w:t>
      </w:r>
      <w:r w:rsidR="006656BE" w:rsidRPr="009C58C4">
        <w:rPr>
          <w:sz w:val="22"/>
          <w:szCs w:val="22"/>
          <w:lang w:val="sr-Latn-ME"/>
        </w:rPr>
        <w:t>ml</w:t>
      </w:r>
      <w:r w:rsidRPr="009C58C4">
        <w:rPr>
          <w:sz w:val="22"/>
          <w:szCs w:val="22"/>
          <w:lang w:val="sr-Latn-ME"/>
        </w:rPr>
        <w:t>adih pacova uočena je povećana masa srca bez histopatoloških nalaza pri dozi od 0,35 mg/kg/dan (izloženost približno 2 puta veća od kliničke izloženosti kod ljudi na osnovu PIK-a).</w:t>
      </w:r>
    </w:p>
    <w:p w14:paraId="51EB0484" w14:textId="77777777" w:rsidR="00F118BB" w:rsidRPr="009C58C4" w:rsidRDefault="00F118BB" w:rsidP="00226369">
      <w:pPr>
        <w:jc w:val="both"/>
        <w:rPr>
          <w:sz w:val="22"/>
          <w:szCs w:val="22"/>
          <w:lang w:val="sr-Latn-ME"/>
        </w:rPr>
      </w:pPr>
    </w:p>
    <w:p w14:paraId="40191019" w14:textId="44BD2C1E" w:rsidR="00F118BB" w:rsidRPr="009C58C4" w:rsidRDefault="00F118BB" w:rsidP="00226369">
      <w:pPr>
        <w:jc w:val="both"/>
        <w:rPr>
          <w:sz w:val="22"/>
          <w:szCs w:val="22"/>
          <w:lang w:val="sr-Latn-ME"/>
        </w:rPr>
      </w:pPr>
      <w:r w:rsidRPr="009C58C4">
        <w:rPr>
          <w:sz w:val="22"/>
          <w:szCs w:val="22"/>
          <w:lang w:val="sr-Latn-ME"/>
        </w:rPr>
        <w:t xml:space="preserve">Trametinib je bio fototoksičan u </w:t>
      </w:r>
      <w:r w:rsidRPr="009C58C4">
        <w:rPr>
          <w:i/>
          <w:iCs/>
          <w:sz w:val="22"/>
          <w:szCs w:val="22"/>
          <w:lang w:val="sr-Latn-ME"/>
        </w:rPr>
        <w:t xml:space="preserve">in vitro </w:t>
      </w:r>
      <w:r w:rsidRPr="009C58C4">
        <w:rPr>
          <w:sz w:val="22"/>
          <w:szCs w:val="22"/>
          <w:lang w:val="sr-Latn-ME"/>
        </w:rPr>
        <w:t xml:space="preserve">3T3 NRU (engl. </w:t>
      </w:r>
      <w:r w:rsidRPr="009C58C4">
        <w:rPr>
          <w:i/>
          <w:iCs/>
          <w:sz w:val="22"/>
          <w:szCs w:val="22"/>
          <w:lang w:val="sr-Latn-ME"/>
        </w:rPr>
        <w:t>Neutral Red Uptake</w:t>
      </w:r>
      <w:r w:rsidRPr="009C58C4">
        <w:rPr>
          <w:sz w:val="22"/>
          <w:szCs w:val="22"/>
          <w:lang w:val="sr-Latn-ME"/>
        </w:rPr>
        <w:t>) testu fototoksičnosti na fibroblastima miševa, pri koncentracijama značajno višim od kliničkih izloženosti kod ljudi (IC50 pri 2,92 µg/</w:t>
      </w:r>
      <w:r w:rsidR="006656BE" w:rsidRPr="009C58C4">
        <w:rPr>
          <w:sz w:val="22"/>
          <w:szCs w:val="22"/>
          <w:lang w:val="sr-Latn-ME"/>
        </w:rPr>
        <w:t>ml</w:t>
      </w:r>
      <w:r w:rsidRPr="009C58C4">
        <w:rPr>
          <w:sz w:val="22"/>
          <w:szCs w:val="22"/>
          <w:lang w:val="sr-Latn-ME"/>
        </w:rPr>
        <w:t>, ≥ 130 puta veće od kliničke izloženosti kod ljudi na osnovu C</w:t>
      </w:r>
      <w:r w:rsidRPr="009C58C4">
        <w:rPr>
          <w:sz w:val="22"/>
          <w:szCs w:val="22"/>
          <w:vertAlign w:val="subscript"/>
          <w:lang w:val="sr-Latn-ME"/>
        </w:rPr>
        <w:t>max</w:t>
      </w:r>
      <w:r w:rsidRPr="009C58C4">
        <w:rPr>
          <w:sz w:val="22"/>
          <w:szCs w:val="22"/>
          <w:lang w:val="sr-Latn-ME"/>
        </w:rPr>
        <w:t>), što upućuje na nizak rizik za fototoksičnost kod pacijenata koji uzimaju trametinib.</w:t>
      </w:r>
    </w:p>
    <w:p w14:paraId="1C8B6840" w14:textId="77777777" w:rsidR="00F118BB" w:rsidRPr="009C58C4" w:rsidRDefault="00F118BB" w:rsidP="00226369">
      <w:pPr>
        <w:jc w:val="both"/>
        <w:rPr>
          <w:sz w:val="22"/>
          <w:szCs w:val="22"/>
          <w:lang w:val="sr-Latn-ME"/>
        </w:rPr>
      </w:pPr>
    </w:p>
    <w:p w14:paraId="2B2B1892" w14:textId="7F89EA2D" w:rsidR="00F118BB" w:rsidRPr="009C58C4" w:rsidRDefault="00F118BB" w:rsidP="00226369">
      <w:pPr>
        <w:keepNext/>
        <w:jc w:val="both"/>
        <w:rPr>
          <w:sz w:val="22"/>
          <w:szCs w:val="22"/>
          <w:u w:val="single"/>
          <w:lang w:val="sr-Latn-ME"/>
        </w:rPr>
      </w:pPr>
      <w:r w:rsidRPr="009C58C4">
        <w:rPr>
          <w:sz w:val="22"/>
          <w:szCs w:val="22"/>
          <w:u w:val="single"/>
          <w:lang w:val="sr-Latn-ME"/>
        </w:rPr>
        <w:t>Kombinacija s</w:t>
      </w:r>
      <w:r w:rsidR="00C97935" w:rsidRPr="009C58C4">
        <w:rPr>
          <w:sz w:val="22"/>
          <w:szCs w:val="22"/>
          <w:u w:val="single"/>
          <w:lang w:val="sr-Latn-ME"/>
        </w:rPr>
        <w:t>a</w:t>
      </w:r>
      <w:r w:rsidRPr="009C58C4">
        <w:rPr>
          <w:sz w:val="22"/>
          <w:szCs w:val="22"/>
          <w:u w:val="single"/>
          <w:lang w:val="sr-Latn-ME"/>
        </w:rPr>
        <w:t xml:space="preserve"> dabrafenibom</w:t>
      </w:r>
    </w:p>
    <w:p w14:paraId="2F5A7128" w14:textId="77777777" w:rsidR="00F118BB" w:rsidRPr="009C58C4" w:rsidRDefault="00F118BB" w:rsidP="00226369">
      <w:pPr>
        <w:keepNext/>
        <w:jc w:val="both"/>
        <w:rPr>
          <w:sz w:val="22"/>
          <w:szCs w:val="22"/>
          <w:lang w:val="sr-Latn-ME"/>
        </w:rPr>
      </w:pPr>
    </w:p>
    <w:p w14:paraId="7109CFFE" w14:textId="086C575C" w:rsidR="00836B35" w:rsidRPr="009C58C4" w:rsidRDefault="00F118BB" w:rsidP="00226369">
      <w:pPr>
        <w:jc w:val="both"/>
        <w:rPr>
          <w:sz w:val="22"/>
          <w:szCs w:val="22"/>
          <w:lang w:val="sr-Latn-ME"/>
        </w:rPr>
      </w:pPr>
      <w:r w:rsidRPr="009C58C4">
        <w:rPr>
          <w:sz w:val="22"/>
          <w:szCs w:val="22"/>
          <w:lang w:val="sr-Latn-ME"/>
        </w:rPr>
        <w:t xml:space="preserve">U ispitivanju na psima koji su primali trametinib i dabrafenib u kombinaciji tokom 4 </w:t>
      </w:r>
      <w:r w:rsidR="00F46CDF" w:rsidRPr="009C58C4">
        <w:rPr>
          <w:sz w:val="22"/>
          <w:szCs w:val="22"/>
          <w:lang w:val="sr-Latn-ME"/>
        </w:rPr>
        <w:t>nedjelj</w:t>
      </w:r>
      <w:r w:rsidRPr="009C58C4">
        <w:rPr>
          <w:sz w:val="22"/>
          <w:szCs w:val="22"/>
          <w:lang w:val="sr-Latn-ME"/>
        </w:rPr>
        <w:t>e, zab</w:t>
      </w:r>
      <w:r w:rsidR="00B15D7C" w:rsidRPr="009C58C4">
        <w:rPr>
          <w:sz w:val="22"/>
          <w:szCs w:val="22"/>
          <w:lang w:val="sr-Latn-ME"/>
        </w:rPr>
        <w:t>ilj</w:t>
      </w:r>
      <w:r w:rsidRPr="009C58C4">
        <w:rPr>
          <w:sz w:val="22"/>
          <w:szCs w:val="22"/>
          <w:lang w:val="sr-Latn-ME"/>
        </w:rPr>
        <w:t>eženi su znaci gastrointestinalne toksičnosti i smanjena celularnost limfnog tkiva timusa pri manjim izloženostima nego kod pasa kojima je davan samo trametinib. Inače su prim</w:t>
      </w:r>
      <w:r w:rsidR="00B15D7C" w:rsidRPr="009C58C4">
        <w:rPr>
          <w:sz w:val="22"/>
          <w:szCs w:val="22"/>
          <w:lang w:val="sr-Latn-ME"/>
        </w:rPr>
        <w:t>ij</w:t>
      </w:r>
      <w:r w:rsidRPr="009C58C4">
        <w:rPr>
          <w:sz w:val="22"/>
          <w:szCs w:val="22"/>
          <w:lang w:val="sr-Latn-ME"/>
        </w:rPr>
        <w:t xml:space="preserve">ećene slične toksičnosti kao u poređenju sa ispitivanjima monoterapije ovih </w:t>
      </w:r>
      <w:r w:rsidR="007F2563" w:rsidRPr="009C58C4">
        <w:rPr>
          <w:sz w:val="22"/>
          <w:szCs w:val="22"/>
          <w:lang w:val="sr-Latn-ME"/>
        </w:rPr>
        <w:t>ljek</w:t>
      </w:r>
      <w:r w:rsidRPr="009C58C4">
        <w:rPr>
          <w:sz w:val="22"/>
          <w:szCs w:val="22"/>
          <w:lang w:val="sr-Latn-ME"/>
        </w:rPr>
        <w:t>ova.</w:t>
      </w:r>
    </w:p>
    <w:p w14:paraId="207D49B2" w14:textId="3763116B" w:rsidR="00396DFD" w:rsidRPr="009C58C4" w:rsidRDefault="00396DFD" w:rsidP="00226369">
      <w:pPr>
        <w:tabs>
          <w:tab w:val="left" w:pos="540"/>
          <w:tab w:val="left" w:pos="569"/>
        </w:tabs>
        <w:jc w:val="both"/>
        <w:rPr>
          <w:b/>
          <w:bCs/>
          <w:sz w:val="22"/>
          <w:szCs w:val="22"/>
          <w:lang w:val="sr-Latn-ME"/>
        </w:rPr>
      </w:pPr>
    </w:p>
    <w:p w14:paraId="6EA00F1C" w14:textId="77777777" w:rsidR="00304534" w:rsidRPr="009C58C4" w:rsidRDefault="00304534" w:rsidP="00226369">
      <w:pPr>
        <w:tabs>
          <w:tab w:val="left" w:pos="540"/>
          <w:tab w:val="left" w:pos="569"/>
        </w:tabs>
        <w:jc w:val="both"/>
        <w:rPr>
          <w:b/>
          <w:bCs/>
          <w:sz w:val="22"/>
          <w:szCs w:val="22"/>
          <w:lang w:val="sr-Latn-ME"/>
        </w:rPr>
      </w:pPr>
    </w:p>
    <w:p w14:paraId="01810669"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6. </w:t>
      </w:r>
      <w:r w:rsidR="00480FB1" w:rsidRPr="009C58C4">
        <w:rPr>
          <w:b/>
          <w:bCs/>
          <w:sz w:val="22"/>
          <w:szCs w:val="22"/>
          <w:lang w:val="sr-Latn-ME"/>
        </w:rPr>
        <w:tab/>
      </w:r>
      <w:r w:rsidRPr="009C58C4">
        <w:rPr>
          <w:b/>
          <w:bCs/>
          <w:sz w:val="22"/>
          <w:szCs w:val="22"/>
          <w:lang w:val="sr-Latn-ME"/>
        </w:rPr>
        <w:t>FARMACEUTSKI PODACI</w:t>
      </w:r>
    </w:p>
    <w:p w14:paraId="4DDFAE54" w14:textId="49681217" w:rsidR="00836B35" w:rsidRPr="009C58C4" w:rsidRDefault="00836B35" w:rsidP="00226369">
      <w:pPr>
        <w:tabs>
          <w:tab w:val="left" w:pos="540"/>
          <w:tab w:val="left" w:pos="569"/>
        </w:tabs>
        <w:jc w:val="both"/>
        <w:rPr>
          <w:bCs/>
          <w:sz w:val="22"/>
          <w:szCs w:val="22"/>
          <w:lang w:val="sr-Latn-ME"/>
        </w:rPr>
      </w:pPr>
    </w:p>
    <w:p w14:paraId="192FB199"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6.1. </w:t>
      </w:r>
      <w:r w:rsidR="00480FB1" w:rsidRPr="009C58C4">
        <w:rPr>
          <w:b/>
          <w:bCs/>
          <w:sz w:val="22"/>
          <w:szCs w:val="22"/>
          <w:lang w:val="sr-Latn-ME"/>
        </w:rPr>
        <w:tab/>
      </w:r>
      <w:r w:rsidRPr="009C58C4">
        <w:rPr>
          <w:b/>
          <w:bCs/>
          <w:sz w:val="22"/>
          <w:szCs w:val="22"/>
          <w:lang w:val="sr-Latn-ME"/>
        </w:rPr>
        <w:t>Lista pomoćnih supstanci</w:t>
      </w:r>
      <w:r w:rsidR="002E0135" w:rsidRPr="009C58C4">
        <w:rPr>
          <w:b/>
          <w:bCs/>
          <w:sz w:val="22"/>
          <w:szCs w:val="22"/>
          <w:lang w:val="sr-Latn-ME"/>
        </w:rPr>
        <w:t xml:space="preserve"> (ekscipijenasa)</w:t>
      </w:r>
    </w:p>
    <w:p w14:paraId="67C0C020" w14:textId="77777777" w:rsidR="00F118BB" w:rsidRPr="009C58C4" w:rsidRDefault="00F118BB" w:rsidP="00226369">
      <w:pPr>
        <w:keepNext/>
        <w:jc w:val="both"/>
        <w:rPr>
          <w:sz w:val="22"/>
          <w:szCs w:val="22"/>
          <w:lang w:val="sr-Latn-ME"/>
        </w:rPr>
      </w:pPr>
    </w:p>
    <w:p w14:paraId="2D41BD8D" w14:textId="60A4303D" w:rsidR="00F118BB" w:rsidRPr="009C58C4" w:rsidRDefault="00F118BB" w:rsidP="00226369">
      <w:pPr>
        <w:keepNext/>
        <w:jc w:val="both"/>
        <w:rPr>
          <w:sz w:val="22"/>
          <w:szCs w:val="22"/>
          <w:lang w:val="sr-Latn-ME"/>
        </w:rPr>
      </w:pPr>
      <w:r w:rsidRPr="009C58C4">
        <w:rPr>
          <w:sz w:val="22"/>
          <w:szCs w:val="22"/>
          <w:lang w:val="sr-Latn-ME"/>
        </w:rPr>
        <w:t>Sulfobutilbetadeks</w:t>
      </w:r>
      <w:r w:rsidR="00304534" w:rsidRPr="009C58C4">
        <w:rPr>
          <w:sz w:val="22"/>
          <w:szCs w:val="22"/>
          <w:lang w:val="sr-Latn-ME"/>
        </w:rPr>
        <w:t xml:space="preserve"> </w:t>
      </w:r>
      <w:r w:rsidRPr="009C58C4">
        <w:rPr>
          <w:sz w:val="22"/>
          <w:szCs w:val="22"/>
          <w:lang w:val="sr-Latn-ME"/>
        </w:rPr>
        <w:t>natrijum</w:t>
      </w:r>
    </w:p>
    <w:p w14:paraId="4E1185B7" w14:textId="77777777" w:rsidR="00F118BB" w:rsidRPr="009C58C4" w:rsidRDefault="00F118BB" w:rsidP="00226369">
      <w:pPr>
        <w:keepNext/>
        <w:jc w:val="both"/>
        <w:rPr>
          <w:sz w:val="22"/>
          <w:szCs w:val="22"/>
          <w:lang w:val="sr-Latn-ME"/>
        </w:rPr>
      </w:pPr>
      <w:r w:rsidRPr="009C58C4">
        <w:rPr>
          <w:sz w:val="22"/>
          <w:szCs w:val="22"/>
          <w:lang w:val="sr-Latn-ME"/>
        </w:rPr>
        <w:t>Sukraloza (E 955)</w:t>
      </w:r>
    </w:p>
    <w:p w14:paraId="11439FDD" w14:textId="434EE2CE" w:rsidR="00F118BB" w:rsidRPr="009C58C4" w:rsidRDefault="00CA1D22" w:rsidP="00226369">
      <w:pPr>
        <w:keepNext/>
        <w:jc w:val="both"/>
        <w:rPr>
          <w:sz w:val="22"/>
          <w:szCs w:val="22"/>
          <w:lang w:val="sr-Latn-ME"/>
        </w:rPr>
      </w:pPr>
      <w:r w:rsidRPr="009C58C4">
        <w:rPr>
          <w:sz w:val="22"/>
          <w:szCs w:val="22"/>
          <w:lang w:val="sr-Latn-ME"/>
        </w:rPr>
        <w:t>Limunska</w:t>
      </w:r>
      <w:r w:rsidR="00F118BB" w:rsidRPr="009C58C4">
        <w:rPr>
          <w:sz w:val="22"/>
          <w:szCs w:val="22"/>
          <w:lang w:val="sr-Latn-ME"/>
        </w:rPr>
        <w:t xml:space="preserve"> kiselina </w:t>
      </w:r>
      <w:r w:rsidRPr="009C58C4">
        <w:rPr>
          <w:sz w:val="22"/>
          <w:szCs w:val="22"/>
          <w:lang w:val="sr-Latn-ME"/>
        </w:rPr>
        <w:t>mono</w:t>
      </w:r>
      <w:r w:rsidR="00F118BB" w:rsidRPr="009C58C4">
        <w:rPr>
          <w:sz w:val="22"/>
          <w:szCs w:val="22"/>
          <w:lang w:val="sr-Latn-ME"/>
        </w:rPr>
        <w:t>hidrat (E 330)</w:t>
      </w:r>
    </w:p>
    <w:p w14:paraId="6A58A7B7" w14:textId="445FD3CD" w:rsidR="00F118BB" w:rsidRPr="009C58C4" w:rsidRDefault="00CA1D22" w:rsidP="00226369">
      <w:pPr>
        <w:keepNext/>
        <w:jc w:val="both"/>
        <w:rPr>
          <w:sz w:val="22"/>
          <w:szCs w:val="22"/>
          <w:lang w:val="sr-Latn-ME"/>
        </w:rPr>
      </w:pPr>
      <w:r w:rsidRPr="009C58C4">
        <w:rPr>
          <w:sz w:val="22"/>
          <w:szCs w:val="22"/>
          <w:lang w:val="sr-Latn-ME"/>
        </w:rPr>
        <w:t>Din</w:t>
      </w:r>
      <w:r w:rsidR="00F118BB" w:rsidRPr="009C58C4">
        <w:rPr>
          <w:sz w:val="22"/>
          <w:szCs w:val="22"/>
          <w:lang w:val="sr-Latn-ME"/>
        </w:rPr>
        <w:t>atrijum hidrogenfosfat (E 339)</w:t>
      </w:r>
    </w:p>
    <w:p w14:paraId="66270DCA" w14:textId="77777777" w:rsidR="00F118BB" w:rsidRPr="009C58C4" w:rsidRDefault="00F118BB" w:rsidP="00226369">
      <w:pPr>
        <w:keepNext/>
        <w:jc w:val="both"/>
        <w:rPr>
          <w:sz w:val="22"/>
          <w:szCs w:val="22"/>
          <w:lang w:val="sr-Latn-ME"/>
        </w:rPr>
      </w:pPr>
      <w:r w:rsidRPr="009C58C4">
        <w:rPr>
          <w:sz w:val="22"/>
          <w:szCs w:val="22"/>
          <w:lang w:val="sr-Latn-ME"/>
        </w:rPr>
        <w:t>Kalijum sorbat (E 202)</w:t>
      </w:r>
    </w:p>
    <w:p w14:paraId="0348F752" w14:textId="31C98B46" w:rsidR="00F118BB" w:rsidRPr="009C58C4" w:rsidRDefault="00F118BB" w:rsidP="00226369">
      <w:pPr>
        <w:keepNext/>
        <w:jc w:val="both"/>
        <w:rPr>
          <w:sz w:val="22"/>
          <w:szCs w:val="22"/>
          <w:lang w:val="sr-Latn-ME"/>
        </w:rPr>
      </w:pPr>
      <w:r w:rsidRPr="009C58C4">
        <w:rPr>
          <w:sz w:val="22"/>
          <w:szCs w:val="22"/>
          <w:lang w:val="sr-Latn-ME"/>
        </w:rPr>
        <w:t>Metil</w:t>
      </w:r>
      <w:r w:rsidR="00CA1D22" w:rsidRPr="009C58C4">
        <w:rPr>
          <w:sz w:val="22"/>
          <w:szCs w:val="22"/>
          <w:lang w:val="sr-Latn-ME"/>
        </w:rPr>
        <w:t xml:space="preserve"> </w:t>
      </w:r>
      <w:r w:rsidRPr="009C58C4">
        <w:rPr>
          <w:sz w:val="22"/>
          <w:szCs w:val="22"/>
          <w:lang w:val="sr-Latn-ME"/>
        </w:rPr>
        <w:t>parahidroksibenzoat (E 218)</w:t>
      </w:r>
    </w:p>
    <w:p w14:paraId="2144BEB6" w14:textId="77777777" w:rsidR="00F118BB" w:rsidRPr="009C58C4" w:rsidRDefault="00F118BB" w:rsidP="00226369">
      <w:pPr>
        <w:jc w:val="both"/>
        <w:rPr>
          <w:sz w:val="22"/>
          <w:szCs w:val="22"/>
          <w:lang w:val="sr-Latn-ME"/>
        </w:rPr>
      </w:pPr>
      <w:r w:rsidRPr="009C58C4">
        <w:rPr>
          <w:sz w:val="22"/>
          <w:szCs w:val="22"/>
          <w:lang w:val="sr-Latn-ME"/>
        </w:rPr>
        <w:t>Aroma jagode</w:t>
      </w:r>
    </w:p>
    <w:p w14:paraId="55BCFACB" w14:textId="77777777" w:rsidR="0072020E" w:rsidRPr="009C58C4" w:rsidRDefault="0072020E" w:rsidP="00226369">
      <w:pPr>
        <w:tabs>
          <w:tab w:val="left" w:pos="540"/>
          <w:tab w:val="left" w:pos="569"/>
        </w:tabs>
        <w:jc w:val="both"/>
        <w:rPr>
          <w:bCs/>
          <w:sz w:val="22"/>
          <w:szCs w:val="22"/>
          <w:lang w:val="sr-Latn-ME"/>
        </w:rPr>
      </w:pPr>
    </w:p>
    <w:p w14:paraId="4DEE3123"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6.2. </w:t>
      </w:r>
      <w:r w:rsidR="00480FB1" w:rsidRPr="009C58C4">
        <w:rPr>
          <w:b/>
          <w:bCs/>
          <w:sz w:val="22"/>
          <w:szCs w:val="22"/>
          <w:lang w:val="sr-Latn-ME"/>
        </w:rPr>
        <w:tab/>
      </w:r>
      <w:r w:rsidRPr="009C58C4">
        <w:rPr>
          <w:b/>
          <w:bCs/>
          <w:sz w:val="22"/>
          <w:szCs w:val="22"/>
          <w:lang w:val="sr-Latn-ME"/>
        </w:rPr>
        <w:t>Inkompatibilnost</w:t>
      </w:r>
      <w:r w:rsidR="002846DB" w:rsidRPr="009C58C4">
        <w:rPr>
          <w:b/>
          <w:bCs/>
          <w:sz w:val="22"/>
          <w:szCs w:val="22"/>
          <w:lang w:val="sr-Latn-ME"/>
        </w:rPr>
        <w:t>i</w:t>
      </w:r>
    </w:p>
    <w:p w14:paraId="7C6F5F55" w14:textId="77777777" w:rsidR="00F118BB" w:rsidRPr="009C58C4" w:rsidRDefault="00F118BB" w:rsidP="00226369">
      <w:pPr>
        <w:jc w:val="both"/>
        <w:rPr>
          <w:sz w:val="22"/>
          <w:szCs w:val="22"/>
          <w:lang w:val="sr-Latn-ME"/>
        </w:rPr>
      </w:pPr>
    </w:p>
    <w:p w14:paraId="1718E0FF" w14:textId="525CFA1A" w:rsidR="00F118BB" w:rsidRPr="009C58C4" w:rsidRDefault="00F118BB" w:rsidP="00226369">
      <w:pPr>
        <w:jc w:val="both"/>
        <w:rPr>
          <w:sz w:val="22"/>
          <w:szCs w:val="22"/>
          <w:lang w:val="sr-Latn-ME"/>
        </w:rPr>
      </w:pPr>
      <w:r w:rsidRPr="009C58C4">
        <w:rPr>
          <w:sz w:val="22"/>
          <w:szCs w:val="22"/>
          <w:lang w:val="sr-Latn-ME"/>
        </w:rPr>
        <w:t xml:space="preserve">Nije </w:t>
      </w:r>
      <w:r w:rsidR="007F2563" w:rsidRPr="009C58C4">
        <w:rPr>
          <w:sz w:val="22"/>
          <w:szCs w:val="22"/>
          <w:lang w:val="sr-Latn-ME"/>
        </w:rPr>
        <w:t>primjen</w:t>
      </w:r>
      <w:r w:rsidR="00CA1D22" w:rsidRPr="009C58C4">
        <w:rPr>
          <w:sz w:val="22"/>
          <w:szCs w:val="22"/>
          <w:lang w:val="sr-Latn-ME"/>
        </w:rPr>
        <w:t>l</w:t>
      </w:r>
      <w:r w:rsidRPr="009C58C4">
        <w:rPr>
          <w:sz w:val="22"/>
          <w:szCs w:val="22"/>
          <w:lang w:val="sr-Latn-ME"/>
        </w:rPr>
        <w:t>jivo.</w:t>
      </w:r>
    </w:p>
    <w:p w14:paraId="45DFDB10" w14:textId="77777777" w:rsidR="0072020E" w:rsidRPr="009C58C4" w:rsidRDefault="0072020E" w:rsidP="00226369">
      <w:pPr>
        <w:tabs>
          <w:tab w:val="left" w:pos="540"/>
          <w:tab w:val="left" w:pos="569"/>
        </w:tabs>
        <w:jc w:val="both"/>
        <w:rPr>
          <w:bCs/>
          <w:sz w:val="22"/>
          <w:szCs w:val="22"/>
          <w:lang w:val="sr-Latn-ME"/>
        </w:rPr>
      </w:pPr>
    </w:p>
    <w:p w14:paraId="37E3DC5D"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6.3.</w:t>
      </w:r>
      <w:r w:rsidR="00C05DF8" w:rsidRPr="009C58C4">
        <w:rPr>
          <w:b/>
          <w:bCs/>
          <w:sz w:val="22"/>
          <w:szCs w:val="22"/>
          <w:lang w:val="sr-Latn-ME"/>
        </w:rPr>
        <w:t xml:space="preserve"> </w:t>
      </w:r>
      <w:r w:rsidR="00480FB1" w:rsidRPr="009C58C4">
        <w:rPr>
          <w:b/>
          <w:bCs/>
          <w:sz w:val="22"/>
          <w:szCs w:val="22"/>
          <w:lang w:val="sr-Latn-ME"/>
        </w:rPr>
        <w:tab/>
      </w:r>
      <w:r w:rsidRPr="009C58C4">
        <w:rPr>
          <w:b/>
          <w:bCs/>
          <w:sz w:val="22"/>
          <w:szCs w:val="22"/>
          <w:lang w:val="sr-Latn-ME"/>
        </w:rPr>
        <w:t>Rok upotrebe</w:t>
      </w:r>
    </w:p>
    <w:p w14:paraId="24629996" w14:textId="77777777" w:rsidR="00F118BB" w:rsidRPr="009C58C4" w:rsidRDefault="00F118BB" w:rsidP="00226369">
      <w:pPr>
        <w:keepNext/>
        <w:jc w:val="both"/>
        <w:rPr>
          <w:sz w:val="22"/>
          <w:szCs w:val="22"/>
          <w:u w:val="single"/>
          <w:lang w:val="sr-Latn-ME"/>
        </w:rPr>
      </w:pPr>
    </w:p>
    <w:p w14:paraId="38CA1589" w14:textId="588FEC21" w:rsidR="00F118BB" w:rsidRPr="009C58C4" w:rsidRDefault="00F118BB" w:rsidP="00226369">
      <w:pPr>
        <w:keepNext/>
        <w:jc w:val="both"/>
        <w:rPr>
          <w:sz w:val="22"/>
          <w:szCs w:val="22"/>
          <w:lang w:val="sr-Latn-ME"/>
        </w:rPr>
      </w:pPr>
      <w:r w:rsidRPr="009C58C4">
        <w:rPr>
          <w:sz w:val="22"/>
          <w:szCs w:val="22"/>
          <w:u w:val="single"/>
          <w:lang w:val="sr-Latn-ME"/>
        </w:rPr>
        <w:t>Prašak za oralni rastvor</w:t>
      </w:r>
    </w:p>
    <w:p w14:paraId="3BA8FDAA" w14:textId="77777777" w:rsidR="00F118BB" w:rsidRPr="009C58C4" w:rsidRDefault="00F118BB" w:rsidP="00226369">
      <w:pPr>
        <w:keepNext/>
        <w:jc w:val="both"/>
        <w:rPr>
          <w:sz w:val="22"/>
          <w:szCs w:val="22"/>
          <w:lang w:val="sr-Latn-ME"/>
        </w:rPr>
      </w:pPr>
    </w:p>
    <w:p w14:paraId="5D1834E1" w14:textId="77777777" w:rsidR="00F118BB" w:rsidRPr="009C58C4" w:rsidRDefault="00F118BB" w:rsidP="00226369">
      <w:pPr>
        <w:jc w:val="both"/>
        <w:rPr>
          <w:sz w:val="22"/>
          <w:szCs w:val="22"/>
          <w:lang w:val="sr-Latn-ME"/>
        </w:rPr>
      </w:pPr>
      <w:r w:rsidRPr="009C58C4">
        <w:rPr>
          <w:sz w:val="22"/>
          <w:szCs w:val="22"/>
          <w:lang w:val="sr-Latn-ME"/>
        </w:rPr>
        <w:t>3 godine.</w:t>
      </w:r>
    </w:p>
    <w:p w14:paraId="04B17894" w14:textId="77777777" w:rsidR="00F118BB" w:rsidRPr="009C58C4" w:rsidRDefault="00F118BB" w:rsidP="00226369">
      <w:pPr>
        <w:jc w:val="both"/>
        <w:rPr>
          <w:sz w:val="22"/>
          <w:szCs w:val="22"/>
          <w:lang w:val="sr-Latn-ME"/>
        </w:rPr>
      </w:pPr>
    </w:p>
    <w:p w14:paraId="276B7B44" w14:textId="77777777" w:rsidR="00F118BB" w:rsidRPr="009C58C4" w:rsidRDefault="00F118BB" w:rsidP="00226369">
      <w:pPr>
        <w:keepNext/>
        <w:jc w:val="both"/>
        <w:rPr>
          <w:sz w:val="22"/>
          <w:szCs w:val="22"/>
          <w:lang w:val="sr-Latn-ME"/>
        </w:rPr>
      </w:pPr>
      <w:r w:rsidRPr="009C58C4">
        <w:rPr>
          <w:sz w:val="22"/>
          <w:szCs w:val="22"/>
          <w:u w:val="single"/>
          <w:lang w:val="sr-Latn-ME"/>
        </w:rPr>
        <w:t>Rekonstituirani oralni rastvor</w:t>
      </w:r>
    </w:p>
    <w:p w14:paraId="6164ADB4" w14:textId="77777777" w:rsidR="00F118BB" w:rsidRPr="009C58C4" w:rsidRDefault="00F118BB" w:rsidP="00226369">
      <w:pPr>
        <w:keepNext/>
        <w:jc w:val="both"/>
        <w:rPr>
          <w:sz w:val="22"/>
          <w:szCs w:val="22"/>
          <w:lang w:val="sr-Latn-ME"/>
        </w:rPr>
      </w:pPr>
    </w:p>
    <w:p w14:paraId="6E68AF99" w14:textId="77777777" w:rsidR="00F118BB" w:rsidRPr="009C58C4" w:rsidRDefault="00F118BB" w:rsidP="00226369">
      <w:pPr>
        <w:jc w:val="both"/>
        <w:rPr>
          <w:sz w:val="22"/>
          <w:szCs w:val="22"/>
          <w:lang w:val="sr-Latn-ME"/>
        </w:rPr>
      </w:pPr>
      <w:r w:rsidRPr="009C58C4">
        <w:rPr>
          <w:sz w:val="22"/>
          <w:szCs w:val="22"/>
          <w:lang w:val="sr-Latn-ME"/>
        </w:rPr>
        <w:t>Čuvati na temperaturi ispod 25ºC.</w:t>
      </w:r>
    </w:p>
    <w:p w14:paraId="41257F49" w14:textId="77777777" w:rsidR="00F118BB" w:rsidRPr="009C58C4" w:rsidRDefault="00F118BB" w:rsidP="00226369">
      <w:pPr>
        <w:jc w:val="both"/>
        <w:rPr>
          <w:sz w:val="22"/>
          <w:szCs w:val="22"/>
          <w:lang w:val="sr-Latn-ME"/>
        </w:rPr>
      </w:pPr>
      <w:r w:rsidRPr="009C58C4">
        <w:rPr>
          <w:sz w:val="22"/>
          <w:szCs w:val="22"/>
          <w:lang w:val="sr-Latn-ME"/>
        </w:rPr>
        <w:t>Ne zamrzavati.</w:t>
      </w:r>
    </w:p>
    <w:p w14:paraId="11D4A9C0" w14:textId="47DF8779" w:rsidR="00F118BB" w:rsidRPr="009C58C4" w:rsidRDefault="00CA1D22" w:rsidP="00226369">
      <w:pPr>
        <w:jc w:val="both"/>
        <w:rPr>
          <w:sz w:val="22"/>
          <w:szCs w:val="22"/>
          <w:lang w:val="sr-Latn-ME"/>
        </w:rPr>
      </w:pPr>
      <w:r w:rsidRPr="009C58C4">
        <w:rPr>
          <w:sz w:val="22"/>
          <w:szCs w:val="22"/>
          <w:lang w:val="sr-Latn-ME"/>
        </w:rPr>
        <w:t>Svu neiskorišćenu količinu</w:t>
      </w:r>
      <w:r w:rsidR="00F118BB" w:rsidRPr="009C58C4">
        <w:rPr>
          <w:sz w:val="22"/>
          <w:szCs w:val="22"/>
          <w:lang w:val="sr-Latn-ME"/>
        </w:rPr>
        <w:t xml:space="preserve"> rastvor</w:t>
      </w:r>
      <w:r w:rsidRPr="009C58C4">
        <w:rPr>
          <w:sz w:val="22"/>
          <w:szCs w:val="22"/>
          <w:lang w:val="sr-Latn-ME"/>
        </w:rPr>
        <w:t>a, potrebno je baciti</w:t>
      </w:r>
      <w:r w:rsidR="00F118BB" w:rsidRPr="009C58C4">
        <w:rPr>
          <w:sz w:val="22"/>
          <w:szCs w:val="22"/>
          <w:lang w:val="sr-Latn-ME"/>
        </w:rPr>
        <w:t xml:space="preserve"> 35 dana nakon rekonstitucije.</w:t>
      </w:r>
    </w:p>
    <w:p w14:paraId="3B89B6AC" w14:textId="77777777" w:rsidR="0072020E" w:rsidRPr="009C58C4" w:rsidRDefault="0072020E" w:rsidP="00226369">
      <w:pPr>
        <w:tabs>
          <w:tab w:val="left" w:pos="540"/>
          <w:tab w:val="left" w:pos="569"/>
        </w:tabs>
        <w:jc w:val="both"/>
        <w:rPr>
          <w:bCs/>
          <w:sz w:val="22"/>
          <w:szCs w:val="22"/>
          <w:lang w:val="sr-Latn-ME"/>
        </w:rPr>
      </w:pPr>
    </w:p>
    <w:p w14:paraId="2D31CAFD"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6.4. </w:t>
      </w:r>
      <w:r w:rsidR="00480FB1" w:rsidRPr="009C58C4">
        <w:rPr>
          <w:b/>
          <w:bCs/>
          <w:sz w:val="22"/>
          <w:szCs w:val="22"/>
          <w:lang w:val="sr-Latn-ME"/>
        </w:rPr>
        <w:tab/>
      </w:r>
      <w:r w:rsidRPr="009C58C4">
        <w:rPr>
          <w:b/>
          <w:bCs/>
          <w:sz w:val="22"/>
          <w:szCs w:val="22"/>
          <w:lang w:val="sr-Latn-ME"/>
        </w:rPr>
        <w:t>Posebne mjere upozorenja pri čuvanju</w:t>
      </w:r>
      <w:r w:rsidR="00F8570A" w:rsidRPr="009C58C4">
        <w:rPr>
          <w:b/>
          <w:bCs/>
          <w:sz w:val="22"/>
          <w:szCs w:val="22"/>
          <w:lang w:val="sr-Latn-ME"/>
        </w:rPr>
        <w:t xml:space="preserve"> lijeka</w:t>
      </w:r>
    </w:p>
    <w:p w14:paraId="5EBBD727" w14:textId="77777777" w:rsidR="00F118BB" w:rsidRPr="009C58C4" w:rsidRDefault="00F118BB" w:rsidP="00226369">
      <w:pPr>
        <w:jc w:val="both"/>
        <w:rPr>
          <w:sz w:val="22"/>
          <w:szCs w:val="22"/>
          <w:lang w:val="sr-Latn-ME"/>
        </w:rPr>
      </w:pPr>
    </w:p>
    <w:p w14:paraId="0341573F" w14:textId="655CF6E9" w:rsidR="00F118BB" w:rsidRPr="009C58C4" w:rsidRDefault="00F118BB" w:rsidP="00226369">
      <w:pPr>
        <w:jc w:val="both"/>
        <w:rPr>
          <w:sz w:val="22"/>
          <w:szCs w:val="22"/>
          <w:lang w:val="sr-Latn-ME"/>
        </w:rPr>
      </w:pPr>
      <w:r w:rsidRPr="009C58C4">
        <w:rPr>
          <w:sz w:val="22"/>
          <w:szCs w:val="22"/>
          <w:lang w:val="sr-Latn-ME"/>
        </w:rPr>
        <w:t xml:space="preserve">Čuvati u frižideru (2°C </w:t>
      </w:r>
      <w:r w:rsidR="00CA1D22" w:rsidRPr="009C58C4">
        <w:rPr>
          <w:sz w:val="22"/>
          <w:szCs w:val="22"/>
          <w:lang w:val="sr-Latn-ME"/>
        </w:rPr>
        <w:t>-</w:t>
      </w:r>
      <w:r w:rsidRPr="009C58C4">
        <w:rPr>
          <w:sz w:val="22"/>
          <w:szCs w:val="22"/>
          <w:lang w:val="sr-Latn-ME"/>
        </w:rPr>
        <w:t xml:space="preserve"> 8°C).</w:t>
      </w:r>
    </w:p>
    <w:p w14:paraId="7CBCB4CB" w14:textId="3F601E31" w:rsidR="00F118BB" w:rsidRPr="009C58C4" w:rsidRDefault="00F118BB" w:rsidP="00226369">
      <w:pPr>
        <w:jc w:val="both"/>
        <w:rPr>
          <w:sz w:val="22"/>
          <w:szCs w:val="22"/>
          <w:lang w:val="sr-Latn-ME"/>
        </w:rPr>
      </w:pPr>
      <w:r w:rsidRPr="009C58C4">
        <w:rPr>
          <w:sz w:val="22"/>
          <w:szCs w:val="22"/>
          <w:lang w:val="sr-Latn-ME"/>
        </w:rPr>
        <w:t>Čuvati u originalnom pakovanju radi zaštite od sv</w:t>
      </w:r>
      <w:r w:rsidR="00B15D7C" w:rsidRPr="009C58C4">
        <w:rPr>
          <w:sz w:val="22"/>
          <w:szCs w:val="22"/>
          <w:lang w:val="sr-Latn-ME"/>
        </w:rPr>
        <w:t>j</w:t>
      </w:r>
      <w:r w:rsidRPr="009C58C4">
        <w:rPr>
          <w:sz w:val="22"/>
          <w:szCs w:val="22"/>
          <w:lang w:val="sr-Latn-ME"/>
        </w:rPr>
        <w:t>etlosti i vlage.</w:t>
      </w:r>
    </w:p>
    <w:p w14:paraId="6E70D6B1" w14:textId="36F5E67C" w:rsidR="00F118BB" w:rsidRPr="009C58C4" w:rsidRDefault="00CA1D22" w:rsidP="00226369">
      <w:pPr>
        <w:jc w:val="both"/>
        <w:rPr>
          <w:sz w:val="22"/>
          <w:szCs w:val="22"/>
          <w:lang w:val="sr-Latn-ME"/>
        </w:rPr>
      </w:pPr>
      <w:r w:rsidRPr="009C58C4">
        <w:rPr>
          <w:sz w:val="22"/>
          <w:szCs w:val="22"/>
          <w:lang w:val="sr-Latn-ME"/>
        </w:rPr>
        <w:t>Za u</w:t>
      </w:r>
      <w:r w:rsidR="00F118BB" w:rsidRPr="009C58C4">
        <w:rPr>
          <w:sz w:val="22"/>
          <w:szCs w:val="22"/>
          <w:lang w:val="sr-Latn-ME"/>
        </w:rPr>
        <w:t xml:space="preserve">slove čuvanja nakon rekonstitucije </w:t>
      </w:r>
      <w:r w:rsidR="007F2563" w:rsidRPr="009C58C4">
        <w:rPr>
          <w:sz w:val="22"/>
          <w:szCs w:val="22"/>
          <w:lang w:val="sr-Latn-ME"/>
        </w:rPr>
        <w:t>lijek</w:t>
      </w:r>
      <w:r w:rsidR="00F118BB" w:rsidRPr="009C58C4">
        <w:rPr>
          <w:sz w:val="22"/>
          <w:szCs w:val="22"/>
          <w:lang w:val="sr-Latn-ME"/>
        </w:rPr>
        <w:t xml:space="preserve">a </w:t>
      </w:r>
      <w:r w:rsidRPr="009C58C4">
        <w:rPr>
          <w:sz w:val="22"/>
          <w:szCs w:val="22"/>
          <w:lang w:val="sr-Latn-ME"/>
        </w:rPr>
        <w:t>pogledati dio</w:t>
      </w:r>
      <w:r w:rsidR="00F118BB" w:rsidRPr="009C58C4">
        <w:rPr>
          <w:sz w:val="22"/>
          <w:szCs w:val="22"/>
          <w:lang w:val="sr-Latn-ME"/>
        </w:rPr>
        <w:t> 6.3.</w:t>
      </w:r>
    </w:p>
    <w:p w14:paraId="6A4511F7" w14:textId="77777777" w:rsidR="00EC2532" w:rsidRPr="009C58C4" w:rsidRDefault="00EC2532" w:rsidP="00226369">
      <w:pPr>
        <w:tabs>
          <w:tab w:val="left" w:pos="540"/>
          <w:tab w:val="left" w:pos="569"/>
        </w:tabs>
        <w:jc w:val="both"/>
        <w:rPr>
          <w:bCs/>
          <w:sz w:val="22"/>
          <w:szCs w:val="22"/>
          <w:lang w:val="sr-Latn-ME"/>
        </w:rPr>
      </w:pPr>
    </w:p>
    <w:p w14:paraId="76CF2A90"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6.5. </w:t>
      </w:r>
      <w:r w:rsidR="00480FB1" w:rsidRPr="009C58C4">
        <w:rPr>
          <w:b/>
          <w:bCs/>
          <w:sz w:val="22"/>
          <w:szCs w:val="22"/>
          <w:lang w:val="sr-Latn-ME"/>
        </w:rPr>
        <w:tab/>
      </w:r>
      <w:r w:rsidR="002846DB" w:rsidRPr="009C58C4">
        <w:rPr>
          <w:b/>
          <w:bCs/>
          <w:sz w:val="22"/>
          <w:szCs w:val="22"/>
          <w:lang w:val="sr-Latn-ME"/>
        </w:rPr>
        <w:t xml:space="preserve">Vrsta i sadržaj </w:t>
      </w:r>
      <w:r w:rsidR="00F8570A" w:rsidRPr="009C58C4">
        <w:rPr>
          <w:b/>
          <w:bCs/>
          <w:sz w:val="22"/>
          <w:szCs w:val="22"/>
          <w:lang w:val="sr-Latn-ME"/>
        </w:rPr>
        <w:t>pakovanja</w:t>
      </w:r>
      <w:r w:rsidR="00C06864" w:rsidRPr="009C58C4">
        <w:rPr>
          <w:b/>
          <w:bCs/>
          <w:sz w:val="22"/>
          <w:szCs w:val="22"/>
          <w:lang w:val="sr-Latn-ME"/>
        </w:rPr>
        <w:t xml:space="preserve"> </w:t>
      </w:r>
    </w:p>
    <w:p w14:paraId="29923384" w14:textId="77777777" w:rsidR="00F118BB" w:rsidRPr="009C58C4" w:rsidRDefault="00F118BB" w:rsidP="00226369">
      <w:pPr>
        <w:jc w:val="both"/>
        <w:rPr>
          <w:rFonts w:eastAsia="SimSun"/>
          <w:sz w:val="22"/>
          <w:szCs w:val="22"/>
          <w:lang w:val="sr-Latn-ME" w:eastAsia="en-GB"/>
        </w:rPr>
      </w:pPr>
    </w:p>
    <w:p w14:paraId="28D765E5" w14:textId="1297ED87" w:rsidR="00F118BB" w:rsidRPr="009C58C4" w:rsidRDefault="00CA1D22" w:rsidP="00226369">
      <w:pPr>
        <w:jc w:val="both"/>
        <w:rPr>
          <w:rFonts w:eastAsia="SimSun"/>
          <w:sz w:val="22"/>
          <w:szCs w:val="22"/>
          <w:lang w:val="sr-Latn-ME" w:eastAsia="en-GB"/>
        </w:rPr>
      </w:pPr>
      <w:r w:rsidRPr="009C58C4">
        <w:rPr>
          <w:rFonts w:eastAsia="SimSun"/>
          <w:sz w:val="22"/>
          <w:szCs w:val="22"/>
          <w:lang w:val="sr-Latn-ME" w:eastAsia="en-GB"/>
        </w:rPr>
        <w:t>Unutrašnje pakovanje je s</w:t>
      </w:r>
      <w:r w:rsidR="00F118BB" w:rsidRPr="009C58C4">
        <w:rPr>
          <w:rFonts w:eastAsia="SimSun"/>
          <w:sz w:val="22"/>
          <w:szCs w:val="22"/>
          <w:lang w:val="sr-Latn-ME" w:eastAsia="en-GB"/>
        </w:rPr>
        <w:t>međa staklena bočica od 180 </w:t>
      </w:r>
      <w:r w:rsidR="006656BE" w:rsidRPr="009C58C4">
        <w:rPr>
          <w:rFonts w:eastAsia="SimSun"/>
          <w:sz w:val="22"/>
          <w:szCs w:val="22"/>
          <w:lang w:val="sr-Latn-ME" w:eastAsia="en-GB"/>
        </w:rPr>
        <w:t>ml</w:t>
      </w:r>
      <w:r w:rsidR="00F118BB" w:rsidRPr="009C58C4">
        <w:rPr>
          <w:rFonts w:eastAsia="SimSun"/>
          <w:sz w:val="22"/>
          <w:szCs w:val="22"/>
          <w:lang w:val="sr-Latn-ME" w:eastAsia="en-GB"/>
        </w:rPr>
        <w:t xml:space="preserve"> sa </w:t>
      </w:r>
      <w:r w:rsidR="00F118BB" w:rsidRPr="009C58C4">
        <w:rPr>
          <w:rFonts w:eastAsia="SimSun"/>
          <w:iCs/>
          <w:sz w:val="22"/>
          <w:szCs w:val="22"/>
          <w:lang w:val="sr-Latn-ME" w:eastAsia="en-GB"/>
        </w:rPr>
        <w:t>zatvaračem sa navojem sa zaštitom od otvaranja za d</w:t>
      </w:r>
      <w:r w:rsidR="00B15D7C" w:rsidRPr="009C58C4">
        <w:rPr>
          <w:rFonts w:eastAsia="SimSun"/>
          <w:iCs/>
          <w:sz w:val="22"/>
          <w:szCs w:val="22"/>
          <w:lang w:val="sr-Latn-ME" w:eastAsia="en-GB"/>
        </w:rPr>
        <w:t>j</w:t>
      </w:r>
      <w:r w:rsidR="00F118BB" w:rsidRPr="009C58C4">
        <w:rPr>
          <w:rFonts w:eastAsia="SimSun"/>
          <w:iCs/>
          <w:sz w:val="22"/>
          <w:szCs w:val="22"/>
          <w:lang w:val="sr-Latn-ME" w:eastAsia="en-GB"/>
        </w:rPr>
        <w:t>ecu</w:t>
      </w:r>
      <w:r w:rsidR="00F118BB" w:rsidRPr="009C58C4">
        <w:rPr>
          <w:rFonts w:eastAsia="SimSun"/>
          <w:sz w:val="22"/>
          <w:szCs w:val="22"/>
          <w:lang w:val="sr-Latn-ME" w:eastAsia="en-GB"/>
        </w:rPr>
        <w:t>, koja sadrži 12 g praška.</w:t>
      </w:r>
    </w:p>
    <w:p w14:paraId="68E0E303" w14:textId="7BD32163" w:rsidR="00F118BB" w:rsidRPr="009C58C4" w:rsidRDefault="00CA1D22" w:rsidP="00226369">
      <w:pPr>
        <w:autoSpaceDE w:val="0"/>
        <w:autoSpaceDN w:val="0"/>
        <w:adjustRightInd w:val="0"/>
        <w:jc w:val="both"/>
        <w:rPr>
          <w:rFonts w:eastAsia="SimSun"/>
          <w:sz w:val="22"/>
          <w:szCs w:val="22"/>
          <w:lang w:val="sr-Latn-ME"/>
        </w:rPr>
      </w:pPr>
      <w:r w:rsidRPr="009C58C4">
        <w:rPr>
          <w:rFonts w:eastAsia="SimSun"/>
          <w:sz w:val="22"/>
          <w:szCs w:val="22"/>
          <w:lang w:val="sr-Latn-ME"/>
        </w:rPr>
        <w:t>Spoljašnje pakovanje je složiva kartonska</w:t>
      </w:r>
      <w:r w:rsidR="00F118BB" w:rsidRPr="009C58C4">
        <w:rPr>
          <w:rFonts w:eastAsia="SimSun"/>
          <w:sz w:val="22"/>
          <w:szCs w:val="22"/>
          <w:lang w:val="sr-Latn-ME"/>
        </w:rPr>
        <w:t xml:space="preserve"> kutija</w:t>
      </w:r>
      <w:r w:rsidRPr="009C58C4">
        <w:rPr>
          <w:rFonts w:eastAsia="SimSun"/>
          <w:sz w:val="22"/>
          <w:szCs w:val="22"/>
          <w:lang w:val="sr-Latn-ME"/>
        </w:rPr>
        <w:t xml:space="preserve"> </w:t>
      </w:r>
      <w:r w:rsidR="00C06F79" w:rsidRPr="009C58C4">
        <w:rPr>
          <w:rFonts w:eastAsia="SimSun"/>
          <w:sz w:val="22"/>
          <w:szCs w:val="22"/>
          <w:lang w:val="sr-Latn-ME"/>
        </w:rPr>
        <w:t>u kojoj se nalaze</w:t>
      </w:r>
      <w:r w:rsidR="00F118BB" w:rsidRPr="009C58C4">
        <w:rPr>
          <w:rFonts w:eastAsia="SimSun"/>
          <w:sz w:val="22"/>
          <w:szCs w:val="22"/>
          <w:lang w:val="sr-Latn-ME"/>
        </w:rPr>
        <w:t xml:space="preserve"> jedn</w:t>
      </w:r>
      <w:r w:rsidR="00C06F79" w:rsidRPr="009C58C4">
        <w:rPr>
          <w:rFonts w:eastAsia="SimSun"/>
          <w:sz w:val="22"/>
          <w:szCs w:val="22"/>
          <w:lang w:val="sr-Latn-ME"/>
        </w:rPr>
        <w:t>a</w:t>
      </w:r>
      <w:r w:rsidR="00F118BB" w:rsidRPr="009C58C4">
        <w:rPr>
          <w:rFonts w:eastAsia="SimSun"/>
          <w:sz w:val="22"/>
          <w:szCs w:val="22"/>
          <w:lang w:val="sr-Latn-ME"/>
        </w:rPr>
        <w:t xml:space="preserve"> bočic</w:t>
      </w:r>
      <w:r w:rsidR="00C06F79" w:rsidRPr="009C58C4">
        <w:rPr>
          <w:rFonts w:eastAsia="SimSun"/>
          <w:sz w:val="22"/>
          <w:szCs w:val="22"/>
          <w:lang w:val="sr-Latn-ME"/>
        </w:rPr>
        <w:t>a</w:t>
      </w:r>
      <w:r w:rsidR="00F118BB" w:rsidRPr="009C58C4">
        <w:rPr>
          <w:rFonts w:eastAsia="SimSun"/>
          <w:sz w:val="22"/>
          <w:szCs w:val="22"/>
          <w:lang w:val="sr-Latn-ME"/>
        </w:rPr>
        <w:t>, jedan utisni nastavak za bočicu</w:t>
      </w:r>
      <w:r w:rsidRPr="009C58C4">
        <w:rPr>
          <w:rFonts w:eastAsia="SimSun"/>
          <w:sz w:val="22"/>
          <w:szCs w:val="22"/>
          <w:lang w:val="sr-Latn-ME"/>
        </w:rPr>
        <w:t>,</w:t>
      </w:r>
      <w:r w:rsidR="00F118BB" w:rsidRPr="009C58C4">
        <w:rPr>
          <w:rFonts w:eastAsia="SimSun"/>
          <w:sz w:val="22"/>
          <w:szCs w:val="22"/>
          <w:lang w:val="sr-Latn-ME"/>
        </w:rPr>
        <w:t xml:space="preserve"> jedan špric za </w:t>
      </w:r>
      <w:r w:rsidR="00C06F79" w:rsidRPr="009C58C4">
        <w:rPr>
          <w:rFonts w:eastAsia="SimSun"/>
          <w:sz w:val="22"/>
          <w:szCs w:val="22"/>
          <w:lang w:val="sr-Latn-ME"/>
        </w:rPr>
        <w:t>oralno doziranje</w:t>
      </w:r>
      <w:r w:rsidR="00F118BB" w:rsidRPr="009C58C4">
        <w:rPr>
          <w:rFonts w:eastAsia="SimSun"/>
          <w:sz w:val="22"/>
          <w:szCs w:val="22"/>
          <w:lang w:val="sr-Latn-ME"/>
        </w:rPr>
        <w:t xml:space="preserve"> od 20 </w:t>
      </w:r>
      <w:r w:rsidR="006656BE" w:rsidRPr="009C58C4">
        <w:rPr>
          <w:rFonts w:eastAsia="SimSun"/>
          <w:sz w:val="22"/>
          <w:szCs w:val="22"/>
          <w:lang w:val="sr-Latn-ME"/>
        </w:rPr>
        <w:t>ml</w:t>
      </w:r>
      <w:r w:rsidR="00F118BB" w:rsidRPr="009C58C4">
        <w:rPr>
          <w:rFonts w:eastAsia="SimSun"/>
          <w:sz w:val="22"/>
          <w:szCs w:val="22"/>
          <w:lang w:val="sr-Latn-ME"/>
        </w:rPr>
        <w:t xml:space="preserve"> sa graduisanim oznakama</w:t>
      </w:r>
      <w:r w:rsidR="00A02700">
        <w:rPr>
          <w:rFonts w:eastAsia="SimSun"/>
          <w:sz w:val="22"/>
          <w:szCs w:val="22"/>
          <w:lang w:val="sr-Latn-ME"/>
        </w:rPr>
        <w:t xml:space="preserve"> od</w:t>
      </w:r>
      <w:r w:rsidR="00F118BB" w:rsidRPr="009C58C4">
        <w:rPr>
          <w:rFonts w:eastAsia="SimSun"/>
          <w:sz w:val="22"/>
          <w:szCs w:val="22"/>
          <w:lang w:val="sr-Latn-ME"/>
        </w:rPr>
        <w:t xml:space="preserve"> po 0,5 </w:t>
      </w:r>
      <w:r w:rsidR="006656BE" w:rsidRPr="009C58C4">
        <w:rPr>
          <w:rFonts w:eastAsia="SimSun"/>
          <w:sz w:val="22"/>
          <w:szCs w:val="22"/>
          <w:lang w:val="sr-Latn-ME"/>
        </w:rPr>
        <w:t>ml</w:t>
      </w:r>
      <w:r w:rsidR="00F118BB" w:rsidRPr="009C58C4">
        <w:rPr>
          <w:rFonts w:eastAsia="SimSun"/>
          <w:sz w:val="22"/>
          <w:szCs w:val="22"/>
          <w:lang w:val="sr-Latn-ME"/>
        </w:rPr>
        <w:t>, nam</w:t>
      </w:r>
      <w:r w:rsidR="00B15D7C" w:rsidRPr="009C58C4">
        <w:rPr>
          <w:rFonts w:eastAsia="SimSun"/>
          <w:sz w:val="22"/>
          <w:szCs w:val="22"/>
          <w:lang w:val="sr-Latn-ME"/>
        </w:rPr>
        <w:t>ij</w:t>
      </w:r>
      <w:r w:rsidR="00F118BB" w:rsidRPr="009C58C4">
        <w:rPr>
          <w:rFonts w:eastAsia="SimSun"/>
          <w:sz w:val="22"/>
          <w:szCs w:val="22"/>
          <w:lang w:val="sr-Latn-ME"/>
        </w:rPr>
        <w:t>enjen za više</w:t>
      </w:r>
      <w:r w:rsidRPr="009C58C4">
        <w:rPr>
          <w:rFonts w:eastAsia="SimSun"/>
          <w:sz w:val="22"/>
          <w:szCs w:val="22"/>
          <w:lang w:val="sr-Latn-ME"/>
        </w:rPr>
        <w:t>kratnu</w:t>
      </w:r>
      <w:r w:rsidR="00F118BB" w:rsidRPr="009C58C4">
        <w:rPr>
          <w:rFonts w:eastAsia="SimSun"/>
          <w:sz w:val="22"/>
          <w:szCs w:val="22"/>
          <w:lang w:val="sr-Latn-ME"/>
        </w:rPr>
        <w:t xml:space="preserve"> </w:t>
      </w:r>
      <w:r w:rsidR="007F2563" w:rsidRPr="009C58C4">
        <w:rPr>
          <w:rFonts w:eastAsia="SimSun"/>
          <w:sz w:val="22"/>
          <w:szCs w:val="22"/>
          <w:lang w:val="sr-Latn-ME"/>
        </w:rPr>
        <w:t>primjen</w:t>
      </w:r>
      <w:r w:rsidR="00F118BB" w:rsidRPr="009C58C4">
        <w:rPr>
          <w:rFonts w:eastAsia="SimSun"/>
          <w:sz w:val="22"/>
          <w:szCs w:val="22"/>
          <w:lang w:val="sr-Latn-ME"/>
        </w:rPr>
        <w:t>u</w:t>
      </w:r>
      <w:r w:rsidRPr="009C58C4">
        <w:rPr>
          <w:rFonts w:eastAsia="SimSun"/>
          <w:sz w:val="22"/>
          <w:szCs w:val="22"/>
          <w:lang w:val="sr-Latn-ME"/>
        </w:rPr>
        <w:t xml:space="preserve"> i Uputstvo za lijek</w:t>
      </w:r>
      <w:r w:rsidR="00F118BB" w:rsidRPr="009C58C4">
        <w:rPr>
          <w:rFonts w:eastAsia="SimSun"/>
          <w:sz w:val="22"/>
          <w:szCs w:val="22"/>
          <w:lang w:val="sr-Latn-ME"/>
        </w:rPr>
        <w:t>.</w:t>
      </w:r>
    </w:p>
    <w:p w14:paraId="1671E5CD" w14:textId="77777777" w:rsidR="00F118BB" w:rsidRPr="009C58C4" w:rsidRDefault="00F118BB" w:rsidP="00226369">
      <w:pPr>
        <w:keepNext/>
        <w:shd w:val="clear" w:color="auto" w:fill="FFFFFF" w:themeFill="background1"/>
        <w:jc w:val="both"/>
        <w:rPr>
          <w:sz w:val="22"/>
          <w:szCs w:val="22"/>
          <w:lang w:val="sr-Latn-ME"/>
        </w:rPr>
      </w:pPr>
    </w:p>
    <w:p w14:paraId="259242E6" w14:textId="68CF26FE" w:rsidR="002846DB"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6.6. </w:t>
      </w:r>
      <w:r w:rsidR="00480FB1" w:rsidRPr="009C58C4">
        <w:rPr>
          <w:b/>
          <w:bCs/>
          <w:sz w:val="22"/>
          <w:szCs w:val="22"/>
          <w:lang w:val="sr-Latn-ME"/>
        </w:rPr>
        <w:tab/>
      </w:r>
      <w:r w:rsidRPr="009C58C4">
        <w:rPr>
          <w:b/>
          <w:bCs/>
          <w:color w:val="000000"/>
          <w:sz w:val="22"/>
          <w:szCs w:val="22"/>
          <w:lang w:val="sr-Latn-ME"/>
        </w:rPr>
        <w:t>Posebne mjere opreza pri odlaganju materijala koji treba odbaciti nakon primjene lijeka</w:t>
      </w:r>
      <w:r w:rsidRPr="009C58C4">
        <w:rPr>
          <w:b/>
          <w:bCs/>
          <w:sz w:val="22"/>
          <w:szCs w:val="22"/>
          <w:lang w:val="sr-Latn-ME"/>
        </w:rPr>
        <w:t xml:space="preserve"> </w:t>
      </w:r>
      <w:r w:rsidR="00310F03" w:rsidRPr="009C58C4">
        <w:rPr>
          <w:b/>
          <w:bCs/>
          <w:sz w:val="22"/>
          <w:szCs w:val="22"/>
          <w:lang w:val="sr-Latn-ME"/>
        </w:rPr>
        <w:t>(i druga uputs</w:t>
      </w:r>
      <w:r w:rsidR="004109FA" w:rsidRPr="009C58C4">
        <w:rPr>
          <w:b/>
          <w:bCs/>
          <w:sz w:val="22"/>
          <w:szCs w:val="22"/>
          <w:lang w:val="sr-Latn-ME"/>
        </w:rPr>
        <w:t>t</w:t>
      </w:r>
      <w:r w:rsidR="00310F03" w:rsidRPr="009C58C4">
        <w:rPr>
          <w:b/>
          <w:bCs/>
          <w:sz w:val="22"/>
          <w:szCs w:val="22"/>
          <w:lang w:val="sr-Latn-ME"/>
        </w:rPr>
        <w:t xml:space="preserve">va za rukovanje lijekom) </w:t>
      </w:r>
    </w:p>
    <w:p w14:paraId="771D26E7" w14:textId="77777777" w:rsidR="00B66A70" w:rsidRPr="009C58C4" w:rsidRDefault="00B66A70" w:rsidP="00226369">
      <w:pPr>
        <w:tabs>
          <w:tab w:val="left" w:pos="540"/>
          <w:tab w:val="left" w:pos="569"/>
        </w:tabs>
        <w:jc w:val="both"/>
        <w:rPr>
          <w:b/>
          <w:bCs/>
          <w:sz w:val="22"/>
          <w:szCs w:val="22"/>
          <w:lang w:val="sr-Latn-ME"/>
        </w:rPr>
      </w:pPr>
    </w:p>
    <w:p w14:paraId="24EFAF89" w14:textId="750B59F9" w:rsidR="00F118BB" w:rsidRPr="009C58C4" w:rsidRDefault="00F118BB" w:rsidP="00226369">
      <w:pPr>
        <w:keepNext/>
        <w:jc w:val="both"/>
        <w:rPr>
          <w:sz w:val="22"/>
          <w:szCs w:val="22"/>
          <w:lang w:val="sr-Latn-ME"/>
        </w:rPr>
      </w:pPr>
      <w:r w:rsidRPr="009C58C4">
        <w:rPr>
          <w:sz w:val="22"/>
          <w:szCs w:val="22"/>
          <w:lang w:val="sr-Latn-ME"/>
        </w:rPr>
        <w:t xml:space="preserve">Farmaceut mora rekonstituisati </w:t>
      </w:r>
      <w:r w:rsidR="007F2563" w:rsidRPr="009C58C4">
        <w:rPr>
          <w:sz w:val="22"/>
          <w:szCs w:val="22"/>
          <w:lang w:val="sr-Latn-ME"/>
        </w:rPr>
        <w:t>lijek</w:t>
      </w:r>
      <w:r w:rsidRPr="009C58C4">
        <w:rPr>
          <w:sz w:val="22"/>
          <w:szCs w:val="22"/>
          <w:lang w:val="sr-Latn-ME"/>
        </w:rPr>
        <w:t xml:space="preserve"> u oralni rastvor pr</w:t>
      </w:r>
      <w:r w:rsidR="00B15D7C" w:rsidRPr="009C58C4">
        <w:rPr>
          <w:sz w:val="22"/>
          <w:szCs w:val="22"/>
          <w:lang w:val="sr-Latn-ME"/>
        </w:rPr>
        <w:t>ij</w:t>
      </w:r>
      <w:r w:rsidRPr="009C58C4">
        <w:rPr>
          <w:sz w:val="22"/>
          <w:szCs w:val="22"/>
          <w:lang w:val="sr-Latn-ME"/>
        </w:rPr>
        <w:t>e izdavanja.</w:t>
      </w:r>
    </w:p>
    <w:p w14:paraId="1A2DD00C" w14:textId="77777777" w:rsidR="00F118BB" w:rsidRPr="009C58C4" w:rsidRDefault="00F118BB" w:rsidP="00226369">
      <w:pPr>
        <w:keepNext/>
        <w:jc w:val="both"/>
        <w:rPr>
          <w:sz w:val="22"/>
          <w:szCs w:val="22"/>
          <w:lang w:val="sr-Latn-ME"/>
        </w:rPr>
      </w:pPr>
    </w:p>
    <w:p w14:paraId="6A931574" w14:textId="77777777" w:rsidR="00F118BB" w:rsidRPr="009C58C4" w:rsidRDefault="00F118BB" w:rsidP="00226369">
      <w:pPr>
        <w:keepNext/>
        <w:numPr>
          <w:ilvl w:val="12"/>
          <w:numId w:val="0"/>
        </w:numPr>
        <w:jc w:val="both"/>
        <w:rPr>
          <w:b/>
          <w:bCs/>
          <w:sz w:val="22"/>
          <w:szCs w:val="22"/>
          <w:lang w:val="sr-Latn-ME"/>
        </w:rPr>
      </w:pPr>
      <w:bookmarkStart w:id="31" w:name="_Hlk142605523"/>
      <w:r w:rsidRPr="009C58C4">
        <w:rPr>
          <w:b/>
          <w:bCs/>
          <w:sz w:val="22"/>
          <w:szCs w:val="22"/>
          <w:lang w:val="sr-Latn-ME"/>
        </w:rPr>
        <w:t>Uputstvo za rekonstituciju (samo za farmaceute):</w:t>
      </w:r>
    </w:p>
    <w:p w14:paraId="27AAECB7" w14:textId="77777777" w:rsidR="00F118BB" w:rsidRPr="009C58C4" w:rsidRDefault="00F118BB" w:rsidP="00226369">
      <w:pPr>
        <w:ind w:left="567" w:hanging="567"/>
        <w:jc w:val="both"/>
        <w:rPr>
          <w:sz w:val="22"/>
          <w:szCs w:val="22"/>
          <w:lang w:val="sr-Latn-ME" w:eastAsia="en-GB"/>
        </w:rPr>
      </w:pPr>
      <w:r w:rsidRPr="009C58C4">
        <w:rPr>
          <w:sz w:val="22"/>
          <w:szCs w:val="22"/>
          <w:lang w:val="sr-Latn-ME" w:eastAsia="en-GB"/>
        </w:rPr>
        <w:t>1.</w:t>
      </w:r>
      <w:r w:rsidRPr="009C58C4">
        <w:rPr>
          <w:sz w:val="22"/>
          <w:szCs w:val="22"/>
          <w:lang w:val="sr-Latn-ME" w:eastAsia="en-GB"/>
        </w:rPr>
        <w:tab/>
        <w:t>Operite i osušite ruke.</w:t>
      </w:r>
    </w:p>
    <w:p w14:paraId="6347FFB2" w14:textId="04ED4AAF" w:rsidR="00F118BB" w:rsidRPr="009C58C4" w:rsidRDefault="00F118BB" w:rsidP="00226369">
      <w:pPr>
        <w:ind w:left="567" w:hanging="567"/>
        <w:jc w:val="both"/>
        <w:rPr>
          <w:sz w:val="22"/>
          <w:szCs w:val="22"/>
          <w:lang w:val="sr-Latn-ME" w:eastAsia="en-GB"/>
        </w:rPr>
      </w:pPr>
      <w:r w:rsidRPr="009C58C4">
        <w:rPr>
          <w:sz w:val="22"/>
          <w:szCs w:val="22"/>
          <w:lang w:val="sr-Latn-ME" w:eastAsia="en-GB"/>
        </w:rPr>
        <w:t>2.</w:t>
      </w:r>
      <w:r w:rsidRPr="009C58C4">
        <w:rPr>
          <w:sz w:val="22"/>
          <w:szCs w:val="22"/>
          <w:lang w:val="sr-Latn-ME" w:eastAsia="en-GB"/>
        </w:rPr>
        <w:tab/>
        <w:t>Prov</w:t>
      </w:r>
      <w:r w:rsidR="00B15D7C" w:rsidRPr="009C58C4">
        <w:rPr>
          <w:sz w:val="22"/>
          <w:szCs w:val="22"/>
          <w:lang w:val="sr-Latn-ME" w:eastAsia="en-GB"/>
        </w:rPr>
        <w:t>j</w:t>
      </w:r>
      <w:r w:rsidRPr="009C58C4">
        <w:rPr>
          <w:sz w:val="22"/>
          <w:szCs w:val="22"/>
          <w:lang w:val="sr-Latn-ME" w:eastAsia="en-GB"/>
        </w:rPr>
        <w:t>erite rok trajanja praška na bočici.</w:t>
      </w:r>
    </w:p>
    <w:p w14:paraId="5C2939FC" w14:textId="77777777" w:rsidR="00F118BB" w:rsidRPr="009C58C4" w:rsidRDefault="00F118BB" w:rsidP="00226369">
      <w:pPr>
        <w:ind w:left="567" w:hanging="567"/>
        <w:jc w:val="both"/>
        <w:rPr>
          <w:sz w:val="22"/>
          <w:szCs w:val="22"/>
          <w:lang w:val="sr-Latn-ME" w:eastAsia="en-GB"/>
        </w:rPr>
      </w:pPr>
      <w:r w:rsidRPr="009C58C4">
        <w:rPr>
          <w:sz w:val="22"/>
          <w:szCs w:val="22"/>
          <w:lang w:val="sr-Latn-ME" w:eastAsia="en-GB"/>
        </w:rPr>
        <w:t>3.</w:t>
      </w:r>
      <w:r w:rsidRPr="009C58C4">
        <w:rPr>
          <w:sz w:val="22"/>
          <w:szCs w:val="22"/>
          <w:lang w:val="sr-Latn-ME" w:eastAsia="en-GB"/>
        </w:rPr>
        <w:tab/>
        <w:t>Lupkajte prstima po bočici da se prašak rastrese.</w:t>
      </w:r>
    </w:p>
    <w:p w14:paraId="34A26F16" w14:textId="4F879925" w:rsidR="00F118BB" w:rsidRPr="009C58C4" w:rsidRDefault="00F118BB" w:rsidP="00226369">
      <w:pPr>
        <w:ind w:left="567" w:hanging="567"/>
        <w:jc w:val="both"/>
        <w:rPr>
          <w:sz w:val="22"/>
          <w:szCs w:val="22"/>
          <w:lang w:val="sr-Latn-ME" w:eastAsia="en-GB"/>
        </w:rPr>
      </w:pPr>
      <w:r w:rsidRPr="009C58C4">
        <w:rPr>
          <w:sz w:val="22"/>
          <w:szCs w:val="22"/>
          <w:lang w:val="sr-Latn-ME" w:eastAsia="en-GB"/>
        </w:rPr>
        <w:t>4.</w:t>
      </w:r>
      <w:r w:rsidRPr="009C58C4">
        <w:rPr>
          <w:sz w:val="22"/>
          <w:szCs w:val="22"/>
          <w:lang w:val="sr-Latn-ME" w:eastAsia="en-GB"/>
        </w:rPr>
        <w:tab/>
      </w:r>
      <w:r w:rsidR="00C06F79" w:rsidRPr="009C58C4">
        <w:rPr>
          <w:sz w:val="22"/>
          <w:szCs w:val="22"/>
          <w:lang w:val="sr-Latn-ME" w:eastAsia="en-GB"/>
        </w:rPr>
        <w:t>Skinite</w:t>
      </w:r>
      <w:r w:rsidRPr="009C58C4">
        <w:rPr>
          <w:sz w:val="22"/>
          <w:szCs w:val="22"/>
          <w:lang w:val="sr-Latn-ME" w:eastAsia="en-GB"/>
        </w:rPr>
        <w:t xml:space="preserve"> zatvarač i dodajte 90 </w:t>
      </w:r>
      <w:r w:rsidR="006656BE" w:rsidRPr="009C58C4">
        <w:rPr>
          <w:sz w:val="22"/>
          <w:szCs w:val="22"/>
          <w:lang w:val="sr-Latn-ME" w:eastAsia="en-GB"/>
        </w:rPr>
        <w:t>ml</w:t>
      </w:r>
      <w:r w:rsidRPr="009C58C4">
        <w:rPr>
          <w:sz w:val="22"/>
          <w:szCs w:val="22"/>
          <w:lang w:val="sr-Latn-ME" w:eastAsia="en-GB"/>
        </w:rPr>
        <w:t xml:space="preserve"> destilovane ili prečišćene vode u bočicu sa praškom.</w:t>
      </w:r>
    </w:p>
    <w:p w14:paraId="568C601B" w14:textId="5A3E65AE" w:rsidR="00F118BB" w:rsidRPr="009C58C4" w:rsidRDefault="00F118BB" w:rsidP="00226369">
      <w:pPr>
        <w:ind w:left="567" w:hanging="567"/>
        <w:jc w:val="both"/>
        <w:rPr>
          <w:sz w:val="22"/>
          <w:szCs w:val="22"/>
          <w:lang w:val="sr-Latn-ME" w:eastAsia="en-GB"/>
        </w:rPr>
      </w:pPr>
      <w:r w:rsidRPr="009C58C4">
        <w:rPr>
          <w:sz w:val="22"/>
          <w:szCs w:val="22"/>
          <w:lang w:val="sr-Latn-ME" w:eastAsia="en-GB"/>
        </w:rPr>
        <w:t>5.</w:t>
      </w:r>
      <w:r w:rsidRPr="009C58C4">
        <w:rPr>
          <w:sz w:val="22"/>
          <w:szCs w:val="22"/>
          <w:lang w:val="sr-Latn-ME" w:eastAsia="en-GB"/>
        </w:rPr>
        <w:tab/>
        <w:t>Pričvrstite zatvarač i okrećite bočicu više puta do 5 minuta, odnosno sve do potpunog rastvaranja. Takođe</w:t>
      </w:r>
      <w:r w:rsidR="00565604" w:rsidRPr="009C58C4">
        <w:rPr>
          <w:sz w:val="22"/>
          <w:szCs w:val="22"/>
          <w:lang w:val="sr-Latn-ME" w:eastAsia="en-GB"/>
        </w:rPr>
        <w:t>, bočicu</w:t>
      </w:r>
      <w:r w:rsidRPr="009C58C4">
        <w:rPr>
          <w:sz w:val="22"/>
          <w:szCs w:val="22"/>
          <w:lang w:val="sr-Latn-ME" w:eastAsia="en-GB"/>
        </w:rPr>
        <w:t xml:space="preserve"> možete lagano protresti.</w:t>
      </w:r>
    </w:p>
    <w:p w14:paraId="624FBFBA" w14:textId="5FFEE774" w:rsidR="00F118BB" w:rsidRPr="009C58C4" w:rsidRDefault="00F118BB" w:rsidP="00226369">
      <w:pPr>
        <w:ind w:left="567" w:hanging="567"/>
        <w:jc w:val="both"/>
        <w:rPr>
          <w:sz w:val="22"/>
          <w:szCs w:val="22"/>
          <w:lang w:val="sr-Latn-ME" w:eastAsia="en-GB"/>
        </w:rPr>
      </w:pPr>
      <w:r w:rsidRPr="009C58C4">
        <w:rPr>
          <w:sz w:val="22"/>
          <w:szCs w:val="22"/>
          <w:lang w:val="sr-Latn-ME" w:eastAsia="en-GB"/>
        </w:rPr>
        <w:t>6.</w:t>
      </w:r>
      <w:r w:rsidRPr="009C58C4">
        <w:rPr>
          <w:sz w:val="22"/>
          <w:szCs w:val="22"/>
          <w:lang w:val="sr-Latn-ME" w:eastAsia="en-GB"/>
        </w:rPr>
        <w:tab/>
        <w:t xml:space="preserve">Odvojite nastavak za bočicu sa šprica za </w:t>
      </w:r>
      <w:r w:rsidR="00C06F79" w:rsidRPr="009C58C4">
        <w:rPr>
          <w:sz w:val="22"/>
          <w:szCs w:val="22"/>
          <w:lang w:val="sr-Latn-ME" w:eastAsia="en-GB"/>
        </w:rPr>
        <w:t>oralno doziranje</w:t>
      </w:r>
      <w:r w:rsidRPr="009C58C4">
        <w:rPr>
          <w:sz w:val="22"/>
          <w:szCs w:val="22"/>
          <w:lang w:val="sr-Latn-ME" w:eastAsia="en-GB"/>
        </w:rPr>
        <w:t xml:space="preserve">. </w:t>
      </w:r>
      <w:r w:rsidR="00C06F79" w:rsidRPr="009C58C4">
        <w:rPr>
          <w:sz w:val="22"/>
          <w:szCs w:val="22"/>
          <w:lang w:val="sr-Latn-ME" w:eastAsia="en-GB"/>
        </w:rPr>
        <w:t>Skinite</w:t>
      </w:r>
      <w:r w:rsidRPr="009C58C4">
        <w:rPr>
          <w:sz w:val="22"/>
          <w:szCs w:val="22"/>
          <w:lang w:val="sr-Latn-ME" w:eastAsia="en-GB"/>
        </w:rPr>
        <w:t xml:space="preserve"> zatvarač</w:t>
      </w:r>
      <w:r w:rsidR="00C06F79" w:rsidRPr="009C58C4">
        <w:rPr>
          <w:sz w:val="22"/>
          <w:szCs w:val="22"/>
          <w:lang w:val="sr-Latn-ME" w:eastAsia="en-GB"/>
        </w:rPr>
        <w:t xml:space="preserve"> sa</w:t>
      </w:r>
      <w:r w:rsidRPr="009C58C4">
        <w:rPr>
          <w:sz w:val="22"/>
          <w:szCs w:val="22"/>
          <w:lang w:val="sr-Latn-ME" w:eastAsia="en-GB"/>
        </w:rPr>
        <w:t xml:space="preserve"> bočice i utisnite nastavak za bočicu u grlo bočice. Snažno pritisnite do potpunog umetanja nastavka za bočicu. Nastavak za bočicu treba biti potpuno u ravni s</w:t>
      </w:r>
      <w:r w:rsidR="00C97935" w:rsidRPr="009C58C4">
        <w:rPr>
          <w:sz w:val="22"/>
          <w:szCs w:val="22"/>
          <w:lang w:val="sr-Latn-ME" w:eastAsia="en-GB"/>
        </w:rPr>
        <w:t>a</w:t>
      </w:r>
      <w:r w:rsidRPr="009C58C4">
        <w:rPr>
          <w:sz w:val="22"/>
          <w:szCs w:val="22"/>
          <w:lang w:val="sr-Latn-ME" w:eastAsia="en-GB"/>
        </w:rPr>
        <w:t xml:space="preserve"> grlom bočice.</w:t>
      </w:r>
    </w:p>
    <w:p w14:paraId="287B2D32" w14:textId="306D0E0D" w:rsidR="00F118BB" w:rsidRPr="009C58C4" w:rsidRDefault="00F118BB" w:rsidP="00226369">
      <w:pPr>
        <w:ind w:left="567" w:hanging="567"/>
        <w:jc w:val="both"/>
        <w:rPr>
          <w:sz w:val="22"/>
          <w:szCs w:val="22"/>
          <w:lang w:val="sr-Latn-ME" w:eastAsia="en-GB"/>
        </w:rPr>
      </w:pPr>
      <w:r w:rsidRPr="009C58C4">
        <w:rPr>
          <w:sz w:val="22"/>
          <w:szCs w:val="22"/>
          <w:lang w:val="sr-Latn-ME" w:eastAsia="en-GB"/>
        </w:rPr>
        <w:t>7.</w:t>
      </w:r>
      <w:r w:rsidRPr="009C58C4">
        <w:rPr>
          <w:sz w:val="22"/>
          <w:szCs w:val="22"/>
          <w:lang w:val="sr-Latn-ME" w:eastAsia="en-GB"/>
        </w:rPr>
        <w:tab/>
      </w:r>
      <w:r w:rsidR="00565604" w:rsidRPr="009C58C4">
        <w:rPr>
          <w:sz w:val="22"/>
          <w:szCs w:val="22"/>
          <w:lang w:val="sr-Latn-ME" w:eastAsia="en-GB"/>
        </w:rPr>
        <w:t>Na kutiji n</w:t>
      </w:r>
      <w:r w:rsidRPr="009C58C4">
        <w:rPr>
          <w:sz w:val="22"/>
          <w:szCs w:val="22"/>
          <w:lang w:val="sr-Latn-ME" w:eastAsia="en-GB"/>
        </w:rPr>
        <w:t xml:space="preserve">apišite datum pripreme </w:t>
      </w:r>
      <w:r w:rsidR="00565604" w:rsidRPr="009C58C4">
        <w:rPr>
          <w:sz w:val="22"/>
          <w:szCs w:val="22"/>
          <w:lang w:val="sr-Latn-ME" w:eastAsia="en-GB"/>
        </w:rPr>
        <w:t>rastvora</w:t>
      </w:r>
      <w:r w:rsidRPr="009C58C4">
        <w:rPr>
          <w:sz w:val="22"/>
          <w:szCs w:val="22"/>
          <w:lang w:val="sr-Latn-ME" w:eastAsia="en-GB"/>
        </w:rPr>
        <w:t>. Rok trajanja rastvora je 35 dana nakon pripreme.</w:t>
      </w:r>
    </w:p>
    <w:p w14:paraId="18819CDA" w14:textId="05154E97" w:rsidR="00F118BB" w:rsidRPr="009C58C4" w:rsidRDefault="00F118BB" w:rsidP="00226369">
      <w:pPr>
        <w:ind w:left="567" w:hanging="567"/>
        <w:jc w:val="both"/>
        <w:rPr>
          <w:sz w:val="22"/>
          <w:szCs w:val="22"/>
          <w:lang w:val="sr-Latn-ME" w:eastAsia="en-GB"/>
        </w:rPr>
      </w:pPr>
      <w:r w:rsidRPr="009C58C4">
        <w:rPr>
          <w:sz w:val="22"/>
          <w:szCs w:val="22"/>
          <w:lang w:val="sr-Latn-ME" w:eastAsia="en-GB"/>
        </w:rPr>
        <w:t>8.</w:t>
      </w:r>
      <w:r w:rsidRPr="009C58C4">
        <w:rPr>
          <w:sz w:val="22"/>
          <w:szCs w:val="22"/>
          <w:lang w:val="sr-Latn-ME" w:eastAsia="en-GB"/>
        </w:rPr>
        <w:tab/>
        <w:t>Obav</w:t>
      </w:r>
      <w:r w:rsidR="00B15D7C" w:rsidRPr="009C58C4">
        <w:rPr>
          <w:sz w:val="22"/>
          <w:szCs w:val="22"/>
          <w:lang w:val="sr-Latn-ME" w:eastAsia="en-GB"/>
        </w:rPr>
        <w:t>ij</w:t>
      </w:r>
      <w:r w:rsidRPr="009C58C4">
        <w:rPr>
          <w:sz w:val="22"/>
          <w:szCs w:val="22"/>
          <w:lang w:val="sr-Latn-ME" w:eastAsia="en-GB"/>
        </w:rPr>
        <w:t>estite pacijenta o dozi i datumu kada je rastvor pripre</w:t>
      </w:r>
      <w:r w:rsidR="006656BE" w:rsidRPr="009C58C4">
        <w:rPr>
          <w:sz w:val="22"/>
          <w:szCs w:val="22"/>
          <w:lang w:val="sr-Latn-ME" w:eastAsia="en-GB"/>
        </w:rPr>
        <w:t>ml</w:t>
      </w:r>
      <w:r w:rsidRPr="009C58C4">
        <w:rPr>
          <w:sz w:val="22"/>
          <w:szCs w:val="22"/>
          <w:lang w:val="sr-Latn-ME" w:eastAsia="en-GB"/>
        </w:rPr>
        <w:t>jen.</w:t>
      </w:r>
      <w:bookmarkEnd w:id="31"/>
    </w:p>
    <w:p w14:paraId="3F6B07D3" w14:textId="77777777" w:rsidR="00F118BB" w:rsidRPr="009C58C4" w:rsidRDefault="00F118BB" w:rsidP="00226369">
      <w:pPr>
        <w:ind w:left="567" w:hanging="567"/>
        <w:jc w:val="both"/>
        <w:rPr>
          <w:sz w:val="22"/>
          <w:szCs w:val="22"/>
          <w:lang w:val="sr-Latn-ME" w:eastAsia="en-GB"/>
        </w:rPr>
      </w:pPr>
    </w:p>
    <w:p w14:paraId="120AE942" w14:textId="0A5927CF" w:rsidR="00F118BB" w:rsidRPr="009C58C4" w:rsidRDefault="00F118BB" w:rsidP="00226369">
      <w:pPr>
        <w:shd w:val="clear" w:color="auto" w:fill="FFFFFF" w:themeFill="background1"/>
        <w:jc w:val="both"/>
        <w:rPr>
          <w:sz w:val="22"/>
          <w:szCs w:val="22"/>
          <w:lang w:val="sr-Latn-ME"/>
        </w:rPr>
      </w:pPr>
      <w:r w:rsidRPr="009C58C4">
        <w:rPr>
          <w:sz w:val="22"/>
          <w:szCs w:val="22"/>
          <w:lang w:val="sr-Latn-ME"/>
        </w:rPr>
        <w:lastRenderedPageBreak/>
        <w:t xml:space="preserve">Svu neiskorišćenu količinu </w:t>
      </w:r>
      <w:r w:rsidR="007F2563" w:rsidRPr="009C58C4">
        <w:rPr>
          <w:sz w:val="22"/>
          <w:szCs w:val="22"/>
          <w:lang w:val="sr-Latn-ME"/>
        </w:rPr>
        <w:t>lijek</w:t>
      </w:r>
      <w:r w:rsidRPr="009C58C4">
        <w:rPr>
          <w:sz w:val="22"/>
          <w:szCs w:val="22"/>
          <w:lang w:val="sr-Latn-ME"/>
        </w:rPr>
        <w:t>a ili otpadnog materijala nakon njegove upotrebe treba ukloniti, u skladu sa važećim propisima.</w:t>
      </w:r>
    </w:p>
    <w:p w14:paraId="346A5259" w14:textId="779D8479" w:rsidR="0072020E" w:rsidRPr="009C58C4" w:rsidRDefault="0072020E" w:rsidP="00226369">
      <w:pPr>
        <w:tabs>
          <w:tab w:val="left" w:pos="540"/>
          <w:tab w:val="left" w:pos="569"/>
        </w:tabs>
        <w:jc w:val="both"/>
        <w:rPr>
          <w:bCs/>
          <w:sz w:val="22"/>
          <w:szCs w:val="22"/>
          <w:lang w:val="sr-Latn-ME"/>
        </w:rPr>
      </w:pPr>
    </w:p>
    <w:p w14:paraId="70EFFE7B" w14:textId="77777777" w:rsidR="00565604" w:rsidRPr="009C58C4" w:rsidRDefault="00565604" w:rsidP="00226369">
      <w:pPr>
        <w:tabs>
          <w:tab w:val="left" w:pos="540"/>
          <w:tab w:val="left" w:pos="569"/>
        </w:tabs>
        <w:jc w:val="both"/>
        <w:rPr>
          <w:bCs/>
          <w:sz w:val="22"/>
          <w:szCs w:val="22"/>
          <w:lang w:val="sr-Latn-ME"/>
        </w:rPr>
      </w:pPr>
    </w:p>
    <w:p w14:paraId="6DE5DF7E" w14:textId="77777777" w:rsidR="00F8570A"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7. </w:t>
      </w:r>
      <w:r w:rsidR="00480FB1" w:rsidRPr="009C58C4">
        <w:rPr>
          <w:b/>
          <w:bCs/>
          <w:sz w:val="22"/>
          <w:szCs w:val="22"/>
          <w:lang w:val="sr-Latn-ME"/>
        </w:rPr>
        <w:tab/>
      </w:r>
      <w:r w:rsidRPr="009C58C4">
        <w:rPr>
          <w:b/>
          <w:bCs/>
          <w:sz w:val="22"/>
          <w:szCs w:val="22"/>
          <w:lang w:val="sr-Latn-ME"/>
        </w:rPr>
        <w:t>NOSILAC DOZVOLE</w:t>
      </w:r>
      <w:r w:rsidR="00483928" w:rsidRPr="009C58C4">
        <w:rPr>
          <w:b/>
          <w:bCs/>
          <w:sz w:val="22"/>
          <w:szCs w:val="22"/>
          <w:lang w:val="sr-Latn-ME"/>
        </w:rPr>
        <w:t xml:space="preserve"> </w:t>
      </w:r>
    </w:p>
    <w:p w14:paraId="4F77BF3C" w14:textId="77777777" w:rsidR="00565604" w:rsidRPr="009C58C4" w:rsidRDefault="00565604" w:rsidP="00C87F6C">
      <w:pPr>
        <w:tabs>
          <w:tab w:val="left" w:pos="540"/>
          <w:tab w:val="left" w:pos="569"/>
        </w:tabs>
        <w:jc w:val="both"/>
        <w:rPr>
          <w:bCs/>
          <w:sz w:val="22"/>
          <w:szCs w:val="22"/>
          <w:lang w:val="sr-Latn-ME"/>
        </w:rPr>
      </w:pPr>
    </w:p>
    <w:p w14:paraId="27A9B820" w14:textId="565E9820" w:rsidR="006240EB" w:rsidRPr="009C58C4" w:rsidRDefault="006240EB" w:rsidP="00C87F6C">
      <w:pPr>
        <w:tabs>
          <w:tab w:val="left" w:pos="540"/>
          <w:tab w:val="left" w:pos="569"/>
        </w:tabs>
        <w:jc w:val="both"/>
        <w:rPr>
          <w:bCs/>
          <w:sz w:val="22"/>
          <w:szCs w:val="22"/>
          <w:lang w:val="sr-Latn-ME"/>
        </w:rPr>
      </w:pPr>
      <w:r w:rsidRPr="009C58C4">
        <w:rPr>
          <w:bCs/>
          <w:sz w:val="22"/>
          <w:szCs w:val="22"/>
          <w:lang w:val="sr-Latn-ME"/>
        </w:rPr>
        <w:t>“Novartis Pharma Services AG” dio stranog društva Podgorica</w:t>
      </w:r>
    </w:p>
    <w:p w14:paraId="26BBE9B3" w14:textId="4B78D0B6" w:rsidR="00C61BE0" w:rsidRPr="009C58C4" w:rsidRDefault="006240EB" w:rsidP="00022D46">
      <w:pPr>
        <w:pStyle w:val="Header"/>
        <w:tabs>
          <w:tab w:val="left" w:pos="284"/>
        </w:tabs>
        <w:jc w:val="both"/>
        <w:rPr>
          <w:sz w:val="22"/>
          <w:szCs w:val="22"/>
          <w:lang w:val="sr-Latn-ME"/>
        </w:rPr>
      </w:pPr>
      <w:r w:rsidRPr="009C58C4">
        <w:rPr>
          <w:sz w:val="22"/>
          <w:szCs w:val="22"/>
          <w:lang w:val="sr-Latn-ME"/>
        </w:rPr>
        <w:t>Ul. Svetlane Kane Radević br. 3, Podgorica, Crna Gora</w:t>
      </w:r>
    </w:p>
    <w:p w14:paraId="1201347F" w14:textId="59B4698B" w:rsidR="00C37FD7" w:rsidRPr="009C58C4" w:rsidRDefault="00C37FD7" w:rsidP="00226369">
      <w:pPr>
        <w:tabs>
          <w:tab w:val="left" w:pos="540"/>
          <w:tab w:val="left" w:pos="569"/>
        </w:tabs>
        <w:jc w:val="both"/>
        <w:rPr>
          <w:bCs/>
          <w:sz w:val="22"/>
          <w:szCs w:val="22"/>
          <w:lang w:val="sr-Latn-ME"/>
        </w:rPr>
      </w:pPr>
    </w:p>
    <w:p w14:paraId="7941E7B6" w14:textId="77777777" w:rsidR="00565604" w:rsidRPr="009C58C4" w:rsidRDefault="00565604" w:rsidP="00226369">
      <w:pPr>
        <w:tabs>
          <w:tab w:val="left" w:pos="540"/>
          <w:tab w:val="left" w:pos="569"/>
        </w:tabs>
        <w:jc w:val="both"/>
        <w:rPr>
          <w:bCs/>
          <w:sz w:val="22"/>
          <w:szCs w:val="22"/>
          <w:lang w:val="sr-Latn-ME"/>
        </w:rPr>
      </w:pPr>
    </w:p>
    <w:p w14:paraId="5347B604"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8. </w:t>
      </w:r>
      <w:r w:rsidR="00480FB1" w:rsidRPr="009C58C4">
        <w:rPr>
          <w:b/>
          <w:bCs/>
          <w:sz w:val="22"/>
          <w:szCs w:val="22"/>
          <w:lang w:val="sr-Latn-ME"/>
        </w:rPr>
        <w:tab/>
      </w:r>
      <w:r w:rsidRPr="009C58C4">
        <w:rPr>
          <w:b/>
          <w:bCs/>
          <w:sz w:val="22"/>
          <w:szCs w:val="22"/>
          <w:lang w:val="sr-Latn-ME"/>
        </w:rPr>
        <w:t>BROJ DOZVOLE</w:t>
      </w:r>
      <w:r w:rsidR="008A6D43" w:rsidRPr="009C58C4">
        <w:rPr>
          <w:b/>
          <w:bCs/>
          <w:sz w:val="22"/>
          <w:szCs w:val="22"/>
          <w:lang w:val="sr-Latn-ME"/>
        </w:rPr>
        <w:t xml:space="preserve"> ZA STAVLJANJE LIJEKA U PROMET</w:t>
      </w:r>
    </w:p>
    <w:p w14:paraId="011E950B" w14:textId="38FB2E20" w:rsidR="0072020E" w:rsidRDefault="0072020E" w:rsidP="00226369">
      <w:pPr>
        <w:tabs>
          <w:tab w:val="left" w:pos="540"/>
          <w:tab w:val="left" w:pos="569"/>
        </w:tabs>
        <w:jc w:val="both"/>
        <w:rPr>
          <w:bCs/>
          <w:sz w:val="22"/>
          <w:szCs w:val="22"/>
          <w:lang w:val="sr-Latn-ME"/>
        </w:rPr>
      </w:pPr>
    </w:p>
    <w:p w14:paraId="17254271" w14:textId="7680DFBF" w:rsidR="009C58C4" w:rsidRPr="009C58C4" w:rsidRDefault="009C58C4" w:rsidP="00226369">
      <w:pPr>
        <w:tabs>
          <w:tab w:val="left" w:pos="540"/>
          <w:tab w:val="left" w:pos="569"/>
        </w:tabs>
        <w:jc w:val="both"/>
        <w:rPr>
          <w:bCs/>
          <w:sz w:val="22"/>
          <w:szCs w:val="22"/>
          <w:lang w:val="sr-Latn-ME"/>
        </w:rPr>
      </w:pPr>
      <w:r w:rsidRPr="009C58C4">
        <w:rPr>
          <w:bCs/>
          <w:sz w:val="22"/>
          <w:szCs w:val="22"/>
          <w:lang w:val="sr-Latn-ME"/>
        </w:rPr>
        <w:t>2030/25/2472 - 399</w:t>
      </w:r>
    </w:p>
    <w:p w14:paraId="0D487574" w14:textId="2F7F1930" w:rsidR="00F45F77" w:rsidRDefault="00F45F77" w:rsidP="00226369">
      <w:pPr>
        <w:tabs>
          <w:tab w:val="left" w:pos="540"/>
          <w:tab w:val="left" w:pos="569"/>
        </w:tabs>
        <w:jc w:val="both"/>
        <w:rPr>
          <w:bCs/>
          <w:sz w:val="22"/>
          <w:szCs w:val="22"/>
          <w:lang w:val="sr-Latn-ME"/>
        </w:rPr>
      </w:pPr>
    </w:p>
    <w:p w14:paraId="39F611E4" w14:textId="77777777" w:rsidR="009C58C4" w:rsidRPr="009C58C4" w:rsidRDefault="009C58C4" w:rsidP="00226369">
      <w:pPr>
        <w:tabs>
          <w:tab w:val="left" w:pos="540"/>
          <w:tab w:val="left" w:pos="569"/>
        </w:tabs>
        <w:jc w:val="both"/>
        <w:rPr>
          <w:bCs/>
          <w:sz w:val="22"/>
          <w:szCs w:val="22"/>
          <w:lang w:val="sr-Latn-ME"/>
        </w:rPr>
      </w:pPr>
    </w:p>
    <w:p w14:paraId="2FCEAE4C" w14:textId="77777777" w:rsidR="0072020E" w:rsidRPr="009C58C4" w:rsidRDefault="0072020E" w:rsidP="00226369">
      <w:pPr>
        <w:tabs>
          <w:tab w:val="left" w:pos="540"/>
          <w:tab w:val="left" w:pos="569"/>
        </w:tabs>
        <w:jc w:val="both"/>
        <w:rPr>
          <w:b/>
          <w:bCs/>
          <w:sz w:val="22"/>
          <w:szCs w:val="22"/>
          <w:lang w:val="sr-Latn-ME"/>
        </w:rPr>
      </w:pPr>
      <w:r w:rsidRPr="009C58C4">
        <w:rPr>
          <w:b/>
          <w:bCs/>
          <w:sz w:val="22"/>
          <w:szCs w:val="22"/>
          <w:lang w:val="sr-Latn-ME"/>
        </w:rPr>
        <w:t xml:space="preserve">9. </w:t>
      </w:r>
      <w:r w:rsidR="00480FB1" w:rsidRPr="009C58C4">
        <w:rPr>
          <w:b/>
          <w:bCs/>
          <w:sz w:val="22"/>
          <w:szCs w:val="22"/>
          <w:lang w:val="sr-Latn-ME"/>
        </w:rPr>
        <w:tab/>
      </w:r>
      <w:r w:rsidRPr="009C58C4">
        <w:rPr>
          <w:b/>
          <w:bCs/>
          <w:sz w:val="22"/>
          <w:szCs w:val="22"/>
          <w:lang w:val="sr-Latn-ME"/>
        </w:rPr>
        <w:t xml:space="preserve">DATUM </w:t>
      </w:r>
      <w:r w:rsidR="00C05DF8" w:rsidRPr="009C58C4">
        <w:rPr>
          <w:b/>
          <w:bCs/>
          <w:sz w:val="22"/>
          <w:szCs w:val="22"/>
          <w:lang w:val="sr-Latn-ME"/>
        </w:rPr>
        <w:t xml:space="preserve">PRVE </w:t>
      </w:r>
      <w:r w:rsidR="008A6D43" w:rsidRPr="009C58C4">
        <w:rPr>
          <w:b/>
          <w:bCs/>
          <w:sz w:val="22"/>
          <w:szCs w:val="22"/>
          <w:lang w:val="sr-Latn-ME"/>
        </w:rPr>
        <w:t>DOZVOLE</w:t>
      </w:r>
      <w:r w:rsidR="00C05DF8" w:rsidRPr="009C58C4">
        <w:rPr>
          <w:b/>
          <w:bCs/>
          <w:sz w:val="22"/>
          <w:szCs w:val="22"/>
          <w:lang w:val="sr-Latn-ME"/>
        </w:rPr>
        <w:t>/OBNOVE DOZVOLE</w:t>
      </w:r>
      <w:r w:rsidR="008A6D43" w:rsidRPr="009C58C4">
        <w:rPr>
          <w:b/>
          <w:bCs/>
          <w:sz w:val="22"/>
          <w:szCs w:val="22"/>
          <w:lang w:val="sr-Latn-ME"/>
        </w:rPr>
        <w:t xml:space="preserve"> ZA STAVLJANJE LIJEKA U PROMET</w:t>
      </w:r>
    </w:p>
    <w:p w14:paraId="27015FB5" w14:textId="54F778EC" w:rsidR="0072020E" w:rsidRDefault="0072020E" w:rsidP="00226369">
      <w:pPr>
        <w:tabs>
          <w:tab w:val="left" w:pos="540"/>
          <w:tab w:val="left" w:pos="569"/>
        </w:tabs>
        <w:jc w:val="both"/>
        <w:rPr>
          <w:bCs/>
          <w:sz w:val="22"/>
          <w:szCs w:val="22"/>
          <w:lang w:val="sr-Latn-ME"/>
        </w:rPr>
      </w:pPr>
    </w:p>
    <w:p w14:paraId="34E6E84B" w14:textId="4EFB7AF1" w:rsidR="009C58C4" w:rsidRPr="009C58C4" w:rsidRDefault="009C58C4" w:rsidP="00226369">
      <w:pPr>
        <w:tabs>
          <w:tab w:val="left" w:pos="540"/>
          <w:tab w:val="left" w:pos="569"/>
        </w:tabs>
        <w:jc w:val="both"/>
        <w:rPr>
          <w:bCs/>
          <w:sz w:val="22"/>
          <w:szCs w:val="22"/>
          <w:lang w:val="sr-Latn-ME"/>
        </w:rPr>
      </w:pPr>
      <w:r w:rsidRPr="009C58C4">
        <w:rPr>
          <w:bCs/>
          <w:sz w:val="22"/>
          <w:szCs w:val="22"/>
          <w:lang w:val="sr-Latn-ME"/>
        </w:rPr>
        <w:t>30.06.2025. godine</w:t>
      </w:r>
    </w:p>
    <w:p w14:paraId="7AC16686" w14:textId="01360CBE" w:rsidR="00836B35" w:rsidRDefault="00836B35" w:rsidP="00226369">
      <w:pPr>
        <w:tabs>
          <w:tab w:val="left" w:pos="540"/>
          <w:tab w:val="left" w:pos="569"/>
        </w:tabs>
        <w:jc w:val="both"/>
        <w:rPr>
          <w:bCs/>
          <w:sz w:val="22"/>
          <w:szCs w:val="22"/>
          <w:lang w:val="sr-Latn-ME"/>
        </w:rPr>
      </w:pPr>
    </w:p>
    <w:p w14:paraId="11938D5F" w14:textId="77777777" w:rsidR="009C58C4" w:rsidRPr="009C58C4" w:rsidRDefault="009C58C4" w:rsidP="00226369">
      <w:pPr>
        <w:tabs>
          <w:tab w:val="left" w:pos="540"/>
          <w:tab w:val="left" w:pos="569"/>
        </w:tabs>
        <w:jc w:val="both"/>
        <w:rPr>
          <w:bCs/>
          <w:sz w:val="22"/>
          <w:szCs w:val="22"/>
          <w:lang w:val="sr-Latn-ME"/>
        </w:rPr>
      </w:pPr>
    </w:p>
    <w:p w14:paraId="68871AFA" w14:textId="77777777" w:rsidR="003F6A59" w:rsidRPr="009C58C4" w:rsidRDefault="0072020E" w:rsidP="00226369">
      <w:pPr>
        <w:tabs>
          <w:tab w:val="left" w:pos="540"/>
          <w:tab w:val="left" w:pos="569"/>
        </w:tabs>
        <w:ind w:left="540" w:hanging="540"/>
        <w:jc w:val="both"/>
        <w:rPr>
          <w:bCs/>
          <w:sz w:val="22"/>
          <w:szCs w:val="22"/>
          <w:lang w:val="sr-Latn-ME"/>
        </w:rPr>
      </w:pPr>
      <w:r w:rsidRPr="009C58C4">
        <w:rPr>
          <w:b/>
          <w:bCs/>
          <w:sz w:val="22"/>
          <w:szCs w:val="22"/>
          <w:lang w:val="sr-Latn-ME"/>
        </w:rPr>
        <w:t xml:space="preserve">10. </w:t>
      </w:r>
      <w:r w:rsidR="00480FB1" w:rsidRPr="009C58C4">
        <w:rPr>
          <w:b/>
          <w:bCs/>
          <w:sz w:val="22"/>
          <w:szCs w:val="22"/>
          <w:lang w:val="sr-Latn-ME"/>
        </w:rPr>
        <w:tab/>
      </w:r>
      <w:r w:rsidR="002846DB" w:rsidRPr="009C58C4">
        <w:rPr>
          <w:b/>
          <w:bCs/>
          <w:sz w:val="22"/>
          <w:szCs w:val="22"/>
          <w:lang w:val="sr-Latn-ME"/>
        </w:rPr>
        <w:t>D</w:t>
      </w:r>
      <w:r w:rsidR="00EC2532" w:rsidRPr="009C58C4">
        <w:rPr>
          <w:b/>
          <w:bCs/>
          <w:sz w:val="22"/>
          <w:szCs w:val="22"/>
          <w:lang w:val="sr-Latn-ME"/>
        </w:rPr>
        <w:t xml:space="preserve">ATUM REVIZIJE TEKSTA </w:t>
      </w:r>
    </w:p>
    <w:p w14:paraId="2222C775" w14:textId="77777777" w:rsidR="003F6A59" w:rsidRPr="009C58C4" w:rsidRDefault="003F6A59" w:rsidP="00226369">
      <w:pPr>
        <w:tabs>
          <w:tab w:val="left" w:pos="540"/>
          <w:tab w:val="left" w:pos="569"/>
        </w:tabs>
        <w:jc w:val="both"/>
        <w:rPr>
          <w:bCs/>
          <w:sz w:val="22"/>
          <w:szCs w:val="22"/>
          <w:lang w:val="sr-Latn-ME"/>
        </w:rPr>
      </w:pPr>
    </w:p>
    <w:p w14:paraId="75203BC4" w14:textId="146A693E" w:rsidR="003F6A59" w:rsidRPr="009C58C4" w:rsidRDefault="009C58C4" w:rsidP="00226369">
      <w:pPr>
        <w:jc w:val="both"/>
        <w:rPr>
          <w:sz w:val="22"/>
          <w:szCs w:val="22"/>
          <w:lang w:val="sr-Latn-ME"/>
        </w:rPr>
      </w:pPr>
      <w:r>
        <w:rPr>
          <w:sz w:val="22"/>
          <w:szCs w:val="22"/>
          <w:lang w:val="sr-Latn-ME"/>
        </w:rPr>
        <w:t>Jun, 2025. godine</w:t>
      </w:r>
    </w:p>
    <w:sectPr w:rsidR="003F6A59" w:rsidRPr="009C58C4"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D224C" w14:textId="77777777" w:rsidR="00667823" w:rsidRDefault="00667823">
      <w:r>
        <w:separator/>
      </w:r>
    </w:p>
  </w:endnote>
  <w:endnote w:type="continuationSeparator" w:id="0">
    <w:p w14:paraId="5AF13857" w14:textId="77777777" w:rsidR="00667823" w:rsidRDefault="0066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61C3" w14:textId="411050E8" w:rsidR="00B177C5" w:rsidRPr="00B23F69" w:rsidRDefault="00B177C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7097A">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7097A">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051D" w14:textId="77777777" w:rsidR="00667823" w:rsidRDefault="00667823">
      <w:r>
        <w:separator/>
      </w:r>
    </w:p>
  </w:footnote>
  <w:footnote w:type="continuationSeparator" w:id="0">
    <w:p w14:paraId="16C66673" w14:textId="77777777" w:rsidR="00667823" w:rsidRDefault="0066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pt;height:13.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D46"/>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1296"/>
    <w:rsid w:val="001536CC"/>
    <w:rsid w:val="001A3FBA"/>
    <w:rsid w:val="001A5518"/>
    <w:rsid w:val="001B1C6A"/>
    <w:rsid w:val="001C1263"/>
    <w:rsid w:val="001C1417"/>
    <w:rsid w:val="001E390B"/>
    <w:rsid w:val="001F42FB"/>
    <w:rsid w:val="001F719A"/>
    <w:rsid w:val="002031B3"/>
    <w:rsid w:val="00204063"/>
    <w:rsid w:val="00215931"/>
    <w:rsid w:val="00224C91"/>
    <w:rsid w:val="00226369"/>
    <w:rsid w:val="00227BDB"/>
    <w:rsid w:val="002336B1"/>
    <w:rsid w:val="00234CB1"/>
    <w:rsid w:val="002352F8"/>
    <w:rsid w:val="002510A5"/>
    <w:rsid w:val="00254A0A"/>
    <w:rsid w:val="00266046"/>
    <w:rsid w:val="002846DB"/>
    <w:rsid w:val="00284CCD"/>
    <w:rsid w:val="002C6637"/>
    <w:rsid w:val="002E0135"/>
    <w:rsid w:val="002E37A5"/>
    <w:rsid w:val="00304534"/>
    <w:rsid w:val="00310F03"/>
    <w:rsid w:val="003247D2"/>
    <w:rsid w:val="003445C1"/>
    <w:rsid w:val="00355B61"/>
    <w:rsid w:val="00362686"/>
    <w:rsid w:val="00371510"/>
    <w:rsid w:val="00396DFD"/>
    <w:rsid w:val="003A7059"/>
    <w:rsid w:val="003B7A36"/>
    <w:rsid w:val="003C17AB"/>
    <w:rsid w:val="003C5D11"/>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097A"/>
    <w:rsid w:val="00471DF8"/>
    <w:rsid w:val="00480FB1"/>
    <w:rsid w:val="00483928"/>
    <w:rsid w:val="0049704B"/>
    <w:rsid w:val="004C331F"/>
    <w:rsid w:val="004C45E5"/>
    <w:rsid w:val="004D6103"/>
    <w:rsid w:val="004E3BCE"/>
    <w:rsid w:val="004E70AD"/>
    <w:rsid w:val="004F0E97"/>
    <w:rsid w:val="004F17E2"/>
    <w:rsid w:val="00501DD1"/>
    <w:rsid w:val="00515C21"/>
    <w:rsid w:val="00530BD7"/>
    <w:rsid w:val="00545CD2"/>
    <w:rsid w:val="005476F3"/>
    <w:rsid w:val="00565604"/>
    <w:rsid w:val="00572527"/>
    <w:rsid w:val="00573E40"/>
    <w:rsid w:val="00576348"/>
    <w:rsid w:val="005A0B2E"/>
    <w:rsid w:val="005A23D2"/>
    <w:rsid w:val="005A36CB"/>
    <w:rsid w:val="005B49B8"/>
    <w:rsid w:val="005C0741"/>
    <w:rsid w:val="005C5EF4"/>
    <w:rsid w:val="005E2E0B"/>
    <w:rsid w:val="005E67AD"/>
    <w:rsid w:val="005E7A7D"/>
    <w:rsid w:val="00602457"/>
    <w:rsid w:val="00615BBD"/>
    <w:rsid w:val="006240EB"/>
    <w:rsid w:val="00644FC3"/>
    <w:rsid w:val="00646BD1"/>
    <w:rsid w:val="006561C2"/>
    <w:rsid w:val="006656BE"/>
    <w:rsid w:val="00667823"/>
    <w:rsid w:val="00671CB3"/>
    <w:rsid w:val="00674BAF"/>
    <w:rsid w:val="00682200"/>
    <w:rsid w:val="00692BF6"/>
    <w:rsid w:val="006A0815"/>
    <w:rsid w:val="006A1351"/>
    <w:rsid w:val="006A1497"/>
    <w:rsid w:val="006B0BD1"/>
    <w:rsid w:val="006B3D19"/>
    <w:rsid w:val="006B5404"/>
    <w:rsid w:val="006B6503"/>
    <w:rsid w:val="006C19D5"/>
    <w:rsid w:val="006D20A5"/>
    <w:rsid w:val="006D37BF"/>
    <w:rsid w:val="00702E22"/>
    <w:rsid w:val="0072020E"/>
    <w:rsid w:val="00754902"/>
    <w:rsid w:val="00786071"/>
    <w:rsid w:val="007A3ECB"/>
    <w:rsid w:val="007D7BB3"/>
    <w:rsid w:val="007E31E9"/>
    <w:rsid w:val="007F05E3"/>
    <w:rsid w:val="007F1BE3"/>
    <w:rsid w:val="007F2563"/>
    <w:rsid w:val="007F661E"/>
    <w:rsid w:val="00824AB9"/>
    <w:rsid w:val="00836B35"/>
    <w:rsid w:val="00843BDE"/>
    <w:rsid w:val="00865670"/>
    <w:rsid w:val="0087588C"/>
    <w:rsid w:val="0089379A"/>
    <w:rsid w:val="0089705C"/>
    <w:rsid w:val="008A6D43"/>
    <w:rsid w:val="008B491E"/>
    <w:rsid w:val="008C1A28"/>
    <w:rsid w:val="008C2E98"/>
    <w:rsid w:val="008E49BD"/>
    <w:rsid w:val="008E53E9"/>
    <w:rsid w:val="008E5771"/>
    <w:rsid w:val="008F4ACF"/>
    <w:rsid w:val="0091092E"/>
    <w:rsid w:val="00924166"/>
    <w:rsid w:val="00940B9B"/>
    <w:rsid w:val="00945DD0"/>
    <w:rsid w:val="00950F03"/>
    <w:rsid w:val="00953573"/>
    <w:rsid w:val="0095676E"/>
    <w:rsid w:val="00956983"/>
    <w:rsid w:val="00963CF0"/>
    <w:rsid w:val="00964BB1"/>
    <w:rsid w:val="009775D9"/>
    <w:rsid w:val="00997175"/>
    <w:rsid w:val="009A1847"/>
    <w:rsid w:val="009A2406"/>
    <w:rsid w:val="009B062A"/>
    <w:rsid w:val="009C58C4"/>
    <w:rsid w:val="009E07CA"/>
    <w:rsid w:val="009E7C6F"/>
    <w:rsid w:val="009F1793"/>
    <w:rsid w:val="009F2D23"/>
    <w:rsid w:val="00A01D69"/>
    <w:rsid w:val="00A02335"/>
    <w:rsid w:val="00A02700"/>
    <w:rsid w:val="00A13DB3"/>
    <w:rsid w:val="00A46C9A"/>
    <w:rsid w:val="00A619F3"/>
    <w:rsid w:val="00A62A73"/>
    <w:rsid w:val="00A67A87"/>
    <w:rsid w:val="00A87FF6"/>
    <w:rsid w:val="00AA0A3B"/>
    <w:rsid w:val="00AA2763"/>
    <w:rsid w:val="00AA33B6"/>
    <w:rsid w:val="00AB50CA"/>
    <w:rsid w:val="00AB6D64"/>
    <w:rsid w:val="00AC53CE"/>
    <w:rsid w:val="00AD2193"/>
    <w:rsid w:val="00AF19F4"/>
    <w:rsid w:val="00AF2AC7"/>
    <w:rsid w:val="00AF74CE"/>
    <w:rsid w:val="00B15D7C"/>
    <w:rsid w:val="00B177C5"/>
    <w:rsid w:val="00B208DB"/>
    <w:rsid w:val="00B23F69"/>
    <w:rsid w:val="00B60619"/>
    <w:rsid w:val="00B63F16"/>
    <w:rsid w:val="00B66A70"/>
    <w:rsid w:val="00B67366"/>
    <w:rsid w:val="00B80EE1"/>
    <w:rsid w:val="00B84135"/>
    <w:rsid w:val="00BE4A5D"/>
    <w:rsid w:val="00C04D34"/>
    <w:rsid w:val="00C05DF8"/>
    <w:rsid w:val="00C06864"/>
    <w:rsid w:val="00C06F79"/>
    <w:rsid w:val="00C10F54"/>
    <w:rsid w:val="00C23D8D"/>
    <w:rsid w:val="00C37AA3"/>
    <w:rsid w:val="00C37FD7"/>
    <w:rsid w:val="00C43419"/>
    <w:rsid w:val="00C44CF3"/>
    <w:rsid w:val="00C455E5"/>
    <w:rsid w:val="00C61BE0"/>
    <w:rsid w:val="00C6707E"/>
    <w:rsid w:val="00C70B0E"/>
    <w:rsid w:val="00C773CA"/>
    <w:rsid w:val="00C83785"/>
    <w:rsid w:val="00C87F6C"/>
    <w:rsid w:val="00C87FA8"/>
    <w:rsid w:val="00C90852"/>
    <w:rsid w:val="00C94C0D"/>
    <w:rsid w:val="00C97935"/>
    <w:rsid w:val="00CA0C50"/>
    <w:rsid w:val="00CA1D22"/>
    <w:rsid w:val="00CA1FEB"/>
    <w:rsid w:val="00CD4F85"/>
    <w:rsid w:val="00CD6F02"/>
    <w:rsid w:val="00CE246D"/>
    <w:rsid w:val="00CF07A0"/>
    <w:rsid w:val="00CF3E03"/>
    <w:rsid w:val="00D0082A"/>
    <w:rsid w:val="00D21455"/>
    <w:rsid w:val="00D47634"/>
    <w:rsid w:val="00D52682"/>
    <w:rsid w:val="00D709B3"/>
    <w:rsid w:val="00D74CD2"/>
    <w:rsid w:val="00DA2ED6"/>
    <w:rsid w:val="00DB1D55"/>
    <w:rsid w:val="00DB76B8"/>
    <w:rsid w:val="00DB7CD4"/>
    <w:rsid w:val="00DC2EA1"/>
    <w:rsid w:val="00DC694D"/>
    <w:rsid w:val="00DD6AAF"/>
    <w:rsid w:val="00DE3F5C"/>
    <w:rsid w:val="00DF0AEB"/>
    <w:rsid w:val="00DF1D20"/>
    <w:rsid w:val="00E16F1B"/>
    <w:rsid w:val="00E21324"/>
    <w:rsid w:val="00E246B9"/>
    <w:rsid w:val="00E31FEA"/>
    <w:rsid w:val="00E32D08"/>
    <w:rsid w:val="00E34623"/>
    <w:rsid w:val="00E45169"/>
    <w:rsid w:val="00E47787"/>
    <w:rsid w:val="00E51C30"/>
    <w:rsid w:val="00E551BD"/>
    <w:rsid w:val="00E64180"/>
    <w:rsid w:val="00E7235D"/>
    <w:rsid w:val="00E74AEE"/>
    <w:rsid w:val="00E868E5"/>
    <w:rsid w:val="00E91805"/>
    <w:rsid w:val="00E9237A"/>
    <w:rsid w:val="00E939FA"/>
    <w:rsid w:val="00EA5765"/>
    <w:rsid w:val="00EB19E9"/>
    <w:rsid w:val="00EC2532"/>
    <w:rsid w:val="00ED3B89"/>
    <w:rsid w:val="00ED7812"/>
    <w:rsid w:val="00EF3B86"/>
    <w:rsid w:val="00F103EF"/>
    <w:rsid w:val="00F118BB"/>
    <w:rsid w:val="00F317E9"/>
    <w:rsid w:val="00F34554"/>
    <w:rsid w:val="00F35B68"/>
    <w:rsid w:val="00F45F77"/>
    <w:rsid w:val="00F46CDF"/>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10CB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uiPriority w:val="39"/>
    <w:rsid w:val="007F1BE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6240EB"/>
    <w:rPr>
      <w:sz w:val="24"/>
      <w:szCs w:val="24"/>
      <w:lang w:val="en-US" w:eastAsia="en-US"/>
    </w:rPr>
  </w:style>
  <w:style w:type="paragraph" w:styleId="Revision">
    <w:name w:val="Revision"/>
    <w:hidden/>
    <w:uiPriority w:val="99"/>
    <w:semiHidden/>
    <w:rsid w:val="0022636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6B25-4DD6-46E5-9EB9-967461D4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10706</Words>
  <Characters>61028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71591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6</cp:revision>
  <cp:lastPrinted>2023-02-09T08:16:00Z</cp:lastPrinted>
  <dcterms:created xsi:type="dcterms:W3CDTF">2025-06-30T08:46:00Z</dcterms:created>
  <dcterms:modified xsi:type="dcterms:W3CDTF">2025-06-30T10:29:00Z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2024-12-16T18:26:14Z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9033af07-d674-4dda-8122-0ab39e39f703</vt:lpwstr>
  </property>
  <property fmtid="{D5CDD505-2E9C-101B-9397-08002B2CF9AE}" pid="9" name="MSIP_Label_3c9bec58-8084-492e-8360-0e1cfe36408c_ContentBits">
    <vt:lpwstr>0</vt:lpwstr>
  </property>
</Properties>
</file>