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94F44" w14:textId="77777777" w:rsidR="00C533CF" w:rsidRDefault="008C2F74">
      <w:pPr>
        <w:jc w:val="center"/>
        <w:rPr>
          <w:b/>
          <w:bCs/>
          <w:iCs/>
          <w:szCs w:val="22"/>
          <w:u w:val="single"/>
          <w:lang w:val="sr-Latn-RS"/>
        </w:rPr>
      </w:pPr>
      <w:r>
        <w:rPr>
          <w:b/>
          <w:bCs/>
          <w:iCs/>
          <w:szCs w:val="22"/>
          <w:u w:val="single"/>
          <w:lang w:val="sr-Latn-RS"/>
        </w:rPr>
        <w:t>SAŽETAK KARAKTERISTIKA LIJEKA</w:t>
      </w:r>
    </w:p>
    <w:p w14:paraId="07E2C1D1" w14:textId="77777777" w:rsidR="00C533CF" w:rsidRDefault="00C533CF">
      <w:pPr>
        <w:rPr>
          <w:b/>
          <w:bCs/>
          <w:i/>
          <w:iCs/>
          <w:szCs w:val="22"/>
          <w:u w:val="single"/>
          <w:lang w:val="sr-Latn-RS"/>
        </w:rPr>
      </w:pPr>
    </w:p>
    <w:p w14:paraId="213227CC" w14:textId="77777777" w:rsidR="00C533CF" w:rsidRDefault="00C533CF">
      <w:pPr>
        <w:rPr>
          <w:szCs w:val="22"/>
          <w:lang w:val="sr-Latn-RS"/>
        </w:rPr>
      </w:pPr>
    </w:p>
    <w:p w14:paraId="1C2D91C8" w14:textId="77777777" w:rsidR="00C533CF" w:rsidRPr="008C2F74" w:rsidRDefault="008C2F74" w:rsidP="00811A6B">
      <w:pPr>
        <w:tabs>
          <w:tab w:val="left" w:pos="540"/>
        </w:tabs>
        <w:jc w:val="both"/>
        <w:rPr>
          <w:b/>
          <w:bCs/>
          <w:szCs w:val="22"/>
          <w:lang w:val="sr-Latn-RS"/>
        </w:rPr>
      </w:pPr>
      <w:r w:rsidRPr="008C2F74">
        <w:rPr>
          <w:b/>
          <w:bCs/>
          <w:szCs w:val="22"/>
          <w:lang w:val="sr-Latn-RS"/>
        </w:rPr>
        <w:t>1.</w:t>
      </w:r>
      <w:r w:rsidRPr="008C2F74">
        <w:rPr>
          <w:b/>
          <w:bCs/>
          <w:szCs w:val="22"/>
          <w:lang w:val="sr-Latn-RS"/>
        </w:rPr>
        <w:tab/>
        <w:t>NAZIV LIJEKA</w:t>
      </w:r>
    </w:p>
    <w:p w14:paraId="1B3E62E0" w14:textId="77777777" w:rsidR="00C533CF" w:rsidRPr="008C2F74" w:rsidRDefault="00C533CF" w:rsidP="00811A6B">
      <w:pPr>
        <w:jc w:val="both"/>
        <w:rPr>
          <w:szCs w:val="22"/>
          <w:lang w:val="sr-Latn-RS"/>
        </w:rPr>
      </w:pPr>
    </w:p>
    <w:p w14:paraId="4363EE36" w14:textId="77777777" w:rsidR="00C533CF" w:rsidRPr="008C2F74" w:rsidRDefault="008C2F74" w:rsidP="00811A6B">
      <w:pPr>
        <w:jc w:val="both"/>
        <w:rPr>
          <w:bCs/>
          <w:szCs w:val="22"/>
          <w:lang w:val="sr-Latn-RS"/>
        </w:rPr>
      </w:pPr>
      <w:r w:rsidRPr="008C2F74">
        <w:rPr>
          <w:bCs/>
          <w:szCs w:val="22"/>
          <w:lang w:val="sr-Latn-RS" w:eastAsia="sl-SI"/>
        </w:rPr>
        <w:t>Lorista H 100, 100 mg + 12,5 mg, film tableta</w:t>
      </w:r>
    </w:p>
    <w:p w14:paraId="6BB6685A" w14:textId="77777777" w:rsidR="00C533CF" w:rsidRPr="008C2F74" w:rsidRDefault="00C533CF" w:rsidP="00811A6B">
      <w:pPr>
        <w:jc w:val="both"/>
        <w:rPr>
          <w:szCs w:val="22"/>
          <w:lang w:val="sr-Latn-RS"/>
        </w:rPr>
      </w:pPr>
    </w:p>
    <w:p w14:paraId="4FCE43A0" w14:textId="77777777" w:rsidR="00C533CF" w:rsidRPr="008C2F74" w:rsidRDefault="008C2F74" w:rsidP="00811A6B">
      <w:pPr>
        <w:jc w:val="both"/>
        <w:rPr>
          <w:szCs w:val="22"/>
          <w:lang w:val="sr-Latn-RS"/>
        </w:rPr>
      </w:pPr>
      <w:r w:rsidRPr="008C2F74">
        <w:rPr>
          <w:szCs w:val="22"/>
          <w:lang w:val="sr-Latn-RS"/>
        </w:rPr>
        <w:t>INN:</w:t>
      </w:r>
      <w:r w:rsidRPr="008C2F74">
        <w:rPr>
          <w:szCs w:val="22"/>
          <w:lang w:val="sr-Latn-RS" w:eastAsia="sl-SI"/>
        </w:rPr>
        <w:t xml:space="preserve"> losartan, hidrohlortiazid</w:t>
      </w:r>
    </w:p>
    <w:p w14:paraId="37051F93" w14:textId="77777777" w:rsidR="00C533CF" w:rsidRPr="008C2F74" w:rsidRDefault="00C533CF" w:rsidP="00811A6B">
      <w:pPr>
        <w:jc w:val="both"/>
        <w:rPr>
          <w:bCs/>
          <w:szCs w:val="22"/>
          <w:lang w:val="sr-Latn-RS"/>
        </w:rPr>
      </w:pPr>
    </w:p>
    <w:p w14:paraId="5A992B0F" w14:textId="77777777" w:rsidR="00C533CF" w:rsidRPr="008C2F74" w:rsidRDefault="00C533CF" w:rsidP="00811A6B">
      <w:pPr>
        <w:jc w:val="both"/>
        <w:rPr>
          <w:bCs/>
          <w:szCs w:val="22"/>
          <w:lang w:val="sr-Latn-RS"/>
        </w:rPr>
      </w:pPr>
    </w:p>
    <w:p w14:paraId="4115C46D"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2. </w:t>
      </w:r>
      <w:r w:rsidRPr="008C2F74">
        <w:rPr>
          <w:b/>
          <w:bCs/>
          <w:szCs w:val="22"/>
          <w:lang w:val="sr-Latn-RS"/>
        </w:rPr>
        <w:tab/>
        <w:t>KVALITATIVNI I KVANTITATIVNI SASTAV</w:t>
      </w:r>
    </w:p>
    <w:p w14:paraId="7B1D6B9A" w14:textId="77777777" w:rsidR="00C533CF" w:rsidRPr="008C2F74" w:rsidRDefault="00C533CF" w:rsidP="00811A6B">
      <w:pPr>
        <w:jc w:val="both"/>
        <w:rPr>
          <w:szCs w:val="22"/>
          <w:lang w:val="sr-Latn-RS"/>
        </w:rPr>
      </w:pPr>
    </w:p>
    <w:p w14:paraId="32B5E344" w14:textId="77777777" w:rsidR="00C533CF" w:rsidRPr="008C2F74" w:rsidRDefault="008C2F74" w:rsidP="008C2F74">
      <w:pPr>
        <w:widowControl w:val="0"/>
        <w:spacing w:line="276" w:lineRule="auto"/>
        <w:ind w:right="-483"/>
        <w:jc w:val="both"/>
        <w:rPr>
          <w:szCs w:val="22"/>
          <w:lang w:val="sr-Latn-RS" w:eastAsia="hr-HR"/>
        </w:rPr>
      </w:pPr>
      <w:r w:rsidRPr="008C2F74">
        <w:rPr>
          <w:szCs w:val="22"/>
          <w:lang w:val="sr-Latn-RS" w:eastAsia="hr-HR"/>
        </w:rPr>
        <w:t xml:space="preserve">Svaka </w:t>
      </w:r>
      <w:r w:rsidRPr="008C2F74">
        <w:rPr>
          <w:bCs/>
          <w:szCs w:val="22"/>
          <w:lang w:val="sr-Latn-RS" w:eastAsia="sl-SI"/>
        </w:rPr>
        <w:t>film tableta</w:t>
      </w:r>
      <w:r w:rsidRPr="008C2F74">
        <w:rPr>
          <w:szCs w:val="22"/>
          <w:lang w:val="sr-Latn-RS" w:eastAsia="hr-HR"/>
        </w:rPr>
        <w:t xml:space="preserve"> sadrži 100 mg </w:t>
      </w:r>
      <w:r w:rsidRPr="008C2F74">
        <w:rPr>
          <w:szCs w:val="22"/>
          <w:lang w:val="sr-Latn-RS" w:eastAsia="cs-CZ"/>
        </w:rPr>
        <w:t>losartan kalijuma i 12,5 mg hidrohlortiazida</w:t>
      </w:r>
      <w:r w:rsidRPr="008C2F74">
        <w:rPr>
          <w:szCs w:val="22"/>
          <w:lang w:val="sr-Latn-RS" w:eastAsia="hr-HR"/>
        </w:rPr>
        <w:t>.</w:t>
      </w:r>
    </w:p>
    <w:p w14:paraId="06DC65F9" w14:textId="77777777" w:rsidR="00C533CF" w:rsidRPr="008C2F74" w:rsidRDefault="00C533CF">
      <w:pPr>
        <w:widowControl w:val="0"/>
        <w:spacing w:line="276" w:lineRule="auto"/>
        <w:ind w:right="-483"/>
        <w:jc w:val="both"/>
        <w:rPr>
          <w:szCs w:val="22"/>
          <w:lang w:val="sr-Latn-RS" w:eastAsia="hr-HR"/>
        </w:rPr>
      </w:pPr>
    </w:p>
    <w:p w14:paraId="5040B2C2" w14:textId="77777777" w:rsidR="00C533CF" w:rsidRPr="008C2F74" w:rsidRDefault="008C2F74">
      <w:pPr>
        <w:widowControl w:val="0"/>
        <w:spacing w:line="276" w:lineRule="auto"/>
        <w:ind w:right="-483"/>
        <w:jc w:val="both"/>
        <w:rPr>
          <w:szCs w:val="22"/>
          <w:lang w:val="sr-Latn-RS" w:eastAsia="hr-HR"/>
        </w:rPr>
      </w:pPr>
      <w:r w:rsidRPr="008C2F74">
        <w:rPr>
          <w:szCs w:val="22"/>
          <w:lang w:val="sr-Latn-RS" w:eastAsia="hr-HR"/>
        </w:rPr>
        <w:t>Pomoćna supstanca sa potvrđenim dejstvom:</w:t>
      </w:r>
    </w:p>
    <w:p w14:paraId="5D16AA3F" w14:textId="77777777" w:rsidR="00C533CF" w:rsidRPr="008C2F74" w:rsidRDefault="008C2F74">
      <w:pPr>
        <w:widowControl w:val="0"/>
        <w:numPr>
          <w:ilvl w:val="0"/>
          <w:numId w:val="37"/>
        </w:numPr>
        <w:tabs>
          <w:tab w:val="clear" w:pos="567"/>
        </w:tabs>
        <w:spacing w:line="276" w:lineRule="auto"/>
        <w:ind w:right="-483"/>
        <w:jc w:val="both"/>
        <w:rPr>
          <w:szCs w:val="22"/>
          <w:lang w:val="sr-Latn-RS" w:eastAsia="hr-HR"/>
        </w:rPr>
      </w:pPr>
      <w:r w:rsidRPr="008C2F74">
        <w:rPr>
          <w:szCs w:val="22"/>
          <w:lang w:val="sr-Latn-RS" w:eastAsia="hr-HR"/>
        </w:rPr>
        <w:t>laktoza</w:t>
      </w:r>
      <w:r w:rsidRPr="008C2F74">
        <w:rPr>
          <w:color w:val="000000"/>
          <w:szCs w:val="22"/>
          <w:lang w:val="sr-Latn-RS" w:eastAsia="sl-SI"/>
        </w:rPr>
        <w:t>, monohidrat</w:t>
      </w:r>
      <w:r w:rsidRPr="008C2F74">
        <w:rPr>
          <w:szCs w:val="22"/>
          <w:lang w:val="sr-Latn-RS" w:eastAsia="hr-HR"/>
        </w:rPr>
        <w:t xml:space="preserve">: </w:t>
      </w:r>
      <w:r w:rsidRPr="008C2F74">
        <w:rPr>
          <w:szCs w:val="22"/>
          <w:lang w:val="sr-Latn-RS" w:eastAsia="sl-SI"/>
        </w:rPr>
        <w:t>88,40 mg po tableti</w:t>
      </w:r>
    </w:p>
    <w:p w14:paraId="498E10B2" w14:textId="77777777" w:rsidR="00C533CF" w:rsidRPr="008C2F74" w:rsidRDefault="00C533CF" w:rsidP="00811A6B">
      <w:pPr>
        <w:jc w:val="both"/>
        <w:rPr>
          <w:szCs w:val="22"/>
          <w:lang w:val="sr-Latn-RS"/>
        </w:rPr>
      </w:pPr>
    </w:p>
    <w:p w14:paraId="6A236663" w14:textId="77777777" w:rsidR="00C533CF" w:rsidRPr="008C2F74" w:rsidRDefault="008C2F74" w:rsidP="00811A6B">
      <w:pPr>
        <w:jc w:val="both"/>
        <w:rPr>
          <w:szCs w:val="22"/>
          <w:lang w:val="sr-Latn-RS"/>
        </w:rPr>
      </w:pPr>
      <w:r w:rsidRPr="008C2F74">
        <w:rPr>
          <w:szCs w:val="22"/>
          <w:lang w:val="sr-Latn-RS"/>
        </w:rPr>
        <w:t>Za spisak svih ekscipijenasa, pogledati dio 6.1.</w:t>
      </w:r>
    </w:p>
    <w:p w14:paraId="6B1BC91E" w14:textId="77777777" w:rsidR="00C533CF" w:rsidRPr="008C2F74" w:rsidRDefault="00C533CF" w:rsidP="00811A6B">
      <w:pPr>
        <w:jc w:val="both"/>
        <w:rPr>
          <w:szCs w:val="22"/>
          <w:lang w:val="sr-Latn-RS"/>
        </w:rPr>
      </w:pPr>
    </w:p>
    <w:p w14:paraId="23FF65FB" w14:textId="77777777" w:rsidR="00C533CF" w:rsidRPr="008C2F74" w:rsidRDefault="00C533CF" w:rsidP="00811A6B">
      <w:pPr>
        <w:jc w:val="both"/>
        <w:rPr>
          <w:szCs w:val="22"/>
          <w:lang w:val="sr-Latn-RS"/>
        </w:rPr>
      </w:pPr>
    </w:p>
    <w:p w14:paraId="17F81F2F"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3. </w:t>
      </w:r>
      <w:r w:rsidRPr="008C2F74">
        <w:rPr>
          <w:b/>
          <w:bCs/>
          <w:szCs w:val="22"/>
          <w:lang w:val="sr-Latn-RS"/>
        </w:rPr>
        <w:tab/>
        <w:t xml:space="preserve">FARMACEUTSKI OBLIK </w:t>
      </w:r>
    </w:p>
    <w:p w14:paraId="24D10F1D" w14:textId="77777777" w:rsidR="00C533CF" w:rsidRPr="008C2F74" w:rsidRDefault="00C533CF" w:rsidP="00811A6B">
      <w:pPr>
        <w:jc w:val="both"/>
        <w:rPr>
          <w:bCs/>
          <w:szCs w:val="22"/>
          <w:lang w:val="sr-Latn-RS"/>
        </w:rPr>
      </w:pPr>
    </w:p>
    <w:p w14:paraId="033D987E" w14:textId="77777777" w:rsidR="00C533CF" w:rsidRPr="008C2F74" w:rsidRDefault="008C2F74" w:rsidP="008C2F74">
      <w:pPr>
        <w:widowControl w:val="0"/>
        <w:spacing w:line="276" w:lineRule="auto"/>
        <w:ind w:right="-483"/>
        <w:jc w:val="both"/>
        <w:rPr>
          <w:szCs w:val="22"/>
          <w:lang w:val="sr-Latn-RS" w:eastAsia="hr-HR"/>
        </w:rPr>
      </w:pPr>
      <w:r w:rsidRPr="008C2F74">
        <w:rPr>
          <w:bCs/>
          <w:szCs w:val="22"/>
          <w:lang w:val="sr-Latn-RS" w:eastAsia="sl-SI"/>
        </w:rPr>
        <w:t>Film tableta</w:t>
      </w:r>
      <w:r w:rsidRPr="008C2F74">
        <w:rPr>
          <w:szCs w:val="22"/>
          <w:lang w:val="sr-Latn-RS" w:eastAsia="sl-SI"/>
        </w:rPr>
        <w:t>.</w:t>
      </w:r>
    </w:p>
    <w:p w14:paraId="6D0FBBCA" w14:textId="77777777" w:rsidR="00C533CF" w:rsidRPr="008C2F74" w:rsidRDefault="008C2F74">
      <w:pPr>
        <w:widowControl w:val="0"/>
        <w:spacing w:line="276" w:lineRule="auto"/>
        <w:jc w:val="both"/>
        <w:rPr>
          <w:szCs w:val="22"/>
          <w:lang w:val="sr-Latn-RS" w:eastAsia="sl-SI"/>
        </w:rPr>
      </w:pPr>
      <w:r w:rsidRPr="008C2F74">
        <w:rPr>
          <w:szCs w:val="22"/>
          <w:lang w:val="sr-Latn-RS" w:eastAsia="sl-SI"/>
        </w:rPr>
        <w:t>Film tablete su bijele, ovalne i bikonveksne.</w:t>
      </w:r>
    </w:p>
    <w:p w14:paraId="0FA4200F" w14:textId="77777777" w:rsidR="00C533CF" w:rsidRPr="008C2F74" w:rsidRDefault="00C533CF" w:rsidP="00811A6B">
      <w:pPr>
        <w:jc w:val="both"/>
        <w:rPr>
          <w:bCs/>
          <w:szCs w:val="22"/>
          <w:lang w:val="sr-Latn-RS"/>
        </w:rPr>
      </w:pPr>
    </w:p>
    <w:p w14:paraId="266EAA9B" w14:textId="77777777" w:rsidR="00C533CF" w:rsidRPr="008C2F74" w:rsidRDefault="00C533CF" w:rsidP="00811A6B">
      <w:pPr>
        <w:jc w:val="both"/>
        <w:rPr>
          <w:bCs/>
          <w:szCs w:val="22"/>
          <w:lang w:val="sr-Latn-RS"/>
        </w:rPr>
      </w:pPr>
    </w:p>
    <w:p w14:paraId="7E93B6E6" w14:textId="77777777" w:rsidR="00C533CF" w:rsidRPr="008C2F74" w:rsidRDefault="008C2F74" w:rsidP="008C2F74">
      <w:pPr>
        <w:tabs>
          <w:tab w:val="left" w:pos="540"/>
        </w:tabs>
        <w:jc w:val="both"/>
        <w:rPr>
          <w:b/>
          <w:bCs/>
          <w:szCs w:val="22"/>
          <w:lang w:val="sr-Latn-RS"/>
        </w:rPr>
      </w:pPr>
      <w:r w:rsidRPr="008C2F74">
        <w:rPr>
          <w:b/>
          <w:bCs/>
          <w:szCs w:val="22"/>
          <w:lang w:val="sr-Latn-RS"/>
        </w:rPr>
        <w:t xml:space="preserve">4. </w:t>
      </w:r>
      <w:r w:rsidRPr="008C2F74">
        <w:rPr>
          <w:b/>
          <w:bCs/>
          <w:szCs w:val="22"/>
          <w:lang w:val="sr-Latn-RS"/>
        </w:rPr>
        <w:tab/>
        <w:t>KLINIČKI PODACI</w:t>
      </w:r>
    </w:p>
    <w:p w14:paraId="03DC9769" w14:textId="77777777" w:rsidR="00C533CF" w:rsidRPr="008C2F74" w:rsidRDefault="00C533CF">
      <w:pPr>
        <w:tabs>
          <w:tab w:val="left" w:pos="540"/>
        </w:tabs>
        <w:jc w:val="both"/>
        <w:rPr>
          <w:bCs/>
          <w:szCs w:val="22"/>
          <w:lang w:val="sr-Latn-RS"/>
        </w:rPr>
      </w:pPr>
    </w:p>
    <w:p w14:paraId="40A94261" w14:textId="77777777" w:rsidR="00C533CF" w:rsidRPr="008C2F74" w:rsidRDefault="008C2F74">
      <w:pPr>
        <w:tabs>
          <w:tab w:val="left" w:pos="540"/>
        </w:tabs>
        <w:jc w:val="both"/>
        <w:rPr>
          <w:b/>
          <w:bCs/>
          <w:szCs w:val="22"/>
          <w:lang w:val="sr-Latn-RS"/>
        </w:rPr>
      </w:pPr>
      <w:r w:rsidRPr="008C2F74">
        <w:rPr>
          <w:b/>
          <w:bCs/>
          <w:szCs w:val="22"/>
          <w:lang w:val="sr-Latn-RS"/>
        </w:rPr>
        <w:t xml:space="preserve">4.1. </w:t>
      </w:r>
      <w:r w:rsidRPr="008C2F74">
        <w:rPr>
          <w:b/>
          <w:bCs/>
          <w:szCs w:val="22"/>
          <w:lang w:val="sr-Latn-RS"/>
        </w:rPr>
        <w:tab/>
        <w:t>Terapijske indikacije</w:t>
      </w:r>
    </w:p>
    <w:p w14:paraId="386455A9" w14:textId="77777777" w:rsidR="00C533CF" w:rsidRPr="008C2F74" w:rsidRDefault="00C533CF">
      <w:pPr>
        <w:tabs>
          <w:tab w:val="left" w:pos="540"/>
        </w:tabs>
        <w:jc w:val="both"/>
        <w:rPr>
          <w:bCs/>
          <w:szCs w:val="22"/>
          <w:lang w:val="sr-Latn-RS"/>
        </w:rPr>
      </w:pPr>
    </w:p>
    <w:p w14:paraId="7C3706BD" w14:textId="77777777" w:rsidR="00C533CF" w:rsidRPr="008C2F74" w:rsidRDefault="008C2F74">
      <w:pPr>
        <w:widowControl w:val="0"/>
        <w:spacing w:line="276" w:lineRule="auto"/>
        <w:jc w:val="both"/>
        <w:rPr>
          <w:szCs w:val="22"/>
          <w:lang w:val="sr-Latn-RS" w:eastAsia="sl-SI"/>
        </w:rPr>
      </w:pPr>
      <w:r w:rsidRPr="008C2F74">
        <w:rPr>
          <w:bCs/>
          <w:szCs w:val="22"/>
          <w:lang w:val="sr-Latn-RS" w:eastAsia="cs-CZ"/>
        </w:rPr>
        <w:t xml:space="preserve">Lijek Lorista H 100 </w:t>
      </w:r>
      <w:r w:rsidRPr="008C2F74">
        <w:rPr>
          <w:szCs w:val="22"/>
          <w:lang w:val="sr-Latn-RS" w:eastAsia="sl-SI"/>
        </w:rPr>
        <w:t>je indikovan za liječenje esencijalne hipertenzije kod pacijenata čiji krvni pritisak nije adekvatno kontrolisan losartanom ili hidrohlortiazidom pojedinačno.</w:t>
      </w:r>
    </w:p>
    <w:p w14:paraId="660A7266" w14:textId="77777777" w:rsidR="00C533CF" w:rsidRPr="008C2F74" w:rsidRDefault="00C533CF">
      <w:pPr>
        <w:tabs>
          <w:tab w:val="left" w:pos="540"/>
        </w:tabs>
        <w:jc w:val="both"/>
        <w:rPr>
          <w:bCs/>
          <w:szCs w:val="22"/>
          <w:lang w:val="sr-Latn-RS"/>
        </w:rPr>
      </w:pPr>
    </w:p>
    <w:p w14:paraId="39D3A911" w14:textId="77777777" w:rsidR="00C533CF" w:rsidRPr="008C2F74" w:rsidRDefault="008C2F74">
      <w:pPr>
        <w:tabs>
          <w:tab w:val="left" w:pos="540"/>
        </w:tabs>
        <w:jc w:val="both"/>
        <w:rPr>
          <w:b/>
          <w:bCs/>
          <w:szCs w:val="22"/>
          <w:lang w:val="sr-Latn-RS"/>
        </w:rPr>
      </w:pPr>
      <w:r w:rsidRPr="008C2F74">
        <w:rPr>
          <w:b/>
          <w:bCs/>
          <w:szCs w:val="22"/>
          <w:lang w:val="sr-Latn-RS"/>
        </w:rPr>
        <w:t xml:space="preserve">4.2. </w:t>
      </w:r>
      <w:r w:rsidRPr="008C2F74">
        <w:rPr>
          <w:b/>
          <w:bCs/>
          <w:szCs w:val="22"/>
          <w:lang w:val="sr-Latn-RS"/>
        </w:rPr>
        <w:tab/>
        <w:t>Doziranje i način primjene</w:t>
      </w:r>
    </w:p>
    <w:p w14:paraId="0809CE3E" w14:textId="77777777" w:rsidR="00C533CF" w:rsidRPr="008C2F74" w:rsidRDefault="00C533CF">
      <w:pPr>
        <w:tabs>
          <w:tab w:val="left" w:pos="540"/>
        </w:tabs>
        <w:jc w:val="both"/>
        <w:rPr>
          <w:bCs/>
          <w:szCs w:val="22"/>
          <w:lang w:val="sr-Latn-RS"/>
        </w:rPr>
      </w:pPr>
    </w:p>
    <w:p w14:paraId="7B39C490" w14:textId="77777777" w:rsidR="00C533CF" w:rsidRPr="008C2F74" w:rsidRDefault="008C2F74">
      <w:pPr>
        <w:tabs>
          <w:tab w:val="left" w:pos="540"/>
        </w:tabs>
        <w:jc w:val="both"/>
        <w:rPr>
          <w:bCs/>
          <w:szCs w:val="22"/>
          <w:u w:val="single"/>
          <w:lang w:val="sr-Latn-RS"/>
        </w:rPr>
      </w:pPr>
      <w:r w:rsidRPr="008C2F74">
        <w:rPr>
          <w:bCs/>
          <w:szCs w:val="22"/>
          <w:u w:val="single"/>
          <w:lang w:val="sr-Latn-RS"/>
        </w:rPr>
        <w:t>Doziranje</w:t>
      </w:r>
    </w:p>
    <w:p w14:paraId="7236B04F" w14:textId="77777777" w:rsidR="00C533CF" w:rsidRPr="008C2F74" w:rsidRDefault="008C2F74">
      <w:pPr>
        <w:widowControl w:val="0"/>
        <w:autoSpaceDE w:val="0"/>
        <w:autoSpaceDN w:val="0"/>
        <w:adjustRightInd w:val="0"/>
        <w:spacing w:line="276" w:lineRule="auto"/>
        <w:jc w:val="both"/>
        <w:rPr>
          <w:szCs w:val="22"/>
          <w:u w:val="single"/>
          <w:lang w:val="sr-Latn-RS"/>
        </w:rPr>
      </w:pPr>
      <w:r w:rsidRPr="008C2F74">
        <w:rPr>
          <w:szCs w:val="22"/>
          <w:u w:val="single"/>
          <w:lang w:val="sr-Latn-RS"/>
        </w:rPr>
        <w:t>Hipertenzija</w:t>
      </w:r>
    </w:p>
    <w:p w14:paraId="3716CB66"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Losartan sa hidrohlortiazidom (HCTZ) se ne koristi za inicijalno liječenje, ali se koristi kod pacijenata kod kojih krvni pritisak nije adekvatno kontrolisan losartanom ili hidrohlortiazidom pojedinačno.</w:t>
      </w:r>
    </w:p>
    <w:p w14:paraId="0085D5E9" w14:textId="77777777" w:rsidR="00C533CF" w:rsidRPr="008C2F74" w:rsidRDefault="00C533CF">
      <w:pPr>
        <w:widowControl w:val="0"/>
        <w:autoSpaceDE w:val="0"/>
        <w:autoSpaceDN w:val="0"/>
        <w:adjustRightInd w:val="0"/>
        <w:spacing w:line="276" w:lineRule="auto"/>
        <w:jc w:val="both"/>
        <w:rPr>
          <w:szCs w:val="22"/>
          <w:lang w:val="sr-Latn-RS"/>
        </w:rPr>
      </w:pPr>
    </w:p>
    <w:p w14:paraId="296BF48F"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Preporučuje se titriranje doze pojedinačnih komponenti (losartana i hidrohlortiazida).</w:t>
      </w:r>
    </w:p>
    <w:p w14:paraId="2D91CC2C" w14:textId="77777777" w:rsidR="00C533CF" w:rsidRPr="008C2F74" w:rsidRDefault="00C533CF">
      <w:pPr>
        <w:widowControl w:val="0"/>
        <w:autoSpaceDE w:val="0"/>
        <w:autoSpaceDN w:val="0"/>
        <w:adjustRightInd w:val="0"/>
        <w:spacing w:line="276" w:lineRule="auto"/>
        <w:jc w:val="both"/>
        <w:rPr>
          <w:szCs w:val="22"/>
          <w:lang w:val="sr-Latn-RS"/>
        </w:rPr>
      </w:pPr>
    </w:p>
    <w:p w14:paraId="4D527822"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Kada je to klinički primjereno, može se razmotriti direktna promjena monoterapije u fiksnu kombinaciju kod pacijenata kod kojih krvni pritisak nije adekvatno kontrolisan.</w:t>
      </w:r>
    </w:p>
    <w:p w14:paraId="6FD77EC3" w14:textId="77777777" w:rsidR="00C533CF" w:rsidRPr="008C2F74" w:rsidRDefault="00C533CF">
      <w:pPr>
        <w:widowControl w:val="0"/>
        <w:autoSpaceDE w:val="0"/>
        <w:autoSpaceDN w:val="0"/>
        <w:adjustRightInd w:val="0"/>
        <w:spacing w:line="276" w:lineRule="auto"/>
        <w:jc w:val="both"/>
        <w:rPr>
          <w:szCs w:val="22"/>
          <w:lang w:val="sr-Latn-RS"/>
        </w:rPr>
      </w:pPr>
    </w:p>
    <w:p w14:paraId="3926EF3C"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Uobičajena doza održavanja losartana sa hidrohlortiazidom u fiksnoj kombinaciji je jedna tableta lijeka Lorista H 50 mg + 12,5 mg (losartan 50 mg/hidrohlortiazid 12,5 mg) jednom dnevno.</w:t>
      </w:r>
    </w:p>
    <w:p w14:paraId="25B495F5"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Kod pacijenata kod kojih se ne postigne adekvatni odgovor uz lijek Lorista H 50 mg + 12,5 mg, doza se može povisiti na jednu tabletu lijeka Lorista HD 100 mg + 25 mg (losartan 100 mg/hidrohlortiazid 25 mg) jednom dnevno. Maksimalna doza je jedna tableta lijeka Lorista HD 100 mg + 25 mg jednom dnevno.</w:t>
      </w:r>
    </w:p>
    <w:p w14:paraId="1BE9A495" w14:textId="77777777" w:rsidR="00C533CF" w:rsidRPr="008C2F74" w:rsidRDefault="00C533CF">
      <w:pPr>
        <w:widowControl w:val="0"/>
        <w:spacing w:line="276" w:lineRule="auto"/>
        <w:ind w:right="-483"/>
        <w:jc w:val="both"/>
        <w:rPr>
          <w:szCs w:val="22"/>
          <w:lang w:val="sr-Latn-RS" w:eastAsia="hr-HR"/>
        </w:rPr>
      </w:pPr>
    </w:p>
    <w:p w14:paraId="6D5BB407" w14:textId="77777777" w:rsidR="00C533CF" w:rsidRPr="008C2F74" w:rsidRDefault="00C533CF">
      <w:pPr>
        <w:widowControl w:val="0"/>
        <w:autoSpaceDE w:val="0"/>
        <w:autoSpaceDN w:val="0"/>
        <w:adjustRightInd w:val="0"/>
        <w:spacing w:line="276" w:lineRule="auto"/>
        <w:jc w:val="both"/>
        <w:rPr>
          <w:szCs w:val="22"/>
          <w:lang w:val="sr-Latn-RS"/>
        </w:rPr>
      </w:pPr>
    </w:p>
    <w:p w14:paraId="721670D1"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lastRenderedPageBreak/>
        <w:t>U principu se antihipertenzivno dejstvo postiže unutar tri do četiri nedjelje od započinjanja terapije.</w:t>
      </w:r>
    </w:p>
    <w:p w14:paraId="61F300ED" w14:textId="77777777" w:rsidR="00C533CF" w:rsidRPr="008C2F74" w:rsidRDefault="00C533CF">
      <w:pPr>
        <w:widowControl w:val="0"/>
        <w:autoSpaceDE w:val="0"/>
        <w:autoSpaceDN w:val="0"/>
        <w:adjustRightInd w:val="0"/>
        <w:spacing w:line="276" w:lineRule="auto"/>
        <w:jc w:val="both"/>
        <w:rPr>
          <w:szCs w:val="22"/>
          <w:lang w:val="sr-Latn-RS"/>
        </w:rPr>
      </w:pPr>
    </w:p>
    <w:p w14:paraId="42777FCE"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Lijek Lorista H 100 100 mg + 12,5 mg (losartan 100 mg/ hidrohlortiazid 12,5 mg) je dostupan onim pacijentima titriranim na 100 mg losartana kojima je potrebna dodatna kontrola krvnog pritiska.</w:t>
      </w:r>
    </w:p>
    <w:p w14:paraId="7D6ED767" w14:textId="77777777" w:rsidR="00C533CF" w:rsidRPr="008C2F74" w:rsidRDefault="00C533CF">
      <w:pPr>
        <w:widowControl w:val="0"/>
        <w:autoSpaceDE w:val="0"/>
        <w:autoSpaceDN w:val="0"/>
        <w:adjustRightInd w:val="0"/>
        <w:spacing w:line="276" w:lineRule="auto"/>
        <w:jc w:val="both"/>
        <w:rPr>
          <w:szCs w:val="22"/>
          <w:lang w:val="sr-Latn-RS"/>
        </w:rPr>
      </w:pPr>
    </w:p>
    <w:p w14:paraId="204A74E5" w14:textId="77777777" w:rsidR="00C533CF" w:rsidRPr="008C2F74" w:rsidRDefault="008C2F74">
      <w:pPr>
        <w:widowControl w:val="0"/>
        <w:autoSpaceDE w:val="0"/>
        <w:autoSpaceDN w:val="0"/>
        <w:adjustRightInd w:val="0"/>
        <w:spacing w:line="276" w:lineRule="auto"/>
        <w:jc w:val="both"/>
        <w:rPr>
          <w:szCs w:val="22"/>
          <w:u w:val="single"/>
          <w:lang w:val="sr-Latn-RS"/>
        </w:rPr>
      </w:pPr>
      <w:r w:rsidRPr="008C2F74">
        <w:rPr>
          <w:szCs w:val="22"/>
          <w:u w:val="single"/>
          <w:lang w:val="sr-Latn-RS"/>
        </w:rPr>
        <w:t>Upotreba kod pacijenata s poremećajem rada bubrega i na hemodijalizi</w:t>
      </w:r>
    </w:p>
    <w:p w14:paraId="63732D03"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Kod pacijenata s umjerenim bubrežnim oštećenjem (tj. klirensom kreatinina 30-50 ml/min) nije potrebno prilagođavanje početne doze.</w:t>
      </w:r>
    </w:p>
    <w:p w14:paraId="5492B24B"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Tablete losartana i hidrohlortiazida se ne preporučuju pacijentima na hemodijalizi.</w:t>
      </w:r>
    </w:p>
    <w:p w14:paraId="1ACEB7CC"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Losartan/hidrohlortiazid tablete se ne smiju koristiti kod pacijenata s teškim oštećenjem bubrega (tj. klirensom kreatinina &lt;30 ml/min) (vidjeti dio 4.3).</w:t>
      </w:r>
    </w:p>
    <w:p w14:paraId="076DCAB4" w14:textId="77777777" w:rsidR="00C533CF" w:rsidRPr="008C2F74" w:rsidRDefault="00C533CF">
      <w:pPr>
        <w:widowControl w:val="0"/>
        <w:autoSpaceDE w:val="0"/>
        <w:autoSpaceDN w:val="0"/>
        <w:adjustRightInd w:val="0"/>
        <w:spacing w:line="276" w:lineRule="auto"/>
        <w:jc w:val="both"/>
        <w:rPr>
          <w:szCs w:val="22"/>
          <w:lang w:val="sr-Latn-RS"/>
        </w:rPr>
      </w:pPr>
    </w:p>
    <w:p w14:paraId="1A061AB5" w14:textId="77777777" w:rsidR="00C533CF" w:rsidRPr="008C2F74" w:rsidRDefault="008C2F74">
      <w:pPr>
        <w:widowControl w:val="0"/>
        <w:autoSpaceDE w:val="0"/>
        <w:autoSpaceDN w:val="0"/>
        <w:adjustRightInd w:val="0"/>
        <w:spacing w:line="276" w:lineRule="auto"/>
        <w:jc w:val="both"/>
        <w:rPr>
          <w:szCs w:val="22"/>
          <w:u w:val="single"/>
          <w:lang w:val="sr-Latn-RS"/>
        </w:rPr>
      </w:pPr>
      <w:r w:rsidRPr="008C2F74">
        <w:rPr>
          <w:szCs w:val="22"/>
          <w:u w:val="single"/>
          <w:lang w:val="sr-Latn-RS"/>
        </w:rPr>
        <w:t>Upotreba kod pacijenata sa smanjenjem intravaskularnog volumena</w:t>
      </w:r>
    </w:p>
    <w:p w14:paraId="773B57E2"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Prije primjene tableta losartan/hidrohlortiazid potrebno je nadoknaditi manjak volumena i/ili natrijuma.</w:t>
      </w:r>
    </w:p>
    <w:p w14:paraId="3AA779E7" w14:textId="77777777" w:rsidR="00C533CF" w:rsidRPr="008C2F74" w:rsidRDefault="00C533CF">
      <w:pPr>
        <w:widowControl w:val="0"/>
        <w:autoSpaceDE w:val="0"/>
        <w:autoSpaceDN w:val="0"/>
        <w:adjustRightInd w:val="0"/>
        <w:spacing w:line="276" w:lineRule="auto"/>
        <w:jc w:val="both"/>
        <w:rPr>
          <w:szCs w:val="22"/>
          <w:lang w:val="sr-Latn-RS"/>
        </w:rPr>
      </w:pPr>
    </w:p>
    <w:p w14:paraId="45FC760C" w14:textId="77777777" w:rsidR="00C533CF" w:rsidRPr="008C2F74" w:rsidRDefault="008C2F74">
      <w:pPr>
        <w:widowControl w:val="0"/>
        <w:autoSpaceDE w:val="0"/>
        <w:autoSpaceDN w:val="0"/>
        <w:adjustRightInd w:val="0"/>
        <w:spacing w:line="276" w:lineRule="auto"/>
        <w:jc w:val="both"/>
        <w:rPr>
          <w:szCs w:val="22"/>
          <w:u w:val="single"/>
          <w:lang w:val="sr-Latn-RS"/>
        </w:rPr>
      </w:pPr>
      <w:r w:rsidRPr="008C2F74">
        <w:rPr>
          <w:szCs w:val="22"/>
          <w:u w:val="single"/>
          <w:lang w:val="sr-Latn-RS"/>
        </w:rPr>
        <w:t>Upotreba kod pacijenata s poremećajem rada jetre</w:t>
      </w:r>
    </w:p>
    <w:p w14:paraId="0149901E"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Losartan/hidrohlortiazid je kontraindikovan kod pacijenata sa teškim oštećenjem jetre (vidjeti dio 4.3).</w:t>
      </w:r>
    </w:p>
    <w:p w14:paraId="7E2A75A2" w14:textId="77777777" w:rsidR="00C533CF" w:rsidRPr="008C2F74" w:rsidRDefault="00C533CF">
      <w:pPr>
        <w:widowControl w:val="0"/>
        <w:autoSpaceDE w:val="0"/>
        <w:autoSpaceDN w:val="0"/>
        <w:adjustRightInd w:val="0"/>
        <w:spacing w:line="276" w:lineRule="auto"/>
        <w:jc w:val="both"/>
        <w:rPr>
          <w:szCs w:val="22"/>
          <w:lang w:val="sr-Latn-RS"/>
        </w:rPr>
      </w:pPr>
    </w:p>
    <w:p w14:paraId="3DEFC489" w14:textId="77777777" w:rsidR="00C533CF" w:rsidRPr="008C2F74" w:rsidRDefault="008C2F74">
      <w:pPr>
        <w:widowControl w:val="0"/>
        <w:autoSpaceDE w:val="0"/>
        <w:autoSpaceDN w:val="0"/>
        <w:adjustRightInd w:val="0"/>
        <w:spacing w:line="276" w:lineRule="auto"/>
        <w:jc w:val="both"/>
        <w:rPr>
          <w:szCs w:val="22"/>
          <w:u w:val="single"/>
          <w:lang w:val="sr-Latn-RS"/>
        </w:rPr>
      </w:pPr>
      <w:r w:rsidRPr="008C2F74">
        <w:rPr>
          <w:szCs w:val="22"/>
          <w:u w:val="single"/>
          <w:lang w:val="sr-Latn-RS"/>
        </w:rPr>
        <w:t>Upotreba kod starijih osoba</w:t>
      </w:r>
    </w:p>
    <w:p w14:paraId="32538460"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Kod starijih osoba uglavnom nije potrebno prilagođavanje doze.</w:t>
      </w:r>
    </w:p>
    <w:p w14:paraId="490A3117" w14:textId="77777777" w:rsidR="00C533CF" w:rsidRPr="008C2F74" w:rsidRDefault="00C533CF">
      <w:pPr>
        <w:widowControl w:val="0"/>
        <w:autoSpaceDE w:val="0"/>
        <w:autoSpaceDN w:val="0"/>
        <w:adjustRightInd w:val="0"/>
        <w:spacing w:line="276" w:lineRule="auto"/>
        <w:jc w:val="both"/>
        <w:rPr>
          <w:szCs w:val="22"/>
          <w:lang w:val="sr-Latn-RS"/>
        </w:rPr>
      </w:pPr>
    </w:p>
    <w:p w14:paraId="270A0D82" w14:textId="77777777" w:rsidR="00C533CF" w:rsidRPr="008C2F74" w:rsidRDefault="008C2F74">
      <w:pPr>
        <w:widowControl w:val="0"/>
        <w:autoSpaceDE w:val="0"/>
        <w:autoSpaceDN w:val="0"/>
        <w:adjustRightInd w:val="0"/>
        <w:spacing w:line="276" w:lineRule="auto"/>
        <w:jc w:val="both"/>
        <w:rPr>
          <w:szCs w:val="22"/>
          <w:u w:val="single"/>
          <w:lang w:val="sr-Latn-RS"/>
        </w:rPr>
      </w:pPr>
      <w:r w:rsidRPr="008C2F74">
        <w:rPr>
          <w:szCs w:val="22"/>
          <w:u w:val="single"/>
          <w:lang w:val="sr-Latn-RS"/>
        </w:rPr>
        <w:t>Upotreba kod djece i adolescenata (mlađi od 18 godina)</w:t>
      </w:r>
    </w:p>
    <w:p w14:paraId="47B4F903" w14:textId="77777777" w:rsidR="00C533CF" w:rsidRPr="008C2F74" w:rsidRDefault="008C2F74">
      <w:pPr>
        <w:widowControl w:val="0"/>
        <w:autoSpaceDE w:val="0"/>
        <w:autoSpaceDN w:val="0"/>
        <w:adjustRightInd w:val="0"/>
        <w:spacing w:line="276" w:lineRule="auto"/>
        <w:jc w:val="both"/>
        <w:rPr>
          <w:rFonts w:eastAsia="TimesNewRoman"/>
          <w:szCs w:val="22"/>
          <w:lang w:val="sr-Latn-RS"/>
        </w:rPr>
      </w:pPr>
      <w:r w:rsidRPr="008C2F74">
        <w:rPr>
          <w:szCs w:val="22"/>
          <w:lang w:val="sr-Latn-RS"/>
        </w:rPr>
        <w:t xml:space="preserve">Lijek Lorista H 100 </w:t>
      </w:r>
      <w:r w:rsidRPr="008C2F74">
        <w:rPr>
          <w:iCs/>
          <w:noProof/>
          <w:szCs w:val="22"/>
          <w:lang w:val="sr-Latn-RS" w:eastAsia="sl-SI"/>
        </w:rPr>
        <w:t>se ne preporučuje za upotrebu kod djece mlađe od 18 godina zbog nedostatka podataka o bezbjednosti i efikasnosti</w:t>
      </w:r>
      <w:r w:rsidRPr="008C2F74">
        <w:rPr>
          <w:rFonts w:eastAsia="TimesNewRoman"/>
          <w:szCs w:val="22"/>
          <w:lang w:val="sr-Latn-RS"/>
        </w:rPr>
        <w:t>.</w:t>
      </w:r>
    </w:p>
    <w:p w14:paraId="04C1B831" w14:textId="77777777" w:rsidR="00C533CF" w:rsidRPr="008C2F74" w:rsidRDefault="00C533CF">
      <w:pPr>
        <w:tabs>
          <w:tab w:val="left" w:pos="540"/>
        </w:tabs>
        <w:jc w:val="both"/>
        <w:rPr>
          <w:bCs/>
          <w:szCs w:val="22"/>
          <w:u w:val="single"/>
          <w:lang w:val="sr-Latn-RS"/>
        </w:rPr>
      </w:pPr>
    </w:p>
    <w:p w14:paraId="16C3E9F3" w14:textId="77777777" w:rsidR="00C533CF" w:rsidRPr="008C2F74" w:rsidRDefault="008C2F74">
      <w:pPr>
        <w:tabs>
          <w:tab w:val="left" w:pos="540"/>
        </w:tabs>
        <w:jc w:val="both"/>
        <w:rPr>
          <w:bCs/>
          <w:szCs w:val="22"/>
          <w:u w:val="single"/>
          <w:lang w:val="sr-Latn-RS"/>
        </w:rPr>
      </w:pPr>
      <w:r w:rsidRPr="008C2F74">
        <w:rPr>
          <w:bCs/>
          <w:szCs w:val="22"/>
          <w:u w:val="single"/>
          <w:lang w:val="sr-Latn-RS"/>
        </w:rPr>
        <w:t>Način primjene</w:t>
      </w:r>
    </w:p>
    <w:p w14:paraId="74F2C0F4" w14:textId="77777777" w:rsidR="00C533CF" w:rsidRPr="008C2F74" w:rsidRDefault="008C2F74">
      <w:pPr>
        <w:widowControl w:val="0"/>
        <w:autoSpaceDE w:val="0"/>
        <w:autoSpaceDN w:val="0"/>
        <w:adjustRightInd w:val="0"/>
        <w:spacing w:line="276" w:lineRule="auto"/>
        <w:jc w:val="both"/>
        <w:rPr>
          <w:szCs w:val="22"/>
          <w:lang w:val="sr-Latn-RS"/>
        </w:rPr>
      </w:pPr>
      <w:r w:rsidRPr="008C2F74">
        <w:rPr>
          <w:bCs/>
          <w:szCs w:val="22"/>
          <w:lang w:val="sr-Latn-RS" w:eastAsia="cs-CZ"/>
        </w:rPr>
        <w:t xml:space="preserve">Lijek </w:t>
      </w:r>
      <w:r w:rsidRPr="008C2F74">
        <w:rPr>
          <w:szCs w:val="22"/>
          <w:lang w:val="sr-Latn-RS"/>
        </w:rPr>
        <w:t>Lorista H 100 može se primjenjivati s drugim antihipertenzivnim ljekovima (vidjeti djelove 4.3, 4.4, 4.5 i 5.1).</w:t>
      </w:r>
    </w:p>
    <w:p w14:paraId="1FE13AE4" w14:textId="77777777" w:rsidR="00C533CF" w:rsidRPr="008C2F74" w:rsidRDefault="008C2F74">
      <w:pPr>
        <w:widowControl w:val="0"/>
        <w:autoSpaceDE w:val="0"/>
        <w:autoSpaceDN w:val="0"/>
        <w:adjustRightInd w:val="0"/>
        <w:spacing w:line="276" w:lineRule="auto"/>
        <w:jc w:val="both"/>
        <w:rPr>
          <w:szCs w:val="22"/>
          <w:lang w:val="sr-Latn-RS"/>
        </w:rPr>
      </w:pPr>
      <w:r w:rsidRPr="008C2F74">
        <w:rPr>
          <w:bCs/>
          <w:szCs w:val="22"/>
          <w:lang w:val="sr-Latn-RS" w:eastAsia="cs-CZ"/>
        </w:rPr>
        <w:t xml:space="preserve">Lijek </w:t>
      </w:r>
      <w:r w:rsidRPr="008C2F74">
        <w:rPr>
          <w:szCs w:val="22"/>
          <w:lang w:val="sr-Latn-RS"/>
        </w:rPr>
        <w:t>Lorista H 100 tablete treba progutati uz čašu vode.</w:t>
      </w:r>
    </w:p>
    <w:p w14:paraId="1E9D062F" w14:textId="77777777" w:rsidR="00C533CF" w:rsidRPr="008C2F74" w:rsidRDefault="008C2F74">
      <w:pPr>
        <w:widowControl w:val="0"/>
        <w:autoSpaceDE w:val="0"/>
        <w:autoSpaceDN w:val="0"/>
        <w:adjustRightInd w:val="0"/>
        <w:spacing w:line="276" w:lineRule="auto"/>
        <w:jc w:val="both"/>
        <w:rPr>
          <w:szCs w:val="22"/>
          <w:lang w:val="sr-Latn-RS"/>
        </w:rPr>
      </w:pPr>
      <w:r w:rsidRPr="008C2F74">
        <w:rPr>
          <w:bCs/>
          <w:szCs w:val="22"/>
          <w:lang w:val="sr-Latn-RS" w:eastAsia="cs-CZ"/>
        </w:rPr>
        <w:t xml:space="preserve">Lijek </w:t>
      </w:r>
      <w:r w:rsidRPr="008C2F74">
        <w:rPr>
          <w:szCs w:val="22"/>
          <w:lang w:val="sr-Latn-RS"/>
        </w:rPr>
        <w:t>Lorista H 100 može se primijeniti sa ili bez hrane.</w:t>
      </w:r>
    </w:p>
    <w:p w14:paraId="09030C40" w14:textId="77777777" w:rsidR="00C533CF" w:rsidRPr="008C2F74" w:rsidRDefault="00C533CF">
      <w:pPr>
        <w:tabs>
          <w:tab w:val="left" w:pos="540"/>
        </w:tabs>
        <w:jc w:val="both"/>
        <w:rPr>
          <w:bCs/>
          <w:szCs w:val="22"/>
          <w:lang w:val="sr-Latn-RS"/>
        </w:rPr>
      </w:pPr>
    </w:p>
    <w:p w14:paraId="54F99830" w14:textId="77777777" w:rsidR="00C533CF" w:rsidRPr="008C2F74" w:rsidRDefault="008C2F74">
      <w:pPr>
        <w:tabs>
          <w:tab w:val="left" w:pos="540"/>
        </w:tabs>
        <w:jc w:val="both"/>
        <w:rPr>
          <w:b/>
          <w:bCs/>
          <w:szCs w:val="22"/>
          <w:lang w:val="sr-Latn-RS"/>
        </w:rPr>
      </w:pPr>
      <w:r w:rsidRPr="008C2F74">
        <w:rPr>
          <w:b/>
          <w:bCs/>
          <w:szCs w:val="22"/>
          <w:lang w:val="sr-Latn-RS"/>
        </w:rPr>
        <w:t xml:space="preserve">4.3. </w:t>
      </w:r>
      <w:r w:rsidRPr="008C2F74">
        <w:rPr>
          <w:b/>
          <w:bCs/>
          <w:szCs w:val="22"/>
          <w:lang w:val="sr-Latn-RS"/>
        </w:rPr>
        <w:tab/>
        <w:t>Kontraindikacije</w:t>
      </w:r>
    </w:p>
    <w:p w14:paraId="06505856" w14:textId="77777777" w:rsidR="00C533CF" w:rsidRPr="008C2F74" w:rsidRDefault="00C533CF">
      <w:pPr>
        <w:tabs>
          <w:tab w:val="left" w:pos="0"/>
        </w:tabs>
        <w:jc w:val="both"/>
        <w:rPr>
          <w:b/>
          <w:bCs/>
          <w:szCs w:val="22"/>
          <w:lang w:val="sr-Latn-RS"/>
        </w:rPr>
      </w:pPr>
    </w:p>
    <w:p w14:paraId="53598820" w14:textId="77777777" w:rsidR="00C533CF" w:rsidRPr="008C2F74" w:rsidRDefault="008C2F74">
      <w:pPr>
        <w:numPr>
          <w:ilvl w:val="0"/>
          <w:numId w:val="39"/>
        </w:numPr>
        <w:tabs>
          <w:tab w:val="clear" w:pos="567"/>
          <w:tab w:val="left" w:pos="0"/>
        </w:tabs>
        <w:spacing w:line="240" w:lineRule="auto"/>
        <w:ind w:left="567" w:hanging="567"/>
        <w:jc w:val="both"/>
        <w:rPr>
          <w:bCs/>
          <w:szCs w:val="22"/>
          <w:lang w:val="sr-Latn-RS"/>
        </w:rPr>
      </w:pPr>
      <w:r w:rsidRPr="008C2F74">
        <w:rPr>
          <w:bCs/>
          <w:szCs w:val="22"/>
          <w:lang w:val="sr-Latn-RS"/>
        </w:rPr>
        <w:t>Preosjetljivost na aktivne supstance ili na bilo koju pomoćnu supstancu navedenu u dijelu 6.1.</w:t>
      </w:r>
    </w:p>
    <w:p w14:paraId="2CC805E6" w14:textId="77777777" w:rsidR="00C533CF" w:rsidRPr="008C2F74" w:rsidRDefault="008C2F74">
      <w:pPr>
        <w:numPr>
          <w:ilvl w:val="0"/>
          <w:numId w:val="39"/>
        </w:numPr>
        <w:tabs>
          <w:tab w:val="clear" w:pos="567"/>
          <w:tab w:val="left" w:pos="0"/>
        </w:tabs>
        <w:spacing w:line="240" w:lineRule="auto"/>
        <w:ind w:left="567" w:hanging="567"/>
        <w:jc w:val="both"/>
        <w:rPr>
          <w:bCs/>
          <w:szCs w:val="22"/>
          <w:lang w:val="sr-Latn-RS"/>
        </w:rPr>
      </w:pPr>
      <w:r w:rsidRPr="008C2F74">
        <w:rPr>
          <w:bCs/>
          <w:szCs w:val="22"/>
          <w:lang w:val="sr-Latn-RS"/>
        </w:rPr>
        <w:t>Hipokalijemija ili hiperkalcijemija rezistentne na terapiju.</w:t>
      </w:r>
    </w:p>
    <w:p w14:paraId="10970CF8" w14:textId="77777777" w:rsidR="00C533CF" w:rsidRPr="008C2F74" w:rsidRDefault="008C2F74">
      <w:pPr>
        <w:numPr>
          <w:ilvl w:val="0"/>
          <w:numId w:val="39"/>
        </w:numPr>
        <w:tabs>
          <w:tab w:val="clear" w:pos="567"/>
          <w:tab w:val="left" w:pos="0"/>
        </w:tabs>
        <w:spacing w:line="240" w:lineRule="auto"/>
        <w:ind w:left="567" w:hanging="567"/>
        <w:jc w:val="both"/>
        <w:rPr>
          <w:bCs/>
          <w:szCs w:val="22"/>
          <w:lang w:val="sr-Latn-RS"/>
        </w:rPr>
      </w:pPr>
      <w:r w:rsidRPr="008C2F74">
        <w:rPr>
          <w:bCs/>
          <w:szCs w:val="22"/>
          <w:lang w:val="sr-Latn-RS"/>
        </w:rPr>
        <w:t>Teško oštećenje jetre; holestaza i opstrukcija žuči.</w:t>
      </w:r>
    </w:p>
    <w:p w14:paraId="0DD9335B" w14:textId="77777777" w:rsidR="00C533CF" w:rsidRPr="008C2F74" w:rsidRDefault="008C2F74">
      <w:pPr>
        <w:numPr>
          <w:ilvl w:val="0"/>
          <w:numId w:val="39"/>
        </w:numPr>
        <w:tabs>
          <w:tab w:val="clear" w:pos="567"/>
          <w:tab w:val="left" w:pos="0"/>
        </w:tabs>
        <w:spacing w:line="240" w:lineRule="auto"/>
        <w:ind w:left="567" w:hanging="567"/>
        <w:jc w:val="both"/>
        <w:rPr>
          <w:bCs/>
          <w:szCs w:val="22"/>
          <w:lang w:val="sr-Latn-RS"/>
        </w:rPr>
      </w:pPr>
      <w:r w:rsidRPr="008C2F74">
        <w:rPr>
          <w:bCs/>
          <w:szCs w:val="22"/>
          <w:lang w:val="sr-Latn-RS"/>
        </w:rPr>
        <w:t>Refraktorna hiponatrijemija.</w:t>
      </w:r>
    </w:p>
    <w:p w14:paraId="6093D271" w14:textId="77777777" w:rsidR="00C533CF" w:rsidRPr="008C2F74" w:rsidRDefault="008C2F74">
      <w:pPr>
        <w:numPr>
          <w:ilvl w:val="0"/>
          <w:numId w:val="39"/>
        </w:numPr>
        <w:tabs>
          <w:tab w:val="clear" w:pos="567"/>
          <w:tab w:val="left" w:pos="0"/>
        </w:tabs>
        <w:spacing w:line="240" w:lineRule="auto"/>
        <w:ind w:left="567" w:hanging="567"/>
        <w:jc w:val="both"/>
        <w:rPr>
          <w:bCs/>
          <w:szCs w:val="22"/>
          <w:lang w:val="sr-Latn-RS"/>
        </w:rPr>
      </w:pPr>
      <w:r w:rsidRPr="008C2F74">
        <w:rPr>
          <w:bCs/>
          <w:szCs w:val="22"/>
          <w:lang w:val="sr-Latn-RS"/>
        </w:rPr>
        <w:t>Simptomatska hiperurikemija/giht.</w:t>
      </w:r>
    </w:p>
    <w:p w14:paraId="21FD3595" w14:textId="77777777" w:rsidR="00C533CF" w:rsidRPr="008C2F74" w:rsidRDefault="008C2F74">
      <w:pPr>
        <w:numPr>
          <w:ilvl w:val="0"/>
          <w:numId w:val="39"/>
        </w:numPr>
        <w:tabs>
          <w:tab w:val="clear" w:pos="567"/>
          <w:tab w:val="left" w:pos="0"/>
        </w:tabs>
        <w:spacing w:line="240" w:lineRule="auto"/>
        <w:ind w:left="567" w:hanging="567"/>
        <w:jc w:val="both"/>
        <w:rPr>
          <w:bCs/>
          <w:szCs w:val="22"/>
          <w:lang w:val="sr-Latn-RS"/>
        </w:rPr>
      </w:pPr>
      <w:r w:rsidRPr="008C2F74">
        <w:rPr>
          <w:bCs/>
          <w:szCs w:val="22"/>
          <w:lang w:val="sr-Latn-RS"/>
        </w:rPr>
        <w:t>Drugo i treće tromjesečje trudnoće (vidjeti djelove 4.4 i 4.6).</w:t>
      </w:r>
    </w:p>
    <w:p w14:paraId="09FD6AA0" w14:textId="77777777" w:rsidR="00C533CF" w:rsidRPr="008C2F74" w:rsidRDefault="008C2F74">
      <w:pPr>
        <w:numPr>
          <w:ilvl w:val="0"/>
          <w:numId w:val="39"/>
        </w:numPr>
        <w:tabs>
          <w:tab w:val="clear" w:pos="567"/>
          <w:tab w:val="left" w:pos="0"/>
        </w:tabs>
        <w:spacing w:line="240" w:lineRule="auto"/>
        <w:ind w:left="567" w:hanging="567"/>
        <w:jc w:val="both"/>
        <w:rPr>
          <w:bCs/>
          <w:szCs w:val="22"/>
          <w:lang w:val="sr-Latn-RS"/>
        </w:rPr>
      </w:pPr>
      <w:r w:rsidRPr="008C2F74">
        <w:rPr>
          <w:bCs/>
          <w:szCs w:val="22"/>
          <w:lang w:val="sr-Latn-RS"/>
        </w:rPr>
        <w:t>Teško oštećenje bubrega (tj. klirens kreatinina &lt;30 ml/min).</w:t>
      </w:r>
    </w:p>
    <w:p w14:paraId="59F03944" w14:textId="77777777" w:rsidR="00C533CF" w:rsidRPr="008C2F74" w:rsidRDefault="008C2F74">
      <w:pPr>
        <w:numPr>
          <w:ilvl w:val="0"/>
          <w:numId w:val="39"/>
        </w:numPr>
        <w:tabs>
          <w:tab w:val="clear" w:pos="567"/>
          <w:tab w:val="left" w:pos="0"/>
        </w:tabs>
        <w:spacing w:line="240" w:lineRule="auto"/>
        <w:ind w:left="567" w:hanging="567"/>
        <w:jc w:val="both"/>
        <w:rPr>
          <w:bCs/>
          <w:szCs w:val="22"/>
          <w:lang w:val="sr-Latn-RS"/>
        </w:rPr>
      </w:pPr>
      <w:r w:rsidRPr="008C2F74">
        <w:rPr>
          <w:bCs/>
          <w:szCs w:val="22"/>
          <w:lang w:val="sr-Latn-RS"/>
        </w:rPr>
        <w:t>Anurija.</w:t>
      </w:r>
    </w:p>
    <w:p w14:paraId="6FD1C7EE" w14:textId="77777777" w:rsidR="00C533CF" w:rsidRPr="008C2F74" w:rsidRDefault="008C2F74">
      <w:pPr>
        <w:numPr>
          <w:ilvl w:val="0"/>
          <w:numId w:val="39"/>
        </w:numPr>
        <w:tabs>
          <w:tab w:val="clear" w:pos="567"/>
          <w:tab w:val="left" w:pos="0"/>
        </w:tabs>
        <w:spacing w:line="240" w:lineRule="auto"/>
        <w:ind w:left="567" w:hanging="567"/>
        <w:jc w:val="both"/>
        <w:rPr>
          <w:bCs/>
          <w:szCs w:val="22"/>
          <w:lang w:val="sr-Latn-RS"/>
        </w:rPr>
      </w:pPr>
      <w:r w:rsidRPr="008C2F74">
        <w:rPr>
          <w:bCs/>
          <w:szCs w:val="22"/>
          <w:lang w:val="sr-Latn-RS"/>
        </w:rPr>
        <w:t>Istovremena primjena lijeka Lorista H sa ljekovima koji sadrže aliskiren je kontraindikovana kod pacijenata sa dijabetes melitusom ili oštećenjem funkcije bubrega (GFR &lt; 60 ml/min/1,73 m2) (vidjeti djelove 4.5. i 5.1.).</w:t>
      </w:r>
    </w:p>
    <w:p w14:paraId="5DEFFAAF" w14:textId="77777777" w:rsidR="00C533CF" w:rsidRPr="008C2F74" w:rsidRDefault="00C533CF">
      <w:pPr>
        <w:tabs>
          <w:tab w:val="clear" w:pos="567"/>
          <w:tab w:val="left" w:pos="0"/>
        </w:tabs>
        <w:spacing w:line="240" w:lineRule="auto"/>
        <w:ind w:left="567"/>
        <w:jc w:val="both"/>
        <w:rPr>
          <w:bCs/>
          <w:szCs w:val="22"/>
          <w:lang w:val="sr-Latn-RS"/>
        </w:rPr>
      </w:pPr>
    </w:p>
    <w:p w14:paraId="5A70E3EA" w14:textId="77777777" w:rsidR="00C533CF" w:rsidRPr="008C2F74" w:rsidRDefault="008C2F74">
      <w:pPr>
        <w:tabs>
          <w:tab w:val="left" w:pos="540"/>
        </w:tabs>
        <w:jc w:val="both"/>
        <w:rPr>
          <w:b/>
          <w:bCs/>
          <w:szCs w:val="22"/>
          <w:lang w:val="sr-Latn-RS"/>
        </w:rPr>
      </w:pPr>
      <w:r w:rsidRPr="008C2F74">
        <w:rPr>
          <w:b/>
          <w:bCs/>
          <w:szCs w:val="22"/>
          <w:lang w:val="sr-Latn-RS"/>
        </w:rPr>
        <w:t xml:space="preserve">4.4. </w:t>
      </w:r>
      <w:r w:rsidRPr="008C2F74">
        <w:rPr>
          <w:b/>
          <w:bCs/>
          <w:szCs w:val="22"/>
          <w:lang w:val="sr-Latn-RS"/>
        </w:rPr>
        <w:tab/>
        <w:t>Posebna upozorenja i mjere opreza pri upotrebi lijeka</w:t>
      </w:r>
    </w:p>
    <w:p w14:paraId="37E467C4" w14:textId="77777777" w:rsidR="00C533CF" w:rsidRPr="008C2F74" w:rsidRDefault="00C533CF">
      <w:pPr>
        <w:tabs>
          <w:tab w:val="left" w:pos="540"/>
        </w:tabs>
        <w:jc w:val="both"/>
        <w:rPr>
          <w:bCs/>
          <w:szCs w:val="22"/>
          <w:lang w:val="sr-Latn-RS"/>
        </w:rPr>
      </w:pPr>
    </w:p>
    <w:p w14:paraId="506DA949" w14:textId="77777777" w:rsidR="00C533CF" w:rsidRPr="008C2F74" w:rsidRDefault="008C2F74">
      <w:pPr>
        <w:widowControl w:val="0"/>
        <w:autoSpaceDE w:val="0"/>
        <w:autoSpaceDN w:val="0"/>
        <w:adjustRightInd w:val="0"/>
        <w:spacing w:line="276" w:lineRule="auto"/>
        <w:jc w:val="both"/>
        <w:rPr>
          <w:b/>
          <w:szCs w:val="22"/>
          <w:u w:val="single"/>
          <w:lang w:val="sr-Latn-RS" w:eastAsia="sl-SI"/>
        </w:rPr>
      </w:pPr>
      <w:r w:rsidRPr="008C2F74">
        <w:rPr>
          <w:b/>
          <w:szCs w:val="22"/>
          <w:u w:val="single"/>
          <w:lang w:val="sr-Latn-RS" w:eastAsia="sl-SI"/>
        </w:rPr>
        <w:t>Losartan</w:t>
      </w:r>
    </w:p>
    <w:p w14:paraId="1A04429E"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Angioedem</w:t>
      </w:r>
    </w:p>
    <w:p w14:paraId="307C6CDC"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Pacijente s anamnezom angioedema (oticanja lica, usana, grla i/ili jezika) treba pažljivo pratiti (vidjeti dio 4.8).</w:t>
      </w:r>
    </w:p>
    <w:p w14:paraId="3068F603"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5B28C82" w14:textId="77777777" w:rsidR="00C533CF" w:rsidRPr="008C2F74" w:rsidRDefault="008C2F74">
      <w:pPr>
        <w:widowControl w:val="0"/>
        <w:autoSpaceDE w:val="0"/>
        <w:autoSpaceDN w:val="0"/>
        <w:adjustRightInd w:val="0"/>
        <w:spacing w:line="276" w:lineRule="auto"/>
        <w:jc w:val="both"/>
        <w:rPr>
          <w:i/>
          <w:iCs/>
          <w:szCs w:val="22"/>
          <w:lang w:val="hr-HR" w:eastAsia="sl-SI"/>
        </w:rPr>
      </w:pPr>
      <w:r w:rsidRPr="008C2F74">
        <w:rPr>
          <w:i/>
          <w:iCs/>
          <w:szCs w:val="22"/>
          <w:lang w:val="hr-HR" w:eastAsia="sl-SI"/>
        </w:rPr>
        <w:lastRenderedPageBreak/>
        <w:t>Intestinalni angioedem</w:t>
      </w:r>
    </w:p>
    <w:p w14:paraId="6DC532A3" w14:textId="77777777" w:rsidR="00C533CF" w:rsidRPr="008C2F74" w:rsidRDefault="008C2F74">
      <w:pPr>
        <w:widowControl w:val="0"/>
        <w:autoSpaceDE w:val="0"/>
        <w:autoSpaceDN w:val="0"/>
        <w:adjustRightInd w:val="0"/>
        <w:jc w:val="both"/>
        <w:rPr>
          <w:szCs w:val="22"/>
          <w:lang w:val="mk-MK"/>
        </w:rPr>
      </w:pPr>
      <w:r w:rsidRPr="008C2F74">
        <w:rPr>
          <w:szCs w:val="22"/>
          <w:lang w:val="mk-MK"/>
        </w:rPr>
        <w:t>Prijavljen je intestinalni angioedem kod pacijenata l</w:t>
      </w:r>
      <w:r w:rsidRPr="008C2F74">
        <w:rPr>
          <w:szCs w:val="22"/>
          <w:lang w:val="sr-Latn-ME"/>
        </w:rPr>
        <w:t>ij</w:t>
      </w:r>
      <w:r w:rsidRPr="008C2F74">
        <w:rPr>
          <w:szCs w:val="22"/>
          <w:lang w:val="mk-MK"/>
        </w:rPr>
        <w:t>ečenih antagonistima receptora angiotenzina II, uključujući losartan (vid</w:t>
      </w:r>
      <w:r w:rsidRPr="008C2F74">
        <w:rPr>
          <w:szCs w:val="22"/>
          <w:lang w:val="sr-Latn-ME"/>
        </w:rPr>
        <w:t>j</w:t>
      </w:r>
      <w:r w:rsidRPr="008C2F74">
        <w:rPr>
          <w:szCs w:val="22"/>
          <w:lang w:val="mk-MK"/>
        </w:rPr>
        <w:t xml:space="preserve">eti </w:t>
      </w:r>
      <w:r w:rsidRPr="008C2F74">
        <w:rPr>
          <w:szCs w:val="22"/>
          <w:lang w:val="sr-Latn-ME"/>
        </w:rPr>
        <w:t>dio</w:t>
      </w:r>
      <w:r w:rsidRPr="008C2F74">
        <w:rPr>
          <w:szCs w:val="22"/>
          <w:lang w:val="mk-MK"/>
        </w:rPr>
        <w:t xml:space="preserve"> 4.8). Ovi pacijenti su imali bol u stomaku, mučninu, povraćanje i dijareju. Simptomi su se povukli nakon prestanka uzimanja antagonista receptora angiotenzina II. Ako se dijagnostikuje </w:t>
      </w:r>
      <w:r w:rsidRPr="008C2F74">
        <w:rPr>
          <w:szCs w:val="22"/>
          <w:lang w:val="sr-Latn-ME"/>
        </w:rPr>
        <w:t>intestinalni</w:t>
      </w:r>
      <w:r w:rsidRPr="008C2F74">
        <w:rPr>
          <w:szCs w:val="22"/>
          <w:lang w:val="mk-MK"/>
        </w:rPr>
        <w:t xml:space="preserve"> angioedem, </w:t>
      </w:r>
      <w:r w:rsidRPr="008C2F74">
        <w:rPr>
          <w:szCs w:val="22"/>
          <w:lang w:val="sr-Latn-ME"/>
        </w:rPr>
        <w:t xml:space="preserve">upotrebu lijeka </w:t>
      </w:r>
      <w:r w:rsidRPr="008C2F74">
        <w:rPr>
          <w:szCs w:val="22"/>
          <w:lang w:val="mk-MK"/>
        </w:rPr>
        <w:t xml:space="preserve">losartan treba prekinuti i </w:t>
      </w:r>
      <w:r w:rsidRPr="008C2F74">
        <w:rPr>
          <w:szCs w:val="22"/>
          <w:lang w:val="sr-Latn-ME"/>
        </w:rPr>
        <w:t>adekvatno pratiti pacijenta</w:t>
      </w:r>
      <w:r w:rsidRPr="008C2F74">
        <w:rPr>
          <w:szCs w:val="22"/>
          <w:lang w:val="mk-MK"/>
        </w:rPr>
        <w:t xml:space="preserve"> dok se simptomi potpuno ne povuku.</w:t>
      </w:r>
    </w:p>
    <w:p w14:paraId="41348822"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7575001"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Hipotenzija i smanjenje intravaskularnog volumena</w:t>
      </w:r>
    </w:p>
    <w:p w14:paraId="0BA4ED11"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Kod pacijenata sa smanjenjem volumena i/ili natrijuma zbog jake diuretske terapije, smanjenog unosa soli, dijareje ili povraćanja, može doći do simptomatske hipotenzije, pogotovo nakon prve doze. Takva stanja treba korigovati prije primjene lijeka Lorista H tableta (vidjeti djelove 4.2. i 4.3.).</w:t>
      </w:r>
    </w:p>
    <w:p w14:paraId="51274937" w14:textId="77777777" w:rsidR="00C533CF" w:rsidRPr="008C2F74" w:rsidRDefault="00C533CF">
      <w:pPr>
        <w:widowControl w:val="0"/>
        <w:autoSpaceDE w:val="0"/>
        <w:autoSpaceDN w:val="0"/>
        <w:adjustRightInd w:val="0"/>
        <w:spacing w:line="276" w:lineRule="auto"/>
        <w:jc w:val="both"/>
        <w:rPr>
          <w:szCs w:val="22"/>
          <w:lang w:val="sr-Latn-RS" w:eastAsia="sl-SI"/>
        </w:rPr>
      </w:pPr>
    </w:p>
    <w:p w14:paraId="6B30AAFB"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Neravnoteža elektrolita</w:t>
      </w:r>
    </w:p>
    <w:p w14:paraId="451C3D85"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Kod pacijenata s oštećenjem bubrežne funkcije, sa ili bez dijabetesa, česta je neravnoteža elektrolita pa je treba korigovati. Stoga treba pažljivo pratiti koncentraciju kalijuma u plazmi i klirens kreatinina; posebno pažljivo treba pratiti pacijente sa insuficijencijom srca i klirensom kreatinina između 30 i 50 ml/min.</w:t>
      </w:r>
    </w:p>
    <w:p w14:paraId="6770E52A" w14:textId="77777777" w:rsidR="00C533CF" w:rsidRPr="008C2F74" w:rsidRDefault="008C2F74">
      <w:pPr>
        <w:widowControl w:val="0"/>
        <w:jc w:val="both"/>
        <w:rPr>
          <w:szCs w:val="22"/>
          <w:lang w:val="sr-Latn-RS" w:eastAsia="sl-SI"/>
        </w:rPr>
      </w:pPr>
      <w:r w:rsidRPr="008C2F74">
        <w:rPr>
          <w:szCs w:val="22"/>
          <w:lang w:val="sr-Latn-RS" w:eastAsia="sl-SI"/>
        </w:rPr>
        <w:t>Istovremena upotreba losartana/hidrohlortiazida i diuretika koji štede kalijum, zamjena kalijuma kao zamjena za so koje sadrže kalijum ili drugih ljekova koji mogu povećati nivo kalijuma u serumu (npr., ljekovi koji sadrže trimetoprim) se ne preporučuje (vidjeti dio 4.5).</w:t>
      </w:r>
    </w:p>
    <w:p w14:paraId="711471E4" w14:textId="77777777" w:rsidR="00C533CF" w:rsidRPr="008C2F74" w:rsidRDefault="00C533CF">
      <w:pPr>
        <w:widowControl w:val="0"/>
        <w:autoSpaceDE w:val="0"/>
        <w:autoSpaceDN w:val="0"/>
        <w:adjustRightInd w:val="0"/>
        <w:spacing w:line="276" w:lineRule="auto"/>
        <w:jc w:val="both"/>
        <w:rPr>
          <w:szCs w:val="22"/>
          <w:lang w:val="sr-Latn-RS" w:eastAsia="sl-SI"/>
        </w:rPr>
      </w:pPr>
    </w:p>
    <w:p w14:paraId="38623EC6"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Oštećenje funkcije jetre</w:t>
      </w:r>
    </w:p>
    <w:p w14:paraId="2C0F1104"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Na osnovu farmakokinetičkih podataka koji pokazuju značajno povišenu koncentraciju losartana u plazmi kod pacijenata s cirozom, lijek Lorista H 100 treba koristiti s oprezom kod pacijenata s anamnezom blagog do umjerenog oštećenja jetre. Nema terapijskog iskustva s losartanom kod pacijenata s teškim oštećenjem jetre. Stoga je kontraindikovana primjena lijeka Lorista H 100 kod pacijenata s teškim oštećenjem jetre (vidjeti djelove 4.2, 4.3 i 5.2).</w:t>
      </w:r>
    </w:p>
    <w:p w14:paraId="590C8D2F" w14:textId="77777777" w:rsidR="00C533CF" w:rsidRPr="008C2F74" w:rsidRDefault="00C533CF">
      <w:pPr>
        <w:widowControl w:val="0"/>
        <w:autoSpaceDE w:val="0"/>
        <w:autoSpaceDN w:val="0"/>
        <w:adjustRightInd w:val="0"/>
        <w:spacing w:line="276" w:lineRule="auto"/>
        <w:jc w:val="both"/>
        <w:rPr>
          <w:szCs w:val="22"/>
          <w:lang w:val="sr-Latn-RS" w:eastAsia="sl-SI"/>
        </w:rPr>
      </w:pPr>
    </w:p>
    <w:p w14:paraId="51912FE5"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Oštećenje bubrežne funkcije</w:t>
      </w:r>
    </w:p>
    <w:p w14:paraId="49E74CA4"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Kao posljedica inhibicije sistema renin-angiotenzin-aldosteron, prijavljene su promjene bubrežne funkcije, uključujući insuficijenciju bubrega (posebno kod pacijenata čija funkcija bubrega zavisi od sistema renin-angiotenzin-aldosteron, poput onih s teškom srčanom insuficijencijom ili već postojećim poremećajem funkcije bubrega).</w:t>
      </w:r>
    </w:p>
    <w:p w14:paraId="4974115C"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Kao i kod drugih ljekova koji utiču na sistem renin-angiotenzin-aldosteron, zabilježen je porast uree u krvi i kreatinina u serumu kod pacijenata s obostranom stenozom bubrežnih arterija ili stenozom arterije solitarnog bubrega; ove promjene bubrežne funkcije mogu biti reverzibilne nakon prekida terapije. Losartan treba oprezno koristiti kod pacijenata s obostranom stenozom bubrežnih arterija ili stenozom arterije solitarnog bubrega.</w:t>
      </w:r>
    </w:p>
    <w:p w14:paraId="04CAD1D7" w14:textId="77777777" w:rsidR="00C533CF" w:rsidRPr="008C2F74" w:rsidRDefault="00C533CF">
      <w:pPr>
        <w:widowControl w:val="0"/>
        <w:autoSpaceDE w:val="0"/>
        <w:autoSpaceDN w:val="0"/>
        <w:adjustRightInd w:val="0"/>
        <w:spacing w:line="276" w:lineRule="auto"/>
        <w:jc w:val="both"/>
        <w:rPr>
          <w:szCs w:val="22"/>
          <w:lang w:val="sr-Latn-RS" w:eastAsia="sl-SI"/>
        </w:rPr>
      </w:pPr>
    </w:p>
    <w:p w14:paraId="73E0C94B"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Transplantacija bubrega</w:t>
      </w:r>
    </w:p>
    <w:p w14:paraId="11973830"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Nema iskustva s pacijentima kod kojih je nedavno transplantiran bubreg.</w:t>
      </w:r>
    </w:p>
    <w:p w14:paraId="71533950" w14:textId="77777777" w:rsidR="00C533CF" w:rsidRPr="008C2F74" w:rsidRDefault="00C533CF">
      <w:pPr>
        <w:widowControl w:val="0"/>
        <w:autoSpaceDE w:val="0"/>
        <w:autoSpaceDN w:val="0"/>
        <w:adjustRightInd w:val="0"/>
        <w:spacing w:line="276" w:lineRule="auto"/>
        <w:jc w:val="both"/>
        <w:rPr>
          <w:szCs w:val="22"/>
          <w:lang w:val="sr-Latn-RS" w:eastAsia="sl-SI"/>
        </w:rPr>
      </w:pPr>
    </w:p>
    <w:p w14:paraId="20CAB4E4"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Primarni hiperaldosteronizam</w:t>
      </w:r>
    </w:p>
    <w:p w14:paraId="1B8A4800"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Pacijenti s primarnim aldosteronizmom uglavnom neće klinički reagovati na liječenje antihipertenzivima koji djeluju inhibirajući na sistem renin-angiotenzin. Stoga se upotreba lijeka Lorista H 100 tableta ne preporučuje.</w:t>
      </w:r>
    </w:p>
    <w:p w14:paraId="22F8F22E"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36FA1CE" w14:textId="77777777" w:rsidR="00C533CF" w:rsidRPr="008C2F74" w:rsidRDefault="008C2F74">
      <w:pPr>
        <w:widowControl w:val="0"/>
        <w:spacing w:line="276" w:lineRule="auto"/>
        <w:jc w:val="both"/>
        <w:rPr>
          <w:szCs w:val="22"/>
          <w:lang w:val="sr-Latn-RS" w:eastAsia="sl-SI"/>
        </w:rPr>
      </w:pPr>
      <w:r w:rsidRPr="008C2F74">
        <w:rPr>
          <w:i/>
          <w:iCs/>
          <w:szCs w:val="22"/>
          <w:lang w:val="sr-Latn-RS" w:eastAsia="sl-SI"/>
        </w:rPr>
        <w:t>Koronarna bolest srca i cerebrovaskularna bolest</w:t>
      </w:r>
    </w:p>
    <w:p w14:paraId="7561C26B" w14:textId="1A3C69E0"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Kao i kod drugih antihipertenzivnih ljekova, pretjerano sniženje krvnog pritiska kod pacijenata s ishemijskom bolešću srca te cerebrovaskularnom bolešću može dovesti do infarkta miokarda ili insulta.</w:t>
      </w:r>
    </w:p>
    <w:p w14:paraId="426C7C1B"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lastRenderedPageBreak/>
        <w:t>Insuficijencija srca</w:t>
      </w:r>
    </w:p>
    <w:p w14:paraId="346AC5B4" w14:textId="1AB66D26"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Kod pacijenata sa insuficijencijom srca, sa ili bez poremećaja bubrežne funkcije, postoji – kao i uz druge ljekove koji djeluju putem sistema renin-angiotenzin – rizik od teške arterijske hipotenzije te (često akutnog) poremećaja bubrežne funkcije.</w:t>
      </w:r>
    </w:p>
    <w:p w14:paraId="7F2F53E4" w14:textId="77777777" w:rsidR="00C533CF" w:rsidRPr="008C2F74" w:rsidRDefault="00C533CF">
      <w:pPr>
        <w:widowControl w:val="0"/>
        <w:autoSpaceDE w:val="0"/>
        <w:autoSpaceDN w:val="0"/>
        <w:adjustRightInd w:val="0"/>
        <w:spacing w:line="276" w:lineRule="auto"/>
        <w:jc w:val="both"/>
        <w:rPr>
          <w:i/>
          <w:iCs/>
          <w:szCs w:val="22"/>
          <w:lang w:val="sr-Latn-RS" w:eastAsia="sl-SI"/>
        </w:rPr>
      </w:pPr>
    </w:p>
    <w:p w14:paraId="55B2594C"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Stenoza aortne i mitralne valvule, opstruktivna hipertrofična kardiomiopatija</w:t>
      </w:r>
    </w:p>
    <w:p w14:paraId="3618A209"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Kao i kod drugih vazodilatatora, potreban je poseban oprez kod pacijenata s aortnom ili mitralnom stenozom ili opstruktivnom hipertrofičnom kardiomiopatijom.</w:t>
      </w:r>
    </w:p>
    <w:p w14:paraId="6A0CFC8C"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F41796E"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Etničke razlike</w:t>
      </w:r>
    </w:p>
    <w:p w14:paraId="5DDC1A05"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Kao što je primijećeno kod inhibitora angiotenzin konvertizujućeg enzima, losartan i ostali antagonisti angiotenzina su manje efikasni u snižavanju krvnog pritiska kod osoba crne rase nego kod ostalih, što bi se moglo pripisati višoj prevalenciji stanja sa niskim reninom kod osoba crne rase koji imaju hipertenziju.</w:t>
      </w:r>
    </w:p>
    <w:p w14:paraId="5FDF2056"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DE85A03"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Trudnoća</w:t>
      </w:r>
    </w:p>
    <w:p w14:paraId="25D1E59B" w14:textId="77777777" w:rsidR="00C533CF" w:rsidRPr="008C2F74" w:rsidRDefault="008C2F74">
      <w:pPr>
        <w:widowControl w:val="0"/>
        <w:spacing w:line="276" w:lineRule="auto"/>
        <w:jc w:val="both"/>
        <w:rPr>
          <w:szCs w:val="22"/>
          <w:lang w:val="sr-Latn-RS"/>
        </w:rPr>
      </w:pPr>
      <w:r w:rsidRPr="008C2F74">
        <w:rPr>
          <w:iCs/>
          <w:szCs w:val="22"/>
          <w:lang w:val="sr-Latn-RS" w:eastAsia="sl-SI"/>
        </w:rPr>
        <w:t>Antagoniste receptora za angiotenzin II ne treba uvoditi tokom trudnoće</w:t>
      </w:r>
      <w:r w:rsidRPr="008C2F74">
        <w:rPr>
          <w:szCs w:val="22"/>
          <w:lang w:val="sr-Latn-RS"/>
        </w:rPr>
        <w:t>. Ukoliko se nastavak liječenja antagonistima receptora za angiotenzin II ne smatra neophodnim, pacijentkinjama koje planiraju trudnoću treba uvesti alternativno antihipertenzivno liječenje koje ima dobro utvrđen bezbjednosni profil pri primjeni tokom trudnoće. Nakon što je utvrđena trudnoća, liječenje antagonistima receptora za angiotenzin II treba smjesta prekinuti i ukoliko se smatra potrebnim, uvesti alternativnu terapiju (vidjeti djelove 4.3 i 4.6).</w:t>
      </w:r>
    </w:p>
    <w:p w14:paraId="00622DD9" w14:textId="77777777" w:rsidR="00C533CF" w:rsidRPr="008C2F74" w:rsidRDefault="00C533CF">
      <w:pPr>
        <w:widowControl w:val="0"/>
        <w:spacing w:line="276" w:lineRule="auto"/>
        <w:jc w:val="both"/>
        <w:rPr>
          <w:iCs/>
          <w:szCs w:val="22"/>
          <w:lang w:val="sr-Latn-RS" w:eastAsia="sl-SI"/>
        </w:rPr>
      </w:pPr>
    </w:p>
    <w:p w14:paraId="51859CB2" w14:textId="77777777" w:rsidR="00C533CF" w:rsidRPr="008C2F74" w:rsidRDefault="008C2F74">
      <w:pPr>
        <w:widowControl w:val="0"/>
        <w:spacing w:line="276" w:lineRule="auto"/>
        <w:jc w:val="both"/>
        <w:rPr>
          <w:i/>
          <w:iCs/>
          <w:szCs w:val="22"/>
          <w:lang w:val="sr-Latn-RS" w:eastAsia="sl-SI"/>
        </w:rPr>
      </w:pPr>
      <w:r w:rsidRPr="008C2F74">
        <w:rPr>
          <w:i/>
          <w:iCs/>
          <w:szCs w:val="22"/>
          <w:lang w:val="sr-Latn-RS" w:eastAsia="sl-SI"/>
        </w:rPr>
        <w:t>Dvostruka blokada renin-angiotenzin-aldosteron sistema (RAAS)</w:t>
      </w:r>
    </w:p>
    <w:p w14:paraId="0DD941B8" w14:textId="77777777" w:rsidR="00C533CF" w:rsidRPr="008C2F74" w:rsidRDefault="008C2F74">
      <w:pPr>
        <w:widowControl w:val="0"/>
        <w:spacing w:line="276" w:lineRule="auto"/>
        <w:jc w:val="both"/>
        <w:rPr>
          <w:iCs/>
          <w:szCs w:val="22"/>
          <w:lang w:val="sr-Latn-RS" w:eastAsia="sl-SI"/>
        </w:rPr>
      </w:pPr>
      <w:r w:rsidRPr="008C2F74">
        <w:rPr>
          <w:iCs/>
          <w:szCs w:val="22"/>
          <w:lang w:val="sr-Latn-RS" w:eastAsia="sl-SI"/>
        </w:rPr>
        <w:t>Postoje podaci da istovremena primjena ACE inhibitora, antagonista receptora angiotenzina II ili aliskirena povećava rizik od nastanka hipotenzije, hiperkalijemije i slabljenja bubrežne funkcije (uključujući akutnu bubrežnu insuficijenciju). Dvojna blokada RAAS istovremenom primjenom ACE inhibitora, antagonista receptora angiotenzina II ili aliskirena se prema tome ne preporučuje (vidjeti djelove 4.5. i 5.1.).</w:t>
      </w:r>
    </w:p>
    <w:p w14:paraId="62BAE4AB" w14:textId="77777777" w:rsidR="00C533CF" w:rsidRPr="008C2F74" w:rsidRDefault="008C2F74">
      <w:pPr>
        <w:widowControl w:val="0"/>
        <w:spacing w:line="276" w:lineRule="auto"/>
        <w:jc w:val="both"/>
        <w:rPr>
          <w:iCs/>
          <w:szCs w:val="22"/>
          <w:lang w:val="sr-Latn-RS" w:eastAsia="sl-SI"/>
        </w:rPr>
      </w:pPr>
      <w:r w:rsidRPr="008C2F74">
        <w:rPr>
          <w:iCs/>
          <w:szCs w:val="22"/>
          <w:lang w:val="sr-Latn-RS" w:eastAsia="sl-SI"/>
        </w:rPr>
        <w:t>Ukoliko se terapija dvojnom blokadom smatra apsolutno neophodnom, ovo treba sprovesti isključivo pod nadzorom ljekara specijaliste i s redovnim praćenjem bubrežne funkcije, elektrolita i krvnog pritiska. ACE inhibitore i antagoniste receptora angiotenzina II ne treba primjenjivati istovremeno kod pacijenata sa dijabetesnom nefropatijom.</w:t>
      </w:r>
    </w:p>
    <w:p w14:paraId="36E35022" w14:textId="77777777" w:rsidR="00C533CF" w:rsidRPr="008C2F74" w:rsidRDefault="00C533CF">
      <w:pPr>
        <w:widowControl w:val="0"/>
        <w:spacing w:line="276" w:lineRule="auto"/>
        <w:jc w:val="both"/>
        <w:rPr>
          <w:iCs/>
          <w:szCs w:val="22"/>
          <w:lang w:val="sr-Latn-RS" w:eastAsia="sl-SI"/>
        </w:rPr>
      </w:pPr>
    </w:p>
    <w:p w14:paraId="4986044A" w14:textId="77777777" w:rsidR="00C533CF" w:rsidRPr="008C2F74" w:rsidRDefault="008C2F74">
      <w:pPr>
        <w:widowControl w:val="0"/>
        <w:autoSpaceDE w:val="0"/>
        <w:autoSpaceDN w:val="0"/>
        <w:adjustRightInd w:val="0"/>
        <w:spacing w:line="276" w:lineRule="auto"/>
        <w:jc w:val="both"/>
        <w:rPr>
          <w:b/>
          <w:szCs w:val="22"/>
          <w:u w:val="single"/>
          <w:lang w:val="sr-Latn-RS" w:eastAsia="sl-SI"/>
        </w:rPr>
      </w:pPr>
      <w:r w:rsidRPr="008C2F74">
        <w:rPr>
          <w:b/>
          <w:szCs w:val="22"/>
          <w:u w:val="single"/>
          <w:lang w:val="sr-Latn-RS" w:eastAsia="sl-SI"/>
        </w:rPr>
        <w:t>Hidrohlortiazid</w:t>
      </w:r>
    </w:p>
    <w:p w14:paraId="355F5FDA" w14:textId="77777777" w:rsidR="00C533CF" w:rsidRPr="008C2F74" w:rsidRDefault="00C533CF">
      <w:pPr>
        <w:widowControl w:val="0"/>
        <w:autoSpaceDE w:val="0"/>
        <w:autoSpaceDN w:val="0"/>
        <w:adjustRightInd w:val="0"/>
        <w:spacing w:line="276" w:lineRule="auto"/>
        <w:jc w:val="both"/>
        <w:rPr>
          <w:iCs/>
          <w:szCs w:val="22"/>
          <w:lang w:val="sr-Latn-RS" w:eastAsia="sl-SI"/>
        </w:rPr>
      </w:pPr>
    </w:p>
    <w:p w14:paraId="26ED0749"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Hipotenzija i neravnoteža elektrolita/tjelesnih tečnosti</w:t>
      </w:r>
    </w:p>
    <w:p w14:paraId="6E3D543B"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Kao kod svakog liječenja antihipertenzivima, kod nekih pacijenata može doći do simptomatske hipotenzije. Pacijente treba pratiti zbog kliničkih znakova poremećaja ravnoteže tečnosti i elektrolita, npr. deplecije volumena, hiponatrijemije, hipohloremijske alkaloze, hipomagnezijemije ili hipokalijemije, do kojih može doći tokom interkurentne dijareje ili povraćanja. Kod takvih pacijenata je neophodno periodično određivati elektrolite u serumu u odgovarajućim intervalima. Kod edematoznih pacijenata pri toplom vremenu može doći do dilucione hiponatrijemije.</w:t>
      </w:r>
    </w:p>
    <w:p w14:paraId="41D55E09" w14:textId="77777777" w:rsidR="00C533CF" w:rsidRPr="008C2F74" w:rsidRDefault="00C533CF">
      <w:pPr>
        <w:widowControl w:val="0"/>
        <w:autoSpaceDE w:val="0"/>
        <w:autoSpaceDN w:val="0"/>
        <w:adjustRightInd w:val="0"/>
        <w:spacing w:line="276" w:lineRule="auto"/>
        <w:jc w:val="both"/>
        <w:rPr>
          <w:szCs w:val="22"/>
          <w:lang w:val="sr-Latn-RS" w:eastAsia="sl-SI"/>
        </w:rPr>
      </w:pPr>
    </w:p>
    <w:p w14:paraId="318549D3"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Metabolička i endokrina dejstva</w:t>
      </w:r>
    </w:p>
    <w:p w14:paraId="616DF339"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Terapija tiazidima može poremetiti toleranciju glukoze. Može biti potrebno prilagođavanje doze antidijabetika, uključujući insulin (vidjeti dio 4.5). Tokom terapije tiazidima, latentni dijabetes može postati manifestan.</w:t>
      </w:r>
    </w:p>
    <w:p w14:paraId="5218CE2A"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CA9EFC9"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lastRenderedPageBreak/>
        <w:t>Tiazidi mogu smanjiti izlučivanje kalcijuma urinom i uzrokovati intermitentna i blaga povišenja kalcijuma u serumu. Izražena hiperkalcijemija može biti dokaz prikrivenog hiperparatireoidizma. Davanje tiazida treba obustaviti prije izvođenja testova paratireoidne funkcije.</w:t>
      </w:r>
    </w:p>
    <w:p w14:paraId="3E60B348"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ECAB304"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Porast holesterola i triglicerida može se povezati s liječenjem tiazidnim diureticima.</w:t>
      </w:r>
    </w:p>
    <w:p w14:paraId="61425C78"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Terapija tiazidima može izazvati hiperurikemiju i/ili giht kod određenih pacijenata. S obzirom da losartan snižava mokraćnu kiselinu, u kombinaciji s hidrohlortiazidom ublažava hiperurikemiju izazvanu diureticima.</w:t>
      </w:r>
    </w:p>
    <w:p w14:paraId="49E25464"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ACC5048"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Poremećaj rada jetre</w:t>
      </w:r>
    </w:p>
    <w:p w14:paraId="5B30865D" w14:textId="77777777" w:rsidR="00C533CF" w:rsidRPr="008C2F74" w:rsidRDefault="008C2F74">
      <w:pPr>
        <w:widowControl w:val="0"/>
        <w:autoSpaceDE w:val="0"/>
        <w:autoSpaceDN w:val="0"/>
        <w:adjustRightInd w:val="0"/>
        <w:spacing w:line="276" w:lineRule="auto"/>
        <w:jc w:val="both"/>
        <w:rPr>
          <w:iCs/>
          <w:szCs w:val="22"/>
          <w:lang w:val="sr-Latn-RS" w:eastAsia="sl-SI"/>
        </w:rPr>
      </w:pPr>
      <w:r w:rsidRPr="008C2F74">
        <w:rPr>
          <w:szCs w:val="22"/>
          <w:lang w:val="sr-Latn-RS" w:eastAsia="sl-SI"/>
        </w:rPr>
        <w:t>Tiazide treba oprezno koristiti kod pacijenata s poremećajem funkcije jetre ili progresivnom bolešću jetre, jer mogu dovesti do intrahepatične holestaze, kao i iz razloga što male promjene u ravnoteži tečnosti i elektrolita mogu izazvati hepatičnu komu. Lijek Lorista H 100 je kontraindikovana kod pacijenata s teškim oštećenjem jetre (vidjeti djelove 4.3 i 5.2).</w:t>
      </w:r>
    </w:p>
    <w:p w14:paraId="6F9F7E11" w14:textId="77777777" w:rsidR="00C533CF" w:rsidRPr="008C2F74" w:rsidRDefault="00C533CF">
      <w:pPr>
        <w:jc w:val="both"/>
        <w:rPr>
          <w:szCs w:val="22"/>
          <w:u w:val="single"/>
          <w:lang w:val="sr-Latn-RS" w:eastAsia="sl-SI"/>
        </w:rPr>
      </w:pPr>
    </w:p>
    <w:p w14:paraId="54B43BAD" w14:textId="77777777" w:rsidR="00C533CF" w:rsidRPr="008C2F74" w:rsidRDefault="008C2F74">
      <w:pPr>
        <w:spacing w:line="276" w:lineRule="auto"/>
        <w:jc w:val="both"/>
        <w:rPr>
          <w:i/>
          <w:szCs w:val="22"/>
          <w:lang w:val="sr-Latn-RS" w:eastAsia="sl-SI"/>
        </w:rPr>
      </w:pPr>
      <w:r w:rsidRPr="008C2F74">
        <w:rPr>
          <w:i/>
          <w:szCs w:val="22"/>
          <w:lang w:val="sr-Latn-RS" w:eastAsia="sl-SI"/>
        </w:rPr>
        <w:t>Nemelanomski karcinom kože</w:t>
      </w:r>
    </w:p>
    <w:p w14:paraId="21622C19" w14:textId="77777777" w:rsidR="00C533CF" w:rsidRPr="008C2F74" w:rsidRDefault="008C2F74">
      <w:pPr>
        <w:spacing w:line="276" w:lineRule="auto"/>
        <w:jc w:val="both"/>
        <w:rPr>
          <w:szCs w:val="22"/>
          <w:lang w:val="sr-Latn-RS" w:eastAsia="sl-SI"/>
        </w:rPr>
      </w:pPr>
      <w:r w:rsidRPr="008C2F74">
        <w:rPr>
          <w:szCs w:val="22"/>
          <w:lang w:val="sr-Latn-RS" w:eastAsia="sl-SI"/>
        </w:rPr>
        <w:t xml:space="preserve">Povećan rizik od nemelanomskog karcinoma kože (eng. </w:t>
      </w:r>
      <w:r w:rsidRPr="008C2F74">
        <w:rPr>
          <w:i/>
          <w:szCs w:val="22"/>
          <w:lang w:val="sr-Latn-RS" w:eastAsia="sl-SI"/>
        </w:rPr>
        <w:t>non-melanoma skin cancer</w:t>
      </w:r>
      <w:r w:rsidRPr="008C2F74">
        <w:rPr>
          <w:szCs w:val="22"/>
          <w:lang w:val="sr-Latn-RS" w:eastAsia="sl-SI"/>
        </w:rPr>
        <w:t xml:space="preserve">, NMSC) [bazocelularni karcinom (eng. </w:t>
      </w:r>
      <w:r w:rsidRPr="008C2F74">
        <w:rPr>
          <w:i/>
          <w:szCs w:val="22"/>
          <w:lang w:val="sr-Latn-RS" w:eastAsia="sl-SI"/>
        </w:rPr>
        <w:t>basal cell carcinoma</w:t>
      </w:r>
      <w:r w:rsidRPr="008C2F74">
        <w:rPr>
          <w:szCs w:val="22"/>
          <w:lang w:val="sr-Latn-RS" w:eastAsia="sl-SI"/>
        </w:rPr>
        <w:t xml:space="preserve">, BCC) i  planocelularni karcinom (eng. </w:t>
      </w:r>
      <w:r w:rsidRPr="008C2F74">
        <w:rPr>
          <w:i/>
          <w:szCs w:val="22"/>
          <w:lang w:val="sr-Latn-RS" w:eastAsia="sl-SI"/>
        </w:rPr>
        <w:t>squamous cell carcinoma</w:t>
      </w:r>
      <w:r w:rsidRPr="008C2F74">
        <w:rPr>
          <w:szCs w:val="22"/>
          <w:lang w:val="sr-Latn-RS" w:eastAsia="sl-SI"/>
        </w:rPr>
        <w:t>, SCC)] kod povećane kumulativne izloženosti hidrohlortiazidu zabilježen je u dvije epidemiološke studije zasnovane na Nacionalnom registru malignih oboljenja Danske. Fotosenzitivno dejstvo hidrohlortiazida može da predstavlja mogući mehanizam za nastanak NMSC.</w:t>
      </w:r>
    </w:p>
    <w:p w14:paraId="4E42832A" w14:textId="77777777" w:rsidR="00C533CF" w:rsidRPr="008C2F74" w:rsidRDefault="008C2F74">
      <w:pPr>
        <w:spacing w:line="276" w:lineRule="auto"/>
        <w:jc w:val="both"/>
        <w:rPr>
          <w:szCs w:val="22"/>
          <w:lang w:val="sr-Latn-RS" w:eastAsia="sl-SI"/>
        </w:rPr>
      </w:pPr>
      <w:r w:rsidRPr="008C2F74">
        <w:rPr>
          <w:szCs w:val="22"/>
          <w:lang w:val="sr-Latn-RS" w:eastAsia="sl-SI"/>
        </w:rPr>
        <w:t>Pacijente koji uzimaju hidrohlortiazid potrebno je informisati o riziku od NMSC-a i savjetovati da redovno provjeravaju svoju kožu kako bi se uočila pojava svake nove lezije i da hitno prijave svaku sumnjivu leziju na koži. Pacijente treba savjetovati o mogućim preventivnim mjerama, kao što je ograničena izloženost sunčevoj svjetlosti i UV zracima i, u slučaju izloženosti, primjena odgovarajuće zaštite, radi minimiziranja rizika od karcinoma kože. Sumnjive lezije na koži potrebno je hitno pregledati, potencijalno uključujući histološke preglede uzorka dobijenog biopsijom. Takođe može biti potrebno i da se razmotri opravdanost primjene hidrohlortiazida kod pacijenata koji su ranije imali NMSC (vidjeti dio 4.8 Neželjena dejstva).</w:t>
      </w:r>
    </w:p>
    <w:p w14:paraId="68AEB20E"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0F1AE16" w14:textId="77777777" w:rsidR="00C533CF" w:rsidRPr="008C2F74" w:rsidRDefault="008C2F74">
      <w:pPr>
        <w:widowControl w:val="0"/>
        <w:autoSpaceDE w:val="0"/>
        <w:autoSpaceDN w:val="0"/>
        <w:adjustRightInd w:val="0"/>
        <w:spacing w:line="276" w:lineRule="auto"/>
        <w:jc w:val="both"/>
        <w:rPr>
          <w:i/>
          <w:szCs w:val="22"/>
          <w:lang w:val="sr-Latn-RS" w:eastAsia="sl-SI"/>
        </w:rPr>
      </w:pPr>
      <w:r w:rsidRPr="008C2F74">
        <w:rPr>
          <w:i/>
          <w:szCs w:val="22"/>
          <w:lang w:val="sr-Latn-RS" w:eastAsia="sl-SI"/>
        </w:rPr>
        <w:t>Akutni respiratorni distres sindrom (ARDS)</w:t>
      </w:r>
    </w:p>
    <w:p w14:paraId="22B04428"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 xml:space="preserve">Nakon uzimanja hidrohlortiazida prijavljeni su vrlo rijetki ozbiljni slučajevi akutne respiratorne toksičnosti, uključujući akutni respiratorni distres sindrom (ARDS). Plućni edem obično se razvija u roku od nekoliko minuta do nekoliko sati nakon unosa hidrohlortiazida. Na početku simptomi uključuju dispneju, povišenu tjelesnu temperaturu, pogoršanje plućne funkcije i hipotenziju. Ako se sumnja na ARDS, potrebno je prekinuti primjenu lijeka </w:t>
      </w:r>
      <w:r w:rsidRPr="008C2F74">
        <w:rPr>
          <w:bCs/>
          <w:szCs w:val="22"/>
          <w:lang w:val="sr-Latn-RS" w:eastAsia="sl-SI"/>
        </w:rPr>
        <w:t xml:space="preserve">Lorista H 100 </w:t>
      </w:r>
      <w:r w:rsidRPr="008C2F74">
        <w:rPr>
          <w:szCs w:val="22"/>
          <w:lang w:val="sr-Latn-RS" w:eastAsia="sl-SI"/>
        </w:rPr>
        <w:t>i dati odgovarajuću terapiju. Hidrohlorotiazid se ne smije davati pacijentima koji su prethodno imali ARDS nakon unosa hidrohlorotiazida.</w:t>
      </w:r>
    </w:p>
    <w:p w14:paraId="5F3374EB" w14:textId="77777777" w:rsidR="00C533CF" w:rsidRPr="008C2F74" w:rsidRDefault="00C533CF">
      <w:pPr>
        <w:widowControl w:val="0"/>
        <w:autoSpaceDE w:val="0"/>
        <w:autoSpaceDN w:val="0"/>
        <w:adjustRightInd w:val="0"/>
        <w:spacing w:line="276" w:lineRule="auto"/>
        <w:jc w:val="both"/>
        <w:rPr>
          <w:szCs w:val="22"/>
          <w:lang w:val="sr-Latn-RS" w:eastAsia="sl-SI"/>
        </w:rPr>
      </w:pPr>
    </w:p>
    <w:p w14:paraId="541932A9" w14:textId="77777777" w:rsidR="00C533CF" w:rsidRPr="008C2F74" w:rsidRDefault="008C2F74">
      <w:pPr>
        <w:jc w:val="both"/>
        <w:rPr>
          <w:i/>
          <w:iCs/>
          <w:szCs w:val="22"/>
          <w:lang w:val="sr-Latn-RS" w:eastAsia="hr-HR"/>
        </w:rPr>
      </w:pPr>
      <w:r w:rsidRPr="008C2F74">
        <w:rPr>
          <w:i/>
          <w:iCs/>
          <w:szCs w:val="22"/>
          <w:lang w:val="sr-Latn-RS" w:eastAsia="hr-HR"/>
        </w:rPr>
        <w:t>Horoidalna efuzija, akutna miopija i sekundarni glaukom zatvorenog ugla</w:t>
      </w:r>
    </w:p>
    <w:p w14:paraId="65B96EAF" w14:textId="77777777" w:rsidR="00C533CF" w:rsidRPr="008C2F74" w:rsidRDefault="008C2F74">
      <w:pPr>
        <w:jc w:val="both"/>
        <w:rPr>
          <w:szCs w:val="22"/>
          <w:lang w:val="sr-Latn-RS" w:eastAsia="hr-HR"/>
        </w:rPr>
      </w:pPr>
      <w:r w:rsidRPr="008C2F74">
        <w:rPr>
          <w:szCs w:val="22"/>
          <w:lang w:val="sr-Latn-RS"/>
        </w:rPr>
        <w:t>Sulfonamidi i derivati sulfonamida mogu izazvati idiosinkratsku reakciju koja za rezultat može imati horoidalnu efuziju sa defektom vidnog polja, prolaznu miopiju i glaukom zatvorenog ugla</w:t>
      </w:r>
      <w:r w:rsidRPr="008C2F74">
        <w:rPr>
          <w:szCs w:val="22"/>
          <w:lang w:val="sr-Latn-RS" w:eastAsia="hr-HR"/>
        </w:rPr>
        <w:t>. Simptomi uključuju akutnu pojavu smanjene oštrine vida ili bola u oku i tipično se javljaju nekoliko sati do nedjelju dana od početka primjene lijeka. Neliječeni akutni glaukom zatvorenog ugla može dovesti do trajnog gubitka vida. Primarna terapija je prekid uzimanja lijeka što je prije moguće. U slučaju da intraokularni pritisak ne bude pod kontrolom, može biti potrebno razmotriti i pravovremeno liječenje ljekovima ili hirurško liječenje. Faktori rizika za razvoj akutnog glaukoma zatvorenog ugla mogu uključivati alergiju na sulfonamide ili penicilin u anamnezi.</w:t>
      </w:r>
    </w:p>
    <w:p w14:paraId="15D821FE" w14:textId="77777777" w:rsidR="00C533CF" w:rsidRPr="008C2F74" w:rsidRDefault="00750FA3" w:rsidP="00811A6B">
      <w:pPr>
        <w:tabs>
          <w:tab w:val="clear" w:pos="567"/>
        </w:tabs>
        <w:spacing w:line="240" w:lineRule="auto"/>
        <w:rPr>
          <w:i/>
          <w:iCs/>
          <w:szCs w:val="22"/>
          <w:lang w:val="sr-Latn-RS" w:eastAsia="sl-SI"/>
        </w:rPr>
      </w:pPr>
      <w:r>
        <w:rPr>
          <w:i/>
          <w:iCs/>
          <w:szCs w:val="22"/>
          <w:lang w:val="sr-Latn-RS" w:eastAsia="sl-SI"/>
        </w:rPr>
        <w:br w:type="page"/>
      </w:r>
    </w:p>
    <w:p w14:paraId="1F9CCEC3"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lastRenderedPageBreak/>
        <w:t>Ostalo</w:t>
      </w:r>
    </w:p>
    <w:p w14:paraId="5DB4DF3D" w14:textId="77777777" w:rsidR="00C533CF" w:rsidRPr="008C2F74" w:rsidRDefault="008C2F74">
      <w:pPr>
        <w:widowControl w:val="0"/>
        <w:autoSpaceDE w:val="0"/>
        <w:autoSpaceDN w:val="0"/>
        <w:adjustRightInd w:val="0"/>
        <w:spacing w:line="276" w:lineRule="auto"/>
        <w:jc w:val="both"/>
        <w:rPr>
          <w:iCs/>
          <w:szCs w:val="22"/>
          <w:lang w:val="sr-Latn-RS" w:eastAsia="sl-SI"/>
        </w:rPr>
      </w:pPr>
      <w:r w:rsidRPr="008C2F74">
        <w:rPr>
          <w:szCs w:val="22"/>
          <w:lang w:val="sr-Latn-RS" w:eastAsia="sl-SI"/>
        </w:rPr>
        <w:t>Kod pacijenata koji primaju tiazide, reakcije preosjetljivosti mogu nastati u slučajevima sa ili bez anamneze alergije ili bronhijalne astme. Egzacerbacija ili aktivacija sistemskog eritematoznog lupusa zabilježena je uz upotrebu tiazida.</w:t>
      </w:r>
    </w:p>
    <w:p w14:paraId="31D19545" w14:textId="77777777" w:rsidR="00C533CF" w:rsidRPr="008C2F74" w:rsidRDefault="00C533CF">
      <w:pPr>
        <w:widowControl w:val="0"/>
        <w:spacing w:line="276" w:lineRule="auto"/>
        <w:jc w:val="both"/>
        <w:rPr>
          <w:i/>
          <w:iCs/>
          <w:szCs w:val="22"/>
          <w:lang w:val="sr-Latn-RS" w:eastAsia="sl-SI"/>
        </w:rPr>
      </w:pPr>
    </w:p>
    <w:p w14:paraId="50583D86" w14:textId="77777777" w:rsidR="00C533CF" w:rsidRPr="008C2F74" w:rsidRDefault="008C2F74">
      <w:pPr>
        <w:widowControl w:val="0"/>
        <w:spacing w:line="276" w:lineRule="auto"/>
        <w:jc w:val="both"/>
        <w:rPr>
          <w:i/>
          <w:iCs/>
          <w:szCs w:val="22"/>
          <w:lang w:val="sr-Latn-RS" w:eastAsia="sl-SI"/>
        </w:rPr>
      </w:pPr>
      <w:r w:rsidRPr="008C2F74">
        <w:rPr>
          <w:i/>
          <w:iCs/>
          <w:szCs w:val="22"/>
          <w:lang w:val="sr-Latn-RS" w:eastAsia="sl-SI"/>
        </w:rPr>
        <w:t>Posebna upozorenja o pomoćnim supstancama</w:t>
      </w:r>
    </w:p>
    <w:p w14:paraId="643D2621" w14:textId="77777777" w:rsidR="00C533CF" w:rsidRPr="008C2F74" w:rsidRDefault="008C2F74">
      <w:pPr>
        <w:widowControl w:val="0"/>
        <w:spacing w:line="276" w:lineRule="auto"/>
        <w:jc w:val="both"/>
        <w:rPr>
          <w:szCs w:val="22"/>
          <w:lang w:val="sr-Latn-RS" w:eastAsia="sl-SI"/>
        </w:rPr>
      </w:pPr>
      <w:r w:rsidRPr="008C2F74">
        <w:rPr>
          <w:bCs/>
          <w:szCs w:val="22"/>
          <w:lang w:val="sr-Latn-RS" w:eastAsia="sl-SI"/>
        </w:rPr>
        <w:t xml:space="preserve">Lijek Lorista H </w:t>
      </w:r>
      <w:r w:rsidRPr="008C2F74">
        <w:rPr>
          <w:szCs w:val="22"/>
          <w:lang w:val="sr-Latn-RS" w:eastAsia="hr-HR"/>
        </w:rPr>
        <w:t>sadrži laktozu. Pacijenti s rijetkim nasljednim poremećajem nepodnošenja galaktoze, potpunim nedostatkom laktaze ili glukoza-galaktoza malapsorpcijom ne bi trebali da uzimaju ovaj lijek.</w:t>
      </w:r>
    </w:p>
    <w:p w14:paraId="18ECA1C6" w14:textId="77777777" w:rsidR="00C533CF" w:rsidRPr="008C2F74" w:rsidRDefault="00C533CF">
      <w:pPr>
        <w:tabs>
          <w:tab w:val="left" w:pos="540"/>
        </w:tabs>
        <w:jc w:val="both"/>
        <w:rPr>
          <w:bCs/>
          <w:szCs w:val="22"/>
          <w:lang w:val="sr-Latn-RS"/>
        </w:rPr>
      </w:pPr>
    </w:p>
    <w:p w14:paraId="4906DDFB" w14:textId="77777777" w:rsidR="00C533CF" w:rsidRPr="008C2F74" w:rsidRDefault="008C2F74">
      <w:pPr>
        <w:tabs>
          <w:tab w:val="left" w:pos="540"/>
        </w:tabs>
        <w:jc w:val="both"/>
        <w:rPr>
          <w:b/>
          <w:bCs/>
          <w:szCs w:val="22"/>
          <w:lang w:val="sr-Latn-RS"/>
        </w:rPr>
      </w:pPr>
      <w:r w:rsidRPr="008C2F74">
        <w:rPr>
          <w:b/>
          <w:bCs/>
          <w:szCs w:val="22"/>
          <w:lang w:val="sr-Latn-RS"/>
        </w:rPr>
        <w:t>4.5.</w:t>
      </w:r>
      <w:r w:rsidRPr="008C2F74">
        <w:rPr>
          <w:b/>
          <w:bCs/>
          <w:szCs w:val="22"/>
          <w:lang w:val="sr-Latn-RS"/>
        </w:rPr>
        <w:tab/>
        <w:t>Interakcije sa drugim ljekovima i druge vrste interakcija</w:t>
      </w:r>
    </w:p>
    <w:p w14:paraId="277EB0BD" w14:textId="77777777" w:rsidR="00C533CF" w:rsidRPr="008C2F74" w:rsidRDefault="00C533CF">
      <w:pPr>
        <w:tabs>
          <w:tab w:val="left" w:pos="540"/>
        </w:tabs>
        <w:jc w:val="both"/>
        <w:rPr>
          <w:bCs/>
          <w:szCs w:val="22"/>
          <w:lang w:val="sr-Latn-RS"/>
        </w:rPr>
      </w:pPr>
    </w:p>
    <w:p w14:paraId="424F123C" w14:textId="77777777" w:rsidR="00C533CF" w:rsidRPr="008C2F74" w:rsidRDefault="008C2F74">
      <w:pPr>
        <w:widowControl w:val="0"/>
        <w:autoSpaceDE w:val="0"/>
        <w:autoSpaceDN w:val="0"/>
        <w:adjustRightInd w:val="0"/>
        <w:spacing w:line="276" w:lineRule="auto"/>
        <w:jc w:val="both"/>
        <w:rPr>
          <w:b/>
          <w:szCs w:val="22"/>
          <w:u w:val="single"/>
          <w:lang w:val="sr-Latn-RS" w:eastAsia="sl-SI"/>
        </w:rPr>
      </w:pPr>
      <w:r w:rsidRPr="008C2F74">
        <w:rPr>
          <w:b/>
          <w:szCs w:val="22"/>
          <w:u w:val="single"/>
          <w:lang w:val="sr-Latn-RS" w:eastAsia="sl-SI"/>
        </w:rPr>
        <w:t>Losartan</w:t>
      </w:r>
    </w:p>
    <w:p w14:paraId="6E7B5DE3"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DCDC25B"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Zabilježeno je da rifampicin i flukonazol smanjuju nivo aktivnog metabolita. Klinički značaj ovih interakcija nije procijenjen.</w:t>
      </w:r>
    </w:p>
    <w:p w14:paraId="29A5DE53" w14:textId="77777777" w:rsidR="00C533CF" w:rsidRPr="008C2F74" w:rsidRDefault="00C533CF">
      <w:pPr>
        <w:widowControl w:val="0"/>
        <w:autoSpaceDE w:val="0"/>
        <w:autoSpaceDN w:val="0"/>
        <w:adjustRightInd w:val="0"/>
        <w:spacing w:line="276" w:lineRule="auto"/>
        <w:jc w:val="both"/>
        <w:rPr>
          <w:szCs w:val="22"/>
          <w:lang w:val="sr-Latn-RS" w:eastAsia="sl-SI"/>
        </w:rPr>
      </w:pPr>
    </w:p>
    <w:p w14:paraId="5B4ED1A5"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Kao i pri upotrebi drugih ljekova koji blokiraju angiotenzin II ili njegova dejstva, istovremena upotreba diuretika koji štede kalijum (npr. spironolaktona, triamterena, amilorida), zamjena kalijuma, zamjena za soli koje sadrže kalijum ili drugih ljekova koji mogu povećati nivo kalijuma u serumu (npr., ljekovi koji sadrže trimetoprim) može dovesti do porasta kalijuma u serumu. Istovremena primjena se ne preporučuje.</w:t>
      </w:r>
    </w:p>
    <w:p w14:paraId="79CD8952" w14:textId="77777777" w:rsidR="00C533CF" w:rsidRPr="008C2F74" w:rsidRDefault="00C533CF">
      <w:pPr>
        <w:widowControl w:val="0"/>
        <w:autoSpaceDE w:val="0"/>
        <w:autoSpaceDN w:val="0"/>
        <w:adjustRightInd w:val="0"/>
        <w:spacing w:line="276" w:lineRule="auto"/>
        <w:jc w:val="both"/>
        <w:rPr>
          <w:szCs w:val="22"/>
          <w:lang w:val="sr-Latn-RS" w:eastAsia="sl-SI"/>
        </w:rPr>
      </w:pPr>
    </w:p>
    <w:p w14:paraId="5D19FB95"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Kao i kod drugih ljekova koji utiču na izlučivanje natrijuma, izlučivanje litijuma može biti smanjeno. Stoga treba pažljivo pratiti nivo litijuma u serumu ukoliko se soli litijuma primjenjuju istovremeno s antagonistima receptora za angiotenzin II.</w:t>
      </w:r>
    </w:p>
    <w:p w14:paraId="48D57971"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0A0B69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Kada se antagonisti receptora za angiotenzin II primjenjuju istovremeno s nesteroidnim antiinflamatornim ljekovima (NSAIL; tj. selektivnim inhibitorima COX-2, acetilsalicilnom kiselinom u antiinflamatornim dozama) i neselektivnim NSAIL, može doći do smanjenja antihipertenzivnog dejstva. Istovremena upotreba antagonista receptora za angiotenzin II ili diuretika i NSAIL može dovesti do povećanog rizika od pogoršanja bubrežne funkcije, uključujući mogućnost akutne bubrežne insuficijencije te porasta kalijuma u serumu, posebno kod pacijenata s već prisutnom slabom funkcijom bubrega. Kombinaciju treba primjenjivati s oprezom, naročito kod starijih osoba. Pacijenti treba da budu adekvatno hidrirani te treba razmotriti praćenje bubrežne funkcije nakon uvođenja konkomitantne terapije, kao i periodično nakon toga.</w:t>
      </w:r>
    </w:p>
    <w:p w14:paraId="708AD20B"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8A8D97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Kod nekih pacijenata s kompromitovanom funkcijom bubrega koji su liječeni nesteroidnim antiinflamatornim ljekovima, uključujući selektivne inhibitore ciklooksigenaze-2, istovremena upotreba antagonista receptora za angiotenzin II može dovesti do daljeg pogoršanja bubrežne funkcije. Ovo dejstvo je uglavnom reverzibilno.</w:t>
      </w:r>
    </w:p>
    <w:p w14:paraId="20ACAD63"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B84770C"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 xml:space="preserve">Podaci iz kliničkih studija su pokazali da je dvostruka blokada RAAS prilikom istovremene primjene ACE inhibitora, antagonista receptora angiotenzina II ili aliskirena udružena sa većom učestalošću neželjenih dejstava kao što su hipotenzija, hiperkalijemija i smanjena bubrežna funkcija (uključujući akutnu bubrežnu insuficijenciju) u odnosu na pojedinačnu primjenu nekog lijeka koji djeluje na RAAS (vidjeti djelove 4.3., 4.4. i 5.1.). </w:t>
      </w:r>
    </w:p>
    <w:p w14:paraId="43D7D728"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A660487"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Druge supstance koje dovode do hipotenzije, poput tricikličkih antidepresiva, antipsihotika, baklofena, amifostina: istovremena upotreba ovih ljekova koji imaju za osnovno dejstvo ili neželjeno dejstvo, snižavanje krvnog pritiska, može povećati rizik od hipotenzije.</w:t>
      </w:r>
    </w:p>
    <w:p w14:paraId="46C89791" w14:textId="77777777" w:rsidR="00C533CF" w:rsidRPr="008C2F74" w:rsidRDefault="00C533CF" w:rsidP="00811A6B">
      <w:pPr>
        <w:widowControl w:val="0"/>
        <w:jc w:val="both"/>
        <w:rPr>
          <w:szCs w:val="22"/>
          <w:lang w:val="sr-Latn-RS"/>
        </w:rPr>
      </w:pPr>
    </w:p>
    <w:p w14:paraId="186B7E6E" w14:textId="77777777" w:rsidR="00C533CF" w:rsidRPr="008C2F74" w:rsidRDefault="008C2F74" w:rsidP="008C2F74">
      <w:pPr>
        <w:widowControl w:val="0"/>
        <w:jc w:val="both"/>
        <w:rPr>
          <w:szCs w:val="22"/>
          <w:lang w:val="sr-Latn-RS"/>
        </w:rPr>
      </w:pPr>
      <w:r w:rsidRPr="008C2F74">
        <w:rPr>
          <w:szCs w:val="22"/>
          <w:lang w:val="sr-Latn-RS"/>
        </w:rPr>
        <w:t>Sok od grejpfruta sadrži komponente koje inhibišu enzime CYP450 i mogu dovesti do smanjenja koncentracije aktivnih metabolita losartana, što umanjuje efekat terapije. Konzumiranje soka od grejpfruta treba izbjegavati u toku terapije tabletama losartan/hidrohlortiazid.</w:t>
      </w:r>
    </w:p>
    <w:p w14:paraId="6EDDF2E3" w14:textId="77777777" w:rsidR="00C533CF" w:rsidRPr="008C2F74" w:rsidRDefault="00C533CF">
      <w:pPr>
        <w:widowControl w:val="0"/>
        <w:spacing w:line="276" w:lineRule="auto"/>
        <w:jc w:val="both"/>
        <w:rPr>
          <w:szCs w:val="22"/>
          <w:lang w:val="sr-Latn-RS" w:eastAsia="sl-SI"/>
        </w:rPr>
      </w:pPr>
    </w:p>
    <w:p w14:paraId="53BBDFC1" w14:textId="77777777" w:rsidR="00C533CF" w:rsidRPr="008C2F74" w:rsidRDefault="008C2F74">
      <w:pPr>
        <w:widowControl w:val="0"/>
        <w:autoSpaceDE w:val="0"/>
        <w:autoSpaceDN w:val="0"/>
        <w:adjustRightInd w:val="0"/>
        <w:spacing w:line="276" w:lineRule="auto"/>
        <w:jc w:val="both"/>
        <w:rPr>
          <w:b/>
          <w:szCs w:val="22"/>
          <w:u w:val="single"/>
          <w:lang w:val="sr-Latn-RS" w:eastAsia="sl-SI"/>
        </w:rPr>
      </w:pPr>
      <w:r w:rsidRPr="008C2F74">
        <w:rPr>
          <w:b/>
          <w:szCs w:val="22"/>
          <w:u w:val="single"/>
          <w:lang w:val="sr-Latn-RS" w:eastAsia="sl-SI"/>
        </w:rPr>
        <w:t>Hidrohlortiazid</w:t>
      </w:r>
    </w:p>
    <w:p w14:paraId="6983E187"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36FDFE6"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Pri istovremenoj primjeni, sljedeći ljekovi mogu stupiti u interakciju s tiazidnim diureticima:</w:t>
      </w:r>
    </w:p>
    <w:p w14:paraId="75ED2496" w14:textId="77777777" w:rsidR="00C533CF" w:rsidRPr="008C2F74" w:rsidRDefault="00C533CF">
      <w:pPr>
        <w:widowControl w:val="0"/>
        <w:autoSpaceDE w:val="0"/>
        <w:autoSpaceDN w:val="0"/>
        <w:adjustRightInd w:val="0"/>
        <w:spacing w:line="276" w:lineRule="auto"/>
        <w:jc w:val="both"/>
        <w:rPr>
          <w:szCs w:val="22"/>
          <w:lang w:val="sr-Latn-RS" w:eastAsia="sl-SI"/>
        </w:rPr>
      </w:pPr>
    </w:p>
    <w:p w14:paraId="25A18AE0"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Alkohol, barbiturati, narkotici ili antidepresivi:</w:t>
      </w:r>
    </w:p>
    <w:p w14:paraId="41597AE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Može doći do potenciranja ortostatske hipotenzije.</w:t>
      </w:r>
    </w:p>
    <w:p w14:paraId="20CDE836"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6521ABD"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Antidijabetici (oralni hipoglikemici i insulin):</w:t>
      </w:r>
    </w:p>
    <w:p w14:paraId="66D88433"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Terapija tiazidom može uticati na toleranciju glukoze. Može biti potrebno prilagođavanje doze antidijabetika. Metformin treba oprezno koristiti zbog rizika od laktatne acidoze uzrokovane funkcionalnom insuficijencijom bubrega koja može biti povezana s hidrohlortiazidom.</w:t>
      </w:r>
    </w:p>
    <w:p w14:paraId="1B547391" w14:textId="77777777" w:rsidR="00C533CF" w:rsidRPr="008C2F74" w:rsidRDefault="00C533CF">
      <w:pPr>
        <w:widowControl w:val="0"/>
        <w:spacing w:line="276" w:lineRule="auto"/>
        <w:jc w:val="both"/>
        <w:rPr>
          <w:szCs w:val="22"/>
          <w:lang w:val="sr-Latn-RS" w:eastAsia="sl-SI"/>
        </w:rPr>
      </w:pPr>
    </w:p>
    <w:p w14:paraId="11E24FC1"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Ostali antihipertenzivni ljekovi</w:t>
      </w:r>
    </w:p>
    <w:p w14:paraId="321A5CEE" w14:textId="77777777" w:rsidR="00C533CF" w:rsidRPr="008C2F74" w:rsidRDefault="008C2F74">
      <w:pPr>
        <w:widowControl w:val="0"/>
        <w:spacing w:line="276" w:lineRule="auto"/>
        <w:jc w:val="both"/>
        <w:rPr>
          <w:szCs w:val="22"/>
          <w:lang w:val="sr-Latn-RS" w:eastAsia="sl-SI"/>
        </w:rPr>
      </w:pPr>
      <w:r w:rsidRPr="008C2F74">
        <w:rPr>
          <w:szCs w:val="22"/>
          <w:lang w:val="sr-Latn-RS" w:eastAsia="sl-SI"/>
        </w:rPr>
        <w:t>Aditivno dejstvo.</w:t>
      </w:r>
    </w:p>
    <w:p w14:paraId="386BEAAE" w14:textId="77777777" w:rsidR="00C533CF" w:rsidRPr="008C2F74" w:rsidRDefault="00C533CF">
      <w:pPr>
        <w:widowControl w:val="0"/>
        <w:spacing w:line="276" w:lineRule="auto"/>
        <w:jc w:val="both"/>
        <w:rPr>
          <w:szCs w:val="22"/>
          <w:lang w:val="sr-Latn-RS" w:eastAsia="sl-SI"/>
        </w:rPr>
      </w:pPr>
    </w:p>
    <w:p w14:paraId="1F16F559"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Holestiramin i smole holestipola:</w:t>
      </w:r>
    </w:p>
    <w:p w14:paraId="4ECF0C88"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Resorpcija hidrohlortiazida poremećena je u prisutnosti smola koje djeluju kao anjonski izmjenjivači. Pojedinačna doza holestiramina odnosno smola holestipola veže se za hidrohlortiazid i smanjuje njegovu resorpciju iz gastrointestinalnog trakta za 85 % odnosno 43 %.</w:t>
      </w:r>
    </w:p>
    <w:p w14:paraId="782095E5"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5235FE4"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Kortikosteroidi, ACTH</w:t>
      </w:r>
    </w:p>
    <w:p w14:paraId="09225E4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Pojačani gubitak elektrolita, pogotovo hipokalijemija.</w:t>
      </w:r>
    </w:p>
    <w:p w14:paraId="0688C42F"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7DAFD7D"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Kateholamini (npr. adrenalin)</w:t>
      </w:r>
    </w:p>
    <w:p w14:paraId="373B8A04"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Moguć je smanjeni odgovor na kateholamine, ali ne u tolikoj mjeri da bi se isključila njihova primjena.</w:t>
      </w:r>
    </w:p>
    <w:p w14:paraId="022A7A9F" w14:textId="77777777" w:rsidR="00C533CF" w:rsidRPr="008C2F74" w:rsidRDefault="00C533CF">
      <w:pPr>
        <w:widowControl w:val="0"/>
        <w:autoSpaceDE w:val="0"/>
        <w:autoSpaceDN w:val="0"/>
        <w:adjustRightInd w:val="0"/>
        <w:spacing w:line="276" w:lineRule="auto"/>
        <w:jc w:val="both"/>
        <w:rPr>
          <w:szCs w:val="22"/>
          <w:lang w:val="sr-Latn-RS" w:eastAsia="sl-SI"/>
        </w:rPr>
      </w:pPr>
    </w:p>
    <w:p w14:paraId="32AEDDF6"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Relaksansi skeletnih mišića, nedepolarizirajući (npr. tubokurarin)</w:t>
      </w:r>
    </w:p>
    <w:p w14:paraId="7985E2A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Moguć je pojačani odgovor na mišićni relaksans.</w:t>
      </w:r>
    </w:p>
    <w:p w14:paraId="20564CE3" w14:textId="77777777" w:rsidR="00C533CF" w:rsidRPr="008C2F74" w:rsidRDefault="00C533CF">
      <w:pPr>
        <w:widowControl w:val="0"/>
        <w:autoSpaceDE w:val="0"/>
        <w:autoSpaceDN w:val="0"/>
        <w:adjustRightInd w:val="0"/>
        <w:spacing w:line="276" w:lineRule="auto"/>
        <w:jc w:val="both"/>
        <w:rPr>
          <w:szCs w:val="22"/>
          <w:lang w:val="sr-Latn-RS" w:eastAsia="sl-SI"/>
        </w:rPr>
      </w:pPr>
    </w:p>
    <w:p w14:paraId="29D056F0"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Litijum</w:t>
      </w:r>
    </w:p>
    <w:p w14:paraId="38A4110D"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Diuretici smanjuju klirens litijuma u bubrezima te doprinose visokom riziku toksičnosti litijuma; ne preporučuje se istovremena upotreba.</w:t>
      </w:r>
    </w:p>
    <w:p w14:paraId="092EEDBA" w14:textId="77777777" w:rsidR="00C533CF" w:rsidRPr="008C2F74" w:rsidRDefault="00C533CF">
      <w:pPr>
        <w:widowControl w:val="0"/>
        <w:autoSpaceDE w:val="0"/>
        <w:autoSpaceDN w:val="0"/>
        <w:adjustRightInd w:val="0"/>
        <w:spacing w:line="276" w:lineRule="auto"/>
        <w:jc w:val="both"/>
        <w:rPr>
          <w:szCs w:val="22"/>
          <w:lang w:val="sr-Latn-RS" w:eastAsia="sl-SI"/>
        </w:rPr>
      </w:pPr>
    </w:p>
    <w:p w14:paraId="6862AF6A"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Ljekovi koji se koriste za liječenje gihta (probenecid, sulfinpirazon i alopurinol)</w:t>
      </w:r>
    </w:p>
    <w:p w14:paraId="2CF07437"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Može biti potrebno prilagođavanje doze urikozuričkih ljekova jer hidrohlortiazid može povisiti nivo mokraćne kiseline u serumu. Povećanje doze probenecida ili sulfinpirazona može biti neophodno. Istovremena upotreba tiazida može povećati pojavu reakcija preosjetljivosti na alopurinol.</w:t>
      </w:r>
    </w:p>
    <w:p w14:paraId="1FA71B61" w14:textId="77777777" w:rsidR="00C533CF" w:rsidRPr="008C2F74" w:rsidRDefault="00C533CF">
      <w:pPr>
        <w:widowControl w:val="0"/>
        <w:autoSpaceDE w:val="0"/>
        <w:autoSpaceDN w:val="0"/>
        <w:adjustRightInd w:val="0"/>
        <w:spacing w:line="276" w:lineRule="auto"/>
        <w:jc w:val="both"/>
        <w:rPr>
          <w:szCs w:val="22"/>
          <w:lang w:val="sr-Latn-RS" w:eastAsia="sl-SI"/>
        </w:rPr>
      </w:pPr>
    </w:p>
    <w:p w14:paraId="68D210F5"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Antiholinergici (npr. atropin, biperiden)</w:t>
      </w:r>
    </w:p>
    <w:p w14:paraId="5DE17419"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Povećanje bioraspoloživosti tiazidskih diuretika smanjenjem gastrointestinalnog motiliteta i brzine pražnjenja želuca.</w:t>
      </w:r>
    </w:p>
    <w:p w14:paraId="2D2FCEE8" w14:textId="77777777" w:rsidR="00C533CF" w:rsidRPr="008C2F74" w:rsidRDefault="00C533CF">
      <w:pPr>
        <w:widowControl w:val="0"/>
        <w:autoSpaceDE w:val="0"/>
        <w:autoSpaceDN w:val="0"/>
        <w:adjustRightInd w:val="0"/>
        <w:spacing w:line="276" w:lineRule="auto"/>
        <w:jc w:val="both"/>
        <w:rPr>
          <w:i/>
          <w:iCs/>
          <w:szCs w:val="22"/>
          <w:lang w:val="sr-Latn-RS" w:eastAsia="sl-SI"/>
        </w:rPr>
      </w:pPr>
    </w:p>
    <w:p w14:paraId="1E215C5F"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Citostatici (npr. ciklofosfamid, metotreksat)</w:t>
      </w:r>
    </w:p>
    <w:p w14:paraId="00E163E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Tiazidi mogu smanjiti bubrežno izlučivanje citotoksičnih ljekova i potencirati njihovo mijelosupresivno dejstvo.</w:t>
      </w:r>
    </w:p>
    <w:p w14:paraId="61C37CDF" w14:textId="77777777" w:rsidR="00C533CF" w:rsidRPr="008C2F74" w:rsidRDefault="00C533CF">
      <w:pPr>
        <w:widowControl w:val="0"/>
        <w:autoSpaceDE w:val="0"/>
        <w:autoSpaceDN w:val="0"/>
        <w:adjustRightInd w:val="0"/>
        <w:spacing w:line="276" w:lineRule="auto"/>
        <w:jc w:val="both"/>
        <w:rPr>
          <w:szCs w:val="22"/>
          <w:lang w:val="sr-Latn-RS" w:eastAsia="sl-SI"/>
        </w:rPr>
      </w:pPr>
    </w:p>
    <w:p w14:paraId="239A67EF"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Salicilati</w:t>
      </w:r>
    </w:p>
    <w:p w14:paraId="7591F07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U slučaju primjene visokih doza salicilata, hidrohlortiazid može pojačati toksično dejstvo salicilata na centralni nervni sistem.</w:t>
      </w:r>
    </w:p>
    <w:p w14:paraId="7AC42C92" w14:textId="77777777" w:rsidR="00C533CF" w:rsidRPr="008C2F74" w:rsidRDefault="00C533CF">
      <w:pPr>
        <w:widowControl w:val="0"/>
        <w:autoSpaceDE w:val="0"/>
        <w:autoSpaceDN w:val="0"/>
        <w:adjustRightInd w:val="0"/>
        <w:spacing w:line="276" w:lineRule="auto"/>
        <w:jc w:val="both"/>
        <w:rPr>
          <w:szCs w:val="22"/>
          <w:lang w:val="sr-Latn-RS" w:eastAsia="sl-SI"/>
        </w:rPr>
      </w:pPr>
    </w:p>
    <w:p w14:paraId="52EEE7BB"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Metildopa</w:t>
      </w:r>
    </w:p>
    <w:p w14:paraId="323CD32A"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Opisani su izolovani slučajevi hemolitičke anemije pri istovremenoj upotrebi hidrohlortiazida i metildope.</w:t>
      </w:r>
    </w:p>
    <w:p w14:paraId="627DD11E"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FCC4418"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Ciklosporin</w:t>
      </w:r>
    </w:p>
    <w:p w14:paraId="2A5CF82E"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Istovremeno liječenje ciklosporinom može povećati rizik hiperurikemije i komplikacija poput gihta.</w:t>
      </w:r>
    </w:p>
    <w:p w14:paraId="4BA9BDAC"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9DE5BD5"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Glikozidi digitalisa</w:t>
      </w:r>
    </w:p>
    <w:p w14:paraId="7275C6E1"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Hipokalijemija ili hipomagnezijemija uzrokovane tiazidima mogu pogodovati nastanku srčanih aritmija uzrokovanih digitalisom.</w:t>
      </w:r>
    </w:p>
    <w:p w14:paraId="2B5B910A" w14:textId="77777777" w:rsidR="00C533CF" w:rsidRPr="008C2F74" w:rsidRDefault="00C533CF">
      <w:pPr>
        <w:widowControl w:val="0"/>
        <w:autoSpaceDE w:val="0"/>
        <w:autoSpaceDN w:val="0"/>
        <w:adjustRightInd w:val="0"/>
        <w:spacing w:line="276" w:lineRule="auto"/>
        <w:jc w:val="both"/>
        <w:rPr>
          <w:szCs w:val="22"/>
          <w:lang w:val="sr-Latn-RS" w:eastAsia="sl-SI"/>
        </w:rPr>
      </w:pPr>
    </w:p>
    <w:p w14:paraId="72D7E44D"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Ljekovi na koje utiče poremećaj kalijuma u serumu</w:t>
      </w:r>
    </w:p>
    <w:p w14:paraId="5F5E5C9A"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 xml:space="preserve">Kada se losartan/hidrohlortiazid primjenjuje s ljekovima na koje utiču poremećaji kalijuma u serumu (npr. glikozidi digitalisa i antiaritmici) te niže navedenim ljekovima (uključujući neke antiaritmike) koji uzrokuju </w:t>
      </w:r>
      <w:r w:rsidRPr="008C2F74">
        <w:rPr>
          <w:i/>
          <w:szCs w:val="22"/>
          <w:lang w:val="sr-Latn-RS" w:eastAsia="sl-SI"/>
        </w:rPr>
        <w:t>torsades de pointes</w:t>
      </w:r>
      <w:r w:rsidRPr="008C2F74">
        <w:rPr>
          <w:szCs w:val="22"/>
          <w:lang w:val="sr-Latn-RS" w:eastAsia="sl-SI"/>
        </w:rPr>
        <w:t xml:space="preserve"> (ventrikularnu tahikardiju), s obzirom da je hipokalijemija predisponirajući faktor za </w:t>
      </w:r>
      <w:r w:rsidRPr="008C2F74">
        <w:rPr>
          <w:i/>
          <w:szCs w:val="22"/>
          <w:lang w:val="sr-Latn-RS" w:eastAsia="sl-SI"/>
        </w:rPr>
        <w:t>torsades de pointes</w:t>
      </w:r>
      <w:r w:rsidRPr="008C2F74">
        <w:rPr>
          <w:szCs w:val="22"/>
          <w:lang w:val="sr-Latn-RS" w:eastAsia="sl-SI"/>
        </w:rPr>
        <w:t xml:space="preserve"> (ventrikularnu tahikardiju), preporučuje se periodično praćenje kalijuma u serumu kao i EKG:</w:t>
      </w:r>
    </w:p>
    <w:p w14:paraId="421358E3" w14:textId="77777777" w:rsidR="00C533CF" w:rsidRPr="008C2F74" w:rsidRDefault="00C533CF">
      <w:pPr>
        <w:widowControl w:val="0"/>
        <w:autoSpaceDE w:val="0"/>
        <w:autoSpaceDN w:val="0"/>
        <w:adjustRightInd w:val="0"/>
        <w:spacing w:line="276" w:lineRule="auto"/>
        <w:jc w:val="both"/>
        <w:rPr>
          <w:szCs w:val="22"/>
          <w:lang w:val="sr-Latn-RS" w:eastAsia="sl-SI"/>
        </w:rPr>
      </w:pPr>
    </w:p>
    <w:p w14:paraId="7B45C73D" w14:textId="77777777" w:rsidR="00C533CF" w:rsidRPr="008C2F74" w:rsidRDefault="008C2F74">
      <w:pPr>
        <w:widowControl w:val="0"/>
        <w:numPr>
          <w:ilvl w:val="0"/>
          <w:numId w:val="40"/>
        </w:numPr>
        <w:tabs>
          <w:tab w:val="clear" w:pos="567"/>
        </w:tabs>
        <w:autoSpaceDE w:val="0"/>
        <w:autoSpaceDN w:val="0"/>
        <w:adjustRightInd w:val="0"/>
        <w:spacing w:line="276" w:lineRule="auto"/>
        <w:jc w:val="both"/>
        <w:rPr>
          <w:szCs w:val="22"/>
          <w:lang w:val="sr-Latn-RS" w:eastAsia="sl-SI"/>
        </w:rPr>
      </w:pPr>
      <w:r w:rsidRPr="008C2F74">
        <w:rPr>
          <w:szCs w:val="22"/>
          <w:lang w:val="sr-Latn-RS" w:eastAsia="sl-SI"/>
        </w:rPr>
        <w:t>Klasa Ia antiaritmika (npr. hinidin, hidrohinidin, disopiramid).</w:t>
      </w:r>
    </w:p>
    <w:p w14:paraId="3EF97A01" w14:textId="77777777" w:rsidR="00C533CF" w:rsidRPr="008C2F74" w:rsidRDefault="008C2F74">
      <w:pPr>
        <w:widowControl w:val="0"/>
        <w:numPr>
          <w:ilvl w:val="0"/>
          <w:numId w:val="40"/>
        </w:numPr>
        <w:tabs>
          <w:tab w:val="clear" w:pos="567"/>
        </w:tabs>
        <w:autoSpaceDE w:val="0"/>
        <w:autoSpaceDN w:val="0"/>
        <w:adjustRightInd w:val="0"/>
        <w:spacing w:line="276" w:lineRule="auto"/>
        <w:jc w:val="both"/>
        <w:rPr>
          <w:szCs w:val="22"/>
          <w:lang w:val="sr-Latn-RS" w:eastAsia="sl-SI"/>
        </w:rPr>
      </w:pPr>
      <w:r w:rsidRPr="008C2F74">
        <w:rPr>
          <w:szCs w:val="22"/>
          <w:lang w:val="sr-Latn-RS" w:eastAsia="sl-SI"/>
        </w:rPr>
        <w:t>Klasa III antiaritmika (npr. amiodaron, sotalol, dofetilid, ibutilid).</w:t>
      </w:r>
    </w:p>
    <w:p w14:paraId="03CA422C" w14:textId="77777777" w:rsidR="00C533CF" w:rsidRPr="008C2F74" w:rsidRDefault="008C2F74">
      <w:pPr>
        <w:widowControl w:val="0"/>
        <w:numPr>
          <w:ilvl w:val="0"/>
          <w:numId w:val="40"/>
        </w:numPr>
        <w:tabs>
          <w:tab w:val="clear" w:pos="567"/>
        </w:tabs>
        <w:autoSpaceDE w:val="0"/>
        <w:autoSpaceDN w:val="0"/>
        <w:adjustRightInd w:val="0"/>
        <w:spacing w:line="276" w:lineRule="auto"/>
        <w:jc w:val="both"/>
        <w:rPr>
          <w:szCs w:val="22"/>
          <w:lang w:val="sr-Latn-RS" w:eastAsia="sl-SI"/>
        </w:rPr>
      </w:pPr>
      <w:r w:rsidRPr="008C2F74">
        <w:rPr>
          <w:szCs w:val="22"/>
          <w:lang w:val="sr-Latn-RS" w:eastAsia="sl-SI"/>
        </w:rPr>
        <w:t>Neki antipsihotici (npr. tioridazin, hlorpromazin, levomepromazin, trifluoperazin, ciamemazin, sulpirid, sultoprid, amisulprid, tiaprid, pimozid, haloperidol, droperidol).</w:t>
      </w:r>
    </w:p>
    <w:p w14:paraId="0159423E" w14:textId="77777777" w:rsidR="00C533CF" w:rsidRPr="008C2F74" w:rsidRDefault="008C2F74">
      <w:pPr>
        <w:widowControl w:val="0"/>
        <w:numPr>
          <w:ilvl w:val="0"/>
          <w:numId w:val="40"/>
        </w:numPr>
        <w:tabs>
          <w:tab w:val="clear" w:pos="567"/>
        </w:tabs>
        <w:autoSpaceDE w:val="0"/>
        <w:autoSpaceDN w:val="0"/>
        <w:adjustRightInd w:val="0"/>
        <w:spacing w:line="276" w:lineRule="auto"/>
        <w:jc w:val="both"/>
        <w:rPr>
          <w:szCs w:val="22"/>
          <w:lang w:val="sr-Latn-RS" w:eastAsia="sl-SI"/>
        </w:rPr>
      </w:pPr>
      <w:r w:rsidRPr="008C2F74">
        <w:rPr>
          <w:szCs w:val="22"/>
          <w:lang w:val="sr-Latn-RS" w:eastAsia="sl-SI"/>
        </w:rPr>
        <w:t>Ostali (npr. bepridil, cisaprid, difemanil, eritromicin IV, halofantrin, mizolastin, pentamidin, terfenadin, vinkamin IV).</w:t>
      </w:r>
    </w:p>
    <w:p w14:paraId="584EF719" w14:textId="77777777" w:rsidR="00C533CF" w:rsidRPr="008C2F74" w:rsidRDefault="00C533CF">
      <w:pPr>
        <w:widowControl w:val="0"/>
        <w:tabs>
          <w:tab w:val="clear" w:pos="567"/>
        </w:tabs>
        <w:autoSpaceDE w:val="0"/>
        <w:autoSpaceDN w:val="0"/>
        <w:adjustRightInd w:val="0"/>
        <w:spacing w:line="276" w:lineRule="auto"/>
        <w:ind w:left="720"/>
        <w:jc w:val="both"/>
        <w:rPr>
          <w:szCs w:val="22"/>
          <w:lang w:val="sr-Latn-RS" w:eastAsia="sl-SI"/>
        </w:rPr>
      </w:pPr>
    </w:p>
    <w:p w14:paraId="686A6B39"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Kalcijumove soli</w:t>
      </w:r>
    </w:p>
    <w:p w14:paraId="55A059A6"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Tiazidni diuretici mogu povisiti nivoe kalcijuma u serumu zbog smanjenog izlučivanja. Ukoliko je potrebno propisati preparate kalcijuma, treba pratiti nivo kalcijuma u serumu te prema tome prilagoditi dozu kalcijuma.</w:t>
      </w:r>
    </w:p>
    <w:p w14:paraId="039C1D62"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71FF78B"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Interakcije s laboratorijskim testovima</w:t>
      </w:r>
    </w:p>
    <w:p w14:paraId="40685927"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Zbog svog dejstva na metabolizam kalcijuma, tiazidi mogu interferirati s testovima paratireoidne funkcije (vidjeti dio 4.4).</w:t>
      </w:r>
    </w:p>
    <w:p w14:paraId="7E30F5D8" w14:textId="77777777" w:rsidR="00C533CF" w:rsidRPr="008C2F74" w:rsidRDefault="00C533CF">
      <w:pPr>
        <w:widowControl w:val="0"/>
        <w:autoSpaceDE w:val="0"/>
        <w:autoSpaceDN w:val="0"/>
        <w:adjustRightInd w:val="0"/>
        <w:spacing w:line="276" w:lineRule="auto"/>
        <w:jc w:val="both"/>
        <w:rPr>
          <w:szCs w:val="22"/>
          <w:lang w:val="sr-Latn-RS" w:eastAsia="sl-SI"/>
        </w:rPr>
      </w:pPr>
    </w:p>
    <w:p w14:paraId="37546704"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Karbamazepin</w:t>
      </w:r>
    </w:p>
    <w:p w14:paraId="3C00CE8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Rizik simptomatske hiponatrijemije. Potrebno je kliničko i biohemijsko praćenje.</w:t>
      </w:r>
    </w:p>
    <w:p w14:paraId="06011015" w14:textId="77777777" w:rsidR="00C533CF" w:rsidRPr="008C2F74" w:rsidRDefault="00C533CF">
      <w:pPr>
        <w:widowControl w:val="0"/>
        <w:autoSpaceDE w:val="0"/>
        <w:autoSpaceDN w:val="0"/>
        <w:adjustRightInd w:val="0"/>
        <w:spacing w:line="276" w:lineRule="auto"/>
        <w:jc w:val="both"/>
        <w:rPr>
          <w:szCs w:val="22"/>
          <w:lang w:val="sr-Latn-RS" w:eastAsia="sl-SI"/>
        </w:rPr>
      </w:pPr>
    </w:p>
    <w:p w14:paraId="71D297B8"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Kontrastna sredstva na bazi joda</w:t>
      </w:r>
    </w:p>
    <w:p w14:paraId="3713607C"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U slučaju dehidracije uzrokovane diureticima, povećan je rizik akutne bubrežne insuficijencije, pogotovo s visokim dozama proizvoda koji sadrže jod.</w:t>
      </w:r>
    </w:p>
    <w:p w14:paraId="7D694B96"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Prije njihove primjene pacijente treba rehidrirati.</w:t>
      </w:r>
    </w:p>
    <w:p w14:paraId="4B85B1D4" w14:textId="77777777" w:rsidR="00C533CF" w:rsidRPr="008C2F74" w:rsidRDefault="00C533CF">
      <w:pPr>
        <w:widowControl w:val="0"/>
        <w:autoSpaceDE w:val="0"/>
        <w:autoSpaceDN w:val="0"/>
        <w:adjustRightInd w:val="0"/>
        <w:spacing w:line="276" w:lineRule="auto"/>
        <w:jc w:val="both"/>
        <w:rPr>
          <w:szCs w:val="22"/>
          <w:lang w:val="sr-Latn-RS" w:eastAsia="sl-SI"/>
        </w:rPr>
      </w:pPr>
    </w:p>
    <w:p w14:paraId="6303E110"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Amfotericin B (parenteralni), kortikosteroidi, ACTH, stimulativni laksativi ili glicirizin</w:t>
      </w:r>
    </w:p>
    <w:p w14:paraId="1986803A" w14:textId="0FBC73EA"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Hidrohlortiazid može pojačati neravnotežu elektrolita, posebno hipokalijemiju.</w:t>
      </w:r>
    </w:p>
    <w:p w14:paraId="57F1EA64" w14:textId="77777777" w:rsidR="00C533CF" w:rsidRPr="008C2F74" w:rsidRDefault="008C2F74">
      <w:pPr>
        <w:tabs>
          <w:tab w:val="left" w:pos="540"/>
        </w:tabs>
        <w:jc w:val="both"/>
        <w:rPr>
          <w:b/>
          <w:szCs w:val="22"/>
          <w:lang w:val="sr-Latn-RS"/>
        </w:rPr>
      </w:pPr>
      <w:r w:rsidRPr="008C2F74">
        <w:rPr>
          <w:b/>
          <w:bCs/>
          <w:szCs w:val="22"/>
          <w:lang w:val="sr-Latn-RS"/>
        </w:rPr>
        <w:lastRenderedPageBreak/>
        <w:t xml:space="preserve">4.6. </w:t>
      </w:r>
      <w:r w:rsidRPr="008C2F74">
        <w:rPr>
          <w:b/>
          <w:bCs/>
          <w:szCs w:val="22"/>
          <w:lang w:val="sr-Latn-RS"/>
        </w:rPr>
        <w:tab/>
      </w:r>
      <w:r w:rsidRPr="008C2F74">
        <w:rPr>
          <w:b/>
          <w:szCs w:val="22"/>
          <w:lang w:val="sr-Latn-RS"/>
        </w:rPr>
        <w:t>Plodnost, trudnoća i dojenje</w:t>
      </w:r>
    </w:p>
    <w:p w14:paraId="76B9D671" w14:textId="77777777" w:rsidR="00C533CF" w:rsidRPr="008C2F74" w:rsidRDefault="00C533CF">
      <w:pPr>
        <w:tabs>
          <w:tab w:val="left" w:pos="540"/>
        </w:tabs>
        <w:jc w:val="both"/>
        <w:rPr>
          <w:szCs w:val="22"/>
          <w:u w:val="single"/>
          <w:lang w:val="sr-Latn-RS"/>
        </w:rPr>
      </w:pPr>
    </w:p>
    <w:p w14:paraId="52649E44" w14:textId="77777777" w:rsidR="00C533CF" w:rsidRPr="008C2F74" w:rsidRDefault="008C2F74">
      <w:pPr>
        <w:tabs>
          <w:tab w:val="left" w:pos="540"/>
        </w:tabs>
        <w:ind w:left="540" w:hanging="540"/>
        <w:jc w:val="both"/>
        <w:rPr>
          <w:iCs/>
          <w:szCs w:val="22"/>
          <w:u w:val="single"/>
          <w:lang w:val="sr-Latn-RS"/>
        </w:rPr>
      </w:pPr>
      <w:r w:rsidRPr="008C2F74">
        <w:rPr>
          <w:iCs/>
          <w:szCs w:val="22"/>
          <w:u w:val="single"/>
          <w:lang w:val="sr-Latn-RS"/>
        </w:rPr>
        <w:t>Trudnoća</w:t>
      </w:r>
    </w:p>
    <w:p w14:paraId="79188239" w14:textId="77777777" w:rsidR="00C533CF" w:rsidRPr="008C2F74" w:rsidRDefault="00C533CF">
      <w:pPr>
        <w:tabs>
          <w:tab w:val="left" w:pos="540"/>
        </w:tabs>
        <w:ind w:left="540" w:hanging="540"/>
        <w:jc w:val="both"/>
        <w:rPr>
          <w:i/>
          <w:iCs/>
          <w:szCs w:val="22"/>
          <w:u w:val="single"/>
          <w:lang w:val="sr-Latn-RS"/>
        </w:rPr>
      </w:pPr>
    </w:p>
    <w:p w14:paraId="3C48B7A6" w14:textId="77777777" w:rsidR="00C533CF" w:rsidRPr="008C2F74" w:rsidRDefault="008C2F74">
      <w:pPr>
        <w:tabs>
          <w:tab w:val="left" w:pos="540"/>
        </w:tabs>
        <w:ind w:left="540" w:hanging="540"/>
        <w:jc w:val="both"/>
        <w:rPr>
          <w:szCs w:val="22"/>
          <w:u w:val="single"/>
          <w:lang w:val="sr-Latn-RS"/>
        </w:rPr>
      </w:pPr>
      <w:r w:rsidRPr="008C2F74">
        <w:rPr>
          <w:i/>
          <w:iCs/>
          <w:szCs w:val="22"/>
          <w:u w:val="single"/>
          <w:lang w:val="sr-Latn-RS"/>
        </w:rPr>
        <w:t>Antagonisti receptora za angiotenzin II</w:t>
      </w:r>
      <w:r w:rsidRPr="008C2F74">
        <w:rPr>
          <w:szCs w:val="22"/>
          <w:u w:val="single"/>
          <w:lang w:val="sr-Latn-RS"/>
        </w:rPr>
        <w:t>:</w:t>
      </w:r>
    </w:p>
    <w:p w14:paraId="4CBA275B" w14:textId="77777777" w:rsidR="00C533CF" w:rsidRPr="008C2F74" w:rsidRDefault="008C2F74">
      <w:pPr>
        <w:tabs>
          <w:tab w:val="left" w:pos="0"/>
        </w:tabs>
        <w:jc w:val="both"/>
        <w:rPr>
          <w:szCs w:val="22"/>
          <w:lang w:val="sr-Latn-RS"/>
        </w:rPr>
      </w:pPr>
      <w:r w:rsidRPr="008C2F74">
        <w:rPr>
          <w:szCs w:val="22"/>
          <w:lang w:val="sr-Latn-RS"/>
        </w:rPr>
        <w:t>Upotreba antagonista receptora za angiotenzin II ne preporučuje se tokom prvog tromjesečja trudnoće (vidjeti dio 4.4). Upotreba antagonista receptora za angiotenzin II kontraindikovana je tokom drugog i trećeg tromjesečja trudnoće (vidjeti dio 4.3 i 4.4).</w:t>
      </w:r>
    </w:p>
    <w:p w14:paraId="1C84B5E9" w14:textId="77777777" w:rsidR="00C533CF" w:rsidRPr="008C2F74" w:rsidRDefault="00C533CF">
      <w:pPr>
        <w:tabs>
          <w:tab w:val="left" w:pos="540"/>
        </w:tabs>
        <w:ind w:left="540" w:hanging="540"/>
        <w:jc w:val="both"/>
        <w:rPr>
          <w:szCs w:val="22"/>
          <w:lang w:val="sr-Latn-RS"/>
        </w:rPr>
      </w:pPr>
    </w:p>
    <w:p w14:paraId="2A437C0B" w14:textId="77777777" w:rsidR="00C533CF" w:rsidRPr="008C2F74" w:rsidRDefault="008C2F74">
      <w:pPr>
        <w:tabs>
          <w:tab w:val="left" w:pos="0"/>
        </w:tabs>
        <w:jc w:val="both"/>
        <w:rPr>
          <w:szCs w:val="22"/>
          <w:lang w:val="sr-Latn-RS"/>
        </w:rPr>
      </w:pPr>
      <w:r w:rsidRPr="008C2F74">
        <w:rPr>
          <w:szCs w:val="22"/>
          <w:lang w:val="sr-Latn-RS"/>
        </w:rPr>
        <w:t>Epidemiološki podaci nijesu donijeli konačne dokaze u pogledu rizika teratogenosti nakon izlaganja</w:t>
      </w:r>
      <w:r w:rsidRPr="008C2F74">
        <w:rPr>
          <w:szCs w:val="22"/>
          <w:u w:val="single"/>
          <w:lang w:val="sr-Latn-RS"/>
        </w:rPr>
        <w:t xml:space="preserve"> </w:t>
      </w:r>
      <w:r w:rsidRPr="008C2F74">
        <w:rPr>
          <w:szCs w:val="22"/>
          <w:lang w:val="sr-Latn-RS"/>
        </w:rPr>
        <w:t>ACE inhibitorima tokom prvog tromjesečja trudnoće; međutim, ne može se isključiti mali porast rizika. Iako ne postoje kontrolisani epidemiološki podaci o riziku povezanom s inhibitorima receptora za angiotenzin II, sličan rizik može postojati za ovu grupu ljekova. Ukoliko se nastavak liječenja inhibitorom receptora za angiotenzin II ne smatra neophodnim, pacijentkinje koje planiraju trudnoću treba prebaciti na alternativnu antihipertenzivnu terapiju koja se pokazala bezbjednom za primjenu u trudnoći. Kada se postavi dijagnoza trudnoće, terapiju inhibitorom receptora za angiotenzin II treba smjesta prekinuti te, ukoliko je potrebno, uvesti alternativnu terapiju.</w:t>
      </w:r>
    </w:p>
    <w:p w14:paraId="79FA8803" w14:textId="77777777" w:rsidR="00C533CF" w:rsidRPr="008C2F74" w:rsidRDefault="00C533CF">
      <w:pPr>
        <w:tabs>
          <w:tab w:val="left" w:pos="540"/>
        </w:tabs>
        <w:ind w:left="540" w:hanging="540"/>
        <w:jc w:val="both"/>
        <w:rPr>
          <w:szCs w:val="22"/>
          <w:lang w:val="sr-Latn-RS"/>
        </w:rPr>
      </w:pPr>
    </w:p>
    <w:p w14:paraId="1B40C903" w14:textId="77777777" w:rsidR="00C533CF" w:rsidRPr="008C2F74" w:rsidRDefault="008C2F74">
      <w:pPr>
        <w:tabs>
          <w:tab w:val="left" w:pos="0"/>
        </w:tabs>
        <w:jc w:val="both"/>
        <w:rPr>
          <w:szCs w:val="22"/>
          <w:lang w:val="sr-Latn-RS"/>
        </w:rPr>
      </w:pPr>
      <w:r w:rsidRPr="008C2F74">
        <w:rPr>
          <w:szCs w:val="22"/>
          <w:lang w:val="sr-Latn-RS"/>
        </w:rPr>
        <w:t>Poznato je da izloženost žena terapiji inhibitorima receptora za angiotenzin II tokom drugog i trećeg tromjesečja dovodi do fetotoksičnosti (smanjene bubrežne funkcije, oligohidramniona, usporenog okoštavanja lobanje) te neonatalne toksičnosti (insuficijencije bubrega, hipotenzije, hiperkalijemije) (vidjeti dio 5.3.).</w:t>
      </w:r>
    </w:p>
    <w:p w14:paraId="1F6C3D8D" w14:textId="77777777" w:rsidR="00C533CF" w:rsidRPr="008C2F74" w:rsidRDefault="00C533CF">
      <w:pPr>
        <w:tabs>
          <w:tab w:val="left" w:pos="540"/>
        </w:tabs>
        <w:ind w:left="540" w:hanging="540"/>
        <w:jc w:val="both"/>
        <w:rPr>
          <w:szCs w:val="22"/>
          <w:lang w:val="sr-Latn-RS"/>
        </w:rPr>
      </w:pPr>
    </w:p>
    <w:p w14:paraId="16820C50" w14:textId="77777777" w:rsidR="00C533CF" w:rsidRPr="008C2F74" w:rsidRDefault="008C2F74">
      <w:pPr>
        <w:tabs>
          <w:tab w:val="left" w:pos="0"/>
        </w:tabs>
        <w:jc w:val="both"/>
        <w:rPr>
          <w:szCs w:val="22"/>
          <w:lang w:val="sr-Latn-RS"/>
        </w:rPr>
      </w:pPr>
      <w:r w:rsidRPr="008C2F74">
        <w:rPr>
          <w:szCs w:val="22"/>
          <w:lang w:val="sr-Latn-RS"/>
        </w:rPr>
        <w:t>Ukoliko je došlo do izloženosti inhibitorima receptora za angiotenzin II od drugog tromjesečja trudnoće, preporučuje se ultrazvučna provjera bubrežne funkcije i lobanje.</w:t>
      </w:r>
    </w:p>
    <w:p w14:paraId="161F147C" w14:textId="77777777" w:rsidR="00C533CF" w:rsidRPr="008C2F74" w:rsidRDefault="008C2F74">
      <w:pPr>
        <w:tabs>
          <w:tab w:val="left" w:pos="0"/>
        </w:tabs>
        <w:jc w:val="both"/>
        <w:rPr>
          <w:szCs w:val="22"/>
          <w:lang w:val="sr-Latn-RS"/>
        </w:rPr>
      </w:pPr>
      <w:r w:rsidRPr="008C2F74">
        <w:rPr>
          <w:szCs w:val="22"/>
          <w:lang w:val="sr-Latn-RS"/>
        </w:rPr>
        <w:t>Odojčad čije su majke primale inhibitore receptora za angiotenzin II treba pažljivo pratiti zbog hipotenzije (vidjeti djelove 4.3 i 4.4).</w:t>
      </w:r>
    </w:p>
    <w:p w14:paraId="41618E19" w14:textId="77777777" w:rsidR="00C533CF" w:rsidRPr="008C2F74" w:rsidRDefault="00C533CF">
      <w:pPr>
        <w:tabs>
          <w:tab w:val="left" w:pos="540"/>
        </w:tabs>
        <w:ind w:left="540" w:hanging="540"/>
        <w:jc w:val="both"/>
        <w:rPr>
          <w:szCs w:val="22"/>
          <w:u w:val="single"/>
          <w:lang w:val="sr-Latn-RS"/>
        </w:rPr>
      </w:pPr>
    </w:p>
    <w:p w14:paraId="56951FA2" w14:textId="77777777" w:rsidR="00C533CF" w:rsidRPr="008C2F74" w:rsidRDefault="008C2F74">
      <w:pPr>
        <w:tabs>
          <w:tab w:val="left" w:pos="540"/>
        </w:tabs>
        <w:ind w:left="540" w:hanging="540"/>
        <w:jc w:val="both"/>
        <w:rPr>
          <w:szCs w:val="22"/>
          <w:u w:val="single"/>
          <w:lang w:val="sr-Latn-RS"/>
        </w:rPr>
      </w:pPr>
      <w:r w:rsidRPr="008C2F74">
        <w:rPr>
          <w:i/>
          <w:szCs w:val="22"/>
          <w:u w:val="single"/>
          <w:lang w:val="sr-Latn-RS"/>
        </w:rPr>
        <w:t>Hidrohlortiazid:</w:t>
      </w:r>
    </w:p>
    <w:p w14:paraId="31EB7FCA" w14:textId="77777777" w:rsidR="00C533CF" w:rsidRPr="008C2F74" w:rsidRDefault="008C2F74">
      <w:pPr>
        <w:tabs>
          <w:tab w:val="left" w:pos="0"/>
        </w:tabs>
        <w:jc w:val="both"/>
        <w:rPr>
          <w:szCs w:val="22"/>
          <w:lang w:val="sr-Latn-RS"/>
        </w:rPr>
      </w:pPr>
      <w:r w:rsidRPr="008C2F74">
        <w:rPr>
          <w:szCs w:val="22"/>
          <w:lang w:val="sr-Latn-RS"/>
        </w:rPr>
        <w:t xml:space="preserve">Iskustvo s upotrebom hidrohlortiazida tokom trudnoće je ograničeno, naročito tokom prvog tromjesečja. Studije na životinjama nijesu dovoljne. </w:t>
      </w:r>
    </w:p>
    <w:p w14:paraId="32923E7A" w14:textId="77777777" w:rsidR="00C533CF" w:rsidRPr="008C2F74" w:rsidRDefault="00C533CF">
      <w:pPr>
        <w:tabs>
          <w:tab w:val="left" w:pos="0"/>
        </w:tabs>
        <w:jc w:val="both"/>
        <w:rPr>
          <w:szCs w:val="22"/>
          <w:lang w:val="sr-Latn-RS"/>
        </w:rPr>
      </w:pPr>
    </w:p>
    <w:p w14:paraId="2F739CD9" w14:textId="77777777" w:rsidR="00C533CF" w:rsidRPr="008C2F74" w:rsidRDefault="008C2F74">
      <w:pPr>
        <w:tabs>
          <w:tab w:val="left" w:pos="0"/>
        </w:tabs>
        <w:jc w:val="both"/>
        <w:rPr>
          <w:szCs w:val="22"/>
          <w:lang w:val="sr-Latn-RS"/>
        </w:rPr>
      </w:pPr>
      <w:r w:rsidRPr="008C2F74">
        <w:rPr>
          <w:szCs w:val="22"/>
          <w:lang w:val="sr-Latn-RS"/>
        </w:rPr>
        <w:t>Hidrohlortiazid prolazi kroz placentu. Na osnovu farmakološkog mehanizma djelovanja hidrohlortiazida, njegova upotreba tokom drugog i trećeg tromjesečja mogla bi kompromitovati fetoplacentalnu perfuziju i dovesti do fetalnih i neonatalnih dejstava poput ikterusa, poremećaja ravnoteže elektrolita i trombocitopenije.</w:t>
      </w:r>
    </w:p>
    <w:p w14:paraId="0154F219" w14:textId="77777777" w:rsidR="00C533CF" w:rsidRPr="008C2F74" w:rsidRDefault="00C533CF">
      <w:pPr>
        <w:tabs>
          <w:tab w:val="left" w:pos="0"/>
        </w:tabs>
        <w:jc w:val="both"/>
        <w:rPr>
          <w:szCs w:val="22"/>
          <w:lang w:val="sr-Latn-RS"/>
        </w:rPr>
      </w:pPr>
    </w:p>
    <w:p w14:paraId="32D86494" w14:textId="77777777" w:rsidR="00C533CF" w:rsidRPr="008C2F74" w:rsidRDefault="008C2F74">
      <w:pPr>
        <w:tabs>
          <w:tab w:val="left" w:pos="0"/>
        </w:tabs>
        <w:jc w:val="both"/>
        <w:rPr>
          <w:szCs w:val="22"/>
          <w:lang w:val="sr-Latn-RS"/>
        </w:rPr>
      </w:pPr>
      <w:r w:rsidRPr="008C2F74">
        <w:rPr>
          <w:szCs w:val="22"/>
          <w:lang w:val="sr-Latn-RS"/>
        </w:rPr>
        <w:t>Hidrohlortiazid se ne smije koristiti za edeme u trudnoći, hipertenziju u trudnoći ili preeklampsiju, zbog rizika od smanjenog volumena plazme i placentarne hipoperfuzije, bez efikasnog dejstva na tok bolesti.</w:t>
      </w:r>
    </w:p>
    <w:p w14:paraId="32973DC9" w14:textId="77777777" w:rsidR="00C533CF" w:rsidRPr="008C2F74" w:rsidRDefault="00C533CF">
      <w:pPr>
        <w:tabs>
          <w:tab w:val="left" w:pos="0"/>
        </w:tabs>
        <w:jc w:val="both"/>
        <w:rPr>
          <w:szCs w:val="22"/>
          <w:lang w:val="sr-Latn-RS"/>
        </w:rPr>
      </w:pPr>
    </w:p>
    <w:p w14:paraId="6F2A19F3" w14:textId="77777777" w:rsidR="00C533CF" w:rsidRPr="008C2F74" w:rsidRDefault="008C2F74">
      <w:pPr>
        <w:tabs>
          <w:tab w:val="left" w:pos="0"/>
        </w:tabs>
        <w:jc w:val="both"/>
        <w:rPr>
          <w:iCs/>
          <w:szCs w:val="22"/>
          <w:lang w:val="sr-Latn-RS"/>
        </w:rPr>
      </w:pPr>
      <w:r w:rsidRPr="008C2F74">
        <w:rPr>
          <w:szCs w:val="22"/>
          <w:lang w:val="sr-Latn-RS"/>
        </w:rPr>
        <w:t>Hidrohlortiazid se ne smije koristiti za liječenje esencijalne hipertenzije kod trudnica, osim u rijetkim slučajevima kad se nijedno drugo liječenje ne može primijeniti.</w:t>
      </w:r>
    </w:p>
    <w:p w14:paraId="3D32843D" w14:textId="77777777" w:rsidR="00C533CF" w:rsidRPr="008C2F74" w:rsidRDefault="00C533CF">
      <w:pPr>
        <w:tabs>
          <w:tab w:val="left" w:pos="540"/>
        </w:tabs>
        <w:ind w:left="540" w:hanging="540"/>
        <w:jc w:val="both"/>
        <w:rPr>
          <w:szCs w:val="22"/>
          <w:u w:val="single"/>
          <w:lang w:val="sr-Latn-RS"/>
        </w:rPr>
      </w:pPr>
    </w:p>
    <w:p w14:paraId="5607EB41" w14:textId="77777777" w:rsidR="00C533CF" w:rsidRPr="008C2F74" w:rsidRDefault="008C2F74">
      <w:pPr>
        <w:tabs>
          <w:tab w:val="left" w:pos="540"/>
        </w:tabs>
        <w:ind w:left="540" w:hanging="540"/>
        <w:jc w:val="both"/>
        <w:rPr>
          <w:szCs w:val="22"/>
          <w:u w:val="single"/>
          <w:lang w:val="sr-Latn-RS"/>
        </w:rPr>
      </w:pPr>
      <w:r w:rsidRPr="008C2F74">
        <w:rPr>
          <w:szCs w:val="22"/>
          <w:u w:val="single"/>
          <w:lang w:val="sr-Latn-RS"/>
        </w:rPr>
        <w:t>Dojenje</w:t>
      </w:r>
    </w:p>
    <w:p w14:paraId="08D90751" w14:textId="77777777" w:rsidR="00C533CF" w:rsidRPr="008C2F74" w:rsidRDefault="00C533CF">
      <w:pPr>
        <w:tabs>
          <w:tab w:val="left" w:pos="540"/>
        </w:tabs>
        <w:ind w:left="540" w:hanging="540"/>
        <w:jc w:val="both"/>
        <w:rPr>
          <w:szCs w:val="22"/>
          <w:u w:val="single"/>
          <w:lang w:val="sr-Latn-RS"/>
        </w:rPr>
      </w:pPr>
    </w:p>
    <w:p w14:paraId="08FA54B8" w14:textId="77777777" w:rsidR="00C533CF" w:rsidRPr="008C2F74" w:rsidRDefault="008C2F74">
      <w:pPr>
        <w:tabs>
          <w:tab w:val="left" w:pos="540"/>
        </w:tabs>
        <w:ind w:left="540" w:hanging="540"/>
        <w:jc w:val="both"/>
        <w:rPr>
          <w:szCs w:val="22"/>
          <w:u w:val="single"/>
          <w:lang w:val="sr-Latn-RS"/>
        </w:rPr>
      </w:pPr>
      <w:r w:rsidRPr="008C2F74">
        <w:rPr>
          <w:i/>
          <w:iCs/>
          <w:szCs w:val="22"/>
          <w:u w:val="single"/>
          <w:lang w:val="sr-Latn-RS"/>
        </w:rPr>
        <w:t>Antagonisti receptora za angiotenzin II:</w:t>
      </w:r>
    </w:p>
    <w:p w14:paraId="0690C35B" w14:textId="77777777" w:rsidR="00C533CF" w:rsidRPr="008C2F74" w:rsidRDefault="008C2F74">
      <w:pPr>
        <w:tabs>
          <w:tab w:val="left" w:pos="0"/>
        </w:tabs>
        <w:jc w:val="both"/>
        <w:rPr>
          <w:szCs w:val="22"/>
          <w:lang w:val="sr-Latn-RS"/>
        </w:rPr>
      </w:pPr>
      <w:r w:rsidRPr="008C2F74">
        <w:rPr>
          <w:szCs w:val="22"/>
          <w:lang w:val="sr-Latn-RS"/>
        </w:rPr>
        <w:t>Kako nema podataka o primjeni lijeka Lorista H tokom dojenja, njegova primjena se ne preporučuje, te treba preferirati alternativne oblike liječenja sa bolje utvrđenim bezbjednosnim profilom tokom dojenja, naročito tokom dojenja novorođenčeta ili prijevremeno rođenog odojčeta.</w:t>
      </w:r>
    </w:p>
    <w:p w14:paraId="7AA3297C" w14:textId="77777777" w:rsidR="00C533CF" w:rsidRPr="008C2F74" w:rsidRDefault="00C533CF">
      <w:pPr>
        <w:tabs>
          <w:tab w:val="left" w:pos="540"/>
        </w:tabs>
        <w:ind w:left="540" w:hanging="540"/>
        <w:jc w:val="both"/>
        <w:rPr>
          <w:szCs w:val="22"/>
          <w:u w:val="single"/>
          <w:lang w:val="sr-Latn-RS"/>
        </w:rPr>
      </w:pPr>
    </w:p>
    <w:p w14:paraId="607B796C" w14:textId="77777777" w:rsidR="00C533CF" w:rsidRPr="008C2F74" w:rsidRDefault="008C2F74">
      <w:pPr>
        <w:tabs>
          <w:tab w:val="left" w:pos="540"/>
        </w:tabs>
        <w:ind w:left="540" w:hanging="540"/>
        <w:jc w:val="both"/>
        <w:rPr>
          <w:i/>
          <w:szCs w:val="22"/>
          <w:u w:val="single"/>
          <w:lang w:val="sr-Latn-RS"/>
        </w:rPr>
      </w:pPr>
      <w:r w:rsidRPr="008C2F74">
        <w:rPr>
          <w:i/>
          <w:szCs w:val="22"/>
          <w:u w:val="single"/>
          <w:lang w:val="sr-Latn-RS"/>
        </w:rPr>
        <w:t>Hidrohlortiazid:</w:t>
      </w:r>
    </w:p>
    <w:p w14:paraId="78C23C53" w14:textId="4BB78BB5" w:rsidR="00C533CF" w:rsidRPr="008C2F74" w:rsidRDefault="008C2F74" w:rsidP="00811A6B">
      <w:pPr>
        <w:tabs>
          <w:tab w:val="left" w:pos="0"/>
        </w:tabs>
        <w:jc w:val="both"/>
        <w:rPr>
          <w:b/>
          <w:bCs/>
          <w:szCs w:val="22"/>
          <w:lang w:val="sr-Latn-RS"/>
        </w:rPr>
      </w:pPr>
      <w:r w:rsidRPr="008C2F74">
        <w:rPr>
          <w:szCs w:val="22"/>
          <w:lang w:val="sr-Latn-RS"/>
        </w:rPr>
        <w:t>Hidrohlortiazid se u maloj količini izlučuje u majčino mlijeko. Tiazidi u visokim dozama koje uzrokuju jaku diurezu mogu inhibisati proizvodnju mlijeka. Ne preporučuje se upotreba lijeka Lorista H tokom dojenja. Ukoliko se lijek Lorista H koristi tokom dojenja, treba primijeniti najmanju moguću dozu koja ispoljava terapijski efekat.</w:t>
      </w:r>
    </w:p>
    <w:p w14:paraId="4E912CC5" w14:textId="77777777" w:rsidR="00C533CF" w:rsidRPr="008C2F74" w:rsidRDefault="008C2F74">
      <w:pPr>
        <w:tabs>
          <w:tab w:val="left" w:pos="540"/>
        </w:tabs>
        <w:ind w:left="540" w:hanging="540"/>
        <w:jc w:val="both"/>
        <w:rPr>
          <w:b/>
          <w:bCs/>
          <w:szCs w:val="22"/>
          <w:lang w:val="sr-Latn-RS"/>
        </w:rPr>
      </w:pPr>
      <w:r w:rsidRPr="008C2F74">
        <w:rPr>
          <w:b/>
          <w:bCs/>
          <w:szCs w:val="22"/>
          <w:lang w:val="sr-Latn-RS"/>
        </w:rPr>
        <w:lastRenderedPageBreak/>
        <w:t xml:space="preserve">4.7. </w:t>
      </w:r>
      <w:r w:rsidRPr="008C2F74">
        <w:rPr>
          <w:b/>
          <w:bCs/>
          <w:szCs w:val="22"/>
          <w:lang w:val="sr-Latn-RS"/>
        </w:rPr>
        <w:tab/>
        <w:t>Uticaj na sposobnost upravljanja vozilima i rukovanje mašinama</w:t>
      </w:r>
    </w:p>
    <w:p w14:paraId="326F5BB5" w14:textId="77777777" w:rsidR="00C533CF" w:rsidRPr="008C2F74" w:rsidRDefault="00C533CF">
      <w:pPr>
        <w:tabs>
          <w:tab w:val="left" w:pos="540"/>
        </w:tabs>
        <w:jc w:val="both"/>
        <w:rPr>
          <w:b/>
          <w:bCs/>
          <w:szCs w:val="22"/>
          <w:lang w:val="sr-Latn-RS"/>
        </w:rPr>
      </w:pPr>
    </w:p>
    <w:p w14:paraId="751DF5EF"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Nijesu sprovedene studije o dejstvu na sposobnost upravljanja vozilima i rada na mašinama.</w:t>
      </w:r>
    </w:p>
    <w:p w14:paraId="1970C118" w14:textId="77777777" w:rsidR="00C533CF" w:rsidRPr="008C2F74" w:rsidRDefault="008C2F74">
      <w:pPr>
        <w:widowControl w:val="0"/>
        <w:autoSpaceDE w:val="0"/>
        <w:autoSpaceDN w:val="0"/>
        <w:adjustRightInd w:val="0"/>
        <w:spacing w:line="276" w:lineRule="auto"/>
        <w:jc w:val="both"/>
        <w:rPr>
          <w:szCs w:val="22"/>
          <w:lang w:val="sr-Latn-RS"/>
        </w:rPr>
      </w:pPr>
      <w:r w:rsidRPr="008C2F74">
        <w:rPr>
          <w:szCs w:val="22"/>
          <w:lang w:val="sr-Latn-RS"/>
        </w:rPr>
        <w:t>Međutim, prilikom vožnje ili rada na mašinama mora se imati na umu da tokom antihipertenzivne terapije može ponekad doći do vrtoglavice ili pospanosti, pogotovo na početku liječenja ili prilikom povećanja doze.</w:t>
      </w:r>
    </w:p>
    <w:p w14:paraId="15AC8585" w14:textId="77777777" w:rsidR="00C533CF" w:rsidRPr="008C2F74" w:rsidRDefault="00C533CF">
      <w:pPr>
        <w:tabs>
          <w:tab w:val="left" w:pos="540"/>
        </w:tabs>
        <w:jc w:val="both"/>
        <w:rPr>
          <w:b/>
          <w:bCs/>
          <w:szCs w:val="22"/>
          <w:lang w:val="sr-Latn-RS"/>
        </w:rPr>
      </w:pPr>
    </w:p>
    <w:p w14:paraId="168B03F4" w14:textId="77777777" w:rsidR="00C533CF" w:rsidRPr="008C2F74" w:rsidRDefault="008C2F74">
      <w:pPr>
        <w:tabs>
          <w:tab w:val="left" w:pos="540"/>
        </w:tabs>
        <w:jc w:val="both"/>
        <w:rPr>
          <w:b/>
          <w:bCs/>
          <w:szCs w:val="22"/>
          <w:lang w:val="sr-Latn-RS"/>
        </w:rPr>
      </w:pPr>
      <w:r w:rsidRPr="008C2F74">
        <w:rPr>
          <w:b/>
          <w:bCs/>
          <w:szCs w:val="22"/>
          <w:lang w:val="sr-Latn-RS"/>
        </w:rPr>
        <w:t xml:space="preserve">4.8. </w:t>
      </w:r>
      <w:r w:rsidRPr="008C2F74">
        <w:rPr>
          <w:b/>
          <w:bCs/>
          <w:szCs w:val="22"/>
          <w:lang w:val="sr-Latn-RS"/>
        </w:rPr>
        <w:tab/>
        <w:t>Neželjena dejstva</w:t>
      </w:r>
    </w:p>
    <w:p w14:paraId="6E2369CD" w14:textId="77777777" w:rsidR="00C533CF" w:rsidRPr="008C2F74" w:rsidRDefault="00C533CF">
      <w:pPr>
        <w:spacing w:line="276" w:lineRule="auto"/>
        <w:jc w:val="both"/>
        <w:rPr>
          <w:rFonts w:eastAsia="Calibri"/>
          <w:szCs w:val="22"/>
          <w:u w:val="single"/>
          <w:lang w:val="sr-Latn-RS"/>
        </w:rPr>
      </w:pPr>
    </w:p>
    <w:p w14:paraId="5F9EC639" w14:textId="77777777" w:rsidR="00C533CF" w:rsidRPr="008C2F74" w:rsidRDefault="008C2F74">
      <w:pPr>
        <w:widowControl w:val="0"/>
        <w:spacing w:line="276" w:lineRule="auto"/>
        <w:jc w:val="both"/>
        <w:rPr>
          <w:szCs w:val="22"/>
          <w:lang w:val="sr-Latn-RS" w:eastAsia="sl-SI"/>
        </w:rPr>
      </w:pPr>
      <w:r w:rsidRPr="008C2F74">
        <w:rPr>
          <w:szCs w:val="22"/>
          <w:lang w:val="sr-Latn-RS" w:eastAsia="sl-SI"/>
        </w:rPr>
        <w:t>Učestalost neželjenih dejstava navedenih u nastavku definisana je prema sljedećim pravilima:</w:t>
      </w:r>
    </w:p>
    <w:p w14:paraId="69275025" w14:textId="77777777" w:rsidR="00C533CF" w:rsidRPr="008C2F74" w:rsidRDefault="008C2F74">
      <w:pPr>
        <w:widowControl w:val="0"/>
        <w:numPr>
          <w:ilvl w:val="0"/>
          <w:numId w:val="41"/>
        </w:numPr>
        <w:tabs>
          <w:tab w:val="clear" w:pos="567"/>
        </w:tabs>
        <w:spacing w:line="240" w:lineRule="auto"/>
        <w:ind w:left="714" w:hanging="357"/>
        <w:jc w:val="both"/>
        <w:rPr>
          <w:szCs w:val="22"/>
          <w:lang w:val="sr-Latn-RS" w:eastAsia="sl-SI"/>
        </w:rPr>
      </w:pPr>
      <w:r w:rsidRPr="008C2F74">
        <w:rPr>
          <w:szCs w:val="22"/>
          <w:lang w:val="sr-Latn-RS" w:eastAsia="sl-SI"/>
        </w:rPr>
        <w:t>veoma česta (≥ 1/10)</w:t>
      </w:r>
    </w:p>
    <w:p w14:paraId="243A9AAC" w14:textId="77777777" w:rsidR="00C533CF" w:rsidRPr="008C2F74" w:rsidRDefault="008C2F74">
      <w:pPr>
        <w:widowControl w:val="0"/>
        <w:numPr>
          <w:ilvl w:val="0"/>
          <w:numId w:val="41"/>
        </w:numPr>
        <w:tabs>
          <w:tab w:val="clear" w:pos="567"/>
        </w:tabs>
        <w:spacing w:line="240" w:lineRule="auto"/>
        <w:ind w:left="714" w:hanging="357"/>
        <w:jc w:val="both"/>
        <w:rPr>
          <w:szCs w:val="22"/>
          <w:lang w:val="sr-Latn-RS" w:eastAsia="sl-SI"/>
        </w:rPr>
      </w:pPr>
      <w:r w:rsidRPr="008C2F74">
        <w:rPr>
          <w:szCs w:val="22"/>
          <w:lang w:val="sr-Latn-RS" w:eastAsia="sl-SI"/>
        </w:rPr>
        <w:t>česta (≥ 1/100, &lt; 1/10)</w:t>
      </w:r>
    </w:p>
    <w:p w14:paraId="774C7C4B" w14:textId="77777777" w:rsidR="00C533CF" w:rsidRPr="008C2F74" w:rsidRDefault="008C2F74">
      <w:pPr>
        <w:widowControl w:val="0"/>
        <w:numPr>
          <w:ilvl w:val="0"/>
          <w:numId w:val="41"/>
        </w:numPr>
        <w:tabs>
          <w:tab w:val="clear" w:pos="567"/>
        </w:tabs>
        <w:spacing w:line="240" w:lineRule="auto"/>
        <w:ind w:left="714" w:hanging="357"/>
        <w:jc w:val="both"/>
        <w:rPr>
          <w:szCs w:val="22"/>
          <w:lang w:val="sr-Latn-RS" w:eastAsia="sl-SI"/>
        </w:rPr>
      </w:pPr>
      <w:r w:rsidRPr="008C2F74">
        <w:rPr>
          <w:szCs w:val="22"/>
          <w:lang w:val="sr-Latn-RS" w:eastAsia="sl-SI"/>
        </w:rPr>
        <w:t>povremena (≥ 1/1000, &lt; 100)</w:t>
      </w:r>
    </w:p>
    <w:p w14:paraId="4C4931D8" w14:textId="77777777" w:rsidR="00C533CF" w:rsidRPr="008C2F74" w:rsidRDefault="008C2F74">
      <w:pPr>
        <w:widowControl w:val="0"/>
        <w:numPr>
          <w:ilvl w:val="0"/>
          <w:numId w:val="41"/>
        </w:numPr>
        <w:tabs>
          <w:tab w:val="clear" w:pos="567"/>
        </w:tabs>
        <w:spacing w:line="240" w:lineRule="auto"/>
        <w:ind w:left="714" w:hanging="357"/>
        <w:jc w:val="both"/>
        <w:rPr>
          <w:szCs w:val="22"/>
          <w:lang w:val="sr-Latn-RS" w:eastAsia="sl-SI"/>
        </w:rPr>
      </w:pPr>
      <w:r w:rsidRPr="008C2F74">
        <w:rPr>
          <w:szCs w:val="22"/>
          <w:lang w:val="sr-Latn-RS" w:eastAsia="sl-SI"/>
        </w:rPr>
        <w:t>rijetka (≥ 1/10 000, &lt; 1000)</w:t>
      </w:r>
    </w:p>
    <w:p w14:paraId="2F0A1B30" w14:textId="77777777" w:rsidR="00C533CF" w:rsidRPr="008C2F74" w:rsidRDefault="008C2F74">
      <w:pPr>
        <w:widowControl w:val="0"/>
        <w:numPr>
          <w:ilvl w:val="0"/>
          <w:numId w:val="41"/>
        </w:numPr>
        <w:tabs>
          <w:tab w:val="clear" w:pos="567"/>
        </w:tabs>
        <w:spacing w:line="240" w:lineRule="auto"/>
        <w:ind w:left="714" w:hanging="357"/>
        <w:jc w:val="both"/>
        <w:rPr>
          <w:szCs w:val="22"/>
          <w:lang w:val="sr-Latn-RS" w:eastAsia="sl-SI"/>
        </w:rPr>
      </w:pPr>
      <w:r w:rsidRPr="008C2F74">
        <w:rPr>
          <w:szCs w:val="22"/>
          <w:lang w:val="sr-Latn-RS" w:eastAsia="sl-SI"/>
        </w:rPr>
        <w:t>veoma rijetka (&lt; 1/10 000)</w:t>
      </w:r>
    </w:p>
    <w:p w14:paraId="31C1D39C" w14:textId="77777777" w:rsidR="00C533CF" w:rsidRPr="008C2F74" w:rsidRDefault="008C2F74">
      <w:pPr>
        <w:widowControl w:val="0"/>
        <w:numPr>
          <w:ilvl w:val="0"/>
          <w:numId w:val="41"/>
        </w:numPr>
        <w:tabs>
          <w:tab w:val="clear" w:pos="567"/>
        </w:tabs>
        <w:spacing w:line="240" w:lineRule="auto"/>
        <w:ind w:left="714" w:hanging="357"/>
        <w:jc w:val="both"/>
        <w:rPr>
          <w:szCs w:val="22"/>
          <w:lang w:val="sr-Latn-RS" w:eastAsia="sl-SI"/>
        </w:rPr>
      </w:pPr>
      <w:r w:rsidRPr="008C2F74">
        <w:rPr>
          <w:szCs w:val="22"/>
          <w:lang w:val="sr-Latn-RS" w:eastAsia="sl-SI"/>
        </w:rPr>
        <w:t>nepoznata učestalost (nije moguće procijeniti iz raspoloživih podataka)</w:t>
      </w:r>
    </w:p>
    <w:p w14:paraId="73DFD2F9" w14:textId="77777777" w:rsidR="00C533CF" w:rsidRPr="008C2F74" w:rsidRDefault="00C533CF">
      <w:pPr>
        <w:widowControl w:val="0"/>
        <w:autoSpaceDE w:val="0"/>
        <w:autoSpaceDN w:val="0"/>
        <w:adjustRightInd w:val="0"/>
        <w:spacing w:line="276" w:lineRule="auto"/>
        <w:jc w:val="both"/>
        <w:rPr>
          <w:szCs w:val="22"/>
          <w:lang w:val="sr-Latn-RS" w:eastAsia="sl-SI"/>
        </w:rPr>
      </w:pPr>
    </w:p>
    <w:p w14:paraId="6CAD8959"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U kontrolisanim kliničkim ispitivanjima sa kombinacijom losartan kalijum i hidrohlortiazid nijesu primijećena neželjena dejstva specifična za ovu kombinaciju. Neželjena dejstva koja su se javljala su bila ona koja se inače javljaju za pojedinačne komponente ove kombinacije.</w:t>
      </w:r>
    </w:p>
    <w:p w14:paraId="587B14F1"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4DF33E7"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U kontrolisanim kliničkim ispitivanjima esencijalne hipertenzije, vrtoglavica je bila jedino neželjeno dejstvo prijavljeno kao specifično za aktivnu supstancu, koja se javljala kod 1% pacijenata ili više, a koji su koristili losartan i hidrohlortiazid, u odnosu na placebo.</w:t>
      </w:r>
    </w:p>
    <w:p w14:paraId="01D6C9F0" w14:textId="77777777" w:rsidR="00C533CF" w:rsidRPr="008C2F74" w:rsidRDefault="00C533CF">
      <w:pPr>
        <w:widowControl w:val="0"/>
        <w:autoSpaceDE w:val="0"/>
        <w:autoSpaceDN w:val="0"/>
        <w:adjustRightInd w:val="0"/>
        <w:spacing w:line="276" w:lineRule="auto"/>
        <w:jc w:val="both"/>
        <w:rPr>
          <w:szCs w:val="22"/>
          <w:lang w:val="sr-Latn-RS" w:eastAsia="sl-SI"/>
        </w:rPr>
      </w:pPr>
    </w:p>
    <w:p w14:paraId="280DA553"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Pored ovih neželjenih dejstava, sljedeća neželjena dejstva su zabilježena nakon stavljanja lijeka u promet: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079"/>
        <w:gridCol w:w="2988"/>
        <w:gridCol w:w="2988"/>
      </w:tblGrid>
      <w:tr w:rsidR="00C533CF" w:rsidRPr="008C2F74" w14:paraId="3B2B0200" w14:textId="77777777">
        <w:tc>
          <w:tcPr>
            <w:tcW w:w="1700" w:type="pct"/>
            <w:tcBorders>
              <w:top w:val="outset" w:sz="6" w:space="0" w:color="auto"/>
              <w:left w:val="outset" w:sz="6" w:space="0" w:color="auto"/>
              <w:bottom w:val="outset" w:sz="6" w:space="0" w:color="auto"/>
              <w:right w:val="outset" w:sz="6" w:space="0" w:color="auto"/>
            </w:tcBorders>
            <w:shd w:val="clear" w:color="auto" w:fill="FFFFFF"/>
            <w:hideMark/>
          </w:tcPr>
          <w:p w14:paraId="2E8C3048" w14:textId="77777777" w:rsidR="00C533CF" w:rsidRPr="008C2F74" w:rsidRDefault="008C2F74" w:rsidP="00811A6B">
            <w:pPr>
              <w:widowControl w:val="0"/>
              <w:spacing w:line="276" w:lineRule="auto"/>
              <w:jc w:val="both"/>
              <w:rPr>
                <w:szCs w:val="22"/>
                <w:lang w:val="sr-Latn-RS" w:eastAsia="sl-SI"/>
              </w:rPr>
            </w:pPr>
            <w:r w:rsidRPr="008C2F74">
              <w:rPr>
                <w:b/>
                <w:bCs/>
                <w:szCs w:val="22"/>
                <w:lang w:val="sr-Latn-RS" w:eastAsia="sl-SI"/>
              </w:rPr>
              <w:t>Klasa sistema organa</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5324FD71" w14:textId="77777777" w:rsidR="00C533CF" w:rsidRPr="008C2F74" w:rsidRDefault="008C2F74" w:rsidP="00811A6B">
            <w:pPr>
              <w:widowControl w:val="0"/>
              <w:spacing w:line="276" w:lineRule="auto"/>
              <w:jc w:val="both"/>
              <w:rPr>
                <w:szCs w:val="22"/>
                <w:lang w:val="sr-Latn-RS" w:eastAsia="sl-SI"/>
              </w:rPr>
            </w:pPr>
            <w:r w:rsidRPr="008C2F74">
              <w:rPr>
                <w:b/>
                <w:bCs/>
                <w:szCs w:val="22"/>
                <w:lang w:val="sr-Latn-RS" w:eastAsia="sl-SI"/>
              </w:rPr>
              <w:t>Neželjeno dejstvo</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4D1BB63C" w14:textId="77777777" w:rsidR="00C533CF" w:rsidRPr="008C2F74" w:rsidRDefault="008C2F74" w:rsidP="00811A6B">
            <w:pPr>
              <w:widowControl w:val="0"/>
              <w:spacing w:line="276" w:lineRule="auto"/>
              <w:jc w:val="both"/>
              <w:rPr>
                <w:szCs w:val="22"/>
                <w:lang w:val="sr-Latn-RS" w:eastAsia="sl-SI"/>
              </w:rPr>
            </w:pPr>
            <w:r w:rsidRPr="008C2F74">
              <w:rPr>
                <w:b/>
                <w:bCs/>
                <w:szCs w:val="22"/>
                <w:lang w:val="sr-Latn-RS" w:eastAsia="sl-SI"/>
              </w:rPr>
              <w:t>Učestalost</w:t>
            </w:r>
          </w:p>
        </w:tc>
      </w:tr>
      <w:tr w:rsidR="00C533CF" w:rsidRPr="008C2F74" w14:paraId="4ACBFD66" w14:textId="77777777">
        <w:tc>
          <w:tcPr>
            <w:tcW w:w="1700" w:type="pct"/>
            <w:tcBorders>
              <w:top w:val="outset" w:sz="6" w:space="0" w:color="auto"/>
              <w:left w:val="outset" w:sz="6" w:space="0" w:color="auto"/>
              <w:bottom w:val="outset" w:sz="6" w:space="0" w:color="auto"/>
              <w:right w:val="outset" w:sz="6" w:space="0" w:color="auto"/>
            </w:tcBorders>
            <w:shd w:val="clear" w:color="auto" w:fill="FFFFFF"/>
            <w:hideMark/>
          </w:tcPr>
          <w:p w14:paraId="7BF88A8B" w14:textId="77777777" w:rsidR="00C533CF" w:rsidRPr="008C2F74" w:rsidRDefault="008C2F74" w:rsidP="00811A6B">
            <w:pPr>
              <w:widowControl w:val="0"/>
              <w:spacing w:line="276" w:lineRule="auto"/>
              <w:jc w:val="both"/>
              <w:rPr>
                <w:szCs w:val="22"/>
                <w:lang w:val="sr-Latn-RS" w:eastAsia="sl-SI"/>
              </w:rPr>
            </w:pPr>
            <w:r w:rsidRPr="008C2F74">
              <w:rPr>
                <w:szCs w:val="22"/>
                <w:lang w:val="sr-Latn-RS" w:eastAsia="sl-SI"/>
              </w:rPr>
              <w:t>Hepatobilijarni poremećaji</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08E800D1" w14:textId="77777777" w:rsidR="00C533CF" w:rsidRPr="008C2F74" w:rsidRDefault="008C2F74" w:rsidP="00811A6B">
            <w:pPr>
              <w:widowControl w:val="0"/>
              <w:spacing w:line="276" w:lineRule="auto"/>
              <w:jc w:val="both"/>
              <w:rPr>
                <w:szCs w:val="22"/>
                <w:lang w:val="sr-Latn-RS" w:eastAsia="sl-SI"/>
              </w:rPr>
            </w:pPr>
            <w:r w:rsidRPr="008C2F74">
              <w:rPr>
                <w:szCs w:val="22"/>
                <w:lang w:val="sr-Latn-RS" w:eastAsia="sl-SI"/>
              </w:rPr>
              <w:t>hepatitis</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47741164" w14:textId="77777777" w:rsidR="00C533CF" w:rsidRPr="008C2F74" w:rsidRDefault="008C2F74" w:rsidP="00811A6B">
            <w:pPr>
              <w:widowControl w:val="0"/>
              <w:spacing w:line="276" w:lineRule="auto"/>
              <w:jc w:val="both"/>
              <w:rPr>
                <w:szCs w:val="22"/>
                <w:lang w:val="sr-Latn-RS" w:eastAsia="sl-SI"/>
              </w:rPr>
            </w:pPr>
            <w:r w:rsidRPr="008C2F74">
              <w:rPr>
                <w:szCs w:val="22"/>
                <w:lang w:val="sr-Latn-RS" w:eastAsia="sl-SI"/>
              </w:rPr>
              <w:t>rijetko</w:t>
            </w:r>
          </w:p>
        </w:tc>
      </w:tr>
      <w:tr w:rsidR="00C533CF" w:rsidRPr="008C2F74" w14:paraId="4AA86A64" w14:textId="77777777">
        <w:tc>
          <w:tcPr>
            <w:tcW w:w="1700" w:type="pct"/>
            <w:tcBorders>
              <w:top w:val="outset" w:sz="6" w:space="0" w:color="auto"/>
              <w:left w:val="outset" w:sz="6" w:space="0" w:color="auto"/>
              <w:bottom w:val="outset" w:sz="6" w:space="0" w:color="auto"/>
              <w:right w:val="outset" w:sz="6" w:space="0" w:color="auto"/>
            </w:tcBorders>
            <w:shd w:val="clear" w:color="auto" w:fill="FFFFFF"/>
            <w:hideMark/>
          </w:tcPr>
          <w:p w14:paraId="0EC50441" w14:textId="77777777" w:rsidR="00C533CF" w:rsidRPr="008C2F74" w:rsidRDefault="008C2F74" w:rsidP="00811A6B">
            <w:pPr>
              <w:widowControl w:val="0"/>
              <w:spacing w:line="276" w:lineRule="auto"/>
              <w:jc w:val="both"/>
              <w:rPr>
                <w:szCs w:val="22"/>
                <w:lang w:val="sr-Latn-RS" w:eastAsia="sl-SI"/>
              </w:rPr>
            </w:pPr>
            <w:r w:rsidRPr="008C2F74">
              <w:rPr>
                <w:szCs w:val="22"/>
                <w:lang w:val="sr-Latn-RS" w:eastAsia="sl-SI"/>
              </w:rPr>
              <w:t>Ispitivanja</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3740EF0E" w14:textId="77777777" w:rsidR="00C533CF" w:rsidRPr="008C2F74" w:rsidRDefault="008C2F74" w:rsidP="00811A6B">
            <w:pPr>
              <w:widowControl w:val="0"/>
              <w:spacing w:line="276" w:lineRule="auto"/>
              <w:jc w:val="both"/>
              <w:rPr>
                <w:szCs w:val="22"/>
                <w:lang w:val="sr-Latn-RS" w:eastAsia="sl-SI"/>
              </w:rPr>
            </w:pPr>
            <w:r w:rsidRPr="008C2F74">
              <w:rPr>
                <w:szCs w:val="22"/>
                <w:lang w:val="sr-Latn-RS" w:eastAsia="sl-SI"/>
              </w:rPr>
              <w:t>hiperkalijemija, povišene vrijednosti ALT</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511FC3D4" w14:textId="77777777" w:rsidR="00C533CF" w:rsidRPr="008C2F74" w:rsidRDefault="008C2F74" w:rsidP="00811A6B">
            <w:pPr>
              <w:widowControl w:val="0"/>
              <w:spacing w:line="276" w:lineRule="auto"/>
              <w:jc w:val="both"/>
              <w:rPr>
                <w:szCs w:val="22"/>
                <w:lang w:val="sr-Latn-RS" w:eastAsia="sl-SI"/>
              </w:rPr>
            </w:pPr>
            <w:r w:rsidRPr="008C2F74">
              <w:rPr>
                <w:szCs w:val="22"/>
                <w:lang w:val="sr-Latn-RS" w:eastAsia="sl-SI"/>
              </w:rPr>
              <w:t>rijetko</w:t>
            </w:r>
          </w:p>
        </w:tc>
      </w:tr>
    </w:tbl>
    <w:p w14:paraId="3A065805" w14:textId="77777777" w:rsidR="00C533CF" w:rsidRPr="008C2F74" w:rsidRDefault="00C533CF" w:rsidP="00811A6B">
      <w:pPr>
        <w:widowControl w:val="0"/>
        <w:autoSpaceDE w:val="0"/>
        <w:autoSpaceDN w:val="0"/>
        <w:adjustRightInd w:val="0"/>
        <w:spacing w:line="276" w:lineRule="auto"/>
        <w:jc w:val="both"/>
        <w:rPr>
          <w:szCs w:val="22"/>
          <w:lang w:val="sr-Latn-RS" w:eastAsia="sl-SI"/>
        </w:rPr>
      </w:pPr>
    </w:p>
    <w:p w14:paraId="206B7B8E" w14:textId="77777777" w:rsidR="00C533CF" w:rsidRPr="008C2F74" w:rsidRDefault="008C2F74" w:rsidP="008C2F74">
      <w:pPr>
        <w:widowControl w:val="0"/>
        <w:autoSpaceDE w:val="0"/>
        <w:autoSpaceDN w:val="0"/>
        <w:adjustRightInd w:val="0"/>
        <w:spacing w:line="276" w:lineRule="auto"/>
        <w:jc w:val="both"/>
        <w:rPr>
          <w:szCs w:val="22"/>
          <w:lang w:val="sr-Latn-RS" w:eastAsia="sl-SI"/>
        </w:rPr>
      </w:pPr>
      <w:r w:rsidRPr="008C2F74">
        <w:rPr>
          <w:szCs w:val="22"/>
          <w:lang w:val="sr-Latn-RS" w:eastAsia="sl-SI"/>
        </w:rPr>
        <w:t>Neželjena dejstva koja su primijećena sa nekom od komponenti ove kombinacije i mogu biti potencijalna neželjena dejstva ove kombinacije su sljedeća:</w:t>
      </w:r>
    </w:p>
    <w:p w14:paraId="566FB1DA" w14:textId="77777777" w:rsidR="00C533CF" w:rsidRPr="008C2F74" w:rsidRDefault="00C533CF">
      <w:pPr>
        <w:widowControl w:val="0"/>
        <w:autoSpaceDE w:val="0"/>
        <w:autoSpaceDN w:val="0"/>
        <w:adjustRightInd w:val="0"/>
        <w:spacing w:line="276" w:lineRule="auto"/>
        <w:jc w:val="both"/>
        <w:rPr>
          <w:b/>
          <w:szCs w:val="22"/>
          <w:u w:val="single"/>
          <w:lang w:val="sr-Latn-RS" w:eastAsia="sl-SI"/>
        </w:rPr>
      </w:pPr>
    </w:p>
    <w:p w14:paraId="1606EC0A" w14:textId="77777777" w:rsidR="00C533CF" w:rsidRPr="008C2F74" w:rsidRDefault="008C2F74" w:rsidP="00811A6B">
      <w:pPr>
        <w:widowControl w:val="0"/>
        <w:autoSpaceDE w:val="0"/>
        <w:autoSpaceDN w:val="0"/>
        <w:adjustRightInd w:val="0"/>
        <w:spacing w:line="276" w:lineRule="auto"/>
        <w:jc w:val="both"/>
        <w:rPr>
          <w:b/>
          <w:szCs w:val="22"/>
          <w:u w:val="single"/>
          <w:lang w:val="sr-Latn-RS" w:eastAsia="sl-SI"/>
        </w:rPr>
      </w:pPr>
      <w:r w:rsidRPr="008C2F74">
        <w:rPr>
          <w:b/>
          <w:szCs w:val="22"/>
          <w:u w:val="single"/>
          <w:lang w:val="sr-Latn-RS" w:eastAsia="sl-SI"/>
        </w:rPr>
        <w:t>Losartan</w:t>
      </w:r>
    </w:p>
    <w:p w14:paraId="2299E811" w14:textId="77777777" w:rsidR="00C533CF" w:rsidRPr="008C2F74" w:rsidRDefault="00C533CF" w:rsidP="00811A6B">
      <w:pPr>
        <w:widowControl w:val="0"/>
        <w:autoSpaceDE w:val="0"/>
        <w:autoSpaceDN w:val="0"/>
        <w:adjustRightInd w:val="0"/>
        <w:spacing w:line="276" w:lineRule="auto"/>
        <w:jc w:val="both"/>
        <w:rPr>
          <w:b/>
          <w:szCs w:val="22"/>
          <w:u w:val="single"/>
          <w:lang w:val="sr-Latn-RS" w:eastAsia="sl-SI"/>
        </w:rPr>
      </w:pPr>
    </w:p>
    <w:p w14:paraId="0568A301" w14:textId="77777777" w:rsidR="00C533CF" w:rsidRPr="008C2F74" w:rsidRDefault="008C2F74" w:rsidP="008C2F74">
      <w:pPr>
        <w:widowControl w:val="0"/>
        <w:autoSpaceDE w:val="0"/>
        <w:autoSpaceDN w:val="0"/>
        <w:adjustRightInd w:val="0"/>
        <w:spacing w:line="276" w:lineRule="auto"/>
        <w:jc w:val="both"/>
        <w:rPr>
          <w:szCs w:val="22"/>
          <w:lang w:val="sr-Latn-RS" w:eastAsia="sl-SI"/>
        </w:rPr>
      </w:pPr>
      <w:r w:rsidRPr="008C2F74">
        <w:rPr>
          <w:szCs w:val="22"/>
          <w:lang w:val="sr-Latn-RS" w:eastAsia="sl-SI"/>
        </w:rPr>
        <w:t>Sljedeća neželjena dejstva su prijavljena tokom primjene losartana u kliničkim ispitivanjima i postmarketinškom iskustvu:</w:t>
      </w:r>
    </w:p>
    <w:p w14:paraId="1A421423" w14:textId="77777777" w:rsidR="00C533CF" w:rsidRPr="008C2F74" w:rsidRDefault="00C533CF" w:rsidP="00811A6B">
      <w:pPr>
        <w:widowControl w:val="0"/>
        <w:autoSpaceDE w:val="0"/>
        <w:autoSpaceDN w:val="0"/>
        <w:adjustRightInd w:val="0"/>
        <w:spacing w:line="276" w:lineRule="auto"/>
        <w:jc w:val="both"/>
        <w:rPr>
          <w:szCs w:val="22"/>
          <w:lang w:val="sr-Latn-RS" w:eastAsia="sl-SI"/>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717"/>
        <w:gridCol w:w="4647"/>
        <w:gridCol w:w="1691"/>
      </w:tblGrid>
      <w:tr w:rsidR="00C533CF" w:rsidRPr="008C2F74" w14:paraId="77127367"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740B5416" w14:textId="77777777" w:rsidR="00C533CF" w:rsidRPr="008C2F74" w:rsidRDefault="008C2F74" w:rsidP="00811A6B">
            <w:pPr>
              <w:jc w:val="both"/>
              <w:rPr>
                <w:color w:val="000000"/>
                <w:szCs w:val="22"/>
                <w:lang w:val="sr-Latn-RS" w:eastAsia="sl-SI"/>
              </w:rPr>
            </w:pPr>
            <w:r w:rsidRPr="008C2F74">
              <w:rPr>
                <w:b/>
                <w:bCs/>
                <w:szCs w:val="22"/>
                <w:lang w:val="sr-Latn-RS" w:eastAsia="sl-SI"/>
              </w:rPr>
              <w:t>Klasa sistema organa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71A5B3DE" w14:textId="77777777" w:rsidR="00C533CF" w:rsidRPr="008C2F74" w:rsidRDefault="008C2F74" w:rsidP="00811A6B">
            <w:pPr>
              <w:jc w:val="both"/>
              <w:rPr>
                <w:color w:val="000000"/>
                <w:szCs w:val="22"/>
                <w:lang w:val="sr-Latn-RS" w:eastAsia="sl-SI"/>
              </w:rPr>
            </w:pPr>
            <w:r w:rsidRPr="008C2F74">
              <w:rPr>
                <w:b/>
                <w:bCs/>
                <w:szCs w:val="22"/>
                <w:lang w:val="sr-Latn-RS" w:eastAsia="sl-SI"/>
              </w:rPr>
              <w:t>Neželjeno dejstvo</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7CF250CB" w14:textId="77777777" w:rsidR="00C533CF" w:rsidRPr="008C2F74" w:rsidRDefault="008C2F74" w:rsidP="00811A6B">
            <w:pPr>
              <w:jc w:val="both"/>
              <w:rPr>
                <w:color w:val="000000"/>
                <w:szCs w:val="22"/>
                <w:lang w:val="sr-Latn-RS" w:eastAsia="sl-SI"/>
              </w:rPr>
            </w:pPr>
            <w:r w:rsidRPr="008C2F74">
              <w:rPr>
                <w:b/>
                <w:bCs/>
                <w:szCs w:val="22"/>
                <w:lang w:val="sr-Latn-RS" w:eastAsia="sl-SI"/>
              </w:rPr>
              <w:t>Učestalost</w:t>
            </w:r>
          </w:p>
        </w:tc>
      </w:tr>
      <w:tr w:rsidR="00C533CF" w:rsidRPr="008C2F74" w14:paraId="041D171E"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19E239C5" w14:textId="77777777" w:rsidR="00C533CF" w:rsidRPr="008C2F74" w:rsidRDefault="008C2F74" w:rsidP="00811A6B">
            <w:pPr>
              <w:jc w:val="both"/>
              <w:rPr>
                <w:szCs w:val="22"/>
                <w:lang w:val="sr-Latn-RS" w:eastAsia="sl-SI"/>
              </w:rPr>
            </w:pPr>
            <w:r w:rsidRPr="008C2F74">
              <w:rPr>
                <w:szCs w:val="22"/>
                <w:lang w:val="sr-Latn-RS" w:eastAsia="sl-SI"/>
              </w:rPr>
              <w:t>Poremećaji krvi i limfnog sistema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16CEFE14" w14:textId="77777777" w:rsidR="00C533CF" w:rsidRPr="008C2F74" w:rsidRDefault="008C2F74" w:rsidP="00811A6B">
            <w:pPr>
              <w:jc w:val="both"/>
              <w:rPr>
                <w:szCs w:val="22"/>
                <w:lang w:val="sr-Latn-RS" w:eastAsia="sl-SI"/>
              </w:rPr>
            </w:pPr>
            <w:r w:rsidRPr="008C2F74">
              <w:rPr>
                <w:szCs w:val="22"/>
                <w:lang w:val="sr-Latn-RS" w:eastAsia="sl-SI"/>
              </w:rPr>
              <w:t>anemija, Henoch-Schönlein purpura, ekhimoze, hemoliza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1DF611FF"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5A83B83E"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0C8534"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A5F1BA4" w14:textId="77777777" w:rsidR="00C533CF" w:rsidRPr="008C2F74" w:rsidRDefault="008C2F74" w:rsidP="00811A6B">
            <w:pPr>
              <w:jc w:val="both"/>
              <w:rPr>
                <w:szCs w:val="22"/>
                <w:lang w:val="sr-Latn-RS" w:eastAsia="sl-SI"/>
              </w:rPr>
            </w:pPr>
            <w:r w:rsidRPr="008C2F74">
              <w:rPr>
                <w:szCs w:val="22"/>
                <w:lang w:val="sr-Latn-RS" w:eastAsia="sl-SI"/>
              </w:rPr>
              <w:t>trombocitopenija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0DB4573F" w14:textId="77777777" w:rsidR="00C533CF" w:rsidRPr="008C2F74" w:rsidRDefault="008C2F74" w:rsidP="00811A6B">
            <w:pPr>
              <w:jc w:val="both"/>
              <w:rPr>
                <w:szCs w:val="22"/>
                <w:lang w:val="sr-Latn-RS" w:eastAsia="sl-SI"/>
              </w:rPr>
            </w:pPr>
            <w:r w:rsidRPr="008C2F74">
              <w:rPr>
                <w:szCs w:val="22"/>
                <w:lang w:val="sr-Latn-RS" w:eastAsia="sl-SI"/>
              </w:rPr>
              <w:t>nepoznato</w:t>
            </w:r>
          </w:p>
        </w:tc>
      </w:tr>
      <w:tr w:rsidR="00C533CF" w:rsidRPr="008C2F74" w14:paraId="3A1F95FE"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0A4010BF" w14:textId="77777777" w:rsidR="00C533CF" w:rsidRPr="008C2F74" w:rsidRDefault="008C2F74" w:rsidP="00811A6B">
            <w:pPr>
              <w:jc w:val="both"/>
              <w:rPr>
                <w:szCs w:val="22"/>
                <w:lang w:val="sr-Latn-RS" w:eastAsia="sl-SI"/>
              </w:rPr>
            </w:pPr>
            <w:r w:rsidRPr="008C2F74">
              <w:rPr>
                <w:szCs w:val="22"/>
                <w:lang w:val="sr-Latn-RS" w:eastAsia="sl-SI"/>
              </w:rPr>
              <w:t>Kardiološki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6CF2A47" w14:textId="77777777" w:rsidR="00C533CF" w:rsidRPr="008C2F74" w:rsidRDefault="008C2F74" w:rsidP="00811A6B">
            <w:pPr>
              <w:jc w:val="both"/>
              <w:rPr>
                <w:szCs w:val="22"/>
                <w:lang w:val="sr-Latn-RS" w:eastAsia="sl-SI"/>
              </w:rPr>
            </w:pPr>
            <w:r w:rsidRPr="008C2F74">
              <w:rPr>
                <w:szCs w:val="22"/>
                <w:lang w:val="sr-Latn-RS" w:eastAsia="sl-SI"/>
              </w:rPr>
              <w:t>hipotenzija, ortostatska hipotenzija, sternalgija, angina pektoris, AV blok II stepena, cerebrovaskularni događaj, infarkt miokarda, palpitacije, aritmije (atrijalna fibrilacija, sinusna bradikardija, tahikardija, ventrikularna tahikardija,</w:t>
            </w:r>
          </w:p>
          <w:p w14:paraId="6495DD27" w14:textId="77777777" w:rsidR="00C533CF" w:rsidRPr="008C2F74" w:rsidRDefault="008C2F74" w:rsidP="00811A6B">
            <w:pPr>
              <w:jc w:val="both"/>
              <w:rPr>
                <w:szCs w:val="22"/>
                <w:lang w:val="sr-Latn-RS" w:eastAsia="sl-SI"/>
              </w:rPr>
            </w:pPr>
            <w:r w:rsidRPr="008C2F74">
              <w:rPr>
                <w:szCs w:val="22"/>
                <w:lang w:val="sr-Latn-RS" w:eastAsia="sl-SI"/>
              </w:rPr>
              <w:t>ventrikularna fibrilacija)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64520891"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3F401BEC"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68C9F9A7" w14:textId="77777777" w:rsidR="00C533CF" w:rsidRPr="008C2F74" w:rsidRDefault="008C2F74" w:rsidP="00811A6B">
            <w:pPr>
              <w:jc w:val="both"/>
              <w:rPr>
                <w:szCs w:val="22"/>
                <w:lang w:val="sr-Latn-RS" w:eastAsia="sl-SI"/>
              </w:rPr>
            </w:pPr>
            <w:r w:rsidRPr="008C2F74">
              <w:rPr>
                <w:szCs w:val="22"/>
                <w:lang w:val="sr-Latn-RS" w:eastAsia="sl-SI"/>
              </w:rPr>
              <w:lastRenderedPageBreak/>
              <w:t xml:space="preserve">Poremećaji uha i labirinta </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277B6757" w14:textId="77777777" w:rsidR="00C533CF" w:rsidRPr="008C2F74" w:rsidRDefault="008C2F74" w:rsidP="00811A6B">
            <w:pPr>
              <w:jc w:val="both"/>
              <w:rPr>
                <w:szCs w:val="22"/>
                <w:lang w:val="sr-Latn-RS" w:eastAsia="sl-SI"/>
              </w:rPr>
            </w:pPr>
            <w:r w:rsidRPr="008C2F74">
              <w:rPr>
                <w:szCs w:val="22"/>
                <w:lang w:val="sr-Latn-RS" w:eastAsia="sl-SI"/>
              </w:rPr>
              <w:t xml:space="preserve">vertigo, tinitus </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44384F1E"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2E2CA6B4"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197C0766" w14:textId="77777777" w:rsidR="00C533CF" w:rsidRPr="008C2F74" w:rsidRDefault="008C2F74" w:rsidP="00811A6B">
            <w:pPr>
              <w:jc w:val="both"/>
              <w:rPr>
                <w:szCs w:val="22"/>
                <w:lang w:val="sr-Latn-RS" w:eastAsia="sl-SI"/>
              </w:rPr>
            </w:pPr>
            <w:r w:rsidRPr="008C2F74">
              <w:rPr>
                <w:szCs w:val="22"/>
                <w:lang w:val="sr-Latn-RS" w:eastAsia="sl-SI"/>
              </w:rPr>
              <w:t>Poremećaji oka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4634A5A7" w14:textId="77777777" w:rsidR="00C533CF" w:rsidRPr="008C2F74" w:rsidRDefault="008C2F74" w:rsidP="00811A6B">
            <w:pPr>
              <w:jc w:val="both"/>
              <w:rPr>
                <w:szCs w:val="22"/>
                <w:lang w:val="sr-Latn-RS" w:eastAsia="sl-SI"/>
              </w:rPr>
            </w:pPr>
            <w:r w:rsidRPr="008C2F74">
              <w:rPr>
                <w:szCs w:val="22"/>
                <w:lang w:val="sr-Latn-RS" w:eastAsia="sl-SI"/>
              </w:rPr>
              <w:t>zamućen vid, osjećaj paljenja/bockanja u oku, konjunktivitis, smanjenje oštrine vida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6CC3CA16"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489CE9D3"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020412D9" w14:textId="77777777" w:rsidR="00C533CF" w:rsidRPr="008C2F74" w:rsidRDefault="008C2F74" w:rsidP="00811A6B">
            <w:pPr>
              <w:jc w:val="both"/>
              <w:rPr>
                <w:szCs w:val="22"/>
                <w:lang w:val="sr-Latn-RS" w:eastAsia="sl-SI"/>
              </w:rPr>
            </w:pPr>
            <w:r w:rsidRPr="008C2F74">
              <w:rPr>
                <w:szCs w:val="22"/>
                <w:lang w:val="sr-Latn-RS" w:eastAsia="sl-SI"/>
              </w:rPr>
              <w:t>Gastrointestinalni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7153BEEF" w14:textId="77777777" w:rsidR="00C533CF" w:rsidRPr="008C2F74" w:rsidRDefault="008C2F74" w:rsidP="00811A6B">
            <w:pPr>
              <w:jc w:val="both"/>
              <w:rPr>
                <w:szCs w:val="22"/>
                <w:lang w:val="sr-Latn-RS" w:eastAsia="sl-SI"/>
              </w:rPr>
            </w:pPr>
            <w:r w:rsidRPr="008C2F74">
              <w:rPr>
                <w:szCs w:val="22"/>
                <w:lang w:val="sr-Latn-RS" w:eastAsia="sl-SI"/>
              </w:rPr>
              <w:t>abdominalni bol, mučnina, dijareja, dispepsija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34D0C832" w14:textId="77777777" w:rsidR="00C533CF" w:rsidRPr="008C2F74" w:rsidRDefault="008C2F74" w:rsidP="00811A6B">
            <w:pPr>
              <w:jc w:val="both"/>
              <w:rPr>
                <w:szCs w:val="22"/>
                <w:lang w:val="sr-Latn-RS" w:eastAsia="sl-SI"/>
              </w:rPr>
            </w:pPr>
            <w:r w:rsidRPr="008C2F74">
              <w:rPr>
                <w:szCs w:val="22"/>
                <w:lang w:val="sr-Latn-RS" w:eastAsia="sl-SI"/>
              </w:rPr>
              <w:t>često</w:t>
            </w:r>
          </w:p>
        </w:tc>
      </w:tr>
      <w:tr w:rsidR="00C533CF" w:rsidRPr="008C2F74" w14:paraId="0228B14C"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C31E51"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466EDB06" w14:textId="77777777" w:rsidR="00C533CF" w:rsidRPr="008C2F74" w:rsidRDefault="008C2F74" w:rsidP="00811A6B">
            <w:pPr>
              <w:jc w:val="both"/>
              <w:rPr>
                <w:szCs w:val="22"/>
                <w:lang w:val="sr-Latn-RS" w:eastAsia="sl-SI"/>
              </w:rPr>
            </w:pPr>
            <w:r w:rsidRPr="008C2F74">
              <w:rPr>
                <w:szCs w:val="22"/>
                <w:lang w:val="sr-Latn-RS" w:eastAsia="sl-SI"/>
              </w:rPr>
              <w:t>konstipacija, zubobolja, suva usta, nadutost, gastritis, povraćanje, opstipacija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25D5479A" w14:textId="77777777" w:rsidR="00C533CF" w:rsidRPr="008C2F74" w:rsidRDefault="008C2F74" w:rsidP="00811A6B">
            <w:pPr>
              <w:jc w:val="both"/>
              <w:rPr>
                <w:szCs w:val="22"/>
                <w:lang w:val="sr-Latn-RS" w:eastAsia="sl-SI"/>
              </w:rPr>
            </w:pPr>
            <w:r w:rsidRPr="008C2F74">
              <w:rPr>
                <w:szCs w:val="22"/>
                <w:lang w:val="sr-Latn-RS" w:eastAsia="sl-SI"/>
              </w:rPr>
              <w:t xml:space="preserve">povremeno </w:t>
            </w:r>
          </w:p>
        </w:tc>
      </w:tr>
      <w:tr w:rsidR="00C533CF" w:rsidRPr="008C2F74" w14:paraId="082A6132"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tcPr>
          <w:p w14:paraId="6E26559F"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tcPr>
          <w:p w14:paraId="4FAFAAA0" w14:textId="77777777" w:rsidR="00C533CF" w:rsidRPr="008C2F74" w:rsidRDefault="008C2F74" w:rsidP="00811A6B">
            <w:pPr>
              <w:jc w:val="both"/>
              <w:rPr>
                <w:szCs w:val="22"/>
                <w:lang w:val="sr-Latn-RS" w:eastAsia="sl-SI"/>
              </w:rPr>
            </w:pPr>
            <w:proofErr w:type="spellStart"/>
            <w:r w:rsidRPr="00811A6B">
              <w:rPr>
                <w:szCs w:val="22"/>
              </w:rPr>
              <w:t>intestinalni</w:t>
            </w:r>
            <w:proofErr w:type="spellEnd"/>
            <w:r w:rsidRPr="00811A6B">
              <w:rPr>
                <w:szCs w:val="22"/>
              </w:rPr>
              <w:t xml:space="preserve"> </w:t>
            </w:r>
            <w:proofErr w:type="spellStart"/>
            <w:r w:rsidRPr="00811A6B">
              <w:rPr>
                <w:szCs w:val="22"/>
              </w:rPr>
              <w:t>angioedem</w:t>
            </w:r>
            <w:proofErr w:type="spellEnd"/>
          </w:p>
        </w:tc>
        <w:tc>
          <w:tcPr>
            <w:tcW w:w="934" w:type="pct"/>
            <w:tcBorders>
              <w:top w:val="outset" w:sz="6" w:space="0" w:color="auto"/>
              <w:left w:val="outset" w:sz="6" w:space="0" w:color="auto"/>
              <w:bottom w:val="outset" w:sz="6" w:space="0" w:color="auto"/>
              <w:right w:val="outset" w:sz="6" w:space="0" w:color="auto"/>
            </w:tcBorders>
            <w:shd w:val="clear" w:color="auto" w:fill="FFFFFF"/>
          </w:tcPr>
          <w:p w14:paraId="2131A241" w14:textId="77777777" w:rsidR="00C533CF" w:rsidRPr="008C2F74" w:rsidRDefault="008C2F74" w:rsidP="00811A6B">
            <w:pPr>
              <w:jc w:val="both"/>
              <w:rPr>
                <w:szCs w:val="22"/>
                <w:lang w:val="sr-Latn-RS" w:eastAsia="sl-SI"/>
              </w:rPr>
            </w:pPr>
            <w:proofErr w:type="spellStart"/>
            <w:r w:rsidRPr="008C2F74">
              <w:rPr>
                <w:color w:val="000000"/>
                <w:szCs w:val="22"/>
              </w:rPr>
              <w:t>rijetko</w:t>
            </w:r>
            <w:proofErr w:type="spellEnd"/>
          </w:p>
        </w:tc>
      </w:tr>
      <w:tr w:rsidR="00C533CF" w:rsidRPr="008C2F74" w14:paraId="08CA0B55"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DF7CE0"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04C682AF" w14:textId="77777777" w:rsidR="00C533CF" w:rsidRPr="008C2F74" w:rsidRDefault="008C2F74" w:rsidP="00811A6B">
            <w:pPr>
              <w:jc w:val="both"/>
              <w:rPr>
                <w:szCs w:val="22"/>
                <w:lang w:val="sr-Latn-RS" w:eastAsia="sl-SI"/>
              </w:rPr>
            </w:pPr>
            <w:r w:rsidRPr="008C2F74">
              <w:rPr>
                <w:szCs w:val="22"/>
                <w:lang w:val="sr-Latn-RS" w:eastAsia="sl-SI"/>
              </w:rPr>
              <w:t xml:space="preserve">pankreatitits </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4E9016DD" w14:textId="77777777" w:rsidR="00C533CF" w:rsidRPr="008C2F74" w:rsidRDefault="008C2F74" w:rsidP="00811A6B">
            <w:pPr>
              <w:jc w:val="both"/>
              <w:rPr>
                <w:szCs w:val="22"/>
                <w:lang w:val="sr-Latn-RS" w:eastAsia="sl-SI"/>
              </w:rPr>
            </w:pPr>
            <w:r w:rsidRPr="008C2F74">
              <w:rPr>
                <w:szCs w:val="22"/>
                <w:lang w:val="sr-Latn-RS" w:eastAsia="sl-SI"/>
              </w:rPr>
              <w:t>nepoznato</w:t>
            </w:r>
          </w:p>
        </w:tc>
      </w:tr>
      <w:tr w:rsidR="00C533CF" w:rsidRPr="008C2F74" w14:paraId="370B3440"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A2176B3" w14:textId="77777777" w:rsidR="00C533CF" w:rsidRPr="008C2F74" w:rsidRDefault="008C2F74" w:rsidP="00811A6B">
            <w:pPr>
              <w:jc w:val="both"/>
              <w:rPr>
                <w:szCs w:val="22"/>
                <w:lang w:val="sr-Latn-RS" w:eastAsia="sl-SI"/>
              </w:rPr>
            </w:pPr>
            <w:r w:rsidRPr="008C2F74">
              <w:rPr>
                <w:szCs w:val="22"/>
                <w:lang w:val="sr-Latn-RS" w:eastAsia="sl-SI"/>
              </w:rPr>
              <w:t>Opšti poremećaji i reakcije na mjestu primjene</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00D37B10" w14:textId="77777777" w:rsidR="00C533CF" w:rsidRPr="008C2F74" w:rsidRDefault="008C2F74" w:rsidP="00811A6B">
            <w:pPr>
              <w:jc w:val="both"/>
              <w:rPr>
                <w:szCs w:val="22"/>
                <w:lang w:val="sr-Latn-RS" w:eastAsia="sl-SI"/>
              </w:rPr>
            </w:pPr>
            <w:r w:rsidRPr="008C2F74">
              <w:rPr>
                <w:szCs w:val="22"/>
                <w:lang w:val="sr-Latn-RS" w:eastAsia="sl-SI"/>
              </w:rPr>
              <w:t xml:space="preserve">astenija, umor, bol u grudima </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4C24B39C" w14:textId="77777777" w:rsidR="00C533CF" w:rsidRPr="008C2F74" w:rsidRDefault="008C2F74" w:rsidP="00811A6B">
            <w:pPr>
              <w:jc w:val="both"/>
              <w:rPr>
                <w:szCs w:val="22"/>
                <w:lang w:val="sr-Latn-RS" w:eastAsia="sl-SI"/>
              </w:rPr>
            </w:pPr>
            <w:r w:rsidRPr="008C2F74">
              <w:rPr>
                <w:szCs w:val="22"/>
                <w:lang w:val="sr-Latn-RS" w:eastAsia="sl-SI"/>
              </w:rPr>
              <w:t>često</w:t>
            </w:r>
          </w:p>
        </w:tc>
      </w:tr>
      <w:tr w:rsidR="00C533CF" w:rsidRPr="008C2F74" w14:paraId="3527865C"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E0529E"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0FCE494C" w14:textId="77777777" w:rsidR="00C533CF" w:rsidRPr="008C2F74" w:rsidRDefault="008C2F74" w:rsidP="00811A6B">
            <w:pPr>
              <w:jc w:val="both"/>
              <w:rPr>
                <w:szCs w:val="22"/>
                <w:lang w:val="sr-Latn-RS" w:eastAsia="sl-SI"/>
              </w:rPr>
            </w:pPr>
            <w:r w:rsidRPr="008C2F74">
              <w:rPr>
                <w:szCs w:val="22"/>
                <w:lang w:val="sr-Latn-RS" w:eastAsia="sl-SI"/>
              </w:rPr>
              <w:t>otok lica, otok, groznica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77DEB08A"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36604709"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5A4460"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49FDDF41" w14:textId="77777777" w:rsidR="00C533CF" w:rsidRPr="008C2F74" w:rsidRDefault="008C2F74" w:rsidP="00811A6B">
            <w:pPr>
              <w:jc w:val="both"/>
              <w:rPr>
                <w:szCs w:val="22"/>
                <w:lang w:val="sr-Latn-RS" w:eastAsia="sl-SI"/>
              </w:rPr>
            </w:pPr>
            <w:r w:rsidRPr="008C2F74">
              <w:rPr>
                <w:szCs w:val="22"/>
                <w:lang w:val="sr-Latn-RS" w:eastAsia="sl-SI"/>
              </w:rPr>
              <w:t>simptomi slični gripu, slabost</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2B6AAC49" w14:textId="77777777" w:rsidR="00C533CF" w:rsidRPr="008C2F74" w:rsidRDefault="008C2F74" w:rsidP="00811A6B">
            <w:pPr>
              <w:jc w:val="both"/>
              <w:rPr>
                <w:szCs w:val="22"/>
                <w:lang w:val="sr-Latn-RS" w:eastAsia="sl-SI"/>
              </w:rPr>
            </w:pPr>
            <w:r w:rsidRPr="008C2F74">
              <w:rPr>
                <w:szCs w:val="22"/>
                <w:lang w:val="sr-Latn-RS" w:eastAsia="sl-SI"/>
              </w:rPr>
              <w:t>nepoznato</w:t>
            </w:r>
          </w:p>
        </w:tc>
      </w:tr>
      <w:tr w:rsidR="00C533CF" w:rsidRPr="008C2F74" w14:paraId="16645622"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2691E7EF" w14:textId="77777777" w:rsidR="00C533CF" w:rsidRPr="008C2F74" w:rsidRDefault="008C2F74" w:rsidP="00811A6B">
            <w:pPr>
              <w:jc w:val="both"/>
              <w:rPr>
                <w:szCs w:val="22"/>
                <w:lang w:val="sr-Latn-RS" w:eastAsia="sl-SI"/>
              </w:rPr>
            </w:pPr>
            <w:r w:rsidRPr="008C2F74">
              <w:rPr>
                <w:szCs w:val="22"/>
                <w:lang w:val="sr-Latn-RS" w:eastAsia="sl-SI"/>
              </w:rPr>
              <w:t xml:space="preserve">Hepatobilijarni poremećaji </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467B7020" w14:textId="77777777" w:rsidR="00C533CF" w:rsidRPr="008C2F74" w:rsidRDefault="008C2F74" w:rsidP="00811A6B">
            <w:pPr>
              <w:jc w:val="both"/>
              <w:rPr>
                <w:szCs w:val="22"/>
                <w:lang w:val="sr-Latn-RS" w:eastAsia="sl-SI"/>
              </w:rPr>
            </w:pPr>
            <w:r w:rsidRPr="008C2F74">
              <w:rPr>
                <w:szCs w:val="22"/>
                <w:lang w:val="sr-Latn-RS" w:eastAsia="sl-SI"/>
              </w:rPr>
              <w:t>poremećaji funkcije jetre</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08894D3A" w14:textId="77777777" w:rsidR="00C533CF" w:rsidRPr="008C2F74" w:rsidRDefault="008C2F74" w:rsidP="00811A6B">
            <w:pPr>
              <w:jc w:val="both"/>
              <w:rPr>
                <w:szCs w:val="22"/>
                <w:lang w:val="sr-Latn-RS" w:eastAsia="sl-SI"/>
              </w:rPr>
            </w:pPr>
            <w:r w:rsidRPr="008C2F74">
              <w:rPr>
                <w:szCs w:val="22"/>
                <w:lang w:val="sr-Latn-RS" w:eastAsia="sl-SI"/>
              </w:rPr>
              <w:t>nepoznato</w:t>
            </w:r>
          </w:p>
        </w:tc>
      </w:tr>
      <w:tr w:rsidR="00C533CF" w:rsidRPr="008C2F74" w14:paraId="78579BA0"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22490256" w14:textId="77777777" w:rsidR="00C533CF" w:rsidRPr="008C2F74" w:rsidRDefault="008C2F74" w:rsidP="00811A6B">
            <w:pPr>
              <w:jc w:val="both"/>
              <w:rPr>
                <w:szCs w:val="22"/>
                <w:lang w:val="sr-Latn-RS" w:eastAsia="sl-SI"/>
              </w:rPr>
            </w:pPr>
            <w:r w:rsidRPr="008C2F74">
              <w:rPr>
                <w:szCs w:val="22"/>
                <w:lang w:val="sr-Latn-RS" w:eastAsia="sl-SI"/>
              </w:rPr>
              <w:t>Poremećaji imunskog sistema</w:t>
            </w:r>
          </w:p>
        </w:tc>
        <w:tc>
          <w:tcPr>
            <w:tcW w:w="2566" w:type="pct"/>
            <w:tcBorders>
              <w:top w:val="outset" w:sz="6" w:space="0" w:color="auto"/>
              <w:left w:val="outset" w:sz="6" w:space="0" w:color="auto"/>
              <w:bottom w:val="outset" w:sz="6" w:space="0" w:color="auto"/>
              <w:right w:val="outset" w:sz="6" w:space="0" w:color="auto"/>
            </w:tcBorders>
            <w:shd w:val="clear" w:color="auto" w:fill="FFFFFF"/>
          </w:tcPr>
          <w:p w14:paraId="65EB689E" w14:textId="77777777" w:rsidR="00C533CF" w:rsidRPr="008C2F74" w:rsidRDefault="008C2F74" w:rsidP="00811A6B">
            <w:pPr>
              <w:jc w:val="both"/>
              <w:rPr>
                <w:szCs w:val="22"/>
                <w:lang w:val="sr-Latn-RS" w:eastAsia="sl-SI"/>
              </w:rPr>
            </w:pPr>
            <w:r w:rsidRPr="008C2F74">
              <w:rPr>
                <w:szCs w:val="22"/>
                <w:lang w:val="sr-Latn-RS" w:eastAsia="sl-SI"/>
              </w:rPr>
              <w:t>preosjetljivost: anafilaktičke reakcije, angioedem uključujući edem larinksa i glotisa koji izaziva</w:t>
            </w:r>
          </w:p>
          <w:p w14:paraId="13196B44" w14:textId="77777777" w:rsidR="00C533CF" w:rsidRPr="008C2F74" w:rsidRDefault="008C2F74" w:rsidP="00811A6B">
            <w:pPr>
              <w:jc w:val="both"/>
              <w:rPr>
                <w:szCs w:val="22"/>
                <w:lang w:val="sr-Latn-RS" w:eastAsia="sl-SI"/>
              </w:rPr>
            </w:pPr>
            <w:r w:rsidRPr="008C2F74">
              <w:rPr>
                <w:szCs w:val="22"/>
                <w:lang w:val="sr-Latn-RS" w:eastAsia="sl-SI"/>
              </w:rPr>
              <w:t>opstrukciju disajnih puteva i/ili edem lica, usana, ždrijela i/ili jezika; kod nekih pacijenata angioedem je prijavljen u anamnezi i u vezi je sa primjenom</w:t>
            </w:r>
          </w:p>
          <w:p w14:paraId="5134B877" w14:textId="77777777" w:rsidR="00C533CF" w:rsidRPr="008C2F74" w:rsidRDefault="008C2F74" w:rsidP="00811A6B">
            <w:pPr>
              <w:jc w:val="both"/>
              <w:rPr>
                <w:szCs w:val="22"/>
                <w:lang w:val="sr-Latn-RS" w:eastAsia="sl-SI"/>
              </w:rPr>
            </w:pPr>
            <w:r w:rsidRPr="008C2F74">
              <w:rPr>
                <w:szCs w:val="22"/>
                <w:lang w:val="sr-Latn-RS" w:eastAsia="sl-SI"/>
              </w:rPr>
              <w:t>drugih ljekova uključujući ACE inhibitore</w:t>
            </w:r>
          </w:p>
        </w:tc>
        <w:tc>
          <w:tcPr>
            <w:tcW w:w="934" w:type="pct"/>
            <w:tcBorders>
              <w:top w:val="outset" w:sz="6" w:space="0" w:color="auto"/>
              <w:left w:val="outset" w:sz="6" w:space="0" w:color="auto"/>
              <w:bottom w:val="outset" w:sz="6" w:space="0" w:color="auto"/>
              <w:right w:val="outset" w:sz="6" w:space="0" w:color="auto"/>
            </w:tcBorders>
            <w:shd w:val="clear" w:color="auto" w:fill="FFFFFF"/>
          </w:tcPr>
          <w:p w14:paraId="6E957FE0" w14:textId="77777777" w:rsidR="00C533CF" w:rsidRPr="008C2F74" w:rsidRDefault="008C2F74" w:rsidP="00811A6B">
            <w:pPr>
              <w:jc w:val="both"/>
              <w:rPr>
                <w:szCs w:val="22"/>
                <w:lang w:val="sr-Latn-RS" w:eastAsia="sl-SI"/>
              </w:rPr>
            </w:pPr>
            <w:r w:rsidRPr="008C2F74">
              <w:rPr>
                <w:szCs w:val="22"/>
                <w:lang w:val="sr-Latn-RS" w:eastAsia="sl-SI"/>
              </w:rPr>
              <w:t>rijetko</w:t>
            </w:r>
          </w:p>
        </w:tc>
      </w:tr>
      <w:tr w:rsidR="00C533CF" w:rsidRPr="008C2F74" w14:paraId="3BBD2BF2"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53FA2EA7" w14:textId="77777777" w:rsidR="00C533CF" w:rsidRPr="008C2F74" w:rsidRDefault="008C2F74" w:rsidP="00811A6B">
            <w:pPr>
              <w:jc w:val="both"/>
              <w:rPr>
                <w:szCs w:val="22"/>
                <w:lang w:val="sr-Latn-RS" w:eastAsia="sl-SI"/>
              </w:rPr>
            </w:pPr>
            <w:r w:rsidRPr="008C2F74">
              <w:rPr>
                <w:szCs w:val="22"/>
                <w:lang w:val="sr-Latn-RS" w:eastAsia="sl-SI"/>
              </w:rPr>
              <w:t xml:space="preserve">Poremećaji metabolizma i ishrane </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3FDC9B4E" w14:textId="77777777" w:rsidR="00C533CF" w:rsidRPr="008C2F74" w:rsidRDefault="008C2F74" w:rsidP="00811A6B">
            <w:pPr>
              <w:jc w:val="both"/>
              <w:rPr>
                <w:szCs w:val="22"/>
                <w:lang w:val="sr-Latn-RS" w:eastAsia="sl-SI"/>
              </w:rPr>
            </w:pPr>
            <w:r w:rsidRPr="008C2F74">
              <w:rPr>
                <w:szCs w:val="22"/>
                <w:lang w:val="sr-Latn-RS" w:eastAsia="sl-SI"/>
              </w:rPr>
              <w:t xml:space="preserve">anoreksija, giht </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0D3EC2A0"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316164FA"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34BC91D" w14:textId="77777777" w:rsidR="00C533CF" w:rsidRPr="008C2F74" w:rsidRDefault="008C2F74" w:rsidP="00811A6B">
            <w:pPr>
              <w:jc w:val="both"/>
              <w:rPr>
                <w:szCs w:val="22"/>
                <w:lang w:val="sr-Latn-RS" w:eastAsia="sl-SI"/>
              </w:rPr>
            </w:pPr>
            <w:r w:rsidRPr="008C2F74">
              <w:rPr>
                <w:szCs w:val="22"/>
                <w:lang w:val="sr-Latn-RS" w:eastAsia="sl-SI"/>
              </w:rPr>
              <w:t>Poremećaji mišićno-koštanog sistema i vezivnog tkiva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6D6F5472" w14:textId="77777777" w:rsidR="00C533CF" w:rsidRPr="008C2F74" w:rsidRDefault="008C2F74" w:rsidP="00811A6B">
            <w:pPr>
              <w:jc w:val="both"/>
              <w:rPr>
                <w:szCs w:val="22"/>
                <w:lang w:val="sr-Latn-RS" w:eastAsia="sl-SI"/>
              </w:rPr>
            </w:pPr>
            <w:r w:rsidRPr="008C2F74">
              <w:rPr>
                <w:szCs w:val="22"/>
                <w:lang w:val="sr-Latn-RS" w:eastAsia="sl-SI"/>
              </w:rPr>
              <w:t>grčevi u mišićima, bol u leđima, bol u nogama, mijalgija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63077D5E" w14:textId="77777777" w:rsidR="00C533CF" w:rsidRPr="008C2F74" w:rsidRDefault="008C2F74" w:rsidP="00811A6B">
            <w:pPr>
              <w:jc w:val="both"/>
              <w:rPr>
                <w:szCs w:val="22"/>
                <w:lang w:val="sr-Latn-RS" w:eastAsia="sl-SI"/>
              </w:rPr>
            </w:pPr>
            <w:r w:rsidRPr="008C2F74">
              <w:rPr>
                <w:szCs w:val="22"/>
                <w:lang w:val="sr-Latn-RS" w:eastAsia="sl-SI"/>
              </w:rPr>
              <w:t>često</w:t>
            </w:r>
          </w:p>
        </w:tc>
      </w:tr>
      <w:tr w:rsidR="00C533CF" w:rsidRPr="008C2F74" w14:paraId="0C6CC079"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6B9EE5"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3BBB6306" w14:textId="77777777" w:rsidR="00C533CF" w:rsidRPr="008C2F74" w:rsidRDefault="008C2F74" w:rsidP="00811A6B">
            <w:pPr>
              <w:jc w:val="both"/>
              <w:rPr>
                <w:szCs w:val="22"/>
                <w:lang w:val="sr-Latn-RS" w:eastAsia="sl-SI"/>
              </w:rPr>
            </w:pPr>
            <w:r w:rsidRPr="008C2F74">
              <w:rPr>
                <w:szCs w:val="22"/>
                <w:lang w:val="sr-Latn-RS" w:eastAsia="sl-SI"/>
              </w:rPr>
              <w:t>bol u rukama, edem zglobova, bol u koljenu, mišićnoskeletni bol, bol u ramenu, ukočenost,</w:t>
            </w:r>
          </w:p>
          <w:p w14:paraId="1ED2C0FD" w14:textId="77777777" w:rsidR="00C533CF" w:rsidRPr="008C2F74" w:rsidRDefault="008C2F74" w:rsidP="00811A6B">
            <w:pPr>
              <w:jc w:val="both"/>
              <w:rPr>
                <w:szCs w:val="22"/>
                <w:lang w:val="sr-Latn-RS" w:eastAsia="sl-SI"/>
              </w:rPr>
            </w:pPr>
            <w:r w:rsidRPr="008C2F74">
              <w:rPr>
                <w:szCs w:val="22"/>
                <w:lang w:val="sr-Latn-RS" w:eastAsia="sl-SI"/>
              </w:rPr>
              <w:t>artralgija, artritis, bol u kuku, fibromijalgija, mišićna slabost</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164266C1"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2B99C8F7"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20AAF0"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74A8FE1" w14:textId="77777777" w:rsidR="00C533CF" w:rsidRPr="008C2F74" w:rsidRDefault="008C2F74" w:rsidP="00811A6B">
            <w:pPr>
              <w:jc w:val="both"/>
              <w:rPr>
                <w:szCs w:val="22"/>
                <w:lang w:val="sr-Latn-RS" w:eastAsia="sl-SI"/>
              </w:rPr>
            </w:pPr>
            <w:r w:rsidRPr="008C2F74">
              <w:rPr>
                <w:szCs w:val="22"/>
                <w:lang w:val="sr-Latn-RS" w:eastAsia="sl-SI"/>
              </w:rPr>
              <w:t xml:space="preserve">rabdomioliza </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627E8AA5" w14:textId="77777777" w:rsidR="00C533CF" w:rsidRPr="008C2F74" w:rsidRDefault="008C2F74" w:rsidP="00811A6B">
            <w:pPr>
              <w:jc w:val="both"/>
              <w:rPr>
                <w:szCs w:val="22"/>
                <w:lang w:val="sr-Latn-RS" w:eastAsia="sl-SI"/>
              </w:rPr>
            </w:pPr>
            <w:r w:rsidRPr="008C2F74">
              <w:rPr>
                <w:szCs w:val="22"/>
                <w:lang w:val="sr-Latn-RS" w:eastAsia="sl-SI"/>
              </w:rPr>
              <w:t>nepoznato</w:t>
            </w:r>
          </w:p>
        </w:tc>
      </w:tr>
      <w:tr w:rsidR="00C533CF" w:rsidRPr="008C2F74" w14:paraId="0ECC8D72"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5BF6A38" w14:textId="77777777" w:rsidR="00C533CF" w:rsidRPr="008C2F74" w:rsidRDefault="008C2F74" w:rsidP="00811A6B">
            <w:pPr>
              <w:jc w:val="both"/>
              <w:rPr>
                <w:szCs w:val="22"/>
                <w:lang w:val="sr-Latn-RS" w:eastAsia="sl-SI"/>
              </w:rPr>
            </w:pPr>
            <w:r w:rsidRPr="008C2F74">
              <w:rPr>
                <w:szCs w:val="22"/>
                <w:lang w:val="sr-Latn-RS" w:eastAsia="sl-SI"/>
              </w:rPr>
              <w:t>Poremećaji nervnog sistema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B5AD2EA" w14:textId="77777777" w:rsidR="00C533CF" w:rsidRPr="008C2F74" w:rsidRDefault="008C2F74" w:rsidP="00811A6B">
            <w:pPr>
              <w:jc w:val="both"/>
              <w:rPr>
                <w:szCs w:val="22"/>
                <w:lang w:val="sr-Latn-RS" w:eastAsia="sl-SI"/>
              </w:rPr>
            </w:pPr>
            <w:r w:rsidRPr="008C2F74">
              <w:rPr>
                <w:szCs w:val="22"/>
                <w:lang w:val="sr-Latn-RS" w:eastAsia="sl-SI"/>
              </w:rPr>
              <w:t>glavobolja, vrtoglavica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465A3C6A" w14:textId="77777777" w:rsidR="00C533CF" w:rsidRPr="008C2F74" w:rsidRDefault="008C2F74" w:rsidP="00811A6B">
            <w:pPr>
              <w:jc w:val="both"/>
              <w:rPr>
                <w:szCs w:val="22"/>
                <w:lang w:val="sr-Latn-RS" w:eastAsia="sl-SI"/>
              </w:rPr>
            </w:pPr>
            <w:r w:rsidRPr="008C2F74">
              <w:rPr>
                <w:szCs w:val="22"/>
                <w:lang w:val="sr-Latn-RS" w:eastAsia="sl-SI"/>
              </w:rPr>
              <w:t>često</w:t>
            </w:r>
          </w:p>
        </w:tc>
      </w:tr>
      <w:tr w:rsidR="00C533CF" w:rsidRPr="008C2F74" w14:paraId="5284A373"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5B0735"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37307052" w14:textId="77777777" w:rsidR="00C533CF" w:rsidRPr="008C2F74" w:rsidRDefault="008C2F74" w:rsidP="00811A6B">
            <w:pPr>
              <w:jc w:val="both"/>
              <w:rPr>
                <w:szCs w:val="22"/>
                <w:lang w:val="sr-Latn-RS" w:eastAsia="sl-SI"/>
              </w:rPr>
            </w:pPr>
            <w:r w:rsidRPr="008C2F74">
              <w:rPr>
                <w:szCs w:val="22"/>
                <w:lang w:val="sr-Latn-RS" w:eastAsia="sl-SI"/>
              </w:rPr>
              <w:t>nervoza, parestezije, periferna neuropatija, tremor, migrena, sinkopa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5851BB20"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7655A6A5"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7F510A"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4054B371" w14:textId="77777777" w:rsidR="00C533CF" w:rsidRPr="008C2F74" w:rsidRDefault="008C2F74" w:rsidP="00811A6B">
            <w:pPr>
              <w:jc w:val="both"/>
              <w:rPr>
                <w:szCs w:val="22"/>
                <w:lang w:val="sr-Latn-RS" w:eastAsia="sl-SI"/>
              </w:rPr>
            </w:pPr>
            <w:r w:rsidRPr="008C2F74">
              <w:rPr>
                <w:szCs w:val="22"/>
                <w:lang w:val="sr-Latn-RS" w:eastAsia="sl-SI"/>
              </w:rPr>
              <w:t>disguezija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0C74C27B" w14:textId="77777777" w:rsidR="00C533CF" w:rsidRPr="008C2F74" w:rsidRDefault="008C2F74" w:rsidP="00811A6B">
            <w:pPr>
              <w:jc w:val="both"/>
              <w:rPr>
                <w:szCs w:val="22"/>
                <w:lang w:val="sr-Latn-RS" w:eastAsia="sl-SI"/>
              </w:rPr>
            </w:pPr>
            <w:r w:rsidRPr="008C2F74">
              <w:rPr>
                <w:szCs w:val="22"/>
                <w:lang w:val="sr-Latn-RS" w:eastAsia="sl-SI"/>
              </w:rPr>
              <w:t>nepoznato</w:t>
            </w:r>
          </w:p>
        </w:tc>
      </w:tr>
      <w:tr w:rsidR="00C533CF" w:rsidRPr="008C2F74" w14:paraId="1C2FE69D"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EE71076" w14:textId="77777777" w:rsidR="00C533CF" w:rsidRPr="008C2F74" w:rsidRDefault="008C2F74" w:rsidP="00811A6B">
            <w:pPr>
              <w:jc w:val="both"/>
              <w:rPr>
                <w:szCs w:val="22"/>
                <w:lang w:val="sr-Latn-RS" w:eastAsia="sl-SI"/>
              </w:rPr>
            </w:pPr>
            <w:r w:rsidRPr="008C2F74">
              <w:rPr>
                <w:szCs w:val="22"/>
                <w:lang w:val="sr-Latn-RS" w:eastAsia="sl-SI"/>
              </w:rPr>
              <w:t>Psihijatrijski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116F56E9" w14:textId="77777777" w:rsidR="00C533CF" w:rsidRPr="008C2F74" w:rsidRDefault="008C2F74" w:rsidP="00811A6B">
            <w:pPr>
              <w:jc w:val="both"/>
              <w:rPr>
                <w:szCs w:val="22"/>
                <w:lang w:val="sr-Latn-RS" w:eastAsia="sl-SI"/>
              </w:rPr>
            </w:pPr>
            <w:r w:rsidRPr="008C2F74">
              <w:rPr>
                <w:szCs w:val="22"/>
                <w:lang w:val="sr-Latn-RS" w:eastAsia="sl-SI"/>
              </w:rPr>
              <w:t>insomnija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7765EC87" w14:textId="77777777" w:rsidR="00C533CF" w:rsidRPr="008C2F74" w:rsidRDefault="008C2F74" w:rsidP="00811A6B">
            <w:pPr>
              <w:jc w:val="both"/>
              <w:rPr>
                <w:szCs w:val="22"/>
                <w:lang w:val="sr-Latn-RS" w:eastAsia="sl-SI"/>
              </w:rPr>
            </w:pPr>
            <w:r w:rsidRPr="008C2F74">
              <w:rPr>
                <w:szCs w:val="22"/>
                <w:lang w:val="sr-Latn-RS" w:eastAsia="sl-SI"/>
              </w:rPr>
              <w:t>često</w:t>
            </w:r>
          </w:p>
        </w:tc>
      </w:tr>
      <w:tr w:rsidR="00C533CF" w:rsidRPr="008C2F74" w14:paraId="07CE67E9"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AEDA57"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72FB3C7B" w14:textId="77777777" w:rsidR="00C533CF" w:rsidRPr="008C2F74" w:rsidRDefault="008C2F74" w:rsidP="00811A6B">
            <w:pPr>
              <w:jc w:val="both"/>
              <w:rPr>
                <w:szCs w:val="22"/>
                <w:lang w:val="sr-Latn-RS" w:eastAsia="sl-SI"/>
              </w:rPr>
            </w:pPr>
            <w:r w:rsidRPr="008C2F74">
              <w:rPr>
                <w:szCs w:val="22"/>
                <w:lang w:val="sr-Latn-RS" w:eastAsia="sl-SI"/>
              </w:rPr>
              <w:t>anksioznost, anksiozni poremećaji, panični poremećaji, konfuzija, depresija, neuobičajeni</w:t>
            </w:r>
          </w:p>
          <w:p w14:paraId="2B4C24B5" w14:textId="77777777" w:rsidR="00C533CF" w:rsidRPr="008C2F74" w:rsidRDefault="008C2F74" w:rsidP="00811A6B">
            <w:pPr>
              <w:jc w:val="both"/>
              <w:rPr>
                <w:szCs w:val="22"/>
                <w:lang w:val="sr-Latn-RS" w:eastAsia="sl-SI"/>
              </w:rPr>
            </w:pPr>
            <w:r w:rsidRPr="008C2F74">
              <w:rPr>
                <w:szCs w:val="22"/>
                <w:lang w:val="sr-Latn-RS" w:eastAsia="sl-SI"/>
              </w:rPr>
              <w:t>snovi, poremećaji sna, somnolencija, poremećaj</w:t>
            </w:r>
          </w:p>
          <w:p w14:paraId="23290E7F" w14:textId="77777777" w:rsidR="00C533CF" w:rsidRPr="008C2F74" w:rsidRDefault="008C2F74" w:rsidP="00811A6B">
            <w:pPr>
              <w:jc w:val="both"/>
              <w:rPr>
                <w:szCs w:val="22"/>
                <w:lang w:val="sr-Latn-RS" w:eastAsia="sl-SI"/>
              </w:rPr>
            </w:pPr>
            <w:r w:rsidRPr="008C2F74">
              <w:rPr>
                <w:szCs w:val="22"/>
                <w:lang w:val="sr-Latn-RS" w:eastAsia="sl-SI"/>
              </w:rPr>
              <w:t>pamćenja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791DD056"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6E1E2E25"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14750214" w14:textId="77777777" w:rsidR="00C533CF" w:rsidRPr="008C2F74" w:rsidRDefault="008C2F74" w:rsidP="00811A6B">
            <w:pPr>
              <w:jc w:val="both"/>
              <w:rPr>
                <w:szCs w:val="22"/>
                <w:lang w:val="sr-Latn-RS" w:eastAsia="sl-SI"/>
              </w:rPr>
            </w:pPr>
            <w:r w:rsidRPr="008C2F74">
              <w:rPr>
                <w:szCs w:val="22"/>
                <w:lang w:val="sr-Latn-RS" w:eastAsia="sl-SI"/>
              </w:rPr>
              <w:t>Poremećaji bubrega i urinarnog sistema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67DD8817" w14:textId="77777777" w:rsidR="00C533CF" w:rsidRPr="008C2F74" w:rsidRDefault="008C2F74" w:rsidP="00811A6B">
            <w:pPr>
              <w:jc w:val="both"/>
              <w:rPr>
                <w:szCs w:val="22"/>
                <w:lang w:val="sr-Latn-RS" w:eastAsia="sl-SI"/>
              </w:rPr>
            </w:pPr>
            <w:r w:rsidRPr="008C2F74">
              <w:rPr>
                <w:szCs w:val="22"/>
                <w:lang w:val="sr-Latn-RS" w:eastAsia="sl-SI"/>
              </w:rPr>
              <w:t>oštećenje funkcije bubrega, bubrežna insuficijencija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38BAB77E" w14:textId="77777777" w:rsidR="00C533CF" w:rsidRPr="008C2F74" w:rsidRDefault="008C2F74" w:rsidP="00811A6B">
            <w:pPr>
              <w:jc w:val="both"/>
              <w:rPr>
                <w:szCs w:val="22"/>
                <w:lang w:val="sr-Latn-RS" w:eastAsia="sl-SI"/>
              </w:rPr>
            </w:pPr>
            <w:r w:rsidRPr="008C2F74">
              <w:rPr>
                <w:szCs w:val="22"/>
                <w:lang w:val="sr-Latn-RS" w:eastAsia="sl-SI"/>
              </w:rPr>
              <w:t>često</w:t>
            </w:r>
          </w:p>
        </w:tc>
      </w:tr>
      <w:tr w:rsidR="00C533CF" w:rsidRPr="008C2F74" w14:paraId="0A5F6912"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DD2553"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3CED9993" w14:textId="77777777" w:rsidR="00C533CF" w:rsidRPr="008C2F74" w:rsidRDefault="008C2F74" w:rsidP="00811A6B">
            <w:pPr>
              <w:jc w:val="both"/>
              <w:rPr>
                <w:szCs w:val="22"/>
                <w:lang w:val="sr-Latn-RS" w:eastAsia="sl-SI"/>
              </w:rPr>
            </w:pPr>
            <w:r w:rsidRPr="008C2F74">
              <w:rPr>
                <w:szCs w:val="22"/>
                <w:lang w:val="sr-Latn-RS" w:eastAsia="sl-SI"/>
              </w:rPr>
              <w:t>noćno mokrenje, češće mokrenje, infekcije urinarnog trakta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02296DA1"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41F0A2BF"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094E9822" w14:textId="77777777" w:rsidR="00C533CF" w:rsidRPr="008C2F74" w:rsidRDefault="008C2F74" w:rsidP="00811A6B">
            <w:pPr>
              <w:jc w:val="both"/>
              <w:rPr>
                <w:szCs w:val="22"/>
                <w:lang w:val="sr-Latn-RS" w:eastAsia="sl-SI"/>
              </w:rPr>
            </w:pPr>
            <w:r w:rsidRPr="008C2F74">
              <w:rPr>
                <w:szCs w:val="22"/>
                <w:lang w:val="sr-Latn-RS" w:eastAsia="sl-SI"/>
              </w:rPr>
              <w:t>Poremećaji reproduktivnog</w:t>
            </w:r>
          </w:p>
          <w:p w14:paraId="272F0A7D" w14:textId="77777777" w:rsidR="00C533CF" w:rsidRPr="008C2F74" w:rsidRDefault="008C2F74" w:rsidP="00811A6B">
            <w:pPr>
              <w:jc w:val="both"/>
              <w:rPr>
                <w:szCs w:val="22"/>
                <w:lang w:val="sr-Latn-RS" w:eastAsia="sl-SI"/>
              </w:rPr>
            </w:pPr>
            <w:r w:rsidRPr="008C2F74">
              <w:rPr>
                <w:szCs w:val="22"/>
                <w:lang w:val="sr-Latn-RS" w:eastAsia="sl-SI"/>
              </w:rPr>
              <w:t>sistema i dojki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2B22631" w14:textId="77777777" w:rsidR="00C533CF" w:rsidRPr="008C2F74" w:rsidRDefault="008C2F74" w:rsidP="00811A6B">
            <w:pPr>
              <w:jc w:val="both"/>
              <w:rPr>
                <w:szCs w:val="22"/>
                <w:lang w:val="sr-Latn-RS" w:eastAsia="sl-SI"/>
              </w:rPr>
            </w:pPr>
            <w:r w:rsidRPr="008C2F74">
              <w:rPr>
                <w:szCs w:val="22"/>
                <w:lang w:val="sr-Latn-RS" w:eastAsia="sl-SI"/>
              </w:rPr>
              <w:t>smanjen libido, erektilna disfunkcija/impotencija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1770155F"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6330CBFF"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7A04CEE" w14:textId="77777777" w:rsidR="00C533CF" w:rsidRPr="008C2F74" w:rsidRDefault="008C2F74" w:rsidP="00811A6B">
            <w:pPr>
              <w:jc w:val="both"/>
              <w:rPr>
                <w:szCs w:val="22"/>
                <w:lang w:val="sr-Latn-RS" w:eastAsia="sl-SI"/>
              </w:rPr>
            </w:pPr>
            <w:r w:rsidRPr="008C2F74">
              <w:rPr>
                <w:szCs w:val="22"/>
                <w:lang w:val="sr-Latn-RS" w:eastAsia="sl-SI"/>
              </w:rPr>
              <w:t>Respiratorni, torakalni i</w:t>
            </w:r>
          </w:p>
          <w:p w14:paraId="6BB4349A" w14:textId="77777777" w:rsidR="00C533CF" w:rsidRPr="008C2F74" w:rsidRDefault="008C2F74" w:rsidP="00811A6B">
            <w:pPr>
              <w:jc w:val="both"/>
              <w:rPr>
                <w:szCs w:val="22"/>
                <w:lang w:val="sr-Latn-RS" w:eastAsia="sl-SI"/>
              </w:rPr>
            </w:pPr>
            <w:r w:rsidRPr="008C2F74">
              <w:rPr>
                <w:szCs w:val="22"/>
                <w:lang w:val="sr-Latn-RS" w:eastAsia="sl-SI"/>
              </w:rPr>
              <w:t>medijastinalni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7B52F898" w14:textId="77777777" w:rsidR="00C533CF" w:rsidRPr="008C2F74" w:rsidRDefault="008C2F74" w:rsidP="00811A6B">
            <w:pPr>
              <w:jc w:val="both"/>
              <w:rPr>
                <w:szCs w:val="22"/>
                <w:lang w:val="sr-Latn-RS" w:eastAsia="sl-SI"/>
              </w:rPr>
            </w:pPr>
            <w:r w:rsidRPr="008C2F74">
              <w:rPr>
                <w:szCs w:val="22"/>
                <w:lang w:val="sr-Latn-RS" w:eastAsia="sl-SI"/>
              </w:rPr>
              <w:t>kašalj, infekcije gornjeg respiratornog trakta, nazalna kongestija, sinuzitis, poremećaji na nivou sinusa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3917DAC7" w14:textId="77777777" w:rsidR="00C533CF" w:rsidRPr="008C2F74" w:rsidRDefault="008C2F74" w:rsidP="00811A6B">
            <w:pPr>
              <w:jc w:val="both"/>
              <w:rPr>
                <w:szCs w:val="22"/>
                <w:lang w:val="sr-Latn-RS" w:eastAsia="sl-SI"/>
              </w:rPr>
            </w:pPr>
            <w:r w:rsidRPr="008C2F74">
              <w:rPr>
                <w:szCs w:val="22"/>
                <w:lang w:val="sr-Latn-RS" w:eastAsia="sl-SI"/>
              </w:rPr>
              <w:t>često</w:t>
            </w:r>
          </w:p>
        </w:tc>
      </w:tr>
      <w:tr w:rsidR="00C533CF" w:rsidRPr="008C2F74" w14:paraId="05CDBF50"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0EEF52"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71FFF607" w14:textId="77777777" w:rsidR="00C533CF" w:rsidRPr="008C2F74" w:rsidRDefault="008C2F74" w:rsidP="00811A6B">
            <w:pPr>
              <w:jc w:val="both"/>
              <w:rPr>
                <w:szCs w:val="22"/>
                <w:lang w:val="sr-Latn-RS" w:eastAsia="sl-SI"/>
              </w:rPr>
            </w:pPr>
            <w:r w:rsidRPr="008C2F74">
              <w:rPr>
                <w:szCs w:val="22"/>
                <w:lang w:val="sr-Latn-RS" w:eastAsia="sl-SI"/>
              </w:rPr>
              <w:t xml:space="preserve">bol u ždrijelu, faringitis, laringitis, dispneja, bronhitis, epistaksa, rinitis, respiratorna kongestija </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038E5133"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68759B78"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413112DD" w14:textId="77777777" w:rsidR="00C533CF" w:rsidRPr="008C2F74" w:rsidRDefault="008C2F74" w:rsidP="00811A6B">
            <w:pPr>
              <w:jc w:val="both"/>
              <w:rPr>
                <w:szCs w:val="22"/>
                <w:lang w:val="sr-Latn-RS" w:eastAsia="sl-SI"/>
              </w:rPr>
            </w:pPr>
            <w:r w:rsidRPr="008C2F74">
              <w:rPr>
                <w:szCs w:val="22"/>
                <w:lang w:val="sr-Latn-RS" w:eastAsia="sl-SI"/>
              </w:rPr>
              <w:lastRenderedPageBreak/>
              <w:t>Poremećaji kože i potkožnog tkiva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12AD87F9" w14:textId="77777777" w:rsidR="00C533CF" w:rsidRPr="008C2F74" w:rsidRDefault="008C2F74" w:rsidP="00811A6B">
            <w:pPr>
              <w:jc w:val="both"/>
              <w:rPr>
                <w:szCs w:val="22"/>
                <w:lang w:val="sr-Latn-RS" w:eastAsia="sl-SI"/>
              </w:rPr>
            </w:pPr>
            <w:r w:rsidRPr="008C2F74">
              <w:rPr>
                <w:szCs w:val="22"/>
                <w:lang w:val="sr-Latn-RS" w:eastAsia="sl-SI"/>
              </w:rPr>
              <w:t>alopecija, dermatitis, suva koža, eritem, naleti crvenila, fotosenzitivnost, pruritus, osip, urtikarija, znojenje</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26460D36"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1371606A"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02DA360C" w14:textId="77777777" w:rsidR="00C533CF" w:rsidRPr="008C2F74" w:rsidRDefault="008C2F74" w:rsidP="00811A6B">
            <w:pPr>
              <w:jc w:val="both"/>
              <w:rPr>
                <w:szCs w:val="22"/>
                <w:lang w:val="sr-Latn-RS" w:eastAsia="sl-SI"/>
              </w:rPr>
            </w:pPr>
            <w:r w:rsidRPr="008C2F74">
              <w:rPr>
                <w:szCs w:val="22"/>
                <w:lang w:val="sr-Latn-RS" w:eastAsia="sl-SI"/>
              </w:rPr>
              <w:t>Vaskularni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0858099C" w14:textId="77777777" w:rsidR="00C533CF" w:rsidRPr="008C2F74" w:rsidRDefault="008C2F74" w:rsidP="00811A6B">
            <w:pPr>
              <w:jc w:val="both"/>
              <w:rPr>
                <w:szCs w:val="22"/>
                <w:lang w:val="sr-Latn-RS" w:eastAsia="sl-SI"/>
              </w:rPr>
            </w:pPr>
            <w:r w:rsidRPr="008C2F74">
              <w:rPr>
                <w:szCs w:val="22"/>
                <w:lang w:val="sr-Latn-RS" w:eastAsia="sl-SI"/>
              </w:rPr>
              <w:t>vaskulitis</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34754F56"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2F732DA2"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8C865A"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4D0B29F6" w14:textId="77777777" w:rsidR="00C533CF" w:rsidRPr="008C2F74" w:rsidRDefault="008C2F74" w:rsidP="00811A6B">
            <w:pPr>
              <w:jc w:val="both"/>
              <w:rPr>
                <w:szCs w:val="22"/>
                <w:lang w:val="sr-Latn-RS" w:eastAsia="sl-SI"/>
              </w:rPr>
            </w:pPr>
            <w:r w:rsidRPr="008C2F74">
              <w:rPr>
                <w:szCs w:val="22"/>
                <w:lang w:val="sr-Latn-RS" w:eastAsia="sl-SI"/>
              </w:rPr>
              <w:t>dozno zavisni ortostatski efekti</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40559CF5" w14:textId="77777777" w:rsidR="00C533CF" w:rsidRPr="008C2F74" w:rsidRDefault="008C2F74" w:rsidP="00811A6B">
            <w:pPr>
              <w:jc w:val="both"/>
              <w:rPr>
                <w:szCs w:val="22"/>
                <w:lang w:val="sr-Latn-RS" w:eastAsia="sl-SI"/>
              </w:rPr>
            </w:pPr>
            <w:r w:rsidRPr="008C2F74">
              <w:rPr>
                <w:szCs w:val="22"/>
                <w:lang w:val="sr-Latn-RS" w:eastAsia="sl-SI"/>
              </w:rPr>
              <w:t>nepoznato</w:t>
            </w:r>
          </w:p>
        </w:tc>
      </w:tr>
      <w:tr w:rsidR="00C533CF" w:rsidRPr="008C2F74" w14:paraId="405EDAE1"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70AA7664" w14:textId="77777777" w:rsidR="00C533CF" w:rsidRPr="008C2F74" w:rsidRDefault="008C2F74" w:rsidP="00811A6B">
            <w:pPr>
              <w:jc w:val="both"/>
              <w:rPr>
                <w:szCs w:val="22"/>
                <w:lang w:val="sr-Latn-RS" w:eastAsia="sl-SI"/>
              </w:rPr>
            </w:pPr>
            <w:r w:rsidRPr="008C2F74">
              <w:rPr>
                <w:szCs w:val="22"/>
                <w:lang w:val="sr-Latn-RS" w:eastAsia="sl-SI"/>
              </w:rPr>
              <w:t>Ispitivanja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68CD2A9" w14:textId="77777777" w:rsidR="00C533CF" w:rsidRPr="008C2F74" w:rsidRDefault="008C2F74" w:rsidP="00811A6B">
            <w:pPr>
              <w:jc w:val="both"/>
              <w:rPr>
                <w:szCs w:val="22"/>
                <w:lang w:val="sr-Latn-RS" w:eastAsia="sl-SI"/>
              </w:rPr>
            </w:pPr>
            <w:r w:rsidRPr="008C2F74">
              <w:rPr>
                <w:szCs w:val="22"/>
                <w:lang w:val="sr-Latn-RS" w:eastAsia="sl-SI"/>
              </w:rPr>
              <w:t>hiperkalijemija, blago sniženje hematokrita i hemoglobina, hipoglikemija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737A92CE" w14:textId="77777777" w:rsidR="00C533CF" w:rsidRPr="008C2F74" w:rsidRDefault="008C2F74" w:rsidP="00811A6B">
            <w:pPr>
              <w:jc w:val="both"/>
              <w:rPr>
                <w:szCs w:val="22"/>
                <w:lang w:val="sr-Latn-RS" w:eastAsia="sl-SI"/>
              </w:rPr>
            </w:pPr>
            <w:r w:rsidRPr="008C2F74">
              <w:rPr>
                <w:szCs w:val="22"/>
                <w:lang w:val="sr-Latn-RS" w:eastAsia="sl-SI"/>
              </w:rPr>
              <w:t>često</w:t>
            </w:r>
          </w:p>
        </w:tc>
      </w:tr>
      <w:tr w:rsidR="00C533CF" w:rsidRPr="008C2F74" w14:paraId="15AD3588"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FFAEE6"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18E57A22" w14:textId="77777777" w:rsidR="00C533CF" w:rsidRPr="008C2F74" w:rsidRDefault="008C2F74" w:rsidP="00811A6B">
            <w:pPr>
              <w:jc w:val="both"/>
              <w:rPr>
                <w:szCs w:val="22"/>
                <w:lang w:val="sr-Latn-RS" w:eastAsia="sl-SI"/>
              </w:rPr>
            </w:pPr>
            <w:r w:rsidRPr="008C2F74">
              <w:rPr>
                <w:szCs w:val="22"/>
                <w:lang w:val="sr-Latn-RS" w:eastAsia="sl-SI"/>
              </w:rPr>
              <w:t>blago povišenje uree i kreatinina u serumu</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368B3641"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525F75C5"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EB54AF"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4F1C92D8" w14:textId="77777777" w:rsidR="00C533CF" w:rsidRPr="008C2F74" w:rsidRDefault="008C2F74" w:rsidP="00811A6B">
            <w:pPr>
              <w:jc w:val="both"/>
              <w:rPr>
                <w:szCs w:val="22"/>
                <w:lang w:val="sr-Latn-RS" w:eastAsia="sl-SI"/>
              </w:rPr>
            </w:pPr>
            <w:r w:rsidRPr="008C2F74">
              <w:rPr>
                <w:szCs w:val="22"/>
                <w:lang w:val="sr-Latn-RS" w:eastAsia="sl-SI"/>
              </w:rPr>
              <w:t>povećanje vrijednosti enzima jetre i bilirubina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163A3712" w14:textId="77777777" w:rsidR="00C533CF" w:rsidRPr="008C2F74" w:rsidRDefault="008C2F74" w:rsidP="00811A6B">
            <w:pPr>
              <w:jc w:val="both"/>
              <w:rPr>
                <w:szCs w:val="22"/>
                <w:lang w:val="sr-Latn-RS" w:eastAsia="sl-SI"/>
              </w:rPr>
            </w:pPr>
            <w:r w:rsidRPr="008C2F74">
              <w:rPr>
                <w:szCs w:val="22"/>
                <w:lang w:val="sr-Latn-RS" w:eastAsia="sl-SI"/>
              </w:rPr>
              <w:t>veoma rijetko</w:t>
            </w:r>
          </w:p>
        </w:tc>
      </w:tr>
      <w:tr w:rsidR="00C533CF" w:rsidRPr="008C2F74" w14:paraId="6EC4282C"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35E44E"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358440BB" w14:textId="77777777" w:rsidR="00C533CF" w:rsidRPr="008C2F74" w:rsidRDefault="008C2F74" w:rsidP="00811A6B">
            <w:pPr>
              <w:jc w:val="both"/>
              <w:rPr>
                <w:szCs w:val="22"/>
                <w:lang w:val="sr-Latn-RS" w:eastAsia="sl-SI"/>
              </w:rPr>
            </w:pPr>
            <w:r w:rsidRPr="008C2F74">
              <w:rPr>
                <w:szCs w:val="22"/>
                <w:lang w:val="sr-Latn-RS" w:eastAsia="sl-SI"/>
              </w:rPr>
              <w:t>hiponatrijemija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2DB408D9" w14:textId="77777777" w:rsidR="00C533CF" w:rsidRPr="008C2F74" w:rsidRDefault="008C2F74" w:rsidP="00811A6B">
            <w:pPr>
              <w:jc w:val="both"/>
              <w:rPr>
                <w:szCs w:val="22"/>
                <w:lang w:val="sr-Latn-RS" w:eastAsia="sl-SI"/>
              </w:rPr>
            </w:pPr>
            <w:r w:rsidRPr="008C2F74">
              <w:rPr>
                <w:szCs w:val="22"/>
                <w:lang w:val="sr-Latn-RS" w:eastAsia="sl-SI"/>
              </w:rPr>
              <w:t>nepoznato</w:t>
            </w:r>
          </w:p>
        </w:tc>
      </w:tr>
    </w:tbl>
    <w:p w14:paraId="7A7EAC7E" w14:textId="77777777" w:rsidR="00C533CF" w:rsidRPr="008C2F74" w:rsidRDefault="00C533CF" w:rsidP="00811A6B">
      <w:pPr>
        <w:widowControl w:val="0"/>
        <w:spacing w:line="276" w:lineRule="auto"/>
        <w:jc w:val="both"/>
        <w:rPr>
          <w:b/>
          <w:szCs w:val="22"/>
          <w:u w:val="single"/>
          <w:lang w:val="sr-Latn-RS" w:eastAsia="sl-SI"/>
        </w:rPr>
      </w:pPr>
    </w:p>
    <w:p w14:paraId="68AC5A61" w14:textId="77777777" w:rsidR="00C533CF" w:rsidRPr="008C2F74" w:rsidRDefault="008C2F74" w:rsidP="00811A6B">
      <w:pPr>
        <w:widowControl w:val="0"/>
        <w:spacing w:line="276" w:lineRule="auto"/>
        <w:jc w:val="both"/>
        <w:rPr>
          <w:b/>
          <w:szCs w:val="22"/>
          <w:u w:val="single"/>
          <w:lang w:val="sr-Latn-RS" w:eastAsia="sl-SI"/>
        </w:rPr>
      </w:pPr>
      <w:r w:rsidRPr="008C2F74">
        <w:rPr>
          <w:b/>
          <w:szCs w:val="22"/>
          <w:u w:val="single"/>
          <w:lang w:val="sr-Latn-RS" w:eastAsia="sl-SI"/>
        </w:rPr>
        <w:t>Hidrohlortiazid</w:t>
      </w:r>
    </w:p>
    <w:p w14:paraId="371417C7" w14:textId="77777777" w:rsidR="00C533CF" w:rsidRPr="008C2F74" w:rsidRDefault="00C533CF" w:rsidP="00811A6B">
      <w:pPr>
        <w:widowControl w:val="0"/>
        <w:spacing w:line="276" w:lineRule="auto"/>
        <w:jc w:val="both"/>
        <w:rPr>
          <w:szCs w:val="22"/>
          <w:lang w:val="sr-Latn-RS" w:eastAsia="sl-SI"/>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717"/>
        <w:gridCol w:w="4647"/>
        <w:gridCol w:w="1691"/>
      </w:tblGrid>
      <w:tr w:rsidR="00C533CF" w:rsidRPr="008C2F74" w14:paraId="2752D950"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18E0ED49" w14:textId="77777777" w:rsidR="00C533CF" w:rsidRPr="008C2F74" w:rsidRDefault="008C2F74" w:rsidP="00811A6B">
            <w:pPr>
              <w:jc w:val="both"/>
              <w:rPr>
                <w:color w:val="000000"/>
                <w:szCs w:val="22"/>
                <w:lang w:val="sr-Latn-RS" w:eastAsia="sl-SI"/>
              </w:rPr>
            </w:pPr>
            <w:r w:rsidRPr="008C2F74">
              <w:rPr>
                <w:b/>
                <w:bCs/>
                <w:szCs w:val="22"/>
                <w:lang w:val="sr-Latn-RS" w:eastAsia="sl-SI"/>
              </w:rPr>
              <w:t>Klasa sistema organa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07FBC1A5" w14:textId="77777777" w:rsidR="00C533CF" w:rsidRPr="008C2F74" w:rsidRDefault="008C2F74" w:rsidP="00811A6B">
            <w:pPr>
              <w:jc w:val="both"/>
              <w:rPr>
                <w:color w:val="000000"/>
                <w:szCs w:val="22"/>
                <w:lang w:val="sr-Latn-RS" w:eastAsia="sl-SI"/>
              </w:rPr>
            </w:pPr>
            <w:r w:rsidRPr="008C2F74">
              <w:rPr>
                <w:b/>
                <w:bCs/>
                <w:szCs w:val="22"/>
                <w:lang w:val="sr-Latn-RS" w:eastAsia="sl-SI"/>
              </w:rPr>
              <w:t>Neželjeno dejstvo</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60408C4A" w14:textId="77777777" w:rsidR="00C533CF" w:rsidRPr="008C2F74" w:rsidRDefault="008C2F74" w:rsidP="00811A6B">
            <w:pPr>
              <w:jc w:val="both"/>
              <w:rPr>
                <w:color w:val="000000"/>
                <w:szCs w:val="22"/>
                <w:lang w:val="sr-Latn-RS" w:eastAsia="sl-SI"/>
              </w:rPr>
            </w:pPr>
            <w:r w:rsidRPr="008C2F74">
              <w:rPr>
                <w:b/>
                <w:bCs/>
                <w:szCs w:val="22"/>
                <w:lang w:val="sr-Latn-RS" w:eastAsia="sl-SI"/>
              </w:rPr>
              <w:t>Učestalost</w:t>
            </w:r>
          </w:p>
        </w:tc>
      </w:tr>
      <w:tr w:rsidR="00C533CF" w:rsidRPr="008C2F74" w14:paraId="307936BA" w14:textId="77777777">
        <w:tc>
          <w:tcPr>
            <w:tcW w:w="1500" w:type="pct"/>
            <w:tcBorders>
              <w:top w:val="outset" w:sz="6" w:space="0" w:color="auto"/>
              <w:left w:val="outset" w:sz="6" w:space="0" w:color="auto"/>
              <w:bottom w:val="outset" w:sz="6" w:space="0" w:color="auto"/>
              <w:right w:val="outset" w:sz="6" w:space="0" w:color="auto"/>
            </w:tcBorders>
            <w:shd w:val="clear" w:color="auto" w:fill="FFFFFF"/>
          </w:tcPr>
          <w:p w14:paraId="30679127" w14:textId="77777777" w:rsidR="00C533CF" w:rsidRPr="008C2F74" w:rsidRDefault="008C2F74" w:rsidP="00811A6B">
            <w:pPr>
              <w:jc w:val="both"/>
              <w:rPr>
                <w:szCs w:val="22"/>
                <w:lang w:val="sr-Latn-RS" w:eastAsia="sl-SI"/>
              </w:rPr>
            </w:pPr>
            <w:r w:rsidRPr="008C2F74">
              <w:rPr>
                <w:szCs w:val="22"/>
                <w:lang w:val="sr-Latn-RS" w:eastAsia="sl-SI"/>
              </w:rPr>
              <w:t>Neoplazme – benigne, maligne i neodređene (uključujući ciste i polipe)</w:t>
            </w:r>
          </w:p>
        </w:tc>
        <w:tc>
          <w:tcPr>
            <w:tcW w:w="2566" w:type="pct"/>
            <w:tcBorders>
              <w:top w:val="outset" w:sz="6" w:space="0" w:color="auto"/>
              <w:left w:val="outset" w:sz="6" w:space="0" w:color="auto"/>
              <w:bottom w:val="outset" w:sz="6" w:space="0" w:color="auto"/>
              <w:right w:val="outset" w:sz="6" w:space="0" w:color="auto"/>
            </w:tcBorders>
            <w:shd w:val="clear" w:color="auto" w:fill="FFFFFF"/>
          </w:tcPr>
          <w:p w14:paraId="10385CC3" w14:textId="77777777" w:rsidR="00C533CF" w:rsidRPr="008C2F74" w:rsidRDefault="008C2F74" w:rsidP="00811A6B">
            <w:pPr>
              <w:jc w:val="both"/>
              <w:rPr>
                <w:szCs w:val="22"/>
                <w:lang w:val="sr-Latn-RS" w:eastAsia="sl-SI"/>
              </w:rPr>
            </w:pPr>
            <w:r w:rsidRPr="008C2F74">
              <w:rPr>
                <w:szCs w:val="22"/>
                <w:lang w:val="sr-Latn-RS"/>
              </w:rPr>
              <w:t>nemelanomski karcinom kože (bazocelularni karcinom i planocelularni karcinom</w:t>
            </w:r>
            <w:r w:rsidRPr="008C2F74">
              <w:rPr>
                <w:szCs w:val="22"/>
                <w:vertAlign w:val="superscript"/>
                <w:lang w:val="sr-Latn-RS"/>
              </w:rPr>
              <w:t>1</w:t>
            </w:r>
          </w:p>
        </w:tc>
        <w:tc>
          <w:tcPr>
            <w:tcW w:w="934" w:type="pct"/>
            <w:tcBorders>
              <w:top w:val="outset" w:sz="6" w:space="0" w:color="auto"/>
              <w:left w:val="outset" w:sz="6" w:space="0" w:color="auto"/>
              <w:bottom w:val="outset" w:sz="6" w:space="0" w:color="auto"/>
              <w:right w:val="outset" w:sz="6" w:space="0" w:color="auto"/>
            </w:tcBorders>
            <w:shd w:val="clear" w:color="auto" w:fill="FFFFFF"/>
          </w:tcPr>
          <w:p w14:paraId="5D4B6547" w14:textId="77777777" w:rsidR="00C533CF" w:rsidRPr="008C2F74" w:rsidRDefault="008C2F74" w:rsidP="00811A6B">
            <w:pPr>
              <w:jc w:val="both"/>
              <w:rPr>
                <w:szCs w:val="22"/>
                <w:lang w:val="sr-Latn-RS" w:eastAsia="sl-SI"/>
              </w:rPr>
            </w:pPr>
            <w:r w:rsidRPr="008C2F74">
              <w:rPr>
                <w:szCs w:val="22"/>
                <w:lang w:val="sr-Latn-RS" w:eastAsia="sl-SI"/>
              </w:rPr>
              <w:t>nepoznato</w:t>
            </w:r>
          </w:p>
        </w:tc>
      </w:tr>
      <w:tr w:rsidR="00C533CF" w:rsidRPr="008C2F74" w14:paraId="16216ACF"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3535408F" w14:textId="77777777" w:rsidR="00C533CF" w:rsidRPr="008C2F74" w:rsidRDefault="008C2F74" w:rsidP="00811A6B">
            <w:pPr>
              <w:jc w:val="both"/>
              <w:rPr>
                <w:szCs w:val="22"/>
                <w:lang w:val="sr-Latn-RS" w:eastAsia="sl-SI"/>
              </w:rPr>
            </w:pPr>
            <w:r w:rsidRPr="008C2F74">
              <w:rPr>
                <w:szCs w:val="22"/>
                <w:lang w:val="sr-Latn-RS" w:eastAsia="sl-SI"/>
              </w:rPr>
              <w:t>Poremećaji krvi i limfnog sistema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6FA7042" w14:textId="77777777" w:rsidR="00C533CF" w:rsidRPr="008C2F74" w:rsidRDefault="008C2F74" w:rsidP="00811A6B">
            <w:pPr>
              <w:jc w:val="both"/>
              <w:rPr>
                <w:szCs w:val="22"/>
                <w:lang w:val="sr-Latn-RS" w:eastAsia="sl-SI"/>
              </w:rPr>
            </w:pPr>
            <w:r w:rsidRPr="008C2F74">
              <w:rPr>
                <w:szCs w:val="22"/>
                <w:lang w:val="sr-Latn-RS" w:eastAsia="sl-SI"/>
              </w:rPr>
              <w:t>agranulocitoza, aplastična anemija, hemolitička anemija, leukopenija, purpura, trombocitopenija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60B18AA9"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451CBA79"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1B0B52E1" w14:textId="77777777" w:rsidR="00C533CF" w:rsidRPr="008C2F74" w:rsidRDefault="008C2F74" w:rsidP="00811A6B">
            <w:pPr>
              <w:jc w:val="both"/>
              <w:rPr>
                <w:szCs w:val="22"/>
                <w:lang w:val="sr-Latn-RS" w:eastAsia="sl-SI"/>
              </w:rPr>
            </w:pPr>
            <w:r w:rsidRPr="008C2F74">
              <w:rPr>
                <w:szCs w:val="22"/>
                <w:lang w:val="sr-Latn-RS" w:eastAsia="sl-SI"/>
              </w:rPr>
              <w:t>Poremećaji imunskog sistema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1C7746C0" w14:textId="77777777" w:rsidR="00C533CF" w:rsidRPr="008C2F74" w:rsidRDefault="008C2F74" w:rsidP="00811A6B">
            <w:pPr>
              <w:jc w:val="both"/>
              <w:rPr>
                <w:szCs w:val="22"/>
                <w:lang w:val="sr-Latn-RS" w:eastAsia="sl-SI"/>
              </w:rPr>
            </w:pPr>
            <w:r w:rsidRPr="008C2F74">
              <w:rPr>
                <w:szCs w:val="22"/>
                <w:lang w:val="sr-Latn-RS" w:eastAsia="sl-SI"/>
              </w:rPr>
              <w:t>anafilaktičke reakcije</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26E1F264" w14:textId="77777777" w:rsidR="00C533CF" w:rsidRPr="008C2F74" w:rsidRDefault="008C2F74" w:rsidP="00811A6B">
            <w:pPr>
              <w:jc w:val="both"/>
              <w:rPr>
                <w:szCs w:val="22"/>
                <w:lang w:val="sr-Latn-RS" w:eastAsia="sl-SI"/>
              </w:rPr>
            </w:pPr>
            <w:r w:rsidRPr="008C2F74">
              <w:rPr>
                <w:szCs w:val="22"/>
                <w:lang w:val="sr-Latn-RS" w:eastAsia="sl-SI"/>
              </w:rPr>
              <w:t>rijetko</w:t>
            </w:r>
          </w:p>
        </w:tc>
      </w:tr>
      <w:tr w:rsidR="00C533CF" w:rsidRPr="008C2F74" w14:paraId="49416EA1"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7A2A8D1E" w14:textId="77777777" w:rsidR="00C533CF" w:rsidRPr="008C2F74" w:rsidRDefault="008C2F74" w:rsidP="00811A6B">
            <w:pPr>
              <w:jc w:val="both"/>
              <w:rPr>
                <w:szCs w:val="22"/>
                <w:lang w:val="sr-Latn-RS" w:eastAsia="sl-SI"/>
              </w:rPr>
            </w:pPr>
            <w:r w:rsidRPr="008C2F74">
              <w:rPr>
                <w:szCs w:val="22"/>
                <w:lang w:val="sr-Latn-RS" w:eastAsia="sl-SI"/>
              </w:rPr>
              <w:t>Poremećaji metabolizma i ishrane</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4D74BDF2" w14:textId="77777777" w:rsidR="00C533CF" w:rsidRPr="008C2F74" w:rsidRDefault="008C2F74" w:rsidP="00811A6B">
            <w:pPr>
              <w:jc w:val="both"/>
              <w:rPr>
                <w:szCs w:val="22"/>
                <w:lang w:val="sr-Latn-RS" w:eastAsia="sl-SI"/>
              </w:rPr>
            </w:pPr>
            <w:r w:rsidRPr="008C2F74">
              <w:rPr>
                <w:szCs w:val="22"/>
                <w:lang w:val="sr-Latn-RS" w:eastAsia="sl-SI"/>
              </w:rPr>
              <w:t>anoreksija, hiperglikemija, hiperurikemija, hipokalijemija, hiponatrijemija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12A7C51C"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380EB17B"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6E3DFDD0" w14:textId="77777777" w:rsidR="00C533CF" w:rsidRPr="008C2F74" w:rsidRDefault="008C2F74" w:rsidP="00811A6B">
            <w:pPr>
              <w:jc w:val="both"/>
              <w:rPr>
                <w:szCs w:val="22"/>
                <w:lang w:val="sr-Latn-RS" w:eastAsia="sl-SI"/>
              </w:rPr>
            </w:pPr>
            <w:r w:rsidRPr="008C2F74">
              <w:rPr>
                <w:szCs w:val="22"/>
                <w:lang w:val="sr-Latn-RS" w:eastAsia="sl-SI"/>
              </w:rPr>
              <w:t>Psihijatrijski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B3F00E8" w14:textId="77777777" w:rsidR="00C533CF" w:rsidRPr="008C2F74" w:rsidRDefault="008C2F74" w:rsidP="00811A6B">
            <w:pPr>
              <w:jc w:val="both"/>
              <w:rPr>
                <w:szCs w:val="22"/>
                <w:lang w:val="sr-Latn-RS" w:eastAsia="sl-SI"/>
              </w:rPr>
            </w:pPr>
            <w:r w:rsidRPr="008C2F74">
              <w:rPr>
                <w:szCs w:val="22"/>
                <w:lang w:val="sr-Latn-RS" w:eastAsia="sl-SI"/>
              </w:rPr>
              <w:t>insomnija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1B12B74C"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7800EC44"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26BB917A" w14:textId="77777777" w:rsidR="00C533CF" w:rsidRPr="008C2F74" w:rsidRDefault="008C2F74" w:rsidP="00811A6B">
            <w:pPr>
              <w:jc w:val="both"/>
              <w:rPr>
                <w:szCs w:val="22"/>
                <w:lang w:val="sr-Latn-RS" w:eastAsia="sl-SI"/>
              </w:rPr>
            </w:pPr>
            <w:r w:rsidRPr="008C2F74">
              <w:rPr>
                <w:szCs w:val="22"/>
                <w:lang w:val="sr-Latn-RS" w:eastAsia="sl-SI"/>
              </w:rPr>
              <w:t>Poremećaji nervnog sistema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04C8CE57" w14:textId="77777777" w:rsidR="00C533CF" w:rsidRPr="008C2F74" w:rsidRDefault="008C2F74" w:rsidP="00811A6B">
            <w:pPr>
              <w:jc w:val="both"/>
              <w:rPr>
                <w:szCs w:val="22"/>
                <w:lang w:val="sr-Latn-RS" w:eastAsia="sl-SI"/>
              </w:rPr>
            </w:pPr>
            <w:r w:rsidRPr="008C2F74">
              <w:rPr>
                <w:szCs w:val="22"/>
                <w:lang w:val="sr-Latn-RS" w:eastAsia="sl-SI"/>
              </w:rPr>
              <w:t>glavobolja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26A08AFE" w14:textId="77777777" w:rsidR="00C533CF" w:rsidRPr="008C2F74" w:rsidRDefault="008C2F74" w:rsidP="00811A6B">
            <w:pPr>
              <w:jc w:val="both"/>
              <w:rPr>
                <w:szCs w:val="22"/>
                <w:lang w:val="sr-Latn-RS" w:eastAsia="sl-SI"/>
              </w:rPr>
            </w:pPr>
            <w:r w:rsidRPr="008C2F74">
              <w:rPr>
                <w:szCs w:val="22"/>
                <w:lang w:val="sr-Latn-RS" w:eastAsia="sl-SI"/>
              </w:rPr>
              <w:t>često</w:t>
            </w:r>
          </w:p>
        </w:tc>
      </w:tr>
      <w:tr w:rsidR="00C533CF" w:rsidRPr="008C2F74" w14:paraId="3C6FBB71" w14:textId="77777777">
        <w:tc>
          <w:tcPr>
            <w:tcW w:w="1500" w:type="pct"/>
            <w:vMerge w:val="restart"/>
            <w:tcBorders>
              <w:top w:val="outset" w:sz="6" w:space="0" w:color="auto"/>
              <w:left w:val="outset" w:sz="6" w:space="0" w:color="auto"/>
              <w:right w:val="outset" w:sz="6" w:space="0" w:color="auto"/>
            </w:tcBorders>
            <w:shd w:val="clear" w:color="auto" w:fill="FFFFFF"/>
            <w:hideMark/>
          </w:tcPr>
          <w:p w14:paraId="5674DD2B" w14:textId="77777777" w:rsidR="00C533CF" w:rsidRPr="008C2F74" w:rsidRDefault="008C2F74" w:rsidP="00811A6B">
            <w:pPr>
              <w:jc w:val="both"/>
              <w:rPr>
                <w:szCs w:val="22"/>
                <w:lang w:val="sr-Latn-RS" w:eastAsia="sl-SI"/>
              </w:rPr>
            </w:pPr>
            <w:r w:rsidRPr="008C2F74">
              <w:rPr>
                <w:szCs w:val="22"/>
                <w:lang w:val="sr-Latn-RS" w:eastAsia="sl-SI"/>
              </w:rPr>
              <w:t>Poremećaji oka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C55AD2F" w14:textId="77777777" w:rsidR="00C533CF" w:rsidRPr="008C2F74" w:rsidRDefault="008C2F74" w:rsidP="00811A6B">
            <w:pPr>
              <w:jc w:val="both"/>
              <w:rPr>
                <w:szCs w:val="22"/>
                <w:lang w:val="sr-Latn-RS" w:eastAsia="sl-SI"/>
              </w:rPr>
            </w:pPr>
            <w:r w:rsidRPr="008C2F74">
              <w:rPr>
                <w:szCs w:val="22"/>
                <w:lang w:val="sr-Latn-RS" w:eastAsia="sl-SI"/>
              </w:rPr>
              <w:t>prolazno zamućenje vida, ksantopsija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5DE1D9DC"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0ADC1ABE" w14:textId="77777777">
        <w:tc>
          <w:tcPr>
            <w:tcW w:w="1500" w:type="pct"/>
            <w:vMerge/>
            <w:tcBorders>
              <w:left w:val="outset" w:sz="6" w:space="0" w:color="auto"/>
              <w:bottom w:val="outset" w:sz="6" w:space="0" w:color="auto"/>
              <w:right w:val="outset" w:sz="6" w:space="0" w:color="auto"/>
            </w:tcBorders>
            <w:shd w:val="clear" w:color="auto" w:fill="FFFFFF"/>
          </w:tcPr>
          <w:p w14:paraId="2576B4D2"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tcPr>
          <w:p w14:paraId="56039CCD" w14:textId="77777777" w:rsidR="00C533CF" w:rsidRPr="008C2F74" w:rsidRDefault="008C2F74" w:rsidP="00811A6B">
            <w:pPr>
              <w:jc w:val="both"/>
              <w:rPr>
                <w:szCs w:val="22"/>
                <w:lang w:val="sr-Latn-RS" w:eastAsia="sl-SI"/>
              </w:rPr>
            </w:pPr>
            <w:r w:rsidRPr="008C2F74">
              <w:rPr>
                <w:szCs w:val="22"/>
                <w:lang w:val="sr-Latn-RS" w:eastAsia="en-GB"/>
              </w:rPr>
              <w:t>horoidalna efuzija, akutna miopija, akutni glaukom zatvorenog ugla</w:t>
            </w:r>
          </w:p>
        </w:tc>
        <w:tc>
          <w:tcPr>
            <w:tcW w:w="934" w:type="pct"/>
            <w:tcBorders>
              <w:top w:val="outset" w:sz="6" w:space="0" w:color="auto"/>
              <w:left w:val="outset" w:sz="6" w:space="0" w:color="auto"/>
              <w:bottom w:val="outset" w:sz="6" w:space="0" w:color="auto"/>
              <w:right w:val="outset" w:sz="6" w:space="0" w:color="auto"/>
            </w:tcBorders>
            <w:shd w:val="clear" w:color="auto" w:fill="FFFFFF"/>
          </w:tcPr>
          <w:p w14:paraId="63A34D5F" w14:textId="77777777" w:rsidR="00C533CF" w:rsidRPr="008C2F74" w:rsidRDefault="008C2F74" w:rsidP="00811A6B">
            <w:pPr>
              <w:jc w:val="both"/>
              <w:rPr>
                <w:szCs w:val="22"/>
                <w:lang w:val="sr-Latn-RS" w:eastAsia="sl-SI"/>
              </w:rPr>
            </w:pPr>
            <w:r w:rsidRPr="008C2F74">
              <w:rPr>
                <w:szCs w:val="22"/>
                <w:lang w:val="sr-Latn-RS" w:eastAsia="en-GB"/>
              </w:rPr>
              <w:t>nepoznato</w:t>
            </w:r>
          </w:p>
        </w:tc>
      </w:tr>
      <w:tr w:rsidR="00C533CF" w:rsidRPr="008C2F74" w14:paraId="7FE9ED42"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38FAADB6" w14:textId="77777777" w:rsidR="00C533CF" w:rsidRPr="008C2F74" w:rsidRDefault="008C2F74" w:rsidP="00811A6B">
            <w:pPr>
              <w:jc w:val="both"/>
              <w:rPr>
                <w:szCs w:val="22"/>
                <w:lang w:val="sr-Latn-RS" w:eastAsia="sl-SI"/>
              </w:rPr>
            </w:pPr>
            <w:r w:rsidRPr="008C2F74">
              <w:rPr>
                <w:szCs w:val="22"/>
                <w:lang w:val="sr-Latn-RS" w:eastAsia="sl-SI"/>
              </w:rPr>
              <w:t>Vaskularni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03E6EBEC" w14:textId="77777777" w:rsidR="00C533CF" w:rsidRPr="008C2F74" w:rsidRDefault="008C2F74" w:rsidP="00811A6B">
            <w:pPr>
              <w:jc w:val="both"/>
              <w:rPr>
                <w:szCs w:val="22"/>
                <w:lang w:val="sr-Latn-RS" w:eastAsia="sl-SI"/>
              </w:rPr>
            </w:pPr>
            <w:r w:rsidRPr="008C2F74">
              <w:rPr>
                <w:szCs w:val="22"/>
                <w:lang w:val="sr-Latn-RS" w:eastAsia="sl-SI"/>
              </w:rPr>
              <w:t>nekrotizirajući angiitis (vaskulitis, kožni vaskulitis)</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4CF5772E"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2C274C4A" w14:textId="77777777">
        <w:tc>
          <w:tcPr>
            <w:tcW w:w="1500" w:type="pct"/>
            <w:vMerge w:val="restart"/>
            <w:tcBorders>
              <w:top w:val="outset" w:sz="6" w:space="0" w:color="auto"/>
              <w:left w:val="outset" w:sz="6" w:space="0" w:color="auto"/>
              <w:right w:val="outset" w:sz="6" w:space="0" w:color="auto"/>
            </w:tcBorders>
            <w:shd w:val="clear" w:color="auto" w:fill="FFFFFF"/>
            <w:hideMark/>
          </w:tcPr>
          <w:p w14:paraId="4C3FFD1B" w14:textId="77777777" w:rsidR="00C533CF" w:rsidRPr="008C2F74" w:rsidRDefault="008C2F74" w:rsidP="00811A6B">
            <w:pPr>
              <w:jc w:val="both"/>
              <w:rPr>
                <w:szCs w:val="22"/>
                <w:lang w:val="sr-Latn-RS" w:eastAsia="sl-SI"/>
              </w:rPr>
            </w:pPr>
            <w:r w:rsidRPr="008C2F74">
              <w:rPr>
                <w:szCs w:val="22"/>
                <w:lang w:val="sr-Latn-RS" w:eastAsia="sl-SI"/>
              </w:rPr>
              <w:t>Respiratorni, torakalni i</w:t>
            </w:r>
          </w:p>
          <w:p w14:paraId="4DDDBFA9" w14:textId="77777777" w:rsidR="00C533CF" w:rsidRPr="008C2F74" w:rsidRDefault="008C2F74" w:rsidP="00811A6B">
            <w:pPr>
              <w:jc w:val="both"/>
              <w:rPr>
                <w:szCs w:val="22"/>
                <w:lang w:val="sr-Latn-RS" w:eastAsia="sl-SI"/>
              </w:rPr>
            </w:pPr>
            <w:r w:rsidRPr="008C2F74">
              <w:rPr>
                <w:szCs w:val="22"/>
                <w:lang w:val="sr-Latn-RS" w:eastAsia="sl-SI"/>
              </w:rPr>
              <w:t>medijastinalni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4F0EA1D7" w14:textId="77777777" w:rsidR="00C533CF" w:rsidRPr="008C2F74" w:rsidRDefault="008C2F74" w:rsidP="00811A6B">
            <w:pPr>
              <w:jc w:val="both"/>
              <w:rPr>
                <w:szCs w:val="22"/>
                <w:lang w:val="sr-Latn-RS" w:eastAsia="sl-SI"/>
              </w:rPr>
            </w:pPr>
            <w:r w:rsidRPr="008C2F74">
              <w:rPr>
                <w:szCs w:val="22"/>
                <w:lang w:val="sr-Latn-RS" w:eastAsia="sl-SI"/>
              </w:rPr>
              <w:t>respiratorni distres uključujući pneumonitis i pulmonarni edem</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7F63A113"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74AE0224" w14:textId="77777777">
        <w:tc>
          <w:tcPr>
            <w:tcW w:w="1500" w:type="pct"/>
            <w:vMerge/>
            <w:tcBorders>
              <w:left w:val="outset" w:sz="6" w:space="0" w:color="auto"/>
              <w:bottom w:val="outset" w:sz="6" w:space="0" w:color="auto"/>
              <w:right w:val="outset" w:sz="6" w:space="0" w:color="auto"/>
            </w:tcBorders>
            <w:shd w:val="clear" w:color="auto" w:fill="FFFFFF"/>
          </w:tcPr>
          <w:p w14:paraId="7AA68C6B"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tcPr>
          <w:p w14:paraId="6265E765" w14:textId="77777777" w:rsidR="00C533CF" w:rsidRPr="008C2F74" w:rsidRDefault="008C2F74" w:rsidP="00811A6B">
            <w:pPr>
              <w:jc w:val="both"/>
              <w:rPr>
                <w:szCs w:val="22"/>
                <w:lang w:val="sr-Latn-RS" w:eastAsia="sl-SI"/>
              </w:rPr>
            </w:pPr>
            <w:r w:rsidRPr="008C2F74">
              <w:rPr>
                <w:szCs w:val="22"/>
                <w:lang w:val="sr-Latn-RS"/>
              </w:rPr>
              <w:t>akutni respiratorni distres sindrom (ARDS) (vidjeti dio 4.4)</w:t>
            </w:r>
          </w:p>
        </w:tc>
        <w:tc>
          <w:tcPr>
            <w:tcW w:w="934" w:type="pct"/>
            <w:tcBorders>
              <w:top w:val="outset" w:sz="6" w:space="0" w:color="auto"/>
              <w:left w:val="outset" w:sz="6" w:space="0" w:color="auto"/>
              <w:bottom w:val="outset" w:sz="6" w:space="0" w:color="auto"/>
              <w:right w:val="outset" w:sz="6" w:space="0" w:color="auto"/>
            </w:tcBorders>
            <w:shd w:val="clear" w:color="auto" w:fill="FFFFFF"/>
          </w:tcPr>
          <w:p w14:paraId="7A6AF7B6" w14:textId="77777777" w:rsidR="00C533CF" w:rsidRPr="008C2F74" w:rsidRDefault="008C2F74" w:rsidP="00811A6B">
            <w:pPr>
              <w:jc w:val="both"/>
              <w:rPr>
                <w:szCs w:val="22"/>
                <w:lang w:val="sr-Latn-RS" w:eastAsia="sl-SI"/>
              </w:rPr>
            </w:pPr>
            <w:r w:rsidRPr="008C2F74">
              <w:rPr>
                <w:szCs w:val="22"/>
                <w:lang w:val="sr-Latn-RS" w:eastAsia="sl-SI"/>
              </w:rPr>
              <w:t>veoma rijetko</w:t>
            </w:r>
          </w:p>
        </w:tc>
      </w:tr>
      <w:tr w:rsidR="00C533CF" w:rsidRPr="008C2F74" w14:paraId="25F3AC00"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52951730" w14:textId="77777777" w:rsidR="00C533CF" w:rsidRPr="008C2F74" w:rsidRDefault="008C2F74" w:rsidP="00811A6B">
            <w:pPr>
              <w:jc w:val="both"/>
              <w:rPr>
                <w:szCs w:val="22"/>
                <w:lang w:val="sr-Latn-RS" w:eastAsia="sl-SI"/>
              </w:rPr>
            </w:pPr>
            <w:r w:rsidRPr="008C2F74">
              <w:rPr>
                <w:szCs w:val="22"/>
                <w:lang w:val="sr-Latn-RS" w:eastAsia="sl-SI"/>
              </w:rPr>
              <w:t>Gastrointestinalni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3CA76CDF" w14:textId="77777777" w:rsidR="00C533CF" w:rsidRPr="008C2F74" w:rsidRDefault="008C2F74" w:rsidP="00811A6B">
            <w:pPr>
              <w:jc w:val="both"/>
              <w:rPr>
                <w:szCs w:val="22"/>
                <w:lang w:val="sr-Latn-RS" w:eastAsia="sl-SI"/>
              </w:rPr>
            </w:pPr>
            <w:r w:rsidRPr="008C2F74">
              <w:rPr>
                <w:szCs w:val="22"/>
                <w:lang w:val="sr-Latn-RS" w:eastAsia="sl-SI"/>
              </w:rPr>
              <w:t>sijaloadenitis, spazmi, iritacija želuca, mučnina, povraćanje, dijareja, konstipacija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7E087815"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249712FA"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101A44E9" w14:textId="77777777" w:rsidR="00C533CF" w:rsidRPr="008C2F74" w:rsidRDefault="008C2F74" w:rsidP="00811A6B">
            <w:pPr>
              <w:jc w:val="both"/>
              <w:rPr>
                <w:szCs w:val="22"/>
                <w:lang w:val="sr-Latn-RS" w:eastAsia="sl-SI"/>
              </w:rPr>
            </w:pPr>
            <w:r w:rsidRPr="008C2F74">
              <w:rPr>
                <w:szCs w:val="22"/>
                <w:lang w:val="sr-Latn-RS" w:eastAsia="sl-SI"/>
              </w:rPr>
              <w:t>Hepatobilijarni poremećaji</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5AD24801" w14:textId="77777777" w:rsidR="00C533CF" w:rsidRPr="008C2F74" w:rsidRDefault="008C2F74" w:rsidP="00811A6B">
            <w:pPr>
              <w:jc w:val="both"/>
              <w:rPr>
                <w:szCs w:val="22"/>
                <w:lang w:val="sr-Latn-RS" w:eastAsia="sl-SI"/>
              </w:rPr>
            </w:pPr>
            <w:r w:rsidRPr="008C2F74">
              <w:rPr>
                <w:szCs w:val="22"/>
                <w:lang w:val="sr-Latn-RS" w:eastAsia="sl-SI"/>
              </w:rPr>
              <w:t>ikterus (intrahepatički, holestatski), pankreatitis</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50213264"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633FE86B" w14:textId="77777777">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52BFC2D5" w14:textId="77777777" w:rsidR="00C533CF" w:rsidRPr="008C2F74" w:rsidRDefault="008C2F74" w:rsidP="00811A6B">
            <w:pPr>
              <w:jc w:val="both"/>
              <w:rPr>
                <w:szCs w:val="22"/>
                <w:lang w:val="sr-Latn-RS" w:eastAsia="sl-SI"/>
              </w:rPr>
            </w:pPr>
            <w:r w:rsidRPr="008C2F74">
              <w:rPr>
                <w:szCs w:val="22"/>
                <w:lang w:val="sr-Latn-RS" w:eastAsia="sl-SI"/>
              </w:rPr>
              <w:t>Poremećaji kože i potkožnog tkiva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21A24032" w14:textId="77777777" w:rsidR="00C533CF" w:rsidRPr="008C2F74" w:rsidRDefault="008C2F74" w:rsidP="00811A6B">
            <w:pPr>
              <w:jc w:val="both"/>
              <w:rPr>
                <w:szCs w:val="22"/>
                <w:lang w:val="sr-Latn-RS" w:eastAsia="sl-SI"/>
              </w:rPr>
            </w:pPr>
            <w:r w:rsidRPr="008C2F74">
              <w:rPr>
                <w:szCs w:val="22"/>
                <w:lang w:val="sr-Latn-RS" w:eastAsia="sl-SI"/>
              </w:rPr>
              <w:t>fotosenzitivnost, urtikarija, toksična epidermalna nekroliza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68857755"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002E76CD" w14:textId="77777777">
        <w:tc>
          <w:tcPr>
            <w:tcW w:w="150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C44A55" w14:textId="77777777" w:rsidR="00C533CF" w:rsidRPr="008C2F74" w:rsidRDefault="00C533CF" w:rsidP="00811A6B">
            <w:pPr>
              <w:jc w:val="both"/>
              <w:rPr>
                <w:szCs w:val="22"/>
                <w:lang w:val="sr-Latn-RS" w:eastAsia="sl-SI"/>
              </w:rPr>
            </w:pP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76646336" w14:textId="77777777" w:rsidR="00C533CF" w:rsidRPr="008C2F74" w:rsidRDefault="008C2F74" w:rsidP="00811A6B">
            <w:pPr>
              <w:jc w:val="both"/>
              <w:rPr>
                <w:szCs w:val="22"/>
                <w:lang w:val="sr-Latn-RS" w:eastAsia="sl-SI"/>
              </w:rPr>
            </w:pPr>
            <w:r w:rsidRPr="008C2F74">
              <w:rPr>
                <w:szCs w:val="22"/>
                <w:lang w:val="sr-Latn-RS" w:eastAsia="sl-SI"/>
              </w:rPr>
              <w:t>kožni eritemski lupus</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043F01A3" w14:textId="77777777" w:rsidR="00C533CF" w:rsidRPr="008C2F74" w:rsidRDefault="008C2F74" w:rsidP="00811A6B">
            <w:pPr>
              <w:jc w:val="both"/>
              <w:rPr>
                <w:szCs w:val="22"/>
                <w:lang w:val="sr-Latn-RS" w:eastAsia="sl-SI"/>
              </w:rPr>
            </w:pPr>
            <w:r w:rsidRPr="008C2F74">
              <w:rPr>
                <w:szCs w:val="22"/>
                <w:lang w:val="sr-Latn-RS" w:eastAsia="sl-SI"/>
              </w:rPr>
              <w:t>nepoznato</w:t>
            </w:r>
          </w:p>
        </w:tc>
      </w:tr>
      <w:tr w:rsidR="00C533CF" w:rsidRPr="008C2F74" w14:paraId="41D4EC7A"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11904CE0" w14:textId="77777777" w:rsidR="00C533CF" w:rsidRPr="008C2F74" w:rsidRDefault="008C2F74" w:rsidP="00811A6B">
            <w:pPr>
              <w:jc w:val="both"/>
              <w:rPr>
                <w:szCs w:val="22"/>
                <w:lang w:val="sr-Latn-RS" w:eastAsia="sl-SI"/>
              </w:rPr>
            </w:pPr>
            <w:r w:rsidRPr="008C2F74">
              <w:rPr>
                <w:szCs w:val="22"/>
                <w:lang w:val="sr-Latn-RS" w:eastAsia="sl-SI"/>
              </w:rPr>
              <w:t>Poremećaji mišićno-koštanog sistema i vezivnog tkiva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67E1DBE8" w14:textId="77777777" w:rsidR="00C533CF" w:rsidRPr="008C2F74" w:rsidRDefault="008C2F74" w:rsidP="00811A6B">
            <w:pPr>
              <w:jc w:val="both"/>
              <w:rPr>
                <w:szCs w:val="22"/>
                <w:lang w:val="sr-Latn-RS" w:eastAsia="sl-SI"/>
              </w:rPr>
            </w:pPr>
            <w:r w:rsidRPr="008C2F74">
              <w:rPr>
                <w:szCs w:val="22"/>
                <w:lang w:val="sr-Latn-RS" w:eastAsia="sl-SI"/>
              </w:rPr>
              <w:t>grčevi u mišićima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5EBE33C5"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61BC667E"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2080CAFB" w14:textId="77777777" w:rsidR="00C533CF" w:rsidRPr="008C2F74" w:rsidRDefault="008C2F74" w:rsidP="00811A6B">
            <w:pPr>
              <w:jc w:val="both"/>
              <w:rPr>
                <w:szCs w:val="22"/>
                <w:lang w:val="sr-Latn-RS" w:eastAsia="sl-SI"/>
              </w:rPr>
            </w:pPr>
            <w:r w:rsidRPr="008C2F74">
              <w:rPr>
                <w:szCs w:val="22"/>
                <w:lang w:val="sr-Latn-RS" w:eastAsia="sl-SI"/>
              </w:rPr>
              <w:t>Poremećaji bubrega i urinarnog sistema</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07F7BDAD" w14:textId="77777777" w:rsidR="00C533CF" w:rsidRPr="008C2F74" w:rsidRDefault="008C2F74" w:rsidP="00811A6B">
            <w:pPr>
              <w:jc w:val="both"/>
              <w:rPr>
                <w:szCs w:val="22"/>
                <w:lang w:val="sr-Latn-RS" w:eastAsia="sl-SI"/>
              </w:rPr>
            </w:pPr>
            <w:r w:rsidRPr="008C2F74">
              <w:rPr>
                <w:szCs w:val="22"/>
                <w:lang w:val="sr-Latn-RS" w:eastAsia="sl-SI"/>
              </w:rPr>
              <w:t>glikozurija, intersticijalni nefritis, renalna disfunkcija, renalna insuficijencija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46345C0E" w14:textId="77777777" w:rsidR="00C533CF" w:rsidRPr="008C2F74" w:rsidRDefault="008C2F74" w:rsidP="00811A6B">
            <w:pPr>
              <w:jc w:val="both"/>
              <w:rPr>
                <w:szCs w:val="22"/>
                <w:lang w:val="sr-Latn-RS" w:eastAsia="sl-SI"/>
              </w:rPr>
            </w:pPr>
            <w:r w:rsidRPr="008C2F74">
              <w:rPr>
                <w:szCs w:val="22"/>
                <w:lang w:val="sr-Latn-RS" w:eastAsia="sl-SI"/>
              </w:rPr>
              <w:t>povremeno</w:t>
            </w:r>
          </w:p>
        </w:tc>
      </w:tr>
      <w:tr w:rsidR="00C533CF" w:rsidRPr="008C2F74" w14:paraId="5EE42174"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13B4CEB6" w14:textId="77777777" w:rsidR="00C533CF" w:rsidRPr="008C2F74" w:rsidRDefault="008C2F74" w:rsidP="00811A6B">
            <w:pPr>
              <w:jc w:val="both"/>
              <w:rPr>
                <w:szCs w:val="22"/>
                <w:lang w:val="sr-Latn-RS" w:eastAsia="sl-SI"/>
              </w:rPr>
            </w:pPr>
            <w:r w:rsidRPr="008C2F74">
              <w:rPr>
                <w:szCs w:val="22"/>
                <w:lang w:val="sr-Latn-RS" w:eastAsia="sl-SI"/>
              </w:rPr>
              <w:t>Opšti poremećaji i reakcije na mjestu primjene</w:t>
            </w:r>
          </w:p>
        </w:tc>
        <w:tc>
          <w:tcPr>
            <w:tcW w:w="2566" w:type="pct"/>
            <w:tcBorders>
              <w:top w:val="outset" w:sz="6" w:space="0" w:color="auto"/>
              <w:left w:val="outset" w:sz="6" w:space="0" w:color="auto"/>
              <w:bottom w:val="outset" w:sz="6" w:space="0" w:color="auto"/>
              <w:right w:val="outset" w:sz="6" w:space="0" w:color="auto"/>
            </w:tcBorders>
            <w:shd w:val="clear" w:color="auto" w:fill="FFFFFF"/>
            <w:hideMark/>
          </w:tcPr>
          <w:p w14:paraId="1A6AD4EA" w14:textId="77777777" w:rsidR="00C533CF" w:rsidRPr="008C2F74" w:rsidRDefault="008C2F74" w:rsidP="00811A6B">
            <w:pPr>
              <w:jc w:val="both"/>
              <w:rPr>
                <w:szCs w:val="22"/>
                <w:lang w:val="sr-Latn-RS" w:eastAsia="sl-SI"/>
              </w:rPr>
            </w:pPr>
            <w:r w:rsidRPr="008C2F74">
              <w:rPr>
                <w:szCs w:val="22"/>
                <w:lang w:val="sr-Latn-RS" w:eastAsia="sl-SI"/>
              </w:rPr>
              <w:t>groznica, vrtoglavica</w:t>
            </w:r>
          </w:p>
        </w:tc>
        <w:tc>
          <w:tcPr>
            <w:tcW w:w="934" w:type="pct"/>
            <w:tcBorders>
              <w:top w:val="outset" w:sz="6" w:space="0" w:color="auto"/>
              <w:left w:val="outset" w:sz="6" w:space="0" w:color="auto"/>
              <w:bottom w:val="outset" w:sz="6" w:space="0" w:color="auto"/>
              <w:right w:val="outset" w:sz="6" w:space="0" w:color="auto"/>
            </w:tcBorders>
            <w:shd w:val="clear" w:color="auto" w:fill="FFFFFF"/>
            <w:hideMark/>
          </w:tcPr>
          <w:p w14:paraId="0F76E2B6" w14:textId="77777777" w:rsidR="00C533CF" w:rsidRPr="008C2F74" w:rsidRDefault="008C2F74" w:rsidP="00811A6B">
            <w:pPr>
              <w:jc w:val="both"/>
              <w:rPr>
                <w:szCs w:val="22"/>
                <w:lang w:val="sr-Latn-RS" w:eastAsia="sl-SI"/>
              </w:rPr>
            </w:pPr>
            <w:r w:rsidRPr="008C2F74">
              <w:rPr>
                <w:szCs w:val="22"/>
                <w:lang w:val="sr-Latn-RS" w:eastAsia="sl-SI"/>
              </w:rPr>
              <w:t>povremeno</w:t>
            </w:r>
          </w:p>
        </w:tc>
      </w:tr>
    </w:tbl>
    <w:p w14:paraId="70E447F6" w14:textId="77777777" w:rsidR="00C533CF" w:rsidRPr="008C2F74" w:rsidRDefault="008C2F74" w:rsidP="008C2F74">
      <w:pPr>
        <w:jc w:val="both"/>
        <w:rPr>
          <w:szCs w:val="22"/>
          <w:lang w:val="sr-Latn-RS" w:eastAsia="sl-SI"/>
        </w:rPr>
      </w:pPr>
      <w:r w:rsidRPr="008C2F74">
        <w:rPr>
          <w:szCs w:val="22"/>
          <w:vertAlign w:val="superscript"/>
          <w:lang w:val="sr-Latn-RS" w:eastAsia="sl-SI"/>
        </w:rPr>
        <w:t>1</w:t>
      </w:r>
      <w:r w:rsidRPr="008C2F74">
        <w:rPr>
          <w:szCs w:val="22"/>
          <w:lang w:val="sr-Latn-RS" w:eastAsia="sl-SI"/>
        </w:rPr>
        <w:t>Nemelanomski karcinom kože: Na osnovu dostupnih podataka iz epidemioloških studija, između hidrohlortiazida i nemelanomskog karcinoma kože (NMSC) primijećena je povezanost zavisna od kumulativne doze (vidjeti i djelove 4.4 i 5.1).</w:t>
      </w:r>
    </w:p>
    <w:p w14:paraId="00A9ACFF" w14:textId="77777777" w:rsidR="00C533CF" w:rsidRPr="008C2F74" w:rsidRDefault="00C533CF">
      <w:pPr>
        <w:jc w:val="both"/>
        <w:rPr>
          <w:szCs w:val="22"/>
          <w:lang w:val="sr-Latn-RS" w:eastAsia="sl-SI"/>
        </w:rPr>
      </w:pPr>
    </w:p>
    <w:p w14:paraId="085E533C" w14:textId="77777777" w:rsidR="00C533CF" w:rsidRPr="008C2F74" w:rsidRDefault="008C2F74">
      <w:pPr>
        <w:spacing w:line="276" w:lineRule="auto"/>
        <w:jc w:val="both"/>
        <w:rPr>
          <w:rFonts w:eastAsia="Calibri"/>
          <w:szCs w:val="22"/>
          <w:u w:val="single"/>
          <w:lang w:val="sr-Latn-RS"/>
        </w:rPr>
      </w:pPr>
      <w:r w:rsidRPr="008C2F74">
        <w:rPr>
          <w:rFonts w:eastAsia="Calibri"/>
          <w:szCs w:val="22"/>
          <w:u w:val="single"/>
          <w:lang w:val="sr-Latn-RS"/>
        </w:rPr>
        <w:t>Prijavljivanje sumnji na neželjena dejstva</w:t>
      </w:r>
    </w:p>
    <w:p w14:paraId="25ABD8CD" w14:textId="77777777" w:rsidR="00C533CF" w:rsidRPr="008C2F74" w:rsidRDefault="008C2F74">
      <w:pPr>
        <w:jc w:val="both"/>
        <w:rPr>
          <w:rFonts w:eastAsia="Calibri"/>
          <w:szCs w:val="22"/>
          <w:lang w:val="sr-Latn-RS"/>
        </w:rPr>
      </w:pPr>
      <w:r w:rsidRPr="008C2F74">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CA8F1B3" w14:textId="77777777" w:rsidR="00C533CF" w:rsidRPr="008C2F74" w:rsidRDefault="00C533CF">
      <w:pPr>
        <w:jc w:val="both"/>
        <w:rPr>
          <w:rFonts w:eastAsia="Calibri"/>
          <w:szCs w:val="22"/>
          <w:lang w:val="sr-Latn-RS"/>
        </w:rPr>
      </w:pPr>
    </w:p>
    <w:p w14:paraId="084D2B39" w14:textId="77777777" w:rsidR="00C533CF" w:rsidRPr="008C2F74" w:rsidRDefault="008C2F74">
      <w:pPr>
        <w:tabs>
          <w:tab w:val="clear" w:pos="567"/>
        </w:tabs>
        <w:spacing w:line="240" w:lineRule="auto"/>
        <w:jc w:val="both"/>
        <w:rPr>
          <w:rFonts w:eastAsia="Calibri"/>
          <w:szCs w:val="22"/>
          <w:lang w:val="sr-Latn-RS"/>
        </w:rPr>
      </w:pPr>
      <w:r w:rsidRPr="008C2F74">
        <w:rPr>
          <w:rFonts w:eastAsia="Calibri"/>
          <w:szCs w:val="22"/>
          <w:lang w:val="sr-Latn-RS"/>
        </w:rPr>
        <w:t xml:space="preserve">Institut za ljekove i medicinska sredstva </w:t>
      </w:r>
    </w:p>
    <w:p w14:paraId="137FD492" w14:textId="77777777" w:rsidR="00C533CF" w:rsidRPr="008C2F74" w:rsidRDefault="008C2F74">
      <w:pPr>
        <w:tabs>
          <w:tab w:val="clear" w:pos="567"/>
        </w:tabs>
        <w:spacing w:line="240" w:lineRule="auto"/>
        <w:jc w:val="both"/>
        <w:rPr>
          <w:rFonts w:eastAsia="Calibri"/>
          <w:szCs w:val="22"/>
          <w:lang w:val="sr-Latn-RS"/>
        </w:rPr>
      </w:pPr>
      <w:r w:rsidRPr="008C2F74">
        <w:rPr>
          <w:rFonts w:eastAsia="Calibri"/>
          <w:szCs w:val="22"/>
          <w:lang w:val="sr-Latn-RS"/>
        </w:rPr>
        <w:t>Odjeljenje za farmakovigilancu</w:t>
      </w:r>
    </w:p>
    <w:p w14:paraId="2A0A949F" w14:textId="77777777" w:rsidR="00C533CF" w:rsidRPr="008C2F74" w:rsidRDefault="008C2F74">
      <w:pPr>
        <w:tabs>
          <w:tab w:val="clear" w:pos="567"/>
        </w:tabs>
        <w:spacing w:line="240" w:lineRule="auto"/>
        <w:jc w:val="both"/>
        <w:rPr>
          <w:rFonts w:eastAsia="Calibri"/>
          <w:szCs w:val="22"/>
          <w:lang w:val="sr-Latn-RS"/>
        </w:rPr>
      </w:pPr>
      <w:r w:rsidRPr="008C2F74">
        <w:rPr>
          <w:rFonts w:eastAsia="Calibri"/>
          <w:szCs w:val="22"/>
          <w:lang w:val="sr-Latn-RS"/>
        </w:rPr>
        <w:t>Bulevar Ivana Crnojevića 64a, 81000 Podgorica</w:t>
      </w:r>
    </w:p>
    <w:p w14:paraId="72F45859" w14:textId="77777777" w:rsidR="00C533CF" w:rsidRPr="008C2F74" w:rsidRDefault="00C533CF">
      <w:pPr>
        <w:tabs>
          <w:tab w:val="clear" w:pos="567"/>
        </w:tabs>
        <w:spacing w:line="240" w:lineRule="auto"/>
        <w:jc w:val="both"/>
        <w:rPr>
          <w:rFonts w:eastAsia="Calibri"/>
          <w:szCs w:val="22"/>
          <w:lang w:val="sr-Latn-RS"/>
        </w:rPr>
      </w:pPr>
    </w:p>
    <w:p w14:paraId="22EE3E34" w14:textId="77777777" w:rsidR="00C533CF" w:rsidRPr="008C2F74" w:rsidRDefault="008C2F74">
      <w:pPr>
        <w:tabs>
          <w:tab w:val="clear" w:pos="567"/>
        </w:tabs>
        <w:spacing w:line="240" w:lineRule="auto"/>
        <w:jc w:val="both"/>
        <w:rPr>
          <w:rFonts w:eastAsia="Calibri"/>
          <w:szCs w:val="22"/>
          <w:lang w:val="sr-Latn-RS"/>
        </w:rPr>
      </w:pPr>
      <w:r w:rsidRPr="008C2F74">
        <w:rPr>
          <w:rFonts w:eastAsia="Calibri"/>
          <w:szCs w:val="22"/>
          <w:lang w:val="sr-Latn-RS"/>
        </w:rPr>
        <w:t>tel: +382 (0) 20 310 280</w:t>
      </w:r>
    </w:p>
    <w:p w14:paraId="28D50BB6" w14:textId="77777777" w:rsidR="00C533CF" w:rsidRPr="008C2F74" w:rsidRDefault="008C2F74">
      <w:pPr>
        <w:tabs>
          <w:tab w:val="clear" w:pos="567"/>
        </w:tabs>
        <w:spacing w:line="240" w:lineRule="auto"/>
        <w:jc w:val="both"/>
        <w:rPr>
          <w:rFonts w:eastAsia="Calibri"/>
          <w:szCs w:val="22"/>
          <w:lang w:val="sr-Latn-RS"/>
        </w:rPr>
      </w:pPr>
      <w:r w:rsidRPr="008C2F74">
        <w:rPr>
          <w:rFonts w:eastAsia="Calibri"/>
          <w:szCs w:val="22"/>
          <w:lang w:val="sr-Latn-RS"/>
        </w:rPr>
        <w:t>fax: +382 (0) 20 310 581</w:t>
      </w:r>
    </w:p>
    <w:p w14:paraId="102F0F26" w14:textId="77777777" w:rsidR="00C533CF" w:rsidRPr="008C2F74" w:rsidRDefault="006C70EA">
      <w:pPr>
        <w:tabs>
          <w:tab w:val="clear" w:pos="567"/>
        </w:tabs>
        <w:spacing w:line="240" w:lineRule="auto"/>
        <w:jc w:val="both"/>
        <w:rPr>
          <w:rFonts w:eastAsia="Calibri"/>
          <w:szCs w:val="22"/>
          <w:lang w:val="sr-Latn-RS"/>
        </w:rPr>
      </w:pPr>
      <w:hyperlink r:id="rId7" w:history="1">
        <w:r w:rsidR="008C2F74" w:rsidRPr="008C2F74">
          <w:rPr>
            <w:rFonts w:eastAsia="Calibri"/>
            <w:color w:val="0000FF"/>
            <w:szCs w:val="22"/>
            <w:u w:val="single"/>
            <w:lang w:val="sr-Latn-RS"/>
          </w:rPr>
          <w:t>www.cinmed.me</w:t>
        </w:r>
      </w:hyperlink>
    </w:p>
    <w:p w14:paraId="7864E9F6" w14:textId="77777777" w:rsidR="00C533CF" w:rsidRPr="008C2F74" w:rsidRDefault="006C70EA">
      <w:pPr>
        <w:tabs>
          <w:tab w:val="clear" w:pos="567"/>
        </w:tabs>
        <w:spacing w:line="240" w:lineRule="auto"/>
        <w:jc w:val="both"/>
        <w:rPr>
          <w:rFonts w:eastAsia="Calibri"/>
          <w:color w:val="0000FF"/>
          <w:szCs w:val="22"/>
          <w:u w:val="single"/>
          <w:lang w:val="sr-Latn-RS"/>
        </w:rPr>
      </w:pPr>
      <w:hyperlink r:id="rId8" w:history="1">
        <w:r w:rsidR="008C2F74" w:rsidRPr="008C2F74">
          <w:rPr>
            <w:rFonts w:eastAsia="Calibri"/>
            <w:color w:val="0000FF"/>
            <w:szCs w:val="22"/>
            <w:u w:val="single"/>
            <w:lang w:val="sr-Latn-RS"/>
          </w:rPr>
          <w:t>nezeljenadejstva@cinmed.me</w:t>
        </w:r>
      </w:hyperlink>
    </w:p>
    <w:p w14:paraId="5270754E" w14:textId="77777777" w:rsidR="00C533CF" w:rsidRPr="008C2F74" w:rsidRDefault="008C2F74">
      <w:pPr>
        <w:tabs>
          <w:tab w:val="clear" w:pos="567"/>
        </w:tabs>
        <w:spacing w:line="240" w:lineRule="auto"/>
        <w:jc w:val="both"/>
        <w:rPr>
          <w:rFonts w:eastAsia="Calibri"/>
          <w:szCs w:val="22"/>
          <w:lang w:val="sr-Latn-RS"/>
        </w:rPr>
      </w:pPr>
      <w:r w:rsidRPr="008C2F74">
        <w:rPr>
          <w:rFonts w:eastAsia="Calibri"/>
          <w:szCs w:val="22"/>
          <w:lang w:val="sr-Latn-RS"/>
        </w:rPr>
        <w:t>putem IS zdravstvene zaštite</w:t>
      </w:r>
    </w:p>
    <w:p w14:paraId="3F5123C0" w14:textId="77777777" w:rsidR="00C533CF" w:rsidRPr="008C2F74" w:rsidRDefault="008C2F74">
      <w:pPr>
        <w:tabs>
          <w:tab w:val="clear" w:pos="567"/>
        </w:tabs>
        <w:spacing w:line="240" w:lineRule="auto"/>
        <w:jc w:val="both"/>
        <w:rPr>
          <w:rFonts w:eastAsia="Calibri"/>
          <w:szCs w:val="22"/>
          <w:lang w:val="sr-Latn-RS"/>
        </w:rPr>
      </w:pPr>
      <w:r w:rsidRPr="008C2F74">
        <w:rPr>
          <w:rFonts w:eastAsia="Calibri"/>
          <w:szCs w:val="22"/>
          <w:lang w:val="sr-Latn-RS"/>
        </w:rPr>
        <w:t>QR kod za online prijavu sumnje na neželjeno dejstvo lijeka:</w:t>
      </w:r>
    </w:p>
    <w:p w14:paraId="26D5649A" w14:textId="77777777" w:rsidR="00C533CF" w:rsidRPr="008C2F74" w:rsidRDefault="00C533CF">
      <w:pPr>
        <w:tabs>
          <w:tab w:val="clear" w:pos="567"/>
        </w:tabs>
        <w:spacing w:line="240" w:lineRule="auto"/>
        <w:jc w:val="both"/>
        <w:rPr>
          <w:rFonts w:eastAsia="Calibri"/>
          <w:szCs w:val="22"/>
          <w:lang w:val="sr-Latn-RS"/>
        </w:rPr>
      </w:pPr>
    </w:p>
    <w:p w14:paraId="63813857" w14:textId="77777777" w:rsidR="00C533CF" w:rsidRPr="008C2F74" w:rsidRDefault="008C2F74" w:rsidP="00811A6B">
      <w:pPr>
        <w:tabs>
          <w:tab w:val="clear" w:pos="567"/>
        </w:tabs>
        <w:spacing w:line="240" w:lineRule="auto"/>
        <w:jc w:val="both"/>
        <w:rPr>
          <w:rFonts w:eastAsia="Calibri"/>
          <w:szCs w:val="22"/>
          <w:lang w:val="sr-Latn-RS"/>
        </w:rPr>
      </w:pPr>
      <w:r w:rsidRPr="008C2F74">
        <w:rPr>
          <w:rFonts w:eastAsia="Calibri"/>
          <w:noProof/>
          <w:szCs w:val="22"/>
          <w:lang w:val="en-US"/>
        </w:rPr>
        <w:drawing>
          <wp:inline distT="0" distB="0" distL="0" distR="0" wp14:anchorId="60CDFC08" wp14:editId="594AAD20">
            <wp:extent cx="981710" cy="96964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969645"/>
                    </a:xfrm>
                    <a:prstGeom prst="rect">
                      <a:avLst/>
                    </a:prstGeom>
                    <a:noFill/>
                  </pic:spPr>
                </pic:pic>
              </a:graphicData>
            </a:graphic>
          </wp:inline>
        </w:drawing>
      </w:r>
    </w:p>
    <w:p w14:paraId="6F5B5DFC" w14:textId="77777777" w:rsidR="00C533CF" w:rsidRPr="008C2F74" w:rsidRDefault="00C533CF" w:rsidP="00811A6B">
      <w:pPr>
        <w:tabs>
          <w:tab w:val="left" w:pos="540"/>
        </w:tabs>
        <w:jc w:val="both"/>
        <w:rPr>
          <w:b/>
          <w:bCs/>
          <w:szCs w:val="22"/>
          <w:lang w:val="sr-Latn-RS"/>
        </w:rPr>
      </w:pPr>
    </w:p>
    <w:p w14:paraId="1F317A78" w14:textId="77777777" w:rsidR="00C533CF" w:rsidRPr="008C2F74" w:rsidRDefault="008C2F74" w:rsidP="008C2F74">
      <w:pPr>
        <w:tabs>
          <w:tab w:val="left" w:pos="540"/>
        </w:tabs>
        <w:jc w:val="both"/>
        <w:rPr>
          <w:b/>
          <w:bCs/>
          <w:szCs w:val="22"/>
          <w:lang w:val="sr-Latn-RS"/>
        </w:rPr>
      </w:pPr>
      <w:r w:rsidRPr="008C2F74">
        <w:rPr>
          <w:b/>
          <w:bCs/>
          <w:szCs w:val="22"/>
          <w:lang w:val="sr-Latn-RS"/>
        </w:rPr>
        <w:t xml:space="preserve">4.9. </w:t>
      </w:r>
      <w:r w:rsidRPr="008C2F74">
        <w:rPr>
          <w:b/>
          <w:bCs/>
          <w:szCs w:val="22"/>
          <w:lang w:val="sr-Latn-RS"/>
        </w:rPr>
        <w:tab/>
        <w:t xml:space="preserve">Predoziranje </w:t>
      </w:r>
    </w:p>
    <w:p w14:paraId="4834130D" w14:textId="77777777" w:rsidR="00C533CF" w:rsidRPr="008C2F74" w:rsidRDefault="00C533CF">
      <w:pPr>
        <w:tabs>
          <w:tab w:val="left" w:pos="540"/>
        </w:tabs>
        <w:jc w:val="both"/>
        <w:rPr>
          <w:b/>
          <w:bCs/>
          <w:szCs w:val="22"/>
          <w:lang w:val="sr-Latn-RS"/>
        </w:rPr>
      </w:pPr>
    </w:p>
    <w:p w14:paraId="10CBC22D"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Nema specifičnih informacija o liječenju predoziranja lijekom Lorista H. Liječenje je simptomatsko i suportivno. Liječenje lijekom Lorista H treba prekinuti, a pacijenta pažljivo pratiti. Predložene mjere uključuju izazivanje povraćanja ako je ingestija bila nedavno, te korekcija dehidratacije, neravnoteže elektrolita, hepatične kome i hipotenzije prema prihvaćenim procedurama.</w:t>
      </w:r>
    </w:p>
    <w:p w14:paraId="73E4F3C3" w14:textId="77777777" w:rsidR="00C533CF" w:rsidRPr="008C2F74" w:rsidRDefault="00C533CF">
      <w:pPr>
        <w:widowControl w:val="0"/>
        <w:autoSpaceDE w:val="0"/>
        <w:autoSpaceDN w:val="0"/>
        <w:adjustRightInd w:val="0"/>
        <w:spacing w:line="276" w:lineRule="auto"/>
        <w:jc w:val="both"/>
        <w:rPr>
          <w:szCs w:val="22"/>
          <w:lang w:val="sr-Latn-RS" w:eastAsia="sl-SI"/>
        </w:rPr>
      </w:pPr>
    </w:p>
    <w:p w14:paraId="3168819E" w14:textId="77777777" w:rsidR="00C533CF" w:rsidRPr="008C2F74" w:rsidRDefault="008C2F74">
      <w:pPr>
        <w:widowControl w:val="0"/>
        <w:autoSpaceDE w:val="0"/>
        <w:autoSpaceDN w:val="0"/>
        <w:adjustRightInd w:val="0"/>
        <w:spacing w:line="276" w:lineRule="auto"/>
        <w:jc w:val="both"/>
        <w:rPr>
          <w:szCs w:val="22"/>
          <w:u w:val="single"/>
          <w:lang w:val="sr-Latn-RS" w:eastAsia="sl-SI"/>
        </w:rPr>
      </w:pPr>
      <w:r w:rsidRPr="008C2F74">
        <w:rPr>
          <w:szCs w:val="22"/>
          <w:u w:val="single"/>
          <w:lang w:val="sr-Latn-RS" w:eastAsia="sl-SI"/>
        </w:rPr>
        <w:t>Losartan</w:t>
      </w:r>
    </w:p>
    <w:p w14:paraId="114154F5"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Dostupni su ograničeni podaci o predoziranju kod ljudi. Najvjerovatnija manifestacija predoziranja bila bi hipotenzija i tahikardija; bradikardija bi mogla nastati zbog parasimpatičke (vagusne) stimulacije. Ako dođe do simptomatske hipotenzije, treba uvesti suportivno liječenje.</w:t>
      </w:r>
    </w:p>
    <w:p w14:paraId="1264E438"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393E813"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Losartan i njegovi aktivni metaboliti se ne mogu odstraniti hemodijalizom.</w:t>
      </w:r>
    </w:p>
    <w:p w14:paraId="1C3AEF6E"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C00103A" w14:textId="77777777" w:rsidR="00C533CF" w:rsidRPr="008C2F74" w:rsidRDefault="008C2F74">
      <w:pPr>
        <w:widowControl w:val="0"/>
        <w:autoSpaceDE w:val="0"/>
        <w:autoSpaceDN w:val="0"/>
        <w:adjustRightInd w:val="0"/>
        <w:spacing w:line="276" w:lineRule="auto"/>
        <w:jc w:val="both"/>
        <w:rPr>
          <w:szCs w:val="22"/>
          <w:u w:val="single"/>
          <w:lang w:val="sr-Latn-RS" w:eastAsia="sl-SI"/>
        </w:rPr>
      </w:pPr>
      <w:r w:rsidRPr="008C2F74">
        <w:rPr>
          <w:szCs w:val="22"/>
          <w:u w:val="single"/>
          <w:lang w:val="sr-Latn-RS" w:eastAsia="sl-SI"/>
        </w:rPr>
        <w:t>Hidrohlortiazid</w:t>
      </w:r>
    </w:p>
    <w:p w14:paraId="497B3C90"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Najčešći primijećeni znakovi i simptomi su oni izazvani gubitkom elektrolita (hipokalijemija, hipohloremija, hiponatrijemija) i dehidracijom zbog pojačane diureze. Ukoliko je primijenjen i digitalis, hipokalijemija može pojačati srčane aritmije.</w:t>
      </w:r>
    </w:p>
    <w:p w14:paraId="17CF42B2"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53E6D1A"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Stepen do kojeg se hidrohlortiazid odstranjuje hemodijalizom nije ustanovljen.</w:t>
      </w:r>
    </w:p>
    <w:p w14:paraId="46EC2808" w14:textId="77777777" w:rsidR="00C533CF" w:rsidRPr="008C2F74" w:rsidRDefault="00C533CF">
      <w:pPr>
        <w:tabs>
          <w:tab w:val="left" w:pos="540"/>
        </w:tabs>
        <w:jc w:val="both"/>
        <w:rPr>
          <w:b/>
          <w:bCs/>
          <w:szCs w:val="22"/>
          <w:lang w:val="sr-Latn-RS"/>
        </w:rPr>
      </w:pPr>
    </w:p>
    <w:p w14:paraId="6CC88D7A" w14:textId="77777777" w:rsidR="00C533CF" w:rsidRPr="008C2F74" w:rsidRDefault="00C533CF">
      <w:pPr>
        <w:tabs>
          <w:tab w:val="left" w:pos="540"/>
        </w:tabs>
        <w:jc w:val="both"/>
        <w:rPr>
          <w:b/>
          <w:bCs/>
          <w:szCs w:val="22"/>
          <w:lang w:val="sr-Latn-RS"/>
        </w:rPr>
      </w:pPr>
    </w:p>
    <w:p w14:paraId="64E8619A" w14:textId="77777777" w:rsidR="00C533CF" w:rsidRPr="008C2F74" w:rsidRDefault="00C533CF">
      <w:pPr>
        <w:tabs>
          <w:tab w:val="left" w:pos="540"/>
        </w:tabs>
        <w:jc w:val="both"/>
        <w:rPr>
          <w:b/>
          <w:bCs/>
          <w:szCs w:val="22"/>
          <w:lang w:val="sr-Latn-RS"/>
        </w:rPr>
      </w:pPr>
    </w:p>
    <w:p w14:paraId="41F53A85" w14:textId="77777777" w:rsidR="00C533CF" w:rsidRPr="008C2F74" w:rsidRDefault="00C533CF">
      <w:pPr>
        <w:tabs>
          <w:tab w:val="left" w:pos="540"/>
        </w:tabs>
        <w:jc w:val="both"/>
        <w:rPr>
          <w:b/>
          <w:bCs/>
          <w:szCs w:val="22"/>
          <w:lang w:val="sr-Latn-RS"/>
        </w:rPr>
      </w:pPr>
    </w:p>
    <w:p w14:paraId="77D2D788" w14:textId="77777777" w:rsidR="00C533CF" w:rsidRPr="008C2F74" w:rsidRDefault="00C533CF">
      <w:pPr>
        <w:tabs>
          <w:tab w:val="left" w:pos="540"/>
        </w:tabs>
        <w:jc w:val="both"/>
        <w:rPr>
          <w:b/>
          <w:bCs/>
          <w:szCs w:val="22"/>
          <w:lang w:val="sr-Latn-RS"/>
        </w:rPr>
      </w:pPr>
    </w:p>
    <w:p w14:paraId="6EA366BA" w14:textId="77777777" w:rsidR="00C533CF" w:rsidRPr="008C2F74" w:rsidRDefault="00C533CF">
      <w:pPr>
        <w:tabs>
          <w:tab w:val="left" w:pos="540"/>
        </w:tabs>
        <w:jc w:val="both"/>
        <w:rPr>
          <w:b/>
          <w:bCs/>
          <w:szCs w:val="22"/>
          <w:lang w:val="sr-Latn-RS"/>
        </w:rPr>
      </w:pPr>
    </w:p>
    <w:p w14:paraId="0DA8E42F" w14:textId="77777777" w:rsidR="00C533CF" w:rsidRPr="008C2F74" w:rsidRDefault="008C2F74">
      <w:pPr>
        <w:tabs>
          <w:tab w:val="left" w:pos="540"/>
        </w:tabs>
        <w:jc w:val="both"/>
        <w:rPr>
          <w:b/>
          <w:bCs/>
          <w:szCs w:val="22"/>
          <w:lang w:val="sr-Latn-RS"/>
        </w:rPr>
      </w:pPr>
      <w:r w:rsidRPr="008C2F74">
        <w:rPr>
          <w:b/>
          <w:bCs/>
          <w:szCs w:val="22"/>
          <w:lang w:val="sr-Latn-RS"/>
        </w:rPr>
        <w:t xml:space="preserve">5. </w:t>
      </w:r>
      <w:r w:rsidRPr="008C2F74">
        <w:rPr>
          <w:b/>
          <w:bCs/>
          <w:szCs w:val="22"/>
          <w:lang w:val="sr-Latn-RS"/>
        </w:rPr>
        <w:tab/>
        <w:t>FARMAKOLOŠKI PODACI</w:t>
      </w:r>
    </w:p>
    <w:p w14:paraId="2346A73B" w14:textId="77777777" w:rsidR="00C533CF" w:rsidRPr="008C2F74" w:rsidRDefault="00C533CF">
      <w:pPr>
        <w:tabs>
          <w:tab w:val="left" w:pos="540"/>
        </w:tabs>
        <w:jc w:val="both"/>
        <w:rPr>
          <w:b/>
          <w:bCs/>
          <w:szCs w:val="22"/>
          <w:lang w:val="sr-Latn-RS"/>
        </w:rPr>
      </w:pPr>
    </w:p>
    <w:p w14:paraId="688A5933" w14:textId="77777777" w:rsidR="00C533CF" w:rsidRPr="008C2F74" w:rsidRDefault="008C2F74">
      <w:pPr>
        <w:tabs>
          <w:tab w:val="left" w:pos="540"/>
        </w:tabs>
        <w:jc w:val="both"/>
        <w:rPr>
          <w:b/>
          <w:bCs/>
          <w:szCs w:val="22"/>
          <w:lang w:val="sr-Latn-RS"/>
        </w:rPr>
      </w:pPr>
      <w:r w:rsidRPr="008C2F74">
        <w:rPr>
          <w:b/>
          <w:bCs/>
          <w:szCs w:val="22"/>
          <w:lang w:val="sr-Latn-RS"/>
        </w:rPr>
        <w:t xml:space="preserve">5.1. </w:t>
      </w:r>
      <w:r w:rsidRPr="008C2F74">
        <w:rPr>
          <w:b/>
          <w:bCs/>
          <w:szCs w:val="22"/>
          <w:lang w:val="sr-Latn-RS"/>
        </w:rPr>
        <w:tab/>
        <w:t xml:space="preserve">Farmakodinamski podaci </w:t>
      </w:r>
    </w:p>
    <w:p w14:paraId="1E8CE068" w14:textId="77777777" w:rsidR="00C533CF" w:rsidRPr="008C2F74" w:rsidRDefault="00C533CF">
      <w:pPr>
        <w:tabs>
          <w:tab w:val="left" w:pos="540"/>
        </w:tabs>
        <w:jc w:val="both"/>
        <w:rPr>
          <w:b/>
          <w:bCs/>
          <w:szCs w:val="22"/>
          <w:lang w:val="sr-Latn-RS"/>
        </w:rPr>
      </w:pPr>
    </w:p>
    <w:p w14:paraId="1D89B852" w14:textId="77777777" w:rsidR="00C533CF" w:rsidRPr="008C2F74" w:rsidRDefault="008C2F74">
      <w:pPr>
        <w:tabs>
          <w:tab w:val="left" w:pos="540"/>
        </w:tabs>
        <w:jc w:val="both"/>
        <w:rPr>
          <w:bCs/>
          <w:szCs w:val="22"/>
          <w:lang w:val="sr-Latn-RS"/>
        </w:rPr>
      </w:pPr>
      <w:r w:rsidRPr="008C2F74">
        <w:rPr>
          <w:bCs/>
          <w:szCs w:val="22"/>
          <w:lang w:val="sr-Latn-RS"/>
        </w:rPr>
        <w:t>Farmakoterapijska grupa:</w:t>
      </w:r>
      <w:r w:rsidRPr="008C2F74">
        <w:rPr>
          <w:szCs w:val="22"/>
          <w:lang w:val="sr-Latn-RS"/>
        </w:rPr>
        <w:t xml:space="preserve"> antagonisti angiotenzina II i diuretici</w:t>
      </w:r>
    </w:p>
    <w:p w14:paraId="4770E0A7" w14:textId="77777777" w:rsidR="00C533CF" w:rsidRPr="008C2F74" w:rsidRDefault="00C533CF">
      <w:pPr>
        <w:tabs>
          <w:tab w:val="left" w:pos="540"/>
        </w:tabs>
        <w:jc w:val="both"/>
        <w:rPr>
          <w:bCs/>
          <w:szCs w:val="22"/>
          <w:lang w:val="sr-Latn-RS"/>
        </w:rPr>
      </w:pPr>
    </w:p>
    <w:p w14:paraId="50674FB7" w14:textId="77777777" w:rsidR="00C533CF" w:rsidRPr="008C2F74" w:rsidRDefault="008C2F74">
      <w:pPr>
        <w:tabs>
          <w:tab w:val="left" w:pos="540"/>
        </w:tabs>
        <w:jc w:val="both"/>
        <w:rPr>
          <w:bCs/>
          <w:szCs w:val="22"/>
          <w:lang w:val="sr-Latn-RS"/>
        </w:rPr>
      </w:pPr>
      <w:r w:rsidRPr="008C2F74">
        <w:rPr>
          <w:bCs/>
          <w:szCs w:val="22"/>
          <w:lang w:val="sr-Latn-RS"/>
        </w:rPr>
        <w:t>ATC kod:</w:t>
      </w:r>
      <w:r w:rsidRPr="008C2F74">
        <w:rPr>
          <w:szCs w:val="22"/>
          <w:lang w:val="sr-Latn-RS"/>
        </w:rPr>
        <w:t xml:space="preserve"> C09DA01</w:t>
      </w:r>
    </w:p>
    <w:p w14:paraId="266A12A6" w14:textId="77777777" w:rsidR="00C533CF" w:rsidRPr="008C2F74" w:rsidRDefault="00C533CF">
      <w:pPr>
        <w:tabs>
          <w:tab w:val="left" w:pos="540"/>
        </w:tabs>
        <w:jc w:val="both"/>
        <w:rPr>
          <w:b/>
          <w:bCs/>
          <w:szCs w:val="22"/>
          <w:lang w:val="sr-Latn-RS"/>
        </w:rPr>
      </w:pPr>
    </w:p>
    <w:p w14:paraId="4E5A24C0" w14:textId="77777777" w:rsidR="00C533CF" w:rsidRPr="008C2F74" w:rsidRDefault="008C2F74">
      <w:pPr>
        <w:widowControl w:val="0"/>
        <w:autoSpaceDE w:val="0"/>
        <w:autoSpaceDN w:val="0"/>
        <w:adjustRightInd w:val="0"/>
        <w:spacing w:line="276" w:lineRule="auto"/>
        <w:jc w:val="both"/>
        <w:rPr>
          <w:szCs w:val="22"/>
          <w:u w:val="single"/>
          <w:lang w:val="sr-Latn-RS" w:eastAsia="sl-SI"/>
        </w:rPr>
      </w:pPr>
      <w:r w:rsidRPr="008C2F74">
        <w:rPr>
          <w:szCs w:val="22"/>
          <w:u w:val="single"/>
          <w:lang w:val="sr-Latn-RS" w:eastAsia="sl-SI"/>
        </w:rPr>
        <w:t>Kombinacija losartan-hidrohlortiazid</w:t>
      </w:r>
    </w:p>
    <w:p w14:paraId="7340A74C"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25F0EBD"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Komponente ovog lijeka pokazale su aditivno dejstvo na snižavanje krvnog pritiska, snižavajući ga u većem stepenu od bilo koje komponente pojedinačno. Smatra se da je ovo dejstvo rezultat komplementarnih dejstava obje komponente. Nadalje, kao rezultat njegovog diuretskog dejstva, hidrohlortiazid povećava plazmatsku aktivnost renina, sekreciju aldosterona, snižava kalijum u serumu, te povećava nivo angiotenzina II. Primjena losartana blokira sva fiziološki bitna dejstva angiotenzina II, pa bi putem inhibicije aldosterona mogla ublažavati gubitak kalijuma povezanog sa diuretskim efektom.</w:t>
      </w:r>
    </w:p>
    <w:p w14:paraId="63C53383"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F56140A"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Pokazalo se da losartan ima blago i prolazno urikozuričko dejstvo. Za hidrohlortiazid se pokazalo da dovodi do umjerenog porasta mokraćne kiseline; kombinacija losartana i hidrohlortiazida ublažava hiperurikemiju uzrokovanu diuretikom.</w:t>
      </w:r>
    </w:p>
    <w:p w14:paraId="444B893E" w14:textId="77777777" w:rsidR="00C533CF" w:rsidRPr="008C2F74" w:rsidRDefault="00C533CF">
      <w:pPr>
        <w:widowControl w:val="0"/>
        <w:autoSpaceDE w:val="0"/>
        <w:autoSpaceDN w:val="0"/>
        <w:adjustRightInd w:val="0"/>
        <w:spacing w:line="276" w:lineRule="auto"/>
        <w:jc w:val="both"/>
        <w:rPr>
          <w:szCs w:val="22"/>
          <w:lang w:val="sr-Latn-RS" w:eastAsia="sl-SI"/>
        </w:rPr>
      </w:pPr>
    </w:p>
    <w:p w14:paraId="20DCDF8D"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Antihipertenzivno dejstvo kombinacije losartan/hidrohlortiazid traje 24 sata. U kliničkim ispitivanjima koja su trajala najmanje jednu godinu, antihipertenzivno dejstvo je bilo održano kontinuiranom terapijom. Uprkos značajnom snižavanju krvnog pritiska, primjena kombinacije losartan/hidrohlortiazid nije imala klinički značajno dejstvo na frekvenciju srca. U kliničkim ispitivanjima, nakon 12 nedjelja terapije losartanom od 50 mg i hidrohlortiazidom od 12,5 mg, najniži dijastolni pritisak u sjedećem položaju bio je u prosjeku snižen za 13,2 mmHg.</w:t>
      </w:r>
    </w:p>
    <w:p w14:paraId="5478D766" w14:textId="77777777" w:rsidR="00C533CF" w:rsidRPr="008C2F74" w:rsidRDefault="00C533CF">
      <w:pPr>
        <w:widowControl w:val="0"/>
        <w:autoSpaceDE w:val="0"/>
        <w:autoSpaceDN w:val="0"/>
        <w:adjustRightInd w:val="0"/>
        <w:spacing w:line="276" w:lineRule="auto"/>
        <w:jc w:val="both"/>
        <w:rPr>
          <w:szCs w:val="22"/>
          <w:lang w:val="sr-Latn-RS" w:eastAsia="sl-SI"/>
        </w:rPr>
      </w:pPr>
    </w:p>
    <w:p w14:paraId="3AEC4038"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Kombinacija losartan/hidrohlortiazid efikasna je u snižavanju krvnog pritiska kod muškaraca i žena, osoba crne i ostalih rasa te kod mlađih (&lt; 65 godina) i starijih (≥ 65 godina) pacijenata kod svih stepena hipertenzije.</w:t>
      </w:r>
    </w:p>
    <w:p w14:paraId="146867DB" w14:textId="77777777" w:rsidR="00C533CF" w:rsidRPr="008C2F74" w:rsidRDefault="00C533CF">
      <w:pPr>
        <w:widowControl w:val="0"/>
        <w:spacing w:line="276" w:lineRule="auto"/>
        <w:ind w:right="-483"/>
        <w:jc w:val="both"/>
        <w:rPr>
          <w:szCs w:val="22"/>
          <w:lang w:val="sr-Latn-RS"/>
        </w:rPr>
      </w:pPr>
    </w:p>
    <w:p w14:paraId="0465094A" w14:textId="77777777" w:rsidR="00C533CF" w:rsidRPr="008C2F74" w:rsidRDefault="008C2F74">
      <w:pPr>
        <w:widowControl w:val="0"/>
        <w:autoSpaceDE w:val="0"/>
        <w:autoSpaceDN w:val="0"/>
        <w:adjustRightInd w:val="0"/>
        <w:spacing w:line="276" w:lineRule="auto"/>
        <w:jc w:val="both"/>
        <w:rPr>
          <w:b/>
          <w:szCs w:val="22"/>
          <w:u w:val="single"/>
          <w:lang w:val="sr-Latn-RS" w:eastAsia="sl-SI"/>
        </w:rPr>
      </w:pPr>
      <w:r w:rsidRPr="008C2F74">
        <w:rPr>
          <w:b/>
          <w:szCs w:val="22"/>
          <w:u w:val="single"/>
          <w:lang w:val="sr-Latn-RS" w:eastAsia="sl-SI"/>
        </w:rPr>
        <w:t>Losartan</w:t>
      </w:r>
    </w:p>
    <w:p w14:paraId="33220F5C" w14:textId="77777777" w:rsidR="00C533CF" w:rsidRPr="008C2F74" w:rsidRDefault="00C533CF">
      <w:pPr>
        <w:widowControl w:val="0"/>
        <w:autoSpaceDE w:val="0"/>
        <w:autoSpaceDN w:val="0"/>
        <w:adjustRightInd w:val="0"/>
        <w:spacing w:line="276" w:lineRule="auto"/>
        <w:jc w:val="both"/>
        <w:rPr>
          <w:szCs w:val="22"/>
          <w:lang w:val="sr-Latn-RS" w:eastAsia="sl-SI"/>
        </w:rPr>
      </w:pPr>
    </w:p>
    <w:p w14:paraId="3CB40E18"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Losartan je sintetički proizveden oralni antagonist receptora za angiotenzin II (tipa AT</w:t>
      </w:r>
      <w:r w:rsidRPr="008C2F74">
        <w:rPr>
          <w:szCs w:val="22"/>
          <w:vertAlign w:val="subscript"/>
          <w:lang w:val="sr-Latn-RS" w:eastAsia="sl-SI"/>
        </w:rPr>
        <w:t>1</w:t>
      </w:r>
      <w:r w:rsidRPr="008C2F74">
        <w:rPr>
          <w:szCs w:val="22"/>
          <w:lang w:val="sr-Latn-RS" w:eastAsia="sl-SI"/>
        </w:rPr>
        <w:t>). Angiotenzin II, moćni vazokonstriktor, primarni je aktivni hormon sistema renin-angiotenzin te važna odrednica u patofiziologiji hipertenzije. Angiotenzin II se veže na AT</w:t>
      </w:r>
      <w:r w:rsidRPr="008C2F74">
        <w:rPr>
          <w:szCs w:val="22"/>
          <w:vertAlign w:val="subscript"/>
          <w:lang w:val="sr-Latn-RS" w:eastAsia="sl-SI"/>
        </w:rPr>
        <w:t>1</w:t>
      </w:r>
      <w:r w:rsidRPr="008C2F74">
        <w:rPr>
          <w:szCs w:val="22"/>
          <w:lang w:val="sr-Latn-RS" w:eastAsia="sl-SI"/>
        </w:rPr>
        <w:t xml:space="preserve"> receptor koji se nalazi u mnogim tkivima (npr. glatkom mišiću krvnih sudova, nadbubrežnoj žlijezdi, bubrezima i srcu) i izaziva nekoliko važnih bioloških dejstava, uključujući vazokonstrikciju i oslobađanje aldosterona. Angiotenzin II takođe podstiče proliferaciju ćelija glatkih mišića.</w:t>
      </w:r>
    </w:p>
    <w:p w14:paraId="628D881B" w14:textId="77777777" w:rsidR="00C533CF" w:rsidRPr="008C2F74" w:rsidRDefault="00C533CF">
      <w:pPr>
        <w:widowControl w:val="0"/>
        <w:autoSpaceDE w:val="0"/>
        <w:autoSpaceDN w:val="0"/>
        <w:adjustRightInd w:val="0"/>
        <w:spacing w:line="276" w:lineRule="auto"/>
        <w:jc w:val="both"/>
        <w:rPr>
          <w:szCs w:val="22"/>
          <w:lang w:val="sr-Latn-RS" w:eastAsia="sl-SI"/>
        </w:rPr>
      </w:pPr>
    </w:p>
    <w:p w14:paraId="6AAB6865"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Losartan selektivno blokira AT</w:t>
      </w:r>
      <w:r w:rsidRPr="008C2F74">
        <w:rPr>
          <w:szCs w:val="22"/>
          <w:vertAlign w:val="subscript"/>
          <w:lang w:val="sr-Latn-RS" w:eastAsia="sl-SI"/>
        </w:rPr>
        <w:t>1</w:t>
      </w:r>
      <w:r w:rsidRPr="008C2F74">
        <w:rPr>
          <w:szCs w:val="22"/>
          <w:lang w:val="sr-Latn-RS" w:eastAsia="sl-SI"/>
        </w:rPr>
        <w:t xml:space="preserve"> receptor. </w:t>
      </w:r>
      <w:r w:rsidRPr="008C2F74">
        <w:rPr>
          <w:i/>
          <w:iCs/>
          <w:szCs w:val="22"/>
          <w:lang w:val="sr-Latn-RS" w:eastAsia="sl-SI"/>
        </w:rPr>
        <w:t xml:space="preserve">In vitro </w:t>
      </w:r>
      <w:r w:rsidRPr="008C2F74">
        <w:rPr>
          <w:szCs w:val="22"/>
          <w:lang w:val="sr-Latn-RS" w:eastAsia="sl-SI"/>
        </w:rPr>
        <w:t xml:space="preserve">i </w:t>
      </w:r>
      <w:r w:rsidRPr="008C2F74">
        <w:rPr>
          <w:i/>
          <w:iCs/>
          <w:szCs w:val="22"/>
          <w:lang w:val="sr-Latn-RS" w:eastAsia="sl-SI"/>
        </w:rPr>
        <w:t xml:space="preserve">in vivo, </w:t>
      </w:r>
      <w:r w:rsidRPr="008C2F74">
        <w:rPr>
          <w:szCs w:val="22"/>
          <w:lang w:val="sr-Latn-RS" w:eastAsia="sl-SI"/>
        </w:rPr>
        <w:t>losartan i njegov farmakološki aktivan metabolit u obliku karboksilne kiseline E-3174 blokiraju sva fiziološki značajna dejstva angiotenzina II, nezavisno od izvora ili puta njegove sinteze.</w:t>
      </w:r>
    </w:p>
    <w:p w14:paraId="4CD0DCCF"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3B3BD2E"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Losartan nema agonističko dejstvo niti blokira druge hormonske receptore ili jonske kanale važne za kardiovaskularnu regulaciju. Nadalje, losartan ne inhibiše ACE (kininazu II), enzim koji razgrađuje bradikinin. Posljedično, nema porasta neželjenih dejstava posredovanih bradikininom.</w:t>
      </w:r>
    </w:p>
    <w:p w14:paraId="216D483B" w14:textId="77777777" w:rsidR="00C533CF" w:rsidRPr="008C2F74" w:rsidRDefault="00C533CF">
      <w:pPr>
        <w:widowControl w:val="0"/>
        <w:autoSpaceDE w:val="0"/>
        <w:autoSpaceDN w:val="0"/>
        <w:adjustRightInd w:val="0"/>
        <w:spacing w:line="276" w:lineRule="auto"/>
        <w:jc w:val="both"/>
        <w:rPr>
          <w:szCs w:val="22"/>
          <w:lang w:val="sr-Latn-RS" w:eastAsia="sl-SI"/>
        </w:rPr>
      </w:pPr>
    </w:p>
    <w:p w14:paraId="7878D3F3"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 xml:space="preserve">Tokom primjene losartana, prekid negativne povratne sprege angiotenzina II na sekreciju renina dovodi do povećane aktivnosti renina u plazmi. Porast aktivnosti renina u plazmi dovodi do porasta angiotenzina II u plazmi. Uprkos tome, održano je antihipertenzivno dejstvo i supresija aldosterona u plazmi, što upućuje na efikasnu blokadu receptora za angiotenzin II. Po prekidu terapije losartanom, </w:t>
      </w:r>
      <w:r w:rsidRPr="008C2F74">
        <w:rPr>
          <w:szCs w:val="22"/>
          <w:lang w:val="sr-Latn-RS" w:eastAsia="sl-SI"/>
        </w:rPr>
        <w:lastRenderedPageBreak/>
        <w:t>aktivnost renina u plazmi i vrijednosti angiotenzina II vraćaju se na osnovne vrijednosti u roku od 3 dana.</w:t>
      </w:r>
    </w:p>
    <w:p w14:paraId="4E680D48"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8D274AD"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Losartan i njegov glavni aktivni metabolit imaju puno veći afinitet za AT</w:t>
      </w:r>
      <w:r w:rsidRPr="008C2F74">
        <w:rPr>
          <w:szCs w:val="22"/>
          <w:vertAlign w:val="subscript"/>
          <w:lang w:val="sr-Latn-RS" w:eastAsia="sl-SI"/>
        </w:rPr>
        <w:t xml:space="preserve">1 </w:t>
      </w:r>
      <w:r w:rsidRPr="008C2F74">
        <w:rPr>
          <w:szCs w:val="22"/>
          <w:lang w:val="sr-Latn-RS" w:eastAsia="sl-SI"/>
        </w:rPr>
        <w:t>nego za AT</w:t>
      </w:r>
      <w:r w:rsidRPr="008C2F74">
        <w:rPr>
          <w:szCs w:val="22"/>
          <w:vertAlign w:val="subscript"/>
          <w:lang w:val="sr-Latn-RS" w:eastAsia="sl-SI"/>
        </w:rPr>
        <w:t>2</w:t>
      </w:r>
      <w:r w:rsidRPr="008C2F74">
        <w:rPr>
          <w:szCs w:val="22"/>
          <w:lang w:val="sr-Latn-RS" w:eastAsia="sl-SI"/>
        </w:rPr>
        <w:t xml:space="preserve"> receptore. Aktivni metabolit je 10 do 40 puta aktivniji od losartana s obzirom na odnos njihove težine.</w:t>
      </w:r>
    </w:p>
    <w:p w14:paraId="0CD2CB72"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DD3898B"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U studiji specifično dizajniranoj da procijeni učestalost kašlja kod pacijenata liječenih losartanom u upoređenju sa pacijentima liječenim ACE inhibitorima, učestalost kašlja zabilježena kod pacijenata koji su primali losartan ili hidrohlortiazid bila je slična te značajno manja nego kod pacijenata koji su primali ACE inhibitor. Takođe, u ukupnoj analizi 16 dvostruko slijepih kliničkih ispitivanja kod 4131 pacijenata, učestalost spontanih prijava kašlja kod pacijenata liječenih losartanom bila je slična (3,1%) onoj kod pacijenata koji su primali placebo (2,6%) ili hidrohlortiazid (4,1%), dok je učestalost s ACE inhibitorima bila 8,8%.</w:t>
      </w:r>
    </w:p>
    <w:p w14:paraId="075044A9" w14:textId="77777777" w:rsidR="00C533CF" w:rsidRPr="008C2F74" w:rsidRDefault="00C533CF">
      <w:pPr>
        <w:widowControl w:val="0"/>
        <w:autoSpaceDE w:val="0"/>
        <w:autoSpaceDN w:val="0"/>
        <w:adjustRightInd w:val="0"/>
        <w:spacing w:line="276" w:lineRule="auto"/>
        <w:jc w:val="both"/>
        <w:rPr>
          <w:szCs w:val="22"/>
          <w:lang w:val="sr-Latn-RS" w:eastAsia="sl-SI"/>
        </w:rPr>
      </w:pPr>
    </w:p>
    <w:p w14:paraId="2D66AC7C" w14:textId="77777777" w:rsidR="00C533CF" w:rsidRPr="008C2F74" w:rsidRDefault="008C2F74">
      <w:pPr>
        <w:widowControl w:val="0"/>
        <w:autoSpaceDE w:val="0"/>
        <w:autoSpaceDN w:val="0"/>
        <w:adjustRightInd w:val="0"/>
        <w:spacing w:line="276" w:lineRule="auto"/>
        <w:jc w:val="both"/>
        <w:rPr>
          <w:b/>
          <w:szCs w:val="22"/>
          <w:lang w:val="sr-Latn-RS" w:eastAsia="sl-SI"/>
        </w:rPr>
      </w:pPr>
      <w:r w:rsidRPr="008C2F74">
        <w:rPr>
          <w:szCs w:val="22"/>
          <w:lang w:val="sr-Latn-RS" w:eastAsia="sl-SI"/>
        </w:rPr>
        <w:t>Kod nedijabetičkih hipertenzivnih pacijenata s proteinurijom, primjena losartan kalijuma značajno smanjuje proteinuriju, frakcijsku ekskreciju albumina i IgG. Losartan održava brzinu glomerularne filtracije te smanjuje filtracijsku frakciju. Generalno, losartan dovodi do smanjenja koncentracije  mokraćne kiseline u serumu (obično &lt;0,4 mg/dl) koje je bilo trajno pri hroničnoj terapiji.</w:t>
      </w:r>
    </w:p>
    <w:p w14:paraId="56F3E783" w14:textId="77777777" w:rsidR="00C533CF" w:rsidRPr="008C2F74" w:rsidRDefault="00C533CF">
      <w:pPr>
        <w:widowControl w:val="0"/>
        <w:spacing w:line="276" w:lineRule="auto"/>
        <w:ind w:right="-483"/>
        <w:jc w:val="both"/>
        <w:rPr>
          <w:szCs w:val="22"/>
          <w:lang w:val="sr-Latn-RS"/>
        </w:rPr>
      </w:pPr>
    </w:p>
    <w:p w14:paraId="66057DF4"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Losartan nema dejstva na autonomne reflekse te nema trajnog dejstva na noradrenalin u plazmi.</w:t>
      </w:r>
    </w:p>
    <w:p w14:paraId="7BBDF305"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12110E9"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Kod pacijenata sa insuficijencijom lijeve komore, doze od 25 i 50 mg losartana dovele su redom do pozitivnog hemodinamskog i neurohormonalnog dejstva karakterizovanog porastom srčanog indeksa i smanjenjem pritiska u plućnim kapilarama, sistemskog vaskularnog otpora, srednjeg sistemskog arterijskog pritiska i frekvencije srca te do smanjenja cirkulišućeg nivoa aldosterona i norepinefrina. Pojava hipotenzije kod ovih pacijenata sa insuficijencijom srca zavisila je od doze.</w:t>
      </w:r>
    </w:p>
    <w:p w14:paraId="2C928B7E" w14:textId="77777777" w:rsidR="00C533CF" w:rsidRPr="008C2F74" w:rsidRDefault="00C533CF">
      <w:pPr>
        <w:widowControl w:val="0"/>
        <w:spacing w:line="276" w:lineRule="auto"/>
        <w:ind w:right="-483"/>
        <w:jc w:val="both"/>
        <w:rPr>
          <w:szCs w:val="22"/>
          <w:lang w:val="sr-Latn-RS"/>
        </w:rPr>
      </w:pPr>
    </w:p>
    <w:p w14:paraId="0CFE3A3E" w14:textId="77777777" w:rsidR="00C533CF" w:rsidRPr="008C2F74" w:rsidRDefault="008C2F74">
      <w:pPr>
        <w:widowControl w:val="0"/>
        <w:autoSpaceDE w:val="0"/>
        <w:autoSpaceDN w:val="0"/>
        <w:adjustRightInd w:val="0"/>
        <w:spacing w:line="276" w:lineRule="auto"/>
        <w:jc w:val="both"/>
        <w:rPr>
          <w:szCs w:val="22"/>
          <w:u w:val="single"/>
          <w:lang w:val="sr-Latn-RS" w:eastAsia="sl-SI"/>
        </w:rPr>
      </w:pPr>
      <w:r w:rsidRPr="008C2F74">
        <w:rPr>
          <w:szCs w:val="22"/>
          <w:u w:val="single"/>
          <w:lang w:val="sr-Latn-RS" w:eastAsia="sl-SI"/>
        </w:rPr>
        <w:t>Ispitivanja hipertenzije</w:t>
      </w:r>
    </w:p>
    <w:p w14:paraId="100D0B5B" w14:textId="77777777" w:rsidR="00C533CF" w:rsidRPr="008C2F74" w:rsidRDefault="00C533CF">
      <w:pPr>
        <w:widowControl w:val="0"/>
        <w:autoSpaceDE w:val="0"/>
        <w:autoSpaceDN w:val="0"/>
        <w:adjustRightInd w:val="0"/>
        <w:spacing w:line="276" w:lineRule="auto"/>
        <w:jc w:val="both"/>
        <w:rPr>
          <w:szCs w:val="22"/>
          <w:lang w:val="sr-Latn-RS" w:eastAsia="sl-SI"/>
        </w:rPr>
      </w:pPr>
    </w:p>
    <w:p w14:paraId="5F7969B0"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U kontrolisanim kliničkim ispitivanjima, primjena losartana jednom dnevno kod pacijenata sa blagom do umjerenom esencijalnom hipertenzijom dovela je do statistički značajnog smanjenja sistolnog i dijastolnog krvnog pritiska. Mjerenja krvnog pritiska 24 sata nakon doze u odnosu na 5-6 sati nakon doze pokazala su smanjenje krvnog pritiska kroz 24 sata; prirodni diurnalni ritam bio je održan. Smanjenje krvnog pritiska na kraju doznog intervala iznosilo je 70-80% efekta izmjerenog 5-6 sati nakon primjene doze.</w:t>
      </w:r>
    </w:p>
    <w:p w14:paraId="4FD877A7" w14:textId="77777777" w:rsidR="00C533CF" w:rsidRPr="008C2F74" w:rsidRDefault="00C533CF">
      <w:pPr>
        <w:widowControl w:val="0"/>
        <w:autoSpaceDE w:val="0"/>
        <w:autoSpaceDN w:val="0"/>
        <w:adjustRightInd w:val="0"/>
        <w:spacing w:line="276" w:lineRule="auto"/>
        <w:jc w:val="both"/>
        <w:rPr>
          <w:szCs w:val="22"/>
          <w:lang w:val="sr-Latn-RS" w:eastAsia="sl-SI"/>
        </w:rPr>
      </w:pPr>
    </w:p>
    <w:p w14:paraId="3E731F07"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Prekid terapije losartanom kod hipertenzivnih pacijenata nije doveo do naglog porasta krvnog pritiska (rebound). Uprkos značajnom smanjenju krvnog pritiska, losartan nije imao klinički značajnih dejstava na srčanu frekvenciju.</w:t>
      </w:r>
    </w:p>
    <w:p w14:paraId="617A35D2" w14:textId="77777777" w:rsidR="00C533CF" w:rsidRPr="008C2F74" w:rsidRDefault="00C533CF">
      <w:pPr>
        <w:widowControl w:val="0"/>
        <w:autoSpaceDE w:val="0"/>
        <w:autoSpaceDN w:val="0"/>
        <w:adjustRightInd w:val="0"/>
        <w:spacing w:line="276" w:lineRule="auto"/>
        <w:jc w:val="both"/>
        <w:rPr>
          <w:szCs w:val="22"/>
          <w:lang w:val="sr-Latn-RS" w:eastAsia="sl-SI"/>
        </w:rPr>
      </w:pPr>
    </w:p>
    <w:p w14:paraId="286F90C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Losartan je jednako efikasan kod muškaraca i žena, kao i kod mlađih (ispod 65 godina) i starijih hipertenzivnih pacijenata.</w:t>
      </w:r>
    </w:p>
    <w:p w14:paraId="5B130EAB" w14:textId="77777777" w:rsidR="00C533CF" w:rsidRPr="008C2F74" w:rsidRDefault="00C533CF">
      <w:pPr>
        <w:widowControl w:val="0"/>
        <w:spacing w:line="276" w:lineRule="auto"/>
        <w:ind w:right="-483"/>
        <w:jc w:val="both"/>
        <w:rPr>
          <w:szCs w:val="22"/>
          <w:lang w:val="sr-Latn-RS"/>
        </w:rPr>
      </w:pPr>
    </w:p>
    <w:p w14:paraId="05269C2D" w14:textId="77777777" w:rsidR="00C533CF" w:rsidRPr="008C2F74" w:rsidRDefault="008C2F74">
      <w:pPr>
        <w:widowControl w:val="0"/>
        <w:autoSpaceDE w:val="0"/>
        <w:autoSpaceDN w:val="0"/>
        <w:adjustRightInd w:val="0"/>
        <w:spacing w:line="276" w:lineRule="auto"/>
        <w:jc w:val="both"/>
        <w:rPr>
          <w:szCs w:val="22"/>
          <w:u w:val="single"/>
          <w:lang w:val="sr-Latn-RS" w:eastAsia="sl-SI"/>
        </w:rPr>
      </w:pPr>
      <w:r w:rsidRPr="008C2F74">
        <w:rPr>
          <w:szCs w:val="22"/>
          <w:u w:val="single"/>
          <w:lang w:val="sr-Latn-RS" w:eastAsia="sl-SI"/>
        </w:rPr>
        <w:t>Studija LIFE</w:t>
      </w:r>
    </w:p>
    <w:p w14:paraId="35422CF6" w14:textId="77777777" w:rsidR="00C533CF" w:rsidRPr="008C2F74" w:rsidRDefault="00C533CF">
      <w:pPr>
        <w:widowControl w:val="0"/>
        <w:autoSpaceDE w:val="0"/>
        <w:autoSpaceDN w:val="0"/>
        <w:adjustRightInd w:val="0"/>
        <w:spacing w:line="276" w:lineRule="auto"/>
        <w:jc w:val="both"/>
        <w:rPr>
          <w:szCs w:val="22"/>
          <w:u w:val="single"/>
          <w:lang w:val="sr-Latn-RS" w:eastAsia="sl-SI"/>
        </w:rPr>
      </w:pPr>
    </w:p>
    <w:p w14:paraId="46C39F33"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Studija LIFE (</w:t>
      </w:r>
      <w:r w:rsidRPr="008C2F74">
        <w:rPr>
          <w:i/>
          <w:szCs w:val="22"/>
          <w:lang w:val="sr-Latn-RS" w:eastAsia="sl-SI"/>
        </w:rPr>
        <w:t>Losartan Intervention For Endpoint reduction in hypertension</w:t>
      </w:r>
      <w:r w:rsidRPr="008C2F74">
        <w:rPr>
          <w:szCs w:val="22"/>
          <w:lang w:val="sr-Latn-RS" w:eastAsia="sl-SI"/>
        </w:rPr>
        <w:t xml:space="preserve">) bila je randomizirana, trostruko slijepa, aktivno kontrolisana studija kod 9193 hipertenzivnih pacijenata starosti od 55 do 80 godina sa hipertrofijom lijeve komore dokumentovanom na EKG-u. Pacijenti su bili randomizirani da primaju losartan od 50 mg jednom dnevno ili atenolol od 50 mg jednom dnevno. Ukoliko nije postignut </w:t>
      </w:r>
      <w:r w:rsidRPr="008C2F74">
        <w:rPr>
          <w:szCs w:val="22"/>
          <w:lang w:val="sr-Latn-RS" w:eastAsia="sl-SI"/>
        </w:rPr>
        <w:lastRenderedPageBreak/>
        <w:t>ciljni krvni pritisak (&lt;140/90 mmHg), prvo se dodavao hidrohlortiazid (12,5 mg) i ukoliko je bilo potrebno, doza losartana ili atenolola se povećavala na 100 mg jednom dnevno. Drugi antihipertenzivi, uz izuzetak ACE inhibitora, antagonista angiotenzina II ili beta blokatora, dodavali su se, ukoliko je bilo potrebno, kako bi se postigao ciljani krvni pritisak.</w:t>
      </w:r>
    </w:p>
    <w:p w14:paraId="59BF4C74" w14:textId="77777777" w:rsidR="00C533CF" w:rsidRPr="008C2F74" w:rsidRDefault="00C533CF">
      <w:pPr>
        <w:widowControl w:val="0"/>
        <w:spacing w:line="276" w:lineRule="auto"/>
        <w:ind w:right="-483"/>
        <w:jc w:val="both"/>
        <w:rPr>
          <w:szCs w:val="22"/>
          <w:lang w:val="sr-Latn-RS"/>
        </w:rPr>
      </w:pPr>
    </w:p>
    <w:p w14:paraId="1AE4F1AF" w14:textId="77777777" w:rsidR="00C533CF" w:rsidRPr="008C2F74" w:rsidRDefault="008C2F74">
      <w:pPr>
        <w:widowControl w:val="0"/>
        <w:spacing w:line="276" w:lineRule="auto"/>
        <w:ind w:right="-483"/>
        <w:jc w:val="both"/>
        <w:rPr>
          <w:szCs w:val="22"/>
          <w:lang w:val="sr-Latn-RS"/>
        </w:rPr>
      </w:pPr>
      <w:r w:rsidRPr="008C2F74">
        <w:rPr>
          <w:szCs w:val="22"/>
          <w:lang w:val="sr-Latn-RS"/>
        </w:rPr>
        <w:t>Prosječno trajanje praćenja bilo je 4,8 godina.</w:t>
      </w:r>
    </w:p>
    <w:p w14:paraId="5C187D7F" w14:textId="77777777" w:rsidR="00C533CF" w:rsidRPr="008C2F74" w:rsidRDefault="00C533CF">
      <w:pPr>
        <w:widowControl w:val="0"/>
        <w:spacing w:line="276" w:lineRule="auto"/>
        <w:ind w:right="-483"/>
        <w:jc w:val="both"/>
        <w:rPr>
          <w:szCs w:val="22"/>
          <w:lang w:val="sr-Latn-RS"/>
        </w:rPr>
      </w:pPr>
    </w:p>
    <w:p w14:paraId="32935072"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Primarni praćeni klinički ishod bio je kombinacija kardiovaskularnog morbiditeta i mortaliteta mjerenog pomoću smanjenja kombinovane incidencije kardiovaskularne smrti, insulta i infarkta miokarda. Krvni pritisak bio je značajno snižen na slični nivo u obje grupe. Liječenje losartanom dovelo je do smanjenja rizika za 13,0% (p=0,021, 95 % interval pouzdanosti od 0,77-0,98) u poređenju s atenololom kod pacijenata koji su postigli primarni praćeni klinički ishod. Ovo je bilo najviše zahvaljujući smanjenju incidencije insulta. Liječenje losartanom smanjilo je rizik od insulta za 25% u upoređenju s atenololom (p=0,001, 95% interval pouzdanosti od 0,63-0,89). Učestalosti kardiovaskularne smrti i infarkta miokarda nijesu se značajno razlikovale među terapijskim grupama.</w:t>
      </w:r>
    </w:p>
    <w:p w14:paraId="5882010D" w14:textId="77777777" w:rsidR="00C533CF" w:rsidRPr="008C2F74" w:rsidRDefault="00C533CF">
      <w:pPr>
        <w:widowControl w:val="0"/>
        <w:autoSpaceDE w:val="0"/>
        <w:autoSpaceDN w:val="0"/>
        <w:adjustRightInd w:val="0"/>
        <w:spacing w:line="276" w:lineRule="auto"/>
        <w:jc w:val="both"/>
        <w:rPr>
          <w:szCs w:val="22"/>
          <w:lang w:val="sr-Latn-RS" w:eastAsia="sl-SI"/>
        </w:rPr>
      </w:pPr>
    </w:p>
    <w:p w14:paraId="0E6F2F2F" w14:textId="77777777" w:rsidR="00C533CF" w:rsidRPr="008C2F74" w:rsidRDefault="008C2F74">
      <w:pPr>
        <w:widowControl w:val="0"/>
        <w:spacing w:line="276" w:lineRule="auto"/>
        <w:ind w:right="-483"/>
        <w:jc w:val="both"/>
        <w:rPr>
          <w:szCs w:val="22"/>
          <w:u w:val="single"/>
          <w:lang w:val="sr-Latn-RS"/>
        </w:rPr>
      </w:pPr>
      <w:r w:rsidRPr="008C2F74">
        <w:rPr>
          <w:szCs w:val="22"/>
          <w:u w:val="single"/>
          <w:lang w:val="sr-Latn-RS"/>
        </w:rPr>
        <w:t>Dvostruka blokada renin-angiotenzin-aldosteron sistem (RAAS)</w:t>
      </w:r>
    </w:p>
    <w:p w14:paraId="5A71E149" w14:textId="77777777" w:rsidR="00C533CF" w:rsidRPr="008C2F74" w:rsidRDefault="008C2F74">
      <w:pPr>
        <w:widowControl w:val="0"/>
        <w:spacing w:line="276" w:lineRule="auto"/>
        <w:jc w:val="both"/>
        <w:rPr>
          <w:szCs w:val="22"/>
          <w:lang w:val="sr-Latn-RS" w:eastAsia="sl-SI"/>
        </w:rPr>
      </w:pPr>
      <w:r w:rsidRPr="008C2F74">
        <w:rPr>
          <w:szCs w:val="22"/>
          <w:lang w:val="sr-Latn-RS" w:eastAsia="sl-SI"/>
        </w:rPr>
        <w:t xml:space="preserve">U dvije velike randomizovane, kontrolisane studije: ONTARGET (engl. </w:t>
      </w:r>
      <w:r w:rsidRPr="008C2F74">
        <w:rPr>
          <w:i/>
          <w:szCs w:val="22"/>
          <w:lang w:val="sr-Latn-RS" w:eastAsia="sl-SI"/>
        </w:rPr>
        <w:t>ONgoing Telmisaratan Alone and in combination with Ramipril Global Endpoint Trial</w:t>
      </w:r>
      <w:r w:rsidRPr="008C2F74">
        <w:rPr>
          <w:szCs w:val="22"/>
          <w:lang w:val="sr-Latn-RS" w:eastAsia="sl-SI"/>
        </w:rPr>
        <w:t xml:space="preserve">) i VA NEPHRON-D (engl. </w:t>
      </w:r>
      <w:r w:rsidRPr="008C2F74">
        <w:rPr>
          <w:i/>
          <w:szCs w:val="22"/>
          <w:lang w:val="sr-Latn-RS" w:eastAsia="sl-SI"/>
        </w:rPr>
        <w:t>The Veterans Affairs Nephropathy in Diabetes</w:t>
      </w:r>
      <w:r w:rsidRPr="008C2F74">
        <w:rPr>
          <w:szCs w:val="22"/>
          <w:lang w:val="sr-Latn-RS" w:eastAsia="sl-SI"/>
        </w:rPr>
        <w:t>) je ispitivana primjena kombinacije jednog ACE inhibitora i antagoniste receptora angiotenzina II.</w:t>
      </w:r>
    </w:p>
    <w:p w14:paraId="5DDC84BC" w14:textId="77777777" w:rsidR="00C533CF" w:rsidRPr="008C2F74" w:rsidRDefault="00C533CF">
      <w:pPr>
        <w:widowControl w:val="0"/>
        <w:spacing w:line="276" w:lineRule="auto"/>
        <w:jc w:val="both"/>
        <w:rPr>
          <w:szCs w:val="22"/>
          <w:lang w:val="sr-Latn-RS" w:eastAsia="sl-SI"/>
        </w:rPr>
      </w:pPr>
    </w:p>
    <w:p w14:paraId="6FDD0A9E" w14:textId="77777777" w:rsidR="00C533CF" w:rsidRPr="008C2F74" w:rsidRDefault="008C2F74">
      <w:pPr>
        <w:widowControl w:val="0"/>
        <w:spacing w:line="276" w:lineRule="auto"/>
        <w:jc w:val="both"/>
        <w:rPr>
          <w:szCs w:val="22"/>
          <w:lang w:val="sr-Latn-RS" w:eastAsia="sl-SI"/>
        </w:rPr>
      </w:pPr>
      <w:r w:rsidRPr="008C2F74">
        <w:rPr>
          <w:szCs w:val="22"/>
          <w:lang w:val="sr-Latn-RS" w:eastAsia="sl-SI"/>
        </w:rPr>
        <w:t>ONTARGET studija je sprovedena kod pacijenata sa kardiovaskularnim ili cerebrovaskularnim oboljenjem, ili dijabetesom tip 2 sa oštećenjem ciljnih organa u anamnezi. VA NEPHRON-D studija je sprovedena kod pacijenata sa dijabetesom tip 2 i dijabetesnom nefropatijom.</w:t>
      </w:r>
    </w:p>
    <w:p w14:paraId="0DED45F0" w14:textId="77777777" w:rsidR="00C533CF" w:rsidRPr="008C2F74" w:rsidRDefault="00C533CF">
      <w:pPr>
        <w:widowControl w:val="0"/>
        <w:spacing w:line="276" w:lineRule="auto"/>
        <w:jc w:val="both"/>
        <w:rPr>
          <w:szCs w:val="22"/>
          <w:lang w:val="sr-Latn-RS" w:eastAsia="sl-SI"/>
        </w:rPr>
      </w:pPr>
    </w:p>
    <w:p w14:paraId="62A0C973" w14:textId="77777777" w:rsidR="00C533CF" w:rsidRPr="008C2F74" w:rsidRDefault="008C2F74">
      <w:pPr>
        <w:widowControl w:val="0"/>
        <w:spacing w:line="276" w:lineRule="auto"/>
        <w:jc w:val="both"/>
        <w:rPr>
          <w:szCs w:val="22"/>
          <w:lang w:val="sr-Latn-RS" w:eastAsia="sl-SI"/>
        </w:rPr>
      </w:pPr>
      <w:r w:rsidRPr="008C2F74">
        <w:rPr>
          <w:szCs w:val="22"/>
          <w:lang w:val="sr-Latn-RS" w:eastAsia="sl-SI"/>
        </w:rPr>
        <w:t>Ove studije nijesu pokazale značajan povoljan efekat na renalni i/ili kardiovaskularni ishod i mortalitet, dok je primijećen povećan rizik od nastanka hiperkalijemije, akutnog oštećenja bubrega i/ili hipotenzije u poređenju sa primjenom monoterapije. Imajući u vidu njihove slične farmakodinamske osobine, ovi rezultati su takođe relevantni za druge ACE inhibitore i antagoniste receptora angiotenzina II. Prema tome, ne treba istovremeno primjenjivati ACE inhibitore i antagoniste receptora angiotenzina II kod pacijenata sa dijabetesnom nefropatijom.</w:t>
      </w:r>
    </w:p>
    <w:p w14:paraId="4D5D22A2" w14:textId="77777777" w:rsidR="00C533CF" w:rsidRPr="008C2F74" w:rsidRDefault="00C533CF">
      <w:pPr>
        <w:widowControl w:val="0"/>
        <w:spacing w:line="276" w:lineRule="auto"/>
        <w:jc w:val="both"/>
        <w:rPr>
          <w:szCs w:val="22"/>
          <w:lang w:val="sr-Latn-RS" w:eastAsia="sl-SI"/>
        </w:rPr>
      </w:pPr>
    </w:p>
    <w:p w14:paraId="0906833C" w14:textId="77777777" w:rsidR="00C533CF" w:rsidRPr="008C2F74" w:rsidRDefault="008C2F74">
      <w:pPr>
        <w:widowControl w:val="0"/>
        <w:spacing w:line="276" w:lineRule="auto"/>
        <w:jc w:val="both"/>
        <w:rPr>
          <w:szCs w:val="22"/>
          <w:lang w:val="sr-Latn-RS" w:eastAsia="sl-SI"/>
        </w:rPr>
      </w:pPr>
      <w:r w:rsidRPr="008C2F74">
        <w:rPr>
          <w:szCs w:val="22"/>
          <w:lang w:val="sr-Latn-RS" w:eastAsia="sl-SI"/>
        </w:rPr>
        <w:t xml:space="preserve">ALTITUDE (engl. </w:t>
      </w:r>
      <w:r w:rsidRPr="008C2F74">
        <w:rPr>
          <w:i/>
          <w:szCs w:val="22"/>
          <w:lang w:val="sr-Latn-RS" w:eastAsia="sl-SI"/>
        </w:rPr>
        <w:t>Aliskiren Trial in Type 2 Diabetes Using Cardiovascular and Renal Disease Endpoints)</w:t>
      </w:r>
      <w:r w:rsidRPr="008C2F74">
        <w:rPr>
          <w:szCs w:val="22"/>
          <w:lang w:val="sr-Latn-RS" w:eastAsia="sl-SI"/>
        </w:rPr>
        <w:t xml:space="preserve"> je bila studija dizajnirana da ispita korist od dodavanja aliskirena standardnoj terapiji ACE inhibitorom ili antagonistom receptora angiotenzina II, pacijentima sa dijabetes melitusom tip 2 i hroničnom bubrežnom bolešću ili kardiovaskularnim oboljenjem ili sa oba. Studija je bila prekinuta ranije zbog povećanog rizika od neželjenih ishoda. Smrtni ishod usljed kardiovaskularnih uzroka i moždani udar su bili brojčano češći u grupi na aliskirenu u odnosu na placebo grupu, kao i neželjeni događaji i ozbiljni neželjeni događaji od značaja (hiperkalijemija, hipotenzija i renalna disfunkcija). </w:t>
      </w:r>
    </w:p>
    <w:p w14:paraId="59E55B3A" w14:textId="77777777" w:rsidR="00C533CF" w:rsidRPr="008C2F74" w:rsidRDefault="00C533CF">
      <w:pPr>
        <w:widowControl w:val="0"/>
        <w:spacing w:line="276" w:lineRule="auto"/>
        <w:ind w:right="-483"/>
        <w:jc w:val="both"/>
        <w:rPr>
          <w:b/>
          <w:szCs w:val="22"/>
          <w:u w:val="single"/>
          <w:lang w:val="sr-Latn-RS"/>
        </w:rPr>
      </w:pPr>
    </w:p>
    <w:p w14:paraId="4EE9B662" w14:textId="77777777" w:rsidR="00C533CF" w:rsidRPr="008C2F74" w:rsidRDefault="008C2F74">
      <w:pPr>
        <w:widowControl w:val="0"/>
        <w:spacing w:line="276" w:lineRule="auto"/>
        <w:ind w:right="-483"/>
        <w:jc w:val="both"/>
        <w:rPr>
          <w:b/>
          <w:szCs w:val="22"/>
          <w:u w:val="single"/>
          <w:lang w:val="sr-Latn-RS"/>
        </w:rPr>
      </w:pPr>
      <w:r w:rsidRPr="008C2F74">
        <w:rPr>
          <w:b/>
          <w:szCs w:val="22"/>
          <w:u w:val="single"/>
          <w:lang w:val="sr-Latn-RS"/>
        </w:rPr>
        <w:t>Hidrohlortiazid</w:t>
      </w:r>
    </w:p>
    <w:p w14:paraId="7706A02B" w14:textId="77777777" w:rsidR="00C533CF" w:rsidRPr="008C2F74" w:rsidRDefault="00C533CF">
      <w:pPr>
        <w:widowControl w:val="0"/>
        <w:spacing w:line="276" w:lineRule="auto"/>
        <w:ind w:right="-483"/>
        <w:jc w:val="both"/>
        <w:rPr>
          <w:szCs w:val="22"/>
          <w:lang w:val="sr-Latn-RS"/>
        </w:rPr>
      </w:pPr>
    </w:p>
    <w:p w14:paraId="543B9844"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 xml:space="preserve">Hidrohlortiazid je tiazidni diuretik. Mehanizam antihipertenzivnog dejstva tiazidnih diuretika nije potpuno poznat. Tiazidi utiču na mehanizme reapsorpcije elektrolita u renalnim tubulima, direktno povećavajući izlučivanje natrijuma i hlorida u otprilike istim količinama. Diuretsko dejstvo hidrohlortiazida smanjuje volumen plazme, povećava aktivnost renina u plazmi i izlučivanje aldosterona, s posljedičnim povećanim gubitkom kalijuma i bikarbonata urinom te snižavanjem kalijuma u serumu. Veza renina i aldosterona posredovana je putem angiotenzina II te stoga istovremena </w:t>
      </w:r>
      <w:r w:rsidRPr="008C2F74">
        <w:rPr>
          <w:szCs w:val="22"/>
          <w:lang w:val="sr-Latn-RS" w:eastAsia="sl-SI"/>
        </w:rPr>
        <w:lastRenderedPageBreak/>
        <w:t>primjena antagonista receptora za angiotenzin II nastoji smanjiti gubitak kalijuma povezan s tiazidnim diureticima.</w:t>
      </w:r>
    </w:p>
    <w:p w14:paraId="0D4D5248" w14:textId="77777777" w:rsidR="00C533CF" w:rsidRPr="008C2F74" w:rsidRDefault="00C533CF">
      <w:pPr>
        <w:widowControl w:val="0"/>
        <w:autoSpaceDE w:val="0"/>
        <w:autoSpaceDN w:val="0"/>
        <w:adjustRightInd w:val="0"/>
        <w:spacing w:line="276" w:lineRule="auto"/>
        <w:jc w:val="both"/>
        <w:rPr>
          <w:szCs w:val="22"/>
          <w:lang w:val="sr-Latn-RS" w:eastAsia="sl-SI"/>
        </w:rPr>
      </w:pPr>
    </w:p>
    <w:p w14:paraId="6A5A4502"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Nakon oralne doze, diureza počinje unutar 2 sata, najveća je nakon 4 sata i traje oko 6 do 12 sati, dok antihipertenzivno dejstvo traje do 24 sata.</w:t>
      </w:r>
    </w:p>
    <w:p w14:paraId="2416480D" w14:textId="77777777" w:rsidR="00C533CF" w:rsidRPr="008C2F74" w:rsidRDefault="00C533CF">
      <w:pPr>
        <w:widowControl w:val="0"/>
        <w:autoSpaceDE w:val="0"/>
        <w:autoSpaceDN w:val="0"/>
        <w:adjustRightInd w:val="0"/>
        <w:spacing w:line="276" w:lineRule="auto"/>
        <w:jc w:val="both"/>
        <w:rPr>
          <w:szCs w:val="22"/>
          <w:u w:val="single"/>
          <w:lang w:val="sr-Latn-RS" w:eastAsia="sl-SI"/>
        </w:rPr>
      </w:pPr>
    </w:p>
    <w:p w14:paraId="05D6EAE6" w14:textId="77777777" w:rsidR="00C533CF" w:rsidRPr="008C2F74" w:rsidRDefault="008C2F74">
      <w:pPr>
        <w:spacing w:line="276" w:lineRule="auto"/>
        <w:jc w:val="both"/>
        <w:rPr>
          <w:szCs w:val="22"/>
          <w:lang w:val="sr-Latn-RS"/>
        </w:rPr>
      </w:pPr>
      <w:r w:rsidRPr="008C2F74">
        <w:rPr>
          <w:szCs w:val="22"/>
          <w:u w:val="single"/>
          <w:lang w:val="sr-Latn-RS"/>
        </w:rPr>
        <w:t>Nemelanomski karcinom kože:</w:t>
      </w:r>
      <w:r w:rsidRPr="008C2F74">
        <w:rPr>
          <w:szCs w:val="22"/>
          <w:lang w:val="sr-Latn-RS"/>
        </w:rPr>
        <w:t xml:space="preserve"> </w:t>
      </w:r>
    </w:p>
    <w:p w14:paraId="20FE3AAB" w14:textId="77777777" w:rsidR="00C533CF" w:rsidRPr="008C2F74" w:rsidRDefault="008C2F74">
      <w:pPr>
        <w:spacing w:line="276" w:lineRule="auto"/>
        <w:jc w:val="both"/>
        <w:rPr>
          <w:szCs w:val="22"/>
          <w:lang w:val="sr-Latn-RS" w:eastAsia="sl-SI"/>
        </w:rPr>
      </w:pPr>
      <w:r w:rsidRPr="008C2F74">
        <w:rPr>
          <w:szCs w:val="22"/>
          <w:lang w:val="sr-Latn-RS"/>
        </w:rPr>
        <w:t xml:space="preserve">Na osnovu dostupnih podataka iz epidemioloških studija, između hidrohlortiazida i nemelanomskog karcinoma kože (NMSC) primijećena je povezanost zavisna od kumulativne doze. Jedna studija uključila je populaciju koja se sastojala od 71.533 slučaja bazocelularnog karcinoma (BCC) i 8.629 slučajeva planocelularnog karcinoma (SCC), usklađenih sa 1.430.833, odnosno 172.462 kontrole u populaciji. Velika upotreba hidrohlortiazida (≥50.000 mg kumulativno) bila je povezana sa prilagođenim OR od 1,29 (95% CI: 1,23-1,35) za BCC i 3,98 (95% CI: 3,68-4,31) za SCC. Primijećena je jasna povezanost odgovora i kumulativne doze i za BCC i za SCC. Druga studija pokazala je moguću povezanost između karcinoma usana (SCC) i izlaganja hidrohlortiazidu: 633 slučaja karcinoma usana usklađeno je sa 63.067 kontrola u populaciji, primjenom strategije uzorkovanja iz rizične grupe (eng. </w:t>
      </w:r>
      <w:r w:rsidRPr="008C2F74">
        <w:rPr>
          <w:i/>
          <w:szCs w:val="22"/>
          <w:lang w:val="sr-Latn-RS"/>
        </w:rPr>
        <w:t>risk-set sampling</w:t>
      </w:r>
      <w:r w:rsidRPr="008C2F74">
        <w:rPr>
          <w:szCs w:val="22"/>
          <w:lang w:val="sr-Latn-RS"/>
        </w:rPr>
        <w:t>). Pokazana je povezanost odgovora i kumulativne doze sa prilagođenim OR 2,1 (95% CI: 1,7-2,6) sa povećanjem na OR 3,9 (3,0-4,9) za veliku upotrebu hidrohlortiazida (~25.000 mg) i na OR 7,7 (5,7-10,5) za najveću kumulativnu dozu (~100.000 mg) (vidjeti dio 4.4).</w:t>
      </w:r>
    </w:p>
    <w:p w14:paraId="541D860A" w14:textId="77777777" w:rsidR="00C533CF" w:rsidRPr="008C2F74" w:rsidRDefault="00C533CF">
      <w:pPr>
        <w:tabs>
          <w:tab w:val="left" w:pos="540"/>
        </w:tabs>
        <w:jc w:val="both"/>
        <w:rPr>
          <w:b/>
          <w:bCs/>
          <w:szCs w:val="22"/>
          <w:lang w:val="sr-Latn-RS"/>
        </w:rPr>
      </w:pPr>
    </w:p>
    <w:p w14:paraId="0BAC1842" w14:textId="77777777" w:rsidR="00C533CF" w:rsidRPr="008C2F74" w:rsidRDefault="008C2F74">
      <w:pPr>
        <w:tabs>
          <w:tab w:val="left" w:pos="540"/>
        </w:tabs>
        <w:jc w:val="both"/>
        <w:rPr>
          <w:b/>
          <w:bCs/>
          <w:szCs w:val="22"/>
          <w:lang w:val="sr-Latn-RS"/>
        </w:rPr>
      </w:pPr>
      <w:r w:rsidRPr="008C2F74">
        <w:rPr>
          <w:b/>
          <w:bCs/>
          <w:szCs w:val="22"/>
          <w:lang w:val="sr-Latn-RS"/>
        </w:rPr>
        <w:t xml:space="preserve">5.2. </w:t>
      </w:r>
      <w:r w:rsidRPr="008C2F74">
        <w:rPr>
          <w:b/>
          <w:bCs/>
          <w:szCs w:val="22"/>
          <w:lang w:val="sr-Latn-RS"/>
        </w:rPr>
        <w:tab/>
        <w:t xml:space="preserve">Farmakokinetički podaci </w:t>
      </w:r>
    </w:p>
    <w:p w14:paraId="642B61A8" w14:textId="77777777" w:rsidR="00C533CF" w:rsidRPr="008C2F74" w:rsidRDefault="00C533CF">
      <w:pPr>
        <w:tabs>
          <w:tab w:val="left" w:pos="540"/>
        </w:tabs>
        <w:jc w:val="both"/>
        <w:rPr>
          <w:bCs/>
          <w:szCs w:val="22"/>
          <w:lang w:val="sr-Latn-RS"/>
        </w:rPr>
      </w:pPr>
    </w:p>
    <w:p w14:paraId="6F4E6762" w14:textId="77777777" w:rsidR="00C533CF" w:rsidRPr="008C2F74" w:rsidRDefault="008C2F74">
      <w:pPr>
        <w:widowControl w:val="0"/>
        <w:spacing w:line="276" w:lineRule="auto"/>
        <w:ind w:right="-483"/>
        <w:jc w:val="both"/>
        <w:rPr>
          <w:szCs w:val="22"/>
          <w:u w:val="single"/>
          <w:lang w:val="sr-Latn-RS"/>
        </w:rPr>
      </w:pPr>
      <w:r w:rsidRPr="008C2F74">
        <w:rPr>
          <w:szCs w:val="22"/>
          <w:u w:val="single"/>
          <w:lang w:val="sr-Latn-RS"/>
        </w:rPr>
        <w:t>Resorpcija</w:t>
      </w:r>
    </w:p>
    <w:p w14:paraId="2DE11662" w14:textId="77777777" w:rsidR="00C533CF" w:rsidRPr="008C2F74" w:rsidRDefault="00C533CF">
      <w:pPr>
        <w:widowControl w:val="0"/>
        <w:spacing w:line="276" w:lineRule="auto"/>
        <w:ind w:right="-483"/>
        <w:jc w:val="both"/>
        <w:rPr>
          <w:szCs w:val="22"/>
          <w:lang w:val="sr-Latn-RS"/>
        </w:rPr>
      </w:pPr>
    </w:p>
    <w:p w14:paraId="2F248A24"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Losartan</w:t>
      </w:r>
    </w:p>
    <w:p w14:paraId="27D44712"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Nakon oralne primjene, losartan se dobro resorbuje i podliježe metabolizmu prvog prolaza, pri čemu se stvara aktivni metabolit u obliku karboksilne kiseline i drugih inaktivni metaboliti. Sistemska bioraspoloživost tableta losartana je oko 33%. Srednje maksimalne koncentracije losartana i njegovih metabolita postižu se redom nakon 1 odnosno 3-4 sata. Kad je lijek primijenjen uz standardni obrok, nije bilo klinički značajnog dejstva na profil koncentracije losartana u plazmi.</w:t>
      </w:r>
    </w:p>
    <w:p w14:paraId="15B735AA" w14:textId="77777777" w:rsidR="00C533CF" w:rsidRPr="008C2F74" w:rsidRDefault="00C533CF">
      <w:pPr>
        <w:widowControl w:val="0"/>
        <w:autoSpaceDE w:val="0"/>
        <w:autoSpaceDN w:val="0"/>
        <w:adjustRightInd w:val="0"/>
        <w:spacing w:line="276" w:lineRule="auto"/>
        <w:jc w:val="both"/>
        <w:rPr>
          <w:szCs w:val="22"/>
          <w:lang w:val="sr-Latn-RS" w:eastAsia="sl-SI"/>
        </w:rPr>
      </w:pPr>
    </w:p>
    <w:p w14:paraId="3092701C" w14:textId="77777777" w:rsidR="00C533CF" w:rsidRPr="008C2F74" w:rsidRDefault="008C2F74">
      <w:pPr>
        <w:widowControl w:val="0"/>
        <w:spacing w:line="276" w:lineRule="auto"/>
        <w:ind w:right="-483"/>
        <w:jc w:val="both"/>
        <w:rPr>
          <w:szCs w:val="22"/>
          <w:u w:val="single"/>
          <w:lang w:val="sr-Latn-RS"/>
        </w:rPr>
      </w:pPr>
      <w:r w:rsidRPr="008C2F74">
        <w:rPr>
          <w:szCs w:val="22"/>
          <w:u w:val="single"/>
          <w:lang w:val="sr-Latn-RS"/>
        </w:rPr>
        <w:t>Distribucija</w:t>
      </w:r>
    </w:p>
    <w:p w14:paraId="7CE3A23B" w14:textId="77777777" w:rsidR="00C533CF" w:rsidRPr="008C2F74" w:rsidRDefault="00C533CF">
      <w:pPr>
        <w:widowControl w:val="0"/>
        <w:spacing w:line="276" w:lineRule="auto"/>
        <w:ind w:right="-483"/>
        <w:jc w:val="both"/>
        <w:rPr>
          <w:szCs w:val="22"/>
          <w:lang w:val="sr-Latn-RS"/>
        </w:rPr>
      </w:pPr>
    </w:p>
    <w:p w14:paraId="43D3BD40"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Losartan</w:t>
      </w:r>
    </w:p>
    <w:p w14:paraId="2D1017FE"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I losartan i njegov aktivni metabolit su ≥99% vezani za proteine plazme, prvenstveno albumin. Volumen raspodjele losartana je 34 litra. Ispitivanja na pacovima upućuju da losartan slabo prolazi kroz krvno-moždanu barijeru ili ne prolazi uopšte.</w:t>
      </w:r>
    </w:p>
    <w:p w14:paraId="5D7539A6" w14:textId="77777777" w:rsidR="00C533CF" w:rsidRPr="008C2F74" w:rsidRDefault="00C533CF">
      <w:pPr>
        <w:widowControl w:val="0"/>
        <w:autoSpaceDE w:val="0"/>
        <w:autoSpaceDN w:val="0"/>
        <w:adjustRightInd w:val="0"/>
        <w:spacing w:line="276" w:lineRule="auto"/>
        <w:jc w:val="both"/>
        <w:rPr>
          <w:szCs w:val="22"/>
          <w:lang w:val="sr-Latn-RS" w:eastAsia="sl-SI"/>
        </w:rPr>
      </w:pPr>
    </w:p>
    <w:p w14:paraId="75316EFE"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Hidrohlortiazid</w:t>
      </w:r>
    </w:p>
    <w:p w14:paraId="047BF060"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Hidrohlortiazid prolazi placentnu, ali ne i krvno-moždanu barijeru te se izlučuje u mlijeko.</w:t>
      </w:r>
    </w:p>
    <w:p w14:paraId="21C14E25" w14:textId="77777777" w:rsidR="00C533CF" w:rsidRPr="008C2F74" w:rsidRDefault="00C533CF">
      <w:pPr>
        <w:widowControl w:val="0"/>
        <w:spacing w:line="276" w:lineRule="auto"/>
        <w:ind w:right="-483"/>
        <w:jc w:val="both"/>
        <w:rPr>
          <w:szCs w:val="22"/>
          <w:u w:val="single"/>
          <w:lang w:val="sr-Latn-RS"/>
        </w:rPr>
      </w:pPr>
    </w:p>
    <w:p w14:paraId="0FDFAEEC" w14:textId="77777777" w:rsidR="00C533CF" w:rsidRPr="008C2F74" w:rsidRDefault="008C2F74">
      <w:pPr>
        <w:widowControl w:val="0"/>
        <w:spacing w:line="276" w:lineRule="auto"/>
        <w:ind w:right="-483"/>
        <w:jc w:val="both"/>
        <w:rPr>
          <w:szCs w:val="22"/>
          <w:u w:val="single"/>
          <w:lang w:val="sr-Latn-RS"/>
        </w:rPr>
      </w:pPr>
      <w:r w:rsidRPr="008C2F74">
        <w:rPr>
          <w:szCs w:val="22"/>
          <w:u w:val="single"/>
          <w:lang w:val="sr-Latn-RS"/>
        </w:rPr>
        <w:t>Biotransformacija</w:t>
      </w:r>
    </w:p>
    <w:p w14:paraId="1346402B" w14:textId="77777777" w:rsidR="00C533CF" w:rsidRPr="008C2F74" w:rsidRDefault="00C533CF">
      <w:pPr>
        <w:widowControl w:val="0"/>
        <w:spacing w:line="276" w:lineRule="auto"/>
        <w:ind w:right="-483"/>
        <w:jc w:val="both"/>
        <w:rPr>
          <w:szCs w:val="22"/>
          <w:lang w:val="sr-Latn-RS"/>
        </w:rPr>
      </w:pPr>
    </w:p>
    <w:p w14:paraId="09188073"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Losartan</w:t>
      </w:r>
    </w:p>
    <w:p w14:paraId="0C04728E"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 xml:space="preserve">Oko 14% intravenski ili oralno primijenjene doze losartana konvertuje se u njegov aktivni metabolit. Nakon oralne ili intravenske primjene </w:t>
      </w:r>
      <w:r w:rsidRPr="008C2F74">
        <w:rPr>
          <w:szCs w:val="22"/>
          <w:vertAlign w:val="superscript"/>
          <w:lang w:val="sr-Latn-RS" w:eastAsia="sl-SI"/>
        </w:rPr>
        <w:t>14</w:t>
      </w:r>
      <w:r w:rsidRPr="008C2F74">
        <w:rPr>
          <w:szCs w:val="22"/>
          <w:lang w:val="sr-Latn-RS" w:eastAsia="sl-SI"/>
        </w:rPr>
        <w:t>C-obilježenog losartan kalijuma, radioaktivnost cirkulišuće plazme primarno se pripisuje losartanu i njegovom aktivnom metabolitu. Minimalno pretvaranje losartana u njegov aktivni metabolit primijećeno je kod oko jedan posto ispitanika.</w:t>
      </w:r>
    </w:p>
    <w:p w14:paraId="21AB5C99"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60C1719"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 xml:space="preserve">Osim aktivnog metabolita, stvaraju se i inaktivni metaboliti, uključujući dva glavna metabolita koji se </w:t>
      </w:r>
      <w:r w:rsidRPr="008C2F74">
        <w:rPr>
          <w:szCs w:val="22"/>
          <w:lang w:val="sr-Latn-RS" w:eastAsia="sl-SI"/>
        </w:rPr>
        <w:lastRenderedPageBreak/>
        <w:t>stvaraju hidroksilacijom butilnog bočnog lanca te minorni metabolit, N-2 tetrazol glukuronid.</w:t>
      </w:r>
    </w:p>
    <w:p w14:paraId="58DEF8CA" w14:textId="77777777" w:rsidR="00C533CF" w:rsidRPr="008C2F74" w:rsidRDefault="00C533CF">
      <w:pPr>
        <w:widowControl w:val="0"/>
        <w:spacing w:line="276" w:lineRule="auto"/>
        <w:ind w:right="-483"/>
        <w:jc w:val="both"/>
        <w:rPr>
          <w:szCs w:val="22"/>
          <w:lang w:val="sr-Latn-RS"/>
        </w:rPr>
      </w:pPr>
    </w:p>
    <w:p w14:paraId="7CFB4DFF" w14:textId="77777777" w:rsidR="00C533CF" w:rsidRPr="008C2F74" w:rsidRDefault="008C2F74">
      <w:pPr>
        <w:widowControl w:val="0"/>
        <w:spacing w:line="276" w:lineRule="auto"/>
        <w:jc w:val="both"/>
        <w:rPr>
          <w:szCs w:val="22"/>
          <w:u w:val="single"/>
          <w:lang w:val="sr-Latn-RS" w:eastAsia="sl-SI"/>
        </w:rPr>
      </w:pPr>
      <w:r w:rsidRPr="008C2F74">
        <w:rPr>
          <w:szCs w:val="22"/>
          <w:u w:val="single"/>
          <w:lang w:val="sr-Latn-RS" w:eastAsia="sl-SI"/>
        </w:rPr>
        <w:t>Eliminacija</w:t>
      </w:r>
    </w:p>
    <w:p w14:paraId="4FEC3010" w14:textId="77777777" w:rsidR="00C533CF" w:rsidRPr="008C2F74" w:rsidRDefault="00C533CF">
      <w:pPr>
        <w:widowControl w:val="0"/>
        <w:spacing w:line="276" w:lineRule="auto"/>
        <w:ind w:right="-483"/>
        <w:jc w:val="both"/>
        <w:rPr>
          <w:szCs w:val="22"/>
          <w:lang w:val="sr-Latn-RS"/>
        </w:rPr>
      </w:pPr>
    </w:p>
    <w:p w14:paraId="32FCBC8A"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Losartan</w:t>
      </w:r>
    </w:p>
    <w:p w14:paraId="24D9D519"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Klirens losartana i njegovog aktivnog metabolita iz plazme je redom 600 ml/min te 50 ml/min. Klirens losartana i njegovog aktivnog metabolita bubrezima je redom 74 ml/min te 26 ml/min. Kad se losartan primijeni oralno, oko 4% doze izlučuje se nepromijenjeno urinom, dok se oko 6% doze izlučuje u obliku aktivnog metabolita u urin. Farmakokinetika losartana i njegovog aktivnog metabolita je linearna za oralni losartan kalijum u dozama do 200 mg.</w:t>
      </w:r>
    </w:p>
    <w:p w14:paraId="53D0E730"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04204BE"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Nakon oralne primjene, koncentracije losartana i njegovog aktivnog metabolita u plazmi opadaju polieksponencijalno s terminalnim poluvremenom eliminacije od oko 2 sata za losartan te 6-9 sati za metabolit. Pri dozi od 100 mg jednom dnevno, niti losartan niti njegov aktivni metabolit ne akumuliraju se značajno u plazmi.</w:t>
      </w:r>
    </w:p>
    <w:p w14:paraId="4FBC9A81" w14:textId="77777777" w:rsidR="00C533CF" w:rsidRPr="008C2F74" w:rsidRDefault="00C533CF">
      <w:pPr>
        <w:widowControl w:val="0"/>
        <w:autoSpaceDE w:val="0"/>
        <w:autoSpaceDN w:val="0"/>
        <w:adjustRightInd w:val="0"/>
        <w:spacing w:line="276" w:lineRule="auto"/>
        <w:jc w:val="both"/>
        <w:rPr>
          <w:szCs w:val="22"/>
          <w:lang w:val="sr-Latn-RS" w:eastAsia="sl-SI"/>
        </w:rPr>
      </w:pPr>
    </w:p>
    <w:p w14:paraId="11802A85"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 xml:space="preserve">Eliminaciji losartana i njegovih metabolita doprinose i izlučivanje putem žuči i putem urina. Nakon oralne doze </w:t>
      </w:r>
      <w:r w:rsidRPr="008C2F74">
        <w:rPr>
          <w:szCs w:val="22"/>
          <w:vertAlign w:val="superscript"/>
          <w:lang w:val="sr-Latn-RS" w:eastAsia="sl-SI"/>
        </w:rPr>
        <w:t>14</w:t>
      </w:r>
      <w:r w:rsidRPr="008C2F74">
        <w:rPr>
          <w:szCs w:val="22"/>
          <w:lang w:val="sr-Latn-RS" w:eastAsia="sl-SI"/>
        </w:rPr>
        <w:t>C-obilježenog losartana kod ljudi, oko 35% radioaktivnosti nađe se u urinu, a 58% u fecesu.</w:t>
      </w:r>
    </w:p>
    <w:p w14:paraId="7CEBFA1E" w14:textId="77777777" w:rsidR="00C533CF" w:rsidRPr="008C2F74" w:rsidRDefault="00C533CF">
      <w:pPr>
        <w:widowControl w:val="0"/>
        <w:autoSpaceDE w:val="0"/>
        <w:autoSpaceDN w:val="0"/>
        <w:adjustRightInd w:val="0"/>
        <w:spacing w:line="276" w:lineRule="auto"/>
        <w:jc w:val="both"/>
        <w:rPr>
          <w:i/>
          <w:iCs/>
          <w:szCs w:val="22"/>
          <w:lang w:val="sr-Latn-RS" w:eastAsia="sl-SI"/>
        </w:rPr>
      </w:pPr>
    </w:p>
    <w:p w14:paraId="03E74DE2"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Hidrohlortiazid</w:t>
      </w:r>
    </w:p>
    <w:p w14:paraId="5BA389AD"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Hidrohlortiazid se ne metaboliše, ali se brzo odstranjuje bubrezima. Kada su koncentracije u plazmi praćene kroz najmanje 24 sata, primijećeno je da poluvrijeme eliminacije u plazmi varira između 5,6 i 14,8 sati. Najmanje 61 posto oralne doze odstranjuje se nepromijenjeno unutar 24 sata.</w:t>
      </w:r>
    </w:p>
    <w:p w14:paraId="2BE5A2FE" w14:textId="77777777" w:rsidR="00C533CF" w:rsidRPr="008C2F74" w:rsidRDefault="00C533CF">
      <w:pPr>
        <w:widowControl w:val="0"/>
        <w:spacing w:line="276" w:lineRule="auto"/>
        <w:ind w:right="-483"/>
        <w:jc w:val="both"/>
        <w:rPr>
          <w:szCs w:val="22"/>
          <w:lang w:val="sr-Latn-RS"/>
        </w:rPr>
      </w:pPr>
    </w:p>
    <w:p w14:paraId="23AAA864" w14:textId="77777777" w:rsidR="00C533CF" w:rsidRPr="008C2F74" w:rsidRDefault="008C2F74">
      <w:pPr>
        <w:widowControl w:val="0"/>
        <w:spacing w:line="276" w:lineRule="auto"/>
        <w:ind w:right="-483"/>
        <w:jc w:val="both"/>
        <w:rPr>
          <w:szCs w:val="22"/>
          <w:u w:val="single"/>
          <w:lang w:val="sr-Latn-RS"/>
        </w:rPr>
      </w:pPr>
      <w:r w:rsidRPr="008C2F74">
        <w:rPr>
          <w:szCs w:val="22"/>
          <w:u w:val="single"/>
          <w:lang w:val="sr-Latn-RS"/>
        </w:rPr>
        <w:t>Karakteristike kod pojedinih grupa pacijenata</w:t>
      </w:r>
    </w:p>
    <w:p w14:paraId="650ACE0E" w14:textId="77777777" w:rsidR="00C533CF" w:rsidRPr="008C2F74" w:rsidRDefault="00C533CF">
      <w:pPr>
        <w:widowControl w:val="0"/>
        <w:spacing w:line="276" w:lineRule="auto"/>
        <w:ind w:right="-483"/>
        <w:jc w:val="both"/>
        <w:rPr>
          <w:szCs w:val="22"/>
          <w:lang w:val="sr-Latn-RS"/>
        </w:rPr>
      </w:pPr>
    </w:p>
    <w:p w14:paraId="6A8FE519"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Kombinacija losartan-hidrohlortiazid</w:t>
      </w:r>
    </w:p>
    <w:p w14:paraId="2D54CD25"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Koncentracije losartana i njegovog aktivnog metabolita u plazmi, kao i resorpcija hidrohlortiazida kod starijih hipertoničara ne razlikuju se značajno od onih kod mladih hipertoničara.</w:t>
      </w:r>
    </w:p>
    <w:p w14:paraId="294ECED9" w14:textId="77777777" w:rsidR="00C533CF" w:rsidRPr="008C2F74" w:rsidRDefault="00C533CF">
      <w:pPr>
        <w:widowControl w:val="0"/>
        <w:spacing w:line="276" w:lineRule="auto"/>
        <w:ind w:right="-483"/>
        <w:jc w:val="both"/>
        <w:rPr>
          <w:szCs w:val="22"/>
          <w:lang w:val="sr-Latn-RS"/>
        </w:rPr>
      </w:pPr>
    </w:p>
    <w:p w14:paraId="4F621C78" w14:textId="77777777" w:rsidR="00C533CF" w:rsidRPr="008C2F74" w:rsidRDefault="008C2F74">
      <w:pPr>
        <w:widowControl w:val="0"/>
        <w:autoSpaceDE w:val="0"/>
        <w:autoSpaceDN w:val="0"/>
        <w:adjustRightInd w:val="0"/>
        <w:spacing w:line="276" w:lineRule="auto"/>
        <w:jc w:val="both"/>
        <w:rPr>
          <w:i/>
          <w:iCs/>
          <w:szCs w:val="22"/>
          <w:lang w:val="sr-Latn-RS" w:eastAsia="sl-SI"/>
        </w:rPr>
      </w:pPr>
      <w:r w:rsidRPr="008C2F74">
        <w:rPr>
          <w:i/>
          <w:iCs/>
          <w:szCs w:val="22"/>
          <w:lang w:val="sr-Latn-RS" w:eastAsia="sl-SI"/>
        </w:rPr>
        <w:t>Losartan</w:t>
      </w:r>
    </w:p>
    <w:p w14:paraId="01EB05EF"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Nakon oralne primjene kod pacijenata s blagom do umjerenom alkoholnom cirozom jetre, koncentracije losartana i njegovog aktivnog metabolita u plazmi bile su redom 5 i 1,7 puta veće od izmjerenih kod mladih muških dobrovoljaca.</w:t>
      </w:r>
    </w:p>
    <w:p w14:paraId="304F493D" w14:textId="77777777" w:rsidR="00C533CF" w:rsidRPr="008C2F74" w:rsidRDefault="00C533CF">
      <w:pPr>
        <w:widowControl w:val="0"/>
        <w:autoSpaceDE w:val="0"/>
        <w:autoSpaceDN w:val="0"/>
        <w:adjustRightInd w:val="0"/>
        <w:spacing w:line="276" w:lineRule="auto"/>
        <w:jc w:val="both"/>
        <w:rPr>
          <w:szCs w:val="22"/>
          <w:lang w:val="sr-Latn-RS" w:eastAsia="sl-SI"/>
        </w:rPr>
      </w:pPr>
    </w:p>
    <w:p w14:paraId="6CB97177"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Farmakokinetičke studije su pokazale da nema razlike između PIK losartana kod Japanaca i kod ostalih zdravih mladih ispitanika muškog pola. Međutim, vrijednosti PIK metabolita karboksilne kiseline (E-3174) se izgleda razlikuju, sa oko 1,5 puta većom raspoloživošću kod Japanaca. Klinički značaj ovih razlika nije poznat.</w:t>
      </w:r>
    </w:p>
    <w:p w14:paraId="2142DDF0" w14:textId="77777777" w:rsidR="00C533CF" w:rsidRPr="008C2F74" w:rsidRDefault="008C2F74">
      <w:pPr>
        <w:widowControl w:val="0"/>
        <w:spacing w:line="276" w:lineRule="auto"/>
        <w:ind w:right="-483"/>
        <w:jc w:val="both"/>
        <w:rPr>
          <w:szCs w:val="22"/>
          <w:lang w:val="sr-Latn-RS"/>
        </w:rPr>
      </w:pPr>
      <w:r w:rsidRPr="008C2F74">
        <w:rPr>
          <w:szCs w:val="22"/>
          <w:lang w:val="sr-Latn-RS"/>
        </w:rPr>
        <w:t>Ni losartan ni njegov aktivni metabolit ne mogu se odstraniti hemodijalizom.</w:t>
      </w:r>
    </w:p>
    <w:p w14:paraId="1D4915D5" w14:textId="77777777" w:rsidR="00C533CF" w:rsidRPr="008C2F74" w:rsidRDefault="00C533CF">
      <w:pPr>
        <w:tabs>
          <w:tab w:val="left" w:pos="540"/>
        </w:tabs>
        <w:jc w:val="both"/>
        <w:rPr>
          <w:bCs/>
          <w:szCs w:val="22"/>
          <w:lang w:val="sr-Latn-RS"/>
        </w:rPr>
      </w:pPr>
    </w:p>
    <w:p w14:paraId="17D75776" w14:textId="77777777" w:rsidR="00C533CF" w:rsidRPr="008C2F74" w:rsidRDefault="008C2F74">
      <w:pPr>
        <w:tabs>
          <w:tab w:val="left" w:pos="540"/>
        </w:tabs>
        <w:jc w:val="both"/>
        <w:rPr>
          <w:b/>
          <w:bCs/>
          <w:szCs w:val="22"/>
          <w:lang w:val="sr-Latn-RS"/>
        </w:rPr>
      </w:pPr>
      <w:r w:rsidRPr="008C2F74">
        <w:rPr>
          <w:b/>
          <w:bCs/>
          <w:szCs w:val="22"/>
          <w:lang w:val="sr-Latn-RS"/>
        </w:rPr>
        <w:t xml:space="preserve">5.3. </w:t>
      </w:r>
      <w:r w:rsidRPr="008C2F74">
        <w:rPr>
          <w:b/>
          <w:bCs/>
          <w:szCs w:val="22"/>
          <w:lang w:val="sr-Latn-RS"/>
        </w:rPr>
        <w:tab/>
        <w:t xml:space="preserve">Pretklinički podaci o bezbjednosti </w:t>
      </w:r>
    </w:p>
    <w:p w14:paraId="3B42FD7E" w14:textId="77777777" w:rsidR="00C533CF" w:rsidRPr="008C2F74" w:rsidRDefault="00C533CF">
      <w:pPr>
        <w:tabs>
          <w:tab w:val="left" w:pos="540"/>
        </w:tabs>
        <w:jc w:val="both"/>
        <w:rPr>
          <w:bCs/>
          <w:szCs w:val="22"/>
          <w:lang w:val="sr-Latn-RS"/>
        </w:rPr>
      </w:pPr>
    </w:p>
    <w:p w14:paraId="1403AA63"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 xml:space="preserve">Pretklinički podaci iz studija opšte farmakologije i genotoksičnosti nijesu ukazali na poseban rizik za ljude. Toksični potencijal kombinacije losartan/hidrohlortiazid procijenjen je u studijama hronične toksičnosti u trajanju do šest mjeseci koje su sprovedene na pacovima i psima nakon oralne primjene, a uočene promjene u ovim studijama sprovedenim sa tom kombinacijom uglavnom su bile izazvane losartanskom komponentom. Primjena kombinacije losartan/hidrohlortiazid dovodi do snižavanja parametara vezanih za crvene krvne ćelije (eritrocite, hemoglobin, hematokrit), porasta uree u serumu, </w:t>
      </w:r>
      <w:r w:rsidRPr="008C2F74">
        <w:rPr>
          <w:szCs w:val="22"/>
          <w:lang w:val="sr-Latn-RS" w:eastAsia="sl-SI"/>
        </w:rPr>
        <w:lastRenderedPageBreak/>
        <w:t xml:space="preserve">smanjenja težine srca (bez histološke korelacije) te gastrointestinalnih promjena (lezija sluznica, ulkusa, erozija, krvarenja). </w:t>
      </w:r>
    </w:p>
    <w:p w14:paraId="6BAC42BF" w14:textId="77777777" w:rsidR="00C533CF" w:rsidRPr="008C2F74" w:rsidRDefault="00C533CF">
      <w:pPr>
        <w:widowControl w:val="0"/>
        <w:autoSpaceDE w:val="0"/>
        <w:autoSpaceDN w:val="0"/>
        <w:adjustRightInd w:val="0"/>
        <w:spacing w:line="276" w:lineRule="auto"/>
        <w:jc w:val="both"/>
        <w:rPr>
          <w:szCs w:val="22"/>
          <w:lang w:val="sr-Latn-RS" w:eastAsia="sl-SI"/>
        </w:rPr>
      </w:pPr>
    </w:p>
    <w:p w14:paraId="4A898EB9" w14:textId="77777777" w:rsidR="00C533CF" w:rsidRPr="008C2F74" w:rsidRDefault="008C2F74">
      <w:pPr>
        <w:widowControl w:val="0"/>
        <w:autoSpaceDE w:val="0"/>
        <w:autoSpaceDN w:val="0"/>
        <w:adjustRightInd w:val="0"/>
        <w:spacing w:line="276" w:lineRule="auto"/>
        <w:jc w:val="both"/>
        <w:rPr>
          <w:szCs w:val="22"/>
          <w:lang w:val="sr-Latn-RS" w:eastAsia="sl-SI"/>
        </w:rPr>
      </w:pPr>
      <w:r w:rsidRPr="008C2F74">
        <w:rPr>
          <w:szCs w:val="22"/>
          <w:lang w:val="sr-Latn-RS" w:eastAsia="sl-SI"/>
        </w:rPr>
        <w:t>Nije bilo dokaza teratogenosti kod pacova i kunića kod kojih je primjenjivana kombinacija losartan/hidrohlortiazid. Fetalna toksičnost kod pacova, dokazana blagim povećanjem broja prekobrojnih rebara u F1 generaciji, primijećena je kod ženki tretiranih prije i tokom gestacije. Kao što je primijećeno i u studiji sprovedenoj sa samim losartanom, neželjena dejstva na fetus i novorođenče, uključujući renalnu toksičnost i smrt fetusa, dogodili su se kada su gravidne ženke pacova tretirane kombinacijom losartan/hidrohlortiazid tokom kasne gestacije i/ili dojenja.</w:t>
      </w:r>
    </w:p>
    <w:p w14:paraId="1A353A6F" w14:textId="77777777" w:rsidR="00C533CF" w:rsidRPr="008C2F74" w:rsidRDefault="00C533CF" w:rsidP="00811A6B">
      <w:pPr>
        <w:tabs>
          <w:tab w:val="left" w:pos="540"/>
        </w:tabs>
        <w:jc w:val="both"/>
        <w:rPr>
          <w:b/>
          <w:bCs/>
          <w:szCs w:val="22"/>
          <w:lang w:val="sr-Latn-RS"/>
        </w:rPr>
      </w:pPr>
    </w:p>
    <w:p w14:paraId="070F6508" w14:textId="77777777" w:rsidR="00C533CF" w:rsidRPr="008C2F74" w:rsidRDefault="00C533CF" w:rsidP="00811A6B">
      <w:pPr>
        <w:tabs>
          <w:tab w:val="left" w:pos="540"/>
        </w:tabs>
        <w:jc w:val="both"/>
        <w:rPr>
          <w:b/>
          <w:bCs/>
          <w:szCs w:val="22"/>
          <w:lang w:val="sr-Latn-RS"/>
        </w:rPr>
      </w:pPr>
    </w:p>
    <w:p w14:paraId="74A399ED"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6. </w:t>
      </w:r>
      <w:r w:rsidRPr="008C2F74">
        <w:rPr>
          <w:b/>
          <w:bCs/>
          <w:szCs w:val="22"/>
          <w:lang w:val="sr-Latn-RS"/>
        </w:rPr>
        <w:tab/>
        <w:t>FARMACEUTSKI PODACI</w:t>
      </w:r>
    </w:p>
    <w:p w14:paraId="435517E0" w14:textId="77777777" w:rsidR="00C533CF" w:rsidRPr="008C2F74" w:rsidRDefault="00C533CF" w:rsidP="00811A6B">
      <w:pPr>
        <w:tabs>
          <w:tab w:val="left" w:pos="540"/>
        </w:tabs>
        <w:jc w:val="both"/>
        <w:rPr>
          <w:bCs/>
          <w:szCs w:val="22"/>
          <w:lang w:val="sr-Latn-RS"/>
        </w:rPr>
      </w:pPr>
    </w:p>
    <w:p w14:paraId="3281D31A"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6.1. </w:t>
      </w:r>
      <w:r w:rsidRPr="008C2F74">
        <w:rPr>
          <w:b/>
          <w:bCs/>
          <w:szCs w:val="22"/>
          <w:lang w:val="sr-Latn-RS"/>
        </w:rPr>
        <w:tab/>
        <w:t>Lista pomoćnih supstanci (ekscipijenasa)</w:t>
      </w:r>
    </w:p>
    <w:p w14:paraId="398C6769" w14:textId="77777777" w:rsidR="00C533CF" w:rsidRPr="008C2F74" w:rsidRDefault="00C533CF" w:rsidP="00811A6B">
      <w:pPr>
        <w:tabs>
          <w:tab w:val="left" w:pos="540"/>
        </w:tabs>
        <w:jc w:val="both"/>
        <w:rPr>
          <w:bCs/>
          <w:szCs w:val="22"/>
          <w:lang w:val="sr-Latn-RS"/>
        </w:rPr>
      </w:pPr>
    </w:p>
    <w:p w14:paraId="5A67EE40" w14:textId="77777777" w:rsidR="00C533CF" w:rsidRPr="008C2F74" w:rsidRDefault="008C2F74" w:rsidP="008C2F74">
      <w:pPr>
        <w:widowControl w:val="0"/>
        <w:spacing w:line="276" w:lineRule="auto"/>
        <w:ind w:right="-483"/>
        <w:jc w:val="both"/>
        <w:rPr>
          <w:i/>
          <w:szCs w:val="22"/>
          <w:u w:val="single"/>
          <w:lang w:val="sr-Latn-RS" w:eastAsia="hr-HR"/>
        </w:rPr>
      </w:pPr>
      <w:r w:rsidRPr="008C2F74">
        <w:rPr>
          <w:i/>
          <w:szCs w:val="22"/>
          <w:u w:val="single"/>
          <w:lang w:val="sr-Latn-RS" w:eastAsia="hr-HR"/>
        </w:rPr>
        <w:t>Jezgro tablete</w:t>
      </w:r>
    </w:p>
    <w:p w14:paraId="602BF58C" w14:textId="77777777" w:rsidR="00C533CF" w:rsidRPr="008C2F74" w:rsidRDefault="008C2F74">
      <w:pPr>
        <w:widowControl w:val="0"/>
        <w:spacing w:line="276" w:lineRule="auto"/>
        <w:jc w:val="both"/>
        <w:rPr>
          <w:szCs w:val="22"/>
          <w:lang w:val="sr-Latn-RS" w:eastAsia="sl-SI"/>
        </w:rPr>
      </w:pPr>
      <w:r w:rsidRPr="008C2F74">
        <w:rPr>
          <w:szCs w:val="22"/>
          <w:lang w:val="sr-Latn-RS" w:eastAsia="sl-SI"/>
        </w:rPr>
        <w:t>Skrob, preželatinizovan</w:t>
      </w:r>
    </w:p>
    <w:p w14:paraId="1177F612" w14:textId="77777777" w:rsidR="00C533CF" w:rsidRPr="008C2F74" w:rsidRDefault="008C2F74">
      <w:pPr>
        <w:widowControl w:val="0"/>
        <w:spacing w:line="276" w:lineRule="auto"/>
        <w:jc w:val="both"/>
        <w:rPr>
          <w:szCs w:val="22"/>
          <w:lang w:val="sr-Latn-RS" w:eastAsia="cs-CZ"/>
        </w:rPr>
      </w:pPr>
      <w:r w:rsidRPr="008C2F74">
        <w:rPr>
          <w:szCs w:val="22"/>
          <w:lang w:val="sr-Latn-RS" w:eastAsia="cs-CZ"/>
        </w:rPr>
        <w:t>Celuloza, mikrokristalna</w:t>
      </w:r>
    </w:p>
    <w:p w14:paraId="4227CDD5" w14:textId="77777777" w:rsidR="00C533CF" w:rsidRPr="008C2F74" w:rsidRDefault="008C2F74">
      <w:pPr>
        <w:widowControl w:val="0"/>
        <w:spacing w:line="276" w:lineRule="auto"/>
        <w:jc w:val="both"/>
        <w:rPr>
          <w:szCs w:val="22"/>
          <w:lang w:val="sr-Latn-RS" w:eastAsia="cs-CZ"/>
        </w:rPr>
      </w:pPr>
      <w:r w:rsidRPr="008C2F74">
        <w:rPr>
          <w:szCs w:val="22"/>
          <w:lang w:val="sr-Latn-RS" w:eastAsia="cs-CZ"/>
        </w:rPr>
        <w:t>Laktoza, monohidrat</w:t>
      </w:r>
    </w:p>
    <w:p w14:paraId="0C102E30" w14:textId="77777777" w:rsidR="00C533CF" w:rsidRPr="008C2F74" w:rsidRDefault="008C2F74">
      <w:pPr>
        <w:widowControl w:val="0"/>
        <w:spacing w:line="276" w:lineRule="auto"/>
        <w:jc w:val="both"/>
        <w:rPr>
          <w:szCs w:val="22"/>
          <w:lang w:val="sr-Latn-RS" w:eastAsia="cs-CZ"/>
        </w:rPr>
      </w:pPr>
      <w:r w:rsidRPr="008C2F74">
        <w:rPr>
          <w:szCs w:val="22"/>
          <w:lang w:val="sr-Latn-RS" w:eastAsia="cs-CZ"/>
        </w:rPr>
        <w:t>Magnezijum stearat</w:t>
      </w:r>
    </w:p>
    <w:p w14:paraId="63C897B1" w14:textId="77777777" w:rsidR="00C533CF" w:rsidRPr="008C2F74" w:rsidRDefault="00C533CF">
      <w:pPr>
        <w:widowControl w:val="0"/>
        <w:spacing w:line="276" w:lineRule="auto"/>
        <w:ind w:right="-483"/>
        <w:jc w:val="both"/>
        <w:rPr>
          <w:szCs w:val="22"/>
          <w:highlight w:val="yellow"/>
          <w:lang w:val="sr-Latn-RS" w:eastAsia="hr-HR"/>
        </w:rPr>
      </w:pPr>
    </w:p>
    <w:p w14:paraId="21703A3E" w14:textId="77777777" w:rsidR="00C533CF" w:rsidRPr="008C2F74" w:rsidRDefault="008C2F74">
      <w:pPr>
        <w:widowControl w:val="0"/>
        <w:tabs>
          <w:tab w:val="left" w:pos="2925"/>
        </w:tabs>
        <w:spacing w:line="276" w:lineRule="auto"/>
        <w:jc w:val="both"/>
        <w:outlineLvl w:val="0"/>
        <w:rPr>
          <w:i/>
          <w:szCs w:val="22"/>
          <w:u w:val="single"/>
          <w:lang w:val="sr-Latn-RS"/>
        </w:rPr>
      </w:pPr>
      <w:r w:rsidRPr="008C2F74">
        <w:rPr>
          <w:i/>
          <w:szCs w:val="22"/>
          <w:u w:val="single"/>
          <w:lang w:val="sr-Latn-RS"/>
        </w:rPr>
        <w:t>Obloga (film) tablete</w:t>
      </w:r>
    </w:p>
    <w:p w14:paraId="6977274D" w14:textId="77777777" w:rsidR="00C533CF" w:rsidRPr="008C2F74" w:rsidRDefault="008C2F74">
      <w:pPr>
        <w:widowControl w:val="0"/>
        <w:spacing w:line="276" w:lineRule="auto"/>
        <w:jc w:val="both"/>
        <w:rPr>
          <w:szCs w:val="22"/>
          <w:lang w:val="sr-Latn-RS" w:eastAsia="cs-CZ"/>
        </w:rPr>
      </w:pPr>
      <w:r w:rsidRPr="008C2F74">
        <w:rPr>
          <w:szCs w:val="22"/>
          <w:lang w:val="sr-Latn-RS" w:eastAsia="cs-CZ"/>
        </w:rPr>
        <w:t>Hipromeloza</w:t>
      </w:r>
    </w:p>
    <w:p w14:paraId="1B2B9974" w14:textId="77777777" w:rsidR="00C533CF" w:rsidRPr="008C2F74" w:rsidRDefault="008C2F74">
      <w:pPr>
        <w:widowControl w:val="0"/>
        <w:spacing w:line="276" w:lineRule="auto"/>
        <w:jc w:val="both"/>
        <w:rPr>
          <w:szCs w:val="22"/>
          <w:lang w:val="sr-Latn-RS" w:eastAsia="cs-CZ"/>
        </w:rPr>
      </w:pPr>
      <w:r w:rsidRPr="008C2F74">
        <w:rPr>
          <w:szCs w:val="22"/>
          <w:lang w:val="sr-Latn-RS" w:eastAsia="cs-CZ"/>
        </w:rPr>
        <w:t>Makrogol 4000</w:t>
      </w:r>
    </w:p>
    <w:p w14:paraId="72AAC0DE" w14:textId="77777777" w:rsidR="00C533CF" w:rsidRPr="008C2F74" w:rsidRDefault="008C2F74">
      <w:pPr>
        <w:widowControl w:val="0"/>
        <w:spacing w:line="276" w:lineRule="auto"/>
        <w:jc w:val="both"/>
        <w:rPr>
          <w:szCs w:val="22"/>
          <w:lang w:val="sr-Latn-RS" w:eastAsia="cs-CZ"/>
        </w:rPr>
      </w:pPr>
      <w:r w:rsidRPr="008C2F74">
        <w:rPr>
          <w:szCs w:val="22"/>
          <w:lang w:val="sr-Latn-RS" w:eastAsia="cs-CZ"/>
        </w:rPr>
        <w:t>Talk</w:t>
      </w:r>
    </w:p>
    <w:p w14:paraId="1BB5FAAA" w14:textId="77777777" w:rsidR="00C533CF" w:rsidRPr="008C2F74" w:rsidRDefault="008C2F74">
      <w:pPr>
        <w:widowControl w:val="0"/>
        <w:spacing w:line="276" w:lineRule="auto"/>
        <w:jc w:val="both"/>
        <w:rPr>
          <w:szCs w:val="22"/>
          <w:lang w:val="sr-Latn-RS" w:eastAsia="cs-CZ"/>
        </w:rPr>
      </w:pPr>
      <w:r w:rsidRPr="008C2F74">
        <w:rPr>
          <w:szCs w:val="22"/>
          <w:lang w:val="sr-Latn-RS" w:eastAsia="cs-CZ"/>
        </w:rPr>
        <w:t>Titan dioksid (E171)</w:t>
      </w:r>
    </w:p>
    <w:p w14:paraId="2F5E0288" w14:textId="77777777" w:rsidR="00C533CF" w:rsidRPr="008C2F74" w:rsidRDefault="00C533CF" w:rsidP="00811A6B">
      <w:pPr>
        <w:tabs>
          <w:tab w:val="left" w:pos="540"/>
        </w:tabs>
        <w:jc w:val="both"/>
        <w:rPr>
          <w:bCs/>
          <w:szCs w:val="22"/>
          <w:lang w:val="sr-Latn-RS"/>
        </w:rPr>
      </w:pPr>
    </w:p>
    <w:p w14:paraId="4493ECC7"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6.2. </w:t>
      </w:r>
      <w:r w:rsidRPr="008C2F74">
        <w:rPr>
          <w:b/>
          <w:bCs/>
          <w:szCs w:val="22"/>
          <w:lang w:val="sr-Latn-RS"/>
        </w:rPr>
        <w:tab/>
        <w:t>Inkompatibilnosti</w:t>
      </w:r>
    </w:p>
    <w:p w14:paraId="79EF722B" w14:textId="77777777" w:rsidR="00C533CF" w:rsidRPr="008C2F74" w:rsidRDefault="00C533CF" w:rsidP="00811A6B">
      <w:pPr>
        <w:tabs>
          <w:tab w:val="left" w:pos="540"/>
        </w:tabs>
        <w:jc w:val="both"/>
        <w:rPr>
          <w:bCs/>
          <w:szCs w:val="22"/>
          <w:lang w:val="sr-Latn-RS"/>
        </w:rPr>
      </w:pPr>
    </w:p>
    <w:p w14:paraId="71FBE0B1" w14:textId="77777777" w:rsidR="00C533CF" w:rsidRPr="008C2F74" w:rsidRDefault="008C2F74" w:rsidP="008C2F74">
      <w:pPr>
        <w:widowControl w:val="0"/>
        <w:numPr>
          <w:ilvl w:val="12"/>
          <w:numId w:val="0"/>
        </w:numPr>
        <w:tabs>
          <w:tab w:val="left" w:pos="8505"/>
        </w:tabs>
        <w:spacing w:line="276" w:lineRule="auto"/>
        <w:ind w:right="-483"/>
        <w:jc w:val="both"/>
        <w:rPr>
          <w:szCs w:val="22"/>
          <w:lang w:val="sr-Latn-RS" w:eastAsia="sl-SI"/>
        </w:rPr>
      </w:pPr>
      <w:r w:rsidRPr="008C2F74">
        <w:rPr>
          <w:szCs w:val="22"/>
          <w:lang w:val="sr-Latn-RS" w:eastAsia="sl-SI"/>
        </w:rPr>
        <w:t>Nije primjenljivo.</w:t>
      </w:r>
    </w:p>
    <w:p w14:paraId="66E7D6EA" w14:textId="77777777" w:rsidR="00C533CF" w:rsidRPr="008C2F74" w:rsidRDefault="00C533CF" w:rsidP="00811A6B">
      <w:pPr>
        <w:tabs>
          <w:tab w:val="left" w:pos="540"/>
        </w:tabs>
        <w:jc w:val="both"/>
        <w:rPr>
          <w:bCs/>
          <w:szCs w:val="22"/>
          <w:lang w:val="sr-Latn-RS"/>
        </w:rPr>
      </w:pPr>
    </w:p>
    <w:p w14:paraId="672CCF82"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6.3. </w:t>
      </w:r>
      <w:r w:rsidRPr="008C2F74">
        <w:rPr>
          <w:b/>
          <w:bCs/>
          <w:szCs w:val="22"/>
          <w:lang w:val="sr-Latn-RS"/>
        </w:rPr>
        <w:tab/>
        <w:t>Rok upotrebe</w:t>
      </w:r>
    </w:p>
    <w:p w14:paraId="3D219BC6" w14:textId="77777777" w:rsidR="00C533CF" w:rsidRPr="008C2F74" w:rsidRDefault="00C533CF" w:rsidP="00811A6B">
      <w:pPr>
        <w:tabs>
          <w:tab w:val="left" w:pos="540"/>
        </w:tabs>
        <w:jc w:val="both"/>
        <w:rPr>
          <w:bCs/>
          <w:szCs w:val="22"/>
          <w:lang w:val="sr-Latn-RS"/>
        </w:rPr>
      </w:pPr>
    </w:p>
    <w:p w14:paraId="4D61C3D6" w14:textId="77777777" w:rsidR="00C533CF" w:rsidRPr="008C2F74" w:rsidRDefault="008C2F74" w:rsidP="008C2F74">
      <w:pPr>
        <w:widowControl w:val="0"/>
        <w:spacing w:line="276" w:lineRule="auto"/>
        <w:ind w:right="-483"/>
        <w:jc w:val="both"/>
        <w:rPr>
          <w:szCs w:val="22"/>
          <w:lang w:val="sr-Latn-RS" w:eastAsia="hr-HR"/>
        </w:rPr>
      </w:pPr>
      <w:r w:rsidRPr="008C2F74">
        <w:rPr>
          <w:szCs w:val="22"/>
          <w:lang w:val="sr-Latn-RS" w:eastAsia="hr-HR"/>
        </w:rPr>
        <w:t>5 godina.</w:t>
      </w:r>
    </w:p>
    <w:p w14:paraId="3AA2B877" w14:textId="77777777" w:rsidR="00C533CF" w:rsidRPr="008C2F74" w:rsidRDefault="00C533CF" w:rsidP="00811A6B">
      <w:pPr>
        <w:tabs>
          <w:tab w:val="left" w:pos="540"/>
        </w:tabs>
        <w:jc w:val="both"/>
        <w:rPr>
          <w:bCs/>
          <w:szCs w:val="22"/>
          <w:lang w:val="sr-Latn-RS"/>
        </w:rPr>
      </w:pPr>
    </w:p>
    <w:p w14:paraId="0F8B9143"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6.4. </w:t>
      </w:r>
      <w:r w:rsidRPr="008C2F74">
        <w:rPr>
          <w:b/>
          <w:bCs/>
          <w:szCs w:val="22"/>
          <w:lang w:val="sr-Latn-RS"/>
        </w:rPr>
        <w:tab/>
        <w:t>Posebne mjere upozorenja pri čuvanju lijeka</w:t>
      </w:r>
    </w:p>
    <w:p w14:paraId="78507D9F" w14:textId="77777777" w:rsidR="00C533CF" w:rsidRPr="008C2F74" w:rsidRDefault="00C533CF" w:rsidP="00811A6B">
      <w:pPr>
        <w:tabs>
          <w:tab w:val="left" w:pos="540"/>
        </w:tabs>
        <w:jc w:val="both"/>
        <w:rPr>
          <w:b/>
          <w:bCs/>
          <w:szCs w:val="22"/>
          <w:lang w:val="sr-Latn-RS"/>
        </w:rPr>
      </w:pPr>
    </w:p>
    <w:p w14:paraId="42F02523" w14:textId="77777777" w:rsidR="00C533CF" w:rsidRPr="008C2F74" w:rsidRDefault="008C2F74" w:rsidP="008C2F74">
      <w:pPr>
        <w:widowControl w:val="0"/>
        <w:spacing w:line="276" w:lineRule="auto"/>
        <w:ind w:right="-483"/>
        <w:jc w:val="both"/>
        <w:rPr>
          <w:szCs w:val="22"/>
          <w:lang w:val="sr-Latn-RS" w:eastAsia="hr-HR"/>
        </w:rPr>
      </w:pPr>
      <w:r w:rsidRPr="008C2F74">
        <w:rPr>
          <w:szCs w:val="22"/>
          <w:lang w:val="sr-Latn-RS" w:eastAsia="hr-HR"/>
        </w:rPr>
        <w:t>Čuvati na temperaturi do 30°C, u originalnom pakovanju, zaštićeno od vlage.</w:t>
      </w:r>
    </w:p>
    <w:p w14:paraId="11CD8A9B" w14:textId="77777777" w:rsidR="00C533CF" w:rsidRPr="008C2F74" w:rsidRDefault="00C533CF" w:rsidP="00811A6B">
      <w:pPr>
        <w:tabs>
          <w:tab w:val="left" w:pos="540"/>
        </w:tabs>
        <w:jc w:val="both"/>
        <w:rPr>
          <w:bCs/>
          <w:szCs w:val="22"/>
          <w:lang w:val="sr-Latn-RS"/>
        </w:rPr>
      </w:pPr>
    </w:p>
    <w:p w14:paraId="154B1C73"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6.5. </w:t>
      </w:r>
      <w:r w:rsidRPr="008C2F74">
        <w:rPr>
          <w:b/>
          <w:bCs/>
          <w:szCs w:val="22"/>
          <w:lang w:val="sr-Latn-RS"/>
        </w:rPr>
        <w:tab/>
        <w:t xml:space="preserve">Vrsta i sadržaj pakovanja </w:t>
      </w:r>
    </w:p>
    <w:p w14:paraId="7D8F2DD5" w14:textId="77777777" w:rsidR="00C533CF" w:rsidRPr="008C2F74" w:rsidRDefault="00C533CF" w:rsidP="00811A6B">
      <w:pPr>
        <w:tabs>
          <w:tab w:val="left" w:pos="540"/>
        </w:tabs>
        <w:jc w:val="both"/>
        <w:rPr>
          <w:bCs/>
          <w:szCs w:val="22"/>
          <w:lang w:val="sr-Latn-RS"/>
        </w:rPr>
      </w:pPr>
    </w:p>
    <w:p w14:paraId="78DE3E36" w14:textId="77777777" w:rsidR="00C533CF" w:rsidRPr="008C2F74" w:rsidRDefault="008C2F74" w:rsidP="008C2F74">
      <w:pPr>
        <w:widowControl w:val="0"/>
        <w:spacing w:line="276" w:lineRule="auto"/>
        <w:ind w:right="-483"/>
        <w:jc w:val="both"/>
        <w:rPr>
          <w:bCs/>
          <w:szCs w:val="22"/>
          <w:lang w:val="sr-Latn-RS" w:eastAsia="sl-SI"/>
        </w:rPr>
      </w:pPr>
      <w:r w:rsidRPr="008C2F74">
        <w:rPr>
          <w:bCs/>
          <w:szCs w:val="22"/>
          <w:lang w:val="sr-Latn-RS" w:eastAsia="sl-SI"/>
        </w:rPr>
        <w:t>Unutrašnje pakovanje je PVC/PVDC/Al blister koji sadrži 14 film tableta.</w:t>
      </w:r>
    </w:p>
    <w:p w14:paraId="010584F3" w14:textId="77777777" w:rsidR="00C533CF" w:rsidRPr="008C2F74" w:rsidRDefault="00C533CF">
      <w:pPr>
        <w:widowControl w:val="0"/>
        <w:spacing w:line="276" w:lineRule="auto"/>
        <w:ind w:right="-483"/>
        <w:jc w:val="both"/>
        <w:rPr>
          <w:bCs/>
          <w:szCs w:val="22"/>
          <w:lang w:val="sr-Latn-RS" w:eastAsia="sl-SI"/>
        </w:rPr>
      </w:pPr>
    </w:p>
    <w:p w14:paraId="4BC9FDF9" w14:textId="77777777" w:rsidR="00C533CF" w:rsidRPr="008C2F74" w:rsidRDefault="008C2F74">
      <w:pPr>
        <w:widowControl w:val="0"/>
        <w:spacing w:line="276" w:lineRule="auto"/>
        <w:ind w:right="-483"/>
        <w:jc w:val="both"/>
        <w:rPr>
          <w:bCs/>
          <w:szCs w:val="22"/>
          <w:lang w:val="sr-Latn-RS" w:eastAsia="sl-SI"/>
        </w:rPr>
      </w:pPr>
      <w:r w:rsidRPr="008C2F74">
        <w:rPr>
          <w:bCs/>
          <w:szCs w:val="22"/>
          <w:lang w:val="sr-Latn-RS" w:eastAsia="sl-SI"/>
        </w:rPr>
        <w:t>Spoljašnje pakovanje je složiva kartonska kutija u kojoj se nalaze 2 blistera (ukupno 28 film tableta) i Uputstvo za lijek.</w:t>
      </w:r>
    </w:p>
    <w:p w14:paraId="7816730D" w14:textId="3BB95442" w:rsidR="00C533CF" w:rsidRPr="008C2F74" w:rsidRDefault="00C533CF" w:rsidP="00811A6B">
      <w:pPr>
        <w:tabs>
          <w:tab w:val="left" w:pos="540"/>
        </w:tabs>
        <w:jc w:val="both"/>
        <w:rPr>
          <w:b/>
          <w:bCs/>
          <w:szCs w:val="22"/>
          <w:lang w:val="sr-Latn-RS"/>
        </w:rPr>
      </w:pPr>
      <w:bookmarkStart w:id="0" w:name="_GoBack"/>
      <w:bookmarkEnd w:id="0"/>
    </w:p>
    <w:p w14:paraId="1048A420"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6.6. </w:t>
      </w:r>
      <w:r w:rsidRPr="008C2F74">
        <w:rPr>
          <w:b/>
          <w:bCs/>
          <w:szCs w:val="22"/>
          <w:lang w:val="sr-Latn-RS"/>
        </w:rPr>
        <w:tab/>
      </w:r>
      <w:r w:rsidRPr="008C2F74">
        <w:rPr>
          <w:b/>
          <w:bCs/>
          <w:color w:val="000000"/>
          <w:szCs w:val="22"/>
          <w:lang w:val="sr-Latn-RS"/>
        </w:rPr>
        <w:t>Posebne mjere opreza pri odlaganju materijala koji treba odbaciti nakon primjene lijeka</w:t>
      </w:r>
      <w:r w:rsidRPr="008C2F74">
        <w:rPr>
          <w:b/>
          <w:bCs/>
          <w:szCs w:val="22"/>
          <w:lang w:val="sr-Latn-RS"/>
        </w:rPr>
        <w:t xml:space="preserve"> (i druga uputsva za rukovanje lijekom) </w:t>
      </w:r>
    </w:p>
    <w:p w14:paraId="4DCD1067" w14:textId="77777777" w:rsidR="00C533CF" w:rsidRPr="008C2F74" w:rsidRDefault="00C533CF" w:rsidP="00811A6B">
      <w:pPr>
        <w:tabs>
          <w:tab w:val="left" w:pos="540"/>
        </w:tabs>
        <w:jc w:val="both"/>
        <w:rPr>
          <w:b/>
          <w:bCs/>
          <w:szCs w:val="22"/>
          <w:lang w:val="sr-Latn-RS"/>
        </w:rPr>
      </w:pPr>
    </w:p>
    <w:p w14:paraId="4EFB22C6" w14:textId="77777777" w:rsidR="00C533CF" w:rsidRPr="008C2F74" w:rsidRDefault="008C2F74" w:rsidP="008C2F74">
      <w:pPr>
        <w:ind w:right="71"/>
        <w:jc w:val="both"/>
        <w:rPr>
          <w:szCs w:val="22"/>
          <w:lang w:val="sr-Latn-RS" w:eastAsia="sl-SI"/>
        </w:rPr>
      </w:pPr>
      <w:r w:rsidRPr="008C2F74">
        <w:rPr>
          <w:szCs w:val="22"/>
          <w:lang w:val="sr-Latn-RS" w:eastAsia="sl-SI"/>
        </w:rPr>
        <w:t>Nema posebnih zahtjeva. Neupotrijebljeni lijek se uništava u skladu sa važećim propisima.</w:t>
      </w:r>
    </w:p>
    <w:p w14:paraId="1371DA3A" w14:textId="77777777" w:rsidR="00C533CF" w:rsidRPr="008C2F74" w:rsidRDefault="00C533CF" w:rsidP="00811A6B">
      <w:pPr>
        <w:tabs>
          <w:tab w:val="left" w:pos="540"/>
        </w:tabs>
        <w:jc w:val="both"/>
        <w:rPr>
          <w:b/>
          <w:bCs/>
          <w:szCs w:val="22"/>
          <w:lang w:val="sr-Latn-RS"/>
        </w:rPr>
      </w:pPr>
    </w:p>
    <w:p w14:paraId="11CDA3D0" w14:textId="77777777" w:rsidR="00C533CF" w:rsidRPr="008C2F74" w:rsidRDefault="00C533CF" w:rsidP="00811A6B">
      <w:pPr>
        <w:tabs>
          <w:tab w:val="left" w:pos="540"/>
        </w:tabs>
        <w:jc w:val="both"/>
        <w:rPr>
          <w:bCs/>
          <w:szCs w:val="22"/>
          <w:lang w:val="sr-Latn-RS"/>
        </w:rPr>
      </w:pPr>
    </w:p>
    <w:p w14:paraId="191213A5" w14:textId="77777777" w:rsidR="00C533CF" w:rsidRPr="008C2F74" w:rsidRDefault="008C2F74" w:rsidP="00811A6B">
      <w:pPr>
        <w:tabs>
          <w:tab w:val="left" w:pos="540"/>
        </w:tabs>
        <w:jc w:val="both"/>
        <w:rPr>
          <w:b/>
          <w:bCs/>
          <w:szCs w:val="22"/>
          <w:lang w:val="sr-Latn-RS"/>
        </w:rPr>
      </w:pPr>
      <w:r w:rsidRPr="008C2F74">
        <w:rPr>
          <w:b/>
          <w:bCs/>
          <w:szCs w:val="22"/>
          <w:lang w:val="sr-Latn-RS"/>
        </w:rPr>
        <w:lastRenderedPageBreak/>
        <w:t xml:space="preserve">7. </w:t>
      </w:r>
      <w:r w:rsidRPr="008C2F74">
        <w:rPr>
          <w:b/>
          <w:bCs/>
          <w:szCs w:val="22"/>
          <w:lang w:val="sr-Latn-RS"/>
        </w:rPr>
        <w:tab/>
        <w:t xml:space="preserve">NOSILAC DOZVOLE </w:t>
      </w:r>
    </w:p>
    <w:p w14:paraId="65885371" w14:textId="77777777" w:rsidR="00C533CF" w:rsidRPr="008C2F74" w:rsidRDefault="00C533CF" w:rsidP="00811A6B">
      <w:pPr>
        <w:tabs>
          <w:tab w:val="left" w:pos="540"/>
        </w:tabs>
        <w:jc w:val="both"/>
        <w:rPr>
          <w:bCs/>
          <w:szCs w:val="22"/>
          <w:lang w:val="sr-Latn-RS"/>
        </w:rPr>
      </w:pPr>
    </w:p>
    <w:p w14:paraId="39F6003A" w14:textId="77777777" w:rsidR="00C533CF" w:rsidRPr="008C2F74" w:rsidRDefault="008C2F74" w:rsidP="008C2F74">
      <w:pPr>
        <w:tabs>
          <w:tab w:val="left" w:pos="851"/>
        </w:tabs>
        <w:spacing w:line="276" w:lineRule="auto"/>
        <w:ind w:left="1985" w:hanging="1985"/>
        <w:jc w:val="both"/>
        <w:rPr>
          <w:szCs w:val="22"/>
          <w:lang w:val="sr-Latn-RS" w:eastAsia="hr-HR"/>
        </w:rPr>
      </w:pPr>
      <w:r w:rsidRPr="008C2F74">
        <w:rPr>
          <w:szCs w:val="22"/>
          <w:lang w:val="sr-Latn-RS" w:eastAsia="hr-HR"/>
        </w:rPr>
        <w:t>D.S.D. „KRKA, d.d., Novo mesto“ - predstavništvo Podgorica</w:t>
      </w:r>
    </w:p>
    <w:p w14:paraId="2D73734F" w14:textId="77777777" w:rsidR="00C533CF" w:rsidRPr="008C2F74" w:rsidRDefault="008C2F74">
      <w:pPr>
        <w:tabs>
          <w:tab w:val="center" w:pos="284"/>
          <w:tab w:val="right" w:pos="8640"/>
        </w:tabs>
        <w:spacing w:line="276" w:lineRule="auto"/>
        <w:ind w:right="71"/>
        <w:jc w:val="both"/>
        <w:rPr>
          <w:szCs w:val="22"/>
          <w:lang w:val="sr-Latn-RS" w:eastAsia="sl-SI"/>
        </w:rPr>
      </w:pPr>
      <w:r w:rsidRPr="008C2F74">
        <w:rPr>
          <w:szCs w:val="22"/>
          <w:lang w:val="sr-Latn-RS" w:eastAsia="sl-SI"/>
        </w:rPr>
        <w:t>Svetlane Kane Radević br. 3, 81000 Podgorica, Crna Gora</w:t>
      </w:r>
    </w:p>
    <w:p w14:paraId="411B670E" w14:textId="77777777" w:rsidR="00C533CF" w:rsidRPr="008C2F74" w:rsidRDefault="00C533CF" w:rsidP="00811A6B">
      <w:pPr>
        <w:tabs>
          <w:tab w:val="left" w:pos="540"/>
        </w:tabs>
        <w:jc w:val="both"/>
        <w:rPr>
          <w:bCs/>
          <w:szCs w:val="22"/>
          <w:lang w:val="sr-Latn-RS"/>
        </w:rPr>
      </w:pPr>
    </w:p>
    <w:p w14:paraId="534D5741" w14:textId="77777777" w:rsidR="00C533CF" w:rsidRPr="008C2F74" w:rsidRDefault="00C533CF" w:rsidP="00811A6B">
      <w:pPr>
        <w:tabs>
          <w:tab w:val="left" w:pos="540"/>
        </w:tabs>
        <w:jc w:val="both"/>
        <w:rPr>
          <w:b/>
          <w:bCs/>
          <w:szCs w:val="22"/>
          <w:lang w:val="sr-Latn-RS"/>
        </w:rPr>
      </w:pPr>
    </w:p>
    <w:p w14:paraId="59194A47"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8. </w:t>
      </w:r>
      <w:r w:rsidRPr="008C2F74">
        <w:rPr>
          <w:b/>
          <w:bCs/>
          <w:szCs w:val="22"/>
          <w:lang w:val="sr-Latn-RS"/>
        </w:rPr>
        <w:tab/>
        <w:t>BROJ DOZVOLE ZA STAVLJANJE LIJEKA U PROMET</w:t>
      </w:r>
    </w:p>
    <w:p w14:paraId="3A4374B0" w14:textId="77777777" w:rsidR="00C533CF" w:rsidRPr="008C2F74" w:rsidRDefault="00C533CF" w:rsidP="00811A6B">
      <w:pPr>
        <w:tabs>
          <w:tab w:val="left" w:pos="540"/>
        </w:tabs>
        <w:jc w:val="both"/>
        <w:rPr>
          <w:bCs/>
          <w:szCs w:val="22"/>
          <w:lang w:val="sr-Latn-RS"/>
        </w:rPr>
      </w:pPr>
    </w:p>
    <w:p w14:paraId="48E0572F" w14:textId="77777777" w:rsidR="00C533CF" w:rsidRPr="008C2F74" w:rsidRDefault="008C2F74" w:rsidP="00811A6B">
      <w:pPr>
        <w:tabs>
          <w:tab w:val="left" w:pos="540"/>
        </w:tabs>
        <w:jc w:val="both"/>
        <w:rPr>
          <w:rFonts w:eastAsia="SimSun"/>
          <w:szCs w:val="22"/>
          <w:lang w:val="en-US" w:eastAsia="mk-MK"/>
        </w:rPr>
      </w:pPr>
      <w:r w:rsidRPr="008C2F74">
        <w:rPr>
          <w:rFonts w:eastAsia="SimSun"/>
          <w:szCs w:val="22"/>
          <w:lang w:val="en-US" w:eastAsia="mk-MK"/>
        </w:rPr>
        <w:t>2030/25/1990 – 3732</w:t>
      </w:r>
    </w:p>
    <w:p w14:paraId="617D7858" w14:textId="77777777" w:rsidR="00C533CF" w:rsidRPr="008C2F74" w:rsidRDefault="00C533CF" w:rsidP="00811A6B">
      <w:pPr>
        <w:tabs>
          <w:tab w:val="left" w:pos="540"/>
        </w:tabs>
        <w:jc w:val="both"/>
        <w:rPr>
          <w:bCs/>
          <w:szCs w:val="22"/>
          <w:lang w:val="sr-Latn-RS"/>
        </w:rPr>
      </w:pPr>
    </w:p>
    <w:p w14:paraId="257EB2BE" w14:textId="77777777" w:rsidR="00C533CF" w:rsidRPr="008C2F74" w:rsidRDefault="00C533CF" w:rsidP="00811A6B">
      <w:pPr>
        <w:tabs>
          <w:tab w:val="left" w:pos="540"/>
        </w:tabs>
        <w:jc w:val="both"/>
        <w:rPr>
          <w:b/>
          <w:bCs/>
          <w:szCs w:val="22"/>
          <w:lang w:val="sr-Latn-RS"/>
        </w:rPr>
      </w:pPr>
    </w:p>
    <w:p w14:paraId="089BF6A6" w14:textId="77777777" w:rsidR="00C533CF" w:rsidRPr="008C2F74" w:rsidRDefault="008C2F74" w:rsidP="00811A6B">
      <w:pPr>
        <w:tabs>
          <w:tab w:val="left" w:pos="540"/>
        </w:tabs>
        <w:jc w:val="both"/>
        <w:rPr>
          <w:b/>
          <w:bCs/>
          <w:szCs w:val="22"/>
          <w:lang w:val="sr-Latn-RS"/>
        </w:rPr>
      </w:pPr>
      <w:r w:rsidRPr="008C2F74">
        <w:rPr>
          <w:b/>
          <w:bCs/>
          <w:szCs w:val="22"/>
          <w:lang w:val="sr-Latn-RS"/>
        </w:rPr>
        <w:t xml:space="preserve">9. </w:t>
      </w:r>
      <w:r w:rsidRPr="008C2F74">
        <w:rPr>
          <w:b/>
          <w:bCs/>
          <w:szCs w:val="22"/>
          <w:lang w:val="sr-Latn-RS"/>
        </w:rPr>
        <w:tab/>
        <w:t>DATUM PRVE DOZVOLE/OBNOVE DOZVOLE ZA STAVLJANJE LIJEKA U PROMET</w:t>
      </w:r>
    </w:p>
    <w:p w14:paraId="6251E6B0" w14:textId="77777777" w:rsidR="00C533CF" w:rsidRPr="008C2F74" w:rsidRDefault="00C533CF" w:rsidP="00811A6B">
      <w:pPr>
        <w:tabs>
          <w:tab w:val="left" w:pos="540"/>
        </w:tabs>
        <w:jc w:val="both"/>
        <w:rPr>
          <w:bCs/>
          <w:szCs w:val="22"/>
          <w:lang w:val="sr-Latn-RS"/>
        </w:rPr>
      </w:pPr>
    </w:p>
    <w:p w14:paraId="7B0BEA77" w14:textId="77777777" w:rsidR="00C533CF" w:rsidRPr="008C2F74" w:rsidRDefault="008C2F74" w:rsidP="00811A6B">
      <w:pPr>
        <w:tabs>
          <w:tab w:val="left" w:pos="540"/>
        </w:tabs>
        <w:jc w:val="both"/>
        <w:rPr>
          <w:bCs/>
          <w:szCs w:val="22"/>
          <w:lang w:val="sr-Latn-RS"/>
        </w:rPr>
      </w:pPr>
      <w:r w:rsidRPr="008C2F74">
        <w:rPr>
          <w:bCs/>
          <w:szCs w:val="22"/>
          <w:lang w:val="sr-Latn-RS"/>
        </w:rPr>
        <w:t>Datum prve dozvole: 28.02.2017. godine</w:t>
      </w:r>
    </w:p>
    <w:p w14:paraId="132ED317" w14:textId="77777777" w:rsidR="00C533CF" w:rsidRPr="008C2F74" w:rsidRDefault="008C2F74" w:rsidP="00811A6B">
      <w:pPr>
        <w:tabs>
          <w:tab w:val="left" w:pos="540"/>
        </w:tabs>
        <w:jc w:val="both"/>
        <w:rPr>
          <w:bCs/>
          <w:szCs w:val="22"/>
          <w:lang w:val="sr-Latn-RS"/>
        </w:rPr>
      </w:pPr>
      <w:r w:rsidRPr="008C2F74">
        <w:rPr>
          <w:bCs/>
          <w:szCs w:val="22"/>
          <w:lang w:val="sr-Latn-RS"/>
        </w:rPr>
        <w:t xml:space="preserve">Datum poslednje obnove dozvole: </w:t>
      </w:r>
      <w:r w:rsidRPr="008C2F74">
        <w:rPr>
          <w:rFonts w:eastAsia="SimSun"/>
          <w:szCs w:val="22"/>
          <w:lang w:val="sr-Latn-RS" w:eastAsia="mk-MK"/>
        </w:rPr>
        <w:t>07.05.2025. godine</w:t>
      </w:r>
    </w:p>
    <w:p w14:paraId="0664D693" w14:textId="77777777" w:rsidR="00C533CF" w:rsidRPr="008C2F74" w:rsidRDefault="00C533CF" w:rsidP="00811A6B">
      <w:pPr>
        <w:tabs>
          <w:tab w:val="left" w:pos="540"/>
        </w:tabs>
        <w:jc w:val="both"/>
        <w:rPr>
          <w:bCs/>
          <w:szCs w:val="22"/>
          <w:lang w:val="sr-Latn-RS"/>
        </w:rPr>
      </w:pPr>
    </w:p>
    <w:p w14:paraId="6588883D" w14:textId="77777777" w:rsidR="00C533CF" w:rsidRPr="008C2F74" w:rsidRDefault="00C533CF" w:rsidP="00811A6B">
      <w:pPr>
        <w:tabs>
          <w:tab w:val="left" w:pos="540"/>
        </w:tabs>
        <w:jc w:val="both"/>
        <w:rPr>
          <w:bCs/>
          <w:szCs w:val="22"/>
          <w:lang w:val="sr-Latn-RS"/>
        </w:rPr>
      </w:pPr>
    </w:p>
    <w:p w14:paraId="41DF66E6" w14:textId="77777777" w:rsidR="00C533CF" w:rsidRPr="008C2F74" w:rsidRDefault="008C2F74" w:rsidP="00811A6B">
      <w:pPr>
        <w:tabs>
          <w:tab w:val="left" w:pos="540"/>
        </w:tabs>
        <w:ind w:left="540" w:hanging="540"/>
        <w:jc w:val="both"/>
        <w:rPr>
          <w:bCs/>
          <w:szCs w:val="22"/>
          <w:lang w:val="sr-Latn-RS"/>
        </w:rPr>
      </w:pPr>
      <w:r w:rsidRPr="008C2F74">
        <w:rPr>
          <w:b/>
          <w:bCs/>
          <w:szCs w:val="22"/>
          <w:lang w:val="sr-Latn-RS"/>
        </w:rPr>
        <w:t xml:space="preserve">10. </w:t>
      </w:r>
      <w:r w:rsidRPr="008C2F74">
        <w:rPr>
          <w:b/>
          <w:bCs/>
          <w:szCs w:val="22"/>
          <w:lang w:val="sr-Latn-RS"/>
        </w:rPr>
        <w:tab/>
        <w:t xml:space="preserve">DATUM REVIZIJE TEKSTA </w:t>
      </w:r>
    </w:p>
    <w:p w14:paraId="327B5E1F" w14:textId="77777777" w:rsidR="00C533CF" w:rsidRPr="008C2F74" w:rsidRDefault="00C533CF" w:rsidP="00811A6B">
      <w:pPr>
        <w:tabs>
          <w:tab w:val="left" w:pos="540"/>
        </w:tabs>
        <w:jc w:val="both"/>
        <w:rPr>
          <w:bCs/>
          <w:szCs w:val="22"/>
          <w:lang w:val="sr-Latn-RS"/>
        </w:rPr>
      </w:pPr>
    </w:p>
    <w:p w14:paraId="41D69990" w14:textId="4BEDCD6A" w:rsidR="00C533CF" w:rsidRPr="00811A6B" w:rsidRDefault="0020727D" w:rsidP="00811A6B">
      <w:pPr>
        <w:jc w:val="both"/>
        <w:rPr>
          <w:szCs w:val="22"/>
        </w:rPr>
      </w:pPr>
      <w:r>
        <w:rPr>
          <w:szCs w:val="22"/>
        </w:rPr>
        <w:t xml:space="preserve">Jul, 2025. </w:t>
      </w:r>
      <w:proofErr w:type="gramStart"/>
      <w:r>
        <w:rPr>
          <w:szCs w:val="22"/>
        </w:rPr>
        <w:t>godine</w:t>
      </w:r>
      <w:proofErr w:type="gramEnd"/>
    </w:p>
    <w:sectPr w:rsidR="00C533CF" w:rsidRPr="00811A6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565A9" w14:textId="77777777" w:rsidR="006C70EA" w:rsidRDefault="006C70EA">
      <w:pPr>
        <w:spacing w:line="240" w:lineRule="auto"/>
      </w:pPr>
      <w:r>
        <w:separator/>
      </w:r>
    </w:p>
  </w:endnote>
  <w:endnote w:type="continuationSeparator" w:id="0">
    <w:p w14:paraId="319448C1" w14:textId="77777777" w:rsidR="006C70EA" w:rsidRDefault="006C7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98DD" w14:textId="77777777" w:rsidR="008C2F74" w:rsidRDefault="008C2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53323255"/>
      <w:docPartObj>
        <w:docPartGallery w:val="Page Numbers (Bottom of Page)"/>
        <w:docPartUnique/>
      </w:docPartObj>
    </w:sdtPr>
    <w:sdtEndPr>
      <w:rPr>
        <w:noProof/>
      </w:rPr>
    </w:sdtEndPr>
    <w:sdtContent>
      <w:p w14:paraId="40E176FF" w14:textId="5706FF87" w:rsidR="008C2F74" w:rsidRDefault="008C2F74">
        <w:pPr>
          <w:pStyle w:val="Footer"/>
          <w:jc w:val="center"/>
        </w:pPr>
        <w:r>
          <w:rPr>
            <w:rFonts w:ascii="Times New Roman" w:hAnsi="Times New Roman"/>
            <w:noProof w:val="0"/>
            <w:sz w:val="22"/>
          </w:rPr>
          <w:fldChar w:fldCharType="begin"/>
        </w:r>
        <w:r>
          <w:rPr>
            <w:rFonts w:ascii="Times New Roman" w:hAnsi="Times New Roman"/>
            <w:sz w:val="22"/>
          </w:rPr>
          <w:instrText xml:space="preserve"> PAGE   \* MERGEFORMAT </w:instrText>
        </w:r>
        <w:r>
          <w:rPr>
            <w:rFonts w:ascii="Times New Roman" w:hAnsi="Times New Roman"/>
            <w:noProof w:val="0"/>
            <w:sz w:val="22"/>
          </w:rPr>
          <w:fldChar w:fldCharType="separate"/>
        </w:r>
        <w:r w:rsidR="0020727D">
          <w:rPr>
            <w:rFonts w:ascii="Times New Roman" w:hAnsi="Times New Roman"/>
            <w:sz w:val="22"/>
          </w:rPr>
          <w:t>19</w:t>
        </w:r>
        <w:r>
          <w:rPr>
            <w:rFonts w:ascii="Times New Roman" w:hAnsi="Times New Roman"/>
            <w:sz w:val="22"/>
          </w:rPr>
          <w:fldChar w:fldCharType="end"/>
        </w:r>
        <w:r>
          <w:rPr>
            <w:rFonts w:ascii="Times New Roman" w:hAnsi="Times New Roman"/>
            <w:sz w:val="22"/>
          </w:rPr>
          <w:t xml:space="preserve"> / 20</w:t>
        </w:r>
        <w:r>
          <w:rPr>
            <w:sz w:val="22"/>
          </w:rPr>
          <w:t xml:space="preserve"> </w:t>
        </w:r>
      </w:p>
    </w:sdtContent>
  </w:sdt>
  <w:p w14:paraId="249EF047" w14:textId="77777777" w:rsidR="008C2F74" w:rsidRDefault="008C2F74">
    <w:pPr>
      <w:pStyle w:val="Footer"/>
      <w:tabs>
        <w:tab w:val="right" w:pos="8931"/>
      </w:tabs>
      <w:ind w:right="96"/>
      <w:jc w:val="center"/>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52A9" w14:textId="77777777" w:rsidR="008C2F74" w:rsidRDefault="008C2F74">
    <w:pPr>
      <w:pStyle w:val="Footer"/>
      <w:tabs>
        <w:tab w:val="right" w:pos="8931"/>
      </w:tabs>
      <w:ind w:right="96"/>
      <w:jc w:val="center"/>
      <w:rPr>
        <w:rFonts w:ascii="Times New Roman" w:hAnsi="Times New Roman"/>
        <w:sz w:val="22"/>
        <w:szCs w:val="22"/>
      </w:rPr>
    </w:pPr>
    <w:r>
      <w:rPr>
        <w:rFonts w:ascii="Times New Roman" w:hAnsi="Times New Roman"/>
        <w:sz w:val="22"/>
        <w:szCs w:val="22"/>
      </w:rPr>
      <w:t>1 / 20</w:t>
    </w:r>
    <w:r>
      <w:rPr>
        <w:rFonts w:ascii="Times New Roman" w:hAnsi="Times New Roman"/>
        <w:sz w:val="22"/>
        <w:szCs w:val="22"/>
      </w:rPr>
      <w:fldChar w:fldCharType="begin"/>
    </w:r>
    <w:r>
      <w:rPr>
        <w:rFonts w:ascii="Times New Roman" w:hAnsi="Times New Roman"/>
        <w:sz w:val="22"/>
        <w:szCs w:val="22"/>
      </w:rPr>
      <w:instrText xml:space="preserve"> EQ </w:instrText>
    </w:r>
    <w:r>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2C1CD" w14:textId="77777777" w:rsidR="006C70EA" w:rsidRDefault="006C70EA">
      <w:pPr>
        <w:spacing w:line="240" w:lineRule="auto"/>
      </w:pPr>
      <w:r>
        <w:separator/>
      </w:r>
    </w:p>
  </w:footnote>
  <w:footnote w:type="continuationSeparator" w:id="0">
    <w:p w14:paraId="63908C27" w14:textId="77777777" w:rsidR="006C70EA" w:rsidRDefault="006C70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333A7" w14:textId="77777777" w:rsidR="008C2F74" w:rsidRDefault="008C2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21B87" w14:textId="77777777" w:rsidR="008C2F74" w:rsidRDefault="008C2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CA0B" w14:textId="77777777" w:rsidR="008C2F74" w:rsidRDefault="008C2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EFE5642"/>
    <w:multiLevelType w:val="hybridMultilevel"/>
    <w:tmpl w:val="E9CCE91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7165F7B"/>
    <w:multiLevelType w:val="hybridMultilevel"/>
    <w:tmpl w:val="7034DC06"/>
    <w:lvl w:ilvl="0" w:tplc="FFFFFFFF">
      <w:start w:val="1"/>
      <w:numFmt w:val="bullet"/>
      <w:lvlText w:val="-"/>
      <w:lvlJc w:val="left"/>
      <w:pPr>
        <w:ind w:left="720" w:hanging="36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3" w15:restartNumberingAfterBreak="0">
    <w:nsid w:val="59F96543"/>
    <w:multiLevelType w:val="hybridMultilevel"/>
    <w:tmpl w:val="F65602D4"/>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0C6FB0"/>
    <w:multiLevelType w:val="hybridMultilevel"/>
    <w:tmpl w:val="857C467C"/>
    <w:lvl w:ilvl="0" w:tplc="43CC696C">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64D82"/>
    <w:multiLevelType w:val="hybridMultilevel"/>
    <w:tmpl w:val="8C9CDEBA"/>
    <w:lvl w:ilvl="0" w:tplc="04090001">
      <w:start w:val="1"/>
      <w:numFmt w:val="bullet"/>
      <w:lvlText w:val=""/>
      <w:lvlJc w:val="left"/>
      <w:pPr>
        <w:ind w:left="720" w:hanging="360"/>
      </w:pPr>
      <w:rPr>
        <w:rFonts w:ascii="Symbol" w:hAnsi="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22"/>
  </w:num>
  <w:num w:numId="7">
    <w:abstractNumId w:val="15"/>
  </w:num>
  <w:num w:numId="8">
    <w:abstractNumId w:val="17"/>
  </w:num>
  <w:num w:numId="9">
    <w:abstractNumId w:val="33"/>
  </w:num>
  <w:num w:numId="10">
    <w:abstractNumId w:val="1"/>
  </w:num>
  <w:num w:numId="11">
    <w:abstractNumId w:val="29"/>
  </w:num>
  <w:num w:numId="12">
    <w:abstractNumId w:val="16"/>
  </w:num>
  <w:num w:numId="13">
    <w:abstractNumId w:val="8"/>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31"/>
  </w:num>
  <w:num w:numId="17">
    <w:abstractNumId w:val="19"/>
  </w:num>
  <w:num w:numId="18">
    <w:abstractNumId w:val="21"/>
  </w:num>
  <w:num w:numId="19">
    <w:abstractNumId w:val="36"/>
  </w:num>
  <w:num w:numId="20">
    <w:abstractNumId w:val="24"/>
  </w:num>
  <w:num w:numId="21">
    <w:abstractNumId w:val="32"/>
  </w:num>
  <w:num w:numId="22">
    <w:abstractNumId w:val="27"/>
  </w:num>
  <w:num w:numId="23">
    <w:abstractNumId w:val="14"/>
  </w:num>
  <w:num w:numId="24">
    <w:abstractNumId w:val="32"/>
  </w:num>
  <w:num w:numId="25">
    <w:abstractNumId w:val="3"/>
  </w:num>
  <w:num w:numId="26">
    <w:abstractNumId w:val="9"/>
  </w:num>
  <w:num w:numId="27">
    <w:abstractNumId w:val="28"/>
  </w:num>
  <w:num w:numId="28">
    <w:abstractNumId w:val="4"/>
  </w:num>
  <w:num w:numId="29">
    <w:abstractNumId w:val="20"/>
  </w:num>
  <w:num w:numId="30">
    <w:abstractNumId w:val="11"/>
  </w:num>
  <w:num w:numId="31">
    <w:abstractNumId w:val="5"/>
  </w:num>
  <w:num w:numId="32">
    <w:abstractNumId w:val="18"/>
  </w:num>
  <w:num w:numId="33">
    <w:abstractNumId w:val="10"/>
  </w:num>
  <w:num w:numId="34">
    <w:abstractNumId w:val="13"/>
  </w:num>
  <w:num w:numId="35">
    <w:abstractNumId w:val="34"/>
  </w:num>
  <w:num w:numId="36">
    <w:abstractNumId w:val="12"/>
  </w:num>
  <w:num w:numId="37">
    <w:abstractNumId w:val="6"/>
  </w:num>
  <w:num w:numId="38">
    <w:abstractNumId w:val="30"/>
  </w:num>
  <w:num w:numId="39">
    <w:abstractNumId w:val="7"/>
  </w:num>
  <w:num w:numId="40">
    <w:abstractNumId w:val="3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3CF"/>
    <w:rsid w:val="0020727D"/>
    <w:rsid w:val="00596A18"/>
    <w:rsid w:val="006C70EA"/>
    <w:rsid w:val="00750F8C"/>
    <w:rsid w:val="00750FA3"/>
    <w:rsid w:val="00811A6B"/>
    <w:rsid w:val="008C2F74"/>
    <w:rsid w:val="00A766D7"/>
    <w:rsid w:val="00C53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C858B"/>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2">
    <w:name w:val="heading 2"/>
    <w:basedOn w:val="Normal"/>
    <w:next w:val="Normal"/>
    <w:link w:val="Heading2Char"/>
    <w:qFormat/>
    <w:pPr>
      <w:keepNext/>
      <w:tabs>
        <w:tab w:val="clear" w:pos="567"/>
        <w:tab w:val="left" w:pos="284"/>
      </w:tabs>
      <w:spacing w:line="240" w:lineRule="auto"/>
      <w:jc w:val="center"/>
      <w:outlineLvl w:val="1"/>
    </w:pPr>
    <w:rPr>
      <w:rFonts w:ascii="Arial" w:hAnsi="Arial" w:cs="Arial"/>
      <w:i/>
      <w:iCs/>
      <w:color w:val="999999"/>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2Char">
    <w:name w:val="Heading 2 Char"/>
    <w:link w:val="Heading2"/>
    <w:rPr>
      <w:rFonts w:ascii="Arial" w:eastAsia="Times New Roman" w:hAnsi="Arial" w:cs="Arial"/>
      <w:i/>
      <w:iCs/>
      <w:color w:val="999999"/>
      <w:sz w:val="18"/>
      <w:szCs w:val="24"/>
      <w:lang w:val="en-US" w:eastAsia="en-US"/>
    </w:rPr>
  </w:style>
  <w:style w:type="numbering" w:styleId="111111">
    <w:name w:val="Outline List 2"/>
    <w:basedOn w:val="NoList"/>
    <w:pPr>
      <w:numPr>
        <w:numId w:val="28"/>
      </w:numPr>
    </w:pPr>
  </w:style>
  <w:style w:type="paragraph" w:styleId="NoSpacing">
    <w:name w:val="No Spacing"/>
    <w:uiPriority w:val="1"/>
    <w:qFormat/>
    <w:rPr>
      <w:rFonts w:eastAsia="Times New Roman"/>
      <w:sz w:val="24"/>
      <w:szCs w:val="24"/>
      <w:lang w:val="en-US"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character" w:customStyle="1" w:styleId="FooterChar">
    <w:name w:val="Footer Char"/>
    <w:link w:val="Footer"/>
    <w:uiPriority w:val="99"/>
    <w:rPr>
      <w:rFonts w:ascii="Arial" w:eastAsia="Times New Roman" w:hAnsi="Arial"/>
      <w:noProof/>
      <w:sz w:val="16"/>
      <w:lang w:val="en-GB" w:eastAsia="en-US"/>
    </w:rPr>
  </w:style>
  <w:style w:type="character" w:customStyle="1" w:styleId="HeaderChar">
    <w:name w:val="Header Char"/>
    <w:link w:val="Header"/>
    <w:rPr>
      <w:rFonts w:ascii="Arial" w:eastAsia="Times New Roman" w:hAnsi="Arial"/>
      <w:lang w:val="en-GB" w:eastAsia="en-US"/>
    </w:rPr>
  </w:style>
  <w:style w:type="character" w:customStyle="1" w:styleId="BodyTextChar">
    <w:name w:val="Body Text Char"/>
    <w:link w:val="BodyText"/>
    <w:rPr>
      <w:rFonts w:eastAsia="Times New Roman"/>
      <w:i/>
      <w:color w:val="008000"/>
      <w:sz w:val="22"/>
      <w:lang w:val="en-GB" w:eastAsia="en-US"/>
    </w:rPr>
  </w:style>
  <w:style w:type="character" w:customStyle="1" w:styleId="BalloonTextChar">
    <w:name w:val="Balloon Text Char"/>
    <w:link w:val="BalloonText"/>
    <w:semiHidden/>
    <w:rPr>
      <w:rFonts w:ascii="Tahoma" w:eastAsia="Times New Roman" w:hAnsi="Tahoma" w:cs="Tahoma"/>
      <w:sz w:val="16"/>
      <w:szCs w:val="16"/>
      <w:lang w:val="en-GB" w:eastAsia="en-US"/>
    </w:rPr>
  </w:style>
  <w:style w:type="numbering" w:customStyle="1" w:styleId="1111111">
    <w:name w:val="1 / 1.1 / 1.1.11"/>
    <w:basedOn w:val="NoList"/>
    <w:next w:val="111111"/>
  </w:style>
  <w:style w:type="character" w:customStyle="1" w:styleId="RegularChar">
    <w:name w:val="Regular Char"/>
    <w:link w:val="Regular"/>
    <w:locked/>
    <w:rPr>
      <w:b/>
      <w:sz w:val="24"/>
      <w:szCs w:val="24"/>
      <w:lang w:val="sr-Latn-CS"/>
    </w:rPr>
  </w:style>
  <w:style w:type="paragraph" w:customStyle="1" w:styleId="Regular">
    <w:name w:val="Regular"/>
    <w:basedOn w:val="Normal"/>
    <w:link w:val="RegularChar"/>
    <w:pPr>
      <w:tabs>
        <w:tab w:val="clear" w:pos="567"/>
      </w:tabs>
      <w:spacing w:line="240" w:lineRule="auto"/>
      <w:jc w:val="both"/>
    </w:pPr>
    <w:rPr>
      <w:rFonts w:eastAsia="SimSun"/>
      <w:b/>
      <w:sz w:val="24"/>
      <w:szCs w:val="24"/>
      <w:lang w:val="sr-Latn-CS" w:eastAsia="sl-SI"/>
    </w:rPr>
  </w:style>
  <w:style w:type="paragraph" w:styleId="HTMLPreformatted">
    <w:name w:val="HTML Preformatted"/>
    <w:basedOn w:val="Normal"/>
    <w:link w:val="HTMLPreformattedChar"/>
    <w:pPr>
      <w:spacing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eastAsia="Times New Roman" w:hAnsi="Consola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17417">
      <w:bodyDiv w:val="1"/>
      <w:marLeft w:val="0"/>
      <w:marRight w:val="0"/>
      <w:marTop w:val="0"/>
      <w:marBottom w:val="0"/>
      <w:divBdr>
        <w:top w:val="none" w:sz="0" w:space="0" w:color="auto"/>
        <w:left w:val="none" w:sz="0" w:space="0" w:color="auto"/>
        <w:bottom w:val="none" w:sz="0" w:space="0" w:color="auto"/>
        <w:right w:val="none" w:sz="0" w:space="0" w:color="auto"/>
      </w:divBdr>
    </w:div>
    <w:div w:id="796484147">
      <w:bodyDiv w:val="1"/>
      <w:marLeft w:val="0"/>
      <w:marRight w:val="0"/>
      <w:marTop w:val="0"/>
      <w:marBottom w:val="0"/>
      <w:divBdr>
        <w:top w:val="none" w:sz="0" w:space="0" w:color="auto"/>
        <w:left w:val="none" w:sz="0" w:space="0" w:color="auto"/>
        <w:bottom w:val="none" w:sz="0" w:space="0" w:color="auto"/>
        <w:right w:val="none" w:sz="0" w:space="0" w:color="auto"/>
      </w:divBdr>
    </w:div>
    <w:div w:id="2022319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7798</Words>
  <Characters>44454</Characters>
  <Application>Microsoft Office Word</Application>
  <DocSecurity>0</DocSecurity>
  <Lines>370</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52148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Dedejić</dc:creator>
  <cp:lastModifiedBy>Tamara Dedejić</cp:lastModifiedBy>
  <cp:revision>23</cp:revision>
  <dcterms:created xsi:type="dcterms:W3CDTF">2025-02-12T11:24:00Z</dcterms:created>
  <dcterms:modified xsi:type="dcterms:W3CDTF">2025-07-07T08:28:00Z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