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49A2C" w14:textId="77777777" w:rsidR="002510A5" w:rsidRPr="00F334AF" w:rsidRDefault="002510A5" w:rsidP="002510A5">
      <w:pPr>
        <w:jc w:val="center"/>
        <w:rPr>
          <w:b/>
          <w:bCs/>
          <w:iCs/>
          <w:sz w:val="22"/>
          <w:szCs w:val="22"/>
          <w:u w:val="single"/>
          <w:lang w:val="sr-Latn-ME"/>
        </w:rPr>
      </w:pPr>
      <w:r w:rsidRPr="00F334AF">
        <w:rPr>
          <w:b/>
          <w:bCs/>
          <w:iCs/>
          <w:sz w:val="22"/>
          <w:szCs w:val="22"/>
          <w:u w:val="single"/>
          <w:lang w:val="sr-Latn-ME"/>
        </w:rPr>
        <w:t>SAŽETAK KARAKTERISTIKA LIJEKA</w:t>
      </w:r>
    </w:p>
    <w:p w14:paraId="302B445B" w14:textId="77777777" w:rsidR="002510A5" w:rsidRPr="00F334AF" w:rsidRDefault="002510A5" w:rsidP="002510A5">
      <w:pPr>
        <w:rPr>
          <w:b/>
          <w:bCs/>
          <w:i/>
          <w:iCs/>
          <w:sz w:val="22"/>
          <w:szCs w:val="22"/>
          <w:u w:val="single"/>
          <w:lang w:val="sr-Latn-ME"/>
        </w:rPr>
      </w:pPr>
    </w:p>
    <w:p w14:paraId="34E95BFB" w14:textId="77777777" w:rsidR="00C37FD7" w:rsidRPr="00F334AF" w:rsidRDefault="00C37FD7" w:rsidP="00F5167F">
      <w:pPr>
        <w:tabs>
          <w:tab w:val="left" w:pos="540"/>
          <w:tab w:val="left" w:pos="569"/>
        </w:tabs>
        <w:rPr>
          <w:bCs/>
          <w:sz w:val="22"/>
          <w:szCs w:val="22"/>
          <w:lang w:val="sr-Latn-ME"/>
        </w:rPr>
      </w:pPr>
    </w:p>
    <w:p w14:paraId="777A8EB6" w14:textId="77777777" w:rsidR="00411B4B" w:rsidRPr="00F334AF" w:rsidRDefault="00411B4B" w:rsidP="0034729B">
      <w:pPr>
        <w:tabs>
          <w:tab w:val="left" w:pos="540"/>
          <w:tab w:val="left" w:pos="569"/>
        </w:tabs>
        <w:jc w:val="both"/>
        <w:rPr>
          <w:b/>
          <w:bCs/>
          <w:sz w:val="22"/>
          <w:szCs w:val="22"/>
          <w:lang w:val="sr-Latn-ME"/>
        </w:rPr>
      </w:pPr>
      <w:r w:rsidRPr="00F334AF">
        <w:rPr>
          <w:b/>
          <w:bCs/>
          <w:sz w:val="22"/>
          <w:szCs w:val="22"/>
          <w:lang w:val="sr-Latn-ME"/>
        </w:rPr>
        <w:t>1.</w:t>
      </w:r>
      <w:r w:rsidR="00F5167F" w:rsidRPr="00F334AF">
        <w:rPr>
          <w:b/>
          <w:bCs/>
          <w:sz w:val="22"/>
          <w:szCs w:val="22"/>
          <w:lang w:val="sr-Latn-ME"/>
        </w:rPr>
        <w:tab/>
      </w:r>
      <w:r w:rsidR="002846DB" w:rsidRPr="00F334AF">
        <w:rPr>
          <w:b/>
          <w:bCs/>
          <w:sz w:val="22"/>
          <w:szCs w:val="22"/>
          <w:lang w:val="sr-Latn-ME"/>
        </w:rPr>
        <w:t xml:space="preserve">NAZIV </w:t>
      </w:r>
      <w:r w:rsidRPr="00F334AF">
        <w:rPr>
          <w:b/>
          <w:bCs/>
          <w:sz w:val="22"/>
          <w:szCs w:val="22"/>
          <w:lang w:val="sr-Latn-ME"/>
        </w:rPr>
        <w:t>LIJEKA</w:t>
      </w:r>
    </w:p>
    <w:p w14:paraId="33C1D6DA" w14:textId="77777777" w:rsidR="00EC2532" w:rsidRPr="00F334AF" w:rsidRDefault="00EC2532" w:rsidP="0034729B">
      <w:pPr>
        <w:jc w:val="both"/>
        <w:rPr>
          <w:sz w:val="22"/>
          <w:szCs w:val="22"/>
          <w:lang w:val="sr-Latn-ME"/>
        </w:rPr>
      </w:pPr>
    </w:p>
    <w:p w14:paraId="718877B0" w14:textId="0C8CD44D" w:rsidR="00E310B2" w:rsidRPr="00F334AF" w:rsidRDefault="00E310B2" w:rsidP="0034729B">
      <w:pPr>
        <w:jc w:val="both"/>
        <w:rPr>
          <w:iCs/>
          <w:sz w:val="22"/>
          <w:szCs w:val="22"/>
          <w:lang w:val="sr-Latn-ME"/>
        </w:rPr>
      </w:pPr>
      <w:r w:rsidRPr="00F334AF">
        <w:rPr>
          <w:iCs/>
          <w:sz w:val="22"/>
          <w:szCs w:val="22"/>
          <w:lang w:val="sr-Latn-ME"/>
        </w:rPr>
        <w:t>EMEND 125 mg kapsul</w:t>
      </w:r>
      <w:r w:rsidR="00CE2ABA" w:rsidRPr="00F334AF">
        <w:rPr>
          <w:iCs/>
          <w:sz w:val="22"/>
          <w:szCs w:val="22"/>
          <w:lang w:val="sr-Latn-ME"/>
        </w:rPr>
        <w:t>a</w:t>
      </w:r>
      <w:r w:rsidRPr="00F334AF">
        <w:rPr>
          <w:iCs/>
          <w:sz w:val="22"/>
          <w:szCs w:val="22"/>
          <w:lang w:val="sr-Latn-ME"/>
        </w:rPr>
        <w:t>, tvrd</w:t>
      </w:r>
      <w:r w:rsidR="00CE2ABA" w:rsidRPr="00F334AF">
        <w:rPr>
          <w:iCs/>
          <w:sz w:val="22"/>
          <w:szCs w:val="22"/>
          <w:lang w:val="sr-Latn-ME"/>
        </w:rPr>
        <w:t>a</w:t>
      </w:r>
      <w:r w:rsidRPr="00F334AF">
        <w:rPr>
          <w:iCs/>
          <w:sz w:val="22"/>
          <w:szCs w:val="22"/>
          <w:lang w:val="sr-Latn-ME"/>
        </w:rPr>
        <w:t xml:space="preserve"> </w:t>
      </w:r>
    </w:p>
    <w:p w14:paraId="1B6496F2" w14:textId="15A1B8C9" w:rsidR="00E310B2" w:rsidRPr="00F334AF" w:rsidRDefault="00E310B2" w:rsidP="0034729B">
      <w:pPr>
        <w:jc w:val="both"/>
        <w:rPr>
          <w:bCs/>
          <w:sz w:val="22"/>
          <w:szCs w:val="22"/>
          <w:lang w:val="sr-Latn-ME"/>
        </w:rPr>
      </w:pPr>
      <w:r w:rsidRPr="00F334AF">
        <w:rPr>
          <w:iCs/>
          <w:sz w:val="22"/>
          <w:szCs w:val="22"/>
          <w:lang w:val="sr-Latn-ME"/>
        </w:rPr>
        <w:t>EMEND 80 mg kapsul</w:t>
      </w:r>
      <w:r w:rsidR="00CE2ABA" w:rsidRPr="00F334AF">
        <w:rPr>
          <w:iCs/>
          <w:sz w:val="22"/>
          <w:szCs w:val="22"/>
          <w:lang w:val="sr-Latn-ME"/>
        </w:rPr>
        <w:t>a</w:t>
      </w:r>
      <w:r w:rsidRPr="00F334AF">
        <w:rPr>
          <w:iCs/>
          <w:sz w:val="22"/>
          <w:szCs w:val="22"/>
          <w:lang w:val="sr-Latn-ME"/>
        </w:rPr>
        <w:t>, tvrd</w:t>
      </w:r>
      <w:r w:rsidR="00CE2ABA" w:rsidRPr="00F334AF">
        <w:rPr>
          <w:iCs/>
          <w:sz w:val="22"/>
          <w:szCs w:val="22"/>
          <w:lang w:val="sr-Latn-ME"/>
        </w:rPr>
        <w:t>a</w:t>
      </w:r>
    </w:p>
    <w:p w14:paraId="79B6D023" w14:textId="77777777" w:rsidR="00CE2ABA" w:rsidRPr="00F334AF" w:rsidRDefault="00CE2ABA" w:rsidP="0034729B">
      <w:pPr>
        <w:jc w:val="both"/>
        <w:rPr>
          <w:sz w:val="22"/>
          <w:szCs w:val="22"/>
          <w:lang w:val="sr-Latn-ME"/>
        </w:rPr>
      </w:pPr>
    </w:p>
    <w:p w14:paraId="7CFF8D10" w14:textId="53979833" w:rsidR="00E310B2" w:rsidRPr="00F334AF" w:rsidRDefault="00E310B2" w:rsidP="0034729B">
      <w:pPr>
        <w:jc w:val="both"/>
        <w:rPr>
          <w:sz w:val="22"/>
          <w:szCs w:val="22"/>
          <w:lang w:val="sr-Latn-ME"/>
        </w:rPr>
      </w:pPr>
      <w:r w:rsidRPr="00F334AF">
        <w:rPr>
          <w:sz w:val="22"/>
          <w:szCs w:val="22"/>
          <w:lang w:val="sr-Latn-ME"/>
        </w:rPr>
        <w:t>INN: aprepitant</w:t>
      </w:r>
    </w:p>
    <w:p w14:paraId="6739621C" w14:textId="77777777" w:rsidR="006D20A5" w:rsidRPr="00F334AF" w:rsidRDefault="006D20A5" w:rsidP="0034729B">
      <w:pPr>
        <w:jc w:val="both"/>
        <w:rPr>
          <w:bCs/>
          <w:sz w:val="22"/>
          <w:szCs w:val="22"/>
          <w:lang w:val="sr-Latn-ME"/>
        </w:rPr>
      </w:pPr>
    </w:p>
    <w:p w14:paraId="1F75BF7D" w14:textId="77777777" w:rsidR="00530BD7" w:rsidRPr="00F334AF" w:rsidRDefault="00530BD7" w:rsidP="0034729B">
      <w:pPr>
        <w:jc w:val="both"/>
        <w:rPr>
          <w:bCs/>
          <w:sz w:val="22"/>
          <w:szCs w:val="22"/>
          <w:lang w:val="sr-Latn-ME"/>
        </w:rPr>
      </w:pPr>
    </w:p>
    <w:p w14:paraId="033FE6CC" w14:textId="77777777" w:rsidR="00411B4B" w:rsidRPr="00F334AF" w:rsidRDefault="00411B4B" w:rsidP="0034729B">
      <w:pPr>
        <w:tabs>
          <w:tab w:val="left" w:pos="540"/>
          <w:tab w:val="left" w:pos="569"/>
        </w:tabs>
        <w:jc w:val="both"/>
        <w:rPr>
          <w:b/>
          <w:bCs/>
          <w:sz w:val="22"/>
          <w:szCs w:val="22"/>
          <w:lang w:val="sr-Latn-ME"/>
        </w:rPr>
      </w:pPr>
      <w:r w:rsidRPr="00F334AF">
        <w:rPr>
          <w:b/>
          <w:bCs/>
          <w:sz w:val="22"/>
          <w:szCs w:val="22"/>
          <w:lang w:val="sr-Latn-ME"/>
        </w:rPr>
        <w:t xml:space="preserve">2. </w:t>
      </w:r>
      <w:r w:rsidR="00F5167F" w:rsidRPr="00F334AF">
        <w:rPr>
          <w:b/>
          <w:bCs/>
          <w:sz w:val="22"/>
          <w:szCs w:val="22"/>
          <w:lang w:val="sr-Latn-ME"/>
        </w:rPr>
        <w:tab/>
      </w:r>
      <w:r w:rsidRPr="00F334AF">
        <w:rPr>
          <w:b/>
          <w:bCs/>
          <w:sz w:val="22"/>
          <w:szCs w:val="22"/>
          <w:lang w:val="sr-Latn-ME"/>
        </w:rPr>
        <w:t>KVALITATIVNI I KVANTITATIVNI SASTAV</w:t>
      </w:r>
    </w:p>
    <w:p w14:paraId="4585BF0E" w14:textId="01106B76" w:rsidR="005A0B2E" w:rsidRPr="00F334AF" w:rsidRDefault="005A0B2E" w:rsidP="0034729B">
      <w:pPr>
        <w:jc w:val="both"/>
        <w:rPr>
          <w:sz w:val="22"/>
          <w:szCs w:val="22"/>
          <w:lang w:val="sr-Latn-ME"/>
        </w:rPr>
      </w:pPr>
    </w:p>
    <w:p w14:paraId="41E5FAE4" w14:textId="3EB6E973" w:rsidR="00E310B2" w:rsidRPr="00F334AF" w:rsidRDefault="00E310B2" w:rsidP="0034729B">
      <w:pPr>
        <w:jc w:val="both"/>
        <w:rPr>
          <w:sz w:val="22"/>
          <w:szCs w:val="22"/>
          <w:lang w:val="sr-Latn-ME"/>
        </w:rPr>
      </w:pPr>
      <w:r w:rsidRPr="00F334AF">
        <w:rPr>
          <w:sz w:val="22"/>
          <w:szCs w:val="22"/>
          <w:lang w:val="sr-Latn-ME"/>
        </w:rPr>
        <w:t xml:space="preserve">Jedna </w:t>
      </w:r>
      <w:r w:rsidRPr="00F334AF">
        <w:rPr>
          <w:bCs/>
          <w:sz w:val="22"/>
          <w:szCs w:val="22"/>
          <w:lang w:val="sr-Latn-ME"/>
        </w:rPr>
        <w:t>EMEND</w:t>
      </w:r>
      <w:r w:rsidRPr="00F334AF">
        <w:rPr>
          <w:sz w:val="22"/>
          <w:szCs w:val="22"/>
          <w:lang w:val="sr-Latn-ME"/>
        </w:rPr>
        <w:t xml:space="preserve"> kapsula</w:t>
      </w:r>
      <w:r w:rsidR="00CE2ABA" w:rsidRPr="00F334AF">
        <w:rPr>
          <w:sz w:val="22"/>
          <w:szCs w:val="22"/>
          <w:lang w:val="sr-Latn-ME"/>
        </w:rPr>
        <w:t>, tvrda</w:t>
      </w:r>
      <w:r w:rsidRPr="00F334AF">
        <w:rPr>
          <w:sz w:val="22"/>
          <w:szCs w:val="22"/>
          <w:lang w:val="sr-Latn-ME"/>
        </w:rPr>
        <w:t xml:space="preserve"> od 125 mg sadrži 125 mg aprepitanta. </w:t>
      </w:r>
    </w:p>
    <w:p w14:paraId="2ED6DD69" w14:textId="48DB840D" w:rsidR="00E310B2" w:rsidRPr="00F334AF" w:rsidRDefault="00E310B2" w:rsidP="0034729B">
      <w:pPr>
        <w:jc w:val="both"/>
        <w:rPr>
          <w:sz w:val="22"/>
          <w:szCs w:val="22"/>
          <w:lang w:val="sr-Latn-ME"/>
        </w:rPr>
      </w:pPr>
      <w:r w:rsidRPr="00F334AF">
        <w:rPr>
          <w:sz w:val="22"/>
          <w:szCs w:val="22"/>
          <w:lang w:val="sr-Latn-ME"/>
        </w:rPr>
        <w:t xml:space="preserve">Jedna </w:t>
      </w:r>
      <w:r w:rsidRPr="00F334AF">
        <w:rPr>
          <w:bCs/>
          <w:sz w:val="22"/>
          <w:szCs w:val="22"/>
          <w:lang w:val="sr-Latn-ME"/>
        </w:rPr>
        <w:t>EMEND</w:t>
      </w:r>
      <w:r w:rsidRPr="00F334AF">
        <w:rPr>
          <w:sz w:val="22"/>
          <w:szCs w:val="22"/>
          <w:lang w:val="sr-Latn-ME"/>
        </w:rPr>
        <w:t xml:space="preserve"> kapsula</w:t>
      </w:r>
      <w:r w:rsidR="00CE2ABA" w:rsidRPr="00F334AF">
        <w:rPr>
          <w:sz w:val="22"/>
          <w:szCs w:val="22"/>
          <w:lang w:val="sr-Latn-ME"/>
        </w:rPr>
        <w:t>, tvrda</w:t>
      </w:r>
      <w:r w:rsidRPr="00F334AF">
        <w:rPr>
          <w:sz w:val="22"/>
          <w:szCs w:val="22"/>
          <w:lang w:val="sr-Latn-ME"/>
        </w:rPr>
        <w:t xml:space="preserve"> od 80 mg sadrži 80 mg aprepitanta. </w:t>
      </w:r>
    </w:p>
    <w:p w14:paraId="03F8E428" w14:textId="77777777" w:rsidR="00E310B2" w:rsidRPr="00F334AF" w:rsidRDefault="00E310B2" w:rsidP="0034729B">
      <w:pPr>
        <w:jc w:val="both"/>
        <w:rPr>
          <w:sz w:val="22"/>
          <w:szCs w:val="22"/>
          <w:lang w:val="sr-Latn-ME"/>
        </w:rPr>
      </w:pPr>
    </w:p>
    <w:p w14:paraId="7E55924B" w14:textId="77777777" w:rsidR="00E310B2" w:rsidRPr="00F334AF" w:rsidRDefault="00E310B2" w:rsidP="0034729B">
      <w:pPr>
        <w:jc w:val="both"/>
        <w:rPr>
          <w:sz w:val="22"/>
          <w:szCs w:val="22"/>
          <w:u w:val="single"/>
          <w:lang w:val="sr-Latn-ME"/>
        </w:rPr>
      </w:pPr>
      <w:r w:rsidRPr="00F334AF">
        <w:rPr>
          <w:sz w:val="22"/>
          <w:szCs w:val="22"/>
          <w:u w:val="single"/>
          <w:lang w:val="sr-Latn-ME"/>
        </w:rPr>
        <w:t xml:space="preserve">Pomoćne supstance sa potvrđenim dejstvom: </w:t>
      </w:r>
    </w:p>
    <w:p w14:paraId="33DA3731" w14:textId="57373352" w:rsidR="00E310B2" w:rsidRPr="00F334AF" w:rsidRDefault="00E310B2" w:rsidP="0034729B">
      <w:pPr>
        <w:jc w:val="both"/>
        <w:rPr>
          <w:iCs/>
          <w:sz w:val="22"/>
          <w:szCs w:val="22"/>
          <w:lang w:val="sr-Latn-ME"/>
        </w:rPr>
      </w:pPr>
      <w:r w:rsidRPr="00F334AF">
        <w:rPr>
          <w:sz w:val="22"/>
          <w:szCs w:val="22"/>
          <w:lang w:val="sr-Latn-ME"/>
        </w:rPr>
        <w:t>Jedna kapsula</w:t>
      </w:r>
      <w:r w:rsidR="00CE2ABA" w:rsidRPr="00F334AF">
        <w:rPr>
          <w:sz w:val="22"/>
          <w:szCs w:val="22"/>
          <w:lang w:val="sr-Latn-ME"/>
        </w:rPr>
        <w:t>, tvrda</w:t>
      </w:r>
      <w:r w:rsidRPr="00F334AF">
        <w:rPr>
          <w:sz w:val="22"/>
          <w:szCs w:val="22"/>
          <w:lang w:val="sr-Latn-ME"/>
        </w:rPr>
        <w:t xml:space="preserve"> sadrži 125 mg saharoze (u kapsuli od 125 mg).</w:t>
      </w:r>
    </w:p>
    <w:p w14:paraId="08A87250" w14:textId="77777777" w:rsidR="008D721F" w:rsidRPr="00F334AF" w:rsidRDefault="008D721F" w:rsidP="0034729B">
      <w:pPr>
        <w:jc w:val="both"/>
        <w:rPr>
          <w:b/>
          <w:iCs/>
          <w:sz w:val="22"/>
          <w:szCs w:val="22"/>
          <w:lang w:val="sr-Latn-ME"/>
        </w:rPr>
      </w:pPr>
    </w:p>
    <w:p w14:paraId="558414A9" w14:textId="4C584F54" w:rsidR="00E310B2" w:rsidRPr="00F334AF" w:rsidRDefault="00E310B2" w:rsidP="0034729B">
      <w:pPr>
        <w:jc w:val="both"/>
        <w:rPr>
          <w:bCs/>
          <w:sz w:val="22"/>
          <w:szCs w:val="22"/>
          <w:lang w:val="sr-Latn-ME"/>
        </w:rPr>
      </w:pPr>
      <w:r w:rsidRPr="00F334AF">
        <w:rPr>
          <w:sz w:val="22"/>
          <w:szCs w:val="22"/>
          <w:u w:val="single"/>
          <w:lang w:val="sr-Latn-ME"/>
        </w:rPr>
        <w:t xml:space="preserve">Pomoćne supstance sa potvrđenim dejstvom: </w:t>
      </w:r>
    </w:p>
    <w:p w14:paraId="47198AA2" w14:textId="2799C4D3" w:rsidR="00E310B2" w:rsidRPr="00F334AF" w:rsidRDefault="00E310B2" w:rsidP="0034729B">
      <w:pPr>
        <w:jc w:val="both"/>
        <w:rPr>
          <w:b/>
          <w:sz w:val="22"/>
          <w:szCs w:val="22"/>
          <w:lang w:val="sr-Latn-ME"/>
        </w:rPr>
      </w:pPr>
      <w:r w:rsidRPr="00F334AF">
        <w:rPr>
          <w:sz w:val="22"/>
          <w:szCs w:val="22"/>
          <w:lang w:val="sr-Latn-ME"/>
        </w:rPr>
        <w:t>Jedna kapsula</w:t>
      </w:r>
      <w:r w:rsidR="008C22A9" w:rsidRPr="00F334AF">
        <w:rPr>
          <w:sz w:val="22"/>
          <w:szCs w:val="22"/>
          <w:lang w:val="sr-Latn-ME"/>
        </w:rPr>
        <w:t>, tvrda</w:t>
      </w:r>
      <w:r w:rsidRPr="00F334AF">
        <w:rPr>
          <w:sz w:val="22"/>
          <w:szCs w:val="22"/>
          <w:lang w:val="sr-Latn-ME"/>
        </w:rPr>
        <w:t xml:space="preserve"> sadrži 80 mg saharoze</w:t>
      </w:r>
      <w:r w:rsidRPr="00F334AF">
        <w:rPr>
          <w:b/>
          <w:sz w:val="22"/>
          <w:szCs w:val="22"/>
          <w:lang w:val="sr-Latn-ME"/>
        </w:rPr>
        <w:t xml:space="preserve"> </w:t>
      </w:r>
      <w:r w:rsidRPr="00F334AF">
        <w:rPr>
          <w:bCs/>
          <w:sz w:val="22"/>
          <w:szCs w:val="22"/>
          <w:lang w:val="sr-Latn-ME"/>
        </w:rPr>
        <w:t>(u kapsuli od 80 mg).</w:t>
      </w:r>
    </w:p>
    <w:p w14:paraId="6DF74383" w14:textId="77777777" w:rsidR="00E310B2" w:rsidRPr="00F334AF" w:rsidRDefault="00E310B2" w:rsidP="0034729B">
      <w:pPr>
        <w:jc w:val="both"/>
        <w:rPr>
          <w:sz w:val="22"/>
          <w:szCs w:val="22"/>
          <w:lang w:val="sr-Latn-ME"/>
        </w:rPr>
      </w:pPr>
    </w:p>
    <w:p w14:paraId="36FF569A" w14:textId="77777777" w:rsidR="0003793F" w:rsidRPr="00F334AF" w:rsidRDefault="0003793F" w:rsidP="0034729B">
      <w:pPr>
        <w:jc w:val="both"/>
        <w:rPr>
          <w:sz w:val="22"/>
          <w:szCs w:val="22"/>
          <w:lang w:val="sr-Latn-ME"/>
        </w:rPr>
      </w:pPr>
      <w:r w:rsidRPr="00F334AF">
        <w:rPr>
          <w:sz w:val="22"/>
          <w:szCs w:val="22"/>
          <w:lang w:val="sr-Latn-ME"/>
        </w:rPr>
        <w:t>Za spisak svih ekscipijenasa, pogledati dio 6.1.</w:t>
      </w:r>
    </w:p>
    <w:p w14:paraId="46FA7343" w14:textId="77777777" w:rsidR="00CE2ABA" w:rsidRPr="00F334AF" w:rsidRDefault="00CE2ABA" w:rsidP="0034729B">
      <w:pPr>
        <w:jc w:val="both"/>
        <w:rPr>
          <w:sz w:val="22"/>
          <w:szCs w:val="22"/>
          <w:lang w:val="sr-Latn-ME"/>
        </w:rPr>
      </w:pPr>
    </w:p>
    <w:p w14:paraId="277E2E45" w14:textId="77777777" w:rsidR="00C37FD7" w:rsidRPr="00F334AF" w:rsidRDefault="00C37FD7" w:rsidP="0034729B">
      <w:pPr>
        <w:jc w:val="both"/>
        <w:rPr>
          <w:sz w:val="22"/>
          <w:szCs w:val="22"/>
          <w:lang w:val="sr-Latn-ME"/>
        </w:rPr>
      </w:pPr>
    </w:p>
    <w:p w14:paraId="2EC1DF90" w14:textId="77777777" w:rsidR="00411B4B" w:rsidRPr="00F334AF" w:rsidRDefault="00411B4B" w:rsidP="0034729B">
      <w:pPr>
        <w:tabs>
          <w:tab w:val="left" w:pos="540"/>
          <w:tab w:val="left" w:pos="569"/>
        </w:tabs>
        <w:jc w:val="both"/>
        <w:rPr>
          <w:b/>
          <w:bCs/>
          <w:sz w:val="22"/>
          <w:szCs w:val="22"/>
          <w:lang w:val="sr-Latn-ME"/>
        </w:rPr>
      </w:pPr>
      <w:r w:rsidRPr="00F334AF">
        <w:rPr>
          <w:b/>
          <w:bCs/>
          <w:sz w:val="22"/>
          <w:szCs w:val="22"/>
          <w:lang w:val="sr-Latn-ME"/>
        </w:rPr>
        <w:t xml:space="preserve">3. </w:t>
      </w:r>
      <w:r w:rsidR="00F5167F" w:rsidRPr="00F334AF">
        <w:rPr>
          <w:b/>
          <w:bCs/>
          <w:sz w:val="22"/>
          <w:szCs w:val="22"/>
          <w:lang w:val="sr-Latn-ME"/>
        </w:rPr>
        <w:tab/>
      </w:r>
      <w:r w:rsidRPr="00F334AF">
        <w:rPr>
          <w:b/>
          <w:bCs/>
          <w:sz w:val="22"/>
          <w:szCs w:val="22"/>
          <w:lang w:val="sr-Latn-ME"/>
        </w:rPr>
        <w:t>FARMACEUTSKI OBLIK</w:t>
      </w:r>
      <w:r w:rsidR="009F2D23" w:rsidRPr="00F334AF">
        <w:rPr>
          <w:b/>
          <w:bCs/>
          <w:sz w:val="22"/>
          <w:szCs w:val="22"/>
          <w:lang w:val="sr-Latn-ME"/>
        </w:rPr>
        <w:t xml:space="preserve"> </w:t>
      </w:r>
    </w:p>
    <w:p w14:paraId="5EAA70A0" w14:textId="77777777" w:rsidR="00411B4B" w:rsidRPr="00F334AF" w:rsidRDefault="00411B4B" w:rsidP="0034729B">
      <w:pPr>
        <w:jc w:val="both"/>
        <w:rPr>
          <w:bCs/>
          <w:sz w:val="22"/>
          <w:szCs w:val="22"/>
          <w:lang w:val="sr-Latn-ME"/>
        </w:rPr>
      </w:pPr>
    </w:p>
    <w:p w14:paraId="41027B3A" w14:textId="60CF4D32" w:rsidR="00E310B2" w:rsidRPr="00F334AF" w:rsidRDefault="008C22A9" w:rsidP="0034729B">
      <w:pPr>
        <w:jc w:val="both"/>
        <w:rPr>
          <w:sz w:val="22"/>
          <w:szCs w:val="22"/>
          <w:lang w:val="sr-Latn-ME"/>
        </w:rPr>
      </w:pPr>
      <w:r w:rsidRPr="00F334AF">
        <w:rPr>
          <w:sz w:val="22"/>
          <w:szCs w:val="22"/>
          <w:lang w:val="sr-Latn-ME"/>
        </w:rPr>
        <w:t>K</w:t>
      </w:r>
      <w:r w:rsidR="00E310B2" w:rsidRPr="00F334AF">
        <w:rPr>
          <w:sz w:val="22"/>
          <w:szCs w:val="22"/>
          <w:lang w:val="sr-Latn-ME"/>
        </w:rPr>
        <w:t>apsula</w:t>
      </w:r>
      <w:r w:rsidRPr="00F334AF">
        <w:rPr>
          <w:sz w:val="22"/>
          <w:szCs w:val="22"/>
          <w:lang w:val="sr-Latn-ME"/>
        </w:rPr>
        <w:t>, tvrda</w:t>
      </w:r>
      <w:r w:rsidR="00E310B2" w:rsidRPr="00F334AF">
        <w:rPr>
          <w:sz w:val="22"/>
          <w:szCs w:val="22"/>
          <w:lang w:val="sr-Latn-ME"/>
        </w:rPr>
        <w:t>.</w:t>
      </w:r>
    </w:p>
    <w:p w14:paraId="173E37AA" w14:textId="77777777" w:rsidR="00E310B2" w:rsidRPr="00F334AF" w:rsidRDefault="00E310B2" w:rsidP="0034729B">
      <w:pPr>
        <w:jc w:val="both"/>
        <w:rPr>
          <w:sz w:val="22"/>
          <w:szCs w:val="22"/>
          <w:lang w:val="sr-Latn-ME"/>
        </w:rPr>
      </w:pPr>
    </w:p>
    <w:p w14:paraId="48EA3532" w14:textId="1DAB721E" w:rsidR="00E310B2" w:rsidRPr="00F334AF" w:rsidRDefault="008D721F" w:rsidP="0034729B">
      <w:pPr>
        <w:jc w:val="both"/>
        <w:rPr>
          <w:bCs/>
          <w:sz w:val="22"/>
          <w:szCs w:val="22"/>
          <w:lang w:val="sr-Latn-ME"/>
        </w:rPr>
      </w:pPr>
      <w:r w:rsidRPr="00F334AF">
        <w:rPr>
          <w:bCs/>
          <w:iCs/>
          <w:sz w:val="22"/>
          <w:szCs w:val="22"/>
          <w:lang w:val="sr-Latn-ME"/>
        </w:rPr>
        <w:t>EMEND 125 mg kapsula, tvrda</w:t>
      </w:r>
      <w:r w:rsidR="00244A39" w:rsidRPr="00F334AF">
        <w:rPr>
          <w:bCs/>
          <w:sz w:val="22"/>
          <w:szCs w:val="22"/>
          <w:lang w:val="sr-Latn-ME"/>
        </w:rPr>
        <w:t xml:space="preserve"> </w:t>
      </w:r>
      <w:r w:rsidRPr="00F334AF">
        <w:rPr>
          <w:bCs/>
          <w:sz w:val="22"/>
          <w:szCs w:val="22"/>
          <w:lang w:val="sr-Latn-ME"/>
        </w:rPr>
        <w:t xml:space="preserve">je </w:t>
      </w:r>
      <w:r w:rsidR="00E310B2" w:rsidRPr="00F334AF">
        <w:rPr>
          <w:bCs/>
          <w:sz w:val="22"/>
          <w:szCs w:val="22"/>
          <w:lang w:val="sr-Latn-ME"/>
        </w:rPr>
        <w:t>neprovidna kapsula, sa bijelim tijelom i ružičastom kapom i poprečno utisnutim crnim oznakama "462" i "125 mg" na tijelu kapsule.</w:t>
      </w:r>
    </w:p>
    <w:p w14:paraId="5C07A118" w14:textId="25B8CB20" w:rsidR="00E310B2" w:rsidRPr="00F334AF" w:rsidRDefault="00E310B2" w:rsidP="0034729B">
      <w:pPr>
        <w:jc w:val="both"/>
        <w:rPr>
          <w:sz w:val="22"/>
          <w:szCs w:val="22"/>
          <w:lang w:val="sr-Latn-ME"/>
        </w:rPr>
      </w:pPr>
    </w:p>
    <w:p w14:paraId="2BBBFF12" w14:textId="3F940497" w:rsidR="00E310B2" w:rsidRPr="00F334AF" w:rsidRDefault="008D721F" w:rsidP="0034729B">
      <w:pPr>
        <w:jc w:val="both"/>
        <w:rPr>
          <w:bCs/>
          <w:sz w:val="22"/>
          <w:szCs w:val="22"/>
          <w:lang w:val="sr-Latn-ME"/>
        </w:rPr>
      </w:pPr>
      <w:r w:rsidRPr="00F334AF">
        <w:rPr>
          <w:bCs/>
          <w:iCs/>
          <w:sz w:val="22"/>
          <w:szCs w:val="22"/>
          <w:lang w:val="sr-Latn-ME"/>
        </w:rPr>
        <w:t>EMEND 80 mg kapsula, tvrda</w:t>
      </w:r>
      <w:r w:rsidR="00244A39" w:rsidRPr="00F334AF">
        <w:rPr>
          <w:bCs/>
          <w:sz w:val="22"/>
          <w:szCs w:val="22"/>
          <w:lang w:val="sr-Latn-ME"/>
        </w:rPr>
        <w:t xml:space="preserve"> </w:t>
      </w:r>
      <w:r w:rsidRPr="00F334AF">
        <w:rPr>
          <w:bCs/>
          <w:sz w:val="22"/>
          <w:szCs w:val="22"/>
          <w:lang w:val="sr-Latn-ME"/>
        </w:rPr>
        <w:t xml:space="preserve">je </w:t>
      </w:r>
      <w:r w:rsidR="00E310B2" w:rsidRPr="00F334AF">
        <w:rPr>
          <w:bCs/>
          <w:sz w:val="22"/>
          <w:szCs w:val="22"/>
          <w:lang w:val="sr-Latn-ME"/>
        </w:rPr>
        <w:t>neprovidna kapsula, sa bijelim tijelom i bijelom kapom i poprečno utisnutim crnim oznakama "461" i "80 mg" na tijelu kapsule.</w:t>
      </w:r>
    </w:p>
    <w:p w14:paraId="4BAF97BF" w14:textId="3AF5AEEB" w:rsidR="00EC2532" w:rsidRPr="00F334AF" w:rsidRDefault="00EC2532" w:rsidP="0034729B">
      <w:pPr>
        <w:jc w:val="both"/>
        <w:rPr>
          <w:bCs/>
          <w:sz w:val="22"/>
          <w:szCs w:val="22"/>
          <w:lang w:val="sr-Latn-ME"/>
        </w:rPr>
      </w:pPr>
    </w:p>
    <w:p w14:paraId="7E443A2B" w14:textId="77777777" w:rsidR="008D721F" w:rsidRPr="00F334AF" w:rsidRDefault="008D721F" w:rsidP="0034729B">
      <w:pPr>
        <w:jc w:val="both"/>
        <w:rPr>
          <w:bCs/>
          <w:sz w:val="22"/>
          <w:szCs w:val="22"/>
          <w:lang w:val="sr-Latn-ME"/>
        </w:rPr>
      </w:pPr>
    </w:p>
    <w:p w14:paraId="2A5D4A43" w14:textId="77777777" w:rsidR="00411B4B" w:rsidRPr="00F334AF" w:rsidRDefault="00411B4B" w:rsidP="0034729B">
      <w:pPr>
        <w:tabs>
          <w:tab w:val="left" w:pos="540"/>
          <w:tab w:val="left" w:pos="569"/>
        </w:tabs>
        <w:jc w:val="both"/>
        <w:rPr>
          <w:b/>
          <w:bCs/>
          <w:sz w:val="22"/>
          <w:szCs w:val="22"/>
          <w:lang w:val="sr-Latn-ME"/>
        </w:rPr>
      </w:pPr>
      <w:r w:rsidRPr="00F334AF">
        <w:rPr>
          <w:b/>
          <w:bCs/>
          <w:sz w:val="22"/>
          <w:szCs w:val="22"/>
          <w:lang w:val="sr-Latn-ME"/>
        </w:rPr>
        <w:t xml:space="preserve">4. </w:t>
      </w:r>
      <w:r w:rsidR="00480FB1" w:rsidRPr="00F334AF">
        <w:rPr>
          <w:b/>
          <w:bCs/>
          <w:sz w:val="22"/>
          <w:szCs w:val="22"/>
          <w:lang w:val="sr-Latn-ME"/>
        </w:rPr>
        <w:tab/>
      </w:r>
      <w:r w:rsidRPr="00F334AF">
        <w:rPr>
          <w:b/>
          <w:bCs/>
          <w:sz w:val="22"/>
          <w:szCs w:val="22"/>
          <w:lang w:val="sr-Latn-ME"/>
        </w:rPr>
        <w:t>KLINIČKI PODACI</w:t>
      </w:r>
    </w:p>
    <w:p w14:paraId="57F6B7F1" w14:textId="77777777" w:rsidR="00CD6F02" w:rsidRPr="00F334AF" w:rsidRDefault="00CD6F02" w:rsidP="0034729B">
      <w:pPr>
        <w:tabs>
          <w:tab w:val="left" w:pos="540"/>
          <w:tab w:val="left" w:pos="569"/>
        </w:tabs>
        <w:jc w:val="both"/>
        <w:rPr>
          <w:bCs/>
          <w:sz w:val="22"/>
          <w:szCs w:val="22"/>
          <w:lang w:val="sr-Latn-ME"/>
        </w:rPr>
      </w:pPr>
    </w:p>
    <w:p w14:paraId="2EFB7CF5" w14:textId="77777777" w:rsidR="00411B4B" w:rsidRPr="00F334AF" w:rsidRDefault="00411B4B" w:rsidP="0034729B">
      <w:pPr>
        <w:tabs>
          <w:tab w:val="left" w:pos="540"/>
          <w:tab w:val="left" w:pos="569"/>
        </w:tabs>
        <w:jc w:val="both"/>
        <w:rPr>
          <w:b/>
          <w:bCs/>
          <w:sz w:val="22"/>
          <w:szCs w:val="22"/>
          <w:lang w:val="sr-Latn-ME"/>
        </w:rPr>
      </w:pPr>
      <w:r w:rsidRPr="00F334AF">
        <w:rPr>
          <w:b/>
          <w:bCs/>
          <w:sz w:val="22"/>
          <w:szCs w:val="22"/>
          <w:lang w:val="sr-Latn-ME"/>
        </w:rPr>
        <w:t xml:space="preserve">4.1. </w:t>
      </w:r>
      <w:r w:rsidR="00480FB1" w:rsidRPr="00F334AF">
        <w:rPr>
          <w:b/>
          <w:bCs/>
          <w:sz w:val="22"/>
          <w:szCs w:val="22"/>
          <w:lang w:val="sr-Latn-ME"/>
        </w:rPr>
        <w:tab/>
      </w:r>
      <w:r w:rsidRPr="00F334AF">
        <w:rPr>
          <w:b/>
          <w:bCs/>
          <w:sz w:val="22"/>
          <w:szCs w:val="22"/>
          <w:lang w:val="sr-Latn-ME"/>
        </w:rPr>
        <w:t>Terapijske indikacije</w:t>
      </w:r>
    </w:p>
    <w:p w14:paraId="00F585C5" w14:textId="706FE3AC" w:rsidR="00411B4B" w:rsidRPr="00F334AF" w:rsidRDefault="00411B4B" w:rsidP="0034729B">
      <w:pPr>
        <w:tabs>
          <w:tab w:val="left" w:pos="540"/>
          <w:tab w:val="left" w:pos="569"/>
        </w:tabs>
        <w:jc w:val="both"/>
        <w:rPr>
          <w:bCs/>
          <w:sz w:val="22"/>
          <w:szCs w:val="22"/>
          <w:lang w:val="sr-Latn-ME"/>
        </w:rPr>
      </w:pPr>
    </w:p>
    <w:p w14:paraId="36EF5EA3" w14:textId="4DDD8204" w:rsidR="00E310B2" w:rsidRPr="00F334AF" w:rsidRDefault="00E310B2" w:rsidP="0034729B">
      <w:pPr>
        <w:jc w:val="both"/>
        <w:rPr>
          <w:sz w:val="22"/>
          <w:szCs w:val="22"/>
          <w:lang w:val="sr-Latn-ME"/>
        </w:rPr>
      </w:pPr>
      <w:r w:rsidRPr="00F334AF">
        <w:rPr>
          <w:sz w:val="22"/>
          <w:szCs w:val="22"/>
          <w:lang w:val="sr-Latn-ME"/>
        </w:rPr>
        <w:t xml:space="preserve">Prevencija mučnine i povraćanja </w:t>
      </w:r>
      <w:r w:rsidR="00BB35C9" w:rsidRPr="00F334AF">
        <w:rPr>
          <w:sz w:val="22"/>
          <w:szCs w:val="22"/>
          <w:lang w:val="sr-Latn-ME"/>
        </w:rPr>
        <w:t xml:space="preserve">indukovanih izrazito i umjereno emetogenom hemoterapijom maligniteta, </w:t>
      </w:r>
      <w:r w:rsidRPr="00F334AF">
        <w:rPr>
          <w:sz w:val="22"/>
          <w:szCs w:val="22"/>
          <w:lang w:val="sr-Latn-ME"/>
        </w:rPr>
        <w:t>kod odraslih i adolescenata starijih od 12 godina</w:t>
      </w:r>
      <w:r w:rsidR="00BB35C9" w:rsidRPr="00F334AF">
        <w:rPr>
          <w:sz w:val="22"/>
          <w:szCs w:val="22"/>
          <w:lang w:val="sr-Latn-ME"/>
        </w:rPr>
        <w:t>.</w:t>
      </w:r>
      <w:r w:rsidRPr="00F334AF">
        <w:rPr>
          <w:sz w:val="22"/>
          <w:szCs w:val="22"/>
          <w:lang w:val="sr-Latn-ME"/>
        </w:rPr>
        <w:t xml:space="preserve"> </w:t>
      </w:r>
    </w:p>
    <w:p w14:paraId="180E596D" w14:textId="77777777" w:rsidR="00E310B2" w:rsidRPr="00F334AF" w:rsidRDefault="00E310B2" w:rsidP="0034729B">
      <w:pPr>
        <w:jc w:val="both"/>
        <w:rPr>
          <w:sz w:val="22"/>
          <w:szCs w:val="22"/>
          <w:lang w:val="sr-Latn-ME"/>
        </w:rPr>
      </w:pPr>
    </w:p>
    <w:p w14:paraId="798965A3" w14:textId="45D1B755" w:rsidR="00E310B2" w:rsidRPr="00F334AF" w:rsidRDefault="005C417C" w:rsidP="0034729B">
      <w:pPr>
        <w:jc w:val="both"/>
        <w:rPr>
          <w:sz w:val="22"/>
          <w:szCs w:val="22"/>
          <w:lang w:val="sr-Latn-ME"/>
        </w:rPr>
      </w:pPr>
      <w:r w:rsidRPr="00F334AF">
        <w:rPr>
          <w:bCs/>
          <w:sz w:val="22"/>
          <w:szCs w:val="22"/>
          <w:lang w:val="sr-Latn-ME"/>
        </w:rPr>
        <w:t xml:space="preserve">Lijek </w:t>
      </w:r>
      <w:r w:rsidR="00E310B2" w:rsidRPr="00F334AF">
        <w:rPr>
          <w:bCs/>
          <w:sz w:val="22"/>
          <w:szCs w:val="22"/>
          <w:lang w:val="sr-Latn-ME"/>
        </w:rPr>
        <w:t>EMEND</w:t>
      </w:r>
      <w:r w:rsidR="00E310B2" w:rsidRPr="00F334AF">
        <w:rPr>
          <w:sz w:val="22"/>
          <w:szCs w:val="22"/>
          <w:lang w:val="sr-Latn-ME"/>
        </w:rPr>
        <w:t xml:space="preserve"> </w:t>
      </w:r>
      <w:r w:rsidR="008C22A9" w:rsidRPr="00F334AF">
        <w:rPr>
          <w:sz w:val="22"/>
          <w:szCs w:val="22"/>
          <w:lang w:val="sr-Latn-ME"/>
        </w:rPr>
        <w:t xml:space="preserve">u jačinama od </w:t>
      </w:r>
      <w:r w:rsidR="00E310B2" w:rsidRPr="00F334AF">
        <w:rPr>
          <w:sz w:val="22"/>
          <w:szCs w:val="22"/>
          <w:lang w:val="sr-Latn-ME"/>
        </w:rPr>
        <w:t>125 mg</w:t>
      </w:r>
      <w:r w:rsidR="008C22A9" w:rsidRPr="00F334AF">
        <w:rPr>
          <w:sz w:val="22"/>
          <w:szCs w:val="22"/>
          <w:lang w:val="sr-Latn-ME"/>
        </w:rPr>
        <w:t xml:space="preserve"> i </w:t>
      </w:r>
      <w:r w:rsidR="00E310B2" w:rsidRPr="00F334AF">
        <w:rPr>
          <w:sz w:val="22"/>
          <w:szCs w:val="22"/>
          <w:lang w:val="sr-Latn-ME"/>
        </w:rPr>
        <w:t>80 mg se daje u sklopu kombinovane terapije (vidjeti dio 4.2).</w:t>
      </w:r>
    </w:p>
    <w:p w14:paraId="0F7E31C7" w14:textId="77777777" w:rsidR="00E310B2" w:rsidRPr="00F334AF" w:rsidRDefault="00E310B2" w:rsidP="0034729B">
      <w:pPr>
        <w:tabs>
          <w:tab w:val="left" w:pos="540"/>
          <w:tab w:val="left" w:pos="569"/>
        </w:tabs>
        <w:jc w:val="both"/>
        <w:rPr>
          <w:bCs/>
          <w:sz w:val="22"/>
          <w:szCs w:val="22"/>
          <w:lang w:val="sr-Latn-ME"/>
        </w:rPr>
      </w:pPr>
    </w:p>
    <w:p w14:paraId="661983F9" w14:textId="77777777" w:rsidR="00411B4B" w:rsidRPr="00F334AF" w:rsidRDefault="00411B4B" w:rsidP="0034729B">
      <w:pPr>
        <w:tabs>
          <w:tab w:val="left" w:pos="540"/>
          <w:tab w:val="left" w:pos="569"/>
        </w:tabs>
        <w:jc w:val="both"/>
        <w:rPr>
          <w:b/>
          <w:bCs/>
          <w:sz w:val="22"/>
          <w:szCs w:val="22"/>
          <w:lang w:val="sr-Latn-ME"/>
        </w:rPr>
      </w:pPr>
      <w:r w:rsidRPr="00F334AF">
        <w:rPr>
          <w:b/>
          <w:bCs/>
          <w:sz w:val="22"/>
          <w:szCs w:val="22"/>
          <w:lang w:val="sr-Latn-ME"/>
        </w:rPr>
        <w:t xml:space="preserve">4.2. </w:t>
      </w:r>
      <w:r w:rsidR="00480FB1" w:rsidRPr="00F334AF">
        <w:rPr>
          <w:b/>
          <w:bCs/>
          <w:sz w:val="22"/>
          <w:szCs w:val="22"/>
          <w:lang w:val="sr-Latn-ME"/>
        </w:rPr>
        <w:tab/>
      </w:r>
      <w:r w:rsidRPr="00F334AF">
        <w:rPr>
          <w:b/>
          <w:bCs/>
          <w:sz w:val="22"/>
          <w:szCs w:val="22"/>
          <w:lang w:val="sr-Latn-ME"/>
        </w:rPr>
        <w:t>Doziranje i način primjene</w:t>
      </w:r>
    </w:p>
    <w:p w14:paraId="7BE8C424" w14:textId="77777777" w:rsidR="0072020E" w:rsidRPr="00F334AF" w:rsidRDefault="0072020E" w:rsidP="0034729B">
      <w:pPr>
        <w:tabs>
          <w:tab w:val="left" w:pos="540"/>
          <w:tab w:val="left" w:pos="569"/>
        </w:tabs>
        <w:jc w:val="both"/>
        <w:rPr>
          <w:bCs/>
          <w:sz w:val="22"/>
          <w:szCs w:val="22"/>
          <w:lang w:val="sr-Latn-ME"/>
        </w:rPr>
      </w:pPr>
    </w:p>
    <w:p w14:paraId="2BB998D5" w14:textId="0249AECF" w:rsidR="00452E9D" w:rsidRDefault="00452E9D" w:rsidP="0034729B">
      <w:pPr>
        <w:tabs>
          <w:tab w:val="left" w:pos="540"/>
          <w:tab w:val="left" w:pos="569"/>
        </w:tabs>
        <w:jc w:val="both"/>
        <w:rPr>
          <w:bCs/>
          <w:sz w:val="22"/>
          <w:szCs w:val="22"/>
          <w:u w:val="single"/>
          <w:lang w:val="sr-Latn-ME"/>
        </w:rPr>
      </w:pPr>
      <w:r w:rsidRPr="00F334AF">
        <w:rPr>
          <w:bCs/>
          <w:sz w:val="22"/>
          <w:szCs w:val="22"/>
          <w:u w:val="single"/>
          <w:lang w:val="sr-Latn-ME"/>
        </w:rPr>
        <w:t>Doziranje</w:t>
      </w:r>
    </w:p>
    <w:p w14:paraId="5FC3DEDD" w14:textId="77777777" w:rsidR="009973DD" w:rsidRPr="00F334AF" w:rsidRDefault="009973DD" w:rsidP="0034729B">
      <w:pPr>
        <w:tabs>
          <w:tab w:val="left" w:pos="540"/>
          <w:tab w:val="left" w:pos="569"/>
        </w:tabs>
        <w:jc w:val="both"/>
        <w:rPr>
          <w:bCs/>
          <w:sz w:val="22"/>
          <w:szCs w:val="22"/>
          <w:u w:val="single"/>
          <w:lang w:val="sr-Latn-ME"/>
        </w:rPr>
      </w:pPr>
    </w:p>
    <w:p w14:paraId="186E68E1" w14:textId="77777777" w:rsidR="00E310B2" w:rsidRPr="00F334AF" w:rsidRDefault="00E310B2" w:rsidP="00BB35C9">
      <w:pPr>
        <w:jc w:val="both"/>
        <w:rPr>
          <w:sz w:val="22"/>
          <w:szCs w:val="22"/>
          <w:u w:val="single"/>
          <w:lang w:val="sr-Latn-ME"/>
        </w:rPr>
      </w:pPr>
      <w:r w:rsidRPr="00F334AF">
        <w:rPr>
          <w:i/>
          <w:sz w:val="22"/>
          <w:szCs w:val="22"/>
          <w:u w:val="single"/>
          <w:lang w:val="sr-Latn-ME"/>
        </w:rPr>
        <w:t>Odrasli</w:t>
      </w:r>
    </w:p>
    <w:p w14:paraId="5EBA39BB" w14:textId="34287F1A" w:rsidR="00E310B2" w:rsidRPr="00F334AF" w:rsidRDefault="00DD057B" w:rsidP="0034729B">
      <w:pPr>
        <w:jc w:val="both"/>
        <w:rPr>
          <w:sz w:val="22"/>
          <w:szCs w:val="22"/>
          <w:lang w:val="sr-Latn-ME"/>
        </w:rPr>
      </w:pPr>
      <w:r w:rsidRPr="00F334AF">
        <w:rPr>
          <w:bCs/>
          <w:sz w:val="22"/>
          <w:szCs w:val="22"/>
          <w:lang w:val="sr-Latn-ME"/>
        </w:rPr>
        <w:t xml:space="preserve">Lijek </w:t>
      </w:r>
      <w:r w:rsidR="00E310B2" w:rsidRPr="00F334AF">
        <w:rPr>
          <w:bCs/>
          <w:sz w:val="22"/>
          <w:szCs w:val="22"/>
          <w:lang w:val="sr-Latn-ME"/>
        </w:rPr>
        <w:t xml:space="preserve">EMEND </w:t>
      </w:r>
      <w:r w:rsidR="00E310B2" w:rsidRPr="00F334AF">
        <w:rPr>
          <w:sz w:val="22"/>
          <w:szCs w:val="22"/>
          <w:lang w:val="sr-Latn-ME"/>
        </w:rPr>
        <w:t>se daje tri dana u sklopu terapijskog režima koji obuhvata kortikosteroid i 5-HT</w:t>
      </w:r>
      <w:r w:rsidR="00E310B2" w:rsidRPr="00F334AF">
        <w:rPr>
          <w:sz w:val="22"/>
          <w:szCs w:val="22"/>
          <w:vertAlign w:val="subscript"/>
          <w:lang w:val="sr-Latn-ME"/>
        </w:rPr>
        <w:t xml:space="preserve">3 </w:t>
      </w:r>
      <w:r w:rsidR="00E310B2" w:rsidRPr="00F334AF">
        <w:rPr>
          <w:sz w:val="22"/>
          <w:szCs w:val="22"/>
          <w:lang w:val="sr-Latn-ME"/>
        </w:rPr>
        <w:t xml:space="preserve">antagonist. Preporučena oralna doza je jedna </w:t>
      </w:r>
      <w:r w:rsidR="00E310B2" w:rsidRPr="00F334AF">
        <w:rPr>
          <w:bCs/>
          <w:sz w:val="22"/>
          <w:szCs w:val="22"/>
          <w:lang w:val="sr-Latn-ME"/>
        </w:rPr>
        <w:t>EMEND</w:t>
      </w:r>
      <w:r w:rsidR="00E310B2" w:rsidRPr="00F334AF">
        <w:rPr>
          <w:sz w:val="22"/>
          <w:szCs w:val="22"/>
          <w:lang w:val="sr-Latn-ME"/>
        </w:rPr>
        <w:t xml:space="preserve"> kapsula od 125 mg,</w:t>
      </w:r>
      <w:r w:rsidR="00BB35C9" w:rsidRPr="00F334AF">
        <w:rPr>
          <w:sz w:val="22"/>
          <w:szCs w:val="22"/>
          <w:lang w:val="sr-Latn-ME"/>
        </w:rPr>
        <w:t xml:space="preserve"> </w:t>
      </w:r>
      <w:r w:rsidR="00C20A6B" w:rsidRPr="00F334AF">
        <w:rPr>
          <w:sz w:val="22"/>
          <w:szCs w:val="22"/>
          <w:lang w:val="sr-Latn-ME"/>
        </w:rPr>
        <w:t xml:space="preserve">jedanput dnevno, </w:t>
      </w:r>
      <w:r w:rsidR="00BB35C9" w:rsidRPr="00F334AF">
        <w:rPr>
          <w:sz w:val="22"/>
          <w:szCs w:val="22"/>
          <w:lang w:val="sr-Latn-ME"/>
        </w:rPr>
        <w:t>jedan sat prije početka hemoterapije</w:t>
      </w:r>
      <w:r w:rsidR="00E310B2" w:rsidRPr="00F334AF">
        <w:rPr>
          <w:sz w:val="22"/>
          <w:szCs w:val="22"/>
          <w:lang w:val="sr-Latn-ME"/>
        </w:rPr>
        <w:t xml:space="preserve"> prvog dana terapije, a zatim po jedna </w:t>
      </w:r>
      <w:r w:rsidR="00E310B2" w:rsidRPr="00F334AF">
        <w:rPr>
          <w:bCs/>
          <w:sz w:val="22"/>
          <w:szCs w:val="22"/>
          <w:lang w:val="sr-Latn-ME"/>
        </w:rPr>
        <w:t>EMEND</w:t>
      </w:r>
      <w:r w:rsidR="00E310B2" w:rsidRPr="00F334AF">
        <w:rPr>
          <w:b/>
          <w:bCs/>
          <w:iCs/>
          <w:sz w:val="22"/>
          <w:szCs w:val="22"/>
          <w:vertAlign w:val="superscript"/>
          <w:lang w:val="sr-Latn-ME"/>
        </w:rPr>
        <w:t xml:space="preserve"> </w:t>
      </w:r>
      <w:r w:rsidR="00E310B2" w:rsidRPr="00F334AF">
        <w:rPr>
          <w:sz w:val="22"/>
          <w:szCs w:val="22"/>
          <w:lang w:val="sr-Latn-ME"/>
        </w:rPr>
        <w:t>kapsula od 80 mg, drugog i trećeg dana terapije, ujutru.</w:t>
      </w:r>
    </w:p>
    <w:p w14:paraId="2945AB67" w14:textId="77777777" w:rsidR="00E310B2" w:rsidRPr="00F334AF" w:rsidRDefault="00E310B2" w:rsidP="0034729B">
      <w:pPr>
        <w:jc w:val="both"/>
        <w:rPr>
          <w:sz w:val="22"/>
          <w:szCs w:val="22"/>
          <w:lang w:val="sr-Latn-ME"/>
        </w:rPr>
      </w:pPr>
    </w:p>
    <w:p w14:paraId="1F59A950" w14:textId="6139E209" w:rsidR="0034299F" w:rsidRPr="00F334AF" w:rsidRDefault="00E310B2" w:rsidP="0034729B">
      <w:pPr>
        <w:jc w:val="both"/>
        <w:rPr>
          <w:sz w:val="22"/>
          <w:szCs w:val="22"/>
          <w:lang w:val="sr-Latn-ME"/>
        </w:rPr>
      </w:pPr>
      <w:r w:rsidRPr="00F334AF">
        <w:rPr>
          <w:sz w:val="22"/>
          <w:szCs w:val="22"/>
          <w:lang w:val="sr-Latn-ME"/>
        </w:rPr>
        <w:t>Sljedeći terapijski režimi su preporučeni kod odraslih  radi sprečavanja mučnine i povraćanja indukovanih emetogenom hemioterapijom maligniteta</w:t>
      </w:r>
      <w:r w:rsidR="00BB35C9" w:rsidRPr="00F334AF">
        <w:rPr>
          <w:sz w:val="22"/>
          <w:szCs w:val="22"/>
          <w:lang w:val="sr-Latn-ME"/>
        </w:rPr>
        <w:t>.</w:t>
      </w:r>
    </w:p>
    <w:p w14:paraId="67856FF1" w14:textId="1948F7DD" w:rsidR="00E310B2" w:rsidRPr="00F334AF" w:rsidRDefault="005C417C" w:rsidP="0034729B">
      <w:pPr>
        <w:jc w:val="both"/>
        <w:rPr>
          <w:i/>
          <w:iCs/>
          <w:sz w:val="22"/>
          <w:szCs w:val="22"/>
          <w:lang w:val="sr-Latn-ME"/>
        </w:rPr>
      </w:pPr>
      <w:r w:rsidRPr="00F334AF">
        <w:rPr>
          <w:i/>
          <w:iCs/>
          <w:sz w:val="22"/>
          <w:szCs w:val="22"/>
          <w:lang w:val="sr-Latn-ME"/>
        </w:rPr>
        <w:lastRenderedPageBreak/>
        <w:t>Režim pri visoko emetogenoj hemioterapiji</w:t>
      </w:r>
    </w:p>
    <w:p w14:paraId="05246E6F" w14:textId="77777777" w:rsidR="00E310B2" w:rsidRPr="00F334AF" w:rsidRDefault="00E310B2" w:rsidP="00BB35C9">
      <w:pPr>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760"/>
        <w:gridCol w:w="1761"/>
        <w:gridCol w:w="1758"/>
        <w:gridCol w:w="1760"/>
      </w:tblGrid>
      <w:tr w:rsidR="00E310B2" w:rsidRPr="00F334AF" w14:paraId="40C0964E" w14:textId="77777777" w:rsidTr="00E310B2">
        <w:tc>
          <w:tcPr>
            <w:tcW w:w="1817" w:type="dxa"/>
            <w:shd w:val="clear" w:color="auto" w:fill="auto"/>
          </w:tcPr>
          <w:p w14:paraId="61AD51CB" w14:textId="77777777" w:rsidR="00E310B2" w:rsidRPr="00F334AF" w:rsidRDefault="00E310B2" w:rsidP="0034729B">
            <w:pPr>
              <w:jc w:val="both"/>
              <w:rPr>
                <w:sz w:val="22"/>
                <w:szCs w:val="22"/>
                <w:lang w:val="sr-Latn-ME"/>
              </w:rPr>
            </w:pPr>
          </w:p>
        </w:tc>
        <w:tc>
          <w:tcPr>
            <w:tcW w:w="1760" w:type="dxa"/>
            <w:shd w:val="clear" w:color="auto" w:fill="auto"/>
          </w:tcPr>
          <w:p w14:paraId="5127BECC" w14:textId="77777777" w:rsidR="00E310B2" w:rsidRPr="00F334AF" w:rsidRDefault="00E310B2" w:rsidP="0034729B">
            <w:pPr>
              <w:jc w:val="both"/>
              <w:rPr>
                <w:sz w:val="22"/>
                <w:szCs w:val="22"/>
                <w:lang w:val="sr-Latn-ME"/>
              </w:rPr>
            </w:pPr>
            <w:r w:rsidRPr="00F334AF">
              <w:rPr>
                <w:sz w:val="22"/>
                <w:szCs w:val="22"/>
                <w:lang w:val="sr-Latn-ME"/>
              </w:rPr>
              <w:t xml:space="preserve">Prvi dan liječenja </w:t>
            </w:r>
          </w:p>
        </w:tc>
        <w:tc>
          <w:tcPr>
            <w:tcW w:w="1761" w:type="dxa"/>
            <w:shd w:val="clear" w:color="auto" w:fill="auto"/>
          </w:tcPr>
          <w:p w14:paraId="7CCF8115" w14:textId="77777777" w:rsidR="00E310B2" w:rsidRPr="00F334AF" w:rsidRDefault="00E310B2" w:rsidP="0034729B">
            <w:pPr>
              <w:jc w:val="both"/>
              <w:rPr>
                <w:sz w:val="22"/>
                <w:szCs w:val="22"/>
                <w:lang w:val="sr-Latn-ME"/>
              </w:rPr>
            </w:pPr>
            <w:r w:rsidRPr="00F334AF">
              <w:rPr>
                <w:sz w:val="22"/>
                <w:szCs w:val="22"/>
                <w:lang w:val="sr-Latn-ME"/>
              </w:rPr>
              <w:t>Drugi dan liječenja</w:t>
            </w:r>
          </w:p>
        </w:tc>
        <w:tc>
          <w:tcPr>
            <w:tcW w:w="1758" w:type="dxa"/>
            <w:shd w:val="clear" w:color="auto" w:fill="auto"/>
          </w:tcPr>
          <w:p w14:paraId="3F97EED3" w14:textId="77777777" w:rsidR="00E310B2" w:rsidRPr="00F334AF" w:rsidRDefault="00E310B2" w:rsidP="0034729B">
            <w:pPr>
              <w:jc w:val="both"/>
              <w:rPr>
                <w:sz w:val="22"/>
                <w:szCs w:val="22"/>
                <w:lang w:val="sr-Latn-ME"/>
              </w:rPr>
            </w:pPr>
            <w:r w:rsidRPr="00F334AF">
              <w:rPr>
                <w:sz w:val="22"/>
                <w:szCs w:val="22"/>
                <w:lang w:val="sr-Latn-ME"/>
              </w:rPr>
              <w:t>Treći dan liječenja</w:t>
            </w:r>
          </w:p>
        </w:tc>
        <w:tc>
          <w:tcPr>
            <w:tcW w:w="1760" w:type="dxa"/>
            <w:shd w:val="clear" w:color="auto" w:fill="auto"/>
          </w:tcPr>
          <w:p w14:paraId="42B1F995" w14:textId="77777777" w:rsidR="00E310B2" w:rsidRPr="00F334AF" w:rsidRDefault="00E310B2" w:rsidP="0034729B">
            <w:pPr>
              <w:jc w:val="both"/>
              <w:rPr>
                <w:sz w:val="22"/>
                <w:szCs w:val="22"/>
                <w:lang w:val="sr-Latn-ME"/>
              </w:rPr>
            </w:pPr>
            <w:r w:rsidRPr="00F334AF">
              <w:rPr>
                <w:sz w:val="22"/>
                <w:szCs w:val="22"/>
                <w:lang w:val="sr-Latn-ME"/>
              </w:rPr>
              <w:t>Četvrti dan liječenja</w:t>
            </w:r>
          </w:p>
        </w:tc>
      </w:tr>
      <w:tr w:rsidR="00E310B2" w:rsidRPr="00F334AF" w14:paraId="0D31985D" w14:textId="77777777" w:rsidTr="00E310B2">
        <w:tc>
          <w:tcPr>
            <w:tcW w:w="1817" w:type="dxa"/>
            <w:shd w:val="clear" w:color="auto" w:fill="auto"/>
          </w:tcPr>
          <w:p w14:paraId="37530B9F" w14:textId="69EF5075" w:rsidR="00E310B2" w:rsidRPr="00F334AF" w:rsidRDefault="00C20A6B" w:rsidP="00BB35C9">
            <w:pPr>
              <w:jc w:val="both"/>
              <w:rPr>
                <w:bCs/>
                <w:sz w:val="22"/>
                <w:szCs w:val="22"/>
                <w:lang w:val="sr-Latn-ME"/>
              </w:rPr>
            </w:pPr>
            <w:r w:rsidRPr="00F334AF">
              <w:rPr>
                <w:bCs/>
                <w:sz w:val="22"/>
                <w:szCs w:val="22"/>
                <w:lang w:val="sr-Latn-ME"/>
              </w:rPr>
              <w:t xml:space="preserve">Lijek </w:t>
            </w:r>
            <w:r w:rsidR="00E310B2" w:rsidRPr="00F334AF">
              <w:rPr>
                <w:bCs/>
                <w:sz w:val="22"/>
                <w:szCs w:val="22"/>
                <w:lang w:val="sr-Latn-ME"/>
              </w:rPr>
              <w:t>EMEND</w:t>
            </w:r>
          </w:p>
        </w:tc>
        <w:tc>
          <w:tcPr>
            <w:tcW w:w="1760" w:type="dxa"/>
            <w:shd w:val="clear" w:color="auto" w:fill="auto"/>
          </w:tcPr>
          <w:p w14:paraId="07F1B213" w14:textId="77777777" w:rsidR="00E310B2" w:rsidRPr="00F334AF" w:rsidRDefault="00E310B2" w:rsidP="0034729B">
            <w:pPr>
              <w:jc w:val="both"/>
              <w:rPr>
                <w:sz w:val="22"/>
                <w:szCs w:val="22"/>
                <w:lang w:val="sr-Latn-ME"/>
              </w:rPr>
            </w:pPr>
            <w:r w:rsidRPr="00F334AF">
              <w:rPr>
                <w:sz w:val="22"/>
                <w:szCs w:val="22"/>
                <w:lang w:val="sr-Latn-ME"/>
              </w:rPr>
              <w:t>125 mg oralno</w:t>
            </w:r>
          </w:p>
        </w:tc>
        <w:tc>
          <w:tcPr>
            <w:tcW w:w="1761" w:type="dxa"/>
            <w:shd w:val="clear" w:color="auto" w:fill="auto"/>
          </w:tcPr>
          <w:p w14:paraId="5E49382D" w14:textId="77777777" w:rsidR="00E310B2" w:rsidRPr="00F334AF" w:rsidRDefault="00E310B2" w:rsidP="0034729B">
            <w:pPr>
              <w:jc w:val="both"/>
              <w:rPr>
                <w:sz w:val="22"/>
                <w:szCs w:val="22"/>
                <w:lang w:val="sr-Latn-ME"/>
              </w:rPr>
            </w:pPr>
            <w:r w:rsidRPr="00F334AF">
              <w:rPr>
                <w:sz w:val="22"/>
                <w:szCs w:val="22"/>
                <w:lang w:val="sr-Latn-ME"/>
              </w:rPr>
              <w:t>80 mg oralno</w:t>
            </w:r>
          </w:p>
        </w:tc>
        <w:tc>
          <w:tcPr>
            <w:tcW w:w="1758" w:type="dxa"/>
            <w:shd w:val="clear" w:color="auto" w:fill="auto"/>
          </w:tcPr>
          <w:p w14:paraId="39FCF5CF" w14:textId="77777777" w:rsidR="00E310B2" w:rsidRPr="00F334AF" w:rsidRDefault="00E310B2" w:rsidP="0034729B">
            <w:pPr>
              <w:jc w:val="both"/>
              <w:rPr>
                <w:sz w:val="22"/>
                <w:szCs w:val="22"/>
                <w:lang w:val="sr-Latn-ME"/>
              </w:rPr>
            </w:pPr>
            <w:r w:rsidRPr="00F334AF">
              <w:rPr>
                <w:sz w:val="22"/>
                <w:szCs w:val="22"/>
                <w:lang w:val="sr-Latn-ME"/>
              </w:rPr>
              <w:t>80 mg oralno</w:t>
            </w:r>
          </w:p>
        </w:tc>
        <w:tc>
          <w:tcPr>
            <w:tcW w:w="1760" w:type="dxa"/>
            <w:shd w:val="clear" w:color="auto" w:fill="auto"/>
          </w:tcPr>
          <w:p w14:paraId="386EC969" w14:textId="77777777" w:rsidR="00E310B2" w:rsidRPr="00F334AF" w:rsidRDefault="00E310B2" w:rsidP="0034729B">
            <w:pPr>
              <w:jc w:val="both"/>
              <w:rPr>
                <w:sz w:val="22"/>
                <w:szCs w:val="22"/>
                <w:lang w:val="sr-Latn-ME"/>
              </w:rPr>
            </w:pPr>
            <w:r w:rsidRPr="00F334AF">
              <w:rPr>
                <w:sz w:val="22"/>
                <w:szCs w:val="22"/>
                <w:lang w:val="sr-Latn-ME"/>
              </w:rPr>
              <w:t>Ništa</w:t>
            </w:r>
          </w:p>
        </w:tc>
      </w:tr>
      <w:tr w:rsidR="00E310B2" w:rsidRPr="00F334AF" w14:paraId="44ADA586" w14:textId="77777777" w:rsidTr="00E310B2">
        <w:tc>
          <w:tcPr>
            <w:tcW w:w="1817" w:type="dxa"/>
            <w:shd w:val="clear" w:color="auto" w:fill="auto"/>
          </w:tcPr>
          <w:p w14:paraId="42AEEBBF" w14:textId="77777777" w:rsidR="00E310B2" w:rsidRPr="00F334AF" w:rsidRDefault="00E310B2" w:rsidP="00BB35C9">
            <w:pPr>
              <w:jc w:val="both"/>
              <w:rPr>
                <w:sz w:val="22"/>
                <w:szCs w:val="22"/>
                <w:lang w:val="sr-Latn-ME"/>
              </w:rPr>
            </w:pPr>
            <w:r w:rsidRPr="00F334AF">
              <w:rPr>
                <w:sz w:val="22"/>
                <w:szCs w:val="22"/>
                <w:lang w:val="sr-Latn-ME"/>
              </w:rPr>
              <w:t>Deksametazon</w:t>
            </w:r>
          </w:p>
        </w:tc>
        <w:tc>
          <w:tcPr>
            <w:tcW w:w="1760" w:type="dxa"/>
            <w:shd w:val="clear" w:color="auto" w:fill="auto"/>
          </w:tcPr>
          <w:p w14:paraId="4B96CE8F" w14:textId="77777777" w:rsidR="00E310B2" w:rsidRPr="00F334AF" w:rsidRDefault="00E310B2" w:rsidP="0034729B">
            <w:pPr>
              <w:jc w:val="both"/>
              <w:rPr>
                <w:sz w:val="22"/>
                <w:szCs w:val="22"/>
                <w:lang w:val="sr-Latn-ME"/>
              </w:rPr>
            </w:pPr>
            <w:r w:rsidRPr="00F334AF">
              <w:rPr>
                <w:sz w:val="22"/>
                <w:szCs w:val="22"/>
                <w:lang w:val="sr-Latn-ME"/>
              </w:rPr>
              <w:t>12 mg oralno</w:t>
            </w:r>
          </w:p>
        </w:tc>
        <w:tc>
          <w:tcPr>
            <w:tcW w:w="1761" w:type="dxa"/>
            <w:shd w:val="clear" w:color="auto" w:fill="auto"/>
          </w:tcPr>
          <w:p w14:paraId="737F2B6C" w14:textId="77777777" w:rsidR="00E310B2" w:rsidRPr="00F334AF" w:rsidRDefault="00E310B2" w:rsidP="0034729B">
            <w:pPr>
              <w:jc w:val="both"/>
              <w:rPr>
                <w:sz w:val="22"/>
                <w:szCs w:val="22"/>
                <w:lang w:val="sr-Latn-ME"/>
              </w:rPr>
            </w:pPr>
            <w:r w:rsidRPr="00F334AF">
              <w:rPr>
                <w:sz w:val="22"/>
                <w:szCs w:val="22"/>
                <w:lang w:val="sr-Latn-ME"/>
              </w:rPr>
              <w:t>8 mg oralno</w:t>
            </w:r>
          </w:p>
        </w:tc>
        <w:tc>
          <w:tcPr>
            <w:tcW w:w="1758" w:type="dxa"/>
            <w:shd w:val="clear" w:color="auto" w:fill="auto"/>
          </w:tcPr>
          <w:p w14:paraId="70B1C884" w14:textId="77777777" w:rsidR="00E310B2" w:rsidRPr="00F334AF" w:rsidRDefault="00E310B2" w:rsidP="0034729B">
            <w:pPr>
              <w:jc w:val="both"/>
              <w:rPr>
                <w:sz w:val="22"/>
                <w:szCs w:val="22"/>
                <w:lang w:val="sr-Latn-ME"/>
              </w:rPr>
            </w:pPr>
            <w:r w:rsidRPr="00F334AF">
              <w:rPr>
                <w:sz w:val="22"/>
                <w:szCs w:val="22"/>
                <w:lang w:val="sr-Latn-ME"/>
              </w:rPr>
              <w:t>8 mg oralno</w:t>
            </w:r>
          </w:p>
        </w:tc>
        <w:tc>
          <w:tcPr>
            <w:tcW w:w="1760" w:type="dxa"/>
            <w:shd w:val="clear" w:color="auto" w:fill="auto"/>
          </w:tcPr>
          <w:p w14:paraId="6F665A93" w14:textId="77777777" w:rsidR="00E310B2" w:rsidRPr="00F334AF" w:rsidRDefault="00E310B2" w:rsidP="0034729B">
            <w:pPr>
              <w:jc w:val="both"/>
              <w:rPr>
                <w:sz w:val="22"/>
                <w:szCs w:val="22"/>
                <w:lang w:val="sr-Latn-ME"/>
              </w:rPr>
            </w:pPr>
            <w:r w:rsidRPr="00F334AF">
              <w:rPr>
                <w:sz w:val="22"/>
                <w:szCs w:val="22"/>
                <w:lang w:val="sr-Latn-ME"/>
              </w:rPr>
              <w:t>8 mg oralno</w:t>
            </w:r>
          </w:p>
        </w:tc>
      </w:tr>
      <w:tr w:rsidR="00E310B2" w:rsidRPr="00F334AF" w14:paraId="67CC31E4" w14:textId="77777777" w:rsidTr="00E310B2">
        <w:tc>
          <w:tcPr>
            <w:tcW w:w="1817" w:type="dxa"/>
            <w:shd w:val="clear" w:color="auto" w:fill="auto"/>
          </w:tcPr>
          <w:p w14:paraId="54B3E3B7" w14:textId="77777777" w:rsidR="00E310B2" w:rsidRPr="00F334AF" w:rsidRDefault="00E310B2" w:rsidP="00BB35C9">
            <w:pPr>
              <w:jc w:val="both"/>
              <w:rPr>
                <w:sz w:val="22"/>
                <w:szCs w:val="22"/>
                <w:lang w:val="sr-Latn-ME"/>
              </w:rPr>
            </w:pPr>
            <w:r w:rsidRPr="00F334AF">
              <w:rPr>
                <w:sz w:val="22"/>
                <w:szCs w:val="22"/>
                <w:lang w:val="sr-Latn-ME"/>
              </w:rPr>
              <w:t>5HT</w:t>
            </w:r>
            <w:r w:rsidRPr="00F334AF">
              <w:rPr>
                <w:sz w:val="22"/>
                <w:szCs w:val="22"/>
                <w:vertAlign w:val="subscript"/>
                <w:lang w:val="sr-Latn-ME"/>
              </w:rPr>
              <w:t>3</w:t>
            </w:r>
            <w:r w:rsidRPr="00F334AF">
              <w:rPr>
                <w:sz w:val="22"/>
                <w:szCs w:val="22"/>
                <w:lang w:val="sr-Latn-ME"/>
              </w:rPr>
              <w:t xml:space="preserve"> antagonisti</w:t>
            </w:r>
          </w:p>
        </w:tc>
        <w:tc>
          <w:tcPr>
            <w:tcW w:w="1760" w:type="dxa"/>
            <w:shd w:val="clear" w:color="auto" w:fill="auto"/>
          </w:tcPr>
          <w:p w14:paraId="1433BBC0" w14:textId="3CB5EA39" w:rsidR="00E310B2" w:rsidRPr="00F334AF" w:rsidRDefault="00E310B2" w:rsidP="0034729B">
            <w:pPr>
              <w:jc w:val="both"/>
              <w:rPr>
                <w:sz w:val="22"/>
                <w:szCs w:val="22"/>
                <w:lang w:val="sr-Latn-ME"/>
              </w:rPr>
            </w:pPr>
            <w:r w:rsidRPr="00F334AF">
              <w:rPr>
                <w:sz w:val="22"/>
                <w:szCs w:val="22"/>
                <w:lang w:val="sr-Latn-ME"/>
              </w:rPr>
              <w:t>Standardna doza 5-HT</w:t>
            </w:r>
            <w:r w:rsidRPr="00F334AF">
              <w:rPr>
                <w:sz w:val="22"/>
                <w:szCs w:val="22"/>
                <w:vertAlign w:val="subscript"/>
                <w:lang w:val="sr-Latn-ME"/>
              </w:rPr>
              <w:t>3</w:t>
            </w:r>
            <w:r w:rsidRPr="00F334AF">
              <w:rPr>
                <w:sz w:val="22"/>
                <w:szCs w:val="22"/>
                <w:lang w:val="sr-Latn-ME"/>
              </w:rPr>
              <w:t xml:space="preserve"> antagonitsta. Za i</w:t>
            </w:r>
            <w:r w:rsidR="00244A39" w:rsidRPr="00F334AF">
              <w:rPr>
                <w:sz w:val="22"/>
                <w:szCs w:val="22"/>
                <w:lang w:val="sr-Latn-ME"/>
              </w:rPr>
              <w:t>nf</w:t>
            </w:r>
            <w:r w:rsidRPr="00F334AF">
              <w:rPr>
                <w:sz w:val="22"/>
                <w:szCs w:val="22"/>
                <w:lang w:val="sr-Latn-ME"/>
              </w:rPr>
              <w:t>ormacije</w:t>
            </w:r>
            <w:r w:rsidR="00BB35C9" w:rsidRPr="00F334AF">
              <w:rPr>
                <w:sz w:val="22"/>
                <w:szCs w:val="22"/>
                <w:lang w:val="sr-Latn-ME"/>
              </w:rPr>
              <w:t xml:space="preserve"> </w:t>
            </w:r>
            <w:r w:rsidRPr="00F334AF">
              <w:rPr>
                <w:sz w:val="22"/>
                <w:szCs w:val="22"/>
                <w:lang w:val="sr-Latn-ME"/>
              </w:rPr>
              <w:t>o doziranju vidjeti sažetak karakteristika lijeka određenog 5-HT</w:t>
            </w:r>
            <w:r w:rsidRPr="00F334AF">
              <w:rPr>
                <w:sz w:val="22"/>
                <w:szCs w:val="22"/>
                <w:vertAlign w:val="subscript"/>
                <w:lang w:val="sr-Latn-ME"/>
              </w:rPr>
              <w:t>3</w:t>
            </w:r>
            <w:r w:rsidRPr="00F334AF">
              <w:rPr>
                <w:sz w:val="22"/>
                <w:szCs w:val="22"/>
                <w:lang w:val="sr-Latn-ME"/>
              </w:rPr>
              <w:t xml:space="preserve"> antagoniste.</w:t>
            </w:r>
          </w:p>
        </w:tc>
        <w:tc>
          <w:tcPr>
            <w:tcW w:w="1761" w:type="dxa"/>
            <w:shd w:val="clear" w:color="auto" w:fill="auto"/>
          </w:tcPr>
          <w:p w14:paraId="1FB6672E" w14:textId="77777777" w:rsidR="00E310B2" w:rsidRPr="00F334AF" w:rsidRDefault="00E310B2" w:rsidP="0034729B">
            <w:pPr>
              <w:jc w:val="both"/>
              <w:rPr>
                <w:sz w:val="22"/>
                <w:szCs w:val="22"/>
                <w:lang w:val="sr-Latn-ME"/>
              </w:rPr>
            </w:pPr>
            <w:r w:rsidRPr="00F334AF">
              <w:rPr>
                <w:sz w:val="22"/>
                <w:szCs w:val="22"/>
                <w:lang w:val="sr-Latn-ME"/>
              </w:rPr>
              <w:t>Ništa</w:t>
            </w:r>
          </w:p>
        </w:tc>
        <w:tc>
          <w:tcPr>
            <w:tcW w:w="1758" w:type="dxa"/>
            <w:shd w:val="clear" w:color="auto" w:fill="auto"/>
          </w:tcPr>
          <w:p w14:paraId="33A10C8E" w14:textId="77777777" w:rsidR="00E310B2" w:rsidRPr="00F334AF" w:rsidRDefault="00E310B2" w:rsidP="0034729B">
            <w:pPr>
              <w:jc w:val="both"/>
              <w:rPr>
                <w:sz w:val="22"/>
                <w:szCs w:val="22"/>
                <w:lang w:val="sr-Latn-ME"/>
              </w:rPr>
            </w:pPr>
            <w:r w:rsidRPr="00F334AF">
              <w:rPr>
                <w:sz w:val="22"/>
                <w:szCs w:val="22"/>
                <w:lang w:val="sr-Latn-ME"/>
              </w:rPr>
              <w:t>Ništa</w:t>
            </w:r>
          </w:p>
        </w:tc>
        <w:tc>
          <w:tcPr>
            <w:tcW w:w="1760" w:type="dxa"/>
            <w:shd w:val="clear" w:color="auto" w:fill="auto"/>
          </w:tcPr>
          <w:p w14:paraId="446B69F2" w14:textId="77777777" w:rsidR="00E310B2" w:rsidRPr="00F334AF" w:rsidRDefault="00E310B2" w:rsidP="0034729B">
            <w:pPr>
              <w:jc w:val="both"/>
              <w:rPr>
                <w:sz w:val="22"/>
                <w:szCs w:val="22"/>
                <w:lang w:val="sr-Latn-ME"/>
              </w:rPr>
            </w:pPr>
            <w:r w:rsidRPr="00F334AF">
              <w:rPr>
                <w:sz w:val="22"/>
                <w:szCs w:val="22"/>
                <w:lang w:val="sr-Latn-ME"/>
              </w:rPr>
              <w:t>Ništa</w:t>
            </w:r>
          </w:p>
        </w:tc>
      </w:tr>
    </w:tbl>
    <w:p w14:paraId="0A352B3E" w14:textId="49726639" w:rsidR="00E310B2" w:rsidRPr="00F334AF" w:rsidRDefault="00E310B2" w:rsidP="0034729B">
      <w:pPr>
        <w:jc w:val="both"/>
        <w:rPr>
          <w:sz w:val="22"/>
          <w:szCs w:val="22"/>
          <w:lang w:val="sr-Latn-ME"/>
        </w:rPr>
      </w:pPr>
      <w:r w:rsidRPr="00F334AF">
        <w:rPr>
          <w:b/>
          <w:bCs/>
          <w:sz w:val="22"/>
          <w:szCs w:val="22"/>
          <w:lang w:val="sr-Latn-ME"/>
        </w:rPr>
        <w:t>Deksametazon</w:t>
      </w:r>
      <w:r w:rsidRPr="00F334AF">
        <w:rPr>
          <w:sz w:val="22"/>
          <w:szCs w:val="22"/>
          <w:lang w:val="sr-Latn-ME"/>
        </w:rPr>
        <w:t xml:space="preserve"> se daje 30 minuta prije započinjanja hemoterapije prvog dana terapije, a zatim ujutru od drugog do četvrtog dana terapije. Doza deksametazona određena je na osnovu </w:t>
      </w:r>
      <w:r w:rsidR="00557C3D" w:rsidRPr="00F334AF">
        <w:rPr>
          <w:sz w:val="22"/>
          <w:szCs w:val="22"/>
          <w:lang w:val="sr-Latn-ME"/>
        </w:rPr>
        <w:t xml:space="preserve">njegovih </w:t>
      </w:r>
      <w:r w:rsidRPr="00F334AF">
        <w:rPr>
          <w:sz w:val="22"/>
          <w:szCs w:val="22"/>
          <w:lang w:val="sr-Latn-ME"/>
        </w:rPr>
        <w:t>interakcija sa drugim ljekovima.</w:t>
      </w:r>
    </w:p>
    <w:p w14:paraId="120A7A58" w14:textId="77777777" w:rsidR="00E310B2" w:rsidRPr="00F334AF" w:rsidRDefault="00E310B2" w:rsidP="0034729B">
      <w:pPr>
        <w:jc w:val="both"/>
        <w:rPr>
          <w:sz w:val="22"/>
          <w:szCs w:val="22"/>
          <w:lang w:val="sr-Latn-ME"/>
        </w:rPr>
      </w:pPr>
    </w:p>
    <w:p w14:paraId="37043A8A" w14:textId="39B90AEA" w:rsidR="00E310B2" w:rsidRPr="00F334AF" w:rsidRDefault="005C417C" w:rsidP="0034729B">
      <w:pPr>
        <w:jc w:val="both"/>
        <w:rPr>
          <w:i/>
          <w:iCs/>
          <w:sz w:val="22"/>
          <w:szCs w:val="22"/>
          <w:lang w:val="sr-Latn-ME"/>
        </w:rPr>
      </w:pPr>
      <w:r w:rsidRPr="00F334AF">
        <w:rPr>
          <w:i/>
          <w:iCs/>
          <w:sz w:val="22"/>
          <w:szCs w:val="22"/>
          <w:lang w:val="sr-Latn-ME"/>
        </w:rPr>
        <w:t>Režim pri umjereno emetogenoj hemioterapiji</w:t>
      </w:r>
    </w:p>
    <w:p w14:paraId="38469F4B" w14:textId="77777777" w:rsidR="00E310B2" w:rsidRPr="00F334AF" w:rsidRDefault="00E310B2" w:rsidP="0034729B">
      <w:pPr>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760"/>
        <w:gridCol w:w="1761"/>
        <w:gridCol w:w="1758"/>
      </w:tblGrid>
      <w:tr w:rsidR="00E310B2" w:rsidRPr="00F334AF" w14:paraId="4468CAC1" w14:textId="77777777" w:rsidTr="00E310B2">
        <w:tc>
          <w:tcPr>
            <w:tcW w:w="1817" w:type="dxa"/>
            <w:shd w:val="clear" w:color="auto" w:fill="auto"/>
          </w:tcPr>
          <w:p w14:paraId="0859CDF3" w14:textId="77777777" w:rsidR="00E310B2" w:rsidRPr="00F334AF" w:rsidRDefault="00E310B2" w:rsidP="00BB35C9">
            <w:pPr>
              <w:jc w:val="both"/>
              <w:rPr>
                <w:sz w:val="22"/>
                <w:szCs w:val="22"/>
                <w:lang w:val="sr-Latn-ME"/>
              </w:rPr>
            </w:pPr>
          </w:p>
        </w:tc>
        <w:tc>
          <w:tcPr>
            <w:tcW w:w="1760" w:type="dxa"/>
            <w:shd w:val="clear" w:color="auto" w:fill="auto"/>
          </w:tcPr>
          <w:p w14:paraId="783EA49D" w14:textId="77777777" w:rsidR="00E310B2" w:rsidRPr="00F334AF" w:rsidRDefault="00E310B2" w:rsidP="0034729B">
            <w:pPr>
              <w:jc w:val="both"/>
              <w:rPr>
                <w:sz w:val="22"/>
                <w:szCs w:val="22"/>
                <w:lang w:val="sr-Latn-ME"/>
              </w:rPr>
            </w:pPr>
            <w:r w:rsidRPr="00F334AF">
              <w:rPr>
                <w:sz w:val="22"/>
                <w:szCs w:val="22"/>
                <w:lang w:val="sr-Latn-ME"/>
              </w:rPr>
              <w:t>Prvi dan liječenja</w:t>
            </w:r>
          </w:p>
        </w:tc>
        <w:tc>
          <w:tcPr>
            <w:tcW w:w="1761" w:type="dxa"/>
            <w:shd w:val="clear" w:color="auto" w:fill="auto"/>
          </w:tcPr>
          <w:p w14:paraId="163E03DD" w14:textId="77777777" w:rsidR="00E310B2" w:rsidRPr="00F334AF" w:rsidRDefault="00E310B2" w:rsidP="0034729B">
            <w:pPr>
              <w:jc w:val="both"/>
              <w:rPr>
                <w:sz w:val="22"/>
                <w:szCs w:val="22"/>
                <w:lang w:val="sr-Latn-ME"/>
              </w:rPr>
            </w:pPr>
            <w:r w:rsidRPr="00F334AF">
              <w:rPr>
                <w:sz w:val="22"/>
                <w:szCs w:val="22"/>
                <w:lang w:val="sr-Latn-ME"/>
              </w:rPr>
              <w:t>Drugi dan liječenja</w:t>
            </w:r>
          </w:p>
        </w:tc>
        <w:tc>
          <w:tcPr>
            <w:tcW w:w="1758" w:type="dxa"/>
            <w:shd w:val="clear" w:color="auto" w:fill="auto"/>
          </w:tcPr>
          <w:p w14:paraId="6426ED41" w14:textId="77777777" w:rsidR="00E310B2" w:rsidRPr="00F334AF" w:rsidRDefault="00E310B2" w:rsidP="0034729B">
            <w:pPr>
              <w:jc w:val="both"/>
              <w:rPr>
                <w:sz w:val="22"/>
                <w:szCs w:val="22"/>
                <w:lang w:val="sr-Latn-ME"/>
              </w:rPr>
            </w:pPr>
            <w:r w:rsidRPr="00F334AF">
              <w:rPr>
                <w:sz w:val="22"/>
                <w:szCs w:val="22"/>
                <w:lang w:val="sr-Latn-ME"/>
              </w:rPr>
              <w:t>Treći dan liječenja</w:t>
            </w:r>
          </w:p>
        </w:tc>
      </w:tr>
      <w:tr w:rsidR="00E310B2" w:rsidRPr="00F334AF" w14:paraId="3E5CB4DA" w14:textId="77777777" w:rsidTr="00E310B2">
        <w:tc>
          <w:tcPr>
            <w:tcW w:w="1817" w:type="dxa"/>
            <w:shd w:val="clear" w:color="auto" w:fill="auto"/>
          </w:tcPr>
          <w:p w14:paraId="0337166C" w14:textId="77777777" w:rsidR="00E310B2" w:rsidRPr="00F334AF" w:rsidRDefault="00E310B2" w:rsidP="00BB35C9">
            <w:pPr>
              <w:jc w:val="both"/>
              <w:rPr>
                <w:bCs/>
                <w:sz w:val="22"/>
                <w:szCs w:val="22"/>
                <w:lang w:val="sr-Latn-ME"/>
              </w:rPr>
            </w:pPr>
            <w:r w:rsidRPr="00F334AF">
              <w:rPr>
                <w:bCs/>
                <w:sz w:val="22"/>
                <w:szCs w:val="22"/>
                <w:lang w:val="sr-Latn-ME"/>
              </w:rPr>
              <w:t>EMEND</w:t>
            </w:r>
          </w:p>
        </w:tc>
        <w:tc>
          <w:tcPr>
            <w:tcW w:w="1760" w:type="dxa"/>
            <w:shd w:val="clear" w:color="auto" w:fill="auto"/>
          </w:tcPr>
          <w:p w14:paraId="7363EB92" w14:textId="77777777" w:rsidR="00E310B2" w:rsidRPr="00F334AF" w:rsidRDefault="00E310B2" w:rsidP="0034729B">
            <w:pPr>
              <w:jc w:val="both"/>
              <w:rPr>
                <w:sz w:val="22"/>
                <w:szCs w:val="22"/>
                <w:lang w:val="sr-Latn-ME"/>
              </w:rPr>
            </w:pPr>
            <w:r w:rsidRPr="00F334AF">
              <w:rPr>
                <w:sz w:val="22"/>
                <w:szCs w:val="22"/>
                <w:lang w:val="sr-Latn-ME"/>
              </w:rPr>
              <w:t>125 mg oralno</w:t>
            </w:r>
          </w:p>
        </w:tc>
        <w:tc>
          <w:tcPr>
            <w:tcW w:w="1761" w:type="dxa"/>
            <w:shd w:val="clear" w:color="auto" w:fill="auto"/>
          </w:tcPr>
          <w:p w14:paraId="5B51450A" w14:textId="77777777" w:rsidR="00E310B2" w:rsidRPr="00F334AF" w:rsidRDefault="00E310B2" w:rsidP="0034729B">
            <w:pPr>
              <w:jc w:val="both"/>
              <w:rPr>
                <w:sz w:val="22"/>
                <w:szCs w:val="22"/>
                <w:lang w:val="sr-Latn-ME"/>
              </w:rPr>
            </w:pPr>
            <w:r w:rsidRPr="00F334AF">
              <w:rPr>
                <w:sz w:val="22"/>
                <w:szCs w:val="22"/>
                <w:lang w:val="sr-Latn-ME"/>
              </w:rPr>
              <w:t>80 mg oralno</w:t>
            </w:r>
          </w:p>
        </w:tc>
        <w:tc>
          <w:tcPr>
            <w:tcW w:w="1758" w:type="dxa"/>
            <w:shd w:val="clear" w:color="auto" w:fill="auto"/>
          </w:tcPr>
          <w:p w14:paraId="57D26AEC" w14:textId="77777777" w:rsidR="00E310B2" w:rsidRPr="00F334AF" w:rsidRDefault="00E310B2" w:rsidP="0034729B">
            <w:pPr>
              <w:jc w:val="both"/>
              <w:rPr>
                <w:sz w:val="22"/>
                <w:szCs w:val="22"/>
                <w:lang w:val="sr-Latn-ME"/>
              </w:rPr>
            </w:pPr>
            <w:r w:rsidRPr="00F334AF">
              <w:rPr>
                <w:sz w:val="22"/>
                <w:szCs w:val="22"/>
                <w:lang w:val="sr-Latn-ME"/>
              </w:rPr>
              <w:t xml:space="preserve">80 mg oralno </w:t>
            </w:r>
          </w:p>
        </w:tc>
      </w:tr>
      <w:tr w:rsidR="00E310B2" w:rsidRPr="00F334AF" w14:paraId="553E1EDC" w14:textId="77777777" w:rsidTr="00E310B2">
        <w:tc>
          <w:tcPr>
            <w:tcW w:w="1817" w:type="dxa"/>
            <w:shd w:val="clear" w:color="auto" w:fill="auto"/>
          </w:tcPr>
          <w:p w14:paraId="0592F63A" w14:textId="77777777" w:rsidR="00E310B2" w:rsidRPr="00F334AF" w:rsidRDefault="00E310B2" w:rsidP="00BB35C9">
            <w:pPr>
              <w:jc w:val="both"/>
              <w:rPr>
                <w:sz w:val="22"/>
                <w:szCs w:val="22"/>
                <w:lang w:val="sr-Latn-ME"/>
              </w:rPr>
            </w:pPr>
            <w:r w:rsidRPr="00F334AF">
              <w:rPr>
                <w:sz w:val="22"/>
                <w:szCs w:val="22"/>
                <w:lang w:val="sr-Latn-ME"/>
              </w:rPr>
              <w:t>Deksametazon</w:t>
            </w:r>
          </w:p>
        </w:tc>
        <w:tc>
          <w:tcPr>
            <w:tcW w:w="1760" w:type="dxa"/>
            <w:shd w:val="clear" w:color="auto" w:fill="auto"/>
          </w:tcPr>
          <w:p w14:paraId="71FCB92D" w14:textId="77777777" w:rsidR="00E310B2" w:rsidRPr="00F334AF" w:rsidRDefault="00E310B2" w:rsidP="0034729B">
            <w:pPr>
              <w:jc w:val="both"/>
              <w:rPr>
                <w:sz w:val="22"/>
                <w:szCs w:val="22"/>
                <w:lang w:val="sr-Latn-ME"/>
              </w:rPr>
            </w:pPr>
            <w:r w:rsidRPr="00F334AF">
              <w:rPr>
                <w:sz w:val="22"/>
                <w:szCs w:val="22"/>
                <w:lang w:val="sr-Latn-ME"/>
              </w:rPr>
              <w:t>12 mg oralno</w:t>
            </w:r>
          </w:p>
        </w:tc>
        <w:tc>
          <w:tcPr>
            <w:tcW w:w="1761" w:type="dxa"/>
            <w:shd w:val="clear" w:color="auto" w:fill="auto"/>
          </w:tcPr>
          <w:p w14:paraId="0758F6B3" w14:textId="77777777" w:rsidR="00E310B2" w:rsidRPr="00F334AF" w:rsidRDefault="00E310B2" w:rsidP="0034729B">
            <w:pPr>
              <w:jc w:val="both"/>
              <w:rPr>
                <w:sz w:val="22"/>
                <w:szCs w:val="22"/>
                <w:lang w:val="sr-Latn-ME"/>
              </w:rPr>
            </w:pPr>
            <w:r w:rsidRPr="00F334AF">
              <w:rPr>
                <w:sz w:val="22"/>
                <w:szCs w:val="22"/>
                <w:lang w:val="sr-Latn-ME"/>
              </w:rPr>
              <w:t>Ništa</w:t>
            </w:r>
          </w:p>
        </w:tc>
        <w:tc>
          <w:tcPr>
            <w:tcW w:w="1758" w:type="dxa"/>
            <w:shd w:val="clear" w:color="auto" w:fill="auto"/>
          </w:tcPr>
          <w:p w14:paraId="7AFCF489" w14:textId="77777777" w:rsidR="00E310B2" w:rsidRPr="00F334AF" w:rsidRDefault="00E310B2" w:rsidP="0034729B">
            <w:pPr>
              <w:jc w:val="both"/>
              <w:rPr>
                <w:sz w:val="22"/>
                <w:szCs w:val="22"/>
                <w:lang w:val="sr-Latn-ME"/>
              </w:rPr>
            </w:pPr>
            <w:r w:rsidRPr="00F334AF">
              <w:rPr>
                <w:sz w:val="22"/>
                <w:szCs w:val="22"/>
                <w:lang w:val="sr-Latn-ME"/>
              </w:rPr>
              <w:t>Ništa</w:t>
            </w:r>
          </w:p>
        </w:tc>
      </w:tr>
      <w:tr w:rsidR="00E310B2" w:rsidRPr="00F334AF" w14:paraId="0E8EA9C5" w14:textId="77777777" w:rsidTr="00E310B2">
        <w:tc>
          <w:tcPr>
            <w:tcW w:w="1817" w:type="dxa"/>
            <w:shd w:val="clear" w:color="auto" w:fill="auto"/>
          </w:tcPr>
          <w:p w14:paraId="4B32B7C3" w14:textId="77777777" w:rsidR="00E310B2" w:rsidRPr="00F334AF" w:rsidRDefault="00E310B2" w:rsidP="00BB35C9">
            <w:pPr>
              <w:jc w:val="both"/>
              <w:rPr>
                <w:sz w:val="22"/>
                <w:szCs w:val="22"/>
                <w:lang w:val="sr-Latn-ME"/>
              </w:rPr>
            </w:pPr>
            <w:r w:rsidRPr="00F334AF">
              <w:rPr>
                <w:sz w:val="22"/>
                <w:szCs w:val="22"/>
                <w:lang w:val="sr-Latn-ME"/>
              </w:rPr>
              <w:t>5-HT</w:t>
            </w:r>
            <w:r w:rsidRPr="00F334AF">
              <w:rPr>
                <w:sz w:val="22"/>
                <w:szCs w:val="22"/>
                <w:vertAlign w:val="subscript"/>
                <w:lang w:val="sr-Latn-ME"/>
              </w:rPr>
              <w:t>3</w:t>
            </w:r>
            <w:r w:rsidRPr="00F334AF">
              <w:rPr>
                <w:sz w:val="22"/>
                <w:szCs w:val="22"/>
                <w:lang w:val="sr-Latn-ME"/>
              </w:rPr>
              <w:t xml:space="preserve"> antagonisti</w:t>
            </w:r>
          </w:p>
        </w:tc>
        <w:tc>
          <w:tcPr>
            <w:tcW w:w="1760" w:type="dxa"/>
            <w:shd w:val="clear" w:color="auto" w:fill="auto"/>
          </w:tcPr>
          <w:p w14:paraId="73C08582" w14:textId="2F443ED3" w:rsidR="00E310B2" w:rsidRPr="00F334AF" w:rsidRDefault="00E310B2" w:rsidP="0034729B">
            <w:pPr>
              <w:jc w:val="both"/>
              <w:rPr>
                <w:sz w:val="22"/>
                <w:szCs w:val="22"/>
                <w:lang w:val="sr-Latn-ME"/>
              </w:rPr>
            </w:pPr>
            <w:r w:rsidRPr="00F334AF">
              <w:rPr>
                <w:sz w:val="22"/>
                <w:szCs w:val="22"/>
                <w:lang w:val="sr-Latn-ME"/>
              </w:rPr>
              <w:t>Za informacije o doziranju vid</w:t>
            </w:r>
            <w:r w:rsidR="00DD057B" w:rsidRPr="00F334AF">
              <w:rPr>
                <w:sz w:val="22"/>
                <w:szCs w:val="22"/>
                <w:lang w:val="sr-Latn-ME"/>
              </w:rPr>
              <w:t>j</w:t>
            </w:r>
            <w:r w:rsidRPr="00F334AF">
              <w:rPr>
                <w:sz w:val="22"/>
                <w:szCs w:val="22"/>
                <w:lang w:val="sr-Latn-ME"/>
              </w:rPr>
              <w:t>eti sažetak karakteristika lijeka određenog 5-HT</w:t>
            </w:r>
            <w:r w:rsidRPr="00F334AF">
              <w:rPr>
                <w:sz w:val="22"/>
                <w:szCs w:val="22"/>
                <w:vertAlign w:val="subscript"/>
                <w:lang w:val="sr-Latn-ME"/>
              </w:rPr>
              <w:t>3</w:t>
            </w:r>
            <w:r w:rsidRPr="00F334AF">
              <w:rPr>
                <w:sz w:val="22"/>
                <w:szCs w:val="22"/>
                <w:lang w:val="sr-Latn-ME"/>
              </w:rPr>
              <w:t xml:space="preserve"> antagoniste</w:t>
            </w:r>
          </w:p>
        </w:tc>
        <w:tc>
          <w:tcPr>
            <w:tcW w:w="1761" w:type="dxa"/>
            <w:shd w:val="clear" w:color="auto" w:fill="auto"/>
          </w:tcPr>
          <w:p w14:paraId="3BCECBFB" w14:textId="77777777" w:rsidR="00E310B2" w:rsidRPr="00F334AF" w:rsidRDefault="00E310B2" w:rsidP="0034729B">
            <w:pPr>
              <w:jc w:val="both"/>
              <w:rPr>
                <w:sz w:val="22"/>
                <w:szCs w:val="22"/>
                <w:lang w:val="sr-Latn-ME"/>
              </w:rPr>
            </w:pPr>
            <w:r w:rsidRPr="00F334AF">
              <w:rPr>
                <w:sz w:val="22"/>
                <w:szCs w:val="22"/>
                <w:lang w:val="sr-Latn-ME"/>
              </w:rPr>
              <w:t>Ništa</w:t>
            </w:r>
          </w:p>
        </w:tc>
        <w:tc>
          <w:tcPr>
            <w:tcW w:w="1758" w:type="dxa"/>
            <w:shd w:val="clear" w:color="auto" w:fill="auto"/>
          </w:tcPr>
          <w:p w14:paraId="07742A7D" w14:textId="77777777" w:rsidR="00E310B2" w:rsidRPr="00F334AF" w:rsidRDefault="00E310B2" w:rsidP="0034729B">
            <w:pPr>
              <w:jc w:val="both"/>
              <w:rPr>
                <w:sz w:val="22"/>
                <w:szCs w:val="22"/>
                <w:lang w:val="sr-Latn-ME"/>
              </w:rPr>
            </w:pPr>
            <w:r w:rsidRPr="00F334AF">
              <w:rPr>
                <w:sz w:val="22"/>
                <w:szCs w:val="22"/>
                <w:lang w:val="sr-Latn-ME"/>
              </w:rPr>
              <w:t>Ništa</w:t>
            </w:r>
          </w:p>
        </w:tc>
      </w:tr>
    </w:tbl>
    <w:p w14:paraId="4C2E20F8" w14:textId="699B6D54" w:rsidR="00E310B2" w:rsidRPr="00F334AF" w:rsidRDefault="00E310B2" w:rsidP="0034729B">
      <w:pPr>
        <w:jc w:val="both"/>
        <w:rPr>
          <w:sz w:val="22"/>
          <w:szCs w:val="22"/>
          <w:lang w:val="sr-Latn-ME"/>
        </w:rPr>
      </w:pPr>
      <w:r w:rsidRPr="00F334AF">
        <w:rPr>
          <w:b/>
          <w:bCs/>
          <w:sz w:val="22"/>
          <w:szCs w:val="22"/>
          <w:lang w:val="sr-Latn-ME"/>
        </w:rPr>
        <w:t>Deksametazon</w:t>
      </w:r>
      <w:r w:rsidRPr="00F334AF">
        <w:rPr>
          <w:sz w:val="22"/>
          <w:szCs w:val="22"/>
          <w:lang w:val="sr-Latn-ME"/>
        </w:rPr>
        <w:t xml:space="preserve"> se daje 30 minuta prije započinjanja h</w:t>
      </w:r>
      <w:r w:rsidR="0034470D">
        <w:rPr>
          <w:sz w:val="22"/>
          <w:szCs w:val="22"/>
          <w:lang w:val="sr-Latn-ME"/>
        </w:rPr>
        <w:t>emoterapije prvog dana terapije</w:t>
      </w:r>
      <w:r w:rsidRPr="00F334AF">
        <w:rPr>
          <w:sz w:val="22"/>
          <w:szCs w:val="22"/>
          <w:lang w:val="sr-Latn-ME"/>
        </w:rPr>
        <w:t>. Doza deksametazona određena je na osnovu</w:t>
      </w:r>
      <w:r w:rsidR="00C20A6B" w:rsidRPr="00F334AF">
        <w:rPr>
          <w:sz w:val="22"/>
          <w:szCs w:val="22"/>
          <w:lang w:val="sr-Latn-ME"/>
        </w:rPr>
        <w:t xml:space="preserve"> njegovih</w:t>
      </w:r>
      <w:r w:rsidRPr="00F334AF">
        <w:rPr>
          <w:sz w:val="22"/>
          <w:szCs w:val="22"/>
          <w:lang w:val="sr-Latn-ME"/>
        </w:rPr>
        <w:t xml:space="preserve"> interakcija sa drugim ljekovima.</w:t>
      </w:r>
    </w:p>
    <w:p w14:paraId="20B3970C" w14:textId="77777777" w:rsidR="00E310B2" w:rsidRPr="00F334AF" w:rsidRDefault="00E310B2" w:rsidP="0034729B">
      <w:pPr>
        <w:jc w:val="both"/>
        <w:rPr>
          <w:sz w:val="22"/>
          <w:szCs w:val="22"/>
          <w:lang w:val="sr-Latn-ME"/>
        </w:rPr>
      </w:pPr>
    </w:p>
    <w:p w14:paraId="0A9C6F19" w14:textId="56748374" w:rsidR="007C35EC" w:rsidRPr="00F334AF" w:rsidRDefault="00E310B2" w:rsidP="0034729B">
      <w:pPr>
        <w:widowControl w:val="0"/>
        <w:autoSpaceDE w:val="0"/>
        <w:autoSpaceDN w:val="0"/>
        <w:jc w:val="both"/>
        <w:rPr>
          <w:i/>
          <w:sz w:val="22"/>
          <w:szCs w:val="22"/>
          <w:u w:val="single"/>
          <w:lang w:val="sr-Latn-ME" w:eastAsia="hr-HR"/>
        </w:rPr>
      </w:pPr>
      <w:r w:rsidRPr="00F334AF">
        <w:rPr>
          <w:i/>
          <w:sz w:val="22"/>
          <w:szCs w:val="22"/>
          <w:u w:val="single"/>
          <w:lang w:val="sr-Latn-ME" w:eastAsia="hr-HR"/>
        </w:rPr>
        <w:t>Pedijatrijska populacija</w:t>
      </w:r>
    </w:p>
    <w:p w14:paraId="05E99156" w14:textId="77777777" w:rsidR="00E310B2" w:rsidRPr="00F334AF" w:rsidRDefault="00E310B2" w:rsidP="0034729B">
      <w:pPr>
        <w:widowControl w:val="0"/>
        <w:autoSpaceDE w:val="0"/>
        <w:autoSpaceDN w:val="0"/>
        <w:jc w:val="both"/>
        <w:rPr>
          <w:i/>
          <w:sz w:val="22"/>
          <w:szCs w:val="22"/>
          <w:lang w:val="sr-Latn-ME" w:eastAsia="hr-HR"/>
        </w:rPr>
      </w:pPr>
      <w:r w:rsidRPr="00F334AF">
        <w:rPr>
          <w:i/>
          <w:sz w:val="22"/>
          <w:szCs w:val="22"/>
          <w:lang w:val="sr-Latn-ME" w:eastAsia="hr-HR"/>
        </w:rPr>
        <w:t>Adolescenti (uzrasta od 12 do 17 godina)</w:t>
      </w:r>
    </w:p>
    <w:p w14:paraId="6C794464" w14:textId="2268CAA4" w:rsidR="00E310B2" w:rsidRPr="00F334AF" w:rsidRDefault="00E310B2" w:rsidP="0034729B">
      <w:pPr>
        <w:widowControl w:val="0"/>
        <w:autoSpaceDE w:val="0"/>
        <w:autoSpaceDN w:val="0"/>
        <w:jc w:val="both"/>
        <w:rPr>
          <w:sz w:val="22"/>
          <w:szCs w:val="22"/>
          <w:lang w:val="sr-Latn-ME" w:eastAsia="hr-HR"/>
        </w:rPr>
      </w:pPr>
      <w:r w:rsidRPr="00F334AF">
        <w:rPr>
          <w:sz w:val="22"/>
          <w:szCs w:val="22"/>
          <w:lang w:val="sr-Latn-ME" w:eastAsia="hr-HR"/>
        </w:rPr>
        <w:t xml:space="preserve">Lijek </w:t>
      </w:r>
      <w:r w:rsidR="00DA4790" w:rsidRPr="00F334AF">
        <w:rPr>
          <w:sz w:val="22"/>
          <w:szCs w:val="22"/>
          <w:lang w:val="sr-Latn-ME" w:eastAsia="hr-HR"/>
        </w:rPr>
        <w:t xml:space="preserve">EMEND </w:t>
      </w:r>
      <w:r w:rsidRPr="00F334AF">
        <w:rPr>
          <w:sz w:val="22"/>
          <w:szCs w:val="22"/>
          <w:lang w:val="sr-Latn-ME" w:eastAsia="hr-HR"/>
        </w:rPr>
        <w:t>se daje tokom tri dana u sklopu terapijskog režima koji obuhvata 5-HT</w:t>
      </w:r>
      <w:r w:rsidRPr="00F334AF">
        <w:rPr>
          <w:sz w:val="22"/>
          <w:szCs w:val="22"/>
          <w:vertAlign w:val="subscript"/>
          <w:lang w:val="sr-Latn-ME" w:eastAsia="hr-HR"/>
        </w:rPr>
        <w:t>3</w:t>
      </w:r>
      <w:r w:rsidRPr="00F334AF">
        <w:rPr>
          <w:sz w:val="22"/>
          <w:szCs w:val="22"/>
          <w:lang w:val="sr-Latn-ME" w:eastAsia="hr-HR"/>
        </w:rPr>
        <w:t xml:space="preserve"> antagonistu. Preporučena doza </w:t>
      </w:r>
      <w:r w:rsidR="00DA4790" w:rsidRPr="00F334AF">
        <w:rPr>
          <w:sz w:val="22"/>
          <w:szCs w:val="22"/>
          <w:lang w:val="sr-Latn-ME" w:eastAsia="hr-HR"/>
        </w:rPr>
        <w:t xml:space="preserve">EMEND </w:t>
      </w:r>
      <w:r w:rsidRPr="00F334AF">
        <w:rPr>
          <w:sz w:val="22"/>
          <w:szCs w:val="22"/>
          <w:lang w:val="sr-Latn-ME" w:eastAsia="hr-HR"/>
        </w:rPr>
        <w:t xml:space="preserve">kapsula je 125 mg oralno prvog dana terapije i 80 mg oralno drugog i trećeg dana terapije. </w:t>
      </w:r>
      <w:r w:rsidR="00BB35C9" w:rsidRPr="00F334AF">
        <w:rPr>
          <w:sz w:val="22"/>
          <w:szCs w:val="22"/>
          <w:lang w:val="sr-Latn-ME" w:eastAsia="hr-HR"/>
        </w:rPr>
        <w:t xml:space="preserve">Lijek </w:t>
      </w:r>
      <w:r w:rsidRPr="00F334AF">
        <w:rPr>
          <w:sz w:val="22"/>
          <w:szCs w:val="22"/>
          <w:lang w:val="sr-Latn-ME" w:eastAsia="hr-HR"/>
        </w:rPr>
        <w:t>E</w:t>
      </w:r>
      <w:r w:rsidR="00BB35C9" w:rsidRPr="00F334AF">
        <w:rPr>
          <w:sz w:val="22"/>
          <w:szCs w:val="22"/>
          <w:lang w:val="sr-Latn-ME" w:eastAsia="hr-HR"/>
        </w:rPr>
        <w:t>MEND</w:t>
      </w:r>
      <w:r w:rsidRPr="00F334AF">
        <w:rPr>
          <w:sz w:val="22"/>
          <w:szCs w:val="22"/>
          <w:lang w:val="sr-Latn-ME" w:eastAsia="hr-HR"/>
        </w:rPr>
        <w:t xml:space="preserve"> se primjenjuje oralno 1 sat pr</w:t>
      </w:r>
      <w:r w:rsidR="00A966DD" w:rsidRPr="00F334AF">
        <w:rPr>
          <w:sz w:val="22"/>
          <w:szCs w:val="22"/>
          <w:lang w:val="sr-Latn-ME" w:eastAsia="hr-HR"/>
        </w:rPr>
        <w:t>ij</w:t>
      </w:r>
      <w:r w:rsidRPr="00F334AF">
        <w:rPr>
          <w:sz w:val="22"/>
          <w:szCs w:val="22"/>
          <w:lang w:val="sr-Latn-ME" w:eastAsia="hr-HR"/>
        </w:rPr>
        <w:t xml:space="preserve">e hemioterapije prvog, drugog i trećeg dana terapije. Ako se hemioterapija ne daje drugog i trećeg dana, </w:t>
      </w:r>
      <w:r w:rsidR="00A966DD" w:rsidRPr="00F334AF">
        <w:rPr>
          <w:sz w:val="22"/>
          <w:szCs w:val="22"/>
          <w:lang w:val="sr-Latn-ME" w:eastAsia="hr-HR"/>
        </w:rPr>
        <w:t xml:space="preserve">lijek </w:t>
      </w:r>
      <w:r w:rsidRPr="00F334AF">
        <w:rPr>
          <w:sz w:val="22"/>
          <w:szCs w:val="22"/>
          <w:lang w:val="sr-Latn-ME" w:eastAsia="hr-HR"/>
        </w:rPr>
        <w:t>E</w:t>
      </w:r>
      <w:r w:rsidR="00A966DD" w:rsidRPr="00F334AF">
        <w:rPr>
          <w:sz w:val="22"/>
          <w:szCs w:val="22"/>
          <w:lang w:val="sr-Latn-ME" w:eastAsia="hr-HR"/>
        </w:rPr>
        <w:t>MEND</w:t>
      </w:r>
      <w:r w:rsidRPr="00F334AF">
        <w:rPr>
          <w:sz w:val="22"/>
          <w:szCs w:val="22"/>
          <w:lang w:val="sr-Latn-ME" w:eastAsia="hr-HR"/>
        </w:rPr>
        <w:t xml:space="preserve"> treba prim</w:t>
      </w:r>
      <w:r w:rsidR="00A966DD" w:rsidRPr="00F334AF">
        <w:rPr>
          <w:sz w:val="22"/>
          <w:szCs w:val="22"/>
          <w:lang w:val="sr-Latn-ME" w:eastAsia="hr-HR"/>
        </w:rPr>
        <w:t>i</w:t>
      </w:r>
      <w:r w:rsidRPr="00F334AF">
        <w:rPr>
          <w:sz w:val="22"/>
          <w:szCs w:val="22"/>
          <w:lang w:val="sr-Latn-ME" w:eastAsia="hr-HR"/>
        </w:rPr>
        <w:t xml:space="preserve">jeniti ujutru. Pogledajte </w:t>
      </w:r>
      <w:r w:rsidR="00A966DD" w:rsidRPr="00F334AF">
        <w:rPr>
          <w:sz w:val="22"/>
          <w:szCs w:val="22"/>
          <w:lang w:val="sr-Latn-ME" w:eastAsia="hr-HR"/>
        </w:rPr>
        <w:t>s</w:t>
      </w:r>
      <w:r w:rsidRPr="00F334AF">
        <w:rPr>
          <w:sz w:val="22"/>
          <w:szCs w:val="22"/>
          <w:lang w:val="sr-Latn-ME" w:eastAsia="hr-HR"/>
        </w:rPr>
        <w:t>ažetak karakteristika lijeka izabranog 5-HT</w:t>
      </w:r>
      <w:r w:rsidRPr="00F334AF">
        <w:rPr>
          <w:sz w:val="22"/>
          <w:szCs w:val="22"/>
          <w:vertAlign w:val="subscript"/>
          <w:lang w:val="sr-Latn-ME" w:eastAsia="hr-HR"/>
        </w:rPr>
        <w:t>3</w:t>
      </w:r>
      <w:r w:rsidRPr="00F334AF">
        <w:rPr>
          <w:sz w:val="22"/>
          <w:szCs w:val="22"/>
          <w:lang w:val="sr-Latn-ME" w:eastAsia="hr-HR"/>
        </w:rPr>
        <w:t xml:space="preserve"> antagoniste za informacije o odgovarajućem doziranju. Ako se istovremeno sa lijekom E</w:t>
      </w:r>
      <w:r w:rsidR="00A966DD" w:rsidRPr="00F334AF">
        <w:rPr>
          <w:sz w:val="22"/>
          <w:szCs w:val="22"/>
          <w:lang w:val="sr-Latn-ME" w:eastAsia="hr-HR"/>
        </w:rPr>
        <w:t>MEND</w:t>
      </w:r>
      <w:r w:rsidRPr="00F334AF">
        <w:rPr>
          <w:sz w:val="22"/>
          <w:szCs w:val="22"/>
          <w:lang w:val="sr-Latn-ME" w:eastAsia="hr-HR"/>
        </w:rPr>
        <w:t xml:space="preserve"> primjenjuje kortikosteroid, kao što je deksametazon, treba pri</w:t>
      </w:r>
      <w:r w:rsidR="00A966DD" w:rsidRPr="00F334AF">
        <w:rPr>
          <w:sz w:val="22"/>
          <w:szCs w:val="22"/>
          <w:lang w:val="sr-Latn-ME" w:eastAsia="hr-HR"/>
        </w:rPr>
        <w:t>mi</w:t>
      </w:r>
      <w:r w:rsidRPr="00F334AF">
        <w:rPr>
          <w:sz w:val="22"/>
          <w:szCs w:val="22"/>
          <w:lang w:val="sr-Latn-ME" w:eastAsia="hr-HR"/>
        </w:rPr>
        <w:t>jeniti dozu kortikosteroida koja je 50% manja od uobičajene doze (vid</w:t>
      </w:r>
      <w:r w:rsidR="00DD057B" w:rsidRPr="00F334AF">
        <w:rPr>
          <w:sz w:val="22"/>
          <w:szCs w:val="22"/>
          <w:lang w:val="sr-Latn-ME" w:eastAsia="hr-HR"/>
        </w:rPr>
        <w:t>j</w:t>
      </w:r>
      <w:r w:rsidRPr="00F334AF">
        <w:rPr>
          <w:sz w:val="22"/>
          <w:szCs w:val="22"/>
          <w:lang w:val="sr-Latn-ME" w:eastAsia="hr-HR"/>
        </w:rPr>
        <w:t xml:space="preserve">eti </w:t>
      </w:r>
      <w:r w:rsidR="00A966DD" w:rsidRPr="00F334AF">
        <w:rPr>
          <w:sz w:val="22"/>
          <w:szCs w:val="22"/>
          <w:lang w:val="sr-Latn-ME" w:eastAsia="hr-HR"/>
        </w:rPr>
        <w:t>djelove</w:t>
      </w:r>
      <w:r w:rsidRPr="00F334AF">
        <w:rPr>
          <w:sz w:val="22"/>
          <w:szCs w:val="22"/>
          <w:lang w:val="sr-Latn-ME" w:eastAsia="hr-HR"/>
        </w:rPr>
        <w:t xml:space="preserve"> 4.5 i 5.1).</w:t>
      </w:r>
    </w:p>
    <w:p w14:paraId="03419A5B" w14:textId="77777777" w:rsidR="00E310B2" w:rsidRPr="00F334AF" w:rsidRDefault="00E310B2" w:rsidP="0034729B">
      <w:pPr>
        <w:widowControl w:val="0"/>
        <w:autoSpaceDE w:val="0"/>
        <w:autoSpaceDN w:val="0"/>
        <w:jc w:val="both"/>
        <w:rPr>
          <w:sz w:val="22"/>
          <w:szCs w:val="22"/>
          <w:lang w:val="sr-Latn-ME" w:eastAsia="hr-HR"/>
        </w:rPr>
      </w:pPr>
    </w:p>
    <w:p w14:paraId="16FD6E25" w14:textId="09CF83FF" w:rsidR="0034299F" w:rsidRPr="00F334AF" w:rsidRDefault="00E310B2" w:rsidP="0034729B">
      <w:pPr>
        <w:widowControl w:val="0"/>
        <w:autoSpaceDE w:val="0"/>
        <w:autoSpaceDN w:val="0"/>
        <w:jc w:val="both"/>
        <w:rPr>
          <w:sz w:val="22"/>
          <w:szCs w:val="22"/>
          <w:lang w:val="sr-Latn-ME" w:eastAsia="hr-HR"/>
        </w:rPr>
      </w:pPr>
      <w:r w:rsidRPr="00F334AF">
        <w:rPr>
          <w:sz w:val="22"/>
          <w:szCs w:val="22"/>
          <w:lang w:val="sr-Latn-ME" w:eastAsia="hr-HR"/>
        </w:rPr>
        <w:t>Bezb</w:t>
      </w:r>
      <w:r w:rsidR="00A966DD" w:rsidRPr="00F334AF">
        <w:rPr>
          <w:sz w:val="22"/>
          <w:szCs w:val="22"/>
          <w:lang w:val="sr-Latn-ME" w:eastAsia="hr-HR"/>
        </w:rPr>
        <w:t>j</w:t>
      </w:r>
      <w:r w:rsidRPr="00F334AF">
        <w:rPr>
          <w:sz w:val="22"/>
          <w:szCs w:val="22"/>
          <w:lang w:val="sr-Latn-ME" w:eastAsia="hr-HR"/>
        </w:rPr>
        <w:t>ednost i efikasnost kapsula od 80 mg i 125 mg nije dokazana kod djece mlađe od 12 godina. Nema raspoloživih podataka. Za odgovarajuće doziranje kod odojčadi, male djece i djece uzrasta od 6 mjeseci do manje od 12 godina, pogledajte Sažetak karkateristika lijeka za prašak za oralnu suspenziju (prašak za oralnu suspenziju nije registrovan na tržištu Crne Gore).</w:t>
      </w:r>
    </w:p>
    <w:p w14:paraId="74F0447C" w14:textId="7D33456C" w:rsidR="007C35EC" w:rsidRPr="00F334AF" w:rsidRDefault="007C35EC" w:rsidP="0034729B">
      <w:pPr>
        <w:widowControl w:val="0"/>
        <w:autoSpaceDE w:val="0"/>
        <w:autoSpaceDN w:val="0"/>
        <w:jc w:val="both"/>
        <w:rPr>
          <w:sz w:val="22"/>
          <w:szCs w:val="22"/>
          <w:lang w:val="sr-Latn-ME" w:eastAsia="hr-HR"/>
        </w:rPr>
      </w:pPr>
    </w:p>
    <w:p w14:paraId="75134BA4" w14:textId="157B924C" w:rsidR="0034299F" w:rsidRPr="00F334AF" w:rsidRDefault="00E310B2" w:rsidP="0034729B">
      <w:pPr>
        <w:jc w:val="both"/>
        <w:rPr>
          <w:sz w:val="22"/>
          <w:szCs w:val="22"/>
          <w:lang w:val="sr-Latn-ME"/>
        </w:rPr>
      </w:pPr>
      <w:r w:rsidRPr="00F334AF">
        <w:rPr>
          <w:i/>
          <w:sz w:val="22"/>
          <w:szCs w:val="22"/>
          <w:u w:val="single"/>
          <w:lang w:val="sr-Latn-ME"/>
        </w:rPr>
        <w:t>Opšt</w:t>
      </w:r>
      <w:r w:rsidRPr="00F334AF">
        <w:rPr>
          <w:i/>
          <w:sz w:val="22"/>
          <w:szCs w:val="22"/>
          <w:lang w:val="sr-Latn-ME"/>
        </w:rPr>
        <w:t>e</w:t>
      </w:r>
    </w:p>
    <w:p w14:paraId="79EBAA60" w14:textId="52E49AD3" w:rsidR="00E310B2" w:rsidRPr="00F334AF" w:rsidRDefault="00E310B2" w:rsidP="0034729B">
      <w:pPr>
        <w:jc w:val="both"/>
        <w:rPr>
          <w:sz w:val="22"/>
          <w:szCs w:val="22"/>
          <w:lang w:val="sr-Latn-ME"/>
        </w:rPr>
      </w:pPr>
      <w:r w:rsidRPr="00F334AF">
        <w:rPr>
          <w:sz w:val="22"/>
          <w:szCs w:val="22"/>
          <w:lang w:val="sr-Latn-ME"/>
        </w:rPr>
        <w:t>Podaci o efikasnosti u kombinaciji sa drugim kortikosteroidima i 5-HT</w:t>
      </w:r>
      <w:r w:rsidRPr="00F334AF">
        <w:rPr>
          <w:sz w:val="22"/>
          <w:szCs w:val="22"/>
          <w:vertAlign w:val="subscript"/>
          <w:lang w:val="sr-Latn-ME"/>
        </w:rPr>
        <w:t xml:space="preserve">3 </w:t>
      </w:r>
      <w:r w:rsidRPr="00F334AF">
        <w:rPr>
          <w:sz w:val="22"/>
          <w:szCs w:val="22"/>
          <w:lang w:val="sr-Latn-ME"/>
        </w:rPr>
        <w:t>antagonistima su ograničeni. Za više podataka o primjeni sa kortikosteroidima vidjeti dio 4.5.</w:t>
      </w:r>
    </w:p>
    <w:p w14:paraId="3AAF588A" w14:textId="40A82F66" w:rsidR="007A05E0" w:rsidRPr="00F334AF" w:rsidRDefault="00E310B2" w:rsidP="0034729B">
      <w:pPr>
        <w:jc w:val="both"/>
        <w:rPr>
          <w:sz w:val="22"/>
          <w:szCs w:val="22"/>
          <w:lang w:val="sr-Latn-ME"/>
        </w:rPr>
      </w:pPr>
      <w:r w:rsidRPr="00F334AF">
        <w:rPr>
          <w:sz w:val="22"/>
          <w:szCs w:val="22"/>
          <w:lang w:val="sr-Latn-ME"/>
        </w:rPr>
        <w:t>Potražiti kompletne podatke o 5-HT</w:t>
      </w:r>
      <w:r w:rsidRPr="00F334AF">
        <w:rPr>
          <w:sz w:val="22"/>
          <w:szCs w:val="22"/>
          <w:vertAlign w:val="subscript"/>
          <w:lang w:val="sr-Latn-ME"/>
        </w:rPr>
        <w:t>3</w:t>
      </w:r>
      <w:r w:rsidRPr="00F334AF">
        <w:rPr>
          <w:sz w:val="22"/>
          <w:szCs w:val="22"/>
          <w:lang w:val="sr-Latn-ME"/>
        </w:rPr>
        <w:t xml:space="preserve"> a</w:t>
      </w:r>
      <w:r w:rsidR="00A966DD" w:rsidRPr="00F334AF">
        <w:rPr>
          <w:sz w:val="22"/>
          <w:szCs w:val="22"/>
          <w:lang w:val="sr-Latn-ME"/>
        </w:rPr>
        <w:t>nta</w:t>
      </w:r>
      <w:r w:rsidRPr="00F334AF">
        <w:rPr>
          <w:sz w:val="22"/>
          <w:szCs w:val="22"/>
          <w:lang w:val="sr-Latn-ME"/>
        </w:rPr>
        <w:t>gonistima koji se daju istovremeno sa ovim l</w:t>
      </w:r>
      <w:r w:rsidR="00A966DD" w:rsidRPr="00F334AF">
        <w:rPr>
          <w:sz w:val="22"/>
          <w:szCs w:val="22"/>
          <w:lang w:val="sr-Latn-ME"/>
        </w:rPr>
        <w:t>ij</w:t>
      </w:r>
      <w:r w:rsidRPr="00F334AF">
        <w:rPr>
          <w:sz w:val="22"/>
          <w:szCs w:val="22"/>
          <w:lang w:val="sr-Latn-ME"/>
        </w:rPr>
        <w:t xml:space="preserve">ekom u njihovim </w:t>
      </w:r>
      <w:r w:rsidR="00A966DD" w:rsidRPr="00F334AF">
        <w:rPr>
          <w:sz w:val="22"/>
          <w:szCs w:val="22"/>
          <w:lang w:val="sr-Latn-ME"/>
        </w:rPr>
        <w:t>s</w:t>
      </w:r>
      <w:r w:rsidRPr="00F334AF">
        <w:rPr>
          <w:sz w:val="22"/>
          <w:szCs w:val="22"/>
          <w:lang w:val="sr-Latn-ME"/>
        </w:rPr>
        <w:t>ažecima karakteristika l</w:t>
      </w:r>
      <w:r w:rsidR="00A966DD" w:rsidRPr="00F334AF">
        <w:rPr>
          <w:sz w:val="22"/>
          <w:szCs w:val="22"/>
          <w:lang w:val="sr-Latn-ME"/>
        </w:rPr>
        <w:t>ij</w:t>
      </w:r>
      <w:r w:rsidRPr="00F334AF">
        <w:rPr>
          <w:sz w:val="22"/>
          <w:szCs w:val="22"/>
          <w:lang w:val="sr-Latn-ME"/>
        </w:rPr>
        <w:t>eka</w:t>
      </w:r>
      <w:r w:rsidR="0034299F" w:rsidRPr="00F334AF">
        <w:rPr>
          <w:sz w:val="22"/>
          <w:szCs w:val="22"/>
          <w:lang w:val="sr-Latn-ME"/>
        </w:rPr>
        <w:t>.</w:t>
      </w:r>
    </w:p>
    <w:p w14:paraId="2AE6BA63" w14:textId="77777777" w:rsidR="00406A3B" w:rsidRDefault="00406A3B" w:rsidP="0034729B">
      <w:pPr>
        <w:jc w:val="both"/>
        <w:rPr>
          <w:i/>
          <w:iCs/>
          <w:sz w:val="22"/>
          <w:szCs w:val="22"/>
          <w:u w:val="single"/>
          <w:lang w:val="sr-Latn-ME"/>
        </w:rPr>
      </w:pPr>
    </w:p>
    <w:p w14:paraId="486B0F2B" w14:textId="2081B418" w:rsidR="007A05E0" w:rsidRPr="00F334AF" w:rsidRDefault="00DA4790" w:rsidP="0034729B">
      <w:pPr>
        <w:jc w:val="both"/>
        <w:rPr>
          <w:i/>
          <w:iCs/>
          <w:sz w:val="22"/>
          <w:szCs w:val="22"/>
          <w:u w:val="single"/>
          <w:lang w:val="sr-Latn-ME"/>
        </w:rPr>
      </w:pPr>
      <w:r w:rsidRPr="00F334AF">
        <w:rPr>
          <w:i/>
          <w:iCs/>
          <w:sz w:val="22"/>
          <w:szCs w:val="22"/>
          <w:u w:val="single"/>
          <w:lang w:val="sr-Latn-ME"/>
        </w:rPr>
        <w:lastRenderedPageBreak/>
        <w:t>Posebne populacije</w:t>
      </w:r>
    </w:p>
    <w:p w14:paraId="70849CA0" w14:textId="77777777" w:rsidR="00E310B2" w:rsidRPr="00F334AF" w:rsidRDefault="00E310B2" w:rsidP="0034729B">
      <w:pPr>
        <w:jc w:val="both"/>
        <w:rPr>
          <w:i/>
          <w:sz w:val="22"/>
          <w:szCs w:val="22"/>
          <w:lang w:val="sr-Latn-ME"/>
        </w:rPr>
      </w:pPr>
      <w:r w:rsidRPr="00F334AF">
        <w:rPr>
          <w:i/>
          <w:sz w:val="22"/>
          <w:szCs w:val="22"/>
          <w:lang w:val="sr-Latn-ME"/>
        </w:rPr>
        <w:t>Starije osobe (osobe koje imaju ≥ 65 godina)</w:t>
      </w:r>
    </w:p>
    <w:p w14:paraId="2A7993E6" w14:textId="77777777" w:rsidR="00E310B2" w:rsidRPr="00F334AF" w:rsidRDefault="00E310B2" w:rsidP="0034729B">
      <w:pPr>
        <w:jc w:val="both"/>
        <w:rPr>
          <w:i/>
          <w:sz w:val="22"/>
          <w:szCs w:val="22"/>
          <w:u w:val="single"/>
          <w:lang w:val="sr-Latn-ME"/>
        </w:rPr>
      </w:pPr>
    </w:p>
    <w:p w14:paraId="152B9614" w14:textId="77777777" w:rsidR="00E310B2" w:rsidRPr="00F334AF" w:rsidRDefault="00E310B2" w:rsidP="0034729B">
      <w:pPr>
        <w:jc w:val="both"/>
        <w:rPr>
          <w:sz w:val="22"/>
          <w:szCs w:val="22"/>
          <w:lang w:val="sr-Latn-ME"/>
        </w:rPr>
      </w:pPr>
      <w:r w:rsidRPr="00F334AF">
        <w:rPr>
          <w:sz w:val="22"/>
          <w:szCs w:val="22"/>
          <w:lang w:val="sr-Latn-ME"/>
        </w:rPr>
        <w:t>Nije potrebno prilagođavati dozu kod starijih osoba (vidjeti dio 5.2).</w:t>
      </w:r>
    </w:p>
    <w:p w14:paraId="44294798" w14:textId="77777777" w:rsidR="00E310B2" w:rsidRPr="00F334AF" w:rsidRDefault="00E310B2" w:rsidP="0034729B">
      <w:pPr>
        <w:jc w:val="both"/>
        <w:rPr>
          <w:sz w:val="22"/>
          <w:szCs w:val="22"/>
          <w:lang w:val="sr-Latn-ME"/>
        </w:rPr>
      </w:pPr>
    </w:p>
    <w:p w14:paraId="7EAC733F" w14:textId="77777777" w:rsidR="00E310B2" w:rsidRPr="00F334AF" w:rsidRDefault="00E310B2" w:rsidP="0034729B">
      <w:pPr>
        <w:jc w:val="both"/>
        <w:rPr>
          <w:i/>
          <w:iCs/>
          <w:sz w:val="22"/>
          <w:szCs w:val="22"/>
          <w:lang w:val="sr-Latn-ME"/>
        </w:rPr>
      </w:pPr>
      <w:r w:rsidRPr="00F334AF">
        <w:rPr>
          <w:i/>
          <w:iCs/>
          <w:sz w:val="22"/>
          <w:szCs w:val="22"/>
          <w:lang w:val="sr-Latn-ME"/>
        </w:rPr>
        <w:t>Pol</w:t>
      </w:r>
    </w:p>
    <w:p w14:paraId="38CE40B5" w14:textId="77777777" w:rsidR="00E310B2" w:rsidRPr="00F334AF" w:rsidRDefault="00E310B2" w:rsidP="0034729B">
      <w:pPr>
        <w:jc w:val="both"/>
        <w:rPr>
          <w:sz w:val="22"/>
          <w:szCs w:val="22"/>
          <w:lang w:val="sr-Latn-ME"/>
        </w:rPr>
      </w:pPr>
      <w:r w:rsidRPr="00F334AF">
        <w:rPr>
          <w:sz w:val="22"/>
          <w:szCs w:val="22"/>
          <w:lang w:val="sr-Latn-ME"/>
        </w:rPr>
        <w:t>Nije potrebno prilagođavati dozu u zavisnoti od pola (vidjeti dio 5.2).</w:t>
      </w:r>
    </w:p>
    <w:p w14:paraId="5B952D4E" w14:textId="77777777" w:rsidR="00E310B2" w:rsidRPr="00F334AF" w:rsidRDefault="00E310B2" w:rsidP="0034729B">
      <w:pPr>
        <w:jc w:val="both"/>
        <w:rPr>
          <w:sz w:val="22"/>
          <w:szCs w:val="22"/>
          <w:lang w:val="sr-Latn-ME"/>
        </w:rPr>
      </w:pPr>
    </w:p>
    <w:p w14:paraId="04F7E31B" w14:textId="06387282" w:rsidR="00E310B2" w:rsidRPr="00F334AF" w:rsidRDefault="00E310B2" w:rsidP="0034729B">
      <w:pPr>
        <w:jc w:val="both"/>
        <w:rPr>
          <w:i/>
          <w:sz w:val="22"/>
          <w:szCs w:val="22"/>
          <w:lang w:val="sr-Latn-ME"/>
        </w:rPr>
      </w:pPr>
      <w:r w:rsidRPr="00F334AF">
        <w:rPr>
          <w:i/>
          <w:sz w:val="22"/>
          <w:szCs w:val="22"/>
          <w:lang w:val="sr-Latn-ME"/>
        </w:rPr>
        <w:t>Pacijenti sa oštećenjem</w:t>
      </w:r>
      <w:r w:rsidR="00DA4790" w:rsidRPr="00F334AF">
        <w:rPr>
          <w:i/>
          <w:sz w:val="22"/>
          <w:szCs w:val="22"/>
          <w:lang w:val="sr-Latn-ME"/>
        </w:rPr>
        <w:t xml:space="preserve"> funkcije</w:t>
      </w:r>
      <w:r w:rsidRPr="00F334AF">
        <w:rPr>
          <w:i/>
          <w:sz w:val="22"/>
          <w:szCs w:val="22"/>
          <w:lang w:val="sr-Latn-ME"/>
        </w:rPr>
        <w:t xml:space="preserve"> bubrega</w:t>
      </w:r>
    </w:p>
    <w:p w14:paraId="34D02726" w14:textId="77777777" w:rsidR="00E310B2" w:rsidRPr="00F334AF" w:rsidRDefault="00E310B2" w:rsidP="0034729B">
      <w:pPr>
        <w:jc w:val="both"/>
        <w:rPr>
          <w:sz w:val="22"/>
          <w:szCs w:val="22"/>
          <w:lang w:val="sr-Latn-ME"/>
        </w:rPr>
      </w:pPr>
      <w:r w:rsidRPr="00F334AF">
        <w:rPr>
          <w:sz w:val="22"/>
          <w:szCs w:val="22"/>
          <w:lang w:val="sr-Latn-ME"/>
        </w:rPr>
        <w:t xml:space="preserve">Kod pacijenata sa insuficijencijom bubrega ili kod </w:t>
      </w:r>
      <w:r w:rsidRPr="00F334AF">
        <w:rPr>
          <w:bCs/>
          <w:sz w:val="22"/>
          <w:szCs w:val="22"/>
          <w:lang w:val="sr-Latn-ME"/>
        </w:rPr>
        <w:t>pacijenata sa terminalnim oboljenjem bubrega koji su na hemodijalizi,</w:t>
      </w:r>
      <w:r w:rsidRPr="00F334AF">
        <w:rPr>
          <w:sz w:val="22"/>
          <w:szCs w:val="22"/>
          <w:lang w:val="sr-Latn-ME"/>
        </w:rPr>
        <w:t xml:space="preserve"> nije potrebno prilagođavati dozu (vidjeti dio 5.2).</w:t>
      </w:r>
    </w:p>
    <w:p w14:paraId="307ABA51" w14:textId="77777777" w:rsidR="00E310B2" w:rsidRPr="00F334AF" w:rsidRDefault="00E310B2" w:rsidP="0034729B">
      <w:pPr>
        <w:jc w:val="both"/>
        <w:rPr>
          <w:sz w:val="22"/>
          <w:szCs w:val="22"/>
          <w:lang w:val="sr-Latn-ME"/>
        </w:rPr>
      </w:pPr>
    </w:p>
    <w:p w14:paraId="6F4A8346" w14:textId="08E91466" w:rsidR="00E310B2" w:rsidRPr="00F334AF" w:rsidRDefault="00E310B2" w:rsidP="0034729B">
      <w:pPr>
        <w:jc w:val="both"/>
        <w:rPr>
          <w:i/>
          <w:sz w:val="22"/>
          <w:szCs w:val="22"/>
          <w:lang w:val="sr-Latn-ME"/>
        </w:rPr>
      </w:pPr>
      <w:r w:rsidRPr="00F334AF">
        <w:rPr>
          <w:i/>
          <w:sz w:val="22"/>
          <w:szCs w:val="22"/>
          <w:lang w:val="sr-Latn-ME"/>
        </w:rPr>
        <w:t>Pacijenti sa oštećenjem</w:t>
      </w:r>
      <w:r w:rsidR="00DA4790" w:rsidRPr="00F334AF">
        <w:rPr>
          <w:i/>
          <w:sz w:val="22"/>
          <w:szCs w:val="22"/>
          <w:lang w:val="sr-Latn-ME"/>
        </w:rPr>
        <w:t xml:space="preserve"> funkcije</w:t>
      </w:r>
      <w:r w:rsidRPr="00F334AF">
        <w:rPr>
          <w:i/>
          <w:sz w:val="22"/>
          <w:szCs w:val="22"/>
          <w:lang w:val="sr-Latn-ME"/>
        </w:rPr>
        <w:t xml:space="preserve"> jetre</w:t>
      </w:r>
    </w:p>
    <w:p w14:paraId="189B0A12" w14:textId="1BA2B287" w:rsidR="00E310B2" w:rsidRPr="00F334AF" w:rsidRDefault="00E310B2" w:rsidP="0034729B">
      <w:pPr>
        <w:jc w:val="both"/>
        <w:rPr>
          <w:sz w:val="22"/>
          <w:szCs w:val="22"/>
          <w:lang w:val="sr-Latn-ME"/>
        </w:rPr>
      </w:pPr>
      <w:r w:rsidRPr="00F334AF">
        <w:rPr>
          <w:sz w:val="22"/>
          <w:szCs w:val="22"/>
          <w:lang w:val="sr-Latn-ME"/>
        </w:rPr>
        <w:t>Kod pacijenata sa blagim oblikom insuficijencije jetre nije potrebno prilagođavati dozu. Podaci o pacijentima sa umjerenom insuficijencijom jetre su ograničeni, dok podataka o pacijentima sa teškom insuficijencijom jetre nema. Aprep</w:t>
      </w:r>
      <w:r w:rsidR="007C35EC" w:rsidRPr="00F334AF">
        <w:rPr>
          <w:sz w:val="22"/>
          <w:szCs w:val="22"/>
          <w:lang w:val="sr-Latn-ME"/>
        </w:rPr>
        <w:t>i</w:t>
      </w:r>
      <w:r w:rsidR="004D3444" w:rsidRPr="00F334AF">
        <w:rPr>
          <w:sz w:val="22"/>
          <w:szCs w:val="22"/>
          <w:lang w:val="sr-Latn-ME"/>
        </w:rPr>
        <w:t>tan</w:t>
      </w:r>
      <w:r w:rsidRPr="00F334AF">
        <w:rPr>
          <w:sz w:val="22"/>
          <w:szCs w:val="22"/>
          <w:lang w:val="sr-Latn-ME"/>
        </w:rPr>
        <w:t>t treba koristiti sa oprezom kod ovih pacijenata (vidjeti djelove 4.4 i 5.2).</w:t>
      </w:r>
    </w:p>
    <w:p w14:paraId="0A28F1AF" w14:textId="77777777" w:rsidR="00452E9D" w:rsidRPr="00F334AF" w:rsidRDefault="00452E9D" w:rsidP="0034729B">
      <w:pPr>
        <w:tabs>
          <w:tab w:val="left" w:pos="540"/>
          <w:tab w:val="left" w:pos="569"/>
        </w:tabs>
        <w:jc w:val="both"/>
        <w:rPr>
          <w:bCs/>
          <w:sz w:val="22"/>
          <w:szCs w:val="22"/>
          <w:u w:val="single"/>
          <w:lang w:val="sr-Latn-ME"/>
        </w:rPr>
      </w:pPr>
    </w:p>
    <w:p w14:paraId="5FCC72EE" w14:textId="62CA6036" w:rsidR="00452E9D" w:rsidRPr="00F334AF" w:rsidRDefault="00452E9D" w:rsidP="0034729B">
      <w:pPr>
        <w:tabs>
          <w:tab w:val="left" w:pos="540"/>
          <w:tab w:val="left" w:pos="569"/>
        </w:tabs>
        <w:jc w:val="both"/>
        <w:rPr>
          <w:bCs/>
          <w:sz w:val="22"/>
          <w:szCs w:val="22"/>
          <w:u w:val="single"/>
          <w:lang w:val="sr-Latn-ME"/>
        </w:rPr>
      </w:pPr>
      <w:r w:rsidRPr="00F334AF">
        <w:rPr>
          <w:bCs/>
          <w:sz w:val="22"/>
          <w:szCs w:val="22"/>
          <w:u w:val="single"/>
          <w:lang w:val="sr-Latn-ME"/>
        </w:rPr>
        <w:t>Način primjene</w:t>
      </w:r>
    </w:p>
    <w:p w14:paraId="08D9EEFB" w14:textId="77777777" w:rsidR="00E310B2" w:rsidRPr="00F334AF" w:rsidRDefault="00E310B2" w:rsidP="0034729B">
      <w:pPr>
        <w:tabs>
          <w:tab w:val="left" w:pos="540"/>
          <w:tab w:val="left" w:pos="569"/>
        </w:tabs>
        <w:jc w:val="both"/>
        <w:rPr>
          <w:bCs/>
          <w:sz w:val="22"/>
          <w:szCs w:val="22"/>
          <w:u w:val="single"/>
          <w:lang w:val="sr-Latn-ME"/>
        </w:rPr>
      </w:pPr>
    </w:p>
    <w:p w14:paraId="4B7B2F1A" w14:textId="1B95F6CE" w:rsidR="00E310B2" w:rsidRPr="00F334AF" w:rsidRDefault="00DA4790" w:rsidP="0034729B">
      <w:pPr>
        <w:tabs>
          <w:tab w:val="left" w:pos="540"/>
          <w:tab w:val="left" w:pos="569"/>
        </w:tabs>
        <w:jc w:val="both"/>
        <w:rPr>
          <w:sz w:val="22"/>
          <w:szCs w:val="22"/>
          <w:lang w:val="sr-Latn-ME"/>
        </w:rPr>
      </w:pPr>
      <w:r w:rsidRPr="00F334AF">
        <w:rPr>
          <w:bCs/>
          <w:sz w:val="22"/>
          <w:szCs w:val="22"/>
          <w:lang w:val="sr-Latn-ME"/>
        </w:rPr>
        <w:t xml:space="preserve">Lijek </w:t>
      </w:r>
      <w:r w:rsidR="00E310B2" w:rsidRPr="00F334AF">
        <w:rPr>
          <w:bCs/>
          <w:sz w:val="22"/>
          <w:szCs w:val="22"/>
          <w:lang w:val="sr-Latn-ME"/>
        </w:rPr>
        <w:t>EMEND</w:t>
      </w:r>
      <w:r w:rsidR="00E310B2" w:rsidRPr="00F334AF">
        <w:rPr>
          <w:sz w:val="22"/>
          <w:szCs w:val="22"/>
          <w:lang w:val="sr-Latn-ME"/>
        </w:rPr>
        <w:t xml:space="preserve"> se može uzeti sa hranom ili bez nje.</w:t>
      </w:r>
    </w:p>
    <w:p w14:paraId="416202AE" w14:textId="2BB1D439" w:rsidR="00452E9D" w:rsidRPr="00F334AF" w:rsidRDefault="00E310B2" w:rsidP="0034729B">
      <w:pPr>
        <w:tabs>
          <w:tab w:val="left" w:pos="540"/>
          <w:tab w:val="left" w:pos="569"/>
        </w:tabs>
        <w:jc w:val="both"/>
        <w:rPr>
          <w:sz w:val="22"/>
          <w:szCs w:val="22"/>
          <w:lang w:val="sr-Latn-ME"/>
        </w:rPr>
      </w:pPr>
      <w:r w:rsidRPr="00F334AF">
        <w:rPr>
          <w:sz w:val="22"/>
          <w:szCs w:val="22"/>
          <w:lang w:val="sr-Latn-ME"/>
        </w:rPr>
        <w:t>Tvrdu kapsulu je potrebno cijelu progutati.</w:t>
      </w:r>
    </w:p>
    <w:p w14:paraId="60275BA8" w14:textId="77777777" w:rsidR="00E310B2" w:rsidRPr="00F334AF" w:rsidRDefault="00E310B2" w:rsidP="0034729B">
      <w:pPr>
        <w:tabs>
          <w:tab w:val="left" w:pos="540"/>
          <w:tab w:val="left" w:pos="569"/>
        </w:tabs>
        <w:jc w:val="both"/>
        <w:rPr>
          <w:bCs/>
          <w:sz w:val="22"/>
          <w:szCs w:val="22"/>
          <w:lang w:val="sr-Latn-ME"/>
        </w:rPr>
      </w:pPr>
    </w:p>
    <w:p w14:paraId="680DAE77" w14:textId="6EC296BC" w:rsidR="00411B4B" w:rsidRPr="00F334AF" w:rsidRDefault="00411B4B" w:rsidP="0034729B">
      <w:pPr>
        <w:tabs>
          <w:tab w:val="left" w:pos="540"/>
          <w:tab w:val="left" w:pos="569"/>
        </w:tabs>
        <w:jc w:val="both"/>
        <w:rPr>
          <w:b/>
          <w:bCs/>
          <w:sz w:val="22"/>
          <w:szCs w:val="22"/>
          <w:lang w:val="sr-Latn-ME"/>
        </w:rPr>
      </w:pPr>
      <w:r w:rsidRPr="00F334AF">
        <w:rPr>
          <w:b/>
          <w:bCs/>
          <w:sz w:val="22"/>
          <w:szCs w:val="22"/>
          <w:lang w:val="sr-Latn-ME"/>
        </w:rPr>
        <w:t xml:space="preserve">4.3. </w:t>
      </w:r>
      <w:r w:rsidR="00480FB1" w:rsidRPr="00F334AF">
        <w:rPr>
          <w:b/>
          <w:bCs/>
          <w:sz w:val="22"/>
          <w:szCs w:val="22"/>
          <w:lang w:val="sr-Latn-ME"/>
        </w:rPr>
        <w:tab/>
      </w:r>
      <w:r w:rsidRPr="00F334AF">
        <w:rPr>
          <w:b/>
          <w:bCs/>
          <w:sz w:val="22"/>
          <w:szCs w:val="22"/>
          <w:lang w:val="sr-Latn-ME"/>
        </w:rPr>
        <w:t>Kontraindikacije</w:t>
      </w:r>
    </w:p>
    <w:p w14:paraId="3A1D95AB" w14:textId="77777777" w:rsidR="00E310B2" w:rsidRPr="00F334AF" w:rsidRDefault="00E310B2" w:rsidP="0034729B">
      <w:pPr>
        <w:tabs>
          <w:tab w:val="left" w:pos="540"/>
          <w:tab w:val="left" w:pos="569"/>
        </w:tabs>
        <w:jc w:val="both"/>
        <w:rPr>
          <w:b/>
          <w:bCs/>
          <w:sz w:val="22"/>
          <w:szCs w:val="22"/>
          <w:lang w:val="sr-Latn-ME"/>
        </w:rPr>
      </w:pPr>
    </w:p>
    <w:p w14:paraId="49119AB5" w14:textId="17602709" w:rsidR="00E310B2" w:rsidRPr="00F334AF" w:rsidRDefault="00E310B2" w:rsidP="0034729B">
      <w:pPr>
        <w:jc w:val="both"/>
        <w:rPr>
          <w:sz w:val="22"/>
          <w:szCs w:val="22"/>
          <w:lang w:val="sr-Latn-ME"/>
        </w:rPr>
      </w:pPr>
      <w:r w:rsidRPr="00F334AF">
        <w:rPr>
          <w:sz w:val="22"/>
          <w:szCs w:val="22"/>
          <w:lang w:val="sr-Latn-ME"/>
        </w:rPr>
        <w:t>Preosjetljivost na aktivnu supstancu ili na bilo koji drugi sastojak lijeka</w:t>
      </w:r>
      <w:r w:rsidR="00814AB2" w:rsidRPr="00F334AF">
        <w:rPr>
          <w:sz w:val="22"/>
          <w:szCs w:val="22"/>
          <w:lang w:val="sr-Latn-ME"/>
        </w:rPr>
        <w:t xml:space="preserve"> naveden u dijelu 6.1.</w:t>
      </w:r>
    </w:p>
    <w:p w14:paraId="4368E380" w14:textId="77777777" w:rsidR="00E310B2" w:rsidRPr="00F334AF" w:rsidRDefault="00E310B2" w:rsidP="0034729B">
      <w:pPr>
        <w:jc w:val="both"/>
        <w:rPr>
          <w:sz w:val="22"/>
          <w:szCs w:val="22"/>
          <w:lang w:val="sr-Latn-ME"/>
        </w:rPr>
      </w:pPr>
    </w:p>
    <w:p w14:paraId="29EC85DC" w14:textId="5EC64921" w:rsidR="00E310B2" w:rsidRPr="00F334AF" w:rsidRDefault="00814AB2" w:rsidP="0034729B">
      <w:pPr>
        <w:jc w:val="both"/>
        <w:rPr>
          <w:sz w:val="22"/>
          <w:szCs w:val="22"/>
          <w:lang w:val="sr-Latn-ME"/>
        </w:rPr>
      </w:pPr>
      <w:r w:rsidRPr="00F334AF">
        <w:rPr>
          <w:b/>
          <w:sz w:val="22"/>
          <w:szCs w:val="22"/>
          <w:lang w:val="sr-Latn-ME"/>
        </w:rPr>
        <w:t>Istovremena prim</w:t>
      </w:r>
      <w:r w:rsidR="00A966DD" w:rsidRPr="00F334AF">
        <w:rPr>
          <w:b/>
          <w:sz w:val="22"/>
          <w:szCs w:val="22"/>
          <w:lang w:val="sr-Latn-ME"/>
        </w:rPr>
        <w:t>j</w:t>
      </w:r>
      <w:r w:rsidRPr="00F334AF">
        <w:rPr>
          <w:b/>
          <w:sz w:val="22"/>
          <w:szCs w:val="22"/>
          <w:lang w:val="sr-Latn-ME"/>
        </w:rPr>
        <w:t>ena</w:t>
      </w:r>
      <w:r w:rsidR="00E310B2" w:rsidRPr="00F334AF">
        <w:rPr>
          <w:sz w:val="22"/>
          <w:szCs w:val="22"/>
          <w:lang w:val="sr-Latn-ME"/>
        </w:rPr>
        <w:t xml:space="preserve"> sa pimozidom, terfenadinom, astemizolom ili cisapridom (vidjeti dio 4.5).</w:t>
      </w:r>
      <w:r w:rsidR="00E310B2" w:rsidRPr="00F334AF" w:rsidDel="001329EC">
        <w:rPr>
          <w:sz w:val="22"/>
          <w:szCs w:val="22"/>
          <w:lang w:val="sr-Latn-ME"/>
        </w:rPr>
        <w:t xml:space="preserve"> </w:t>
      </w:r>
    </w:p>
    <w:p w14:paraId="6FEB0297" w14:textId="77777777" w:rsidR="0072020E" w:rsidRPr="00F334AF" w:rsidRDefault="0072020E" w:rsidP="0034729B">
      <w:pPr>
        <w:tabs>
          <w:tab w:val="left" w:pos="540"/>
          <w:tab w:val="left" w:pos="569"/>
        </w:tabs>
        <w:jc w:val="both"/>
        <w:rPr>
          <w:bCs/>
          <w:sz w:val="22"/>
          <w:szCs w:val="22"/>
          <w:lang w:val="sr-Latn-ME"/>
        </w:rPr>
      </w:pPr>
    </w:p>
    <w:p w14:paraId="25CF4242" w14:textId="77777777" w:rsidR="00411B4B" w:rsidRPr="00F334AF" w:rsidRDefault="00411B4B" w:rsidP="0034729B">
      <w:pPr>
        <w:tabs>
          <w:tab w:val="left" w:pos="540"/>
          <w:tab w:val="left" w:pos="569"/>
        </w:tabs>
        <w:jc w:val="both"/>
        <w:rPr>
          <w:b/>
          <w:bCs/>
          <w:sz w:val="22"/>
          <w:szCs w:val="22"/>
          <w:lang w:val="sr-Latn-ME"/>
        </w:rPr>
      </w:pPr>
      <w:r w:rsidRPr="00F334AF">
        <w:rPr>
          <w:b/>
          <w:bCs/>
          <w:sz w:val="22"/>
          <w:szCs w:val="22"/>
          <w:lang w:val="sr-Latn-ME"/>
        </w:rPr>
        <w:t xml:space="preserve">4.4. </w:t>
      </w:r>
      <w:r w:rsidR="00480FB1" w:rsidRPr="00F334AF">
        <w:rPr>
          <w:b/>
          <w:bCs/>
          <w:sz w:val="22"/>
          <w:szCs w:val="22"/>
          <w:lang w:val="sr-Latn-ME"/>
        </w:rPr>
        <w:tab/>
      </w:r>
      <w:r w:rsidRPr="00F334AF">
        <w:rPr>
          <w:b/>
          <w:bCs/>
          <w:sz w:val="22"/>
          <w:szCs w:val="22"/>
          <w:lang w:val="sr-Latn-ME"/>
        </w:rPr>
        <w:t>Posebna upozorenja i mjere opreza pri upotrebi lijeka</w:t>
      </w:r>
    </w:p>
    <w:p w14:paraId="39E269EB" w14:textId="77777777" w:rsidR="00E310B2" w:rsidRPr="00F334AF" w:rsidRDefault="00E310B2" w:rsidP="0034729B">
      <w:pPr>
        <w:tabs>
          <w:tab w:val="left" w:pos="540"/>
          <w:tab w:val="left" w:pos="569"/>
        </w:tabs>
        <w:jc w:val="both"/>
        <w:rPr>
          <w:bCs/>
          <w:sz w:val="22"/>
          <w:szCs w:val="22"/>
          <w:lang w:val="sr-Latn-ME"/>
        </w:rPr>
      </w:pPr>
    </w:p>
    <w:p w14:paraId="07587EC3" w14:textId="5C8CDFE9" w:rsidR="00E310B2" w:rsidRPr="00F334AF" w:rsidRDefault="00E310B2" w:rsidP="0034729B">
      <w:pPr>
        <w:jc w:val="both"/>
        <w:rPr>
          <w:sz w:val="22"/>
          <w:szCs w:val="22"/>
          <w:u w:val="single"/>
          <w:lang w:val="sr-Latn-ME"/>
        </w:rPr>
      </w:pPr>
      <w:r w:rsidRPr="00F334AF">
        <w:rPr>
          <w:sz w:val="22"/>
          <w:szCs w:val="22"/>
          <w:u w:val="single"/>
          <w:lang w:val="sr-Latn-ME"/>
        </w:rPr>
        <w:t>Pacijenti sa um</w:t>
      </w:r>
      <w:r w:rsidR="00A966DD" w:rsidRPr="00F334AF">
        <w:rPr>
          <w:sz w:val="22"/>
          <w:szCs w:val="22"/>
          <w:u w:val="single"/>
          <w:lang w:val="sr-Latn-ME"/>
        </w:rPr>
        <w:t>j</w:t>
      </w:r>
      <w:r w:rsidRPr="00F334AF">
        <w:rPr>
          <w:sz w:val="22"/>
          <w:szCs w:val="22"/>
          <w:u w:val="single"/>
          <w:lang w:val="sr-Latn-ME"/>
        </w:rPr>
        <w:t>erenom do teškom insuficijencijom jetre</w:t>
      </w:r>
    </w:p>
    <w:p w14:paraId="6903AF51" w14:textId="59FE0768" w:rsidR="00E310B2" w:rsidRPr="00F334AF" w:rsidRDefault="00E310B2" w:rsidP="0034729B">
      <w:pPr>
        <w:jc w:val="both"/>
        <w:rPr>
          <w:sz w:val="22"/>
          <w:szCs w:val="22"/>
          <w:lang w:val="sr-Latn-ME"/>
        </w:rPr>
      </w:pPr>
      <w:r w:rsidRPr="00F334AF">
        <w:rPr>
          <w:sz w:val="22"/>
          <w:szCs w:val="22"/>
          <w:lang w:val="sr-Latn-ME"/>
        </w:rPr>
        <w:t>Podaci o pacijentima sa umjerenom insuficijencijom jetre su ograničeni, a nema podataka o pacijentima sa teškom insuficijencijom jetre, stoga kod ovih pacijenata treba oprezno prim</w:t>
      </w:r>
      <w:r w:rsidR="00A966DD" w:rsidRPr="00F334AF">
        <w:rPr>
          <w:sz w:val="22"/>
          <w:szCs w:val="22"/>
          <w:lang w:val="sr-Latn-ME"/>
        </w:rPr>
        <w:t>j</w:t>
      </w:r>
      <w:r w:rsidRPr="00F334AF">
        <w:rPr>
          <w:sz w:val="22"/>
          <w:szCs w:val="22"/>
          <w:lang w:val="sr-Latn-ME"/>
        </w:rPr>
        <w:t>enjivati aprepitant (vidjeti dio 5.2).</w:t>
      </w:r>
    </w:p>
    <w:p w14:paraId="4D69A445" w14:textId="77777777" w:rsidR="00E310B2" w:rsidRPr="00F334AF" w:rsidRDefault="00E310B2" w:rsidP="0034729B">
      <w:pPr>
        <w:jc w:val="both"/>
        <w:rPr>
          <w:sz w:val="22"/>
          <w:szCs w:val="22"/>
          <w:lang w:val="sr-Latn-ME"/>
        </w:rPr>
      </w:pPr>
    </w:p>
    <w:p w14:paraId="68CFCFD8" w14:textId="77F04E0D" w:rsidR="00E310B2" w:rsidRPr="00F334AF" w:rsidRDefault="009903A7" w:rsidP="0034729B">
      <w:pPr>
        <w:jc w:val="both"/>
        <w:rPr>
          <w:sz w:val="22"/>
          <w:szCs w:val="22"/>
          <w:u w:val="single"/>
          <w:lang w:val="sr-Latn-ME"/>
        </w:rPr>
      </w:pPr>
      <w:r w:rsidRPr="00F334AF">
        <w:rPr>
          <w:sz w:val="22"/>
          <w:szCs w:val="22"/>
          <w:u w:val="single"/>
          <w:lang w:val="sr-Latn-ME"/>
        </w:rPr>
        <w:t xml:space="preserve">Interakcije na nivou </w:t>
      </w:r>
      <w:r w:rsidR="00E310B2" w:rsidRPr="00F334AF">
        <w:rPr>
          <w:sz w:val="22"/>
          <w:szCs w:val="22"/>
          <w:u w:val="single"/>
          <w:lang w:val="sr-Latn-ME"/>
        </w:rPr>
        <w:t xml:space="preserve">CYP3A4 </w:t>
      </w:r>
    </w:p>
    <w:p w14:paraId="4B7265BB" w14:textId="01BBB81D" w:rsidR="00A966DD" w:rsidRPr="00F334AF" w:rsidRDefault="00E310B2" w:rsidP="0034729B">
      <w:pPr>
        <w:jc w:val="both"/>
        <w:rPr>
          <w:sz w:val="22"/>
          <w:szCs w:val="22"/>
          <w:lang w:val="sr-Latn-ME"/>
        </w:rPr>
      </w:pPr>
      <w:r w:rsidRPr="00F334AF">
        <w:rPr>
          <w:sz w:val="22"/>
          <w:szCs w:val="22"/>
          <w:lang w:val="sr-Latn-ME"/>
        </w:rPr>
        <w:t>Lijek</w:t>
      </w:r>
      <w:r w:rsidRPr="00F334AF">
        <w:rPr>
          <w:b/>
          <w:sz w:val="22"/>
          <w:szCs w:val="22"/>
          <w:lang w:val="sr-Latn-ME"/>
        </w:rPr>
        <w:t xml:space="preserve"> </w:t>
      </w:r>
      <w:r w:rsidRPr="00F334AF">
        <w:rPr>
          <w:bCs/>
          <w:sz w:val="22"/>
          <w:szCs w:val="22"/>
          <w:lang w:val="sr-Latn-ME"/>
        </w:rPr>
        <w:t>EMEND</w:t>
      </w:r>
      <w:r w:rsidRPr="00F334AF">
        <w:rPr>
          <w:sz w:val="22"/>
          <w:szCs w:val="22"/>
          <w:lang w:val="sr-Latn-ME"/>
        </w:rPr>
        <w:t xml:space="preserve"> treba oprezno primjenjivati kod pacijenata koji istovremeno oralno primjenjuju ljekove koji se primarno metabolišu putem CYP3A4, a koji imaju malu terapijsku širinu, kao što su ciklosporin, takrolimus, sirolimus, everolimus, alfentanil, derivati ergot alkaloida, fentanil i hinidin (vidjeti dio 4.5). Posebnu pažn</w:t>
      </w:r>
      <w:r w:rsidR="007C35EC" w:rsidRPr="00F334AF">
        <w:rPr>
          <w:sz w:val="22"/>
          <w:szCs w:val="22"/>
          <w:lang w:val="sr-Latn-ME"/>
        </w:rPr>
        <w:t>j</w:t>
      </w:r>
      <w:r w:rsidRPr="00F334AF">
        <w:rPr>
          <w:sz w:val="22"/>
          <w:szCs w:val="22"/>
          <w:lang w:val="sr-Latn-ME"/>
        </w:rPr>
        <w:t>u treba obratiti ukoliko se primjenjuje irinotekan, jer istovremena primjena može dovesti do povećanja toksičnosti.</w:t>
      </w:r>
    </w:p>
    <w:p w14:paraId="62E83BFA" w14:textId="77777777" w:rsidR="00E310B2" w:rsidRPr="00F334AF" w:rsidRDefault="00E310B2" w:rsidP="0034729B">
      <w:pPr>
        <w:jc w:val="both"/>
        <w:rPr>
          <w:sz w:val="22"/>
          <w:szCs w:val="22"/>
          <w:lang w:val="sr-Latn-ME"/>
        </w:rPr>
      </w:pPr>
    </w:p>
    <w:p w14:paraId="0251C821" w14:textId="613839D1" w:rsidR="00E310B2" w:rsidRPr="00F334AF" w:rsidRDefault="00E310B2" w:rsidP="0034729B">
      <w:pPr>
        <w:jc w:val="both"/>
        <w:rPr>
          <w:sz w:val="22"/>
          <w:szCs w:val="22"/>
          <w:u w:val="single"/>
          <w:lang w:val="sr-Latn-ME"/>
        </w:rPr>
      </w:pPr>
      <w:r w:rsidRPr="00F334AF">
        <w:rPr>
          <w:sz w:val="22"/>
          <w:szCs w:val="22"/>
          <w:u w:val="single"/>
          <w:lang w:val="sr-Latn-ME"/>
        </w:rPr>
        <w:t>Istovremena primj</w:t>
      </w:r>
      <w:r w:rsidR="00A966DD" w:rsidRPr="00F334AF">
        <w:rPr>
          <w:sz w:val="22"/>
          <w:szCs w:val="22"/>
          <w:u w:val="single"/>
          <w:lang w:val="sr-Latn-ME"/>
        </w:rPr>
        <w:t>e</w:t>
      </w:r>
      <w:r w:rsidRPr="00F334AF">
        <w:rPr>
          <w:sz w:val="22"/>
          <w:szCs w:val="22"/>
          <w:u w:val="single"/>
          <w:lang w:val="sr-Latn-ME"/>
        </w:rPr>
        <w:t>na sa varfarinom (sup</w:t>
      </w:r>
      <w:r w:rsidR="007C35EC" w:rsidRPr="00F334AF">
        <w:rPr>
          <w:sz w:val="22"/>
          <w:szCs w:val="22"/>
          <w:u w:val="single"/>
          <w:lang w:val="sr-Latn-ME"/>
        </w:rPr>
        <w:t>st</w:t>
      </w:r>
      <w:r w:rsidRPr="00F334AF">
        <w:rPr>
          <w:sz w:val="22"/>
          <w:szCs w:val="22"/>
          <w:u w:val="single"/>
          <w:lang w:val="sr-Latn-ME"/>
        </w:rPr>
        <w:t>rat CYP2C9)</w:t>
      </w:r>
    </w:p>
    <w:p w14:paraId="16775975" w14:textId="77777777" w:rsidR="00E310B2" w:rsidRPr="00F334AF" w:rsidRDefault="00E310B2" w:rsidP="0034729B">
      <w:pPr>
        <w:jc w:val="both"/>
        <w:rPr>
          <w:sz w:val="22"/>
          <w:szCs w:val="22"/>
          <w:lang w:val="sr-Latn-ME"/>
        </w:rPr>
      </w:pPr>
      <w:r w:rsidRPr="00F334AF">
        <w:rPr>
          <w:sz w:val="22"/>
          <w:szCs w:val="22"/>
          <w:lang w:val="sr-Latn-ME"/>
        </w:rPr>
        <w:t xml:space="preserve">Kod pacijenata na dugotrajnoj terapiji varfarinom treba strogo pratiti vrijednost Međunarodnog normalizovanog odnosa (International Normalized Ratio - INR) tokom terapije lijekom </w:t>
      </w:r>
      <w:r w:rsidRPr="00F334AF">
        <w:rPr>
          <w:bCs/>
          <w:sz w:val="22"/>
          <w:szCs w:val="22"/>
          <w:lang w:val="sr-Latn-ME"/>
        </w:rPr>
        <w:t>EMEND</w:t>
      </w:r>
      <w:r w:rsidRPr="00F334AF">
        <w:rPr>
          <w:sz w:val="22"/>
          <w:szCs w:val="22"/>
          <w:lang w:val="sr-Latn-ME"/>
        </w:rPr>
        <w:t xml:space="preserve">, kao i tokom dvije nedjelje nakon svakog trodnevnog režima liječenja lijekom </w:t>
      </w:r>
      <w:r w:rsidRPr="00F334AF">
        <w:rPr>
          <w:bCs/>
          <w:sz w:val="22"/>
          <w:szCs w:val="22"/>
          <w:lang w:val="sr-Latn-ME"/>
        </w:rPr>
        <w:t>EMEND</w:t>
      </w:r>
      <w:r w:rsidRPr="00F334AF">
        <w:rPr>
          <w:sz w:val="22"/>
          <w:szCs w:val="22"/>
          <w:lang w:val="sr-Latn-ME"/>
        </w:rPr>
        <w:t xml:space="preserve"> za terapiju mučnine i povraćanja izazvanih hemoterapijom (vidjeti dio 4.5).</w:t>
      </w:r>
    </w:p>
    <w:p w14:paraId="7BAF8B36" w14:textId="77777777" w:rsidR="00E310B2" w:rsidRPr="00F334AF" w:rsidRDefault="00E310B2" w:rsidP="0034729B">
      <w:pPr>
        <w:jc w:val="both"/>
        <w:rPr>
          <w:sz w:val="22"/>
          <w:szCs w:val="22"/>
          <w:lang w:val="sr-Latn-ME"/>
        </w:rPr>
      </w:pPr>
    </w:p>
    <w:p w14:paraId="187C7FD2" w14:textId="77777777" w:rsidR="00E310B2" w:rsidRPr="00F334AF" w:rsidRDefault="00E310B2" w:rsidP="0034729B">
      <w:pPr>
        <w:jc w:val="both"/>
        <w:rPr>
          <w:sz w:val="22"/>
          <w:szCs w:val="22"/>
          <w:u w:val="single"/>
          <w:lang w:val="sr-Latn-ME"/>
        </w:rPr>
      </w:pPr>
      <w:r w:rsidRPr="00F334AF">
        <w:rPr>
          <w:sz w:val="22"/>
          <w:szCs w:val="22"/>
          <w:u w:val="single"/>
          <w:lang w:val="sr-Latn-ME"/>
        </w:rPr>
        <w:t>Istovremena primjena sa hormonskim kontraceptivima</w:t>
      </w:r>
    </w:p>
    <w:p w14:paraId="7B404FA9" w14:textId="450EDE84" w:rsidR="00E310B2" w:rsidRPr="00F334AF" w:rsidRDefault="00E310B2" w:rsidP="0034729B">
      <w:pPr>
        <w:jc w:val="both"/>
        <w:rPr>
          <w:sz w:val="22"/>
          <w:szCs w:val="22"/>
          <w:lang w:val="sr-Latn-ME"/>
        </w:rPr>
      </w:pPr>
      <w:r w:rsidRPr="00F334AF">
        <w:rPr>
          <w:sz w:val="22"/>
          <w:szCs w:val="22"/>
          <w:lang w:val="sr-Latn-ME"/>
        </w:rPr>
        <w:t xml:space="preserve">Primjena lijeka </w:t>
      </w:r>
      <w:r w:rsidRPr="00F334AF">
        <w:rPr>
          <w:bCs/>
          <w:sz w:val="22"/>
          <w:szCs w:val="22"/>
          <w:lang w:val="sr-Latn-ME"/>
        </w:rPr>
        <w:t>EMEND</w:t>
      </w:r>
      <w:r w:rsidRPr="00F334AF">
        <w:rPr>
          <w:sz w:val="22"/>
          <w:szCs w:val="22"/>
          <w:lang w:val="sr-Latn-ME"/>
        </w:rPr>
        <w:t xml:space="preserve"> može da smanji efikasnost hormonskih kontraceptiva za vrijeme, kao i 28 dana nakon</w:t>
      </w:r>
      <w:r w:rsidR="00814AB2" w:rsidRPr="00F334AF">
        <w:rPr>
          <w:sz w:val="22"/>
          <w:szCs w:val="22"/>
          <w:lang w:val="sr-Latn-ME"/>
        </w:rPr>
        <w:t xml:space="preserve"> završetka</w:t>
      </w:r>
      <w:r w:rsidRPr="00F334AF">
        <w:rPr>
          <w:sz w:val="22"/>
          <w:szCs w:val="22"/>
          <w:lang w:val="sr-Latn-ME"/>
        </w:rPr>
        <w:t xml:space="preserve"> njegove primjene. Stoga, dok traje terapija lijekom </w:t>
      </w:r>
      <w:r w:rsidRPr="00F334AF">
        <w:rPr>
          <w:bCs/>
          <w:sz w:val="22"/>
          <w:szCs w:val="22"/>
          <w:lang w:val="sr-Latn-ME"/>
        </w:rPr>
        <w:t>EMEND</w:t>
      </w:r>
      <w:r w:rsidRPr="00F334AF">
        <w:rPr>
          <w:sz w:val="22"/>
          <w:szCs w:val="22"/>
          <w:lang w:val="sr-Latn-ME"/>
        </w:rPr>
        <w:t xml:space="preserve">, kao i dva mjeseca nakon uzimanja posljednje doze lijeka </w:t>
      </w:r>
      <w:r w:rsidRPr="00F334AF">
        <w:rPr>
          <w:bCs/>
          <w:sz w:val="22"/>
          <w:szCs w:val="22"/>
          <w:lang w:val="sr-Latn-ME"/>
        </w:rPr>
        <w:t>EMEND</w:t>
      </w:r>
      <w:r w:rsidRPr="00F334AF">
        <w:rPr>
          <w:sz w:val="22"/>
          <w:szCs w:val="22"/>
          <w:lang w:val="sr-Latn-ME"/>
        </w:rPr>
        <w:t xml:space="preserve">, treba koristiti alternativnu, odnosno </w:t>
      </w:r>
      <w:r w:rsidR="009903A7" w:rsidRPr="00F334AF">
        <w:rPr>
          <w:sz w:val="22"/>
          <w:szCs w:val="22"/>
          <w:lang w:val="sr-Latn-ME"/>
        </w:rPr>
        <w:t xml:space="preserve">dodatnu nehormonsku </w:t>
      </w:r>
      <w:r w:rsidRPr="00F334AF">
        <w:rPr>
          <w:sz w:val="22"/>
          <w:szCs w:val="22"/>
          <w:lang w:val="sr-Latn-ME"/>
        </w:rPr>
        <w:t>kontraceptivnu terapiju (vidjeti dio 4.5).</w:t>
      </w:r>
    </w:p>
    <w:p w14:paraId="30902CA7" w14:textId="40F64D53" w:rsidR="007A05E0" w:rsidRPr="00F334AF" w:rsidRDefault="007A05E0" w:rsidP="0034729B">
      <w:pPr>
        <w:jc w:val="both"/>
        <w:rPr>
          <w:sz w:val="22"/>
          <w:szCs w:val="22"/>
          <w:lang w:val="sr-Latn-ME"/>
        </w:rPr>
      </w:pPr>
    </w:p>
    <w:p w14:paraId="44014311" w14:textId="77777777" w:rsidR="007A05E0" w:rsidRPr="00F334AF" w:rsidRDefault="007A05E0" w:rsidP="0034729B">
      <w:pPr>
        <w:jc w:val="both"/>
        <w:rPr>
          <w:sz w:val="22"/>
          <w:szCs w:val="22"/>
          <w:lang w:val="sr-Latn-ME"/>
        </w:rPr>
      </w:pPr>
    </w:p>
    <w:p w14:paraId="5D19AF17" w14:textId="77777777" w:rsidR="007A05E0" w:rsidRPr="00F334AF" w:rsidRDefault="007A05E0" w:rsidP="0034729B">
      <w:pPr>
        <w:jc w:val="both"/>
        <w:rPr>
          <w:sz w:val="22"/>
          <w:szCs w:val="22"/>
          <w:lang w:val="sr-Latn-ME"/>
        </w:rPr>
      </w:pPr>
    </w:p>
    <w:p w14:paraId="03404C7A" w14:textId="67807E1D" w:rsidR="0034299F" w:rsidRPr="00F334AF" w:rsidRDefault="00E310B2" w:rsidP="0034729B">
      <w:pPr>
        <w:jc w:val="both"/>
        <w:rPr>
          <w:sz w:val="22"/>
          <w:szCs w:val="22"/>
          <w:u w:val="single"/>
          <w:lang w:val="sr-Latn-ME"/>
        </w:rPr>
      </w:pPr>
      <w:r w:rsidRPr="00F334AF">
        <w:rPr>
          <w:sz w:val="22"/>
          <w:szCs w:val="22"/>
          <w:u w:val="single"/>
          <w:lang w:val="sr-Latn-ME"/>
        </w:rPr>
        <w:lastRenderedPageBreak/>
        <w:t>Pomoćne supstance</w:t>
      </w:r>
    </w:p>
    <w:p w14:paraId="661F44CB" w14:textId="7012E8C1" w:rsidR="00E310B2" w:rsidRDefault="00E310B2" w:rsidP="0034729B">
      <w:pPr>
        <w:jc w:val="both"/>
        <w:rPr>
          <w:sz w:val="22"/>
          <w:szCs w:val="22"/>
          <w:lang w:val="sr-Latn-ME"/>
        </w:rPr>
      </w:pPr>
      <w:r w:rsidRPr="00F334AF">
        <w:rPr>
          <w:bCs/>
          <w:sz w:val="22"/>
          <w:szCs w:val="22"/>
          <w:lang w:val="sr-Latn-ME"/>
        </w:rPr>
        <w:t>EMEND</w:t>
      </w:r>
      <w:r w:rsidRPr="00F334AF">
        <w:rPr>
          <w:sz w:val="22"/>
          <w:szCs w:val="22"/>
          <w:lang w:val="sr-Latn-ME"/>
        </w:rPr>
        <w:t xml:space="preserve"> kapsule sadrže saharozu. </w:t>
      </w:r>
      <w:r w:rsidR="00814AB2" w:rsidRPr="00F334AF">
        <w:rPr>
          <w:sz w:val="22"/>
          <w:szCs w:val="22"/>
          <w:lang w:val="sr-Latn-ME"/>
        </w:rPr>
        <w:t>P</w:t>
      </w:r>
      <w:r w:rsidRPr="00F334AF">
        <w:rPr>
          <w:sz w:val="22"/>
          <w:szCs w:val="22"/>
          <w:lang w:val="sr-Latn-ME"/>
        </w:rPr>
        <w:t xml:space="preserve">acijenti sa rijetkim nasljednim oboljenjima </w:t>
      </w:r>
      <w:r w:rsidR="00814AB2" w:rsidRPr="00F334AF">
        <w:rPr>
          <w:sz w:val="22"/>
          <w:szCs w:val="22"/>
          <w:lang w:val="sr-Latn-ME"/>
        </w:rPr>
        <w:t>intolerancije na fruktozu, glukozno-galaktoznom malapsorpcijom ili nedostatkom saharoza-izomaltaze, ne smiju koristiti ovaj lijek</w:t>
      </w:r>
      <w:r w:rsidRPr="00F334AF">
        <w:rPr>
          <w:sz w:val="22"/>
          <w:szCs w:val="22"/>
          <w:lang w:val="sr-Latn-ME"/>
        </w:rPr>
        <w:t>.</w:t>
      </w:r>
    </w:p>
    <w:p w14:paraId="3C2A415B" w14:textId="77777777" w:rsidR="005C4A98" w:rsidRDefault="005C4A98" w:rsidP="0034729B">
      <w:pPr>
        <w:jc w:val="both"/>
        <w:rPr>
          <w:sz w:val="22"/>
          <w:szCs w:val="22"/>
          <w:lang w:val="sr-Latn-ME"/>
        </w:rPr>
      </w:pPr>
    </w:p>
    <w:p w14:paraId="0DB2C049" w14:textId="77777777" w:rsidR="005C4A98" w:rsidRPr="00F62BA7" w:rsidRDefault="005C4A98" w:rsidP="005C4A98">
      <w:pPr>
        <w:jc w:val="both"/>
        <w:rPr>
          <w:sz w:val="22"/>
          <w:szCs w:val="22"/>
          <w:u w:val="single"/>
          <w:lang w:val="sr-Latn-ME"/>
        </w:rPr>
      </w:pPr>
      <w:r w:rsidRPr="00F62BA7">
        <w:rPr>
          <w:sz w:val="22"/>
          <w:szCs w:val="22"/>
          <w:u w:val="single"/>
          <w:lang w:val="sr-Latn-ME"/>
        </w:rPr>
        <w:t>Natrijum</w:t>
      </w:r>
    </w:p>
    <w:p w14:paraId="4EBCB11C" w14:textId="4E636EB1" w:rsidR="005C4A98" w:rsidRPr="00F334AF" w:rsidRDefault="005C4A98" w:rsidP="005C4A98">
      <w:pPr>
        <w:jc w:val="both"/>
        <w:rPr>
          <w:sz w:val="22"/>
          <w:szCs w:val="22"/>
          <w:lang w:val="sr-Latn-ME"/>
        </w:rPr>
      </w:pPr>
      <w:r w:rsidRPr="005C4A98">
        <w:rPr>
          <w:sz w:val="22"/>
          <w:szCs w:val="22"/>
          <w:lang w:val="sr-Latn-ME"/>
        </w:rPr>
        <w:t>Ovaj l</w:t>
      </w:r>
      <w:r>
        <w:rPr>
          <w:sz w:val="22"/>
          <w:szCs w:val="22"/>
          <w:lang w:val="sr-Latn-ME"/>
        </w:rPr>
        <w:t>ij</w:t>
      </w:r>
      <w:r w:rsidRPr="005C4A98">
        <w:rPr>
          <w:sz w:val="22"/>
          <w:szCs w:val="22"/>
          <w:lang w:val="sr-Latn-ME"/>
        </w:rPr>
        <w:t>ek sadrži manje od 1 mmol (23 mg) natrijuma po kapsuli, odnosno suštinski je bez natrijuma.</w:t>
      </w:r>
    </w:p>
    <w:p w14:paraId="589EFDA1" w14:textId="77777777" w:rsidR="00E310B2" w:rsidRPr="00F334AF" w:rsidRDefault="00E310B2" w:rsidP="0034729B">
      <w:pPr>
        <w:tabs>
          <w:tab w:val="left" w:pos="540"/>
          <w:tab w:val="left" w:pos="569"/>
        </w:tabs>
        <w:jc w:val="both"/>
        <w:rPr>
          <w:sz w:val="22"/>
          <w:szCs w:val="22"/>
          <w:u w:val="single"/>
          <w:lang w:val="sr-Latn-ME"/>
        </w:rPr>
      </w:pPr>
    </w:p>
    <w:p w14:paraId="30AE97BF" w14:textId="2C4E3118" w:rsidR="00E310B2" w:rsidRPr="00F334AF" w:rsidRDefault="00E310B2" w:rsidP="0034729B">
      <w:pPr>
        <w:tabs>
          <w:tab w:val="left" w:pos="540"/>
          <w:tab w:val="left" w:pos="569"/>
        </w:tabs>
        <w:jc w:val="both"/>
        <w:rPr>
          <w:b/>
          <w:bCs/>
          <w:sz w:val="22"/>
          <w:szCs w:val="22"/>
          <w:lang w:val="sr-Latn-ME"/>
        </w:rPr>
      </w:pPr>
      <w:r w:rsidRPr="00F334AF">
        <w:rPr>
          <w:b/>
          <w:bCs/>
          <w:sz w:val="22"/>
          <w:szCs w:val="22"/>
          <w:lang w:val="sr-Latn-ME"/>
        </w:rPr>
        <w:t>4.5.</w:t>
      </w:r>
      <w:r w:rsidR="004D3444" w:rsidRPr="00F334AF">
        <w:rPr>
          <w:b/>
          <w:bCs/>
          <w:sz w:val="22"/>
          <w:szCs w:val="22"/>
          <w:lang w:val="sr-Latn-ME"/>
        </w:rPr>
        <w:t xml:space="preserve"> </w:t>
      </w:r>
      <w:r w:rsidRPr="00F334AF">
        <w:rPr>
          <w:b/>
          <w:bCs/>
          <w:sz w:val="22"/>
          <w:szCs w:val="22"/>
          <w:lang w:val="sr-Latn-ME"/>
        </w:rPr>
        <w:t>Interakcije sa drugim ljekovima i druge vrste interakcija</w:t>
      </w:r>
    </w:p>
    <w:p w14:paraId="3500367B" w14:textId="77777777" w:rsidR="00E310B2" w:rsidRPr="00F334AF" w:rsidRDefault="00E310B2" w:rsidP="0034729B">
      <w:pPr>
        <w:tabs>
          <w:tab w:val="left" w:pos="540"/>
          <w:tab w:val="left" w:pos="569"/>
        </w:tabs>
        <w:jc w:val="both"/>
        <w:rPr>
          <w:bCs/>
          <w:sz w:val="22"/>
          <w:szCs w:val="22"/>
          <w:lang w:val="sr-Latn-ME"/>
        </w:rPr>
      </w:pPr>
    </w:p>
    <w:p w14:paraId="6436DA15" w14:textId="082AB92A" w:rsidR="00E310B2" w:rsidRPr="00F334AF" w:rsidRDefault="00E310B2" w:rsidP="0034729B">
      <w:pPr>
        <w:jc w:val="both"/>
        <w:rPr>
          <w:sz w:val="22"/>
          <w:szCs w:val="22"/>
          <w:lang w:val="sr-Latn-ME"/>
        </w:rPr>
      </w:pPr>
      <w:r w:rsidRPr="00F334AF">
        <w:rPr>
          <w:sz w:val="22"/>
          <w:szCs w:val="22"/>
          <w:lang w:val="sr-Latn-ME"/>
        </w:rPr>
        <w:t xml:space="preserve">Aprepitant (125 mg/80 mg) je supstrat, umjereni inhibitor, ali i induktor CYP3A4. Aprepitant takođe indukuje CYP2C9. Tokom liječenja lijekom </w:t>
      </w:r>
      <w:r w:rsidRPr="00F334AF">
        <w:rPr>
          <w:bCs/>
          <w:sz w:val="22"/>
          <w:szCs w:val="22"/>
          <w:lang w:val="sr-Latn-ME"/>
        </w:rPr>
        <w:t>EMEND</w:t>
      </w:r>
      <w:r w:rsidRPr="00F334AF">
        <w:rPr>
          <w:sz w:val="22"/>
          <w:szCs w:val="22"/>
          <w:lang w:val="sr-Latn-ME"/>
        </w:rPr>
        <w:t xml:space="preserve"> dolazi do inhibicije CYP3A4. Nakon završetka terapije, </w:t>
      </w:r>
      <w:r w:rsidR="004D3444" w:rsidRPr="00F334AF">
        <w:rPr>
          <w:sz w:val="22"/>
          <w:szCs w:val="22"/>
          <w:lang w:val="sr-Latn-ME"/>
        </w:rPr>
        <w:t xml:space="preserve">lijek </w:t>
      </w:r>
      <w:r w:rsidRPr="00F334AF">
        <w:rPr>
          <w:bCs/>
          <w:sz w:val="22"/>
          <w:szCs w:val="22"/>
          <w:lang w:val="sr-Latn-ME"/>
        </w:rPr>
        <w:t>EMEND</w:t>
      </w:r>
      <w:r w:rsidRPr="00F334AF">
        <w:rPr>
          <w:sz w:val="22"/>
          <w:szCs w:val="22"/>
          <w:lang w:val="sr-Latn-ME"/>
        </w:rPr>
        <w:t xml:space="preserve"> dovodi do prolazne blage indukcije CYP2C9, CYP3A4 i glukuronidacije. Izgleda da aprepitant ne interaguje sa P-glikoproteinskim transporterom, na šta ukazuje izostanak interakcije aprepitanta sa digoksinom.</w:t>
      </w:r>
    </w:p>
    <w:p w14:paraId="275949D2" w14:textId="77777777" w:rsidR="00E310B2" w:rsidRPr="00F334AF" w:rsidRDefault="00E310B2" w:rsidP="0034729B">
      <w:pPr>
        <w:jc w:val="both"/>
        <w:rPr>
          <w:sz w:val="22"/>
          <w:szCs w:val="22"/>
          <w:lang w:val="sr-Latn-ME"/>
        </w:rPr>
      </w:pPr>
    </w:p>
    <w:p w14:paraId="2771D03D" w14:textId="4EBE2EEC" w:rsidR="00E310B2" w:rsidRPr="00F334AF" w:rsidRDefault="00E310B2" w:rsidP="0034729B">
      <w:pPr>
        <w:jc w:val="both"/>
        <w:rPr>
          <w:iCs/>
          <w:sz w:val="22"/>
          <w:szCs w:val="22"/>
          <w:u w:val="single"/>
          <w:lang w:val="sr-Latn-ME"/>
        </w:rPr>
      </w:pPr>
      <w:r w:rsidRPr="00F334AF">
        <w:rPr>
          <w:iCs/>
          <w:sz w:val="22"/>
          <w:szCs w:val="22"/>
          <w:u w:val="single"/>
          <w:lang w:val="sr-Latn-ME"/>
        </w:rPr>
        <w:t>Efekat aprepitanta na farmakokinetiku drugih ljekova</w:t>
      </w:r>
    </w:p>
    <w:p w14:paraId="544E6A8F" w14:textId="77777777" w:rsidR="00E310B2" w:rsidRPr="00F334AF" w:rsidRDefault="00E310B2" w:rsidP="0034729B">
      <w:pPr>
        <w:jc w:val="both"/>
        <w:rPr>
          <w:i/>
          <w:sz w:val="22"/>
          <w:szCs w:val="22"/>
          <w:u w:val="single"/>
          <w:lang w:val="sr-Latn-ME"/>
        </w:rPr>
      </w:pPr>
      <w:r w:rsidRPr="00F334AF">
        <w:rPr>
          <w:i/>
          <w:sz w:val="22"/>
          <w:szCs w:val="22"/>
          <w:u w:val="single"/>
          <w:lang w:val="sr-Latn-ME"/>
        </w:rPr>
        <w:t>CYP3A4 inhibicija</w:t>
      </w:r>
    </w:p>
    <w:p w14:paraId="5F5AC4D7" w14:textId="5720D765" w:rsidR="00E310B2" w:rsidRPr="00F334AF" w:rsidRDefault="00E310B2" w:rsidP="0034729B">
      <w:pPr>
        <w:jc w:val="both"/>
        <w:rPr>
          <w:sz w:val="22"/>
          <w:szCs w:val="22"/>
          <w:lang w:val="sr-Latn-ME"/>
        </w:rPr>
      </w:pPr>
      <w:r w:rsidRPr="00F334AF">
        <w:rPr>
          <w:sz w:val="22"/>
          <w:szCs w:val="22"/>
          <w:lang w:val="sr-Latn-ME"/>
        </w:rPr>
        <w:t xml:space="preserve">Kao umjereni inhibitor CYP3A4, aprepitant (125mg/80mg) može da dovede do povećanja koncentracija u plazmi onih ljekova koji se metabolišu putem CYP3A4 ako se </w:t>
      </w:r>
      <w:r w:rsidR="00F16B4F" w:rsidRPr="00F334AF">
        <w:rPr>
          <w:sz w:val="22"/>
          <w:szCs w:val="22"/>
          <w:lang w:val="sr-Latn-ME"/>
        </w:rPr>
        <w:t xml:space="preserve">oni </w:t>
      </w:r>
      <w:r w:rsidRPr="00F334AF">
        <w:rPr>
          <w:sz w:val="22"/>
          <w:szCs w:val="22"/>
          <w:lang w:val="sr-Latn-ME"/>
        </w:rPr>
        <w:t xml:space="preserve">primjenjuju istovremeno sa lijekom </w:t>
      </w:r>
      <w:r w:rsidRPr="00F334AF">
        <w:rPr>
          <w:bCs/>
          <w:sz w:val="22"/>
          <w:szCs w:val="22"/>
          <w:lang w:val="sr-Latn-ME"/>
        </w:rPr>
        <w:t>EMEND</w:t>
      </w:r>
      <w:r w:rsidRPr="00F334AF">
        <w:rPr>
          <w:sz w:val="22"/>
          <w:szCs w:val="22"/>
          <w:lang w:val="sr-Latn-ME"/>
        </w:rPr>
        <w:t xml:space="preserve">. </w:t>
      </w:r>
      <w:r w:rsidR="00814AB2" w:rsidRPr="00F334AF">
        <w:rPr>
          <w:sz w:val="22"/>
          <w:szCs w:val="22"/>
          <w:lang w:val="sr-Latn-ME"/>
        </w:rPr>
        <w:t>Ukupna izloženost</w:t>
      </w:r>
      <w:r w:rsidRPr="00F334AF">
        <w:rPr>
          <w:sz w:val="22"/>
          <w:szCs w:val="22"/>
          <w:lang w:val="sr-Latn-ME"/>
        </w:rPr>
        <w:t xml:space="preserve"> oralno primijenjenih supstrata CYP3A4 može da se poveća oko tri puta kod istovremene 3-dnevne primjene lijeka </w:t>
      </w:r>
      <w:r w:rsidRPr="00F334AF">
        <w:rPr>
          <w:bCs/>
          <w:sz w:val="22"/>
          <w:szCs w:val="22"/>
          <w:lang w:val="sr-Latn-ME"/>
        </w:rPr>
        <w:t>EMEND</w:t>
      </w:r>
      <w:r w:rsidRPr="00F334AF">
        <w:rPr>
          <w:sz w:val="22"/>
          <w:szCs w:val="22"/>
          <w:lang w:val="sr-Latn-ME"/>
        </w:rPr>
        <w:t xml:space="preserve">, a očekuje se da će efekat aprepitanta na njihovu koncentraciju u plazmi biti manji ako se ovi ljekovi primjenjuju intravenski. Lijek </w:t>
      </w:r>
      <w:r w:rsidRPr="00F334AF">
        <w:rPr>
          <w:bCs/>
          <w:sz w:val="22"/>
          <w:szCs w:val="22"/>
          <w:lang w:val="sr-Latn-ME"/>
        </w:rPr>
        <w:t xml:space="preserve">EMEND </w:t>
      </w:r>
      <w:r w:rsidRPr="00F334AF">
        <w:rPr>
          <w:sz w:val="22"/>
          <w:szCs w:val="22"/>
          <w:lang w:val="sr-Latn-ME"/>
        </w:rPr>
        <w:t xml:space="preserve">ne smije da se primjenjuje zajedno sa pimozidom, terfenadinom, astemizolom ili cisapridom (vidjeti dio 4.3). Inhibicija enzima CYP3A4 aprepitantom može dovesti do povećanja koncentracija ovih supstanci u plazmi, usljed čega može doći do potencijalno ozbiljinh i životno-ugrožavajućih neželjenih reakcija. Oprez je neophodan prilikom istovremene primjene lijeka </w:t>
      </w:r>
      <w:r w:rsidRPr="00F334AF">
        <w:rPr>
          <w:bCs/>
          <w:sz w:val="22"/>
          <w:szCs w:val="22"/>
          <w:lang w:val="sr-Latn-ME"/>
        </w:rPr>
        <w:t>EMEND</w:t>
      </w:r>
      <w:r w:rsidRPr="00F334AF">
        <w:rPr>
          <w:sz w:val="22"/>
          <w:szCs w:val="22"/>
          <w:lang w:val="sr-Latn-ME"/>
        </w:rPr>
        <w:t xml:space="preserve"> i oralno primijenjenih ljekova koji se primarno metabolišu preko CYP3A4, i male su terapijske širine kao što su ciklosporin, takrolimus, sirolimus, everolimus, alfentanil, diergotamin, ergotamin, fentanil i hinidin (vidjeti dio 4.4).</w:t>
      </w:r>
    </w:p>
    <w:p w14:paraId="383E6497" w14:textId="77777777" w:rsidR="00E310B2" w:rsidRPr="00F334AF" w:rsidRDefault="00E310B2" w:rsidP="0034729B">
      <w:pPr>
        <w:jc w:val="both"/>
        <w:rPr>
          <w:sz w:val="22"/>
          <w:szCs w:val="22"/>
          <w:lang w:val="sr-Latn-ME"/>
        </w:rPr>
      </w:pPr>
    </w:p>
    <w:p w14:paraId="4CA5D1B1" w14:textId="77777777" w:rsidR="00E310B2" w:rsidRPr="00F334AF" w:rsidRDefault="00E310B2" w:rsidP="0034729B">
      <w:pPr>
        <w:jc w:val="both"/>
        <w:rPr>
          <w:i/>
          <w:sz w:val="22"/>
          <w:szCs w:val="22"/>
          <w:lang w:val="sr-Latn-ME"/>
        </w:rPr>
      </w:pPr>
      <w:r w:rsidRPr="00F334AF">
        <w:rPr>
          <w:i/>
          <w:sz w:val="22"/>
          <w:szCs w:val="22"/>
          <w:lang w:val="sr-Latn-ME"/>
        </w:rPr>
        <w:t>Kortikosteroidi</w:t>
      </w:r>
    </w:p>
    <w:p w14:paraId="106A4F2B" w14:textId="4904CDE2" w:rsidR="00E310B2" w:rsidRPr="00F334AF" w:rsidRDefault="00E310B2" w:rsidP="0034729B">
      <w:pPr>
        <w:jc w:val="both"/>
        <w:rPr>
          <w:sz w:val="22"/>
          <w:szCs w:val="22"/>
          <w:lang w:val="sr-Latn-ME"/>
        </w:rPr>
      </w:pPr>
      <w:r w:rsidRPr="00F334AF">
        <w:rPr>
          <w:iCs/>
          <w:sz w:val="22"/>
          <w:szCs w:val="22"/>
          <w:lang w:val="sr-Latn-ME"/>
        </w:rPr>
        <w:t>Deksametazon:</w:t>
      </w:r>
      <w:r w:rsidRPr="00F334AF">
        <w:rPr>
          <w:sz w:val="22"/>
          <w:szCs w:val="22"/>
          <w:lang w:val="sr-Latn-ME"/>
        </w:rPr>
        <w:t xml:space="preserve"> Tokom istovremene primjene terapijskog režima sa lijekom </w:t>
      </w:r>
      <w:r w:rsidRPr="00F334AF">
        <w:rPr>
          <w:bCs/>
          <w:sz w:val="22"/>
          <w:szCs w:val="22"/>
          <w:lang w:val="sr-Latn-ME"/>
        </w:rPr>
        <w:t xml:space="preserve">EMEND </w:t>
      </w:r>
      <w:r w:rsidRPr="00F334AF">
        <w:rPr>
          <w:sz w:val="22"/>
          <w:szCs w:val="22"/>
          <w:lang w:val="sr-Latn-ME"/>
        </w:rPr>
        <w:t xml:space="preserve">125 mg/80 mg trebalo bi smanjiti uobičajenu oralnu dozu deksametazona za oko 50%. U kliničkim ispitivanjima </w:t>
      </w:r>
      <w:r w:rsidR="00F16B4F" w:rsidRPr="00F334AF">
        <w:rPr>
          <w:sz w:val="22"/>
          <w:szCs w:val="22"/>
          <w:lang w:val="sr-Latn-ME"/>
        </w:rPr>
        <w:t xml:space="preserve">sprečavanja </w:t>
      </w:r>
      <w:r w:rsidRPr="00F334AF">
        <w:rPr>
          <w:sz w:val="22"/>
          <w:szCs w:val="22"/>
          <w:lang w:val="sr-Latn-ME"/>
        </w:rPr>
        <w:t>mučnine i povraćanja indukovanih hemoterapijom</w:t>
      </w:r>
      <w:r w:rsidR="00821177" w:rsidRPr="00F334AF">
        <w:rPr>
          <w:sz w:val="22"/>
          <w:szCs w:val="22"/>
          <w:lang w:val="sr-Latn-ME"/>
        </w:rPr>
        <w:t xml:space="preserve"> </w:t>
      </w:r>
      <w:r w:rsidR="005C4A98">
        <w:rPr>
          <w:sz w:val="22"/>
          <w:szCs w:val="22"/>
          <w:lang w:val="sr-Latn-ME"/>
        </w:rPr>
        <w:t>(</w:t>
      </w:r>
      <w:r w:rsidR="005C4A98" w:rsidRPr="005C4A98">
        <w:rPr>
          <w:sz w:val="22"/>
          <w:szCs w:val="22"/>
          <w:lang w:val="sr-Latn-ME"/>
        </w:rPr>
        <w:t xml:space="preserve">engl. </w:t>
      </w:r>
      <w:r w:rsidR="005C4A98" w:rsidRPr="00F62BA7">
        <w:rPr>
          <w:i/>
          <w:iCs/>
          <w:sz w:val="22"/>
          <w:szCs w:val="22"/>
          <w:lang w:val="sr-Latn-ME"/>
        </w:rPr>
        <w:t>chemotherapy induced nausea and vomiting</w:t>
      </w:r>
      <w:r w:rsidR="005C4A98" w:rsidRPr="005C4A98">
        <w:rPr>
          <w:sz w:val="22"/>
          <w:szCs w:val="22"/>
          <w:lang w:val="sr-Latn-ME"/>
        </w:rPr>
        <w:t>-CINV</w:t>
      </w:r>
      <w:r w:rsidR="005C4A98">
        <w:rPr>
          <w:sz w:val="22"/>
          <w:szCs w:val="22"/>
          <w:lang w:val="sr-Latn-ME"/>
        </w:rPr>
        <w:t>)</w:t>
      </w:r>
      <w:r w:rsidR="005C4A98" w:rsidRPr="005C4A98">
        <w:rPr>
          <w:sz w:val="22"/>
          <w:szCs w:val="22"/>
          <w:lang w:val="sr-Latn-ME"/>
        </w:rPr>
        <w:t xml:space="preserve"> </w:t>
      </w:r>
      <w:r w:rsidRPr="00F334AF">
        <w:rPr>
          <w:sz w:val="22"/>
          <w:szCs w:val="22"/>
          <w:lang w:val="sr-Latn-ME"/>
        </w:rPr>
        <w:t>doza deksametazona određivana je na osnovu njegovih interakcija sa drugim ljekovima (vidjeti dio 4.2).</w:t>
      </w:r>
      <w:r w:rsidR="004931E6" w:rsidRPr="00F334AF">
        <w:rPr>
          <w:sz w:val="22"/>
          <w:szCs w:val="22"/>
          <w:lang w:val="sr-Latn-ME"/>
        </w:rPr>
        <w:t xml:space="preserve"> Lijek</w:t>
      </w:r>
      <w:r w:rsidRPr="00F334AF">
        <w:rPr>
          <w:sz w:val="22"/>
          <w:szCs w:val="22"/>
          <w:lang w:val="sr-Latn-ME"/>
        </w:rPr>
        <w:t xml:space="preserve"> EMEND</w:t>
      </w:r>
      <w:r w:rsidRPr="00F334AF">
        <w:rPr>
          <w:b/>
          <w:bCs/>
          <w:iCs/>
          <w:sz w:val="22"/>
          <w:szCs w:val="22"/>
          <w:vertAlign w:val="superscript"/>
          <w:lang w:val="sr-Latn-ME"/>
        </w:rPr>
        <w:t xml:space="preserve"> </w:t>
      </w:r>
      <w:r w:rsidRPr="00F334AF">
        <w:rPr>
          <w:sz w:val="22"/>
          <w:szCs w:val="22"/>
          <w:lang w:val="sr-Latn-ME"/>
        </w:rPr>
        <w:t>primijenjen u dozi od 125 mg sa 20 mg deksametazona oralno prvog dana, kao i u dozi od 80 mg dnevno sa 8 mg deksametazona od drugog do petog dana terapijskog režima, povećavao je PIK deksametazona, koji je CYP3A4 supstrat, 2,2 puta prvog i petog dana terapije.</w:t>
      </w:r>
    </w:p>
    <w:p w14:paraId="596BCC42" w14:textId="77777777" w:rsidR="00E310B2" w:rsidRPr="00F334AF" w:rsidRDefault="00E310B2" w:rsidP="0034729B">
      <w:pPr>
        <w:jc w:val="both"/>
        <w:rPr>
          <w:sz w:val="22"/>
          <w:szCs w:val="22"/>
          <w:lang w:val="sr-Latn-ME"/>
        </w:rPr>
      </w:pPr>
    </w:p>
    <w:p w14:paraId="1787DD31" w14:textId="04701E16" w:rsidR="00E310B2" w:rsidRPr="00F334AF" w:rsidRDefault="00E310B2" w:rsidP="0034729B">
      <w:pPr>
        <w:jc w:val="both"/>
        <w:rPr>
          <w:sz w:val="22"/>
          <w:szCs w:val="22"/>
          <w:lang w:val="sr-Latn-ME"/>
        </w:rPr>
      </w:pPr>
      <w:r w:rsidRPr="00F334AF">
        <w:rPr>
          <w:iCs/>
          <w:sz w:val="22"/>
          <w:szCs w:val="22"/>
          <w:lang w:val="sr-Latn-ME"/>
        </w:rPr>
        <w:t>Metilprednizolon:</w:t>
      </w:r>
      <w:r w:rsidRPr="00F334AF">
        <w:rPr>
          <w:sz w:val="22"/>
          <w:szCs w:val="22"/>
          <w:lang w:val="sr-Latn-ME"/>
        </w:rPr>
        <w:t xml:space="preserve"> Tokom istovremene primjene terapijskog režima sa lijekom </w:t>
      </w:r>
      <w:r w:rsidRPr="00F334AF">
        <w:rPr>
          <w:bCs/>
          <w:sz w:val="22"/>
          <w:szCs w:val="22"/>
          <w:lang w:val="sr-Latn-ME"/>
        </w:rPr>
        <w:t>EMEND</w:t>
      </w:r>
      <w:r w:rsidRPr="00F334AF">
        <w:rPr>
          <w:sz w:val="22"/>
          <w:szCs w:val="22"/>
          <w:lang w:val="sr-Latn-ME"/>
        </w:rPr>
        <w:t xml:space="preserve"> 125 mg/80 mg, treba smanjiti uobičajenu intravensku dozu metilprednizolona za oko 25%, a uobičajenu oralnu dozu za oko 50%. </w:t>
      </w:r>
      <w:r w:rsidR="00814AB2" w:rsidRPr="00F334AF">
        <w:rPr>
          <w:sz w:val="22"/>
          <w:szCs w:val="22"/>
          <w:lang w:val="sr-Latn-ME"/>
        </w:rPr>
        <w:t xml:space="preserve">Lijek </w:t>
      </w:r>
      <w:r w:rsidRPr="00F334AF">
        <w:rPr>
          <w:bCs/>
          <w:sz w:val="22"/>
          <w:szCs w:val="22"/>
          <w:lang w:val="sr-Latn-ME"/>
        </w:rPr>
        <w:t>EMEND</w:t>
      </w:r>
      <w:r w:rsidRPr="00F334AF">
        <w:rPr>
          <w:sz w:val="22"/>
          <w:szCs w:val="22"/>
          <w:lang w:val="sr-Latn-ME"/>
        </w:rPr>
        <w:t xml:space="preserve"> primijenjen u dozi od 125 mg prvog dana i 80 mg dnevno drugog i trećeg dana terapijskog režima, povećavao je PIK metilprednizolona, koji je CYP 3A4 supstrat, 1,3 puta prvog i 2,5 puta trećeg dana terapije, kada se metilprednizolon primijeni intravenski u dozi od 125 mg prvog i 40 mg oralno drugog i trećeg dana.</w:t>
      </w:r>
    </w:p>
    <w:p w14:paraId="523D52C7" w14:textId="0ADF6126" w:rsidR="00E310B2" w:rsidRPr="00F334AF" w:rsidRDefault="00E310B2" w:rsidP="0034729B">
      <w:pPr>
        <w:jc w:val="both"/>
        <w:rPr>
          <w:sz w:val="22"/>
          <w:szCs w:val="22"/>
          <w:lang w:val="sr-Latn-ME"/>
        </w:rPr>
      </w:pPr>
      <w:r w:rsidRPr="00F334AF">
        <w:rPr>
          <w:sz w:val="22"/>
          <w:szCs w:val="22"/>
          <w:lang w:val="sr-Latn-ME"/>
        </w:rPr>
        <w:t>Kod produženog liječenja metilprednizolonom, PIK metilprednizolona može da se smanji u</w:t>
      </w:r>
      <w:r w:rsidR="00F16B4F" w:rsidRPr="00F334AF">
        <w:rPr>
          <w:sz w:val="22"/>
          <w:szCs w:val="22"/>
          <w:lang w:val="sr-Latn-ME"/>
        </w:rPr>
        <w:t xml:space="preserve"> toku</w:t>
      </w:r>
      <w:r w:rsidRPr="00F334AF">
        <w:rPr>
          <w:sz w:val="22"/>
          <w:szCs w:val="22"/>
          <w:lang w:val="sr-Latn-ME"/>
        </w:rPr>
        <w:t xml:space="preserve"> dvije nedjelje od početka primjene lijek</w:t>
      </w:r>
      <w:r w:rsidR="00336B1D" w:rsidRPr="00F334AF">
        <w:rPr>
          <w:sz w:val="22"/>
          <w:szCs w:val="22"/>
          <w:lang w:val="sr-Latn-ME"/>
        </w:rPr>
        <w:t>a</w:t>
      </w:r>
      <w:r w:rsidRPr="00F334AF">
        <w:rPr>
          <w:sz w:val="22"/>
          <w:szCs w:val="22"/>
          <w:lang w:val="sr-Latn-ME"/>
        </w:rPr>
        <w:t xml:space="preserve"> </w:t>
      </w:r>
      <w:r w:rsidRPr="00F334AF">
        <w:rPr>
          <w:bCs/>
          <w:sz w:val="22"/>
          <w:szCs w:val="22"/>
          <w:lang w:val="sr-Latn-ME"/>
        </w:rPr>
        <w:t>EMEND</w:t>
      </w:r>
      <w:r w:rsidRPr="00F334AF">
        <w:rPr>
          <w:sz w:val="22"/>
          <w:szCs w:val="22"/>
          <w:lang w:val="sr-Latn-ME"/>
        </w:rPr>
        <w:t xml:space="preserve"> zato što aprepitant djeluje kao induktor CYP3A4. Očekuje se da će ovaj efekat biti izraženiji kod oralne primjene metilprednizolona.</w:t>
      </w:r>
    </w:p>
    <w:p w14:paraId="159D7C0E" w14:textId="77777777" w:rsidR="00E310B2" w:rsidRPr="00F334AF" w:rsidRDefault="00E310B2" w:rsidP="0034729B">
      <w:pPr>
        <w:jc w:val="both"/>
        <w:rPr>
          <w:sz w:val="22"/>
          <w:szCs w:val="22"/>
          <w:lang w:val="sr-Latn-ME"/>
        </w:rPr>
      </w:pPr>
    </w:p>
    <w:p w14:paraId="5785E873" w14:textId="369EB41D" w:rsidR="00336B1D" w:rsidRPr="00F334AF" w:rsidRDefault="00336B1D" w:rsidP="0034729B">
      <w:pPr>
        <w:jc w:val="both"/>
        <w:rPr>
          <w:i/>
          <w:sz w:val="22"/>
          <w:szCs w:val="22"/>
          <w:lang w:val="sr-Latn-ME"/>
        </w:rPr>
      </w:pPr>
      <w:r w:rsidRPr="00F334AF">
        <w:rPr>
          <w:i/>
          <w:sz w:val="22"/>
          <w:szCs w:val="22"/>
          <w:lang w:val="sr-Latn-ME"/>
        </w:rPr>
        <w:t>Ljekovi za hemioterapiju kancera:</w:t>
      </w:r>
    </w:p>
    <w:p w14:paraId="10705E57" w14:textId="2EF2609E" w:rsidR="007A05E0" w:rsidRPr="00F334AF" w:rsidRDefault="00E310B2" w:rsidP="0034729B">
      <w:pPr>
        <w:jc w:val="both"/>
        <w:rPr>
          <w:sz w:val="22"/>
          <w:szCs w:val="22"/>
          <w:lang w:val="sr-Latn-ME"/>
        </w:rPr>
      </w:pPr>
      <w:r w:rsidRPr="00F334AF">
        <w:rPr>
          <w:sz w:val="22"/>
          <w:szCs w:val="22"/>
          <w:lang w:val="sr-Latn-ME"/>
        </w:rPr>
        <w:t xml:space="preserve">U farmakokinetičkim studijama </w:t>
      </w:r>
      <w:r w:rsidR="00336B1D" w:rsidRPr="00F334AF">
        <w:rPr>
          <w:sz w:val="22"/>
          <w:szCs w:val="22"/>
          <w:lang w:val="sr-Latn-ME"/>
        </w:rPr>
        <w:t xml:space="preserve">lijek </w:t>
      </w:r>
      <w:r w:rsidRPr="00F334AF">
        <w:rPr>
          <w:bCs/>
          <w:sz w:val="22"/>
          <w:szCs w:val="22"/>
          <w:lang w:val="sr-Latn-ME"/>
        </w:rPr>
        <w:t>EMEND</w:t>
      </w:r>
      <w:r w:rsidR="00336B1D" w:rsidRPr="00F334AF">
        <w:rPr>
          <w:bCs/>
          <w:sz w:val="22"/>
          <w:szCs w:val="22"/>
          <w:lang w:val="sr-Latn-ME"/>
        </w:rPr>
        <w:t xml:space="preserve"> prim</w:t>
      </w:r>
      <w:r w:rsidR="004931E6" w:rsidRPr="00F334AF">
        <w:rPr>
          <w:bCs/>
          <w:sz w:val="22"/>
          <w:szCs w:val="22"/>
          <w:lang w:val="sr-Latn-ME"/>
        </w:rPr>
        <w:t>i</w:t>
      </w:r>
      <w:r w:rsidR="00336B1D" w:rsidRPr="00F334AF">
        <w:rPr>
          <w:bCs/>
          <w:sz w:val="22"/>
          <w:szCs w:val="22"/>
          <w:lang w:val="sr-Latn-ME"/>
        </w:rPr>
        <w:t>jenjen</w:t>
      </w:r>
      <w:r w:rsidRPr="00F334AF">
        <w:rPr>
          <w:sz w:val="22"/>
          <w:szCs w:val="22"/>
          <w:lang w:val="sr-Latn-ME"/>
        </w:rPr>
        <w:t xml:space="preserve"> u dozi od 125 mg prvog dana liječenja i 80 mg</w:t>
      </w:r>
      <w:r w:rsidR="00336B1D" w:rsidRPr="00F334AF">
        <w:rPr>
          <w:sz w:val="22"/>
          <w:szCs w:val="22"/>
          <w:lang w:val="sr-Latn-ME"/>
        </w:rPr>
        <w:t>/dan</w:t>
      </w:r>
      <w:r w:rsidRPr="00F334AF">
        <w:rPr>
          <w:sz w:val="22"/>
          <w:szCs w:val="22"/>
          <w:lang w:val="sr-Latn-ME"/>
        </w:rPr>
        <w:t xml:space="preserve"> drugog i trećeg dana liječenja, nije uticao na farmakokinetiku docetaksela primijenjenog intravenski prvog dana liječenja ili vinorelbina primijenjenog intravenski prvog ili osmog dana liječenja. Kako je uticaj lijeka </w:t>
      </w:r>
      <w:r w:rsidRPr="00F334AF">
        <w:rPr>
          <w:bCs/>
          <w:sz w:val="22"/>
          <w:szCs w:val="22"/>
          <w:lang w:val="sr-Latn-ME"/>
        </w:rPr>
        <w:t>EMEND</w:t>
      </w:r>
      <w:r w:rsidRPr="00F334AF">
        <w:rPr>
          <w:sz w:val="22"/>
          <w:szCs w:val="22"/>
          <w:lang w:val="sr-Latn-ME"/>
        </w:rPr>
        <w:t xml:space="preserve"> na farmakokinetiku oralno primjenjivanih supstrata CYP3A4 veći nego uticaj na farmakokinetiku istih ljekova kada se oni primjenjuju intravenski, ne može se isključiti mogućnost interakcije sa oralno primijenjenim hemioterapeuticima koji se primarno ili djelimično metabolišu putem CYP3A4 (na primjer etopozid, vinorelbin). Preporučuje se oprez i dodatni nadzor</w:t>
      </w:r>
    </w:p>
    <w:p w14:paraId="55ACDDCE" w14:textId="08593745" w:rsidR="00E310B2" w:rsidRPr="00F334AF" w:rsidRDefault="00E310B2" w:rsidP="0034729B">
      <w:pPr>
        <w:jc w:val="both"/>
        <w:rPr>
          <w:sz w:val="22"/>
          <w:szCs w:val="22"/>
          <w:lang w:val="sr-Latn-ME"/>
        </w:rPr>
      </w:pPr>
      <w:r w:rsidRPr="00F334AF">
        <w:rPr>
          <w:sz w:val="22"/>
          <w:szCs w:val="22"/>
          <w:lang w:val="sr-Latn-ME"/>
        </w:rPr>
        <w:lastRenderedPageBreak/>
        <w:t>pacijenata koji primaju ljekove koji se primarno ili djelimično metabolišu putem CYP3A4 (vidjeti dio 4.4).  Nakon stavljanja lijeka u promet primijećeni su slučajevi neurotoksičnosti, mogućeg neželjenog dejstva ifosfamida, nakon istovremene primjene aprepitanta i ifosfamida.</w:t>
      </w:r>
    </w:p>
    <w:p w14:paraId="7C96C3DA" w14:textId="77777777" w:rsidR="001F423A" w:rsidRDefault="001F423A" w:rsidP="0034729B">
      <w:pPr>
        <w:jc w:val="both"/>
        <w:rPr>
          <w:i/>
          <w:sz w:val="22"/>
          <w:szCs w:val="22"/>
          <w:lang w:val="sr-Latn-ME"/>
        </w:rPr>
      </w:pPr>
    </w:p>
    <w:p w14:paraId="1EF69CA6" w14:textId="2210E10F" w:rsidR="00B043ED" w:rsidRPr="00F334AF" w:rsidRDefault="00E310B2" w:rsidP="0034729B">
      <w:pPr>
        <w:jc w:val="both"/>
        <w:rPr>
          <w:sz w:val="22"/>
          <w:szCs w:val="22"/>
          <w:lang w:val="sr-Latn-ME"/>
        </w:rPr>
      </w:pPr>
      <w:r w:rsidRPr="00F334AF">
        <w:rPr>
          <w:i/>
          <w:sz w:val="22"/>
          <w:szCs w:val="22"/>
          <w:lang w:val="sr-Latn-ME"/>
        </w:rPr>
        <w:t>Imunosupresivi</w:t>
      </w:r>
      <w:r w:rsidRPr="00F334AF">
        <w:rPr>
          <w:sz w:val="22"/>
          <w:szCs w:val="22"/>
          <w:lang w:val="sr-Latn-ME"/>
        </w:rPr>
        <w:t xml:space="preserve">: </w:t>
      </w:r>
    </w:p>
    <w:p w14:paraId="411DDA48" w14:textId="28995FA2" w:rsidR="00E310B2" w:rsidRPr="00F334AF" w:rsidRDefault="00E310B2" w:rsidP="0034729B">
      <w:pPr>
        <w:jc w:val="both"/>
        <w:rPr>
          <w:sz w:val="22"/>
          <w:szCs w:val="22"/>
          <w:lang w:val="sr-Latn-ME"/>
        </w:rPr>
      </w:pPr>
      <w:r w:rsidRPr="00F334AF">
        <w:rPr>
          <w:sz w:val="22"/>
          <w:szCs w:val="22"/>
          <w:lang w:val="sr-Latn-ME"/>
        </w:rPr>
        <w:t xml:space="preserve">Tokom trodnevnog tretmana mučnine i povraćanja izazvanih hemoterapijom (CINV), očekivano je prolazno umjereno povećanje, a potom blago smanjenje u izloženosti imunosupresivima koji se metabolišu putem CYP3A4 (npr. ciklosporin, takrolimus, everolimus i sirolimus). Uzimajući u obzir da trodnevni režim kratko traje, kao i da su ove promjene u izloženosti vremenski zavisne, ne preporučuje se smanjenje doze imunosupresiva tokom tri dana istovremene primjene sa lijekom </w:t>
      </w:r>
      <w:r w:rsidRPr="00F334AF">
        <w:rPr>
          <w:bCs/>
          <w:sz w:val="22"/>
          <w:szCs w:val="22"/>
          <w:lang w:val="sr-Latn-ME"/>
        </w:rPr>
        <w:t>EMEND</w:t>
      </w:r>
      <w:r w:rsidRPr="00F334AF">
        <w:rPr>
          <w:b/>
          <w:sz w:val="22"/>
          <w:szCs w:val="22"/>
          <w:lang w:val="sr-Latn-ME"/>
        </w:rPr>
        <w:t>.</w:t>
      </w:r>
    </w:p>
    <w:p w14:paraId="314BE49C" w14:textId="77777777" w:rsidR="00E310B2" w:rsidRPr="00F334AF" w:rsidRDefault="00E310B2" w:rsidP="0034729B">
      <w:pPr>
        <w:jc w:val="both"/>
        <w:rPr>
          <w:sz w:val="22"/>
          <w:szCs w:val="22"/>
          <w:lang w:val="sr-Latn-ME"/>
        </w:rPr>
      </w:pPr>
    </w:p>
    <w:p w14:paraId="478DF017" w14:textId="388A8C0B" w:rsidR="00E310B2" w:rsidRPr="00F334AF" w:rsidRDefault="00E310B2" w:rsidP="0034729B">
      <w:pPr>
        <w:jc w:val="both"/>
        <w:rPr>
          <w:sz w:val="22"/>
          <w:szCs w:val="22"/>
          <w:lang w:val="sr-Latn-ME"/>
        </w:rPr>
      </w:pPr>
      <w:r w:rsidRPr="00F334AF">
        <w:rPr>
          <w:i/>
          <w:sz w:val="22"/>
          <w:szCs w:val="22"/>
          <w:lang w:val="sr-Latn-ME"/>
        </w:rPr>
        <w:t>Midazolam:</w:t>
      </w:r>
      <w:r w:rsidRPr="00F334AF">
        <w:rPr>
          <w:sz w:val="22"/>
          <w:szCs w:val="22"/>
          <w:lang w:val="sr-Latn-ME"/>
        </w:rPr>
        <w:t xml:space="preserve"> Pri istovremenoj primjeni sa </w:t>
      </w:r>
      <w:r w:rsidRPr="00F334AF">
        <w:rPr>
          <w:bCs/>
          <w:sz w:val="22"/>
          <w:szCs w:val="22"/>
          <w:lang w:val="sr-Latn-ME"/>
        </w:rPr>
        <w:t>EMEND</w:t>
      </w:r>
      <w:r w:rsidRPr="00F334AF">
        <w:rPr>
          <w:sz w:val="22"/>
          <w:szCs w:val="22"/>
          <w:lang w:val="sr-Latn-ME"/>
        </w:rPr>
        <w:t xml:space="preserve"> kapsulama (125 mg/80 mg) treba uzeti u obzir moguću pojavu povećanja koncentracije midazolama i</w:t>
      </w:r>
      <w:r w:rsidR="00D63FA5" w:rsidRPr="00F334AF">
        <w:rPr>
          <w:sz w:val="22"/>
          <w:szCs w:val="22"/>
          <w:lang w:val="sr-Latn-ME"/>
        </w:rPr>
        <w:t>li</w:t>
      </w:r>
      <w:r w:rsidRPr="00F334AF">
        <w:rPr>
          <w:sz w:val="22"/>
          <w:szCs w:val="22"/>
          <w:lang w:val="sr-Latn-ME"/>
        </w:rPr>
        <w:t xml:space="preserve"> drugih benzodiazepina koji se metabolišu putem CYP3A4 (alprazolam, triazolam) u plazmi.</w:t>
      </w:r>
    </w:p>
    <w:p w14:paraId="2B407DC5" w14:textId="77777777" w:rsidR="00E310B2" w:rsidRPr="00F334AF" w:rsidRDefault="00E310B2" w:rsidP="0034729B">
      <w:pPr>
        <w:jc w:val="both"/>
        <w:rPr>
          <w:sz w:val="22"/>
          <w:szCs w:val="22"/>
          <w:lang w:val="sr-Latn-ME"/>
        </w:rPr>
      </w:pPr>
    </w:p>
    <w:p w14:paraId="6425B91E" w14:textId="29CF5FBC" w:rsidR="00E310B2" w:rsidRPr="00F334AF" w:rsidRDefault="00DD057B" w:rsidP="0034729B">
      <w:pPr>
        <w:jc w:val="both"/>
        <w:rPr>
          <w:sz w:val="22"/>
          <w:szCs w:val="22"/>
          <w:lang w:val="sr-Latn-ME"/>
        </w:rPr>
      </w:pPr>
      <w:r w:rsidRPr="00F334AF">
        <w:rPr>
          <w:bCs/>
          <w:sz w:val="22"/>
          <w:szCs w:val="22"/>
          <w:lang w:val="sr-Latn-ME"/>
        </w:rPr>
        <w:t xml:space="preserve">Lijek </w:t>
      </w:r>
      <w:r w:rsidR="00E310B2" w:rsidRPr="00F334AF">
        <w:rPr>
          <w:bCs/>
          <w:sz w:val="22"/>
          <w:szCs w:val="22"/>
          <w:lang w:val="sr-Latn-ME"/>
        </w:rPr>
        <w:t>EMEND</w:t>
      </w:r>
      <w:r w:rsidR="00E310B2" w:rsidRPr="00F334AF">
        <w:rPr>
          <w:sz w:val="22"/>
          <w:szCs w:val="22"/>
          <w:lang w:val="sr-Latn-ME"/>
        </w:rPr>
        <w:t xml:space="preserve"> je povećavao PIK midazolama, osjetljivog supstrata CYP3A4, 2,3 puta prvog i 3,3 puta petog dana terapije, kada je pojedinačna oralna doza midazolama od 2 mg primijenjena istovremeno sa lijekom </w:t>
      </w:r>
      <w:r w:rsidR="00E310B2" w:rsidRPr="00F334AF">
        <w:rPr>
          <w:bCs/>
          <w:sz w:val="22"/>
          <w:szCs w:val="22"/>
          <w:lang w:val="sr-Latn-ME"/>
        </w:rPr>
        <w:t>EMEND</w:t>
      </w:r>
      <w:r w:rsidR="00E310B2" w:rsidRPr="00F334AF">
        <w:rPr>
          <w:sz w:val="22"/>
          <w:szCs w:val="22"/>
          <w:lang w:val="sr-Latn-ME"/>
        </w:rPr>
        <w:t xml:space="preserve">, prvog i petog dana terapijskog režima doziranja lijekom </w:t>
      </w:r>
      <w:r w:rsidR="00E310B2" w:rsidRPr="00F334AF">
        <w:rPr>
          <w:bCs/>
          <w:sz w:val="22"/>
          <w:szCs w:val="22"/>
          <w:lang w:val="sr-Latn-ME"/>
        </w:rPr>
        <w:t>EMEND</w:t>
      </w:r>
      <w:r w:rsidR="00E310B2" w:rsidRPr="00F334AF">
        <w:rPr>
          <w:bCs/>
          <w:sz w:val="22"/>
          <w:szCs w:val="22"/>
          <w:vertAlign w:val="superscript"/>
          <w:lang w:val="sr-Latn-ME"/>
        </w:rPr>
        <w:t xml:space="preserve"> </w:t>
      </w:r>
      <w:r w:rsidR="00E310B2" w:rsidRPr="00F334AF">
        <w:rPr>
          <w:sz w:val="22"/>
          <w:szCs w:val="22"/>
          <w:lang w:val="sr-Latn-ME"/>
        </w:rPr>
        <w:t>od 125 mg prvog dana liječenja i 80 mg dnevno od  drugog do petog dana liječenja.</w:t>
      </w:r>
    </w:p>
    <w:p w14:paraId="163BA9D7" w14:textId="77777777" w:rsidR="00E310B2" w:rsidRPr="00F334AF" w:rsidRDefault="00E310B2" w:rsidP="0034729B">
      <w:pPr>
        <w:jc w:val="both"/>
        <w:rPr>
          <w:sz w:val="22"/>
          <w:szCs w:val="22"/>
          <w:lang w:val="sr-Latn-ME"/>
        </w:rPr>
      </w:pPr>
    </w:p>
    <w:p w14:paraId="09EF4CD7" w14:textId="34C2CCDB" w:rsidR="00E310B2" w:rsidRPr="00F334AF" w:rsidRDefault="00E310B2" w:rsidP="0034729B">
      <w:pPr>
        <w:jc w:val="both"/>
        <w:rPr>
          <w:sz w:val="22"/>
          <w:szCs w:val="22"/>
          <w:lang w:val="sr-Latn-ME"/>
        </w:rPr>
      </w:pPr>
      <w:r w:rsidRPr="00F334AF">
        <w:rPr>
          <w:sz w:val="22"/>
          <w:szCs w:val="22"/>
          <w:lang w:val="sr-Latn-ME"/>
        </w:rPr>
        <w:t xml:space="preserve">U drugom kliničkom ispitivanju midazolam je primijenjen intravenski u dozi od 2 mg prije trodnevne primjene lijeka </w:t>
      </w:r>
      <w:r w:rsidRPr="00F334AF">
        <w:rPr>
          <w:bCs/>
          <w:sz w:val="22"/>
          <w:szCs w:val="22"/>
          <w:lang w:val="sr-Latn-ME"/>
        </w:rPr>
        <w:t>EMEND</w:t>
      </w:r>
      <w:r w:rsidRPr="00F334AF">
        <w:rPr>
          <w:sz w:val="22"/>
          <w:szCs w:val="22"/>
          <w:lang w:val="sr-Latn-ME"/>
        </w:rPr>
        <w:t xml:space="preserve">, a zatim četvrtog, osmog i petnaestog dana terapije. Režim doziranja lijeka </w:t>
      </w:r>
      <w:r w:rsidRPr="00F334AF">
        <w:rPr>
          <w:bCs/>
          <w:sz w:val="22"/>
          <w:szCs w:val="22"/>
          <w:lang w:val="sr-Latn-ME"/>
        </w:rPr>
        <w:t>EMEND</w:t>
      </w:r>
      <w:r w:rsidRPr="00F334AF">
        <w:rPr>
          <w:sz w:val="22"/>
          <w:szCs w:val="22"/>
          <w:lang w:val="sr-Latn-ME"/>
        </w:rPr>
        <w:t xml:space="preserve"> bio je 125 mg prvog dana terapije, a zatim 80 mg dnevno drugog i trećeg dana terapije. </w:t>
      </w:r>
      <w:r w:rsidR="00DD057B" w:rsidRPr="00F334AF">
        <w:rPr>
          <w:sz w:val="22"/>
          <w:szCs w:val="22"/>
          <w:lang w:val="sr-Latn-ME"/>
        </w:rPr>
        <w:t xml:space="preserve">Lijek </w:t>
      </w:r>
      <w:r w:rsidRPr="00F334AF">
        <w:rPr>
          <w:bCs/>
          <w:sz w:val="22"/>
          <w:szCs w:val="22"/>
          <w:lang w:val="sr-Latn-ME"/>
        </w:rPr>
        <w:t>EMEND</w:t>
      </w:r>
      <w:r w:rsidRPr="00F334AF">
        <w:rPr>
          <w:sz w:val="22"/>
          <w:szCs w:val="22"/>
          <w:lang w:val="sr-Latn-ME"/>
        </w:rPr>
        <w:t xml:space="preserve"> je doveo do povećanja PIK-a midazolama za 25% četvrtog, a zatim do smanjenja PIK-a midazolama za 19% osmog, odnosno za 4% petnaestog dana liječenja. Ovo dejstvo se nije smatralo klinički značajnim.</w:t>
      </w:r>
    </w:p>
    <w:p w14:paraId="3C637C45" w14:textId="77777777" w:rsidR="00E310B2" w:rsidRPr="00F334AF" w:rsidRDefault="00E310B2" w:rsidP="0034729B">
      <w:pPr>
        <w:jc w:val="both"/>
        <w:rPr>
          <w:sz w:val="22"/>
          <w:szCs w:val="22"/>
          <w:lang w:val="sr-Latn-ME"/>
        </w:rPr>
      </w:pPr>
    </w:p>
    <w:p w14:paraId="4FA32454" w14:textId="61AA08C3" w:rsidR="00E310B2" w:rsidRPr="00F334AF" w:rsidRDefault="00E310B2" w:rsidP="0034729B">
      <w:pPr>
        <w:jc w:val="both"/>
        <w:rPr>
          <w:sz w:val="22"/>
          <w:szCs w:val="22"/>
          <w:lang w:val="sr-Latn-ME"/>
        </w:rPr>
      </w:pPr>
      <w:r w:rsidRPr="00F334AF">
        <w:rPr>
          <w:sz w:val="22"/>
          <w:szCs w:val="22"/>
          <w:lang w:val="sr-Latn-ME"/>
        </w:rPr>
        <w:t xml:space="preserve">U trećem kliničkom ispitivanju intravenske i oralne primjene midazolama, </w:t>
      </w:r>
      <w:r w:rsidR="00DD057B" w:rsidRPr="00F334AF">
        <w:rPr>
          <w:sz w:val="22"/>
          <w:szCs w:val="22"/>
          <w:lang w:val="sr-Latn-ME"/>
        </w:rPr>
        <w:t xml:space="preserve">lijek </w:t>
      </w:r>
      <w:r w:rsidRPr="00F334AF">
        <w:rPr>
          <w:bCs/>
          <w:sz w:val="22"/>
          <w:szCs w:val="22"/>
          <w:lang w:val="sr-Latn-ME"/>
        </w:rPr>
        <w:t>EMEND</w:t>
      </w:r>
      <w:r w:rsidRPr="00F334AF">
        <w:rPr>
          <w:sz w:val="22"/>
          <w:szCs w:val="22"/>
          <w:lang w:val="sr-Latn-ME"/>
        </w:rPr>
        <w:t xml:space="preserve"> je primjenjivan u kombinaciji sa ondansetronom u dozi od 32 mg prvog dana terapije i sa deksametazonom u dozi od 12 mg prvog dana, a zatim 8 mg od drugog do četvrtog dana terapije. Režim doziranja lijeka </w:t>
      </w:r>
      <w:r w:rsidRPr="00F334AF">
        <w:rPr>
          <w:bCs/>
          <w:sz w:val="22"/>
          <w:szCs w:val="22"/>
          <w:lang w:val="sr-Latn-ME"/>
        </w:rPr>
        <w:t>EMEND</w:t>
      </w:r>
      <w:r w:rsidRPr="00F334AF">
        <w:rPr>
          <w:sz w:val="22"/>
          <w:szCs w:val="22"/>
          <w:lang w:val="sr-Latn-ME"/>
        </w:rPr>
        <w:t xml:space="preserve"> bio je 125 mg prvog dana tretmana, a zatim 80 mg dnevno drugog i trećeg dana terapije. Ova kombinacija (</w:t>
      </w:r>
      <w:r w:rsidRPr="00F334AF">
        <w:rPr>
          <w:bCs/>
          <w:sz w:val="22"/>
          <w:szCs w:val="22"/>
          <w:lang w:val="sr-Latn-ME"/>
        </w:rPr>
        <w:t>EMEND</w:t>
      </w:r>
      <w:r w:rsidRPr="00F334AF">
        <w:rPr>
          <w:sz w:val="22"/>
          <w:szCs w:val="22"/>
          <w:lang w:val="sr-Latn-ME"/>
        </w:rPr>
        <w:t>, ondansetron i deksametazon) je dovela do pada površine ispod krive oralnog midazolama za 16% šestog, 9% osmog, 7% petnaestog i 17% dvadeset drugog dana liječenja. Ovo dejstvo se nije smatralo klinički značajnim.</w:t>
      </w:r>
    </w:p>
    <w:p w14:paraId="40B58C5F" w14:textId="77777777" w:rsidR="00E310B2" w:rsidRPr="00F334AF" w:rsidRDefault="00E310B2" w:rsidP="0034729B">
      <w:pPr>
        <w:jc w:val="both"/>
        <w:rPr>
          <w:sz w:val="22"/>
          <w:szCs w:val="22"/>
          <w:lang w:val="sr-Latn-ME"/>
        </w:rPr>
      </w:pPr>
    </w:p>
    <w:p w14:paraId="0FD6FAE5" w14:textId="77777777" w:rsidR="00E310B2" w:rsidRPr="00F334AF" w:rsidRDefault="00E310B2" w:rsidP="0034729B">
      <w:pPr>
        <w:jc w:val="both"/>
        <w:rPr>
          <w:sz w:val="22"/>
          <w:szCs w:val="22"/>
          <w:lang w:val="sr-Latn-ME"/>
        </w:rPr>
      </w:pPr>
      <w:r w:rsidRPr="00F334AF">
        <w:rPr>
          <w:sz w:val="22"/>
          <w:szCs w:val="22"/>
          <w:lang w:val="sr-Latn-ME"/>
        </w:rPr>
        <w:t xml:space="preserve">Završena je još jedna studija sa intravenskom primjenom midazolama i terapijskog režima lijeka </w:t>
      </w:r>
      <w:r w:rsidRPr="00F334AF">
        <w:rPr>
          <w:bCs/>
          <w:sz w:val="22"/>
          <w:szCs w:val="22"/>
          <w:lang w:val="sr-Latn-ME"/>
        </w:rPr>
        <w:t>EMEND</w:t>
      </w:r>
      <w:r w:rsidRPr="00F334AF">
        <w:rPr>
          <w:sz w:val="22"/>
          <w:szCs w:val="22"/>
          <w:lang w:val="sr-Latn-ME"/>
        </w:rPr>
        <w:t xml:space="preserve">. Midazolam je primijenjen intravenski u dozi od 2 mg jedan sat posle oralne primene pojedinačne doze lijeka </w:t>
      </w:r>
      <w:r w:rsidRPr="00F334AF">
        <w:rPr>
          <w:bCs/>
          <w:sz w:val="22"/>
          <w:szCs w:val="22"/>
          <w:lang w:val="sr-Latn-ME"/>
        </w:rPr>
        <w:t>EMEND</w:t>
      </w:r>
      <w:r w:rsidRPr="00F334AF">
        <w:rPr>
          <w:sz w:val="22"/>
          <w:szCs w:val="22"/>
          <w:lang w:val="sr-Latn-ME"/>
        </w:rPr>
        <w:t xml:space="preserve"> od 125 mg. PIK u plazmi midazolama povećan je 1,5 puta. Ovo dejstvo se nije smatralo klinički značajnim.</w:t>
      </w:r>
    </w:p>
    <w:p w14:paraId="4563E9A0" w14:textId="77777777" w:rsidR="00E310B2" w:rsidRPr="00F334AF" w:rsidRDefault="00E310B2" w:rsidP="0034729B">
      <w:pPr>
        <w:jc w:val="both"/>
        <w:rPr>
          <w:i/>
          <w:sz w:val="22"/>
          <w:szCs w:val="22"/>
          <w:u w:val="single"/>
          <w:lang w:val="sr-Latn-ME"/>
        </w:rPr>
      </w:pPr>
    </w:p>
    <w:p w14:paraId="25066F13" w14:textId="77777777" w:rsidR="00E310B2" w:rsidRPr="00F334AF" w:rsidRDefault="00E310B2" w:rsidP="0034729B">
      <w:pPr>
        <w:jc w:val="both"/>
        <w:rPr>
          <w:i/>
          <w:sz w:val="22"/>
          <w:szCs w:val="22"/>
          <w:u w:val="single"/>
          <w:lang w:val="sr-Latn-ME"/>
        </w:rPr>
      </w:pPr>
      <w:r w:rsidRPr="00F334AF">
        <w:rPr>
          <w:i/>
          <w:sz w:val="22"/>
          <w:szCs w:val="22"/>
          <w:u w:val="single"/>
          <w:lang w:val="sr-Latn-ME"/>
        </w:rPr>
        <w:t>Indukcija</w:t>
      </w:r>
    </w:p>
    <w:p w14:paraId="4A58E3B8" w14:textId="5C7C67AA" w:rsidR="0034299F" w:rsidRPr="00F334AF" w:rsidRDefault="00E310B2" w:rsidP="0034729B">
      <w:pPr>
        <w:jc w:val="both"/>
        <w:rPr>
          <w:sz w:val="22"/>
          <w:szCs w:val="22"/>
          <w:lang w:val="sr-Latn-ME"/>
        </w:rPr>
      </w:pPr>
      <w:r w:rsidRPr="00F334AF">
        <w:rPr>
          <w:sz w:val="22"/>
          <w:szCs w:val="22"/>
          <w:lang w:val="sr-Latn-ME"/>
        </w:rPr>
        <w:t>Kao umjereni induktor CYP2C9 CYP3A4 i glukuronidacije, ovaj lijek može smanjiti koncentraciju u plazmi onih supstrata koji se eliminišu ovim putevima u roku od dvije ned</w:t>
      </w:r>
      <w:r w:rsidR="00C401B9" w:rsidRPr="00F334AF">
        <w:rPr>
          <w:sz w:val="22"/>
          <w:szCs w:val="22"/>
          <w:lang w:val="sr-Latn-ME"/>
        </w:rPr>
        <w:t>j</w:t>
      </w:r>
      <w:r w:rsidRPr="00F334AF">
        <w:rPr>
          <w:sz w:val="22"/>
          <w:szCs w:val="22"/>
          <w:lang w:val="sr-Latn-ME"/>
        </w:rPr>
        <w:t>elje nakon p</w:t>
      </w:r>
      <w:r w:rsidR="00C401B9" w:rsidRPr="00F334AF">
        <w:rPr>
          <w:sz w:val="22"/>
          <w:szCs w:val="22"/>
          <w:lang w:val="sr-Latn-ME"/>
        </w:rPr>
        <w:t>o</w:t>
      </w:r>
      <w:r w:rsidRPr="00F334AF">
        <w:rPr>
          <w:sz w:val="22"/>
          <w:szCs w:val="22"/>
          <w:lang w:val="sr-Latn-ME"/>
        </w:rPr>
        <w:t xml:space="preserve">četka liječenja. Ovo dejstvo može da postane uočljivo tek nakon prestanka trodnevne terapije lijekom </w:t>
      </w:r>
      <w:r w:rsidRPr="00F334AF">
        <w:rPr>
          <w:bCs/>
          <w:sz w:val="22"/>
          <w:szCs w:val="22"/>
          <w:lang w:val="sr-Latn-ME"/>
        </w:rPr>
        <w:t>EMEND</w:t>
      </w:r>
      <w:r w:rsidRPr="00F334AF">
        <w:rPr>
          <w:sz w:val="22"/>
          <w:szCs w:val="22"/>
          <w:lang w:val="sr-Latn-ME"/>
        </w:rPr>
        <w:t xml:space="preserve">. Za supstrate CYP2C9 i CYP3A4 indukcija je prolazne prirode, a maksimum dostiže 3 do 5 dana nakon završetka trodnevnog liječenja lijekom </w:t>
      </w:r>
      <w:r w:rsidRPr="00F334AF">
        <w:rPr>
          <w:bCs/>
          <w:sz w:val="22"/>
          <w:szCs w:val="22"/>
          <w:lang w:val="sr-Latn-ME"/>
        </w:rPr>
        <w:t>EMEND</w:t>
      </w:r>
      <w:r w:rsidRPr="00F334AF">
        <w:rPr>
          <w:sz w:val="22"/>
          <w:szCs w:val="22"/>
          <w:lang w:val="sr-Latn-ME"/>
        </w:rPr>
        <w:t xml:space="preserve">. Ovakvo dejstvo traje nekoliko dana da bi se postupno smanjilo ispod klinički značajnog nivoa dvije nedjelje nakon završetka liječenja lijekom </w:t>
      </w:r>
      <w:r w:rsidRPr="00F334AF">
        <w:rPr>
          <w:bCs/>
          <w:sz w:val="22"/>
          <w:szCs w:val="22"/>
          <w:lang w:val="sr-Latn-ME"/>
        </w:rPr>
        <w:t>EMEND</w:t>
      </w:r>
      <w:r w:rsidRPr="00F334AF">
        <w:rPr>
          <w:sz w:val="22"/>
          <w:szCs w:val="22"/>
          <w:lang w:val="sr-Latn-ME"/>
        </w:rPr>
        <w:t>. Blaga indukcija glukuronidacije takođe je uočena kod sedmodnevne oralne primjene aprepitanta u dozi od 80 mg. Nema dovoljno podataka o dejstvu lijeka na CYP2C8 i CYP2C19. Tokom uzimanja aprepitanta u ovom vremenskom periodu preporučuje se oprez pri istovremenoj primjeni varfarina, acenokumarola, tolbutamida, fenitoina i drugih ljekova za koje se zna da se metabolišu putem CYP2C9.</w:t>
      </w:r>
    </w:p>
    <w:p w14:paraId="320A35AA" w14:textId="00297E58" w:rsidR="00E310B2" w:rsidRPr="00F334AF" w:rsidRDefault="00E310B2" w:rsidP="0034729B">
      <w:pPr>
        <w:jc w:val="both"/>
        <w:rPr>
          <w:sz w:val="22"/>
          <w:szCs w:val="22"/>
          <w:lang w:val="sr-Latn-ME"/>
        </w:rPr>
      </w:pPr>
    </w:p>
    <w:p w14:paraId="70455790" w14:textId="77777777" w:rsidR="00336B1D" w:rsidRPr="00F334AF" w:rsidRDefault="00E310B2" w:rsidP="0034729B">
      <w:pPr>
        <w:jc w:val="both"/>
        <w:rPr>
          <w:sz w:val="22"/>
          <w:szCs w:val="22"/>
          <w:lang w:val="sr-Latn-ME"/>
        </w:rPr>
      </w:pPr>
      <w:r w:rsidRPr="00F334AF">
        <w:rPr>
          <w:i/>
          <w:sz w:val="22"/>
          <w:szCs w:val="22"/>
          <w:lang w:val="sr-Latn-ME"/>
        </w:rPr>
        <w:t>Varfarin:</w:t>
      </w:r>
      <w:r w:rsidRPr="00F334AF">
        <w:rPr>
          <w:sz w:val="22"/>
          <w:szCs w:val="22"/>
          <w:lang w:val="sr-Latn-ME"/>
        </w:rPr>
        <w:t xml:space="preserve"> </w:t>
      </w:r>
    </w:p>
    <w:p w14:paraId="4CB97BA5" w14:textId="405F0D14" w:rsidR="00E310B2" w:rsidRDefault="00E310B2" w:rsidP="0034729B">
      <w:pPr>
        <w:jc w:val="both"/>
        <w:rPr>
          <w:sz w:val="22"/>
          <w:szCs w:val="22"/>
          <w:lang w:val="sr-Latn-ME"/>
        </w:rPr>
      </w:pPr>
      <w:r w:rsidRPr="00F334AF">
        <w:rPr>
          <w:sz w:val="22"/>
          <w:szCs w:val="22"/>
          <w:lang w:val="sr-Latn-ME"/>
        </w:rPr>
        <w:t>Kod pacijenata na dugotrajnoj terapiji varfarinom protrombinsko vr</w:t>
      </w:r>
      <w:r w:rsidR="00970B29" w:rsidRPr="00F334AF">
        <w:rPr>
          <w:sz w:val="22"/>
          <w:szCs w:val="22"/>
          <w:lang w:val="sr-Latn-ME"/>
        </w:rPr>
        <w:t>ij</w:t>
      </w:r>
      <w:r w:rsidRPr="00F334AF">
        <w:rPr>
          <w:sz w:val="22"/>
          <w:szCs w:val="22"/>
          <w:lang w:val="sr-Latn-ME"/>
        </w:rPr>
        <w:t xml:space="preserve">eme (INR) je potrebno strogo kontrolisati za vrijeme terapije  lijekom </w:t>
      </w:r>
      <w:r w:rsidRPr="00F334AF">
        <w:rPr>
          <w:bCs/>
          <w:sz w:val="22"/>
          <w:szCs w:val="22"/>
          <w:lang w:val="sr-Latn-ME"/>
        </w:rPr>
        <w:t>EMEND</w:t>
      </w:r>
      <w:r w:rsidRPr="00F334AF">
        <w:rPr>
          <w:sz w:val="22"/>
          <w:szCs w:val="22"/>
          <w:lang w:val="sr-Latn-ME"/>
        </w:rPr>
        <w:t xml:space="preserve"> i dvije nedjelje nakon svakog trodnevnog terapijskog režima lijekom </w:t>
      </w:r>
      <w:r w:rsidRPr="00F334AF">
        <w:rPr>
          <w:bCs/>
          <w:sz w:val="22"/>
          <w:szCs w:val="22"/>
          <w:lang w:val="sr-Latn-ME"/>
        </w:rPr>
        <w:t>EMEND</w:t>
      </w:r>
      <w:r w:rsidRPr="00F334AF">
        <w:rPr>
          <w:sz w:val="22"/>
          <w:szCs w:val="22"/>
          <w:lang w:val="sr-Latn-ME"/>
        </w:rPr>
        <w:t xml:space="preserve"> za sprečavanje mučnine i povraćanja izazvanih hemoterapijom (vidjeti dio 4.4). Kada je prvog dana liječenja </w:t>
      </w:r>
      <w:r w:rsidR="00C401B9" w:rsidRPr="00F334AF">
        <w:rPr>
          <w:sz w:val="22"/>
          <w:szCs w:val="22"/>
          <w:lang w:val="sr-Latn-ME"/>
        </w:rPr>
        <w:t xml:space="preserve">lijek </w:t>
      </w:r>
      <w:r w:rsidRPr="00F334AF">
        <w:rPr>
          <w:bCs/>
          <w:sz w:val="22"/>
          <w:szCs w:val="22"/>
          <w:lang w:val="sr-Latn-ME"/>
        </w:rPr>
        <w:t>EMEND</w:t>
      </w:r>
      <w:r w:rsidRPr="00F334AF">
        <w:rPr>
          <w:sz w:val="22"/>
          <w:szCs w:val="22"/>
          <w:lang w:val="sr-Latn-ME"/>
        </w:rPr>
        <w:t xml:space="preserve"> primijenjen u jednokratnoj dozi od 125 mg, a drugog i</w:t>
      </w:r>
      <w:r w:rsidR="009973DD">
        <w:rPr>
          <w:sz w:val="22"/>
          <w:szCs w:val="22"/>
          <w:lang w:val="sr-Latn-ME"/>
        </w:rPr>
        <w:t xml:space="preserve"> </w:t>
      </w:r>
      <w:r w:rsidRPr="00F334AF">
        <w:rPr>
          <w:sz w:val="22"/>
          <w:szCs w:val="22"/>
          <w:lang w:val="sr-Latn-ME"/>
        </w:rPr>
        <w:t xml:space="preserve">trećeg </w:t>
      </w:r>
      <w:r w:rsidRPr="00F334AF">
        <w:rPr>
          <w:sz w:val="22"/>
          <w:szCs w:val="22"/>
          <w:lang w:val="sr-Latn-ME"/>
        </w:rPr>
        <w:lastRenderedPageBreak/>
        <w:t xml:space="preserve">dana u dozi od 80 mg na zdravim dobrovoljcima čije je stanje stabilisano dugoročnim liječenjem varfarinom, trećeg dana liječenja nije primijećeno bilo kakvo dejstvo lijeka </w:t>
      </w:r>
      <w:r w:rsidRPr="00F334AF">
        <w:rPr>
          <w:bCs/>
          <w:sz w:val="22"/>
          <w:szCs w:val="22"/>
          <w:lang w:val="sr-Latn-ME"/>
        </w:rPr>
        <w:t>EMEND</w:t>
      </w:r>
      <w:r w:rsidRPr="00F334AF">
        <w:rPr>
          <w:sz w:val="22"/>
          <w:szCs w:val="22"/>
          <w:lang w:val="sr-Latn-ME"/>
        </w:rPr>
        <w:t xml:space="preserve"> na PIK R(+) ili S(</w:t>
      </w:r>
      <w:r w:rsidR="00EC6213" w:rsidRPr="00F334AF">
        <w:rPr>
          <w:sz w:val="22"/>
          <w:szCs w:val="22"/>
          <w:lang w:val="sr-Latn-ME"/>
        </w:rPr>
        <w:t>-</w:t>
      </w:r>
      <w:r w:rsidRPr="00F334AF">
        <w:rPr>
          <w:sz w:val="22"/>
          <w:szCs w:val="22"/>
          <w:lang w:val="sr-Latn-ME"/>
        </w:rPr>
        <w:t xml:space="preserve">) varfarina u plazmi. Međutim, pet dana nakon završetka terapijskog režima lijeka </w:t>
      </w:r>
      <w:r w:rsidRPr="00F334AF">
        <w:rPr>
          <w:bCs/>
          <w:sz w:val="22"/>
          <w:szCs w:val="22"/>
          <w:lang w:val="sr-Latn-ME"/>
        </w:rPr>
        <w:t>EMEND</w:t>
      </w:r>
      <w:r w:rsidRPr="00F334AF">
        <w:rPr>
          <w:sz w:val="22"/>
          <w:szCs w:val="22"/>
          <w:lang w:val="sr-Latn-ME"/>
        </w:rPr>
        <w:t xml:space="preserve"> zabilježeno je smanjenje koncentracije S(-) varfarina (supstrata CYP2C9) od 34%, praćen padom INR za 14%.</w:t>
      </w:r>
    </w:p>
    <w:p w14:paraId="19859E52" w14:textId="77777777" w:rsidR="001F423A" w:rsidRPr="00F334AF" w:rsidRDefault="001F423A" w:rsidP="0034729B">
      <w:pPr>
        <w:jc w:val="both"/>
        <w:rPr>
          <w:sz w:val="22"/>
          <w:szCs w:val="22"/>
          <w:lang w:val="sr-Latn-ME"/>
        </w:rPr>
      </w:pPr>
    </w:p>
    <w:p w14:paraId="5649AFAC" w14:textId="77777777" w:rsidR="00336B1D" w:rsidRPr="00F334AF" w:rsidRDefault="00E310B2" w:rsidP="0034729B">
      <w:pPr>
        <w:jc w:val="both"/>
        <w:rPr>
          <w:sz w:val="22"/>
          <w:szCs w:val="22"/>
          <w:lang w:val="sr-Latn-ME"/>
        </w:rPr>
      </w:pPr>
      <w:r w:rsidRPr="00F334AF">
        <w:rPr>
          <w:i/>
          <w:sz w:val="22"/>
          <w:szCs w:val="22"/>
          <w:lang w:val="sr-Latn-ME"/>
        </w:rPr>
        <w:t>Tolbutamid:</w:t>
      </w:r>
      <w:r w:rsidRPr="00F334AF">
        <w:rPr>
          <w:sz w:val="22"/>
          <w:szCs w:val="22"/>
          <w:lang w:val="sr-Latn-ME"/>
        </w:rPr>
        <w:t xml:space="preserve"> </w:t>
      </w:r>
    </w:p>
    <w:p w14:paraId="7FCE7069" w14:textId="3219F986" w:rsidR="00E310B2" w:rsidRPr="00F334AF" w:rsidRDefault="00E310B2" w:rsidP="0034729B">
      <w:pPr>
        <w:jc w:val="both"/>
        <w:rPr>
          <w:sz w:val="22"/>
          <w:szCs w:val="22"/>
          <w:lang w:val="sr-Latn-ME"/>
        </w:rPr>
      </w:pPr>
      <w:r w:rsidRPr="00F334AF">
        <w:rPr>
          <w:sz w:val="22"/>
          <w:szCs w:val="22"/>
          <w:lang w:val="sr-Latn-ME"/>
        </w:rPr>
        <w:t xml:space="preserve">Terapijski režim lijekom </w:t>
      </w:r>
      <w:r w:rsidRPr="00F334AF">
        <w:rPr>
          <w:bCs/>
          <w:sz w:val="22"/>
          <w:szCs w:val="22"/>
          <w:lang w:val="sr-Latn-ME"/>
        </w:rPr>
        <w:t>EMEND</w:t>
      </w:r>
      <w:r w:rsidRPr="00F334AF">
        <w:rPr>
          <w:sz w:val="22"/>
          <w:szCs w:val="22"/>
          <w:lang w:val="sr-Latn-ME"/>
        </w:rPr>
        <w:t xml:space="preserve"> u dozi od 125 mg prvog dana liječenja, a zatim u dozi od 80 mg drugog i trećeg dana liječenja, doveo je do smanjenja površine ispod krive tolbutamida (supstrata CYP2C9) od 23% četrvtog, 28% osmog i 15% petnaestog dana terapije kada je tolbutamid primijenjen u pojedinačnoj oralnoj dozi od 500 mg prije trodnevnog terapijskog režima lijekom </w:t>
      </w:r>
      <w:r w:rsidRPr="00F334AF">
        <w:rPr>
          <w:bCs/>
          <w:sz w:val="22"/>
          <w:szCs w:val="22"/>
          <w:lang w:val="sr-Latn-ME"/>
        </w:rPr>
        <w:t>EMEND</w:t>
      </w:r>
      <w:r w:rsidRPr="00F334AF">
        <w:rPr>
          <w:sz w:val="22"/>
          <w:szCs w:val="22"/>
          <w:lang w:val="sr-Latn-ME"/>
        </w:rPr>
        <w:t>, kao i četvrtog, osmog i petnaestog dana</w:t>
      </w:r>
      <w:r w:rsidR="00C301BD" w:rsidRPr="00F334AF">
        <w:rPr>
          <w:sz w:val="22"/>
          <w:szCs w:val="22"/>
          <w:lang w:val="sr-Latn-ME"/>
        </w:rPr>
        <w:t xml:space="preserve"> terapijskog režima</w:t>
      </w:r>
      <w:r w:rsidRPr="00F334AF">
        <w:rPr>
          <w:sz w:val="22"/>
          <w:szCs w:val="22"/>
          <w:lang w:val="sr-Latn-ME"/>
        </w:rPr>
        <w:t xml:space="preserve">. </w:t>
      </w:r>
    </w:p>
    <w:p w14:paraId="2DBB5712" w14:textId="77777777" w:rsidR="00E310B2" w:rsidRPr="00F334AF" w:rsidRDefault="00E310B2" w:rsidP="0034729B">
      <w:pPr>
        <w:jc w:val="both"/>
        <w:rPr>
          <w:sz w:val="22"/>
          <w:szCs w:val="22"/>
          <w:lang w:val="sr-Latn-ME"/>
        </w:rPr>
      </w:pPr>
    </w:p>
    <w:p w14:paraId="63E1C47E" w14:textId="6E1D49DB" w:rsidR="00336B1D" w:rsidRPr="00F334AF" w:rsidRDefault="00336B1D" w:rsidP="0034729B">
      <w:pPr>
        <w:jc w:val="both"/>
        <w:rPr>
          <w:i/>
          <w:sz w:val="22"/>
          <w:szCs w:val="22"/>
          <w:lang w:val="sr-Latn-ME"/>
        </w:rPr>
      </w:pPr>
      <w:r w:rsidRPr="00F334AF">
        <w:rPr>
          <w:i/>
          <w:sz w:val="22"/>
          <w:szCs w:val="22"/>
          <w:lang w:val="sr-Latn-ME"/>
        </w:rPr>
        <w:t>Hormonski kontraceptivi:</w:t>
      </w:r>
    </w:p>
    <w:p w14:paraId="07081FBD" w14:textId="2D21195A" w:rsidR="00E310B2" w:rsidRPr="00F334AF" w:rsidRDefault="00336B1D" w:rsidP="0034729B">
      <w:pPr>
        <w:jc w:val="both"/>
        <w:rPr>
          <w:sz w:val="22"/>
          <w:szCs w:val="22"/>
          <w:lang w:val="sr-Latn-ME"/>
        </w:rPr>
      </w:pPr>
      <w:r w:rsidRPr="00F334AF">
        <w:rPr>
          <w:sz w:val="22"/>
          <w:szCs w:val="22"/>
          <w:lang w:val="sr-Latn-ME"/>
        </w:rPr>
        <w:t>Efikasnost hormonskih kontraceptiva može biti smanjena u toku istovremene primjene lijeka EMEND, kao i tokom 28 dana nakon završetka njegove primjene. Stoga, dok traje liječenje lijekom EMEND, kao i dva mjeseca nakon uzimanja posl</w:t>
      </w:r>
      <w:r w:rsidR="004777C5" w:rsidRPr="00F334AF">
        <w:rPr>
          <w:sz w:val="22"/>
          <w:szCs w:val="22"/>
          <w:lang w:val="sr-Latn-ME"/>
        </w:rPr>
        <w:t>j</w:t>
      </w:r>
      <w:r w:rsidRPr="00F334AF">
        <w:rPr>
          <w:sz w:val="22"/>
          <w:szCs w:val="22"/>
          <w:lang w:val="sr-Latn-ME"/>
        </w:rPr>
        <w:t>ednje doze lijeka EMEND, treba koristiti alternativna nehormonska kontraceptivna sredstva</w:t>
      </w:r>
      <w:r w:rsidR="00E310B2" w:rsidRPr="00F334AF">
        <w:rPr>
          <w:sz w:val="22"/>
          <w:szCs w:val="22"/>
          <w:lang w:val="sr-Latn-ME"/>
        </w:rPr>
        <w:t xml:space="preserve">. </w:t>
      </w:r>
    </w:p>
    <w:p w14:paraId="5DB6531A" w14:textId="7059A6C0" w:rsidR="00E310B2" w:rsidRPr="00F334AF" w:rsidRDefault="00E310B2" w:rsidP="0034729B">
      <w:pPr>
        <w:jc w:val="both"/>
        <w:rPr>
          <w:sz w:val="22"/>
          <w:szCs w:val="22"/>
          <w:lang w:val="sr-Latn-ME"/>
        </w:rPr>
      </w:pPr>
      <w:r w:rsidRPr="00F334AF">
        <w:rPr>
          <w:sz w:val="22"/>
          <w:szCs w:val="22"/>
          <w:lang w:val="sr-Latn-ME"/>
        </w:rPr>
        <w:t xml:space="preserve">U kliničkom ispitivanju, pojedinačne doze oralnog kontraceptiva sa etinil estradiolom i noretindronom, primjenjivane su od prvog do dvadeset prvog dana terapije lijekom </w:t>
      </w:r>
      <w:r w:rsidRPr="00F334AF">
        <w:rPr>
          <w:bCs/>
          <w:sz w:val="22"/>
          <w:szCs w:val="22"/>
          <w:lang w:val="sr-Latn-ME"/>
        </w:rPr>
        <w:t>EMEND</w:t>
      </w:r>
      <w:r w:rsidRPr="00F334AF">
        <w:rPr>
          <w:sz w:val="22"/>
          <w:szCs w:val="22"/>
          <w:lang w:val="sr-Latn-ME"/>
        </w:rPr>
        <w:t xml:space="preserve"> koji se primjenjivao u dozi od 125 mg osmog i 80 mg dnevno devetog i desetog dana, u kombinaciji sa ondansetronom u intravenskoj dozi od 32 mg osmog dana i oralnim deksametazonom u dozi od 12 mg osmog dana, a zatim u dozi od 8 mg dnevno devetog, desetog i jedanaestog dana. Od devetog do dvadeset prvog dana ovog ispitivanja zabilježeno je smanjenje </w:t>
      </w:r>
      <w:r w:rsidR="004777C5" w:rsidRPr="00F334AF">
        <w:rPr>
          <w:sz w:val="22"/>
          <w:szCs w:val="22"/>
          <w:lang w:val="sr-Latn-ME"/>
        </w:rPr>
        <w:t xml:space="preserve">najniže </w:t>
      </w:r>
      <w:r w:rsidRPr="00F334AF">
        <w:rPr>
          <w:sz w:val="22"/>
          <w:szCs w:val="22"/>
          <w:lang w:val="sr-Latn-ME"/>
        </w:rPr>
        <w:t>koncentracije etinil estradiola čak od 64% kao i 60% smanjenje</w:t>
      </w:r>
      <w:r w:rsidR="004777C5" w:rsidRPr="00F334AF">
        <w:rPr>
          <w:sz w:val="22"/>
          <w:szCs w:val="22"/>
          <w:lang w:val="sr-Latn-ME"/>
        </w:rPr>
        <w:t xml:space="preserve"> najniže</w:t>
      </w:r>
      <w:r w:rsidRPr="00F334AF">
        <w:rPr>
          <w:sz w:val="22"/>
          <w:szCs w:val="22"/>
          <w:lang w:val="sr-Latn-ME"/>
        </w:rPr>
        <w:t xml:space="preserve"> koncentracije noretindrona.</w:t>
      </w:r>
    </w:p>
    <w:p w14:paraId="369EE430" w14:textId="77777777" w:rsidR="00E310B2" w:rsidRPr="00F334AF" w:rsidRDefault="00E310B2" w:rsidP="0034729B">
      <w:pPr>
        <w:jc w:val="both"/>
        <w:rPr>
          <w:sz w:val="22"/>
          <w:szCs w:val="22"/>
          <w:lang w:val="sr-Latn-ME"/>
        </w:rPr>
      </w:pPr>
    </w:p>
    <w:p w14:paraId="7FF16231" w14:textId="77777777" w:rsidR="00336B1D" w:rsidRPr="00F334AF" w:rsidRDefault="00E310B2" w:rsidP="0034729B">
      <w:pPr>
        <w:jc w:val="both"/>
        <w:rPr>
          <w:sz w:val="22"/>
          <w:szCs w:val="22"/>
          <w:lang w:val="sr-Latn-ME"/>
        </w:rPr>
      </w:pPr>
      <w:r w:rsidRPr="00F334AF">
        <w:rPr>
          <w:i/>
          <w:sz w:val="22"/>
          <w:szCs w:val="22"/>
          <w:lang w:val="sr-Latn-ME"/>
        </w:rPr>
        <w:t>Antagonisti 5-HT</w:t>
      </w:r>
      <w:r w:rsidRPr="00F334AF">
        <w:rPr>
          <w:i/>
          <w:sz w:val="22"/>
          <w:szCs w:val="22"/>
          <w:vertAlign w:val="subscript"/>
          <w:lang w:val="sr-Latn-ME"/>
        </w:rPr>
        <w:t>3</w:t>
      </w:r>
      <w:r w:rsidRPr="00F334AF">
        <w:rPr>
          <w:i/>
          <w:sz w:val="22"/>
          <w:szCs w:val="22"/>
          <w:lang w:val="sr-Latn-ME"/>
        </w:rPr>
        <w:t>:</w:t>
      </w:r>
      <w:r w:rsidRPr="00F334AF">
        <w:rPr>
          <w:sz w:val="22"/>
          <w:szCs w:val="22"/>
          <w:lang w:val="sr-Latn-ME"/>
        </w:rPr>
        <w:t xml:space="preserve"> </w:t>
      </w:r>
    </w:p>
    <w:p w14:paraId="08A4D3D1" w14:textId="36A8A78C" w:rsidR="00E310B2" w:rsidRPr="00F334AF" w:rsidRDefault="00E310B2" w:rsidP="0034729B">
      <w:pPr>
        <w:jc w:val="both"/>
        <w:rPr>
          <w:sz w:val="22"/>
          <w:szCs w:val="22"/>
          <w:lang w:val="sr-Latn-ME"/>
        </w:rPr>
      </w:pPr>
      <w:r w:rsidRPr="00F334AF">
        <w:rPr>
          <w:sz w:val="22"/>
          <w:szCs w:val="22"/>
          <w:lang w:val="sr-Latn-ME"/>
        </w:rPr>
        <w:t>U kliničkim ispitivanjima interakcija ljekova, aprepitant nije klinički značajno uticao na farmakokinetiku ondansetrona, granisetrona ili hidrodolasetrona (aktivnog metabolita dolasetrona).</w:t>
      </w:r>
    </w:p>
    <w:p w14:paraId="365EAC41" w14:textId="77777777" w:rsidR="00E310B2" w:rsidRPr="00F334AF" w:rsidRDefault="00E310B2" w:rsidP="0034729B">
      <w:pPr>
        <w:jc w:val="both"/>
        <w:rPr>
          <w:sz w:val="22"/>
          <w:szCs w:val="22"/>
          <w:lang w:val="sr-Latn-ME"/>
        </w:rPr>
      </w:pPr>
    </w:p>
    <w:p w14:paraId="6902FD59" w14:textId="7F306924" w:rsidR="00E310B2" w:rsidRPr="00F334AF" w:rsidRDefault="00E310B2" w:rsidP="0034729B">
      <w:pPr>
        <w:jc w:val="both"/>
        <w:rPr>
          <w:bCs/>
          <w:iCs/>
          <w:sz w:val="22"/>
          <w:szCs w:val="22"/>
          <w:u w:val="single"/>
          <w:lang w:val="sr-Latn-ME"/>
        </w:rPr>
      </w:pPr>
      <w:r w:rsidRPr="00F334AF">
        <w:rPr>
          <w:bCs/>
          <w:iCs/>
          <w:sz w:val="22"/>
          <w:szCs w:val="22"/>
          <w:u w:val="single"/>
          <w:lang w:val="sr-Latn-ME"/>
        </w:rPr>
        <w:t>Dejstvo drugih ljekova na farmakokinetiku aprepitanta</w:t>
      </w:r>
    </w:p>
    <w:p w14:paraId="43037135" w14:textId="7F3E8E9F" w:rsidR="00E310B2" w:rsidRPr="00F334AF" w:rsidRDefault="00E310B2" w:rsidP="0034729B">
      <w:pPr>
        <w:jc w:val="both"/>
        <w:rPr>
          <w:sz w:val="22"/>
          <w:szCs w:val="22"/>
          <w:lang w:val="sr-Latn-ME"/>
        </w:rPr>
      </w:pPr>
      <w:r w:rsidRPr="00F334AF">
        <w:rPr>
          <w:sz w:val="22"/>
          <w:szCs w:val="22"/>
          <w:lang w:val="sr-Latn-ME"/>
        </w:rPr>
        <w:t xml:space="preserve">Treba pažljivo pristupiti istovremenoj primjeni lijeka </w:t>
      </w:r>
      <w:r w:rsidRPr="00F334AF">
        <w:rPr>
          <w:bCs/>
          <w:sz w:val="22"/>
          <w:szCs w:val="22"/>
          <w:lang w:val="sr-Latn-ME"/>
        </w:rPr>
        <w:t>EMEND</w:t>
      </w:r>
      <w:r w:rsidRPr="00F334AF">
        <w:rPr>
          <w:sz w:val="22"/>
          <w:szCs w:val="22"/>
          <w:lang w:val="sr-Latn-ME"/>
        </w:rPr>
        <w:t xml:space="preserve"> i ljekova koji inhibiraju aktivnost CYP3A4 (na primjer ketokonazol, itrakonazol, vorikonazol, posakonazol, klaritromicin, telitromicin, nefazodon i inhibitori proteaze) zato što ova kombinacija može da dovede do </w:t>
      </w:r>
      <w:r w:rsidR="004777C5" w:rsidRPr="00F334AF">
        <w:rPr>
          <w:sz w:val="22"/>
          <w:szCs w:val="22"/>
          <w:lang w:val="sr-Latn-ME"/>
        </w:rPr>
        <w:t xml:space="preserve">višestrukog </w:t>
      </w:r>
      <w:r w:rsidRPr="00F334AF">
        <w:rPr>
          <w:sz w:val="22"/>
          <w:szCs w:val="22"/>
          <w:lang w:val="sr-Latn-ME"/>
        </w:rPr>
        <w:t>povećanja koncentracije aprepitanta u plazmi</w:t>
      </w:r>
      <w:r w:rsidRPr="00F334AF" w:rsidDel="00381A7F">
        <w:rPr>
          <w:sz w:val="22"/>
          <w:szCs w:val="22"/>
          <w:lang w:val="sr-Latn-ME"/>
        </w:rPr>
        <w:t xml:space="preserve"> </w:t>
      </w:r>
      <w:r w:rsidRPr="00F334AF">
        <w:rPr>
          <w:sz w:val="22"/>
          <w:szCs w:val="22"/>
          <w:lang w:val="sr-Latn-ME"/>
        </w:rPr>
        <w:t>(vidjeti dio 4.4).</w:t>
      </w:r>
    </w:p>
    <w:p w14:paraId="761AD10C" w14:textId="77777777" w:rsidR="00E310B2" w:rsidRPr="00F334AF" w:rsidRDefault="00E310B2" w:rsidP="0034729B">
      <w:pPr>
        <w:jc w:val="both"/>
        <w:rPr>
          <w:sz w:val="22"/>
          <w:szCs w:val="22"/>
          <w:lang w:val="sr-Latn-ME"/>
        </w:rPr>
      </w:pPr>
    </w:p>
    <w:p w14:paraId="7DD2AE8B" w14:textId="79B52502" w:rsidR="00E310B2" w:rsidRPr="00F334AF" w:rsidRDefault="00E310B2" w:rsidP="0034729B">
      <w:pPr>
        <w:jc w:val="both"/>
        <w:rPr>
          <w:sz w:val="22"/>
          <w:szCs w:val="22"/>
          <w:lang w:val="sr-Latn-ME"/>
        </w:rPr>
      </w:pPr>
      <w:r w:rsidRPr="00F334AF">
        <w:rPr>
          <w:sz w:val="22"/>
          <w:szCs w:val="22"/>
          <w:lang w:val="sr-Latn-ME"/>
        </w:rPr>
        <w:t xml:space="preserve">Treba izbjegavati istovremenu primjenu lijeka </w:t>
      </w:r>
      <w:r w:rsidRPr="00F334AF">
        <w:rPr>
          <w:bCs/>
          <w:sz w:val="22"/>
          <w:szCs w:val="22"/>
          <w:lang w:val="sr-Latn-ME"/>
        </w:rPr>
        <w:t>EMEND</w:t>
      </w:r>
      <w:r w:rsidRPr="00F334AF">
        <w:rPr>
          <w:sz w:val="22"/>
          <w:szCs w:val="22"/>
          <w:lang w:val="sr-Latn-ME"/>
        </w:rPr>
        <w:t xml:space="preserve"> sa ljekovima koji snažno indukuju aktivnost CYP3A4 (na primjer rifampicin, fenitoin, karbamazepin, fenobarbit</w:t>
      </w:r>
      <w:r w:rsidR="004777C5" w:rsidRPr="00F334AF">
        <w:rPr>
          <w:sz w:val="22"/>
          <w:szCs w:val="22"/>
          <w:lang w:val="sr-Latn-ME"/>
        </w:rPr>
        <w:t>al</w:t>
      </w:r>
      <w:r w:rsidRPr="00F334AF">
        <w:rPr>
          <w:sz w:val="22"/>
          <w:szCs w:val="22"/>
          <w:lang w:val="sr-Latn-ME"/>
        </w:rPr>
        <w:t xml:space="preserve">) zato što ovakva kombinacija može da dovede do smanjenja koncentracije aprepitanta u plazmi, a time i do smanjenja terapijske efikasnosti lijeka </w:t>
      </w:r>
      <w:r w:rsidRPr="00F334AF">
        <w:rPr>
          <w:bCs/>
          <w:sz w:val="22"/>
          <w:szCs w:val="22"/>
          <w:lang w:val="sr-Latn-ME"/>
        </w:rPr>
        <w:t>EMEND</w:t>
      </w:r>
      <w:r w:rsidRPr="00F334AF">
        <w:rPr>
          <w:sz w:val="22"/>
          <w:szCs w:val="22"/>
          <w:lang w:val="sr-Latn-ME"/>
        </w:rPr>
        <w:t xml:space="preserve">. Ne preporučuje se istovremena primjena lijeka </w:t>
      </w:r>
      <w:r w:rsidRPr="00F334AF">
        <w:rPr>
          <w:bCs/>
          <w:sz w:val="22"/>
          <w:szCs w:val="22"/>
          <w:lang w:val="sr-Latn-ME"/>
        </w:rPr>
        <w:t>EMEND</w:t>
      </w:r>
      <w:r w:rsidRPr="00F334AF">
        <w:rPr>
          <w:sz w:val="22"/>
          <w:szCs w:val="22"/>
          <w:lang w:val="sr-Latn-ME"/>
        </w:rPr>
        <w:t xml:space="preserve"> i kantariona.</w:t>
      </w:r>
    </w:p>
    <w:p w14:paraId="167F0E00" w14:textId="77777777" w:rsidR="00E310B2" w:rsidRPr="00F334AF" w:rsidRDefault="00E310B2" w:rsidP="0034729B">
      <w:pPr>
        <w:jc w:val="both"/>
        <w:rPr>
          <w:sz w:val="22"/>
          <w:szCs w:val="22"/>
          <w:lang w:val="sr-Latn-ME"/>
        </w:rPr>
      </w:pPr>
    </w:p>
    <w:p w14:paraId="0FA70D8A" w14:textId="77777777" w:rsidR="00B043ED" w:rsidRPr="00F334AF" w:rsidRDefault="00E310B2" w:rsidP="0034729B">
      <w:pPr>
        <w:jc w:val="both"/>
        <w:rPr>
          <w:i/>
          <w:sz w:val="22"/>
          <w:szCs w:val="22"/>
          <w:lang w:val="sr-Latn-ME"/>
        </w:rPr>
      </w:pPr>
      <w:r w:rsidRPr="00F334AF">
        <w:rPr>
          <w:i/>
          <w:sz w:val="22"/>
          <w:szCs w:val="22"/>
          <w:lang w:val="sr-Latn-ME"/>
        </w:rPr>
        <w:t>Ketokonazol:</w:t>
      </w:r>
    </w:p>
    <w:p w14:paraId="2348C116" w14:textId="3559A487" w:rsidR="00E310B2" w:rsidRPr="00F334AF" w:rsidRDefault="00E310B2" w:rsidP="0034729B">
      <w:pPr>
        <w:jc w:val="both"/>
        <w:rPr>
          <w:sz w:val="22"/>
          <w:szCs w:val="22"/>
          <w:lang w:val="sr-Latn-ME"/>
        </w:rPr>
      </w:pPr>
      <w:r w:rsidRPr="00F334AF">
        <w:rPr>
          <w:sz w:val="22"/>
          <w:szCs w:val="22"/>
          <w:lang w:val="sr-Latn-ME"/>
        </w:rPr>
        <w:t xml:space="preserve">Pojedinačna doza lijeka </w:t>
      </w:r>
      <w:r w:rsidRPr="00F334AF">
        <w:rPr>
          <w:bCs/>
          <w:sz w:val="22"/>
          <w:szCs w:val="22"/>
          <w:lang w:val="sr-Latn-ME"/>
        </w:rPr>
        <w:t>EMEND</w:t>
      </w:r>
      <w:r w:rsidRPr="00F334AF">
        <w:rPr>
          <w:sz w:val="22"/>
          <w:szCs w:val="22"/>
          <w:lang w:val="sr-Latn-ME"/>
        </w:rPr>
        <w:t xml:space="preserve"> od 125 mg</w:t>
      </w:r>
      <w:r w:rsidR="00FB1BA2" w:rsidRPr="00F334AF">
        <w:rPr>
          <w:sz w:val="22"/>
          <w:szCs w:val="22"/>
          <w:lang w:val="sr-Latn-ME"/>
        </w:rPr>
        <w:t xml:space="preserve"> primijenjena</w:t>
      </w:r>
      <w:r w:rsidRPr="00F334AF">
        <w:rPr>
          <w:sz w:val="22"/>
          <w:szCs w:val="22"/>
          <w:lang w:val="sr-Latn-ME"/>
        </w:rPr>
        <w:t xml:space="preserve"> petog dana desetodnevnog režima liječenja ketokonazolom, snažnim inhibitorom CYP3A4, u dozi od 400 mg na dan, dovela je do petostrukog povećanja površine ispod krive aprepitanta i oko trostrukog produženja njegovog srednjeg terminalnog poluvremena eliminacije.</w:t>
      </w:r>
    </w:p>
    <w:p w14:paraId="39242D7A" w14:textId="77777777" w:rsidR="00E310B2" w:rsidRPr="00F334AF" w:rsidRDefault="00E310B2" w:rsidP="0034729B">
      <w:pPr>
        <w:jc w:val="both"/>
        <w:rPr>
          <w:sz w:val="22"/>
          <w:szCs w:val="22"/>
          <w:lang w:val="sr-Latn-ME"/>
        </w:rPr>
      </w:pPr>
    </w:p>
    <w:p w14:paraId="3EDC6848" w14:textId="77777777" w:rsidR="00B043ED" w:rsidRPr="00F334AF" w:rsidRDefault="00E310B2" w:rsidP="0034729B">
      <w:pPr>
        <w:jc w:val="both"/>
        <w:rPr>
          <w:sz w:val="22"/>
          <w:szCs w:val="22"/>
          <w:lang w:val="sr-Latn-ME"/>
        </w:rPr>
      </w:pPr>
      <w:r w:rsidRPr="00F334AF">
        <w:rPr>
          <w:i/>
          <w:sz w:val="22"/>
          <w:szCs w:val="22"/>
          <w:lang w:val="sr-Latn-ME"/>
        </w:rPr>
        <w:t>Rifampicin:</w:t>
      </w:r>
      <w:r w:rsidRPr="00F334AF">
        <w:rPr>
          <w:sz w:val="22"/>
          <w:szCs w:val="22"/>
          <w:lang w:val="sr-Latn-ME"/>
        </w:rPr>
        <w:t xml:space="preserve"> </w:t>
      </w:r>
    </w:p>
    <w:p w14:paraId="3BF17BE9" w14:textId="28B0683C" w:rsidR="00E310B2" w:rsidRPr="00F334AF" w:rsidRDefault="00E310B2" w:rsidP="0034729B">
      <w:pPr>
        <w:jc w:val="both"/>
        <w:rPr>
          <w:sz w:val="22"/>
          <w:szCs w:val="22"/>
          <w:lang w:val="sr-Latn-ME"/>
        </w:rPr>
      </w:pPr>
      <w:r w:rsidRPr="00F334AF">
        <w:rPr>
          <w:sz w:val="22"/>
          <w:szCs w:val="22"/>
          <w:lang w:val="sr-Latn-ME"/>
        </w:rPr>
        <w:t xml:space="preserve">Pojedinačna doza lijeka </w:t>
      </w:r>
      <w:r w:rsidRPr="00F334AF">
        <w:rPr>
          <w:bCs/>
          <w:sz w:val="22"/>
          <w:szCs w:val="22"/>
          <w:lang w:val="sr-Latn-ME"/>
        </w:rPr>
        <w:t xml:space="preserve">EMEND </w:t>
      </w:r>
      <w:r w:rsidRPr="00F334AF">
        <w:rPr>
          <w:sz w:val="22"/>
          <w:szCs w:val="22"/>
          <w:lang w:val="sr-Latn-ME"/>
        </w:rPr>
        <w:t xml:space="preserve">od 375 mg </w:t>
      </w:r>
      <w:r w:rsidR="00FB1BA2" w:rsidRPr="00F334AF">
        <w:rPr>
          <w:sz w:val="22"/>
          <w:szCs w:val="22"/>
          <w:lang w:val="sr-Latn-ME"/>
        </w:rPr>
        <w:t xml:space="preserve">primijenjena </w:t>
      </w:r>
      <w:r w:rsidRPr="00F334AF">
        <w:rPr>
          <w:sz w:val="22"/>
          <w:szCs w:val="22"/>
          <w:lang w:val="sr-Latn-ME"/>
        </w:rPr>
        <w:t>devetog dana četrnaestodnevnog režima liječenja rifampicinom, snažnim induktorom CYP3A4, u dozi od 600 mg na dan, dovela je do smanjenja površine ispod krive aprepitanta za 91% i skraćenja njegovog srednjeg terminalnog poluvremena eliminacije za 68%.</w:t>
      </w:r>
    </w:p>
    <w:p w14:paraId="0F9CA451" w14:textId="77777777" w:rsidR="00E310B2" w:rsidRPr="00F334AF" w:rsidRDefault="00E310B2" w:rsidP="0034729B">
      <w:pPr>
        <w:tabs>
          <w:tab w:val="left" w:pos="540"/>
          <w:tab w:val="left" w:pos="569"/>
        </w:tabs>
        <w:jc w:val="both"/>
        <w:rPr>
          <w:bCs/>
          <w:sz w:val="22"/>
          <w:szCs w:val="22"/>
          <w:lang w:val="sr-Latn-ME"/>
        </w:rPr>
      </w:pPr>
    </w:p>
    <w:p w14:paraId="420334D8" w14:textId="3E0637EF" w:rsidR="00057E35" w:rsidRPr="00F334AF" w:rsidRDefault="00057E35" w:rsidP="0034729B">
      <w:pPr>
        <w:tabs>
          <w:tab w:val="left" w:pos="540"/>
          <w:tab w:val="left" w:pos="569"/>
        </w:tabs>
        <w:jc w:val="both"/>
        <w:rPr>
          <w:i/>
          <w:iCs/>
          <w:sz w:val="22"/>
          <w:szCs w:val="22"/>
          <w:u w:val="single"/>
          <w:lang w:val="sr-Latn-ME"/>
        </w:rPr>
      </w:pPr>
      <w:r w:rsidRPr="00F334AF">
        <w:rPr>
          <w:i/>
          <w:iCs/>
          <w:sz w:val="22"/>
          <w:szCs w:val="22"/>
          <w:u w:val="single"/>
          <w:lang w:val="sr-Latn-ME"/>
        </w:rPr>
        <w:t>Pedijatrijska populacija</w:t>
      </w:r>
    </w:p>
    <w:p w14:paraId="025EF9D3" w14:textId="526BAC83" w:rsidR="004777C5" w:rsidRPr="00F334AF" w:rsidRDefault="00E310B2" w:rsidP="0034729B">
      <w:pPr>
        <w:tabs>
          <w:tab w:val="left" w:pos="540"/>
          <w:tab w:val="left" w:pos="569"/>
        </w:tabs>
        <w:jc w:val="both"/>
        <w:rPr>
          <w:bCs/>
          <w:sz w:val="22"/>
          <w:szCs w:val="22"/>
          <w:lang w:val="sr-Latn-ME"/>
        </w:rPr>
      </w:pPr>
      <w:r w:rsidRPr="00F334AF">
        <w:rPr>
          <w:bCs/>
          <w:sz w:val="22"/>
          <w:szCs w:val="22"/>
          <w:lang w:val="sr-Latn-ME"/>
        </w:rPr>
        <w:t>Ispitivanja interakcija sprovedena su samo kod odraslih.</w:t>
      </w:r>
    </w:p>
    <w:p w14:paraId="0F59AE79" w14:textId="4AD3D32E" w:rsidR="00FB1BA2" w:rsidRDefault="00FB1BA2" w:rsidP="0034729B">
      <w:pPr>
        <w:tabs>
          <w:tab w:val="left" w:pos="540"/>
          <w:tab w:val="left" w:pos="569"/>
        </w:tabs>
        <w:jc w:val="both"/>
        <w:rPr>
          <w:bCs/>
          <w:sz w:val="22"/>
          <w:szCs w:val="22"/>
          <w:lang w:val="sr-Latn-ME"/>
        </w:rPr>
      </w:pPr>
    </w:p>
    <w:p w14:paraId="3B596EFE" w14:textId="41416446" w:rsidR="001F423A" w:rsidRDefault="001F423A" w:rsidP="0034729B">
      <w:pPr>
        <w:tabs>
          <w:tab w:val="left" w:pos="540"/>
          <w:tab w:val="left" w:pos="569"/>
        </w:tabs>
        <w:jc w:val="both"/>
        <w:rPr>
          <w:bCs/>
          <w:sz w:val="22"/>
          <w:szCs w:val="22"/>
          <w:lang w:val="sr-Latn-ME"/>
        </w:rPr>
      </w:pPr>
    </w:p>
    <w:p w14:paraId="04B09864" w14:textId="77777777" w:rsidR="001F423A" w:rsidRPr="00F334AF" w:rsidRDefault="001F423A" w:rsidP="0034729B">
      <w:pPr>
        <w:tabs>
          <w:tab w:val="left" w:pos="540"/>
          <w:tab w:val="left" w:pos="569"/>
        </w:tabs>
        <w:jc w:val="both"/>
        <w:rPr>
          <w:bCs/>
          <w:sz w:val="22"/>
          <w:szCs w:val="22"/>
          <w:lang w:val="sr-Latn-ME"/>
        </w:rPr>
      </w:pPr>
    </w:p>
    <w:p w14:paraId="7605A995" w14:textId="5CB7D28A" w:rsidR="0072020E" w:rsidRPr="00F334AF" w:rsidRDefault="0072020E" w:rsidP="0034729B">
      <w:pPr>
        <w:tabs>
          <w:tab w:val="left" w:pos="540"/>
          <w:tab w:val="left" w:pos="569"/>
        </w:tabs>
        <w:jc w:val="both"/>
        <w:rPr>
          <w:b/>
          <w:sz w:val="22"/>
          <w:szCs w:val="22"/>
          <w:lang w:val="sr-Latn-ME"/>
        </w:rPr>
      </w:pPr>
      <w:r w:rsidRPr="00F334AF">
        <w:rPr>
          <w:b/>
          <w:bCs/>
          <w:sz w:val="22"/>
          <w:szCs w:val="22"/>
          <w:lang w:val="sr-Latn-ME"/>
        </w:rPr>
        <w:lastRenderedPageBreak/>
        <w:t xml:space="preserve">4.6. </w:t>
      </w:r>
      <w:r w:rsidR="00480FB1" w:rsidRPr="00F334AF">
        <w:rPr>
          <w:b/>
          <w:bCs/>
          <w:sz w:val="22"/>
          <w:szCs w:val="22"/>
          <w:lang w:val="sr-Latn-ME"/>
        </w:rPr>
        <w:tab/>
      </w:r>
      <w:r w:rsidR="006D20A5" w:rsidRPr="00F334AF">
        <w:rPr>
          <w:b/>
          <w:sz w:val="22"/>
          <w:szCs w:val="22"/>
          <w:lang w:val="sr-Latn-ME"/>
        </w:rPr>
        <w:t>Plodnost, trudnoća i dojenje</w:t>
      </w:r>
    </w:p>
    <w:p w14:paraId="5247B117" w14:textId="5A82754F" w:rsidR="002031B3" w:rsidRPr="00F334AF" w:rsidRDefault="002031B3" w:rsidP="0034729B">
      <w:pPr>
        <w:tabs>
          <w:tab w:val="left" w:pos="540"/>
          <w:tab w:val="left" w:pos="569"/>
        </w:tabs>
        <w:jc w:val="both"/>
        <w:rPr>
          <w:sz w:val="22"/>
          <w:szCs w:val="22"/>
          <w:u w:val="single"/>
          <w:lang w:val="sr-Latn-ME"/>
        </w:rPr>
      </w:pPr>
    </w:p>
    <w:p w14:paraId="4AD4381D" w14:textId="77777777" w:rsidR="00E310B2" w:rsidRPr="00F334AF" w:rsidRDefault="00E310B2" w:rsidP="0034729B">
      <w:pPr>
        <w:jc w:val="both"/>
        <w:rPr>
          <w:sz w:val="22"/>
          <w:szCs w:val="22"/>
          <w:u w:val="single"/>
          <w:lang w:val="sr-Latn-ME"/>
        </w:rPr>
      </w:pPr>
      <w:r w:rsidRPr="00F334AF">
        <w:rPr>
          <w:sz w:val="22"/>
          <w:szCs w:val="22"/>
          <w:u w:val="single"/>
          <w:lang w:val="sr-Latn-ME"/>
        </w:rPr>
        <w:t>Kontracepcija kod muškaraca i žena</w:t>
      </w:r>
    </w:p>
    <w:p w14:paraId="4A7982BB" w14:textId="4A75B9A4" w:rsidR="00E310B2" w:rsidRPr="00F334AF" w:rsidRDefault="00B043ED" w:rsidP="0034729B">
      <w:pPr>
        <w:jc w:val="both"/>
        <w:rPr>
          <w:sz w:val="22"/>
          <w:szCs w:val="22"/>
          <w:lang w:val="sr-Latn-ME"/>
        </w:rPr>
      </w:pPr>
      <w:r w:rsidRPr="00F334AF">
        <w:rPr>
          <w:sz w:val="22"/>
          <w:szCs w:val="22"/>
          <w:lang w:val="sr-Latn-ME"/>
        </w:rPr>
        <w:t>Efikasnost hormonskih kontraceptiva može biti smanjena u toku istovremene prim</w:t>
      </w:r>
      <w:r w:rsidR="00C401B9" w:rsidRPr="00F334AF">
        <w:rPr>
          <w:sz w:val="22"/>
          <w:szCs w:val="22"/>
          <w:lang w:val="sr-Latn-ME"/>
        </w:rPr>
        <w:t>j</w:t>
      </w:r>
      <w:r w:rsidRPr="00F334AF">
        <w:rPr>
          <w:sz w:val="22"/>
          <w:szCs w:val="22"/>
          <w:lang w:val="sr-Latn-ME"/>
        </w:rPr>
        <w:t>ene lijeka EMEND, kao i tokom 28 dana nakon završetka njegove primjene. Stoga, dok traje liječenje lijekom EMEND, kao i dva mjeseca nakon uzimanja posl</w:t>
      </w:r>
      <w:r w:rsidR="00C401B9" w:rsidRPr="00F334AF">
        <w:rPr>
          <w:sz w:val="22"/>
          <w:szCs w:val="22"/>
          <w:lang w:val="sr-Latn-ME"/>
        </w:rPr>
        <w:t>j</w:t>
      </w:r>
      <w:r w:rsidRPr="00F334AF">
        <w:rPr>
          <w:sz w:val="22"/>
          <w:szCs w:val="22"/>
          <w:lang w:val="sr-Latn-ME"/>
        </w:rPr>
        <w:t>ednje doze lijeka EMEND, treba koristiti alternativna nehormonska kontraceptivna sredstva</w:t>
      </w:r>
      <w:r w:rsidR="00E310B2" w:rsidRPr="00F334AF">
        <w:rPr>
          <w:b/>
          <w:bCs/>
          <w:iCs/>
          <w:sz w:val="22"/>
          <w:szCs w:val="22"/>
          <w:lang w:val="sr-Latn-ME"/>
        </w:rPr>
        <w:t xml:space="preserve"> </w:t>
      </w:r>
      <w:r w:rsidR="00E310B2" w:rsidRPr="00F334AF">
        <w:rPr>
          <w:bCs/>
          <w:iCs/>
          <w:sz w:val="22"/>
          <w:szCs w:val="22"/>
          <w:lang w:val="sr-Latn-ME"/>
        </w:rPr>
        <w:t>(vid</w:t>
      </w:r>
      <w:r w:rsidR="00C401B9" w:rsidRPr="00F334AF">
        <w:rPr>
          <w:bCs/>
          <w:iCs/>
          <w:sz w:val="22"/>
          <w:szCs w:val="22"/>
          <w:lang w:val="sr-Latn-ME"/>
        </w:rPr>
        <w:t>j</w:t>
      </w:r>
      <w:r w:rsidR="00E310B2" w:rsidRPr="00F334AF">
        <w:rPr>
          <w:bCs/>
          <w:iCs/>
          <w:sz w:val="22"/>
          <w:szCs w:val="22"/>
          <w:lang w:val="sr-Latn-ME"/>
        </w:rPr>
        <w:t>eti d</w:t>
      </w:r>
      <w:r w:rsidR="00C401B9" w:rsidRPr="00F334AF">
        <w:rPr>
          <w:bCs/>
          <w:iCs/>
          <w:sz w:val="22"/>
          <w:szCs w:val="22"/>
          <w:lang w:val="sr-Latn-ME"/>
        </w:rPr>
        <w:t>jelove</w:t>
      </w:r>
      <w:r w:rsidR="00E310B2" w:rsidRPr="00F334AF">
        <w:rPr>
          <w:bCs/>
          <w:iCs/>
          <w:sz w:val="22"/>
          <w:szCs w:val="22"/>
          <w:lang w:val="sr-Latn-ME"/>
        </w:rPr>
        <w:t xml:space="preserve"> 4.4 i 4.5).</w:t>
      </w:r>
    </w:p>
    <w:p w14:paraId="069F6347" w14:textId="77777777" w:rsidR="001F423A" w:rsidRDefault="001F423A" w:rsidP="0034729B">
      <w:pPr>
        <w:tabs>
          <w:tab w:val="left" w:pos="540"/>
          <w:tab w:val="left" w:pos="569"/>
        </w:tabs>
        <w:jc w:val="both"/>
        <w:rPr>
          <w:sz w:val="22"/>
          <w:szCs w:val="22"/>
          <w:u w:val="single"/>
          <w:lang w:val="sr-Latn-ME"/>
        </w:rPr>
      </w:pPr>
    </w:p>
    <w:p w14:paraId="236191DB" w14:textId="2EB23B72" w:rsidR="002031B3" w:rsidRPr="00F334AF" w:rsidRDefault="002031B3" w:rsidP="0034729B">
      <w:pPr>
        <w:tabs>
          <w:tab w:val="left" w:pos="540"/>
          <w:tab w:val="left" w:pos="569"/>
        </w:tabs>
        <w:jc w:val="both"/>
        <w:rPr>
          <w:sz w:val="22"/>
          <w:szCs w:val="22"/>
          <w:u w:val="single"/>
          <w:lang w:val="sr-Latn-ME"/>
        </w:rPr>
      </w:pPr>
      <w:r w:rsidRPr="00F334AF">
        <w:rPr>
          <w:sz w:val="22"/>
          <w:szCs w:val="22"/>
          <w:u w:val="single"/>
          <w:lang w:val="sr-Latn-ME"/>
        </w:rPr>
        <w:t>Plodnost</w:t>
      </w:r>
    </w:p>
    <w:p w14:paraId="0CCD446E" w14:textId="2469222D" w:rsidR="00E310B2" w:rsidRPr="00F334AF" w:rsidRDefault="00E310B2" w:rsidP="0034729B">
      <w:pPr>
        <w:jc w:val="both"/>
        <w:rPr>
          <w:sz w:val="22"/>
          <w:szCs w:val="22"/>
          <w:lang w:val="sr-Latn-ME"/>
        </w:rPr>
      </w:pPr>
      <w:r w:rsidRPr="00F334AF">
        <w:rPr>
          <w:sz w:val="22"/>
          <w:szCs w:val="22"/>
          <w:lang w:val="sr-Latn-ME"/>
        </w:rPr>
        <w:t>Nije potpuno utvrđena mogućnost uticaja aprepitanta na fertilitet zato što kod životinja ni</w:t>
      </w:r>
      <w:r w:rsidR="00DD057B" w:rsidRPr="00F334AF">
        <w:rPr>
          <w:sz w:val="22"/>
          <w:szCs w:val="22"/>
          <w:lang w:val="sr-Latn-ME"/>
        </w:rPr>
        <w:t>je</w:t>
      </w:r>
      <w:r w:rsidRPr="00F334AF">
        <w:rPr>
          <w:sz w:val="22"/>
          <w:szCs w:val="22"/>
          <w:lang w:val="sr-Latn-ME"/>
        </w:rPr>
        <w:t>su postignute doze izloženosti veće od terapijskih doza koje se daju ljudima. Ova is</w:t>
      </w:r>
      <w:r w:rsidR="00970B29" w:rsidRPr="00F334AF">
        <w:rPr>
          <w:sz w:val="22"/>
          <w:szCs w:val="22"/>
          <w:lang w:val="sr-Latn-ME"/>
        </w:rPr>
        <w:t>p</w:t>
      </w:r>
      <w:r w:rsidRPr="00F334AF">
        <w:rPr>
          <w:sz w:val="22"/>
          <w:szCs w:val="22"/>
          <w:lang w:val="sr-Latn-ME"/>
        </w:rPr>
        <w:t>itivanja uticaja na plodnost ni</w:t>
      </w:r>
      <w:r w:rsidR="00DD057B" w:rsidRPr="00F334AF">
        <w:rPr>
          <w:sz w:val="22"/>
          <w:szCs w:val="22"/>
          <w:lang w:val="sr-Latn-ME"/>
        </w:rPr>
        <w:t>je</w:t>
      </w:r>
      <w:r w:rsidRPr="00F334AF">
        <w:rPr>
          <w:sz w:val="22"/>
          <w:szCs w:val="22"/>
          <w:lang w:val="sr-Latn-ME"/>
        </w:rPr>
        <w:t>su utvrdila postojanje direktnog ili indirektnog štetnog dejstva u smislu sposobnosti parenja, fertiliteta, razvoja embriona/fetusa ili broja spermatozoida i njihove pokretljivosti (vidjeti dio 5.3).</w:t>
      </w:r>
    </w:p>
    <w:p w14:paraId="71253182" w14:textId="77777777" w:rsidR="002031B3" w:rsidRPr="00F334AF" w:rsidRDefault="002031B3" w:rsidP="0034729B">
      <w:pPr>
        <w:tabs>
          <w:tab w:val="left" w:pos="540"/>
          <w:tab w:val="left" w:pos="569"/>
        </w:tabs>
        <w:jc w:val="both"/>
        <w:rPr>
          <w:sz w:val="22"/>
          <w:szCs w:val="22"/>
          <w:u w:val="single"/>
          <w:lang w:val="sr-Latn-ME"/>
        </w:rPr>
      </w:pPr>
    </w:p>
    <w:p w14:paraId="3AE935D9" w14:textId="77777777" w:rsidR="007A3ECB" w:rsidRPr="00F334AF" w:rsidRDefault="007A3ECB" w:rsidP="0034729B">
      <w:pPr>
        <w:tabs>
          <w:tab w:val="left" w:pos="540"/>
          <w:tab w:val="left" w:pos="569"/>
        </w:tabs>
        <w:jc w:val="both"/>
        <w:rPr>
          <w:sz w:val="22"/>
          <w:szCs w:val="22"/>
          <w:u w:val="single"/>
          <w:lang w:val="sr-Latn-ME"/>
        </w:rPr>
      </w:pPr>
      <w:r w:rsidRPr="00F334AF">
        <w:rPr>
          <w:sz w:val="22"/>
          <w:szCs w:val="22"/>
          <w:u w:val="single"/>
          <w:lang w:val="sr-Latn-ME"/>
        </w:rPr>
        <w:t>Trudnoća</w:t>
      </w:r>
    </w:p>
    <w:p w14:paraId="7A8F626B" w14:textId="215F9CBA" w:rsidR="00E310B2" w:rsidRPr="00F334AF" w:rsidRDefault="00E310B2" w:rsidP="0034729B">
      <w:pPr>
        <w:jc w:val="both"/>
        <w:rPr>
          <w:sz w:val="22"/>
          <w:szCs w:val="22"/>
          <w:lang w:val="sr-Latn-ME"/>
        </w:rPr>
      </w:pPr>
      <w:r w:rsidRPr="00F334AF">
        <w:rPr>
          <w:sz w:val="22"/>
          <w:szCs w:val="22"/>
          <w:lang w:val="sr-Latn-ME"/>
        </w:rPr>
        <w:t>Ni</w:t>
      </w:r>
      <w:r w:rsidR="00C401B9" w:rsidRPr="00F334AF">
        <w:rPr>
          <w:sz w:val="22"/>
          <w:szCs w:val="22"/>
          <w:lang w:val="sr-Latn-ME"/>
        </w:rPr>
        <w:t>je</w:t>
      </w:r>
      <w:r w:rsidRPr="00F334AF">
        <w:rPr>
          <w:sz w:val="22"/>
          <w:szCs w:val="22"/>
          <w:lang w:val="sr-Latn-ME"/>
        </w:rPr>
        <w:t>su raspoloživi klinički podaci o u</w:t>
      </w:r>
      <w:r w:rsidR="00C401B9" w:rsidRPr="00F334AF">
        <w:rPr>
          <w:sz w:val="22"/>
          <w:szCs w:val="22"/>
          <w:lang w:val="sr-Latn-ME"/>
        </w:rPr>
        <w:t>t</w:t>
      </w:r>
      <w:r w:rsidRPr="00F334AF">
        <w:rPr>
          <w:sz w:val="22"/>
          <w:szCs w:val="22"/>
          <w:lang w:val="sr-Latn-ME"/>
        </w:rPr>
        <w:t xml:space="preserve">icaju aprepitanata na trudnoću. Moguća reproduktivna toksičnost aprepitanta nije potpuno utvrđena zato što kod životinja nijesu ispitivane doze izloženosti veće od terapijskih doza koje se daju ljudima (125 mg/80 mg). Istraživanja na životinjama nijesu ukazala na direktno ili indirektno štetno dejstvo aprepitanta na trudnoću, razvoj embriona/fetusa, porođaj ili postnatalni razvoj (vidjeti dio 5.3). Nije poznato da li promjene u regulaciji neurokinina mogu da utiču na reprodukciju. </w:t>
      </w:r>
      <w:r w:rsidR="00C401B9" w:rsidRPr="00F334AF">
        <w:rPr>
          <w:sz w:val="22"/>
          <w:szCs w:val="22"/>
          <w:lang w:val="sr-Latn-ME"/>
        </w:rPr>
        <w:t xml:space="preserve">Lijek </w:t>
      </w:r>
      <w:r w:rsidRPr="00F334AF">
        <w:rPr>
          <w:bCs/>
          <w:sz w:val="22"/>
          <w:szCs w:val="22"/>
          <w:lang w:val="sr-Latn-ME"/>
        </w:rPr>
        <w:t>EMEND</w:t>
      </w:r>
      <w:r w:rsidRPr="00F334AF">
        <w:rPr>
          <w:sz w:val="22"/>
          <w:szCs w:val="22"/>
          <w:lang w:val="sr-Latn-ME"/>
        </w:rPr>
        <w:t xml:space="preserve"> ne treba davati u trudnoći osim u slučajevima kada je to apsolutno neophodno.</w:t>
      </w:r>
    </w:p>
    <w:p w14:paraId="1FC395C8" w14:textId="77777777" w:rsidR="002031B3" w:rsidRPr="00F334AF" w:rsidRDefault="002031B3" w:rsidP="0034729B">
      <w:pPr>
        <w:tabs>
          <w:tab w:val="left" w:pos="540"/>
          <w:tab w:val="left" w:pos="569"/>
        </w:tabs>
        <w:jc w:val="both"/>
        <w:rPr>
          <w:sz w:val="22"/>
          <w:szCs w:val="22"/>
          <w:u w:val="single"/>
          <w:lang w:val="sr-Latn-ME"/>
        </w:rPr>
      </w:pPr>
    </w:p>
    <w:p w14:paraId="2D55EC3B" w14:textId="77777777" w:rsidR="0072020E" w:rsidRPr="00F334AF" w:rsidRDefault="007A3ECB" w:rsidP="0034729B">
      <w:pPr>
        <w:tabs>
          <w:tab w:val="left" w:pos="540"/>
          <w:tab w:val="left" w:pos="569"/>
        </w:tabs>
        <w:jc w:val="both"/>
        <w:rPr>
          <w:b/>
          <w:bCs/>
          <w:sz w:val="22"/>
          <w:szCs w:val="22"/>
          <w:lang w:val="sr-Latn-ME"/>
        </w:rPr>
      </w:pPr>
      <w:r w:rsidRPr="00F334AF">
        <w:rPr>
          <w:sz w:val="22"/>
          <w:szCs w:val="22"/>
          <w:u w:val="single"/>
          <w:lang w:val="sr-Latn-ME"/>
        </w:rPr>
        <w:t xml:space="preserve">Dojenje </w:t>
      </w:r>
    </w:p>
    <w:p w14:paraId="45CB8BC5" w14:textId="77777777" w:rsidR="00E310B2" w:rsidRPr="00F334AF" w:rsidRDefault="00E310B2" w:rsidP="0034729B">
      <w:pPr>
        <w:jc w:val="both"/>
        <w:rPr>
          <w:sz w:val="22"/>
          <w:szCs w:val="22"/>
          <w:lang w:val="sr-Latn-ME"/>
        </w:rPr>
      </w:pPr>
      <w:r w:rsidRPr="00F334AF">
        <w:rPr>
          <w:sz w:val="22"/>
          <w:szCs w:val="22"/>
          <w:lang w:val="sr-Latn-ME"/>
        </w:rPr>
        <w:t xml:space="preserve">Aprepitant se izlučuje u mlijeku ženki pacova. Nije poznato da li se aprepitant izlučuje u majčinom mlijeku kod ljudi i stoga se ne preporučuje uzimanje lijeka </w:t>
      </w:r>
      <w:r w:rsidRPr="00F334AF">
        <w:rPr>
          <w:bCs/>
          <w:sz w:val="22"/>
          <w:szCs w:val="22"/>
          <w:lang w:val="sr-Latn-ME"/>
        </w:rPr>
        <w:t>EMEND</w:t>
      </w:r>
      <w:r w:rsidRPr="00F334AF">
        <w:rPr>
          <w:sz w:val="22"/>
          <w:szCs w:val="22"/>
          <w:lang w:val="sr-Latn-ME"/>
        </w:rPr>
        <w:t xml:space="preserve"> tokom dojenja.</w:t>
      </w:r>
    </w:p>
    <w:p w14:paraId="54544D5A" w14:textId="77777777" w:rsidR="00227BDB" w:rsidRPr="00F334AF" w:rsidRDefault="00227BDB" w:rsidP="0034729B">
      <w:pPr>
        <w:tabs>
          <w:tab w:val="left" w:pos="540"/>
          <w:tab w:val="left" w:pos="569"/>
        </w:tabs>
        <w:ind w:left="540" w:hanging="540"/>
        <w:jc w:val="both"/>
        <w:rPr>
          <w:b/>
          <w:bCs/>
          <w:sz w:val="22"/>
          <w:szCs w:val="22"/>
          <w:lang w:val="sr-Latn-ME"/>
        </w:rPr>
      </w:pPr>
    </w:p>
    <w:p w14:paraId="41285F32" w14:textId="7B44AAE6" w:rsidR="0072020E" w:rsidRPr="00F334AF" w:rsidRDefault="0072020E" w:rsidP="0034729B">
      <w:pPr>
        <w:tabs>
          <w:tab w:val="left" w:pos="540"/>
          <w:tab w:val="left" w:pos="569"/>
        </w:tabs>
        <w:ind w:left="540" w:hanging="540"/>
        <w:jc w:val="both"/>
        <w:rPr>
          <w:b/>
          <w:bCs/>
          <w:sz w:val="22"/>
          <w:szCs w:val="22"/>
          <w:lang w:val="sr-Latn-ME"/>
        </w:rPr>
      </w:pPr>
      <w:r w:rsidRPr="00F334AF">
        <w:rPr>
          <w:b/>
          <w:bCs/>
          <w:sz w:val="22"/>
          <w:szCs w:val="22"/>
          <w:lang w:val="sr-Latn-ME"/>
        </w:rPr>
        <w:t xml:space="preserve">4.7. </w:t>
      </w:r>
      <w:r w:rsidR="00480FB1" w:rsidRPr="00F334AF">
        <w:rPr>
          <w:b/>
          <w:bCs/>
          <w:sz w:val="22"/>
          <w:szCs w:val="22"/>
          <w:lang w:val="sr-Latn-ME"/>
        </w:rPr>
        <w:tab/>
      </w:r>
      <w:r w:rsidRPr="00F334AF">
        <w:rPr>
          <w:b/>
          <w:bCs/>
          <w:sz w:val="22"/>
          <w:szCs w:val="22"/>
          <w:lang w:val="sr-Latn-ME"/>
        </w:rPr>
        <w:t xml:space="preserve">Uticaj na </w:t>
      </w:r>
      <w:r w:rsidR="002031B3" w:rsidRPr="00F334AF">
        <w:rPr>
          <w:b/>
          <w:bCs/>
          <w:sz w:val="22"/>
          <w:szCs w:val="22"/>
          <w:lang w:val="sr-Latn-ME"/>
        </w:rPr>
        <w:t xml:space="preserve">sposobnost </w:t>
      </w:r>
      <w:r w:rsidR="00F34554" w:rsidRPr="00F334AF">
        <w:rPr>
          <w:b/>
          <w:bCs/>
          <w:sz w:val="22"/>
          <w:szCs w:val="22"/>
          <w:lang w:val="sr-Latn-ME"/>
        </w:rPr>
        <w:t>upravljanja vozili</w:t>
      </w:r>
      <w:r w:rsidRPr="00F334AF">
        <w:rPr>
          <w:b/>
          <w:bCs/>
          <w:sz w:val="22"/>
          <w:szCs w:val="22"/>
          <w:lang w:val="sr-Latn-ME"/>
        </w:rPr>
        <w:t>m</w:t>
      </w:r>
      <w:r w:rsidR="00F34554" w:rsidRPr="00F334AF">
        <w:rPr>
          <w:b/>
          <w:bCs/>
          <w:sz w:val="22"/>
          <w:szCs w:val="22"/>
          <w:lang w:val="sr-Latn-ME"/>
        </w:rPr>
        <w:t>a</w:t>
      </w:r>
      <w:r w:rsidRPr="00F334AF">
        <w:rPr>
          <w:b/>
          <w:bCs/>
          <w:sz w:val="22"/>
          <w:szCs w:val="22"/>
          <w:lang w:val="sr-Latn-ME"/>
        </w:rPr>
        <w:t xml:space="preserve"> i </w:t>
      </w:r>
      <w:r w:rsidR="000D3449" w:rsidRPr="00F334AF">
        <w:rPr>
          <w:b/>
          <w:bCs/>
          <w:sz w:val="22"/>
          <w:szCs w:val="22"/>
          <w:lang w:val="sr-Latn-ME"/>
        </w:rPr>
        <w:t xml:space="preserve">rukovanje </w:t>
      </w:r>
      <w:r w:rsidRPr="00F334AF">
        <w:rPr>
          <w:b/>
          <w:bCs/>
          <w:sz w:val="22"/>
          <w:szCs w:val="22"/>
          <w:lang w:val="sr-Latn-ME"/>
        </w:rPr>
        <w:t>mašinama</w:t>
      </w:r>
    </w:p>
    <w:p w14:paraId="145D3EC8" w14:textId="77777777" w:rsidR="00E310B2" w:rsidRPr="00F334AF" w:rsidRDefault="00E310B2" w:rsidP="0034729B">
      <w:pPr>
        <w:tabs>
          <w:tab w:val="left" w:pos="540"/>
          <w:tab w:val="left" w:pos="569"/>
        </w:tabs>
        <w:ind w:left="540" w:hanging="540"/>
        <w:jc w:val="both"/>
        <w:rPr>
          <w:b/>
          <w:bCs/>
          <w:sz w:val="22"/>
          <w:szCs w:val="22"/>
          <w:lang w:val="sr-Latn-ME"/>
        </w:rPr>
      </w:pPr>
    </w:p>
    <w:p w14:paraId="1AD40CF6" w14:textId="40C32B0C" w:rsidR="00E310B2" w:rsidRPr="00F334AF" w:rsidRDefault="00E310B2" w:rsidP="0034729B">
      <w:pPr>
        <w:jc w:val="both"/>
        <w:rPr>
          <w:sz w:val="22"/>
          <w:szCs w:val="22"/>
          <w:lang w:val="sr-Latn-ME"/>
        </w:rPr>
      </w:pPr>
      <w:r w:rsidRPr="00F334AF">
        <w:rPr>
          <w:sz w:val="22"/>
          <w:szCs w:val="22"/>
          <w:lang w:val="sr-Latn-ME"/>
        </w:rPr>
        <w:t xml:space="preserve">Lijek </w:t>
      </w:r>
      <w:r w:rsidR="003C2F6C" w:rsidRPr="00F334AF">
        <w:rPr>
          <w:sz w:val="22"/>
          <w:szCs w:val="22"/>
          <w:lang w:val="sr-Latn-ME"/>
        </w:rPr>
        <w:t>EMEND</w:t>
      </w:r>
      <w:r w:rsidRPr="00F334AF">
        <w:rPr>
          <w:sz w:val="22"/>
          <w:szCs w:val="22"/>
          <w:lang w:val="sr-Latn-ME"/>
        </w:rPr>
        <w:t xml:space="preserve"> može imati manji uticaj na sposobnosti prilikom upravljanja motornim vozilom, biciklom i rukovanja mašinama. </w:t>
      </w:r>
      <w:r w:rsidR="00BA60C3" w:rsidRPr="00F334AF">
        <w:rPr>
          <w:sz w:val="22"/>
          <w:szCs w:val="22"/>
          <w:lang w:val="sr-Latn-ME"/>
        </w:rPr>
        <w:t xml:space="preserve">Nakon upotrebe lijeka </w:t>
      </w:r>
      <w:r w:rsidR="00BA60C3" w:rsidRPr="00F334AF">
        <w:rPr>
          <w:bCs/>
          <w:sz w:val="22"/>
          <w:szCs w:val="22"/>
          <w:lang w:val="sr-Latn-ME"/>
        </w:rPr>
        <w:t>EMEND</w:t>
      </w:r>
      <w:r w:rsidR="00BA60C3" w:rsidRPr="00F334AF">
        <w:rPr>
          <w:sz w:val="22"/>
          <w:szCs w:val="22"/>
          <w:lang w:val="sr-Latn-ME"/>
        </w:rPr>
        <w:t xml:space="preserve"> mogu se javiti </w:t>
      </w:r>
      <w:r w:rsidRPr="00F334AF">
        <w:rPr>
          <w:sz w:val="22"/>
          <w:szCs w:val="22"/>
          <w:lang w:val="sr-Latn-ME"/>
        </w:rPr>
        <w:t>nesvjestica i zamor (vidjeti dio 4.8).</w:t>
      </w:r>
    </w:p>
    <w:p w14:paraId="44D8D16A" w14:textId="77777777" w:rsidR="0072020E" w:rsidRPr="00F334AF" w:rsidRDefault="0072020E" w:rsidP="0034729B">
      <w:pPr>
        <w:tabs>
          <w:tab w:val="left" w:pos="540"/>
          <w:tab w:val="left" w:pos="569"/>
        </w:tabs>
        <w:jc w:val="both"/>
        <w:rPr>
          <w:b/>
          <w:bCs/>
          <w:sz w:val="22"/>
          <w:szCs w:val="22"/>
          <w:lang w:val="sr-Latn-ME"/>
        </w:rPr>
      </w:pPr>
    </w:p>
    <w:p w14:paraId="4CE69797" w14:textId="6B636FF9" w:rsidR="0072020E"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4.8. </w:t>
      </w:r>
      <w:r w:rsidR="00480FB1" w:rsidRPr="00F334AF">
        <w:rPr>
          <w:b/>
          <w:bCs/>
          <w:sz w:val="22"/>
          <w:szCs w:val="22"/>
          <w:lang w:val="sr-Latn-ME"/>
        </w:rPr>
        <w:tab/>
      </w:r>
      <w:r w:rsidRPr="00F334AF">
        <w:rPr>
          <w:b/>
          <w:bCs/>
          <w:sz w:val="22"/>
          <w:szCs w:val="22"/>
          <w:lang w:val="sr-Latn-ME"/>
        </w:rPr>
        <w:t>Neželjena dejstva</w:t>
      </w:r>
    </w:p>
    <w:p w14:paraId="60CB889C" w14:textId="77777777" w:rsidR="00E310B2" w:rsidRPr="00F334AF" w:rsidRDefault="00E310B2" w:rsidP="0034729B">
      <w:pPr>
        <w:tabs>
          <w:tab w:val="left" w:pos="540"/>
          <w:tab w:val="left" w:pos="569"/>
        </w:tabs>
        <w:jc w:val="both"/>
        <w:rPr>
          <w:b/>
          <w:bCs/>
          <w:sz w:val="22"/>
          <w:szCs w:val="22"/>
          <w:lang w:val="sr-Latn-ME"/>
        </w:rPr>
      </w:pPr>
    </w:p>
    <w:p w14:paraId="59BBF754" w14:textId="77777777" w:rsidR="00E310B2" w:rsidRPr="00F334AF" w:rsidRDefault="00E310B2" w:rsidP="0034729B">
      <w:pPr>
        <w:jc w:val="both"/>
        <w:rPr>
          <w:sz w:val="22"/>
          <w:szCs w:val="22"/>
          <w:u w:val="single"/>
          <w:lang w:val="sr-Latn-ME"/>
        </w:rPr>
      </w:pPr>
      <w:r w:rsidRPr="00F334AF">
        <w:rPr>
          <w:sz w:val="22"/>
          <w:szCs w:val="22"/>
          <w:u w:val="single"/>
          <w:lang w:val="sr-Latn-ME"/>
        </w:rPr>
        <w:t>Sažetak bezbjednosnog profila</w:t>
      </w:r>
    </w:p>
    <w:p w14:paraId="1B0C38C5" w14:textId="277FF10A" w:rsidR="00E310B2" w:rsidRPr="00F334AF" w:rsidRDefault="00E310B2" w:rsidP="0034729B">
      <w:pPr>
        <w:jc w:val="both"/>
        <w:rPr>
          <w:sz w:val="22"/>
          <w:szCs w:val="22"/>
          <w:lang w:val="sr-Latn-ME"/>
        </w:rPr>
      </w:pPr>
      <w:r w:rsidRPr="00F334AF">
        <w:rPr>
          <w:sz w:val="22"/>
          <w:szCs w:val="22"/>
          <w:lang w:val="sr-Latn-ME"/>
        </w:rPr>
        <w:t xml:space="preserve">Bezbjednost aprepitanta ispitivana je </w:t>
      </w:r>
      <w:r w:rsidR="00BA60C3" w:rsidRPr="00F334AF">
        <w:rPr>
          <w:sz w:val="22"/>
          <w:szCs w:val="22"/>
          <w:lang w:val="sr-Latn-ME"/>
        </w:rPr>
        <w:t>kod</w:t>
      </w:r>
      <w:r w:rsidRPr="00F334AF">
        <w:rPr>
          <w:sz w:val="22"/>
          <w:szCs w:val="22"/>
          <w:lang w:val="sr-Latn-ME"/>
        </w:rPr>
        <w:t xml:space="preserve"> približno 6500 odraslih ispitanika u više od 50 ispitivanja i kod 184 djece i adolescenata u 2 pivotalna pedijatrijska klinička ispitivanja.</w:t>
      </w:r>
    </w:p>
    <w:p w14:paraId="3EEA9C95" w14:textId="77777777" w:rsidR="00E310B2" w:rsidRPr="00F334AF" w:rsidRDefault="00E310B2" w:rsidP="0034729B">
      <w:pPr>
        <w:jc w:val="both"/>
        <w:rPr>
          <w:sz w:val="22"/>
          <w:szCs w:val="22"/>
          <w:lang w:val="sr-Latn-ME"/>
        </w:rPr>
      </w:pPr>
    </w:p>
    <w:p w14:paraId="4985D0C0" w14:textId="61CA9020" w:rsidR="00E310B2" w:rsidRPr="00F334AF" w:rsidRDefault="00E310B2" w:rsidP="0034729B">
      <w:pPr>
        <w:jc w:val="both"/>
        <w:rPr>
          <w:sz w:val="22"/>
          <w:szCs w:val="22"/>
          <w:lang w:val="sr-Latn-ME"/>
        </w:rPr>
      </w:pPr>
      <w:r w:rsidRPr="00F334AF">
        <w:rPr>
          <w:sz w:val="22"/>
          <w:szCs w:val="22"/>
          <w:lang w:val="sr-Latn-ME"/>
        </w:rPr>
        <w:t xml:space="preserve">Najčešće neželjene reakcije koje su se pojavljivale sa većom učestalošću kod odraslih pacijenata koji su primali aprepitant nego kod onih na standardnoj terapiji, a koji su primali izrazito emetogenu hemoterapiju (HEC), bila su sljedeća: štucanje (4,6% </w:t>
      </w:r>
      <w:r w:rsidR="00BA60C3" w:rsidRPr="00F334AF">
        <w:rPr>
          <w:sz w:val="22"/>
          <w:szCs w:val="22"/>
          <w:lang w:val="sr-Latn-ME"/>
        </w:rPr>
        <w:t>naspram</w:t>
      </w:r>
      <w:r w:rsidRPr="00F334AF">
        <w:rPr>
          <w:sz w:val="22"/>
          <w:szCs w:val="22"/>
          <w:lang w:val="sr-Latn-ME"/>
        </w:rPr>
        <w:t xml:space="preserve"> 2,9%), povišene vrijednosti ALT (2,8% vs 1,1%), dispepsija (2,6% vs 2,0%), konstipacija (2,4% </w:t>
      </w:r>
      <w:r w:rsidR="00BA60C3" w:rsidRPr="00F334AF">
        <w:rPr>
          <w:sz w:val="22"/>
          <w:szCs w:val="22"/>
          <w:lang w:val="sr-Latn-ME"/>
        </w:rPr>
        <w:t>naspram</w:t>
      </w:r>
      <w:r w:rsidRPr="00F334AF">
        <w:rPr>
          <w:sz w:val="22"/>
          <w:szCs w:val="22"/>
          <w:lang w:val="sr-Latn-ME"/>
        </w:rPr>
        <w:t xml:space="preserve"> 2,0%), glavobolja (2,0% </w:t>
      </w:r>
      <w:r w:rsidR="00BA60C3" w:rsidRPr="00F334AF">
        <w:rPr>
          <w:sz w:val="22"/>
          <w:szCs w:val="22"/>
          <w:lang w:val="sr-Latn-ME"/>
        </w:rPr>
        <w:t>naspram</w:t>
      </w:r>
      <w:r w:rsidRPr="00F334AF">
        <w:rPr>
          <w:sz w:val="22"/>
          <w:szCs w:val="22"/>
          <w:lang w:val="sr-Latn-ME"/>
        </w:rPr>
        <w:t xml:space="preserve"> 1,8%), i smanjen apetit (2,0% </w:t>
      </w:r>
      <w:r w:rsidR="00BA60C3" w:rsidRPr="00F334AF">
        <w:rPr>
          <w:sz w:val="22"/>
          <w:szCs w:val="22"/>
          <w:lang w:val="sr-Latn-ME"/>
        </w:rPr>
        <w:t>naspram</w:t>
      </w:r>
      <w:r w:rsidRPr="00F334AF">
        <w:rPr>
          <w:sz w:val="22"/>
          <w:szCs w:val="22"/>
          <w:lang w:val="sr-Latn-ME"/>
        </w:rPr>
        <w:t xml:space="preserve"> 0,5%). Najčešća neželjena reakcija prijavljena sa većom učestalošću kod pacijenata koji su primali aprepitant (1,4%) u odnosu na na standardnu terapiju (0,9%), u slučajevima kada su primali hemoterapiju koja umjereno izaziva povraćanje (MEC) je bio umor.</w:t>
      </w:r>
    </w:p>
    <w:p w14:paraId="2DA640AD" w14:textId="77777777" w:rsidR="00E310B2" w:rsidRPr="00F334AF" w:rsidRDefault="00E310B2" w:rsidP="0034729B">
      <w:pPr>
        <w:jc w:val="both"/>
        <w:rPr>
          <w:sz w:val="22"/>
          <w:szCs w:val="22"/>
          <w:lang w:val="sr-Latn-ME"/>
        </w:rPr>
      </w:pPr>
    </w:p>
    <w:p w14:paraId="5E0BE80A" w14:textId="5A95ECFB" w:rsidR="00E310B2" w:rsidRPr="00F334AF" w:rsidRDefault="00E310B2" w:rsidP="0034729B">
      <w:pPr>
        <w:jc w:val="both"/>
        <w:rPr>
          <w:sz w:val="22"/>
          <w:szCs w:val="22"/>
          <w:lang w:val="sr-Latn-ME"/>
        </w:rPr>
      </w:pPr>
      <w:r w:rsidRPr="00F334AF">
        <w:rPr>
          <w:sz w:val="22"/>
          <w:szCs w:val="22"/>
          <w:lang w:val="sr-Latn-ME"/>
        </w:rPr>
        <w:t>Najčešće neželjene reakcije koje su se pojavljivale sa većom učestalošću kod pedijatrijskih pacijenata lječenih aprepitantom nego kontrolnim režimom dok su primali emetogenu hemioterapiju zbog maligniteta bile su štucanje (3,3 % naspram 0,0 %) i crvenilo uz os</w:t>
      </w:r>
      <w:r w:rsidR="00BA60C3" w:rsidRPr="00F334AF">
        <w:rPr>
          <w:sz w:val="22"/>
          <w:szCs w:val="22"/>
          <w:lang w:val="sr-Latn-ME"/>
        </w:rPr>
        <w:t>j</w:t>
      </w:r>
      <w:r w:rsidRPr="00F334AF">
        <w:rPr>
          <w:sz w:val="22"/>
          <w:szCs w:val="22"/>
          <w:lang w:val="sr-Latn-ME"/>
        </w:rPr>
        <w:t>ećaj vrućine (1,1 % naspram 0,0 %).</w:t>
      </w:r>
    </w:p>
    <w:p w14:paraId="3CC4AACD" w14:textId="5ECABC9B" w:rsidR="00970B29" w:rsidRPr="00F334AF" w:rsidRDefault="00970B29" w:rsidP="0034729B">
      <w:pPr>
        <w:jc w:val="both"/>
        <w:rPr>
          <w:sz w:val="22"/>
          <w:szCs w:val="22"/>
          <w:lang w:val="sr-Latn-ME"/>
        </w:rPr>
      </w:pPr>
    </w:p>
    <w:p w14:paraId="4D068FC8" w14:textId="77777777" w:rsidR="00E310B2" w:rsidRPr="00F334AF" w:rsidRDefault="00E310B2" w:rsidP="0034729B">
      <w:pPr>
        <w:jc w:val="both"/>
        <w:rPr>
          <w:sz w:val="22"/>
          <w:szCs w:val="22"/>
          <w:u w:val="single"/>
          <w:lang w:val="sr-Latn-ME"/>
        </w:rPr>
      </w:pPr>
      <w:r w:rsidRPr="00F334AF">
        <w:rPr>
          <w:sz w:val="22"/>
          <w:szCs w:val="22"/>
          <w:u w:val="single"/>
          <w:lang w:val="sr-Latn-ME"/>
        </w:rPr>
        <w:t>Tabelarni prikaz neželjenih reakcija</w:t>
      </w:r>
    </w:p>
    <w:p w14:paraId="0FC6BA1C" w14:textId="77777777" w:rsidR="00E310B2" w:rsidRPr="00F334AF" w:rsidRDefault="00E310B2" w:rsidP="0034729B">
      <w:pPr>
        <w:jc w:val="both"/>
        <w:rPr>
          <w:sz w:val="22"/>
          <w:szCs w:val="22"/>
          <w:lang w:val="sr-Latn-ME"/>
        </w:rPr>
      </w:pPr>
    </w:p>
    <w:p w14:paraId="55DE7E77" w14:textId="562C67B3" w:rsidR="00E310B2" w:rsidRPr="00F334AF" w:rsidRDefault="00E310B2" w:rsidP="0034729B">
      <w:pPr>
        <w:jc w:val="both"/>
        <w:rPr>
          <w:sz w:val="22"/>
          <w:szCs w:val="22"/>
          <w:lang w:val="sr-Latn-ME"/>
        </w:rPr>
      </w:pPr>
      <w:r w:rsidRPr="00F334AF">
        <w:rPr>
          <w:sz w:val="22"/>
          <w:szCs w:val="22"/>
          <w:lang w:val="sr-Latn-ME"/>
        </w:rPr>
        <w:t>Sljedeće neželjene reakcije su zabilježene u zbirnoj analizi HEC i MEC studija sa većom učestalošću kod odraslih i</w:t>
      </w:r>
      <w:r w:rsidR="00BA60C3" w:rsidRPr="00F334AF">
        <w:rPr>
          <w:sz w:val="22"/>
          <w:szCs w:val="22"/>
          <w:lang w:val="sr-Latn-ME"/>
        </w:rPr>
        <w:t>li</w:t>
      </w:r>
      <w:r w:rsidRPr="00F334AF">
        <w:rPr>
          <w:sz w:val="22"/>
          <w:szCs w:val="22"/>
          <w:lang w:val="sr-Latn-ME"/>
        </w:rPr>
        <w:t xml:space="preserve"> pedijatrijskih pacijenata koji su primali aprepitant nego kod pacijenata na standardnoj terapiji ili su zabilježene u periodu</w:t>
      </w:r>
      <w:r w:rsidR="00BA60C3" w:rsidRPr="00F334AF">
        <w:rPr>
          <w:sz w:val="22"/>
          <w:szCs w:val="22"/>
          <w:lang w:val="sr-Latn-ME"/>
        </w:rPr>
        <w:t xml:space="preserve"> nakon stavljanja lijeka u promet</w:t>
      </w:r>
      <w:r w:rsidRPr="00F334AF">
        <w:rPr>
          <w:sz w:val="22"/>
          <w:szCs w:val="22"/>
          <w:lang w:val="sr-Latn-ME"/>
        </w:rPr>
        <w:t xml:space="preserve">. Kategorije učestalosti prikazane u tabeli zasnivaju se na ispitivanjima kod odraslih; učestalosti uočene u pedijatrijskim ispitivanjima bile </w:t>
      </w:r>
      <w:r w:rsidRPr="00F334AF">
        <w:rPr>
          <w:sz w:val="22"/>
          <w:szCs w:val="22"/>
          <w:lang w:val="sr-Latn-ME"/>
        </w:rPr>
        <w:lastRenderedPageBreak/>
        <w:t>su</w:t>
      </w:r>
      <w:r w:rsidR="00BA60C3" w:rsidRPr="00F334AF">
        <w:rPr>
          <w:sz w:val="22"/>
          <w:szCs w:val="22"/>
          <w:lang w:val="sr-Latn-ME"/>
        </w:rPr>
        <w:t xml:space="preserve"> </w:t>
      </w:r>
      <w:r w:rsidRPr="00F334AF">
        <w:rPr>
          <w:sz w:val="22"/>
          <w:szCs w:val="22"/>
          <w:lang w:val="sr-Latn-ME"/>
        </w:rPr>
        <w:t>slične ili manje, osim ako su prikazane u tabeli. Neke manje česte neželjene reakcije uočene kod odraslih nijesu uočene u pedijatrijskim ispitivanjima.</w:t>
      </w:r>
    </w:p>
    <w:p w14:paraId="53A68135" w14:textId="77777777" w:rsidR="00E310B2" w:rsidRPr="00F334AF" w:rsidRDefault="00E310B2" w:rsidP="0034729B">
      <w:pPr>
        <w:jc w:val="both"/>
        <w:rPr>
          <w:sz w:val="22"/>
          <w:szCs w:val="22"/>
          <w:lang w:val="sr-Latn-ME"/>
        </w:rPr>
      </w:pPr>
    </w:p>
    <w:p w14:paraId="35B7B043" w14:textId="35327892" w:rsidR="00E310B2" w:rsidRPr="00F334AF" w:rsidRDefault="00E310B2" w:rsidP="0034729B">
      <w:pPr>
        <w:pStyle w:val="Header"/>
        <w:tabs>
          <w:tab w:val="left" w:pos="284"/>
        </w:tabs>
        <w:jc w:val="both"/>
        <w:rPr>
          <w:sz w:val="22"/>
          <w:szCs w:val="22"/>
          <w:lang w:val="sr-Latn-ME"/>
        </w:rPr>
      </w:pPr>
      <w:r w:rsidRPr="00F334AF">
        <w:rPr>
          <w:sz w:val="22"/>
          <w:szCs w:val="22"/>
          <w:lang w:val="sr-Latn-ME"/>
        </w:rPr>
        <w:t>Učestalost neželjenih reakcija definiše se kao: veoma čest</w:t>
      </w:r>
      <w:r w:rsidR="00BA60C3" w:rsidRPr="00F334AF">
        <w:rPr>
          <w:sz w:val="22"/>
          <w:szCs w:val="22"/>
          <w:lang w:val="sr-Latn-ME"/>
        </w:rPr>
        <w:t>o</w:t>
      </w:r>
      <w:r w:rsidRPr="00F334AF">
        <w:rPr>
          <w:sz w:val="22"/>
          <w:szCs w:val="22"/>
          <w:lang w:val="sr-Latn-ME"/>
        </w:rPr>
        <w:t xml:space="preserve"> (</w:t>
      </w:r>
      <w:r w:rsidRPr="00F334AF">
        <w:rPr>
          <w:sz w:val="22"/>
          <w:szCs w:val="22"/>
          <w:lang w:val="sr-Latn-ME"/>
        </w:rPr>
        <w:sym w:font="Symbol" w:char="F0B3"/>
      </w:r>
      <w:r w:rsidRPr="00F334AF">
        <w:rPr>
          <w:sz w:val="22"/>
          <w:szCs w:val="22"/>
          <w:lang w:val="sr-Latn-ME"/>
        </w:rPr>
        <w:t xml:space="preserve"> 1/10); čest</w:t>
      </w:r>
      <w:r w:rsidR="00BA60C3" w:rsidRPr="00F334AF">
        <w:rPr>
          <w:sz w:val="22"/>
          <w:szCs w:val="22"/>
          <w:lang w:val="sr-Latn-ME"/>
        </w:rPr>
        <w:t>o</w:t>
      </w:r>
      <w:r w:rsidRPr="00F334AF">
        <w:rPr>
          <w:sz w:val="22"/>
          <w:szCs w:val="22"/>
          <w:lang w:val="sr-Latn-ME"/>
        </w:rPr>
        <w:t xml:space="preserve"> (</w:t>
      </w:r>
      <w:r w:rsidRPr="00F334AF">
        <w:rPr>
          <w:sz w:val="22"/>
          <w:szCs w:val="22"/>
          <w:lang w:val="sr-Latn-ME"/>
        </w:rPr>
        <w:sym w:font="Symbol" w:char="F0B3"/>
      </w:r>
      <w:r w:rsidRPr="00F334AF">
        <w:rPr>
          <w:sz w:val="22"/>
          <w:szCs w:val="22"/>
          <w:lang w:val="sr-Latn-ME"/>
        </w:rPr>
        <w:t xml:space="preserve"> 1/100, </w:t>
      </w:r>
      <w:r w:rsidRPr="00F334AF">
        <w:rPr>
          <w:sz w:val="22"/>
          <w:szCs w:val="22"/>
          <w:lang w:val="sr-Latn-ME"/>
        </w:rPr>
        <w:sym w:font="Symbol" w:char="F03C"/>
      </w:r>
      <w:r w:rsidRPr="00F334AF">
        <w:rPr>
          <w:sz w:val="22"/>
          <w:szCs w:val="22"/>
          <w:lang w:val="sr-Latn-ME"/>
        </w:rPr>
        <w:t xml:space="preserve"> 1/10); povremen</w:t>
      </w:r>
      <w:r w:rsidR="00BA60C3" w:rsidRPr="00F334AF">
        <w:rPr>
          <w:sz w:val="22"/>
          <w:szCs w:val="22"/>
          <w:lang w:val="sr-Latn-ME"/>
        </w:rPr>
        <w:t>o</w:t>
      </w:r>
      <w:r w:rsidRPr="00F334AF">
        <w:rPr>
          <w:sz w:val="22"/>
          <w:szCs w:val="22"/>
          <w:lang w:val="sr-Latn-ME"/>
        </w:rPr>
        <w:t xml:space="preserve"> (</w:t>
      </w:r>
      <w:r w:rsidRPr="00F334AF">
        <w:rPr>
          <w:sz w:val="22"/>
          <w:szCs w:val="22"/>
          <w:lang w:val="sr-Latn-ME"/>
        </w:rPr>
        <w:sym w:font="Symbol" w:char="F0B3"/>
      </w:r>
      <w:r w:rsidRPr="00F334AF">
        <w:rPr>
          <w:sz w:val="22"/>
          <w:szCs w:val="22"/>
          <w:lang w:val="sr-Latn-ME"/>
        </w:rPr>
        <w:t xml:space="preserve"> 1/1000, </w:t>
      </w:r>
      <w:r w:rsidRPr="00F334AF">
        <w:rPr>
          <w:sz w:val="22"/>
          <w:szCs w:val="22"/>
          <w:lang w:val="sr-Latn-ME"/>
        </w:rPr>
        <w:sym w:font="Symbol" w:char="F03C"/>
      </w:r>
      <w:r w:rsidRPr="00F334AF">
        <w:rPr>
          <w:sz w:val="22"/>
          <w:szCs w:val="22"/>
          <w:lang w:val="sr-Latn-ME"/>
        </w:rPr>
        <w:t xml:space="preserve"> 1/100); rijetk</w:t>
      </w:r>
      <w:r w:rsidR="00BA60C3" w:rsidRPr="00F334AF">
        <w:rPr>
          <w:sz w:val="22"/>
          <w:szCs w:val="22"/>
          <w:lang w:val="sr-Latn-ME"/>
        </w:rPr>
        <w:t>o</w:t>
      </w:r>
      <w:r w:rsidRPr="00F334AF">
        <w:rPr>
          <w:sz w:val="22"/>
          <w:szCs w:val="22"/>
          <w:lang w:val="sr-Latn-ME"/>
        </w:rPr>
        <w:t xml:space="preserve"> (</w:t>
      </w:r>
      <w:r w:rsidRPr="00F334AF">
        <w:rPr>
          <w:sz w:val="22"/>
          <w:szCs w:val="22"/>
          <w:lang w:val="sr-Latn-ME"/>
        </w:rPr>
        <w:sym w:font="Symbol" w:char="F0B3"/>
      </w:r>
      <w:r w:rsidRPr="00F334AF">
        <w:rPr>
          <w:sz w:val="22"/>
          <w:szCs w:val="22"/>
          <w:lang w:val="sr-Latn-ME"/>
        </w:rPr>
        <w:t xml:space="preserve"> 1/10.000, </w:t>
      </w:r>
      <w:r w:rsidRPr="00F334AF">
        <w:rPr>
          <w:sz w:val="22"/>
          <w:szCs w:val="22"/>
          <w:lang w:val="sr-Latn-ME"/>
        </w:rPr>
        <w:sym w:font="Symbol" w:char="F03C"/>
      </w:r>
      <w:r w:rsidRPr="00F334AF">
        <w:rPr>
          <w:sz w:val="22"/>
          <w:szCs w:val="22"/>
          <w:lang w:val="sr-Latn-ME"/>
        </w:rPr>
        <w:t xml:space="preserve"> 1/1000); veoma rijetk</w:t>
      </w:r>
      <w:r w:rsidR="00BA60C3" w:rsidRPr="00F334AF">
        <w:rPr>
          <w:sz w:val="22"/>
          <w:szCs w:val="22"/>
          <w:lang w:val="sr-Latn-ME"/>
        </w:rPr>
        <w:t>o</w:t>
      </w:r>
      <w:r w:rsidRPr="00F334AF">
        <w:rPr>
          <w:sz w:val="22"/>
          <w:szCs w:val="22"/>
          <w:lang w:val="sr-Latn-ME"/>
        </w:rPr>
        <w:t xml:space="preserve"> (</w:t>
      </w:r>
      <w:r w:rsidRPr="00F334AF">
        <w:rPr>
          <w:sz w:val="22"/>
          <w:szCs w:val="22"/>
          <w:lang w:val="sr-Latn-ME"/>
        </w:rPr>
        <w:sym w:font="Symbol" w:char="F03C"/>
      </w:r>
      <w:r w:rsidRPr="00F334AF">
        <w:rPr>
          <w:sz w:val="22"/>
          <w:szCs w:val="22"/>
          <w:lang w:val="sr-Latn-ME"/>
        </w:rPr>
        <w:t xml:space="preserve"> 1/10.000), nepoznat</w:t>
      </w:r>
      <w:r w:rsidR="00BA60C3" w:rsidRPr="00F334AF">
        <w:rPr>
          <w:sz w:val="22"/>
          <w:szCs w:val="22"/>
          <w:lang w:val="sr-Latn-ME"/>
        </w:rPr>
        <w:t>o</w:t>
      </w:r>
      <w:r w:rsidRPr="00F334AF">
        <w:rPr>
          <w:sz w:val="22"/>
          <w:szCs w:val="22"/>
          <w:lang w:val="sr-Latn-ME"/>
        </w:rPr>
        <w:t xml:space="preserve"> (</w:t>
      </w:r>
      <w:r w:rsidR="00BA60C3" w:rsidRPr="00F334AF">
        <w:rPr>
          <w:sz w:val="22"/>
          <w:szCs w:val="22"/>
          <w:lang w:val="sr-Latn-ME"/>
        </w:rPr>
        <w:t xml:space="preserve"> učestalost se </w:t>
      </w:r>
      <w:r w:rsidRPr="00F334AF">
        <w:rPr>
          <w:sz w:val="22"/>
          <w:szCs w:val="22"/>
          <w:lang w:val="sr-Latn-ME"/>
        </w:rPr>
        <w:t xml:space="preserve">ne može procijeniti iz raspoloživih podataka). </w:t>
      </w:r>
    </w:p>
    <w:p w14:paraId="700455CC" w14:textId="182FBC55" w:rsidR="00E310B2" w:rsidRPr="00F334AF" w:rsidRDefault="00E310B2" w:rsidP="0034729B">
      <w:pPr>
        <w:autoSpaceDE w:val="0"/>
        <w:autoSpaceDN w:val="0"/>
        <w:adjustRightInd w:val="0"/>
        <w:jc w:val="both"/>
        <w:rPr>
          <w:rFonts w:eastAsia="MS Mincho"/>
          <w:color w:val="000000"/>
          <w:sz w:val="22"/>
          <w:szCs w:val="22"/>
          <w:lang w:val="sr-Latn-ME" w:eastAsia="ja-JP"/>
        </w:rPr>
      </w:pPr>
    </w:p>
    <w:tbl>
      <w:tblPr>
        <w:tblW w:w="8594" w:type="dxa"/>
        <w:tblInd w:w="46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749"/>
        <w:gridCol w:w="3577"/>
        <w:gridCol w:w="2268"/>
      </w:tblGrid>
      <w:tr w:rsidR="00E310B2" w:rsidRPr="00F334AF" w14:paraId="6DED0D2F" w14:textId="77777777" w:rsidTr="0034729B">
        <w:trPr>
          <w:trHeight w:val="282"/>
        </w:trPr>
        <w:tc>
          <w:tcPr>
            <w:tcW w:w="2749" w:type="dxa"/>
            <w:tcBorders>
              <w:top w:val="single" w:sz="8" w:space="0" w:color="000000"/>
              <w:bottom w:val="single" w:sz="8" w:space="0" w:color="000000"/>
              <w:right w:val="single" w:sz="8" w:space="0" w:color="000000"/>
            </w:tcBorders>
          </w:tcPr>
          <w:p w14:paraId="715C6A2B" w14:textId="77777777" w:rsidR="00E310B2" w:rsidRPr="00F334AF" w:rsidRDefault="00E310B2" w:rsidP="0034729B">
            <w:pPr>
              <w:autoSpaceDE w:val="0"/>
              <w:autoSpaceDN w:val="0"/>
              <w:adjustRightInd w:val="0"/>
              <w:jc w:val="both"/>
              <w:rPr>
                <w:rFonts w:eastAsia="MS Mincho"/>
                <w:b/>
                <w:bCs/>
                <w:color w:val="000000"/>
                <w:sz w:val="22"/>
                <w:szCs w:val="22"/>
                <w:lang w:val="sr-Latn-ME" w:eastAsia="ja-JP"/>
              </w:rPr>
            </w:pPr>
            <w:r w:rsidRPr="00F334AF">
              <w:rPr>
                <w:rFonts w:eastAsia="MS Mincho"/>
                <w:b/>
                <w:bCs/>
                <w:color w:val="000000"/>
                <w:sz w:val="22"/>
                <w:szCs w:val="22"/>
                <w:lang w:val="sr-Latn-ME" w:eastAsia="ja-JP"/>
              </w:rPr>
              <w:t>Klasa sistema organa</w:t>
            </w:r>
          </w:p>
        </w:tc>
        <w:tc>
          <w:tcPr>
            <w:tcW w:w="3577" w:type="dxa"/>
            <w:tcBorders>
              <w:top w:val="single" w:sz="8" w:space="0" w:color="000000"/>
              <w:left w:val="single" w:sz="8" w:space="0" w:color="000000"/>
              <w:bottom w:val="single" w:sz="8" w:space="0" w:color="000000"/>
              <w:right w:val="single" w:sz="8" w:space="0" w:color="000000"/>
            </w:tcBorders>
          </w:tcPr>
          <w:p w14:paraId="0161E597" w14:textId="77777777" w:rsidR="00E310B2" w:rsidRPr="00F334AF" w:rsidRDefault="00E310B2" w:rsidP="0034729B">
            <w:pPr>
              <w:autoSpaceDE w:val="0"/>
              <w:autoSpaceDN w:val="0"/>
              <w:adjustRightInd w:val="0"/>
              <w:jc w:val="both"/>
              <w:rPr>
                <w:rFonts w:eastAsia="MS Mincho"/>
                <w:b/>
                <w:bCs/>
                <w:color w:val="000000"/>
                <w:sz w:val="22"/>
                <w:szCs w:val="22"/>
                <w:lang w:val="sr-Latn-ME" w:eastAsia="ja-JP"/>
              </w:rPr>
            </w:pPr>
            <w:r w:rsidRPr="00F334AF">
              <w:rPr>
                <w:rFonts w:eastAsia="MS Mincho"/>
                <w:b/>
                <w:bCs/>
                <w:color w:val="000000"/>
                <w:sz w:val="22"/>
                <w:szCs w:val="22"/>
                <w:lang w:val="sr-Latn-ME" w:eastAsia="ja-JP"/>
              </w:rPr>
              <w:t>Neželjena reakcija</w:t>
            </w:r>
          </w:p>
        </w:tc>
        <w:tc>
          <w:tcPr>
            <w:tcW w:w="2268" w:type="dxa"/>
            <w:tcBorders>
              <w:top w:val="single" w:sz="8" w:space="0" w:color="000000"/>
              <w:left w:val="single" w:sz="8" w:space="0" w:color="000000"/>
              <w:bottom w:val="single" w:sz="8" w:space="0" w:color="000000"/>
            </w:tcBorders>
          </w:tcPr>
          <w:p w14:paraId="23B18FF9" w14:textId="77777777" w:rsidR="00E310B2" w:rsidRPr="00F334AF" w:rsidRDefault="00E310B2" w:rsidP="0034729B">
            <w:pPr>
              <w:autoSpaceDE w:val="0"/>
              <w:autoSpaceDN w:val="0"/>
              <w:adjustRightInd w:val="0"/>
              <w:jc w:val="both"/>
              <w:rPr>
                <w:rFonts w:eastAsia="MS Mincho"/>
                <w:b/>
                <w:bCs/>
                <w:color w:val="000000"/>
                <w:sz w:val="22"/>
                <w:szCs w:val="22"/>
                <w:lang w:val="sr-Latn-ME" w:eastAsia="ja-JP"/>
              </w:rPr>
            </w:pPr>
            <w:r w:rsidRPr="00F334AF">
              <w:rPr>
                <w:rFonts w:eastAsia="MS Mincho"/>
                <w:b/>
                <w:bCs/>
                <w:color w:val="000000"/>
                <w:sz w:val="22"/>
                <w:szCs w:val="22"/>
                <w:lang w:val="sr-Latn-ME" w:eastAsia="ja-JP"/>
              </w:rPr>
              <w:t>Učestalost</w:t>
            </w:r>
          </w:p>
        </w:tc>
      </w:tr>
      <w:tr w:rsidR="00E310B2" w:rsidRPr="00F334AF" w14:paraId="49A6786F" w14:textId="77777777" w:rsidTr="0034729B">
        <w:trPr>
          <w:trHeight w:val="412"/>
        </w:trPr>
        <w:tc>
          <w:tcPr>
            <w:tcW w:w="2749" w:type="dxa"/>
            <w:tcBorders>
              <w:top w:val="single" w:sz="8" w:space="0" w:color="000000"/>
              <w:bottom w:val="single" w:sz="8" w:space="0" w:color="000000"/>
              <w:right w:val="single" w:sz="8" w:space="0" w:color="000000"/>
            </w:tcBorders>
          </w:tcPr>
          <w:p w14:paraId="3A1FC597" w14:textId="77777777" w:rsidR="00E310B2" w:rsidRPr="00F334AF" w:rsidRDefault="00E310B2" w:rsidP="0034729B">
            <w:pPr>
              <w:pStyle w:val="Header"/>
              <w:tabs>
                <w:tab w:val="left" w:pos="284"/>
              </w:tabs>
              <w:ind w:right="65"/>
              <w:jc w:val="both"/>
              <w:rPr>
                <w:b/>
                <w:i/>
                <w:sz w:val="22"/>
                <w:szCs w:val="22"/>
                <w:lang w:val="sr-Latn-ME"/>
              </w:rPr>
            </w:pPr>
            <w:r w:rsidRPr="00F334AF">
              <w:rPr>
                <w:b/>
                <w:i/>
                <w:sz w:val="22"/>
                <w:szCs w:val="22"/>
                <w:lang w:val="sr-Latn-ME"/>
              </w:rPr>
              <w:t>Infekcije i infestacije:</w:t>
            </w:r>
          </w:p>
          <w:p w14:paraId="6FEBF750"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p>
        </w:tc>
        <w:tc>
          <w:tcPr>
            <w:tcW w:w="3577" w:type="dxa"/>
            <w:tcBorders>
              <w:top w:val="single" w:sz="8" w:space="0" w:color="000000"/>
              <w:left w:val="single" w:sz="8" w:space="0" w:color="000000"/>
              <w:bottom w:val="single" w:sz="4" w:space="0" w:color="auto"/>
              <w:right w:val="single" w:sz="8" w:space="0" w:color="000000"/>
            </w:tcBorders>
          </w:tcPr>
          <w:p w14:paraId="4A7BA083" w14:textId="77777777" w:rsidR="00E310B2" w:rsidRPr="00F334AF" w:rsidRDefault="00E310B2" w:rsidP="0034729B">
            <w:pPr>
              <w:jc w:val="both"/>
              <w:rPr>
                <w:sz w:val="22"/>
                <w:szCs w:val="22"/>
                <w:lang w:val="sr-Latn-ME"/>
              </w:rPr>
            </w:pPr>
            <w:r w:rsidRPr="00F334AF">
              <w:rPr>
                <w:sz w:val="22"/>
                <w:szCs w:val="22"/>
                <w:lang w:val="sr-Latn-ME"/>
              </w:rPr>
              <w:t>kandidijaza, stafilokokna infekcija</w:t>
            </w:r>
          </w:p>
          <w:p w14:paraId="03C9A386"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p>
        </w:tc>
        <w:tc>
          <w:tcPr>
            <w:tcW w:w="2268" w:type="dxa"/>
            <w:tcBorders>
              <w:top w:val="single" w:sz="8" w:space="0" w:color="000000"/>
              <w:left w:val="single" w:sz="8" w:space="0" w:color="000000"/>
              <w:bottom w:val="single" w:sz="4" w:space="0" w:color="auto"/>
            </w:tcBorders>
          </w:tcPr>
          <w:p w14:paraId="69930EAA" w14:textId="6C4844F0"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i/>
                <w:sz w:val="22"/>
                <w:szCs w:val="22"/>
                <w:lang w:val="sr-Latn-ME"/>
              </w:rPr>
              <w:t>rijetk</w:t>
            </w:r>
            <w:r w:rsidR="00BA60C3" w:rsidRPr="00F334AF">
              <w:rPr>
                <w:i/>
                <w:sz w:val="22"/>
                <w:szCs w:val="22"/>
                <w:lang w:val="sr-Latn-ME"/>
              </w:rPr>
              <w:t>o</w:t>
            </w:r>
          </w:p>
        </w:tc>
      </w:tr>
      <w:tr w:rsidR="00E310B2" w:rsidRPr="00F334AF" w14:paraId="600DD31F" w14:textId="77777777" w:rsidTr="0034729B">
        <w:trPr>
          <w:trHeight w:val="383"/>
        </w:trPr>
        <w:tc>
          <w:tcPr>
            <w:tcW w:w="2749" w:type="dxa"/>
            <w:tcBorders>
              <w:top w:val="single" w:sz="8" w:space="0" w:color="000000"/>
              <w:bottom w:val="single" w:sz="8" w:space="0" w:color="000000"/>
              <w:right w:val="single" w:sz="4" w:space="0" w:color="auto"/>
            </w:tcBorders>
          </w:tcPr>
          <w:p w14:paraId="12670AA7" w14:textId="2B89AB77" w:rsidR="00E310B2" w:rsidRPr="00F334AF" w:rsidRDefault="00E310B2" w:rsidP="0034729B">
            <w:pPr>
              <w:jc w:val="both"/>
              <w:rPr>
                <w:b/>
                <w:i/>
                <w:sz w:val="22"/>
                <w:szCs w:val="22"/>
                <w:lang w:val="sr-Latn-ME"/>
              </w:rPr>
            </w:pPr>
            <w:r w:rsidRPr="00F334AF">
              <w:rPr>
                <w:b/>
                <w:i/>
                <w:sz w:val="22"/>
                <w:szCs w:val="22"/>
                <w:lang w:val="sr-Latn-ME"/>
              </w:rPr>
              <w:t>Poremećaji krvi i limfnog sistema:</w:t>
            </w:r>
          </w:p>
          <w:p w14:paraId="1610515B" w14:textId="77777777" w:rsidR="00E310B2" w:rsidRPr="00F334AF" w:rsidRDefault="00E310B2" w:rsidP="0034729B">
            <w:pPr>
              <w:autoSpaceDE w:val="0"/>
              <w:autoSpaceDN w:val="0"/>
              <w:adjustRightInd w:val="0"/>
              <w:jc w:val="both"/>
              <w:rPr>
                <w:rFonts w:eastAsia="MS Mincho"/>
                <w:i/>
                <w:color w:val="000000"/>
                <w:sz w:val="22"/>
                <w:szCs w:val="22"/>
                <w:lang w:val="sr-Latn-ME" w:eastAsia="ja-JP"/>
              </w:rPr>
            </w:pPr>
          </w:p>
        </w:tc>
        <w:tc>
          <w:tcPr>
            <w:tcW w:w="3577" w:type="dxa"/>
            <w:tcBorders>
              <w:top w:val="single" w:sz="4" w:space="0" w:color="auto"/>
              <w:left w:val="single" w:sz="4" w:space="0" w:color="auto"/>
              <w:bottom w:val="single" w:sz="4" w:space="0" w:color="auto"/>
              <w:right w:val="single" w:sz="4" w:space="0" w:color="auto"/>
            </w:tcBorders>
          </w:tcPr>
          <w:p w14:paraId="0B0DDBBD" w14:textId="5B83CCDF" w:rsidR="00E310B2" w:rsidRPr="00F334AF" w:rsidRDefault="00640EF7" w:rsidP="0034729B">
            <w:pPr>
              <w:autoSpaceDE w:val="0"/>
              <w:autoSpaceDN w:val="0"/>
              <w:adjustRightInd w:val="0"/>
              <w:jc w:val="both"/>
              <w:rPr>
                <w:rFonts w:eastAsia="MS Mincho"/>
                <w:color w:val="000000"/>
                <w:sz w:val="22"/>
                <w:szCs w:val="22"/>
                <w:lang w:val="sr-Latn-ME" w:eastAsia="ja-JP"/>
              </w:rPr>
            </w:pPr>
            <w:r w:rsidRPr="00F334AF">
              <w:rPr>
                <w:sz w:val="22"/>
                <w:szCs w:val="22"/>
                <w:lang w:val="sr-Latn-ME"/>
              </w:rPr>
              <w:t xml:space="preserve">febrilna neutropenija, </w:t>
            </w:r>
            <w:r w:rsidR="00E310B2" w:rsidRPr="00F334AF">
              <w:rPr>
                <w:sz w:val="22"/>
                <w:szCs w:val="22"/>
                <w:lang w:val="sr-Latn-ME"/>
              </w:rPr>
              <w:t>anemija</w:t>
            </w:r>
          </w:p>
        </w:tc>
        <w:tc>
          <w:tcPr>
            <w:tcW w:w="2268" w:type="dxa"/>
            <w:tcBorders>
              <w:top w:val="single" w:sz="4" w:space="0" w:color="auto"/>
              <w:left w:val="single" w:sz="4" w:space="0" w:color="auto"/>
              <w:bottom w:val="single" w:sz="4" w:space="0" w:color="auto"/>
              <w:right w:val="single" w:sz="4" w:space="0" w:color="auto"/>
            </w:tcBorders>
          </w:tcPr>
          <w:p w14:paraId="2DB3A6AC" w14:textId="6A575C4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i/>
                <w:sz w:val="22"/>
                <w:szCs w:val="22"/>
                <w:lang w:val="sr-Latn-ME"/>
              </w:rPr>
              <w:t>povremen</w:t>
            </w:r>
            <w:r w:rsidR="00BA60C3" w:rsidRPr="00F334AF">
              <w:rPr>
                <w:i/>
                <w:sz w:val="22"/>
                <w:szCs w:val="22"/>
                <w:lang w:val="sr-Latn-ME"/>
              </w:rPr>
              <w:t>o</w:t>
            </w:r>
          </w:p>
        </w:tc>
      </w:tr>
      <w:tr w:rsidR="00E310B2" w:rsidRPr="00F334AF" w14:paraId="7C65E283" w14:textId="77777777" w:rsidTr="0034729B">
        <w:trPr>
          <w:trHeight w:val="382"/>
        </w:trPr>
        <w:tc>
          <w:tcPr>
            <w:tcW w:w="2749" w:type="dxa"/>
            <w:tcBorders>
              <w:top w:val="single" w:sz="8" w:space="0" w:color="000000"/>
              <w:bottom w:val="single" w:sz="8" w:space="0" w:color="000000"/>
              <w:right w:val="single" w:sz="4" w:space="0" w:color="auto"/>
            </w:tcBorders>
          </w:tcPr>
          <w:p w14:paraId="0D6946C6" w14:textId="77777777" w:rsidR="00E310B2" w:rsidRPr="00F334AF" w:rsidRDefault="00E310B2" w:rsidP="0034729B">
            <w:pPr>
              <w:jc w:val="both"/>
              <w:rPr>
                <w:b/>
                <w:i/>
                <w:sz w:val="22"/>
                <w:szCs w:val="22"/>
                <w:lang w:val="sr-Latn-ME"/>
              </w:rPr>
            </w:pPr>
            <w:r w:rsidRPr="00F334AF">
              <w:rPr>
                <w:b/>
                <w:i/>
                <w:sz w:val="22"/>
                <w:szCs w:val="22"/>
                <w:lang w:val="sr-Latn-ME"/>
              </w:rPr>
              <w:t>Poremećaji imunološkog sistema</w:t>
            </w:r>
          </w:p>
        </w:tc>
        <w:tc>
          <w:tcPr>
            <w:tcW w:w="3577" w:type="dxa"/>
            <w:tcBorders>
              <w:top w:val="single" w:sz="4" w:space="0" w:color="auto"/>
              <w:left w:val="single" w:sz="4" w:space="0" w:color="auto"/>
              <w:bottom w:val="single" w:sz="4" w:space="0" w:color="auto"/>
              <w:right w:val="single" w:sz="4" w:space="0" w:color="auto"/>
            </w:tcBorders>
          </w:tcPr>
          <w:p w14:paraId="1ACCCCBC" w14:textId="77777777"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reakcije preosjetljivosti uključujući anafilaktičke reakcije</w:t>
            </w:r>
          </w:p>
        </w:tc>
        <w:tc>
          <w:tcPr>
            <w:tcW w:w="2268" w:type="dxa"/>
            <w:tcBorders>
              <w:top w:val="single" w:sz="4" w:space="0" w:color="auto"/>
              <w:left w:val="single" w:sz="4" w:space="0" w:color="auto"/>
              <w:bottom w:val="single" w:sz="4" w:space="0" w:color="auto"/>
              <w:right w:val="single" w:sz="4" w:space="0" w:color="auto"/>
            </w:tcBorders>
          </w:tcPr>
          <w:p w14:paraId="3DD7019E" w14:textId="347C04C2"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nepoznat</w:t>
            </w:r>
            <w:r w:rsidR="00BA60C3" w:rsidRPr="00F334AF">
              <w:rPr>
                <w:i/>
                <w:sz w:val="22"/>
                <w:szCs w:val="22"/>
                <w:lang w:val="sr-Latn-ME"/>
              </w:rPr>
              <w:t>o</w:t>
            </w:r>
          </w:p>
        </w:tc>
      </w:tr>
      <w:tr w:rsidR="00E310B2" w:rsidRPr="00F334AF" w14:paraId="6A25C4B8" w14:textId="77777777" w:rsidTr="0034729B">
        <w:trPr>
          <w:trHeight w:val="475"/>
        </w:trPr>
        <w:tc>
          <w:tcPr>
            <w:tcW w:w="2749" w:type="dxa"/>
            <w:vMerge w:val="restart"/>
            <w:tcBorders>
              <w:top w:val="single" w:sz="8" w:space="0" w:color="000000"/>
              <w:right w:val="single" w:sz="8" w:space="0" w:color="000000"/>
            </w:tcBorders>
          </w:tcPr>
          <w:p w14:paraId="6BAFACCE" w14:textId="77777777" w:rsidR="00E310B2" w:rsidRPr="00F334AF" w:rsidRDefault="00E310B2" w:rsidP="0034729B">
            <w:pPr>
              <w:pStyle w:val="Header"/>
              <w:tabs>
                <w:tab w:val="left" w:pos="284"/>
              </w:tabs>
              <w:ind w:right="65"/>
              <w:jc w:val="both"/>
              <w:rPr>
                <w:rFonts w:eastAsia="MS Mincho"/>
                <w:sz w:val="22"/>
                <w:szCs w:val="22"/>
                <w:lang w:val="sr-Latn-ME" w:eastAsia="ja-JP"/>
              </w:rPr>
            </w:pPr>
            <w:r w:rsidRPr="00F334AF">
              <w:rPr>
                <w:b/>
                <w:i/>
                <w:sz w:val="22"/>
                <w:szCs w:val="22"/>
                <w:lang w:val="sr-Latn-ME"/>
              </w:rPr>
              <w:t>Poremećaji metabolizma i ishrane:</w:t>
            </w:r>
          </w:p>
        </w:tc>
        <w:tc>
          <w:tcPr>
            <w:tcW w:w="3577" w:type="dxa"/>
            <w:tcBorders>
              <w:top w:val="single" w:sz="4" w:space="0" w:color="auto"/>
              <w:left w:val="single" w:sz="8" w:space="0" w:color="000000"/>
              <w:bottom w:val="single" w:sz="8" w:space="0" w:color="000000"/>
              <w:right w:val="single" w:sz="4" w:space="0" w:color="auto"/>
            </w:tcBorders>
          </w:tcPr>
          <w:p w14:paraId="4D85465C"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sz w:val="22"/>
                <w:szCs w:val="22"/>
                <w:lang w:val="sr-Latn-ME"/>
              </w:rPr>
              <w:t>smanjen apetit</w:t>
            </w:r>
          </w:p>
        </w:tc>
        <w:tc>
          <w:tcPr>
            <w:tcW w:w="2268" w:type="dxa"/>
            <w:tcBorders>
              <w:top w:val="single" w:sz="4" w:space="0" w:color="auto"/>
              <w:left w:val="single" w:sz="4" w:space="0" w:color="auto"/>
              <w:bottom w:val="single" w:sz="4" w:space="0" w:color="auto"/>
              <w:right w:val="single" w:sz="4" w:space="0" w:color="auto"/>
            </w:tcBorders>
          </w:tcPr>
          <w:p w14:paraId="0CE90414" w14:textId="14CF4EB6" w:rsidR="00E310B2" w:rsidRPr="00F334AF" w:rsidRDefault="00E310B2" w:rsidP="0034729B">
            <w:pPr>
              <w:autoSpaceDE w:val="0"/>
              <w:autoSpaceDN w:val="0"/>
              <w:adjustRightInd w:val="0"/>
              <w:jc w:val="both"/>
              <w:rPr>
                <w:rFonts w:eastAsia="MS Mincho"/>
                <w:i/>
                <w:color w:val="000000"/>
                <w:sz w:val="22"/>
                <w:szCs w:val="22"/>
                <w:lang w:val="sr-Latn-ME" w:eastAsia="ja-JP"/>
              </w:rPr>
            </w:pPr>
            <w:r w:rsidRPr="00F334AF">
              <w:rPr>
                <w:rFonts w:eastAsia="MS Mincho"/>
                <w:i/>
                <w:color w:val="000000"/>
                <w:sz w:val="22"/>
                <w:szCs w:val="22"/>
                <w:lang w:val="sr-Latn-ME" w:eastAsia="ja-JP"/>
              </w:rPr>
              <w:t>čest</w:t>
            </w:r>
            <w:r w:rsidR="00BA60C3" w:rsidRPr="00F334AF">
              <w:rPr>
                <w:rFonts w:eastAsia="MS Mincho"/>
                <w:i/>
                <w:color w:val="000000"/>
                <w:sz w:val="22"/>
                <w:szCs w:val="22"/>
                <w:lang w:val="sr-Latn-ME" w:eastAsia="ja-JP"/>
              </w:rPr>
              <w:t>o</w:t>
            </w:r>
          </w:p>
          <w:p w14:paraId="624E1FC5" w14:textId="77777777" w:rsidR="00E310B2" w:rsidRPr="00F334AF" w:rsidRDefault="00E310B2" w:rsidP="0034729B">
            <w:pPr>
              <w:autoSpaceDE w:val="0"/>
              <w:autoSpaceDN w:val="0"/>
              <w:adjustRightInd w:val="0"/>
              <w:jc w:val="both"/>
              <w:rPr>
                <w:rFonts w:eastAsia="MS Mincho"/>
                <w:i/>
                <w:color w:val="000000"/>
                <w:sz w:val="22"/>
                <w:szCs w:val="22"/>
                <w:lang w:val="sr-Latn-ME" w:eastAsia="ja-JP"/>
              </w:rPr>
            </w:pPr>
          </w:p>
        </w:tc>
      </w:tr>
      <w:tr w:rsidR="00E310B2" w:rsidRPr="00F334AF" w14:paraId="17212241" w14:textId="77777777" w:rsidTr="0034729B">
        <w:trPr>
          <w:trHeight w:val="304"/>
        </w:trPr>
        <w:tc>
          <w:tcPr>
            <w:tcW w:w="2749" w:type="dxa"/>
            <w:vMerge/>
            <w:tcBorders>
              <w:bottom w:val="single" w:sz="8" w:space="0" w:color="000000"/>
              <w:right w:val="single" w:sz="8" w:space="0" w:color="000000"/>
            </w:tcBorders>
          </w:tcPr>
          <w:p w14:paraId="45F8C639" w14:textId="77777777" w:rsidR="00E310B2" w:rsidRPr="00F334AF" w:rsidRDefault="00E310B2" w:rsidP="0034729B">
            <w:pPr>
              <w:pStyle w:val="Header"/>
              <w:tabs>
                <w:tab w:val="left" w:pos="284"/>
              </w:tabs>
              <w:ind w:right="65"/>
              <w:jc w:val="both"/>
              <w:rPr>
                <w:b/>
                <w:i/>
                <w:sz w:val="22"/>
                <w:szCs w:val="22"/>
                <w:lang w:val="sr-Latn-ME"/>
              </w:rPr>
            </w:pPr>
          </w:p>
        </w:tc>
        <w:tc>
          <w:tcPr>
            <w:tcW w:w="3577" w:type="dxa"/>
            <w:tcBorders>
              <w:top w:val="single" w:sz="4" w:space="0" w:color="auto"/>
              <w:left w:val="single" w:sz="8" w:space="0" w:color="000000"/>
              <w:bottom w:val="single" w:sz="8" w:space="0" w:color="000000"/>
              <w:right w:val="single" w:sz="4" w:space="0" w:color="auto"/>
            </w:tcBorders>
          </w:tcPr>
          <w:p w14:paraId="73D94A73" w14:textId="77777777" w:rsidR="00E310B2" w:rsidRPr="00F334AF" w:rsidRDefault="00E310B2" w:rsidP="0034729B">
            <w:pPr>
              <w:pStyle w:val="Header"/>
              <w:tabs>
                <w:tab w:val="left" w:pos="284"/>
              </w:tabs>
              <w:ind w:right="65"/>
              <w:jc w:val="both"/>
              <w:rPr>
                <w:sz w:val="22"/>
                <w:szCs w:val="22"/>
                <w:lang w:val="sr-Latn-ME"/>
              </w:rPr>
            </w:pPr>
            <w:r w:rsidRPr="00F334AF">
              <w:rPr>
                <w:sz w:val="22"/>
                <w:szCs w:val="22"/>
                <w:lang w:val="sr-Latn-ME"/>
              </w:rPr>
              <w:t>polidipsija</w:t>
            </w:r>
          </w:p>
          <w:p w14:paraId="720A247F" w14:textId="77777777" w:rsidR="00E310B2" w:rsidRPr="00F334AF" w:rsidRDefault="00E310B2" w:rsidP="0034729B">
            <w:pPr>
              <w:pStyle w:val="Header"/>
              <w:tabs>
                <w:tab w:val="left" w:pos="284"/>
              </w:tabs>
              <w:ind w:right="65"/>
              <w:jc w:val="both"/>
              <w:rPr>
                <w:sz w:val="22"/>
                <w:szCs w:val="22"/>
                <w:lang w:val="sr-Latn-ME"/>
              </w:rPr>
            </w:pPr>
          </w:p>
        </w:tc>
        <w:tc>
          <w:tcPr>
            <w:tcW w:w="2268" w:type="dxa"/>
            <w:tcBorders>
              <w:top w:val="single" w:sz="4" w:space="0" w:color="auto"/>
              <w:left w:val="single" w:sz="4" w:space="0" w:color="auto"/>
              <w:bottom w:val="single" w:sz="4" w:space="0" w:color="auto"/>
              <w:right w:val="single" w:sz="4" w:space="0" w:color="auto"/>
            </w:tcBorders>
          </w:tcPr>
          <w:p w14:paraId="0A270CC2" w14:textId="700B537D" w:rsidR="00E310B2" w:rsidRPr="00F334AF" w:rsidRDefault="00E310B2" w:rsidP="0034729B">
            <w:pPr>
              <w:autoSpaceDE w:val="0"/>
              <w:autoSpaceDN w:val="0"/>
              <w:adjustRightInd w:val="0"/>
              <w:jc w:val="both"/>
              <w:rPr>
                <w:rFonts w:eastAsia="MS Mincho"/>
                <w:i/>
                <w:color w:val="000000"/>
                <w:sz w:val="22"/>
                <w:szCs w:val="22"/>
                <w:lang w:val="sr-Latn-ME" w:eastAsia="ja-JP"/>
              </w:rPr>
            </w:pPr>
            <w:r w:rsidRPr="00F334AF">
              <w:rPr>
                <w:rFonts w:eastAsia="MS Mincho"/>
                <w:i/>
                <w:color w:val="000000"/>
                <w:sz w:val="22"/>
                <w:szCs w:val="22"/>
                <w:lang w:val="sr-Latn-ME" w:eastAsia="ja-JP"/>
              </w:rPr>
              <w:t>rijetk</w:t>
            </w:r>
            <w:r w:rsidR="00BA60C3" w:rsidRPr="00F334AF">
              <w:rPr>
                <w:rFonts w:eastAsia="MS Mincho"/>
                <w:i/>
                <w:color w:val="000000"/>
                <w:sz w:val="22"/>
                <w:szCs w:val="22"/>
                <w:lang w:val="sr-Latn-ME" w:eastAsia="ja-JP"/>
              </w:rPr>
              <w:t>o</w:t>
            </w:r>
          </w:p>
        </w:tc>
      </w:tr>
      <w:tr w:rsidR="00E310B2" w:rsidRPr="00F334AF" w14:paraId="0A107040" w14:textId="77777777" w:rsidTr="0034729B">
        <w:trPr>
          <w:trHeight w:val="390"/>
        </w:trPr>
        <w:tc>
          <w:tcPr>
            <w:tcW w:w="2749" w:type="dxa"/>
            <w:vMerge w:val="restart"/>
            <w:tcBorders>
              <w:top w:val="single" w:sz="8" w:space="0" w:color="000000"/>
              <w:right w:val="single" w:sz="8" w:space="0" w:color="000000"/>
            </w:tcBorders>
          </w:tcPr>
          <w:p w14:paraId="6D2BDECB"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b/>
                <w:i/>
                <w:sz w:val="22"/>
                <w:szCs w:val="22"/>
                <w:lang w:val="sr-Latn-ME"/>
              </w:rPr>
              <w:t>Psihijatrijski poremećaji:</w:t>
            </w:r>
          </w:p>
        </w:tc>
        <w:tc>
          <w:tcPr>
            <w:tcW w:w="3577" w:type="dxa"/>
            <w:tcBorders>
              <w:top w:val="single" w:sz="8" w:space="0" w:color="000000"/>
              <w:left w:val="single" w:sz="8" w:space="0" w:color="000000"/>
              <w:bottom w:val="single" w:sz="8" w:space="0" w:color="000000"/>
              <w:right w:val="single" w:sz="4" w:space="0" w:color="auto"/>
            </w:tcBorders>
          </w:tcPr>
          <w:p w14:paraId="470F0104"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sz w:val="22"/>
                <w:szCs w:val="22"/>
                <w:lang w:val="sr-Latn-ME"/>
              </w:rPr>
              <w:t>anksioznost</w:t>
            </w:r>
          </w:p>
        </w:tc>
        <w:tc>
          <w:tcPr>
            <w:tcW w:w="2268" w:type="dxa"/>
            <w:tcBorders>
              <w:top w:val="single" w:sz="4" w:space="0" w:color="auto"/>
              <w:left w:val="single" w:sz="4" w:space="0" w:color="auto"/>
              <w:bottom w:val="single" w:sz="4" w:space="0" w:color="auto"/>
              <w:right w:val="single" w:sz="4" w:space="0" w:color="auto"/>
            </w:tcBorders>
          </w:tcPr>
          <w:p w14:paraId="25A6C641" w14:textId="7D8EC52A"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i/>
                <w:sz w:val="22"/>
                <w:szCs w:val="22"/>
                <w:lang w:val="sr-Latn-ME"/>
              </w:rPr>
              <w:t>povremen</w:t>
            </w:r>
            <w:r w:rsidR="00BA60C3" w:rsidRPr="00F334AF">
              <w:rPr>
                <w:i/>
                <w:sz w:val="22"/>
                <w:szCs w:val="22"/>
                <w:lang w:val="sr-Latn-ME"/>
              </w:rPr>
              <w:t>o</w:t>
            </w:r>
          </w:p>
        </w:tc>
      </w:tr>
      <w:tr w:rsidR="00E310B2" w:rsidRPr="00F334AF" w14:paraId="7234D8F9" w14:textId="77777777" w:rsidTr="0034729B">
        <w:trPr>
          <w:trHeight w:val="390"/>
        </w:trPr>
        <w:tc>
          <w:tcPr>
            <w:tcW w:w="2749" w:type="dxa"/>
            <w:vMerge/>
            <w:tcBorders>
              <w:bottom w:val="single" w:sz="8" w:space="0" w:color="000000"/>
              <w:right w:val="single" w:sz="8" w:space="0" w:color="000000"/>
            </w:tcBorders>
          </w:tcPr>
          <w:p w14:paraId="33AF096A" w14:textId="77777777" w:rsidR="00E310B2" w:rsidRPr="00F334AF" w:rsidRDefault="00E310B2" w:rsidP="0034729B">
            <w:pPr>
              <w:autoSpaceDE w:val="0"/>
              <w:autoSpaceDN w:val="0"/>
              <w:adjustRightInd w:val="0"/>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5D08E9E5" w14:textId="77777777"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dezorijentisanost, euforija</w:t>
            </w:r>
          </w:p>
        </w:tc>
        <w:tc>
          <w:tcPr>
            <w:tcW w:w="2268" w:type="dxa"/>
            <w:tcBorders>
              <w:top w:val="single" w:sz="4" w:space="0" w:color="auto"/>
              <w:left w:val="single" w:sz="4" w:space="0" w:color="auto"/>
              <w:bottom w:val="single" w:sz="4" w:space="0" w:color="auto"/>
              <w:right w:val="single" w:sz="4" w:space="0" w:color="auto"/>
            </w:tcBorders>
          </w:tcPr>
          <w:p w14:paraId="3A01CD7C" w14:textId="692EC5AE"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rijetk</w:t>
            </w:r>
            <w:r w:rsidR="00BA60C3" w:rsidRPr="00F334AF">
              <w:rPr>
                <w:i/>
                <w:sz w:val="22"/>
                <w:szCs w:val="22"/>
                <w:lang w:val="sr-Latn-ME"/>
              </w:rPr>
              <w:t>o</w:t>
            </w:r>
          </w:p>
        </w:tc>
      </w:tr>
      <w:tr w:rsidR="00E310B2" w:rsidRPr="00F334AF" w14:paraId="0920E641" w14:textId="77777777" w:rsidTr="0034729B">
        <w:trPr>
          <w:trHeight w:val="335"/>
        </w:trPr>
        <w:tc>
          <w:tcPr>
            <w:tcW w:w="2749" w:type="dxa"/>
            <w:vMerge w:val="restart"/>
            <w:tcBorders>
              <w:top w:val="single" w:sz="8" w:space="0" w:color="000000"/>
              <w:right w:val="single" w:sz="8" w:space="0" w:color="000000"/>
            </w:tcBorders>
          </w:tcPr>
          <w:p w14:paraId="7074BADF"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b/>
                <w:i/>
                <w:sz w:val="22"/>
                <w:szCs w:val="22"/>
                <w:lang w:val="sr-Latn-ME"/>
              </w:rPr>
              <w:t>Poremećaji nervnog sistema:</w:t>
            </w:r>
          </w:p>
        </w:tc>
        <w:tc>
          <w:tcPr>
            <w:tcW w:w="3577" w:type="dxa"/>
            <w:tcBorders>
              <w:top w:val="single" w:sz="8" w:space="0" w:color="000000"/>
              <w:left w:val="single" w:sz="8" w:space="0" w:color="000000"/>
              <w:bottom w:val="single" w:sz="8" w:space="0" w:color="000000"/>
              <w:right w:val="single" w:sz="4" w:space="0" w:color="auto"/>
            </w:tcBorders>
          </w:tcPr>
          <w:p w14:paraId="4931E4F0" w14:textId="77777777"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glavobolja</w:t>
            </w:r>
          </w:p>
        </w:tc>
        <w:tc>
          <w:tcPr>
            <w:tcW w:w="2268" w:type="dxa"/>
            <w:tcBorders>
              <w:top w:val="single" w:sz="4" w:space="0" w:color="auto"/>
              <w:left w:val="single" w:sz="4" w:space="0" w:color="auto"/>
              <w:bottom w:val="single" w:sz="4" w:space="0" w:color="auto"/>
              <w:right w:val="single" w:sz="4" w:space="0" w:color="auto"/>
            </w:tcBorders>
          </w:tcPr>
          <w:p w14:paraId="1A28A2A2" w14:textId="426293EE"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čest</w:t>
            </w:r>
            <w:r w:rsidR="00BA60C3" w:rsidRPr="00F334AF">
              <w:rPr>
                <w:i/>
                <w:sz w:val="22"/>
                <w:szCs w:val="22"/>
                <w:lang w:val="sr-Latn-ME"/>
              </w:rPr>
              <w:t>o</w:t>
            </w:r>
          </w:p>
          <w:p w14:paraId="23F3D35B" w14:textId="77777777" w:rsidR="00E310B2" w:rsidRPr="00F334AF" w:rsidRDefault="00E310B2" w:rsidP="0034729B">
            <w:pPr>
              <w:autoSpaceDE w:val="0"/>
              <w:autoSpaceDN w:val="0"/>
              <w:adjustRightInd w:val="0"/>
              <w:jc w:val="both"/>
              <w:rPr>
                <w:i/>
                <w:sz w:val="22"/>
                <w:szCs w:val="22"/>
                <w:lang w:val="sr-Latn-ME"/>
              </w:rPr>
            </w:pPr>
          </w:p>
          <w:p w14:paraId="5C000DDE"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p>
        </w:tc>
      </w:tr>
      <w:tr w:rsidR="00E310B2" w:rsidRPr="00F334AF" w14:paraId="4ABD4271" w14:textId="77777777" w:rsidTr="0034729B">
        <w:trPr>
          <w:trHeight w:val="335"/>
        </w:trPr>
        <w:tc>
          <w:tcPr>
            <w:tcW w:w="2749" w:type="dxa"/>
            <w:vMerge/>
            <w:tcBorders>
              <w:right w:val="single" w:sz="8" w:space="0" w:color="000000"/>
            </w:tcBorders>
          </w:tcPr>
          <w:p w14:paraId="4E2DEE9B" w14:textId="77777777" w:rsidR="00E310B2" w:rsidRPr="00F334AF" w:rsidRDefault="00E310B2" w:rsidP="0034729B">
            <w:pPr>
              <w:autoSpaceDE w:val="0"/>
              <w:autoSpaceDN w:val="0"/>
              <w:adjustRightInd w:val="0"/>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5327837A" w14:textId="413CE628" w:rsidR="00E310B2" w:rsidRPr="00F334AF" w:rsidRDefault="00640EF7" w:rsidP="0034729B">
            <w:pPr>
              <w:autoSpaceDE w:val="0"/>
              <w:autoSpaceDN w:val="0"/>
              <w:adjustRightInd w:val="0"/>
              <w:jc w:val="both"/>
              <w:rPr>
                <w:sz w:val="22"/>
                <w:szCs w:val="22"/>
                <w:lang w:val="sr-Latn-ME"/>
              </w:rPr>
            </w:pPr>
            <w:r w:rsidRPr="00F334AF">
              <w:rPr>
                <w:sz w:val="22"/>
                <w:szCs w:val="22"/>
                <w:lang w:val="sr-Latn-ME"/>
              </w:rPr>
              <w:t>vrtoglavica</w:t>
            </w:r>
            <w:r w:rsidR="00E310B2" w:rsidRPr="00F334AF">
              <w:rPr>
                <w:sz w:val="22"/>
                <w:szCs w:val="22"/>
                <w:lang w:val="sr-Latn-ME"/>
              </w:rPr>
              <w:t xml:space="preserve">, </w:t>
            </w:r>
            <w:r w:rsidRPr="00F334AF">
              <w:rPr>
                <w:sz w:val="22"/>
                <w:szCs w:val="22"/>
                <w:lang w:val="sr-Latn-ME"/>
              </w:rPr>
              <w:t>somnolencija</w:t>
            </w:r>
          </w:p>
        </w:tc>
        <w:tc>
          <w:tcPr>
            <w:tcW w:w="2268" w:type="dxa"/>
            <w:tcBorders>
              <w:top w:val="single" w:sz="4" w:space="0" w:color="auto"/>
              <w:left w:val="single" w:sz="4" w:space="0" w:color="auto"/>
              <w:bottom w:val="single" w:sz="4" w:space="0" w:color="auto"/>
              <w:right w:val="single" w:sz="4" w:space="0" w:color="auto"/>
            </w:tcBorders>
          </w:tcPr>
          <w:p w14:paraId="2DEBD0FD" w14:textId="58565510"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povremen</w:t>
            </w:r>
            <w:r w:rsidR="00BA60C3" w:rsidRPr="00F334AF">
              <w:rPr>
                <w:i/>
                <w:sz w:val="22"/>
                <w:szCs w:val="22"/>
                <w:lang w:val="sr-Latn-ME"/>
              </w:rPr>
              <w:t>o</w:t>
            </w:r>
          </w:p>
        </w:tc>
      </w:tr>
      <w:tr w:rsidR="00E310B2" w:rsidRPr="00F334AF" w14:paraId="2E759836" w14:textId="77777777" w:rsidTr="0034729B">
        <w:trPr>
          <w:trHeight w:val="335"/>
        </w:trPr>
        <w:tc>
          <w:tcPr>
            <w:tcW w:w="2749" w:type="dxa"/>
            <w:vMerge/>
            <w:tcBorders>
              <w:bottom w:val="single" w:sz="8" w:space="0" w:color="000000"/>
              <w:right w:val="single" w:sz="8" w:space="0" w:color="000000"/>
            </w:tcBorders>
          </w:tcPr>
          <w:p w14:paraId="59AABC4B" w14:textId="77777777" w:rsidR="00E310B2" w:rsidRPr="00F334AF" w:rsidRDefault="00E310B2" w:rsidP="0034729B">
            <w:pPr>
              <w:autoSpaceDE w:val="0"/>
              <w:autoSpaceDN w:val="0"/>
              <w:adjustRightInd w:val="0"/>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060681E2" w14:textId="77777777"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kognitivni poremećaji, letargija, disgeuzija</w:t>
            </w:r>
          </w:p>
        </w:tc>
        <w:tc>
          <w:tcPr>
            <w:tcW w:w="2268" w:type="dxa"/>
            <w:tcBorders>
              <w:top w:val="single" w:sz="4" w:space="0" w:color="auto"/>
              <w:left w:val="single" w:sz="4" w:space="0" w:color="auto"/>
              <w:bottom w:val="single" w:sz="4" w:space="0" w:color="auto"/>
              <w:right w:val="single" w:sz="4" w:space="0" w:color="auto"/>
            </w:tcBorders>
          </w:tcPr>
          <w:p w14:paraId="42B17F83" w14:textId="030A1A10"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rijetk</w:t>
            </w:r>
            <w:r w:rsidR="00BA60C3" w:rsidRPr="00F334AF">
              <w:rPr>
                <w:i/>
                <w:sz w:val="22"/>
                <w:szCs w:val="22"/>
                <w:lang w:val="sr-Latn-ME"/>
              </w:rPr>
              <w:t>o</w:t>
            </w:r>
          </w:p>
        </w:tc>
      </w:tr>
      <w:tr w:rsidR="00E310B2" w:rsidRPr="00F334AF" w14:paraId="0FB8D49F" w14:textId="77777777" w:rsidTr="0034729B">
        <w:trPr>
          <w:trHeight w:val="282"/>
        </w:trPr>
        <w:tc>
          <w:tcPr>
            <w:tcW w:w="2749" w:type="dxa"/>
            <w:tcBorders>
              <w:top w:val="single" w:sz="8" w:space="0" w:color="000000"/>
              <w:bottom w:val="single" w:sz="8" w:space="0" w:color="000000"/>
              <w:right w:val="single" w:sz="8" w:space="0" w:color="000000"/>
            </w:tcBorders>
          </w:tcPr>
          <w:p w14:paraId="705D1E5D" w14:textId="359683B9"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b/>
                <w:i/>
                <w:sz w:val="22"/>
                <w:szCs w:val="22"/>
                <w:lang w:val="sr-Latn-ME"/>
              </w:rPr>
              <w:t>Poremećaji oka:</w:t>
            </w:r>
          </w:p>
        </w:tc>
        <w:tc>
          <w:tcPr>
            <w:tcW w:w="3577" w:type="dxa"/>
            <w:tcBorders>
              <w:top w:val="single" w:sz="8" w:space="0" w:color="000000"/>
              <w:left w:val="single" w:sz="8" w:space="0" w:color="000000"/>
              <w:bottom w:val="single" w:sz="8" w:space="0" w:color="000000"/>
              <w:right w:val="single" w:sz="8" w:space="0" w:color="000000"/>
            </w:tcBorders>
          </w:tcPr>
          <w:p w14:paraId="3F62D251"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sz w:val="22"/>
                <w:szCs w:val="22"/>
                <w:lang w:val="sr-Latn-ME"/>
              </w:rPr>
              <w:t>konjunktivitis</w:t>
            </w:r>
          </w:p>
        </w:tc>
        <w:tc>
          <w:tcPr>
            <w:tcW w:w="2268" w:type="dxa"/>
            <w:tcBorders>
              <w:top w:val="single" w:sz="4" w:space="0" w:color="auto"/>
              <w:left w:val="single" w:sz="8" w:space="0" w:color="000000"/>
              <w:bottom w:val="single" w:sz="8" w:space="0" w:color="000000"/>
            </w:tcBorders>
          </w:tcPr>
          <w:p w14:paraId="4D2B4311" w14:textId="6A48149E"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i/>
                <w:sz w:val="22"/>
                <w:szCs w:val="22"/>
                <w:lang w:val="sr-Latn-ME"/>
              </w:rPr>
              <w:t>rijetk</w:t>
            </w:r>
            <w:r w:rsidR="00BA60C3" w:rsidRPr="00F334AF">
              <w:rPr>
                <w:i/>
                <w:sz w:val="22"/>
                <w:szCs w:val="22"/>
                <w:lang w:val="sr-Latn-ME"/>
              </w:rPr>
              <w:t>o</w:t>
            </w:r>
          </w:p>
        </w:tc>
      </w:tr>
      <w:tr w:rsidR="00E310B2" w:rsidRPr="00F334AF" w14:paraId="749C3C32" w14:textId="77777777" w:rsidTr="0034729B">
        <w:trPr>
          <w:trHeight w:val="421"/>
        </w:trPr>
        <w:tc>
          <w:tcPr>
            <w:tcW w:w="2749" w:type="dxa"/>
            <w:tcBorders>
              <w:top w:val="single" w:sz="8" w:space="0" w:color="000000"/>
              <w:bottom w:val="single" w:sz="8" w:space="0" w:color="000000"/>
              <w:right w:val="single" w:sz="8" w:space="0" w:color="000000"/>
            </w:tcBorders>
          </w:tcPr>
          <w:p w14:paraId="40C18B63" w14:textId="7B4497DC"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b/>
                <w:i/>
                <w:sz w:val="22"/>
                <w:szCs w:val="22"/>
                <w:lang w:val="sr-Latn-ME"/>
              </w:rPr>
              <w:t xml:space="preserve">Poremećaji uha i </w:t>
            </w:r>
            <w:r w:rsidR="00640EF7" w:rsidRPr="00F334AF">
              <w:rPr>
                <w:b/>
                <w:i/>
                <w:sz w:val="22"/>
                <w:szCs w:val="22"/>
                <w:lang w:val="sr-Latn-ME"/>
              </w:rPr>
              <w:t>labirinta</w:t>
            </w:r>
            <w:r w:rsidRPr="00F334AF">
              <w:rPr>
                <w:b/>
                <w:i/>
                <w:sz w:val="22"/>
                <w:szCs w:val="22"/>
                <w:lang w:val="sr-Latn-ME"/>
              </w:rPr>
              <w:t>:</w:t>
            </w:r>
          </w:p>
        </w:tc>
        <w:tc>
          <w:tcPr>
            <w:tcW w:w="3577" w:type="dxa"/>
            <w:tcBorders>
              <w:top w:val="single" w:sz="8" w:space="0" w:color="000000"/>
              <w:left w:val="single" w:sz="8" w:space="0" w:color="000000"/>
              <w:bottom w:val="single" w:sz="8" w:space="0" w:color="000000"/>
              <w:right w:val="single" w:sz="8" w:space="0" w:color="000000"/>
            </w:tcBorders>
          </w:tcPr>
          <w:p w14:paraId="5C0D3492"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sz w:val="22"/>
                <w:szCs w:val="22"/>
                <w:lang w:val="sr-Latn-ME"/>
              </w:rPr>
              <w:t>tinitus</w:t>
            </w:r>
          </w:p>
        </w:tc>
        <w:tc>
          <w:tcPr>
            <w:tcW w:w="2268" w:type="dxa"/>
            <w:tcBorders>
              <w:top w:val="single" w:sz="8" w:space="0" w:color="000000"/>
              <w:left w:val="single" w:sz="8" w:space="0" w:color="000000"/>
              <w:bottom w:val="single" w:sz="4" w:space="0" w:color="auto"/>
            </w:tcBorders>
          </w:tcPr>
          <w:p w14:paraId="01A6BC8E" w14:textId="1182D048"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i/>
                <w:sz w:val="22"/>
                <w:szCs w:val="22"/>
                <w:lang w:val="sr-Latn-ME"/>
              </w:rPr>
              <w:t>rijetk</w:t>
            </w:r>
            <w:r w:rsidR="00BA60C3" w:rsidRPr="00F334AF">
              <w:rPr>
                <w:i/>
                <w:sz w:val="22"/>
                <w:szCs w:val="22"/>
                <w:lang w:val="sr-Latn-ME"/>
              </w:rPr>
              <w:t>o</w:t>
            </w:r>
          </w:p>
        </w:tc>
      </w:tr>
      <w:tr w:rsidR="00E310B2" w:rsidRPr="00F334AF" w14:paraId="2209E350" w14:textId="77777777" w:rsidTr="0034729B">
        <w:trPr>
          <w:trHeight w:val="878"/>
        </w:trPr>
        <w:tc>
          <w:tcPr>
            <w:tcW w:w="2749" w:type="dxa"/>
            <w:vMerge w:val="restart"/>
            <w:tcBorders>
              <w:top w:val="single" w:sz="8" w:space="0" w:color="000000"/>
              <w:right w:val="single" w:sz="8" w:space="0" w:color="000000"/>
            </w:tcBorders>
          </w:tcPr>
          <w:p w14:paraId="28BE353D"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b/>
                <w:i/>
                <w:sz w:val="22"/>
                <w:szCs w:val="22"/>
                <w:lang w:val="sr-Latn-ME"/>
              </w:rPr>
              <w:t>Kardiološki poremećaji:</w:t>
            </w:r>
          </w:p>
        </w:tc>
        <w:tc>
          <w:tcPr>
            <w:tcW w:w="3577" w:type="dxa"/>
            <w:tcBorders>
              <w:top w:val="single" w:sz="8" w:space="0" w:color="000000"/>
              <w:left w:val="single" w:sz="8" w:space="0" w:color="000000"/>
              <w:bottom w:val="single" w:sz="8" w:space="0" w:color="000000"/>
              <w:right w:val="single" w:sz="4" w:space="0" w:color="auto"/>
            </w:tcBorders>
          </w:tcPr>
          <w:p w14:paraId="240D39E8"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sz w:val="22"/>
                <w:szCs w:val="22"/>
                <w:lang w:val="sr-Latn-ME"/>
              </w:rPr>
              <w:t>palpitacije</w:t>
            </w:r>
          </w:p>
        </w:tc>
        <w:tc>
          <w:tcPr>
            <w:tcW w:w="2268" w:type="dxa"/>
            <w:tcBorders>
              <w:top w:val="single" w:sz="4" w:space="0" w:color="auto"/>
              <w:left w:val="single" w:sz="4" w:space="0" w:color="auto"/>
              <w:bottom w:val="single" w:sz="4" w:space="0" w:color="auto"/>
              <w:right w:val="single" w:sz="4" w:space="0" w:color="auto"/>
            </w:tcBorders>
          </w:tcPr>
          <w:p w14:paraId="2A733D78" w14:textId="627D0949"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i/>
                <w:sz w:val="22"/>
                <w:szCs w:val="22"/>
                <w:lang w:val="sr-Latn-ME"/>
              </w:rPr>
              <w:t>povremen</w:t>
            </w:r>
            <w:r w:rsidR="00640EF7" w:rsidRPr="00F334AF">
              <w:rPr>
                <w:i/>
                <w:sz w:val="22"/>
                <w:szCs w:val="22"/>
                <w:lang w:val="sr-Latn-ME"/>
              </w:rPr>
              <w:t>o</w:t>
            </w:r>
          </w:p>
        </w:tc>
      </w:tr>
      <w:tr w:rsidR="00E310B2" w:rsidRPr="00F334AF" w14:paraId="7DCE049C" w14:textId="77777777" w:rsidTr="0034729B">
        <w:trPr>
          <w:trHeight w:val="877"/>
        </w:trPr>
        <w:tc>
          <w:tcPr>
            <w:tcW w:w="2749" w:type="dxa"/>
            <w:vMerge/>
            <w:tcBorders>
              <w:bottom w:val="single" w:sz="8" w:space="0" w:color="000000"/>
              <w:right w:val="single" w:sz="8" w:space="0" w:color="000000"/>
            </w:tcBorders>
          </w:tcPr>
          <w:p w14:paraId="706228CF" w14:textId="77777777" w:rsidR="00E310B2" w:rsidRPr="00F334AF" w:rsidRDefault="00E310B2" w:rsidP="0034729B">
            <w:pPr>
              <w:autoSpaceDE w:val="0"/>
              <w:autoSpaceDN w:val="0"/>
              <w:adjustRightInd w:val="0"/>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00C4889C" w14:textId="77777777" w:rsidR="00E310B2" w:rsidRPr="00F334AF" w:rsidRDefault="00E310B2" w:rsidP="00AD0754">
            <w:pPr>
              <w:autoSpaceDE w:val="0"/>
              <w:autoSpaceDN w:val="0"/>
              <w:adjustRightInd w:val="0"/>
              <w:rPr>
                <w:sz w:val="22"/>
                <w:szCs w:val="22"/>
                <w:lang w:val="sr-Latn-ME"/>
              </w:rPr>
            </w:pPr>
            <w:r w:rsidRPr="00F334AF">
              <w:rPr>
                <w:sz w:val="22"/>
                <w:szCs w:val="22"/>
                <w:lang w:val="sr-Latn-ME"/>
              </w:rPr>
              <w:t>bradikardija, kardiovaskularni poremećaji</w:t>
            </w:r>
          </w:p>
        </w:tc>
        <w:tc>
          <w:tcPr>
            <w:tcW w:w="2268" w:type="dxa"/>
            <w:tcBorders>
              <w:top w:val="single" w:sz="4" w:space="0" w:color="auto"/>
              <w:left w:val="single" w:sz="4" w:space="0" w:color="auto"/>
              <w:bottom w:val="single" w:sz="4" w:space="0" w:color="auto"/>
              <w:right w:val="single" w:sz="4" w:space="0" w:color="auto"/>
            </w:tcBorders>
          </w:tcPr>
          <w:p w14:paraId="0EB98272" w14:textId="56FEDD69" w:rsidR="00E310B2" w:rsidRPr="00F334AF" w:rsidRDefault="00640EF7" w:rsidP="0034729B">
            <w:pPr>
              <w:autoSpaceDE w:val="0"/>
              <w:autoSpaceDN w:val="0"/>
              <w:adjustRightInd w:val="0"/>
              <w:jc w:val="both"/>
              <w:rPr>
                <w:i/>
                <w:sz w:val="22"/>
                <w:szCs w:val="22"/>
                <w:lang w:val="sr-Latn-ME"/>
              </w:rPr>
            </w:pPr>
            <w:r w:rsidRPr="00F334AF">
              <w:rPr>
                <w:i/>
                <w:sz w:val="22"/>
                <w:szCs w:val="22"/>
                <w:lang w:val="sr-Latn-ME"/>
              </w:rPr>
              <w:t>r</w:t>
            </w:r>
            <w:r w:rsidR="00E310B2" w:rsidRPr="00F334AF">
              <w:rPr>
                <w:i/>
                <w:sz w:val="22"/>
                <w:szCs w:val="22"/>
                <w:lang w:val="sr-Latn-ME"/>
              </w:rPr>
              <w:t>ijetk</w:t>
            </w:r>
            <w:r w:rsidRPr="00F334AF">
              <w:rPr>
                <w:i/>
                <w:sz w:val="22"/>
                <w:szCs w:val="22"/>
                <w:lang w:val="sr-Latn-ME"/>
              </w:rPr>
              <w:t>o</w:t>
            </w:r>
          </w:p>
        </w:tc>
      </w:tr>
      <w:tr w:rsidR="00E310B2" w:rsidRPr="00F334AF" w14:paraId="5F4D7649" w14:textId="77777777" w:rsidTr="0034729B">
        <w:trPr>
          <w:trHeight w:val="282"/>
        </w:trPr>
        <w:tc>
          <w:tcPr>
            <w:tcW w:w="2749" w:type="dxa"/>
            <w:tcBorders>
              <w:top w:val="single" w:sz="8" w:space="0" w:color="000000"/>
              <w:bottom w:val="single" w:sz="8" w:space="0" w:color="000000"/>
              <w:right w:val="single" w:sz="8" w:space="0" w:color="000000"/>
            </w:tcBorders>
          </w:tcPr>
          <w:p w14:paraId="6393DF06" w14:textId="77777777" w:rsidR="00E310B2" w:rsidRPr="00F334AF" w:rsidRDefault="00E310B2" w:rsidP="0034729B">
            <w:pPr>
              <w:autoSpaceDE w:val="0"/>
              <w:autoSpaceDN w:val="0"/>
              <w:adjustRightInd w:val="0"/>
              <w:jc w:val="both"/>
              <w:rPr>
                <w:rFonts w:eastAsia="MS Mincho"/>
                <w:i/>
                <w:color w:val="000000"/>
                <w:sz w:val="22"/>
                <w:szCs w:val="22"/>
                <w:lang w:val="sr-Latn-ME" w:eastAsia="ja-JP"/>
              </w:rPr>
            </w:pPr>
            <w:r w:rsidRPr="00F334AF">
              <w:rPr>
                <w:b/>
                <w:i/>
                <w:sz w:val="22"/>
                <w:szCs w:val="22"/>
                <w:lang w:val="sr-Latn-ME"/>
              </w:rPr>
              <w:t>Vaskularni poremećaji:</w:t>
            </w:r>
          </w:p>
        </w:tc>
        <w:tc>
          <w:tcPr>
            <w:tcW w:w="3577" w:type="dxa"/>
            <w:tcBorders>
              <w:top w:val="single" w:sz="8" w:space="0" w:color="000000"/>
              <w:left w:val="single" w:sz="8" w:space="0" w:color="000000"/>
              <w:bottom w:val="single" w:sz="8" w:space="0" w:color="000000"/>
              <w:right w:val="single" w:sz="8" w:space="0" w:color="000000"/>
            </w:tcBorders>
          </w:tcPr>
          <w:p w14:paraId="3ADFE5A3"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sz w:val="22"/>
                <w:szCs w:val="22"/>
                <w:lang w:val="sr-Latn-ME"/>
              </w:rPr>
              <w:t>navale vrućine/crvenilo uz osjećaj vrućine</w:t>
            </w:r>
          </w:p>
        </w:tc>
        <w:tc>
          <w:tcPr>
            <w:tcW w:w="2268" w:type="dxa"/>
            <w:tcBorders>
              <w:top w:val="single" w:sz="4" w:space="0" w:color="auto"/>
              <w:left w:val="single" w:sz="8" w:space="0" w:color="000000"/>
              <w:bottom w:val="single" w:sz="4" w:space="0" w:color="auto"/>
            </w:tcBorders>
          </w:tcPr>
          <w:p w14:paraId="3A796CBE" w14:textId="0A80E415"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i/>
                <w:sz w:val="22"/>
                <w:szCs w:val="22"/>
                <w:lang w:val="sr-Latn-ME"/>
              </w:rPr>
              <w:t>povremen</w:t>
            </w:r>
            <w:r w:rsidR="00640EF7" w:rsidRPr="00F334AF">
              <w:rPr>
                <w:i/>
                <w:sz w:val="22"/>
                <w:szCs w:val="22"/>
                <w:lang w:val="sr-Latn-ME"/>
              </w:rPr>
              <w:t>o</w:t>
            </w:r>
          </w:p>
        </w:tc>
      </w:tr>
      <w:tr w:rsidR="00E310B2" w:rsidRPr="00F334AF" w14:paraId="052AB33B" w14:textId="77777777" w:rsidTr="0034729B">
        <w:trPr>
          <w:trHeight w:val="630"/>
        </w:trPr>
        <w:tc>
          <w:tcPr>
            <w:tcW w:w="2749" w:type="dxa"/>
            <w:vMerge w:val="restart"/>
            <w:tcBorders>
              <w:top w:val="single" w:sz="8" w:space="0" w:color="000000"/>
              <w:right w:val="single" w:sz="8" w:space="0" w:color="000000"/>
            </w:tcBorders>
          </w:tcPr>
          <w:p w14:paraId="39BFB060"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b/>
                <w:i/>
                <w:sz w:val="22"/>
                <w:szCs w:val="22"/>
                <w:lang w:val="sr-Latn-ME"/>
              </w:rPr>
              <w:t>Respiratorni, torakalni i medijastinalni poremećaji:</w:t>
            </w:r>
          </w:p>
        </w:tc>
        <w:tc>
          <w:tcPr>
            <w:tcW w:w="3577" w:type="dxa"/>
            <w:tcBorders>
              <w:top w:val="single" w:sz="8" w:space="0" w:color="000000"/>
              <w:left w:val="single" w:sz="8" w:space="0" w:color="000000"/>
              <w:bottom w:val="single" w:sz="8" w:space="0" w:color="000000"/>
              <w:right w:val="single" w:sz="4" w:space="0" w:color="auto"/>
            </w:tcBorders>
          </w:tcPr>
          <w:p w14:paraId="09DE3542" w14:textId="77777777"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 xml:space="preserve">štucanje </w:t>
            </w:r>
          </w:p>
          <w:p w14:paraId="2CADEB69" w14:textId="77777777" w:rsidR="00E310B2" w:rsidRPr="00F334AF" w:rsidRDefault="00E310B2" w:rsidP="0034729B">
            <w:pPr>
              <w:autoSpaceDE w:val="0"/>
              <w:autoSpaceDN w:val="0"/>
              <w:adjustRightInd w:val="0"/>
              <w:jc w:val="both"/>
              <w:rPr>
                <w:sz w:val="22"/>
                <w:szCs w:val="22"/>
                <w:lang w:val="sr-Latn-ME"/>
              </w:rPr>
            </w:pPr>
          </w:p>
          <w:p w14:paraId="272CEB18"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p>
        </w:tc>
        <w:tc>
          <w:tcPr>
            <w:tcW w:w="2268" w:type="dxa"/>
            <w:tcBorders>
              <w:top w:val="single" w:sz="4" w:space="0" w:color="auto"/>
              <w:left w:val="single" w:sz="4" w:space="0" w:color="auto"/>
              <w:bottom w:val="single" w:sz="4" w:space="0" w:color="auto"/>
              <w:right w:val="single" w:sz="4" w:space="0" w:color="auto"/>
            </w:tcBorders>
          </w:tcPr>
          <w:p w14:paraId="0143CA4B" w14:textId="4E5BCD4C" w:rsidR="00E310B2" w:rsidRPr="00F334AF" w:rsidRDefault="00640EF7" w:rsidP="0034729B">
            <w:pPr>
              <w:autoSpaceDE w:val="0"/>
              <w:autoSpaceDN w:val="0"/>
              <w:adjustRightInd w:val="0"/>
              <w:jc w:val="both"/>
              <w:rPr>
                <w:i/>
                <w:sz w:val="22"/>
                <w:szCs w:val="22"/>
                <w:lang w:val="sr-Latn-ME"/>
              </w:rPr>
            </w:pPr>
            <w:r w:rsidRPr="00F334AF">
              <w:rPr>
                <w:i/>
                <w:sz w:val="22"/>
                <w:szCs w:val="22"/>
                <w:lang w:val="sr-Latn-ME"/>
              </w:rPr>
              <w:t>č</w:t>
            </w:r>
            <w:r w:rsidR="00E310B2" w:rsidRPr="00F334AF">
              <w:rPr>
                <w:i/>
                <w:sz w:val="22"/>
                <w:szCs w:val="22"/>
                <w:lang w:val="sr-Latn-ME"/>
              </w:rPr>
              <w:t>est</w:t>
            </w:r>
            <w:r w:rsidRPr="00F334AF">
              <w:rPr>
                <w:i/>
                <w:sz w:val="22"/>
                <w:szCs w:val="22"/>
                <w:lang w:val="sr-Latn-ME"/>
              </w:rPr>
              <w:t>o</w:t>
            </w:r>
          </w:p>
          <w:p w14:paraId="20B4592B" w14:textId="77777777" w:rsidR="00E310B2" w:rsidRPr="00F334AF" w:rsidRDefault="00E310B2" w:rsidP="0034729B">
            <w:pPr>
              <w:autoSpaceDE w:val="0"/>
              <w:autoSpaceDN w:val="0"/>
              <w:adjustRightInd w:val="0"/>
              <w:jc w:val="both"/>
              <w:rPr>
                <w:i/>
                <w:sz w:val="22"/>
                <w:szCs w:val="22"/>
                <w:lang w:val="sr-Latn-ME"/>
              </w:rPr>
            </w:pPr>
          </w:p>
          <w:p w14:paraId="41CD89C2"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p>
        </w:tc>
      </w:tr>
      <w:tr w:rsidR="00E310B2" w:rsidRPr="00F334AF" w14:paraId="5AD244D6" w14:textId="77777777" w:rsidTr="0034729B">
        <w:trPr>
          <w:trHeight w:val="630"/>
        </w:trPr>
        <w:tc>
          <w:tcPr>
            <w:tcW w:w="2749" w:type="dxa"/>
            <w:vMerge/>
            <w:tcBorders>
              <w:bottom w:val="single" w:sz="8" w:space="0" w:color="000000"/>
              <w:right w:val="single" w:sz="8" w:space="0" w:color="000000"/>
            </w:tcBorders>
          </w:tcPr>
          <w:p w14:paraId="522A8ED6" w14:textId="77777777" w:rsidR="00E310B2" w:rsidRPr="00F334AF" w:rsidRDefault="00E310B2" w:rsidP="0034729B">
            <w:pPr>
              <w:autoSpaceDE w:val="0"/>
              <w:autoSpaceDN w:val="0"/>
              <w:adjustRightInd w:val="0"/>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45B68E9E" w14:textId="32DFC450" w:rsidR="00E310B2" w:rsidRPr="00F334AF" w:rsidRDefault="00640EF7" w:rsidP="0034729B">
            <w:pPr>
              <w:autoSpaceDE w:val="0"/>
              <w:autoSpaceDN w:val="0"/>
              <w:adjustRightInd w:val="0"/>
              <w:jc w:val="both"/>
              <w:rPr>
                <w:sz w:val="22"/>
                <w:szCs w:val="22"/>
                <w:lang w:val="sr-Latn-ME"/>
              </w:rPr>
            </w:pPr>
            <w:r w:rsidRPr="00F334AF">
              <w:rPr>
                <w:sz w:val="22"/>
                <w:szCs w:val="22"/>
                <w:lang w:val="sr-Latn-ME"/>
              </w:rPr>
              <w:t>orofaringealni bol</w:t>
            </w:r>
            <w:r w:rsidR="00E310B2" w:rsidRPr="00F334AF">
              <w:rPr>
                <w:sz w:val="22"/>
                <w:szCs w:val="22"/>
                <w:lang w:val="sr-Latn-ME"/>
              </w:rPr>
              <w:t>, kijanje, kašalj, sekrecija iz nosa u grlo, nadraženo grlo</w:t>
            </w:r>
          </w:p>
        </w:tc>
        <w:tc>
          <w:tcPr>
            <w:tcW w:w="2268" w:type="dxa"/>
            <w:tcBorders>
              <w:top w:val="single" w:sz="4" w:space="0" w:color="auto"/>
              <w:left w:val="single" w:sz="4" w:space="0" w:color="auto"/>
              <w:bottom w:val="single" w:sz="4" w:space="0" w:color="auto"/>
              <w:right w:val="single" w:sz="4" w:space="0" w:color="auto"/>
            </w:tcBorders>
          </w:tcPr>
          <w:p w14:paraId="078A2C4D" w14:textId="4D7AF386"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rijetk</w:t>
            </w:r>
            <w:r w:rsidR="00640EF7" w:rsidRPr="00F334AF">
              <w:rPr>
                <w:i/>
                <w:sz w:val="22"/>
                <w:szCs w:val="22"/>
                <w:lang w:val="sr-Latn-ME"/>
              </w:rPr>
              <w:t>o</w:t>
            </w:r>
          </w:p>
        </w:tc>
      </w:tr>
      <w:tr w:rsidR="00E310B2" w:rsidRPr="00F334AF" w14:paraId="62BDCCE4" w14:textId="77777777" w:rsidTr="0034729B">
        <w:trPr>
          <w:trHeight w:val="1180"/>
        </w:trPr>
        <w:tc>
          <w:tcPr>
            <w:tcW w:w="2749" w:type="dxa"/>
            <w:vMerge w:val="restart"/>
            <w:tcBorders>
              <w:top w:val="single" w:sz="8" w:space="0" w:color="000000"/>
              <w:right w:val="single" w:sz="8" w:space="0" w:color="000000"/>
            </w:tcBorders>
          </w:tcPr>
          <w:p w14:paraId="4FA7AECB"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b/>
                <w:i/>
                <w:sz w:val="22"/>
                <w:szCs w:val="22"/>
                <w:lang w:val="sr-Latn-ME"/>
              </w:rPr>
              <w:t>Gastrointestinalni poremećaji:</w:t>
            </w:r>
          </w:p>
        </w:tc>
        <w:tc>
          <w:tcPr>
            <w:tcW w:w="3577" w:type="dxa"/>
            <w:tcBorders>
              <w:top w:val="single" w:sz="8" w:space="0" w:color="000000"/>
              <w:left w:val="single" w:sz="8" w:space="0" w:color="000000"/>
              <w:bottom w:val="single" w:sz="8" w:space="0" w:color="000000"/>
              <w:right w:val="single" w:sz="4" w:space="0" w:color="auto"/>
            </w:tcBorders>
          </w:tcPr>
          <w:p w14:paraId="6EE96E8C"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sz w:val="22"/>
                <w:szCs w:val="22"/>
                <w:lang w:val="sr-Latn-ME"/>
              </w:rPr>
              <w:t>konstipacija, dispepsija,</w:t>
            </w:r>
          </w:p>
        </w:tc>
        <w:tc>
          <w:tcPr>
            <w:tcW w:w="2268" w:type="dxa"/>
            <w:tcBorders>
              <w:top w:val="single" w:sz="4" w:space="0" w:color="auto"/>
              <w:left w:val="single" w:sz="4" w:space="0" w:color="auto"/>
              <w:bottom w:val="single" w:sz="4" w:space="0" w:color="auto"/>
              <w:right w:val="single" w:sz="4" w:space="0" w:color="auto"/>
            </w:tcBorders>
          </w:tcPr>
          <w:p w14:paraId="0C42D1AC" w14:textId="00DD39F2"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čest</w:t>
            </w:r>
            <w:r w:rsidR="00640EF7" w:rsidRPr="00F334AF">
              <w:rPr>
                <w:i/>
                <w:sz w:val="22"/>
                <w:szCs w:val="22"/>
                <w:lang w:val="sr-Latn-ME"/>
              </w:rPr>
              <w:t>o</w:t>
            </w:r>
          </w:p>
          <w:p w14:paraId="7A725AAB" w14:textId="77777777" w:rsidR="00E310B2" w:rsidRPr="00F334AF" w:rsidRDefault="00E310B2" w:rsidP="0034729B">
            <w:pPr>
              <w:autoSpaceDE w:val="0"/>
              <w:autoSpaceDN w:val="0"/>
              <w:adjustRightInd w:val="0"/>
              <w:jc w:val="both"/>
              <w:rPr>
                <w:i/>
                <w:sz w:val="22"/>
                <w:szCs w:val="22"/>
                <w:lang w:val="sr-Latn-ME"/>
              </w:rPr>
            </w:pPr>
          </w:p>
          <w:p w14:paraId="100D5240" w14:textId="77777777" w:rsidR="00E310B2" w:rsidRPr="00F334AF" w:rsidRDefault="00E310B2" w:rsidP="0034729B">
            <w:pPr>
              <w:autoSpaceDE w:val="0"/>
              <w:autoSpaceDN w:val="0"/>
              <w:adjustRightInd w:val="0"/>
              <w:jc w:val="both"/>
              <w:rPr>
                <w:i/>
                <w:sz w:val="22"/>
                <w:szCs w:val="22"/>
                <w:lang w:val="sr-Latn-ME"/>
              </w:rPr>
            </w:pPr>
          </w:p>
          <w:p w14:paraId="6A192C1A"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p>
        </w:tc>
      </w:tr>
      <w:tr w:rsidR="00E310B2" w:rsidRPr="00F334AF" w14:paraId="0EDA4803" w14:textId="77777777" w:rsidTr="0034729B">
        <w:trPr>
          <w:trHeight w:val="1180"/>
        </w:trPr>
        <w:tc>
          <w:tcPr>
            <w:tcW w:w="2749" w:type="dxa"/>
            <w:vMerge/>
            <w:tcBorders>
              <w:right w:val="single" w:sz="8" w:space="0" w:color="000000"/>
            </w:tcBorders>
          </w:tcPr>
          <w:p w14:paraId="266A32CD" w14:textId="77777777" w:rsidR="00E310B2" w:rsidRPr="00F334AF" w:rsidRDefault="00E310B2" w:rsidP="0034729B">
            <w:pPr>
              <w:autoSpaceDE w:val="0"/>
              <w:autoSpaceDN w:val="0"/>
              <w:adjustRightInd w:val="0"/>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532BB27F" w14:textId="4204995C"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podrigivanje, mučnina</w:t>
            </w:r>
            <w:r w:rsidRPr="00F334AF">
              <w:rPr>
                <w:sz w:val="22"/>
                <w:szCs w:val="22"/>
                <w:vertAlign w:val="superscript"/>
                <w:lang w:val="sr-Latn-ME" w:eastAsia="nl-NL"/>
              </w:rPr>
              <w:t>†</w:t>
            </w:r>
            <w:r w:rsidRPr="00F334AF">
              <w:rPr>
                <w:sz w:val="22"/>
                <w:szCs w:val="22"/>
                <w:lang w:val="sr-Latn-ME"/>
              </w:rPr>
              <w:t>, povraćanje</w:t>
            </w:r>
            <w:r w:rsidRPr="00F334AF">
              <w:rPr>
                <w:sz w:val="22"/>
                <w:szCs w:val="22"/>
                <w:vertAlign w:val="superscript"/>
                <w:lang w:val="sr-Latn-ME" w:eastAsia="nl-NL"/>
              </w:rPr>
              <w:t>†</w:t>
            </w:r>
            <w:r w:rsidRPr="00F334AF">
              <w:rPr>
                <w:sz w:val="22"/>
                <w:szCs w:val="22"/>
                <w:lang w:val="sr-Latn-ME"/>
              </w:rPr>
              <w:t xml:space="preserve">, gastroezofagealna refluksna bolest, bol u abdomenu, suva usta, </w:t>
            </w:r>
            <w:r w:rsidR="00640EF7" w:rsidRPr="00F334AF">
              <w:rPr>
                <w:sz w:val="22"/>
                <w:szCs w:val="22"/>
                <w:lang w:val="sr-Latn-ME"/>
              </w:rPr>
              <w:t>flatulencija</w:t>
            </w:r>
          </w:p>
        </w:tc>
        <w:tc>
          <w:tcPr>
            <w:tcW w:w="2268" w:type="dxa"/>
            <w:tcBorders>
              <w:top w:val="single" w:sz="4" w:space="0" w:color="auto"/>
              <w:left w:val="single" w:sz="4" w:space="0" w:color="auto"/>
              <w:bottom w:val="single" w:sz="4" w:space="0" w:color="auto"/>
              <w:right w:val="single" w:sz="4" w:space="0" w:color="auto"/>
            </w:tcBorders>
          </w:tcPr>
          <w:p w14:paraId="4E6B8BAD" w14:textId="457C2ADA"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povremen</w:t>
            </w:r>
            <w:r w:rsidR="00640EF7" w:rsidRPr="00F334AF">
              <w:rPr>
                <w:i/>
                <w:sz w:val="22"/>
                <w:szCs w:val="22"/>
                <w:lang w:val="sr-Latn-ME"/>
              </w:rPr>
              <w:t>o</w:t>
            </w:r>
          </w:p>
        </w:tc>
      </w:tr>
      <w:tr w:rsidR="00E310B2" w:rsidRPr="00F334AF" w14:paraId="6E0B17E6" w14:textId="77777777" w:rsidTr="0034729B">
        <w:trPr>
          <w:trHeight w:val="966"/>
        </w:trPr>
        <w:tc>
          <w:tcPr>
            <w:tcW w:w="2749" w:type="dxa"/>
            <w:vMerge/>
            <w:tcBorders>
              <w:bottom w:val="single" w:sz="8" w:space="0" w:color="000000"/>
              <w:right w:val="single" w:sz="8" w:space="0" w:color="000000"/>
            </w:tcBorders>
          </w:tcPr>
          <w:p w14:paraId="67095E99" w14:textId="77777777" w:rsidR="00E310B2" w:rsidRPr="00F334AF" w:rsidRDefault="00E310B2" w:rsidP="0034729B">
            <w:pPr>
              <w:autoSpaceDE w:val="0"/>
              <w:autoSpaceDN w:val="0"/>
              <w:adjustRightInd w:val="0"/>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6D7F06AB" w14:textId="4784B6A0"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 xml:space="preserve">perforacija duodenalnog ulkusa, stomatitis, </w:t>
            </w:r>
            <w:r w:rsidR="00640EF7" w:rsidRPr="00F334AF">
              <w:rPr>
                <w:sz w:val="22"/>
                <w:szCs w:val="22"/>
                <w:lang w:val="sr-Latn-ME"/>
              </w:rPr>
              <w:t>abdominalna distenzija</w:t>
            </w:r>
            <w:r w:rsidRPr="00F334AF">
              <w:rPr>
                <w:sz w:val="22"/>
                <w:szCs w:val="22"/>
                <w:lang w:val="sr-Latn-ME"/>
              </w:rPr>
              <w:t>, tvrda stolica, neutropenijski kolitis</w:t>
            </w:r>
          </w:p>
        </w:tc>
        <w:tc>
          <w:tcPr>
            <w:tcW w:w="2268" w:type="dxa"/>
            <w:tcBorders>
              <w:top w:val="single" w:sz="4" w:space="0" w:color="auto"/>
              <w:left w:val="single" w:sz="4" w:space="0" w:color="auto"/>
              <w:bottom w:val="single" w:sz="4" w:space="0" w:color="auto"/>
              <w:right w:val="single" w:sz="4" w:space="0" w:color="auto"/>
            </w:tcBorders>
          </w:tcPr>
          <w:p w14:paraId="3D2FCE53" w14:textId="495EF243"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rijetk</w:t>
            </w:r>
            <w:r w:rsidR="00640EF7" w:rsidRPr="00F334AF">
              <w:rPr>
                <w:i/>
                <w:sz w:val="22"/>
                <w:szCs w:val="22"/>
                <w:lang w:val="sr-Latn-ME"/>
              </w:rPr>
              <w:t>o</w:t>
            </w:r>
          </w:p>
        </w:tc>
      </w:tr>
      <w:tr w:rsidR="00E310B2" w:rsidRPr="00F334AF" w14:paraId="213F81AA" w14:textId="77777777" w:rsidTr="0034729B">
        <w:trPr>
          <w:trHeight w:val="335"/>
        </w:trPr>
        <w:tc>
          <w:tcPr>
            <w:tcW w:w="2749" w:type="dxa"/>
            <w:vMerge w:val="restart"/>
            <w:tcBorders>
              <w:top w:val="single" w:sz="8" w:space="0" w:color="000000"/>
              <w:right w:val="single" w:sz="8" w:space="0" w:color="000000"/>
            </w:tcBorders>
          </w:tcPr>
          <w:p w14:paraId="3AA0B2EA" w14:textId="1D668A5F"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b/>
                <w:i/>
                <w:sz w:val="22"/>
                <w:szCs w:val="22"/>
                <w:lang w:val="sr-Latn-ME"/>
              </w:rPr>
              <w:t>Poremećaj</w:t>
            </w:r>
            <w:r w:rsidR="00AD0754" w:rsidRPr="00F334AF">
              <w:rPr>
                <w:b/>
                <w:i/>
                <w:sz w:val="22"/>
                <w:szCs w:val="22"/>
                <w:lang w:val="sr-Latn-ME"/>
              </w:rPr>
              <w:t xml:space="preserve">i </w:t>
            </w:r>
            <w:r w:rsidRPr="00F334AF">
              <w:rPr>
                <w:b/>
                <w:i/>
                <w:sz w:val="22"/>
                <w:szCs w:val="22"/>
                <w:lang w:val="sr-Latn-ME"/>
              </w:rPr>
              <w:t>kože i potkožnog tkiva:</w:t>
            </w:r>
          </w:p>
        </w:tc>
        <w:tc>
          <w:tcPr>
            <w:tcW w:w="3577" w:type="dxa"/>
            <w:tcBorders>
              <w:top w:val="single" w:sz="8" w:space="0" w:color="000000"/>
              <w:left w:val="single" w:sz="8" w:space="0" w:color="000000"/>
              <w:bottom w:val="single" w:sz="8" w:space="0" w:color="000000"/>
              <w:right w:val="single" w:sz="4" w:space="0" w:color="auto"/>
            </w:tcBorders>
          </w:tcPr>
          <w:p w14:paraId="41FC8543" w14:textId="77777777"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osip, akne</w:t>
            </w:r>
          </w:p>
          <w:p w14:paraId="0F913568"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p>
        </w:tc>
        <w:tc>
          <w:tcPr>
            <w:tcW w:w="2268" w:type="dxa"/>
            <w:tcBorders>
              <w:top w:val="single" w:sz="4" w:space="0" w:color="auto"/>
              <w:left w:val="single" w:sz="4" w:space="0" w:color="auto"/>
              <w:bottom w:val="single" w:sz="4" w:space="0" w:color="auto"/>
              <w:right w:val="single" w:sz="4" w:space="0" w:color="auto"/>
            </w:tcBorders>
          </w:tcPr>
          <w:p w14:paraId="50BA96FE" w14:textId="01D72E3D"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i/>
                <w:sz w:val="22"/>
                <w:szCs w:val="22"/>
                <w:lang w:val="sr-Latn-ME"/>
              </w:rPr>
              <w:t>povremen</w:t>
            </w:r>
            <w:r w:rsidR="00640EF7" w:rsidRPr="00F334AF">
              <w:rPr>
                <w:i/>
                <w:sz w:val="22"/>
                <w:szCs w:val="22"/>
                <w:lang w:val="sr-Latn-ME"/>
              </w:rPr>
              <w:t>o</w:t>
            </w:r>
          </w:p>
        </w:tc>
      </w:tr>
      <w:tr w:rsidR="00E310B2" w:rsidRPr="00F334AF" w14:paraId="665ADA33" w14:textId="77777777" w:rsidTr="0034729B">
        <w:trPr>
          <w:trHeight w:val="335"/>
        </w:trPr>
        <w:tc>
          <w:tcPr>
            <w:tcW w:w="2749" w:type="dxa"/>
            <w:vMerge/>
            <w:tcBorders>
              <w:right w:val="single" w:sz="8" w:space="0" w:color="000000"/>
            </w:tcBorders>
          </w:tcPr>
          <w:p w14:paraId="1C5E261C" w14:textId="77777777" w:rsidR="00E310B2" w:rsidRPr="00F334AF" w:rsidRDefault="00E310B2" w:rsidP="0034729B">
            <w:pPr>
              <w:autoSpaceDE w:val="0"/>
              <w:autoSpaceDN w:val="0"/>
              <w:adjustRightInd w:val="0"/>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62E8C15C" w14:textId="705770FC"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 xml:space="preserve">fotosenzitivnost, hiperhidroza, masna koža, rane/povrede na koži, </w:t>
            </w:r>
            <w:r w:rsidR="00AD0754" w:rsidRPr="00F334AF">
              <w:rPr>
                <w:sz w:val="22"/>
                <w:szCs w:val="22"/>
                <w:lang w:val="sr-Latn-ME"/>
              </w:rPr>
              <w:t xml:space="preserve">osip koji </w:t>
            </w:r>
            <w:r w:rsidRPr="00F334AF">
              <w:rPr>
                <w:sz w:val="22"/>
                <w:szCs w:val="22"/>
                <w:lang w:val="sr-Latn-ME"/>
              </w:rPr>
              <w:t>svrb</w:t>
            </w:r>
            <w:r w:rsidR="00AD0754" w:rsidRPr="00F334AF">
              <w:rPr>
                <w:sz w:val="22"/>
                <w:szCs w:val="22"/>
                <w:lang w:val="sr-Latn-ME"/>
              </w:rPr>
              <w:t>i</w:t>
            </w:r>
            <w:r w:rsidRPr="00F334AF">
              <w:rPr>
                <w:sz w:val="22"/>
                <w:szCs w:val="22"/>
                <w:lang w:val="sr-Latn-ME"/>
              </w:rPr>
              <w:t xml:space="preserve">, </w:t>
            </w:r>
            <w:r w:rsidR="009F6604" w:rsidRPr="00F334AF">
              <w:rPr>
                <w:sz w:val="22"/>
                <w:szCs w:val="22"/>
                <w:lang w:val="sr-Latn-ME"/>
              </w:rPr>
              <w:t xml:space="preserve">Stevens-Johnson-ov </w:t>
            </w:r>
            <w:r w:rsidRPr="00F334AF">
              <w:rPr>
                <w:sz w:val="22"/>
                <w:szCs w:val="22"/>
                <w:lang w:val="sr-Latn-ME"/>
              </w:rPr>
              <w:t>sindrom/ toksična epidermalna nekroliza</w:t>
            </w:r>
          </w:p>
        </w:tc>
        <w:tc>
          <w:tcPr>
            <w:tcW w:w="2268" w:type="dxa"/>
            <w:tcBorders>
              <w:top w:val="single" w:sz="4" w:space="0" w:color="auto"/>
              <w:left w:val="single" w:sz="4" w:space="0" w:color="auto"/>
              <w:bottom w:val="single" w:sz="4" w:space="0" w:color="auto"/>
              <w:right w:val="single" w:sz="4" w:space="0" w:color="auto"/>
            </w:tcBorders>
          </w:tcPr>
          <w:p w14:paraId="164EC150" w14:textId="65966BA8"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rijetk</w:t>
            </w:r>
            <w:r w:rsidR="00640EF7" w:rsidRPr="00F334AF">
              <w:rPr>
                <w:i/>
                <w:sz w:val="22"/>
                <w:szCs w:val="22"/>
                <w:lang w:val="sr-Latn-ME"/>
              </w:rPr>
              <w:t>o</w:t>
            </w:r>
          </w:p>
        </w:tc>
      </w:tr>
      <w:tr w:rsidR="00E310B2" w:rsidRPr="00F334AF" w14:paraId="7F96CFB8" w14:textId="77777777" w:rsidTr="0034729B">
        <w:trPr>
          <w:trHeight w:val="335"/>
        </w:trPr>
        <w:tc>
          <w:tcPr>
            <w:tcW w:w="2749" w:type="dxa"/>
            <w:vMerge/>
            <w:tcBorders>
              <w:bottom w:val="single" w:sz="8" w:space="0" w:color="000000"/>
              <w:right w:val="single" w:sz="8" w:space="0" w:color="000000"/>
            </w:tcBorders>
          </w:tcPr>
          <w:p w14:paraId="4671C2F3" w14:textId="77777777" w:rsidR="00E310B2" w:rsidRPr="00F334AF" w:rsidRDefault="00E310B2" w:rsidP="0034729B">
            <w:pPr>
              <w:autoSpaceDE w:val="0"/>
              <w:autoSpaceDN w:val="0"/>
              <w:adjustRightInd w:val="0"/>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1550B7C0" w14:textId="77777777"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pruritus, urtikarija</w:t>
            </w:r>
          </w:p>
        </w:tc>
        <w:tc>
          <w:tcPr>
            <w:tcW w:w="2268" w:type="dxa"/>
            <w:tcBorders>
              <w:top w:val="single" w:sz="4" w:space="0" w:color="auto"/>
              <w:left w:val="single" w:sz="4" w:space="0" w:color="auto"/>
              <w:bottom w:val="single" w:sz="4" w:space="0" w:color="auto"/>
              <w:right w:val="single" w:sz="4" w:space="0" w:color="auto"/>
            </w:tcBorders>
          </w:tcPr>
          <w:p w14:paraId="54A60190" w14:textId="42F8624E" w:rsidR="00E310B2" w:rsidRPr="00F334AF" w:rsidRDefault="00970B29" w:rsidP="0034729B">
            <w:pPr>
              <w:autoSpaceDE w:val="0"/>
              <w:autoSpaceDN w:val="0"/>
              <w:adjustRightInd w:val="0"/>
              <w:jc w:val="both"/>
              <w:rPr>
                <w:i/>
                <w:sz w:val="22"/>
                <w:szCs w:val="22"/>
                <w:lang w:val="sr-Latn-ME"/>
              </w:rPr>
            </w:pPr>
            <w:r w:rsidRPr="00F334AF">
              <w:rPr>
                <w:i/>
                <w:sz w:val="22"/>
                <w:szCs w:val="22"/>
                <w:lang w:val="sr-Latn-ME"/>
              </w:rPr>
              <w:t>n</w:t>
            </w:r>
            <w:r w:rsidR="00E310B2" w:rsidRPr="00F334AF">
              <w:rPr>
                <w:i/>
                <w:sz w:val="22"/>
                <w:szCs w:val="22"/>
                <w:lang w:val="sr-Latn-ME"/>
              </w:rPr>
              <w:t>epoznat</w:t>
            </w:r>
            <w:r w:rsidR="00640EF7" w:rsidRPr="00F334AF">
              <w:rPr>
                <w:i/>
                <w:sz w:val="22"/>
                <w:szCs w:val="22"/>
                <w:lang w:val="sr-Latn-ME"/>
              </w:rPr>
              <w:t>o</w:t>
            </w:r>
          </w:p>
        </w:tc>
      </w:tr>
      <w:tr w:rsidR="00E310B2" w:rsidRPr="00F334AF" w14:paraId="17548076" w14:textId="77777777" w:rsidTr="0034729B">
        <w:trPr>
          <w:trHeight w:val="282"/>
        </w:trPr>
        <w:tc>
          <w:tcPr>
            <w:tcW w:w="2749" w:type="dxa"/>
            <w:tcBorders>
              <w:top w:val="single" w:sz="8" w:space="0" w:color="000000"/>
              <w:bottom w:val="single" w:sz="8" w:space="0" w:color="000000"/>
              <w:right w:val="single" w:sz="8" w:space="0" w:color="000000"/>
            </w:tcBorders>
          </w:tcPr>
          <w:p w14:paraId="57ABC0F3" w14:textId="4EA2BB3A"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b/>
                <w:i/>
                <w:sz w:val="22"/>
                <w:szCs w:val="22"/>
                <w:lang w:val="sr-Latn-ME"/>
              </w:rPr>
              <w:t>Poremećaji mišićno-</w:t>
            </w:r>
            <w:r w:rsidR="00AD0754" w:rsidRPr="00F334AF">
              <w:rPr>
                <w:b/>
                <w:i/>
                <w:sz w:val="22"/>
                <w:szCs w:val="22"/>
                <w:lang w:val="sr-Latn-ME"/>
              </w:rPr>
              <w:t>koštanog i</w:t>
            </w:r>
            <w:r w:rsidR="00970B29" w:rsidRPr="00F334AF">
              <w:rPr>
                <w:b/>
                <w:i/>
                <w:sz w:val="22"/>
                <w:szCs w:val="22"/>
                <w:lang w:val="sr-Latn-ME"/>
              </w:rPr>
              <w:t xml:space="preserve"> </w:t>
            </w:r>
            <w:r w:rsidRPr="00F334AF">
              <w:rPr>
                <w:b/>
                <w:i/>
                <w:sz w:val="22"/>
                <w:szCs w:val="22"/>
                <w:lang w:val="sr-Latn-ME"/>
              </w:rPr>
              <w:t>vezivnog:</w:t>
            </w:r>
          </w:p>
        </w:tc>
        <w:tc>
          <w:tcPr>
            <w:tcW w:w="3577" w:type="dxa"/>
            <w:tcBorders>
              <w:top w:val="single" w:sz="8" w:space="0" w:color="000000"/>
              <w:left w:val="single" w:sz="8" w:space="0" w:color="000000"/>
              <w:bottom w:val="single" w:sz="8" w:space="0" w:color="000000"/>
              <w:right w:val="single" w:sz="8" w:space="0" w:color="000000"/>
            </w:tcBorders>
          </w:tcPr>
          <w:p w14:paraId="19269617"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sz w:val="22"/>
                <w:szCs w:val="22"/>
                <w:lang w:val="sr-Latn-ME"/>
              </w:rPr>
              <w:t xml:space="preserve">mišićna slabost, grčevi/stezanja u mišićima </w:t>
            </w:r>
          </w:p>
        </w:tc>
        <w:tc>
          <w:tcPr>
            <w:tcW w:w="2268" w:type="dxa"/>
            <w:tcBorders>
              <w:top w:val="single" w:sz="4" w:space="0" w:color="auto"/>
              <w:left w:val="single" w:sz="8" w:space="0" w:color="000000"/>
              <w:bottom w:val="single" w:sz="4" w:space="0" w:color="auto"/>
            </w:tcBorders>
          </w:tcPr>
          <w:p w14:paraId="7858AD58" w14:textId="77777777" w:rsidR="00E310B2" w:rsidRPr="00F334AF" w:rsidRDefault="00E310B2" w:rsidP="0034729B">
            <w:pPr>
              <w:autoSpaceDE w:val="0"/>
              <w:autoSpaceDN w:val="0"/>
              <w:adjustRightInd w:val="0"/>
              <w:jc w:val="both"/>
              <w:rPr>
                <w:i/>
                <w:sz w:val="22"/>
                <w:szCs w:val="22"/>
                <w:lang w:val="sr-Latn-ME"/>
              </w:rPr>
            </w:pPr>
          </w:p>
          <w:p w14:paraId="7CFF039F" w14:textId="77777777" w:rsidR="00E310B2" w:rsidRPr="00F334AF" w:rsidRDefault="00E310B2" w:rsidP="0034729B">
            <w:pPr>
              <w:autoSpaceDE w:val="0"/>
              <w:autoSpaceDN w:val="0"/>
              <w:adjustRightInd w:val="0"/>
              <w:jc w:val="both"/>
              <w:rPr>
                <w:i/>
                <w:sz w:val="22"/>
                <w:szCs w:val="22"/>
                <w:lang w:val="sr-Latn-ME"/>
              </w:rPr>
            </w:pPr>
          </w:p>
          <w:p w14:paraId="5E3AF84D" w14:textId="66CED8D7" w:rsidR="00E310B2" w:rsidRPr="00F334AF" w:rsidRDefault="00640EF7" w:rsidP="0034729B">
            <w:pPr>
              <w:autoSpaceDE w:val="0"/>
              <w:autoSpaceDN w:val="0"/>
              <w:adjustRightInd w:val="0"/>
              <w:jc w:val="both"/>
              <w:rPr>
                <w:rFonts w:eastAsia="MS Mincho"/>
                <w:color w:val="000000"/>
                <w:sz w:val="22"/>
                <w:szCs w:val="22"/>
                <w:lang w:val="sr-Latn-ME" w:eastAsia="ja-JP"/>
              </w:rPr>
            </w:pPr>
            <w:r w:rsidRPr="00F334AF">
              <w:rPr>
                <w:i/>
                <w:sz w:val="22"/>
                <w:szCs w:val="22"/>
                <w:lang w:val="sr-Latn-ME"/>
              </w:rPr>
              <w:t>r</w:t>
            </w:r>
            <w:r w:rsidR="00E310B2" w:rsidRPr="00F334AF">
              <w:rPr>
                <w:i/>
                <w:sz w:val="22"/>
                <w:szCs w:val="22"/>
                <w:lang w:val="sr-Latn-ME"/>
              </w:rPr>
              <w:t>ijetk</w:t>
            </w:r>
            <w:r w:rsidRPr="00F334AF">
              <w:rPr>
                <w:i/>
                <w:sz w:val="22"/>
                <w:szCs w:val="22"/>
                <w:lang w:val="sr-Latn-ME"/>
              </w:rPr>
              <w:t>o</w:t>
            </w:r>
          </w:p>
        </w:tc>
      </w:tr>
      <w:tr w:rsidR="00E310B2" w:rsidRPr="00F334AF" w14:paraId="27123C64" w14:textId="77777777" w:rsidTr="0034729B">
        <w:trPr>
          <w:trHeight w:val="383"/>
        </w:trPr>
        <w:tc>
          <w:tcPr>
            <w:tcW w:w="2749" w:type="dxa"/>
            <w:vMerge w:val="restart"/>
            <w:tcBorders>
              <w:top w:val="single" w:sz="8" w:space="0" w:color="000000"/>
              <w:right w:val="single" w:sz="8" w:space="0" w:color="000000"/>
            </w:tcBorders>
          </w:tcPr>
          <w:p w14:paraId="1FD0E438" w14:textId="28619D94"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b/>
                <w:i/>
                <w:sz w:val="22"/>
                <w:szCs w:val="22"/>
                <w:lang w:val="sr-Latn-ME"/>
              </w:rPr>
              <w:t>Poremeć</w:t>
            </w:r>
            <w:r w:rsidR="001867F8" w:rsidRPr="00F334AF">
              <w:rPr>
                <w:b/>
                <w:i/>
                <w:sz w:val="22"/>
                <w:szCs w:val="22"/>
                <w:lang w:val="sr-Latn-ME"/>
              </w:rPr>
              <w:t>aji</w:t>
            </w:r>
            <w:r w:rsidRPr="00F334AF">
              <w:rPr>
                <w:b/>
                <w:i/>
                <w:sz w:val="22"/>
                <w:szCs w:val="22"/>
                <w:lang w:val="sr-Latn-ME"/>
              </w:rPr>
              <w:t xml:space="preserve"> bubrega i urinarnih puteva:</w:t>
            </w:r>
          </w:p>
        </w:tc>
        <w:tc>
          <w:tcPr>
            <w:tcW w:w="3577" w:type="dxa"/>
            <w:tcBorders>
              <w:top w:val="single" w:sz="8" w:space="0" w:color="000000"/>
              <w:left w:val="single" w:sz="8" w:space="0" w:color="000000"/>
              <w:bottom w:val="single" w:sz="8" w:space="0" w:color="000000"/>
              <w:right w:val="single" w:sz="4" w:space="0" w:color="auto"/>
            </w:tcBorders>
          </w:tcPr>
          <w:p w14:paraId="2BCFF869"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sz w:val="22"/>
                <w:szCs w:val="22"/>
                <w:lang w:val="sr-Latn-ME"/>
              </w:rPr>
              <w:t>disurija</w:t>
            </w:r>
          </w:p>
        </w:tc>
        <w:tc>
          <w:tcPr>
            <w:tcW w:w="2268" w:type="dxa"/>
            <w:tcBorders>
              <w:top w:val="single" w:sz="4" w:space="0" w:color="auto"/>
              <w:left w:val="single" w:sz="4" w:space="0" w:color="auto"/>
              <w:bottom w:val="single" w:sz="4" w:space="0" w:color="auto"/>
              <w:right w:val="single" w:sz="4" w:space="0" w:color="auto"/>
            </w:tcBorders>
          </w:tcPr>
          <w:p w14:paraId="6479933B" w14:textId="43E6F8B4"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i/>
                <w:sz w:val="22"/>
                <w:szCs w:val="22"/>
                <w:lang w:val="sr-Latn-ME"/>
              </w:rPr>
              <w:t>povremen</w:t>
            </w:r>
            <w:r w:rsidR="00640EF7" w:rsidRPr="00F334AF">
              <w:rPr>
                <w:i/>
                <w:sz w:val="22"/>
                <w:szCs w:val="22"/>
                <w:lang w:val="sr-Latn-ME"/>
              </w:rPr>
              <w:t>o</w:t>
            </w:r>
          </w:p>
        </w:tc>
      </w:tr>
      <w:tr w:rsidR="00E310B2" w:rsidRPr="00F334AF" w14:paraId="0473D53F" w14:textId="77777777" w:rsidTr="0034729B">
        <w:trPr>
          <w:trHeight w:val="382"/>
        </w:trPr>
        <w:tc>
          <w:tcPr>
            <w:tcW w:w="2749" w:type="dxa"/>
            <w:vMerge/>
            <w:tcBorders>
              <w:bottom w:val="single" w:sz="8" w:space="0" w:color="000000"/>
              <w:right w:val="single" w:sz="8" w:space="0" w:color="000000"/>
            </w:tcBorders>
          </w:tcPr>
          <w:p w14:paraId="01A388C5" w14:textId="77777777" w:rsidR="00E310B2" w:rsidRPr="00F334AF" w:rsidRDefault="00E310B2" w:rsidP="0034729B">
            <w:pPr>
              <w:autoSpaceDE w:val="0"/>
              <w:autoSpaceDN w:val="0"/>
              <w:adjustRightInd w:val="0"/>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79C2A922" w14:textId="77777777"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polakiurija</w:t>
            </w:r>
          </w:p>
        </w:tc>
        <w:tc>
          <w:tcPr>
            <w:tcW w:w="2268" w:type="dxa"/>
            <w:tcBorders>
              <w:top w:val="single" w:sz="4" w:space="0" w:color="auto"/>
              <w:left w:val="single" w:sz="4" w:space="0" w:color="auto"/>
              <w:bottom w:val="single" w:sz="4" w:space="0" w:color="auto"/>
              <w:right w:val="single" w:sz="4" w:space="0" w:color="auto"/>
            </w:tcBorders>
          </w:tcPr>
          <w:p w14:paraId="3BDF66B4" w14:textId="3E6A1274" w:rsidR="00E310B2" w:rsidRPr="00F334AF" w:rsidRDefault="00640EF7" w:rsidP="0034729B">
            <w:pPr>
              <w:autoSpaceDE w:val="0"/>
              <w:autoSpaceDN w:val="0"/>
              <w:adjustRightInd w:val="0"/>
              <w:jc w:val="both"/>
              <w:rPr>
                <w:i/>
                <w:sz w:val="22"/>
                <w:szCs w:val="22"/>
                <w:lang w:val="sr-Latn-ME"/>
              </w:rPr>
            </w:pPr>
            <w:r w:rsidRPr="00F334AF">
              <w:rPr>
                <w:i/>
                <w:sz w:val="22"/>
                <w:szCs w:val="22"/>
                <w:lang w:val="sr-Latn-ME"/>
              </w:rPr>
              <w:t>r</w:t>
            </w:r>
            <w:r w:rsidR="00E310B2" w:rsidRPr="00F334AF">
              <w:rPr>
                <w:i/>
                <w:sz w:val="22"/>
                <w:szCs w:val="22"/>
                <w:lang w:val="sr-Latn-ME"/>
              </w:rPr>
              <w:t>ijetk</w:t>
            </w:r>
            <w:r w:rsidRPr="00F334AF">
              <w:rPr>
                <w:i/>
                <w:sz w:val="22"/>
                <w:szCs w:val="22"/>
                <w:lang w:val="sr-Latn-ME"/>
              </w:rPr>
              <w:t>o</w:t>
            </w:r>
          </w:p>
        </w:tc>
      </w:tr>
      <w:tr w:rsidR="00E310B2" w:rsidRPr="00F334AF" w14:paraId="01CED5CA" w14:textId="77777777" w:rsidTr="0034729B">
        <w:trPr>
          <w:trHeight w:val="142"/>
        </w:trPr>
        <w:tc>
          <w:tcPr>
            <w:tcW w:w="2749" w:type="dxa"/>
            <w:vMerge w:val="restart"/>
            <w:tcBorders>
              <w:top w:val="single" w:sz="8" w:space="0" w:color="000000"/>
              <w:right w:val="single" w:sz="8" w:space="0" w:color="000000"/>
            </w:tcBorders>
          </w:tcPr>
          <w:p w14:paraId="6AC87ACC"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b/>
                <w:i/>
                <w:sz w:val="22"/>
                <w:szCs w:val="22"/>
                <w:lang w:val="sr-Latn-ME"/>
              </w:rPr>
              <w:t>Opšti poremećaji i reakcije na mjestu primjene:</w:t>
            </w:r>
          </w:p>
        </w:tc>
        <w:tc>
          <w:tcPr>
            <w:tcW w:w="3577" w:type="dxa"/>
            <w:tcBorders>
              <w:top w:val="single" w:sz="8" w:space="0" w:color="000000"/>
              <w:left w:val="single" w:sz="8" w:space="0" w:color="000000"/>
              <w:bottom w:val="single" w:sz="8" w:space="0" w:color="000000"/>
              <w:right w:val="single" w:sz="4" w:space="0" w:color="auto"/>
            </w:tcBorders>
          </w:tcPr>
          <w:p w14:paraId="281BC4B2" w14:textId="77777777"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umor</w:t>
            </w:r>
          </w:p>
          <w:p w14:paraId="4C559962" w14:textId="77777777" w:rsidR="00E310B2" w:rsidRPr="00F334AF" w:rsidRDefault="00E310B2" w:rsidP="0034729B">
            <w:pPr>
              <w:autoSpaceDE w:val="0"/>
              <w:autoSpaceDN w:val="0"/>
              <w:adjustRightInd w:val="0"/>
              <w:jc w:val="both"/>
              <w:rPr>
                <w:sz w:val="22"/>
                <w:szCs w:val="22"/>
                <w:lang w:val="sr-Latn-ME"/>
              </w:rPr>
            </w:pPr>
          </w:p>
          <w:p w14:paraId="0AEA31B3"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p>
        </w:tc>
        <w:tc>
          <w:tcPr>
            <w:tcW w:w="2268" w:type="dxa"/>
            <w:tcBorders>
              <w:top w:val="single" w:sz="4" w:space="0" w:color="auto"/>
              <w:left w:val="single" w:sz="4" w:space="0" w:color="auto"/>
              <w:bottom w:val="single" w:sz="4" w:space="0" w:color="auto"/>
              <w:right w:val="single" w:sz="4" w:space="0" w:color="auto"/>
            </w:tcBorders>
          </w:tcPr>
          <w:p w14:paraId="5581657C" w14:textId="0652B5F3"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čest</w:t>
            </w:r>
            <w:r w:rsidR="00640EF7" w:rsidRPr="00F334AF">
              <w:rPr>
                <w:i/>
                <w:sz w:val="22"/>
                <w:szCs w:val="22"/>
                <w:lang w:val="sr-Latn-ME"/>
              </w:rPr>
              <w:t>o</w:t>
            </w:r>
          </w:p>
          <w:p w14:paraId="601F2E7F" w14:textId="77777777" w:rsidR="00E310B2" w:rsidRPr="00F334AF" w:rsidRDefault="00E310B2" w:rsidP="0034729B">
            <w:pPr>
              <w:autoSpaceDE w:val="0"/>
              <w:autoSpaceDN w:val="0"/>
              <w:adjustRightInd w:val="0"/>
              <w:jc w:val="both"/>
              <w:rPr>
                <w:i/>
                <w:sz w:val="22"/>
                <w:szCs w:val="22"/>
                <w:lang w:val="sr-Latn-ME"/>
              </w:rPr>
            </w:pPr>
          </w:p>
          <w:p w14:paraId="27479FEC"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p>
        </w:tc>
      </w:tr>
      <w:tr w:rsidR="00E310B2" w:rsidRPr="00F334AF" w14:paraId="11F84BB4" w14:textId="77777777" w:rsidTr="0034729B">
        <w:trPr>
          <w:trHeight w:val="335"/>
        </w:trPr>
        <w:tc>
          <w:tcPr>
            <w:tcW w:w="2749" w:type="dxa"/>
            <w:vMerge/>
            <w:tcBorders>
              <w:right w:val="single" w:sz="8" w:space="0" w:color="000000"/>
            </w:tcBorders>
          </w:tcPr>
          <w:p w14:paraId="76EC4A92" w14:textId="77777777" w:rsidR="00E310B2" w:rsidRPr="00F334AF" w:rsidRDefault="00E310B2" w:rsidP="0034729B">
            <w:pPr>
              <w:autoSpaceDE w:val="0"/>
              <w:autoSpaceDN w:val="0"/>
              <w:adjustRightInd w:val="0"/>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61F5B8FA" w14:textId="2E1ADB88"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astenija, osjeća</w:t>
            </w:r>
            <w:r w:rsidR="009D7C9B" w:rsidRPr="00F334AF">
              <w:rPr>
                <w:sz w:val="22"/>
                <w:szCs w:val="22"/>
                <w:lang w:val="sr-Latn-ME"/>
              </w:rPr>
              <w:t>j</w:t>
            </w:r>
            <w:r w:rsidRPr="00F334AF">
              <w:rPr>
                <w:sz w:val="22"/>
                <w:szCs w:val="22"/>
                <w:lang w:val="sr-Latn-ME"/>
              </w:rPr>
              <w:t xml:space="preserve"> slabosti</w:t>
            </w:r>
          </w:p>
        </w:tc>
        <w:tc>
          <w:tcPr>
            <w:tcW w:w="2268" w:type="dxa"/>
            <w:tcBorders>
              <w:top w:val="single" w:sz="4" w:space="0" w:color="auto"/>
              <w:left w:val="single" w:sz="4" w:space="0" w:color="auto"/>
              <w:bottom w:val="single" w:sz="4" w:space="0" w:color="auto"/>
              <w:right w:val="single" w:sz="4" w:space="0" w:color="auto"/>
            </w:tcBorders>
          </w:tcPr>
          <w:p w14:paraId="2AC63BFE" w14:textId="5764C958"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povremen</w:t>
            </w:r>
            <w:r w:rsidR="00640EF7" w:rsidRPr="00F334AF">
              <w:rPr>
                <w:i/>
                <w:sz w:val="22"/>
                <w:szCs w:val="22"/>
                <w:lang w:val="sr-Latn-ME"/>
              </w:rPr>
              <w:t>o</w:t>
            </w:r>
          </w:p>
        </w:tc>
      </w:tr>
      <w:tr w:rsidR="00E310B2" w:rsidRPr="00F334AF" w14:paraId="7F9EE310" w14:textId="77777777" w:rsidTr="0034729B">
        <w:trPr>
          <w:trHeight w:val="335"/>
        </w:trPr>
        <w:tc>
          <w:tcPr>
            <w:tcW w:w="2749" w:type="dxa"/>
            <w:vMerge/>
            <w:tcBorders>
              <w:bottom w:val="single" w:sz="8" w:space="0" w:color="000000"/>
              <w:right w:val="single" w:sz="8" w:space="0" w:color="000000"/>
            </w:tcBorders>
          </w:tcPr>
          <w:p w14:paraId="7D7CF65A" w14:textId="77777777" w:rsidR="00E310B2" w:rsidRPr="00F334AF" w:rsidRDefault="00E310B2" w:rsidP="0034729B">
            <w:pPr>
              <w:autoSpaceDE w:val="0"/>
              <w:autoSpaceDN w:val="0"/>
              <w:adjustRightInd w:val="0"/>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3E03E337" w14:textId="77777777"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edem, osjećaj neugodnosti u grudima, poremećaj hoda</w:t>
            </w:r>
          </w:p>
        </w:tc>
        <w:tc>
          <w:tcPr>
            <w:tcW w:w="2268" w:type="dxa"/>
            <w:tcBorders>
              <w:top w:val="single" w:sz="4" w:space="0" w:color="auto"/>
              <w:left w:val="single" w:sz="4" w:space="0" w:color="auto"/>
              <w:bottom w:val="single" w:sz="4" w:space="0" w:color="auto"/>
              <w:right w:val="single" w:sz="4" w:space="0" w:color="auto"/>
            </w:tcBorders>
          </w:tcPr>
          <w:p w14:paraId="36308D06" w14:textId="508D261C"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rijetk</w:t>
            </w:r>
            <w:r w:rsidR="00640EF7" w:rsidRPr="00F334AF">
              <w:rPr>
                <w:i/>
                <w:sz w:val="22"/>
                <w:szCs w:val="22"/>
                <w:lang w:val="sr-Latn-ME"/>
              </w:rPr>
              <w:t>o</w:t>
            </w:r>
          </w:p>
        </w:tc>
      </w:tr>
      <w:tr w:rsidR="00E310B2" w:rsidRPr="00F334AF" w14:paraId="47138417" w14:textId="77777777" w:rsidTr="0034729B">
        <w:trPr>
          <w:trHeight w:val="543"/>
        </w:trPr>
        <w:tc>
          <w:tcPr>
            <w:tcW w:w="2749" w:type="dxa"/>
            <w:vMerge w:val="restart"/>
            <w:tcBorders>
              <w:top w:val="single" w:sz="8" w:space="0" w:color="000000"/>
              <w:right w:val="single" w:sz="8" w:space="0" w:color="000000"/>
            </w:tcBorders>
          </w:tcPr>
          <w:p w14:paraId="0D79CC62" w14:textId="77777777" w:rsidR="00E310B2" w:rsidRPr="00F334AF" w:rsidRDefault="00E310B2" w:rsidP="0034729B">
            <w:pPr>
              <w:pStyle w:val="Header"/>
              <w:tabs>
                <w:tab w:val="left" w:pos="284"/>
              </w:tabs>
              <w:ind w:right="65"/>
              <w:jc w:val="both"/>
              <w:rPr>
                <w:b/>
                <w:i/>
                <w:sz w:val="22"/>
                <w:szCs w:val="22"/>
                <w:lang w:val="sr-Latn-ME"/>
              </w:rPr>
            </w:pPr>
            <w:r w:rsidRPr="00F334AF">
              <w:rPr>
                <w:b/>
                <w:i/>
                <w:sz w:val="22"/>
                <w:szCs w:val="22"/>
                <w:lang w:val="sr-Latn-ME"/>
              </w:rPr>
              <w:t>Laboratorijska ispitivanja:</w:t>
            </w:r>
          </w:p>
          <w:p w14:paraId="14A290EA" w14:textId="77777777" w:rsidR="00E310B2" w:rsidRPr="00F334AF" w:rsidRDefault="00E310B2" w:rsidP="0034729B">
            <w:pPr>
              <w:pStyle w:val="Header"/>
              <w:tabs>
                <w:tab w:val="left" w:pos="284"/>
              </w:tabs>
              <w:ind w:right="65"/>
              <w:jc w:val="both"/>
              <w:rPr>
                <w:sz w:val="22"/>
                <w:szCs w:val="22"/>
                <w:lang w:val="sr-Latn-ME"/>
              </w:rPr>
            </w:pPr>
          </w:p>
          <w:p w14:paraId="3B9E1529" w14:textId="77777777" w:rsidR="00E310B2" w:rsidRPr="00F334AF" w:rsidRDefault="00E310B2" w:rsidP="0034729B">
            <w:pPr>
              <w:pStyle w:val="Header"/>
              <w:tabs>
                <w:tab w:val="left" w:pos="284"/>
              </w:tabs>
              <w:ind w:right="65"/>
              <w:jc w:val="both"/>
              <w:rPr>
                <w:sz w:val="22"/>
                <w:szCs w:val="22"/>
                <w:lang w:val="sr-Latn-ME"/>
              </w:rPr>
            </w:pPr>
          </w:p>
          <w:p w14:paraId="3A9E898E"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p>
        </w:tc>
        <w:tc>
          <w:tcPr>
            <w:tcW w:w="3577" w:type="dxa"/>
            <w:tcBorders>
              <w:top w:val="single" w:sz="8" w:space="0" w:color="000000"/>
              <w:left w:val="single" w:sz="8" w:space="0" w:color="000000"/>
              <w:bottom w:val="single" w:sz="8" w:space="0" w:color="000000"/>
              <w:right w:val="single" w:sz="4" w:space="0" w:color="auto"/>
            </w:tcBorders>
          </w:tcPr>
          <w:p w14:paraId="6F0FE73F"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r w:rsidRPr="00F334AF">
              <w:rPr>
                <w:sz w:val="22"/>
                <w:szCs w:val="22"/>
                <w:lang w:val="sr-Latn-ME"/>
              </w:rPr>
              <w:t xml:space="preserve">povišene vrijednosti ALT </w:t>
            </w:r>
          </w:p>
        </w:tc>
        <w:tc>
          <w:tcPr>
            <w:tcW w:w="2268" w:type="dxa"/>
            <w:tcBorders>
              <w:top w:val="single" w:sz="4" w:space="0" w:color="auto"/>
              <w:left w:val="single" w:sz="4" w:space="0" w:color="auto"/>
              <w:bottom w:val="single" w:sz="4" w:space="0" w:color="auto"/>
              <w:right w:val="single" w:sz="4" w:space="0" w:color="auto"/>
            </w:tcBorders>
          </w:tcPr>
          <w:p w14:paraId="502753D9" w14:textId="51FBE4A6"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čest</w:t>
            </w:r>
            <w:r w:rsidR="00640EF7" w:rsidRPr="00F334AF">
              <w:rPr>
                <w:i/>
                <w:sz w:val="22"/>
                <w:szCs w:val="22"/>
                <w:lang w:val="sr-Latn-ME"/>
              </w:rPr>
              <w:t>o</w:t>
            </w:r>
          </w:p>
          <w:p w14:paraId="0FC87E55" w14:textId="77777777" w:rsidR="00E310B2" w:rsidRPr="00F334AF" w:rsidRDefault="00E310B2" w:rsidP="0034729B">
            <w:pPr>
              <w:autoSpaceDE w:val="0"/>
              <w:autoSpaceDN w:val="0"/>
              <w:adjustRightInd w:val="0"/>
              <w:jc w:val="both"/>
              <w:rPr>
                <w:i/>
                <w:sz w:val="22"/>
                <w:szCs w:val="22"/>
                <w:lang w:val="sr-Latn-ME"/>
              </w:rPr>
            </w:pPr>
          </w:p>
          <w:p w14:paraId="19A335D5" w14:textId="77777777" w:rsidR="00E310B2" w:rsidRPr="00F334AF" w:rsidRDefault="00E310B2" w:rsidP="0034729B">
            <w:pPr>
              <w:autoSpaceDE w:val="0"/>
              <w:autoSpaceDN w:val="0"/>
              <w:adjustRightInd w:val="0"/>
              <w:jc w:val="both"/>
              <w:rPr>
                <w:i/>
                <w:sz w:val="22"/>
                <w:szCs w:val="22"/>
                <w:lang w:val="sr-Latn-ME"/>
              </w:rPr>
            </w:pPr>
          </w:p>
          <w:p w14:paraId="2554F3A3" w14:textId="77777777" w:rsidR="00E310B2" w:rsidRPr="00F334AF" w:rsidRDefault="00E310B2" w:rsidP="0034729B">
            <w:pPr>
              <w:autoSpaceDE w:val="0"/>
              <w:autoSpaceDN w:val="0"/>
              <w:adjustRightInd w:val="0"/>
              <w:jc w:val="both"/>
              <w:rPr>
                <w:rFonts w:eastAsia="MS Mincho"/>
                <w:color w:val="000000"/>
                <w:sz w:val="22"/>
                <w:szCs w:val="22"/>
                <w:lang w:val="sr-Latn-ME" w:eastAsia="ja-JP"/>
              </w:rPr>
            </w:pPr>
          </w:p>
        </w:tc>
      </w:tr>
      <w:tr w:rsidR="00E310B2" w:rsidRPr="00F334AF" w14:paraId="2CA3060D" w14:textId="77777777" w:rsidTr="0034729B">
        <w:trPr>
          <w:trHeight w:val="590"/>
        </w:trPr>
        <w:tc>
          <w:tcPr>
            <w:tcW w:w="2749" w:type="dxa"/>
            <w:vMerge/>
            <w:tcBorders>
              <w:right w:val="single" w:sz="8" w:space="0" w:color="000000"/>
            </w:tcBorders>
          </w:tcPr>
          <w:p w14:paraId="52BF31F5" w14:textId="77777777" w:rsidR="00E310B2" w:rsidRPr="00F334AF" w:rsidRDefault="00E310B2" w:rsidP="0034729B">
            <w:pPr>
              <w:pStyle w:val="Header"/>
              <w:tabs>
                <w:tab w:val="left" w:pos="284"/>
              </w:tabs>
              <w:ind w:right="65"/>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0BEC6869" w14:textId="5B385273" w:rsidR="00E310B2" w:rsidRPr="00F334AF" w:rsidRDefault="00E310B2" w:rsidP="0034729B">
            <w:pPr>
              <w:autoSpaceDE w:val="0"/>
              <w:autoSpaceDN w:val="0"/>
              <w:adjustRightInd w:val="0"/>
              <w:jc w:val="both"/>
              <w:rPr>
                <w:sz w:val="22"/>
                <w:szCs w:val="22"/>
                <w:lang w:val="sr-Latn-ME"/>
              </w:rPr>
            </w:pPr>
            <w:r w:rsidRPr="00F334AF">
              <w:rPr>
                <w:sz w:val="22"/>
                <w:szCs w:val="22"/>
                <w:lang w:val="sr-Latn-ME"/>
              </w:rPr>
              <w:t>povišene vrijednosti AST, povišen</w:t>
            </w:r>
            <w:r w:rsidR="009F6604" w:rsidRPr="00F334AF">
              <w:rPr>
                <w:sz w:val="22"/>
                <w:szCs w:val="22"/>
                <w:lang w:val="sr-Latn-ME"/>
              </w:rPr>
              <w:t xml:space="preserve">e vrijednosti </w:t>
            </w:r>
            <w:r w:rsidRPr="00F334AF">
              <w:rPr>
                <w:sz w:val="22"/>
                <w:szCs w:val="22"/>
                <w:lang w:val="sr-Latn-ME"/>
              </w:rPr>
              <w:t xml:space="preserve"> alkaln</w:t>
            </w:r>
            <w:r w:rsidR="009F6604" w:rsidRPr="00F334AF">
              <w:rPr>
                <w:sz w:val="22"/>
                <w:szCs w:val="22"/>
                <w:lang w:val="sr-Latn-ME"/>
              </w:rPr>
              <w:t>e</w:t>
            </w:r>
            <w:r w:rsidRPr="00F334AF">
              <w:rPr>
                <w:sz w:val="22"/>
                <w:szCs w:val="22"/>
                <w:lang w:val="sr-Latn-ME"/>
              </w:rPr>
              <w:t xml:space="preserve"> fosfataz</w:t>
            </w:r>
            <w:r w:rsidR="009F6604" w:rsidRPr="00F334AF">
              <w:rPr>
                <w:sz w:val="22"/>
                <w:szCs w:val="22"/>
                <w:lang w:val="sr-Latn-ME"/>
              </w:rPr>
              <w:t>e</w:t>
            </w:r>
          </w:p>
        </w:tc>
        <w:tc>
          <w:tcPr>
            <w:tcW w:w="2268" w:type="dxa"/>
            <w:tcBorders>
              <w:top w:val="single" w:sz="4" w:space="0" w:color="auto"/>
              <w:left w:val="single" w:sz="4" w:space="0" w:color="auto"/>
              <w:bottom w:val="single" w:sz="4" w:space="0" w:color="auto"/>
              <w:right w:val="single" w:sz="4" w:space="0" w:color="auto"/>
            </w:tcBorders>
          </w:tcPr>
          <w:p w14:paraId="076E46E9" w14:textId="1ABFF68C"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povremen</w:t>
            </w:r>
            <w:r w:rsidR="00640EF7" w:rsidRPr="00F334AF">
              <w:rPr>
                <w:i/>
                <w:sz w:val="22"/>
                <w:szCs w:val="22"/>
                <w:lang w:val="sr-Latn-ME"/>
              </w:rPr>
              <w:t>o</w:t>
            </w:r>
          </w:p>
        </w:tc>
      </w:tr>
      <w:tr w:rsidR="00E310B2" w:rsidRPr="00F334AF" w14:paraId="0DCD881F" w14:textId="77777777" w:rsidTr="0034729B">
        <w:trPr>
          <w:trHeight w:val="590"/>
        </w:trPr>
        <w:tc>
          <w:tcPr>
            <w:tcW w:w="2749" w:type="dxa"/>
            <w:vMerge/>
            <w:tcBorders>
              <w:bottom w:val="single" w:sz="8" w:space="0" w:color="000000"/>
              <w:right w:val="single" w:sz="8" w:space="0" w:color="000000"/>
            </w:tcBorders>
          </w:tcPr>
          <w:p w14:paraId="052BFD6A" w14:textId="77777777" w:rsidR="00E310B2" w:rsidRPr="00F334AF" w:rsidRDefault="00E310B2" w:rsidP="0034729B">
            <w:pPr>
              <w:pStyle w:val="Header"/>
              <w:tabs>
                <w:tab w:val="left" w:pos="284"/>
              </w:tabs>
              <w:ind w:right="65"/>
              <w:jc w:val="both"/>
              <w:rPr>
                <w:b/>
                <w:i/>
                <w:sz w:val="22"/>
                <w:szCs w:val="22"/>
                <w:lang w:val="sr-Latn-ME"/>
              </w:rPr>
            </w:pPr>
          </w:p>
        </w:tc>
        <w:tc>
          <w:tcPr>
            <w:tcW w:w="3577" w:type="dxa"/>
            <w:tcBorders>
              <w:top w:val="single" w:sz="8" w:space="0" w:color="000000"/>
              <w:left w:val="single" w:sz="8" w:space="0" w:color="000000"/>
              <w:bottom w:val="single" w:sz="8" w:space="0" w:color="000000"/>
              <w:right w:val="single" w:sz="4" w:space="0" w:color="auto"/>
            </w:tcBorders>
          </w:tcPr>
          <w:p w14:paraId="03A57313" w14:textId="20A1C164" w:rsidR="00E310B2" w:rsidRPr="00F334AF" w:rsidRDefault="009D7C9B" w:rsidP="0034729B">
            <w:pPr>
              <w:autoSpaceDE w:val="0"/>
              <w:autoSpaceDN w:val="0"/>
              <w:adjustRightInd w:val="0"/>
              <w:jc w:val="both"/>
              <w:rPr>
                <w:sz w:val="22"/>
                <w:szCs w:val="22"/>
                <w:lang w:val="sr-Latn-ME"/>
              </w:rPr>
            </w:pPr>
            <w:r w:rsidRPr="00F334AF">
              <w:rPr>
                <w:sz w:val="22"/>
                <w:szCs w:val="22"/>
                <w:lang w:val="sr-Latn-ME"/>
              </w:rPr>
              <w:t xml:space="preserve">eritrociti u urinu, </w:t>
            </w:r>
            <w:r w:rsidR="00E310B2" w:rsidRPr="00F334AF">
              <w:rPr>
                <w:sz w:val="22"/>
                <w:szCs w:val="22"/>
                <w:lang w:val="sr-Latn-ME"/>
              </w:rPr>
              <w:t>smanjen sadržaj natijuma u krvi, smanjenje tjelesne mase, smanjen broj neutrofila, prisustvo glukoze u urinu, povećano izlučivanje urina.</w:t>
            </w:r>
          </w:p>
        </w:tc>
        <w:tc>
          <w:tcPr>
            <w:tcW w:w="2268" w:type="dxa"/>
            <w:tcBorders>
              <w:top w:val="single" w:sz="4" w:space="0" w:color="auto"/>
              <w:left w:val="single" w:sz="4" w:space="0" w:color="auto"/>
              <w:bottom w:val="single" w:sz="4" w:space="0" w:color="auto"/>
              <w:right w:val="single" w:sz="4" w:space="0" w:color="auto"/>
            </w:tcBorders>
          </w:tcPr>
          <w:p w14:paraId="7D3C4FC7" w14:textId="51621A7F" w:rsidR="00E310B2" w:rsidRPr="00F334AF" w:rsidRDefault="00E310B2" w:rsidP="0034729B">
            <w:pPr>
              <w:autoSpaceDE w:val="0"/>
              <w:autoSpaceDN w:val="0"/>
              <w:adjustRightInd w:val="0"/>
              <w:jc w:val="both"/>
              <w:rPr>
                <w:i/>
                <w:sz w:val="22"/>
                <w:szCs w:val="22"/>
                <w:lang w:val="sr-Latn-ME"/>
              </w:rPr>
            </w:pPr>
            <w:r w:rsidRPr="00F334AF">
              <w:rPr>
                <w:i/>
                <w:sz w:val="22"/>
                <w:szCs w:val="22"/>
                <w:lang w:val="sr-Latn-ME"/>
              </w:rPr>
              <w:t>rijetk</w:t>
            </w:r>
            <w:r w:rsidR="00640EF7" w:rsidRPr="00F334AF">
              <w:rPr>
                <w:i/>
                <w:sz w:val="22"/>
                <w:szCs w:val="22"/>
                <w:lang w:val="sr-Latn-ME"/>
              </w:rPr>
              <w:t>o</w:t>
            </w:r>
          </w:p>
        </w:tc>
      </w:tr>
    </w:tbl>
    <w:p w14:paraId="20EBC66F" w14:textId="77777777" w:rsidR="00E310B2" w:rsidRPr="00F334AF" w:rsidRDefault="00E310B2" w:rsidP="0034729B">
      <w:pPr>
        <w:pStyle w:val="Header"/>
        <w:tabs>
          <w:tab w:val="left" w:pos="284"/>
        </w:tabs>
        <w:ind w:right="65"/>
        <w:jc w:val="both"/>
        <w:rPr>
          <w:sz w:val="22"/>
          <w:szCs w:val="22"/>
          <w:lang w:val="sr-Latn-ME"/>
        </w:rPr>
      </w:pPr>
    </w:p>
    <w:p w14:paraId="10285A82" w14:textId="717EEF02" w:rsidR="00E310B2" w:rsidRPr="00F334AF" w:rsidRDefault="00E310B2" w:rsidP="0034729B">
      <w:pPr>
        <w:pStyle w:val="Header"/>
        <w:tabs>
          <w:tab w:val="left" w:pos="284"/>
        </w:tabs>
        <w:ind w:right="65"/>
        <w:jc w:val="both"/>
        <w:rPr>
          <w:sz w:val="22"/>
          <w:szCs w:val="22"/>
          <w:lang w:val="sr-Latn-ME"/>
        </w:rPr>
      </w:pPr>
      <w:r w:rsidRPr="00F334AF">
        <w:rPr>
          <w:sz w:val="22"/>
          <w:szCs w:val="22"/>
          <w:vertAlign w:val="superscript"/>
          <w:lang w:val="sr-Latn-ME" w:eastAsia="nl-NL"/>
        </w:rPr>
        <w:t>†</w:t>
      </w:r>
      <w:r w:rsidRPr="00F334AF">
        <w:rPr>
          <w:sz w:val="22"/>
          <w:szCs w:val="22"/>
          <w:lang w:val="sr-Latn-ME"/>
        </w:rPr>
        <w:t>Mučnina i povraćanje su u prvih pet dana nakon hemoterapije uzeti kao parametri efikasnosti, a tek nakon toga su bilj</w:t>
      </w:r>
      <w:r w:rsidR="009F6604" w:rsidRPr="00F334AF">
        <w:rPr>
          <w:sz w:val="22"/>
          <w:szCs w:val="22"/>
          <w:lang w:val="sr-Latn-ME"/>
        </w:rPr>
        <w:t>e</w:t>
      </w:r>
      <w:r w:rsidRPr="00F334AF">
        <w:rPr>
          <w:sz w:val="22"/>
          <w:szCs w:val="22"/>
          <w:lang w:val="sr-Latn-ME"/>
        </w:rPr>
        <w:t>ženi kao neželjena dejstva.</w:t>
      </w:r>
    </w:p>
    <w:p w14:paraId="145B7CF2" w14:textId="76EAA534" w:rsidR="00970B29" w:rsidRPr="00F334AF" w:rsidRDefault="00970B29" w:rsidP="0034729B">
      <w:pPr>
        <w:pStyle w:val="Header"/>
        <w:tabs>
          <w:tab w:val="left" w:pos="284"/>
        </w:tabs>
        <w:ind w:right="65"/>
        <w:jc w:val="both"/>
        <w:rPr>
          <w:sz w:val="22"/>
          <w:szCs w:val="22"/>
          <w:lang w:val="sr-Latn-ME"/>
        </w:rPr>
      </w:pPr>
    </w:p>
    <w:p w14:paraId="5BCA76B3" w14:textId="77777777" w:rsidR="00E310B2" w:rsidRPr="00F334AF" w:rsidRDefault="00E310B2" w:rsidP="0034729B">
      <w:pPr>
        <w:pStyle w:val="Header"/>
        <w:tabs>
          <w:tab w:val="left" w:pos="284"/>
        </w:tabs>
        <w:ind w:right="65"/>
        <w:jc w:val="both"/>
        <w:rPr>
          <w:sz w:val="22"/>
          <w:szCs w:val="22"/>
          <w:u w:val="single"/>
          <w:lang w:val="sr-Latn-ME"/>
        </w:rPr>
      </w:pPr>
      <w:r w:rsidRPr="00F334AF">
        <w:rPr>
          <w:sz w:val="22"/>
          <w:szCs w:val="22"/>
          <w:u w:val="single"/>
          <w:lang w:val="sr-Latn-ME"/>
        </w:rPr>
        <w:t>Opis izabranih neželjenih reakcija</w:t>
      </w:r>
    </w:p>
    <w:p w14:paraId="0138A40C" w14:textId="77777777" w:rsidR="00E310B2" w:rsidRPr="00F334AF" w:rsidRDefault="00E310B2" w:rsidP="0034729B">
      <w:pPr>
        <w:pStyle w:val="Header"/>
        <w:tabs>
          <w:tab w:val="left" w:pos="284"/>
        </w:tabs>
        <w:ind w:right="65"/>
        <w:jc w:val="both"/>
        <w:rPr>
          <w:sz w:val="22"/>
          <w:szCs w:val="22"/>
          <w:lang w:val="sr-Latn-ME"/>
        </w:rPr>
      </w:pPr>
    </w:p>
    <w:p w14:paraId="74FA0CDD" w14:textId="6B11E7BB" w:rsidR="00E310B2" w:rsidRPr="00F334AF" w:rsidRDefault="00E310B2" w:rsidP="0034729B">
      <w:pPr>
        <w:pStyle w:val="Header"/>
        <w:tabs>
          <w:tab w:val="left" w:pos="284"/>
        </w:tabs>
        <w:ind w:right="65"/>
        <w:jc w:val="both"/>
        <w:rPr>
          <w:sz w:val="22"/>
          <w:szCs w:val="22"/>
          <w:lang w:val="sr-Latn-ME"/>
        </w:rPr>
      </w:pPr>
      <w:r w:rsidRPr="00F334AF">
        <w:rPr>
          <w:sz w:val="22"/>
          <w:szCs w:val="22"/>
          <w:lang w:val="sr-Latn-ME"/>
        </w:rPr>
        <w:t>Neželjene reakcije zabilježene kod odraslih</w:t>
      </w:r>
      <w:r w:rsidR="009D7C9B" w:rsidRPr="00F334AF">
        <w:rPr>
          <w:sz w:val="22"/>
          <w:szCs w:val="22"/>
          <w:lang w:val="sr-Latn-ME"/>
        </w:rPr>
        <w:t xml:space="preserve"> u</w:t>
      </w:r>
      <w:r w:rsidRPr="00F334AF">
        <w:rPr>
          <w:sz w:val="22"/>
          <w:szCs w:val="22"/>
          <w:lang w:val="sr-Latn-ME"/>
        </w:rPr>
        <w:t xml:space="preserve"> ispitivanj</w:t>
      </w:r>
      <w:r w:rsidR="009D7C9B" w:rsidRPr="00F334AF">
        <w:rPr>
          <w:sz w:val="22"/>
          <w:szCs w:val="22"/>
          <w:lang w:val="sr-Latn-ME"/>
        </w:rPr>
        <w:t>ima</w:t>
      </w:r>
      <w:r w:rsidRPr="00F334AF">
        <w:rPr>
          <w:sz w:val="22"/>
          <w:szCs w:val="22"/>
          <w:lang w:val="sr-Latn-ME"/>
        </w:rPr>
        <w:t xml:space="preserve"> višekratnih ciklusa HEC i MEC (najviše do šest dodatnih ciklusa) uglavnom su bile slične onim koje su zabilježene u prvom ciklusu hemoterapije.</w:t>
      </w:r>
    </w:p>
    <w:p w14:paraId="54737E69" w14:textId="77777777" w:rsidR="009F6604" w:rsidRDefault="00E310B2" w:rsidP="0034729B">
      <w:pPr>
        <w:tabs>
          <w:tab w:val="left" w:pos="284"/>
        </w:tabs>
        <w:ind w:right="65"/>
        <w:jc w:val="both"/>
        <w:rPr>
          <w:sz w:val="22"/>
          <w:szCs w:val="22"/>
          <w:lang w:val="sr-Latn-ME"/>
        </w:rPr>
      </w:pPr>
      <w:r w:rsidRPr="00F334AF">
        <w:rPr>
          <w:sz w:val="22"/>
          <w:szCs w:val="22"/>
          <w:lang w:val="sr-Latn-ME"/>
        </w:rPr>
        <w:t>U jednoj dodatnoj studiji sa kontrolnom grupom koja je dobijala aktivni lijek, a koja je sprovedena na 1.169 odraslih pacijenata koji su primali aprepitant i HEC, profil neželjenih reakcija bio je uopšteno sličan profilu zabilježenom u drugim ispitivanjima HEC sa aprepitantom</w:t>
      </w:r>
      <w:r w:rsidR="0034299F" w:rsidRPr="00F334AF">
        <w:rPr>
          <w:sz w:val="22"/>
          <w:szCs w:val="22"/>
          <w:lang w:val="sr-Latn-ME"/>
        </w:rPr>
        <w:t>.</w:t>
      </w:r>
    </w:p>
    <w:p w14:paraId="5D34A4A8" w14:textId="77777777" w:rsidR="005C4A98" w:rsidRPr="00F334AF" w:rsidRDefault="005C4A98" w:rsidP="0034729B">
      <w:pPr>
        <w:tabs>
          <w:tab w:val="left" w:pos="284"/>
        </w:tabs>
        <w:ind w:right="65"/>
        <w:jc w:val="both"/>
        <w:rPr>
          <w:sz w:val="22"/>
          <w:szCs w:val="22"/>
          <w:lang w:val="sr-Latn-ME"/>
        </w:rPr>
      </w:pPr>
    </w:p>
    <w:p w14:paraId="20AEDB93" w14:textId="75934E4F" w:rsidR="007A05E0" w:rsidRPr="00F334AF" w:rsidRDefault="005C4A98" w:rsidP="0034729B">
      <w:pPr>
        <w:tabs>
          <w:tab w:val="left" w:pos="284"/>
        </w:tabs>
        <w:ind w:right="65"/>
        <w:jc w:val="both"/>
        <w:rPr>
          <w:sz w:val="22"/>
          <w:szCs w:val="22"/>
          <w:lang w:val="sr-Latn-ME"/>
        </w:rPr>
      </w:pPr>
      <w:r w:rsidRPr="005C4A98">
        <w:rPr>
          <w:sz w:val="22"/>
          <w:szCs w:val="22"/>
          <w:lang w:val="sr-Latn-ME"/>
        </w:rPr>
        <w:t>Non-CINV studije</w:t>
      </w:r>
    </w:p>
    <w:p w14:paraId="106D7A26" w14:textId="487C01ED" w:rsidR="00E310B2" w:rsidRPr="00F334AF" w:rsidRDefault="00E310B2" w:rsidP="0034729B">
      <w:pPr>
        <w:pStyle w:val="Header"/>
        <w:tabs>
          <w:tab w:val="left" w:pos="284"/>
        </w:tabs>
        <w:ind w:right="65"/>
        <w:jc w:val="both"/>
        <w:rPr>
          <w:sz w:val="22"/>
          <w:szCs w:val="22"/>
          <w:lang w:val="sr-Latn-ME"/>
        </w:rPr>
      </w:pPr>
      <w:r w:rsidRPr="00F334AF">
        <w:rPr>
          <w:sz w:val="22"/>
          <w:szCs w:val="22"/>
          <w:lang w:val="sr-Latn-ME"/>
        </w:rPr>
        <w:t>Zabilježene su i dodatne neželjene reakcije kod odraslih pacijenata koji su primali aprepitant</w:t>
      </w:r>
      <w:r w:rsidR="00821177" w:rsidRPr="00F334AF">
        <w:rPr>
          <w:sz w:val="22"/>
          <w:szCs w:val="22"/>
          <w:lang w:val="sr-Latn-ME"/>
        </w:rPr>
        <w:t xml:space="preserve"> </w:t>
      </w:r>
      <w:r w:rsidR="005C4A98" w:rsidRPr="005C4A98">
        <w:rPr>
          <w:sz w:val="22"/>
          <w:szCs w:val="22"/>
          <w:lang w:val="sr-Latn-ME"/>
        </w:rPr>
        <w:t xml:space="preserve">u pojedinačnoj dozi od 40 mg </w:t>
      </w:r>
      <w:r w:rsidRPr="00F334AF">
        <w:rPr>
          <w:sz w:val="22"/>
          <w:szCs w:val="22"/>
          <w:lang w:val="sr-Latn-ME"/>
        </w:rPr>
        <w:t>za terapiju postoperativne mučnine i povraćanja</w:t>
      </w:r>
      <w:r w:rsidR="00092FA2">
        <w:rPr>
          <w:sz w:val="22"/>
          <w:szCs w:val="22"/>
          <w:lang w:val="sr-Latn-ME"/>
        </w:rPr>
        <w:t xml:space="preserve"> </w:t>
      </w:r>
      <w:r w:rsidR="00092FA2" w:rsidRPr="00092FA2">
        <w:rPr>
          <w:sz w:val="22"/>
          <w:szCs w:val="22"/>
          <w:lang w:val="sr-Latn-ME"/>
        </w:rPr>
        <w:t xml:space="preserve">(engl. </w:t>
      </w:r>
      <w:r w:rsidR="00092FA2" w:rsidRPr="00092FA2">
        <w:rPr>
          <w:i/>
          <w:iCs/>
          <w:sz w:val="22"/>
          <w:szCs w:val="22"/>
          <w:lang w:val="sr-Latn-ME"/>
        </w:rPr>
        <w:t>Postoperative nausea and vomiting</w:t>
      </w:r>
      <w:r w:rsidR="00092FA2" w:rsidRPr="00092FA2">
        <w:rPr>
          <w:sz w:val="22"/>
          <w:szCs w:val="22"/>
          <w:lang w:val="sr-Latn-ME"/>
        </w:rPr>
        <w:t xml:space="preserve"> PONV)</w:t>
      </w:r>
      <w:r w:rsidRPr="00F334AF">
        <w:rPr>
          <w:sz w:val="22"/>
          <w:szCs w:val="22"/>
          <w:lang w:val="sr-Latn-ME"/>
        </w:rPr>
        <w:t>, a sa većom učestalosti nego kod pacijenata koji su primali ondansetron: bol u gornjem dijelu abdomena, abnormalni zvukovi u crijevima, konstipacija*,</w:t>
      </w:r>
      <w:r w:rsidR="00970B29" w:rsidRPr="00F334AF">
        <w:rPr>
          <w:sz w:val="22"/>
          <w:szCs w:val="22"/>
          <w:lang w:val="sr-Latn-ME"/>
        </w:rPr>
        <w:t xml:space="preserve"> </w:t>
      </w:r>
      <w:r w:rsidRPr="00F334AF">
        <w:rPr>
          <w:sz w:val="22"/>
          <w:szCs w:val="22"/>
          <w:lang w:val="sr-Latn-ME"/>
        </w:rPr>
        <w:t>di</w:t>
      </w:r>
      <w:r w:rsidR="009F6604" w:rsidRPr="00F334AF">
        <w:rPr>
          <w:sz w:val="22"/>
          <w:szCs w:val="22"/>
          <w:lang w:val="sr-Latn-ME"/>
        </w:rPr>
        <w:t>z</w:t>
      </w:r>
      <w:r w:rsidRPr="00F334AF">
        <w:rPr>
          <w:sz w:val="22"/>
          <w:szCs w:val="22"/>
          <w:lang w:val="sr-Latn-ME"/>
        </w:rPr>
        <w:t>artrija, dispnea, hipoestezija, nesanica, mioza, mučnina, senzorni poremećaji, osjećaj neugodnosti u želucu, sub-ileus*, smanjena oštrina vida i škripanje/zviždanje u plućima.</w:t>
      </w:r>
    </w:p>
    <w:p w14:paraId="52F3BB40" w14:textId="77777777" w:rsidR="00E310B2" w:rsidRPr="00F334AF" w:rsidRDefault="00E310B2" w:rsidP="0034729B">
      <w:pPr>
        <w:pStyle w:val="Header"/>
        <w:tabs>
          <w:tab w:val="left" w:pos="284"/>
        </w:tabs>
        <w:ind w:right="65"/>
        <w:jc w:val="both"/>
        <w:rPr>
          <w:sz w:val="22"/>
          <w:szCs w:val="22"/>
          <w:lang w:val="sr-Latn-ME"/>
        </w:rPr>
      </w:pPr>
      <w:r w:rsidRPr="00F334AF">
        <w:rPr>
          <w:sz w:val="22"/>
          <w:szCs w:val="22"/>
          <w:lang w:val="sr-Latn-ME"/>
        </w:rPr>
        <w:t>*Zabilježeno kod pacijenata koji su uzimali više doze aprepitanta.</w:t>
      </w:r>
    </w:p>
    <w:p w14:paraId="45524BA7" w14:textId="77777777" w:rsidR="004E70AD" w:rsidRPr="00F334AF" w:rsidRDefault="004E70AD" w:rsidP="0034729B">
      <w:pPr>
        <w:tabs>
          <w:tab w:val="left" w:pos="540"/>
          <w:tab w:val="left" w:pos="569"/>
        </w:tabs>
        <w:jc w:val="both"/>
        <w:rPr>
          <w:b/>
          <w:bCs/>
          <w:sz w:val="22"/>
          <w:szCs w:val="22"/>
          <w:lang w:val="sr-Latn-ME"/>
        </w:rPr>
      </w:pPr>
    </w:p>
    <w:p w14:paraId="012D30AB" w14:textId="77777777" w:rsidR="005A23D2" w:rsidRPr="001F423A" w:rsidRDefault="005A23D2" w:rsidP="0034729B">
      <w:pPr>
        <w:spacing w:after="200" w:line="276" w:lineRule="auto"/>
        <w:jc w:val="both"/>
        <w:rPr>
          <w:rFonts w:eastAsia="Calibri"/>
          <w:sz w:val="22"/>
          <w:szCs w:val="22"/>
          <w:u w:val="single"/>
          <w:lang w:val="sr-Latn-ME"/>
        </w:rPr>
      </w:pPr>
      <w:r w:rsidRPr="001F423A">
        <w:rPr>
          <w:rFonts w:eastAsia="Calibri"/>
          <w:sz w:val="22"/>
          <w:szCs w:val="22"/>
          <w:u w:val="single"/>
          <w:lang w:val="sr-Latn-ME"/>
        </w:rPr>
        <w:lastRenderedPageBreak/>
        <w:t>Prijavljivanje sumnji na neželjena dejstva</w:t>
      </w:r>
    </w:p>
    <w:p w14:paraId="3DB0D249" w14:textId="77777777" w:rsidR="005A23D2" w:rsidRPr="001F423A" w:rsidRDefault="005A23D2" w:rsidP="00BB35C9">
      <w:pPr>
        <w:spacing w:after="200"/>
        <w:jc w:val="both"/>
        <w:rPr>
          <w:rFonts w:eastAsia="Calibri"/>
          <w:sz w:val="22"/>
          <w:szCs w:val="22"/>
          <w:lang w:val="sr-Latn-ME"/>
        </w:rPr>
      </w:pPr>
      <w:r w:rsidRPr="001F423A">
        <w:rPr>
          <w:rFonts w:eastAsia="Calibri"/>
          <w:sz w:val="22"/>
          <w:szCs w:val="22"/>
          <w:lang w:val="sr-Latn-ME"/>
        </w:rPr>
        <w:t>Prijavljivanje neželjenih dejstava nakon dobijanja dozvole je od velikog značaja jer obezbjeđuje kont</w:t>
      </w:r>
      <w:r w:rsidR="00EA5765" w:rsidRPr="001F423A">
        <w:rPr>
          <w:rFonts w:eastAsia="Calibri"/>
          <w:sz w:val="22"/>
          <w:szCs w:val="22"/>
          <w:lang w:val="sr-Latn-ME"/>
        </w:rPr>
        <w:t>inuirano praćenje odnosa korist</w:t>
      </w:r>
      <w:r w:rsidRPr="001F423A">
        <w:rPr>
          <w:rFonts w:eastAsia="Calibri"/>
          <w:sz w:val="22"/>
          <w:szCs w:val="22"/>
          <w:lang w:val="sr-Latn-ME"/>
        </w:rPr>
        <w:t>/rizik primjene lijeka. Zdravstveni radnici treba da prijave svaku sumnju na neželjeno</w:t>
      </w:r>
      <w:r w:rsidR="009B062A" w:rsidRPr="001F423A">
        <w:rPr>
          <w:rFonts w:eastAsia="Calibri"/>
          <w:sz w:val="22"/>
          <w:szCs w:val="22"/>
          <w:lang w:val="sr-Latn-ME"/>
        </w:rPr>
        <w:t xml:space="preserve"> </w:t>
      </w:r>
      <w:r w:rsidRPr="001F423A">
        <w:rPr>
          <w:rFonts w:eastAsia="Calibri"/>
          <w:sz w:val="22"/>
          <w:szCs w:val="22"/>
          <w:lang w:val="sr-Latn-ME"/>
        </w:rPr>
        <w:t xml:space="preserve">dejstvo ovog lijeka </w:t>
      </w:r>
      <w:r w:rsidR="004E70AD" w:rsidRPr="001F423A">
        <w:rPr>
          <w:rFonts w:eastAsia="Calibri"/>
          <w:sz w:val="22"/>
          <w:szCs w:val="22"/>
          <w:lang w:val="sr-Latn-ME"/>
        </w:rPr>
        <w:t>Institutu</w:t>
      </w:r>
      <w:r w:rsidRPr="001F423A">
        <w:rPr>
          <w:rFonts w:eastAsia="Calibri"/>
          <w:sz w:val="22"/>
          <w:szCs w:val="22"/>
          <w:lang w:val="sr-Latn-ME"/>
        </w:rPr>
        <w:t xml:space="preserve"> za ljekove i medicinska sredstva</w:t>
      </w:r>
      <w:r w:rsidR="004E70AD" w:rsidRPr="001F423A">
        <w:rPr>
          <w:rFonts w:eastAsia="Calibri"/>
          <w:sz w:val="22"/>
          <w:szCs w:val="22"/>
          <w:lang w:val="sr-Latn-ME"/>
        </w:rPr>
        <w:t xml:space="preserve"> </w:t>
      </w:r>
      <w:r w:rsidRPr="001F423A">
        <w:rPr>
          <w:rFonts w:eastAsia="Calibri"/>
          <w:sz w:val="22"/>
          <w:szCs w:val="22"/>
          <w:lang w:val="sr-Latn-ME"/>
        </w:rPr>
        <w:t>(</w:t>
      </w:r>
      <w:r w:rsidR="004E70AD" w:rsidRPr="001F423A">
        <w:rPr>
          <w:rFonts w:eastAsia="Calibri"/>
          <w:sz w:val="22"/>
          <w:szCs w:val="22"/>
          <w:lang w:val="sr-Latn-ME"/>
        </w:rPr>
        <w:t>CInMED</w:t>
      </w:r>
      <w:r w:rsidRPr="001F423A">
        <w:rPr>
          <w:rFonts w:eastAsia="Calibri"/>
          <w:sz w:val="22"/>
          <w:szCs w:val="22"/>
          <w:lang w:val="sr-Latn-ME"/>
        </w:rPr>
        <w:t>):</w:t>
      </w:r>
    </w:p>
    <w:p w14:paraId="437FFCE8" w14:textId="68BA4AED" w:rsidR="005A23D2" w:rsidRPr="001F423A" w:rsidRDefault="004E70AD" w:rsidP="00BB35C9">
      <w:pPr>
        <w:pStyle w:val="NoSpacing"/>
        <w:jc w:val="both"/>
        <w:rPr>
          <w:rFonts w:eastAsia="Calibri"/>
          <w:sz w:val="22"/>
          <w:szCs w:val="22"/>
          <w:lang w:val="sr-Latn-ME"/>
        </w:rPr>
      </w:pPr>
      <w:r w:rsidRPr="001F423A">
        <w:rPr>
          <w:rFonts w:eastAsia="Calibri"/>
          <w:sz w:val="22"/>
          <w:szCs w:val="22"/>
          <w:lang w:val="sr-Latn-ME"/>
        </w:rPr>
        <w:t xml:space="preserve">Institut </w:t>
      </w:r>
      <w:r w:rsidR="005A23D2" w:rsidRPr="001F423A">
        <w:rPr>
          <w:rFonts w:eastAsia="Calibri"/>
          <w:sz w:val="22"/>
          <w:szCs w:val="22"/>
          <w:lang w:val="sr-Latn-ME"/>
        </w:rPr>
        <w:t xml:space="preserve">za ljekove i medicinska sredstva </w:t>
      </w:r>
    </w:p>
    <w:p w14:paraId="2016330A" w14:textId="77777777" w:rsidR="005A23D2" w:rsidRPr="001F423A" w:rsidRDefault="005A23D2" w:rsidP="00BB35C9">
      <w:pPr>
        <w:pStyle w:val="NoSpacing"/>
        <w:jc w:val="both"/>
        <w:rPr>
          <w:rFonts w:eastAsia="Calibri"/>
          <w:sz w:val="22"/>
          <w:szCs w:val="22"/>
          <w:lang w:val="sr-Latn-ME"/>
        </w:rPr>
      </w:pPr>
      <w:r w:rsidRPr="001F423A">
        <w:rPr>
          <w:rFonts w:eastAsia="Calibri"/>
          <w:sz w:val="22"/>
          <w:szCs w:val="22"/>
          <w:lang w:val="sr-Latn-ME"/>
        </w:rPr>
        <w:t>Odjeljenje za farmakovigilancu</w:t>
      </w:r>
    </w:p>
    <w:p w14:paraId="0EB0C98C" w14:textId="77777777" w:rsidR="00EA5765" w:rsidRPr="001F423A" w:rsidRDefault="005A23D2">
      <w:pPr>
        <w:pStyle w:val="NoSpacing"/>
        <w:jc w:val="both"/>
        <w:rPr>
          <w:rFonts w:eastAsia="Calibri"/>
          <w:sz w:val="22"/>
          <w:szCs w:val="22"/>
          <w:lang w:val="sr-Latn-ME"/>
        </w:rPr>
      </w:pPr>
      <w:r w:rsidRPr="001F423A">
        <w:rPr>
          <w:rFonts w:eastAsia="Calibri"/>
          <w:sz w:val="22"/>
          <w:szCs w:val="22"/>
          <w:lang w:val="sr-Latn-ME"/>
        </w:rPr>
        <w:t>Bulevar Ivana Crnojevića 64a, 81000 Podgorica</w:t>
      </w:r>
    </w:p>
    <w:p w14:paraId="2F30BB34" w14:textId="77777777" w:rsidR="00EA5765" w:rsidRPr="001F423A" w:rsidRDefault="00EA5765" w:rsidP="0034729B">
      <w:pPr>
        <w:pStyle w:val="NoSpacing"/>
        <w:jc w:val="both"/>
        <w:rPr>
          <w:rFonts w:eastAsia="Calibri"/>
          <w:sz w:val="22"/>
          <w:szCs w:val="22"/>
          <w:lang w:val="sr-Latn-ME"/>
        </w:rPr>
      </w:pPr>
    </w:p>
    <w:p w14:paraId="7B8A8E55" w14:textId="77777777" w:rsidR="005A23D2" w:rsidRPr="001F423A" w:rsidRDefault="005A23D2" w:rsidP="00BB35C9">
      <w:pPr>
        <w:pStyle w:val="NoSpacing"/>
        <w:jc w:val="both"/>
        <w:rPr>
          <w:rFonts w:eastAsia="Calibri"/>
          <w:sz w:val="22"/>
          <w:szCs w:val="22"/>
          <w:lang w:val="sr-Latn-ME"/>
        </w:rPr>
      </w:pPr>
      <w:r w:rsidRPr="001F423A">
        <w:rPr>
          <w:rFonts w:eastAsia="Calibri"/>
          <w:sz w:val="22"/>
          <w:szCs w:val="22"/>
          <w:lang w:val="sr-Latn-ME"/>
        </w:rPr>
        <w:t>tel: +382 (0) 20 310 280</w:t>
      </w:r>
    </w:p>
    <w:p w14:paraId="0D8347EC" w14:textId="77777777" w:rsidR="00EA5765" w:rsidRPr="001F423A" w:rsidRDefault="005A23D2" w:rsidP="00BB35C9">
      <w:pPr>
        <w:pStyle w:val="NoSpacing"/>
        <w:jc w:val="both"/>
        <w:rPr>
          <w:rFonts w:eastAsia="Calibri"/>
          <w:sz w:val="22"/>
          <w:szCs w:val="22"/>
          <w:lang w:val="sr-Latn-ME"/>
        </w:rPr>
      </w:pPr>
      <w:r w:rsidRPr="001F423A">
        <w:rPr>
          <w:rFonts w:eastAsia="Calibri"/>
          <w:sz w:val="22"/>
          <w:szCs w:val="22"/>
          <w:lang w:val="sr-Latn-ME"/>
        </w:rPr>
        <w:t>fax:</w:t>
      </w:r>
      <w:r w:rsidR="00EA5765" w:rsidRPr="001F423A">
        <w:rPr>
          <w:rFonts w:eastAsia="Calibri"/>
          <w:sz w:val="22"/>
          <w:szCs w:val="22"/>
          <w:lang w:val="sr-Latn-ME"/>
        </w:rPr>
        <w:t xml:space="preserve"> </w:t>
      </w:r>
      <w:r w:rsidRPr="001F423A">
        <w:rPr>
          <w:rFonts w:eastAsia="Calibri"/>
          <w:sz w:val="22"/>
          <w:szCs w:val="22"/>
          <w:lang w:val="sr-Latn-ME"/>
        </w:rPr>
        <w:t>+382 (0) 20 310 581</w:t>
      </w:r>
    </w:p>
    <w:p w14:paraId="006AD1B9" w14:textId="77777777" w:rsidR="005A23D2" w:rsidRPr="001F423A" w:rsidRDefault="00D55354" w:rsidP="00BB35C9">
      <w:pPr>
        <w:pStyle w:val="NoSpacing"/>
        <w:jc w:val="both"/>
        <w:rPr>
          <w:rFonts w:eastAsia="Calibri"/>
          <w:sz w:val="22"/>
          <w:szCs w:val="22"/>
          <w:lang w:val="sr-Latn-ME"/>
        </w:rPr>
      </w:pPr>
      <w:hyperlink r:id="rId9" w:history="1">
        <w:r w:rsidR="004E70AD" w:rsidRPr="001F423A">
          <w:rPr>
            <w:rStyle w:val="Hyperlink"/>
            <w:rFonts w:eastAsia="Calibri"/>
            <w:sz w:val="22"/>
            <w:szCs w:val="22"/>
            <w:lang w:val="sr-Latn-ME"/>
          </w:rPr>
          <w:t>www.cinmed.me</w:t>
        </w:r>
      </w:hyperlink>
    </w:p>
    <w:p w14:paraId="1CFC6766" w14:textId="77777777" w:rsidR="00EA5765" w:rsidRPr="001F423A" w:rsidRDefault="00D55354" w:rsidP="00BB35C9">
      <w:pPr>
        <w:pStyle w:val="NoSpacing"/>
        <w:jc w:val="both"/>
        <w:rPr>
          <w:rFonts w:eastAsia="Calibri"/>
          <w:color w:val="0000FF"/>
          <w:sz w:val="22"/>
          <w:szCs w:val="22"/>
          <w:u w:val="single"/>
          <w:lang w:val="sr-Latn-ME"/>
        </w:rPr>
      </w:pPr>
      <w:hyperlink r:id="rId10" w:history="1">
        <w:r w:rsidR="004E70AD" w:rsidRPr="001F423A">
          <w:rPr>
            <w:rStyle w:val="Hyperlink"/>
            <w:rFonts w:eastAsia="Calibri"/>
            <w:sz w:val="22"/>
            <w:szCs w:val="22"/>
            <w:lang w:val="sr-Latn-ME"/>
          </w:rPr>
          <w:t>nezeljenadejstva@cinmed.me</w:t>
        </w:r>
      </w:hyperlink>
    </w:p>
    <w:p w14:paraId="1A176895" w14:textId="77777777" w:rsidR="005A23D2" w:rsidRPr="001F423A" w:rsidRDefault="005A23D2">
      <w:pPr>
        <w:pStyle w:val="NoSpacing"/>
        <w:jc w:val="both"/>
        <w:rPr>
          <w:rFonts w:eastAsia="Calibri"/>
          <w:sz w:val="22"/>
          <w:szCs w:val="22"/>
          <w:lang w:val="sr-Latn-ME"/>
        </w:rPr>
      </w:pPr>
      <w:r w:rsidRPr="001F423A">
        <w:rPr>
          <w:rFonts w:eastAsia="Calibri"/>
          <w:sz w:val="22"/>
          <w:szCs w:val="22"/>
          <w:lang w:val="sr-Latn-ME"/>
        </w:rPr>
        <w:t>putem IS zdravstvene zaštite</w:t>
      </w:r>
    </w:p>
    <w:p w14:paraId="65C8A560" w14:textId="77777777" w:rsidR="00EA2282" w:rsidRPr="001F423A" w:rsidRDefault="00EA2282" w:rsidP="00EA2282">
      <w:pPr>
        <w:pStyle w:val="NoSpacing"/>
        <w:jc w:val="both"/>
        <w:rPr>
          <w:rFonts w:eastAsia="Calibri"/>
          <w:sz w:val="22"/>
          <w:szCs w:val="22"/>
          <w:lang w:val="sr-Latn-ME"/>
        </w:rPr>
      </w:pPr>
      <w:r w:rsidRPr="001F423A">
        <w:rPr>
          <w:rFonts w:eastAsia="Calibri"/>
          <w:sz w:val="22"/>
          <w:szCs w:val="22"/>
          <w:lang w:val="sr-Latn-ME"/>
        </w:rPr>
        <w:t>QR kod za online prijavu sumnje na neželjeno dejstvo lijeka:</w:t>
      </w:r>
    </w:p>
    <w:p w14:paraId="0F13E7C6" w14:textId="0D19C693" w:rsidR="00836B35" w:rsidRPr="001F423A" w:rsidRDefault="00836B35" w:rsidP="0034729B">
      <w:pPr>
        <w:tabs>
          <w:tab w:val="left" w:pos="540"/>
          <w:tab w:val="left" w:pos="569"/>
        </w:tabs>
        <w:jc w:val="both"/>
        <w:rPr>
          <w:b/>
          <w:bCs/>
          <w:sz w:val="22"/>
          <w:szCs w:val="22"/>
          <w:lang w:val="sr-Latn-ME"/>
        </w:rPr>
      </w:pPr>
    </w:p>
    <w:p w14:paraId="30E3B791" w14:textId="3DF9438F" w:rsidR="00EA2282" w:rsidRPr="00F334AF" w:rsidRDefault="00EA2282" w:rsidP="0034729B">
      <w:pPr>
        <w:tabs>
          <w:tab w:val="left" w:pos="540"/>
          <w:tab w:val="left" w:pos="569"/>
        </w:tabs>
        <w:jc w:val="both"/>
        <w:rPr>
          <w:b/>
          <w:bCs/>
          <w:sz w:val="22"/>
          <w:szCs w:val="22"/>
          <w:lang w:val="sr-Latn-ME"/>
        </w:rPr>
      </w:pPr>
      <w:r w:rsidRPr="00F334AF">
        <w:rPr>
          <w:noProof/>
          <w:sz w:val="22"/>
          <w:szCs w:val="22"/>
        </w:rPr>
        <w:drawing>
          <wp:inline distT="0" distB="0" distL="0" distR="0" wp14:anchorId="34C086BA" wp14:editId="58FD5739">
            <wp:extent cx="971550" cy="971550"/>
            <wp:effectExtent l="0" t="0" r="0" b="0"/>
            <wp:docPr id="1" name="Picture 1"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EA19E7E" w14:textId="77777777" w:rsidR="00EA2282" w:rsidRPr="00F334AF" w:rsidRDefault="00EA2282" w:rsidP="0034729B">
      <w:pPr>
        <w:tabs>
          <w:tab w:val="left" w:pos="540"/>
          <w:tab w:val="left" w:pos="569"/>
        </w:tabs>
        <w:jc w:val="both"/>
        <w:rPr>
          <w:b/>
          <w:bCs/>
          <w:sz w:val="22"/>
          <w:szCs w:val="22"/>
          <w:lang w:val="sr-Latn-ME"/>
        </w:rPr>
      </w:pPr>
    </w:p>
    <w:p w14:paraId="09AF4547" w14:textId="77777777" w:rsidR="00CD6F02"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4.9. </w:t>
      </w:r>
      <w:r w:rsidR="00480FB1" w:rsidRPr="00F334AF">
        <w:rPr>
          <w:b/>
          <w:bCs/>
          <w:sz w:val="22"/>
          <w:szCs w:val="22"/>
          <w:lang w:val="sr-Latn-ME"/>
        </w:rPr>
        <w:tab/>
      </w:r>
      <w:r w:rsidRPr="00F334AF">
        <w:rPr>
          <w:b/>
          <w:bCs/>
          <w:sz w:val="22"/>
          <w:szCs w:val="22"/>
          <w:lang w:val="sr-Latn-ME"/>
        </w:rPr>
        <w:t>Predoziranje</w:t>
      </w:r>
      <w:r w:rsidR="002846DB" w:rsidRPr="00F334AF">
        <w:rPr>
          <w:b/>
          <w:bCs/>
          <w:sz w:val="22"/>
          <w:szCs w:val="22"/>
          <w:lang w:val="sr-Latn-ME"/>
        </w:rPr>
        <w:t xml:space="preserve"> </w:t>
      </w:r>
    </w:p>
    <w:p w14:paraId="24016250" w14:textId="77777777" w:rsidR="00CD6F02" w:rsidRPr="00F334AF" w:rsidRDefault="00CD6F02" w:rsidP="0034729B">
      <w:pPr>
        <w:tabs>
          <w:tab w:val="left" w:pos="540"/>
          <w:tab w:val="left" w:pos="569"/>
        </w:tabs>
        <w:jc w:val="both"/>
        <w:rPr>
          <w:b/>
          <w:bCs/>
          <w:sz w:val="22"/>
          <w:szCs w:val="22"/>
          <w:lang w:val="sr-Latn-ME"/>
        </w:rPr>
      </w:pPr>
    </w:p>
    <w:p w14:paraId="4E9E8235" w14:textId="2AC64618"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 xml:space="preserve">U slučaju predoziranja treba prekinuti terapiju lijekom </w:t>
      </w:r>
      <w:r w:rsidRPr="00F334AF">
        <w:rPr>
          <w:bCs/>
          <w:sz w:val="22"/>
          <w:szCs w:val="22"/>
          <w:lang w:val="sr-Latn-ME"/>
        </w:rPr>
        <w:t>EMEND</w:t>
      </w:r>
      <w:r w:rsidR="009D7C9B" w:rsidRPr="00F334AF">
        <w:rPr>
          <w:sz w:val="22"/>
          <w:szCs w:val="22"/>
          <w:lang w:val="sr-Latn-ME"/>
        </w:rPr>
        <w:t>,</w:t>
      </w:r>
      <w:r w:rsidRPr="00F334AF">
        <w:rPr>
          <w:sz w:val="22"/>
          <w:szCs w:val="22"/>
          <w:lang w:val="sr-Latn-ME"/>
        </w:rPr>
        <w:t xml:space="preserve"> primijeniti uobičajene</w:t>
      </w:r>
      <w:r w:rsidR="009F6604" w:rsidRPr="00F334AF">
        <w:rPr>
          <w:sz w:val="22"/>
          <w:szCs w:val="22"/>
          <w:lang w:val="sr-Latn-ME"/>
        </w:rPr>
        <w:t xml:space="preserve"> suportivne</w:t>
      </w:r>
      <w:r w:rsidRPr="00F334AF">
        <w:rPr>
          <w:sz w:val="22"/>
          <w:szCs w:val="22"/>
          <w:lang w:val="sr-Latn-ME"/>
        </w:rPr>
        <w:t xml:space="preserve"> mjere u slučaju predoziranja i nadgledati pacijenta. Pošto aprepitant djeluje antiemetički, izazivanj</w:t>
      </w:r>
      <w:r w:rsidR="00970B29" w:rsidRPr="00F334AF">
        <w:rPr>
          <w:sz w:val="22"/>
          <w:szCs w:val="22"/>
          <w:lang w:val="sr-Latn-ME"/>
        </w:rPr>
        <w:t xml:space="preserve">e </w:t>
      </w:r>
      <w:r w:rsidRPr="00F334AF">
        <w:rPr>
          <w:sz w:val="22"/>
          <w:szCs w:val="22"/>
          <w:lang w:val="sr-Latn-ME"/>
        </w:rPr>
        <w:t>povraćanj</w:t>
      </w:r>
      <w:r w:rsidR="00970B29" w:rsidRPr="00F334AF">
        <w:rPr>
          <w:sz w:val="22"/>
          <w:szCs w:val="22"/>
          <w:lang w:val="sr-Latn-ME"/>
        </w:rPr>
        <w:t>a</w:t>
      </w:r>
      <w:r w:rsidRPr="00F334AF">
        <w:rPr>
          <w:sz w:val="22"/>
          <w:szCs w:val="22"/>
          <w:lang w:val="sr-Latn-ME"/>
        </w:rPr>
        <w:t xml:space="preserve"> pomoću ljekova ne bi bilo efikasno.</w:t>
      </w:r>
    </w:p>
    <w:p w14:paraId="31F61714" w14:textId="77777777" w:rsidR="00E310B2" w:rsidRPr="00F334AF" w:rsidRDefault="00E310B2" w:rsidP="0034729B">
      <w:pPr>
        <w:tabs>
          <w:tab w:val="left" w:pos="284"/>
          <w:tab w:val="center" w:pos="4320"/>
          <w:tab w:val="right" w:pos="8640"/>
        </w:tabs>
        <w:ind w:right="65"/>
        <w:jc w:val="both"/>
        <w:rPr>
          <w:sz w:val="22"/>
          <w:szCs w:val="22"/>
          <w:lang w:val="sr-Latn-ME"/>
        </w:rPr>
      </w:pPr>
    </w:p>
    <w:p w14:paraId="64256B05" w14:textId="2CFD9ADD" w:rsidR="00227BDB" w:rsidRPr="00F334AF" w:rsidRDefault="00E310B2" w:rsidP="0034729B">
      <w:pPr>
        <w:tabs>
          <w:tab w:val="left" w:pos="540"/>
          <w:tab w:val="left" w:pos="569"/>
        </w:tabs>
        <w:jc w:val="both"/>
        <w:rPr>
          <w:sz w:val="22"/>
          <w:szCs w:val="22"/>
          <w:lang w:val="sr-Latn-ME"/>
        </w:rPr>
      </w:pPr>
      <w:r w:rsidRPr="00F334AF">
        <w:rPr>
          <w:sz w:val="22"/>
          <w:szCs w:val="22"/>
          <w:lang w:val="sr-Latn-ME"/>
        </w:rPr>
        <w:t>Aprepitant se ne može ukloniti iz organizma hemodijalizom.</w:t>
      </w:r>
    </w:p>
    <w:p w14:paraId="182ADE23" w14:textId="6CCBDD29" w:rsidR="00E310B2" w:rsidRPr="00F334AF" w:rsidRDefault="00E310B2" w:rsidP="0034729B">
      <w:pPr>
        <w:tabs>
          <w:tab w:val="left" w:pos="540"/>
          <w:tab w:val="left" w:pos="569"/>
        </w:tabs>
        <w:jc w:val="both"/>
        <w:rPr>
          <w:b/>
          <w:bCs/>
          <w:sz w:val="22"/>
          <w:szCs w:val="22"/>
          <w:lang w:val="sr-Latn-ME"/>
        </w:rPr>
      </w:pPr>
    </w:p>
    <w:p w14:paraId="63F04E53" w14:textId="77777777" w:rsidR="008D721F" w:rsidRPr="00F334AF" w:rsidRDefault="008D721F" w:rsidP="0034729B">
      <w:pPr>
        <w:tabs>
          <w:tab w:val="left" w:pos="540"/>
          <w:tab w:val="left" w:pos="569"/>
        </w:tabs>
        <w:jc w:val="both"/>
        <w:rPr>
          <w:b/>
          <w:bCs/>
          <w:sz w:val="22"/>
          <w:szCs w:val="22"/>
          <w:lang w:val="sr-Latn-ME"/>
        </w:rPr>
      </w:pPr>
    </w:p>
    <w:p w14:paraId="0A8779BF" w14:textId="77777777" w:rsidR="0072020E"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5. </w:t>
      </w:r>
      <w:r w:rsidR="00480FB1" w:rsidRPr="00F334AF">
        <w:rPr>
          <w:b/>
          <w:bCs/>
          <w:sz w:val="22"/>
          <w:szCs w:val="22"/>
          <w:lang w:val="sr-Latn-ME"/>
        </w:rPr>
        <w:tab/>
      </w:r>
      <w:r w:rsidRPr="00F334AF">
        <w:rPr>
          <w:b/>
          <w:bCs/>
          <w:sz w:val="22"/>
          <w:szCs w:val="22"/>
          <w:lang w:val="sr-Latn-ME"/>
        </w:rPr>
        <w:t>FARMAKOLOŠK</w:t>
      </w:r>
      <w:r w:rsidR="000D425A" w:rsidRPr="00F334AF">
        <w:rPr>
          <w:b/>
          <w:bCs/>
          <w:sz w:val="22"/>
          <w:szCs w:val="22"/>
          <w:lang w:val="sr-Latn-ME"/>
        </w:rPr>
        <w:t>I</w:t>
      </w:r>
      <w:r w:rsidRPr="00F334AF">
        <w:rPr>
          <w:b/>
          <w:bCs/>
          <w:sz w:val="22"/>
          <w:szCs w:val="22"/>
          <w:lang w:val="sr-Latn-ME"/>
        </w:rPr>
        <w:t xml:space="preserve"> PODACI</w:t>
      </w:r>
    </w:p>
    <w:p w14:paraId="0A5644CB" w14:textId="77777777" w:rsidR="0072020E" w:rsidRPr="00F334AF" w:rsidRDefault="0072020E" w:rsidP="0034729B">
      <w:pPr>
        <w:tabs>
          <w:tab w:val="left" w:pos="540"/>
          <w:tab w:val="left" w:pos="569"/>
        </w:tabs>
        <w:jc w:val="both"/>
        <w:rPr>
          <w:b/>
          <w:bCs/>
          <w:sz w:val="22"/>
          <w:szCs w:val="22"/>
          <w:lang w:val="sr-Latn-ME"/>
        </w:rPr>
      </w:pPr>
    </w:p>
    <w:p w14:paraId="2A99E043" w14:textId="77777777" w:rsidR="0072020E"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5.1. </w:t>
      </w:r>
      <w:r w:rsidR="00480FB1" w:rsidRPr="00F334AF">
        <w:rPr>
          <w:b/>
          <w:bCs/>
          <w:sz w:val="22"/>
          <w:szCs w:val="22"/>
          <w:lang w:val="sr-Latn-ME"/>
        </w:rPr>
        <w:tab/>
      </w:r>
      <w:r w:rsidRPr="00F334AF">
        <w:rPr>
          <w:b/>
          <w:bCs/>
          <w:sz w:val="22"/>
          <w:szCs w:val="22"/>
          <w:lang w:val="sr-Latn-ME"/>
        </w:rPr>
        <w:t>Farmakodinamski podaci</w:t>
      </w:r>
      <w:r w:rsidR="003A7059" w:rsidRPr="00F334AF">
        <w:rPr>
          <w:b/>
          <w:bCs/>
          <w:sz w:val="22"/>
          <w:szCs w:val="22"/>
          <w:lang w:val="sr-Latn-ME"/>
        </w:rPr>
        <w:t xml:space="preserve"> </w:t>
      </w:r>
    </w:p>
    <w:p w14:paraId="6C3D2CE0" w14:textId="77777777" w:rsidR="00F45F77" w:rsidRPr="00F334AF" w:rsidRDefault="00F45F77" w:rsidP="0034729B">
      <w:pPr>
        <w:tabs>
          <w:tab w:val="left" w:pos="540"/>
          <w:tab w:val="left" w:pos="569"/>
        </w:tabs>
        <w:jc w:val="both"/>
        <w:rPr>
          <w:b/>
          <w:bCs/>
          <w:sz w:val="22"/>
          <w:szCs w:val="22"/>
          <w:lang w:val="sr-Latn-ME"/>
        </w:rPr>
      </w:pPr>
    </w:p>
    <w:p w14:paraId="01EF729B" w14:textId="137BE295" w:rsidR="0072020E" w:rsidRPr="00F334AF" w:rsidRDefault="0072020E" w:rsidP="0034729B">
      <w:pPr>
        <w:tabs>
          <w:tab w:val="left" w:pos="540"/>
          <w:tab w:val="left" w:pos="569"/>
        </w:tabs>
        <w:jc w:val="both"/>
        <w:rPr>
          <w:bCs/>
          <w:sz w:val="22"/>
          <w:szCs w:val="22"/>
          <w:lang w:val="sr-Latn-ME"/>
        </w:rPr>
      </w:pPr>
      <w:r w:rsidRPr="00F334AF">
        <w:rPr>
          <w:bCs/>
          <w:sz w:val="22"/>
          <w:szCs w:val="22"/>
          <w:lang w:val="sr-Latn-ME"/>
        </w:rPr>
        <w:t>Farmakoterapijska grupa:</w:t>
      </w:r>
      <w:r w:rsidR="00E310B2" w:rsidRPr="00F334AF">
        <w:rPr>
          <w:sz w:val="22"/>
          <w:szCs w:val="22"/>
          <w:lang w:val="sr-Latn-ME"/>
        </w:rPr>
        <w:t xml:space="preserve"> </w:t>
      </w:r>
      <w:r w:rsidR="00E310B2" w:rsidRPr="00F334AF">
        <w:rPr>
          <w:bCs/>
          <w:sz w:val="22"/>
          <w:szCs w:val="22"/>
          <w:lang w:val="sr-Latn-ME"/>
        </w:rPr>
        <w:t>Antiemetici i ljekovi za suzbijanje mučnine</w:t>
      </w:r>
    </w:p>
    <w:p w14:paraId="5A0C6712" w14:textId="77777777" w:rsidR="0072020E" w:rsidRPr="00F334AF" w:rsidRDefault="0072020E" w:rsidP="0034729B">
      <w:pPr>
        <w:tabs>
          <w:tab w:val="left" w:pos="540"/>
          <w:tab w:val="left" w:pos="569"/>
        </w:tabs>
        <w:jc w:val="both"/>
        <w:rPr>
          <w:bCs/>
          <w:sz w:val="22"/>
          <w:szCs w:val="22"/>
          <w:lang w:val="sr-Latn-ME"/>
        </w:rPr>
      </w:pPr>
    </w:p>
    <w:p w14:paraId="28DAF150" w14:textId="4D689BA1" w:rsidR="0072020E" w:rsidRPr="00F334AF" w:rsidRDefault="0072020E" w:rsidP="0034729B">
      <w:pPr>
        <w:tabs>
          <w:tab w:val="left" w:pos="540"/>
          <w:tab w:val="left" w:pos="569"/>
        </w:tabs>
        <w:jc w:val="both"/>
        <w:rPr>
          <w:bCs/>
          <w:sz w:val="22"/>
          <w:szCs w:val="22"/>
          <w:lang w:val="sr-Latn-ME"/>
        </w:rPr>
      </w:pPr>
      <w:r w:rsidRPr="00F334AF">
        <w:rPr>
          <w:bCs/>
          <w:sz w:val="22"/>
          <w:szCs w:val="22"/>
          <w:lang w:val="sr-Latn-ME"/>
        </w:rPr>
        <w:t>ATC kod:</w:t>
      </w:r>
      <w:r w:rsidR="00E310B2" w:rsidRPr="00F334AF">
        <w:rPr>
          <w:sz w:val="22"/>
          <w:szCs w:val="22"/>
          <w:lang w:val="sr-Latn-ME"/>
        </w:rPr>
        <w:t xml:space="preserve"> A04AD12</w:t>
      </w:r>
    </w:p>
    <w:p w14:paraId="72685763" w14:textId="01E2DA29" w:rsidR="002E37A5" w:rsidRPr="00F334AF" w:rsidRDefault="002E37A5" w:rsidP="0034729B">
      <w:pPr>
        <w:tabs>
          <w:tab w:val="left" w:pos="540"/>
          <w:tab w:val="left" w:pos="569"/>
        </w:tabs>
        <w:jc w:val="both"/>
        <w:rPr>
          <w:b/>
          <w:bCs/>
          <w:sz w:val="22"/>
          <w:szCs w:val="22"/>
          <w:lang w:val="sr-Latn-ME"/>
        </w:rPr>
      </w:pPr>
    </w:p>
    <w:p w14:paraId="287BA0E7" w14:textId="2EEA695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Aprepitant je selektivni antagonista visokog afiniteta</w:t>
      </w:r>
      <w:r w:rsidR="00C06434" w:rsidRPr="00F334AF">
        <w:rPr>
          <w:sz w:val="22"/>
          <w:szCs w:val="22"/>
          <w:lang w:val="sr-Latn-ME"/>
        </w:rPr>
        <w:t xml:space="preserve"> za humani receptor neurokinina 1 (NK1)</w:t>
      </w:r>
      <w:r w:rsidR="009973DD">
        <w:rPr>
          <w:sz w:val="22"/>
          <w:szCs w:val="22"/>
          <w:lang w:val="sr-Latn-ME"/>
        </w:rPr>
        <w:t xml:space="preserve"> </w:t>
      </w:r>
      <w:r w:rsidR="00C06434" w:rsidRPr="00F334AF">
        <w:rPr>
          <w:sz w:val="22"/>
          <w:szCs w:val="22"/>
          <w:lang w:val="sr-Latn-ME"/>
        </w:rPr>
        <w:t>supstance P.</w:t>
      </w:r>
    </w:p>
    <w:p w14:paraId="29D88314" w14:textId="77777777" w:rsidR="00E310B2" w:rsidRPr="00F334AF" w:rsidRDefault="00E310B2" w:rsidP="0034729B">
      <w:pPr>
        <w:tabs>
          <w:tab w:val="left" w:pos="284"/>
          <w:tab w:val="center" w:pos="4320"/>
          <w:tab w:val="right" w:pos="8640"/>
        </w:tabs>
        <w:ind w:right="65"/>
        <w:jc w:val="both"/>
        <w:rPr>
          <w:sz w:val="22"/>
          <w:szCs w:val="22"/>
          <w:u w:val="single"/>
          <w:lang w:val="sr-Latn-ME"/>
        </w:rPr>
      </w:pPr>
    </w:p>
    <w:p w14:paraId="722962D7" w14:textId="77777777" w:rsidR="00E310B2" w:rsidRPr="00F334AF" w:rsidRDefault="00E310B2" w:rsidP="0034729B">
      <w:pPr>
        <w:tabs>
          <w:tab w:val="left" w:pos="284"/>
          <w:tab w:val="center" w:pos="4320"/>
          <w:tab w:val="right" w:pos="8640"/>
        </w:tabs>
        <w:ind w:right="65"/>
        <w:jc w:val="both"/>
        <w:rPr>
          <w:sz w:val="22"/>
          <w:szCs w:val="22"/>
          <w:u w:val="single"/>
          <w:lang w:val="sr-Latn-ME"/>
        </w:rPr>
      </w:pPr>
      <w:r w:rsidRPr="00F334AF">
        <w:rPr>
          <w:sz w:val="22"/>
          <w:szCs w:val="22"/>
          <w:u w:val="single"/>
          <w:lang w:val="sr-Latn-ME"/>
        </w:rPr>
        <w:t xml:space="preserve">3-dnevni režim terapije aprepitantom kod odraslih </w:t>
      </w:r>
    </w:p>
    <w:p w14:paraId="38C1C45F" w14:textId="6F837355"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U dva randomiz</w:t>
      </w:r>
      <w:r w:rsidR="009D7C9B" w:rsidRPr="00F334AF">
        <w:rPr>
          <w:sz w:val="22"/>
          <w:szCs w:val="22"/>
          <w:lang w:val="sr-Latn-ME"/>
        </w:rPr>
        <w:t>ovana</w:t>
      </w:r>
      <w:r w:rsidRPr="00F334AF">
        <w:rPr>
          <w:sz w:val="22"/>
          <w:szCs w:val="22"/>
          <w:lang w:val="sr-Latn-ME"/>
        </w:rPr>
        <w:t xml:space="preserve">, dvostruko slijepa ispitivanja sa ukupno 1094 odraslih pacijenata na hemoterapiji koji su primali cisplatin u dozi od </w:t>
      </w:r>
      <w:r w:rsidRPr="00F334AF">
        <w:rPr>
          <w:sz w:val="22"/>
          <w:szCs w:val="22"/>
          <w:lang w:val="sr-Latn-ME"/>
        </w:rPr>
        <w:sym w:font="Symbol" w:char="F0B3"/>
      </w:r>
      <w:r w:rsidRPr="00F334AF">
        <w:rPr>
          <w:sz w:val="22"/>
          <w:szCs w:val="22"/>
          <w:lang w:val="sr-Latn-ME"/>
        </w:rPr>
        <w:t xml:space="preserve"> 70 mg/m</w:t>
      </w:r>
      <w:r w:rsidRPr="00F334AF">
        <w:rPr>
          <w:sz w:val="22"/>
          <w:szCs w:val="22"/>
          <w:vertAlign w:val="superscript"/>
          <w:lang w:val="sr-Latn-ME"/>
        </w:rPr>
        <w:t>2</w:t>
      </w:r>
      <w:r w:rsidRPr="00F334AF">
        <w:rPr>
          <w:sz w:val="22"/>
          <w:szCs w:val="22"/>
          <w:lang w:val="sr-Latn-ME"/>
        </w:rPr>
        <w:t>, upoređivani su režimi liječenja aprepitanta u kombinaciji sa ondansetronom/deksametazonom (vidjeti dio 4.2) sa standardnim režimom liječenja (placebo sa ondansetronom prim</w:t>
      </w:r>
      <w:r w:rsidR="009D7C9B" w:rsidRPr="00F334AF">
        <w:rPr>
          <w:sz w:val="22"/>
          <w:szCs w:val="22"/>
          <w:lang w:val="sr-Latn-ME"/>
        </w:rPr>
        <w:t>i</w:t>
      </w:r>
      <w:r w:rsidRPr="00F334AF">
        <w:rPr>
          <w:sz w:val="22"/>
          <w:szCs w:val="22"/>
          <w:lang w:val="sr-Latn-ME"/>
        </w:rPr>
        <w:t>jenjenim intravenski u dozi od 32 mg plus 20 mg deksametazona oralno na prvi dan liječenja, i u dozi od 8 mg dva puta dnevno od drugog do četvrtog dana liječenja). Iako se doza od 32 mg intravenski prim</w:t>
      </w:r>
      <w:r w:rsidR="009D7C9B" w:rsidRPr="00F334AF">
        <w:rPr>
          <w:sz w:val="22"/>
          <w:szCs w:val="22"/>
          <w:lang w:val="sr-Latn-ME"/>
        </w:rPr>
        <w:t>i</w:t>
      </w:r>
      <w:r w:rsidRPr="00F334AF">
        <w:rPr>
          <w:sz w:val="22"/>
          <w:szCs w:val="22"/>
          <w:lang w:val="sr-Latn-ME"/>
        </w:rPr>
        <w:t>jenjenog ondansetrona koristila u kliničkim ispitivanjima, ovo više nije preporučena doza. Pogledajte sažetak karakteristika izabranog 5-HT</w:t>
      </w:r>
      <w:r w:rsidRPr="00F334AF">
        <w:rPr>
          <w:sz w:val="22"/>
          <w:szCs w:val="22"/>
          <w:vertAlign w:val="subscript"/>
          <w:lang w:val="sr-Latn-ME"/>
        </w:rPr>
        <w:t>3</w:t>
      </w:r>
      <w:r w:rsidRPr="00F334AF">
        <w:rPr>
          <w:sz w:val="22"/>
          <w:szCs w:val="22"/>
          <w:lang w:val="sr-Latn-ME"/>
        </w:rPr>
        <w:t xml:space="preserve"> antagoniste za informacije o odgovarajućem doziranju,</w:t>
      </w:r>
    </w:p>
    <w:p w14:paraId="7C974A7F" w14:textId="77777777" w:rsidR="00E310B2" w:rsidRPr="00F334AF" w:rsidRDefault="00E310B2" w:rsidP="0034729B">
      <w:pPr>
        <w:tabs>
          <w:tab w:val="left" w:pos="284"/>
          <w:tab w:val="center" w:pos="4320"/>
          <w:tab w:val="right" w:pos="8640"/>
        </w:tabs>
        <w:ind w:right="65"/>
        <w:jc w:val="both"/>
        <w:rPr>
          <w:sz w:val="22"/>
          <w:szCs w:val="22"/>
          <w:lang w:val="sr-Latn-ME"/>
        </w:rPr>
      </w:pPr>
    </w:p>
    <w:p w14:paraId="0E49D19B" w14:textId="61DC3B40" w:rsidR="009973DD"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 xml:space="preserve">Procjena efikasnosti zasnivala se na sljedećem zbirnom parametru efikasnosti: potpuni odgovor na terapiju (definisan kao potpuni izostanak povraćanja i nekorišćenja druge terapijske linije tj. </w:t>
      </w:r>
      <w:r w:rsidR="00C06434" w:rsidRPr="00F334AF">
        <w:rPr>
          <w:sz w:val="22"/>
          <w:szCs w:val="22"/>
          <w:lang w:val="sr-Latn-ME"/>
        </w:rPr>
        <w:t>d</w:t>
      </w:r>
      <w:r w:rsidRPr="00F334AF">
        <w:rPr>
          <w:sz w:val="22"/>
          <w:szCs w:val="22"/>
          <w:lang w:val="sr-Latn-ME"/>
        </w:rPr>
        <w:t>avanja</w:t>
      </w:r>
      <w:r w:rsidR="009973DD">
        <w:rPr>
          <w:sz w:val="22"/>
          <w:szCs w:val="22"/>
          <w:lang w:val="sr-Latn-ME"/>
        </w:rPr>
        <w:t xml:space="preserve"> </w:t>
      </w:r>
      <w:r w:rsidRPr="00F334AF">
        <w:rPr>
          <w:sz w:val="22"/>
          <w:szCs w:val="22"/>
          <w:lang w:val="sr-Latn-ME"/>
        </w:rPr>
        <w:lastRenderedPageBreak/>
        <w:t xml:space="preserve">ljekova za </w:t>
      </w:r>
      <w:r w:rsidR="006A5302" w:rsidRPr="00F334AF">
        <w:rPr>
          <w:sz w:val="22"/>
          <w:szCs w:val="22"/>
          <w:lang w:val="sr-Latn-ME"/>
        </w:rPr>
        <w:t>olakšanje</w:t>
      </w:r>
      <w:r w:rsidRPr="00F334AF">
        <w:rPr>
          <w:sz w:val="22"/>
          <w:szCs w:val="22"/>
          <w:lang w:val="sr-Latn-ME"/>
        </w:rPr>
        <w:t xml:space="preserve"> simptoma), a najviše u prvom ciklusu terapije. Analizirani su rezultati svakog ispitivanja zasebno, a onda za obje studije zajedno.</w:t>
      </w:r>
    </w:p>
    <w:p w14:paraId="2E4DF13F" w14:textId="77777777" w:rsidR="009973DD" w:rsidRPr="00F334AF" w:rsidRDefault="009973DD" w:rsidP="0034729B">
      <w:pPr>
        <w:tabs>
          <w:tab w:val="left" w:pos="284"/>
          <w:tab w:val="center" w:pos="4320"/>
          <w:tab w:val="right" w:pos="8640"/>
        </w:tabs>
        <w:ind w:right="65"/>
        <w:jc w:val="both"/>
        <w:rPr>
          <w:sz w:val="22"/>
          <w:szCs w:val="22"/>
          <w:lang w:val="sr-Latn-ME"/>
        </w:rPr>
      </w:pPr>
    </w:p>
    <w:p w14:paraId="2C43E710" w14:textId="01D9C18B" w:rsidR="00E310B2" w:rsidRPr="00F334AF" w:rsidRDefault="009D7C9B" w:rsidP="0034729B">
      <w:pPr>
        <w:tabs>
          <w:tab w:val="left" w:pos="284"/>
          <w:tab w:val="center" w:pos="4320"/>
          <w:tab w:val="right" w:pos="8640"/>
        </w:tabs>
        <w:ind w:right="65"/>
        <w:jc w:val="both"/>
        <w:rPr>
          <w:sz w:val="22"/>
          <w:szCs w:val="22"/>
          <w:lang w:val="sr-Latn-ME"/>
        </w:rPr>
      </w:pPr>
      <w:r w:rsidRPr="00F334AF">
        <w:rPr>
          <w:sz w:val="22"/>
          <w:szCs w:val="22"/>
          <w:lang w:val="sr-Latn-ME"/>
        </w:rPr>
        <w:t>U</w:t>
      </w:r>
      <w:r w:rsidR="00E310B2" w:rsidRPr="00F334AF">
        <w:rPr>
          <w:sz w:val="22"/>
          <w:szCs w:val="22"/>
          <w:lang w:val="sr-Latn-ME"/>
        </w:rPr>
        <w:t xml:space="preserve"> Tabeli 1 dat je sažeti prikaz najvažnijih rezultata dobijenih analizom zbirnih podataka:</w:t>
      </w:r>
    </w:p>
    <w:p w14:paraId="440427F4" w14:textId="77777777" w:rsidR="00E310B2" w:rsidRPr="00F334AF" w:rsidRDefault="00E310B2" w:rsidP="0034729B">
      <w:pPr>
        <w:tabs>
          <w:tab w:val="left" w:pos="284"/>
          <w:tab w:val="center" w:pos="4320"/>
          <w:tab w:val="right" w:pos="8640"/>
        </w:tabs>
        <w:ind w:right="65"/>
        <w:jc w:val="both"/>
        <w:rPr>
          <w:sz w:val="22"/>
          <w:szCs w:val="22"/>
          <w:lang w:val="sr-Latn-ME"/>
        </w:rPr>
      </w:pPr>
    </w:p>
    <w:p w14:paraId="6E7D9EFE" w14:textId="77777777" w:rsidR="00E310B2" w:rsidRPr="00F334AF" w:rsidRDefault="00E310B2" w:rsidP="00256EDE">
      <w:pPr>
        <w:tabs>
          <w:tab w:val="left" w:pos="284"/>
          <w:tab w:val="center" w:pos="4320"/>
          <w:tab w:val="right" w:pos="8640"/>
        </w:tabs>
        <w:ind w:right="65"/>
        <w:jc w:val="center"/>
        <w:rPr>
          <w:b/>
          <w:sz w:val="22"/>
          <w:szCs w:val="22"/>
          <w:lang w:val="sr-Latn-ME"/>
        </w:rPr>
      </w:pPr>
      <w:r w:rsidRPr="00F334AF">
        <w:rPr>
          <w:b/>
          <w:sz w:val="22"/>
          <w:szCs w:val="22"/>
          <w:lang w:val="sr-Latn-ME"/>
        </w:rPr>
        <w:t>Tabela 1</w:t>
      </w:r>
    </w:p>
    <w:p w14:paraId="644970EE" w14:textId="77777777" w:rsidR="00E310B2" w:rsidRPr="00F334AF" w:rsidRDefault="00E310B2">
      <w:pPr>
        <w:tabs>
          <w:tab w:val="left" w:pos="284"/>
          <w:tab w:val="center" w:pos="4320"/>
          <w:tab w:val="right" w:pos="8640"/>
        </w:tabs>
        <w:ind w:right="65"/>
        <w:jc w:val="center"/>
        <w:rPr>
          <w:b/>
          <w:sz w:val="22"/>
          <w:szCs w:val="22"/>
          <w:lang w:val="sr-Latn-ME"/>
        </w:rPr>
      </w:pPr>
      <w:r w:rsidRPr="00F334AF">
        <w:rPr>
          <w:b/>
          <w:sz w:val="22"/>
          <w:szCs w:val="22"/>
          <w:lang w:val="sr-Latn-ME"/>
        </w:rPr>
        <w:t>Procenat odraslih pacijenata na izrazito emetogenoj hemoterapiji koji su odgovorili na liječenje, a na osnovu terapijske grupe i faze liječenja – 1. ciklus</w:t>
      </w:r>
    </w:p>
    <w:p w14:paraId="707E41A2" w14:textId="77777777" w:rsidR="00E310B2" w:rsidRPr="00F334AF" w:rsidRDefault="00E310B2" w:rsidP="0034729B">
      <w:pPr>
        <w:tabs>
          <w:tab w:val="left" w:pos="284"/>
          <w:tab w:val="center" w:pos="4320"/>
          <w:tab w:val="right" w:pos="8640"/>
        </w:tabs>
        <w:ind w:right="65"/>
        <w:jc w:val="both"/>
        <w:rPr>
          <w:sz w:val="22"/>
          <w:szCs w:val="22"/>
          <w:lang w:val="sr-Latn-ME"/>
        </w:rPr>
      </w:pPr>
    </w:p>
    <w:p w14:paraId="36A8E8A0" w14:textId="77777777" w:rsidR="00E310B2" w:rsidRPr="00F334AF" w:rsidRDefault="00E310B2" w:rsidP="0034729B">
      <w:pPr>
        <w:tabs>
          <w:tab w:val="left" w:pos="284"/>
          <w:tab w:val="center" w:pos="4320"/>
          <w:tab w:val="right" w:pos="8640"/>
        </w:tabs>
        <w:ind w:right="65"/>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620"/>
        <w:gridCol w:w="1620"/>
        <w:gridCol w:w="1396"/>
        <w:gridCol w:w="188"/>
        <w:gridCol w:w="1584"/>
      </w:tblGrid>
      <w:tr w:rsidR="00B043ED" w:rsidRPr="00F334AF" w14:paraId="271793BB" w14:textId="77777777" w:rsidTr="00B043ED">
        <w:trPr>
          <w:trHeight w:val="503"/>
        </w:trPr>
        <w:tc>
          <w:tcPr>
            <w:tcW w:w="2448" w:type="dxa"/>
            <w:vMerge w:val="restart"/>
            <w:shd w:val="clear" w:color="auto" w:fill="auto"/>
          </w:tcPr>
          <w:p w14:paraId="08F116DF" w14:textId="77777777" w:rsidR="00B043ED" w:rsidRPr="00F334AF" w:rsidRDefault="00B043ED" w:rsidP="0034729B">
            <w:pPr>
              <w:tabs>
                <w:tab w:val="left" w:pos="284"/>
                <w:tab w:val="center" w:pos="4320"/>
                <w:tab w:val="right" w:pos="8640"/>
              </w:tabs>
              <w:ind w:right="65"/>
              <w:jc w:val="both"/>
              <w:rPr>
                <w:sz w:val="22"/>
                <w:szCs w:val="22"/>
                <w:lang w:val="sr-Latn-ME"/>
              </w:rPr>
            </w:pPr>
            <w:r w:rsidRPr="00F334AF">
              <w:rPr>
                <w:sz w:val="22"/>
                <w:szCs w:val="22"/>
                <w:lang w:val="sr-Latn-ME"/>
              </w:rPr>
              <w:t>Zbirni parametar</w:t>
            </w:r>
          </w:p>
        </w:tc>
        <w:tc>
          <w:tcPr>
            <w:tcW w:w="1620" w:type="dxa"/>
            <w:vMerge w:val="restart"/>
            <w:shd w:val="clear" w:color="auto" w:fill="auto"/>
          </w:tcPr>
          <w:p w14:paraId="24072D33" w14:textId="77777777" w:rsidR="00B043ED" w:rsidRPr="00F334AF" w:rsidRDefault="00B043ED" w:rsidP="0034729B">
            <w:pPr>
              <w:tabs>
                <w:tab w:val="left" w:pos="284"/>
                <w:tab w:val="center" w:pos="4320"/>
                <w:tab w:val="right" w:pos="8640"/>
              </w:tabs>
              <w:ind w:right="65"/>
              <w:jc w:val="both"/>
              <w:rPr>
                <w:sz w:val="22"/>
                <w:szCs w:val="22"/>
                <w:lang w:val="sr-Latn-ME"/>
              </w:rPr>
            </w:pPr>
            <w:r w:rsidRPr="00F334AF">
              <w:rPr>
                <w:sz w:val="22"/>
                <w:szCs w:val="22"/>
                <w:lang w:val="sr-Latn-ME"/>
              </w:rPr>
              <w:t>Aprepitant</w:t>
            </w:r>
          </w:p>
          <w:p w14:paraId="425DBC3E" w14:textId="77777777" w:rsidR="00B043ED" w:rsidRPr="00F334AF" w:rsidRDefault="00B043ED" w:rsidP="0034729B">
            <w:pPr>
              <w:tabs>
                <w:tab w:val="left" w:pos="284"/>
                <w:tab w:val="center" w:pos="4320"/>
                <w:tab w:val="right" w:pos="8640"/>
              </w:tabs>
              <w:ind w:right="65"/>
              <w:jc w:val="both"/>
              <w:rPr>
                <w:sz w:val="22"/>
                <w:szCs w:val="22"/>
                <w:lang w:val="sr-Latn-ME"/>
              </w:rPr>
            </w:pPr>
            <w:r w:rsidRPr="00F334AF">
              <w:rPr>
                <w:sz w:val="22"/>
                <w:szCs w:val="22"/>
                <w:lang w:val="sr-Latn-ME"/>
              </w:rPr>
              <w:t>(N=521)†</w:t>
            </w:r>
          </w:p>
          <w:p w14:paraId="210B71A3" w14:textId="77777777" w:rsidR="00B043ED" w:rsidRPr="00F334AF" w:rsidRDefault="00B043ED" w:rsidP="0034729B">
            <w:pPr>
              <w:tabs>
                <w:tab w:val="left" w:pos="284"/>
                <w:tab w:val="center" w:pos="4320"/>
                <w:tab w:val="right" w:pos="8640"/>
              </w:tabs>
              <w:ind w:right="65"/>
              <w:jc w:val="both"/>
              <w:rPr>
                <w:sz w:val="22"/>
                <w:szCs w:val="22"/>
                <w:lang w:val="sr-Latn-ME"/>
              </w:rPr>
            </w:pPr>
            <w:r w:rsidRPr="00F334AF">
              <w:rPr>
                <w:sz w:val="22"/>
                <w:szCs w:val="22"/>
                <w:lang w:val="sr-Latn-ME"/>
              </w:rPr>
              <w:t>%</w:t>
            </w:r>
          </w:p>
        </w:tc>
        <w:tc>
          <w:tcPr>
            <w:tcW w:w="1620" w:type="dxa"/>
            <w:vMerge w:val="restart"/>
            <w:shd w:val="clear" w:color="auto" w:fill="auto"/>
          </w:tcPr>
          <w:p w14:paraId="4F134F42" w14:textId="77777777" w:rsidR="00B043ED" w:rsidRPr="00F334AF" w:rsidRDefault="00B043ED" w:rsidP="0034729B">
            <w:pPr>
              <w:tabs>
                <w:tab w:val="left" w:pos="284"/>
                <w:tab w:val="center" w:pos="4320"/>
                <w:tab w:val="right" w:pos="8640"/>
              </w:tabs>
              <w:ind w:right="65"/>
              <w:jc w:val="both"/>
              <w:rPr>
                <w:sz w:val="22"/>
                <w:szCs w:val="22"/>
                <w:lang w:val="sr-Latn-ME"/>
              </w:rPr>
            </w:pPr>
            <w:r w:rsidRPr="00F334AF">
              <w:rPr>
                <w:sz w:val="22"/>
                <w:szCs w:val="22"/>
                <w:lang w:val="sr-Latn-ME"/>
              </w:rPr>
              <w:t>Standardni režim liječenja</w:t>
            </w:r>
          </w:p>
          <w:p w14:paraId="32D47709" w14:textId="77777777" w:rsidR="00B043ED" w:rsidRPr="00F334AF" w:rsidRDefault="00B043ED" w:rsidP="0034729B">
            <w:pPr>
              <w:tabs>
                <w:tab w:val="left" w:pos="284"/>
                <w:tab w:val="center" w:pos="4320"/>
                <w:tab w:val="right" w:pos="8640"/>
              </w:tabs>
              <w:ind w:right="65"/>
              <w:jc w:val="both"/>
              <w:rPr>
                <w:sz w:val="22"/>
                <w:szCs w:val="22"/>
                <w:lang w:val="sr-Latn-ME"/>
              </w:rPr>
            </w:pPr>
            <w:r w:rsidRPr="00F334AF">
              <w:rPr>
                <w:sz w:val="22"/>
                <w:szCs w:val="22"/>
                <w:lang w:val="sr-Latn-ME"/>
              </w:rPr>
              <w:t>(N=524) †</w:t>
            </w:r>
          </w:p>
          <w:p w14:paraId="1BE768DE" w14:textId="77777777" w:rsidR="00B043ED" w:rsidRPr="00F334AF" w:rsidRDefault="00B043ED" w:rsidP="0034729B">
            <w:pPr>
              <w:tabs>
                <w:tab w:val="left" w:pos="284"/>
                <w:tab w:val="center" w:pos="4320"/>
                <w:tab w:val="right" w:pos="8640"/>
              </w:tabs>
              <w:ind w:right="65"/>
              <w:jc w:val="both"/>
              <w:rPr>
                <w:sz w:val="22"/>
                <w:szCs w:val="22"/>
                <w:lang w:val="sr-Latn-ME"/>
              </w:rPr>
            </w:pPr>
            <w:r w:rsidRPr="00F334AF">
              <w:rPr>
                <w:sz w:val="22"/>
                <w:szCs w:val="22"/>
                <w:lang w:val="sr-Latn-ME"/>
              </w:rPr>
              <w:t>%</w:t>
            </w:r>
          </w:p>
        </w:tc>
        <w:tc>
          <w:tcPr>
            <w:tcW w:w="3168" w:type="dxa"/>
            <w:gridSpan w:val="3"/>
            <w:shd w:val="clear" w:color="auto" w:fill="auto"/>
          </w:tcPr>
          <w:p w14:paraId="3D026C3B" w14:textId="5B34DBD0" w:rsidR="00B043ED" w:rsidRPr="00F334AF" w:rsidRDefault="00B043ED" w:rsidP="0034729B">
            <w:pPr>
              <w:tabs>
                <w:tab w:val="left" w:pos="284"/>
                <w:tab w:val="center" w:pos="4320"/>
                <w:tab w:val="right" w:pos="8640"/>
              </w:tabs>
              <w:ind w:right="65"/>
              <w:jc w:val="both"/>
              <w:rPr>
                <w:sz w:val="22"/>
                <w:szCs w:val="22"/>
                <w:lang w:val="sr-Latn-ME"/>
              </w:rPr>
            </w:pPr>
          </w:p>
          <w:p w14:paraId="2677B883" w14:textId="01949AC7" w:rsidR="00B043ED" w:rsidRPr="00F334AF" w:rsidRDefault="00B043ED" w:rsidP="0034729B">
            <w:pPr>
              <w:tabs>
                <w:tab w:val="left" w:pos="284"/>
                <w:tab w:val="center" w:pos="4320"/>
                <w:tab w:val="right" w:pos="8640"/>
              </w:tabs>
              <w:ind w:right="65"/>
              <w:jc w:val="both"/>
              <w:rPr>
                <w:sz w:val="22"/>
                <w:szCs w:val="22"/>
                <w:lang w:val="sr-Latn-ME"/>
              </w:rPr>
            </w:pPr>
            <w:r w:rsidRPr="00F334AF">
              <w:rPr>
                <w:sz w:val="22"/>
                <w:szCs w:val="22"/>
                <w:lang w:val="sr-Latn-ME"/>
              </w:rPr>
              <w:t>Razlike*</w:t>
            </w:r>
          </w:p>
          <w:p w14:paraId="59EE53F4" w14:textId="15E19FF2" w:rsidR="00B043ED" w:rsidRPr="00F334AF" w:rsidRDefault="00B043ED" w:rsidP="0034729B">
            <w:pPr>
              <w:tabs>
                <w:tab w:val="left" w:pos="284"/>
                <w:tab w:val="center" w:pos="4320"/>
                <w:tab w:val="right" w:pos="8640"/>
              </w:tabs>
              <w:ind w:right="65"/>
              <w:jc w:val="both"/>
              <w:rPr>
                <w:sz w:val="22"/>
                <w:szCs w:val="22"/>
                <w:lang w:val="sr-Latn-ME"/>
              </w:rPr>
            </w:pPr>
          </w:p>
        </w:tc>
      </w:tr>
      <w:tr w:rsidR="00B043ED" w:rsidRPr="00F334AF" w14:paraId="32B445B2" w14:textId="77777777" w:rsidTr="00BB35C9">
        <w:trPr>
          <w:trHeight w:val="502"/>
        </w:trPr>
        <w:tc>
          <w:tcPr>
            <w:tcW w:w="2448" w:type="dxa"/>
            <w:vMerge/>
            <w:shd w:val="clear" w:color="auto" w:fill="auto"/>
          </w:tcPr>
          <w:p w14:paraId="5EC3CD6C" w14:textId="77777777" w:rsidR="00B043ED" w:rsidRPr="00F334AF" w:rsidRDefault="00B043ED" w:rsidP="0034729B">
            <w:pPr>
              <w:tabs>
                <w:tab w:val="left" w:pos="284"/>
                <w:tab w:val="center" w:pos="4320"/>
                <w:tab w:val="right" w:pos="8640"/>
              </w:tabs>
              <w:ind w:right="65"/>
              <w:jc w:val="both"/>
              <w:rPr>
                <w:sz w:val="22"/>
                <w:szCs w:val="22"/>
                <w:lang w:val="sr-Latn-ME"/>
              </w:rPr>
            </w:pPr>
          </w:p>
        </w:tc>
        <w:tc>
          <w:tcPr>
            <w:tcW w:w="1620" w:type="dxa"/>
            <w:vMerge/>
            <w:shd w:val="clear" w:color="auto" w:fill="auto"/>
          </w:tcPr>
          <w:p w14:paraId="18AC8AD8" w14:textId="77777777" w:rsidR="00B043ED" w:rsidRPr="00F334AF" w:rsidRDefault="00B043ED" w:rsidP="0034729B">
            <w:pPr>
              <w:tabs>
                <w:tab w:val="left" w:pos="284"/>
                <w:tab w:val="center" w:pos="4320"/>
                <w:tab w:val="right" w:pos="8640"/>
              </w:tabs>
              <w:ind w:right="65"/>
              <w:jc w:val="both"/>
              <w:rPr>
                <w:sz w:val="22"/>
                <w:szCs w:val="22"/>
                <w:lang w:val="sr-Latn-ME"/>
              </w:rPr>
            </w:pPr>
          </w:p>
        </w:tc>
        <w:tc>
          <w:tcPr>
            <w:tcW w:w="1620" w:type="dxa"/>
            <w:vMerge/>
            <w:shd w:val="clear" w:color="auto" w:fill="auto"/>
          </w:tcPr>
          <w:p w14:paraId="2E573572" w14:textId="77777777" w:rsidR="00B043ED" w:rsidRPr="00F334AF" w:rsidRDefault="00B043ED" w:rsidP="0034729B">
            <w:pPr>
              <w:tabs>
                <w:tab w:val="left" w:pos="284"/>
                <w:tab w:val="center" w:pos="4320"/>
                <w:tab w:val="right" w:pos="8640"/>
              </w:tabs>
              <w:ind w:right="65"/>
              <w:jc w:val="both"/>
              <w:rPr>
                <w:sz w:val="22"/>
                <w:szCs w:val="22"/>
                <w:lang w:val="sr-Latn-ME"/>
              </w:rPr>
            </w:pPr>
          </w:p>
        </w:tc>
        <w:tc>
          <w:tcPr>
            <w:tcW w:w="1584" w:type="dxa"/>
            <w:gridSpan w:val="2"/>
            <w:shd w:val="clear" w:color="auto" w:fill="auto"/>
          </w:tcPr>
          <w:p w14:paraId="2A39CB75" w14:textId="3C9E0DBF" w:rsidR="00B043ED" w:rsidRPr="00F334AF" w:rsidDel="00B043ED" w:rsidRDefault="00B043ED" w:rsidP="0034729B">
            <w:pPr>
              <w:tabs>
                <w:tab w:val="left" w:pos="284"/>
                <w:tab w:val="center" w:pos="4320"/>
                <w:tab w:val="right" w:pos="8640"/>
              </w:tabs>
              <w:ind w:right="65"/>
              <w:jc w:val="both"/>
              <w:rPr>
                <w:sz w:val="22"/>
                <w:szCs w:val="22"/>
                <w:lang w:val="sr-Latn-ME"/>
              </w:rPr>
            </w:pPr>
            <w:r w:rsidRPr="00F334AF">
              <w:rPr>
                <w:sz w:val="22"/>
                <w:szCs w:val="22"/>
                <w:lang w:val="sr-Latn-ME"/>
              </w:rPr>
              <w:t>%</w:t>
            </w:r>
          </w:p>
        </w:tc>
        <w:tc>
          <w:tcPr>
            <w:tcW w:w="1584" w:type="dxa"/>
            <w:shd w:val="clear" w:color="auto" w:fill="auto"/>
          </w:tcPr>
          <w:p w14:paraId="62AA19FF" w14:textId="0CEE602F" w:rsidR="00B043ED" w:rsidRPr="00F334AF" w:rsidDel="00B043ED" w:rsidRDefault="00B043ED" w:rsidP="0034729B">
            <w:pPr>
              <w:tabs>
                <w:tab w:val="left" w:pos="284"/>
                <w:tab w:val="center" w:pos="4320"/>
                <w:tab w:val="right" w:pos="8640"/>
              </w:tabs>
              <w:ind w:right="65"/>
              <w:jc w:val="both"/>
              <w:rPr>
                <w:sz w:val="22"/>
                <w:szCs w:val="22"/>
                <w:lang w:val="sr-Latn-ME"/>
              </w:rPr>
            </w:pPr>
            <w:r w:rsidRPr="00F334AF">
              <w:rPr>
                <w:sz w:val="22"/>
                <w:szCs w:val="22"/>
                <w:lang w:val="sr-Latn-ME"/>
              </w:rPr>
              <w:t>(95% CI)</w:t>
            </w:r>
          </w:p>
        </w:tc>
      </w:tr>
      <w:tr w:rsidR="00E310B2" w:rsidRPr="00F334AF" w14:paraId="4BC2FE2B" w14:textId="77777777" w:rsidTr="00E310B2">
        <w:tc>
          <w:tcPr>
            <w:tcW w:w="8856" w:type="dxa"/>
            <w:gridSpan w:val="6"/>
            <w:shd w:val="clear" w:color="auto" w:fill="auto"/>
          </w:tcPr>
          <w:p w14:paraId="4E8B297A" w14:textId="0BC1B12D" w:rsidR="00E310B2" w:rsidRPr="00F334AF" w:rsidRDefault="00E310B2" w:rsidP="0034729B">
            <w:pPr>
              <w:tabs>
                <w:tab w:val="left" w:pos="284"/>
                <w:tab w:val="center" w:pos="4320"/>
                <w:tab w:val="right" w:pos="8640"/>
              </w:tabs>
              <w:ind w:right="65"/>
              <w:jc w:val="both"/>
              <w:rPr>
                <w:b/>
                <w:sz w:val="22"/>
                <w:szCs w:val="22"/>
                <w:lang w:val="sr-Latn-ME"/>
              </w:rPr>
            </w:pPr>
            <w:r w:rsidRPr="00F334AF">
              <w:rPr>
                <w:b/>
                <w:sz w:val="22"/>
                <w:szCs w:val="22"/>
                <w:lang w:val="sr-Latn-ME"/>
              </w:rPr>
              <w:t>Potpuni odgovor na terapiju (izostanak povraćanja i potrebe za</w:t>
            </w:r>
            <w:r w:rsidR="00C112CE" w:rsidRPr="00F334AF">
              <w:rPr>
                <w:b/>
                <w:sz w:val="22"/>
                <w:szCs w:val="22"/>
                <w:lang w:val="sr-Latn-ME"/>
              </w:rPr>
              <w:t xml:space="preserve"> dodatnom</w:t>
            </w:r>
            <w:r w:rsidRPr="00F334AF">
              <w:rPr>
                <w:b/>
                <w:sz w:val="22"/>
                <w:szCs w:val="22"/>
                <w:lang w:val="sr-Latn-ME"/>
              </w:rPr>
              <w:t xml:space="preserve"> terapijom)</w:t>
            </w:r>
          </w:p>
        </w:tc>
      </w:tr>
      <w:tr w:rsidR="00E310B2" w:rsidRPr="00F334AF" w14:paraId="3A45D896" w14:textId="77777777" w:rsidTr="00E310B2">
        <w:tc>
          <w:tcPr>
            <w:tcW w:w="2448" w:type="dxa"/>
            <w:shd w:val="clear" w:color="auto" w:fill="auto"/>
          </w:tcPr>
          <w:p w14:paraId="129D9117"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Ukupno (0-120 sati)</w:t>
            </w:r>
          </w:p>
        </w:tc>
        <w:tc>
          <w:tcPr>
            <w:tcW w:w="1620" w:type="dxa"/>
            <w:shd w:val="clear" w:color="auto" w:fill="auto"/>
          </w:tcPr>
          <w:p w14:paraId="41D3CE30"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67,7</w:t>
            </w:r>
          </w:p>
        </w:tc>
        <w:tc>
          <w:tcPr>
            <w:tcW w:w="1620" w:type="dxa"/>
            <w:shd w:val="clear" w:color="auto" w:fill="auto"/>
          </w:tcPr>
          <w:p w14:paraId="7599CF11"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47,8</w:t>
            </w:r>
          </w:p>
        </w:tc>
        <w:tc>
          <w:tcPr>
            <w:tcW w:w="1396" w:type="dxa"/>
            <w:shd w:val="clear" w:color="auto" w:fill="auto"/>
          </w:tcPr>
          <w:p w14:paraId="28A9B1E5"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19,9</w:t>
            </w:r>
          </w:p>
        </w:tc>
        <w:tc>
          <w:tcPr>
            <w:tcW w:w="1772" w:type="dxa"/>
            <w:gridSpan w:val="2"/>
            <w:shd w:val="clear" w:color="auto" w:fill="auto"/>
          </w:tcPr>
          <w:p w14:paraId="111A5544"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(14,0; 25,8)</w:t>
            </w:r>
          </w:p>
        </w:tc>
      </w:tr>
      <w:tr w:rsidR="00E310B2" w:rsidRPr="00F334AF" w14:paraId="2BC2D17C" w14:textId="77777777" w:rsidTr="00E310B2">
        <w:tc>
          <w:tcPr>
            <w:tcW w:w="2448" w:type="dxa"/>
            <w:shd w:val="clear" w:color="auto" w:fill="auto"/>
          </w:tcPr>
          <w:p w14:paraId="2492C5E4"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0-24 sata</w:t>
            </w:r>
          </w:p>
        </w:tc>
        <w:tc>
          <w:tcPr>
            <w:tcW w:w="1620" w:type="dxa"/>
            <w:shd w:val="clear" w:color="auto" w:fill="auto"/>
          </w:tcPr>
          <w:p w14:paraId="2DBE75AD"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86,0</w:t>
            </w:r>
          </w:p>
        </w:tc>
        <w:tc>
          <w:tcPr>
            <w:tcW w:w="1620" w:type="dxa"/>
            <w:shd w:val="clear" w:color="auto" w:fill="auto"/>
          </w:tcPr>
          <w:p w14:paraId="7EB52A03"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73,2</w:t>
            </w:r>
          </w:p>
        </w:tc>
        <w:tc>
          <w:tcPr>
            <w:tcW w:w="1396" w:type="dxa"/>
            <w:shd w:val="clear" w:color="auto" w:fill="auto"/>
          </w:tcPr>
          <w:p w14:paraId="0719AFD4"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12,7</w:t>
            </w:r>
          </w:p>
        </w:tc>
        <w:tc>
          <w:tcPr>
            <w:tcW w:w="1772" w:type="dxa"/>
            <w:gridSpan w:val="2"/>
            <w:shd w:val="clear" w:color="auto" w:fill="auto"/>
          </w:tcPr>
          <w:p w14:paraId="7F7AF981"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(7,9; 17,6)</w:t>
            </w:r>
          </w:p>
        </w:tc>
      </w:tr>
      <w:tr w:rsidR="00E310B2" w:rsidRPr="00F334AF" w14:paraId="6D47096A" w14:textId="77777777" w:rsidTr="00E310B2">
        <w:tc>
          <w:tcPr>
            <w:tcW w:w="2448" w:type="dxa"/>
            <w:shd w:val="clear" w:color="auto" w:fill="auto"/>
          </w:tcPr>
          <w:p w14:paraId="6BEB5331"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25-120 sati</w:t>
            </w:r>
          </w:p>
        </w:tc>
        <w:tc>
          <w:tcPr>
            <w:tcW w:w="1620" w:type="dxa"/>
            <w:shd w:val="clear" w:color="auto" w:fill="auto"/>
          </w:tcPr>
          <w:p w14:paraId="3DE37424"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71,5</w:t>
            </w:r>
          </w:p>
        </w:tc>
        <w:tc>
          <w:tcPr>
            <w:tcW w:w="1620" w:type="dxa"/>
            <w:shd w:val="clear" w:color="auto" w:fill="auto"/>
          </w:tcPr>
          <w:p w14:paraId="59EB4DF0"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51,2</w:t>
            </w:r>
          </w:p>
        </w:tc>
        <w:tc>
          <w:tcPr>
            <w:tcW w:w="1396" w:type="dxa"/>
            <w:shd w:val="clear" w:color="auto" w:fill="auto"/>
          </w:tcPr>
          <w:p w14:paraId="3319C741"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20,3</w:t>
            </w:r>
          </w:p>
        </w:tc>
        <w:tc>
          <w:tcPr>
            <w:tcW w:w="1772" w:type="dxa"/>
            <w:gridSpan w:val="2"/>
            <w:shd w:val="clear" w:color="auto" w:fill="auto"/>
          </w:tcPr>
          <w:p w14:paraId="7EFDE4FF"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(14,5; 26,1)</w:t>
            </w:r>
          </w:p>
        </w:tc>
      </w:tr>
      <w:tr w:rsidR="00E310B2" w:rsidRPr="00F334AF" w14:paraId="2FCBEED6" w14:textId="77777777" w:rsidTr="00E310B2">
        <w:tc>
          <w:tcPr>
            <w:tcW w:w="8856" w:type="dxa"/>
            <w:gridSpan w:val="6"/>
            <w:shd w:val="clear" w:color="auto" w:fill="auto"/>
          </w:tcPr>
          <w:p w14:paraId="59410E3C"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POSEBNI PARAMETRI</w:t>
            </w:r>
          </w:p>
        </w:tc>
      </w:tr>
      <w:tr w:rsidR="00E310B2" w:rsidRPr="00F334AF" w14:paraId="4B67171B" w14:textId="77777777" w:rsidTr="00E310B2">
        <w:tc>
          <w:tcPr>
            <w:tcW w:w="8856" w:type="dxa"/>
            <w:gridSpan w:val="6"/>
            <w:shd w:val="clear" w:color="auto" w:fill="auto"/>
          </w:tcPr>
          <w:p w14:paraId="3D9655D1" w14:textId="20B6CFE9" w:rsidR="00E310B2" w:rsidRPr="00F334AF" w:rsidRDefault="00E310B2" w:rsidP="0034729B">
            <w:pPr>
              <w:tabs>
                <w:tab w:val="left" w:pos="284"/>
                <w:tab w:val="center" w:pos="4320"/>
                <w:tab w:val="right" w:pos="8640"/>
              </w:tabs>
              <w:ind w:right="65"/>
              <w:jc w:val="both"/>
              <w:rPr>
                <w:b/>
                <w:sz w:val="22"/>
                <w:szCs w:val="22"/>
                <w:lang w:val="sr-Latn-ME"/>
              </w:rPr>
            </w:pPr>
            <w:r w:rsidRPr="00F334AF">
              <w:rPr>
                <w:b/>
                <w:sz w:val="22"/>
                <w:szCs w:val="22"/>
                <w:lang w:val="sr-Latn-ME"/>
              </w:rPr>
              <w:t>Bez povraćanja (izostanak povraćanja bez obzira na primjenu</w:t>
            </w:r>
            <w:r w:rsidR="00C112CE" w:rsidRPr="00F334AF">
              <w:rPr>
                <w:b/>
                <w:sz w:val="22"/>
                <w:szCs w:val="22"/>
                <w:lang w:val="sr-Latn-ME"/>
              </w:rPr>
              <w:t xml:space="preserve"> dodatne</w:t>
            </w:r>
            <w:r w:rsidRPr="00F334AF">
              <w:rPr>
                <w:b/>
                <w:sz w:val="22"/>
                <w:szCs w:val="22"/>
                <w:lang w:val="sr-Latn-ME"/>
              </w:rPr>
              <w:t xml:space="preserve"> terapije)</w:t>
            </w:r>
          </w:p>
        </w:tc>
      </w:tr>
      <w:tr w:rsidR="00E310B2" w:rsidRPr="00F334AF" w14:paraId="6E461CB3" w14:textId="77777777" w:rsidTr="00E310B2">
        <w:tc>
          <w:tcPr>
            <w:tcW w:w="2448" w:type="dxa"/>
            <w:shd w:val="clear" w:color="auto" w:fill="auto"/>
          </w:tcPr>
          <w:p w14:paraId="4CEE3B07"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Ukupno (0-120 sati)</w:t>
            </w:r>
          </w:p>
        </w:tc>
        <w:tc>
          <w:tcPr>
            <w:tcW w:w="1620" w:type="dxa"/>
            <w:shd w:val="clear" w:color="auto" w:fill="auto"/>
          </w:tcPr>
          <w:p w14:paraId="6A5B5BAC"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71,9</w:t>
            </w:r>
          </w:p>
        </w:tc>
        <w:tc>
          <w:tcPr>
            <w:tcW w:w="1620" w:type="dxa"/>
            <w:shd w:val="clear" w:color="auto" w:fill="auto"/>
          </w:tcPr>
          <w:p w14:paraId="4DD8D769"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49,7</w:t>
            </w:r>
          </w:p>
        </w:tc>
        <w:tc>
          <w:tcPr>
            <w:tcW w:w="1396" w:type="dxa"/>
            <w:shd w:val="clear" w:color="auto" w:fill="auto"/>
          </w:tcPr>
          <w:p w14:paraId="12CCAFA3"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22,2</w:t>
            </w:r>
          </w:p>
        </w:tc>
        <w:tc>
          <w:tcPr>
            <w:tcW w:w="1772" w:type="dxa"/>
            <w:gridSpan w:val="2"/>
            <w:shd w:val="clear" w:color="auto" w:fill="auto"/>
          </w:tcPr>
          <w:p w14:paraId="517AC78C"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(16,4; 28,0)</w:t>
            </w:r>
          </w:p>
        </w:tc>
      </w:tr>
      <w:tr w:rsidR="00E310B2" w:rsidRPr="00F334AF" w14:paraId="58703949" w14:textId="77777777" w:rsidTr="00E310B2">
        <w:tc>
          <w:tcPr>
            <w:tcW w:w="2448" w:type="dxa"/>
            <w:shd w:val="clear" w:color="auto" w:fill="auto"/>
          </w:tcPr>
          <w:p w14:paraId="12C7ECE0"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0-24 sata</w:t>
            </w:r>
          </w:p>
        </w:tc>
        <w:tc>
          <w:tcPr>
            <w:tcW w:w="1620" w:type="dxa"/>
            <w:shd w:val="clear" w:color="auto" w:fill="auto"/>
          </w:tcPr>
          <w:p w14:paraId="1AD70BF1"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86,8</w:t>
            </w:r>
          </w:p>
        </w:tc>
        <w:tc>
          <w:tcPr>
            <w:tcW w:w="1620" w:type="dxa"/>
            <w:shd w:val="clear" w:color="auto" w:fill="auto"/>
          </w:tcPr>
          <w:p w14:paraId="46F1E9BA"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74,0</w:t>
            </w:r>
          </w:p>
        </w:tc>
        <w:tc>
          <w:tcPr>
            <w:tcW w:w="1396" w:type="dxa"/>
            <w:shd w:val="clear" w:color="auto" w:fill="auto"/>
          </w:tcPr>
          <w:p w14:paraId="49A061DB"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12,7</w:t>
            </w:r>
          </w:p>
        </w:tc>
        <w:tc>
          <w:tcPr>
            <w:tcW w:w="1772" w:type="dxa"/>
            <w:gridSpan w:val="2"/>
            <w:shd w:val="clear" w:color="auto" w:fill="auto"/>
          </w:tcPr>
          <w:p w14:paraId="28D6EDDE"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(8,0; 17,5)</w:t>
            </w:r>
          </w:p>
        </w:tc>
      </w:tr>
      <w:tr w:rsidR="00E310B2" w:rsidRPr="00F334AF" w14:paraId="75C1074E" w14:textId="77777777" w:rsidTr="00E310B2">
        <w:tc>
          <w:tcPr>
            <w:tcW w:w="2448" w:type="dxa"/>
            <w:shd w:val="clear" w:color="auto" w:fill="auto"/>
          </w:tcPr>
          <w:p w14:paraId="645284FA"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25-120 sati</w:t>
            </w:r>
          </w:p>
        </w:tc>
        <w:tc>
          <w:tcPr>
            <w:tcW w:w="1620" w:type="dxa"/>
            <w:shd w:val="clear" w:color="auto" w:fill="auto"/>
          </w:tcPr>
          <w:p w14:paraId="4CC45465"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76,2</w:t>
            </w:r>
          </w:p>
        </w:tc>
        <w:tc>
          <w:tcPr>
            <w:tcW w:w="1620" w:type="dxa"/>
            <w:shd w:val="clear" w:color="auto" w:fill="auto"/>
          </w:tcPr>
          <w:p w14:paraId="22E67DE9"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53,5</w:t>
            </w:r>
          </w:p>
        </w:tc>
        <w:tc>
          <w:tcPr>
            <w:tcW w:w="1396" w:type="dxa"/>
            <w:shd w:val="clear" w:color="auto" w:fill="auto"/>
          </w:tcPr>
          <w:p w14:paraId="7F79179A"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22,6</w:t>
            </w:r>
          </w:p>
        </w:tc>
        <w:tc>
          <w:tcPr>
            <w:tcW w:w="1772" w:type="dxa"/>
            <w:gridSpan w:val="2"/>
            <w:shd w:val="clear" w:color="auto" w:fill="auto"/>
          </w:tcPr>
          <w:p w14:paraId="638B657B"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(17,0; 28,2)</w:t>
            </w:r>
          </w:p>
        </w:tc>
      </w:tr>
      <w:tr w:rsidR="00E310B2" w:rsidRPr="00F334AF" w14:paraId="4E26811E" w14:textId="77777777" w:rsidTr="00E310B2">
        <w:tc>
          <w:tcPr>
            <w:tcW w:w="8856" w:type="dxa"/>
            <w:gridSpan w:val="6"/>
            <w:shd w:val="clear" w:color="auto" w:fill="auto"/>
          </w:tcPr>
          <w:p w14:paraId="0942438F" w14:textId="77777777" w:rsidR="00E310B2" w:rsidRPr="00F334AF" w:rsidRDefault="00E310B2" w:rsidP="0034729B">
            <w:pPr>
              <w:tabs>
                <w:tab w:val="left" w:pos="284"/>
                <w:tab w:val="center" w:pos="4320"/>
                <w:tab w:val="right" w:pos="8640"/>
              </w:tabs>
              <w:ind w:right="65"/>
              <w:jc w:val="both"/>
              <w:rPr>
                <w:b/>
                <w:sz w:val="22"/>
                <w:szCs w:val="22"/>
                <w:lang w:val="sr-Latn-ME"/>
              </w:rPr>
            </w:pPr>
            <w:r w:rsidRPr="00F334AF">
              <w:rPr>
                <w:b/>
                <w:sz w:val="22"/>
                <w:szCs w:val="22"/>
                <w:lang w:val="sr-Latn-ME"/>
              </w:rPr>
              <w:t>Izostanak klinički značajne mučnine (</w:t>
            </w:r>
            <w:r w:rsidRPr="00F334AF">
              <w:rPr>
                <w:b/>
                <w:sz w:val="22"/>
                <w:szCs w:val="22"/>
                <w:lang w:val="sr-Latn-ME"/>
              </w:rPr>
              <w:sym w:font="Symbol" w:char="F03C"/>
            </w:r>
            <w:r w:rsidRPr="00F334AF">
              <w:rPr>
                <w:b/>
                <w:sz w:val="22"/>
                <w:szCs w:val="22"/>
                <w:lang w:val="sr-Latn-ME"/>
              </w:rPr>
              <w:t xml:space="preserve"> 25 mm na vizuelnoj analognoj skali od 0-100 mm)</w:t>
            </w:r>
          </w:p>
        </w:tc>
      </w:tr>
      <w:tr w:rsidR="00E310B2" w:rsidRPr="00F334AF" w14:paraId="41756CCF" w14:textId="77777777" w:rsidTr="00E310B2">
        <w:tc>
          <w:tcPr>
            <w:tcW w:w="2448" w:type="dxa"/>
            <w:shd w:val="clear" w:color="auto" w:fill="auto"/>
          </w:tcPr>
          <w:p w14:paraId="36343045"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Ukupno (0-120 sati)</w:t>
            </w:r>
          </w:p>
        </w:tc>
        <w:tc>
          <w:tcPr>
            <w:tcW w:w="1620" w:type="dxa"/>
            <w:shd w:val="clear" w:color="auto" w:fill="auto"/>
          </w:tcPr>
          <w:p w14:paraId="0B2C8EC7"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72,1</w:t>
            </w:r>
          </w:p>
        </w:tc>
        <w:tc>
          <w:tcPr>
            <w:tcW w:w="1620" w:type="dxa"/>
            <w:shd w:val="clear" w:color="auto" w:fill="auto"/>
          </w:tcPr>
          <w:p w14:paraId="476E1540"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64,9</w:t>
            </w:r>
          </w:p>
        </w:tc>
        <w:tc>
          <w:tcPr>
            <w:tcW w:w="1396" w:type="dxa"/>
            <w:shd w:val="clear" w:color="auto" w:fill="auto"/>
          </w:tcPr>
          <w:p w14:paraId="6532117D"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7,2</w:t>
            </w:r>
          </w:p>
        </w:tc>
        <w:tc>
          <w:tcPr>
            <w:tcW w:w="1772" w:type="dxa"/>
            <w:gridSpan w:val="2"/>
            <w:shd w:val="clear" w:color="auto" w:fill="auto"/>
          </w:tcPr>
          <w:p w14:paraId="4CD5CF10"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(1,6; 12,8)</w:t>
            </w:r>
          </w:p>
        </w:tc>
      </w:tr>
      <w:tr w:rsidR="00E310B2" w:rsidRPr="00F334AF" w14:paraId="21E35E82" w14:textId="77777777" w:rsidTr="00E310B2">
        <w:tc>
          <w:tcPr>
            <w:tcW w:w="2448" w:type="dxa"/>
            <w:shd w:val="clear" w:color="auto" w:fill="auto"/>
          </w:tcPr>
          <w:p w14:paraId="50DC0C6D"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25-120 sati</w:t>
            </w:r>
          </w:p>
        </w:tc>
        <w:tc>
          <w:tcPr>
            <w:tcW w:w="1620" w:type="dxa"/>
            <w:shd w:val="clear" w:color="auto" w:fill="auto"/>
          </w:tcPr>
          <w:p w14:paraId="24D59986"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74,0</w:t>
            </w:r>
          </w:p>
        </w:tc>
        <w:tc>
          <w:tcPr>
            <w:tcW w:w="1620" w:type="dxa"/>
            <w:shd w:val="clear" w:color="auto" w:fill="auto"/>
          </w:tcPr>
          <w:p w14:paraId="316F810C"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66,9</w:t>
            </w:r>
          </w:p>
        </w:tc>
        <w:tc>
          <w:tcPr>
            <w:tcW w:w="1396" w:type="dxa"/>
            <w:shd w:val="clear" w:color="auto" w:fill="auto"/>
          </w:tcPr>
          <w:p w14:paraId="1DB67B42"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7,1</w:t>
            </w:r>
          </w:p>
        </w:tc>
        <w:tc>
          <w:tcPr>
            <w:tcW w:w="1772" w:type="dxa"/>
            <w:gridSpan w:val="2"/>
            <w:shd w:val="clear" w:color="auto" w:fill="auto"/>
          </w:tcPr>
          <w:p w14:paraId="7CA35AE8"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(1,5; 12,6)</w:t>
            </w:r>
          </w:p>
        </w:tc>
      </w:tr>
    </w:tbl>
    <w:p w14:paraId="5A68A317" w14:textId="75250FBF"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*Intervali pouzdanosti (CI) izračunati su bez prilagođavanja prema polu pacijenta i istovremenoj hemoterapiji</w:t>
      </w:r>
      <w:r w:rsidR="009D7C9B" w:rsidRPr="00F334AF">
        <w:rPr>
          <w:sz w:val="22"/>
          <w:szCs w:val="22"/>
          <w:lang w:val="sr-Latn-ME"/>
        </w:rPr>
        <w:t>,</w:t>
      </w:r>
      <w:r w:rsidRPr="00F334AF">
        <w:rPr>
          <w:sz w:val="22"/>
          <w:szCs w:val="22"/>
          <w:lang w:val="sr-Latn-ME"/>
        </w:rPr>
        <w:t xml:space="preserve"> koji su obuhvaćeni primarnom analizom odnosa vjerovatnoće (</w:t>
      </w:r>
      <w:r w:rsidRPr="00F334AF">
        <w:rPr>
          <w:i/>
          <w:sz w:val="22"/>
          <w:szCs w:val="22"/>
          <w:lang w:val="sr-Latn-ME"/>
        </w:rPr>
        <w:t>odds ratio</w:t>
      </w:r>
      <w:r w:rsidRPr="00F334AF">
        <w:rPr>
          <w:sz w:val="22"/>
          <w:szCs w:val="22"/>
          <w:lang w:val="sr-Latn-ME"/>
        </w:rPr>
        <w:t>) i logističkih modela.</w:t>
      </w:r>
    </w:p>
    <w:p w14:paraId="7B459506" w14:textId="50D63899"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 Podaci za jednog pacijenta koji je bio na terapiji aprepitantom dostupni su samo za akutnu fazu, a isključeni su iz analize zbirne i odložene faze; dok su podaci za jednog pacijenta</w:t>
      </w:r>
      <w:r w:rsidR="00C06434" w:rsidRPr="00F334AF">
        <w:rPr>
          <w:sz w:val="22"/>
          <w:szCs w:val="22"/>
          <w:lang w:val="sr-Latn-ME"/>
        </w:rPr>
        <w:t xml:space="preserve"> </w:t>
      </w:r>
      <w:r w:rsidRPr="00F334AF">
        <w:rPr>
          <w:sz w:val="22"/>
          <w:szCs w:val="22"/>
          <w:lang w:val="sr-Latn-ME"/>
        </w:rPr>
        <w:t>na standarnoj terapiji dostupni samo za odloženu fazu, a isključeni su iz analize zbirne i akutne faze.</w:t>
      </w:r>
    </w:p>
    <w:p w14:paraId="3773080F" w14:textId="77777777" w:rsidR="00E310B2" w:rsidRPr="00F334AF" w:rsidRDefault="00E310B2" w:rsidP="0034729B">
      <w:pPr>
        <w:tabs>
          <w:tab w:val="left" w:pos="284"/>
          <w:tab w:val="center" w:pos="4320"/>
          <w:tab w:val="right" w:pos="8640"/>
        </w:tabs>
        <w:ind w:right="65"/>
        <w:jc w:val="both"/>
        <w:rPr>
          <w:sz w:val="22"/>
          <w:szCs w:val="22"/>
          <w:lang w:val="sr-Latn-ME"/>
        </w:rPr>
      </w:pPr>
    </w:p>
    <w:p w14:paraId="3D466596" w14:textId="77777777" w:rsidR="009973DD" w:rsidRDefault="009973DD" w:rsidP="0034729B">
      <w:pPr>
        <w:tabs>
          <w:tab w:val="left" w:pos="284"/>
          <w:tab w:val="center" w:pos="4320"/>
          <w:tab w:val="right" w:pos="8640"/>
        </w:tabs>
        <w:ind w:right="65"/>
        <w:jc w:val="both"/>
        <w:rPr>
          <w:sz w:val="22"/>
          <w:szCs w:val="22"/>
          <w:lang w:val="sr-Latn-ME"/>
        </w:rPr>
      </w:pPr>
    </w:p>
    <w:p w14:paraId="451B939A" w14:textId="77777777" w:rsidR="009973DD" w:rsidRDefault="009973DD" w:rsidP="0034729B">
      <w:pPr>
        <w:tabs>
          <w:tab w:val="left" w:pos="284"/>
          <w:tab w:val="center" w:pos="4320"/>
          <w:tab w:val="right" w:pos="8640"/>
        </w:tabs>
        <w:ind w:right="65"/>
        <w:jc w:val="both"/>
        <w:rPr>
          <w:sz w:val="22"/>
          <w:szCs w:val="22"/>
          <w:lang w:val="sr-Latn-ME"/>
        </w:rPr>
      </w:pPr>
    </w:p>
    <w:p w14:paraId="358728F4" w14:textId="77777777" w:rsidR="009973DD" w:rsidRDefault="009973DD" w:rsidP="0034729B">
      <w:pPr>
        <w:tabs>
          <w:tab w:val="left" w:pos="284"/>
          <w:tab w:val="center" w:pos="4320"/>
          <w:tab w:val="right" w:pos="8640"/>
        </w:tabs>
        <w:ind w:right="65"/>
        <w:jc w:val="both"/>
        <w:rPr>
          <w:sz w:val="22"/>
          <w:szCs w:val="22"/>
          <w:lang w:val="sr-Latn-ME"/>
        </w:rPr>
      </w:pPr>
    </w:p>
    <w:p w14:paraId="6A9DC25E" w14:textId="77777777" w:rsidR="009973DD" w:rsidRDefault="009973DD" w:rsidP="0034729B">
      <w:pPr>
        <w:tabs>
          <w:tab w:val="left" w:pos="284"/>
          <w:tab w:val="center" w:pos="4320"/>
          <w:tab w:val="right" w:pos="8640"/>
        </w:tabs>
        <w:ind w:right="65"/>
        <w:jc w:val="both"/>
        <w:rPr>
          <w:sz w:val="22"/>
          <w:szCs w:val="22"/>
          <w:lang w:val="sr-Latn-ME"/>
        </w:rPr>
      </w:pPr>
    </w:p>
    <w:p w14:paraId="56FCF95B" w14:textId="77777777" w:rsidR="009973DD" w:rsidRDefault="009973DD" w:rsidP="0034729B">
      <w:pPr>
        <w:tabs>
          <w:tab w:val="left" w:pos="284"/>
          <w:tab w:val="center" w:pos="4320"/>
          <w:tab w:val="right" w:pos="8640"/>
        </w:tabs>
        <w:ind w:right="65"/>
        <w:jc w:val="both"/>
        <w:rPr>
          <w:sz w:val="22"/>
          <w:szCs w:val="22"/>
          <w:lang w:val="sr-Latn-ME"/>
        </w:rPr>
      </w:pPr>
    </w:p>
    <w:p w14:paraId="18F2CEF0" w14:textId="77777777" w:rsidR="009973DD" w:rsidRDefault="009973DD" w:rsidP="0034729B">
      <w:pPr>
        <w:tabs>
          <w:tab w:val="left" w:pos="284"/>
          <w:tab w:val="center" w:pos="4320"/>
          <w:tab w:val="right" w:pos="8640"/>
        </w:tabs>
        <w:ind w:right="65"/>
        <w:jc w:val="both"/>
        <w:rPr>
          <w:sz w:val="22"/>
          <w:szCs w:val="22"/>
          <w:lang w:val="sr-Latn-ME"/>
        </w:rPr>
      </w:pPr>
    </w:p>
    <w:p w14:paraId="42ED7B98" w14:textId="77777777" w:rsidR="009973DD" w:rsidRDefault="009973DD" w:rsidP="0034729B">
      <w:pPr>
        <w:tabs>
          <w:tab w:val="left" w:pos="284"/>
          <w:tab w:val="center" w:pos="4320"/>
          <w:tab w:val="right" w:pos="8640"/>
        </w:tabs>
        <w:ind w:right="65"/>
        <w:jc w:val="both"/>
        <w:rPr>
          <w:sz w:val="22"/>
          <w:szCs w:val="22"/>
          <w:lang w:val="sr-Latn-ME"/>
        </w:rPr>
      </w:pPr>
    </w:p>
    <w:p w14:paraId="049BC5C0" w14:textId="77777777" w:rsidR="009973DD" w:rsidRDefault="009973DD" w:rsidP="0034729B">
      <w:pPr>
        <w:tabs>
          <w:tab w:val="left" w:pos="284"/>
          <w:tab w:val="center" w:pos="4320"/>
          <w:tab w:val="right" w:pos="8640"/>
        </w:tabs>
        <w:ind w:right="65"/>
        <w:jc w:val="both"/>
        <w:rPr>
          <w:sz w:val="22"/>
          <w:szCs w:val="22"/>
          <w:lang w:val="sr-Latn-ME"/>
        </w:rPr>
      </w:pPr>
    </w:p>
    <w:p w14:paraId="6135B9B7" w14:textId="77777777" w:rsidR="009973DD" w:rsidRDefault="009973DD" w:rsidP="0034729B">
      <w:pPr>
        <w:tabs>
          <w:tab w:val="left" w:pos="284"/>
          <w:tab w:val="center" w:pos="4320"/>
          <w:tab w:val="right" w:pos="8640"/>
        </w:tabs>
        <w:ind w:right="65"/>
        <w:jc w:val="both"/>
        <w:rPr>
          <w:sz w:val="22"/>
          <w:szCs w:val="22"/>
          <w:lang w:val="sr-Latn-ME"/>
        </w:rPr>
      </w:pPr>
    </w:p>
    <w:p w14:paraId="4601C193" w14:textId="77777777" w:rsidR="009973DD" w:rsidRDefault="009973DD" w:rsidP="0034729B">
      <w:pPr>
        <w:tabs>
          <w:tab w:val="left" w:pos="284"/>
          <w:tab w:val="center" w:pos="4320"/>
          <w:tab w:val="right" w:pos="8640"/>
        </w:tabs>
        <w:ind w:right="65"/>
        <w:jc w:val="both"/>
        <w:rPr>
          <w:sz w:val="22"/>
          <w:szCs w:val="22"/>
          <w:lang w:val="sr-Latn-ME"/>
        </w:rPr>
      </w:pPr>
    </w:p>
    <w:p w14:paraId="747375EB" w14:textId="77777777" w:rsidR="009973DD" w:rsidRDefault="009973DD" w:rsidP="0034729B">
      <w:pPr>
        <w:tabs>
          <w:tab w:val="left" w:pos="284"/>
          <w:tab w:val="center" w:pos="4320"/>
          <w:tab w:val="right" w:pos="8640"/>
        </w:tabs>
        <w:ind w:right="65"/>
        <w:jc w:val="both"/>
        <w:rPr>
          <w:sz w:val="22"/>
          <w:szCs w:val="22"/>
          <w:lang w:val="sr-Latn-ME"/>
        </w:rPr>
      </w:pPr>
    </w:p>
    <w:p w14:paraId="576AC6F2" w14:textId="77777777" w:rsidR="009973DD" w:rsidRDefault="009973DD" w:rsidP="0034729B">
      <w:pPr>
        <w:tabs>
          <w:tab w:val="left" w:pos="284"/>
          <w:tab w:val="center" w:pos="4320"/>
          <w:tab w:val="right" w:pos="8640"/>
        </w:tabs>
        <w:ind w:right="65"/>
        <w:jc w:val="both"/>
        <w:rPr>
          <w:sz w:val="22"/>
          <w:szCs w:val="22"/>
          <w:lang w:val="sr-Latn-ME"/>
        </w:rPr>
      </w:pPr>
    </w:p>
    <w:p w14:paraId="4F96FC56" w14:textId="77777777" w:rsidR="009973DD" w:rsidRDefault="009973DD" w:rsidP="0034729B">
      <w:pPr>
        <w:tabs>
          <w:tab w:val="left" w:pos="284"/>
          <w:tab w:val="center" w:pos="4320"/>
          <w:tab w:val="right" w:pos="8640"/>
        </w:tabs>
        <w:ind w:right="65"/>
        <w:jc w:val="both"/>
        <w:rPr>
          <w:sz w:val="22"/>
          <w:szCs w:val="22"/>
          <w:lang w:val="sr-Latn-ME"/>
        </w:rPr>
      </w:pPr>
    </w:p>
    <w:p w14:paraId="37723906" w14:textId="4BF1361E" w:rsidR="009973DD" w:rsidRDefault="009973DD" w:rsidP="0034729B">
      <w:pPr>
        <w:tabs>
          <w:tab w:val="left" w:pos="284"/>
          <w:tab w:val="center" w:pos="4320"/>
          <w:tab w:val="right" w:pos="8640"/>
        </w:tabs>
        <w:ind w:right="65"/>
        <w:jc w:val="both"/>
        <w:rPr>
          <w:sz w:val="22"/>
          <w:szCs w:val="22"/>
          <w:lang w:val="sr-Latn-ME"/>
        </w:rPr>
      </w:pPr>
    </w:p>
    <w:p w14:paraId="7FB60665" w14:textId="77777777" w:rsidR="001F423A" w:rsidRDefault="001F423A" w:rsidP="0034729B">
      <w:pPr>
        <w:tabs>
          <w:tab w:val="left" w:pos="284"/>
          <w:tab w:val="center" w:pos="4320"/>
          <w:tab w:val="right" w:pos="8640"/>
        </w:tabs>
        <w:ind w:right="65"/>
        <w:jc w:val="both"/>
        <w:rPr>
          <w:sz w:val="22"/>
          <w:szCs w:val="22"/>
          <w:lang w:val="sr-Latn-ME"/>
        </w:rPr>
      </w:pPr>
    </w:p>
    <w:p w14:paraId="722112CE" w14:textId="3EC69866" w:rsidR="009973DD" w:rsidRDefault="009973DD" w:rsidP="0034729B">
      <w:pPr>
        <w:tabs>
          <w:tab w:val="left" w:pos="284"/>
          <w:tab w:val="center" w:pos="4320"/>
          <w:tab w:val="right" w:pos="8640"/>
        </w:tabs>
        <w:ind w:right="65"/>
        <w:jc w:val="both"/>
        <w:rPr>
          <w:sz w:val="22"/>
          <w:szCs w:val="22"/>
          <w:lang w:val="sr-Latn-ME"/>
        </w:rPr>
      </w:pPr>
    </w:p>
    <w:p w14:paraId="63D149E2" w14:textId="28E6DD3D" w:rsidR="001F423A" w:rsidRDefault="001F423A" w:rsidP="0034729B">
      <w:pPr>
        <w:tabs>
          <w:tab w:val="left" w:pos="284"/>
          <w:tab w:val="center" w:pos="4320"/>
          <w:tab w:val="right" w:pos="8640"/>
        </w:tabs>
        <w:ind w:right="65"/>
        <w:jc w:val="both"/>
        <w:rPr>
          <w:sz w:val="22"/>
          <w:szCs w:val="22"/>
          <w:lang w:val="sr-Latn-ME"/>
        </w:rPr>
      </w:pPr>
    </w:p>
    <w:p w14:paraId="3BC22ECC" w14:textId="0236DDA7" w:rsidR="001F423A" w:rsidRDefault="001F423A" w:rsidP="0034729B">
      <w:pPr>
        <w:tabs>
          <w:tab w:val="left" w:pos="284"/>
          <w:tab w:val="center" w:pos="4320"/>
          <w:tab w:val="right" w:pos="8640"/>
        </w:tabs>
        <w:ind w:right="65"/>
        <w:jc w:val="both"/>
        <w:rPr>
          <w:sz w:val="22"/>
          <w:szCs w:val="22"/>
          <w:lang w:val="sr-Latn-ME"/>
        </w:rPr>
      </w:pPr>
    </w:p>
    <w:p w14:paraId="0DE2077E" w14:textId="42D66030" w:rsidR="001F423A" w:rsidRDefault="001F423A" w:rsidP="0034729B">
      <w:pPr>
        <w:tabs>
          <w:tab w:val="left" w:pos="284"/>
          <w:tab w:val="center" w:pos="4320"/>
          <w:tab w:val="right" w:pos="8640"/>
        </w:tabs>
        <w:ind w:right="65"/>
        <w:jc w:val="both"/>
        <w:rPr>
          <w:sz w:val="22"/>
          <w:szCs w:val="22"/>
          <w:lang w:val="sr-Latn-ME"/>
        </w:rPr>
      </w:pPr>
    </w:p>
    <w:p w14:paraId="3534EA87" w14:textId="6C7B0E01" w:rsidR="001F423A" w:rsidRDefault="001F423A" w:rsidP="0034729B">
      <w:pPr>
        <w:tabs>
          <w:tab w:val="left" w:pos="284"/>
          <w:tab w:val="center" w:pos="4320"/>
          <w:tab w:val="right" w:pos="8640"/>
        </w:tabs>
        <w:ind w:right="65"/>
        <w:jc w:val="both"/>
        <w:rPr>
          <w:sz w:val="22"/>
          <w:szCs w:val="22"/>
          <w:lang w:val="sr-Latn-ME"/>
        </w:rPr>
      </w:pPr>
    </w:p>
    <w:p w14:paraId="47D53C7E" w14:textId="77777777" w:rsidR="001F423A" w:rsidRDefault="001F423A" w:rsidP="0034729B">
      <w:pPr>
        <w:tabs>
          <w:tab w:val="left" w:pos="284"/>
          <w:tab w:val="center" w:pos="4320"/>
          <w:tab w:val="right" w:pos="8640"/>
        </w:tabs>
        <w:ind w:right="65"/>
        <w:jc w:val="both"/>
        <w:rPr>
          <w:sz w:val="22"/>
          <w:szCs w:val="22"/>
          <w:lang w:val="sr-Latn-ME"/>
        </w:rPr>
      </w:pPr>
    </w:p>
    <w:p w14:paraId="612C46A4" w14:textId="7D07E505" w:rsidR="00F334AF" w:rsidRDefault="00E310B2" w:rsidP="009973DD">
      <w:pPr>
        <w:tabs>
          <w:tab w:val="left" w:pos="284"/>
          <w:tab w:val="center" w:pos="4320"/>
          <w:tab w:val="right" w:pos="8640"/>
        </w:tabs>
        <w:ind w:right="65"/>
        <w:jc w:val="both"/>
        <w:rPr>
          <w:sz w:val="22"/>
          <w:szCs w:val="22"/>
          <w:lang w:val="sr-Latn-ME"/>
        </w:rPr>
      </w:pPr>
      <w:r w:rsidRPr="00F334AF">
        <w:rPr>
          <w:sz w:val="22"/>
          <w:szCs w:val="22"/>
          <w:lang w:val="sr-Latn-ME"/>
        </w:rPr>
        <w:lastRenderedPageBreak/>
        <w:t xml:space="preserve">Procijenjeno vrijeme do prvog povraćanja u zbirnoj analizi prikazano je pomoću </w:t>
      </w:r>
      <w:r w:rsidR="00C06434" w:rsidRPr="00F334AF">
        <w:rPr>
          <w:sz w:val="22"/>
          <w:szCs w:val="22"/>
          <w:lang w:val="sr-Latn-ME"/>
        </w:rPr>
        <w:t xml:space="preserve">Kaplan-Meier-ove </w:t>
      </w:r>
      <w:r w:rsidRPr="00F334AF">
        <w:rPr>
          <w:sz w:val="22"/>
          <w:szCs w:val="22"/>
          <w:lang w:val="sr-Latn-ME"/>
        </w:rPr>
        <w:t>krive na Slici 1:</w:t>
      </w:r>
    </w:p>
    <w:p w14:paraId="0A2028AF" w14:textId="799EE45A" w:rsidR="001F423A" w:rsidRDefault="001F423A" w:rsidP="009973DD">
      <w:pPr>
        <w:tabs>
          <w:tab w:val="left" w:pos="284"/>
          <w:tab w:val="center" w:pos="4320"/>
          <w:tab w:val="right" w:pos="8640"/>
        </w:tabs>
        <w:ind w:right="65"/>
        <w:jc w:val="both"/>
        <w:rPr>
          <w:b/>
          <w:sz w:val="22"/>
          <w:szCs w:val="22"/>
          <w:lang w:val="sr-Latn-ME"/>
        </w:rPr>
      </w:pPr>
    </w:p>
    <w:p w14:paraId="361D5607" w14:textId="37B2CB41" w:rsidR="00E310B2" w:rsidRPr="00F334AF" w:rsidRDefault="00E310B2" w:rsidP="00256EDE">
      <w:pPr>
        <w:tabs>
          <w:tab w:val="left" w:pos="284"/>
          <w:tab w:val="center" w:pos="4320"/>
          <w:tab w:val="right" w:pos="8640"/>
        </w:tabs>
        <w:ind w:right="65"/>
        <w:jc w:val="center"/>
        <w:rPr>
          <w:b/>
          <w:sz w:val="22"/>
          <w:szCs w:val="22"/>
          <w:lang w:val="sr-Latn-ME"/>
        </w:rPr>
      </w:pPr>
      <w:r w:rsidRPr="00F334AF">
        <w:rPr>
          <w:b/>
          <w:sz w:val="22"/>
          <w:szCs w:val="22"/>
          <w:lang w:val="sr-Latn-ME"/>
        </w:rPr>
        <w:t>Slika 1</w:t>
      </w:r>
    </w:p>
    <w:p w14:paraId="1E7A1CE4" w14:textId="2582D19F" w:rsidR="00E310B2" w:rsidRDefault="00E310B2" w:rsidP="0034729B">
      <w:pPr>
        <w:tabs>
          <w:tab w:val="left" w:pos="284"/>
          <w:tab w:val="center" w:pos="4320"/>
          <w:tab w:val="right" w:pos="8640"/>
        </w:tabs>
        <w:ind w:right="65"/>
        <w:jc w:val="both"/>
        <w:rPr>
          <w:b/>
          <w:sz w:val="22"/>
          <w:szCs w:val="22"/>
          <w:lang w:val="sr-Latn-ME"/>
        </w:rPr>
      </w:pPr>
      <w:r w:rsidRPr="00F334AF">
        <w:rPr>
          <w:b/>
          <w:sz w:val="22"/>
          <w:szCs w:val="22"/>
          <w:lang w:val="sr-Latn-ME"/>
        </w:rPr>
        <w:t>Procenat odraslih pacijenata na izrazito emetogenoj hemoterapiji, a koji tokom određenog vremena nijesu povraćali – 1. ciklus</w:t>
      </w:r>
    </w:p>
    <w:p w14:paraId="26B09848" w14:textId="77777777" w:rsidR="001F423A" w:rsidRDefault="001F423A" w:rsidP="0034729B">
      <w:pPr>
        <w:tabs>
          <w:tab w:val="left" w:pos="284"/>
          <w:tab w:val="center" w:pos="4320"/>
          <w:tab w:val="right" w:pos="8640"/>
        </w:tabs>
        <w:ind w:right="65"/>
        <w:jc w:val="both"/>
        <w:rPr>
          <w:b/>
          <w:sz w:val="22"/>
          <w:szCs w:val="22"/>
          <w:lang w:val="sr-Latn-ME"/>
        </w:rPr>
      </w:pPr>
    </w:p>
    <w:p w14:paraId="1BF9C66A" w14:textId="77777777" w:rsidR="00F334AF" w:rsidRPr="00F334AF" w:rsidRDefault="00F334AF" w:rsidP="0034729B">
      <w:pPr>
        <w:tabs>
          <w:tab w:val="left" w:pos="284"/>
          <w:tab w:val="center" w:pos="4320"/>
          <w:tab w:val="right" w:pos="8640"/>
        </w:tabs>
        <w:ind w:right="65"/>
        <w:jc w:val="both"/>
        <w:rPr>
          <w:b/>
          <w:sz w:val="22"/>
          <w:szCs w:val="22"/>
          <w:lang w:val="sr-Latn-ME"/>
        </w:rPr>
      </w:pPr>
    </w:p>
    <w:p w14:paraId="55EB3541" w14:textId="39BE85AA" w:rsidR="007A05E0" w:rsidRPr="00F334AF" w:rsidRDefault="00C06434" w:rsidP="0034729B">
      <w:pPr>
        <w:tabs>
          <w:tab w:val="left" w:pos="284"/>
          <w:tab w:val="center" w:pos="4320"/>
          <w:tab w:val="right" w:pos="8640"/>
        </w:tabs>
        <w:ind w:right="65"/>
        <w:jc w:val="both"/>
        <w:rPr>
          <w:sz w:val="22"/>
          <w:szCs w:val="22"/>
          <w:lang w:val="sr-Latn-ME"/>
        </w:rPr>
      </w:pPr>
      <w:r w:rsidRPr="00F334AF">
        <w:rPr>
          <w:noProof/>
          <w:sz w:val="22"/>
          <w:szCs w:val="22"/>
        </w:rPr>
        <mc:AlternateContent>
          <mc:Choice Requires="wps">
            <w:drawing>
              <wp:anchor distT="0" distB="0" distL="114300" distR="114300" simplePos="0" relativeHeight="251660288" behindDoc="0" locked="0" layoutInCell="1" allowOverlap="1" wp14:anchorId="03CBA2AE" wp14:editId="6C213D3D">
                <wp:simplePos x="0" y="0"/>
                <wp:positionH relativeFrom="column">
                  <wp:posOffset>1325411</wp:posOffset>
                </wp:positionH>
                <wp:positionV relativeFrom="paragraph">
                  <wp:posOffset>2276751</wp:posOffset>
                </wp:positionV>
                <wp:extent cx="1600200" cy="342900"/>
                <wp:effectExtent l="8255" t="9525" r="1079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5DF82D92" w14:textId="77777777" w:rsidR="008C22A9" w:rsidRPr="0034729B" w:rsidRDefault="008C22A9" w:rsidP="00E310B2">
                            <w:pPr>
                              <w:pStyle w:val="Header"/>
                              <w:tabs>
                                <w:tab w:val="left" w:pos="284"/>
                              </w:tabs>
                              <w:ind w:right="65"/>
                              <w:rPr>
                                <w:sz w:val="22"/>
                                <w:lang w:val="sr-Latn-CS"/>
                              </w:rPr>
                            </w:pPr>
                            <w:r w:rsidRPr="0034729B">
                              <w:rPr>
                                <w:sz w:val="22"/>
                                <w:lang w:val="sr-Latn-CS"/>
                              </w:rPr>
                              <w:t>Vrijeme (sati)</w:t>
                            </w:r>
                          </w:p>
                          <w:p w14:paraId="14F9178D" w14:textId="77777777" w:rsidR="008C22A9" w:rsidRDefault="008C22A9" w:rsidP="00E31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CBA2AE" id="_x0000_t202" coordsize="21600,21600" o:spt="202" path="m,l,21600r21600,l21600,xe">
                <v:stroke joinstyle="miter"/>
                <v:path gradientshapeok="t" o:connecttype="rect"/>
              </v:shapetype>
              <v:shape id="Text Box 8" o:spid="_x0000_s1026" type="#_x0000_t202" style="position:absolute;left:0;text-align:left;margin-left:104.35pt;margin-top:179.25pt;width:12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j2EwIAACs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">
                <v:textbox>
                  <w:txbxContent>
                    <w:p w14:paraId="5DF82D92" w14:textId="77777777" w:rsidR="008C22A9" w:rsidRPr="0034729B" w:rsidRDefault="008C22A9" w:rsidP="00E310B2">
                      <w:pPr>
                        <w:pStyle w:val="Header"/>
                        <w:tabs>
                          <w:tab w:val="left" w:pos="284"/>
                        </w:tabs>
                        <w:ind w:right="65"/>
                        <w:rPr>
                          <w:sz w:val="22"/>
                          <w:lang w:val="sr-Latn-CS"/>
                        </w:rPr>
                      </w:pPr>
                      <w:r w:rsidRPr="0034729B">
                        <w:rPr>
                          <w:sz w:val="22"/>
                          <w:lang w:val="sr-Latn-CS"/>
                        </w:rPr>
                        <w:t>Vrijeme (sati)</w:t>
                      </w:r>
                    </w:p>
                    <w:p w14:paraId="14F9178D" w14:textId="77777777" w:rsidR="008C22A9" w:rsidRDefault="008C22A9" w:rsidP="00E310B2"/>
                  </w:txbxContent>
                </v:textbox>
              </v:shape>
            </w:pict>
          </mc:Fallback>
        </mc:AlternateContent>
      </w:r>
      <w:r w:rsidR="0034299F" w:rsidRPr="00F334AF">
        <w:rPr>
          <w:noProof/>
          <w:sz w:val="22"/>
          <w:szCs w:val="22"/>
        </w:rPr>
        <mc:AlternateContent>
          <mc:Choice Requires="wps">
            <w:drawing>
              <wp:anchor distT="0" distB="0" distL="114300" distR="114300" simplePos="0" relativeHeight="251658239" behindDoc="0" locked="0" layoutInCell="1" allowOverlap="1" wp14:anchorId="2B42D1DD" wp14:editId="3BE21032">
                <wp:simplePos x="0" y="0"/>
                <wp:positionH relativeFrom="column">
                  <wp:posOffset>1229995</wp:posOffset>
                </wp:positionH>
                <wp:positionV relativeFrom="paragraph">
                  <wp:posOffset>-1352</wp:posOffset>
                </wp:positionV>
                <wp:extent cx="2536466" cy="445273"/>
                <wp:effectExtent l="0" t="0" r="1651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466" cy="445273"/>
                        </a:xfrm>
                        <a:prstGeom prst="rect">
                          <a:avLst/>
                        </a:prstGeom>
                        <a:solidFill>
                          <a:srgbClr val="FFFFFF"/>
                        </a:solidFill>
                        <a:ln w="9525">
                          <a:solidFill>
                            <a:srgbClr val="000000"/>
                          </a:solidFill>
                          <a:miter lim="800000"/>
                          <a:headEnd/>
                          <a:tailEnd/>
                        </a:ln>
                      </wps:spPr>
                      <wps:txbx>
                        <w:txbxContent>
                          <w:p w14:paraId="4EF5BBCA" w14:textId="77777777" w:rsidR="008C22A9" w:rsidRPr="0034729B" w:rsidRDefault="008C22A9" w:rsidP="00E310B2">
                            <w:pPr>
                              <w:pStyle w:val="Header"/>
                              <w:tabs>
                                <w:tab w:val="left" w:pos="284"/>
                              </w:tabs>
                              <w:ind w:right="65"/>
                              <w:jc w:val="right"/>
                              <w:rPr>
                                <w:sz w:val="22"/>
                                <w:lang w:val="sr-Latn-CS"/>
                              </w:rPr>
                            </w:pPr>
                            <w:r w:rsidRPr="0034729B">
                              <w:rPr>
                                <w:sz w:val="22"/>
                                <w:lang w:val="sr-Latn-CS"/>
                              </w:rPr>
                              <w:t>Režim liječenja aprepitantom (N=520)</w:t>
                            </w:r>
                          </w:p>
                          <w:p w14:paraId="44321531" w14:textId="77777777" w:rsidR="008C22A9" w:rsidRDefault="008C22A9" w:rsidP="00E310B2">
                            <w:pPr>
                              <w:pStyle w:val="Header"/>
                              <w:tabs>
                                <w:tab w:val="left" w:pos="284"/>
                              </w:tabs>
                              <w:ind w:right="65"/>
                              <w:jc w:val="right"/>
                              <w:rPr>
                                <w:rFonts w:ascii="Arial" w:hAnsi="Arial" w:cs="Arial"/>
                                <w:lang w:val="sr-Latn-CS"/>
                              </w:rPr>
                            </w:pPr>
                            <w:r w:rsidRPr="0034729B">
                              <w:rPr>
                                <w:sz w:val="22"/>
                                <w:lang w:val="sr-Latn-CS"/>
                              </w:rPr>
                              <w:t>Standardni režim liječenja</w:t>
                            </w:r>
                            <w:r w:rsidRPr="0034729B">
                              <w:rPr>
                                <w:rFonts w:ascii="Arial" w:hAnsi="Arial" w:cs="Arial"/>
                                <w:sz w:val="22"/>
                                <w:lang w:val="sr-Latn-CS"/>
                              </w:rPr>
                              <w:t xml:space="preserve"> (N=523</w:t>
                            </w:r>
                            <w:r>
                              <w:rPr>
                                <w:rFonts w:ascii="Arial" w:hAnsi="Arial" w:cs="Arial"/>
                                <w:lang w:val="sr-Latn-CS"/>
                              </w:rPr>
                              <w:t>)</w:t>
                            </w:r>
                          </w:p>
                          <w:p w14:paraId="5063C65A" w14:textId="77777777" w:rsidR="008C22A9" w:rsidRDefault="008C22A9" w:rsidP="00E31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42D1DD" id="Text Box 9" o:spid="_x0000_s1027" type="#_x0000_t202" style="position:absolute;left:0;text-align:left;margin-left:96.85pt;margin-top:-.1pt;width:199.7pt;height:35.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">
                <v:textbox>
                  <w:txbxContent>
                    <w:p w14:paraId="4EF5BBCA" w14:textId="77777777" w:rsidR="008C22A9" w:rsidRPr="0034729B" w:rsidRDefault="008C22A9" w:rsidP="00E310B2">
                      <w:pPr>
                        <w:pStyle w:val="Header"/>
                        <w:tabs>
                          <w:tab w:val="left" w:pos="284"/>
                        </w:tabs>
                        <w:ind w:right="65"/>
                        <w:jc w:val="right"/>
                        <w:rPr>
                          <w:sz w:val="22"/>
                          <w:lang w:val="sr-Latn-CS"/>
                        </w:rPr>
                      </w:pPr>
                      <w:r w:rsidRPr="0034729B">
                        <w:rPr>
                          <w:sz w:val="22"/>
                          <w:lang w:val="sr-Latn-CS"/>
                        </w:rPr>
                        <w:t>Režim liječenja aprepitantom (N=520)</w:t>
                      </w:r>
                    </w:p>
                    <w:p w14:paraId="44321531" w14:textId="77777777" w:rsidR="008C22A9" w:rsidRDefault="008C22A9" w:rsidP="00E310B2">
                      <w:pPr>
                        <w:pStyle w:val="Header"/>
                        <w:tabs>
                          <w:tab w:val="left" w:pos="284"/>
                        </w:tabs>
                        <w:ind w:right="65"/>
                        <w:jc w:val="right"/>
                        <w:rPr>
                          <w:rFonts w:ascii="Arial" w:hAnsi="Arial" w:cs="Arial"/>
                          <w:lang w:val="sr-Latn-CS"/>
                        </w:rPr>
                      </w:pPr>
                      <w:r w:rsidRPr="0034729B">
                        <w:rPr>
                          <w:sz w:val="22"/>
                          <w:lang w:val="sr-Latn-CS"/>
                        </w:rPr>
                        <w:t>Standardni režim liječenja</w:t>
                      </w:r>
                      <w:r w:rsidRPr="0034729B">
                        <w:rPr>
                          <w:rFonts w:ascii="Arial" w:hAnsi="Arial" w:cs="Arial"/>
                          <w:sz w:val="22"/>
                          <w:lang w:val="sr-Latn-CS"/>
                        </w:rPr>
                        <w:t xml:space="preserve"> (N=523</w:t>
                      </w:r>
                      <w:r>
                        <w:rPr>
                          <w:rFonts w:ascii="Arial" w:hAnsi="Arial" w:cs="Arial"/>
                          <w:lang w:val="sr-Latn-CS"/>
                        </w:rPr>
                        <w:t>)</w:t>
                      </w:r>
                    </w:p>
                    <w:p w14:paraId="5063C65A" w14:textId="77777777" w:rsidR="008C22A9" w:rsidRDefault="008C22A9" w:rsidP="00E310B2"/>
                  </w:txbxContent>
                </v:textbox>
              </v:shape>
            </w:pict>
          </mc:Fallback>
        </mc:AlternateContent>
      </w:r>
      <w:r w:rsidR="0034299F" w:rsidRPr="00F334AF">
        <w:rPr>
          <w:noProof/>
          <w:sz w:val="22"/>
          <w:szCs w:val="22"/>
        </w:rPr>
        <mc:AlternateContent>
          <mc:Choice Requires="wps">
            <w:drawing>
              <wp:anchor distT="0" distB="0" distL="114300" distR="114300" simplePos="0" relativeHeight="251659264" behindDoc="0" locked="0" layoutInCell="1" allowOverlap="1" wp14:anchorId="6634D31A" wp14:editId="3407047A">
                <wp:simplePos x="0" y="0"/>
                <wp:positionH relativeFrom="column">
                  <wp:posOffset>-52677</wp:posOffset>
                </wp:positionH>
                <wp:positionV relativeFrom="paragraph">
                  <wp:posOffset>630141</wp:posOffset>
                </wp:positionV>
                <wp:extent cx="342900" cy="1371600"/>
                <wp:effectExtent l="8255" t="9525" r="1079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71600"/>
                        </a:xfrm>
                        <a:prstGeom prst="rect">
                          <a:avLst/>
                        </a:prstGeom>
                        <a:solidFill>
                          <a:srgbClr val="FFFFFF"/>
                        </a:solidFill>
                        <a:ln w="9525">
                          <a:solidFill>
                            <a:srgbClr val="000000"/>
                          </a:solidFill>
                          <a:miter lim="800000"/>
                          <a:headEnd/>
                          <a:tailEnd/>
                        </a:ln>
                      </wps:spPr>
                      <wps:txbx>
                        <w:txbxContent>
                          <w:p w14:paraId="066B8A2E" w14:textId="77777777" w:rsidR="008C22A9" w:rsidRPr="0034729B" w:rsidRDefault="008C22A9" w:rsidP="00E310B2">
                            <w:pPr>
                              <w:rPr>
                                <w:sz w:val="22"/>
                                <w:lang w:val="sr-Latn-CS"/>
                              </w:rPr>
                            </w:pPr>
                            <w:r w:rsidRPr="0034729B">
                              <w:rPr>
                                <w:sz w:val="22"/>
                                <w:lang w:val="sr-Latn-CS"/>
                              </w:rPr>
                              <w:t>Procenat pacijenata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34D31A" id="Text Box 7" o:spid="_x0000_s1028" type="#_x0000_t202" style="position:absolute;left:0;text-align:left;margin-left:-4.15pt;margin-top:49.6pt;width:27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">
                <v:textbox style="layout-flow:vertical;mso-layout-flow-alt:bottom-to-top">
                  <w:txbxContent>
                    <w:p w14:paraId="066B8A2E" w14:textId="77777777" w:rsidR="008C22A9" w:rsidRPr="0034729B" w:rsidRDefault="008C22A9" w:rsidP="00E310B2">
                      <w:pPr>
                        <w:rPr>
                          <w:sz w:val="22"/>
                          <w:lang w:val="sr-Latn-CS"/>
                        </w:rPr>
                      </w:pPr>
                      <w:r w:rsidRPr="0034729B">
                        <w:rPr>
                          <w:sz w:val="22"/>
                          <w:lang w:val="sr-Latn-CS"/>
                        </w:rPr>
                        <w:t>Procenat pacijenata</w:t>
                      </w:r>
                    </w:p>
                  </w:txbxContent>
                </v:textbox>
              </v:shape>
            </w:pict>
          </mc:Fallback>
        </mc:AlternateContent>
      </w:r>
      <w:r w:rsidR="00E310B2" w:rsidRPr="00F334AF">
        <w:rPr>
          <w:noProof/>
          <w:sz w:val="22"/>
          <w:szCs w:val="22"/>
        </w:rPr>
        <w:drawing>
          <wp:inline distT="0" distB="0" distL="0" distR="0" wp14:anchorId="1D70BA86" wp14:editId="21EC4449">
            <wp:extent cx="4134679" cy="254932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6284" cy="2556476"/>
                    </a:xfrm>
                    <a:prstGeom prst="rect">
                      <a:avLst/>
                    </a:prstGeom>
                    <a:noFill/>
                    <a:ln>
                      <a:noFill/>
                    </a:ln>
                  </pic:spPr>
                </pic:pic>
              </a:graphicData>
            </a:graphic>
          </wp:inline>
        </w:drawing>
      </w:r>
    </w:p>
    <w:p w14:paraId="7A599CB9" w14:textId="18759A41" w:rsidR="00C06434" w:rsidRDefault="00C06434" w:rsidP="0034729B">
      <w:pPr>
        <w:tabs>
          <w:tab w:val="left" w:pos="284"/>
          <w:tab w:val="center" w:pos="4320"/>
          <w:tab w:val="right" w:pos="8640"/>
        </w:tabs>
        <w:ind w:right="65"/>
        <w:jc w:val="both"/>
        <w:rPr>
          <w:sz w:val="22"/>
          <w:szCs w:val="22"/>
          <w:lang w:val="sr-Latn-ME"/>
        </w:rPr>
      </w:pPr>
    </w:p>
    <w:p w14:paraId="72AB6D34" w14:textId="5F3DFB08" w:rsidR="001F423A" w:rsidRDefault="001F423A" w:rsidP="0034729B">
      <w:pPr>
        <w:tabs>
          <w:tab w:val="left" w:pos="284"/>
          <w:tab w:val="center" w:pos="4320"/>
          <w:tab w:val="right" w:pos="8640"/>
        </w:tabs>
        <w:ind w:right="65"/>
        <w:jc w:val="both"/>
        <w:rPr>
          <w:sz w:val="22"/>
          <w:szCs w:val="22"/>
          <w:lang w:val="sr-Latn-ME"/>
        </w:rPr>
      </w:pPr>
    </w:p>
    <w:p w14:paraId="67D43E5E" w14:textId="77777777" w:rsidR="001F423A" w:rsidRPr="00F334AF" w:rsidRDefault="001F423A" w:rsidP="0034729B">
      <w:pPr>
        <w:tabs>
          <w:tab w:val="left" w:pos="284"/>
          <w:tab w:val="center" w:pos="4320"/>
          <w:tab w:val="right" w:pos="8640"/>
        </w:tabs>
        <w:ind w:right="65"/>
        <w:jc w:val="both"/>
        <w:rPr>
          <w:sz w:val="22"/>
          <w:szCs w:val="22"/>
          <w:lang w:val="sr-Latn-ME"/>
        </w:rPr>
      </w:pPr>
      <w:bookmarkStart w:id="0" w:name="_GoBack"/>
    </w:p>
    <w:p w14:paraId="1BD17917" w14:textId="72560AA3"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 xml:space="preserve">Statistički značajne razlike u efikasnosti takođe su zabilježene i u svakom od ova dva ispitivanja </w:t>
      </w:r>
      <w:r w:rsidR="009D7C9B" w:rsidRPr="00F334AF">
        <w:rPr>
          <w:sz w:val="22"/>
          <w:szCs w:val="22"/>
          <w:lang w:val="sr-Latn-ME"/>
        </w:rPr>
        <w:t>pojedinačno</w:t>
      </w:r>
      <w:r w:rsidRPr="00F334AF">
        <w:rPr>
          <w:sz w:val="22"/>
          <w:szCs w:val="22"/>
          <w:lang w:val="sr-Latn-ME"/>
        </w:rPr>
        <w:t>.</w:t>
      </w:r>
    </w:p>
    <w:p w14:paraId="4E1F2685" w14:textId="77777777" w:rsidR="00E310B2" w:rsidRPr="00F334AF" w:rsidRDefault="00E310B2" w:rsidP="0034729B">
      <w:pPr>
        <w:tabs>
          <w:tab w:val="left" w:pos="284"/>
          <w:tab w:val="center" w:pos="4320"/>
          <w:tab w:val="right" w:pos="8640"/>
        </w:tabs>
        <w:ind w:right="65"/>
        <w:jc w:val="both"/>
        <w:rPr>
          <w:sz w:val="22"/>
          <w:szCs w:val="22"/>
          <w:lang w:val="sr-Latn-ME"/>
        </w:rPr>
      </w:pPr>
    </w:p>
    <w:p w14:paraId="1C159AE1"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U ista dva klinička ispitivanja 851 odrasli pacijent je nastavio sa ponovljenim ciklusima hemoterapije do najviše pet dodatnih ciklusa. Efikasnost liječenja aprepitantom je očigledno zadržana tokom svih ciklusa.</w:t>
      </w:r>
    </w:p>
    <w:p w14:paraId="03E3660F" w14:textId="77777777" w:rsidR="00E310B2" w:rsidRPr="00F334AF" w:rsidRDefault="00E310B2" w:rsidP="0034729B">
      <w:pPr>
        <w:tabs>
          <w:tab w:val="left" w:pos="284"/>
          <w:tab w:val="center" w:pos="4320"/>
          <w:tab w:val="right" w:pos="8640"/>
        </w:tabs>
        <w:ind w:right="65"/>
        <w:jc w:val="both"/>
        <w:rPr>
          <w:sz w:val="22"/>
          <w:szCs w:val="22"/>
          <w:lang w:val="sr-Latn-ME"/>
        </w:rPr>
      </w:pPr>
    </w:p>
    <w:p w14:paraId="45CF0964"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U jednom randomizovanom, dvostruko slijepom ispitivanju na ukupno 866 odraslih pacijenata (864 žene i 2 muškarca) na hemoterapiji koja je uključivala ciklofosfamid u dozi od 750 do 1500 mg/m</w:t>
      </w:r>
      <w:r w:rsidRPr="00F334AF">
        <w:rPr>
          <w:sz w:val="22"/>
          <w:szCs w:val="22"/>
          <w:vertAlign w:val="superscript"/>
          <w:lang w:val="sr-Latn-ME"/>
        </w:rPr>
        <w:t>2</w:t>
      </w:r>
      <w:r w:rsidRPr="00F334AF">
        <w:rPr>
          <w:sz w:val="22"/>
          <w:szCs w:val="22"/>
          <w:lang w:val="sr-Latn-ME"/>
        </w:rPr>
        <w:t>, ili kombinaciju ciklofosfamida u dozi od 500 do 1500 mg/m</w:t>
      </w:r>
      <w:r w:rsidRPr="00F334AF">
        <w:rPr>
          <w:sz w:val="22"/>
          <w:szCs w:val="22"/>
          <w:vertAlign w:val="superscript"/>
          <w:lang w:val="sr-Latn-ME"/>
        </w:rPr>
        <w:t>2</w:t>
      </w:r>
      <w:r w:rsidRPr="00F334AF">
        <w:rPr>
          <w:sz w:val="22"/>
          <w:szCs w:val="22"/>
          <w:lang w:val="sr-Latn-ME"/>
        </w:rPr>
        <w:t xml:space="preserve"> sa doksorubicinom (</w:t>
      </w:r>
      <w:r w:rsidRPr="00F334AF">
        <w:rPr>
          <w:sz w:val="22"/>
          <w:szCs w:val="22"/>
          <w:lang w:val="sr-Latn-ME"/>
        </w:rPr>
        <w:sym w:font="Symbol" w:char="F0A3"/>
      </w:r>
      <w:r w:rsidRPr="00F334AF">
        <w:rPr>
          <w:sz w:val="22"/>
          <w:szCs w:val="22"/>
          <w:lang w:val="sr-Latn-ME"/>
        </w:rPr>
        <w:t xml:space="preserve"> 60 mg/m</w:t>
      </w:r>
      <w:r w:rsidRPr="00F334AF">
        <w:rPr>
          <w:sz w:val="22"/>
          <w:szCs w:val="22"/>
          <w:vertAlign w:val="superscript"/>
          <w:lang w:val="sr-Latn-ME"/>
        </w:rPr>
        <w:t>2</w:t>
      </w:r>
      <w:r w:rsidRPr="00F334AF">
        <w:rPr>
          <w:sz w:val="22"/>
          <w:szCs w:val="22"/>
          <w:lang w:val="sr-Latn-ME"/>
        </w:rPr>
        <w:t>), ili epirubicinom (</w:t>
      </w:r>
      <w:r w:rsidRPr="00F334AF">
        <w:rPr>
          <w:sz w:val="22"/>
          <w:szCs w:val="22"/>
          <w:lang w:val="sr-Latn-ME"/>
        </w:rPr>
        <w:sym w:font="Symbol" w:char="F0A3"/>
      </w:r>
      <w:r w:rsidRPr="00F334AF">
        <w:rPr>
          <w:sz w:val="22"/>
          <w:szCs w:val="22"/>
          <w:lang w:val="sr-Latn-ME"/>
        </w:rPr>
        <w:t xml:space="preserve"> 100 mg/m</w:t>
      </w:r>
      <w:r w:rsidRPr="00F334AF">
        <w:rPr>
          <w:sz w:val="22"/>
          <w:szCs w:val="22"/>
          <w:vertAlign w:val="superscript"/>
          <w:lang w:val="sr-Latn-ME"/>
        </w:rPr>
        <w:t>2</w:t>
      </w:r>
      <w:r w:rsidRPr="00F334AF">
        <w:rPr>
          <w:sz w:val="22"/>
          <w:szCs w:val="22"/>
          <w:lang w:val="sr-Latn-ME"/>
        </w:rPr>
        <w:t>), poređeni su režimi liječenja aprepitantom u kombinaciji sa ondansetronom/deksametazonom (vidjeti dio 4.2) sa standardnim režimom liječenja (placebo sa ondansetronom u oralnoj dozi od 8 mg dva puta dnevno prvog dana, a zatim na svakih 12 sati drugog i trećeg dana) plus deksametazon u oralnoj dozi od 20 mg prvog dana.</w:t>
      </w:r>
    </w:p>
    <w:p w14:paraId="32A82728" w14:textId="77777777" w:rsidR="00E310B2" w:rsidRPr="00F334AF" w:rsidRDefault="00E310B2" w:rsidP="0034729B">
      <w:pPr>
        <w:tabs>
          <w:tab w:val="left" w:pos="284"/>
          <w:tab w:val="center" w:pos="4320"/>
          <w:tab w:val="right" w:pos="8640"/>
        </w:tabs>
        <w:ind w:right="65"/>
        <w:jc w:val="both"/>
        <w:rPr>
          <w:sz w:val="22"/>
          <w:szCs w:val="22"/>
          <w:lang w:val="sr-Latn-ME"/>
        </w:rPr>
      </w:pPr>
    </w:p>
    <w:p w14:paraId="77F2FD99" w14:textId="69E2F916"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 xml:space="preserve">Procjena efikasnosti zasnivala se na sljedećem zbirnom parametru efikasnosti: potpuni odgovor na terapiju (definisan kao potpuni izostanak povraćanja i </w:t>
      </w:r>
      <w:r w:rsidR="00C06434" w:rsidRPr="00F334AF">
        <w:rPr>
          <w:sz w:val="22"/>
          <w:szCs w:val="22"/>
          <w:lang w:val="sr-Latn-ME"/>
        </w:rPr>
        <w:t xml:space="preserve">bez </w:t>
      </w:r>
      <w:r w:rsidRPr="00F334AF">
        <w:rPr>
          <w:sz w:val="22"/>
          <w:szCs w:val="22"/>
          <w:lang w:val="sr-Latn-ME"/>
        </w:rPr>
        <w:t xml:space="preserve">primjene </w:t>
      </w:r>
      <w:r w:rsidR="00C06434" w:rsidRPr="00F334AF">
        <w:rPr>
          <w:sz w:val="22"/>
          <w:szCs w:val="22"/>
          <w:lang w:val="sr-Latn-ME"/>
        </w:rPr>
        <w:t>dodatne terapije za olakšavanje simptoma</w:t>
      </w:r>
      <w:r w:rsidRPr="00F334AF">
        <w:rPr>
          <w:sz w:val="22"/>
          <w:szCs w:val="22"/>
          <w:lang w:val="sr-Latn-ME"/>
        </w:rPr>
        <w:t xml:space="preserve">), a najviše u prvom ciklusu terapije. </w:t>
      </w:r>
    </w:p>
    <w:bookmarkEnd w:id="0"/>
    <w:p w14:paraId="212401AC" w14:textId="349DE008" w:rsidR="009D7C9B" w:rsidRPr="00F334AF" w:rsidRDefault="009D7C9B" w:rsidP="0034729B">
      <w:pPr>
        <w:tabs>
          <w:tab w:val="left" w:pos="284"/>
          <w:tab w:val="center" w:pos="4320"/>
          <w:tab w:val="right" w:pos="8640"/>
        </w:tabs>
        <w:ind w:right="65"/>
        <w:jc w:val="both"/>
        <w:rPr>
          <w:sz w:val="22"/>
          <w:szCs w:val="22"/>
          <w:lang w:val="sr-Latn-ME"/>
        </w:rPr>
      </w:pPr>
    </w:p>
    <w:p w14:paraId="317312E3" w14:textId="77777777" w:rsidR="001F423A"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 xml:space="preserve"> </w:t>
      </w:r>
    </w:p>
    <w:p w14:paraId="130292C0" w14:textId="77777777" w:rsidR="001F423A" w:rsidRDefault="001F423A" w:rsidP="0034729B">
      <w:pPr>
        <w:tabs>
          <w:tab w:val="left" w:pos="284"/>
          <w:tab w:val="center" w:pos="4320"/>
          <w:tab w:val="right" w:pos="8640"/>
        </w:tabs>
        <w:ind w:right="65"/>
        <w:jc w:val="both"/>
        <w:rPr>
          <w:sz w:val="22"/>
          <w:szCs w:val="22"/>
          <w:lang w:val="sr-Latn-ME"/>
        </w:rPr>
      </w:pPr>
    </w:p>
    <w:p w14:paraId="0B839BC3" w14:textId="77777777" w:rsidR="001F423A" w:rsidRDefault="001F423A" w:rsidP="0034729B">
      <w:pPr>
        <w:tabs>
          <w:tab w:val="left" w:pos="284"/>
          <w:tab w:val="center" w:pos="4320"/>
          <w:tab w:val="right" w:pos="8640"/>
        </w:tabs>
        <w:ind w:right="65"/>
        <w:jc w:val="both"/>
        <w:rPr>
          <w:sz w:val="22"/>
          <w:szCs w:val="22"/>
          <w:lang w:val="sr-Latn-ME"/>
        </w:rPr>
      </w:pPr>
    </w:p>
    <w:p w14:paraId="0B309A20" w14:textId="77777777" w:rsidR="001F423A" w:rsidRDefault="001F423A" w:rsidP="0034729B">
      <w:pPr>
        <w:tabs>
          <w:tab w:val="left" w:pos="284"/>
          <w:tab w:val="center" w:pos="4320"/>
          <w:tab w:val="right" w:pos="8640"/>
        </w:tabs>
        <w:ind w:right="65"/>
        <w:jc w:val="both"/>
        <w:rPr>
          <w:sz w:val="22"/>
          <w:szCs w:val="22"/>
          <w:lang w:val="sr-Latn-ME"/>
        </w:rPr>
      </w:pPr>
    </w:p>
    <w:p w14:paraId="74F391D5" w14:textId="77777777" w:rsidR="001F423A" w:rsidRDefault="001F423A" w:rsidP="0034729B">
      <w:pPr>
        <w:tabs>
          <w:tab w:val="left" w:pos="284"/>
          <w:tab w:val="center" w:pos="4320"/>
          <w:tab w:val="right" w:pos="8640"/>
        </w:tabs>
        <w:ind w:right="65"/>
        <w:jc w:val="both"/>
        <w:rPr>
          <w:sz w:val="22"/>
          <w:szCs w:val="22"/>
          <w:lang w:val="sr-Latn-ME"/>
        </w:rPr>
      </w:pPr>
    </w:p>
    <w:p w14:paraId="202640CE" w14:textId="77777777" w:rsidR="001F423A" w:rsidRDefault="001F423A" w:rsidP="0034729B">
      <w:pPr>
        <w:tabs>
          <w:tab w:val="left" w:pos="284"/>
          <w:tab w:val="center" w:pos="4320"/>
          <w:tab w:val="right" w:pos="8640"/>
        </w:tabs>
        <w:ind w:right="65"/>
        <w:jc w:val="both"/>
        <w:rPr>
          <w:sz w:val="22"/>
          <w:szCs w:val="22"/>
          <w:lang w:val="sr-Latn-ME"/>
        </w:rPr>
      </w:pPr>
    </w:p>
    <w:p w14:paraId="27DB284F" w14:textId="77777777" w:rsidR="001F423A" w:rsidRDefault="001F423A" w:rsidP="0034729B">
      <w:pPr>
        <w:tabs>
          <w:tab w:val="left" w:pos="284"/>
          <w:tab w:val="center" w:pos="4320"/>
          <w:tab w:val="right" w:pos="8640"/>
        </w:tabs>
        <w:ind w:right="65"/>
        <w:jc w:val="both"/>
        <w:rPr>
          <w:sz w:val="22"/>
          <w:szCs w:val="22"/>
          <w:lang w:val="sr-Latn-ME"/>
        </w:rPr>
      </w:pPr>
    </w:p>
    <w:p w14:paraId="363DF1E4" w14:textId="77777777" w:rsidR="001F423A" w:rsidRDefault="001F423A" w:rsidP="0034729B">
      <w:pPr>
        <w:tabs>
          <w:tab w:val="left" w:pos="284"/>
          <w:tab w:val="center" w:pos="4320"/>
          <w:tab w:val="right" w:pos="8640"/>
        </w:tabs>
        <w:ind w:right="65"/>
        <w:jc w:val="both"/>
        <w:rPr>
          <w:sz w:val="22"/>
          <w:szCs w:val="22"/>
          <w:lang w:val="sr-Latn-ME"/>
        </w:rPr>
      </w:pPr>
    </w:p>
    <w:p w14:paraId="1DE41840" w14:textId="77777777" w:rsidR="001F423A" w:rsidRDefault="001F423A" w:rsidP="0034729B">
      <w:pPr>
        <w:tabs>
          <w:tab w:val="left" w:pos="284"/>
          <w:tab w:val="center" w:pos="4320"/>
          <w:tab w:val="right" w:pos="8640"/>
        </w:tabs>
        <w:ind w:right="65"/>
        <w:jc w:val="both"/>
        <w:rPr>
          <w:sz w:val="22"/>
          <w:szCs w:val="22"/>
          <w:lang w:val="sr-Latn-ME"/>
        </w:rPr>
      </w:pPr>
    </w:p>
    <w:p w14:paraId="1E43F78E" w14:textId="77777777" w:rsidR="001F423A" w:rsidRDefault="001F423A" w:rsidP="0034729B">
      <w:pPr>
        <w:tabs>
          <w:tab w:val="left" w:pos="284"/>
          <w:tab w:val="center" w:pos="4320"/>
          <w:tab w:val="right" w:pos="8640"/>
        </w:tabs>
        <w:ind w:right="65"/>
        <w:jc w:val="both"/>
        <w:rPr>
          <w:sz w:val="22"/>
          <w:szCs w:val="22"/>
          <w:lang w:val="sr-Latn-ME"/>
        </w:rPr>
      </w:pPr>
    </w:p>
    <w:p w14:paraId="1DB87A7E" w14:textId="205D7D51" w:rsidR="001F423A" w:rsidRDefault="001F423A" w:rsidP="0034729B">
      <w:pPr>
        <w:tabs>
          <w:tab w:val="left" w:pos="284"/>
          <w:tab w:val="center" w:pos="4320"/>
          <w:tab w:val="right" w:pos="8640"/>
        </w:tabs>
        <w:ind w:right="65"/>
        <w:jc w:val="both"/>
        <w:rPr>
          <w:sz w:val="22"/>
          <w:szCs w:val="22"/>
          <w:lang w:val="sr-Latn-ME"/>
        </w:rPr>
      </w:pPr>
    </w:p>
    <w:p w14:paraId="20D27BF6" w14:textId="291ECD58" w:rsidR="00E310B2" w:rsidRPr="00F334AF" w:rsidRDefault="009D7C9B" w:rsidP="0034729B">
      <w:pPr>
        <w:tabs>
          <w:tab w:val="left" w:pos="284"/>
          <w:tab w:val="center" w:pos="4320"/>
          <w:tab w:val="right" w:pos="8640"/>
        </w:tabs>
        <w:ind w:right="65"/>
        <w:jc w:val="both"/>
        <w:rPr>
          <w:sz w:val="22"/>
          <w:szCs w:val="22"/>
          <w:lang w:val="sr-Latn-ME"/>
        </w:rPr>
      </w:pPr>
      <w:r w:rsidRPr="00F334AF">
        <w:rPr>
          <w:sz w:val="22"/>
          <w:szCs w:val="22"/>
          <w:lang w:val="sr-Latn-ME"/>
        </w:rPr>
        <w:lastRenderedPageBreak/>
        <w:t xml:space="preserve">U </w:t>
      </w:r>
      <w:r w:rsidR="00E310B2" w:rsidRPr="00F334AF">
        <w:rPr>
          <w:sz w:val="22"/>
          <w:szCs w:val="22"/>
          <w:lang w:val="sr-Latn-ME"/>
        </w:rPr>
        <w:t>Tabeli 2 dat je sažeti prikaz najvažnijih rezultata dobijenih analizom podataka iz ovog ispitivanja:</w:t>
      </w:r>
    </w:p>
    <w:p w14:paraId="6E844C31" w14:textId="2355DFB1" w:rsidR="009973DD" w:rsidRDefault="009973DD" w:rsidP="0034729B">
      <w:pPr>
        <w:tabs>
          <w:tab w:val="left" w:pos="284"/>
          <w:tab w:val="center" w:pos="4320"/>
          <w:tab w:val="right" w:pos="8640"/>
        </w:tabs>
        <w:ind w:right="65"/>
        <w:jc w:val="both"/>
        <w:rPr>
          <w:sz w:val="22"/>
          <w:szCs w:val="22"/>
          <w:lang w:val="sr-Latn-ME"/>
        </w:rPr>
      </w:pPr>
    </w:p>
    <w:p w14:paraId="307342B2" w14:textId="77777777" w:rsidR="001F423A" w:rsidRPr="00F334AF" w:rsidRDefault="001F423A" w:rsidP="0034729B">
      <w:pPr>
        <w:tabs>
          <w:tab w:val="left" w:pos="284"/>
          <w:tab w:val="center" w:pos="4320"/>
          <w:tab w:val="right" w:pos="8640"/>
        </w:tabs>
        <w:ind w:right="65"/>
        <w:jc w:val="both"/>
        <w:rPr>
          <w:sz w:val="22"/>
          <w:szCs w:val="22"/>
          <w:lang w:val="sr-Latn-ME"/>
        </w:rPr>
      </w:pPr>
    </w:p>
    <w:p w14:paraId="475AEABC" w14:textId="77777777" w:rsidR="00E310B2" w:rsidRPr="00F334AF" w:rsidRDefault="00E310B2" w:rsidP="00256EDE">
      <w:pPr>
        <w:tabs>
          <w:tab w:val="left" w:pos="284"/>
          <w:tab w:val="center" w:pos="4320"/>
          <w:tab w:val="right" w:pos="8640"/>
        </w:tabs>
        <w:ind w:right="65"/>
        <w:jc w:val="center"/>
        <w:rPr>
          <w:b/>
          <w:sz w:val="22"/>
          <w:szCs w:val="22"/>
          <w:lang w:val="sr-Latn-ME"/>
        </w:rPr>
      </w:pPr>
      <w:r w:rsidRPr="00F334AF">
        <w:rPr>
          <w:b/>
          <w:sz w:val="22"/>
          <w:szCs w:val="22"/>
          <w:lang w:val="sr-Latn-ME"/>
        </w:rPr>
        <w:t>Tabela 2</w:t>
      </w:r>
    </w:p>
    <w:p w14:paraId="4B099800" w14:textId="0EA7EB42" w:rsidR="00E310B2" w:rsidRPr="00F334AF" w:rsidRDefault="00E310B2">
      <w:pPr>
        <w:tabs>
          <w:tab w:val="left" w:pos="284"/>
          <w:tab w:val="center" w:pos="4320"/>
          <w:tab w:val="right" w:pos="8640"/>
        </w:tabs>
        <w:ind w:right="65"/>
        <w:jc w:val="center"/>
        <w:rPr>
          <w:b/>
          <w:sz w:val="22"/>
          <w:szCs w:val="22"/>
          <w:lang w:val="sr-Latn-ME"/>
        </w:rPr>
      </w:pPr>
      <w:r w:rsidRPr="00F334AF">
        <w:rPr>
          <w:b/>
          <w:sz w:val="22"/>
          <w:szCs w:val="22"/>
          <w:lang w:val="sr-Latn-ME"/>
        </w:rPr>
        <w:t>Procenat odraslih pacijenata koji su odgovorili na liječenje, a na osnovu terapijske grupe i faze liječenja – 1. ciklus</w:t>
      </w:r>
      <w:r w:rsidR="006A5302" w:rsidRPr="00F334AF">
        <w:rPr>
          <w:b/>
          <w:sz w:val="22"/>
          <w:szCs w:val="22"/>
          <w:lang w:val="sr-Latn-ME"/>
        </w:rPr>
        <w:t>, u</w:t>
      </w:r>
      <w:r w:rsidRPr="00F334AF">
        <w:rPr>
          <w:b/>
          <w:sz w:val="22"/>
          <w:szCs w:val="22"/>
          <w:lang w:val="sr-Latn-ME"/>
        </w:rPr>
        <w:t>mjereno emetogena hemoterapija</w:t>
      </w:r>
    </w:p>
    <w:p w14:paraId="4A190507" w14:textId="60FAD426" w:rsidR="00E310B2" w:rsidRDefault="00E310B2" w:rsidP="0034729B">
      <w:pPr>
        <w:tabs>
          <w:tab w:val="left" w:pos="284"/>
          <w:tab w:val="center" w:pos="4320"/>
          <w:tab w:val="right" w:pos="8640"/>
        </w:tabs>
        <w:ind w:right="65"/>
        <w:jc w:val="both"/>
        <w:rPr>
          <w:sz w:val="22"/>
          <w:szCs w:val="22"/>
          <w:lang w:val="sr-Latn-ME"/>
        </w:rPr>
      </w:pPr>
    </w:p>
    <w:p w14:paraId="11A9A60D" w14:textId="77777777" w:rsidR="001F423A" w:rsidRPr="00F334AF" w:rsidRDefault="001F423A" w:rsidP="0034729B">
      <w:pPr>
        <w:tabs>
          <w:tab w:val="left" w:pos="284"/>
          <w:tab w:val="center" w:pos="4320"/>
          <w:tab w:val="right" w:pos="8640"/>
        </w:tabs>
        <w:ind w:right="65"/>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620"/>
        <w:gridCol w:w="1620"/>
        <w:gridCol w:w="1396"/>
        <w:gridCol w:w="188"/>
        <w:gridCol w:w="1584"/>
      </w:tblGrid>
      <w:tr w:rsidR="00C112CE" w:rsidRPr="00F334AF" w14:paraId="09CDDB2D" w14:textId="77777777" w:rsidTr="00C112CE">
        <w:trPr>
          <w:trHeight w:val="503"/>
        </w:trPr>
        <w:tc>
          <w:tcPr>
            <w:tcW w:w="2448" w:type="dxa"/>
            <w:vMerge w:val="restart"/>
            <w:shd w:val="clear" w:color="auto" w:fill="auto"/>
          </w:tcPr>
          <w:p w14:paraId="3CE2ACE4" w14:textId="77777777" w:rsidR="00C112CE" w:rsidRPr="00F334AF" w:rsidRDefault="00C112CE" w:rsidP="0034729B">
            <w:pPr>
              <w:tabs>
                <w:tab w:val="left" w:pos="284"/>
                <w:tab w:val="center" w:pos="4320"/>
                <w:tab w:val="right" w:pos="8640"/>
              </w:tabs>
              <w:ind w:right="65"/>
              <w:jc w:val="both"/>
              <w:rPr>
                <w:sz w:val="22"/>
                <w:szCs w:val="22"/>
                <w:lang w:val="sr-Latn-ME"/>
              </w:rPr>
            </w:pPr>
            <w:r w:rsidRPr="00F334AF">
              <w:rPr>
                <w:sz w:val="22"/>
                <w:szCs w:val="22"/>
                <w:lang w:val="sr-Latn-ME"/>
              </w:rPr>
              <w:t>Zbirni parametar</w:t>
            </w:r>
          </w:p>
        </w:tc>
        <w:tc>
          <w:tcPr>
            <w:tcW w:w="1620" w:type="dxa"/>
            <w:vMerge w:val="restart"/>
            <w:shd w:val="clear" w:color="auto" w:fill="auto"/>
          </w:tcPr>
          <w:p w14:paraId="5F0F8E61" w14:textId="77777777" w:rsidR="00C112CE" w:rsidRPr="00F334AF" w:rsidRDefault="00C112CE" w:rsidP="0034729B">
            <w:pPr>
              <w:tabs>
                <w:tab w:val="left" w:pos="284"/>
                <w:tab w:val="center" w:pos="4320"/>
                <w:tab w:val="right" w:pos="8640"/>
              </w:tabs>
              <w:ind w:right="65"/>
              <w:jc w:val="both"/>
              <w:rPr>
                <w:sz w:val="22"/>
                <w:szCs w:val="22"/>
                <w:lang w:val="sr-Latn-ME"/>
              </w:rPr>
            </w:pPr>
            <w:r w:rsidRPr="00F334AF">
              <w:rPr>
                <w:sz w:val="22"/>
                <w:szCs w:val="22"/>
                <w:lang w:val="sr-Latn-ME"/>
              </w:rPr>
              <w:t>Aprepitant</w:t>
            </w:r>
          </w:p>
          <w:p w14:paraId="72D5FA20" w14:textId="77777777" w:rsidR="00C112CE" w:rsidRPr="00F334AF" w:rsidRDefault="00C112CE" w:rsidP="0034729B">
            <w:pPr>
              <w:tabs>
                <w:tab w:val="left" w:pos="284"/>
                <w:tab w:val="center" w:pos="4320"/>
                <w:tab w:val="right" w:pos="8640"/>
              </w:tabs>
              <w:ind w:right="65"/>
              <w:jc w:val="both"/>
              <w:rPr>
                <w:sz w:val="22"/>
                <w:szCs w:val="22"/>
                <w:lang w:val="sr-Latn-ME"/>
              </w:rPr>
            </w:pPr>
            <w:r w:rsidRPr="00F334AF">
              <w:rPr>
                <w:sz w:val="22"/>
                <w:szCs w:val="22"/>
                <w:lang w:val="sr-Latn-ME"/>
              </w:rPr>
              <w:t>(N=433)†</w:t>
            </w:r>
          </w:p>
          <w:p w14:paraId="15E98421" w14:textId="77777777" w:rsidR="00C112CE" w:rsidRPr="00F334AF" w:rsidRDefault="00C112CE" w:rsidP="0034729B">
            <w:pPr>
              <w:tabs>
                <w:tab w:val="left" w:pos="284"/>
                <w:tab w:val="center" w:pos="4320"/>
                <w:tab w:val="right" w:pos="8640"/>
              </w:tabs>
              <w:ind w:right="65"/>
              <w:jc w:val="both"/>
              <w:rPr>
                <w:sz w:val="22"/>
                <w:szCs w:val="22"/>
                <w:lang w:val="sr-Latn-ME"/>
              </w:rPr>
            </w:pPr>
            <w:r w:rsidRPr="00F334AF">
              <w:rPr>
                <w:sz w:val="22"/>
                <w:szCs w:val="22"/>
                <w:lang w:val="sr-Latn-ME"/>
              </w:rPr>
              <w:t>%</w:t>
            </w:r>
          </w:p>
        </w:tc>
        <w:tc>
          <w:tcPr>
            <w:tcW w:w="1620" w:type="dxa"/>
            <w:vMerge w:val="restart"/>
            <w:shd w:val="clear" w:color="auto" w:fill="auto"/>
          </w:tcPr>
          <w:p w14:paraId="3A7EAC0C" w14:textId="77777777" w:rsidR="00C112CE" w:rsidRPr="00F334AF" w:rsidRDefault="00C112CE" w:rsidP="0034729B">
            <w:pPr>
              <w:tabs>
                <w:tab w:val="left" w:pos="284"/>
                <w:tab w:val="center" w:pos="4320"/>
                <w:tab w:val="right" w:pos="8640"/>
              </w:tabs>
              <w:ind w:right="65"/>
              <w:jc w:val="both"/>
              <w:rPr>
                <w:sz w:val="22"/>
                <w:szCs w:val="22"/>
                <w:lang w:val="sr-Latn-ME"/>
              </w:rPr>
            </w:pPr>
            <w:r w:rsidRPr="00F334AF">
              <w:rPr>
                <w:sz w:val="22"/>
                <w:szCs w:val="22"/>
                <w:lang w:val="sr-Latn-ME"/>
              </w:rPr>
              <w:t>Standardni režim liječenja</w:t>
            </w:r>
          </w:p>
          <w:p w14:paraId="289B1BD5" w14:textId="77777777" w:rsidR="00C112CE" w:rsidRPr="00F334AF" w:rsidRDefault="00C112CE" w:rsidP="0034729B">
            <w:pPr>
              <w:tabs>
                <w:tab w:val="left" w:pos="284"/>
                <w:tab w:val="center" w:pos="4320"/>
                <w:tab w:val="right" w:pos="8640"/>
              </w:tabs>
              <w:ind w:right="65"/>
              <w:jc w:val="both"/>
              <w:rPr>
                <w:sz w:val="22"/>
                <w:szCs w:val="22"/>
                <w:lang w:val="sr-Latn-ME"/>
              </w:rPr>
            </w:pPr>
            <w:r w:rsidRPr="00F334AF">
              <w:rPr>
                <w:sz w:val="22"/>
                <w:szCs w:val="22"/>
                <w:lang w:val="sr-Latn-ME"/>
              </w:rPr>
              <w:t>(N=424)†</w:t>
            </w:r>
          </w:p>
          <w:p w14:paraId="61877B31" w14:textId="77777777" w:rsidR="00C112CE" w:rsidRPr="00F334AF" w:rsidRDefault="00C112CE" w:rsidP="0034729B">
            <w:pPr>
              <w:tabs>
                <w:tab w:val="left" w:pos="284"/>
                <w:tab w:val="center" w:pos="4320"/>
                <w:tab w:val="right" w:pos="8640"/>
              </w:tabs>
              <w:ind w:right="65"/>
              <w:jc w:val="both"/>
              <w:rPr>
                <w:sz w:val="22"/>
                <w:szCs w:val="22"/>
                <w:lang w:val="sr-Latn-ME"/>
              </w:rPr>
            </w:pPr>
            <w:r w:rsidRPr="00F334AF">
              <w:rPr>
                <w:sz w:val="22"/>
                <w:szCs w:val="22"/>
                <w:lang w:val="sr-Latn-ME"/>
              </w:rPr>
              <w:t>%</w:t>
            </w:r>
          </w:p>
        </w:tc>
        <w:tc>
          <w:tcPr>
            <w:tcW w:w="3168" w:type="dxa"/>
            <w:gridSpan w:val="3"/>
            <w:shd w:val="clear" w:color="auto" w:fill="auto"/>
          </w:tcPr>
          <w:p w14:paraId="4F9F1D5C" w14:textId="6EF5337A" w:rsidR="00C112CE" w:rsidRPr="00F334AF" w:rsidRDefault="00C112CE" w:rsidP="0034729B">
            <w:pPr>
              <w:tabs>
                <w:tab w:val="left" w:pos="284"/>
                <w:tab w:val="center" w:pos="4320"/>
                <w:tab w:val="right" w:pos="8640"/>
              </w:tabs>
              <w:ind w:right="65"/>
              <w:jc w:val="both"/>
              <w:rPr>
                <w:sz w:val="22"/>
                <w:szCs w:val="22"/>
                <w:lang w:val="sr-Latn-ME"/>
              </w:rPr>
            </w:pPr>
            <w:r w:rsidRPr="00F334AF">
              <w:rPr>
                <w:sz w:val="22"/>
                <w:szCs w:val="22"/>
                <w:lang w:val="sr-Latn-ME"/>
              </w:rPr>
              <w:t>Razlike*</w:t>
            </w:r>
          </w:p>
          <w:p w14:paraId="26363CF9" w14:textId="5AB43BF3" w:rsidR="00C112CE" w:rsidRPr="00F334AF" w:rsidRDefault="00C112CE" w:rsidP="0034729B">
            <w:pPr>
              <w:tabs>
                <w:tab w:val="left" w:pos="284"/>
                <w:tab w:val="center" w:pos="4320"/>
                <w:tab w:val="right" w:pos="8640"/>
              </w:tabs>
              <w:ind w:right="65"/>
              <w:jc w:val="both"/>
              <w:rPr>
                <w:sz w:val="22"/>
                <w:szCs w:val="22"/>
                <w:lang w:val="sr-Latn-ME"/>
              </w:rPr>
            </w:pPr>
          </w:p>
        </w:tc>
      </w:tr>
      <w:tr w:rsidR="00C112CE" w:rsidRPr="00F334AF" w14:paraId="5BA74BF1" w14:textId="77777777" w:rsidTr="00BB35C9">
        <w:trPr>
          <w:trHeight w:val="502"/>
        </w:trPr>
        <w:tc>
          <w:tcPr>
            <w:tcW w:w="2448" w:type="dxa"/>
            <w:vMerge/>
            <w:shd w:val="clear" w:color="auto" w:fill="auto"/>
          </w:tcPr>
          <w:p w14:paraId="370F472D" w14:textId="77777777" w:rsidR="00C112CE" w:rsidRPr="00F334AF" w:rsidRDefault="00C112CE" w:rsidP="0034729B">
            <w:pPr>
              <w:tabs>
                <w:tab w:val="left" w:pos="284"/>
                <w:tab w:val="center" w:pos="4320"/>
                <w:tab w:val="right" w:pos="8640"/>
              </w:tabs>
              <w:ind w:right="65"/>
              <w:jc w:val="both"/>
              <w:rPr>
                <w:sz w:val="22"/>
                <w:szCs w:val="22"/>
                <w:lang w:val="sr-Latn-ME"/>
              </w:rPr>
            </w:pPr>
          </w:p>
        </w:tc>
        <w:tc>
          <w:tcPr>
            <w:tcW w:w="1620" w:type="dxa"/>
            <w:vMerge/>
            <w:shd w:val="clear" w:color="auto" w:fill="auto"/>
          </w:tcPr>
          <w:p w14:paraId="602A6356" w14:textId="77777777" w:rsidR="00C112CE" w:rsidRPr="00F334AF" w:rsidRDefault="00C112CE" w:rsidP="0034729B">
            <w:pPr>
              <w:tabs>
                <w:tab w:val="left" w:pos="284"/>
                <w:tab w:val="center" w:pos="4320"/>
                <w:tab w:val="right" w:pos="8640"/>
              </w:tabs>
              <w:ind w:right="65"/>
              <w:jc w:val="both"/>
              <w:rPr>
                <w:sz w:val="22"/>
                <w:szCs w:val="22"/>
                <w:lang w:val="sr-Latn-ME"/>
              </w:rPr>
            </w:pPr>
          </w:p>
        </w:tc>
        <w:tc>
          <w:tcPr>
            <w:tcW w:w="1620" w:type="dxa"/>
            <w:vMerge/>
            <w:shd w:val="clear" w:color="auto" w:fill="auto"/>
          </w:tcPr>
          <w:p w14:paraId="5531B9DA" w14:textId="77777777" w:rsidR="00C112CE" w:rsidRPr="00F334AF" w:rsidRDefault="00C112CE" w:rsidP="0034729B">
            <w:pPr>
              <w:tabs>
                <w:tab w:val="left" w:pos="284"/>
                <w:tab w:val="center" w:pos="4320"/>
                <w:tab w:val="right" w:pos="8640"/>
              </w:tabs>
              <w:ind w:right="65"/>
              <w:jc w:val="both"/>
              <w:rPr>
                <w:sz w:val="22"/>
                <w:szCs w:val="22"/>
                <w:lang w:val="sr-Latn-ME"/>
              </w:rPr>
            </w:pPr>
          </w:p>
        </w:tc>
        <w:tc>
          <w:tcPr>
            <w:tcW w:w="1584" w:type="dxa"/>
            <w:gridSpan w:val="2"/>
            <w:shd w:val="clear" w:color="auto" w:fill="auto"/>
          </w:tcPr>
          <w:p w14:paraId="3C9A9C44" w14:textId="77777777" w:rsidR="00C112CE" w:rsidRPr="00F334AF" w:rsidRDefault="00C112CE" w:rsidP="0034729B">
            <w:pPr>
              <w:tabs>
                <w:tab w:val="left" w:pos="284"/>
                <w:tab w:val="center" w:pos="4320"/>
                <w:tab w:val="right" w:pos="8640"/>
              </w:tabs>
              <w:ind w:right="65"/>
              <w:jc w:val="both"/>
              <w:rPr>
                <w:sz w:val="22"/>
                <w:szCs w:val="22"/>
                <w:lang w:val="sr-Latn-ME"/>
              </w:rPr>
            </w:pPr>
            <w:r w:rsidRPr="00F334AF">
              <w:rPr>
                <w:sz w:val="22"/>
                <w:szCs w:val="22"/>
                <w:lang w:val="sr-Latn-ME"/>
              </w:rPr>
              <w:t>%</w:t>
            </w:r>
          </w:p>
          <w:p w14:paraId="69E41948" w14:textId="77777777" w:rsidR="00C112CE" w:rsidRPr="00F334AF" w:rsidRDefault="00C112CE" w:rsidP="0034729B">
            <w:pPr>
              <w:tabs>
                <w:tab w:val="left" w:pos="284"/>
                <w:tab w:val="center" w:pos="4320"/>
                <w:tab w:val="right" w:pos="8640"/>
              </w:tabs>
              <w:ind w:right="65"/>
              <w:jc w:val="both"/>
              <w:rPr>
                <w:sz w:val="22"/>
                <w:szCs w:val="22"/>
                <w:lang w:val="sr-Latn-ME"/>
              </w:rPr>
            </w:pPr>
          </w:p>
        </w:tc>
        <w:tc>
          <w:tcPr>
            <w:tcW w:w="1584" w:type="dxa"/>
            <w:shd w:val="clear" w:color="auto" w:fill="auto"/>
          </w:tcPr>
          <w:p w14:paraId="6FB3B157" w14:textId="2A143771" w:rsidR="00C112CE" w:rsidRPr="00F334AF" w:rsidRDefault="00C112CE" w:rsidP="0034729B">
            <w:pPr>
              <w:tabs>
                <w:tab w:val="left" w:pos="284"/>
                <w:tab w:val="center" w:pos="4320"/>
                <w:tab w:val="right" w:pos="8640"/>
              </w:tabs>
              <w:ind w:right="65"/>
              <w:jc w:val="both"/>
              <w:rPr>
                <w:sz w:val="22"/>
                <w:szCs w:val="22"/>
                <w:lang w:val="sr-Latn-ME"/>
              </w:rPr>
            </w:pPr>
            <w:r w:rsidRPr="00F334AF">
              <w:rPr>
                <w:sz w:val="22"/>
                <w:szCs w:val="22"/>
                <w:lang w:val="sr-Latn-ME"/>
              </w:rPr>
              <w:t>(95% CI)</w:t>
            </w:r>
          </w:p>
        </w:tc>
      </w:tr>
      <w:tr w:rsidR="00E310B2" w:rsidRPr="00F334AF" w14:paraId="66834E20" w14:textId="77777777" w:rsidTr="00E310B2">
        <w:tc>
          <w:tcPr>
            <w:tcW w:w="8856" w:type="dxa"/>
            <w:gridSpan w:val="6"/>
            <w:shd w:val="clear" w:color="auto" w:fill="auto"/>
          </w:tcPr>
          <w:p w14:paraId="395E0219" w14:textId="4F6CCE17" w:rsidR="00E310B2" w:rsidRPr="00F334AF" w:rsidRDefault="00E310B2" w:rsidP="0034729B">
            <w:pPr>
              <w:tabs>
                <w:tab w:val="left" w:pos="284"/>
                <w:tab w:val="center" w:pos="4320"/>
                <w:tab w:val="right" w:pos="8640"/>
              </w:tabs>
              <w:ind w:right="65"/>
              <w:jc w:val="both"/>
              <w:rPr>
                <w:b/>
                <w:sz w:val="22"/>
                <w:szCs w:val="22"/>
                <w:lang w:val="sr-Latn-ME"/>
              </w:rPr>
            </w:pPr>
            <w:r w:rsidRPr="00F334AF">
              <w:rPr>
                <w:b/>
                <w:sz w:val="22"/>
                <w:szCs w:val="22"/>
                <w:lang w:val="sr-Latn-ME"/>
              </w:rPr>
              <w:t>Potpuni odgovor na terapiju (izostanak povraćanja i potrebe za</w:t>
            </w:r>
            <w:r w:rsidR="00F70E7B" w:rsidRPr="00F334AF">
              <w:rPr>
                <w:b/>
                <w:sz w:val="22"/>
                <w:szCs w:val="22"/>
                <w:lang w:val="sr-Latn-ME"/>
              </w:rPr>
              <w:t xml:space="preserve"> dodatnom</w:t>
            </w:r>
            <w:r w:rsidRPr="00F334AF">
              <w:rPr>
                <w:b/>
                <w:sz w:val="22"/>
                <w:szCs w:val="22"/>
                <w:lang w:val="sr-Latn-ME"/>
              </w:rPr>
              <w:t xml:space="preserve"> terapijom)</w:t>
            </w:r>
          </w:p>
        </w:tc>
      </w:tr>
      <w:tr w:rsidR="00E310B2" w:rsidRPr="00F334AF" w14:paraId="4171D78F" w14:textId="77777777" w:rsidTr="00E310B2">
        <w:tc>
          <w:tcPr>
            <w:tcW w:w="2448" w:type="dxa"/>
            <w:shd w:val="clear" w:color="auto" w:fill="auto"/>
          </w:tcPr>
          <w:p w14:paraId="565901AF"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Ukupno (0-120 sati)</w:t>
            </w:r>
          </w:p>
        </w:tc>
        <w:tc>
          <w:tcPr>
            <w:tcW w:w="1620" w:type="dxa"/>
            <w:shd w:val="clear" w:color="auto" w:fill="auto"/>
          </w:tcPr>
          <w:p w14:paraId="2FA26B2B"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50,8</w:t>
            </w:r>
          </w:p>
        </w:tc>
        <w:tc>
          <w:tcPr>
            <w:tcW w:w="1620" w:type="dxa"/>
            <w:shd w:val="clear" w:color="auto" w:fill="auto"/>
          </w:tcPr>
          <w:p w14:paraId="04F62D3D"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42,5</w:t>
            </w:r>
          </w:p>
        </w:tc>
        <w:tc>
          <w:tcPr>
            <w:tcW w:w="1396" w:type="dxa"/>
            <w:shd w:val="clear" w:color="auto" w:fill="auto"/>
          </w:tcPr>
          <w:p w14:paraId="73321DC0"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8,3</w:t>
            </w:r>
          </w:p>
        </w:tc>
        <w:tc>
          <w:tcPr>
            <w:tcW w:w="1772" w:type="dxa"/>
            <w:gridSpan w:val="2"/>
            <w:shd w:val="clear" w:color="auto" w:fill="auto"/>
          </w:tcPr>
          <w:p w14:paraId="64AC4F7A"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(1,6; 15,0)</w:t>
            </w:r>
          </w:p>
        </w:tc>
      </w:tr>
      <w:tr w:rsidR="00E310B2" w:rsidRPr="00F334AF" w14:paraId="5A072E31" w14:textId="77777777" w:rsidTr="00E310B2">
        <w:tc>
          <w:tcPr>
            <w:tcW w:w="2448" w:type="dxa"/>
            <w:shd w:val="clear" w:color="auto" w:fill="auto"/>
          </w:tcPr>
          <w:p w14:paraId="4767536E"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0-24 sata</w:t>
            </w:r>
          </w:p>
        </w:tc>
        <w:tc>
          <w:tcPr>
            <w:tcW w:w="1620" w:type="dxa"/>
            <w:shd w:val="clear" w:color="auto" w:fill="auto"/>
          </w:tcPr>
          <w:p w14:paraId="61F86B91"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75,7</w:t>
            </w:r>
          </w:p>
        </w:tc>
        <w:tc>
          <w:tcPr>
            <w:tcW w:w="1620" w:type="dxa"/>
            <w:shd w:val="clear" w:color="auto" w:fill="auto"/>
          </w:tcPr>
          <w:p w14:paraId="124373E4"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69,0</w:t>
            </w:r>
          </w:p>
        </w:tc>
        <w:tc>
          <w:tcPr>
            <w:tcW w:w="1396" w:type="dxa"/>
            <w:shd w:val="clear" w:color="auto" w:fill="auto"/>
          </w:tcPr>
          <w:p w14:paraId="40C1BFFB"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6,7</w:t>
            </w:r>
          </w:p>
        </w:tc>
        <w:tc>
          <w:tcPr>
            <w:tcW w:w="1772" w:type="dxa"/>
            <w:gridSpan w:val="2"/>
            <w:shd w:val="clear" w:color="auto" w:fill="auto"/>
          </w:tcPr>
          <w:p w14:paraId="63EEC4F7"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(0,7; 12,7)</w:t>
            </w:r>
          </w:p>
        </w:tc>
      </w:tr>
      <w:tr w:rsidR="00E310B2" w:rsidRPr="00F334AF" w14:paraId="569B1A81" w14:textId="77777777" w:rsidTr="00E310B2">
        <w:tc>
          <w:tcPr>
            <w:tcW w:w="2448" w:type="dxa"/>
            <w:shd w:val="clear" w:color="auto" w:fill="auto"/>
          </w:tcPr>
          <w:p w14:paraId="6083EE4F"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25-120 sati</w:t>
            </w:r>
          </w:p>
        </w:tc>
        <w:tc>
          <w:tcPr>
            <w:tcW w:w="1620" w:type="dxa"/>
            <w:shd w:val="clear" w:color="auto" w:fill="auto"/>
          </w:tcPr>
          <w:p w14:paraId="405A24BE"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55,4</w:t>
            </w:r>
          </w:p>
        </w:tc>
        <w:tc>
          <w:tcPr>
            <w:tcW w:w="1620" w:type="dxa"/>
            <w:shd w:val="clear" w:color="auto" w:fill="auto"/>
          </w:tcPr>
          <w:p w14:paraId="5D4050E8"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49,1</w:t>
            </w:r>
          </w:p>
        </w:tc>
        <w:tc>
          <w:tcPr>
            <w:tcW w:w="1396" w:type="dxa"/>
            <w:shd w:val="clear" w:color="auto" w:fill="auto"/>
          </w:tcPr>
          <w:p w14:paraId="076CC3DA"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6,3</w:t>
            </w:r>
          </w:p>
        </w:tc>
        <w:tc>
          <w:tcPr>
            <w:tcW w:w="1772" w:type="dxa"/>
            <w:gridSpan w:val="2"/>
            <w:shd w:val="clear" w:color="auto" w:fill="auto"/>
          </w:tcPr>
          <w:p w14:paraId="72A2476D"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(-0,4; 13,0 )</w:t>
            </w:r>
          </w:p>
        </w:tc>
      </w:tr>
      <w:tr w:rsidR="00E310B2" w:rsidRPr="00F334AF" w14:paraId="27B3C7E3" w14:textId="77777777" w:rsidTr="00E310B2">
        <w:tc>
          <w:tcPr>
            <w:tcW w:w="8856" w:type="dxa"/>
            <w:gridSpan w:val="6"/>
            <w:shd w:val="clear" w:color="auto" w:fill="auto"/>
          </w:tcPr>
          <w:p w14:paraId="1754B516"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POSEBNI PARAMETRI</w:t>
            </w:r>
          </w:p>
        </w:tc>
      </w:tr>
      <w:tr w:rsidR="00E310B2" w:rsidRPr="00F334AF" w14:paraId="4DD23645" w14:textId="77777777" w:rsidTr="00E310B2">
        <w:tc>
          <w:tcPr>
            <w:tcW w:w="8856" w:type="dxa"/>
            <w:gridSpan w:val="6"/>
            <w:shd w:val="clear" w:color="auto" w:fill="auto"/>
          </w:tcPr>
          <w:p w14:paraId="37082077" w14:textId="1C2B2904" w:rsidR="00E310B2" w:rsidRPr="00F334AF" w:rsidRDefault="00E310B2" w:rsidP="0034729B">
            <w:pPr>
              <w:tabs>
                <w:tab w:val="left" w:pos="284"/>
                <w:tab w:val="center" w:pos="4320"/>
                <w:tab w:val="right" w:pos="8640"/>
              </w:tabs>
              <w:ind w:right="65"/>
              <w:jc w:val="both"/>
              <w:rPr>
                <w:b/>
                <w:sz w:val="22"/>
                <w:szCs w:val="22"/>
                <w:lang w:val="sr-Latn-ME"/>
              </w:rPr>
            </w:pPr>
            <w:r w:rsidRPr="00F334AF">
              <w:rPr>
                <w:b/>
                <w:sz w:val="22"/>
                <w:szCs w:val="22"/>
                <w:lang w:val="sr-Latn-ME"/>
              </w:rPr>
              <w:t>Bez povraćanja (izostanak povraćanja bez obzira na primjenu</w:t>
            </w:r>
            <w:r w:rsidR="00F70E7B" w:rsidRPr="00F334AF">
              <w:rPr>
                <w:b/>
                <w:sz w:val="22"/>
                <w:szCs w:val="22"/>
                <w:lang w:val="sr-Latn-ME"/>
              </w:rPr>
              <w:t xml:space="preserve"> dodatne</w:t>
            </w:r>
            <w:r w:rsidRPr="00F334AF">
              <w:rPr>
                <w:b/>
                <w:sz w:val="22"/>
                <w:szCs w:val="22"/>
                <w:lang w:val="sr-Latn-ME"/>
              </w:rPr>
              <w:t xml:space="preserve"> terapije)</w:t>
            </w:r>
          </w:p>
        </w:tc>
      </w:tr>
      <w:tr w:rsidR="00E310B2" w:rsidRPr="00F334AF" w14:paraId="5C6757C4" w14:textId="77777777" w:rsidTr="00E310B2">
        <w:tc>
          <w:tcPr>
            <w:tcW w:w="2448" w:type="dxa"/>
            <w:shd w:val="clear" w:color="auto" w:fill="auto"/>
          </w:tcPr>
          <w:p w14:paraId="1478C205"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Ukupno (0-120 sati)</w:t>
            </w:r>
          </w:p>
        </w:tc>
        <w:tc>
          <w:tcPr>
            <w:tcW w:w="1620" w:type="dxa"/>
            <w:shd w:val="clear" w:color="auto" w:fill="auto"/>
          </w:tcPr>
          <w:p w14:paraId="77B80232"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75,7</w:t>
            </w:r>
          </w:p>
        </w:tc>
        <w:tc>
          <w:tcPr>
            <w:tcW w:w="1620" w:type="dxa"/>
            <w:shd w:val="clear" w:color="auto" w:fill="auto"/>
          </w:tcPr>
          <w:p w14:paraId="693923D5"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58,7</w:t>
            </w:r>
          </w:p>
        </w:tc>
        <w:tc>
          <w:tcPr>
            <w:tcW w:w="1396" w:type="dxa"/>
            <w:shd w:val="clear" w:color="auto" w:fill="auto"/>
          </w:tcPr>
          <w:p w14:paraId="5020A354"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17,0</w:t>
            </w:r>
          </w:p>
        </w:tc>
        <w:tc>
          <w:tcPr>
            <w:tcW w:w="1772" w:type="dxa"/>
            <w:gridSpan w:val="2"/>
            <w:shd w:val="clear" w:color="auto" w:fill="auto"/>
          </w:tcPr>
          <w:p w14:paraId="0F26BE83"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(10,8; 23,2)</w:t>
            </w:r>
          </w:p>
        </w:tc>
      </w:tr>
      <w:tr w:rsidR="00E310B2" w:rsidRPr="00F334AF" w14:paraId="602CB61C" w14:textId="77777777" w:rsidTr="00E310B2">
        <w:tc>
          <w:tcPr>
            <w:tcW w:w="2448" w:type="dxa"/>
            <w:shd w:val="clear" w:color="auto" w:fill="auto"/>
          </w:tcPr>
          <w:p w14:paraId="039EF28B"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0-24 sata</w:t>
            </w:r>
          </w:p>
        </w:tc>
        <w:tc>
          <w:tcPr>
            <w:tcW w:w="1620" w:type="dxa"/>
            <w:shd w:val="clear" w:color="auto" w:fill="auto"/>
          </w:tcPr>
          <w:p w14:paraId="03CB6709"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87,5</w:t>
            </w:r>
          </w:p>
        </w:tc>
        <w:tc>
          <w:tcPr>
            <w:tcW w:w="1620" w:type="dxa"/>
            <w:shd w:val="clear" w:color="auto" w:fill="auto"/>
          </w:tcPr>
          <w:p w14:paraId="2D3C8203"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77,3</w:t>
            </w:r>
          </w:p>
        </w:tc>
        <w:tc>
          <w:tcPr>
            <w:tcW w:w="1396" w:type="dxa"/>
            <w:shd w:val="clear" w:color="auto" w:fill="auto"/>
          </w:tcPr>
          <w:p w14:paraId="05547A58"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10,2</w:t>
            </w:r>
          </w:p>
        </w:tc>
        <w:tc>
          <w:tcPr>
            <w:tcW w:w="1772" w:type="dxa"/>
            <w:gridSpan w:val="2"/>
            <w:shd w:val="clear" w:color="auto" w:fill="auto"/>
          </w:tcPr>
          <w:p w14:paraId="14E63FDD"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(5,1; 15,3)</w:t>
            </w:r>
          </w:p>
        </w:tc>
      </w:tr>
      <w:tr w:rsidR="00E310B2" w:rsidRPr="00F334AF" w14:paraId="57D3B074" w14:textId="77777777" w:rsidTr="00E310B2">
        <w:tc>
          <w:tcPr>
            <w:tcW w:w="2448" w:type="dxa"/>
            <w:shd w:val="clear" w:color="auto" w:fill="auto"/>
          </w:tcPr>
          <w:p w14:paraId="2E532C2F"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25-120 sati</w:t>
            </w:r>
          </w:p>
        </w:tc>
        <w:tc>
          <w:tcPr>
            <w:tcW w:w="1620" w:type="dxa"/>
            <w:shd w:val="clear" w:color="auto" w:fill="auto"/>
          </w:tcPr>
          <w:p w14:paraId="47D2E303"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80,8</w:t>
            </w:r>
          </w:p>
        </w:tc>
        <w:tc>
          <w:tcPr>
            <w:tcW w:w="1620" w:type="dxa"/>
            <w:shd w:val="clear" w:color="auto" w:fill="auto"/>
          </w:tcPr>
          <w:p w14:paraId="005BBF10"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69,1</w:t>
            </w:r>
          </w:p>
        </w:tc>
        <w:tc>
          <w:tcPr>
            <w:tcW w:w="1396" w:type="dxa"/>
            <w:shd w:val="clear" w:color="auto" w:fill="auto"/>
          </w:tcPr>
          <w:p w14:paraId="5ABD7B8A"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11,7</w:t>
            </w:r>
          </w:p>
        </w:tc>
        <w:tc>
          <w:tcPr>
            <w:tcW w:w="1772" w:type="dxa"/>
            <w:gridSpan w:val="2"/>
            <w:shd w:val="clear" w:color="auto" w:fill="auto"/>
          </w:tcPr>
          <w:p w14:paraId="323935DA"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(5,9; 17,5)</w:t>
            </w:r>
          </w:p>
        </w:tc>
      </w:tr>
      <w:tr w:rsidR="00E310B2" w:rsidRPr="00F334AF" w14:paraId="02CF8E6F" w14:textId="77777777" w:rsidTr="00E310B2">
        <w:tc>
          <w:tcPr>
            <w:tcW w:w="8856" w:type="dxa"/>
            <w:gridSpan w:val="6"/>
            <w:shd w:val="clear" w:color="auto" w:fill="auto"/>
          </w:tcPr>
          <w:p w14:paraId="6F253E2F" w14:textId="77777777" w:rsidR="00E310B2" w:rsidRPr="00F334AF" w:rsidRDefault="00E310B2" w:rsidP="0034729B">
            <w:pPr>
              <w:tabs>
                <w:tab w:val="left" w:pos="284"/>
                <w:tab w:val="center" w:pos="4320"/>
                <w:tab w:val="right" w:pos="8640"/>
              </w:tabs>
              <w:ind w:right="65"/>
              <w:jc w:val="both"/>
              <w:rPr>
                <w:b/>
                <w:sz w:val="22"/>
                <w:szCs w:val="22"/>
                <w:lang w:val="sr-Latn-ME"/>
              </w:rPr>
            </w:pPr>
            <w:r w:rsidRPr="00F334AF">
              <w:rPr>
                <w:b/>
                <w:sz w:val="22"/>
                <w:szCs w:val="22"/>
                <w:lang w:val="sr-Latn-ME"/>
              </w:rPr>
              <w:t>Izostanak klinički značajne mučnine (</w:t>
            </w:r>
            <w:r w:rsidRPr="00F334AF">
              <w:rPr>
                <w:b/>
                <w:sz w:val="22"/>
                <w:szCs w:val="22"/>
                <w:lang w:val="sr-Latn-ME"/>
              </w:rPr>
              <w:sym w:font="Symbol" w:char="F03C"/>
            </w:r>
            <w:r w:rsidRPr="00F334AF">
              <w:rPr>
                <w:b/>
                <w:sz w:val="22"/>
                <w:szCs w:val="22"/>
                <w:lang w:val="sr-Latn-ME"/>
              </w:rPr>
              <w:t xml:space="preserve"> 25 mm na vizuelnoj analognoj skali od 0-100 mm)</w:t>
            </w:r>
          </w:p>
        </w:tc>
      </w:tr>
      <w:tr w:rsidR="00E310B2" w:rsidRPr="00F334AF" w14:paraId="212723BF" w14:textId="77777777" w:rsidTr="00E310B2">
        <w:tc>
          <w:tcPr>
            <w:tcW w:w="2448" w:type="dxa"/>
            <w:shd w:val="clear" w:color="auto" w:fill="auto"/>
          </w:tcPr>
          <w:p w14:paraId="6F97E774"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Ukupno (0-120 sati)</w:t>
            </w:r>
          </w:p>
        </w:tc>
        <w:tc>
          <w:tcPr>
            <w:tcW w:w="1620" w:type="dxa"/>
            <w:shd w:val="clear" w:color="auto" w:fill="auto"/>
          </w:tcPr>
          <w:p w14:paraId="319730A6"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60,9</w:t>
            </w:r>
          </w:p>
        </w:tc>
        <w:tc>
          <w:tcPr>
            <w:tcW w:w="1620" w:type="dxa"/>
            <w:shd w:val="clear" w:color="auto" w:fill="auto"/>
          </w:tcPr>
          <w:p w14:paraId="10322341"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55,7</w:t>
            </w:r>
          </w:p>
        </w:tc>
        <w:tc>
          <w:tcPr>
            <w:tcW w:w="1396" w:type="dxa"/>
            <w:shd w:val="clear" w:color="auto" w:fill="auto"/>
          </w:tcPr>
          <w:p w14:paraId="6E7F2B02"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5,3</w:t>
            </w:r>
          </w:p>
        </w:tc>
        <w:tc>
          <w:tcPr>
            <w:tcW w:w="1772" w:type="dxa"/>
            <w:gridSpan w:val="2"/>
            <w:shd w:val="clear" w:color="auto" w:fill="auto"/>
          </w:tcPr>
          <w:p w14:paraId="1FA1E6FC"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(-1,3; 11,9)</w:t>
            </w:r>
          </w:p>
        </w:tc>
      </w:tr>
      <w:tr w:rsidR="00E310B2" w:rsidRPr="00F334AF" w14:paraId="235D755D" w14:textId="77777777" w:rsidTr="00E310B2">
        <w:tc>
          <w:tcPr>
            <w:tcW w:w="2448" w:type="dxa"/>
            <w:shd w:val="clear" w:color="auto" w:fill="auto"/>
          </w:tcPr>
          <w:p w14:paraId="759313D3"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0-24 sata</w:t>
            </w:r>
          </w:p>
        </w:tc>
        <w:tc>
          <w:tcPr>
            <w:tcW w:w="1620" w:type="dxa"/>
            <w:shd w:val="clear" w:color="auto" w:fill="auto"/>
          </w:tcPr>
          <w:p w14:paraId="266C83C2"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79,5</w:t>
            </w:r>
          </w:p>
        </w:tc>
        <w:tc>
          <w:tcPr>
            <w:tcW w:w="1620" w:type="dxa"/>
            <w:shd w:val="clear" w:color="auto" w:fill="auto"/>
          </w:tcPr>
          <w:p w14:paraId="2C0777EE"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78,3</w:t>
            </w:r>
          </w:p>
        </w:tc>
        <w:tc>
          <w:tcPr>
            <w:tcW w:w="1396" w:type="dxa"/>
            <w:shd w:val="clear" w:color="auto" w:fill="auto"/>
          </w:tcPr>
          <w:p w14:paraId="35909FC2"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1,3</w:t>
            </w:r>
          </w:p>
        </w:tc>
        <w:tc>
          <w:tcPr>
            <w:tcW w:w="1772" w:type="dxa"/>
            <w:gridSpan w:val="2"/>
            <w:shd w:val="clear" w:color="auto" w:fill="auto"/>
          </w:tcPr>
          <w:p w14:paraId="084D9518"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(-4,2; 6,8)</w:t>
            </w:r>
          </w:p>
        </w:tc>
      </w:tr>
      <w:tr w:rsidR="00E310B2" w:rsidRPr="00F334AF" w14:paraId="71C18CDA" w14:textId="77777777" w:rsidTr="00E310B2">
        <w:tc>
          <w:tcPr>
            <w:tcW w:w="2448" w:type="dxa"/>
            <w:shd w:val="clear" w:color="auto" w:fill="auto"/>
          </w:tcPr>
          <w:p w14:paraId="536C3ABD"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25-120 sati</w:t>
            </w:r>
          </w:p>
        </w:tc>
        <w:tc>
          <w:tcPr>
            <w:tcW w:w="1620" w:type="dxa"/>
            <w:shd w:val="clear" w:color="auto" w:fill="auto"/>
          </w:tcPr>
          <w:p w14:paraId="7A164936"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65,3</w:t>
            </w:r>
          </w:p>
        </w:tc>
        <w:tc>
          <w:tcPr>
            <w:tcW w:w="1620" w:type="dxa"/>
            <w:shd w:val="clear" w:color="auto" w:fill="auto"/>
          </w:tcPr>
          <w:p w14:paraId="440393AE"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61,5</w:t>
            </w:r>
          </w:p>
        </w:tc>
        <w:tc>
          <w:tcPr>
            <w:tcW w:w="1396" w:type="dxa"/>
            <w:shd w:val="clear" w:color="auto" w:fill="auto"/>
          </w:tcPr>
          <w:p w14:paraId="584545D0"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3,9</w:t>
            </w:r>
          </w:p>
        </w:tc>
        <w:tc>
          <w:tcPr>
            <w:tcW w:w="1772" w:type="dxa"/>
            <w:gridSpan w:val="2"/>
            <w:shd w:val="clear" w:color="auto" w:fill="auto"/>
          </w:tcPr>
          <w:p w14:paraId="749420F7" w14:textId="77777777"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(-2,6; 10,3)</w:t>
            </w:r>
          </w:p>
        </w:tc>
      </w:tr>
    </w:tbl>
    <w:p w14:paraId="6A823025" w14:textId="5E287F46"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*Intervali pouzdanosti (CI) izračunati su bez prilagođavanja prema godinama starosti pacijenta (</w:t>
      </w:r>
      <w:r w:rsidRPr="00F334AF">
        <w:rPr>
          <w:sz w:val="22"/>
          <w:szCs w:val="22"/>
          <w:lang w:val="sr-Latn-ME"/>
        </w:rPr>
        <w:sym w:font="Symbol" w:char="F03C"/>
      </w:r>
      <w:r w:rsidRPr="00F334AF">
        <w:rPr>
          <w:sz w:val="22"/>
          <w:szCs w:val="22"/>
          <w:lang w:val="sr-Latn-ME"/>
        </w:rPr>
        <w:t xml:space="preserve">55 godina, </w:t>
      </w:r>
      <w:r w:rsidRPr="00F334AF">
        <w:rPr>
          <w:sz w:val="22"/>
          <w:szCs w:val="22"/>
          <w:lang w:val="sr-Latn-ME"/>
        </w:rPr>
        <w:sym w:font="Symbol" w:char="F0B3"/>
      </w:r>
      <w:r w:rsidRPr="00F334AF">
        <w:rPr>
          <w:sz w:val="22"/>
          <w:szCs w:val="22"/>
          <w:lang w:val="sr-Latn-ME"/>
        </w:rPr>
        <w:t>55 godina) i istraživačkoj grupi, a koji su obuhvaćeni primarnom analizom odnosa vjerovatnoće (</w:t>
      </w:r>
      <w:r w:rsidRPr="00F334AF">
        <w:rPr>
          <w:i/>
          <w:sz w:val="22"/>
          <w:szCs w:val="22"/>
          <w:lang w:val="sr-Latn-ME"/>
        </w:rPr>
        <w:t>odds ratio</w:t>
      </w:r>
      <w:r w:rsidRPr="00F334AF">
        <w:rPr>
          <w:sz w:val="22"/>
          <w:szCs w:val="22"/>
          <w:lang w:val="sr-Latn-ME"/>
        </w:rPr>
        <w:t>) i logističkih modela.</w:t>
      </w:r>
    </w:p>
    <w:p w14:paraId="1F7DF294" w14:textId="2F9654DE"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 Podaci za jednog pacijenta koji je bio na terapiji aprepitantom</w:t>
      </w:r>
      <w:r w:rsidR="00763378" w:rsidRPr="00F334AF">
        <w:rPr>
          <w:sz w:val="22"/>
          <w:szCs w:val="22"/>
          <w:lang w:val="sr-Latn-ME"/>
        </w:rPr>
        <w:t xml:space="preserve"> </w:t>
      </w:r>
      <w:r w:rsidRPr="00F334AF">
        <w:rPr>
          <w:sz w:val="22"/>
          <w:szCs w:val="22"/>
          <w:lang w:val="sr-Latn-ME"/>
        </w:rPr>
        <w:t>dostupni su samo za akutnu fazu, a isključeni su iz analize zbirne i odložene faze.</w:t>
      </w:r>
    </w:p>
    <w:p w14:paraId="3DCFEA43" w14:textId="77777777" w:rsidR="00E310B2" w:rsidRPr="00F334AF" w:rsidRDefault="00E310B2" w:rsidP="0034729B">
      <w:pPr>
        <w:tabs>
          <w:tab w:val="left" w:pos="284"/>
          <w:tab w:val="center" w:pos="4320"/>
          <w:tab w:val="right" w:pos="8640"/>
        </w:tabs>
        <w:ind w:right="65"/>
        <w:jc w:val="both"/>
        <w:rPr>
          <w:sz w:val="22"/>
          <w:szCs w:val="22"/>
          <w:lang w:val="sr-Latn-ME"/>
        </w:rPr>
      </w:pPr>
    </w:p>
    <w:p w14:paraId="6C5AE5A7" w14:textId="52A79072"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 xml:space="preserve">U istom kliničkom ispitivanju 744 odrasla pacijenta su nastavili višeciklusnu hemoterapiju do najviše tri dodatna ciklusa. Režim terapije aprepitantom je održao efikasnost tokom svih ciklusa. </w:t>
      </w:r>
    </w:p>
    <w:p w14:paraId="76292549" w14:textId="77777777" w:rsidR="00E310B2" w:rsidRPr="00F334AF" w:rsidRDefault="00E310B2" w:rsidP="0034729B">
      <w:pPr>
        <w:tabs>
          <w:tab w:val="left" w:pos="284"/>
          <w:tab w:val="center" w:pos="4320"/>
          <w:tab w:val="right" w:pos="8640"/>
        </w:tabs>
        <w:ind w:right="65"/>
        <w:jc w:val="both"/>
        <w:rPr>
          <w:sz w:val="22"/>
          <w:szCs w:val="22"/>
          <w:lang w:val="sr-Latn-ME"/>
        </w:rPr>
      </w:pPr>
    </w:p>
    <w:p w14:paraId="238857D5" w14:textId="1E1442F8"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U drugom multicentričnom, randomizovanom, dvostruko-slijepom kliničkom ispitivanju sa paralelnim grupama režim liječenja</w:t>
      </w:r>
      <w:r w:rsidR="006C32CE" w:rsidRPr="00F334AF">
        <w:rPr>
          <w:sz w:val="22"/>
          <w:szCs w:val="22"/>
          <w:lang w:val="sr-Latn-ME"/>
        </w:rPr>
        <w:t xml:space="preserve"> </w:t>
      </w:r>
      <w:r w:rsidRPr="00F334AF">
        <w:rPr>
          <w:sz w:val="22"/>
          <w:szCs w:val="22"/>
          <w:lang w:val="sr-Latn-ME"/>
        </w:rPr>
        <w:t>aprepitantom je poređen sa standardnim režimom liječenja kod 848 odraslih pacijenata (652 žene, 196 muškaraca) koji su dobijali režim hemoterapije koji je uključivao bilo koju intravensku dozu oksaliplatina, karboplatina, epirubicina, idarubicina, ifosfamida, irinotekana, daunorubicina, doksorubicina; ciklofosfamid dat intravenski (&lt;1.500 mg/m</w:t>
      </w:r>
      <w:r w:rsidRPr="00F334AF">
        <w:rPr>
          <w:sz w:val="22"/>
          <w:szCs w:val="22"/>
          <w:vertAlign w:val="superscript"/>
          <w:lang w:val="sr-Latn-ME"/>
        </w:rPr>
        <w:t>2</w:t>
      </w:r>
      <w:r w:rsidRPr="00F334AF">
        <w:rPr>
          <w:sz w:val="22"/>
          <w:szCs w:val="22"/>
          <w:lang w:val="sr-Latn-ME"/>
        </w:rPr>
        <w:t>); ili citarabin dat intravenski (&gt;1 g/m</w:t>
      </w:r>
      <w:r w:rsidRPr="00F334AF">
        <w:rPr>
          <w:sz w:val="22"/>
          <w:szCs w:val="22"/>
          <w:vertAlign w:val="superscript"/>
          <w:lang w:val="sr-Latn-ME"/>
        </w:rPr>
        <w:t>2</w:t>
      </w:r>
      <w:r w:rsidRPr="00F334AF">
        <w:rPr>
          <w:sz w:val="22"/>
          <w:szCs w:val="22"/>
          <w:lang w:val="sr-Latn-ME"/>
        </w:rPr>
        <w:t>). Pacijenti koji su bili na režimu terapije aprepitantom primali su hemoterapiju za liječenje raznih vrsta tumora: 52% sa karcinomom dojke, 21% sa karcinomima u gastrointestinalnom traktu uključujući kolorektalni karcinom, 13% sa karcinomom pluća i 6% sa ginekološkim karcinomom. Režim liječenja aprepitantom u kombinaciji sa ondansetronom/deksametazonom (vid</w:t>
      </w:r>
      <w:r w:rsidR="00763378" w:rsidRPr="00F334AF">
        <w:rPr>
          <w:sz w:val="22"/>
          <w:szCs w:val="22"/>
          <w:lang w:val="sr-Latn-ME"/>
        </w:rPr>
        <w:t>j</w:t>
      </w:r>
      <w:r w:rsidRPr="00F334AF">
        <w:rPr>
          <w:sz w:val="22"/>
          <w:szCs w:val="22"/>
          <w:lang w:val="sr-Latn-ME"/>
        </w:rPr>
        <w:t>eti dio 4.2) poređen je sa standardnim režimom liječenja (placebo u kombinaciji sa ondansetronom u dozi od 8 mg oralno dva puta dnevno prvog dana, a zatim na svakih 12 sati drugog i trećeg dana) plus deksametazon u dozi od 20 mg oralno prvog dana.</w:t>
      </w:r>
    </w:p>
    <w:p w14:paraId="409E5906" w14:textId="77777777" w:rsidR="00E310B2" w:rsidRPr="00F334AF" w:rsidRDefault="00E310B2" w:rsidP="0034729B">
      <w:pPr>
        <w:tabs>
          <w:tab w:val="left" w:pos="284"/>
          <w:tab w:val="center" w:pos="4320"/>
          <w:tab w:val="right" w:pos="8640"/>
        </w:tabs>
        <w:ind w:right="65"/>
        <w:jc w:val="both"/>
        <w:rPr>
          <w:sz w:val="22"/>
          <w:szCs w:val="22"/>
          <w:lang w:val="sr-Latn-ME"/>
        </w:rPr>
      </w:pPr>
    </w:p>
    <w:p w14:paraId="15CA226F" w14:textId="3810DB46" w:rsidR="00E310B2" w:rsidRPr="00F334AF" w:rsidRDefault="00E310B2" w:rsidP="0034729B">
      <w:pPr>
        <w:jc w:val="both"/>
        <w:rPr>
          <w:sz w:val="22"/>
          <w:szCs w:val="22"/>
          <w:lang w:val="sr-Latn-ME"/>
        </w:rPr>
      </w:pPr>
      <w:r w:rsidRPr="00F334AF">
        <w:rPr>
          <w:sz w:val="22"/>
          <w:szCs w:val="22"/>
          <w:lang w:val="sr-Latn-ME"/>
        </w:rPr>
        <w:t>Procjena efikasnosti zasnivala se na sl</w:t>
      </w:r>
      <w:r w:rsidR="00763378" w:rsidRPr="00F334AF">
        <w:rPr>
          <w:sz w:val="22"/>
          <w:szCs w:val="22"/>
          <w:lang w:val="sr-Latn-ME"/>
        </w:rPr>
        <w:t>j</w:t>
      </w:r>
      <w:r w:rsidRPr="00F334AF">
        <w:rPr>
          <w:sz w:val="22"/>
          <w:szCs w:val="22"/>
          <w:lang w:val="sr-Latn-ME"/>
        </w:rPr>
        <w:t>edećim primarnim i ključnim sekundarnim parametrima praćenja: bez povraćanja u sveukupnom periodu (od 0 do 120 sati nakon hemoterapije), procjena bezbjednosti primjene i podnošljivosti režima l</w:t>
      </w:r>
      <w:r w:rsidR="00763378" w:rsidRPr="00F334AF">
        <w:rPr>
          <w:sz w:val="22"/>
          <w:szCs w:val="22"/>
          <w:lang w:val="sr-Latn-ME"/>
        </w:rPr>
        <w:t>ij</w:t>
      </w:r>
      <w:r w:rsidRPr="00F334AF">
        <w:rPr>
          <w:sz w:val="22"/>
          <w:szCs w:val="22"/>
          <w:lang w:val="sr-Latn-ME"/>
        </w:rPr>
        <w:t>ečenja aprepitantom za spr</w:t>
      </w:r>
      <w:r w:rsidR="00763378" w:rsidRPr="00F334AF">
        <w:rPr>
          <w:sz w:val="22"/>
          <w:szCs w:val="22"/>
          <w:lang w:val="sr-Latn-ME"/>
        </w:rPr>
        <w:t>j</w:t>
      </w:r>
      <w:r w:rsidRPr="00F334AF">
        <w:rPr>
          <w:sz w:val="22"/>
          <w:szCs w:val="22"/>
          <w:lang w:val="sr-Latn-ME"/>
        </w:rPr>
        <w:t>ečavanje mučnine i povraćanja uzrokovanih hemoterapijom (</w:t>
      </w:r>
      <w:r w:rsidR="00256EDE" w:rsidRPr="00F334AF">
        <w:rPr>
          <w:sz w:val="22"/>
          <w:szCs w:val="22"/>
          <w:lang w:val="sr-Latn-ME"/>
        </w:rPr>
        <w:t>CINV</w:t>
      </w:r>
      <w:r w:rsidRPr="00F334AF">
        <w:rPr>
          <w:sz w:val="22"/>
          <w:szCs w:val="22"/>
          <w:lang w:val="sr-Latn-ME"/>
        </w:rPr>
        <w:t>) i kompletan odgovor na terapiju (koji se definiše kao izostanak povraćanja i nekorišćenje simptomatskih l</w:t>
      </w:r>
      <w:r w:rsidR="00763378" w:rsidRPr="00F334AF">
        <w:rPr>
          <w:sz w:val="22"/>
          <w:szCs w:val="22"/>
          <w:lang w:val="sr-Latn-ME"/>
        </w:rPr>
        <w:t>j</w:t>
      </w:r>
      <w:r w:rsidRPr="00F334AF">
        <w:rPr>
          <w:sz w:val="22"/>
          <w:szCs w:val="22"/>
          <w:lang w:val="sr-Latn-ME"/>
        </w:rPr>
        <w:t xml:space="preserve">ekova) u sveukupnom periodu (od 0 do 120 sati nakon hemoterapije). Pored toga procjenjivan je i eksploratorni parametar praćenja koji je bio izostanak značajne mučnine u sveukupnom periodu (od 0 do 120 sati nakon hemoterapije), kao i tokom akutne i odložene faze u </w:t>
      </w:r>
      <w:r w:rsidRPr="00F334AF">
        <w:rPr>
          <w:i/>
          <w:iCs/>
          <w:sz w:val="22"/>
          <w:szCs w:val="22"/>
          <w:lang w:val="sr-Latn-ME"/>
        </w:rPr>
        <w:t>post</w:t>
      </w:r>
      <w:r w:rsidR="00F70E7B" w:rsidRPr="00F334AF">
        <w:rPr>
          <w:i/>
          <w:iCs/>
          <w:sz w:val="22"/>
          <w:szCs w:val="22"/>
          <w:lang w:val="sr-Latn-ME"/>
        </w:rPr>
        <w:t>-</w:t>
      </w:r>
      <w:r w:rsidRPr="00F334AF">
        <w:rPr>
          <w:i/>
          <w:iCs/>
          <w:sz w:val="22"/>
          <w:szCs w:val="22"/>
          <w:lang w:val="sr-Latn-ME"/>
        </w:rPr>
        <w:t>hoc</w:t>
      </w:r>
      <w:r w:rsidRPr="00F334AF">
        <w:rPr>
          <w:sz w:val="22"/>
          <w:szCs w:val="22"/>
          <w:lang w:val="sr-Latn-ME"/>
        </w:rPr>
        <w:t xml:space="preserve"> analizi.</w:t>
      </w:r>
    </w:p>
    <w:p w14:paraId="3AC29A84" w14:textId="28BC40BC" w:rsidR="001F423A" w:rsidRPr="00F334AF" w:rsidRDefault="001F423A" w:rsidP="0034729B">
      <w:pPr>
        <w:tabs>
          <w:tab w:val="left" w:pos="284"/>
          <w:tab w:val="center" w:pos="4320"/>
          <w:tab w:val="right" w:pos="8640"/>
        </w:tabs>
        <w:ind w:right="65"/>
        <w:jc w:val="both"/>
        <w:rPr>
          <w:sz w:val="22"/>
          <w:szCs w:val="22"/>
          <w:lang w:val="sr-Latn-ME"/>
        </w:rPr>
      </w:pPr>
    </w:p>
    <w:p w14:paraId="05FAC93B" w14:textId="79B8E9DD" w:rsidR="00E310B2" w:rsidRPr="00F334AF" w:rsidRDefault="00763378" w:rsidP="0034729B">
      <w:pPr>
        <w:tabs>
          <w:tab w:val="left" w:pos="284"/>
          <w:tab w:val="center" w:pos="4320"/>
          <w:tab w:val="right" w:pos="8640"/>
        </w:tabs>
        <w:ind w:right="65"/>
        <w:jc w:val="both"/>
        <w:rPr>
          <w:sz w:val="22"/>
          <w:szCs w:val="22"/>
          <w:lang w:val="sr-Latn-ME"/>
        </w:rPr>
      </w:pPr>
      <w:r w:rsidRPr="00F334AF">
        <w:rPr>
          <w:sz w:val="22"/>
          <w:szCs w:val="22"/>
          <w:lang w:val="sr-Latn-ME"/>
        </w:rPr>
        <w:lastRenderedPageBreak/>
        <w:t>U</w:t>
      </w:r>
      <w:r w:rsidR="00E310B2" w:rsidRPr="00F334AF">
        <w:rPr>
          <w:sz w:val="22"/>
          <w:szCs w:val="22"/>
          <w:lang w:val="sr-Latn-ME"/>
        </w:rPr>
        <w:t xml:space="preserve"> Tabeli 3 dat je sažeti prikaz najznačajnijih rezultata ispitivanja:</w:t>
      </w:r>
    </w:p>
    <w:p w14:paraId="1CC7B679" w14:textId="6A08D9EE" w:rsidR="001F423A" w:rsidRPr="00F334AF" w:rsidRDefault="001F423A" w:rsidP="0034729B">
      <w:pPr>
        <w:tabs>
          <w:tab w:val="left" w:pos="284"/>
          <w:tab w:val="center" w:pos="4320"/>
          <w:tab w:val="right" w:pos="8640"/>
        </w:tabs>
        <w:ind w:right="65"/>
        <w:jc w:val="both"/>
        <w:rPr>
          <w:sz w:val="22"/>
          <w:szCs w:val="22"/>
          <w:lang w:val="sr-Latn-ME"/>
        </w:rPr>
      </w:pPr>
    </w:p>
    <w:p w14:paraId="765B11D4" w14:textId="77777777" w:rsidR="00E310B2" w:rsidRPr="00F334AF" w:rsidRDefault="00E310B2" w:rsidP="00256EDE">
      <w:pPr>
        <w:tabs>
          <w:tab w:val="left" w:pos="284"/>
          <w:tab w:val="center" w:pos="4320"/>
          <w:tab w:val="right" w:pos="8640"/>
        </w:tabs>
        <w:ind w:right="65"/>
        <w:jc w:val="center"/>
        <w:rPr>
          <w:b/>
          <w:sz w:val="22"/>
          <w:szCs w:val="22"/>
          <w:lang w:val="sr-Latn-ME"/>
        </w:rPr>
      </w:pPr>
      <w:r w:rsidRPr="00F334AF">
        <w:rPr>
          <w:b/>
          <w:sz w:val="22"/>
          <w:szCs w:val="22"/>
          <w:lang w:val="sr-Latn-ME"/>
        </w:rPr>
        <w:t>Tabela 3</w:t>
      </w:r>
    </w:p>
    <w:p w14:paraId="1EC7DEE4" w14:textId="77777777" w:rsidR="00E310B2" w:rsidRPr="00F334AF" w:rsidRDefault="00E310B2">
      <w:pPr>
        <w:tabs>
          <w:tab w:val="left" w:pos="284"/>
          <w:tab w:val="center" w:pos="4320"/>
          <w:tab w:val="right" w:pos="8640"/>
        </w:tabs>
        <w:ind w:right="65"/>
        <w:jc w:val="center"/>
        <w:rPr>
          <w:b/>
          <w:sz w:val="22"/>
          <w:szCs w:val="22"/>
          <w:lang w:val="sr-Latn-ME"/>
        </w:rPr>
      </w:pPr>
      <w:r w:rsidRPr="00F334AF">
        <w:rPr>
          <w:b/>
          <w:sz w:val="22"/>
          <w:szCs w:val="22"/>
          <w:lang w:val="sr-Latn-ME"/>
        </w:rPr>
        <w:t>Procenat odraslih pacijenata koji su odgovorili na liječenje na osnovu terapijske grupe i faze za drugu studiju – Prvi ciklus</w:t>
      </w:r>
    </w:p>
    <w:p w14:paraId="4D33E701" w14:textId="7884EB70" w:rsidR="00E310B2" w:rsidRPr="00F334AF" w:rsidRDefault="00E310B2" w:rsidP="001F423A">
      <w:pPr>
        <w:tabs>
          <w:tab w:val="left" w:pos="284"/>
          <w:tab w:val="center" w:pos="4320"/>
          <w:tab w:val="right" w:pos="8640"/>
        </w:tabs>
        <w:ind w:right="65"/>
        <w:jc w:val="center"/>
        <w:rPr>
          <w:b/>
          <w:sz w:val="22"/>
          <w:szCs w:val="22"/>
          <w:lang w:val="sr-Latn-ME"/>
        </w:rPr>
      </w:pPr>
      <w:r w:rsidRPr="00F334AF">
        <w:rPr>
          <w:b/>
          <w:sz w:val="22"/>
          <w:szCs w:val="22"/>
          <w:lang w:val="sr-Latn-ME"/>
        </w:rPr>
        <w:t>Um</w:t>
      </w:r>
      <w:r w:rsidR="00763378" w:rsidRPr="00F334AF">
        <w:rPr>
          <w:b/>
          <w:sz w:val="22"/>
          <w:szCs w:val="22"/>
          <w:lang w:val="sr-Latn-ME"/>
        </w:rPr>
        <w:t>j</w:t>
      </w:r>
      <w:r w:rsidRPr="00F334AF">
        <w:rPr>
          <w:b/>
          <w:sz w:val="22"/>
          <w:szCs w:val="22"/>
          <w:lang w:val="sr-Latn-ME"/>
        </w:rPr>
        <w:t>ereno emetogena hemoterapija</w:t>
      </w:r>
    </w:p>
    <w:p w14:paraId="5B31FF95" w14:textId="77777777" w:rsidR="00E310B2" w:rsidRPr="00F334AF" w:rsidRDefault="00E310B2" w:rsidP="0034729B">
      <w:pPr>
        <w:tabs>
          <w:tab w:val="left" w:pos="284"/>
          <w:tab w:val="center" w:pos="4320"/>
          <w:tab w:val="right" w:pos="8640"/>
        </w:tabs>
        <w:ind w:right="65"/>
        <w:jc w:val="both"/>
        <w:rPr>
          <w:sz w:val="22"/>
          <w:szCs w:val="22"/>
          <w:lang w:val="sr-Latn-ME"/>
        </w:rPr>
      </w:pP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8"/>
        <w:gridCol w:w="1746"/>
        <w:gridCol w:w="1746"/>
        <w:gridCol w:w="1505"/>
        <w:gridCol w:w="1910"/>
      </w:tblGrid>
      <w:tr w:rsidR="00F70E7B" w:rsidRPr="00F334AF" w14:paraId="0EA818CB" w14:textId="77777777" w:rsidTr="0034729B">
        <w:trPr>
          <w:trHeight w:val="371"/>
        </w:trPr>
        <w:tc>
          <w:tcPr>
            <w:tcW w:w="2638" w:type="dxa"/>
            <w:vMerge w:val="restart"/>
            <w:shd w:val="clear" w:color="auto" w:fill="auto"/>
            <w:vAlign w:val="center"/>
          </w:tcPr>
          <w:p w14:paraId="7A243A90" w14:textId="77777777" w:rsidR="00F70E7B" w:rsidRPr="00F334AF" w:rsidRDefault="00F70E7B" w:rsidP="0034729B">
            <w:pPr>
              <w:pStyle w:val="Header"/>
              <w:tabs>
                <w:tab w:val="left" w:pos="284"/>
              </w:tabs>
              <w:ind w:right="65"/>
              <w:jc w:val="both"/>
              <w:rPr>
                <w:sz w:val="22"/>
                <w:szCs w:val="22"/>
                <w:lang w:val="sr-Latn-ME"/>
              </w:rPr>
            </w:pPr>
          </w:p>
        </w:tc>
        <w:tc>
          <w:tcPr>
            <w:tcW w:w="1746" w:type="dxa"/>
            <w:vMerge w:val="restart"/>
            <w:shd w:val="clear" w:color="auto" w:fill="auto"/>
            <w:vAlign w:val="center"/>
          </w:tcPr>
          <w:p w14:paraId="5AE799DA"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Aprepitant</w:t>
            </w:r>
          </w:p>
          <w:p w14:paraId="02061DA3"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 xml:space="preserve">(N=425) </w:t>
            </w:r>
          </w:p>
          <w:p w14:paraId="3FAB96BC"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w:t>
            </w:r>
          </w:p>
        </w:tc>
        <w:tc>
          <w:tcPr>
            <w:tcW w:w="1746" w:type="dxa"/>
            <w:vMerge w:val="restart"/>
            <w:shd w:val="clear" w:color="auto" w:fill="auto"/>
            <w:vAlign w:val="bottom"/>
          </w:tcPr>
          <w:p w14:paraId="34C27DB2"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Standardni režim lečenja</w:t>
            </w:r>
          </w:p>
          <w:p w14:paraId="245CE684"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(N=406)</w:t>
            </w:r>
          </w:p>
          <w:p w14:paraId="1B04090F"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w:t>
            </w:r>
          </w:p>
        </w:tc>
        <w:tc>
          <w:tcPr>
            <w:tcW w:w="3415" w:type="dxa"/>
            <w:gridSpan w:val="2"/>
            <w:shd w:val="clear" w:color="auto" w:fill="auto"/>
            <w:vAlign w:val="center"/>
          </w:tcPr>
          <w:p w14:paraId="04DC3349"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Razlike*</w:t>
            </w:r>
          </w:p>
        </w:tc>
      </w:tr>
      <w:tr w:rsidR="00F70E7B" w:rsidRPr="00F334AF" w14:paraId="72F7059D" w14:textId="77777777" w:rsidTr="0034729B">
        <w:trPr>
          <w:trHeight w:val="370"/>
        </w:trPr>
        <w:tc>
          <w:tcPr>
            <w:tcW w:w="2638" w:type="dxa"/>
            <w:vMerge/>
            <w:shd w:val="clear" w:color="auto" w:fill="auto"/>
          </w:tcPr>
          <w:p w14:paraId="61CBC9BC" w14:textId="77777777" w:rsidR="00F70E7B" w:rsidRPr="00F334AF" w:rsidRDefault="00F70E7B" w:rsidP="0034729B">
            <w:pPr>
              <w:pStyle w:val="Header"/>
              <w:tabs>
                <w:tab w:val="left" w:pos="284"/>
              </w:tabs>
              <w:ind w:right="65"/>
              <w:jc w:val="both"/>
              <w:rPr>
                <w:sz w:val="22"/>
                <w:szCs w:val="22"/>
                <w:lang w:val="sr-Latn-ME"/>
              </w:rPr>
            </w:pPr>
          </w:p>
        </w:tc>
        <w:tc>
          <w:tcPr>
            <w:tcW w:w="1746" w:type="dxa"/>
            <w:vMerge/>
            <w:shd w:val="clear" w:color="auto" w:fill="auto"/>
          </w:tcPr>
          <w:p w14:paraId="62070EA8" w14:textId="77777777" w:rsidR="00F70E7B" w:rsidRPr="00F334AF" w:rsidRDefault="00F70E7B" w:rsidP="0034729B">
            <w:pPr>
              <w:pStyle w:val="Header"/>
              <w:tabs>
                <w:tab w:val="left" w:pos="284"/>
              </w:tabs>
              <w:ind w:right="65"/>
              <w:jc w:val="both"/>
              <w:rPr>
                <w:sz w:val="22"/>
                <w:szCs w:val="22"/>
                <w:lang w:val="sr-Latn-ME"/>
              </w:rPr>
            </w:pPr>
          </w:p>
        </w:tc>
        <w:tc>
          <w:tcPr>
            <w:tcW w:w="1746" w:type="dxa"/>
            <w:vMerge/>
            <w:shd w:val="clear" w:color="auto" w:fill="auto"/>
          </w:tcPr>
          <w:p w14:paraId="43CA294F" w14:textId="77777777" w:rsidR="00F70E7B" w:rsidRPr="00F334AF" w:rsidRDefault="00F70E7B" w:rsidP="0034729B">
            <w:pPr>
              <w:pStyle w:val="Header"/>
              <w:tabs>
                <w:tab w:val="left" w:pos="284"/>
              </w:tabs>
              <w:ind w:right="65"/>
              <w:jc w:val="both"/>
              <w:rPr>
                <w:sz w:val="22"/>
                <w:szCs w:val="22"/>
                <w:lang w:val="sr-Latn-ME"/>
              </w:rPr>
            </w:pPr>
          </w:p>
        </w:tc>
        <w:tc>
          <w:tcPr>
            <w:tcW w:w="1505" w:type="dxa"/>
            <w:shd w:val="clear" w:color="auto" w:fill="auto"/>
            <w:vAlign w:val="bottom"/>
          </w:tcPr>
          <w:p w14:paraId="3D9F9337"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w:t>
            </w:r>
          </w:p>
        </w:tc>
        <w:tc>
          <w:tcPr>
            <w:tcW w:w="1910" w:type="dxa"/>
            <w:shd w:val="clear" w:color="auto" w:fill="auto"/>
            <w:vAlign w:val="bottom"/>
          </w:tcPr>
          <w:p w14:paraId="2DDF84D1"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(95% CI)</w:t>
            </w:r>
          </w:p>
        </w:tc>
      </w:tr>
      <w:tr w:rsidR="00F70E7B" w:rsidRPr="00F334AF" w14:paraId="3D8DD600" w14:textId="77777777" w:rsidTr="0034729B">
        <w:trPr>
          <w:trHeight w:val="252"/>
        </w:trPr>
        <w:tc>
          <w:tcPr>
            <w:tcW w:w="9545" w:type="dxa"/>
            <w:gridSpan w:val="5"/>
            <w:shd w:val="clear" w:color="auto" w:fill="auto"/>
          </w:tcPr>
          <w:p w14:paraId="099F4103" w14:textId="77777777" w:rsidR="00F70E7B" w:rsidRPr="00F334AF" w:rsidRDefault="00F70E7B" w:rsidP="0034729B">
            <w:pPr>
              <w:pStyle w:val="Header"/>
              <w:tabs>
                <w:tab w:val="left" w:pos="284"/>
              </w:tabs>
              <w:ind w:right="65"/>
              <w:jc w:val="both"/>
              <w:rPr>
                <w:b/>
                <w:sz w:val="22"/>
                <w:szCs w:val="22"/>
                <w:lang w:val="sr-Latn-ME"/>
              </w:rPr>
            </w:pPr>
            <w:r w:rsidRPr="00F334AF">
              <w:rPr>
                <w:b/>
                <w:sz w:val="22"/>
                <w:szCs w:val="22"/>
                <w:lang w:val="sr-Latn-ME"/>
              </w:rPr>
              <w:t>Potpuni odgovor na terapiju (izostanak povraćanja i potrebe za dodatnom terapijom)</w:t>
            </w:r>
          </w:p>
        </w:tc>
      </w:tr>
      <w:tr w:rsidR="00F70E7B" w:rsidRPr="00F334AF" w14:paraId="49D97746" w14:textId="77777777" w:rsidTr="0034729B">
        <w:trPr>
          <w:trHeight w:val="264"/>
        </w:trPr>
        <w:tc>
          <w:tcPr>
            <w:tcW w:w="2638" w:type="dxa"/>
            <w:shd w:val="clear" w:color="auto" w:fill="auto"/>
          </w:tcPr>
          <w:p w14:paraId="0557838A"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Ukupno (0-120 sati)</w:t>
            </w:r>
          </w:p>
        </w:tc>
        <w:tc>
          <w:tcPr>
            <w:tcW w:w="1746" w:type="dxa"/>
            <w:shd w:val="clear" w:color="auto" w:fill="auto"/>
            <w:vAlign w:val="center"/>
          </w:tcPr>
          <w:p w14:paraId="095DE7D4"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68,7</w:t>
            </w:r>
          </w:p>
        </w:tc>
        <w:tc>
          <w:tcPr>
            <w:tcW w:w="1746" w:type="dxa"/>
            <w:shd w:val="clear" w:color="auto" w:fill="auto"/>
            <w:vAlign w:val="center"/>
          </w:tcPr>
          <w:p w14:paraId="7293674F"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56,3</w:t>
            </w:r>
          </w:p>
        </w:tc>
        <w:tc>
          <w:tcPr>
            <w:tcW w:w="1505" w:type="dxa"/>
            <w:shd w:val="clear" w:color="auto" w:fill="auto"/>
            <w:vAlign w:val="center"/>
          </w:tcPr>
          <w:p w14:paraId="1BEF43DA"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12,4</w:t>
            </w:r>
          </w:p>
        </w:tc>
        <w:tc>
          <w:tcPr>
            <w:tcW w:w="1910" w:type="dxa"/>
            <w:shd w:val="clear" w:color="auto" w:fill="auto"/>
            <w:vAlign w:val="center"/>
          </w:tcPr>
          <w:p w14:paraId="450AC94D"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(5,9; 18,9)</w:t>
            </w:r>
          </w:p>
        </w:tc>
      </w:tr>
      <w:tr w:rsidR="00F70E7B" w:rsidRPr="00F334AF" w14:paraId="05EC225F" w14:textId="77777777" w:rsidTr="0034729B">
        <w:trPr>
          <w:trHeight w:val="252"/>
        </w:trPr>
        <w:tc>
          <w:tcPr>
            <w:tcW w:w="2638" w:type="dxa"/>
            <w:shd w:val="clear" w:color="auto" w:fill="auto"/>
          </w:tcPr>
          <w:p w14:paraId="36C18C46"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0-24 sata</w:t>
            </w:r>
          </w:p>
        </w:tc>
        <w:tc>
          <w:tcPr>
            <w:tcW w:w="1746" w:type="dxa"/>
            <w:shd w:val="clear" w:color="auto" w:fill="auto"/>
            <w:vAlign w:val="center"/>
          </w:tcPr>
          <w:p w14:paraId="3A2F3D16"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89,2</w:t>
            </w:r>
          </w:p>
        </w:tc>
        <w:tc>
          <w:tcPr>
            <w:tcW w:w="1746" w:type="dxa"/>
            <w:shd w:val="clear" w:color="auto" w:fill="auto"/>
            <w:vAlign w:val="center"/>
          </w:tcPr>
          <w:p w14:paraId="41473ECC"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80,3</w:t>
            </w:r>
          </w:p>
        </w:tc>
        <w:tc>
          <w:tcPr>
            <w:tcW w:w="1505" w:type="dxa"/>
            <w:shd w:val="clear" w:color="auto" w:fill="auto"/>
            <w:vAlign w:val="center"/>
          </w:tcPr>
          <w:p w14:paraId="6540EEB9"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8,9</w:t>
            </w:r>
          </w:p>
        </w:tc>
        <w:tc>
          <w:tcPr>
            <w:tcW w:w="1910" w:type="dxa"/>
            <w:shd w:val="clear" w:color="auto" w:fill="auto"/>
            <w:vAlign w:val="center"/>
          </w:tcPr>
          <w:p w14:paraId="07132E84"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(4,0; 13,8)</w:t>
            </w:r>
          </w:p>
        </w:tc>
      </w:tr>
      <w:tr w:rsidR="00F70E7B" w:rsidRPr="00F334AF" w14:paraId="5AE85D04" w14:textId="77777777" w:rsidTr="0034729B">
        <w:trPr>
          <w:trHeight w:val="264"/>
        </w:trPr>
        <w:tc>
          <w:tcPr>
            <w:tcW w:w="2638" w:type="dxa"/>
            <w:shd w:val="clear" w:color="auto" w:fill="auto"/>
          </w:tcPr>
          <w:p w14:paraId="4EEF54A0"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25-120 sati</w:t>
            </w:r>
          </w:p>
        </w:tc>
        <w:tc>
          <w:tcPr>
            <w:tcW w:w="1746" w:type="dxa"/>
            <w:shd w:val="clear" w:color="auto" w:fill="auto"/>
            <w:vAlign w:val="center"/>
          </w:tcPr>
          <w:p w14:paraId="4E8E6E38"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70,8</w:t>
            </w:r>
          </w:p>
        </w:tc>
        <w:tc>
          <w:tcPr>
            <w:tcW w:w="1746" w:type="dxa"/>
            <w:shd w:val="clear" w:color="auto" w:fill="auto"/>
            <w:vAlign w:val="center"/>
          </w:tcPr>
          <w:p w14:paraId="492729FE"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60,9</w:t>
            </w:r>
          </w:p>
        </w:tc>
        <w:tc>
          <w:tcPr>
            <w:tcW w:w="1505" w:type="dxa"/>
            <w:shd w:val="clear" w:color="auto" w:fill="auto"/>
            <w:vAlign w:val="center"/>
          </w:tcPr>
          <w:p w14:paraId="7E82D255"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9,9</w:t>
            </w:r>
          </w:p>
        </w:tc>
        <w:tc>
          <w:tcPr>
            <w:tcW w:w="1910" w:type="dxa"/>
            <w:shd w:val="clear" w:color="auto" w:fill="auto"/>
            <w:vAlign w:val="center"/>
          </w:tcPr>
          <w:p w14:paraId="7BCBF7A5"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(3,5; 16,3 )</w:t>
            </w:r>
          </w:p>
        </w:tc>
      </w:tr>
      <w:tr w:rsidR="00F70E7B" w:rsidRPr="00F334AF" w14:paraId="3B5B404B" w14:textId="77777777" w:rsidTr="0034729B">
        <w:trPr>
          <w:trHeight w:val="264"/>
        </w:trPr>
        <w:tc>
          <w:tcPr>
            <w:tcW w:w="9545" w:type="dxa"/>
            <w:gridSpan w:val="5"/>
            <w:shd w:val="clear" w:color="auto" w:fill="auto"/>
          </w:tcPr>
          <w:p w14:paraId="4A04F5EC" w14:textId="37722EE6" w:rsidR="00F70E7B" w:rsidRPr="00F334AF" w:rsidRDefault="00F70E7B" w:rsidP="0034729B">
            <w:pPr>
              <w:pStyle w:val="Header"/>
              <w:tabs>
                <w:tab w:val="left" w:pos="284"/>
              </w:tabs>
              <w:ind w:right="65"/>
              <w:jc w:val="both"/>
              <w:rPr>
                <w:b/>
                <w:sz w:val="22"/>
                <w:szCs w:val="22"/>
                <w:lang w:val="sr-Latn-ME"/>
              </w:rPr>
            </w:pPr>
            <w:r w:rsidRPr="00F334AF">
              <w:rPr>
                <w:b/>
                <w:sz w:val="22"/>
                <w:szCs w:val="22"/>
                <w:lang w:val="sr-Latn-ME"/>
              </w:rPr>
              <w:t>Bez povraćanja (izostanak povraćanja bez obzira na primjenu dodatne terapije)</w:t>
            </w:r>
          </w:p>
        </w:tc>
      </w:tr>
      <w:tr w:rsidR="00F70E7B" w:rsidRPr="00F334AF" w14:paraId="236B4E83" w14:textId="77777777" w:rsidTr="0034729B">
        <w:trPr>
          <w:trHeight w:val="252"/>
        </w:trPr>
        <w:tc>
          <w:tcPr>
            <w:tcW w:w="2638" w:type="dxa"/>
            <w:shd w:val="clear" w:color="auto" w:fill="auto"/>
          </w:tcPr>
          <w:p w14:paraId="36BE43C1"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Ukupno (0-120 sati)</w:t>
            </w:r>
          </w:p>
        </w:tc>
        <w:tc>
          <w:tcPr>
            <w:tcW w:w="1746" w:type="dxa"/>
            <w:shd w:val="clear" w:color="auto" w:fill="auto"/>
            <w:vAlign w:val="center"/>
          </w:tcPr>
          <w:p w14:paraId="3C3A1A08"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76,2</w:t>
            </w:r>
          </w:p>
        </w:tc>
        <w:tc>
          <w:tcPr>
            <w:tcW w:w="1746" w:type="dxa"/>
            <w:shd w:val="clear" w:color="auto" w:fill="auto"/>
            <w:vAlign w:val="center"/>
          </w:tcPr>
          <w:p w14:paraId="1C05735C"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62,1</w:t>
            </w:r>
          </w:p>
        </w:tc>
        <w:tc>
          <w:tcPr>
            <w:tcW w:w="1505" w:type="dxa"/>
            <w:shd w:val="clear" w:color="auto" w:fill="auto"/>
            <w:vAlign w:val="center"/>
          </w:tcPr>
          <w:p w14:paraId="18274AB8"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14,1</w:t>
            </w:r>
          </w:p>
        </w:tc>
        <w:tc>
          <w:tcPr>
            <w:tcW w:w="1910" w:type="dxa"/>
            <w:shd w:val="clear" w:color="auto" w:fill="auto"/>
            <w:vAlign w:val="center"/>
          </w:tcPr>
          <w:p w14:paraId="366A3475"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(7,9; 20,3)</w:t>
            </w:r>
          </w:p>
        </w:tc>
      </w:tr>
      <w:tr w:rsidR="00F70E7B" w:rsidRPr="00F334AF" w14:paraId="4C48A191" w14:textId="77777777" w:rsidTr="0034729B">
        <w:trPr>
          <w:trHeight w:val="264"/>
        </w:trPr>
        <w:tc>
          <w:tcPr>
            <w:tcW w:w="2638" w:type="dxa"/>
            <w:shd w:val="clear" w:color="auto" w:fill="auto"/>
          </w:tcPr>
          <w:p w14:paraId="66AFC18B"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0-24 sata</w:t>
            </w:r>
          </w:p>
        </w:tc>
        <w:tc>
          <w:tcPr>
            <w:tcW w:w="1746" w:type="dxa"/>
            <w:shd w:val="clear" w:color="auto" w:fill="auto"/>
            <w:vAlign w:val="center"/>
          </w:tcPr>
          <w:p w14:paraId="7FA0D60C"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92,0</w:t>
            </w:r>
          </w:p>
        </w:tc>
        <w:tc>
          <w:tcPr>
            <w:tcW w:w="1746" w:type="dxa"/>
            <w:shd w:val="clear" w:color="auto" w:fill="auto"/>
            <w:vAlign w:val="center"/>
          </w:tcPr>
          <w:p w14:paraId="5840816B"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83,7</w:t>
            </w:r>
          </w:p>
        </w:tc>
        <w:tc>
          <w:tcPr>
            <w:tcW w:w="1505" w:type="dxa"/>
            <w:shd w:val="clear" w:color="auto" w:fill="auto"/>
            <w:vAlign w:val="center"/>
          </w:tcPr>
          <w:p w14:paraId="3DB1D7D6"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8,3</w:t>
            </w:r>
          </w:p>
        </w:tc>
        <w:tc>
          <w:tcPr>
            <w:tcW w:w="1910" w:type="dxa"/>
            <w:shd w:val="clear" w:color="auto" w:fill="auto"/>
            <w:vAlign w:val="center"/>
          </w:tcPr>
          <w:p w14:paraId="6AB21125"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(3,9; 12,7)</w:t>
            </w:r>
          </w:p>
        </w:tc>
      </w:tr>
      <w:tr w:rsidR="00F70E7B" w:rsidRPr="00F334AF" w14:paraId="09B4F0CA" w14:textId="77777777" w:rsidTr="0034729B">
        <w:trPr>
          <w:trHeight w:val="252"/>
        </w:trPr>
        <w:tc>
          <w:tcPr>
            <w:tcW w:w="2638" w:type="dxa"/>
            <w:shd w:val="clear" w:color="auto" w:fill="auto"/>
          </w:tcPr>
          <w:p w14:paraId="196B0B73"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25-120 sati</w:t>
            </w:r>
          </w:p>
        </w:tc>
        <w:tc>
          <w:tcPr>
            <w:tcW w:w="1746" w:type="dxa"/>
            <w:shd w:val="clear" w:color="auto" w:fill="auto"/>
            <w:vAlign w:val="center"/>
          </w:tcPr>
          <w:p w14:paraId="3AA2F11A"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77,9</w:t>
            </w:r>
          </w:p>
        </w:tc>
        <w:tc>
          <w:tcPr>
            <w:tcW w:w="1746" w:type="dxa"/>
            <w:shd w:val="clear" w:color="auto" w:fill="auto"/>
            <w:vAlign w:val="center"/>
          </w:tcPr>
          <w:p w14:paraId="18084060"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66,8</w:t>
            </w:r>
          </w:p>
        </w:tc>
        <w:tc>
          <w:tcPr>
            <w:tcW w:w="1505" w:type="dxa"/>
            <w:shd w:val="clear" w:color="auto" w:fill="auto"/>
            <w:vAlign w:val="center"/>
          </w:tcPr>
          <w:p w14:paraId="0F9A52C2"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11,1</w:t>
            </w:r>
          </w:p>
        </w:tc>
        <w:tc>
          <w:tcPr>
            <w:tcW w:w="1910" w:type="dxa"/>
            <w:shd w:val="clear" w:color="auto" w:fill="auto"/>
            <w:vAlign w:val="center"/>
          </w:tcPr>
          <w:p w14:paraId="2E659294"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(5,1; 17,1)</w:t>
            </w:r>
          </w:p>
        </w:tc>
      </w:tr>
      <w:tr w:rsidR="00F70E7B" w:rsidRPr="00F334AF" w14:paraId="202AA277" w14:textId="77777777" w:rsidTr="0034729B">
        <w:trPr>
          <w:trHeight w:val="275"/>
        </w:trPr>
        <w:tc>
          <w:tcPr>
            <w:tcW w:w="9545" w:type="dxa"/>
            <w:gridSpan w:val="5"/>
            <w:shd w:val="clear" w:color="auto" w:fill="auto"/>
          </w:tcPr>
          <w:p w14:paraId="7D86319F" w14:textId="77777777" w:rsidR="00F70E7B" w:rsidRPr="00F334AF" w:rsidRDefault="00F70E7B" w:rsidP="0034729B">
            <w:pPr>
              <w:pStyle w:val="Header"/>
              <w:tabs>
                <w:tab w:val="left" w:pos="284"/>
              </w:tabs>
              <w:ind w:right="65"/>
              <w:jc w:val="both"/>
              <w:rPr>
                <w:b/>
                <w:sz w:val="22"/>
                <w:szCs w:val="22"/>
                <w:lang w:val="sr-Latn-ME"/>
              </w:rPr>
            </w:pPr>
            <w:r w:rsidRPr="00F334AF">
              <w:rPr>
                <w:b/>
                <w:sz w:val="22"/>
                <w:szCs w:val="22"/>
                <w:lang w:val="sr-Latn-ME"/>
              </w:rPr>
              <w:t>Izostanak značajne mučnine (</w:t>
            </w:r>
            <w:r w:rsidRPr="00F334AF">
              <w:rPr>
                <w:b/>
                <w:sz w:val="22"/>
                <w:szCs w:val="22"/>
                <w:lang w:val="sr-Latn-ME"/>
              </w:rPr>
              <w:sym w:font="Symbol" w:char="F03C"/>
            </w:r>
            <w:r w:rsidRPr="00F334AF">
              <w:rPr>
                <w:b/>
                <w:sz w:val="22"/>
                <w:szCs w:val="22"/>
                <w:lang w:val="sr-Latn-ME"/>
              </w:rPr>
              <w:t xml:space="preserve"> 25 mm na vizuelnoj analognoj skali od 0-100 mm)</w:t>
            </w:r>
          </w:p>
        </w:tc>
      </w:tr>
      <w:tr w:rsidR="00F70E7B" w:rsidRPr="00F334AF" w14:paraId="4D1DB65D" w14:textId="77777777" w:rsidTr="0034729B">
        <w:trPr>
          <w:trHeight w:val="264"/>
        </w:trPr>
        <w:tc>
          <w:tcPr>
            <w:tcW w:w="2638" w:type="dxa"/>
            <w:shd w:val="clear" w:color="auto" w:fill="auto"/>
          </w:tcPr>
          <w:p w14:paraId="1EA772E5"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Ukupno (0-120 sati)</w:t>
            </w:r>
          </w:p>
        </w:tc>
        <w:tc>
          <w:tcPr>
            <w:tcW w:w="1746" w:type="dxa"/>
            <w:shd w:val="clear" w:color="auto" w:fill="auto"/>
            <w:vAlign w:val="center"/>
          </w:tcPr>
          <w:p w14:paraId="18EF6F7E"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73,6</w:t>
            </w:r>
          </w:p>
        </w:tc>
        <w:tc>
          <w:tcPr>
            <w:tcW w:w="1746" w:type="dxa"/>
            <w:shd w:val="clear" w:color="auto" w:fill="auto"/>
            <w:vAlign w:val="center"/>
          </w:tcPr>
          <w:p w14:paraId="3495065F"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66,4</w:t>
            </w:r>
          </w:p>
        </w:tc>
        <w:tc>
          <w:tcPr>
            <w:tcW w:w="1505" w:type="dxa"/>
            <w:shd w:val="clear" w:color="auto" w:fill="auto"/>
            <w:vAlign w:val="center"/>
          </w:tcPr>
          <w:p w14:paraId="54223CEF"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7,2</w:t>
            </w:r>
          </w:p>
        </w:tc>
        <w:tc>
          <w:tcPr>
            <w:tcW w:w="1910" w:type="dxa"/>
            <w:shd w:val="clear" w:color="auto" w:fill="auto"/>
            <w:vAlign w:val="center"/>
          </w:tcPr>
          <w:p w14:paraId="40886F2C"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(1,0; 13,4)</w:t>
            </w:r>
          </w:p>
        </w:tc>
      </w:tr>
      <w:tr w:rsidR="00F70E7B" w:rsidRPr="00F334AF" w14:paraId="7EA0D30A" w14:textId="77777777" w:rsidTr="0034729B">
        <w:trPr>
          <w:trHeight w:val="252"/>
        </w:trPr>
        <w:tc>
          <w:tcPr>
            <w:tcW w:w="2638" w:type="dxa"/>
            <w:shd w:val="clear" w:color="auto" w:fill="auto"/>
          </w:tcPr>
          <w:p w14:paraId="07E9DD4A"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0-24 sata</w:t>
            </w:r>
          </w:p>
        </w:tc>
        <w:tc>
          <w:tcPr>
            <w:tcW w:w="1746" w:type="dxa"/>
            <w:shd w:val="clear" w:color="auto" w:fill="auto"/>
            <w:vAlign w:val="center"/>
          </w:tcPr>
          <w:p w14:paraId="31DB08A5"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90,9</w:t>
            </w:r>
          </w:p>
        </w:tc>
        <w:tc>
          <w:tcPr>
            <w:tcW w:w="1746" w:type="dxa"/>
            <w:shd w:val="clear" w:color="auto" w:fill="auto"/>
            <w:vAlign w:val="center"/>
          </w:tcPr>
          <w:p w14:paraId="3AE77497"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86,3</w:t>
            </w:r>
          </w:p>
        </w:tc>
        <w:tc>
          <w:tcPr>
            <w:tcW w:w="1505" w:type="dxa"/>
            <w:shd w:val="clear" w:color="auto" w:fill="auto"/>
            <w:vAlign w:val="center"/>
          </w:tcPr>
          <w:p w14:paraId="5C7085BE"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4,6</w:t>
            </w:r>
          </w:p>
        </w:tc>
        <w:tc>
          <w:tcPr>
            <w:tcW w:w="1910" w:type="dxa"/>
            <w:shd w:val="clear" w:color="auto" w:fill="auto"/>
            <w:vAlign w:val="center"/>
          </w:tcPr>
          <w:p w14:paraId="63C7AF66"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(0,2; 9,0)</w:t>
            </w:r>
          </w:p>
        </w:tc>
      </w:tr>
      <w:tr w:rsidR="00F70E7B" w:rsidRPr="00F334AF" w14:paraId="29BCFF44" w14:textId="77777777" w:rsidTr="0034729B">
        <w:trPr>
          <w:trHeight w:val="275"/>
        </w:trPr>
        <w:tc>
          <w:tcPr>
            <w:tcW w:w="2638" w:type="dxa"/>
            <w:shd w:val="clear" w:color="auto" w:fill="auto"/>
          </w:tcPr>
          <w:p w14:paraId="7ACD118D"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25-120 sati</w:t>
            </w:r>
          </w:p>
        </w:tc>
        <w:tc>
          <w:tcPr>
            <w:tcW w:w="1746" w:type="dxa"/>
            <w:shd w:val="clear" w:color="auto" w:fill="auto"/>
            <w:vAlign w:val="center"/>
          </w:tcPr>
          <w:p w14:paraId="28275638"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74,9</w:t>
            </w:r>
          </w:p>
        </w:tc>
        <w:tc>
          <w:tcPr>
            <w:tcW w:w="1746" w:type="dxa"/>
            <w:shd w:val="clear" w:color="auto" w:fill="auto"/>
            <w:vAlign w:val="center"/>
          </w:tcPr>
          <w:p w14:paraId="08236FE6"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69,5</w:t>
            </w:r>
          </w:p>
        </w:tc>
        <w:tc>
          <w:tcPr>
            <w:tcW w:w="1505" w:type="dxa"/>
            <w:shd w:val="clear" w:color="auto" w:fill="auto"/>
            <w:vAlign w:val="center"/>
          </w:tcPr>
          <w:p w14:paraId="52887DF4"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5,4</w:t>
            </w:r>
          </w:p>
        </w:tc>
        <w:tc>
          <w:tcPr>
            <w:tcW w:w="1910" w:type="dxa"/>
            <w:shd w:val="clear" w:color="auto" w:fill="auto"/>
            <w:vAlign w:val="center"/>
          </w:tcPr>
          <w:p w14:paraId="5954EAB5" w14:textId="77777777" w:rsidR="00F70E7B" w:rsidRPr="00F334AF" w:rsidRDefault="00F70E7B" w:rsidP="0034729B">
            <w:pPr>
              <w:pStyle w:val="Header"/>
              <w:tabs>
                <w:tab w:val="left" w:pos="284"/>
              </w:tabs>
              <w:ind w:right="65"/>
              <w:jc w:val="both"/>
              <w:rPr>
                <w:sz w:val="22"/>
                <w:szCs w:val="22"/>
                <w:lang w:val="sr-Latn-ME"/>
              </w:rPr>
            </w:pPr>
            <w:r w:rsidRPr="00F334AF">
              <w:rPr>
                <w:sz w:val="22"/>
                <w:szCs w:val="22"/>
                <w:lang w:val="sr-Latn-ME"/>
              </w:rPr>
              <w:t>(-0,7; 11,5)</w:t>
            </w:r>
          </w:p>
        </w:tc>
      </w:tr>
    </w:tbl>
    <w:p w14:paraId="71012AD6" w14:textId="38674E43"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 xml:space="preserve">*Intervali pouzdanosti (CI) izračunati su bez prilagođavanja prema polu pacijenta i </w:t>
      </w:r>
      <w:r w:rsidR="00CA762D" w:rsidRPr="00F334AF">
        <w:rPr>
          <w:sz w:val="22"/>
          <w:szCs w:val="22"/>
          <w:lang w:val="sr-Latn-ME"/>
        </w:rPr>
        <w:t>lokalizaciji karcinoma</w:t>
      </w:r>
      <w:r w:rsidRPr="00F334AF">
        <w:rPr>
          <w:sz w:val="22"/>
          <w:szCs w:val="22"/>
          <w:lang w:val="sr-Latn-ME"/>
        </w:rPr>
        <w:t>, a uključeni su u primarnu analizu korišćenjem logističkih modela.</w:t>
      </w:r>
    </w:p>
    <w:p w14:paraId="54D5418C" w14:textId="77777777" w:rsidR="00E310B2" w:rsidRPr="00F334AF" w:rsidRDefault="00E310B2" w:rsidP="0034729B">
      <w:pPr>
        <w:tabs>
          <w:tab w:val="left" w:pos="284"/>
          <w:tab w:val="center" w:pos="4320"/>
          <w:tab w:val="right" w:pos="8640"/>
        </w:tabs>
        <w:ind w:right="65"/>
        <w:jc w:val="both"/>
        <w:rPr>
          <w:sz w:val="22"/>
          <w:szCs w:val="22"/>
          <w:lang w:val="sr-Latn-ME"/>
        </w:rPr>
      </w:pPr>
    </w:p>
    <w:p w14:paraId="14408C60" w14:textId="6E32444B"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Koris</w:t>
      </w:r>
      <w:r w:rsidR="00763378" w:rsidRPr="00F334AF">
        <w:rPr>
          <w:sz w:val="22"/>
          <w:szCs w:val="22"/>
          <w:lang w:val="sr-Latn-ME"/>
        </w:rPr>
        <w:t>t od</w:t>
      </w:r>
      <w:r w:rsidRPr="00F334AF">
        <w:rPr>
          <w:sz w:val="22"/>
          <w:szCs w:val="22"/>
          <w:lang w:val="sr-Latn-ME"/>
        </w:rPr>
        <w:t xml:space="preserve"> kombinovane terapije aprepitantom u sveukupnoj ispitivanoj populaciji uglavnom se zasniva na rezultatima uočenim kod pacijenata sa lošom kontrolom tokom primanja standardnog režima terapije kao što je to slučaj kod žena, iako su rezultati bili numerički bolji bez obzira na godine starosti, vrstu tumora ili pol. Kompletan odgovor na terapiju kod režima terapije aprepitantom, odnosno standarnog režima terapije postignut je kod 209/324 (65%), odnosno 161/320 (50%) žena i 83/101 (82%), odnosno 68/87 (78%) muškaraca.</w:t>
      </w:r>
    </w:p>
    <w:p w14:paraId="0B5603AA" w14:textId="77777777" w:rsidR="00E310B2" w:rsidRPr="00F334AF" w:rsidRDefault="00E310B2" w:rsidP="0034729B">
      <w:pPr>
        <w:tabs>
          <w:tab w:val="left" w:pos="284"/>
          <w:tab w:val="center" w:pos="4320"/>
          <w:tab w:val="right" w:pos="8640"/>
        </w:tabs>
        <w:ind w:right="65"/>
        <w:jc w:val="both"/>
        <w:rPr>
          <w:sz w:val="22"/>
          <w:szCs w:val="22"/>
          <w:lang w:val="sr-Latn-ME"/>
        </w:rPr>
      </w:pPr>
    </w:p>
    <w:p w14:paraId="7DD73A7D" w14:textId="77777777" w:rsidR="00E310B2" w:rsidRPr="00F334AF" w:rsidRDefault="00E310B2" w:rsidP="0034729B">
      <w:pPr>
        <w:jc w:val="both"/>
        <w:rPr>
          <w:sz w:val="22"/>
          <w:szCs w:val="22"/>
          <w:u w:val="single"/>
          <w:lang w:val="sr-Latn-ME"/>
        </w:rPr>
      </w:pPr>
      <w:r w:rsidRPr="00F334AF">
        <w:rPr>
          <w:sz w:val="22"/>
          <w:szCs w:val="22"/>
          <w:u w:val="single"/>
          <w:lang w:val="sr-Latn-ME"/>
        </w:rPr>
        <w:t>Pedijatrijska populacija</w:t>
      </w:r>
    </w:p>
    <w:p w14:paraId="44EBD448" w14:textId="0E7842F6" w:rsidR="00E310B2" w:rsidRPr="00F334AF" w:rsidRDefault="00E310B2" w:rsidP="0034729B">
      <w:pPr>
        <w:tabs>
          <w:tab w:val="left" w:pos="284"/>
          <w:tab w:val="center" w:pos="4320"/>
          <w:tab w:val="right" w:pos="8640"/>
        </w:tabs>
        <w:ind w:right="65"/>
        <w:jc w:val="both"/>
        <w:rPr>
          <w:sz w:val="22"/>
          <w:szCs w:val="22"/>
          <w:lang w:val="sr-Latn-ME"/>
        </w:rPr>
      </w:pPr>
      <w:r w:rsidRPr="00F334AF">
        <w:rPr>
          <w:sz w:val="22"/>
          <w:szCs w:val="22"/>
          <w:lang w:val="sr-Latn-ME"/>
        </w:rPr>
        <w:t>U randomizovanom, dvostruko sl</w:t>
      </w:r>
      <w:r w:rsidR="00763378" w:rsidRPr="00F334AF">
        <w:rPr>
          <w:sz w:val="22"/>
          <w:szCs w:val="22"/>
          <w:lang w:val="sr-Latn-ME"/>
        </w:rPr>
        <w:t>ij</w:t>
      </w:r>
      <w:r w:rsidRPr="00F334AF">
        <w:rPr>
          <w:sz w:val="22"/>
          <w:szCs w:val="22"/>
          <w:lang w:val="sr-Latn-ME"/>
        </w:rPr>
        <w:t>epom kliničkom ispitivanju kontrolisanom aktivnim komparatorom koje je uključilo 302 djece i adolescenata (uzrasta od 6 mjeseci do 17 godina) koji su primali um</w:t>
      </w:r>
      <w:r w:rsidR="00763378" w:rsidRPr="00F334AF">
        <w:rPr>
          <w:sz w:val="22"/>
          <w:szCs w:val="22"/>
          <w:lang w:val="sr-Latn-ME"/>
        </w:rPr>
        <w:t>j</w:t>
      </w:r>
      <w:r w:rsidRPr="00F334AF">
        <w:rPr>
          <w:sz w:val="22"/>
          <w:szCs w:val="22"/>
          <w:lang w:val="sr-Latn-ME"/>
        </w:rPr>
        <w:t>ereno ili jako emetogenu hemioterapiju, režim l</w:t>
      </w:r>
      <w:r w:rsidR="00763378" w:rsidRPr="00F334AF">
        <w:rPr>
          <w:sz w:val="22"/>
          <w:szCs w:val="22"/>
          <w:lang w:val="sr-Latn-ME"/>
        </w:rPr>
        <w:t>i</w:t>
      </w:r>
      <w:r w:rsidRPr="00F334AF">
        <w:rPr>
          <w:sz w:val="22"/>
          <w:szCs w:val="22"/>
          <w:lang w:val="sr-Latn-ME"/>
        </w:rPr>
        <w:t>ječenja aprepitantom bio je poređen sa kontrolnim režimom l</w:t>
      </w:r>
      <w:r w:rsidR="00763378" w:rsidRPr="00F334AF">
        <w:rPr>
          <w:sz w:val="22"/>
          <w:szCs w:val="22"/>
          <w:lang w:val="sr-Latn-ME"/>
        </w:rPr>
        <w:t>i</w:t>
      </w:r>
      <w:r w:rsidRPr="00F334AF">
        <w:rPr>
          <w:sz w:val="22"/>
          <w:szCs w:val="22"/>
          <w:lang w:val="sr-Latn-ME"/>
        </w:rPr>
        <w:t>ječenja za sprečavanje CINV. Efikasnost režima l</w:t>
      </w:r>
      <w:r w:rsidR="00763378" w:rsidRPr="00F334AF">
        <w:rPr>
          <w:sz w:val="22"/>
          <w:szCs w:val="22"/>
          <w:lang w:val="sr-Latn-ME"/>
        </w:rPr>
        <w:t>i</w:t>
      </w:r>
      <w:r w:rsidRPr="00F334AF">
        <w:rPr>
          <w:sz w:val="22"/>
          <w:szCs w:val="22"/>
          <w:lang w:val="sr-Latn-ME"/>
        </w:rPr>
        <w:t>ječenja aprepitantom bila je proc</w:t>
      </w:r>
      <w:r w:rsidR="00763378" w:rsidRPr="00F334AF">
        <w:rPr>
          <w:sz w:val="22"/>
          <w:szCs w:val="22"/>
          <w:lang w:val="sr-Latn-ME"/>
        </w:rPr>
        <w:t>ij</w:t>
      </w:r>
      <w:r w:rsidRPr="00F334AF">
        <w:rPr>
          <w:sz w:val="22"/>
          <w:szCs w:val="22"/>
          <w:lang w:val="sr-Latn-ME"/>
        </w:rPr>
        <w:t>enjena u jednom ciklusu (1. ciklusu). Pacijenti su imali priliku da na otvoren način primaju aprepitant u daljim ciklusima (od 2. do 6. ciklusa po izboru); međutim, efikasnost nije bila proc</w:t>
      </w:r>
      <w:r w:rsidR="00763378" w:rsidRPr="00F334AF">
        <w:rPr>
          <w:sz w:val="22"/>
          <w:szCs w:val="22"/>
          <w:lang w:val="sr-Latn-ME"/>
        </w:rPr>
        <w:t>ij</w:t>
      </w:r>
      <w:r w:rsidRPr="00F334AF">
        <w:rPr>
          <w:sz w:val="22"/>
          <w:szCs w:val="22"/>
          <w:lang w:val="sr-Latn-ME"/>
        </w:rPr>
        <w:t>enjena u tim ciklusima u kojima se aprepitant uzimao po izboru. Režim l</w:t>
      </w:r>
      <w:r w:rsidR="00763378" w:rsidRPr="00F334AF">
        <w:rPr>
          <w:sz w:val="22"/>
          <w:szCs w:val="22"/>
          <w:lang w:val="sr-Latn-ME"/>
        </w:rPr>
        <w:t>i</w:t>
      </w:r>
      <w:r w:rsidRPr="00F334AF">
        <w:rPr>
          <w:sz w:val="22"/>
          <w:szCs w:val="22"/>
          <w:lang w:val="sr-Latn-ME"/>
        </w:rPr>
        <w:t>ječenja aprepitantom za adolescente uzrasta od 12 do 17 godina (n=47) sastojao se od E</w:t>
      </w:r>
      <w:r w:rsidR="00763378" w:rsidRPr="00F334AF">
        <w:rPr>
          <w:sz w:val="22"/>
          <w:szCs w:val="22"/>
          <w:lang w:val="sr-Latn-ME"/>
        </w:rPr>
        <w:t>MEND</w:t>
      </w:r>
      <w:r w:rsidRPr="00F334AF">
        <w:rPr>
          <w:sz w:val="22"/>
          <w:szCs w:val="22"/>
          <w:lang w:val="sr-Latn-ME"/>
        </w:rPr>
        <w:t xml:space="preserve"> kapsula 125 mg oralno prvog dana terapije i 80 mg drugog i trećeg dana terapije u kombinaciji s ondansetronom prvog dana terapije. Režim l</w:t>
      </w:r>
      <w:r w:rsidR="00763378" w:rsidRPr="00F334AF">
        <w:rPr>
          <w:sz w:val="22"/>
          <w:szCs w:val="22"/>
          <w:lang w:val="sr-Latn-ME"/>
        </w:rPr>
        <w:t>i</w:t>
      </w:r>
      <w:r w:rsidRPr="00F334AF">
        <w:rPr>
          <w:sz w:val="22"/>
          <w:szCs w:val="22"/>
          <w:lang w:val="sr-Latn-ME"/>
        </w:rPr>
        <w:t>ječenja aprepitantom za d</w:t>
      </w:r>
      <w:r w:rsidR="00763378" w:rsidRPr="00F334AF">
        <w:rPr>
          <w:sz w:val="22"/>
          <w:szCs w:val="22"/>
          <w:lang w:val="sr-Latn-ME"/>
        </w:rPr>
        <w:t>j</w:t>
      </w:r>
      <w:r w:rsidRPr="00F334AF">
        <w:rPr>
          <w:sz w:val="22"/>
          <w:szCs w:val="22"/>
          <w:lang w:val="sr-Latn-ME"/>
        </w:rPr>
        <w:t>ecu uzrasta od 6 m</w:t>
      </w:r>
      <w:r w:rsidR="00763378" w:rsidRPr="00F334AF">
        <w:rPr>
          <w:sz w:val="22"/>
          <w:szCs w:val="22"/>
          <w:lang w:val="sr-Latn-ME"/>
        </w:rPr>
        <w:t>j</w:t>
      </w:r>
      <w:r w:rsidRPr="00F334AF">
        <w:rPr>
          <w:sz w:val="22"/>
          <w:szCs w:val="22"/>
          <w:lang w:val="sr-Latn-ME"/>
        </w:rPr>
        <w:t>eseci do manje od 12 godina (n=105) sastojao se od E</w:t>
      </w:r>
      <w:r w:rsidR="00763378" w:rsidRPr="00F334AF">
        <w:rPr>
          <w:sz w:val="22"/>
          <w:szCs w:val="22"/>
          <w:lang w:val="sr-Latn-ME"/>
        </w:rPr>
        <w:t>MEND</w:t>
      </w:r>
      <w:r w:rsidRPr="00F334AF">
        <w:rPr>
          <w:sz w:val="22"/>
          <w:szCs w:val="22"/>
          <w:lang w:val="sr-Latn-ME"/>
        </w:rPr>
        <w:t xml:space="preserve"> praška za oralnu suspenziju u dozi od 3,0 mg/kg (do 125 mg) oralno prvog dana terapije i 2,0 mg/kg (do 80 mg) oralno drugog i trećeg dana terapije u kombinaciji s ondansetronom prvog dana terapije. Kontrolni režim l</w:t>
      </w:r>
      <w:r w:rsidR="00763378" w:rsidRPr="00F334AF">
        <w:rPr>
          <w:sz w:val="22"/>
          <w:szCs w:val="22"/>
          <w:lang w:val="sr-Latn-ME"/>
        </w:rPr>
        <w:t>i</w:t>
      </w:r>
      <w:r w:rsidRPr="00F334AF">
        <w:rPr>
          <w:sz w:val="22"/>
          <w:szCs w:val="22"/>
          <w:lang w:val="sr-Latn-ME"/>
        </w:rPr>
        <w:t>ječenja kod adolescenata uzrasta od 12 do 17 godina (n=48) i djece uzrasta od 6 mjeseci do manje od 12 godina (n=102) sastojao se od placeba za aprepitant prvog, drugog i trećeg dana terapije u kombinaciji s ondansetronom prvog dana terapije. E</w:t>
      </w:r>
      <w:r w:rsidR="00763378" w:rsidRPr="00F334AF">
        <w:rPr>
          <w:sz w:val="22"/>
          <w:szCs w:val="22"/>
          <w:lang w:val="sr-Latn-ME"/>
        </w:rPr>
        <w:t>MEND</w:t>
      </w:r>
      <w:r w:rsidRPr="00F334AF">
        <w:rPr>
          <w:sz w:val="22"/>
          <w:szCs w:val="22"/>
          <w:lang w:val="sr-Latn-ME"/>
        </w:rPr>
        <w:t xml:space="preserve"> ili placebo i ondansetron bili su prim</w:t>
      </w:r>
      <w:r w:rsidR="00763378" w:rsidRPr="00F334AF">
        <w:rPr>
          <w:sz w:val="22"/>
          <w:szCs w:val="22"/>
          <w:lang w:val="sr-Latn-ME"/>
        </w:rPr>
        <w:t>i</w:t>
      </w:r>
      <w:r w:rsidRPr="00F334AF">
        <w:rPr>
          <w:sz w:val="22"/>
          <w:szCs w:val="22"/>
          <w:lang w:val="sr-Latn-ME"/>
        </w:rPr>
        <w:t>jenjeni 1</w:t>
      </w:r>
      <w:r w:rsidR="006C32CE" w:rsidRPr="00F334AF">
        <w:rPr>
          <w:sz w:val="22"/>
          <w:szCs w:val="22"/>
          <w:lang w:val="sr-Latn-ME"/>
        </w:rPr>
        <w:t xml:space="preserve"> </w:t>
      </w:r>
      <w:r w:rsidRPr="00F334AF">
        <w:rPr>
          <w:sz w:val="22"/>
          <w:szCs w:val="22"/>
          <w:lang w:val="sr-Latn-ME"/>
        </w:rPr>
        <w:t>sat odnosno 30 minuta prije početka hemioterapije. Bila je dopuštena primjena intravenskog deksametazona u sklopu antiemetičkog režima liječenja kod pedijatrijskih pacijenata u ob</w:t>
      </w:r>
      <w:r w:rsidR="00763378" w:rsidRPr="00F334AF">
        <w:rPr>
          <w:sz w:val="22"/>
          <w:szCs w:val="22"/>
          <w:lang w:val="sr-Latn-ME"/>
        </w:rPr>
        <w:t>j</w:t>
      </w:r>
      <w:r w:rsidRPr="00F334AF">
        <w:rPr>
          <w:sz w:val="22"/>
          <w:szCs w:val="22"/>
          <w:lang w:val="sr-Latn-ME"/>
        </w:rPr>
        <w:t>e starosne grupe, prema proc</w:t>
      </w:r>
      <w:r w:rsidR="00763378" w:rsidRPr="00F334AF">
        <w:rPr>
          <w:sz w:val="22"/>
          <w:szCs w:val="22"/>
          <w:lang w:val="sr-Latn-ME"/>
        </w:rPr>
        <w:t>j</w:t>
      </w:r>
      <w:r w:rsidRPr="00F334AF">
        <w:rPr>
          <w:sz w:val="22"/>
          <w:szCs w:val="22"/>
          <w:lang w:val="sr-Latn-ME"/>
        </w:rPr>
        <w:t>eni ljekara. Kod pedijatrijskih pacijenata koji su primali aprepitant bilo je potrebno sniženje doze deksametazona (50 %). Sniženje doze nije bilo potrebno kod pedijatrijskih pacijenata koji su primali kontrolni režim. Deksametazon je bio prim</w:t>
      </w:r>
      <w:r w:rsidR="00763378" w:rsidRPr="00F334AF">
        <w:rPr>
          <w:sz w:val="22"/>
          <w:szCs w:val="22"/>
          <w:lang w:val="sr-Latn-ME"/>
        </w:rPr>
        <w:t>i</w:t>
      </w:r>
      <w:r w:rsidRPr="00F334AF">
        <w:rPr>
          <w:sz w:val="22"/>
          <w:szCs w:val="22"/>
          <w:lang w:val="sr-Latn-ME"/>
        </w:rPr>
        <w:t xml:space="preserve">jenjen u sklopu režima liječenja u 1. ciklusu kod 29% pedijatrijskih pacijenata u grupi koja je primala aprepitant i </w:t>
      </w:r>
      <w:r w:rsidR="00CA762D" w:rsidRPr="00F334AF">
        <w:rPr>
          <w:sz w:val="22"/>
          <w:szCs w:val="22"/>
          <w:lang w:val="sr-Latn-ME"/>
        </w:rPr>
        <w:t>kod</w:t>
      </w:r>
      <w:r w:rsidRPr="00F334AF">
        <w:rPr>
          <w:sz w:val="22"/>
          <w:szCs w:val="22"/>
          <w:lang w:val="sr-Latn-ME"/>
        </w:rPr>
        <w:t xml:space="preserve"> 28% pedijatrijskih pacijenata u grupi koja je primala kontrolni režim.</w:t>
      </w:r>
    </w:p>
    <w:p w14:paraId="263BA633" w14:textId="77777777" w:rsidR="00E310B2" w:rsidRPr="00F334AF" w:rsidRDefault="00E310B2" w:rsidP="0034729B">
      <w:pPr>
        <w:tabs>
          <w:tab w:val="left" w:pos="284"/>
          <w:tab w:val="center" w:pos="4320"/>
          <w:tab w:val="right" w:pos="8640"/>
        </w:tabs>
        <w:ind w:right="65"/>
        <w:jc w:val="both"/>
        <w:rPr>
          <w:sz w:val="22"/>
          <w:szCs w:val="22"/>
          <w:lang w:val="sr-Latn-ME"/>
        </w:rPr>
      </w:pPr>
    </w:p>
    <w:p w14:paraId="7FFC8FF6" w14:textId="707C2153" w:rsidR="00F334AF" w:rsidRDefault="00E310B2" w:rsidP="009973DD">
      <w:pPr>
        <w:tabs>
          <w:tab w:val="left" w:pos="284"/>
          <w:tab w:val="center" w:pos="4320"/>
          <w:tab w:val="right" w:pos="8640"/>
        </w:tabs>
        <w:ind w:right="65"/>
        <w:jc w:val="both"/>
        <w:rPr>
          <w:b/>
          <w:sz w:val="22"/>
          <w:szCs w:val="22"/>
          <w:lang w:val="sr-Latn-ME" w:eastAsia="hr-HR"/>
        </w:rPr>
      </w:pPr>
      <w:r w:rsidRPr="00F334AF">
        <w:rPr>
          <w:sz w:val="22"/>
          <w:szCs w:val="22"/>
          <w:lang w:val="sr-Latn-ME"/>
        </w:rPr>
        <w:t>Antiemetičko d</w:t>
      </w:r>
      <w:r w:rsidR="00763378" w:rsidRPr="00F334AF">
        <w:rPr>
          <w:sz w:val="22"/>
          <w:szCs w:val="22"/>
          <w:lang w:val="sr-Latn-ME"/>
        </w:rPr>
        <w:t>j</w:t>
      </w:r>
      <w:r w:rsidRPr="00F334AF">
        <w:rPr>
          <w:sz w:val="22"/>
          <w:szCs w:val="22"/>
          <w:lang w:val="sr-Latn-ME"/>
        </w:rPr>
        <w:t xml:space="preserve">elovanje lijeka </w:t>
      </w:r>
      <w:r w:rsidR="00F70E7B" w:rsidRPr="00F334AF">
        <w:rPr>
          <w:sz w:val="22"/>
          <w:szCs w:val="22"/>
          <w:lang w:val="sr-Latn-ME"/>
        </w:rPr>
        <w:t>EMEND</w:t>
      </w:r>
      <w:r w:rsidRPr="00F334AF">
        <w:rPr>
          <w:sz w:val="22"/>
          <w:szCs w:val="22"/>
          <w:lang w:val="sr-Latn-ME"/>
        </w:rPr>
        <w:t xml:space="preserve"> bilo je proc</w:t>
      </w:r>
      <w:r w:rsidR="00763378" w:rsidRPr="00F334AF">
        <w:rPr>
          <w:sz w:val="22"/>
          <w:szCs w:val="22"/>
          <w:lang w:val="sr-Latn-ME"/>
        </w:rPr>
        <w:t>ij</w:t>
      </w:r>
      <w:r w:rsidRPr="00F334AF">
        <w:rPr>
          <w:sz w:val="22"/>
          <w:szCs w:val="22"/>
          <w:lang w:val="sr-Latn-ME"/>
        </w:rPr>
        <w:t xml:space="preserve">enjeno tokom petodnevnog (120 sati) </w:t>
      </w:r>
      <w:r w:rsidR="00CA762D" w:rsidRPr="00F334AF">
        <w:rPr>
          <w:sz w:val="22"/>
          <w:szCs w:val="22"/>
          <w:lang w:val="sr-Latn-ME"/>
        </w:rPr>
        <w:t>perioda</w:t>
      </w:r>
      <w:r w:rsidRPr="00F334AF">
        <w:rPr>
          <w:sz w:val="22"/>
          <w:szCs w:val="22"/>
          <w:lang w:val="sr-Latn-ME"/>
        </w:rPr>
        <w:t xml:space="preserve"> nakon početka hemioterapije prvog dana terapije. Primarni </w:t>
      </w:r>
      <w:r w:rsidR="00744A80" w:rsidRPr="00F334AF">
        <w:rPr>
          <w:sz w:val="22"/>
          <w:szCs w:val="22"/>
          <w:lang w:val="sr-Latn-ME"/>
        </w:rPr>
        <w:t>ishod</w:t>
      </w:r>
      <w:r w:rsidRPr="00F334AF">
        <w:rPr>
          <w:sz w:val="22"/>
          <w:szCs w:val="22"/>
          <w:lang w:val="sr-Latn-ME"/>
        </w:rPr>
        <w:t xml:space="preserve"> bio je potpuni odgovor u kasnoj fazi (25 do 120 sati nakon početka hemioterapije) u 1. ciklusu. Ključni rezultati ispitivanja sažeto su prikazani u Tabeli 4</w:t>
      </w:r>
      <w:r w:rsidR="006C32CE" w:rsidRPr="00F334AF">
        <w:rPr>
          <w:sz w:val="22"/>
          <w:szCs w:val="22"/>
          <w:lang w:val="sr-Latn-ME"/>
        </w:rPr>
        <w:t>.</w:t>
      </w:r>
    </w:p>
    <w:p w14:paraId="1FEBDE07" w14:textId="500236C9" w:rsidR="00E310B2" w:rsidRPr="00F334AF" w:rsidRDefault="00E310B2" w:rsidP="00256EDE">
      <w:pPr>
        <w:keepNext/>
        <w:widowControl w:val="0"/>
        <w:autoSpaceDE w:val="0"/>
        <w:autoSpaceDN w:val="0"/>
        <w:jc w:val="center"/>
        <w:rPr>
          <w:b/>
          <w:sz w:val="22"/>
          <w:szCs w:val="22"/>
          <w:lang w:val="sr-Latn-ME" w:eastAsia="hr-HR"/>
        </w:rPr>
      </w:pPr>
      <w:r w:rsidRPr="00F334AF">
        <w:rPr>
          <w:b/>
          <w:sz w:val="22"/>
          <w:szCs w:val="22"/>
          <w:lang w:val="sr-Latn-ME" w:eastAsia="hr-HR"/>
        </w:rPr>
        <w:t>Tabela 4</w:t>
      </w:r>
    </w:p>
    <w:p w14:paraId="36B17A53" w14:textId="23AB98E3" w:rsidR="00E310B2" w:rsidRDefault="00E310B2" w:rsidP="00256EDE">
      <w:pPr>
        <w:keepNext/>
        <w:widowControl w:val="0"/>
        <w:autoSpaceDE w:val="0"/>
        <w:autoSpaceDN w:val="0"/>
        <w:jc w:val="center"/>
        <w:rPr>
          <w:b/>
          <w:sz w:val="22"/>
          <w:szCs w:val="22"/>
          <w:lang w:val="sr-Latn-ME" w:eastAsia="hr-HR"/>
        </w:rPr>
      </w:pPr>
      <w:r w:rsidRPr="00F334AF">
        <w:rPr>
          <w:b/>
          <w:sz w:val="22"/>
          <w:szCs w:val="22"/>
          <w:lang w:val="sr-Latn-ME" w:eastAsia="hr-HR"/>
        </w:rPr>
        <w:t>Broj (%) pedijatrijskih pacijenata sa potpunim odgovorom koji ni</w:t>
      </w:r>
      <w:r w:rsidR="00DD057B" w:rsidRPr="00F334AF">
        <w:rPr>
          <w:b/>
          <w:sz w:val="22"/>
          <w:szCs w:val="22"/>
          <w:lang w:val="sr-Latn-ME" w:eastAsia="hr-HR"/>
        </w:rPr>
        <w:t>je</w:t>
      </w:r>
      <w:r w:rsidRPr="00F334AF">
        <w:rPr>
          <w:b/>
          <w:sz w:val="22"/>
          <w:szCs w:val="22"/>
          <w:lang w:val="sr-Latn-ME" w:eastAsia="hr-HR"/>
        </w:rPr>
        <w:t>su povraćali prema</w:t>
      </w:r>
      <w:r w:rsidR="00F334AF">
        <w:rPr>
          <w:b/>
          <w:sz w:val="22"/>
          <w:szCs w:val="22"/>
          <w:lang w:val="sr-Latn-ME" w:eastAsia="hr-HR"/>
        </w:rPr>
        <w:t xml:space="preserve"> </w:t>
      </w:r>
      <w:r w:rsidRPr="00F334AF">
        <w:rPr>
          <w:b/>
          <w:sz w:val="22"/>
          <w:szCs w:val="22"/>
          <w:lang w:val="sr-Latn-ME" w:eastAsia="hr-HR"/>
        </w:rPr>
        <w:t>terapijskoj grupi i fazi – 1. ciklus (populacija planirana za l</w:t>
      </w:r>
      <w:r w:rsidR="00CA762D" w:rsidRPr="00F334AF">
        <w:rPr>
          <w:b/>
          <w:sz w:val="22"/>
          <w:szCs w:val="22"/>
          <w:lang w:val="sr-Latn-ME" w:eastAsia="hr-HR"/>
        </w:rPr>
        <w:t>ij</w:t>
      </w:r>
      <w:r w:rsidRPr="00F334AF">
        <w:rPr>
          <w:b/>
          <w:sz w:val="22"/>
          <w:szCs w:val="22"/>
          <w:lang w:val="sr-Latn-ME" w:eastAsia="hr-HR"/>
        </w:rPr>
        <w:t>ečenje)</w:t>
      </w:r>
    </w:p>
    <w:p w14:paraId="51AE9C71" w14:textId="44944654" w:rsidR="00E310B2" w:rsidRPr="00F334AF" w:rsidRDefault="00E310B2" w:rsidP="00BB35C9">
      <w:pPr>
        <w:keepNext/>
        <w:widowControl w:val="0"/>
        <w:autoSpaceDE w:val="0"/>
        <w:autoSpaceDN w:val="0"/>
        <w:jc w:val="both"/>
        <w:rPr>
          <w:sz w:val="22"/>
          <w:szCs w:val="22"/>
          <w:highlight w:val="yellow"/>
          <w:lang w:val="sr-Latn-ME"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2712"/>
        <w:gridCol w:w="1878"/>
      </w:tblGrid>
      <w:tr w:rsidR="00E310B2" w:rsidRPr="00F62BA7" w14:paraId="5A1124FA" w14:textId="77777777" w:rsidTr="00E310B2">
        <w:trPr>
          <w:cantSplit/>
          <w:tblHeader/>
        </w:trPr>
        <w:tc>
          <w:tcPr>
            <w:tcW w:w="2468" w:type="pct"/>
            <w:shd w:val="clear" w:color="auto" w:fill="auto"/>
          </w:tcPr>
          <w:p w14:paraId="32B4702C" w14:textId="77777777" w:rsidR="00E310B2" w:rsidRPr="00F334AF" w:rsidRDefault="00E310B2" w:rsidP="00BB35C9">
            <w:pPr>
              <w:keepNext/>
              <w:widowControl w:val="0"/>
              <w:autoSpaceDE w:val="0"/>
              <w:autoSpaceDN w:val="0"/>
              <w:jc w:val="both"/>
              <w:rPr>
                <w:sz w:val="22"/>
                <w:szCs w:val="22"/>
                <w:lang w:val="sr-Latn-ME" w:eastAsia="hr-HR"/>
              </w:rPr>
            </w:pPr>
          </w:p>
        </w:tc>
        <w:tc>
          <w:tcPr>
            <w:tcW w:w="1496" w:type="pct"/>
            <w:shd w:val="clear" w:color="auto" w:fill="auto"/>
          </w:tcPr>
          <w:p w14:paraId="4F4008A6"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Režim liječenja aprepitantom</w:t>
            </w:r>
          </w:p>
          <w:p w14:paraId="669898C7"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n/m (%)</w:t>
            </w:r>
          </w:p>
        </w:tc>
        <w:tc>
          <w:tcPr>
            <w:tcW w:w="1036" w:type="pct"/>
            <w:shd w:val="clear" w:color="auto" w:fill="auto"/>
          </w:tcPr>
          <w:p w14:paraId="0729E748"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Kontrolni režim liječenja</w:t>
            </w:r>
          </w:p>
          <w:p w14:paraId="6D9A7897"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n/m (%)</w:t>
            </w:r>
          </w:p>
        </w:tc>
      </w:tr>
      <w:tr w:rsidR="00E310B2" w:rsidRPr="00F334AF" w14:paraId="2FF771D3" w14:textId="77777777" w:rsidTr="00E310B2">
        <w:trPr>
          <w:cantSplit/>
        </w:trPr>
        <w:tc>
          <w:tcPr>
            <w:tcW w:w="5000" w:type="pct"/>
            <w:gridSpan w:val="3"/>
            <w:shd w:val="clear" w:color="auto" w:fill="auto"/>
          </w:tcPr>
          <w:p w14:paraId="5EC468DB" w14:textId="29AB050E"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 xml:space="preserve">PRIMARNI </w:t>
            </w:r>
            <w:r w:rsidR="00744A80" w:rsidRPr="00F334AF">
              <w:rPr>
                <w:sz w:val="22"/>
                <w:szCs w:val="22"/>
                <w:lang w:val="sr-Latn-ME" w:eastAsia="hr-HR"/>
              </w:rPr>
              <w:t>ISHOD</w:t>
            </w:r>
          </w:p>
        </w:tc>
      </w:tr>
      <w:tr w:rsidR="00E310B2" w:rsidRPr="00F334AF" w14:paraId="7D55E438" w14:textId="77777777" w:rsidTr="00E310B2">
        <w:trPr>
          <w:cantSplit/>
        </w:trPr>
        <w:tc>
          <w:tcPr>
            <w:tcW w:w="2468" w:type="pct"/>
            <w:shd w:val="clear" w:color="auto" w:fill="auto"/>
          </w:tcPr>
          <w:p w14:paraId="42D68471"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Potpuni odgovor</w:t>
            </w:r>
            <w:r w:rsidRPr="00F334AF">
              <w:rPr>
                <w:sz w:val="22"/>
                <w:szCs w:val="22"/>
                <w:vertAlign w:val="superscript"/>
                <w:lang w:val="sr-Latn-ME" w:eastAsia="hr-HR"/>
              </w:rPr>
              <w:t>*</w:t>
            </w:r>
            <w:r w:rsidRPr="00F334AF">
              <w:rPr>
                <w:sz w:val="22"/>
                <w:szCs w:val="22"/>
                <w:lang w:val="sr-Latn-ME" w:eastAsia="hr-HR"/>
              </w:rPr>
              <w:t xml:space="preserve"> – kasna faza</w:t>
            </w:r>
          </w:p>
        </w:tc>
        <w:tc>
          <w:tcPr>
            <w:tcW w:w="1496" w:type="pct"/>
            <w:shd w:val="clear" w:color="auto" w:fill="auto"/>
          </w:tcPr>
          <w:p w14:paraId="3AA3C642"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77/152 (50,7)</w:t>
            </w:r>
            <w:r w:rsidRPr="00F334AF">
              <w:rPr>
                <w:sz w:val="22"/>
                <w:szCs w:val="22"/>
                <w:vertAlign w:val="superscript"/>
                <w:lang w:val="sr-Latn-ME" w:eastAsia="hr-HR"/>
              </w:rPr>
              <w:t>†</w:t>
            </w:r>
          </w:p>
        </w:tc>
        <w:tc>
          <w:tcPr>
            <w:tcW w:w="1036" w:type="pct"/>
            <w:shd w:val="clear" w:color="auto" w:fill="auto"/>
          </w:tcPr>
          <w:p w14:paraId="37F99856"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39/150 (26,0)</w:t>
            </w:r>
          </w:p>
        </w:tc>
      </w:tr>
      <w:tr w:rsidR="00E310B2" w:rsidRPr="00F334AF" w14:paraId="0C0A6A0B" w14:textId="77777777" w:rsidTr="00E310B2">
        <w:trPr>
          <w:cantSplit/>
        </w:trPr>
        <w:tc>
          <w:tcPr>
            <w:tcW w:w="5000" w:type="pct"/>
            <w:gridSpan w:val="3"/>
            <w:shd w:val="clear" w:color="auto" w:fill="auto"/>
          </w:tcPr>
          <w:p w14:paraId="63213566" w14:textId="012FD193"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DRUGI PRETHODNO ODREĐENI ISHODI</w:t>
            </w:r>
          </w:p>
        </w:tc>
      </w:tr>
      <w:tr w:rsidR="00E310B2" w:rsidRPr="00F334AF" w14:paraId="29A5FBEA" w14:textId="77777777" w:rsidTr="00E310B2">
        <w:trPr>
          <w:cantSplit/>
        </w:trPr>
        <w:tc>
          <w:tcPr>
            <w:tcW w:w="2468" w:type="pct"/>
            <w:shd w:val="clear" w:color="auto" w:fill="auto"/>
          </w:tcPr>
          <w:p w14:paraId="0692CF43"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Potpuni odgovor</w:t>
            </w:r>
            <w:r w:rsidRPr="00F334AF">
              <w:rPr>
                <w:sz w:val="22"/>
                <w:szCs w:val="22"/>
                <w:vertAlign w:val="superscript"/>
                <w:lang w:val="sr-Latn-ME" w:eastAsia="hr-HR"/>
              </w:rPr>
              <w:t>*</w:t>
            </w:r>
            <w:r w:rsidRPr="00F334AF">
              <w:rPr>
                <w:sz w:val="22"/>
                <w:szCs w:val="22"/>
                <w:lang w:val="sr-Latn-ME" w:eastAsia="hr-HR"/>
              </w:rPr>
              <w:t xml:space="preserve"> – akutna faza</w:t>
            </w:r>
          </w:p>
        </w:tc>
        <w:tc>
          <w:tcPr>
            <w:tcW w:w="1496" w:type="pct"/>
            <w:shd w:val="clear" w:color="auto" w:fill="auto"/>
          </w:tcPr>
          <w:p w14:paraId="4925F7B5"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101/152 (66,4)</w:t>
            </w:r>
            <w:r w:rsidRPr="00F334AF">
              <w:rPr>
                <w:sz w:val="22"/>
                <w:szCs w:val="22"/>
                <w:vertAlign w:val="superscript"/>
                <w:lang w:val="sr-Latn-ME" w:eastAsia="hr-HR"/>
              </w:rPr>
              <w:t>‡</w:t>
            </w:r>
          </w:p>
        </w:tc>
        <w:tc>
          <w:tcPr>
            <w:tcW w:w="1036" w:type="pct"/>
            <w:shd w:val="clear" w:color="auto" w:fill="auto"/>
          </w:tcPr>
          <w:p w14:paraId="509CC7B3"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78/150 (52,0)</w:t>
            </w:r>
          </w:p>
        </w:tc>
      </w:tr>
      <w:tr w:rsidR="00E310B2" w:rsidRPr="00F334AF" w14:paraId="083B6ADF" w14:textId="77777777" w:rsidTr="00E310B2">
        <w:trPr>
          <w:cantSplit/>
        </w:trPr>
        <w:tc>
          <w:tcPr>
            <w:tcW w:w="2468" w:type="pct"/>
            <w:shd w:val="clear" w:color="auto" w:fill="auto"/>
          </w:tcPr>
          <w:p w14:paraId="5FBE0A56" w14:textId="52DF02CF"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Potpuni odgovor</w:t>
            </w:r>
            <w:r w:rsidRPr="00F334AF">
              <w:rPr>
                <w:sz w:val="22"/>
                <w:szCs w:val="22"/>
                <w:vertAlign w:val="superscript"/>
                <w:lang w:val="sr-Latn-ME" w:eastAsia="hr-HR"/>
              </w:rPr>
              <w:t>*</w:t>
            </w:r>
            <w:r w:rsidRPr="00F334AF">
              <w:rPr>
                <w:sz w:val="22"/>
                <w:szCs w:val="22"/>
                <w:lang w:val="sr-Latn-ME" w:eastAsia="hr-HR"/>
              </w:rPr>
              <w:t xml:space="preserve"> – c</w:t>
            </w:r>
            <w:r w:rsidR="00CF2AF2" w:rsidRPr="00F334AF">
              <w:rPr>
                <w:sz w:val="22"/>
                <w:szCs w:val="22"/>
                <w:lang w:val="sr-Latn-ME" w:eastAsia="hr-HR"/>
              </w:rPr>
              <w:t>ij</w:t>
            </w:r>
            <w:r w:rsidRPr="00F334AF">
              <w:rPr>
                <w:sz w:val="22"/>
                <w:szCs w:val="22"/>
                <w:lang w:val="sr-Latn-ME" w:eastAsia="hr-HR"/>
              </w:rPr>
              <w:t>elo razdoblje</w:t>
            </w:r>
          </w:p>
        </w:tc>
        <w:tc>
          <w:tcPr>
            <w:tcW w:w="1496" w:type="pct"/>
            <w:shd w:val="clear" w:color="auto" w:fill="auto"/>
          </w:tcPr>
          <w:p w14:paraId="189F6647"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61/152 (40,1)</w:t>
            </w:r>
            <w:r w:rsidRPr="00F334AF">
              <w:rPr>
                <w:sz w:val="22"/>
                <w:szCs w:val="22"/>
                <w:vertAlign w:val="superscript"/>
                <w:lang w:val="sr-Latn-ME" w:eastAsia="hr-HR"/>
              </w:rPr>
              <w:t>†</w:t>
            </w:r>
          </w:p>
        </w:tc>
        <w:tc>
          <w:tcPr>
            <w:tcW w:w="1036" w:type="pct"/>
            <w:shd w:val="clear" w:color="auto" w:fill="auto"/>
          </w:tcPr>
          <w:p w14:paraId="36236DE3"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30/150 (20,0)</w:t>
            </w:r>
          </w:p>
        </w:tc>
      </w:tr>
      <w:tr w:rsidR="00E310B2" w:rsidRPr="00F334AF" w14:paraId="5A55701F" w14:textId="77777777" w:rsidTr="00E310B2">
        <w:trPr>
          <w:cantSplit/>
        </w:trPr>
        <w:tc>
          <w:tcPr>
            <w:tcW w:w="2468" w:type="pct"/>
            <w:shd w:val="clear" w:color="auto" w:fill="auto"/>
          </w:tcPr>
          <w:p w14:paraId="6A7F9279" w14:textId="5774BA53"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Bez povraćanja</w:t>
            </w:r>
            <w:r w:rsidRPr="00F334AF">
              <w:rPr>
                <w:sz w:val="22"/>
                <w:szCs w:val="22"/>
                <w:vertAlign w:val="superscript"/>
                <w:lang w:val="sr-Latn-ME" w:eastAsia="hr-HR"/>
              </w:rPr>
              <w:t>§</w:t>
            </w:r>
            <w:r w:rsidRPr="00F334AF">
              <w:rPr>
                <w:sz w:val="22"/>
                <w:szCs w:val="22"/>
                <w:lang w:val="sr-Latn-ME" w:eastAsia="hr-HR"/>
              </w:rPr>
              <w:t xml:space="preserve"> – c</w:t>
            </w:r>
            <w:r w:rsidR="00CF2AF2" w:rsidRPr="00F334AF">
              <w:rPr>
                <w:sz w:val="22"/>
                <w:szCs w:val="22"/>
                <w:lang w:val="sr-Latn-ME" w:eastAsia="hr-HR"/>
              </w:rPr>
              <w:t>ij</w:t>
            </w:r>
            <w:r w:rsidRPr="00F334AF">
              <w:rPr>
                <w:sz w:val="22"/>
                <w:szCs w:val="22"/>
                <w:lang w:val="sr-Latn-ME" w:eastAsia="hr-HR"/>
              </w:rPr>
              <w:t>elo razdoblje</w:t>
            </w:r>
          </w:p>
        </w:tc>
        <w:tc>
          <w:tcPr>
            <w:tcW w:w="1496" w:type="pct"/>
            <w:shd w:val="clear" w:color="auto" w:fill="auto"/>
          </w:tcPr>
          <w:p w14:paraId="3B232544"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71/152 (46,7)</w:t>
            </w:r>
            <w:r w:rsidRPr="00F334AF">
              <w:rPr>
                <w:sz w:val="22"/>
                <w:szCs w:val="22"/>
                <w:vertAlign w:val="superscript"/>
                <w:lang w:val="sr-Latn-ME" w:eastAsia="hr-HR"/>
              </w:rPr>
              <w:t>†</w:t>
            </w:r>
          </w:p>
        </w:tc>
        <w:tc>
          <w:tcPr>
            <w:tcW w:w="1036" w:type="pct"/>
            <w:shd w:val="clear" w:color="auto" w:fill="auto"/>
          </w:tcPr>
          <w:p w14:paraId="4E597E77" w14:textId="77777777" w:rsidR="00E310B2" w:rsidRPr="00F334AF" w:rsidRDefault="00E310B2" w:rsidP="0034729B">
            <w:pPr>
              <w:keepNext/>
              <w:widowControl w:val="0"/>
              <w:autoSpaceDE w:val="0"/>
              <w:autoSpaceDN w:val="0"/>
              <w:jc w:val="both"/>
              <w:rPr>
                <w:sz w:val="22"/>
                <w:szCs w:val="22"/>
                <w:lang w:val="sr-Latn-ME" w:eastAsia="hr-HR"/>
              </w:rPr>
            </w:pPr>
            <w:r w:rsidRPr="00F334AF">
              <w:rPr>
                <w:sz w:val="22"/>
                <w:szCs w:val="22"/>
                <w:lang w:val="sr-Latn-ME" w:eastAsia="hr-HR"/>
              </w:rPr>
              <w:t>32/150 (21,3)</w:t>
            </w:r>
          </w:p>
        </w:tc>
      </w:tr>
      <w:tr w:rsidR="00E310B2" w:rsidRPr="00F334AF" w14:paraId="1FF67717" w14:textId="77777777" w:rsidTr="00E310B2">
        <w:trPr>
          <w:cantSplit/>
        </w:trPr>
        <w:tc>
          <w:tcPr>
            <w:tcW w:w="5000" w:type="pct"/>
            <w:gridSpan w:val="3"/>
            <w:shd w:val="clear" w:color="auto" w:fill="auto"/>
          </w:tcPr>
          <w:p w14:paraId="1ABB4DC0" w14:textId="4C915FB1" w:rsidR="00E310B2" w:rsidRPr="00F334AF" w:rsidRDefault="00E310B2" w:rsidP="00BB35C9">
            <w:pPr>
              <w:keepNext/>
              <w:widowControl w:val="0"/>
              <w:autoSpaceDE w:val="0"/>
              <w:autoSpaceDN w:val="0"/>
              <w:jc w:val="both"/>
              <w:rPr>
                <w:sz w:val="22"/>
                <w:szCs w:val="22"/>
                <w:lang w:val="sr-Latn-ME" w:eastAsia="hr-HR"/>
              </w:rPr>
            </w:pPr>
            <w:r w:rsidRPr="00F334AF">
              <w:rPr>
                <w:sz w:val="22"/>
                <w:szCs w:val="22"/>
                <w:vertAlign w:val="superscript"/>
                <w:lang w:val="sr-Latn-ME" w:eastAsia="hr-HR"/>
              </w:rPr>
              <w:t>*</w:t>
            </w:r>
            <w:r w:rsidRPr="00F334AF">
              <w:rPr>
                <w:sz w:val="22"/>
                <w:szCs w:val="22"/>
                <w:lang w:val="sr-Latn-ME" w:eastAsia="hr-HR"/>
              </w:rPr>
              <w:t xml:space="preserve">Potpuni odgovor = bez povraćanja ili </w:t>
            </w:r>
            <w:r w:rsidR="002C3B76" w:rsidRPr="00F334AF">
              <w:rPr>
                <w:sz w:val="22"/>
                <w:szCs w:val="22"/>
                <w:lang w:val="sr-Latn-ME" w:eastAsia="hr-HR"/>
              </w:rPr>
              <w:t>mučnine</w:t>
            </w:r>
            <w:r w:rsidRPr="00F334AF">
              <w:rPr>
                <w:sz w:val="22"/>
                <w:szCs w:val="22"/>
                <w:lang w:val="sr-Latn-ME" w:eastAsia="hr-HR"/>
              </w:rPr>
              <w:t xml:space="preserve"> ili nadražaja na povraćanje i bez primjene dodatnih ljekova za olakšanje simptoma.</w:t>
            </w:r>
          </w:p>
          <w:p w14:paraId="1EA2753A" w14:textId="77777777" w:rsidR="00E310B2" w:rsidRPr="00F334AF" w:rsidRDefault="00E310B2" w:rsidP="00BB35C9">
            <w:pPr>
              <w:keepNext/>
              <w:widowControl w:val="0"/>
              <w:autoSpaceDE w:val="0"/>
              <w:autoSpaceDN w:val="0"/>
              <w:jc w:val="both"/>
              <w:rPr>
                <w:sz w:val="22"/>
                <w:szCs w:val="22"/>
                <w:lang w:val="sr-Latn-ME" w:eastAsia="hr-HR"/>
              </w:rPr>
            </w:pPr>
            <w:r w:rsidRPr="00F334AF">
              <w:rPr>
                <w:sz w:val="22"/>
                <w:szCs w:val="22"/>
                <w:vertAlign w:val="superscript"/>
                <w:lang w:val="sr-Latn-ME" w:eastAsia="hr-HR"/>
              </w:rPr>
              <w:t>†</w:t>
            </w:r>
            <w:r w:rsidRPr="00F334AF">
              <w:rPr>
                <w:sz w:val="22"/>
                <w:szCs w:val="22"/>
                <w:lang w:val="sr-Latn-ME" w:eastAsia="hr-HR"/>
              </w:rPr>
              <w:t>p &lt; 0,01 u poređenju sa kontrolnim režimom</w:t>
            </w:r>
          </w:p>
          <w:p w14:paraId="5977E791" w14:textId="77777777" w:rsidR="00E310B2" w:rsidRPr="00F334AF" w:rsidRDefault="00E310B2" w:rsidP="00BB35C9">
            <w:pPr>
              <w:keepNext/>
              <w:widowControl w:val="0"/>
              <w:autoSpaceDE w:val="0"/>
              <w:autoSpaceDN w:val="0"/>
              <w:jc w:val="both"/>
              <w:rPr>
                <w:sz w:val="22"/>
                <w:szCs w:val="22"/>
                <w:lang w:val="sr-Latn-ME" w:eastAsia="hr-HR"/>
              </w:rPr>
            </w:pPr>
            <w:r w:rsidRPr="00F334AF">
              <w:rPr>
                <w:sz w:val="22"/>
                <w:szCs w:val="22"/>
                <w:vertAlign w:val="superscript"/>
                <w:lang w:val="sr-Latn-ME" w:eastAsia="hr-HR"/>
              </w:rPr>
              <w:t>‡</w:t>
            </w:r>
            <w:r w:rsidRPr="00F334AF">
              <w:rPr>
                <w:sz w:val="22"/>
                <w:szCs w:val="22"/>
                <w:lang w:val="sr-Latn-ME" w:eastAsia="hr-HR"/>
              </w:rPr>
              <w:t>p &lt; 0,05 u poređenju sa kontrolnim režimom</w:t>
            </w:r>
          </w:p>
          <w:p w14:paraId="67FB9A0A" w14:textId="0010F31B" w:rsidR="00E310B2" w:rsidRPr="00F334AF" w:rsidRDefault="00E310B2">
            <w:pPr>
              <w:keepNext/>
              <w:widowControl w:val="0"/>
              <w:autoSpaceDE w:val="0"/>
              <w:autoSpaceDN w:val="0"/>
              <w:jc w:val="both"/>
              <w:rPr>
                <w:sz w:val="22"/>
                <w:szCs w:val="22"/>
                <w:lang w:val="sr-Latn-ME" w:eastAsia="hr-HR"/>
              </w:rPr>
            </w:pPr>
            <w:r w:rsidRPr="00F334AF">
              <w:rPr>
                <w:sz w:val="22"/>
                <w:szCs w:val="22"/>
                <w:vertAlign w:val="superscript"/>
                <w:lang w:val="sr-Latn-ME" w:eastAsia="hr-HR"/>
              </w:rPr>
              <w:t>§</w:t>
            </w:r>
            <w:r w:rsidRPr="00F334AF">
              <w:rPr>
                <w:sz w:val="22"/>
                <w:szCs w:val="22"/>
                <w:lang w:val="sr-Latn-ME" w:eastAsia="hr-HR"/>
              </w:rPr>
              <w:t xml:space="preserve">Bez povraćanja = bez povraćanja ili </w:t>
            </w:r>
            <w:r w:rsidR="002C3B76" w:rsidRPr="00F334AF">
              <w:rPr>
                <w:sz w:val="22"/>
                <w:szCs w:val="22"/>
                <w:lang w:val="sr-Latn-ME" w:eastAsia="hr-HR"/>
              </w:rPr>
              <w:t>mučnine</w:t>
            </w:r>
            <w:r w:rsidRPr="00F334AF">
              <w:rPr>
                <w:sz w:val="22"/>
                <w:szCs w:val="22"/>
                <w:lang w:val="sr-Latn-ME" w:eastAsia="hr-HR"/>
              </w:rPr>
              <w:t xml:space="preserve"> ili nadražaja na povraćanje</w:t>
            </w:r>
          </w:p>
          <w:p w14:paraId="3A514ED8" w14:textId="77777777" w:rsidR="00E310B2" w:rsidRPr="00F334AF" w:rsidRDefault="00E310B2">
            <w:pPr>
              <w:keepNext/>
              <w:widowControl w:val="0"/>
              <w:autoSpaceDE w:val="0"/>
              <w:autoSpaceDN w:val="0"/>
              <w:jc w:val="both"/>
              <w:rPr>
                <w:sz w:val="22"/>
                <w:szCs w:val="22"/>
                <w:lang w:val="sr-Latn-ME" w:eastAsia="hr-HR"/>
              </w:rPr>
            </w:pPr>
            <w:r w:rsidRPr="00F334AF">
              <w:rPr>
                <w:sz w:val="22"/>
                <w:szCs w:val="22"/>
                <w:lang w:val="sr-Latn-ME" w:eastAsia="hr-HR"/>
              </w:rPr>
              <w:t>n/m = broj pacijenata sa željenim odgovorom/broj pacijenata uključenih u toj vremenskoj tački.</w:t>
            </w:r>
          </w:p>
          <w:p w14:paraId="5C4A8CCF" w14:textId="77777777" w:rsidR="00E310B2" w:rsidRPr="00F334AF" w:rsidRDefault="00E310B2">
            <w:pPr>
              <w:keepNext/>
              <w:widowControl w:val="0"/>
              <w:autoSpaceDE w:val="0"/>
              <w:autoSpaceDN w:val="0"/>
              <w:jc w:val="both"/>
              <w:rPr>
                <w:sz w:val="22"/>
                <w:szCs w:val="22"/>
                <w:lang w:val="sr-Latn-ME" w:eastAsia="hr-HR"/>
              </w:rPr>
            </w:pPr>
            <w:r w:rsidRPr="00F334AF">
              <w:rPr>
                <w:sz w:val="22"/>
                <w:szCs w:val="22"/>
                <w:lang w:val="sr-Latn-ME" w:eastAsia="hr-HR"/>
              </w:rPr>
              <w:t>Akutna faza: od 0 do 24 sata nakon početka hemioterapije.</w:t>
            </w:r>
          </w:p>
          <w:p w14:paraId="3308C0F5" w14:textId="77777777" w:rsidR="00E310B2" w:rsidRPr="00F334AF" w:rsidRDefault="00E310B2">
            <w:pPr>
              <w:keepNext/>
              <w:widowControl w:val="0"/>
              <w:autoSpaceDE w:val="0"/>
              <w:autoSpaceDN w:val="0"/>
              <w:jc w:val="both"/>
              <w:rPr>
                <w:sz w:val="22"/>
                <w:szCs w:val="22"/>
                <w:lang w:val="sr-Latn-ME" w:eastAsia="hr-HR"/>
              </w:rPr>
            </w:pPr>
            <w:r w:rsidRPr="00F334AF">
              <w:rPr>
                <w:sz w:val="22"/>
                <w:szCs w:val="22"/>
                <w:lang w:val="sr-Latn-ME" w:eastAsia="hr-HR"/>
              </w:rPr>
              <w:t>Kasna faza: od 25 do 120 sati nakon početka hemioterapije.</w:t>
            </w:r>
          </w:p>
          <w:p w14:paraId="71DF5616" w14:textId="473A92DA" w:rsidR="00E310B2" w:rsidRPr="00F334AF" w:rsidRDefault="00753A56">
            <w:pPr>
              <w:keepNext/>
              <w:widowControl w:val="0"/>
              <w:autoSpaceDE w:val="0"/>
              <w:autoSpaceDN w:val="0"/>
              <w:jc w:val="both"/>
              <w:rPr>
                <w:sz w:val="22"/>
                <w:szCs w:val="22"/>
                <w:lang w:val="sr-Latn-ME" w:eastAsia="hr-HR"/>
              </w:rPr>
            </w:pPr>
            <w:r w:rsidRPr="00F334AF">
              <w:rPr>
                <w:sz w:val="22"/>
                <w:szCs w:val="22"/>
                <w:lang w:val="sr-Latn-ME" w:eastAsia="hr-HR"/>
              </w:rPr>
              <w:t>Cijeli period</w:t>
            </w:r>
            <w:r w:rsidR="00E310B2" w:rsidRPr="00F334AF">
              <w:rPr>
                <w:sz w:val="22"/>
                <w:szCs w:val="22"/>
                <w:lang w:val="sr-Latn-ME" w:eastAsia="hr-HR"/>
              </w:rPr>
              <w:t>: od 0 do 120 sati nakon početka hemioterapije.</w:t>
            </w:r>
          </w:p>
        </w:tc>
      </w:tr>
    </w:tbl>
    <w:p w14:paraId="4D4372D0" w14:textId="77777777" w:rsidR="00E310B2" w:rsidRPr="00F334AF" w:rsidRDefault="00E310B2" w:rsidP="0034729B">
      <w:pPr>
        <w:widowControl w:val="0"/>
        <w:autoSpaceDE w:val="0"/>
        <w:autoSpaceDN w:val="0"/>
        <w:jc w:val="both"/>
        <w:rPr>
          <w:sz w:val="22"/>
          <w:szCs w:val="22"/>
          <w:highlight w:val="yellow"/>
          <w:lang w:val="sr-Latn-ME" w:eastAsia="hr-HR"/>
        </w:rPr>
      </w:pPr>
    </w:p>
    <w:p w14:paraId="2C88D2E3" w14:textId="1AE9D6BE" w:rsidR="001F423A" w:rsidRDefault="00E310B2" w:rsidP="001F423A">
      <w:pPr>
        <w:widowControl w:val="0"/>
        <w:autoSpaceDE w:val="0"/>
        <w:autoSpaceDN w:val="0"/>
        <w:jc w:val="both"/>
        <w:rPr>
          <w:b/>
          <w:sz w:val="22"/>
          <w:szCs w:val="22"/>
          <w:lang w:val="sr-Latn-ME" w:eastAsia="hr-HR"/>
        </w:rPr>
      </w:pPr>
      <w:r w:rsidRPr="00F334AF">
        <w:rPr>
          <w:sz w:val="22"/>
          <w:szCs w:val="22"/>
          <w:lang w:val="sr-Latn-ME" w:eastAsia="hr-HR"/>
        </w:rPr>
        <w:t>Proc</w:t>
      </w:r>
      <w:r w:rsidR="00CF2AF2" w:rsidRPr="00F334AF">
        <w:rPr>
          <w:sz w:val="22"/>
          <w:szCs w:val="22"/>
          <w:lang w:val="sr-Latn-ME" w:eastAsia="hr-HR"/>
        </w:rPr>
        <w:t>ij</w:t>
      </w:r>
      <w:r w:rsidRPr="00F334AF">
        <w:rPr>
          <w:sz w:val="22"/>
          <w:szCs w:val="22"/>
          <w:lang w:val="sr-Latn-ME" w:eastAsia="hr-HR"/>
        </w:rPr>
        <w:t>enjeno vr</w:t>
      </w:r>
      <w:r w:rsidR="006C32CE" w:rsidRPr="00F334AF">
        <w:rPr>
          <w:sz w:val="22"/>
          <w:szCs w:val="22"/>
          <w:lang w:val="sr-Latn-ME" w:eastAsia="hr-HR"/>
        </w:rPr>
        <w:t>ij</w:t>
      </w:r>
      <w:r w:rsidRPr="00F334AF">
        <w:rPr>
          <w:sz w:val="22"/>
          <w:szCs w:val="22"/>
          <w:lang w:val="sr-Latn-ME" w:eastAsia="hr-HR"/>
        </w:rPr>
        <w:t>eme do prvog povraćanja nakon početka hemioterapije bilo je duže u grupi koja je primala aprepitant (proc</w:t>
      </w:r>
      <w:r w:rsidR="00CF2AF2" w:rsidRPr="00F334AF">
        <w:rPr>
          <w:sz w:val="22"/>
          <w:szCs w:val="22"/>
          <w:lang w:val="sr-Latn-ME" w:eastAsia="hr-HR"/>
        </w:rPr>
        <w:t>ij</w:t>
      </w:r>
      <w:r w:rsidRPr="00F334AF">
        <w:rPr>
          <w:sz w:val="22"/>
          <w:szCs w:val="22"/>
          <w:lang w:val="sr-Latn-ME" w:eastAsia="hr-HR"/>
        </w:rPr>
        <w:t>enjen</w:t>
      </w:r>
      <w:r w:rsidR="00CF2AF2" w:rsidRPr="00F334AF">
        <w:rPr>
          <w:sz w:val="22"/>
          <w:szCs w:val="22"/>
          <w:lang w:val="sr-Latn-ME" w:eastAsia="hr-HR"/>
        </w:rPr>
        <w:t>a</w:t>
      </w:r>
      <w:r w:rsidRPr="00F334AF">
        <w:rPr>
          <w:sz w:val="22"/>
          <w:szCs w:val="22"/>
          <w:lang w:val="sr-Latn-ME" w:eastAsia="hr-HR"/>
        </w:rPr>
        <w:t xml:space="preserve"> medijan</w:t>
      </w:r>
      <w:r w:rsidR="00CF2AF2" w:rsidRPr="00F334AF">
        <w:rPr>
          <w:sz w:val="22"/>
          <w:szCs w:val="22"/>
          <w:lang w:val="sr-Latn-ME" w:eastAsia="hr-HR"/>
        </w:rPr>
        <w:t>a</w:t>
      </w:r>
      <w:r w:rsidRPr="00F334AF">
        <w:rPr>
          <w:sz w:val="22"/>
          <w:szCs w:val="22"/>
          <w:lang w:val="sr-Latn-ME" w:eastAsia="hr-HR"/>
        </w:rPr>
        <w:t xml:space="preserve"> vremena do prvog povraćanja bi</w:t>
      </w:r>
      <w:r w:rsidR="00B0547F" w:rsidRPr="00F334AF">
        <w:rPr>
          <w:sz w:val="22"/>
          <w:szCs w:val="22"/>
          <w:lang w:val="sr-Latn-ME" w:eastAsia="hr-HR"/>
        </w:rPr>
        <w:t>la</w:t>
      </w:r>
      <w:r w:rsidRPr="00F334AF">
        <w:rPr>
          <w:sz w:val="22"/>
          <w:szCs w:val="22"/>
          <w:lang w:val="sr-Latn-ME" w:eastAsia="hr-HR"/>
        </w:rPr>
        <w:t xml:space="preserve"> je 94,5 sati) nego u grupi koja je primala kontrolni režim liječenja (proc</w:t>
      </w:r>
      <w:r w:rsidR="00CF2AF2" w:rsidRPr="00F334AF">
        <w:rPr>
          <w:sz w:val="22"/>
          <w:szCs w:val="22"/>
          <w:lang w:val="sr-Latn-ME" w:eastAsia="hr-HR"/>
        </w:rPr>
        <w:t>ij</w:t>
      </w:r>
      <w:r w:rsidRPr="00F334AF">
        <w:rPr>
          <w:sz w:val="22"/>
          <w:szCs w:val="22"/>
          <w:lang w:val="sr-Latn-ME" w:eastAsia="hr-HR"/>
        </w:rPr>
        <w:t>enjen</w:t>
      </w:r>
      <w:r w:rsidR="00CF2AF2" w:rsidRPr="00F334AF">
        <w:rPr>
          <w:sz w:val="22"/>
          <w:szCs w:val="22"/>
          <w:lang w:val="sr-Latn-ME" w:eastAsia="hr-HR"/>
        </w:rPr>
        <w:t>a</w:t>
      </w:r>
      <w:r w:rsidRPr="00F334AF">
        <w:rPr>
          <w:sz w:val="22"/>
          <w:szCs w:val="22"/>
          <w:lang w:val="sr-Latn-ME" w:eastAsia="hr-HR"/>
        </w:rPr>
        <w:t xml:space="preserve"> medijan</w:t>
      </w:r>
      <w:r w:rsidR="00CF2AF2" w:rsidRPr="00F334AF">
        <w:rPr>
          <w:sz w:val="22"/>
          <w:szCs w:val="22"/>
          <w:lang w:val="sr-Latn-ME" w:eastAsia="hr-HR"/>
        </w:rPr>
        <w:t>a</w:t>
      </w:r>
      <w:r w:rsidRPr="00F334AF">
        <w:rPr>
          <w:sz w:val="22"/>
          <w:szCs w:val="22"/>
          <w:lang w:val="sr-Latn-ME" w:eastAsia="hr-HR"/>
        </w:rPr>
        <w:t xml:space="preserve"> vremena do prvog povraćanja bi</w:t>
      </w:r>
      <w:r w:rsidR="00B0547F" w:rsidRPr="00F334AF">
        <w:rPr>
          <w:sz w:val="22"/>
          <w:szCs w:val="22"/>
          <w:lang w:val="sr-Latn-ME" w:eastAsia="hr-HR"/>
        </w:rPr>
        <w:t>la</w:t>
      </w:r>
      <w:r w:rsidRPr="00F334AF">
        <w:rPr>
          <w:sz w:val="22"/>
          <w:szCs w:val="22"/>
          <w:lang w:val="sr-Latn-ME" w:eastAsia="hr-HR"/>
        </w:rPr>
        <w:t xml:space="preserve"> je 26,0 sati), kako prikazuju</w:t>
      </w:r>
      <w:r w:rsidR="00753A56" w:rsidRPr="00F334AF">
        <w:rPr>
          <w:sz w:val="22"/>
          <w:szCs w:val="22"/>
          <w:lang w:val="sr-Latn-ME"/>
        </w:rPr>
        <w:t xml:space="preserve"> </w:t>
      </w:r>
      <w:r w:rsidR="00753A56" w:rsidRPr="00F334AF">
        <w:rPr>
          <w:sz w:val="22"/>
          <w:szCs w:val="22"/>
          <w:lang w:val="sr-Latn-ME" w:eastAsia="hr-HR"/>
        </w:rPr>
        <w:t>Kaplan-Meier-ove</w:t>
      </w:r>
      <w:r w:rsidRPr="00F334AF">
        <w:rPr>
          <w:sz w:val="22"/>
          <w:szCs w:val="22"/>
          <w:lang w:val="sr-Latn-ME" w:eastAsia="hr-HR"/>
        </w:rPr>
        <w:t xml:space="preserve"> krive na Slici 2.</w:t>
      </w:r>
    </w:p>
    <w:p w14:paraId="07C2A34D" w14:textId="77777777" w:rsidR="001F423A" w:rsidRPr="00F334AF" w:rsidRDefault="001F423A" w:rsidP="0034729B">
      <w:pPr>
        <w:keepNext/>
        <w:widowControl w:val="0"/>
        <w:autoSpaceDE w:val="0"/>
        <w:autoSpaceDN w:val="0"/>
        <w:jc w:val="both"/>
        <w:rPr>
          <w:b/>
          <w:sz w:val="22"/>
          <w:szCs w:val="22"/>
          <w:lang w:val="sr-Latn-ME" w:eastAsia="hr-HR"/>
        </w:rPr>
      </w:pPr>
    </w:p>
    <w:p w14:paraId="5F3EB86C" w14:textId="443F23C3" w:rsidR="00E310B2" w:rsidRPr="00F334AF" w:rsidRDefault="00E310B2" w:rsidP="00256EDE">
      <w:pPr>
        <w:keepNext/>
        <w:widowControl w:val="0"/>
        <w:autoSpaceDE w:val="0"/>
        <w:autoSpaceDN w:val="0"/>
        <w:jc w:val="center"/>
        <w:rPr>
          <w:b/>
          <w:sz w:val="22"/>
          <w:szCs w:val="22"/>
          <w:lang w:val="sr-Latn-ME" w:eastAsia="hr-HR"/>
        </w:rPr>
      </w:pPr>
      <w:r w:rsidRPr="00F334AF">
        <w:rPr>
          <w:b/>
          <w:sz w:val="22"/>
          <w:szCs w:val="22"/>
          <w:lang w:val="sr-Latn-ME" w:eastAsia="hr-HR"/>
        </w:rPr>
        <w:t>Slika 2</w:t>
      </w:r>
    </w:p>
    <w:p w14:paraId="0435F828" w14:textId="7F76D478" w:rsidR="00E310B2" w:rsidRPr="00F334AF" w:rsidRDefault="00E310B2" w:rsidP="00256EDE">
      <w:pPr>
        <w:keepNext/>
        <w:widowControl w:val="0"/>
        <w:autoSpaceDE w:val="0"/>
        <w:autoSpaceDN w:val="0"/>
        <w:jc w:val="center"/>
        <w:rPr>
          <w:b/>
          <w:sz w:val="22"/>
          <w:szCs w:val="22"/>
          <w:lang w:val="sr-Latn-ME" w:eastAsia="hr-HR"/>
        </w:rPr>
      </w:pPr>
      <w:r w:rsidRPr="00F334AF">
        <w:rPr>
          <w:b/>
          <w:sz w:val="22"/>
          <w:szCs w:val="22"/>
          <w:lang w:val="sr-Latn-ME" w:eastAsia="hr-HR"/>
        </w:rPr>
        <w:t xml:space="preserve">Vrijeme do prve epizode povraćanja nakon početka primjene hemioterapije </w:t>
      </w:r>
      <w:r w:rsidR="00753A56" w:rsidRPr="00F334AF">
        <w:rPr>
          <w:b/>
          <w:sz w:val="22"/>
          <w:szCs w:val="22"/>
          <w:lang w:val="sr-Latn-ME" w:eastAsia="hr-HR"/>
        </w:rPr>
        <w:t>–</w:t>
      </w:r>
      <w:r w:rsidRPr="00F334AF">
        <w:rPr>
          <w:b/>
          <w:sz w:val="22"/>
          <w:szCs w:val="22"/>
          <w:lang w:val="sr-Latn-ME" w:eastAsia="hr-HR"/>
        </w:rPr>
        <w:t xml:space="preserve"> pedijatrijski</w:t>
      </w:r>
      <w:r w:rsidR="00753A56" w:rsidRPr="00F334AF">
        <w:rPr>
          <w:b/>
          <w:sz w:val="22"/>
          <w:szCs w:val="22"/>
          <w:lang w:val="sr-Latn-ME" w:eastAsia="hr-HR"/>
        </w:rPr>
        <w:t xml:space="preserve"> </w:t>
      </w:r>
      <w:r w:rsidRPr="00F334AF">
        <w:rPr>
          <w:b/>
          <w:sz w:val="22"/>
          <w:szCs w:val="22"/>
          <w:lang w:val="sr-Latn-ME" w:eastAsia="hr-HR"/>
        </w:rPr>
        <w:t>pacijenti u c</w:t>
      </w:r>
      <w:r w:rsidR="00B0547F" w:rsidRPr="00F334AF">
        <w:rPr>
          <w:b/>
          <w:sz w:val="22"/>
          <w:szCs w:val="22"/>
          <w:lang w:val="sr-Latn-ME" w:eastAsia="hr-HR"/>
        </w:rPr>
        <w:t>ij</w:t>
      </w:r>
      <w:r w:rsidRPr="00F334AF">
        <w:rPr>
          <w:b/>
          <w:sz w:val="22"/>
          <w:szCs w:val="22"/>
          <w:lang w:val="sr-Latn-ME" w:eastAsia="hr-HR"/>
        </w:rPr>
        <w:t xml:space="preserve">elom </w:t>
      </w:r>
      <w:r w:rsidR="00753A56" w:rsidRPr="00F334AF">
        <w:rPr>
          <w:b/>
          <w:sz w:val="22"/>
          <w:szCs w:val="22"/>
          <w:lang w:val="sr-Latn-ME" w:eastAsia="hr-HR"/>
        </w:rPr>
        <w:t>period</w:t>
      </w:r>
      <w:r w:rsidRPr="00F334AF">
        <w:rPr>
          <w:b/>
          <w:sz w:val="22"/>
          <w:szCs w:val="22"/>
          <w:lang w:val="sr-Latn-ME" w:eastAsia="hr-HR"/>
        </w:rPr>
        <w:t xml:space="preserve"> – 1. ciklus (populacija planirana za liječenje)</w:t>
      </w:r>
    </w:p>
    <w:p w14:paraId="257DBFBE" w14:textId="5D29AF00" w:rsidR="00E310B2" w:rsidRPr="00F334AF" w:rsidRDefault="009C1928" w:rsidP="0034729B">
      <w:pPr>
        <w:keepNext/>
        <w:widowControl w:val="0"/>
        <w:autoSpaceDE w:val="0"/>
        <w:autoSpaceDN w:val="0"/>
        <w:jc w:val="both"/>
        <w:rPr>
          <w:sz w:val="22"/>
          <w:szCs w:val="22"/>
          <w:highlight w:val="yellow"/>
          <w:lang w:val="sr-Latn-ME" w:eastAsia="hr-HR"/>
        </w:rPr>
      </w:pPr>
      <w:r w:rsidRPr="00F334AF">
        <w:rPr>
          <w:noProof/>
          <w:sz w:val="22"/>
          <w:szCs w:val="22"/>
        </w:rPr>
        <mc:AlternateContent>
          <mc:Choice Requires="wps">
            <w:drawing>
              <wp:anchor distT="0" distB="0" distL="114300" distR="114300" simplePos="0" relativeHeight="251664384" behindDoc="0" locked="0" layoutInCell="1" allowOverlap="1" wp14:anchorId="72D8472C" wp14:editId="409705DA">
                <wp:simplePos x="0" y="0"/>
                <wp:positionH relativeFrom="column">
                  <wp:posOffset>1164287</wp:posOffset>
                </wp:positionH>
                <wp:positionV relativeFrom="paragraph">
                  <wp:posOffset>2245995</wp:posOffset>
                </wp:positionV>
                <wp:extent cx="2221230" cy="353695"/>
                <wp:effectExtent l="13970" t="13335" r="1270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353695"/>
                        </a:xfrm>
                        <a:prstGeom prst="rect">
                          <a:avLst/>
                        </a:prstGeom>
                        <a:solidFill>
                          <a:srgbClr val="FFFFFF"/>
                        </a:solidFill>
                        <a:ln w="9525">
                          <a:solidFill>
                            <a:srgbClr val="000000"/>
                          </a:solidFill>
                          <a:miter lim="800000"/>
                          <a:headEnd/>
                          <a:tailEnd/>
                        </a:ln>
                      </wps:spPr>
                      <wps:txbx>
                        <w:txbxContent>
                          <w:p w14:paraId="40164978" w14:textId="0A13DFDC" w:rsidR="008C22A9" w:rsidRPr="00126B96" w:rsidRDefault="008C22A9" w:rsidP="00E310B2">
                            <w:pPr>
                              <w:pStyle w:val="Header"/>
                              <w:tabs>
                                <w:tab w:val="left" w:pos="284"/>
                              </w:tabs>
                              <w:ind w:right="65"/>
                              <w:rPr>
                                <w:sz w:val="18"/>
                                <w:szCs w:val="18"/>
                                <w:lang w:val="sr-Latn-CS"/>
                              </w:rPr>
                            </w:pPr>
                            <w:r w:rsidRPr="00126B96">
                              <w:rPr>
                                <w:sz w:val="18"/>
                                <w:szCs w:val="18"/>
                                <w:vertAlign w:val="superscript"/>
                                <w:lang w:val="sr-Latn-CS"/>
                              </w:rPr>
                              <w:t xml:space="preserve">_____ </w:t>
                            </w:r>
                            <w:r w:rsidRPr="00126B96">
                              <w:rPr>
                                <w:sz w:val="18"/>
                                <w:szCs w:val="18"/>
                                <w:lang w:val="sr-Latn-CS"/>
                              </w:rPr>
                              <w:t>Režim l</w:t>
                            </w:r>
                            <w:r>
                              <w:rPr>
                                <w:sz w:val="18"/>
                                <w:szCs w:val="18"/>
                                <w:lang w:val="sr-Latn-CS"/>
                              </w:rPr>
                              <w:t>ij</w:t>
                            </w:r>
                            <w:r w:rsidRPr="00126B96">
                              <w:rPr>
                                <w:sz w:val="18"/>
                                <w:szCs w:val="18"/>
                                <w:lang w:val="sr-Latn-CS"/>
                              </w:rPr>
                              <w:t>ečenja aprepitantom (N=</w:t>
                            </w:r>
                            <w:r>
                              <w:rPr>
                                <w:sz w:val="18"/>
                                <w:szCs w:val="18"/>
                                <w:lang w:val="sr-Latn-CS"/>
                              </w:rPr>
                              <w:t>152</w:t>
                            </w:r>
                            <w:r w:rsidRPr="00126B96">
                              <w:rPr>
                                <w:sz w:val="18"/>
                                <w:szCs w:val="18"/>
                                <w:lang w:val="sr-Latn-CS"/>
                              </w:rPr>
                              <w:t>)</w:t>
                            </w:r>
                          </w:p>
                          <w:p w14:paraId="320D66B9" w14:textId="77777777" w:rsidR="008C22A9" w:rsidRPr="00126B96" w:rsidRDefault="008C22A9" w:rsidP="00E310B2">
                            <w:pPr>
                              <w:pStyle w:val="Header"/>
                              <w:tabs>
                                <w:tab w:val="left" w:pos="284"/>
                              </w:tabs>
                              <w:ind w:right="65"/>
                              <w:rPr>
                                <w:rFonts w:ascii="Arial" w:hAnsi="Arial" w:cs="Arial"/>
                                <w:sz w:val="18"/>
                                <w:szCs w:val="18"/>
                                <w:lang w:val="sr-Latn-CS"/>
                              </w:rPr>
                            </w:pPr>
                            <w:r w:rsidRPr="00126B96">
                              <w:rPr>
                                <w:sz w:val="18"/>
                                <w:szCs w:val="18"/>
                                <w:lang w:val="sr-Latn-CS"/>
                              </w:rPr>
                              <w:t xml:space="preserve">----- </w:t>
                            </w:r>
                            <w:r>
                              <w:rPr>
                                <w:sz w:val="18"/>
                                <w:szCs w:val="18"/>
                                <w:lang w:val="sr-Latn-CS"/>
                              </w:rPr>
                              <w:t>Kontrolni</w:t>
                            </w:r>
                            <w:r w:rsidRPr="00126B96">
                              <w:rPr>
                                <w:sz w:val="18"/>
                                <w:szCs w:val="18"/>
                                <w:lang w:val="sr-Latn-CS"/>
                              </w:rPr>
                              <w:t xml:space="preserve"> režim (N=</w:t>
                            </w:r>
                            <w:r>
                              <w:rPr>
                                <w:sz w:val="18"/>
                                <w:szCs w:val="18"/>
                                <w:lang w:val="sr-Latn-CS"/>
                              </w:rPr>
                              <w:t>150</w:t>
                            </w:r>
                            <w:r w:rsidRPr="00126B96">
                              <w:rPr>
                                <w:sz w:val="18"/>
                                <w:szCs w:val="18"/>
                                <w:lang w:val="sr-Latn-CS"/>
                              </w:rPr>
                              <w:t>)</w:t>
                            </w:r>
                          </w:p>
                          <w:p w14:paraId="472A90C9" w14:textId="77777777" w:rsidR="008C22A9" w:rsidRDefault="008C22A9" w:rsidP="00E31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D8472C" id="Text Box 6" o:spid="_x0000_s1029" type="#_x0000_t202" style="position:absolute;left:0;text-align:left;margin-left:91.7pt;margin-top:176.85pt;width:174.9pt;height: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">
                <v:textbox>
                  <w:txbxContent>
                    <w:p w14:paraId="40164978" w14:textId="0A13DFDC" w:rsidR="008C22A9" w:rsidRPr="00126B96" w:rsidRDefault="008C22A9" w:rsidP="00E310B2">
                      <w:pPr>
                        <w:pStyle w:val="Header"/>
                        <w:tabs>
                          <w:tab w:val="left" w:pos="284"/>
                        </w:tabs>
                        <w:ind w:right="65"/>
                        <w:rPr>
                          <w:sz w:val="18"/>
                          <w:szCs w:val="18"/>
                          <w:lang w:val="sr-Latn-CS"/>
                        </w:rPr>
                      </w:pPr>
                      <w:r w:rsidRPr="00126B96">
                        <w:rPr>
                          <w:sz w:val="18"/>
                          <w:szCs w:val="18"/>
                          <w:vertAlign w:val="superscript"/>
                          <w:lang w:val="sr-Latn-CS"/>
                        </w:rPr>
                        <w:t xml:space="preserve">_____ </w:t>
                      </w:r>
                      <w:r w:rsidRPr="00126B96">
                        <w:rPr>
                          <w:sz w:val="18"/>
                          <w:szCs w:val="18"/>
                          <w:lang w:val="sr-Latn-CS"/>
                        </w:rPr>
                        <w:t>Režim l</w:t>
                      </w:r>
                      <w:r>
                        <w:rPr>
                          <w:sz w:val="18"/>
                          <w:szCs w:val="18"/>
                          <w:lang w:val="sr-Latn-CS"/>
                        </w:rPr>
                        <w:t>ij</w:t>
                      </w:r>
                      <w:r w:rsidRPr="00126B96">
                        <w:rPr>
                          <w:sz w:val="18"/>
                          <w:szCs w:val="18"/>
                          <w:lang w:val="sr-Latn-CS"/>
                        </w:rPr>
                        <w:t>ečenja aprepitantom (N=</w:t>
                      </w:r>
                      <w:r>
                        <w:rPr>
                          <w:sz w:val="18"/>
                          <w:szCs w:val="18"/>
                          <w:lang w:val="sr-Latn-CS"/>
                        </w:rPr>
                        <w:t>152</w:t>
                      </w:r>
                      <w:r w:rsidRPr="00126B96">
                        <w:rPr>
                          <w:sz w:val="18"/>
                          <w:szCs w:val="18"/>
                          <w:lang w:val="sr-Latn-CS"/>
                        </w:rPr>
                        <w:t>)</w:t>
                      </w:r>
                    </w:p>
                    <w:p w14:paraId="320D66B9" w14:textId="77777777" w:rsidR="008C22A9" w:rsidRPr="00126B96" w:rsidRDefault="008C22A9" w:rsidP="00E310B2">
                      <w:pPr>
                        <w:pStyle w:val="Header"/>
                        <w:tabs>
                          <w:tab w:val="left" w:pos="284"/>
                        </w:tabs>
                        <w:ind w:right="65"/>
                        <w:rPr>
                          <w:rFonts w:ascii="Arial" w:hAnsi="Arial" w:cs="Arial"/>
                          <w:sz w:val="18"/>
                          <w:szCs w:val="18"/>
                          <w:lang w:val="sr-Latn-CS"/>
                        </w:rPr>
                      </w:pPr>
                      <w:r w:rsidRPr="00126B96">
                        <w:rPr>
                          <w:sz w:val="18"/>
                          <w:szCs w:val="18"/>
                          <w:lang w:val="sr-Latn-CS"/>
                        </w:rPr>
                        <w:t xml:space="preserve">----- </w:t>
                      </w:r>
                      <w:r>
                        <w:rPr>
                          <w:sz w:val="18"/>
                          <w:szCs w:val="18"/>
                          <w:lang w:val="sr-Latn-CS"/>
                        </w:rPr>
                        <w:t>Kontrolni</w:t>
                      </w:r>
                      <w:r w:rsidRPr="00126B96">
                        <w:rPr>
                          <w:sz w:val="18"/>
                          <w:szCs w:val="18"/>
                          <w:lang w:val="sr-Latn-CS"/>
                        </w:rPr>
                        <w:t xml:space="preserve"> režim (N=</w:t>
                      </w:r>
                      <w:r>
                        <w:rPr>
                          <w:sz w:val="18"/>
                          <w:szCs w:val="18"/>
                          <w:lang w:val="sr-Latn-CS"/>
                        </w:rPr>
                        <w:t>150</w:t>
                      </w:r>
                      <w:r w:rsidRPr="00126B96">
                        <w:rPr>
                          <w:sz w:val="18"/>
                          <w:szCs w:val="18"/>
                          <w:lang w:val="sr-Latn-CS"/>
                        </w:rPr>
                        <w:t>)</w:t>
                      </w:r>
                    </w:p>
                    <w:p w14:paraId="472A90C9" w14:textId="77777777" w:rsidR="008C22A9" w:rsidRDefault="008C22A9" w:rsidP="00E310B2"/>
                  </w:txbxContent>
                </v:textbox>
              </v:shape>
            </w:pict>
          </mc:Fallback>
        </mc:AlternateContent>
      </w:r>
      <w:r w:rsidRPr="00F334AF">
        <w:rPr>
          <w:noProof/>
          <w:sz w:val="22"/>
          <w:szCs w:val="22"/>
        </w:rPr>
        <mc:AlternateContent>
          <mc:Choice Requires="wps">
            <w:drawing>
              <wp:anchor distT="0" distB="0" distL="114300" distR="114300" simplePos="0" relativeHeight="251662336" behindDoc="0" locked="0" layoutInCell="1" allowOverlap="1" wp14:anchorId="52111F22" wp14:editId="36D4A8F9">
                <wp:simplePos x="0" y="0"/>
                <wp:positionH relativeFrom="margin">
                  <wp:align>left</wp:align>
                </wp:positionH>
                <wp:positionV relativeFrom="paragraph">
                  <wp:posOffset>769620</wp:posOffset>
                </wp:positionV>
                <wp:extent cx="342900" cy="1151255"/>
                <wp:effectExtent l="0" t="0" r="1905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51255"/>
                        </a:xfrm>
                        <a:prstGeom prst="rect">
                          <a:avLst/>
                        </a:prstGeom>
                        <a:solidFill>
                          <a:srgbClr val="FFFFFF"/>
                        </a:solidFill>
                        <a:ln w="9525">
                          <a:solidFill>
                            <a:srgbClr val="000000"/>
                          </a:solidFill>
                          <a:miter lim="800000"/>
                          <a:headEnd/>
                          <a:tailEnd/>
                        </a:ln>
                      </wps:spPr>
                      <wps:txbx>
                        <w:txbxContent>
                          <w:p w14:paraId="0A170E6D" w14:textId="77777777" w:rsidR="008C22A9" w:rsidRPr="00FA46E0" w:rsidRDefault="008C22A9" w:rsidP="00E310B2">
                            <w:pPr>
                              <w:rPr>
                                <w:lang w:val="sr-Latn-CS"/>
                              </w:rPr>
                            </w:pPr>
                            <w:r w:rsidRPr="00FA46E0">
                              <w:rPr>
                                <w:lang w:val="sr-Latn-CS"/>
                              </w:rPr>
                              <w:t>Procenat pacijenata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111F22" id="Text Box 4" o:spid="_x0000_s1030" type="#_x0000_t202" style="position:absolute;left:0;text-align:left;margin-left:0;margin-top:60.6pt;width:27pt;height:90.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">
                <v:textbox style="layout-flow:vertical;mso-layout-flow-alt:bottom-to-top">
                  <w:txbxContent>
                    <w:p w14:paraId="0A170E6D" w14:textId="77777777" w:rsidR="008C22A9" w:rsidRPr="00FA46E0" w:rsidRDefault="008C22A9" w:rsidP="00E310B2">
                      <w:pPr>
                        <w:rPr>
                          <w:lang w:val="sr-Latn-CS"/>
                        </w:rPr>
                      </w:pPr>
                      <w:r w:rsidRPr="00FA46E0">
                        <w:rPr>
                          <w:lang w:val="sr-Latn-CS"/>
                        </w:rPr>
                        <w:t>Procenat pacijenata</w:t>
                      </w:r>
                    </w:p>
                  </w:txbxContent>
                </v:textbox>
                <w10:wrap anchorx="margin"/>
              </v:shape>
            </w:pict>
          </mc:Fallback>
        </mc:AlternateContent>
      </w:r>
      <w:r w:rsidR="00B0547F" w:rsidRPr="00F334AF">
        <w:rPr>
          <w:noProof/>
          <w:sz w:val="22"/>
          <w:szCs w:val="22"/>
        </w:rPr>
        <mc:AlternateContent>
          <mc:Choice Requires="wps">
            <w:drawing>
              <wp:anchor distT="0" distB="0" distL="114300" distR="114300" simplePos="0" relativeHeight="251663360" behindDoc="0" locked="0" layoutInCell="1" allowOverlap="1" wp14:anchorId="2853B8E9" wp14:editId="3493F1ED">
                <wp:simplePos x="0" y="0"/>
                <wp:positionH relativeFrom="column">
                  <wp:posOffset>1148880</wp:posOffset>
                </wp:positionH>
                <wp:positionV relativeFrom="paragraph">
                  <wp:posOffset>2940409</wp:posOffset>
                </wp:positionV>
                <wp:extent cx="2985135" cy="280035"/>
                <wp:effectExtent l="12065" t="13335" r="1270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135" cy="280035"/>
                        </a:xfrm>
                        <a:prstGeom prst="rect">
                          <a:avLst/>
                        </a:prstGeom>
                        <a:solidFill>
                          <a:srgbClr val="FFFFFF"/>
                        </a:solidFill>
                        <a:ln w="9525">
                          <a:solidFill>
                            <a:srgbClr val="000000"/>
                          </a:solidFill>
                          <a:miter lim="800000"/>
                          <a:headEnd/>
                          <a:tailEnd/>
                        </a:ln>
                      </wps:spPr>
                      <wps:txbx>
                        <w:txbxContent>
                          <w:p w14:paraId="19771906" w14:textId="1538926E" w:rsidR="008C22A9" w:rsidRPr="00FA46E0" w:rsidRDefault="008C22A9" w:rsidP="00E310B2">
                            <w:pPr>
                              <w:pStyle w:val="Header"/>
                              <w:tabs>
                                <w:tab w:val="left" w:pos="284"/>
                              </w:tabs>
                              <w:ind w:right="65"/>
                              <w:rPr>
                                <w:lang w:val="sr-Latn-CS"/>
                              </w:rPr>
                            </w:pPr>
                            <w:r w:rsidRPr="001F423A">
                              <w:rPr>
                                <w:sz w:val="22"/>
                                <w:szCs w:val="22"/>
                                <w:lang w:val="sr-Latn-CS"/>
                              </w:rPr>
                              <w:t>Vrijeme (u satima) od prve primjene</w:t>
                            </w:r>
                            <w:r>
                              <w:rPr>
                                <w:lang w:val="sr-Latn-CS"/>
                              </w:rPr>
                              <w:t xml:space="preserve"> hemioterapije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B8E9" id="_x0000_t202" coordsize="21600,21600" o:spt="202" path="m,l,21600r21600,l21600,xe">
                <v:stroke joinstyle="miter"/>
                <v:path gradientshapeok="t" o:connecttype="rect"/>
              </v:shapetype>
              <v:shape id="Text Box 5" o:spid="_x0000_s1031" type="#_x0000_t202" style="position:absolute;left:0;text-align:left;margin-left:90.45pt;margin-top:231.55pt;width:235.05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">
                <v:textbox>
                  <w:txbxContent>
                    <w:p w14:paraId="19771906" w14:textId="1538926E" w:rsidR="008C22A9" w:rsidRPr="00FA46E0" w:rsidRDefault="008C22A9" w:rsidP="00E310B2">
                      <w:pPr>
                        <w:pStyle w:val="Header"/>
                        <w:tabs>
                          <w:tab w:val="left" w:pos="284"/>
                        </w:tabs>
                        <w:ind w:right="65"/>
                        <w:rPr>
                          <w:lang w:val="sr-Latn-CS"/>
                        </w:rPr>
                      </w:pPr>
                      <w:r w:rsidRPr="001F423A">
                        <w:rPr>
                          <w:sz w:val="22"/>
                          <w:szCs w:val="22"/>
                          <w:lang w:val="sr-Latn-CS"/>
                        </w:rPr>
                        <w:t>Vrijeme (u satima) od prve primjene</w:t>
                      </w:r>
                      <w:r>
                        <w:rPr>
                          <w:lang w:val="sr-Latn-CS"/>
                        </w:rPr>
                        <w:t xml:space="preserve"> hemioterapije</w:t>
                      </w:r>
                    </w:p>
                  </w:txbxContent>
                </v:textbox>
              </v:shape>
            </w:pict>
          </mc:Fallback>
        </mc:AlternateContent>
      </w:r>
      <w:r w:rsidR="00E310B2" w:rsidRPr="00F334AF">
        <w:rPr>
          <w:noProof/>
          <w:sz w:val="22"/>
          <w:szCs w:val="22"/>
          <w:highlight w:val="yellow"/>
        </w:rPr>
        <w:drawing>
          <wp:inline distT="0" distB="0" distL="0" distR="0" wp14:anchorId="5094168E" wp14:editId="5C323082">
            <wp:extent cx="4762500" cy="3219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219450"/>
                    </a:xfrm>
                    <a:prstGeom prst="rect">
                      <a:avLst/>
                    </a:prstGeom>
                    <a:noFill/>
                    <a:ln>
                      <a:noFill/>
                    </a:ln>
                  </pic:spPr>
                </pic:pic>
              </a:graphicData>
            </a:graphic>
          </wp:inline>
        </w:drawing>
      </w:r>
    </w:p>
    <w:p w14:paraId="6431B21D" w14:textId="0F8B2BCB" w:rsidR="00E310B2" w:rsidRPr="00F334AF" w:rsidRDefault="00E310B2" w:rsidP="0034729B">
      <w:pPr>
        <w:widowControl w:val="0"/>
        <w:autoSpaceDE w:val="0"/>
        <w:autoSpaceDN w:val="0"/>
        <w:jc w:val="both"/>
        <w:rPr>
          <w:sz w:val="22"/>
          <w:szCs w:val="22"/>
          <w:highlight w:val="yellow"/>
          <w:lang w:val="sr-Latn-ME" w:eastAsia="hr-HR"/>
        </w:rPr>
      </w:pPr>
    </w:p>
    <w:p w14:paraId="32C6EA5A" w14:textId="3BB54481" w:rsidR="00B0547F" w:rsidRPr="00F334AF" w:rsidRDefault="00E310B2" w:rsidP="00F334AF">
      <w:pPr>
        <w:jc w:val="both"/>
        <w:rPr>
          <w:sz w:val="22"/>
          <w:szCs w:val="22"/>
          <w:lang w:val="sr-Latn-ME" w:eastAsia="ja-JP"/>
        </w:rPr>
      </w:pPr>
      <w:r w:rsidRPr="00F334AF">
        <w:rPr>
          <w:sz w:val="22"/>
          <w:szCs w:val="22"/>
          <w:lang w:val="sr-Latn-ME" w:eastAsia="ja-JP"/>
        </w:rPr>
        <w:lastRenderedPageBreak/>
        <w:t>Analiza efikasnosti u subpopulacijama u 1. ciklusu pokazala je da je, bez obzira na starosnu kategoriju, pol, primjenu deksametazona zbog antiemetičke profilakse i emetogenost hemioterapije, režim liječenja aprepitantom osigurao bolju kontrolu nego kontrolni režim u pogledu ishoda potpunog odgovora.</w:t>
      </w:r>
    </w:p>
    <w:p w14:paraId="7A5D147B" w14:textId="77777777" w:rsidR="009973DD" w:rsidRDefault="009973DD" w:rsidP="0034729B">
      <w:pPr>
        <w:tabs>
          <w:tab w:val="left" w:pos="540"/>
          <w:tab w:val="left" w:pos="569"/>
        </w:tabs>
        <w:jc w:val="both"/>
        <w:rPr>
          <w:b/>
          <w:bCs/>
          <w:sz w:val="22"/>
          <w:szCs w:val="22"/>
          <w:lang w:val="sr-Latn-ME"/>
        </w:rPr>
      </w:pPr>
    </w:p>
    <w:p w14:paraId="27ED5C30" w14:textId="2909DC81" w:rsidR="0072020E"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5.2. </w:t>
      </w:r>
      <w:r w:rsidR="00480FB1" w:rsidRPr="00F334AF">
        <w:rPr>
          <w:b/>
          <w:bCs/>
          <w:sz w:val="22"/>
          <w:szCs w:val="22"/>
          <w:lang w:val="sr-Latn-ME"/>
        </w:rPr>
        <w:tab/>
      </w:r>
      <w:r w:rsidRPr="00F334AF">
        <w:rPr>
          <w:b/>
          <w:bCs/>
          <w:sz w:val="22"/>
          <w:szCs w:val="22"/>
          <w:lang w:val="sr-Latn-ME"/>
        </w:rPr>
        <w:t>Farmakokinetički podaci</w:t>
      </w:r>
      <w:r w:rsidR="003A7059" w:rsidRPr="00F334AF">
        <w:rPr>
          <w:b/>
          <w:bCs/>
          <w:sz w:val="22"/>
          <w:szCs w:val="22"/>
          <w:lang w:val="sr-Latn-ME"/>
        </w:rPr>
        <w:t xml:space="preserve"> </w:t>
      </w:r>
    </w:p>
    <w:p w14:paraId="4A1858F6" w14:textId="2319A133" w:rsidR="00E310B2" w:rsidRPr="00F334AF" w:rsidRDefault="00E310B2" w:rsidP="0034729B">
      <w:pPr>
        <w:tabs>
          <w:tab w:val="left" w:pos="540"/>
          <w:tab w:val="left" w:pos="569"/>
        </w:tabs>
        <w:jc w:val="both"/>
        <w:rPr>
          <w:b/>
          <w:bCs/>
          <w:sz w:val="22"/>
          <w:szCs w:val="22"/>
          <w:lang w:val="sr-Latn-ME"/>
        </w:rPr>
      </w:pPr>
    </w:p>
    <w:p w14:paraId="50F07627" w14:textId="2B258C48" w:rsidR="00E310B2" w:rsidRPr="00F334AF" w:rsidRDefault="00E310B2" w:rsidP="0034729B">
      <w:pPr>
        <w:tabs>
          <w:tab w:val="left" w:pos="284"/>
          <w:tab w:val="center" w:pos="4320"/>
          <w:tab w:val="right" w:pos="8640"/>
        </w:tabs>
        <w:spacing w:before="80" w:after="80"/>
        <w:ind w:right="65"/>
        <w:jc w:val="both"/>
        <w:rPr>
          <w:bCs/>
          <w:sz w:val="22"/>
          <w:szCs w:val="22"/>
          <w:lang w:val="sr-Latn-ME"/>
        </w:rPr>
      </w:pPr>
      <w:r w:rsidRPr="00F334AF">
        <w:rPr>
          <w:bCs/>
          <w:sz w:val="22"/>
          <w:szCs w:val="22"/>
          <w:lang w:val="sr-Latn-ME"/>
        </w:rPr>
        <w:t>Aprepitant posjeduje nelinearnu farmakokinetiku. Sa povećanjem doze smanjuju se i klirens i apsolutna bioraspoloživost lijeka.</w:t>
      </w:r>
    </w:p>
    <w:p w14:paraId="33F18837" w14:textId="77777777" w:rsidR="00E310B2" w:rsidRPr="00F334AF" w:rsidRDefault="00E310B2" w:rsidP="0034729B">
      <w:pPr>
        <w:ind w:right="65"/>
        <w:jc w:val="both"/>
        <w:rPr>
          <w:sz w:val="22"/>
          <w:szCs w:val="22"/>
          <w:u w:val="single"/>
          <w:lang w:val="sr-Latn-ME"/>
        </w:rPr>
      </w:pPr>
      <w:r w:rsidRPr="00F334AF">
        <w:rPr>
          <w:i/>
          <w:sz w:val="22"/>
          <w:szCs w:val="22"/>
          <w:u w:val="single"/>
          <w:lang w:val="sr-Latn-ME"/>
        </w:rPr>
        <w:t>Resorpcija</w:t>
      </w:r>
    </w:p>
    <w:p w14:paraId="54037BD9" w14:textId="5A836CF6" w:rsidR="00E310B2" w:rsidRPr="00F334AF" w:rsidRDefault="00E310B2" w:rsidP="0034729B">
      <w:pPr>
        <w:ind w:right="65"/>
        <w:jc w:val="both"/>
        <w:rPr>
          <w:sz w:val="22"/>
          <w:szCs w:val="22"/>
          <w:lang w:val="sr-Latn-ME"/>
        </w:rPr>
      </w:pPr>
      <w:r w:rsidRPr="00F334AF">
        <w:rPr>
          <w:sz w:val="22"/>
          <w:szCs w:val="22"/>
          <w:lang w:val="sr-Latn-ME"/>
        </w:rPr>
        <w:t>Srednja apsolutna bioraspoloživost aprepitanta je 67% za kapsule od 80 mg i 59% za kapsule od 125 mg. Srednja maksimalna koncentracija aprepitanta u plazmi (C</w:t>
      </w:r>
      <w:r w:rsidRPr="00F334AF">
        <w:rPr>
          <w:sz w:val="22"/>
          <w:szCs w:val="22"/>
          <w:vertAlign w:val="subscript"/>
          <w:lang w:val="sr-Latn-ME"/>
        </w:rPr>
        <w:t>max</w:t>
      </w:r>
      <w:r w:rsidRPr="00F334AF">
        <w:rPr>
          <w:sz w:val="22"/>
          <w:szCs w:val="22"/>
          <w:lang w:val="sr-Latn-ME"/>
        </w:rPr>
        <w:t>) postiže se nakon 4 sata (</w:t>
      </w:r>
      <w:r w:rsidR="004E3F54" w:rsidRPr="00F334AF">
        <w:rPr>
          <w:sz w:val="22"/>
          <w:szCs w:val="22"/>
          <w:lang w:val="sr-Latn-ME"/>
        </w:rPr>
        <w:t>t</w:t>
      </w:r>
      <w:r w:rsidRPr="00F334AF">
        <w:rPr>
          <w:sz w:val="22"/>
          <w:szCs w:val="22"/>
          <w:vertAlign w:val="subscript"/>
          <w:lang w:val="sr-Latn-ME"/>
        </w:rPr>
        <w:t>max</w:t>
      </w:r>
      <w:r w:rsidRPr="00F334AF">
        <w:rPr>
          <w:sz w:val="22"/>
          <w:szCs w:val="22"/>
          <w:lang w:val="sr-Latn-ME"/>
        </w:rPr>
        <w:t>). Ukoliko se lijek primijeni uz standardni doručak od otprilike, 800 Kcal energetske vrijednosti, dolazi do povećanja površine ispod krive aprepitanta od oko 40%. Ovo povećanje se ne smatra klinički značajnim.</w:t>
      </w:r>
    </w:p>
    <w:p w14:paraId="294B0DF5" w14:textId="77777777" w:rsidR="006C32CE" w:rsidRPr="00F334AF" w:rsidRDefault="006C32CE" w:rsidP="0034729B">
      <w:pPr>
        <w:ind w:right="65"/>
        <w:jc w:val="both"/>
        <w:rPr>
          <w:sz w:val="22"/>
          <w:szCs w:val="22"/>
          <w:lang w:val="sr-Latn-ME"/>
        </w:rPr>
      </w:pPr>
    </w:p>
    <w:p w14:paraId="050C068E" w14:textId="77777777" w:rsidR="00E310B2" w:rsidRPr="00F334AF" w:rsidRDefault="00E310B2" w:rsidP="0034729B">
      <w:pPr>
        <w:ind w:right="65"/>
        <w:jc w:val="both"/>
        <w:rPr>
          <w:sz w:val="22"/>
          <w:szCs w:val="22"/>
          <w:lang w:val="sr-Latn-ME"/>
        </w:rPr>
      </w:pPr>
      <w:r w:rsidRPr="00F334AF">
        <w:rPr>
          <w:sz w:val="22"/>
          <w:szCs w:val="22"/>
          <w:lang w:val="sr-Latn-ME"/>
        </w:rPr>
        <w:t>Farmakokinetika aprepitanta je nelinearna kroz cio klinički raspon doza. Kod mladih i zdravih odraslih osoba povećanje PIK</w:t>
      </w:r>
      <w:r w:rsidRPr="00F334AF">
        <w:rPr>
          <w:sz w:val="22"/>
          <w:szCs w:val="22"/>
          <w:vertAlign w:val="subscript"/>
          <w:lang w:val="sr-Latn-ME"/>
        </w:rPr>
        <w:t>0-</w:t>
      </w:r>
      <w:r w:rsidRPr="00F334AF">
        <w:rPr>
          <w:sz w:val="22"/>
          <w:szCs w:val="22"/>
          <w:vertAlign w:val="subscript"/>
          <w:lang w:val="sr-Latn-ME"/>
        </w:rPr>
        <w:sym w:font="Symbol" w:char="F0A5"/>
      </w:r>
      <w:r w:rsidRPr="00F334AF">
        <w:rPr>
          <w:sz w:val="22"/>
          <w:szCs w:val="22"/>
          <w:lang w:val="sr-Latn-ME"/>
        </w:rPr>
        <w:t xml:space="preserve"> bilo je za 26% veće od dozno proporcionalnog između pojedinačne doze od 80 mg i pojedinačne doze od 125 mg primijenjene na pun želudac tj. u sitom stanju.</w:t>
      </w:r>
    </w:p>
    <w:p w14:paraId="39642FF5" w14:textId="77777777" w:rsidR="00E310B2" w:rsidRPr="00F334AF" w:rsidRDefault="00E310B2" w:rsidP="0034729B">
      <w:pPr>
        <w:ind w:right="65"/>
        <w:jc w:val="both"/>
        <w:rPr>
          <w:sz w:val="22"/>
          <w:szCs w:val="22"/>
          <w:lang w:val="sr-Latn-ME"/>
        </w:rPr>
      </w:pPr>
    </w:p>
    <w:p w14:paraId="53909096" w14:textId="6BB305E5" w:rsidR="00E310B2" w:rsidRPr="00F334AF" w:rsidRDefault="00E310B2" w:rsidP="0034729B">
      <w:pPr>
        <w:ind w:right="65"/>
        <w:jc w:val="both"/>
        <w:rPr>
          <w:sz w:val="22"/>
          <w:szCs w:val="22"/>
          <w:lang w:val="sr-Latn-ME"/>
        </w:rPr>
      </w:pPr>
      <w:r w:rsidRPr="00F334AF">
        <w:rPr>
          <w:sz w:val="22"/>
          <w:szCs w:val="22"/>
          <w:lang w:val="sr-Latn-ME"/>
        </w:rPr>
        <w:t xml:space="preserve">Nakon oralne primjene pojedinačne doze lijeka </w:t>
      </w:r>
      <w:r w:rsidRPr="00F334AF">
        <w:rPr>
          <w:bCs/>
          <w:sz w:val="22"/>
          <w:szCs w:val="22"/>
          <w:lang w:val="sr-Latn-ME"/>
        </w:rPr>
        <w:t>EMEND</w:t>
      </w:r>
      <w:r w:rsidRPr="00F334AF">
        <w:rPr>
          <w:sz w:val="22"/>
          <w:szCs w:val="22"/>
          <w:lang w:val="sr-Latn-ME"/>
        </w:rPr>
        <w:t xml:space="preserve"> od 125 mg prvog dana liječenja, a zatim 80 mg na dan drug</w:t>
      </w:r>
      <w:r w:rsidR="006C32CE" w:rsidRPr="00F334AF">
        <w:rPr>
          <w:sz w:val="22"/>
          <w:szCs w:val="22"/>
          <w:lang w:val="sr-Latn-ME"/>
        </w:rPr>
        <w:t>og</w:t>
      </w:r>
      <w:r w:rsidRPr="00F334AF">
        <w:rPr>
          <w:sz w:val="22"/>
          <w:szCs w:val="22"/>
          <w:lang w:val="sr-Latn-ME"/>
        </w:rPr>
        <w:t xml:space="preserve"> i treć</w:t>
      </w:r>
      <w:r w:rsidR="006C32CE" w:rsidRPr="00F334AF">
        <w:rPr>
          <w:sz w:val="22"/>
          <w:szCs w:val="22"/>
          <w:lang w:val="sr-Latn-ME"/>
        </w:rPr>
        <w:t>eg</w:t>
      </w:r>
      <w:r w:rsidRPr="00F334AF">
        <w:rPr>
          <w:sz w:val="22"/>
          <w:szCs w:val="22"/>
          <w:lang w:val="sr-Latn-ME"/>
        </w:rPr>
        <w:t xml:space="preserve"> dan</w:t>
      </w:r>
      <w:r w:rsidR="006C32CE" w:rsidRPr="00F334AF">
        <w:rPr>
          <w:sz w:val="22"/>
          <w:szCs w:val="22"/>
          <w:lang w:val="sr-Latn-ME"/>
        </w:rPr>
        <w:t>a</w:t>
      </w:r>
      <w:r w:rsidRPr="00F334AF">
        <w:rPr>
          <w:sz w:val="22"/>
          <w:szCs w:val="22"/>
          <w:lang w:val="sr-Latn-ME"/>
        </w:rPr>
        <w:t xml:space="preserve"> liječenja,  PIK</w:t>
      </w:r>
      <w:r w:rsidRPr="00F334AF">
        <w:rPr>
          <w:sz w:val="22"/>
          <w:szCs w:val="22"/>
          <w:vertAlign w:val="subscript"/>
          <w:lang w:val="sr-Latn-ME"/>
        </w:rPr>
        <w:t>0-24h</w:t>
      </w:r>
      <w:r w:rsidRPr="00F334AF">
        <w:rPr>
          <w:sz w:val="22"/>
          <w:szCs w:val="22"/>
          <w:lang w:val="sr-Latn-ME"/>
        </w:rPr>
        <w:t xml:space="preserve"> </w:t>
      </w:r>
      <w:r w:rsidRPr="00F334AF">
        <w:rPr>
          <w:bCs/>
          <w:sz w:val="22"/>
          <w:szCs w:val="22"/>
          <w:lang w:val="sr-Latn-ME"/>
        </w:rPr>
        <w:t>EMEND</w:t>
      </w:r>
      <w:r w:rsidRPr="00F334AF">
        <w:rPr>
          <w:sz w:val="22"/>
          <w:szCs w:val="22"/>
          <w:lang w:val="sr-Latn-ME"/>
        </w:rPr>
        <w:t xml:space="preserve"> kapsula (srednja vrijednost </w:t>
      </w:r>
      <w:r w:rsidRPr="00F334AF">
        <w:rPr>
          <w:sz w:val="22"/>
          <w:szCs w:val="22"/>
          <w:lang w:val="sr-Latn-ME"/>
        </w:rPr>
        <w:sym w:font="Symbol" w:char="F0B1"/>
      </w:r>
      <w:r w:rsidRPr="00F334AF">
        <w:rPr>
          <w:sz w:val="22"/>
          <w:szCs w:val="22"/>
          <w:lang w:val="sr-Latn-ME"/>
        </w:rPr>
        <w:t xml:space="preserve"> SD) iznosila je 19,6 </w:t>
      </w:r>
      <w:r w:rsidRPr="00F334AF">
        <w:rPr>
          <w:sz w:val="22"/>
          <w:szCs w:val="22"/>
          <w:lang w:val="sr-Latn-ME"/>
        </w:rPr>
        <w:sym w:font="Symbol" w:char="F0B1"/>
      </w:r>
      <w:r w:rsidRPr="00F334AF">
        <w:rPr>
          <w:sz w:val="22"/>
          <w:szCs w:val="22"/>
          <w:lang w:val="sr-Latn-ME"/>
        </w:rPr>
        <w:t xml:space="preserve"> 2,5 </w:t>
      </w:r>
      <w:r w:rsidR="00DD057B" w:rsidRPr="00F334AF">
        <w:rPr>
          <w:sz w:val="22"/>
          <w:szCs w:val="22"/>
          <w:lang w:val="sr-Latn-ME"/>
        </w:rPr>
        <w:t>µg•hr/ml</w:t>
      </w:r>
      <w:r w:rsidR="00DD057B" w:rsidRPr="00F334AF" w:rsidDel="00DD057B">
        <w:rPr>
          <w:sz w:val="22"/>
          <w:szCs w:val="22"/>
          <w:lang w:val="sr-Latn-ME"/>
        </w:rPr>
        <w:t xml:space="preserve"> </w:t>
      </w:r>
      <w:r w:rsidRPr="00F334AF">
        <w:rPr>
          <w:sz w:val="22"/>
          <w:szCs w:val="22"/>
          <w:lang w:val="sr-Latn-ME"/>
        </w:rPr>
        <w:t xml:space="preserve">prvog, odnosno 21,2 </w:t>
      </w:r>
      <w:r w:rsidRPr="00F334AF">
        <w:rPr>
          <w:sz w:val="22"/>
          <w:szCs w:val="22"/>
          <w:lang w:val="sr-Latn-ME"/>
        </w:rPr>
        <w:sym w:font="Symbol" w:char="F0B1"/>
      </w:r>
      <w:r w:rsidRPr="00F334AF">
        <w:rPr>
          <w:sz w:val="22"/>
          <w:szCs w:val="22"/>
          <w:lang w:val="sr-Latn-ME"/>
        </w:rPr>
        <w:t xml:space="preserve"> 6,3 </w:t>
      </w:r>
      <w:r w:rsidR="00DD057B" w:rsidRPr="00F334AF">
        <w:rPr>
          <w:sz w:val="22"/>
          <w:szCs w:val="22"/>
          <w:lang w:val="sr-Latn-ME"/>
        </w:rPr>
        <w:t>µg•hr/ml</w:t>
      </w:r>
      <w:r w:rsidR="00DD057B" w:rsidRPr="00F334AF" w:rsidDel="00DD057B">
        <w:rPr>
          <w:sz w:val="22"/>
          <w:szCs w:val="22"/>
          <w:lang w:val="sr-Latn-ME"/>
        </w:rPr>
        <w:t xml:space="preserve"> </w:t>
      </w:r>
      <w:r w:rsidRPr="00F334AF">
        <w:rPr>
          <w:sz w:val="22"/>
          <w:szCs w:val="22"/>
          <w:lang w:val="sr-Latn-ME"/>
        </w:rPr>
        <w:t>trećeg dana liječenja. C</w:t>
      </w:r>
      <w:r w:rsidRPr="00F334AF">
        <w:rPr>
          <w:sz w:val="22"/>
          <w:szCs w:val="22"/>
          <w:vertAlign w:val="subscript"/>
          <w:lang w:val="sr-Latn-ME"/>
        </w:rPr>
        <w:t>max</w:t>
      </w:r>
      <w:r w:rsidRPr="00F334AF">
        <w:rPr>
          <w:sz w:val="22"/>
          <w:szCs w:val="22"/>
          <w:lang w:val="sr-Latn-ME"/>
        </w:rPr>
        <w:t xml:space="preserve"> je bio 1,6 </w:t>
      </w:r>
      <w:r w:rsidRPr="00F334AF">
        <w:rPr>
          <w:sz w:val="22"/>
          <w:szCs w:val="22"/>
          <w:lang w:val="sr-Latn-ME"/>
        </w:rPr>
        <w:sym w:font="Symbol" w:char="F0B1"/>
      </w:r>
      <w:r w:rsidRPr="00F334AF">
        <w:rPr>
          <w:sz w:val="22"/>
          <w:szCs w:val="22"/>
          <w:lang w:val="sr-Latn-ME"/>
        </w:rPr>
        <w:t xml:space="preserve"> 0,36 </w:t>
      </w:r>
      <w:r w:rsidR="00DD057B" w:rsidRPr="00F334AF">
        <w:rPr>
          <w:sz w:val="22"/>
          <w:szCs w:val="22"/>
          <w:lang w:val="sr-Latn-ME"/>
        </w:rPr>
        <w:t>µg</w:t>
      </w:r>
      <w:r w:rsidRPr="00F334AF">
        <w:rPr>
          <w:sz w:val="22"/>
          <w:szCs w:val="22"/>
          <w:lang w:val="sr-Latn-ME"/>
        </w:rPr>
        <w:t xml:space="preserve">/ml prvog, a 1,4 </w:t>
      </w:r>
      <w:r w:rsidRPr="00F334AF">
        <w:rPr>
          <w:sz w:val="22"/>
          <w:szCs w:val="22"/>
          <w:lang w:val="sr-Latn-ME"/>
        </w:rPr>
        <w:sym w:font="Symbol" w:char="F0B1"/>
      </w:r>
      <w:r w:rsidRPr="00F334AF">
        <w:rPr>
          <w:sz w:val="22"/>
          <w:szCs w:val="22"/>
          <w:lang w:val="sr-Latn-ME"/>
        </w:rPr>
        <w:t xml:space="preserve"> 0,22 </w:t>
      </w:r>
      <w:r w:rsidR="00DD057B" w:rsidRPr="00F334AF">
        <w:rPr>
          <w:sz w:val="22"/>
          <w:szCs w:val="22"/>
          <w:lang w:val="sr-Latn-ME"/>
        </w:rPr>
        <w:t>µg/ml</w:t>
      </w:r>
      <w:r w:rsidR="00DD057B" w:rsidRPr="00F334AF" w:rsidDel="00DD057B">
        <w:rPr>
          <w:sz w:val="22"/>
          <w:szCs w:val="22"/>
          <w:lang w:val="sr-Latn-ME"/>
        </w:rPr>
        <w:t xml:space="preserve"> </w:t>
      </w:r>
      <w:r w:rsidRPr="00F334AF">
        <w:rPr>
          <w:sz w:val="22"/>
          <w:szCs w:val="22"/>
          <w:lang w:val="sr-Latn-ME"/>
        </w:rPr>
        <w:t>trećeg dana liječenja.</w:t>
      </w:r>
    </w:p>
    <w:p w14:paraId="6C07A860" w14:textId="77777777" w:rsidR="00E310B2" w:rsidRPr="00F334AF" w:rsidRDefault="00E310B2" w:rsidP="0034729B">
      <w:pPr>
        <w:ind w:right="65"/>
        <w:jc w:val="both"/>
        <w:rPr>
          <w:sz w:val="22"/>
          <w:szCs w:val="22"/>
          <w:lang w:val="sr-Latn-ME"/>
        </w:rPr>
      </w:pPr>
      <w:r w:rsidRPr="00F334AF" w:rsidDel="00BF225F">
        <w:rPr>
          <w:sz w:val="22"/>
          <w:szCs w:val="22"/>
          <w:lang w:val="sr-Latn-ME"/>
        </w:rPr>
        <w:t xml:space="preserve"> </w:t>
      </w:r>
    </w:p>
    <w:p w14:paraId="7CD35B90" w14:textId="77777777" w:rsidR="00E310B2" w:rsidRPr="00F334AF" w:rsidRDefault="00E310B2" w:rsidP="0034729B">
      <w:pPr>
        <w:ind w:right="65"/>
        <w:jc w:val="both"/>
        <w:rPr>
          <w:i/>
          <w:sz w:val="22"/>
          <w:szCs w:val="22"/>
          <w:u w:val="single"/>
          <w:lang w:val="sr-Latn-ME"/>
        </w:rPr>
      </w:pPr>
      <w:r w:rsidRPr="00F334AF">
        <w:rPr>
          <w:i/>
          <w:sz w:val="22"/>
          <w:szCs w:val="22"/>
          <w:u w:val="single"/>
          <w:lang w:val="sr-Latn-ME"/>
        </w:rPr>
        <w:t>Distribucija</w:t>
      </w:r>
    </w:p>
    <w:p w14:paraId="536CAAB5" w14:textId="218AFB76" w:rsidR="00E310B2" w:rsidRPr="00F334AF" w:rsidRDefault="00E310B2" w:rsidP="0034729B">
      <w:pPr>
        <w:ind w:right="65"/>
        <w:jc w:val="both"/>
        <w:rPr>
          <w:sz w:val="22"/>
          <w:szCs w:val="22"/>
          <w:lang w:val="sr-Latn-ME"/>
        </w:rPr>
      </w:pPr>
      <w:r w:rsidRPr="00F334AF">
        <w:rPr>
          <w:sz w:val="22"/>
          <w:szCs w:val="22"/>
          <w:lang w:val="sr-Latn-ME"/>
        </w:rPr>
        <w:t>Aprepitant se snažno vezuje za proteine plazme, čak 97% (srednja vrijednost). Kod ljudi, geometrijska sredina volumena distribucije lijeka u stabilnom stanju (dinamička ravnoteža - Vd</w:t>
      </w:r>
      <w:r w:rsidRPr="00F334AF">
        <w:rPr>
          <w:sz w:val="22"/>
          <w:szCs w:val="22"/>
          <w:vertAlign w:val="subscript"/>
          <w:lang w:val="sr-Latn-ME"/>
        </w:rPr>
        <w:t>ss</w:t>
      </w:r>
      <w:r w:rsidRPr="00F334AF">
        <w:rPr>
          <w:sz w:val="22"/>
          <w:szCs w:val="22"/>
          <w:lang w:val="sr-Latn-ME"/>
        </w:rPr>
        <w:t xml:space="preserve">) iznosi </w:t>
      </w:r>
      <w:r w:rsidR="009C1928" w:rsidRPr="00F334AF">
        <w:rPr>
          <w:sz w:val="22"/>
          <w:szCs w:val="22"/>
          <w:lang w:val="sr-Latn-ME"/>
        </w:rPr>
        <w:t>približno</w:t>
      </w:r>
      <w:r w:rsidRPr="00F334AF">
        <w:rPr>
          <w:sz w:val="22"/>
          <w:szCs w:val="22"/>
          <w:lang w:val="sr-Latn-ME"/>
        </w:rPr>
        <w:t xml:space="preserve"> 66 litara.</w:t>
      </w:r>
    </w:p>
    <w:p w14:paraId="33DEEA7E" w14:textId="77777777" w:rsidR="007A05E0" w:rsidRPr="00F334AF" w:rsidRDefault="007A05E0" w:rsidP="0034729B">
      <w:pPr>
        <w:ind w:right="65"/>
        <w:jc w:val="both"/>
        <w:rPr>
          <w:sz w:val="22"/>
          <w:szCs w:val="22"/>
          <w:lang w:val="sr-Latn-ME"/>
        </w:rPr>
      </w:pPr>
    </w:p>
    <w:p w14:paraId="78BFF8E3" w14:textId="77777777" w:rsidR="00E310B2" w:rsidRPr="00F334AF" w:rsidRDefault="00E310B2" w:rsidP="0034729B">
      <w:pPr>
        <w:ind w:right="65"/>
        <w:jc w:val="both"/>
        <w:rPr>
          <w:i/>
          <w:sz w:val="22"/>
          <w:szCs w:val="22"/>
          <w:u w:val="single"/>
          <w:lang w:val="sr-Latn-ME"/>
        </w:rPr>
      </w:pPr>
      <w:r w:rsidRPr="00F334AF">
        <w:rPr>
          <w:i/>
          <w:sz w:val="22"/>
          <w:szCs w:val="22"/>
          <w:u w:val="single"/>
          <w:lang w:val="sr-Latn-ME"/>
        </w:rPr>
        <w:t>Metabolizam</w:t>
      </w:r>
    </w:p>
    <w:p w14:paraId="77BC0A88" w14:textId="41A59669" w:rsidR="00E310B2" w:rsidRPr="00F334AF" w:rsidRDefault="00E310B2" w:rsidP="0034729B">
      <w:pPr>
        <w:ind w:right="65"/>
        <w:jc w:val="both"/>
        <w:rPr>
          <w:sz w:val="22"/>
          <w:szCs w:val="22"/>
          <w:lang w:val="sr-Latn-ME"/>
        </w:rPr>
      </w:pPr>
      <w:r w:rsidRPr="00F334AF">
        <w:rPr>
          <w:sz w:val="22"/>
          <w:szCs w:val="22"/>
          <w:lang w:val="sr-Latn-ME"/>
        </w:rPr>
        <w:t>Aprepitant se snažno metaboliše. U okviru 72 sata nakon pojedinačne intravenske primjene prolijeka aprepitanta označenog radioizotopom</w:t>
      </w:r>
      <w:r w:rsidR="009C1928" w:rsidRPr="00F334AF">
        <w:rPr>
          <w:sz w:val="22"/>
          <w:szCs w:val="22"/>
          <w:lang w:val="sr-Latn-ME"/>
        </w:rPr>
        <w:t xml:space="preserve"> [</w:t>
      </w:r>
      <w:r w:rsidR="009C1928" w:rsidRPr="00F334AF">
        <w:rPr>
          <w:sz w:val="22"/>
          <w:szCs w:val="22"/>
          <w:vertAlign w:val="superscript"/>
          <w:lang w:val="sr-Latn-ME"/>
        </w:rPr>
        <w:t>14</w:t>
      </w:r>
      <w:r w:rsidR="009C1928" w:rsidRPr="00F334AF">
        <w:rPr>
          <w:sz w:val="22"/>
          <w:szCs w:val="22"/>
          <w:lang w:val="sr-Latn-ME"/>
        </w:rPr>
        <w:t>C]-fosaprepitanta</w:t>
      </w:r>
      <w:r w:rsidRPr="00F334AF">
        <w:rPr>
          <w:sz w:val="22"/>
          <w:szCs w:val="22"/>
          <w:lang w:val="sr-Latn-ME"/>
        </w:rPr>
        <w:t xml:space="preserve">  u dozi od 100 mg kod zdravih i mladih odraslih osoba, oko 19% radioaktivnosti u plazmi potiče od aprepitanta što ukazuje na značajno prisustvo njegovih metabolita u plazmi.</w:t>
      </w:r>
    </w:p>
    <w:p w14:paraId="03ECFD2B" w14:textId="77777777" w:rsidR="00E310B2" w:rsidRPr="00F334AF" w:rsidRDefault="00E310B2" w:rsidP="0034729B">
      <w:pPr>
        <w:ind w:right="65"/>
        <w:jc w:val="both"/>
        <w:rPr>
          <w:sz w:val="22"/>
          <w:szCs w:val="22"/>
          <w:lang w:val="sr-Latn-ME"/>
        </w:rPr>
      </w:pPr>
    </w:p>
    <w:p w14:paraId="35B9148B" w14:textId="08881F60" w:rsidR="00E310B2" w:rsidRPr="00F334AF" w:rsidRDefault="00E310B2" w:rsidP="0034729B">
      <w:pPr>
        <w:ind w:right="65"/>
        <w:jc w:val="both"/>
        <w:rPr>
          <w:sz w:val="22"/>
          <w:szCs w:val="22"/>
          <w:lang w:val="sr-Latn-ME"/>
        </w:rPr>
      </w:pPr>
      <w:r w:rsidRPr="00F334AF">
        <w:rPr>
          <w:sz w:val="22"/>
          <w:szCs w:val="22"/>
          <w:lang w:val="sr-Latn-ME"/>
        </w:rPr>
        <w:t xml:space="preserve">U plazmi čovjeka utvrđeno je prisustvo dvanaest metabolita aprepitanta. Aprepitant se najviše metaboliše oksidacijom na morfolinskom prstenu i njegovim bočnim lancima, a novonastali metaboliti ispoljavaju slabu aktivnost. Ispitivanja na mikrozomima ljudske jetre </w:t>
      </w:r>
      <w:r w:rsidRPr="00F334AF">
        <w:rPr>
          <w:i/>
          <w:sz w:val="22"/>
          <w:szCs w:val="22"/>
          <w:lang w:val="sr-Latn-ME"/>
        </w:rPr>
        <w:t>in vitro</w:t>
      </w:r>
      <w:r w:rsidRPr="00F334AF">
        <w:rPr>
          <w:sz w:val="22"/>
          <w:szCs w:val="22"/>
          <w:lang w:val="sr-Latn-ME"/>
        </w:rPr>
        <w:t xml:space="preserve"> ukazuju na to da</w:t>
      </w:r>
      <w:r w:rsidR="00622438" w:rsidRPr="00F334AF">
        <w:rPr>
          <w:sz w:val="22"/>
          <w:szCs w:val="22"/>
          <w:lang w:val="sr-Latn-ME"/>
        </w:rPr>
        <w:t xml:space="preserve"> se</w:t>
      </w:r>
      <w:r w:rsidRPr="00F334AF">
        <w:rPr>
          <w:sz w:val="22"/>
          <w:szCs w:val="22"/>
          <w:lang w:val="sr-Latn-ME"/>
        </w:rPr>
        <w:t xml:space="preserve"> aprepitant najviše </w:t>
      </w:r>
      <w:r w:rsidR="00622438" w:rsidRPr="00F334AF">
        <w:rPr>
          <w:sz w:val="22"/>
          <w:szCs w:val="22"/>
          <w:lang w:val="sr-Latn-ME"/>
        </w:rPr>
        <w:t>metaboliše uz pomoć</w:t>
      </w:r>
      <w:r w:rsidRPr="00F334AF">
        <w:rPr>
          <w:sz w:val="22"/>
          <w:szCs w:val="22"/>
          <w:lang w:val="sr-Latn-ME"/>
        </w:rPr>
        <w:t xml:space="preserve"> izoenzim</w:t>
      </w:r>
      <w:r w:rsidR="00622438" w:rsidRPr="00F334AF">
        <w:rPr>
          <w:sz w:val="22"/>
          <w:szCs w:val="22"/>
          <w:lang w:val="sr-Latn-ME"/>
        </w:rPr>
        <w:t>a</w:t>
      </w:r>
      <w:r w:rsidRPr="00F334AF">
        <w:rPr>
          <w:sz w:val="22"/>
          <w:szCs w:val="22"/>
          <w:lang w:val="sr-Latn-ME"/>
        </w:rPr>
        <w:t xml:space="preserve"> CYP3A4 uz veoma mali mogući doprinos izoenzima CYP1A2 i CYP2C19.</w:t>
      </w:r>
    </w:p>
    <w:p w14:paraId="1855DBA2" w14:textId="77777777" w:rsidR="00E310B2" w:rsidRPr="00F334AF" w:rsidRDefault="00E310B2" w:rsidP="0034729B">
      <w:pPr>
        <w:ind w:right="65"/>
        <w:jc w:val="both"/>
        <w:rPr>
          <w:sz w:val="22"/>
          <w:szCs w:val="22"/>
          <w:lang w:val="sr-Latn-ME"/>
        </w:rPr>
      </w:pPr>
    </w:p>
    <w:p w14:paraId="30D7A61A" w14:textId="77777777" w:rsidR="00E310B2" w:rsidRPr="00F334AF" w:rsidRDefault="00E310B2" w:rsidP="0034729B">
      <w:pPr>
        <w:ind w:right="65"/>
        <w:jc w:val="both"/>
        <w:rPr>
          <w:i/>
          <w:sz w:val="22"/>
          <w:szCs w:val="22"/>
          <w:u w:val="single"/>
          <w:lang w:val="sr-Latn-ME"/>
        </w:rPr>
      </w:pPr>
      <w:r w:rsidRPr="00F334AF">
        <w:rPr>
          <w:i/>
          <w:sz w:val="22"/>
          <w:szCs w:val="22"/>
          <w:u w:val="single"/>
          <w:lang w:val="sr-Latn-ME"/>
        </w:rPr>
        <w:t>Eliminacija</w:t>
      </w:r>
    </w:p>
    <w:p w14:paraId="5C0BFB86" w14:textId="4E40291D" w:rsidR="00E310B2" w:rsidRPr="00F334AF" w:rsidRDefault="00E310B2" w:rsidP="0034729B">
      <w:pPr>
        <w:ind w:right="65"/>
        <w:jc w:val="both"/>
        <w:rPr>
          <w:sz w:val="22"/>
          <w:szCs w:val="22"/>
          <w:lang w:val="sr-Latn-ME"/>
        </w:rPr>
      </w:pPr>
      <w:r w:rsidRPr="00F334AF">
        <w:rPr>
          <w:sz w:val="22"/>
          <w:szCs w:val="22"/>
          <w:lang w:val="sr-Latn-ME"/>
        </w:rPr>
        <w:t xml:space="preserve">Aprepitant se ne izlučuje u nepromijenjenom obliku u urinu. Njegovi metaboliti se izlučuju u urinu, žuči i putem fecesa. Nakon pojedinačne intravenske primjene prolijeka aprepitanta označenog radioizotopom </w:t>
      </w:r>
      <w:r w:rsidR="00622438" w:rsidRPr="00F334AF">
        <w:rPr>
          <w:sz w:val="22"/>
          <w:szCs w:val="22"/>
          <w:lang w:val="sr-Latn-ME"/>
        </w:rPr>
        <w:t>[</w:t>
      </w:r>
      <w:r w:rsidR="00622438" w:rsidRPr="00F334AF">
        <w:rPr>
          <w:sz w:val="22"/>
          <w:szCs w:val="22"/>
          <w:vertAlign w:val="superscript"/>
          <w:lang w:val="sr-Latn-ME"/>
        </w:rPr>
        <w:t>14</w:t>
      </w:r>
      <w:r w:rsidR="00622438" w:rsidRPr="00F334AF">
        <w:rPr>
          <w:sz w:val="22"/>
          <w:szCs w:val="22"/>
          <w:lang w:val="sr-Latn-ME"/>
        </w:rPr>
        <w:t>C]-fosaprepitanta</w:t>
      </w:r>
      <w:r w:rsidRPr="00F334AF">
        <w:rPr>
          <w:sz w:val="22"/>
          <w:szCs w:val="22"/>
          <w:lang w:val="sr-Latn-ME"/>
        </w:rPr>
        <w:t xml:space="preserve"> u dozi od 100 mg kod zdravih odraslih osoba, 57% radioaktivnosti otkriveno je u urinu, a 45% u fecesu.</w:t>
      </w:r>
    </w:p>
    <w:p w14:paraId="52BD39D7" w14:textId="77777777" w:rsidR="00E310B2" w:rsidRPr="00F334AF" w:rsidRDefault="00E310B2" w:rsidP="0034729B">
      <w:pPr>
        <w:ind w:right="65"/>
        <w:jc w:val="both"/>
        <w:rPr>
          <w:sz w:val="22"/>
          <w:szCs w:val="22"/>
          <w:lang w:val="sr-Latn-ME"/>
        </w:rPr>
      </w:pPr>
    </w:p>
    <w:p w14:paraId="4060D81A" w14:textId="0E761E59" w:rsidR="00E310B2" w:rsidRPr="00F334AF" w:rsidRDefault="00E310B2" w:rsidP="0034729B">
      <w:pPr>
        <w:ind w:right="65"/>
        <w:jc w:val="both"/>
        <w:rPr>
          <w:sz w:val="22"/>
          <w:szCs w:val="22"/>
          <w:lang w:val="sr-Latn-ME"/>
        </w:rPr>
      </w:pPr>
      <w:r w:rsidRPr="00F334AF">
        <w:rPr>
          <w:sz w:val="22"/>
          <w:szCs w:val="22"/>
          <w:lang w:val="sr-Latn-ME"/>
        </w:rPr>
        <w:t>Klirens aprepitanta iz plazme je dozno zavisan i opada sa povećanjem doze. Raspon je oko 60-72 ml/min u okviru terapijskog raspona doza lijeka. Terminaln</w:t>
      </w:r>
      <w:r w:rsidR="00A9227D" w:rsidRPr="00F334AF">
        <w:rPr>
          <w:sz w:val="22"/>
          <w:szCs w:val="22"/>
          <w:lang w:val="sr-Latn-ME"/>
        </w:rPr>
        <w:t>o poluvrijeme</w:t>
      </w:r>
      <w:r w:rsidRPr="00F334AF">
        <w:rPr>
          <w:sz w:val="22"/>
          <w:szCs w:val="22"/>
          <w:lang w:val="sr-Latn-ME"/>
        </w:rPr>
        <w:t xml:space="preserve"> kreće se u rasponu od 9 do 13 sati.</w:t>
      </w:r>
    </w:p>
    <w:p w14:paraId="5E4F45F8" w14:textId="77777777" w:rsidR="00E310B2" w:rsidRPr="00F334AF" w:rsidRDefault="00E310B2" w:rsidP="0034729B">
      <w:pPr>
        <w:ind w:right="65"/>
        <w:jc w:val="both"/>
        <w:rPr>
          <w:sz w:val="22"/>
          <w:szCs w:val="22"/>
          <w:lang w:val="sr-Latn-ME"/>
        </w:rPr>
      </w:pPr>
    </w:p>
    <w:p w14:paraId="223C23D8" w14:textId="77777777" w:rsidR="00E310B2" w:rsidRPr="00F334AF" w:rsidRDefault="00E310B2" w:rsidP="0034729B">
      <w:pPr>
        <w:ind w:right="65"/>
        <w:jc w:val="both"/>
        <w:rPr>
          <w:i/>
          <w:sz w:val="22"/>
          <w:szCs w:val="22"/>
          <w:u w:val="single"/>
          <w:lang w:val="sr-Latn-ME"/>
        </w:rPr>
      </w:pPr>
      <w:r w:rsidRPr="00F334AF">
        <w:rPr>
          <w:i/>
          <w:sz w:val="22"/>
          <w:szCs w:val="22"/>
          <w:u w:val="single"/>
          <w:lang w:val="sr-Latn-ME"/>
        </w:rPr>
        <w:t>Farmakokinetika kod posebnih grupa pacijenata</w:t>
      </w:r>
    </w:p>
    <w:p w14:paraId="7837ECC2" w14:textId="1A88DB63" w:rsidR="00E310B2" w:rsidRPr="00F334AF" w:rsidRDefault="00E310B2" w:rsidP="0034729B">
      <w:pPr>
        <w:ind w:right="65"/>
        <w:jc w:val="both"/>
        <w:rPr>
          <w:i/>
          <w:sz w:val="22"/>
          <w:szCs w:val="22"/>
          <w:u w:val="single"/>
          <w:lang w:val="sr-Latn-ME"/>
        </w:rPr>
      </w:pPr>
      <w:r w:rsidRPr="00F334AF">
        <w:rPr>
          <w:i/>
          <w:sz w:val="22"/>
          <w:szCs w:val="22"/>
          <w:u w:val="single"/>
          <w:lang w:val="sr-Latn-ME"/>
        </w:rPr>
        <w:t xml:space="preserve">Starije osobe: </w:t>
      </w:r>
      <w:r w:rsidRPr="00F334AF">
        <w:rPr>
          <w:sz w:val="22"/>
          <w:szCs w:val="22"/>
          <w:lang w:val="sr-Latn-ME"/>
        </w:rPr>
        <w:t xml:space="preserve">Nakon primjene pojedinačne oralne doze lijeka </w:t>
      </w:r>
      <w:r w:rsidRPr="00F334AF">
        <w:rPr>
          <w:bCs/>
          <w:sz w:val="22"/>
          <w:szCs w:val="22"/>
          <w:lang w:val="sr-Latn-ME"/>
        </w:rPr>
        <w:t>EMEND</w:t>
      </w:r>
      <w:r w:rsidRPr="00F334AF">
        <w:rPr>
          <w:sz w:val="22"/>
          <w:szCs w:val="22"/>
          <w:lang w:val="sr-Latn-ME"/>
        </w:rPr>
        <w:t xml:space="preserve"> od 125 mg prvog dana, a zatim lijeka </w:t>
      </w:r>
      <w:r w:rsidRPr="00F334AF">
        <w:rPr>
          <w:bCs/>
          <w:sz w:val="22"/>
          <w:szCs w:val="22"/>
          <w:lang w:val="sr-Latn-ME"/>
        </w:rPr>
        <w:t>EMEND</w:t>
      </w:r>
      <w:r w:rsidRPr="00F334AF">
        <w:rPr>
          <w:sz w:val="22"/>
          <w:szCs w:val="22"/>
          <w:lang w:val="sr-Latn-ME"/>
        </w:rPr>
        <w:t xml:space="preserve"> od 80 mg jednom dnevno od drugog do petog dana liječenja kod starijih pacijenata (</w:t>
      </w:r>
      <w:r w:rsidRPr="00F334AF">
        <w:rPr>
          <w:sz w:val="22"/>
          <w:szCs w:val="22"/>
          <w:lang w:val="sr-Latn-ME"/>
        </w:rPr>
        <w:sym w:font="Symbol" w:char="F0B3"/>
      </w:r>
      <w:r w:rsidRPr="00F334AF">
        <w:rPr>
          <w:sz w:val="22"/>
          <w:szCs w:val="22"/>
          <w:lang w:val="sr-Latn-ME"/>
        </w:rPr>
        <w:t xml:space="preserve"> 65 godina), 24-satna vr</w:t>
      </w:r>
      <w:r w:rsidR="00A9227D" w:rsidRPr="00F334AF">
        <w:rPr>
          <w:sz w:val="22"/>
          <w:szCs w:val="22"/>
          <w:lang w:val="sr-Latn-ME"/>
        </w:rPr>
        <w:t>ij</w:t>
      </w:r>
      <w:r w:rsidRPr="00F334AF">
        <w:rPr>
          <w:sz w:val="22"/>
          <w:szCs w:val="22"/>
          <w:lang w:val="sr-Latn-ME"/>
        </w:rPr>
        <w:t>ednost PIK-a aprepitanta povećala se za 21% prvog, odnosno za 36% petog dana liječenja u odnosu na mlađe odrasle osobe. Takođe, kod starijih pacijenata, C</w:t>
      </w:r>
      <w:r w:rsidRPr="00F334AF">
        <w:rPr>
          <w:sz w:val="22"/>
          <w:szCs w:val="22"/>
          <w:vertAlign w:val="subscript"/>
          <w:lang w:val="sr-Latn-ME"/>
        </w:rPr>
        <w:t>max</w:t>
      </w:r>
      <w:r w:rsidRPr="00F334AF">
        <w:rPr>
          <w:sz w:val="22"/>
          <w:szCs w:val="22"/>
          <w:lang w:val="sr-Latn-ME"/>
        </w:rPr>
        <w:t xml:space="preserve"> je bio veći za </w:t>
      </w:r>
      <w:r w:rsidRPr="00F334AF">
        <w:rPr>
          <w:sz w:val="22"/>
          <w:szCs w:val="22"/>
          <w:lang w:val="sr-Latn-ME"/>
        </w:rPr>
        <w:lastRenderedPageBreak/>
        <w:t xml:space="preserve">10% prvog, odnosno za 24% petog dana liječenja u odnosu na mlađe odrasle osobe. Ove razlike se ne smatraju klinički značajnim. Stoga nije potrebno prilagođavati dozu lijeka </w:t>
      </w:r>
      <w:r w:rsidRPr="00F334AF">
        <w:rPr>
          <w:bCs/>
          <w:sz w:val="22"/>
          <w:szCs w:val="22"/>
          <w:lang w:val="sr-Latn-ME"/>
        </w:rPr>
        <w:t>EMEND</w:t>
      </w:r>
      <w:r w:rsidRPr="00F334AF">
        <w:rPr>
          <w:sz w:val="22"/>
          <w:szCs w:val="22"/>
          <w:lang w:val="sr-Latn-ME"/>
        </w:rPr>
        <w:t xml:space="preserve"> kod starijih osoba.</w:t>
      </w:r>
    </w:p>
    <w:p w14:paraId="1482BFC5" w14:textId="77777777" w:rsidR="00E310B2" w:rsidRPr="00F334AF" w:rsidRDefault="00E310B2" w:rsidP="0034729B">
      <w:pPr>
        <w:ind w:right="65"/>
        <w:jc w:val="both"/>
        <w:rPr>
          <w:sz w:val="22"/>
          <w:szCs w:val="22"/>
          <w:lang w:val="sr-Latn-ME"/>
        </w:rPr>
      </w:pPr>
    </w:p>
    <w:p w14:paraId="7703B49E" w14:textId="5797D355" w:rsidR="00E310B2" w:rsidRPr="00F334AF" w:rsidRDefault="00E310B2" w:rsidP="0034729B">
      <w:pPr>
        <w:ind w:right="65"/>
        <w:jc w:val="both"/>
        <w:rPr>
          <w:sz w:val="22"/>
          <w:szCs w:val="22"/>
          <w:lang w:val="sr-Latn-ME"/>
        </w:rPr>
      </w:pPr>
      <w:r w:rsidRPr="00F334AF">
        <w:rPr>
          <w:i/>
          <w:sz w:val="22"/>
          <w:szCs w:val="22"/>
          <w:u w:val="single"/>
          <w:lang w:val="sr-Latn-ME"/>
        </w:rPr>
        <w:t>Pol:</w:t>
      </w:r>
      <w:r w:rsidRPr="00F334AF">
        <w:rPr>
          <w:sz w:val="22"/>
          <w:szCs w:val="22"/>
          <w:lang w:val="sr-Latn-ME"/>
        </w:rPr>
        <w:t xml:space="preserve"> Nakon primjene pojedinačne oralne doze lijeka </w:t>
      </w:r>
      <w:r w:rsidRPr="00F334AF">
        <w:rPr>
          <w:bCs/>
          <w:sz w:val="22"/>
          <w:szCs w:val="22"/>
          <w:lang w:val="sr-Latn-ME"/>
        </w:rPr>
        <w:t>EMEND</w:t>
      </w:r>
      <w:r w:rsidRPr="00F334AF">
        <w:rPr>
          <w:sz w:val="22"/>
          <w:szCs w:val="22"/>
          <w:lang w:val="sr-Latn-ME"/>
        </w:rPr>
        <w:t xml:space="preserve"> od 125 mg, maksimalna koncentracija (C</w:t>
      </w:r>
      <w:r w:rsidRPr="00F334AF">
        <w:rPr>
          <w:sz w:val="22"/>
          <w:szCs w:val="22"/>
          <w:vertAlign w:val="subscript"/>
          <w:lang w:val="sr-Latn-ME"/>
        </w:rPr>
        <w:t>max</w:t>
      </w:r>
      <w:r w:rsidRPr="00F334AF">
        <w:rPr>
          <w:sz w:val="22"/>
          <w:szCs w:val="22"/>
          <w:lang w:val="sr-Latn-ME"/>
        </w:rPr>
        <w:t>) aprepitanta bila je za 16% viša kod žena nego kod muškaraca. Polu</w:t>
      </w:r>
      <w:r w:rsidR="00622438" w:rsidRPr="00F334AF">
        <w:rPr>
          <w:sz w:val="22"/>
          <w:szCs w:val="22"/>
          <w:lang w:val="sr-Latn-ME"/>
        </w:rPr>
        <w:t>vrijeme eliminacije</w:t>
      </w:r>
      <w:r w:rsidRPr="00F334AF">
        <w:rPr>
          <w:sz w:val="22"/>
          <w:szCs w:val="22"/>
          <w:lang w:val="sr-Latn-ME"/>
        </w:rPr>
        <w:t xml:space="preserve"> aprepitanta je za 25% krać</w:t>
      </w:r>
      <w:r w:rsidR="00622438" w:rsidRPr="00F334AF">
        <w:rPr>
          <w:sz w:val="22"/>
          <w:szCs w:val="22"/>
          <w:lang w:val="sr-Latn-ME"/>
        </w:rPr>
        <w:t>e</w:t>
      </w:r>
      <w:r w:rsidRPr="00F334AF">
        <w:rPr>
          <w:sz w:val="22"/>
          <w:szCs w:val="22"/>
          <w:lang w:val="sr-Latn-ME"/>
        </w:rPr>
        <w:t xml:space="preserve"> kod žena nego kod muškaraca ali je vrijeme za postizanje maksimalne koncentracije (</w:t>
      </w:r>
      <w:r w:rsidR="00A9227D" w:rsidRPr="00F334AF">
        <w:rPr>
          <w:sz w:val="22"/>
          <w:szCs w:val="22"/>
          <w:lang w:val="sr-Latn-ME"/>
        </w:rPr>
        <w:t>t</w:t>
      </w:r>
      <w:r w:rsidRPr="00F334AF">
        <w:rPr>
          <w:sz w:val="22"/>
          <w:szCs w:val="22"/>
          <w:vertAlign w:val="subscript"/>
          <w:lang w:val="sr-Latn-ME"/>
        </w:rPr>
        <w:t>max</w:t>
      </w:r>
      <w:r w:rsidRPr="00F334AF">
        <w:rPr>
          <w:sz w:val="22"/>
          <w:szCs w:val="22"/>
          <w:lang w:val="sr-Latn-ME"/>
        </w:rPr>
        <w:t xml:space="preserve">) isto kod pripadnika oba pola. Ove razlike se ne smatraju klinički značajnim. Stoga nije potrebno prilagođavati dozu lijeka </w:t>
      </w:r>
      <w:r w:rsidRPr="00F334AF">
        <w:rPr>
          <w:bCs/>
          <w:sz w:val="22"/>
          <w:szCs w:val="22"/>
          <w:lang w:val="sr-Latn-ME"/>
        </w:rPr>
        <w:t>EMEND</w:t>
      </w:r>
      <w:r w:rsidRPr="00F334AF">
        <w:rPr>
          <w:sz w:val="22"/>
          <w:szCs w:val="22"/>
          <w:lang w:val="sr-Latn-ME"/>
        </w:rPr>
        <w:t xml:space="preserve"> sa obzirom na pol pacijenata.</w:t>
      </w:r>
    </w:p>
    <w:p w14:paraId="5F4ADCCC" w14:textId="77777777" w:rsidR="00E310B2" w:rsidRPr="00F334AF" w:rsidRDefault="00E310B2" w:rsidP="0034729B">
      <w:pPr>
        <w:ind w:right="65"/>
        <w:jc w:val="both"/>
        <w:rPr>
          <w:sz w:val="22"/>
          <w:szCs w:val="22"/>
          <w:lang w:val="sr-Latn-ME"/>
        </w:rPr>
      </w:pPr>
    </w:p>
    <w:p w14:paraId="56056210" w14:textId="288B2E27" w:rsidR="00E310B2" w:rsidRPr="00F334AF" w:rsidRDefault="00622438" w:rsidP="0034729B">
      <w:pPr>
        <w:ind w:right="65"/>
        <w:jc w:val="both"/>
        <w:rPr>
          <w:sz w:val="22"/>
          <w:szCs w:val="22"/>
          <w:lang w:val="sr-Latn-ME"/>
        </w:rPr>
      </w:pPr>
      <w:r w:rsidRPr="00F334AF">
        <w:rPr>
          <w:i/>
          <w:sz w:val="22"/>
          <w:szCs w:val="22"/>
          <w:u w:val="single"/>
          <w:lang w:val="sr-Latn-ME"/>
        </w:rPr>
        <w:t>Oštećenje funkcije</w:t>
      </w:r>
      <w:r w:rsidR="00E310B2" w:rsidRPr="00F334AF">
        <w:rPr>
          <w:i/>
          <w:sz w:val="22"/>
          <w:szCs w:val="22"/>
          <w:u w:val="single"/>
          <w:lang w:val="sr-Latn-ME"/>
        </w:rPr>
        <w:t xml:space="preserve"> jetre:</w:t>
      </w:r>
      <w:r w:rsidR="00E310B2" w:rsidRPr="00F334AF">
        <w:rPr>
          <w:sz w:val="22"/>
          <w:szCs w:val="22"/>
          <w:lang w:val="sr-Latn-ME"/>
        </w:rPr>
        <w:t xml:space="preserve"> Uticaj blag</w:t>
      </w:r>
      <w:r w:rsidRPr="00F334AF">
        <w:rPr>
          <w:sz w:val="22"/>
          <w:szCs w:val="22"/>
          <w:lang w:val="sr-Latn-ME"/>
        </w:rPr>
        <w:t>og oštećenja funkcije</w:t>
      </w:r>
      <w:r w:rsidR="00E310B2" w:rsidRPr="00F334AF">
        <w:rPr>
          <w:sz w:val="22"/>
          <w:szCs w:val="22"/>
          <w:lang w:val="sr-Latn-ME"/>
        </w:rPr>
        <w:t xml:space="preserve"> jetre </w:t>
      </w:r>
      <w:r w:rsidR="00E310B2" w:rsidRPr="00F334AF">
        <w:rPr>
          <w:bCs/>
          <w:sz w:val="22"/>
          <w:szCs w:val="22"/>
          <w:lang w:val="sr-Latn-ME"/>
        </w:rPr>
        <w:t>(Child-Pugh klasa A) na farmakokinetiku aprepitanta nije klinički značajan. Kod pacijenata sa blag</w:t>
      </w:r>
      <w:r w:rsidRPr="00F334AF">
        <w:rPr>
          <w:bCs/>
          <w:sz w:val="22"/>
          <w:szCs w:val="22"/>
          <w:lang w:val="sr-Latn-ME"/>
        </w:rPr>
        <w:t>im oštećenjem funkcije</w:t>
      </w:r>
      <w:r w:rsidR="00E310B2" w:rsidRPr="00F334AF">
        <w:rPr>
          <w:bCs/>
          <w:sz w:val="22"/>
          <w:szCs w:val="22"/>
          <w:lang w:val="sr-Latn-ME"/>
        </w:rPr>
        <w:t xml:space="preserve"> jetre nije potrebno prilagođavati dozu. Iz raspoloživih podataka nije moguće zaključiti da li umjeren</w:t>
      </w:r>
      <w:r w:rsidRPr="00F334AF">
        <w:rPr>
          <w:bCs/>
          <w:sz w:val="22"/>
          <w:szCs w:val="22"/>
          <w:lang w:val="sr-Latn-ME"/>
        </w:rPr>
        <w:t>o oštećenje funkcije</w:t>
      </w:r>
      <w:r w:rsidR="00E310B2" w:rsidRPr="00F334AF">
        <w:rPr>
          <w:bCs/>
          <w:sz w:val="22"/>
          <w:szCs w:val="22"/>
          <w:lang w:val="sr-Latn-ME"/>
        </w:rPr>
        <w:t xml:space="preserve"> jetre (Child-Pugh klasa B) utiče na farmakokinetiku aprepitanta. Nema kliničkih ili farmakokinetičkih podataka kod pacijenata sa tešk</w:t>
      </w:r>
      <w:r w:rsidRPr="00F334AF">
        <w:rPr>
          <w:bCs/>
          <w:sz w:val="22"/>
          <w:szCs w:val="22"/>
          <w:lang w:val="sr-Latn-ME"/>
        </w:rPr>
        <w:t>im oštećenjem funkcije</w:t>
      </w:r>
      <w:r w:rsidR="00E310B2" w:rsidRPr="00F334AF">
        <w:rPr>
          <w:bCs/>
          <w:sz w:val="22"/>
          <w:szCs w:val="22"/>
          <w:lang w:val="sr-Latn-ME"/>
        </w:rPr>
        <w:t xml:space="preserve"> jetre (Child-Pugh klasa C).</w:t>
      </w:r>
    </w:p>
    <w:p w14:paraId="278FE57E" w14:textId="77777777" w:rsidR="00E310B2" w:rsidRPr="00F334AF" w:rsidRDefault="00E310B2" w:rsidP="0034729B">
      <w:pPr>
        <w:ind w:right="65"/>
        <w:jc w:val="both"/>
        <w:rPr>
          <w:bCs/>
          <w:sz w:val="22"/>
          <w:szCs w:val="22"/>
          <w:lang w:val="sr-Latn-ME"/>
        </w:rPr>
      </w:pPr>
    </w:p>
    <w:p w14:paraId="5663D8E8" w14:textId="1E8C9165" w:rsidR="00E310B2" w:rsidRPr="00F334AF" w:rsidRDefault="00622438" w:rsidP="0034729B">
      <w:pPr>
        <w:ind w:right="65"/>
        <w:jc w:val="both"/>
        <w:rPr>
          <w:bCs/>
          <w:sz w:val="22"/>
          <w:szCs w:val="22"/>
          <w:lang w:val="sr-Latn-ME"/>
        </w:rPr>
      </w:pPr>
      <w:r w:rsidRPr="00F334AF">
        <w:rPr>
          <w:bCs/>
          <w:i/>
          <w:sz w:val="22"/>
          <w:szCs w:val="22"/>
          <w:u w:val="single"/>
          <w:lang w:val="sr-Latn-ME"/>
        </w:rPr>
        <w:t>Oštećenje funkcije</w:t>
      </w:r>
      <w:r w:rsidR="00E310B2" w:rsidRPr="00F334AF">
        <w:rPr>
          <w:bCs/>
          <w:i/>
          <w:sz w:val="22"/>
          <w:szCs w:val="22"/>
          <w:u w:val="single"/>
          <w:lang w:val="sr-Latn-ME"/>
        </w:rPr>
        <w:t xml:space="preserve"> bubrega:</w:t>
      </w:r>
      <w:r w:rsidR="00E310B2" w:rsidRPr="00F334AF">
        <w:rPr>
          <w:bCs/>
          <w:sz w:val="22"/>
          <w:szCs w:val="22"/>
          <w:lang w:val="sr-Latn-ME"/>
        </w:rPr>
        <w:t xml:space="preserve"> Pacijenti sa tešk</w:t>
      </w:r>
      <w:r w:rsidRPr="00F334AF">
        <w:rPr>
          <w:bCs/>
          <w:sz w:val="22"/>
          <w:szCs w:val="22"/>
          <w:lang w:val="sr-Latn-ME"/>
        </w:rPr>
        <w:t>im oštećenjem funkcije</w:t>
      </w:r>
      <w:r w:rsidR="00E310B2" w:rsidRPr="00F334AF">
        <w:rPr>
          <w:bCs/>
          <w:sz w:val="22"/>
          <w:szCs w:val="22"/>
          <w:lang w:val="sr-Latn-ME"/>
        </w:rPr>
        <w:t xml:space="preserve"> bubrega (klirens kreatinina </w:t>
      </w:r>
      <w:r w:rsidR="00E310B2" w:rsidRPr="00F334AF">
        <w:rPr>
          <w:bCs/>
          <w:sz w:val="22"/>
          <w:szCs w:val="22"/>
          <w:lang w:val="sr-Latn-ME"/>
        </w:rPr>
        <w:sym w:font="Symbol" w:char="F03C"/>
      </w:r>
      <w:r w:rsidR="00E310B2" w:rsidRPr="00F334AF">
        <w:rPr>
          <w:bCs/>
          <w:sz w:val="22"/>
          <w:szCs w:val="22"/>
          <w:lang w:val="sr-Latn-ME"/>
        </w:rPr>
        <w:t xml:space="preserve"> 30 ml/min), odnosno pacijenti sa terminalnom bolesti bubrega (ESRD) koji su na hemodijalizi, primili su pojedinačnu dozu </w:t>
      </w:r>
      <w:r w:rsidR="00E310B2" w:rsidRPr="00F334AF">
        <w:rPr>
          <w:b/>
          <w:sz w:val="22"/>
          <w:szCs w:val="22"/>
          <w:lang w:val="sr-Latn-ME"/>
        </w:rPr>
        <w:t>EMEND</w:t>
      </w:r>
      <w:r w:rsidR="00E310B2" w:rsidRPr="00F334AF">
        <w:rPr>
          <w:bCs/>
          <w:sz w:val="22"/>
          <w:szCs w:val="22"/>
          <w:lang w:val="sr-Latn-ME"/>
        </w:rPr>
        <w:t xml:space="preserve"> kapsula od 240 mg.</w:t>
      </w:r>
    </w:p>
    <w:p w14:paraId="4F8516B8" w14:textId="11B287D1" w:rsidR="00E310B2" w:rsidRPr="00F334AF" w:rsidRDefault="00E310B2" w:rsidP="0034729B">
      <w:pPr>
        <w:ind w:right="65"/>
        <w:jc w:val="both"/>
        <w:rPr>
          <w:bCs/>
          <w:sz w:val="22"/>
          <w:szCs w:val="22"/>
          <w:lang w:val="sr-Latn-ME"/>
        </w:rPr>
      </w:pPr>
      <w:r w:rsidRPr="00F334AF">
        <w:rPr>
          <w:bCs/>
          <w:sz w:val="22"/>
          <w:szCs w:val="22"/>
          <w:lang w:val="sr-Latn-ME"/>
        </w:rPr>
        <w:t>Kod pacijenata sa tešk</w:t>
      </w:r>
      <w:r w:rsidR="00622438" w:rsidRPr="00F334AF">
        <w:rPr>
          <w:bCs/>
          <w:sz w:val="22"/>
          <w:szCs w:val="22"/>
          <w:lang w:val="sr-Latn-ME"/>
        </w:rPr>
        <w:t>im oštećenjem funkcije</w:t>
      </w:r>
      <w:r w:rsidRPr="00F334AF">
        <w:rPr>
          <w:bCs/>
          <w:sz w:val="22"/>
          <w:szCs w:val="22"/>
          <w:lang w:val="sr-Latn-ME"/>
        </w:rPr>
        <w:t xml:space="preserve"> bubrega, vrijednost PIK</w:t>
      </w:r>
      <w:r w:rsidRPr="00F334AF">
        <w:rPr>
          <w:bCs/>
          <w:sz w:val="22"/>
          <w:szCs w:val="22"/>
          <w:vertAlign w:val="subscript"/>
          <w:lang w:val="sr-Latn-ME"/>
        </w:rPr>
        <w:t>0-</w:t>
      </w:r>
      <w:r w:rsidRPr="00F334AF">
        <w:rPr>
          <w:bCs/>
          <w:sz w:val="22"/>
          <w:szCs w:val="22"/>
          <w:vertAlign w:val="subscript"/>
          <w:lang w:val="sr-Latn-ME"/>
        </w:rPr>
        <w:sym w:font="Symbol" w:char="F0A5"/>
      </w:r>
      <w:r w:rsidRPr="00F334AF">
        <w:rPr>
          <w:bCs/>
          <w:sz w:val="22"/>
          <w:szCs w:val="22"/>
          <w:lang w:val="sr-Latn-ME"/>
        </w:rPr>
        <w:t xml:space="preserve"> ukupnog aprepitanta (slobodnog i vezanog za proteine) smanjila se za 21%, a njegov C</w:t>
      </w:r>
      <w:r w:rsidRPr="00F334AF">
        <w:rPr>
          <w:bCs/>
          <w:sz w:val="22"/>
          <w:szCs w:val="22"/>
          <w:vertAlign w:val="subscript"/>
          <w:lang w:val="sr-Latn-ME"/>
        </w:rPr>
        <w:t>max</w:t>
      </w:r>
      <w:r w:rsidRPr="00F334AF">
        <w:rPr>
          <w:bCs/>
          <w:sz w:val="22"/>
          <w:szCs w:val="22"/>
          <w:lang w:val="sr-Latn-ME"/>
        </w:rPr>
        <w:t xml:space="preserve"> za 32% u odnosu na zdrave dobrovoljce. Kod pacijenata sa ESRD-om na hemodijalizi vrijednost PIK</w:t>
      </w:r>
      <w:r w:rsidRPr="00F334AF">
        <w:rPr>
          <w:bCs/>
          <w:sz w:val="22"/>
          <w:szCs w:val="22"/>
          <w:vertAlign w:val="subscript"/>
          <w:lang w:val="sr-Latn-ME"/>
        </w:rPr>
        <w:t>0-</w:t>
      </w:r>
      <w:r w:rsidRPr="00F334AF">
        <w:rPr>
          <w:bCs/>
          <w:sz w:val="22"/>
          <w:szCs w:val="22"/>
          <w:vertAlign w:val="subscript"/>
          <w:lang w:val="sr-Latn-ME"/>
        </w:rPr>
        <w:sym w:font="Symbol" w:char="F0A5"/>
      </w:r>
      <w:r w:rsidRPr="00F334AF">
        <w:rPr>
          <w:bCs/>
          <w:sz w:val="22"/>
          <w:szCs w:val="22"/>
          <w:lang w:val="sr-Latn-ME"/>
        </w:rPr>
        <w:t xml:space="preserve"> ukupnog aprepitanta smanjila se za 42%, a njegov C</w:t>
      </w:r>
      <w:r w:rsidRPr="00F334AF">
        <w:rPr>
          <w:bCs/>
          <w:sz w:val="22"/>
          <w:szCs w:val="22"/>
          <w:vertAlign w:val="subscript"/>
          <w:lang w:val="sr-Latn-ME"/>
        </w:rPr>
        <w:t>max</w:t>
      </w:r>
      <w:r w:rsidRPr="00F334AF">
        <w:rPr>
          <w:bCs/>
          <w:sz w:val="22"/>
          <w:szCs w:val="22"/>
          <w:lang w:val="sr-Latn-ME"/>
        </w:rPr>
        <w:t xml:space="preserve"> za 32%. Umjereno smanjenje sposobnosti vezivanja aprepitanta za proteine kod pacijenata sa bubrežnim oboljenjem nije značajno uticalo na vrijednost PIK-a nevezanog, farmakološki aktivnog lijeka kod pacijenata sa insuficijencijom bubrega u odnosu na zdrave dobrovoljce. Hemodijaliza sprovedena 4 ili 48 sati nakon primjene aprepitanta nije značajno uticala na njegovu farmakokinetiku. U dijalizatu je pronađeno samo manje od 0,2% unijete doze lijeka.</w:t>
      </w:r>
    </w:p>
    <w:p w14:paraId="3FC573E6" w14:textId="77777777" w:rsidR="00E310B2" w:rsidRPr="00F334AF" w:rsidRDefault="00E310B2" w:rsidP="0034729B">
      <w:pPr>
        <w:ind w:right="65"/>
        <w:jc w:val="both"/>
        <w:rPr>
          <w:bCs/>
          <w:sz w:val="22"/>
          <w:szCs w:val="22"/>
          <w:lang w:val="sr-Latn-ME"/>
        </w:rPr>
      </w:pPr>
    </w:p>
    <w:p w14:paraId="14FC1D58" w14:textId="09111247" w:rsidR="00E310B2" w:rsidRPr="00F334AF" w:rsidRDefault="00E310B2" w:rsidP="0034729B">
      <w:pPr>
        <w:ind w:right="65"/>
        <w:jc w:val="both"/>
        <w:rPr>
          <w:bCs/>
          <w:sz w:val="22"/>
          <w:szCs w:val="22"/>
          <w:lang w:val="sr-Latn-ME"/>
        </w:rPr>
      </w:pPr>
      <w:r w:rsidRPr="00F334AF">
        <w:rPr>
          <w:bCs/>
          <w:sz w:val="22"/>
          <w:szCs w:val="22"/>
          <w:lang w:val="sr-Latn-ME"/>
        </w:rPr>
        <w:t xml:space="preserve">Kod pacijenata sa </w:t>
      </w:r>
      <w:r w:rsidR="00622438" w:rsidRPr="00F334AF">
        <w:rPr>
          <w:bCs/>
          <w:sz w:val="22"/>
          <w:szCs w:val="22"/>
          <w:lang w:val="sr-Latn-ME"/>
        </w:rPr>
        <w:t>oštećenjem funkcije</w:t>
      </w:r>
      <w:r w:rsidRPr="00F334AF">
        <w:rPr>
          <w:bCs/>
          <w:sz w:val="22"/>
          <w:szCs w:val="22"/>
          <w:lang w:val="sr-Latn-ME"/>
        </w:rPr>
        <w:t xml:space="preserve"> bubrega, odnosno sa ESRD-om, koji su na hemodijalizi nije potrebno prilagođavati dozu lijeka EMEND.</w:t>
      </w:r>
    </w:p>
    <w:p w14:paraId="0D831DDE" w14:textId="77777777" w:rsidR="007A05E0" w:rsidRPr="00F334AF" w:rsidRDefault="007A05E0" w:rsidP="0034729B">
      <w:pPr>
        <w:widowControl w:val="0"/>
        <w:autoSpaceDE w:val="0"/>
        <w:autoSpaceDN w:val="0"/>
        <w:jc w:val="both"/>
        <w:rPr>
          <w:bCs/>
          <w:sz w:val="22"/>
          <w:szCs w:val="22"/>
          <w:lang w:val="sr-Latn-ME"/>
        </w:rPr>
      </w:pPr>
    </w:p>
    <w:p w14:paraId="084891F6" w14:textId="6CCB108F" w:rsidR="00E310B2" w:rsidRPr="00F334AF" w:rsidRDefault="00E310B2" w:rsidP="0034729B">
      <w:pPr>
        <w:widowControl w:val="0"/>
        <w:autoSpaceDE w:val="0"/>
        <w:autoSpaceDN w:val="0"/>
        <w:jc w:val="both"/>
        <w:rPr>
          <w:sz w:val="22"/>
          <w:szCs w:val="22"/>
          <w:lang w:val="sr-Latn-ME" w:eastAsia="hr-HR"/>
        </w:rPr>
      </w:pPr>
      <w:r w:rsidRPr="00F334AF">
        <w:rPr>
          <w:i/>
          <w:sz w:val="22"/>
          <w:szCs w:val="22"/>
          <w:lang w:val="sr-Latn-ME" w:eastAsia="hr-HR"/>
        </w:rPr>
        <w:t>Pedijatrijska populacija:</w:t>
      </w:r>
      <w:r w:rsidRPr="00F334AF">
        <w:rPr>
          <w:sz w:val="22"/>
          <w:szCs w:val="22"/>
          <w:lang w:val="sr-Latn-ME" w:eastAsia="hr-HR"/>
        </w:rPr>
        <w:t xml:space="preserve"> Primjenom kapsula aprepitanta (125/80/80</w:t>
      </w:r>
      <w:r w:rsidRPr="00F334AF">
        <w:rPr>
          <w:sz w:val="22"/>
          <w:szCs w:val="22"/>
          <w:lang w:val="sr-Latn-ME" w:eastAsia="hr-HR"/>
        </w:rPr>
        <w:noBreakHyphen/>
        <w:t>mg) kao trodnevnog režima liječenja kod adolescenata (uzrasta od 12 do 17 godina), kod većine pacijenata je prvog dana</w:t>
      </w:r>
      <w:r w:rsidRPr="00F334AF">
        <w:rPr>
          <w:sz w:val="22"/>
          <w:szCs w:val="22"/>
          <w:lang w:val="sr-Latn-ME"/>
        </w:rPr>
        <w:t xml:space="preserve"> </w:t>
      </w:r>
      <w:r w:rsidRPr="00F334AF">
        <w:rPr>
          <w:sz w:val="22"/>
          <w:szCs w:val="22"/>
          <w:lang w:val="sr-Latn-ME" w:eastAsia="hr-HR"/>
        </w:rPr>
        <w:t>terapije postignut PIK</w:t>
      </w:r>
      <w:r w:rsidRPr="00F334AF">
        <w:rPr>
          <w:sz w:val="22"/>
          <w:szCs w:val="22"/>
          <w:vertAlign w:val="subscript"/>
          <w:lang w:val="sr-Latn-ME" w:eastAsia="hr-HR"/>
        </w:rPr>
        <w:t>0-24hr</w:t>
      </w:r>
      <w:r w:rsidRPr="00F334AF">
        <w:rPr>
          <w:sz w:val="22"/>
          <w:szCs w:val="22"/>
          <w:lang w:val="sr-Latn-ME" w:eastAsia="hr-HR"/>
        </w:rPr>
        <w:t xml:space="preserve"> iznad 17 µg•hr/m</w:t>
      </w:r>
      <w:r w:rsidR="00DD057B" w:rsidRPr="00F334AF">
        <w:rPr>
          <w:sz w:val="22"/>
          <w:szCs w:val="22"/>
          <w:lang w:val="sr-Latn-ME" w:eastAsia="hr-HR"/>
        </w:rPr>
        <w:t>l</w:t>
      </w:r>
      <w:r w:rsidRPr="00F334AF">
        <w:rPr>
          <w:sz w:val="22"/>
          <w:szCs w:val="22"/>
          <w:lang w:val="sr-Latn-ME" w:eastAsia="hr-HR"/>
        </w:rPr>
        <w:t xml:space="preserve"> sa koncentracijama (C</w:t>
      </w:r>
      <w:r w:rsidRPr="00F334AF">
        <w:rPr>
          <w:sz w:val="22"/>
          <w:szCs w:val="22"/>
          <w:vertAlign w:val="subscript"/>
          <w:lang w:val="sr-Latn-ME" w:eastAsia="hr-HR"/>
        </w:rPr>
        <w:t>min</w:t>
      </w:r>
      <w:r w:rsidRPr="00F334AF">
        <w:rPr>
          <w:sz w:val="22"/>
          <w:szCs w:val="22"/>
          <w:lang w:val="sr-Latn-ME" w:eastAsia="hr-HR"/>
        </w:rPr>
        <w:t>) na kraju drugog i trećeg. dana terapije iznad 0,4 µg/m</w:t>
      </w:r>
      <w:r w:rsidR="00DD057B" w:rsidRPr="00F334AF">
        <w:rPr>
          <w:sz w:val="22"/>
          <w:szCs w:val="22"/>
          <w:lang w:val="sr-Latn-ME" w:eastAsia="hr-HR"/>
        </w:rPr>
        <w:t>l</w:t>
      </w:r>
      <w:r w:rsidRPr="00F334AF">
        <w:rPr>
          <w:sz w:val="22"/>
          <w:szCs w:val="22"/>
          <w:lang w:val="sr-Latn-ME" w:eastAsia="hr-HR"/>
        </w:rPr>
        <w:t>. Medijan</w:t>
      </w:r>
      <w:r w:rsidR="004A068A" w:rsidRPr="00F334AF">
        <w:rPr>
          <w:sz w:val="22"/>
          <w:szCs w:val="22"/>
          <w:lang w:val="sr-Latn-ME" w:eastAsia="hr-HR"/>
        </w:rPr>
        <w:t>a</w:t>
      </w:r>
      <w:r w:rsidRPr="00F334AF">
        <w:rPr>
          <w:sz w:val="22"/>
          <w:szCs w:val="22"/>
          <w:lang w:val="sr-Latn-ME" w:eastAsia="hr-HR"/>
        </w:rPr>
        <w:t xml:space="preserve"> maksimalnih koncentracija u plazmi (C</w:t>
      </w:r>
      <w:r w:rsidRPr="00F334AF">
        <w:rPr>
          <w:sz w:val="22"/>
          <w:szCs w:val="22"/>
          <w:vertAlign w:val="subscript"/>
          <w:lang w:val="sr-Latn-ME" w:eastAsia="hr-HR"/>
        </w:rPr>
        <w:t>max</w:t>
      </w:r>
      <w:r w:rsidRPr="00F334AF">
        <w:rPr>
          <w:sz w:val="22"/>
          <w:szCs w:val="22"/>
          <w:lang w:val="sr-Latn-ME" w:eastAsia="hr-HR"/>
        </w:rPr>
        <w:t>) iznos</w:t>
      </w:r>
      <w:r w:rsidR="004A068A" w:rsidRPr="00F334AF">
        <w:rPr>
          <w:sz w:val="22"/>
          <w:szCs w:val="22"/>
          <w:lang w:val="sr-Latn-ME" w:eastAsia="hr-HR"/>
        </w:rPr>
        <w:t>ila</w:t>
      </w:r>
      <w:r w:rsidRPr="00F334AF">
        <w:rPr>
          <w:sz w:val="22"/>
          <w:szCs w:val="22"/>
          <w:lang w:val="sr-Latn-ME" w:eastAsia="hr-HR"/>
        </w:rPr>
        <w:t xml:space="preserve"> je približno 1,3 µg/ml prvog dana terapije i nastupi</w:t>
      </w:r>
      <w:r w:rsidR="004A068A" w:rsidRPr="00F334AF">
        <w:rPr>
          <w:sz w:val="22"/>
          <w:szCs w:val="22"/>
          <w:lang w:val="sr-Latn-ME" w:eastAsia="hr-HR"/>
        </w:rPr>
        <w:t>la</w:t>
      </w:r>
      <w:r w:rsidRPr="00F334AF">
        <w:rPr>
          <w:sz w:val="22"/>
          <w:szCs w:val="22"/>
          <w:lang w:val="sr-Latn-ME" w:eastAsia="hr-HR"/>
        </w:rPr>
        <w:t xml:space="preserve"> je nakon približno 4 sata. U sklopu trodnevnog režima liječenja, doziranjem aprepitant praška za oralnu suspenziju (3/2/2</w:t>
      </w:r>
      <w:r w:rsidRPr="00F334AF">
        <w:rPr>
          <w:sz w:val="22"/>
          <w:szCs w:val="22"/>
          <w:lang w:val="sr-Latn-ME" w:eastAsia="hr-HR"/>
        </w:rPr>
        <w:noBreakHyphen/>
        <w:t>mg/kg) kod pacijenata uzrasta od 6 mjeseci do manje od 12 godina, kod većine je pacijenata prvog dana terapije postignut PIK</w:t>
      </w:r>
      <w:r w:rsidRPr="00F334AF">
        <w:rPr>
          <w:sz w:val="22"/>
          <w:szCs w:val="22"/>
          <w:vertAlign w:val="subscript"/>
          <w:lang w:val="sr-Latn-ME" w:eastAsia="hr-HR"/>
        </w:rPr>
        <w:t>0-24hr</w:t>
      </w:r>
      <w:r w:rsidRPr="00F334AF">
        <w:rPr>
          <w:sz w:val="22"/>
          <w:szCs w:val="22"/>
          <w:lang w:val="sr-Latn-ME" w:eastAsia="hr-HR"/>
        </w:rPr>
        <w:t xml:space="preserve"> iznad 17 µg•hr/ml sa koncentracijama (C</w:t>
      </w:r>
      <w:r w:rsidRPr="00F334AF">
        <w:rPr>
          <w:sz w:val="22"/>
          <w:szCs w:val="22"/>
          <w:vertAlign w:val="subscript"/>
          <w:lang w:val="sr-Latn-ME" w:eastAsia="hr-HR"/>
        </w:rPr>
        <w:t>min</w:t>
      </w:r>
      <w:r w:rsidRPr="00F334AF">
        <w:rPr>
          <w:sz w:val="22"/>
          <w:szCs w:val="22"/>
          <w:lang w:val="sr-Latn-ME" w:eastAsia="hr-HR"/>
        </w:rPr>
        <w:t>) na kraju drugog i trećeg dana terapije iznad 0,1 µg/ml. Medijan</w:t>
      </w:r>
      <w:r w:rsidR="004A068A" w:rsidRPr="00F334AF">
        <w:rPr>
          <w:sz w:val="22"/>
          <w:szCs w:val="22"/>
          <w:lang w:val="sr-Latn-ME" w:eastAsia="hr-HR"/>
        </w:rPr>
        <w:t>a</w:t>
      </w:r>
      <w:r w:rsidRPr="00F334AF">
        <w:rPr>
          <w:sz w:val="22"/>
          <w:szCs w:val="22"/>
          <w:lang w:val="sr-Latn-ME" w:eastAsia="hr-HR"/>
        </w:rPr>
        <w:t xml:space="preserve"> maksimalnih koncentracija u plazmi (C</w:t>
      </w:r>
      <w:r w:rsidRPr="00F334AF">
        <w:rPr>
          <w:sz w:val="22"/>
          <w:szCs w:val="22"/>
          <w:vertAlign w:val="subscript"/>
          <w:lang w:val="sr-Latn-ME" w:eastAsia="hr-HR"/>
        </w:rPr>
        <w:t>max</w:t>
      </w:r>
      <w:r w:rsidRPr="00F334AF">
        <w:rPr>
          <w:sz w:val="22"/>
          <w:szCs w:val="22"/>
          <w:lang w:val="sr-Latn-ME" w:eastAsia="hr-HR"/>
        </w:rPr>
        <w:t>) iznosi</w:t>
      </w:r>
      <w:r w:rsidR="004A068A" w:rsidRPr="00F334AF">
        <w:rPr>
          <w:sz w:val="22"/>
          <w:szCs w:val="22"/>
          <w:lang w:val="sr-Latn-ME" w:eastAsia="hr-HR"/>
        </w:rPr>
        <w:t>la</w:t>
      </w:r>
      <w:r w:rsidRPr="00F334AF">
        <w:rPr>
          <w:sz w:val="22"/>
          <w:szCs w:val="22"/>
          <w:lang w:val="sr-Latn-ME" w:eastAsia="hr-HR"/>
        </w:rPr>
        <w:t xml:space="preserve"> je približno 1,2 µg/m</w:t>
      </w:r>
      <w:r w:rsidR="00DD057B" w:rsidRPr="00F334AF">
        <w:rPr>
          <w:sz w:val="22"/>
          <w:szCs w:val="22"/>
          <w:lang w:val="sr-Latn-ME" w:eastAsia="hr-HR"/>
        </w:rPr>
        <w:t>l</w:t>
      </w:r>
      <w:r w:rsidRPr="00F334AF">
        <w:rPr>
          <w:sz w:val="22"/>
          <w:szCs w:val="22"/>
          <w:lang w:val="sr-Latn-ME" w:eastAsia="hr-HR"/>
        </w:rPr>
        <w:t xml:space="preserve"> prvog dana terapije i nastupi</w:t>
      </w:r>
      <w:r w:rsidR="004A068A" w:rsidRPr="00F334AF">
        <w:rPr>
          <w:sz w:val="22"/>
          <w:szCs w:val="22"/>
          <w:lang w:val="sr-Latn-ME" w:eastAsia="hr-HR"/>
        </w:rPr>
        <w:t>la</w:t>
      </w:r>
      <w:r w:rsidRPr="00F334AF">
        <w:rPr>
          <w:sz w:val="22"/>
          <w:szCs w:val="22"/>
          <w:lang w:val="sr-Latn-ME" w:eastAsia="hr-HR"/>
        </w:rPr>
        <w:t xml:space="preserve"> je između 5 i 7 sati.</w:t>
      </w:r>
    </w:p>
    <w:p w14:paraId="63144AF4" w14:textId="77777777" w:rsidR="00E310B2" w:rsidRPr="00F334AF" w:rsidRDefault="00E310B2" w:rsidP="0034729B">
      <w:pPr>
        <w:widowControl w:val="0"/>
        <w:autoSpaceDE w:val="0"/>
        <w:autoSpaceDN w:val="0"/>
        <w:jc w:val="both"/>
        <w:rPr>
          <w:sz w:val="22"/>
          <w:szCs w:val="22"/>
          <w:lang w:val="sr-Latn-ME" w:eastAsia="hr-HR"/>
        </w:rPr>
      </w:pPr>
    </w:p>
    <w:p w14:paraId="1C8C6283" w14:textId="77777777" w:rsidR="00E310B2" w:rsidRPr="00F334AF" w:rsidRDefault="00E310B2" w:rsidP="0034729B">
      <w:pPr>
        <w:ind w:right="65"/>
        <w:jc w:val="both"/>
        <w:rPr>
          <w:bCs/>
          <w:sz w:val="22"/>
          <w:szCs w:val="22"/>
          <w:lang w:val="sr-Latn-ME"/>
        </w:rPr>
      </w:pPr>
      <w:r w:rsidRPr="00F334AF">
        <w:rPr>
          <w:sz w:val="22"/>
          <w:szCs w:val="22"/>
          <w:lang w:val="sr-Latn-ME" w:eastAsia="hr-HR"/>
        </w:rPr>
        <w:t>Populaciona farmakokinetička analiza aprepitanta kod pedijatrijskih pacijenata (uzrasta od 6 mjeseci do 17 godina) ukazuje na to da pol i rasa nemaju klinički značajan efekat na farmakokinetiku aprepitanta.</w:t>
      </w:r>
    </w:p>
    <w:p w14:paraId="50ABF655" w14:textId="77777777" w:rsidR="00E310B2" w:rsidRPr="00F334AF" w:rsidRDefault="00E310B2" w:rsidP="0034729B">
      <w:pPr>
        <w:ind w:right="65"/>
        <w:jc w:val="both"/>
        <w:rPr>
          <w:bCs/>
          <w:sz w:val="22"/>
          <w:szCs w:val="22"/>
          <w:lang w:val="sr-Latn-ME"/>
        </w:rPr>
      </w:pPr>
    </w:p>
    <w:p w14:paraId="2949E51D" w14:textId="0FF12267" w:rsidR="00E310B2" w:rsidRPr="00F334AF" w:rsidRDefault="00E310B2" w:rsidP="0034729B">
      <w:pPr>
        <w:ind w:right="65"/>
        <w:jc w:val="both"/>
        <w:rPr>
          <w:bCs/>
          <w:sz w:val="22"/>
          <w:szCs w:val="22"/>
          <w:lang w:val="sr-Latn-ME"/>
        </w:rPr>
      </w:pPr>
      <w:r w:rsidRPr="00F334AF">
        <w:rPr>
          <w:bCs/>
          <w:i/>
          <w:sz w:val="22"/>
          <w:szCs w:val="22"/>
          <w:u w:val="single"/>
          <w:lang w:val="sr-Latn-ME"/>
        </w:rPr>
        <w:t>Odnos između koncentracije i dejstva lijeka</w:t>
      </w:r>
      <w:r w:rsidRPr="00F334AF">
        <w:rPr>
          <w:bCs/>
          <w:sz w:val="22"/>
          <w:szCs w:val="22"/>
          <w:lang w:val="sr-Latn-ME"/>
        </w:rPr>
        <w:t>: Koristeći visoko specifični marker (</w:t>
      </w:r>
      <w:r w:rsidRPr="00F334AF">
        <w:rPr>
          <w:bCs/>
          <w:i/>
          <w:sz w:val="22"/>
          <w:szCs w:val="22"/>
          <w:lang w:val="sr-Latn-ME"/>
        </w:rPr>
        <w:t>tracer</w:t>
      </w:r>
      <w:r w:rsidRPr="00F334AF">
        <w:rPr>
          <w:bCs/>
          <w:sz w:val="22"/>
          <w:szCs w:val="22"/>
          <w:lang w:val="sr-Latn-ME"/>
        </w:rPr>
        <w:t>) za NK</w:t>
      </w:r>
      <w:r w:rsidRPr="00F334AF">
        <w:rPr>
          <w:bCs/>
          <w:sz w:val="22"/>
          <w:szCs w:val="22"/>
          <w:vertAlign w:val="subscript"/>
          <w:lang w:val="sr-Latn-ME"/>
        </w:rPr>
        <w:t>1</w:t>
      </w:r>
      <w:r w:rsidRPr="00F334AF">
        <w:rPr>
          <w:bCs/>
          <w:sz w:val="22"/>
          <w:szCs w:val="22"/>
          <w:lang w:val="sr-Latn-ME"/>
        </w:rPr>
        <w:t xml:space="preserve"> receptor, ispitivanja pomoću pozitronske emisione tomografije (PET studije) kod zdravih mladih dobrovoljaca muškog pola pokazala su da prodiranje aprepitanta u mozak i zauzimanje NK</w:t>
      </w:r>
      <w:r w:rsidRPr="00F334AF">
        <w:rPr>
          <w:bCs/>
          <w:sz w:val="22"/>
          <w:szCs w:val="22"/>
          <w:vertAlign w:val="subscript"/>
          <w:lang w:val="sr-Latn-ME"/>
        </w:rPr>
        <w:t>1</w:t>
      </w:r>
      <w:r w:rsidRPr="00F334AF">
        <w:rPr>
          <w:bCs/>
          <w:sz w:val="22"/>
          <w:szCs w:val="22"/>
          <w:lang w:val="sr-Latn-ME"/>
        </w:rPr>
        <w:t xml:space="preserve"> receptora zavisi od doze i koncentracije lijeka u plazmi. Za koncentracije aprepitanta u plazmi postignute u trodnevnom režimu liječenja lijekom </w:t>
      </w:r>
      <w:r w:rsidRPr="00F334AF">
        <w:rPr>
          <w:b/>
          <w:sz w:val="22"/>
          <w:szCs w:val="22"/>
          <w:lang w:val="sr-Latn-ME"/>
        </w:rPr>
        <w:t>EMEND</w:t>
      </w:r>
      <w:r w:rsidRPr="00F334AF">
        <w:rPr>
          <w:bCs/>
          <w:sz w:val="22"/>
          <w:szCs w:val="22"/>
          <w:lang w:val="sr-Latn-ME"/>
        </w:rPr>
        <w:t xml:space="preserve"> kod odraslih predviđa se da će imati više od 95% zauzimanja NK</w:t>
      </w:r>
      <w:r w:rsidRPr="00F334AF">
        <w:rPr>
          <w:bCs/>
          <w:sz w:val="22"/>
          <w:szCs w:val="22"/>
          <w:vertAlign w:val="subscript"/>
          <w:lang w:val="sr-Latn-ME"/>
        </w:rPr>
        <w:t>1</w:t>
      </w:r>
      <w:r w:rsidRPr="00F334AF">
        <w:rPr>
          <w:bCs/>
          <w:sz w:val="22"/>
          <w:szCs w:val="22"/>
          <w:lang w:val="sr-Latn-ME"/>
        </w:rPr>
        <w:t xml:space="preserve"> receptora u mozgu.</w:t>
      </w:r>
    </w:p>
    <w:p w14:paraId="57F67494" w14:textId="77777777" w:rsidR="0072020E" w:rsidRPr="00F334AF" w:rsidRDefault="0072020E" w:rsidP="0034729B">
      <w:pPr>
        <w:tabs>
          <w:tab w:val="left" w:pos="540"/>
          <w:tab w:val="left" w:pos="569"/>
        </w:tabs>
        <w:jc w:val="both"/>
        <w:rPr>
          <w:bCs/>
          <w:sz w:val="22"/>
          <w:szCs w:val="22"/>
          <w:lang w:val="sr-Latn-ME"/>
        </w:rPr>
      </w:pPr>
    </w:p>
    <w:p w14:paraId="24E3351F" w14:textId="77777777" w:rsidR="0072020E"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5.3. </w:t>
      </w:r>
      <w:r w:rsidR="00480FB1" w:rsidRPr="00F334AF">
        <w:rPr>
          <w:b/>
          <w:bCs/>
          <w:sz w:val="22"/>
          <w:szCs w:val="22"/>
          <w:lang w:val="sr-Latn-ME"/>
        </w:rPr>
        <w:tab/>
      </w:r>
      <w:r w:rsidRPr="00F334AF">
        <w:rPr>
          <w:b/>
          <w:bCs/>
          <w:sz w:val="22"/>
          <w:szCs w:val="22"/>
          <w:lang w:val="sr-Latn-ME"/>
        </w:rPr>
        <w:t xml:space="preserve">Pretklinički podaci o bezbjednosti </w:t>
      </w:r>
    </w:p>
    <w:p w14:paraId="3B79BA8F" w14:textId="77777777" w:rsidR="00836B35" w:rsidRPr="00F334AF" w:rsidRDefault="00836B35" w:rsidP="0034729B">
      <w:pPr>
        <w:tabs>
          <w:tab w:val="left" w:pos="540"/>
          <w:tab w:val="left" w:pos="569"/>
        </w:tabs>
        <w:jc w:val="both"/>
        <w:rPr>
          <w:bCs/>
          <w:sz w:val="22"/>
          <w:szCs w:val="22"/>
          <w:lang w:val="sr-Latn-ME"/>
        </w:rPr>
      </w:pPr>
    </w:p>
    <w:p w14:paraId="484F55C0" w14:textId="5586E988" w:rsidR="00E310B2" w:rsidRPr="00F334AF" w:rsidRDefault="00E310B2" w:rsidP="0034729B">
      <w:pPr>
        <w:tabs>
          <w:tab w:val="left" w:pos="540"/>
          <w:tab w:val="left" w:pos="569"/>
        </w:tabs>
        <w:jc w:val="both"/>
        <w:rPr>
          <w:sz w:val="22"/>
          <w:szCs w:val="22"/>
          <w:lang w:val="sr-Latn-ME"/>
        </w:rPr>
      </w:pPr>
      <w:r w:rsidRPr="00F334AF">
        <w:rPr>
          <w:sz w:val="22"/>
          <w:szCs w:val="22"/>
          <w:lang w:val="sr-Latn-ME"/>
        </w:rPr>
        <w:t xml:space="preserve">Pretklinički podaci dobijeni na osnovu konvencionalnih istraživanja toksičnosti pojedinačnih  i ponovljenih doza, genotoksičnosti, </w:t>
      </w:r>
      <w:r w:rsidR="00256EDE" w:rsidRPr="00F334AF">
        <w:rPr>
          <w:sz w:val="22"/>
          <w:szCs w:val="22"/>
          <w:lang w:val="sr-Latn-ME"/>
        </w:rPr>
        <w:t>kancerogenosti</w:t>
      </w:r>
      <w:r w:rsidRPr="00F334AF">
        <w:rPr>
          <w:sz w:val="22"/>
          <w:szCs w:val="22"/>
          <w:lang w:val="sr-Latn-ME"/>
        </w:rPr>
        <w:t xml:space="preserve">, reproduktivne i razvojne toksičnosti ne ukazuju na postojanje posebnog rizika za ljude. Ipak, treba imati na umu da je sistemska izloženost glodara u </w:t>
      </w:r>
      <w:r w:rsidRPr="00F334AF">
        <w:rPr>
          <w:sz w:val="22"/>
          <w:szCs w:val="22"/>
          <w:lang w:val="sr-Latn-ME"/>
        </w:rPr>
        <w:lastRenderedPageBreak/>
        <w:t xml:space="preserve">ispitivanjima bila slična ili čak niža od terapijske izloženosti kod ljudi pri dozama od 125 mg/80 mg. Drugim riječima, iako pri ovim dozama nijesu uočeni neželjeni efekti na reprodukciju, </w:t>
      </w:r>
      <w:r w:rsidR="00256EDE" w:rsidRPr="00F334AF">
        <w:rPr>
          <w:sz w:val="22"/>
          <w:szCs w:val="22"/>
          <w:lang w:val="sr-Latn-ME"/>
        </w:rPr>
        <w:t xml:space="preserve">nivoi izloženosti </w:t>
      </w:r>
      <w:r w:rsidRPr="00F334AF">
        <w:rPr>
          <w:sz w:val="22"/>
          <w:szCs w:val="22"/>
          <w:lang w:val="sr-Latn-ME"/>
        </w:rPr>
        <w:t>kod životinja nijesu bil</w:t>
      </w:r>
      <w:r w:rsidR="00256EDE" w:rsidRPr="00F334AF">
        <w:rPr>
          <w:sz w:val="22"/>
          <w:szCs w:val="22"/>
          <w:lang w:val="sr-Latn-ME"/>
        </w:rPr>
        <w:t>i</w:t>
      </w:r>
      <w:r w:rsidRPr="00F334AF">
        <w:rPr>
          <w:sz w:val="22"/>
          <w:szCs w:val="22"/>
          <w:lang w:val="sr-Latn-ME"/>
        </w:rPr>
        <w:t xml:space="preserve"> dovoljno visok</w:t>
      </w:r>
      <w:r w:rsidR="00256EDE" w:rsidRPr="00F334AF">
        <w:rPr>
          <w:sz w:val="22"/>
          <w:szCs w:val="22"/>
          <w:lang w:val="sr-Latn-ME"/>
        </w:rPr>
        <w:t>i</w:t>
      </w:r>
      <w:r w:rsidRPr="00F334AF">
        <w:rPr>
          <w:sz w:val="22"/>
          <w:szCs w:val="22"/>
          <w:lang w:val="sr-Latn-ME"/>
        </w:rPr>
        <w:t xml:space="preserve"> da bi se izvršila odgovarajuća procjena rizika za ljude.</w:t>
      </w:r>
    </w:p>
    <w:p w14:paraId="6AB8C916" w14:textId="7FF59E3A" w:rsidR="00E310B2" w:rsidRPr="00F334AF" w:rsidRDefault="00E310B2" w:rsidP="00BB35C9">
      <w:pPr>
        <w:ind w:right="65"/>
        <w:jc w:val="both"/>
        <w:rPr>
          <w:sz w:val="22"/>
          <w:szCs w:val="22"/>
          <w:lang w:val="sr-Latn-ME"/>
        </w:rPr>
      </w:pPr>
      <w:r w:rsidRPr="00F334AF">
        <w:rPr>
          <w:sz w:val="22"/>
          <w:szCs w:val="22"/>
          <w:lang w:val="sr-Latn-ME"/>
        </w:rPr>
        <w:t xml:space="preserve">U ispitivanju juvenilne toksičnosti na pacovima, </w:t>
      </w:r>
      <w:r w:rsidR="00256EDE" w:rsidRPr="00F334AF">
        <w:rPr>
          <w:sz w:val="22"/>
          <w:szCs w:val="22"/>
          <w:lang w:val="sr-Latn-ME"/>
        </w:rPr>
        <w:t xml:space="preserve">na </w:t>
      </w:r>
      <w:r w:rsidRPr="00F334AF">
        <w:rPr>
          <w:sz w:val="22"/>
          <w:szCs w:val="22"/>
          <w:lang w:val="sr-Latn-ME"/>
        </w:rPr>
        <w:t>koji</w:t>
      </w:r>
      <w:r w:rsidR="00256EDE" w:rsidRPr="00F334AF">
        <w:rPr>
          <w:sz w:val="22"/>
          <w:szCs w:val="22"/>
          <w:lang w:val="sr-Latn-ME"/>
        </w:rPr>
        <w:t>ma je primijenjen</w:t>
      </w:r>
      <w:r w:rsidRPr="00F334AF">
        <w:rPr>
          <w:sz w:val="22"/>
          <w:szCs w:val="22"/>
          <w:lang w:val="sr-Latn-ME"/>
        </w:rPr>
        <w:t xml:space="preserve"> aprepitant od 10. do 63. postnatalnog dana dovelo je do ranijeg otvaranja vagine kod ženki kod doza od 250 mg/kg dvaput na dan i do kasnijeg razdvajanja prepucij</w:t>
      </w:r>
      <w:r w:rsidR="00256EDE" w:rsidRPr="00F334AF">
        <w:rPr>
          <w:sz w:val="22"/>
          <w:szCs w:val="22"/>
          <w:lang w:val="sr-Latn-ME"/>
        </w:rPr>
        <w:t>um</w:t>
      </w:r>
      <w:r w:rsidRPr="00F334AF">
        <w:rPr>
          <w:sz w:val="22"/>
          <w:szCs w:val="22"/>
          <w:lang w:val="sr-Latn-ME"/>
        </w:rPr>
        <w:t>a kod mužjaka kod doza od 10 mg/kg dvaput na dan. Nije bilo margine za klinički značajnu izloženost. Nije bilo efekata na parenje, plodnost ili embriofetalno preživljavanje, kao ni patoloških promjena na reproduktivnim organima</w:t>
      </w:r>
      <w:r w:rsidR="004A068A" w:rsidRPr="00F334AF">
        <w:rPr>
          <w:sz w:val="22"/>
          <w:szCs w:val="22"/>
          <w:lang w:val="sr-Latn-ME"/>
        </w:rPr>
        <w:t xml:space="preserve"> povezanih sa liječenjem</w:t>
      </w:r>
      <w:r w:rsidRPr="00F334AF">
        <w:rPr>
          <w:sz w:val="22"/>
          <w:szCs w:val="22"/>
          <w:lang w:val="sr-Latn-ME"/>
        </w:rPr>
        <w:t xml:space="preserve">. U ispitivanju juvenilne toksičnosti na psima </w:t>
      </w:r>
      <w:r w:rsidR="00256EDE" w:rsidRPr="00F334AF">
        <w:rPr>
          <w:sz w:val="22"/>
          <w:szCs w:val="22"/>
          <w:lang w:val="sr-Latn-ME"/>
        </w:rPr>
        <w:t xml:space="preserve">na </w:t>
      </w:r>
      <w:r w:rsidRPr="00F334AF">
        <w:rPr>
          <w:sz w:val="22"/>
          <w:szCs w:val="22"/>
          <w:lang w:val="sr-Latn-ME"/>
        </w:rPr>
        <w:t>koji</w:t>
      </w:r>
      <w:r w:rsidR="00256EDE" w:rsidRPr="00F334AF">
        <w:rPr>
          <w:sz w:val="22"/>
          <w:szCs w:val="22"/>
          <w:lang w:val="sr-Latn-ME"/>
        </w:rPr>
        <w:t>ma je aprepitant primijenjen</w:t>
      </w:r>
      <w:r w:rsidRPr="00F334AF">
        <w:rPr>
          <w:sz w:val="22"/>
          <w:szCs w:val="22"/>
          <w:lang w:val="sr-Latn-ME"/>
        </w:rPr>
        <w:t xml:space="preserve"> od 14. do 42. postnatalnog dana zapažena je smanjena masa testisa i veličina Leydig - ovih ćelija kod mužjaka kod doze od 6 mg/kg na dan i povećana masa uterusa, hipertrofija uterusa i cerviksa i edem vaginalnog tkiva kod ženki kod doza od 4 mg/kg na dan. Nije bilo margine za klinički značajnu izloženost aprepitantu. Za kratkotrajno liječenje u skladu sa režimom preporučenih doza, smatra se da ovi nalazi najv</w:t>
      </w:r>
      <w:r w:rsidR="004A068A" w:rsidRPr="00F334AF">
        <w:rPr>
          <w:sz w:val="22"/>
          <w:szCs w:val="22"/>
          <w:lang w:val="sr-Latn-ME"/>
        </w:rPr>
        <w:t>j</w:t>
      </w:r>
      <w:r w:rsidRPr="00F334AF">
        <w:rPr>
          <w:sz w:val="22"/>
          <w:szCs w:val="22"/>
          <w:lang w:val="sr-Latn-ME"/>
        </w:rPr>
        <w:t>erovatnije nemaju kliničku važnost.</w:t>
      </w:r>
    </w:p>
    <w:p w14:paraId="47F6C0B0" w14:textId="0D455056" w:rsidR="00396DFD" w:rsidRPr="00F334AF" w:rsidRDefault="00396DFD" w:rsidP="0034729B">
      <w:pPr>
        <w:tabs>
          <w:tab w:val="left" w:pos="540"/>
          <w:tab w:val="left" w:pos="569"/>
        </w:tabs>
        <w:jc w:val="both"/>
        <w:rPr>
          <w:b/>
          <w:bCs/>
          <w:sz w:val="22"/>
          <w:szCs w:val="22"/>
          <w:lang w:val="sr-Latn-ME"/>
        </w:rPr>
      </w:pPr>
    </w:p>
    <w:p w14:paraId="37279ACE" w14:textId="77777777" w:rsidR="008D721F" w:rsidRPr="00F334AF" w:rsidRDefault="008D721F" w:rsidP="0034729B">
      <w:pPr>
        <w:tabs>
          <w:tab w:val="left" w:pos="540"/>
          <w:tab w:val="left" w:pos="569"/>
        </w:tabs>
        <w:jc w:val="both"/>
        <w:rPr>
          <w:b/>
          <w:bCs/>
          <w:sz w:val="22"/>
          <w:szCs w:val="22"/>
          <w:lang w:val="sr-Latn-ME"/>
        </w:rPr>
      </w:pPr>
    </w:p>
    <w:p w14:paraId="604AF761" w14:textId="77777777" w:rsidR="0072020E"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6. </w:t>
      </w:r>
      <w:r w:rsidR="00480FB1" w:rsidRPr="00F334AF">
        <w:rPr>
          <w:b/>
          <w:bCs/>
          <w:sz w:val="22"/>
          <w:szCs w:val="22"/>
          <w:lang w:val="sr-Latn-ME"/>
        </w:rPr>
        <w:tab/>
      </w:r>
      <w:r w:rsidRPr="00F334AF">
        <w:rPr>
          <w:b/>
          <w:bCs/>
          <w:sz w:val="22"/>
          <w:szCs w:val="22"/>
          <w:lang w:val="sr-Latn-ME"/>
        </w:rPr>
        <w:t>FARMACEUTSKI PODACI</w:t>
      </w:r>
    </w:p>
    <w:p w14:paraId="37011D1B" w14:textId="77777777" w:rsidR="00836B35" w:rsidRPr="00F334AF" w:rsidRDefault="00836B35" w:rsidP="0034729B">
      <w:pPr>
        <w:tabs>
          <w:tab w:val="left" w:pos="540"/>
          <w:tab w:val="left" w:pos="569"/>
        </w:tabs>
        <w:jc w:val="both"/>
        <w:rPr>
          <w:bCs/>
          <w:sz w:val="22"/>
          <w:szCs w:val="22"/>
          <w:lang w:val="sr-Latn-ME"/>
        </w:rPr>
      </w:pPr>
    </w:p>
    <w:p w14:paraId="40C6589E" w14:textId="77777777" w:rsidR="0072020E"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6.1. </w:t>
      </w:r>
      <w:r w:rsidR="00480FB1" w:rsidRPr="00F334AF">
        <w:rPr>
          <w:b/>
          <w:bCs/>
          <w:sz w:val="22"/>
          <w:szCs w:val="22"/>
          <w:lang w:val="sr-Latn-ME"/>
        </w:rPr>
        <w:tab/>
      </w:r>
      <w:r w:rsidRPr="00F334AF">
        <w:rPr>
          <w:b/>
          <w:bCs/>
          <w:sz w:val="22"/>
          <w:szCs w:val="22"/>
          <w:lang w:val="sr-Latn-ME"/>
        </w:rPr>
        <w:t>Lista pomoćnih supstanci</w:t>
      </w:r>
      <w:r w:rsidR="002E0135" w:rsidRPr="00F334AF">
        <w:rPr>
          <w:b/>
          <w:bCs/>
          <w:sz w:val="22"/>
          <w:szCs w:val="22"/>
          <w:lang w:val="sr-Latn-ME"/>
        </w:rPr>
        <w:t xml:space="preserve"> (ekscipijenasa)</w:t>
      </w:r>
    </w:p>
    <w:p w14:paraId="14428E00" w14:textId="43C2D860" w:rsidR="0072020E" w:rsidRPr="00F334AF" w:rsidRDefault="0072020E" w:rsidP="0034729B">
      <w:pPr>
        <w:tabs>
          <w:tab w:val="left" w:pos="540"/>
          <w:tab w:val="left" w:pos="569"/>
        </w:tabs>
        <w:jc w:val="both"/>
        <w:rPr>
          <w:bCs/>
          <w:sz w:val="22"/>
          <w:szCs w:val="22"/>
          <w:lang w:val="sr-Latn-ME"/>
        </w:rPr>
      </w:pPr>
    </w:p>
    <w:p w14:paraId="35E9D0D3" w14:textId="77777777" w:rsidR="00E310B2" w:rsidRPr="00F334AF" w:rsidRDefault="00E310B2" w:rsidP="0034729B">
      <w:pPr>
        <w:jc w:val="both"/>
        <w:rPr>
          <w:sz w:val="22"/>
          <w:szCs w:val="22"/>
          <w:u w:val="single"/>
          <w:lang w:val="sr-Latn-ME"/>
        </w:rPr>
      </w:pPr>
      <w:r w:rsidRPr="00F334AF">
        <w:rPr>
          <w:sz w:val="22"/>
          <w:szCs w:val="22"/>
          <w:u w:val="single"/>
          <w:lang w:val="sr-Latn-ME"/>
        </w:rPr>
        <w:t xml:space="preserve">Sadržaj kapsule </w:t>
      </w:r>
    </w:p>
    <w:p w14:paraId="7321F83A" w14:textId="25D52957" w:rsidR="008D721F" w:rsidRPr="00F334AF" w:rsidRDefault="008D721F" w:rsidP="008D721F">
      <w:pPr>
        <w:jc w:val="both"/>
        <w:rPr>
          <w:sz w:val="22"/>
          <w:szCs w:val="22"/>
          <w:lang w:val="sr-Latn-ME"/>
        </w:rPr>
      </w:pPr>
      <w:r w:rsidRPr="00F334AF">
        <w:rPr>
          <w:sz w:val="22"/>
          <w:szCs w:val="22"/>
          <w:lang w:val="sr-Latn-ME"/>
        </w:rPr>
        <w:t>Hidroksipropil celuloza (E 463)</w:t>
      </w:r>
    </w:p>
    <w:p w14:paraId="163D1139" w14:textId="7D9FC897" w:rsidR="008D721F" w:rsidRPr="00F334AF" w:rsidRDefault="008D721F" w:rsidP="0034729B">
      <w:pPr>
        <w:jc w:val="both"/>
        <w:rPr>
          <w:sz w:val="22"/>
          <w:szCs w:val="22"/>
          <w:lang w:val="sr-Latn-ME"/>
        </w:rPr>
      </w:pPr>
      <w:r w:rsidRPr="00F334AF">
        <w:rPr>
          <w:sz w:val="22"/>
          <w:szCs w:val="22"/>
          <w:lang w:val="sr-Latn-ME"/>
        </w:rPr>
        <w:t>Natrijum laurilsulfat</w:t>
      </w:r>
    </w:p>
    <w:p w14:paraId="65FCF8E7" w14:textId="64D68F1C" w:rsidR="00E310B2" w:rsidRPr="00F334AF" w:rsidRDefault="00E310B2" w:rsidP="0034729B">
      <w:pPr>
        <w:jc w:val="both"/>
        <w:rPr>
          <w:sz w:val="22"/>
          <w:szCs w:val="22"/>
          <w:lang w:val="sr-Latn-ME"/>
        </w:rPr>
      </w:pPr>
      <w:r w:rsidRPr="00F334AF">
        <w:rPr>
          <w:sz w:val="22"/>
          <w:szCs w:val="22"/>
          <w:lang w:val="sr-Latn-ME"/>
        </w:rPr>
        <w:t>Saharoza</w:t>
      </w:r>
    </w:p>
    <w:p w14:paraId="34E5B659" w14:textId="77777777" w:rsidR="00E310B2" w:rsidRPr="00F334AF" w:rsidRDefault="00E310B2" w:rsidP="0034729B">
      <w:pPr>
        <w:jc w:val="both"/>
        <w:rPr>
          <w:sz w:val="22"/>
          <w:szCs w:val="22"/>
          <w:lang w:val="sr-Latn-ME"/>
        </w:rPr>
      </w:pPr>
      <w:r w:rsidRPr="00F334AF">
        <w:rPr>
          <w:sz w:val="22"/>
          <w:szCs w:val="22"/>
          <w:lang w:val="sr-Latn-ME"/>
        </w:rPr>
        <w:t>Celuloza, mikrokristalna (E 460)</w:t>
      </w:r>
    </w:p>
    <w:p w14:paraId="6E63F2D0" w14:textId="77777777" w:rsidR="00E310B2" w:rsidRPr="00F334AF" w:rsidRDefault="00E310B2" w:rsidP="0034729B">
      <w:pPr>
        <w:jc w:val="both"/>
        <w:rPr>
          <w:sz w:val="22"/>
          <w:szCs w:val="22"/>
          <w:lang w:val="sr-Latn-ME"/>
        </w:rPr>
      </w:pPr>
    </w:p>
    <w:p w14:paraId="31AAC5B7" w14:textId="0D82C52B" w:rsidR="009B25EA" w:rsidRPr="00F334AF" w:rsidRDefault="00E310B2" w:rsidP="009B25EA">
      <w:pPr>
        <w:jc w:val="both"/>
        <w:rPr>
          <w:iCs/>
          <w:sz w:val="22"/>
          <w:szCs w:val="22"/>
          <w:lang w:val="sr-Latn-ME"/>
        </w:rPr>
      </w:pPr>
      <w:r w:rsidRPr="00F334AF">
        <w:rPr>
          <w:sz w:val="22"/>
          <w:szCs w:val="22"/>
          <w:u w:val="single"/>
          <w:lang w:val="sr-Latn-ME"/>
        </w:rPr>
        <w:t xml:space="preserve">Sastav </w:t>
      </w:r>
      <w:r w:rsidR="00F70E7B" w:rsidRPr="00F334AF">
        <w:rPr>
          <w:sz w:val="22"/>
          <w:szCs w:val="22"/>
          <w:u w:val="single"/>
          <w:lang w:val="sr-Latn-ME"/>
        </w:rPr>
        <w:t>omotača</w:t>
      </w:r>
      <w:r w:rsidR="008C22A9" w:rsidRPr="00F334AF">
        <w:rPr>
          <w:sz w:val="22"/>
          <w:szCs w:val="22"/>
          <w:u w:val="single"/>
          <w:lang w:val="sr-Latn-ME"/>
        </w:rPr>
        <w:t xml:space="preserve"> kapsule</w:t>
      </w:r>
      <w:r w:rsidR="00F70E7B" w:rsidRPr="00F334AF">
        <w:rPr>
          <w:sz w:val="22"/>
          <w:szCs w:val="22"/>
          <w:u w:val="single"/>
          <w:lang w:val="sr-Latn-ME"/>
        </w:rPr>
        <w:t xml:space="preserve"> </w:t>
      </w:r>
      <w:r w:rsidR="00744A80" w:rsidRPr="00F334AF">
        <w:rPr>
          <w:sz w:val="22"/>
          <w:szCs w:val="22"/>
          <w:u w:val="single"/>
          <w:lang w:val="sr-Latn-ME"/>
        </w:rPr>
        <w:t>EMEND 125 mg kapsula, tvrda</w:t>
      </w:r>
    </w:p>
    <w:p w14:paraId="09091C94" w14:textId="77777777" w:rsidR="00E310B2" w:rsidRPr="00F334AF" w:rsidRDefault="00E310B2" w:rsidP="0034729B">
      <w:pPr>
        <w:jc w:val="both"/>
        <w:rPr>
          <w:sz w:val="22"/>
          <w:szCs w:val="22"/>
          <w:lang w:val="sr-Latn-ME"/>
        </w:rPr>
      </w:pPr>
      <w:r w:rsidRPr="00F334AF">
        <w:rPr>
          <w:sz w:val="22"/>
          <w:szCs w:val="22"/>
          <w:lang w:val="sr-Latn-ME"/>
        </w:rPr>
        <w:t>Želatin</w:t>
      </w:r>
    </w:p>
    <w:p w14:paraId="3D9A017A" w14:textId="218B7503" w:rsidR="00E310B2" w:rsidRPr="00F334AF" w:rsidRDefault="00E310B2" w:rsidP="0034729B">
      <w:pPr>
        <w:tabs>
          <w:tab w:val="center" w:pos="4320"/>
          <w:tab w:val="right" w:pos="8640"/>
        </w:tabs>
        <w:ind w:right="65"/>
        <w:jc w:val="both"/>
        <w:rPr>
          <w:sz w:val="22"/>
          <w:szCs w:val="22"/>
          <w:lang w:val="sr-Latn-ME"/>
        </w:rPr>
      </w:pPr>
      <w:r w:rsidRPr="00F334AF">
        <w:rPr>
          <w:sz w:val="22"/>
          <w:szCs w:val="22"/>
          <w:lang w:val="sr-Latn-ME"/>
        </w:rPr>
        <w:t>Titan</w:t>
      </w:r>
      <w:r w:rsidR="009B25EA" w:rsidRPr="00F334AF">
        <w:rPr>
          <w:sz w:val="22"/>
          <w:szCs w:val="22"/>
          <w:lang w:val="sr-Latn-ME"/>
        </w:rPr>
        <w:t xml:space="preserve">ijum </w:t>
      </w:r>
      <w:r w:rsidRPr="00F334AF">
        <w:rPr>
          <w:sz w:val="22"/>
          <w:szCs w:val="22"/>
          <w:lang w:val="sr-Latn-ME"/>
        </w:rPr>
        <w:t>dioksid (E 171)</w:t>
      </w:r>
    </w:p>
    <w:p w14:paraId="58378980" w14:textId="21D5DD87" w:rsidR="00E310B2" w:rsidRPr="00F334AF" w:rsidRDefault="00E310B2" w:rsidP="0034729B">
      <w:pPr>
        <w:tabs>
          <w:tab w:val="center" w:pos="4320"/>
          <w:tab w:val="right" w:pos="8640"/>
        </w:tabs>
        <w:ind w:right="65"/>
        <w:jc w:val="both"/>
        <w:rPr>
          <w:sz w:val="22"/>
          <w:szCs w:val="22"/>
          <w:lang w:val="sr-Latn-ME"/>
        </w:rPr>
      </w:pPr>
      <w:r w:rsidRPr="00F334AF">
        <w:rPr>
          <w:sz w:val="22"/>
          <w:szCs w:val="22"/>
          <w:lang w:val="sr-Latn-ME"/>
        </w:rPr>
        <w:t>Gvožđe (III)</w:t>
      </w:r>
      <w:r w:rsidR="009B25EA" w:rsidRPr="00F334AF">
        <w:rPr>
          <w:sz w:val="22"/>
          <w:szCs w:val="22"/>
          <w:lang w:val="sr-Latn-ME"/>
        </w:rPr>
        <w:t xml:space="preserve"> </w:t>
      </w:r>
      <w:r w:rsidRPr="00F334AF">
        <w:rPr>
          <w:sz w:val="22"/>
          <w:szCs w:val="22"/>
          <w:lang w:val="sr-Latn-ME"/>
        </w:rPr>
        <w:t>oksid, crveni</w:t>
      </w:r>
      <w:r w:rsidR="009B25EA" w:rsidRPr="00F334AF">
        <w:rPr>
          <w:sz w:val="22"/>
          <w:szCs w:val="22"/>
          <w:lang w:val="sr-Latn-ME"/>
        </w:rPr>
        <w:t xml:space="preserve"> </w:t>
      </w:r>
      <w:r w:rsidRPr="00F334AF">
        <w:rPr>
          <w:sz w:val="22"/>
          <w:szCs w:val="22"/>
          <w:lang w:val="sr-Latn-ME"/>
        </w:rPr>
        <w:t>(E</w:t>
      </w:r>
      <w:r w:rsidR="009B25EA" w:rsidRPr="00F334AF">
        <w:rPr>
          <w:sz w:val="22"/>
          <w:szCs w:val="22"/>
          <w:lang w:val="sr-Latn-ME"/>
        </w:rPr>
        <w:t xml:space="preserve"> </w:t>
      </w:r>
      <w:r w:rsidRPr="00F334AF">
        <w:rPr>
          <w:sz w:val="22"/>
          <w:szCs w:val="22"/>
          <w:lang w:val="sr-Latn-ME"/>
        </w:rPr>
        <w:t>172)</w:t>
      </w:r>
    </w:p>
    <w:p w14:paraId="65A2C7B8" w14:textId="24A047A2" w:rsidR="00E310B2" w:rsidRPr="00F334AF" w:rsidRDefault="00E310B2" w:rsidP="0034729B">
      <w:pPr>
        <w:tabs>
          <w:tab w:val="center" w:pos="4320"/>
          <w:tab w:val="right" w:pos="8640"/>
        </w:tabs>
        <w:ind w:right="65"/>
        <w:jc w:val="both"/>
        <w:rPr>
          <w:sz w:val="22"/>
          <w:szCs w:val="22"/>
          <w:lang w:val="sr-Latn-ME"/>
        </w:rPr>
      </w:pPr>
      <w:r w:rsidRPr="00F334AF">
        <w:rPr>
          <w:sz w:val="22"/>
          <w:szCs w:val="22"/>
          <w:lang w:val="sr-Latn-ME"/>
        </w:rPr>
        <w:t>Gvožđe (III)</w:t>
      </w:r>
      <w:r w:rsidR="009B25EA" w:rsidRPr="00F334AF">
        <w:rPr>
          <w:sz w:val="22"/>
          <w:szCs w:val="22"/>
          <w:lang w:val="sr-Latn-ME"/>
        </w:rPr>
        <w:t xml:space="preserve"> </w:t>
      </w:r>
      <w:r w:rsidRPr="00F334AF">
        <w:rPr>
          <w:sz w:val="22"/>
          <w:szCs w:val="22"/>
          <w:lang w:val="sr-Latn-ME"/>
        </w:rPr>
        <w:t>oksid, žuti</w:t>
      </w:r>
      <w:r w:rsidR="009B25EA" w:rsidRPr="00F334AF">
        <w:rPr>
          <w:sz w:val="22"/>
          <w:szCs w:val="22"/>
          <w:lang w:val="sr-Latn-ME"/>
        </w:rPr>
        <w:t xml:space="preserve"> </w:t>
      </w:r>
      <w:r w:rsidRPr="00F334AF">
        <w:rPr>
          <w:sz w:val="22"/>
          <w:szCs w:val="22"/>
          <w:lang w:val="sr-Latn-ME"/>
        </w:rPr>
        <w:t>(E</w:t>
      </w:r>
      <w:r w:rsidR="009B25EA" w:rsidRPr="00F334AF">
        <w:rPr>
          <w:sz w:val="22"/>
          <w:szCs w:val="22"/>
          <w:lang w:val="sr-Latn-ME"/>
        </w:rPr>
        <w:t xml:space="preserve"> </w:t>
      </w:r>
      <w:r w:rsidRPr="00F334AF">
        <w:rPr>
          <w:sz w:val="22"/>
          <w:szCs w:val="22"/>
          <w:lang w:val="sr-Latn-ME"/>
        </w:rPr>
        <w:t>172)</w:t>
      </w:r>
    </w:p>
    <w:p w14:paraId="393F8657" w14:textId="77777777" w:rsidR="009B25EA" w:rsidRPr="00F334AF" w:rsidRDefault="009B25EA" w:rsidP="0034729B">
      <w:pPr>
        <w:jc w:val="both"/>
        <w:rPr>
          <w:sz w:val="22"/>
          <w:szCs w:val="22"/>
          <w:lang w:val="sr-Latn-ME"/>
        </w:rPr>
      </w:pPr>
    </w:p>
    <w:p w14:paraId="5E20B717" w14:textId="5EE74A6E" w:rsidR="00E310B2" w:rsidRPr="00F334AF" w:rsidRDefault="00E310B2" w:rsidP="0034729B">
      <w:pPr>
        <w:jc w:val="both"/>
        <w:rPr>
          <w:sz w:val="22"/>
          <w:szCs w:val="22"/>
          <w:u w:val="single"/>
          <w:lang w:val="sr-Latn-ME"/>
        </w:rPr>
      </w:pPr>
      <w:r w:rsidRPr="00F334AF">
        <w:rPr>
          <w:sz w:val="22"/>
          <w:szCs w:val="22"/>
          <w:u w:val="single"/>
          <w:lang w:val="sr-Latn-ME"/>
        </w:rPr>
        <w:t xml:space="preserve">Sastav </w:t>
      </w:r>
      <w:r w:rsidR="00F70E7B" w:rsidRPr="00F334AF">
        <w:rPr>
          <w:sz w:val="22"/>
          <w:szCs w:val="22"/>
          <w:u w:val="single"/>
          <w:lang w:val="sr-Latn-ME"/>
        </w:rPr>
        <w:t xml:space="preserve">omotača </w:t>
      </w:r>
      <w:r w:rsidR="008C22A9" w:rsidRPr="00F334AF">
        <w:rPr>
          <w:sz w:val="22"/>
          <w:szCs w:val="22"/>
          <w:u w:val="single"/>
          <w:lang w:val="sr-Latn-ME"/>
        </w:rPr>
        <w:t>kapsule</w:t>
      </w:r>
      <w:r w:rsidR="00744A80" w:rsidRPr="00F334AF">
        <w:rPr>
          <w:sz w:val="22"/>
          <w:szCs w:val="22"/>
          <w:u w:val="single"/>
          <w:lang w:val="sr-Latn-ME"/>
        </w:rPr>
        <w:t xml:space="preserve"> EMEND 80 mg kapsula, tvrda </w:t>
      </w:r>
    </w:p>
    <w:p w14:paraId="281CDB21" w14:textId="77777777" w:rsidR="00E310B2" w:rsidRPr="00F334AF" w:rsidRDefault="00E310B2" w:rsidP="0034729B">
      <w:pPr>
        <w:jc w:val="both"/>
        <w:rPr>
          <w:sz w:val="22"/>
          <w:szCs w:val="22"/>
          <w:lang w:val="sr-Latn-ME"/>
        </w:rPr>
      </w:pPr>
      <w:r w:rsidRPr="00F334AF">
        <w:rPr>
          <w:sz w:val="22"/>
          <w:szCs w:val="22"/>
          <w:lang w:val="sr-Latn-ME"/>
        </w:rPr>
        <w:t>Želatin</w:t>
      </w:r>
    </w:p>
    <w:p w14:paraId="760F386F" w14:textId="6A1F4CED" w:rsidR="00E310B2" w:rsidRPr="00F334AF" w:rsidRDefault="00E310B2" w:rsidP="0034729B">
      <w:pPr>
        <w:tabs>
          <w:tab w:val="center" w:pos="4320"/>
          <w:tab w:val="right" w:pos="8640"/>
        </w:tabs>
        <w:ind w:right="65"/>
        <w:jc w:val="both"/>
        <w:rPr>
          <w:sz w:val="22"/>
          <w:szCs w:val="22"/>
          <w:lang w:val="sr-Latn-ME"/>
        </w:rPr>
      </w:pPr>
      <w:r w:rsidRPr="00F334AF">
        <w:rPr>
          <w:sz w:val="22"/>
          <w:szCs w:val="22"/>
          <w:lang w:val="sr-Latn-ME"/>
        </w:rPr>
        <w:t>Titan</w:t>
      </w:r>
      <w:r w:rsidR="009B25EA" w:rsidRPr="00F334AF">
        <w:rPr>
          <w:sz w:val="22"/>
          <w:szCs w:val="22"/>
          <w:lang w:val="sr-Latn-ME"/>
        </w:rPr>
        <w:t xml:space="preserve">ijum </w:t>
      </w:r>
      <w:r w:rsidRPr="00F334AF">
        <w:rPr>
          <w:sz w:val="22"/>
          <w:szCs w:val="22"/>
          <w:lang w:val="sr-Latn-ME"/>
        </w:rPr>
        <w:t>dioksid (E 171)</w:t>
      </w:r>
    </w:p>
    <w:p w14:paraId="0DDD8597" w14:textId="77777777" w:rsidR="00E310B2" w:rsidRPr="00F334AF" w:rsidRDefault="00E310B2" w:rsidP="0034729B">
      <w:pPr>
        <w:jc w:val="both"/>
        <w:rPr>
          <w:sz w:val="22"/>
          <w:szCs w:val="22"/>
          <w:lang w:val="sr-Latn-ME"/>
        </w:rPr>
      </w:pPr>
    </w:p>
    <w:p w14:paraId="065AB48C" w14:textId="5BDA6E3A" w:rsidR="00E310B2" w:rsidRPr="00F334AF" w:rsidRDefault="00E310B2" w:rsidP="0034729B">
      <w:pPr>
        <w:jc w:val="both"/>
        <w:rPr>
          <w:sz w:val="22"/>
          <w:szCs w:val="22"/>
          <w:u w:val="single"/>
          <w:lang w:val="sr-Latn-ME"/>
        </w:rPr>
      </w:pPr>
      <w:r w:rsidRPr="00F334AF">
        <w:rPr>
          <w:sz w:val="22"/>
          <w:szCs w:val="22"/>
          <w:u w:val="single"/>
          <w:lang w:val="sr-Latn-ME"/>
        </w:rPr>
        <w:t>Sastav mastila za obilj</w:t>
      </w:r>
      <w:r w:rsidR="009B25EA" w:rsidRPr="00F334AF">
        <w:rPr>
          <w:sz w:val="22"/>
          <w:szCs w:val="22"/>
          <w:u w:val="single"/>
          <w:lang w:val="sr-Latn-ME"/>
        </w:rPr>
        <w:t>e</w:t>
      </w:r>
      <w:r w:rsidRPr="00F334AF">
        <w:rPr>
          <w:sz w:val="22"/>
          <w:szCs w:val="22"/>
          <w:u w:val="single"/>
          <w:lang w:val="sr-Latn-ME"/>
        </w:rPr>
        <w:t>žavanje</w:t>
      </w:r>
    </w:p>
    <w:p w14:paraId="60CD054C" w14:textId="77777777" w:rsidR="00E310B2" w:rsidRPr="00F334AF" w:rsidRDefault="00E310B2" w:rsidP="0034729B">
      <w:pPr>
        <w:jc w:val="both"/>
        <w:rPr>
          <w:sz w:val="22"/>
          <w:szCs w:val="22"/>
          <w:lang w:val="sr-Latn-ME"/>
        </w:rPr>
      </w:pPr>
      <w:r w:rsidRPr="00F334AF">
        <w:rPr>
          <w:sz w:val="22"/>
          <w:szCs w:val="22"/>
          <w:lang w:val="sr-Latn-ME"/>
        </w:rPr>
        <w:t>Šelak</w:t>
      </w:r>
    </w:p>
    <w:p w14:paraId="3451156B" w14:textId="77777777" w:rsidR="00E310B2" w:rsidRPr="00F334AF" w:rsidRDefault="00E310B2" w:rsidP="0034729B">
      <w:pPr>
        <w:jc w:val="both"/>
        <w:rPr>
          <w:sz w:val="22"/>
          <w:szCs w:val="22"/>
          <w:lang w:val="sr-Latn-ME"/>
        </w:rPr>
      </w:pPr>
      <w:r w:rsidRPr="00F334AF">
        <w:rPr>
          <w:sz w:val="22"/>
          <w:szCs w:val="22"/>
          <w:lang w:val="sr-Latn-ME"/>
        </w:rPr>
        <w:t>Kalijum hidroksid</w:t>
      </w:r>
    </w:p>
    <w:p w14:paraId="25AF776C" w14:textId="125BF757" w:rsidR="00E310B2" w:rsidRPr="00F334AF" w:rsidRDefault="00E310B2" w:rsidP="0034729B">
      <w:pPr>
        <w:tabs>
          <w:tab w:val="center" w:pos="4320"/>
          <w:tab w:val="right" w:pos="8640"/>
        </w:tabs>
        <w:ind w:right="65"/>
        <w:jc w:val="both"/>
        <w:rPr>
          <w:sz w:val="22"/>
          <w:szCs w:val="22"/>
          <w:lang w:val="sr-Latn-ME"/>
        </w:rPr>
      </w:pPr>
      <w:r w:rsidRPr="00F334AF">
        <w:rPr>
          <w:sz w:val="22"/>
          <w:szCs w:val="22"/>
          <w:lang w:val="sr-Latn-ME"/>
        </w:rPr>
        <w:t>Gvožđe (III)</w:t>
      </w:r>
      <w:r w:rsidR="009B25EA" w:rsidRPr="00F334AF">
        <w:rPr>
          <w:sz w:val="22"/>
          <w:szCs w:val="22"/>
          <w:lang w:val="sr-Latn-ME"/>
        </w:rPr>
        <w:t xml:space="preserve"> </w:t>
      </w:r>
      <w:r w:rsidRPr="00F334AF">
        <w:rPr>
          <w:sz w:val="22"/>
          <w:szCs w:val="22"/>
          <w:lang w:val="sr-Latn-ME"/>
        </w:rPr>
        <w:t>oksid, crni (E</w:t>
      </w:r>
      <w:r w:rsidR="009B25EA" w:rsidRPr="00F334AF">
        <w:rPr>
          <w:sz w:val="22"/>
          <w:szCs w:val="22"/>
          <w:lang w:val="sr-Latn-ME"/>
        </w:rPr>
        <w:t xml:space="preserve"> </w:t>
      </w:r>
      <w:r w:rsidRPr="00F334AF">
        <w:rPr>
          <w:sz w:val="22"/>
          <w:szCs w:val="22"/>
          <w:lang w:val="sr-Latn-ME"/>
        </w:rPr>
        <w:t>172).</w:t>
      </w:r>
    </w:p>
    <w:p w14:paraId="24F3BEC2" w14:textId="77777777" w:rsidR="00E310B2" w:rsidRPr="00F334AF" w:rsidRDefault="00E310B2" w:rsidP="0034729B">
      <w:pPr>
        <w:tabs>
          <w:tab w:val="left" w:pos="540"/>
          <w:tab w:val="left" w:pos="569"/>
        </w:tabs>
        <w:jc w:val="both"/>
        <w:rPr>
          <w:bCs/>
          <w:sz w:val="22"/>
          <w:szCs w:val="22"/>
          <w:lang w:val="sr-Latn-ME"/>
        </w:rPr>
      </w:pPr>
    </w:p>
    <w:p w14:paraId="584E5F5B" w14:textId="77777777" w:rsidR="0072020E"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6.2. </w:t>
      </w:r>
      <w:r w:rsidR="00480FB1" w:rsidRPr="00F334AF">
        <w:rPr>
          <w:b/>
          <w:bCs/>
          <w:sz w:val="22"/>
          <w:szCs w:val="22"/>
          <w:lang w:val="sr-Latn-ME"/>
        </w:rPr>
        <w:tab/>
      </w:r>
      <w:r w:rsidRPr="00F334AF">
        <w:rPr>
          <w:b/>
          <w:bCs/>
          <w:sz w:val="22"/>
          <w:szCs w:val="22"/>
          <w:lang w:val="sr-Latn-ME"/>
        </w:rPr>
        <w:t>Inkompatibilnost</w:t>
      </w:r>
      <w:r w:rsidR="002846DB" w:rsidRPr="00F334AF">
        <w:rPr>
          <w:b/>
          <w:bCs/>
          <w:sz w:val="22"/>
          <w:szCs w:val="22"/>
          <w:lang w:val="sr-Latn-ME"/>
        </w:rPr>
        <w:t>i</w:t>
      </w:r>
    </w:p>
    <w:p w14:paraId="51ACF93A" w14:textId="37CF2078" w:rsidR="0072020E" w:rsidRPr="00F334AF" w:rsidRDefault="0072020E" w:rsidP="0034729B">
      <w:pPr>
        <w:tabs>
          <w:tab w:val="left" w:pos="540"/>
          <w:tab w:val="left" w:pos="569"/>
        </w:tabs>
        <w:jc w:val="both"/>
        <w:rPr>
          <w:bCs/>
          <w:sz w:val="22"/>
          <w:szCs w:val="22"/>
          <w:lang w:val="sr-Latn-ME"/>
        </w:rPr>
      </w:pPr>
    </w:p>
    <w:p w14:paraId="201D5DC2" w14:textId="6D2C89D6" w:rsidR="00E310B2" w:rsidRPr="00F334AF" w:rsidRDefault="00E310B2" w:rsidP="0034729B">
      <w:pPr>
        <w:tabs>
          <w:tab w:val="left" w:pos="540"/>
          <w:tab w:val="left" w:pos="569"/>
        </w:tabs>
        <w:jc w:val="both"/>
        <w:rPr>
          <w:bCs/>
          <w:sz w:val="22"/>
          <w:szCs w:val="22"/>
          <w:lang w:val="sr-Latn-ME"/>
        </w:rPr>
      </w:pPr>
      <w:r w:rsidRPr="00F334AF">
        <w:rPr>
          <w:bCs/>
          <w:sz w:val="22"/>
          <w:szCs w:val="22"/>
          <w:lang w:val="sr-Latn-ME"/>
        </w:rPr>
        <w:t>Nije primjen</w:t>
      </w:r>
      <w:r w:rsidR="009B25EA" w:rsidRPr="00F334AF">
        <w:rPr>
          <w:bCs/>
          <w:sz w:val="22"/>
          <w:szCs w:val="22"/>
          <w:lang w:val="sr-Latn-ME"/>
        </w:rPr>
        <w:t>lj</w:t>
      </w:r>
      <w:r w:rsidRPr="00F334AF">
        <w:rPr>
          <w:bCs/>
          <w:sz w:val="22"/>
          <w:szCs w:val="22"/>
          <w:lang w:val="sr-Latn-ME"/>
        </w:rPr>
        <w:t>ivo.</w:t>
      </w:r>
    </w:p>
    <w:p w14:paraId="2EB6F46D" w14:textId="77777777" w:rsidR="00E310B2" w:rsidRPr="00F334AF" w:rsidRDefault="00E310B2" w:rsidP="0034729B">
      <w:pPr>
        <w:tabs>
          <w:tab w:val="left" w:pos="540"/>
          <w:tab w:val="left" w:pos="569"/>
        </w:tabs>
        <w:jc w:val="both"/>
        <w:rPr>
          <w:bCs/>
          <w:sz w:val="22"/>
          <w:szCs w:val="22"/>
          <w:lang w:val="sr-Latn-ME"/>
        </w:rPr>
      </w:pPr>
    </w:p>
    <w:p w14:paraId="73E217BC" w14:textId="77777777" w:rsidR="0072020E" w:rsidRPr="00F334AF" w:rsidRDefault="0072020E" w:rsidP="0034729B">
      <w:pPr>
        <w:tabs>
          <w:tab w:val="left" w:pos="540"/>
          <w:tab w:val="left" w:pos="569"/>
        </w:tabs>
        <w:jc w:val="both"/>
        <w:rPr>
          <w:b/>
          <w:bCs/>
          <w:sz w:val="22"/>
          <w:szCs w:val="22"/>
          <w:lang w:val="sr-Latn-ME"/>
        </w:rPr>
      </w:pPr>
      <w:r w:rsidRPr="00F334AF">
        <w:rPr>
          <w:b/>
          <w:bCs/>
          <w:sz w:val="22"/>
          <w:szCs w:val="22"/>
          <w:lang w:val="sr-Latn-ME"/>
        </w:rPr>
        <w:t>6.3.</w:t>
      </w:r>
      <w:r w:rsidR="00C05DF8" w:rsidRPr="00F334AF">
        <w:rPr>
          <w:b/>
          <w:bCs/>
          <w:sz w:val="22"/>
          <w:szCs w:val="22"/>
          <w:lang w:val="sr-Latn-ME"/>
        </w:rPr>
        <w:t xml:space="preserve"> </w:t>
      </w:r>
      <w:r w:rsidR="00480FB1" w:rsidRPr="00F334AF">
        <w:rPr>
          <w:b/>
          <w:bCs/>
          <w:sz w:val="22"/>
          <w:szCs w:val="22"/>
          <w:lang w:val="sr-Latn-ME"/>
        </w:rPr>
        <w:tab/>
      </w:r>
      <w:r w:rsidRPr="00F334AF">
        <w:rPr>
          <w:b/>
          <w:bCs/>
          <w:sz w:val="22"/>
          <w:szCs w:val="22"/>
          <w:lang w:val="sr-Latn-ME"/>
        </w:rPr>
        <w:t>Rok upotrebe</w:t>
      </w:r>
    </w:p>
    <w:p w14:paraId="43B57631" w14:textId="118D2EA0" w:rsidR="0072020E" w:rsidRPr="00F334AF" w:rsidRDefault="0072020E" w:rsidP="0034729B">
      <w:pPr>
        <w:tabs>
          <w:tab w:val="left" w:pos="540"/>
          <w:tab w:val="left" w:pos="569"/>
        </w:tabs>
        <w:jc w:val="both"/>
        <w:rPr>
          <w:bCs/>
          <w:sz w:val="22"/>
          <w:szCs w:val="22"/>
          <w:lang w:val="sr-Latn-ME"/>
        </w:rPr>
      </w:pPr>
    </w:p>
    <w:p w14:paraId="70427A14" w14:textId="4A7D5F57" w:rsidR="00E310B2" w:rsidRPr="00F334AF" w:rsidRDefault="00E310B2" w:rsidP="0034729B">
      <w:pPr>
        <w:tabs>
          <w:tab w:val="left" w:pos="540"/>
          <w:tab w:val="left" w:pos="569"/>
        </w:tabs>
        <w:jc w:val="both"/>
        <w:rPr>
          <w:sz w:val="22"/>
          <w:szCs w:val="22"/>
          <w:lang w:val="sr-Latn-ME"/>
        </w:rPr>
      </w:pPr>
      <w:r w:rsidRPr="00F334AF">
        <w:rPr>
          <w:sz w:val="22"/>
          <w:szCs w:val="22"/>
          <w:lang w:val="sr-Latn-ME"/>
        </w:rPr>
        <w:t>4 godine.</w:t>
      </w:r>
    </w:p>
    <w:p w14:paraId="46BF6C70" w14:textId="77777777" w:rsidR="00E310B2" w:rsidRPr="00F334AF" w:rsidRDefault="00E310B2" w:rsidP="0034729B">
      <w:pPr>
        <w:tabs>
          <w:tab w:val="left" w:pos="540"/>
          <w:tab w:val="left" w:pos="569"/>
        </w:tabs>
        <w:jc w:val="both"/>
        <w:rPr>
          <w:bCs/>
          <w:sz w:val="22"/>
          <w:szCs w:val="22"/>
          <w:lang w:val="sr-Latn-ME"/>
        </w:rPr>
      </w:pPr>
    </w:p>
    <w:p w14:paraId="2384090C" w14:textId="77777777" w:rsidR="0072020E"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6.4. </w:t>
      </w:r>
      <w:r w:rsidR="00480FB1" w:rsidRPr="00F334AF">
        <w:rPr>
          <w:b/>
          <w:bCs/>
          <w:sz w:val="22"/>
          <w:szCs w:val="22"/>
          <w:lang w:val="sr-Latn-ME"/>
        </w:rPr>
        <w:tab/>
      </w:r>
      <w:r w:rsidRPr="00F334AF">
        <w:rPr>
          <w:b/>
          <w:bCs/>
          <w:sz w:val="22"/>
          <w:szCs w:val="22"/>
          <w:lang w:val="sr-Latn-ME"/>
        </w:rPr>
        <w:t>Posebne mjere upozorenja pri čuvanju</w:t>
      </w:r>
      <w:r w:rsidR="00F8570A" w:rsidRPr="00F334AF">
        <w:rPr>
          <w:b/>
          <w:bCs/>
          <w:sz w:val="22"/>
          <w:szCs w:val="22"/>
          <w:lang w:val="sr-Latn-ME"/>
        </w:rPr>
        <w:t xml:space="preserve"> lijeka</w:t>
      </w:r>
    </w:p>
    <w:p w14:paraId="1B5BE3A2" w14:textId="0FC25C0D" w:rsidR="00EC2532" w:rsidRPr="00F334AF" w:rsidRDefault="00EC2532" w:rsidP="0034729B">
      <w:pPr>
        <w:tabs>
          <w:tab w:val="left" w:pos="540"/>
          <w:tab w:val="left" w:pos="569"/>
        </w:tabs>
        <w:jc w:val="both"/>
        <w:rPr>
          <w:bCs/>
          <w:sz w:val="22"/>
          <w:szCs w:val="22"/>
          <w:lang w:val="sr-Latn-ME"/>
        </w:rPr>
      </w:pPr>
    </w:p>
    <w:p w14:paraId="1F3A6D10" w14:textId="77777777" w:rsidR="00E310B2" w:rsidRPr="00F334AF" w:rsidRDefault="00E310B2" w:rsidP="0034729B">
      <w:pPr>
        <w:pStyle w:val="Header"/>
        <w:tabs>
          <w:tab w:val="left" w:pos="284"/>
        </w:tabs>
        <w:ind w:right="65"/>
        <w:jc w:val="both"/>
        <w:rPr>
          <w:sz w:val="22"/>
          <w:szCs w:val="22"/>
          <w:lang w:val="sr-Latn-ME"/>
        </w:rPr>
      </w:pPr>
      <w:r w:rsidRPr="00F334AF">
        <w:rPr>
          <w:sz w:val="22"/>
          <w:szCs w:val="22"/>
          <w:lang w:val="sr-Latn-ME"/>
        </w:rPr>
        <w:t>Čuvati u originalnom pakovanju radi zaštite od vlage.</w:t>
      </w:r>
    </w:p>
    <w:p w14:paraId="2E521D4A" w14:textId="77777777" w:rsidR="00E310B2" w:rsidRPr="00F334AF" w:rsidRDefault="00E310B2" w:rsidP="0034729B">
      <w:pPr>
        <w:tabs>
          <w:tab w:val="left" w:pos="540"/>
          <w:tab w:val="left" w:pos="569"/>
        </w:tabs>
        <w:jc w:val="both"/>
        <w:rPr>
          <w:bCs/>
          <w:sz w:val="22"/>
          <w:szCs w:val="22"/>
          <w:lang w:val="sr-Latn-ME"/>
        </w:rPr>
      </w:pPr>
    </w:p>
    <w:p w14:paraId="2F388243" w14:textId="77777777" w:rsidR="0072020E"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6.5. </w:t>
      </w:r>
      <w:r w:rsidR="00480FB1" w:rsidRPr="00F334AF">
        <w:rPr>
          <w:b/>
          <w:bCs/>
          <w:sz w:val="22"/>
          <w:szCs w:val="22"/>
          <w:lang w:val="sr-Latn-ME"/>
        </w:rPr>
        <w:tab/>
      </w:r>
      <w:r w:rsidR="002846DB" w:rsidRPr="00F334AF">
        <w:rPr>
          <w:b/>
          <w:bCs/>
          <w:sz w:val="22"/>
          <w:szCs w:val="22"/>
          <w:lang w:val="sr-Latn-ME"/>
        </w:rPr>
        <w:t xml:space="preserve">Vrsta i sadržaj </w:t>
      </w:r>
      <w:r w:rsidR="00F8570A" w:rsidRPr="00F334AF">
        <w:rPr>
          <w:b/>
          <w:bCs/>
          <w:sz w:val="22"/>
          <w:szCs w:val="22"/>
          <w:lang w:val="sr-Latn-ME"/>
        </w:rPr>
        <w:t>pakovanja</w:t>
      </w:r>
      <w:r w:rsidR="00C06864" w:rsidRPr="00F334AF">
        <w:rPr>
          <w:b/>
          <w:bCs/>
          <w:sz w:val="22"/>
          <w:szCs w:val="22"/>
          <w:lang w:val="sr-Latn-ME"/>
        </w:rPr>
        <w:t xml:space="preserve"> </w:t>
      </w:r>
    </w:p>
    <w:p w14:paraId="25EA17F6" w14:textId="3DCC4E67" w:rsidR="0072020E" w:rsidRPr="00F334AF" w:rsidRDefault="0072020E" w:rsidP="0034729B">
      <w:pPr>
        <w:tabs>
          <w:tab w:val="left" w:pos="540"/>
          <w:tab w:val="left" w:pos="569"/>
        </w:tabs>
        <w:jc w:val="both"/>
        <w:rPr>
          <w:bCs/>
          <w:sz w:val="22"/>
          <w:szCs w:val="22"/>
          <w:lang w:val="sr-Latn-ME"/>
        </w:rPr>
      </w:pPr>
    </w:p>
    <w:p w14:paraId="0C049168" w14:textId="60B0D0A6" w:rsidR="00BF67C6" w:rsidRPr="00F334AF" w:rsidRDefault="00E310B2" w:rsidP="0034729B">
      <w:pPr>
        <w:pStyle w:val="Header"/>
        <w:tabs>
          <w:tab w:val="left" w:pos="284"/>
        </w:tabs>
        <w:ind w:right="65"/>
        <w:jc w:val="both"/>
        <w:rPr>
          <w:sz w:val="22"/>
          <w:szCs w:val="22"/>
          <w:lang w:val="sr-Latn-ME"/>
        </w:rPr>
      </w:pPr>
      <w:r w:rsidRPr="00F334AF">
        <w:rPr>
          <w:sz w:val="22"/>
          <w:szCs w:val="22"/>
          <w:lang w:val="sr-Latn-ME"/>
        </w:rPr>
        <w:t xml:space="preserve">Unutrašnje pakovanje je blister koji se sastoji iz dva dijela: PVC/Al/PA folije i Al ili Al/PET/papir folije. </w:t>
      </w:r>
    </w:p>
    <w:p w14:paraId="32E227C8" w14:textId="6B08620D" w:rsidR="00E310B2" w:rsidRPr="00F334AF" w:rsidRDefault="00BF67C6" w:rsidP="0034729B">
      <w:pPr>
        <w:pStyle w:val="Header"/>
        <w:tabs>
          <w:tab w:val="left" w:pos="284"/>
        </w:tabs>
        <w:ind w:right="65"/>
        <w:jc w:val="both"/>
        <w:rPr>
          <w:sz w:val="22"/>
          <w:szCs w:val="22"/>
          <w:lang w:val="sr-Latn-ME"/>
        </w:rPr>
      </w:pPr>
      <w:r w:rsidRPr="00F334AF">
        <w:rPr>
          <w:sz w:val="22"/>
          <w:szCs w:val="22"/>
          <w:lang w:val="sr-Latn-ME"/>
        </w:rPr>
        <w:lastRenderedPageBreak/>
        <w:t xml:space="preserve">Spoljašnje pakovanje je </w:t>
      </w:r>
      <w:r w:rsidR="00E310B2" w:rsidRPr="00F334AF">
        <w:rPr>
          <w:sz w:val="22"/>
          <w:szCs w:val="22"/>
          <w:lang w:val="sr-Latn-ME"/>
        </w:rPr>
        <w:t>složiv</w:t>
      </w:r>
      <w:r w:rsidRPr="00F334AF">
        <w:rPr>
          <w:sz w:val="22"/>
          <w:szCs w:val="22"/>
          <w:lang w:val="sr-Latn-ME"/>
        </w:rPr>
        <w:t>a</w:t>
      </w:r>
      <w:r w:rsidR="00E310B2" w:rsidRPr="00F334AF">
        <w:rPr>
          <w:sz w:val="22"/>
          <w:szCs w:val="22"/>
          <w:lang w:val="sr-Latn-ME"/>
        </w:rPr>
        <w:t xml:space="preserve"> kartonsk</w:t>
      </w:r>
      <w:r w:rsidRPr="00F334AF">
        <w:rPr>
          <w:sz w:val="22"/>
          <w:szCs w:val="22"/>
          <w:lang w:val="sr-Latn-ME"/>
        </w:rPr>
        <w:t>a</w:t>
      </w:r>
      <w:r w:rsidR="00E310B2" w:rsidRPr="00F334AF">
        <w:rPr>
          <w:sz w:val="22"/>
          <w:szCs w:val="22"/>
          <w:lang w:val="sr-Latn-ME"/>
        </w:rPr>
        <w:t xml:space="preserve"> kutij</w:t>
      </w:r>
      <w:r w:rsidRPr="00F334AF">
        <w:rPr>
          <w:sz w:val="22"/>
          <w:szCs w:val="22"/>
          <w:lang w:val="sr-Latn-ME"/>
        </w:rPr>
        <w:t xml:space="preserve">a u kojoj se </w:t>
      </w:r>
      <w:r w:rsidR="00E310B2" w:rsidRPr="00F334AF">
        <w:rPr>
          <w:sz w:val="22"/>
          <w:szCs w:val="22"/>
          <w:lang w:val="sr-Latn-ME"/>
        </w:rPr>
        <w:t>nalaze dva blistera sa po jednom kapsulom od 80 mg aprepitanta i jedan blister sa jednom kapsulom od 125 mg aprepitanta, koja su upakovana i zapečaćena u omot od kartona, koji je u obliku novčanika.</w:t>
      </w:r>
    </w:p>
    <w:p w14:paraId="61E8967D" w14:textId="77777777" w:rsidR="00E310B2" w:rsidRPr="00F334AF" w:rsidRDefault="00E310B2" w:rsidP="0034729B">
      <w:pPr>
        <w:tabs>
          <w:tab w:val="left" w:pos="540"/>
          <w:tab w:val="left" w:pos="569"/>
        </w:tabs>
        <w:jc w:val="both"/>
        <w:rPr>
          <w:bCs/>
          <w:sz w:val="22"/>
          <w:szCs w:val="22"/>
          <w:lang w:val="sr-Latn-ME"/>
        </w:rPr>
      </w:pPr>
    </w:p>
    <w:p w14:paraId="20A6071E" w14:textId="77777777" w:rsidR="002846DB"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6.6. </w:t>
      </w:r>
      <w:r w:rsidR="00480FB1" w:rsidRPr="00F334AF">
        <w:rPr>
          <w:b/>
          <w:bCs/>
          <w:sz w:val="22"/>
          <w:szCs w:val="22"/>
          <w:lang w:val="sr-Latn-ME"/>
        </w:rPr>
        <w:tab/>
      </w:r>
      <w:r w:rsidRPr="00F334AF">
        <w:rPr>
          <w:b/>
          <w:bCs/>
          <w:color w:val="000000"/>
          <w:sz w:val="22"/>
          <w:szCs w:val="22"/>
          <w:lang w:val="sr-Latn-ME"/>
        </w:rPr>
        <w:t>Posebne mjere opreza pri odlaganju materijala koji treba odbaciti nakon primjene lijeka</w:t>
      </w:r>
      <w:r w:rsidRPr="00F334AF">
        <w:rPr>
          <w:b/>
          <w:bCs/>
          <w:sz w:val="22"/>
          <w:szCs w:val="22"/>
          <w:lang w:val="sr-Latn-ME"/>
        </w:rPr>
        <w:t xml:space="preserve"> </w:t>
      </w:r>
      <w:r w:rsidR="00310F03" w:rsidRPr="00F334AF">
        <w:rPr>
          <w:b/>
          <w:bCs/>
          <w:sz w:val="22"/>
          <w:szCs w:val="22"/>
          <w:lang w:val="sr-Latn-ME"/>
        </w:rPr>
        <w:t>(i druga uputs</w:t>
      </w:r>
      <w:r w:rsidR="004109FA" w:rsidRPr="00F334AF">
        <w:rPr>
          <w:b/>
          <w:bCs/>
          <w:sz w:val="22"/>
          <w:szCs w:val="22"/>
          <w:lang w:val="sr-Latn-ME"/>
        </w:rPr>
        <w:t>t</w:t>
      </w:r>
      <w:r w:rsidR="00310F03" w:rsidRPr="00F334AF">
        <w:rPr>
          <w:b/>
          <w:bCs/>
          <w:sz w:val="22"/>
          <w:szCs w:val="22"/>
          <w:lang w:val="sr-Latn-ME"/>
        </w:rPr>
        <w:t xml:space="preserve">va za rukovanje lijekom) </w:t>
      </w:r>
    </w:p>
    <w:p w14:paraId="1C6BE012" w14:textId="77777777" w:rsidR="00B66A70" w:rsidRPr="00F334AF" w:rsidRDefault="00B66A70" w:rsidP="0034729B">
      <w:pPr>
        <w:tabs>
          <w:tab w:val="left" w:pos="540"/>
          <w:tab w:val="left" w:pos="569"/>
        </w:tabs>
        <w:jc w:val="both"/>
        <w:rPr>
          <w:b/>
          <w:bCs/>
          <w:sz w:val="22"/>
          <w:szCs w:val="22"/>
          <w:lang w:val="sr-Latn-ME"/>
        </w:rPr>
      </w:pPr>
    </w:p>
    <w:p w14:paraId="26F09531" w14:textId="77777777" w:rsidR="00E310B2" w:rsidRPr="00F334AF" w:rsidRDefault="00E310B2" w:rsidP="0034729B">
      <w:pPr>
        <w:ind w:right="65"/>
        <w:jc w:val="both"/>
        <w:rPr>
          <w:sz w:val="22"/>
          <w:szCs w:val="22"/>
          <w:lang w:val="sr-Latn-ME"/>
        </w:rPr>
      </w:pPr>
      <w:r w:rsidRPr="00F334AF">
        <w:rPr>
          <w:sz w:val="22"/>
          <w:szCs w:val="22"/>
          <w:lang w:val="sr-Latn-ME"/>
        </w:rPr>
        <w:t>Neupotrijebljeni lijek se uništava u skladu sa važećim propisima.</w:t>
      </w:r>
    </w:p>
    <w:p w14:paraId="717FC1AB" w14:textId="5A9B10B2" w:rsidR="0072020E" w:rsidRPr="00F334AF" w:rsidRDefault="0072020E" w:rsidP="0034729B">
      <w:pPr>
        <w:tabs>
          <w:tab w:val="left" w:pos="540"/>
          <w:tab w:val="left" w:pos="569"/>
        </w:tabs>
        <w:jc w:val="both"/>
        <w:rPr>
          <w:bCs/>
          <w:sz w:val="22"/>
          <w:szCs w:val="22"/>
          <w:lang w:val="sr-Latn-ME"/>
        </w:rPr>
      </w:pPr>
    </w:p>
    <w:p w14:paraId="09DC57A1" w14:textId="77777777" w:rsidR="00BF67C6" w:rsidRPr="00F334AF" w:rsidRDefault="00BF67C6" w:rsidP="0034729B">
      <w:pPr>
        <w:tabs>
          <w:tab w:val="left" w:pos="540"/>
          <w:tab w:val="left" w:pos="569"/>
        </w:tabs>
        <w:jc w:val="both"/>
        <w:rPr>
          <w:bCs/>
          <w:sz w:val="22"/>
          <w:szCs w:val="22"/>
          <w:lang w:val="sr-Latn-ME"/>
        </w:rPr>
      </w:pPr>
    </w:p>
    <w:p w14:paraId="4D35A0A0" w14:textId="77777777" w:rsidR="00F8570A"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7. </w:t>
      </w:r>
      <w:r w:rsidR="00480FB1" w:rsidRPr="00F334AF">
        <w:rPr>
          <w:b/>
          <w:bCs/>
          <w:sz w:val="22"/>
          <w:szCs w:val="22"/>
          <w:lang w:val="sr-Latn-ME"/>
        </w:rPr>
        <w:tab/>
      </w:r>
      <w:r w:rsidRPr="00F334AF">
        <w:rPr>
          <w:b/>
          <w:bCs/>
          <w:sz w:val="22"/>
          <w:szCs w:val="22"/>
          <w:lang w:val="sr-Latn-ME"/>
        </w:rPr>
        <w:t>NOSILAC DOZVOLE</w:t>
      </w:r>
      <w:r w:rsidR="00483928" w:rsidRPr="00F334AF">
        <w:rPr>
          <w:b/>
          <w:bCs/>
          <w:sz w:val="22"/>
          <w:szCs w:val="22"/>
          <w:lang w:val="sr-Latn-ME"/>
        </w:rPr>
        <w:t xml:space="preserve"> </w:t>
      </w:r>
    </w:p>
    <w:p w14:paraId="1D5FFC5C" w14:textId="77777777" w:rsidR="00C61BE0" w:rsidRPr="00F334AF" w:rsidRDefault="00C61BE0" w:rsidP="0034729B">
      <w:pPr>
        <w:tabs>
          <w:tab w:val="left" w:pos="540"/>
          <w:tab w:val="left" w:pos="569"/>
        </w:tabs>
        <w:jc w:val="both"/>
        <w:rPr>
          <w:bCs/>
          <w:sz w:val="22"/>
          <w:szCs w:val="22"/>
          <w:lang w:val="sr-Latn-ME"/>
        </w:rPr>
      </w:pPr>
    </w:p>
    <w:p w14:paraId="259CDFE5" w14:textId="0264472B" w:rsidR="00BF67C6" w:rsidRPr="00F334AF" w:rsidRDefault="00C801A7" w:rsidP="0034729B">
      <w:pPr>
        <w:tabs>
          <w:tab w:val="left" w:pos="284"/>
          <w:tab w:val="center" w:pos="4320"/>
          <w:tab w:val="right" w:pos="8640"/>
        </w:tabs>
        <w:ind w:right="65"/>
        <w:jc w:val="both"/>
        <w:rPr>
          <w:sz w:val="22"/>
          <w:szCs w:val="22"/>
          <w:lang w:val="sr-Latn-ME"/>
        </w:rPr>
      </w:pPr>
      <w:r w:rsidRPr="00F334AF">
        <w:rPr>
          <w:sz w:val="22"/>
          <w:szCs w:val="22"/>
          <w:lang w:val="sr-Latn-ME"/>
        </w:rPr>
        <w:t xml:space="preserve">Glosarij d.o.o., </w:t>
      </w:r>
    </w:p>
    <w:p w14:paraId="445452C6" w14:textId="5D9CD0CF" w:rsidR="00E310B2" w:rsidRPr="00F334AF" w:rsidRDefault="00E310B2" w:rsidP="0034729B">
      <w:pPr>
        <w:tabs>
          <w:tab w:val="left" w:pos="284"/>
          <w:tab w:val="center" w:pos="4320"/>
          <w:tab w:val="right" w:pos="8640"/>
        </w:tabs>
        <w:ind w:right="65"/>
        <w:jc w:val="both"/>
        <w:rPr>
          <w:b/>
          <w:bCs/>
          <w:sz w:val="22"/>
          <w:szCs w:val="22"/>
          <w:lang w:val="sr-Latn-ME"/>
        </w:rPr>
      </w:pPr>
      <w:r w:rsidRPr="00F334AF">
        <w:rPr>
          <w:sz w:val="22"/>
          <w:szCs w:val="22"/>
          <w:lang w:val="sr-Latn-ME"/>
        </w:rPr>
        <w:t xml:space="preserve">Vojislavljevića 76, </w:t>
      </w:r>
      <w:r w:rsidR="00BF67C6" w:rsidRPr="00F334AF">
        <w:rPr>
          <w:sz w:val="22"/>
          <w:szCs w:val="22"/>
          <w:lang w:val="sr-Latn-ME"/>
        </w:rPr>
        <w:t xml:space="preserve">81000 </w:t>
      </w:r>
      <w:r w:rsidRPr="00F334AF">
        <w:rPr>
          <w:sz w:val="22"/>
          <w:szCs w:val="22"/>
          <w:lang w:val="sr-Latn-ME"/>
        </w:rPr>
        <w:t>Podgorica, Crna Gora</w:t>
      </w:r>
      <w:r w:rsidRPr="00F334AF" w:rsidDel="0007419D">
        <w:rPr>
          <w:sz w:val="22"/>
          <w:szCs w:val="22"/>
          <w:lang w:val="sr-Latn-ME"/>
        </w:rPr>
        <w:t xml:space="preserve"> </w:t>
      </w:r>
    </w:p>
    <w:p w14:paraId="06610DEC" w14:textId="43DD4FEE" w:rsidR="00C37FD7" w:rsidRPr="00F334AF" w:rsidRDefault="00C37FD7" w:rsidP="0034729B">
      <w:pPr>
        <w:tabs>
          <w:tab w:val="left" w:pos="540"/>
          <w:tab w:val="left" w:pos="569"/>
        </w:tabs>
        <w:jc w:val="both"/>
        <w:rPr>
          <w:bCs/>
          <w:sz w:val="22"/>
          <w:szCs w:val="22"/>
          <w:lang w:val="sr-Latn-ME"/>
        </w:rPr>
      </w:pPr>
    </w:p>
    <w:p w14:paraId="1C503D99" w14:textId="77777777" w:rsidR="00BF67C6" w:rsidRPr="00F334AF" w:rsidRDefault="00BF67C6" w:rsidP="0034729B">
      <w:pPr>
        <w:tabs>
          <w:tab w:val="left" w:pos="540"/>
          <w:tab w:val="left" w:pos="569"/>
        </w:tabs>
        <w:jc w:val="both"/>
        <w:rPr>
          <w:bCs/>
          <w:sz w:val="22"/>
          <w:szCs w:val="22"/>
          <w:lang w:val="sr-Latn-ME"/>
        </w:rPr>
      </w:pPr>
    </w:p>
    <w:p w14:paraId="545FC890" w14:textId="77777777" w:rsidR="0072020E"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8. </w:t>
      </w:r>
      <w:r w:rsidR="00480FB1" w:rsidRPr="00F334AF">
        <w:rPr>
          <w:b/>
          <w:bCs/>
          <w:sz w:val="22"/>
          <w:szCs w:val="22"/>
          <w:lang w:val="sr-Latn-ME"/>
        </w:rPr>
        <w:tab/>
      </w:r>
      <w:r w:rsidRPr="00F334AF">
        <w:rPr>
          <w:b/>
          <w:bCs/>
          <w:sz w:val="22"/>
          <w:szCs w:val="22"/>
          <w:lang w:val="sr-Latn-ME"/>
        </w:rPr>
        <w:t>BROJ DOZVOLE</w:t>
      </w:r>
      <w:r w:rsidR="008A6D43" w:rsidRPr="00F334AF">
        <w:rPr>
          <w:b/>
          <w:bCs/>
          <w:sz w:val="22"/>
          <w:szCs w:val="22"/>
          <w:lang w:val="sr-Latn-ME"/>
        </w:rPr>
        <w:t xml:space="preserve"> ZA STAVLJANJE LIJEKA U PROMET</w:t>
      </w:r>
    </w:p>
    <w:p w14:paraId="799E0E22" w14:textId="77777777" w:rsidR="0072020E" w:rsidRPr="00F334AF" w:rsidRDefault="0072020E" w:rsidP="0034729B">
      <w:pPr>
        <w:tabs>
          <w:tab w:val="left" w:pos="540"/>
          <w:tab w:val="left" w:pos="569"/>
        </w:tabs>
        <w:jc w:val="both"/>
        <w:rPr>
          <w:bCs/>
          <w:sz w:val="22"/>
          <w:szCs w:val="22"/>
          <w:lang w:val="sr-Latn-ME"/>
        </w:rPr>
      </w:pPr>
    </w:p>
    <w:p w14:paraId="3F9115AE" w14:textId="43FEB066" w:rsidR="00F45F77" w:rsidRPr="00F334AF" w:rsidRDefault="00F334AF" w:rsidP="0034729B">
      <w:pPr>
        <w:tabs>
          <w:tab w:val="left" w:pos="540"/>
          <w:tab w:val="left" w:pos="569"/>
        </w:tabs>
        <w:jc w:val="both"/>
        <w:rPr>
          <w:bCs/>
          <w:sz w:val="22"/>
          <w:szCs w:val="22"/>
          <w:lang w:val="sr-Latn-ME"/>
        </w:rPr>
      </w:pPr>
      <w:r w:rsidRPr="00F334AF">
        <w:rPr>
          <w:bCs/>
          <w:sz w:val="22"/>
          <w:szCs w:val="22"/>
          <w:lang w:val="sr-Latn-ME"/>
        </w:rPr>
        <w:t>2030/24/1292 – 7326</w:t>
      </w:r>
    </w:p>
    <w:p w14:paraId="7D7A61FB" w14:textId="62F9EA43" w:rsidR="00F334AF" w:rsidRPr="00F334AF" w:rsidRDefault="00F334AF" w:rsidP="0034729B">
      <w:pPr>
        <w:tabs>
          <w:tab w:val="left" w:pos="540"/>
          <w:tab w:val="left" w:pos="569"/>
        </w:tabs>
        <w:jc w:val="both"/>
        <w:rPr>
          <w:bCs/>
          <w:sz w:val="22"/>
          <w:szCs w:val="22"/>
          <w:lang w:val="sr-Latn-ME"/>
        </w:rPr>
      </w:pPr>
    </w:p>
    <w:p w14:paraId="289D05A7" w14:textId="77777777" w:rsidR="00F334AF" w:rsidRPr="00F334AF" w:rsidRDefault="00F334AF" w:rsidP="0034729B">
      <w:pPr>
        <w:tabs>
          <w:tab w:val="left" w:pos="540"/>
          <w:tab w:val="left" w:pos="569"/>
        </w:tabs>
        <w:jc w:val="both"/>
        <w:rPr>
          <w:bCs/>
          <w:sz w:val="22"/>
          <w:szCs w:val="22"/>
          <w:lang w:val="sr-Latn-ME"/>
        </w:rPr>
      </w:pPr>
    </w:p>
    <w:p w14:paraId="3BF97A45" w14:textId="77777777" w:rsidR="0072020E" w:rsidRPr="00F334AF" w:rsidRDefault="0072020E" w:rsidP="0034729B">
      <w:pPr>
        <w:tabs>
          <w:tab w:val="left" w:pos="540"/>
          <w:tab w:val="left" w:pos="569"/>
        </w:tabs>
        <w:jc w:val="both"/>
        <w:rPr>
          <w:b/>
          <w:bCs/>
          <w:sz w:val="22"/>
          <w:szCs w:val="22"/>
          <w:lang w:val="sr-Latn-ME"/>
        </w:rPr>
      </w:pPr>
      <w:r w:rsidRPr="00F334AF">
        <w:rPr>
          <w:b/>
          <w:bCs/>
          <w:sz w:val="22"/>
          <w:szCs w:val="22"/>
          <w:lang w:val="sr-Latn-ME"/>
        </w:rPr>
        <w:t xml:space="preserve">9. </w:t>
      </w:r>
      <w:r w:rsidR="00480FB1" w:rsidRPr="00F334AF">
        <w:rPr>
          <w:b/>
          <w:bCs/>
          <w:sz w:val="22"/>
          <w:szCs w:val="22"/>
          <w:lang w:val="sr-Latn-ME"/>
        </w:rPr>
        <w:tab/>
      </w:r>
      <w:r w:rsidRPr="00F334AF">
        <w:rPr>
          <w:b/>
          <w:bCs/>
          <w:sz w:val="22"/>
          <w:szCs w:val="22"/>
          <w:lang w:val="sr-Latn-ME"/>
        </w:rPr>
        <w:t xml:space="preserve">DATUM </w:t>
      </w:r>
      <w:r w:rsidR="00C05DF8" w:rsidRPr="00F334AF">
        <w:rPr>
          <w:b/>
          <w:bCs/>
          <w:sz w:val="22"/>
          <w:szCs w:val="22"/>
          <w:lang w:val="sr-Latn-ME"/>
        </w:rPr>
        <w:t xml:space="preserve">PRVE </w:t>
      </w:r>
      <w:r w:rsidR="008A6D43" w:rsidRPr="00F334AF">
        <w:rPr>
          <w:b/>
          <w:bCs/>
          <w:sz w:val="22"/>
          <w:szCs w:val="22"/>
          <w:lang w:val="sr-Latn-ME"/>
        </w:rPr>
        <w:t>DOZVOLE</w:t>
      </w:r>
      <w:r w:rsidR="00C05DF8" w:rsidRPr="00F334AF">
        <w:rPr>
          <w:b/>
          <w:bCs/>
          <w:sz w:val="22"/>
          <w:szCs w:val="22"/>
          <w:lang w:val="sr-Latn-ME"/>
        </w:rPr>
        <w:t>/OBNOVE DOZVOLE</w:t>
      </w:r>
      <w:r w:rsidR="008A6D43" w:rsidRPr="00F334AF">
        <w:rPr>
          <w:b/>
          <w:bCs/>
          <w:sz w:val="22"/>
          <w:szCs w:val="22"/>
          <w:lang w:val="sr-Latn-ME"/>
        </w:rPr>
        <w:t xml:space="preserve"> ZA STAVLJANJE LIJEKA U PROMET</w:t>
      </w:r>
    </w:p>
    <w:p w14:paraId="6CD47C89" w14:textId="77777777" w:rsidR="0072020E" w:rsidRPr="00F334AF" w:rsidRDefault="0072020E" w:rsidP="0034729B">
      <w:pPr>
        <w:tabs>
          <w:tab w:val="left" w:pos="540"/>
          <w:tab w:val="left" w:pos="569"/>
        </w:tabs>
        <w:jc w:val="both"/>
        <w:rPr>
          <w:bCs/>
          <w:sz w:val="22"/>
          <w:szCs w:val="22"/>
          <w:lang w:val="sr-Latn-ME"/>
        </w:rPr>
      </w:pPr>
    </w:p>
    <w:p w14:paraId="2EBA7AF2" w14:textId="65436CF0" w:rsidR="00836B35" w:rsidRPr="00F334AF" w:rsidRDefault="00BF67C6" w:rsidP="0034729B">
      <w:pPr>
        <w:tabs>
          <w:tab w:val="left" w:pos="540"/>
          <w:tab w:val="left" w:pos="569"/>
        </w:tabs>
        <w:jc w:val="both"/>
        <w:rPr>
          <w:sz w:val="22"/>
          <w:szCs w:val="22"/>
          <w:lang w:val="sr-Latn-ME"/>
        </w:rPr>
      </w:pPr>
      <w:r w:rsidRPr="00F334AF">
        <w:rPr>
          <w:sz w:val="22"/>
          <w:szCs w:val="22"/>
          <w:lang w:val="sr-Latn-ME"/>
        </w:rPr>
        <w:t>Datum prve dozvole</w:t>
      </w:r>
      <w:r w:rsidR="00E310B2" w:rsidRPr="00F334AF">
        <w:rPr>
          <w:sz w:val="22"/>
          <w:szCs w:val="22"/>
          <w:lang w:val="sr-Latn-ME"/>
        </w:rPr>
        <w:t>: 15.10.2012. godine</w:t>
      </w:r>
    </w:p>
    <w:p w14:paraId="19CE38F8" w14:textId="7D19DE3B" w:rsidR="00BF67C6" w:rsidRPr="00F334AF" w:rsidRDefault="00BF67C6" w:rsidP="0034729B">
      <w:pPr>
        <w:tabs>
          <w:tab w:val="left" w:pos="540"/>
          <w:tab w:val="left" w:pos="569"/>
        </w:tabs>
        <w:jc w:val="both"/>
        <w:rPr>
          <w:sz w:val="22"/>
          <w:szCs w:val="22"/>
          <w:lang w:val="sr-Latn-ME"/>
        </w:rPr>
      </w:pPr>
      <w:r w:rsidRPr="00F334AF">
        <w:rPr>
          <w:sz w:val="22"/>
          <w:szCs w:val="22"/>
          <w:lang w:val="sr-Latn-ME"/>
        </w:rPr>
        <w:t>Datum posljednje obnove dozvole:</w:t>
      </w:r>
      <w:r w:rsidR="00F334AF" w:rsidRPr="00F334AF">
        <w:rPr>
          <w:sz w:val="22"/>
          <w:szCs w:val="22"/>
          <w:lang w:val="sr-Latn-ME"/>
        </w:rPr>
        <w:t xml:space="preserve"> 05.03.2024. godine</w:t>
      </w:r>
    </w:p>
    <w:p w14:paraId="74872427" w14:textId="1E1751A6" w:rsidR="00E310B2" w:rsidRPr="00F334AF" w:rsidRDefault="00E310B2" w:rsidP="0034729B">
      <w:pPr>
        <w:tabs>
          <w:tab w:val="left" w:pos="540"/>
          <w:tab w:val="left" w:pos="569"/>
        </w:tabs>
        <w:jc w:val="both"/>
        <w:rPr>
          <w:bCs/>
          <w:sz w:val="22"/>
          <w:szCs w:val="22"/>
          <w:lang w:val="sr-Latn-ME"/>
        </w:rPr>
      </w:pPr>
    </w:p>
    <w:p w14:paraId="7FA3FD1B" w14:textId="77777777" w:rsidR="00BF67C6" w:rsidRPr="00F334AF" w:rsidRDefault="00BF67C6" w:rsidP="0034729B">
      <w:pPr>
        <w:tabs>
          <w:tab w:val="left" w:pos="540"/>
          <w:tab w:val="left" w:pos="569"/>
        </w:tabs>
        <w:jc w:val="both"/>
        <w:rPr>
          <w:bCs/>
          <w:sz w:val="22"/>
          <w:szCs w:val="22"/>
          <w:lang w:val="sr-Latn-ME"/>
        </w:rPr>
      </w:pPr>
    </w:p>
    <w:p w14:paraId="430B7466" w14:textId="77777777" w:rsidR="003F6A59" w:rsidRPr="00F334AF" w:rsidRDefault="0072020E" w:rsidP="0034729B">
      <w:pPr>
        <w:tabs>
          <w:tab w:val="left" w:pos="540"/>
          <w:tab w:val="left" w:pos="569"/>
        </w:tabs>
        <w:ind w:left="540" w:hanging="540"/>
        <w:jc w:val="both"/>
        <w:rPr>
          <w:bCs/>
          <w:sz w:val="22"/>
          <w:szCs w:val="22"/>
          <w:lang w:val="sr-Latn-ME"/>
        </w:rPr>
      </w:pPr>
      <w:r w:rsidRPr="00F334AF">
        <w:rPr>
          <w:b/>
          <w:bCs/>
          <w:sz w:val="22"/>
          <w:szCs w:val="22"/>
          <w:lang w:val="sr-Latn-ME"/>
        </w:rPr>
        <w:t xml:space="preserve">10. </w:t>
      </w:r>
      <w:r w:rsidR="00480FB1" w:rsidRPr="00F334AF">
        <w:rPr>
          <w:b/>
          <w:bCs/>
          <w:sz w:val="22"/>
          <w:szCs w:val="22"/>
          <w:lang w:val="sr-Latn-ME"/>
        </w:rPr>
        <w:tab/>
      </w:r>
      <w:r w:rsidR="002846DB" w:rsidRPr="00F334AF">
        <w:rPr>
          <w:b/>
          <w:bCs/>
          <w:sz w:val="22"/>
          <w:szCs w:val="22"/>
          <w:lang w:val="sr-Latn-ME"/>
        </w:rPr>
        <w:t>D</w:t>
      </w:r>
      <w:r w:rsidR="00EC2532" w:rsidRPr="00F334AF">
        <w:rPr>
          <w:b/>
          <w:bCs/>
          <w:sz w:val="22"/>
          <w:szCs w:val="22"/>
          <w:lang w:val="sr-Latn-ME"/>
        </w:rPr>
        <w:t xml:space="preserve">ATUM REVIZIJE TEKSTA </w:t>
      </w:r>
    </w:p>
    <w:p w14:paraId="297D48C5" w14:textId="432F8FBC" w:rsidR="003F6A59" w:rsidRDefault="003F6A59" w:rsidP="0034729B">
      <w:pPr>
        <w:tabs>
          <w:tab w:val="left" w:pos="540"/>
          <w:tab w:val="left" w:pos="569"/>
        </w:tabs>
        <w:jc w:val="both"/>
        <w:rPr>
          <w:bCs/>
          <w:sz w:val="22"/>
          <w:szCs w:val="22"/>
          <w:lang w:val="sr-Latn-ME"/>
        </w:rPr>
      </w:pPr>
    </w:p>
    <w:p w14:paraId="12AA06A0" w14:textId="7755E2DC" w:rsidR="001F423A" w:rsidRPr="00F334AF" w:rsidRDefault="001F423A" w:rsidP="0034729B">
      <w:pPr>
        <w:tabs>
          <w:tab w:val="left" w:pos="540"/>
          <w:tab w:val="left" w:pos="569"/>
        </w:tabs>
        <w:jc w:val="both"/>
        <w:rPr>
          <w:bCs/>
          <w:sz w:val="22"/>
          <w:szCs w:val="22"/>
          <w:lang w:val="sr-Latn-ME"/>
        </w:rPr>
      </w:pPr>
      <w:r>
        <w:rPr>
          <w:bCs/>
          <w:sz w:val="22"/>
          <w:szCs w:val="22"/>
          <w:lang w:val="sr-Latn-ME"/>
        </w:rPr>
        <w:t>Jul, 2025. godine</w:t>
      </w:r>
    </w:p>
    <w:p w14:paraId="39C5FFD3" w14:textId="71C4E811" w:rsidR="003F6A59" w:rsidRPr="00F334AF" w:rsidRDefault="003F6A59" w:rsidP="0034729B">
      <w:pPr>
        <w:jc w:val="both"/>
        <w:rPr>
          <w:sz w:val="22"/>
          <w:szCs w:val="22"/>
          <w:lang w:val="sr-Latn-ME"/>
        </w:rPr>
      </w:pPr>
    </w:p>
    <w:sectPr w:rsidR="003F6A59" w:rsidRPr="00F334AF"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9D288" w14:textId="77777777" w:rsidR="00D55354" w:rsidRDefault="00D55354">
      <w:r>
        <w:separator/>
      </w:r>
    </w:p>
  </w:endnote>
  <w:endnote w:type="continuationSeparator" w:id="0">
    <w:p w14:paraId="62008F5D" w14:textId="77777777" w:rsidR="00D55354" w:rsidRDefault="00D5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2A76D" w14:textId="01680B3F" w:rsidR="008C22A9" w:rsidRPr="00B23F69" w:rsidRDefault="008C22A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F423A">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F423A">
      <w:rPr>
        <w:noProof/>
        <w:sz w:val="22"/>
        <w:szCs w:val="22"/>
      </w:rPr>
      <w:t>19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46F02" w14:textId="77777777" w:rsidR="00D55354" w:rsidRDefault="00D55354">
      <w:r>
        <w:separator/>
      </w:r>
    </w:p>
  </w:footnote>
  <w:footnote w:type="continuationSeparator" w:id="0">
    <w:p w14:paraId="20DFA4B2" w14:textId="77777777" w:rsidR="00D55354" w:rsidRDefault="00D55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5pt;height:14.2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5279"/>
    <w:rsid w:val="00057E35"/>
    <w:rsid w:val="000751AB"/>
    <w:rsid w:val="00076726"/>
    <w:rsid w:val="00080303"/>
    <w:rsid w:val="0008075B"/>
    <w:rsid w:val="00092FA2"/>
    <w:rsid w:val="000979AB"/>
    <w:rsid w:val="000A3F58"/>
    <w:rsid w:val="000D2343"/>
    <w:rsid w:val="000D239E"/>
    <w:rsid w:val="000D3449"/>
    <w:rsid w:val="000D425A"/>
    <w:rsid w:val="000D60CC"/>
    <w:rsid w:val="000E2084"/>
    <w:rsid w:val="000E6F55"/>
    <w:rsid w:val="000F77FA"/>
    <w:rsid w:val="00107BF7"/>
    <w:rsid w:val="00112893"/>
    <w:rsid w:val="00126F53"/>
    <w:rsid w:val="0014766D"/>
    <w:rsid w:val="001536CC"/>
    <w:rsid w:val="001867F8"/>
    <w:rsid w:val="0019474D"/>
    <w:rsid w:val="00195243"/>
    <w:rsid w:val="001A3FBA"/>
    <w:rsid w:val="001A5518"/>
    <w:rsid w:val="001B1C6A"/>
    <w:rsid w:val="001C1263"/>
    <w:rsid w:val="001C1417"/>
    <w:rsid w:val="001E390B"/>
    <w:rsid w:val="001F423A"/>
    <w:rsid w:val="001F42FB"/>
    <w:rsid w:val="001F719A"/>
    <w:rsid w:val="002031B3"/>
    <w:rsid w:val="00207DF2"/>
    <w:rsid w:val="00215931"/>
    <w:rsid w:val="00224C91"/>
    <w:rsid w:val="00227BDB"/>
    <w:rsid w:val="00232938"/>
    <w:rsid w:val="00234CB1"/>
    <w:rsid w:val="002352F8"/>
    <w:rsid w:val="00244A39"/>
    <w:rsid w:val="002510A5"/>
    <w:rsid w:val="00254A0A"/>
    <w:rsid w:val="00256EDE"/>
    <w:rsid w:val="00266046"/>
    <w:rsid w:val="0027701D"/>
    <w:rsid w:val="002846DB"/>
    <w:rsid w:val="00284CCD"/>
    <w:rsid w:val="002C3B76"/>
    <w:rsid w:val="002C6637"/>
    <w:rsid w:val="002E0135"/>
    <w:rsid w:val="002E37A5"/>
    <w:rsid w:val="00310F03"/>
    <w:rsid w:val="00323D7F"/>
    <w:rsid w:val="003247D2"/>
    <w:rsid w:val="00336B1D"/>
    <w:rsid w:val="0034299F"/>
    <w:rsid w:val="003445C1"/>
    <w:rsid w:val="0034470D"/>
    <w:rsid w:val="0034729B"/>
    <w:rsid w:val="00355B61"/>
    <w:rsid w:val="00362686"/>
    <w:rsid w:val="00371510"/>
    <w:rsid w:val="00396DFD"/>
    <w:rsid w:val="003A5CAD"/>
    <w:rsid w:val="003A7059"/>
    <w:rsid w:val="003B7A36"/>
    <w:rsid w:val="003C17AB"/>
    <w:rsid w:val="003C2F6C"/>
    <w:rsid w:val="003C7823"/>
    <w:rsid w:val="003E1DCC"/>
    <w:rsid w:val="003E565D"/>
    <w:rsid w:val="003F11A1"/>
    <w:rsid w:val="003F6A59"/>
    <w:rsid w:val="004065C8"/>
    <w:rsid w:val="00406A3B"/>
    <w:rsid w:val="004109FA"/>
    <w:rsid w:val="00411B4B"/>
    <w:rsid w:val="00415BEE"/>
    <w:rsid w:val="00427F85"/>
    <w:rsid w:val="00436F42"/>
    <w:rsid w:val="004378B4"/>
    <w:rsid w:val="00451314"/>
    <w:rsid w:val="00452E9D"/>
    <w:rsid w:val="004534C7"/>
    <w:rsid w:val="004671AA"/>
    <w:rsid w:val="004777C5"/>
    <w:rsid w:val="00480FB1"/>
    <w:rsid w:val="00482B9E"/>
    <w:rsid w:val="00483928"/>
    <w:rsid w:val="00486741"/>
    <w:rsid w:val="004931E6"/>
    <w:rsid w:val="004A068A"/>
    <w:rsid w:val="004C331F"/>
    <w:rsid w:val="004C6C2F"/>
    <w:rsid w:val="004D3444"/>
    <w:rsid w:val="004D55F4"/>
    <w:rsid w:val="004D6103"/>
    <w:rsid w:val="004E3BCE"/>
    <w:rsid w:val="004E3F54"/>
    <w:rsid w:val="004E70AD"/>
    <w:rsid w:val="004F0E97"/>
    <w:rsid w:val="004F3242"/>
    <w:rsid w:val="00501DD1"/>
    <w:rsid w:val="00515C21"/>
    <w:rsid w:val="00530BD7"/>
    <w:rsid w:val="00536151"/>
    <w:rsid w:val="00545CD2"/>
    <w:rsid w:val="005476F3"/>
    <w:rsid w:val="00557C3D"/>
    <w:rsid w:val="00572527"/>
    <w:rsid w:val="00573E40"/>
    <w:rsid w:val="00576348"/>
    <w:rsid w:val="005A0B2E"/>
    <w:rsid w:val="005A23D2"/>
    <w:rsid w:val="005A36CB"/>
    <w:rsid w:val="005B49B8"/>
    <w:rsid w:val="005C0741"/>
    <w:rsid w:val="005C0881"/>
    <w:rsid w:val="005C417C"/>
    <w:rsid w:val="005C4A98"/>
    <w:rsid w:val="005C5EF4"/>
    <w:rsid w:val="005E2E0B"/>
    <w:rsid w:val="005E7A7D"/>
    <w:rsid w:val="00602457"/>
    <w:rsid w:val="00622438"/>
    <w:rsid w:val="00640EF7"/>
    <w:rsid w:val="00644FC3"/>
    <w:rsid w:val="00646BD1"/>
    <w:rsid w:val="006503B4"/>
    <w:rsid w:val="006561C2"/>
    <w:rsid w:val="00656433"/>
    <w:rsid w:val="00671CB3"/>
    <w:rsid w:val="00674BAF"/>
    <w:rsid w:val="00682200"/>
    <w:rsid w:val="00692BF6"/>
    <w:rsid w:val="00697D18"/>
    <w:rsid w:val="006A1497"/>
    <w:rsid w:val="006A5302"/>
    <w:rsid w:val="006B0BD1"/>
    <w:rsid w:val="006B5404"/>
    <w:rsid w:val="006C32CE"/>
    <w:rsid w:val="006D20A5"/>
    <w:rsid w:val="006D37BF"/>
    <w:rsid w:val="00700816"/>
    <w:rsid w:val="00702E22"/>
    <w:rsid w:val="0072020E"/>
    <w:rsid w:val="00744A80"/>
    <w:rsid w:val="00753A56"/>
    <w:rsid w:val="00763378"/>
    <w:rsid w:val="00786071"/>
    <w:rsid w:val="007A05E0"/>
    <w:rsid w:val="007A3ECB"/>
    <w:rsid w:val="007C35EC"/>
    <w:rsid w:val="007D7BB3"/>
    <w:rsid w:val="00814AB2"/>
    <w:rsid w:val="00821177"/>
    <w:rsid w:val="00824AB9"/>
    <w:rsid w:val="00835D35"/>
    <w:rsid w:val="00836B35"/>
    <w:rsid w:val="00843BDE"/>
    <w:rsid w:val="0087588C"/>
    <w:rsid w:val="00876B72"/>
    <w:rsid w:val="0089705C"/>
    <w:rsid w:val="008A6D43"/>
    <w:rsid w:val="008B491E"/>
    <w:rsid w:val="008C1A28"/>
    <w:rsid w:val="008C22A9"/>
    <w:rsid w:val="008C2E98"/>
    <w:rsid w:val="008C4DA5"/>
    <w:rsid w:val="008D721F"/>
    <w:rsid w:val="008D7FDB"/>
    <w:rsid w:val="008E49BD"/>
    <w:rsid w:val="008E53E9"/>
    <w:rsid w:val="008E5771"/>
    <w:rsid w:val="008F4ACF"/>
    <w:rsid w:val="00924166"/>
    <w:rsid w:val="00940B9B"/>
    <w:rsid w:val="0095676E"/>
    <w:rsid w:val="00956983"/>
    <w:rsid w:val="00963CF0"/>
    <w:rsid w:val="00964BB1"/>
    <w:rsid w:val="00970B29"/>
    <w:rsid w:val="009775D9"/>
    <w:rsid w:val="009903A7"/>
    <w:rsid w:val="00997175"/>
    <w:rsid w:val="009973DD"/>
    <w:rsid w:val="009A1847"/>
    <w:rsid w:val="009B062A"/>
    <w:rsid w:val="009B25EA"/>
    <w:rsid w:val="009B55EC"/>
    <w:rsid w:val="009C1928"/>
    <w:rsid w:val="009D7C9B"/>
    <w:rsid w:val="009E7C6F"/>
    <w:rsid w:val="009F1793"/>
    <w:rsid w:val="009F2D23"/>
    <w:rsid w:val="009F6604"/>
    <w:rsid w:val="00A01D69"/>
    <w:rsid w:val="00A02335"/>
    <w:rsid w:val="00A46C9A"/>
    <w:rsid w:val="00A619F3"/>
    <w:rsid w:val="00A62A73"/>
    <w:rsid w:val="00A75D7E"/>
    <w:rsid w:val="00A81FF2"/>
    <w:rsid w:val="00A87FF6"/>
    <w:rsid w:val="00A9227D"/>
    <w:rsid w:val="00A966DD"/>
    <w:rsid w:val="00AA0A3B"/>
    <w:rsid w:val="00AA2763"/>
    <w:rsid w:val="00AA33B6"/>
    <w:rsid w:val="00AB50CA"/>
    <w:rsid w:val="00AB6D64"/>
    <w:rsid w:val="00AC53CE"/>
    <w:rsid w:val="00AD0754"/>
    <w:rsid w:val="00AD2193"/>
    <w:rsid w:val="00AF2AC7"/>
    <w:rsid w:val="00AF74CE"/>
    <w:rsid w:val="00B043ED"/>
    <w:rsid w:val="00B0547F"/>
    <w:rsid w:val="00B208DB"/>
    <w:rsid w:val="00B23F69"/>
    <w:rsid w:val="00B30515"/>
    <w:rsid w:val="00B60619"/>
    <w:rsid w:val="00B66A70"/>
    <w:rsid w:val="00B67366"/>
    <w:rsid w:val="00B80EE1"/>
    <w:rsid w:val="00B84135"/>
    <w:rsid w:val="00BA60C3"/>
    <w:rsid w:val="00BA72C4"/>
    <w:rsid w:val="00BB35C9"/>
    <w:rsid w:val="00BD340B"/>
    <w:rsid w:val="00BE3B90"/>
    <w:rsid w:val="00BF67C6"/>
    <w:rsid w:val="00C04D34"/>
    <w:rsid w:val="00C05DF8"/>
    <w:rsid w:val="00C06434"/>
    <w:rsid w:val="00C06864"/>
    <w:rsid w:val="00C10F54"/>
    <w:rsid w:val="00C112CE"/>
    <w:rsid w:val="00C20A6B"/>
    <w:rsid w:val="00C23D8D"/>
    <w:rsid w:val="00C301BD"/>
    <w:rsid w:val="00C37AA3"/>
    <w:rsid w:val="00C37FD7"/>
    <w:rsid w:val="00C401B9"/>
    <w:rsid w:val="00C43419"/>
    <w:rsid w:val="00C44CF3"/>
    <w:rsid w:val="00C61BE0"/>
    <w:rsid w:val="00C64C54"/>
    <w:rsid w:val="00C6707E"/>
    <w:rsid w:val="00C70B0E"/>
    <w:rsid w:val="00C773CA"/>
    <w:rsid w:val="00C801A7"/>
    <w:rsid w:val="00C83785"/>
    <w:rsid w:val="00C94C0D"/>
    <w:rsid w:val="00CA1FEB"/>
    <w:rsid w:val="00CA762D"/>
    <w:rsid w:val="00CD4F85"/>
    <w:rsid w:val="00CD6F02"/>
    <w:rsid w:val="00CE246D"/>
    <w:rsid w:val="00CE2ABA"/>
    <w:rsid w:val="00CF07A0"/>
    <w:rsid w:val="00CF2AF2"/>
    <w:rsid w:val="00CF3E03"/>
    <w:rsid w:val="00D0082A"/>
    <w:rsid w:val="00D21455"/>
    <w:rsid w:val="00D47634"/>
    <w:rsid w:val="00D55354"/>
    <w:rsid w:val="00D63FA5"/>
    <w:rsid w:val="00D709B3"/>
    <w:rsid w:val="00DA2ED6"/>
    <w:rsid w:val="00DA4790"/>
    <w:rsid w:val="00DB6D66"/>
    <w:rsid w:val="00DB76B8"/>
    <w:rsid w:val="00DC2EA1"/>
    <w:rsid w:val="00DD057B"/>
    <w:rsid w:val="00DD1FD8"/>
    <w:rsid w:val="00DD3EEB"/>
    <w:rsid w:val="00DD6AAF"/>
    <w:rsid w:val="00DE3F5C"/>
    <w:rsid w:val="00DF1D20"/>
    <w:rsid w:val="00E0742B"/>
    <w:rsid w:val="00E158C7"/>
    <w:rsid w:val="00E21324"/>
    <w:rsid w:val="00E228CC"/>
    <w:rsid w:val="00E246B9"/>
    <w:rsid w:val="00E24EE7"/>
    <w:rsid w:val="00E310B2"/>
    <w:rsid w:val="00E31FEA"/>
    <w:rsid w:val="00E45169"/>
    <w:rsid w:val="00E47787"/>
    <w:rsid w:val="00E51C30"/>
    <w:rsid w:val="00E64180"/>
    <w:rsid w:val="00E74AEE"/>
    <w:rsid w:val="00E868E5"/>
    <w:rsid w:val="00E9237A"/>
    <w:rsid w:val="00E939FA"/>
    <w:rsid w:val="00E93AD5"/>
    <w:rsid w:val="00EA2282"/>
    <w:rsid w:val="00EA5765"/>
    <w:rsid w:val="00EB248F"/>
    <w:rsid w:val="00EC2532"/>
    <w:rsid w:val="00EC6213"/>
    <w:rsid w:val="00ED7812"/>
    <w:rsid w:val="00EF3B86"/>
    <w:rsid w:val="00F16B4F"/>
    <w:rsid w:val="00F317E9"/>
    <w:rsid w:val="00F334AF"/>
    <w:rsid w:val="00F34554"/>
    <w:rsid w:val="00F45F77"/>
    <w:rsid w:val="00F51150"/>
    <w:rsid w:val="00F5167F"/>
    <w:rsid w:val="00F52258"/>
    <w:rsid w:val="00F62BA7"/>
    <w:rsid w:val="00F70E7B"/>
    <w:rsid w:val="00F81DE0"/>
    <w:rsid w:val="00F8570A"/>
    <w:rsid w:val="00F91C7B"/>
    <w:rsid w:val="00F953E2"/>
    <w:rsid w:val="00FB1BA2"/>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4A3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E310B2"/>
    <w:rPr>
      <w:sz w:val="24"/>
      <w:szCs w:val="24"/>
      <w:lang w:val="en-US" w:eastAsia="en-US"/>
    </w:rPr>
  </w:style>
  <w:style w:type="paragraph" w:styleId="Revision">
    <w:name w:val="Revision"/>
    <w:hidden/>
    <w:uiPriority w:val="99"/>
    <w:semiHidden/>
    <w:rsid w:val="00B3051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629C9-7A0F-4EF3-A658-2FFCE64247B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EBC085F-DACC-46CD-988C-17C24AEE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7749</Words>
  <Characters>44175</Characters>
  <Application>Microsoft Office Word</Application>
  <DocSecurity>0</DocSecurity>
  <Lines>368</Lines>
  <Paragraphs>103</Paragraphs>
  <ScaleCrop>false</ScaleCrop>
  <Company/>
  <LinksUpToDate>false</LinksUpToDate>
  <CharactersWithSpaces>51821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2025-06-26T11:11:00Z</dcterms:created>
  <dcterms:modified xsi:type="dcterms:W3CDTF">2025-07-07T08:30:00Z</dcterms:modified>
</cp:coreProperties>
</file>